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D3A12" w14:textId="2149D44C" w:rsidR="00E50A74" w:rsidRPr="0098262F" w:rsidRDefault="00EB5325" w:rsidP="00530866">
      <w:pPr>
        <w:pStyle w:val="1-MainHeading"/>
      </w:pPr>
      <w:bookmarkStart w:id="0" w:name="_Toc219795442"/>
      <w:bookmarkStart w:id="1" w:name="_Toc107927616"/>
      <w:bookmarkStart w:id="2" w:name="_Toc380679747"/>
      <w:bookmarkStart w:id="3" w:name="_Toc380742604"/>
      <w:bookmarkStart w:id="4" w:name="_Toc380746171"/>
      <w:bookmarkStart w:id="5" w:name="_Toc380746294"/>
      <w:bookmarkStart w:id="6" w:name="_Toc380746578"/>
      <w:r>
        <w:t>6.01</w:t>
      </w:r>
      <w:r w:rsidR="00E50A74" w:rsidRPr="0098262F">
        <w:tab/>
      </w:r>
      <w:r w:rsidR="00E50A74">
        <w:t>AMIVANTAMAB</w:t>
      </w:r>
      <w:r w:rsidR="00E50A74" w:rsidRPr="0098262F">
        <w:t>,</w:t>
      </w:r>
      <w:r w:rsidR="00E50A74" w:rsidRPr="0098262F">
        <w:br/>
      </w:r>
      <w:r w:rsidR="00E50A74" w:rsidRPr="0051376B">
        <w:t>Solution concentrate for I.V. infusion 350 mg in 7 m</w:t>
      </w:r>
      <w:r w:rsidR="00E50A74">
        <w:t>L</w:t>
      </w:r>
      <w:r w:rsidR="00E50A74" w:rsidRPr="0098262F">
        <w:t>,</w:t>
      </w:r>
      <w:r w:rsidR="00E50A74" w:rsidRPr="0098262F">
        <w:br/>
      </w:r>
      <w:r w:rsidR="00E50A74" w:rsidRPr="000B382B">
        <w:t>Rybrevant</w:t>
      </w:r>
      <w:r w:rsidR="00E50A74" w:rsidRPr="0098262F">
        <w:rPr>
          <w:vertAlign w:val="superscript"/>
        </w:rPr>
        <w:t>®</w:t>
      </w:r>
      <w:r w:rsidR="00E50A74" w:rsidRPr="0098262F">
        <w:t>,</w:t>
      </w:r>
      <w:r w:rsidR="00E50A74" w:rsidRPr="0098262F">
        <w:br/>
      </w:r>
      <w:r w:rsidR="00E50A74" w:rsidRPr="00887B87">
        <w:t>Janssen-Cilag Pty Ltd</w:t>
      </w:r>
      <w:r w:rsidR="00E50A74" w:rsidRPr="0098262F">
        <w:t>.</w:t>
      </w:r>
      <w:bookmarkEnd w:id="0"/>
      <w:r w:rsidR="00E50A74" w:rsidRPr="0098262F">
        <w:t xml:space="preserve"> </w:t>
      </w:r>
      <w:bookmarkEnd w:id="1"/>
    </w:p>
    <w:p w14:paraId="75841B78" w14:textId="77777777" w:rsidR="00E50A74" w:rsidRPr="0098262F" w:rsidRDefault="00E50A74" w:rsidP="00530866">
      <w:pPr>
        <w:pStyle w:val="2-SectionHeading"/>
      </w:pPr>
      <w:bookmarkStart w:id="7" w:name="_Toc107927618"/>
      <w:bookmarkStart w:id="8" w:name="_Toc219795445"/>
      <w:r w:rsidRPr="0098262F">
        <w:t>Purpose of submission</w:t>
      </w:r>
      <w:bookmarkEnd w:id="7"/>
      <w:bookmarkEnd w:id="8"/>
    </w:p>
    <w:p w14:paraId="681ECC84" w14:textId="65344D36" w:rsidR="00E50A74" w:rsidRPr="0098262F" w:rsidRDefault="00E50A74" w:rsidP="00530866">
      <w:pPr>
        <w:pStyle w:val="3-BodyText"/>
      </w:pPr>
      <w:r w:rsidRPr="0098262F">
        <w:t xml:space="preserve">The Category </w:t>
      </w:r>
      <w:r>
        <w:t>2</w:t>
      </w:r>
      <w:r w:rsidRPr="0098262F">
        <w:t xml:space="preserve"> submission requested Section 100</w:t>
      </w:r>
      <w:r>
        <w:t xml:space="preserve"> (Efficient Funding of Chemotherapy Program) </w:t>
      </w:r>
      <w:r w:rsidRPr="0098262F">
        <w:t xml:space="preserve">Authority Required listing for </w:t>
      </w:r>
      <w:r>
        <w:t xml:space="preserve">amivantamab </w:t>
      </w:r>
      <w:r w:rsidR="00707237">
        <w:t xml:space="preserve">in combination with platinum-based </w:t>
      </w:r>
      <w:r w:rsidR="00854FC1">
        <w:t xml:space="preserve">doublet </w:t>
      </w:r>
      <w:r w:rsidR="00707237">
        <w:t>chemotherapy (P</w:t>
      </w:r>
      <w:r w:rsidR="00854FC1">
        <w:t>D</w:t>
      </w:r>
      <w:r w:rsidR="00707237">
        <w:t>C)</w:t>
      </w:r>
      <w:r>
        <w:t xml:space="preserve"> f</w:t>
      </w:r>
      <w:r w:rsidRPr="0098262F">
        <w:t xml:space="preserve">or the treatment of </w:t>
      </w:r>
      <w:r w:rsidRPr="0019278F">
        <w:t>patients with epidermal growth factor receptor gene mutated (EGFRm) locally advanced/metastatic non-small cell lung cancer (NSCLC) where the condition has progressed on or after osimertinib</w:t>
      </w:r>
      <w:r w:rsidR="00707237">
        <w:t xml:space="preserve">. </w:t>
      </w:r>
    </w:p>
    <w:p w14:paraId="0098E2F6" w14:textId="4A917043" w:rsidR="00E50A74" w:rsidRPr="0098262F" w:rsidRDefault="00E50A74" w:rsidP="00530866">
      <w:pPr>
        <w:pStyle w:val="3-BodyText"/>
      </w:pPr>
      <w:r w:rsidRPr="0098262F">
        <w:t xml:space="preserve">Listing was requested </w:t>
      </w:r>
      <w:proofErr w:type="gramStart"/>
      <w:r w:rsidRPr="0098262F">
        <w:t>on the basis of</w:t>
      </w:r>
      <w:proofErr w:type="gramEnd"/>
      <w:r w:rsidRPr="0098262F">
        <w:t xml:space="preserve"> a cost-effectiveness analysis</w:t>
      </w:r>
      <w:r>
        <w:t xml:space="preserve"> of amivantamab plus carboplatin and pemetrexed (AmiCP) </w:t>
      </w:r>
      <w:r w:rsidRPr="0098262F">
        <w:t xml:space="preserve">versus </w:t>
      </w:r>
      <w:r w:rsidR="00CE0A18">
        <w:t>PDC</w:t>
      </w:r>
      <w:r>
        <w:t xml:space="preserve"> and</w:t>
      </w:r>
      <w:r w:rsidRPr="00C41A06">
        <w:t xml:space="preserve"> atezolizumab + bevacizumab + carboplatin + paclitaxel</w:t>
      </w:r>
      <w:r w:rsidR="001015E2">
        <w:t xml:space="preserve"> (ABCP</w:t>
      </w:r>
      <w:r w:rsidRPr="00C41A06" w:rsidDel="001015E2">
        <w:t>)</w:t>
      </w:r>
      <w:r>
        <w:t xml:space="preserve">. Carboplatin and pemetrexed (CP) was the </w:t>
      </w:r>
      <w:r w:rsidR="00023F33">
        <w:t xml:space="preserve">chemotherapy </w:t>
      </w:r>
      <w:r>
        <w:t xml:space="preserve">used in the clinical trial evidence and was used </w:t>
      </w:r>
      <w:r w:rsidR="00023F33">
        <w:t xml:space="preserve">to represent </w:t>
      </w:r>
      <w:r w:rsidR="00CE0A18">
        <w:t>PDC</w:t>
      </w:r>
      <w:r w:rsidR="00023F33">
        <w:t xml:space="preserve"> </w:t>
      </w:r>
      <w:r>
        <w:t xml:space="preserve">in this submission. </w:t>
      </w:r>
    </w:p>
    <w:p w14:paraId="0447A647" w14:textId="569D7D4D" w:rsidR="00E50A74" w:rsidRPr="0098262F" w:rsidRDefault="00421D9D" w:rsidP="00530866">
      <w:pPr>
        <w:pStyle w:val="Caption"/>
        <w:rPr>
          <w:rStyle w:val="CommentReference"/>
          <w:b/>
          <w:szCs w:val="24"/>
        </w:rPr>
      </w:pPr>
      <w:r>
        <w:t xml:space="preserve">Table </w:t>
      </w:r>
      <w:fldSimple w:instr=" SEQ Table \* ARABIC ">
        <w:r w:rsidR="00D97D5A">
          <w:rPr>
            <w:noProof/>
          </w:rPr>
          <w:t>1</w:t>
        </w:r>
      </w:fldSimple>
      <w:r w:rsidR="00E50A74" w:rsidRPr="0098262F">
        <w:t>:</w:t>
      </w:r>
      <w:r w:rsidR="00E50A74" w:rsidRPr="0098262F">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666"/>
        <w:gridCol w:w="7351"/>
      </w:tblGrid>
      <w:tr w:rsidR="00E50A74" w:rsidRPr="0098262F" w14:paraId="119E43A2" w14:textId="77777777" w:rsidTr="002A2ADE">
        <w:trPr>
          <w:cantSplit/>
          <w:tblHeader/>
        </w:trPr>
        <w:tc>
          <w:tcPr>
            <w:tcW w:w="924" w:type="pct"/>
          </w:tcPr>
          <w:p w14:paraId="4BC29A08" w14:textId="77777777" w:rsidR="00E50A74" w:rsidRPr="0098262F" w:rsidRDefault="00E50A74" w:rsidP="00530866">
            <w:pPr>
              <w:pStyle w:val="In-tableHeading"/>
              <w:rPr>
                <w:szCs w:val="20"/>
              </w:rPr>
            </w:pPr>
            <w:r w:rsidRPr="0098262F">
              <w:t>Component</w:t>
            </w:r>
          </w:p>
        </w:tc>
        <w:tc>
          <w:tcPr>
            <w:tcW w:w="4076" w:type="pct"/>
          </w:tcPr>
          <w:p w14:paraId="039BF8A3" w14:textId="77777777" w:rsidR="00E50A74" w:rsidRPr="0098262F" w:rsidRDefault="00E50A74" w:rsidP="00530866">
            <w:pPr>
              <w:pStyle w:val="In-tableHeading"/>
            </w:pPr>
            <w:r w:rsidRPr="0098262F">
              <w:t>Description</w:t>
            </w:r>
          </w:p>
        </w:tc>
      </w:tr>
      <w:tr w:rsidR="00E50A74" w:rsidRPr="0098262F" w14:paraId="31F75CBD" w14:textId="77777777" w:rsidTr="002A2ADE">
        <w:trPr>
          <w:cantSplit/>
        </w:trPr>
        <w:tc>
          <w:tcPr>
            <w:tcW w:w="924" w:type="pct"/>
          </w:tcPr>
          <w:p w14:paraId="7F955D16" w14:textId="77777777" w:rsidR="00E50A74" w:rsidRPr="0098262F" w:rsidRDefault="00E50A74" w:rsidP="00530866">
            <w:pPr>
              <w:pStyle w:val="TableText0"/>
            </w:pPr>
            <w:r w:rsidRPr="0098262F">
              <w:t>Population</w:t>
            </w:r>
          </w:p>
        </w:tc>
        <w:tc>
          <w:tcPr>
            <w:tcW w:w="4076" w:type="pct"/>
          </w:tcPr>
          <w:p w14:paraId="202120E3" w14:textId="77777777" w:rsidR="00E50A74" w:rsidRPr="0098262F" w:rsidRDefault="00E50A74" w:rsidP="00530866">
            <w:pPr>
              <w:pStyle w:val="TableText0"/>
              <w:rPr>
                <w:szCs w:val="20"/>
              </w:rPr>
            </w:pPr>
            <w:r w:rsidRPr="00CF38FB">
              <w:t xml:space="preserve">Patients with EGFRm locally advanced/metastatic (Stage IIIB-IV) NSCLC where the condition has progressed on or after osimertinib </w:t>
            </w:r>
          </w:p>
        </w:tc>
      </w:tr>
      <w:tr w:rsidR="00E50A74" w:rsidRPr="0098262F" w14:paraId="276D485C" w14:textId="77777777" w:rsidTr="002A2ADE">
        <w:trPr>
          <w:cantSplit/>
        </w:trPr>
        <w:tc>
          <w:tcPr>
            <w:tcW w:w="924" w:type="pct"/>
          </w:tcPr>
          <w:p w14:paraId="79AD81F1" w14:textId="77777777" w:rsidR="00E50A74" w:rsidRPr="0098262F" w:rsidRDefault="00E50A74" w:rsidP="00530866">
            <w:pPr>
              <w:pStyle w:val="TableText0"/>
            </w:pPr>
            <w:r w:rsidRPr="0098262F">
              <w:t>Intervention</w:t>
            </w:r>
          </w:p>
        </w:tc>
        <w:tc>
          <w:tcPr>
            <w:tcW w:w="4076" w:type="pct"/>
          </w:tcPr>
          <w:p w14:paraId="105EFF1A" w14:textId="7AB698CE" w:rsidR="00E50A74" w:rsidRPr="0098262F" w:rsidRDefault="00E50A74" w:rsidP="00530866">
            <w:pPr>
              <w:pStyle w:val="TableText0"/>
            </w:pPr>
            <w:r w:rsidRPr="00CF38FB">
              <w:t xml:space="preserve">Amivantamab IV infusion in combination with </w:t>
            </w:r>
            <w:r w:rsidR="00CE0A18">
              <w:t>PDC</w:t>
            </w:r>
            <w:r w:rsidRPr="00CF38FB">
              <w:t xml:space="preserve"> (carboplatin/cisplatin in combination with pemetrexed) for up to 4 cycles followed by amivantamab IV infusion and pemetrexed IV infusion until disease progression</w:t>
            </w:r>
          </w:p>
        </w:tc>
      </w:tr>
      <w:tr w:rsidR="00E50A74" w:rsidRPr="0098262F" w14:paraId="091FC8DF" w14:textId="77777777" w:rsidTr="002A2ADE">
        <w:trPr>
          <w:cantSplit/>
        </w:trPr>
        <w:tc>
          <w:tcPr>
            <w:tcW w:w="924" w:type="pct"/>
          </w:tcPr>
          <w:p w14:paraId="267DC8F1" w14:textId="77777777" w:rsidR="00E50A74" w:rsidRPr="0098262F" w:rsidRDefault="00E50A74" w:rsidP="00530866">
            <w:pPr>
              <w:pStyle w:val="TableText0"/>
            </w:pPr>
            <w:r w:rsidRPr="0098262F">
              <w:t>Comparator</w:t>
            </w:r>
          </w:p>
        </w:tc>
        <w:tc>
          <w:tcPr>
            <w:tcW w:w="4076" w:type="pct"/>
          </w:tcPr>
          <w:p w14:paraId="7C354179" w14:textId="1B1CC9CF" w:rsidR="00E50A74" w:rsidRDefault="00CE0A18" w:rsidP="00530866">
            <w:pPr>
              <w:pStyle w:val="TableText0"/>
            </w:pPr>
            <w:r>
              <w:t>PDC</w:t>
            </w:r>
            <w:r w:rsidR="00E50A74" w:rsidRPr="00CF38FB">
              <w:t>: carboplatin/cisplatin in combination with pemetrexed</w:t>
            </w:r>
          </w:p>
          <w:p w14:paraId="42927F05" w14:textId="5464B939" w:rsidR="006464F2" w:rsidRPr="0098262F" w:rsidRDefault="006464F2" w:rsidP="00530866">
            <w:pPr>
              <w:pStyle w:val="TableText0"/>
            </w:pPr>
            <w:r>
              <w:t xml:space="preserve">ABCP: atezolizumab + bevacizumab + carboplatin + </w:t>
            </w:r>
            <w:r w:rsidR="00E746DB">
              <w:t>paclitaxel</w:t>
            </w:r>
          </w:p>
        </w:tc>
      </w:tr>
      <w:tr w:rsidR="00E50A74" w:rsidRPr="0098262F" w14:paraId="473E3BEF" w14:textId="77777777" w:rsidTr="002A2ADE">
        <w:trPr>
          <w:cantSplit/>
        </w:trPr>
        <w:tc>
          <w:tcPr>
            <w:tcW w:w="924" w:type="pct"/>
          </w:tcPr>
          <w:p w14:paraId="2369D5A0" w14:textId="77777777" w:rsidR="00E50A74" w:rsidRPr="0098262F" w:rsidRDefault="00E50A74" w:rsidP="00530866">
            <w:pPr>
              <w:pStyle w:val="TableText0"/>
            </w:pPr>
            <w:r w:rsidRPr="0098262F">
              <w:t>Outcomes</w:t>
            </w:r>
          </w:p>
        </w:tc>
        <w:tc>
          <w:tcPr>
            <w:tcW w:w="4076" w:type="pct"/>
          </w:tcPr>
          <w:p w14:paraId="2E3520F6" w14:textId="77777777" w:rsidR="00E50A74" w:rsidRPr="0098262F" w:rsidRDefault="00E50A74" w:rsidP="00530866">
            <w:pPr>
              <w:pStyle w:val="TableText0"/>
              <w:rPr>
                <w:rFonts w:eastAsia="Times New Roman" w:cs="Arial"/>
                <w:bCs w:val="0"/>
                <w:snapToGrid w:val="0"/>
                <w:color w:val="0066FF"/>
                <w:szCs w:val="20"/>
              </w:rPr>
            </w:pPr>
            <w:r w:rsidRPr="00CF38FB">
              <w:t xml:space="preserve">PFS (assessed by BICR and INV), OS, ORR, </w:t>
            </w:r>
            <w:proofErr w:type="spellStart"/>
            <w:r w:rsidRPr="00CF38FB">
              <w:t>icPFS</w:t>
            </w:r>
            <w:proofErr w:type="spellEnd"/>
            <w:r w:rsidRPr="00CF38FB">
              <w:t xml:space="preserve">, </w:t>
            </w:r>
            <w:proofErr w:type="spellStart"/>
            <w:r w:rsidRPr="00CF38FB">
              <w:t>HRQoL</w:t>
            </w:r>
            <w:proofErr w:type="spellEnd"/>
            <w:r w:rsidRPr="00CF38FB">
              <w:t xml:space="preserve"> and safety</w:t>
            </w:r>
          </w:p>
        </w:tc>
      </w:tr>
      <w:tr w:rsidR="00E50A74" w:rsidRPr="0098262F" w14:paraId="63BC7B20" w14:textId="77777777" w:rsidTr="002A2ADE">
        <w:trPr>
          <w:cantSplit/>
        </w:trPr>
        <w:tc>
          <w:tcPr>
            <w:tcW w:w="924" w:type="pct"/>
          </w:tcPr>
          <w:p w14:paraId="398E0D00" w14:textId="77777777" w:rsidR="00E50A74" w:rsidRPr="0098262F" w:rsidRDefault="00E50A74" w:rsidP="00530866">
            <w:pPr>
              <w:pStyle w:val="TableText0"/>
            </w:pPr>
            <w:r w:rsidRPr="0098262F">
              <w:t>Clinical claim</w:t>
            </w:r>
          </w:p>
        </w:tc>
        <w:tc>
          <w:tcPr>
            <w:tcW w:w="4076" w:type="pct"/>
          </w:tcPr>
          <w:p w14:paraId="1995964A" w14:textId="0D7EF82E" w:rsidR="00E50A74" w:rsidRPr="00BD166D" w:rsidRDefault="00E50A74" w:rsidP="00530866">
            <w:pPr>
              <w:pStyle w:val="TableText0"/>
            </w:pPr>
            <w:r w:rsidRPr="00BD166D">
              <w:t xml:space="preserve">In patients with EGFRm locally advanced/metastatic NSCLC where the condition has progressed on or after osimertinib, amivantamab in combination with </w:t>
            </w:r>
            <w:r w:rsidR="00CE0A18">
              <w:t>PDC</w:t>
            </w:r>
            <w:r w:rsidRPr="00BD166D">
              <w:t xml:space="preserve"> provides:</w:t>
            </w:r>
          </w:p>
          <w:p w14:paraId="056E59FF" w14:textId="7B5ED596" w:rsidR="00364975" w:rsidRDefault="00FD5659" w:rsidP="00530866">
            <w:pPr>
              <w:pStyle w:val="TableText0"/>
              <w:numPr>
                <w:ilvl w:val="0"/>
                <w:numId w:val="7"/>
              </w:numPr>
            </w:pPr>
            <w:r w:rsidRPr="00BD166D">
              <w:t xml:space="preserve">Superior clinical effectiveness and inferior but manageable safety compared with </w:t>
            </w:r>
            <w:r w:rsidR="00CE0A18">
              <w:t xml:space="preserve">PDC </w:t>
            </w:r>
          </w:p>
          <w:p w14:paraId="6BBD99A7" w14:textId="58B58F0F" w:rsidR="00E50A74" w:rsidRPr="0098262F" w:rsidRDefault="00E50A74" w:rsidP="00530866">
            <w:pPr>
              <w:pStyle w:val="TableText0"/>
              <w:numPr>
                <w:ilvl w:val="0"/>
                <w:numId w:val="7"/>
              </w:numPr>
              <w:rPr>
                <w:rFonts w:eastAsia="Times New Roman" w:cs="Arial"/>
                <w:bCs w:val="0"/>
                <w:snapToGrid w:val="0"/>
                <w:color w:val="0066FF"/>
                <w:szCs w:val="20"/>
              </w:rPr>
            </w:pPr>
            <w:r w:rsidRPr="00BD166D">
              <w:t>Superior clinical effectiveness and non-inferior safety compared with ABCP</w:t>
            </w:r>
          </w:p>
        </w:tc>
      </w:tr>
    </w:tbl>
    <w:p w14:paraId="50CC6459" w14:textId="77777777" w:rsidR="00E50A74" w:rsidRDefault="00E50A74" w:rsidP="00530866">
      <w:pPr>
        <w:pStyle w:val="TableFigureFooter"/>
      </w:pPr>
      <w:r w:rsidRPr="0098262F">
        <w:t xml:space="preserve">Source: </w:t>
      </w:r>
      <w:r>
        <w:t>Table 1.1, p21 of the submission</w:t>
      </w:r>
    </w:p>
    <w:p w14:paraId="4C328F7C" w14:textId="4F77979F" w:rsidR="00E50A74" w:rsidRDefault="00E50A74" w:rsidP="00530866">
      <w:pPr>
        <w:pStyle w:val="TableFigureFooter"/>
      </w:pPr>
      <w:r w:rsidRPr="00895DD4">
        <w:t xml:space="preserve">Abbreviations: </w:t>
      </w:r>
      <w:r>
        <w:t xml:space="preserve">ABCP= </w:t>
      </w:r>
      <w:r w:rsidRPr="0076176B">
        <w:t>atezolizumab plus bevacizumab plus carboplatin plus paclitaxel</w:t>
      </w:r>
      <w:r>
        <w:t xml:space="preserve">; </w:t>
      </w:r>
      <w:r w:rsidRPr="0076176B">
        <w:t>BICR=blinded independent central review</w:t>
      </w:r>
      <w:r>
        <w:t>;</w:t>
      </w:r>
      <w:r w:rsidR="002E04EE">
        <w:t xml:space="preserve"> </w:t>
      </w:r>
      <w:r w:rsidRPr="00895DD4">
        <w:t xml:space="preserve">EGFRm= epidermal growth factor receptor gene mutated; </w:t>
      </w:r>
      <w:r w:rsidRPr="00865CAA">
        <w:t>HRQoL=health-related quality of life</w:t>
      </w:r>
      <w:r>
        <w:t>;</w:t>
      </w:r>
      <w:r w:rsidRPr="00865CAA">
        <w:t xml:space="preserve"> </w:t>
      </w:r>
      <w:proofErr w:type="spellStart"/>
      <w:r w:rsidRPr="00D40D8F">
        <w:t>icPFS</w:t>
      </w:r>
      <w:proofErr w:type="spellEnd"/>
      <w:r w:rsidRPr="00D40D8F">
        <w:t>=intracranial PFS</w:t>
      </w:r>
      <w:r>
        <w:t xml:space="preserve">; </w:t>
      </w:r>
      <w:r w:rsidRPr="00D813EC">
        <w:t>INV=investigator assessment</w:t>
      </w:r>
      <w:r>
        <w:t>;</w:t>
      </w:r>
      <w:r w:rsidRPr="00D813EC">
        <w:t xml:space="preserve"> </w:t>
      </w:r>
      <w:r w:rsidRPr="00D40D8F">
        <w:t xml:space="preserve">IV=intravenous; </w:t>
      </w:r>
      <w:r w:rsidRPr="00895DD4">
        <w:t xml:space="preserve">NSCLC=non-small cell lung cancer; OS=overall survival; ORR=objective response rate; </w:t>
      </w:r>
      <w:r w:rsidRPr="00D40D8F">
        <w:t>P</w:t>
      </w:r>
      <w:r w:rsidR="00CE0A18">
        <w:t>D</w:t>
      </w:r>
      <w:r w:rsidRPr="00D40D8F">
        <w:t xml:space="preserve">C=platinum-based </w:t>
      </w:r>
      <w:r w:rsidR="00CE0A18">
        <w:t xml:space="preserve">doublet </w:t>
      </w:r>
      <w:r w:rsidRPr="00D40D8F">
        <w:t>chemotherapy; PFS=progression free survival</w:t>
      </w:r>
      <w:r w:rsidRPr="00D40D8F" w:rsidDel="00865CAA">
        <w:t xml:space="preserve"> </w:t>
      </w:r>
    </w:p>
    <w:p w14:paraId="4AB76A21" w14:textId="77777777" w:rsidR="00E50A74" w:rsidRPr="0098262F" w:rsidRDefault="00E50A74" w:rsidP="00530866">
      <w:pPr>
        <w:pStyle w:val="2-SectionHeading"/>
      </w:pPr>
      <w:bookmarkStart w:id="9" w:name="_Toc107927619"/>
      <w:bookmarkStart w:id="10" w:name="_Toc219795446"/>
      <w:r w:rsidRPr="0098262F">
        <w:t>Background</w:t>
      </w:r>
      <w:bookmarkEnd w:id="9"/>
      <w:bookmarkEnd w:id="10"/>
    </w:p>
    <w:p w14:paraId="796F44E8" w14:textId="77777777" w:rsidR="00E50A74" w:rsidRPr="0098262F" w:rsidRDefault="00E50A74" w:rsidP="00530866">
      <w:pPr>
        <w:pStyle w:val="4-SubsectionHeading"/>
      </w:pPr>
      <w:bookmarkStart w:id="11" w:name="_Toc22897638"/>
      <w:bookmarkStart w:id="12" w:name="_Toc107927620"/>
      <w:bookmarkStart w:id="13" w:name="_Toc219795447"/>
      <w:r w:rsidRPr="0098262F">
        <w:t>Registration status</w:t>
      </w:r>
      <w:bookmarkEnd w:id="11"/>
      <w:bookmarkEnd w:id="12"/>
      <w:bookmarkEnd w:id="13"/>
    </w:p>
    <w:p w14:paraId="3CB37F14" w14:textId="144AE6CF" w:rsidR="00E50A74" w:rsidRDefault="00E50A74" w:rsidP="00530866">
      <w:pPr>
        <w:pStyle w:val="3-BodyText"/>
      </w:pPr>
      <w:r>
        <w:t>Amivantamab was TGA registered on 3 February 2025 for</w:t>
      </w:r>
      <w:r w:rsidR="44CE63F8">
        <w:t xml:space="preserve"> the following</w:t>
      </w:r>
      <w:r>
        <w:t xml:space="preserve"> indications:</w:t>
      </w:r>
    </w:p>
    <w:p w14:paraId="4D1EF36A" w14:textId="44FD85A8" w:rsidR="00E50A74" w:rsidRPr="00415856" w:rsidRDefault="00E50A74" w:rsidP="00530866">
      <w:pPr>
        <w:pStyle w:val="ListParagraph"/>
        <w:numPr>
          <w:ilvl w:val="0"/>
          <w:numId w:val="12"/>
        </w:numPr>
        <w:jc w:val="both"/>
      </w:pPr>
      <w:r w:rsidRPr="00415856">
        <w:t xml:space="preserve">in combination with carboplatin and pemetrexed for the treatment of adult patients with locally advanced or metastatic NSCLC with EGFR exon 19 deletions or exon 21 L858R substitution mutations, whose disease has progressed on or </w:t>
      </w:r>
      <w:r w:rsidRPr="00415856">
        <w:lastRenderedPageBreak/>
        <w:t xml:space="preserve">after treatment with an EGFR tyrosine kinase inhibitor (TKI). </w:t>
      </w:r>
      <w:r w:rsidRPr="00E76F33">
        <w:t>This indication is relevant to this submission and is informed by the MARIPOSA-2 trial.</w:t>
      </w:r>
      <w:r w:rsidR="002E04EE">
        <w:t xml:space="preserve"> </w:t>
      </w:r>
    </w:p>
    <w:p w14:paraId="376CF87C" w14:textId="1849D71D" w:rsidR="00E50A74" w:rsidRPr="00415856" w:rsidRDefault="00E50A74" w:rsidP="00530866">
      <w:pPr>
        <w:pStyle w:val="ListParagraph"/>
        <w:numPr>
          <w:ilvl w:val="0"/>
          <w:numId w:val="12"/>
        </w:numPr>
        <w:jc w:val="both"/>
      </w:pPr>
      <w:r w:rsidRPr="00415856">
        <w:t xml:space="preserve">in combination with </w:t>
      </w:r>
      <w:proofErr w:type="spellStart"/>
      <w:r w:rsidRPr="00415856">
        <w:t>lazertinib</w:t>
      </w:r>
      <w:proofErr w:type="spellEnd"/>
      <w:r w:rsidRPr="00415856">
        <w:t xml:space="preserve"> for the first-line treatment of adult patients with locally advanced or metastatic NSCLC with EGFR exon 19 deletions or exon 21 L858R substitution mutations. </w:t>
      </w:r>
    </w:p>
    <w:p w14:paraId="6A8571C1" w14:textId="7AB11495" w:rsidR="00E50A74" w:rsidRPr="00415856" w:rsidRDefault="00E50A74" w:rsidP="00530866">
      <w:pPr>
        <w:pStyle w:val="ListParagraph"/>
        <w:numPr>
          <w:ilvl w:val="0"/>
          <w:numId w:val="12"/>
        </w:numPr>
        <w:jc w:val="both"/>
      </w:pPr>
      <w:r w:rsidRPr="00415856">
        <w:t xml:space="preserve">in combination with carboplatin and pemetrexed for the first-line treatment of adult patients with locally advanced or metastatic NSCLC with activating EGFR exon 20 insertion mutations. </w:t>
      </w:r>
    </w:p>
    <w:p w14:paraId="1C69E89C" w14:textId="77777777" w:rsidR="00E50A74" w:rsidRPr="00415856" w:rsidRDefault="00E50A74" w:rsidP="01281BB7">
      <w:pPr>
        <w:pStyle w:val="ListParagraph"/>
        <w:jc w:val="both"/>
      </w:pPr>
      <w:r>
        <w:t xml:space="preserve">as monotherapy for the treatment of adult patients with locally advanced or metastatic NSCLC with activating EGFR exon 20 insertion mutations whose disease has progressed on or after platinum-based chemotherapy. </w:t>
      </w:r>
    </w:p>
    <w:p w14:paraId="63666AB5" w14:textId="16638C0C" w:rsidR="01281BB7" w:rsidRDefault="01281BB7">
      <w:r>
        <w:br w:type="page"/>
      </w:r>
    </w:p>
    <w:p w14:paraId="260D66F0" w14:textId="77777777" w:rsidR="00E50A74" w:rsidRPr="0098262F" w:rsidRDefault="00E50A74" w:rsidP="00530866">
      <w:pPr>
        <w:pStyle w:val="4-SubsectionHeading"/>
      </w:pPr>
      <w:bookmarkStart w:id="14" w:name="_Toc22897639"/>
      <w:bookmarkStart w:id="15" w:name="_Toc107927621"/>
      <w:bookmarkStart w:id="16" w:name="_Toc219795448"/>
      <w:r w:rsidRPr="0098262F">
        <w:lastRenderedPageBreak/>
        <w:t>Previous PBAC consideration</w:t>
      </w:r>
      <w:bookmarkEnd w:id="14"/>
      <w:bookmarkEnd w:id="15"/>
      <w:bookmarkEnd w:id="16"/>
    </w:p>
    <w:p w14:paraId="6B32DCDA" w14:textId="77777777" w:rsidR="00E50A74" w:rsidRPr="00F22593" w:rsidRDefault="00E50A74" w:rsidP="00530866">
      <w:pPr>
        <w:pStyle w:val="3-BodyText"/>
      </w:pPr>
      <w:bookmarkStart w:id="17" w:name="_Ref213176237"/>
      <w:r w:rsidRPr="00F22593">
        <w:t xml:space="preserve">The PBAC has not previously considered AmiCP for this indication. </w:t>
      </w:r>
    </w:p>
    <w:p w14:paraId="194F84F8" w14:textId="63810F0B" w:rsidR="00E50A74" w:rsidRDefault="00E50A74" w:rsidP="00530866">
      <w:pPr>
        <w:pStyle w:val="3-BodyText"/>
      </w:pPr>
      <w:r>
        <w:t xml:space="preserve">Amivantamab was </w:t>
      </w:r>
      <w:r w:rsidR="00FB6D4E">
        <w:t>recommended at the</w:t>
      </w:r>
      <w:r>
        <w:t xml:space="preserve"> November 2024 PBAC meeting for the treatment of patients with EGFR exon 20 insertion mutation positive locally advanced or metastatic NSCLC in the first- and second-line setting.</w:t>
      </w:r>
    </w:p>
    <w:p w14:paraId="1AACD59E" w14:textId="00960351" w:rsidR="00E50A74" w:rsidRDefault="00E50A74" w:rsidP="00530866">
      <w:pPr>
        <w:pStyle w:val="3-BodyText"/>
      </w:pPr>
      <w:bookmarkStart w:id="18" w:name="_Ref215228868"/>
      <w:r>
        <w:t xml:space="preserve">Amivantamab </w:t>
      </w:r>
      <w:r w:rsidR="004B7073">
        <w:t>in</w:t>
      </w:r>
      <w:r w:rsidDel="004B7073">
        <w:t xml:space="preserve"> </w:t>
      </w:r>
      <w:r>
        <w:t xml:space="preserve">combination with </w:t>
      </w:r>
      <w:proofErr w:type="spellStart"/>
      <w:r>
        <w:t>lazertinib</w:t>
      </w:r>
      <w:proofErr w:type="spellEnd"/>
      <w:r>
        <w:t xml:space="preserve"> for the first-line treatment of patients with locally advanced or metastatic NSCLC with evidence in tumour material of an activating EGFRm known to confer sensitivity to EGFR TKIs was </w:t>
      </w:r>
      <w:r w:rsidR="00B91F3A">
        <w:t xml:space="preserve">not recommended </w:t>
      </w:r>
      <w:r>
        <w:t xml:space="preserve">at the March 2025 PBAC meeting. </w:t>
      </w:r>
      <w:r w:rsidR="00AC4728" w:rsidRPr="00AC4728">
        <w:t>The primary reason for this outcome was due to the economic analysis provided in the submission. The PBAC also noted that the clinical place in therapy of</w:t>
      </w:r>
      <w:r w:rsidR="00AC4728">
        <w:t xml:space="preserve"> this combination </w:t>
      </w:r>
      <w:r w:rsidR="00AC4728" w:rsidRPr="00AC4728">
        <w:t>in EGFRm NSCLC relative to osimertinib monotherapy and osimertinib in combination with chemotherapy required further consideration due to concerns regarding comparative effectiveness and safety</w:t>
      </w:r>
      <w:r w:rsidR="00AC4728">
        <w:t xml:space="preserve"> (paragraph 72, </w:t>
      </w:r>
      <w:proofErr w:type="spellStart"/>
      <w:r w:rsidR="00BE22BB">
        <w:t>amivantamab</w:t>
      </w:r>
      <w:proofErr w:type="spellEnd"/>
      <w:r w:rsidR="00BE22BB">
        <w:t xml:space="preserve"> and </w:t>
      </w:r>
      <w:proofErr w:type="spellStart"/>
      <w:r w:rsidR="0023549B">
        <w:t>l</w:t>
      </w:r>
      <w:r w:rsidR="00BE22BB">
        <w:t>azertinib</w:t>
      </w:r>
      <w:proofErr w:type="spellEnd"/>
      <w:r w:rsidR="00BE22BB">
        <w:t xml:space="preserve"> </w:t>
      </w:r>
      <w:r w:rsidR="00EC0216" w:rsidRPr="00EC0216">
        <w:t xml:space="preserve">public summary document </w:t>
      </w:r>
      <w:r w:rsidR="00F46877">
        <w:t>[</w:t>
      </w:r>
      <w:r w:rsidR="00BE22BB">
        <w:t>PSD</w:t>
      </w:r>
      <w:r w:rsidR="00F46877">
        <w:t>]</w:t>
      </w:r>
      <w:r w:rsidR="00BE22BB">
        <w:t>, March 2025 PBAC meeting)</w:t>
      </w:r>
      <w:r w:rsidR="00AC4728" w:rsidRPr="00AC4728">
        <w:t>.</w:t>
      </w:r>
      <w:r w:rsidR="002E04EE">
        <w:t xml:space="preserve"> </w:t>
      </w:r>
    </w:p>
    <w:p w14:paraId="738BD8B9" w14:textId="6FC1E2DF" w:rsidR="00E50A74" w:rsidRDefault="00E50A74" w:rsidP="00530866">
      <w:pPr>
        <w:pStyle w:val="3-BodyText"/>
      </w:pPr>
      <w:bookmarkStart w:id="19" w:name="_Ref215234530"/>
      <w:bookmarkEnd w:id="18"/>
      <w:r>
        <w:t>Osimertinib (as monotherapy) is currently listed on the PBS as adjuvant therapy in EGFR pathogenic variant positive patients with resected Stage IB to IIIA NSCLC (</w:t>
      </w:r>
      <w:r w:rsidR="00987110">
        <w:t xml:space="preserve">recommended at the </w:t>
      </w:r>
      <w:r>
        <w:t>November 2023 PBAC meeting) and for the first- and second-line treatment of advanced stage (IIIB to IV) EGFR pathogenic variant positive NSCLC (recommended at the July 2020 and November 2018 PBAC meetings</w:t>
      </w:r>
      <w:r w:rsidR="00987110">
        <w:t>,</w:t>
      </w:r>
      <w:r>
        <w:t xml:space="preserve"> respectively).</w:t>
      </w:r>
      <w:bookmarkEnd w:id="19"/>
    </w:p>
    <w:p w14:paraId="24B64E7A" w14:textId="77777777" w:rsidR="00E50A74" w:rsidRDefault="00E50A74" w:rsidP="00530866">
      <w:pPr>
        <w:pStyle w:val="3-BodyText"/>
      </w:pPr>
      <w:bookmarkStart w:id="20" w:name="_Ref215234533"/>
      <w:r>
        <w:t>At the July 2025 meeting, the PBAC recommended osimertinib (as monotherapy) for the treatment of patients with unresectable locally advanced (Stage III) EGFR pathogenic variant positive NSCLC whose disease has not progressed during or following platinum-based chemoradiation therapy (CRT).</w:t>
      </w:r>
      <w:bookmarkEnd w:id="20"/>
    </w:p>
    <w:p w14:paraId="05DE15B1" w14:textId="40F6C8D5" w:rsidR="0025575E" w:rsidRDefault="0025575E" w:rsidP="00530866">
      <w:pPr>
        <w:pStyle w:val="3-BodyText"/>
      </w:pPr>
      <w:bookmarkStart w:id="21" w:name="_Ref225763079"/>
      <w:r>
        <w:t xml:space="preserve">At the September 2025 meeting, the PBAC </w:t>
      </w:r>
      <w:r w:rsidR="00C41FA4">
        <w:t xml:space="preserve">recommended </w:t>
      </w:r>
      <w:r w:rsidR="00C41FA4" w:rsidRPr="00C41FA4">
        <w:t>the listing of osimertinib, in combination with chemotherapy, for the first-line treatment of patients with locally advanced or metastatic NSCLC with evidence of an activating epidermal growth factor receptor mutation (EGFRm) in tumour material.</w:t>
      </w:r>
      <w:r w:rsidR="007859AC">
        <w:t xml:space="preserve"> </w:t>
      </w:r>
      <w:r w:rsidR="007859AC" w:rsidRPr="007859AC">
        <w:t>The PBAC considered a single osimertinib restriction covering all patient populations with EGFRm NSCLC was appropriate</w:t>
      </w:r>
      <w:r w:rsidR="007859AC">
        <w:t>.</w:t>
      </w:r>
      <w:bookmarkEnd w:id="21"/>
      <w:r w:rsidR="007859AC">
        <w:t xml:space="preserve"> </w:t>
      </w:r>
    </w:p>
    <w:p w14:paraId="70E5EE2B" w14:textId="10EAA300" w:rsidR="00C60D4E" w:rsidRDefault="00E50A74" w:rsidP="00530866">
      <w:pPr>
        <w:pStyle w:val="2-SectionHeading"/>
      </w:pPr>
      <w:bookmarkStart w:id="22" w:name="_Toc107902078"/>
      <w:bookmarkStart w:id="23" w:name="_Toc107927622"/>
      <w:bookmarkStart w:id="24" w:name="_Toc219795449"/>
      <w:bookmarkEnd w:id="17"/>
      <w:bookmarkEnd w:id="22"/>
      <w:r w:rsidRPr="0098262F">
        <w:t>Requested listing</w:t>
      </w:r>
      <w:bookmarkEnd w:id="23"/>
      <w:bookmarkEnd w:id="24"/>
    </w:p>
    <w:p w14:paraId="28AAFA40" w14:textId="77777777" w:rsidR="008A23F2" w:rsidRPr="005638C1" w:rsidRDefault="008A23F2" w:rsidP="00530866">
      <w:pPr>
        <w:pStyle w:val="3-BodyText"/>
      </w:pPr>
      <w:r>
        <w:t>The requested restriction is presented below. Secretariat suggested additions are in italics and deletions in strikethrough.</w:t>
      </w:r>
    </w:p>
    <w:p w14:paraId="26FA7A3A" w14:textId="238F6E73" w:rsidR="00734000" w:rsidRPr="00734000" w:rsidRDefault="00734000" w:rsidP="00530866">
      <w:pPr>
        <w:pStyle w:val="3-BodyText"/>
        <w:numPr>
          <w:ilvl w:val="0"/>
          <w:numId w:val="0"/>
        </w:numPr>
        <w:ind w:left="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3094"/>
        <w:gridCol w:w="1973"/>
        <w:gridCol w:w="1973"/>
        <w:gridCol w:w="1977"/>
      </w:tblGrid>
      <w:tr w:rsidR="00E50A74" w:rsidRPr="0098262F" w14:paraId="266C951F" w14:textId="48EE9C98" w:rsidTr="79174808">
        <w:trPr>
          <w:cantSplit/>
          <w:trHeight w:val="20"/>
        </w:trPr>
        <w:tc>
          <w:tcPr>
            <w:tcW w:w="1716" w:type="pct"/>
            <w:vAlign w:val="center"/>
          </w:tcPr>
          <w:p w14:paraId="3055B802" w14:textId="65CBBE02" w:rsidR="00E50A74" w:rsidRPr="0098262F" w:rsidRDefault="00E50A74" w:rsidP="00530866">
            <w:pPr>
              <w:pStyle w:val="In-tableHeading"/>
            </w:pPr>
            <w:bookmarkStart w:id="25" w:name="_Hlk104809082"/>
            <w:r w:rsidRPr="0098262F">
              <w:lastRenderedPageBreak/>
              <w:t>MEDICINAL PRODUCT</w:t>
            </w:r>
          </w:p>
          <w:p w14:paraId="6380F80C" w14:textId="01F00D1F" w:rsidR="00E50A74" w:rsidRPr="0098262F" w:rsidRDefault="00E50A74" w:rsidP="00530866">
            <w:pPr>
              <w:pStyle w:val="In-tableHeading"/>
            </w:pPr>
            <w:r w:rsidRPr="0098262F">
              <w:t>Form</w:t>
            </w:r>
          </w:p>
        </w:tc>
        <w:tc>
          <w:tcPr>
            <w:tcW w:w="1094" w:type="pct"/>
            <w:vAlign w:val="center"/>
          </w:tcPr>
          <w:p w14:paraId="65B8C919" w14:textId="7462DF4C" w:rsidR="00E50A74" w:rsidRPr="0098262F" w:rsidRDefault="00E50A74" w:rsidP="00530866">
            <w:pPr>
              <w:pStyle w:val="In-tableHeading"/>
            </w:pPr>
            <w:r w:rsidRPr="0098262F">
              <w:t>Dispensed Price Max Amt</w:t>
            </w:r>
          </w:p>
        </w:tc>
        <w:tc>
          <w:tcPr>
            <w:tcW w:w="1094" w:type="pct"/>
            <w:vAlign w:val="center"/>
          </w:tcPr>
          <w:p w14:paraId="7D07B96B" w14:textId="5417BEA2" w:rsidR="00E50A74" w:rsidRPr="0098262F" w:rsidRDefault="00E50A74" w:rsidP="00530866">
            <w:pPr>
              <w:pStyle w:val="In-tableHeading"/>
            </w:pPr>
            <w:r w:rsidRPr="0098262F">
              <w:t>Max. Amount</w:t>
            </w:r>
          </w:p>
        </w:tc>
        <w:tc>
          <w:tcPr>
            <w:tcW w:w="1096" w:type="pct"/>
            <w:vAlign w:val="center"/>
          </w:tcPr>
          <w:p w14:paraId="2C6128F2" w14:textId="2E4284D5" w:rsidR="00E50A74" w:rsidRPr="0098262F" w:rsidRDefault="00E50A74" w:rsidP="00530866">
            <w:pPr>
              <w:pStyle w:val="In-tableHeading"/>
            </w:pPr>
            <w:bookmarkStart w:id="26" w:name="_Int_GKAuOmz8"/>
            <w:r>
              <w:t>№.of</w:t>
            </w:r>
            <w:bookmarkEnd w:id="26"/>
            <w:r>
              <w:t xml:space="preserve"> Rpts</w:t>
            </w:r>
          </w:p>
        </w:tc>
      </w:tr>
      <w:tr w:rsidR="00E50A74" w:rsidRPr="0098262F" w14:paraId="0DC82ADD" w14:textId="1F913EC5" w:rsidTr="79174808">
        <w:trPr>
          <w:cantSplit/>
          <w:trHeight w:val="20"/>
        </w:trPr>
        <w:tc>
          <w:tcPr>
            <w:tcW w:w="1716" w:type="pct"/>
            <w:vAlign w:val="center"/>
          </w:tcPr>
          <w:p w14:paraId="2EA18B7F" w14:textId="13B84F9D" w:rsidR="00E50A74" w:rsidRPr="0098262F" w:rsidRDefault="00E50A74" w:rsidP="00530866">
            <w:pPr>
              <w:pStyle w:val="TableText0"/>
            </w:pPr>
            <w:r>
              <w:t>AMIVANTAMAB</w:t>
            </w:r>
          </w:p>
        </w:tc>
        <w:tc>
          <w:tcPr>
            <w:tcW w:w="1094" w:type="pct"/>
            <w:vAlign w:val="center"/>
          </w:tcPr>
          <w:p w14:paraId="06715AB0" w14:textId="45DAB797" w:rsidR="00E50A74" w:rsidRPr="00507E07" w:rsidRDefault="00E50A74" w:rsidP="00530866">
            <w:pPr>
              <w:pStyle w:val="TableText0"/>
              <w:jc w:val="center"/>
              <w:rPr>
                <w:b/>
                <w:bCs w:val="0"/>
                <w:u w:val="single"/>
              </w:rPr>
            </w:pPr>
            <w:r w:rsidRPr="00507E07">
              <w:rPr>
                <w:b/>
                <w:bCs w:val="0"/>
                <w:u w:val="single"/>
              </w:rPr>
              <w:t>Public</w:t>
            </w:r>
            <w:r>
              <w:rPr>
                <w:b/>
                <w:bCs w:val="0"/>
                <w:u w:val="single"/>
              </w:rPr>
              <w:t xml:space="preserve"> prices</w:t>
            </w:r>
          </w:p>
          <w:p w14:paraId="45B0B35B" w14:textId="0A4D9A07" w:rsidR="00E50A74" w:rsidRPr="0098262F" w:rsidRDefault="00E50A74" w:rsidP="00530866">
            <w:pPr>
              <w:pStyle w:val="TableText0"/>
              <w:jc w:val="center"/>
            </w:pPr>
            <w:r w:rsidRPr="003D4C83">
              <w:rPr>
                <w:rFonts w:cs="Calibri"/>
                <w:szCs w:val="20"/>
              </w:rPr>
              <w:t>$8,995.23</w:t>
            </w:r>
            <w:r w:rsidRPr="003D4C83">
              <w:t xml:space="preserve"> published</w:t>
            </w:r>
            <w:r w:rsidRPr="0098262F">
              <w:t xml:space="preserve"> </w:t>
            </w:r>
          </w:p>
          <w:p w14:paraId="26DD8459" w14:textId="6A5E0C13" w:rsidR="00E50A74" w:rsidRDefault="00E50A74" w:rsidP="00530866">
            <w:pPr>
              <w:pStyle w:val="TableText0"/>
              <w:jc w:val="center"/>
            </w:pPr>
            <w:r w:rsidRPr="008A61F8">
              <w:rPr>
                <w:rFonts w:cs="Calibri"/>
                <w:szCs w:val="20"/>
              </w:rPr>
              <w:t>$</w:t>
            </w:r>
            <w:r w:rsidR="00C87B5E" w:rsidRPr="00C87B5E">
              <w:rPr>
                <w:rFonts w:cs="Calibri"/>
                <w:sz w:val="2"/>
                <w:szCs w:val="20"/>
                <w:highlight w:val="black"/>
              </w:rPr>
              <w:t>redacted content</w:t>
            </w:r>
            <w:r w:rsidRPr="0098262F">
              <w:t xml:space="preserve"> effective </w:t>
            </w:r>
          </w:p>
          <w:p w14:paraId="1B2B1F74" w14:textId="1FAC304D" w:rsidR="00E50A74" w:rsidRDefault="00E50A74" w:rsidP="00530866">
            <w:pPr>
              <w:pStyle w:val="TableText0"/>
              <w:jc w:val="center"/>
            </w:pPr>
          </w:p>
          <w:p w14:paraId="606265CD" w14:textId="4EEAA456" w:rsidR="00E50A74" w:rsidRPr="00BB64A0" w:rsidRDefault="00E50A74" w:rsidP="00530866">
            <w:pPr>
              <w:pStyle w:val="TableText0"/>
              <w:jc w:val="center"/>
              <w:rPr>
                <w:b/>
                <w:bCs w:val="0"/>
                <w:u w:val="single"/>
              </w:rPr>
            </w:pPr>
            <w:r w:rsidRPr="00BB64A0">
              <w:rPr>
                <w:b/>
                <w:bCs w:val="0"/>
                <w:u w:val="single"/>
              </w:rPr>
              <w:t>Private</w:t>
            </w:r>
            <w:r>
              <w:rPr>
                <w:b/>
                <w:bCs w:val="0"/>
                <w:u w:val="single"/>
              </w:rPr>
              <w:t xml:space="preserve"> prices</w:t>
            </w:r>
          </w:p>
          <w:p w14:paraId="39E8604F" w14:textId="7252682E" w:rsidR="00E50A74" w:rsidRPr="0098262F" w:rsidRDefault="00E50A74" w:rsidP="00530866">
            <w:pPr>
              <w:pStyle w:val="TableText0"/>
              <w:jc w:val="center"/>
            </w:pPr>
            <w:r w:rsidRPr="008A61F8">
              <w:rPr>
                <w:rFonts w:cs="Calibri"/>
                <w:szCs w:val="20"/>
              </w:rPr>
              <w:t>$9,165.56</w:t>
            </w:r>
            <w:r w:rsidRPr="0098262F">
              <w:t xml:space="preserve"> published </w:t>
            </w:r>
          </w:p>
          <w:p w14:paraId="22C393B0" w14:textId="2DF8FE4C" w:rsidR="00E50A74" w:rsidRPr="0098262F" w:rsidRDefault="00E50A74" w:rsidP="00530866">
            <w:pPr>
              <w:pStyle w:val="TableText0"/>
              <w:jc w:val="center"/>
            </w:pPr>
            <w:r w:rsidRPr="008A61F8">
              <w:rPr>
                <w:rFonts w:cs="Calibri"/>
                <w:szCs w:val="20"/>
              </w:rPr>
              <w:t>$</w:t>
            </w:r>
            <w:r w:rsidR="00C87B5E" w:rsidRPr="00C87B5E">
              <w:rPr>
                <w:rFonts w:cs="Calibri"/>
                <w:sz w:val="2"/>
                <w:szCs w:val="20"/>
                <w:highlight w:val="black"/>
              </w:rPr>
              <w:t>redacted content</w:t>
            </w:r>
            <w:r w:rsidRPr="0098262F">
              <w:t xml:space="preserve"> effective </w:t>
            </w:r>
          </w:p>
        </w:tc>
        <w:tc>
          <w:tcPr>
            <w:tcW w:w="1094" w:type="pct"/>
            <w:vAlign w:val="center"/>
          </w:tcPr>
          <w:p w14:paraId="44058A5F" w14:textId="7889CFB7" w:rsidR="00E50A74" w:rsidRPr="0098262F" w:rsidRDefault="00E50A74" w:rsidP="00530866">
            <w:pPr>
              <w:pStyle w:val="TableText0"/>
              <w:jc w:val="center"/>
            </w:pPr>
            <w:r>
              <w:t>2</w:t>
            </w:r>
            <w:r w:rsidR="00CD6572">
              <w:t>,</w:t>
            </w:r>
            <w:r>
              <w:t>100 mg</w:t>
            </w:r>
          </w:p>
        </w:tc>
        <w:tc>
          <w:tcPr>
            <w:tcW w:w="1096" w:type="pct"/>
            <w:vAlign w:val="center"/>
          </w:tcPr>
          <w:p w14:paraId="239A4AA3" w14:textId="4D4C1E14" w:rsidR="00E50A74" w:rsidRDefault="00E50A74" w:rsidP="00530866">
            <w:pPr>
              <w:pStyle w:val="TableText0"/>
              <w:jc w:val="center"/>
            </w:pPr>
            <w:r>
              <w:t>5 (initial)</w:t>
            </w:r>
          </w:p>
          <w:p w14:paraId="712E06CF" w14:textId="122B3B5E" w:rsidR="00E50A74" w:rsidRPr="0098262F" w:rsidRDefault="00E50A74" w:rsidP="00530866">
            <w:pPr>
              <w:pStyle w:val="TableText0"/>
              <w:jc w:val="center"/>
            </w:pPr>
            <w:r>
              <w:t>7 (continuing)</w:t>
            </w:r>
          </w:p>
        </w:tc>
      </w:tr>
      <w:tr w:rsidR="00E50A74" w:rsidRPr="0098262F" w14:paraId="3778AC15" w14:textId="5730E594" w:rsidTr="79174808">
        <w:trPr>
          <w:cantSplit/>
          <w:trHeight w:val="20"/>
        </w:trPr>
        <w:tc>
          <w:tcPr>
            <w:tcW w:w="5000" w:type="pct"/>
            <w:gridSpan w:val="4"/>
            <w:vAlign w:val="center"/>
          </w:tcPr>
          <w:p w14:paraId="532116E8" w14:textId="2292075B" w:rsidR="00E50A74" w:rsidRPr="0098262F" w:rsidRDefault="00E50A74" w:rsidP="00530866">
            <w:pPr>
              <w:keepNext/>
              <w:keepLines/>
              <w:rPr>
                <w:b/>
              </w:rPr>
            </w:pPr>
            <w:r w:rsidRPr="0098262F">
              <w:rPr>
                <w:rFonts w:ascii="Arial Narrow" w:eastAsiaTheme="majorEastAsia" w:hAnsi="Arial Narrow" w:cs="Times New Roman"/>
                <w:b/>
                <w:sz w:val="20"/>
              </w:rPr>
              <w:t>Available brands</w:t>
            </w:r>
            <w:r w:rsidRPr="0098262F">
              <w:rPr>
                <w:b/>
              </w:rPr>
              <w:t xml:space="preserve"> </w:t>
            </w:r>
          </w:p>
        </w:tc>
      </w:tr>
      <w:tr w:rsidR="00E50A74" w:rsidRPr="0098262F" w14:paraId="058C3B66" w14:textId="54ED79C9" w:rsidTr="79174808">
        <w:trPr>
          <w:cantSplit/>
          <w:trHeight w:val="20"/>
        </w:trPr>
        <w:tc>
          <w:tcPr>
            <w:tcW w:w="5000" w:type="pct"/>
            <w:gridSpan w:val="4"/>
            <w:vAlign w:val="center"/>
          </w:tcPr>
          <w:p w14:paraId="2B6E6764" w14:textId="16C91C8A" w:rsidR="00E50A74" w:rsidRPr="008A61F8" w:rsidRDefault="00E50A74" w:rsidP="00530866">
            <w:pPr>
              <w:keepNext/>
              <w:keepLines/>
              <w:rPr>
                <w:rFonts w:ascii="Arial Narrow" w:hAnsi="Arial Narrow"/>
                <w:color w:val="0066FF"/>
                <w:sz w:val="20"/>
                <w:szCs w:val="20"/>
              </w:rPr>
            </w:pPr>
            <w:r w:rsidRPr="008A61F8">
              <w:rPr>
                <w:rFonts w:ascii="Arial Narrow" w:hAnsi="Arial Narrow" w:cs="Calibri"/>
                <w:sz w:val="20"/>
                <w:szCs w:val="20"/>
              </w:rPr>
              <w:t>Rybrevant</w:t>
            </w:r>
          </w:p>
          <w:p w14:paraId="45811EED" w14:textId="2D87FC79" w:rsidR="00E50A74" w:rsidRPr="0098262F" w:rsidRDefault="00E50A74" w:rsidP="00530866">
            <w:pPr>
              <w:pStyle w:val="TableText0"/>
            </w:pPr>
            <w:r>
              <w:t>Amivantamab, 350 mg solution for infusion, 1 vial</w:t>
            </w:r>
          </w:p>
        </w:tc>
      </w:tr>
    </w:tbl>
    <w:p w14:paraId="6FCF6E9A" w14:textId="3565E6F7" w:rsidR="00E50A74" w:rsidRDefault="00E50A74" w:rsidP="0053086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E50A74" w:rsidRPr="0098262F" w14:paraId="4DD2583F" w14:textId="22F19D5D" w:rsidTr="6631623C">
        <w:trPr>
          <w:cantSplit/>
          <w:trHeight w:val="20"/>
        </w:trPr>
        <w:tc>
          <w:tcPr>
            <w:tcW w:w="5000" w:type="pct"/>
          </w:tcPr>
          <w:p w14:paraId="03D2ECC8" w14:textId="2FE5EE3E" w:rsidR="00E50A74" w:rsidRPr="0098262F" w:rsidRDefault="00E50A74" w:rsidP="00530866">
            <w:pPr>
              <w:pStyle w:val="TableText0"/>
            </w:pPr>
            <w:r w:rsidRPr="0098262F">
              <w:rPr>
                <w:b/>
              </w:rPr>
              <w:t xml:space="preserve">Category / Program: </w:t>
            </w:r>
            <w:r w:rsidRPr="0098262F">
              <w:t>Section 100/Section 100 – Efficient Funding of Chemotherapy</w:t>
            </w:r>
          </w:p>
        </w:tc>
      </w:tr>
      <w:tr w:rsidR="00E50A74" w:rsidRPr="0098262F" w14:paraId="4FF7B8BF" w14:textId="538A09AF" w:rsidTr="6631623C">
        <w:trPr>
          <w:cantSplit/>
          <w:trHeight w:val="20"/>
        </w:trPr>
        <w:tc>
          <w:tcPr>
            <w:tcW w:w="5000" w:type="pct"/>
          </w:tcPr>
          <w:p w14:paraId="19904D71" w14:textId="4A7A5E8C" w:rsidR="00E50A74" w:rsidRPr="0098262F" w:rsidRDefault="00E50A74" w:rsidP="00530866">
            <w:pPr>
              <w:pStyle w:val="TableText0"/>
              <w:rPr>
                <w:b/>
              </w:rPr>
            </w:pPr>
            <w:r w:rsidRPr="0098262F">
              <w:rPr>
                <w:b/>
              </w:rPr>
              <w:t xml:space="preserve">Prescriber type: </w:t>
            </w:r>
            <w:r w:rsidRPr="0098262F">
              <w:rPr>
                <w:bCs w:val="0"/>
              </w:rPr>
              <w:fldChar w:fldCharType="begin">
                <w:ffData>
                  <w:name w:val="Check1"/>
                  <w:enabled/>
                  <w:calcOnExit w:val="0"/>
                  <w:checkBox>
                    <w:sizeAuto/>
                    <w:default w:val="0"/>
                  </w:checkBox>
                </w:ffData>
              </w:fldChar>
            </w:r>
            <w:r w:rsidRPr="0098262F">
              <w:instrText xml:space="preserve"> FORMCHECKBOX </w:instrText>
            </w:r>
            <w:r w:rsidRPr="0098262F">
              <w:rPr>
                <w:bCs w:val="0"/>
              </w:rPr>
            </w:r>
            <w:r w:rsidRPr="0098262F">
              <w:rPr>
                <w:bCs w:val="0"/>
              </w:rPr>
              <w:fldChar w:fldCharType="separate"/>
            </w:r>
            <w:r w:rsidRPr="0098262F">
              <w:rPr>
                <w:bCs w:val="0"/>
              </w:rPr>
              <w:fldChar w:fldCharType="end"/>
            </w:r>
            <w:r w:rsidRPr="0098262F">
              <w:t xml:space="preserve">Dental </w:t>
            </w:r>
            <w:r>
              <w:rPr>
                <w:bCs w:val="0"/>
              </w:rPr>
              <w:fldChar w:fldCharType="begin">
                <w:ffData>
                  <w:name w:val=""/>
                  <w:enabled/>
                  <w:calcOnExit w:val="0"/>
                  <w:checkBox>
                    <w:sizeAuto/>
                    <w:default w:val="1"/>
                  </w:checkBox>
                </w:ffData>
              </w:fldChar>
            </w:r>
            <w:r>
              <w:instrText xml:space="preserve"> FORMCHECKBOX </w:instrText>
            </w:r>
            <w:r>
              <w:rPr>
                <w:bCs w:val="0"/>
              </w:rPr>
            </w:r>
            <w:r>
              <w:rPr>
                <w:bCs w:val="0"/>
              </w:rPr>
              <w:fldChar w:fldCharType="separate"/>
            </w:r>
            <w:r>
              <w:rPr>
                <w:bCs w:val="0"/>
              </w:rPr>
              <w:fldChar w:fldCharType="end"/>
            </w:r>
            <w:r w:rsidRPr="0098262F">
              <w:t xml:space="preserve">Medical Practitioners </w:t>
            </w:r>
            <w:r w:rsidRPr="0098262F">
              <w:rPr>
                <w:bCs w:val="0"/>
              </w:rPr>
              <w:fldChar w:fldCharType="begin">
                <w:ffData>
                  <w:name w:val="Check3"/>
                  <w:enabled/>
                  <w:calcOnExit w:val="0"/>
                  <w:checkBox>
                    <w:sizeAuto/>
                    <w:default w:val="0"/>
                  </w:checkBox>
                </w:ffData>
              </w:fldChar>
            </w:r>
            <w:r w:rsidRPr="0098262F">
              <w:instrText xml:space="preserve"> FORMCHECKBOX </w:instrText>
            </w:r>
            <w:r w:rsidRPr="0098262F">
              <w:rPr>
                <w:bCs w:val="0"/>
              </w:rPr>
            </w:r>
            <w:r w:rsidRPr="0098262F">
              <w:rPr>
                <w:bCs w:val="0"/>
              </w:rPr>
              <w:fldChar w:fldCharType="separate"/>
            </w:r>
            <w:r w:rsidRPr="0098262F">
              <w:rPr>
                <w:bCs w:val="0"/>
              </w:rPr>
              <w:fldChar w:fldCharType="end"/>
            </w:r>
            <w:r w:rsidRPr="0098262F">
              <w:t xml:space="preserve">Nurse practitioners </w:t>
            </w:r>
            <w:r w:rsidRPr="0098262F">
              <w:rPr>
                <w:bCs w:val="0"/>
              </w:rPr>
              <w:fldChar w:fldCharType="begin">
                <w:ffData>
                  <w:name w:val=""/>
                  <w:enabled/>
                  <w:calcOnExit w:val="0"/>
                  <w:checkBox>
                    <w:sizeAuto/>
                    <w:default w:val="0"/>
                  </w:checkBox>
                </w:ffData>
              </w:fldChar>
            </w:r>
            <w:r w:rsidRPr="0098262F">
              <w:instrText xml:space="preserve"> FORMCHECKBOX </w:instrText>
            </w:r>
            <w:r w:rsidRPr="0098262F">
              <w:rPr>
                <w:bCs w:val="0"/>
              </w:rPr>
            </w:r>
            <w:r w:rsidRPr="0098262F">
              <w:rPr>
                <w:bCs w:val="0"/>
              </w:rPr>
              <w:fldChar w:fldCharType="separate"/>
            </w:r>
            <w:r w:rsidRPr="0098262F">
              <w:rPr>
                <w:bCs w:val="0"/>
              </w:rPr>
              <w:fldChar w:fldCharType="end"/>
            </w:r>
            <w:r w:rsidRPr="0098262F">
              <w:t xml:space="preserve">Optometrists </w:t>
            </w:r>
            <w:r w:rsidRPr="0098262F">
              <w:rPr>
                <w:bCs w:val="0"/>
              </w:rPr>
              <w:fldChar w:fldCharType="begin">
                <w:ffData>
                  <w:name w:val="Check5"/>
                  <w:enabled/>
                  <w:calcOnExit w:val="0"/>
                  <w:checkBox>
                    <w:sizeAuto/>
                    <w:default w:val="0"/>
                  </w:checkBox>
                </w:ffData>
              </w:fldChar>
            </w:r>
            <w:r w:rsidRPr="0098262F">
              <w:instrText xml:space="preserve"> FORMCHECKBOX </w:instrText>
            </w:r>
            <w:r w:rsidRPr="0098262F">
              <w:rPr>
                <w:bCs w:val="0"/>
              </w:rPr>
            </w:r>
            <w:r w:rsidRPr="0098262F">
              <w:rPr>
                <w:bCs w:val="0"/>
              </w:rPr>
              <w:fldChar w:fldCharType="separate"/>
            </w:r>
            <w:r w:rsidRPr="0098262F">
              <w:rPr>
                <w:bCs w:val="0"/>
              </w:rPr>
              <w:fldChar w:fldCharType="end"/>
            </w:r>
          </w:p>
        </w:tc>
      </w:tr>
      <w:tr w:rsidR="00E50A74" w:rsidRPr="0098262F" w14:paraId="190EA63B" w14:textId="53818809" w:rsidTr="6631623C">
        <w:trPr>
          <w:cantSplit/>
          <w:trHeight w:val="20"/>
        </w:trPr>
        <w:tc>
          <w:tcPr>
            <w:tcW w:w="5000" w:type="pct"/>
          </w:tcPr>
          <w:p w14:paraId="6D776946" w14:textId="102E18FE" w:rsidR="00E50A74" w:rsidRPr="0098262F" w:rsidRDefault="00E50A74" w:rsidP="00530866">
            <w:pPr>
              <w:pStyle w:val="TableText0"/>
              <w:rPr>
                <w:rFonts w:eastAsia="Times New Roman"/>
              </w:rPr>
            </w:pPr>
            <w:r w:rsidRPr="0098262F">
              <w:rPr>
                <w:b/>
              </w:rPr>
              <w:t xml:space="preserve">Restriction type: </w:t>
            </w:r>
            <w:r>
              <w:rPr>
                <w:bCs w:val="0"/>
              </w:rPr>
              <w:fldChar w:fldCharType="begin">
                <w:ffData>
                  <w:name w:val="Check3"/>
                  <w:enabled/>
                  <w:calcOnExit w:val="0"/>
                  <w:checkBox>
                    <w:sizeAuto/>
                    <w:default w:val="1"/>
                  </w:checkBox>
                </w:ffData>
              </w:fldChar>
            </w:r>
            <w:r>
              <w:rPr>
                <w:rFonts w:eastAsia="Times New Roman"/>
              </w:rPr>
              <w:instrText xml:space="preserve"> FORMCHECKBOX </w:instrText>
            </w:r>
            <w:r>
              <w:rPr>
                <w:bCs w:val="0"/>
              </w:rPr>
            </w:r>
            <w:r>
              <w:rPr>
                <w:bCs w:val="0"/>
              </w:rPr>
              <w:fldChar w:fldCharType="separate"/>
            </w:r>
            <w:r>
              <w:rPr>
                <w:bCs w:val="0"/>
              </w:rPr>
              <w:fldChar w:fldCharType="end"/>
            </w:r>
            <w:r w:rsidRPr="0098262F">
              <w:rPr>
                <w:rFonts w:eastAsia="Times New Roman"/>
              </w:rPr>
              <w:t xml:space="preserve">Authority Required (telephone/online PBS Authorities system) </w:t>
            </w:r>
          </w:p>
        </w:tc>
      </w:tr>
      <w:tr w:rsidR="00E50A74" w:rsidRPr="0098262F" w14:paraId="7E7892B0" w14:textId="7CDE8EF6" w:rsidTr="6631623C">
        <w:trPr>
          <w:cantSplit/>
          <w:trHeight w:val="20"/>
        </w:trPr>
        <w:tc>
          <w:tcPr>
            <w:tcW w:w="5000" w:type="pct"/>
            <w:vAlign w:val="center"/>
            <w:hideMark/>
          </w:tcPr>
          <w:p w14:paraId="620BEC64" w14:textId="3C86079B" w:rsidR="00E50A74" w:rsidRPr="0098262F" w:rsidRDefault="00E50A74" w:rsidP="00530866">
            <w:pPr>
              <w:pStyle w:val="TableText0"/>
            </w:pPr>
            <w:r w:rsidRPr="005D553A">
              <w:rPr>
                <w:b/>
              </w:rPr>
              <w:t>Indication:</w:t>
            </w:r>
            <w:r w:rsidRPr="005D553A">
              <w:t xml:space="preserve"> Stage IIIB/ IIIC (locally advanced) or Stage IV (metastatic) non-small cell lung cancer (NSCLC)</w:t>
            </w:r>
          </w:p>
        </w:tc>
      </w:tr>
      <w:tr w:rsidR="00E50A74" w:rsidRPr="0098262F" w14:paraId="0F6AF4F3" w14:textId="2147E005" w:rsidTr="6631623C">
        <w:trPr>
          <w:cantSplit/>
          <w:trHeight w:val="20"/>
        </w:trPr>
        <w:tc>
          <w:tcPr>
            <w:tcW w:w="5000" w:type="pct"/>
            <w:vAlign w:val="center"/>
            <w:hideMark/>
          </w:tcPr>
          <w:p w14:paraId="72A06C63" w14:textId="30F0320C" w:rsidR="00E50A74" w:rsidRPr="0098262F" w:rsidRDefault="00E50A74" w:rsidP="00530866">
            <w:pPr>
              <w:pStyle w:val="TableText0"/>
            </w:pPr>
            <w:r w:rsidRPr="0098262F">
              <w:rPr>
                <w:b/>
              </w:rPr>
              <w:t>Treatment Phas</w:t>
            </w:r>
            <w:r w:rsidRPr="008714CC">
              <w:rPr>
                <w:b/>
              </w:rPr>
              <w:t>e:</w:t>
            </w:r>
            <w:r w:rsidRPr="008714CC">
              <w:t xml:space="preserve"> </w:t>
            </w:r>
            <w:r w:rsidRPr="008714CC">
              <w:rPr>
                <w:bCs w:val="0"/>
              </w:rPr>
              <w:t>I</w:t>
            </w:r>
            <w:r w:rsidRPr="008714CC">
              <w:t>nitial</w:t>
            </w:r>
            <w:r w:rsidR="00734000">
              <w:t xml:space="preserve"> </w:t>
            </w:r>
            <w:r w:rsidR="00734000" w:rsidRPr="007319C0">
              <w:rPr>
                <w:i/>
                <w:iCs/>
                <w:szCs w:val="20"/>
              </w:rPr>
              <w:t>treatment</w:t>
            </w:r>
            <w:r w:rsidR="00734000">
              <w:rPr>
                <w:i/>
                <w:iCs/>
                <w:szCs w:val="20"/>
              </w:rPr>
              <w:t xml:space="preserve"> – For patients whose condition progressed on or after osimertinib therapy</w:t>
            </w:r>
          </w:p>
        </w:tc>
      </w:tr>
      <w:tr w:rsidR="00E50A74" w:rsidRPr="0098262F" w14:paraId="63221E25" w14:textId="1C1EAEDB" w:rsidTr="6631623C">
        <w:trPr>
          <w:cantSplit/>
          <w:trHeight w:val="20"/>
        </w:trPr>
        <w:tc>
          <w:tcPr>
            <w:tcW w:w="5000" w:type="pct"/>
            <w:vAlign w:val="center"/>
            <w:hideMark/>
          </w:tcPr>
          <w:p w14:paraId="1543BFCF" w14:textId="3FBEF736" w:rsidR="00E50A74" w:rsidRPr="0098262F" w:rsidRDefault="00E50A74" w:rsidP="00530866">
            <w:pPr>
              <w:pStyle w:val="TableText0"/>
            </w:pPr>
            <w:r w:rsidRPr="0098262F">
              <w:rPr>
                <w:b/>
              </w:rPr>
              <w:t>Clinical criteria:</w:t>
            </w:r>
          </w:p>
        </w:tc>
      </w:tr>
      <w:tr w:rsidR="00E50A74" w:rsidRPr="0098262F" w14:paraId="1831A71A" w14:textId="637B085F" w:rsidTr="6631623C">
        <w:trPr>
          <w:cantSplit/>
          <w:trHeight w:val="20"/>
        </w:trPr>
        <w:tc>
          <w:tcPr>
            <w:tcW w:w="5000" w:type="pct"/>
            <w:vAlign w:val="center"/>
            <w:hideMark/>
          </w:tcPr>
          <w:p w14:paraId="2EEB6941" w14:textId="4C54923D" w:rsidR="00E50A74" w:rsidRPr="0098262F" w:rsidRDefault="00E50A74" w:rsidP="00530866">
            <w:pPr>
              <w:pStyle w:val="TableText0"/>
            </w:pPr>
            <w:r w:rsidRPr="003370FC">
              <w:rPr>
                <w:rFonts w:eastAsia="Calibri" w:cs="Arial"/>
                <w:kern w:val="24"/>
                <w:szCs w:val="20"/>
              </w:rPr>
              <w:t>Patient must have/have had a WHO performance status of no greater than 2 at treatment initiation with this drug for this condition</w:t>
            </w:r>
          </w:p>
        </w:tc>
      </w:tr>
      <w:tr w:rsidR="00E50A74" w:rsidRPr="0098262F" w14:paraId="272B451D" w14:textId="0E51F49F" w:rsidTr="6631623C">
        <w:trPr>
          <w:cantSplit/>
          <w:trHeight w:val="20"/>
        </w:trPr>
        <w:tc>
          <w:tcPr>
            <w:tcW w:w="5000" w:type="pct"/>
            <w:vAlign w:val="center"/>
            <w:hideMark/>
          </w:tcPr>
          <w:p w14:paraId="43E444AC" w14:textId="65B5E653" w:rsidR="00E50A74" w:rsidRPr="0098262F" w:rsidRDefault="00E50A74" w:rsidP="00530866">
            <w:pPr>
              <w:pStyle w:val="TableText0"/>
            </w:pPr>
            <w:r w:rsidRPr="0098262F">
              <w:rPr>
                <w:b/>
              </w:rPr>
              <w:t>AND</w:t>
            </w:r>
          </w:p>
        </w:tc>
      </w:tr>
      <w:tr w:rsidR="00E50A74" w:rsidRPr="0098262F" w14:paraId="2B32113D" w14:textId="272F8D9A" w:rsidTr="6631623C">
        <w:trPr>
          <w:cantSplit/>
          <w:trHeight w:val="20"/>
        </w:trPr>
        <w:tc>
          <w:tcPr>
            <w:tcW w:w="5000" w:type="pct"/>
            <w:vAlign w:val="center"/>
            <w:hideMark/>
          </w:tcPr>
          <w:p w14:paraId="42074014" w14:textId="2D9423D6" w:rsidR="00E50A74" w:rsidRPr="0098262F" w:rsidRDefault="00E50A74" w:rsidP="00530866">
            <w:pPr>
              <w:pStyle w:val="TableText0"/>
            </w:pPr>
            <w:r w:rsidRPr="0098262F">
              <w:rPr>
                <w:b/>
              </w:rPr>
              <w:t>Clinical criteria:</w:t>
            </w:r>
          </w:p>
        </w:tc>
      </w:tr>
      <w:tr w:rsidR="00E50A74" w:rsidRPr="0098262F" w14:paraId="43F6C38E" w14:textId="327717BD" w:rsidTr="6631623C">
        <w:trPr>
          <w:cantSplit/>
          <w:trHeight w:val="20"/>
        </w:trPr>
        <w:tc>
          <w:tcPr>
            <w:tcW w:w="5000" w:type="pct"/>
            <w:vAlign w:val="center"/>
            <w:hideMark/>
          </w:tcPr>
          <w:p w14:paraId="3ACC200F" w14:textId="5E6A637A" w:rsidR="00E50A74" w:rsidRPr="0098262F" w:rsidRDefault="00E50A74" w:rsidP="00530866">
            <w:pPr>
              <w:pStyle w:val="TableText0"/>
              <w:rPr>
                <w:color w:val="0066FF"/>
              </w:rPr>
            </w:pPr>
            <w:r w:rsidRPr="00735EF9">
              <w:rPr>
                <w:rFonts w:eastAsiaTheme="minorEastAsia" w:cs="Arial"/>
                <w:kern w:val="24"/>
                <w:szCs w:val="20"/>
              </w:rPr>
              <w:t>Patient must not have previously received this drug for this condition; OR</w:t>
            </w:r>
          </w:p>
        </w:tc>
      </w:tr>
      <w:tr w:rsidR="00E50A74" w:rsidRPr="0098262F" w14:paraId="0D3C5500" w14:textId="4849CD8C" w:rsidTr="6631623C">
        <w:trPr>
          <w:cantSplit/>
          <w:trHeight w:val="20"/>
        </w:trPr>
        <w:tc>
          <w:tcPr>
            <w:tcW w:w="5000" w:type="pct"/>
          </w:tcPr>
          <w:p w14:paraId="6CB8EBD6" w14:textId="4647B724" w:rsidR="00E50A74" w:rsidRPr="00735EF9" w:rsidRDefault="00E50A74" w:rsidP="00530866">
            <w:pPr>
              <w:pStyle w:val="TableText0"/>
              <w:rPr>
                <w:rFonts w:eastAsiaTheme="minorEastAsia" w:cs="Arial"/>
                <w:kern w:val="24"/>
              </w:rPr>
            </w:pPr>
            <w:r w:rsidRPr="6631623C">
              <w:rPr>
                <w:rFonts w:eastAsiaTheme="minorEastAsia" w:cs="Arial"/>
                <w:kern w:val="24"/>
              </w:rPr>
              <w:t xml:space="preserve">Patient must be each of: (i) currently receiving non-PBS-subsidised supply for this drug for this PBS indication, (ii) free of disease progression since </w:t>
            </w:r>
            <w:bookmarkStart w:id="27" w:name="_Int_CtdjDnHu"/>
            <w:r w:rsidRPr="6631623C">
              <w:rPr>
                <w:rFonts w:eastAsiaTheme="minorEastAsia" w:cs="Arial"/>
                <w:kern w:val="24"/>
              </w:rPr>
              <w:t>commencing</w:t>
            </w:r>
            <w:bookmarkEnd w:id="27"/>
            <w:r w:rsidRPr="6631623C">
              <w:rPr>
                <w:rFonts w:eastAsiaTheme="minorEastAsia" w:cs="Arial"/>
                <w:kern w:val="24"/>
              </w:rPr>
              <w:t xml:space="preserve"> non-PBS-subsidised supply.</w:t>
            </w:r>
          </w:p>
        </w:tc>
      </w:tr>
      <w:tr w:rsidR="00E50A74" w:rsidRPr="0098262F" w14:paraId="2BA75B68" w14:textId="79A88A50" w:rsidTr="6631623C">
        <w:trPr>
          <w:cantSplit/>
          <w:trHeight w:val="20"/>
        </w:trPr>
        <w:tc>
          <w:tcPr>
            <w:tcW w:w="5000" w:type="pct"/>
            <w:vAlign w:val="center"/>
            <w:hideMark/>
          </w:tcPr>
          <w:p w14:paraId="5E9595F9" w14:textId="05E887C4" w:rsidR="00E50A74" w:rsidRPr="0098262F" w:rsidRDefault="00E50A74" w:rsidP="00530866">
            <w:pPr>
              <w:pStyle w:val="TableText0"/>
            </w:pPr>
            <w:r w:rsidRPr="00FD1B3C">
              <w:rPr>
                <w:b/>
                <w:strike/>
              </w:rPr>
              <w:t>Treatment</w:t>
            </w:r>
            <w:r w:rsidR="00FD1B3C">
              <w:rPr>
                <w:b/>
              </w:rPr>
              <w:t xml:space="preserve"> </w:t>
            </w:r>
            <w:r w:rsidR="00FD1B3C" w:rsidRPr="00FD1B3C">
              <w:rPr>
                <w:b/>
                <w:i/>
                <w:iCs/>
              </w:rPr>
              <w:t>Clinical</w:t>
            </w:r>
            <w:r w:rsidR="00FD1B3C" w:rsidRPr="0098262F">
              <w:rPr>
                <w:b/>
              </w:rPr>
              <w:t xml:space="preserve"> </w:t>
            </w:r>
            <w:r w:rsidRPr="0098262F">
              <w:rPr>
                <w:b/>
              </w:rPr>
              <w:t>criteria:</w:t>
            </w:r>
          </w:p>
        </w:tc>
      </w:tr>
      <w:tr w:rsidR="00E50A74" w:rsidRPr="0098262F" w14:paraId="659CB609" w14:textId="23597887" w:rsidTr="6631623C">
        <w:trPr>
          <w:cantSplit/>
          <w:trHeight w:val="20"/>
        </w:trPr>
        <w:tc>
          <w:tcPr>
            <w:tcW w:w="5000" w:type="pct"/>
            <w:vAlign w:val="center"/>
            <w:hideMark/>
          </w:tcPr>
          <w:p w14:paraId="4E6A787A" w14:textId="278A3E20" w:rsidR="00E50A74" w:rsidRPr="0098262F" w:rsidRDefault="00E50A74" w:rsidP="00530866">
            <w:pPr>
              <w:pStyle w:val="TableText0"/>
              <w:rPr>
                <w:i/>
                <w:iCs/>
              </w:rPr>
            </w:pPr>
            <w:r w:rsidRPr="6631623C">
              <w:rPr>
                <w:rFonts w:eastAsia="Calibri" w:cs="Times New Roman"/>
              </w:rPr>
              <w:t xml:space="preserve">The treatment must be/have been </w:t>
            </w:r>
            <w:bookmarkStart w:id="28" w:name="_Int_pKmvexT7"/>
            <w:r w:rsidRPr="6631623C">
              <w:rPr>
                <w:rFonts w:eastAsia="Calibri" w:cs="Times New Roman"/>
              </w:rPr>
              <w:t>initiated</w:t>
            </w:r>
            <w:bookmarkEnd w:id="28"/>
            <w:r w:rsidRPr="6631623C">
              <w:rPr>
                <w:rFonts w:eastAsia="Calibri" w:cs="Times New Roman"/>
              </w:rPr>
              <w:t xml:space="preserve"> in combination with platinum-based chemotherapy (</w:t>
            </w:r>
            <w:r w:rsidR="00CE0A18" w:rsidRPr="6631623C">
              <w:rPr>
                <w:rFonts w:eastAsia="Calibri" w:cs="Times New Roman"/>
              </w:rPr>
              <w:t>PDC</w:t>
            </w:r>
            <w:r w:rsidRPr="6631623C">
              <w:rPr>
                <w:rFonts w:eastAsia="Calibri" w:cs="Times New Roman"/>
              </w:rPr>
              <w:t>)</w:t>
            </w:r>
          </w:p>
        </w:tc>
      </w:tr>
      <w:tr w:rsidR="00E50A74" w:rsidRPr="0098262F" w14:paraId="53C93C14" w14:textId="3FDA3CCC" w:rsidTr="6631623C">
        <w:trPr>
          <w:cantSplit/>
          <w:trHeight w:val="20"/>
        </w:trPr>
        <w:tc>
          <w:tcPr>
            <w:tcW w:w="5000" w:type="pct"/>
            <w:vAlign w:val="center"/>
            <w:hideMark/>
          </w:tcPr>
          <w:p w14:paraId="48006FAE" w14:textId="25EC0933" w:rsidR="00E50A74" w:rsidRPr="0098262F" w:rsidRDefault="00E50A74" w:rsidP="00530866">
            <w:pPr>
              <w:pStyle w:val="TableText0"/>
            </w:pPr>
            <w:r w:rsidRPr="002859B4">
              <w:rPr>
                <w:b/>
                <w:strike/>
              </w:rPr>
              <w:t>Population</w:t>
            </w:r>
            <w:r w:rsidRPr="0098262F">
              <w:rPr>
                <w:b/>
              </w:rPr>
              <w:t xml:space="preserve"> </w:t>
            </w:r>
            <w:r w:rsidR="002859B4" w:rsidRPr="002859B4">
              <w:rPr>
                <w:b/>
                <w:i/>
                <w:iCs/>
              </w:rPr>
              <w:t>Clinical</w:t>
            </w:r>
            <w:r w:rsidR="002859B4">
              <w:rPr>
                <w:b/>
              </w:rPr>
              <w:t xml:space="preserve"> </w:t>
            </w:r>
            <w:r w:rsidRPr="0098262F">
              <w:rPr>
                <w:b/>
              </w:rPr>
              <w:t>criteria:</w:t>
            </w:r>
          </w:p>
        </w:tc>
      </w:tr>
      <w:tr w:rsidR="00E50A74" w:rsidRPr="0098262F" w14:paraId="694083E0" w14:textId="0BA8CF0C" w:rsidTr="6631623C">
        <w:trPr>
          <w:cantSplit/>
          <w:trHeight w:val="20"/>
        </w:trPr>
        <w:tc>
          <w:tcPr>
            <w:tcW w:w="5000" w:type="pct"/>
            <w:vAlign w:val="center"/>
          </w:tcPr>
          <w:p w14:paraId="6A12AB3F" w14:textId="0AAAAA05" w:rsidR="00E50A74" w:rsidRPr="0098262F" w:rsidRDefault="00E50A74" w:rsidP="00530866">
            <w:pPr>
              <w:pStyle w:val="TableText0"/>
              <w:rPr>
                <w:color w:val="0066FF"/>
              </w:rPr>
            </w:pPr>
            <w:r>
              <w:rPr>
                <w:rFonts w:eastAsia="Calibri" w:cs="Times New Roman"/>
              </w:rPr>
              <w:t xml:space="preserve">Patient must have </w:t>
            </w:r>
            <w:r w:rsidRPr="00E21E47">
              <w:rPr>
                <w:rFonts w:eastAsia="Calibri" w:cs="Times New Roman"/>
                <w:strike/>
              </w:rPr>
              <w:t>progressive</w:t>
            </w:r>
            <w:r>
              <w:rPr>
                <w:rFonts w:eastAsia="Calibri" w:cs="Times New Roman"/>
              </w:rPr>
              <w:t xml:space="preserve"> disease </w:t>
            </w:r>
            <w:r w:rsidR="00E21E47" w:rsidRPr="00E21E47">
              <w:rPr>
                <w:rFonts w:eastAsia="Calibri" w:cs="Times New Roman"/>
                <w:i/>
                <w:iCs/>
              </w:rPr>
              <w:t>progression</w:t>
            </w:r>
            <w:r w:rsidR="00E21E47">
              <w:rPr>
                <w:rFonts w:eastAsia="Calibri" w:cs="Times New Roman"/>
              </w:rPr>
              <w:t xml:space="preserve"> </w:t>
            </w:r>
            <w:r>
              <w:rPr>
                <w:rFonts w:eastAsia="Calibri" w:cs="Times New Roman"/>
              </w:rPr>
              <w:t>on or after osimertinib</w:t>
            </w:r>
          </w:p>
        </w:tc>
      </w:tr>
      <w:tr w:rsidR="00E50A74" w:rsidRPr="0098262F" w14:paraId="07DDFFA9" w14:textId="068DB8E5" w:rsidTr="6631623C">
        <w:trPr>
          <w:cantSplit/>
          <w:trHeight w:val="20"/>
        </w:trPr>
        <w:tc>
          <w:tcPr>
            <w:tcW w:w="5000" w:type="pct"/>
            <w:vAlign w:val="center"/>
            <w:hideMark/>
          </w:tcPr>
          <w:p w14:paraId="6B10091B" w14:textId="4F46D1CF" w:rsidR="00E50A74" w:rsidRDefault="00E50A74" w:rsidP="00530866">
            <w:pPr>
              <w:pStyle w:val="TableText0"/>
              <w:rPr>
                <w:b/>
              </w:rPr>
            </w:pPr>
            <w:r w:rsidRPr="0098262F">
              <w:rPr>
                <w:b/>
              </w:rPr>
              <w:t xml:space="preserve">Administrative Advice: </w:t>
            </w:r>
          </w:p>
          <w:p w14:paraId="613A3DC1" w14:textId="76AE42E2" w:rsidR="00E50A74" w:rsidRDefault="00E50A74" w:rsidP="00530866">
            <w:pPr>
              <w:pStyle w:val="TableText0"/>
              <w:rPr>
                <w:rFonts w:eastAsia="Calibri" w:cs="Times New Roman"/>
              </w:rPr>
            </w:pPr>
            <w:r w:rsidRPr="005C5BF9">
              <w:rPr>
                <w:rFonts w:eastAsia="Calibri" w:cs="Times New Roman"/>
              </w:rPr>
              <w:t>Applications for authorisation under this restriction may be made in real time using the Online PBS Authorities system (see www.servicesaustralia.gov.au/HPOS) or by telephone by contacting Services Australia on 1800 888 333.</w:t>
            </w:r>
          </w:p>
          <w:p w14:paraId="125FF327" w14:textId="023A8A20" w:rsidR="00E50A74" w:rsidRDefault="00E50A74" w:rsidP="00530866">
            <w:pPr>
              <w:pStyle w:val="TableText0"/>
              <w:rPr>
                <w:rFonts w:eastAsia="Calibri" w:cs="Times New Roman"/>
              </w:rPr>
            </w:pPr>
            <w:r w:rsidRPr="005C5BF9">
              <w:rPr>
                <w:rFonts w:eastAsia="Calibri" w:cs="Times New Roman"/>
              </w:rPr>
              <w:t>No increase in the maximum amount or number of units may be authorised.</w:t>
            </w:r>
          </w:p>
          <w:p w14:paraId="05FFD113" w14:textId="742FF5DF" w:rsidR="00E50A74" w:rsidRDefault="00E50A74" w:rsidP="00530866">
            <w:pPr>
              <w:pStyle w:val="TableText0"/>
              <w:rPr>
                <w:rFonts w:eastAsia="Calibri" w:cs="Times New Roman"/>
              </w:rPr>
            </w:pPr>
            <w:r w:rsidRPr="005C5BF9">
              <w:rPr>
                <w:rFonts w:eastAsia="Calibri" w:cs="Times New Roman"/>
              </w:rPr>
              <w:t>No increase in the maximum number of repeats may be authorised.</w:t>
            </w:r>
          </w:p>
          <w:p w14:paraId="42047854" w14:textId="7A0293FE" w:rsidR="00E50A74" w:rsidRDefault="00E50A74" w:rsidP="00530866">
            <w:pPr>
              <w:pStyle w:val="TableText0"/>
            </w:pPr>
            <w:r w:rsidRPr="00DE4169">
              <w:t>Special Pricing Arrangements apply</w:t>
            </w:r>
            <w:r>
              <w:t>.</w:t>
            </w:r>
          </w:p>
          <w:p w14:paraId="408911B9" w14:textId="6FFFFBFE" w:rsidR="00E50A74" w:rsidRPr="00B62079" w:rsidRDefault="00E50A74" w:rsidP="00530866">
            <w:pPr>
              <w:pStyle w:val="TableText0"/>
            </w:pPr>
            <w:r w:rsidRPr="00B62079">
              <w:t>A patient may only qualify for PBS-subsidised treatment under this restriction once.</w:t>
            </w:r>
          </w:p>
          <w:p w14:paraId="6579AC90" w14:textId="42991A2B" w:rsidR="00E50A74" w:rsidRPr="0098262F" w:rsidRDefault="00E50A74" w:rsidP="00530866">
            <w:pPr>
              <w:pStyle w:val="TableText0"/>
            </w:pPr>
            <w:r w:rsidRPr="00B62079">
              <w:t>Following completion of the initial PBS-subsidised course, further applications for treatment will be assessed under the continuing treatment restriction.</w:t>
            </w:r>
          </w:p>
        </w:tc>
      </w:tr>
    </w:tbl>
    <w:p w14:paraId="6AA5A6B9" w14:textId="1A09028A" w:rsidR="00E50A74" w:rsidRPr="0098262F" w:rsidRDefault="00E50A74" w:rsidP="00530866">
      <w:pPr>
        <w:pStyle w:val="FooterTableFigure"/>
      </w:pPr>
      <w:r w:rsidRPr="0098262F">
        <w:t xml:space="preserve">Source: </w:t>
      </w:r>
      <w:r>
        <w:t>Table 1.13, p70-71 of the submission</w:t>
      </w:r>
    </w:p>
    <w:p w14:paraId="6FF9E71D" w14:textId="66B32486" w:rsidR="00E50A74" w:rsidRPr="0098262F" w:rsidRDefault="00E50A74" w:rsidP="00530866">
      <w:pPr>
        <w:pStyle w:val="TableFigureHeading"/>
        <w:rPr>
          <w:rStyle w:val="CommentReference"/>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E50A74" w:rsidRPr="0098262F" w14:paraId="44679C84" w14:textId="759FB0B8">
        <w:trPr>
          <w:cantSplit/>
          <w:trHeight w:val="20"/>
        </w:trPr>
        <w:tc>
          <w:tcPr>
            <w:tcW w:w="5000" w:type="pct"/>
          </w:tcPr>
          <w:p w14:paraId="6124308E" w14:textId="7371F3B7" w:rsidR="00E50A74" w:rsidRPr="0098262F" w:rsidRDefault="00E50A74" w:rsidP="00530866">
            <w:pPr>
              <w:pStyle w:val="TableText0"/>
            </w:pPr>
            <w:r w:rsidRPr="0098262F">
              <w:rPr>
                <w:b/>
              </w:rPr>
              <w:t>Category / Program:</w:t>
            </w:r>
            <w:r>
              <w:rPr>
                <w:b/>
              </w:rPr>
              <w:t xml:space="preserve"> </w:t>
            </w:r>
            <w:r w:rsidRPr="0098262F">
              <w:t>Section 100/Section 100 – Efficient Funding of Chemotherapy</w:t>
            </w:r>
          </w:p>
        </w:tc>
      </w:tr>
      <w:tr w:rsidR="00E50A74" w:rsidRPr="0098262F" w14:paraId="638B6C46" w14:textId="00220DE6">
        <w:trPr>
          <w:cantSplit/>
          <w:trHeight w:val="20"/>
        </w:trPr>
        <w:tc>
          <w:tcPr>
            <w:tcW w:w="5000" w:type="pct"/>
          </w:tcPr>
          <w:p w14:paraId="55EC4121" w14:textId="76FA6C84" w:rsidR="00E50A74" w:rsidRPr="0098262F" w:rsidRDefault="00E50A74" w:rsidP="00530866">
            <w:pPr>
              <w:pStyle w:val="TableText0"/>
              <w:rPr>
                <w:b/>
              </w:rPr>
            </w:pPr>
            <w:r w:rsidRPr="0098262F">
              <w:rPr>
                <w:b/>
              </w:rPr>
              <w:t xml:space="preserve">Prescriber type: </w:t>
            </w:r>
            <w:r w:rsidRPr="0098262F">
              <w:rPr>
                <w:bCs w:val="0"/>
              </w:rPr>
              <w:fldChar w:fldCharType="begin">
                <w:ffData>
                  <w:name w:val="Check1"/>
                  <w:enabled/>
                  <w:calcOnExit w:val="0"/>
                  <w:checkBox>
                    <w:sizeAuto/>
                    <w:default w:val="0"/>
                  </w:checkBox>
                </w:ffData>
              </w:fldChar>
            </w:r>
            <w:r w:rsidRPr="0098262F">
              <w:instrText xml:space="preserve"> FORMCHECKBOX </w:instrText>
            </w:r>
            <w:r w:rsidRPr="0098262F">
              <w:rPr>
                <w:bCs w:val="0"/>
              </w:rPr>
            </w:r>
            <w:r w:rsidRPr="0098262F">
              <w:rPr>
                <w:bCs w:val="0"/>
              </w:rPr>
              <w:fldChar w:fldCharType="separate"/>
            </w:r>
            <w:r w:rsidRPr="0098262F">
              <w:rPr>
                <w:bCs w:val="0"/>
              </w:rPr>
              <w:fldChar w:fldCharType="end"/>
            </w:r>
            <w:r w:rsidRPr="0098262F">
              <w:t xml:space="preserve">Dental </w:t>
            </w:r>
            <w:r>
              <w:rPr>
                <w:bCs w:val="0"/>
              </w:rPr>
              <w:fldChar w:fldCharType="begin">
                <w:ffData>
                  <w:name w:val=""/>
                  <w:enabled/>
                  <w:calcOnExit w:val="0"/>
                  <w:checkBox>
                    <w:sizeAuto/>
                    <w:default w:val="1"/>
                  </w:checkBox>
                </w:ffData>
              </w:fldChar>
            </w:r>
            <w:r>
              <w:instrText xml:space="preserve"> FORMCHECKBOX </w:instrText>
            </w:r>
            <w:r>
              <w:rPr>
                <w:bCs w:val="0"/>
              </w:rPr>
            </w:r>
            <w:r>
              <w:rPr>
                <w:bCs w:val="0"/>
              </w:rPr>
              <w:fldChar w:fldCharType="separate"/>
            </w:r>
            <w:r>
              <w:rPr>
                <w:bCs w:val="0"/>
              </w:rPr>
              <w:fldChar w:fldCharType="end"/>
            </w:r>
            <w:r w:rsidRPr="0098262F">
              <w:t xml:space="preserve">Medical Practitioners </w:t>
            </w:r>
            <w:r w:rsidRPr="0098262F">
              <w:rPr>
                <w:bCs w:val="0"/>
              </w:rPr>
              <w:fldChar w:fldCharType="begin">
                <w:ffData>
                  <w:name w:val="Check3"/>
                  <w:enabled/>
                  <w:calcOnExit w:val="0"/>
                  <w:checkBox>
                    <w:sizeAuto/>
                    <w:default w:val="0"/>
                  </w:checkBox>
                </w:ffData>
              </w:fldChar>
            </w:r>
            <w:r w:rsidRPr="0098262F">
              <w:instrText xml:space="preserve"> FORMCHECKBOX </w:instrText>
            </w:r>
            <w:r w:rsidRPr="0098262F">
              <w:rPr>
                <w:bCs w:val="0"/>
              </w:rPr>
            </w:r>
            <w:r w:rsidRPr="0098262F">
              <w:rPr>
                <w:bCs w:val="0"/>
              </w:rPr>
              <w:fldChar w:fldCharType="separate"/>
            </w:r>
            <w:r w:rsidRPr="0098262F">
              <w:rPr>
                <w:bCs w:val="0"/>
              </w:rPr>
              <w:fldChar w:fldCharType="end"/>
            </w:r>
            <w:r w:rsidRPr="0098262F">
              <w:t xml:space="preserve">Nurse practitioners </w:t>
            </w:r>
            <w:r w:rsidRPr="0098262F">
              <w:rPr>
                <w:bCs w:val="0"/>
              </w:rPr>
              <w:fldChar w:fldCharType="begin">
                <w:ffData>
                  <w:name w:val=""/>
                  <w:enabled/>
                  <w:calcOnExit w:val="0"/>
                  <w:checkBox>
                    <w:sizeAuto/>
                    <w:default w:val="0"/>
                  </w:checkBox>
                </w:ffData>
              </w:fldChar>
            </w:r>
            <w:r w:rsidRPr="0098262F">
              <w:instrText xml:space="preserve"> FORMCHECKBOX </w:instrText>
            </w:r>
            <w:r w:rsidRPr="0098262F">
              <w:rPr>
                <w:bCs w:val="0"/>
              </w:rPr>
            </w:r>
            <w:r w:rsidRPr="0098262F">
              <w:rPr>
                <w:bCs w:val="0"/>
              </w:rPr>
              <w:fldChar w:fldCharType="separate"/>
            </w:r>
            <w:r w:rsidRPr="0098262F">
              <w:rPr>
                <w:bCs w:val="0"/>
              </w:rPr>
              <w:fldChar w:fldCharType="end"/>
            </w:r>
            <w:r w:rsidRPr="0098262F">
              <w:t xml:space="preserve">Optometrists </w:t>
            </w:r>
            <w:r w:rsidRPr="0098262F">
              <w:rPr>
                <w:bCs w:val="0"/>
              </w:rPr>
              <w:fldChar w:fldCharType="begin">
                <w:ffData>
                  <w:name w:val="Check5"/>
                  <w:enabled/>
                  <w:calcOnExit w:val="0"/>
                  <w:checkBox>
                    <w:sizeAuto/>
                    <w:default w:val="0"/>
                  </w:checkBox>
                </w:ffData>
              </w:fldChar>
            </w:r>
            <w:r w:rsidRPr="0098262F">
              <w:instrText xml:space="preserve"> FORMCHECKBOX </w:instrText>
            </w:r>
            <w:r w:rsidRPr="0098262F">
              <w:rPr>
                <w:bCs w:val="0"/>
              </w:rPr>
            </w:r>
            <w:r w:rsidRPr="0098262F">
              <w:rPr>
                <w:bCs w:val="0"/>
              </w:rPr>
              <w:fldChar w:fldCharType="separate"/>
            </w:r>
            <w:r w:rsidRPr="0098262F">
              <w:rPr>
                <w:bCs w:val="0"/>
              </w:rPr>
              <w:fldChar w:fldCharType="end"/>
            </w:r>
          </w:p>
        </w:tc>
      </w:tr>
      <w:tr w:rsidR="00E50A74" w:rsidRPr="0098262F" w14:paraId="1581664D" w14:textId="7921A242">
        <w:trPr>
          <w:cantSplit/>
          <w:trHeight w:val="20"/>
        </w:trPr>
        <w:tc>
          <w:tcPr>
            <w:tcW w:w="5000" w:type="pct"/>
          </w:tcPr>
          <w:p w14:paraId="76C598BC" w14:textId="7E6B657F" w:rsidR="00E50A74" w:rsidRPr="0098262F" w:rsidRDefault="00E50A74" w:rsidP="00530866">
            <w:pPr>
              <w:pStyle w:val="TableText0"/>
              <w:rPr>
                <w:rFonts w:eastAsia="Times New Roman"/>
              </w:rPr>
            </w:pPr>
            <w:r w:rsidRPr="0098262F">
              <w:rPr>
                <w:b/>
              </w:rPr>
              <w:t xml:space="preserve">Restriction type: </w:t>
            </w:r>
            <w:r>
              <w:rPr>
                <w:bCs w:val="0"/>
              </w:rPr>
              <w:fldChar w:fldCharType="begin">
                <w:ffData>
                  <w:name w:val="Check3"/>
                  <w:enabled/>
                  <w:calcOnExit w:val="0"/>
                  <w:checkBox>
                    <w:sizeAuto/>
                    <w:default w:val="1"/>
                  </w:checkBox>
                </w:ffData>
              </w:fldChar>
            </w:r>
            <w:r>
              <w:rPr>
                <w:rFonts w:eastAsia="Times New Roman"/>
              </w:rPr>
              <w:instrText xml:space="preserve"> FORMCHECKBOX </w:instrText>
            </w:r>
            <w:r>
              <w:rPr>
                <w:bCs w:val="0"/>
              </w:rPr>
            </w:r>
            <w:r>
              <w:rPr>
                <w:bCs w:val="0"/>
              </w:rPr>
              <w:fldChar w:fldCharType="separate"/>
            </w:r>
            <w:r>
              <w:rPr>
                <w:bCs w:val="0"/>
              </w:rPr>
              <w:fldChar w:fldCharType="end"/>
            </w:r>
            <w:r w:rsidRPr="0098262F">
              <w:rPr>
                <w:rFonts w:eastAsia="Times New Roman"/>
              </w:rPr>
              <w:t xml:space="preserve">Authority Required (telephone/online PBS Authorities system) </w:t>
            </w:r>
          </w:p>
        </w:tc>
      </w:tr>
      <w:tr w:rsidR="00E50A74" w:rsidRPr="0098262F" w14:paraId="11BBC2A0" w14:textId="0CDE3C2C">
        <w:trPr>
          <w:cantSplit/>
          <w:trHeight w:val="20"/>
        </w:trPr>
        <w:tc>
          <w:tcPr>
            <w:tcW w:w="5000" w:type="pct"/>
            <w:vAlign w:val="center"/>
            <w:hideMark/>
          </w:tcPr>
          <w:p w14:paraId="203E5125" w14:textId="59CF9D9B" w:rsidR="00E50A74" w:rsidRPr="0098262F" w:rsidRDefault="00E50A74" w:rsidP="00530866">
            <w:pPr>
              <w:pStyle w:val="TableText0"/>
            </w:pPr>
            <w:r w:rsidRPr="005D553A">
              <w:rPr>
                <w:b/>
              </w:rPr>
              <w:t>Indication:</w:t>
            </w:r>
            <w:r w:rsidRPr="005D553A">
              <w:t xml:space="preserve"> Stage IIIB/ IIIC (locally advanced) or Stage IV (metastatic) non-small cell lung cancer (NSCLC)</w:t>
            </w:r>
          </w:p>
        </w:tc>
      </w:tr>
      <w:tr w:rsidR="00E50A74" w:rsidRPr="0098262F" w14:paraId="30C75C42" w14:textId="5D7F80E6">
        <w:trPr>
          <w:cantSplit/>
          <w:trHeight w:val="20"/>
        </w:trPr>
        <w:tc>
          <w:tcPr>
            <w:tcW w:w="5000" w:type="pct"/>
            <w:vAlign w:val="center"/>
            <w:hideMark/>
          </w:tcPr>
          <w:p w14:paraId="6B2620DB" w14:textId="5AAAB9DA" w:rsidR="00E50A74" w:rsidRPr="0098262F" w:rsidRDefault="00E50A74" w:rsidP="00530866">
            <w:pPr>
              <w:pStyle w:val="TableText0"/>
            </w:pPr>
            <w:r w:rsidRPr="0098262F">
              <w:rPr>
                <w:b/>
              </w:rPr>
              <w:t>Treatment Phas</w:t>
            </w:r>
            <w:r w:rsidRPr="008714CC">
              <w:rPr>
                <w:b/>
              </w:rPr>
              <w:t>e:</w:t>
            </w:r>
            <w:r w:rsidRPr="008714CC">
              <w:t xml:space="preserve"> </w:t>
            </w:r>
            <w:r>
              <w:rPr>
                <w:bCs w:val="0"/>
              </w:rPr>
              <w:t>Continuing</w:t>
            </w:r>
            <w:r w:rsidR="00DC6828">
              <w:rPr>
                <w:bCs w:val="0"/>
              </w:rPr>
              <w:t xml:space="preserve"> </w:t>
            </w:r>
            <w:r w:rsidR="00DC6828" w:rsidRPr="0062533B">
              <w:rPr>
                <w:i/>
                <w:iCs/>
                <w:color w:val="333333"/>
                <w:szCs w:val="20"/>
              </w:rPr>
              <w:t xml:space="preserve">treatment </w:t>
            </w:r>
            <w:r w:rsidR="00DC6828">
              <w:rPr>
                <w:i/>
                <w:iCs/>
                <w:color w:val="333333"/>
                <w:szCs w:val="20"/>
              </w:rPr>
              <w:t>– F</w:t>
            </w:r>
            <w:r w:rsidR="00DC6828">
              <w:rPr>
                <w:i/>
                <w:iCs/>
                <w:szCs w:val="20"/>
              </w:rPr>
              <w:t>or patients whose condition progressed on or after osimertinib therapy</w:t>
            </w:r>
          </w:p>
        </w:tc>
      </w:tr>
      <w:tr w:rsidR="00E50A74" w:rsidRPr="0098262F" w14:paraId="6FF61F5B" w14:textId="56BE3717">
        <w:trPr>
          <w:cantSplit/>
          <w:trHeight w:val="20"/>
        </w:trPr>
        <w:tc>
          <w:tcPr>
            <w:tcW w:w="5000" w:type="pct"/>
            <w:vAlign w:val="center"/>
            <w:hideMark/>
          </w:tcPr>
          <w:p w14:paraId="6B2B1CA0" w14:textId="10C7A97F" w:rsidR="00E50A74" w:rsidRPr="0098262F" w:rsidRDefault="00E50A74" w:rsidP="00530866">
            <w:pPr>
              <w:pStyle w:val="TableText0"/>
            </w:pPr>
            <w:r w:rsidRPr="0098262F">
              <w:rPr>
                <w:b/>
              </w:rPr>
              <w:t>Clinical criteria:</w:t>
            </w:r>
          </w:p>
        </w:tc>
      </w:tr>
      <w:tr w:rsidR="00E50A74" w:rsidRPr="0098262F" w14:paraId="2581F0D0" w14:textId="4F487C92">
        <w:trPr>
          <w:cantSplit/>
          <w:trHeight w:val="20"/>
        </w:trPr>
        <w:tc>
          <w:tcPr>
            <w:tcW w:w="5000" w:type="pct"/>
            <w:vAlign w:val="center"/>
            <w:hideMark/>
          </w:tcPr>
          <w:p w14:paraId="501DE25D" w14:textId="2C33837F" w:rsidR="00E50A74" w:rsidRPr="0098262F" w:rsidRDefault="00E50A74" w:rsidP="00530866">
            <w:pPr>
              <w:pStyle w:val="TableText0"/>
            </w:pPr>
            <w:r w:rsidRPr="00B84D42">
              <w:rPr>
                <w:rFonts w:eastAsia="Calibri" w:cs="Times New Roman"/>
              </w:rPr>
              <w:t>Patient must have previously received PBS-subsidised treatment with this drug for this condition</w:t>
            </w:r>
            <w:r>
              <w:rPr>
                <w:rFonts w:eastAsia="Calibri" w:cs="Times New Roman"/>
              </w:rPr>
              <w:t xml:space="preserve">; </w:t>
            </w:r>
          </w:p>
        </w:tc>
      </w:tr>
      <w:tr w:rsidR="00E50A74" w:rsidRPr="0098262F" w14:paraId="72A63241" w14:textId="0D77F238">
        <w:trPr>
          <w:cantSplit/>
          <w:trHeight w:val="20"/>
        </w:trPr>
        <w:tc>
          <w:tcPr>
            <w:tcW w:w="5000" w:type="pct"/>
            <w:vAlign w:val="center"/>
            <w:hideMark/>
          </w:tcPr>
          <w:p w14:paraId="05002C0A" w14:textId="68C5F5EA" w:rsidR="00E50A74" w:rsidRPr="0098262F" w:rsidRDefault="00E50A74" w:rsidP="00530866">
            <w:pPr>
              <w:pStyle w:val="TableText0"/>
            </w:pPr>
            <w:r w:rsidRPr="0098262F">
              <w:rPr>
                <w:b/>
              </w:rPr>
              <w:t>AND</w:t>
            </w:r>
          </w:p>
        </w:tc>
      </w:tr>
      <w:tr w:rsidR="00E50A74" w:rsidRPr="0098262F" w14:paraId="54889544" w14:textId="71F80012">
        <w:trPr>
          <w:cantSplit/>
          <w:trHeight w:val="20"/>
        </w:trPr>
        <w:tc>
          <w:tcPr>
            <w:tcW w:w="5000" w:type="pct"/>
            <w:vAlign w:val="center"/>
            <w:hideMark/>
          </w:tcPr>
          <w:p w14:paraId="6CE2D169" w14:textId="436417F6" w:rsidR="00E50A74" w:rsidRPr="0098262F" w:rsidRDefault="00E50A74" w:rsidP="00530866">
            <w:pPr>
              <w:pStyle w:val="TableText0"/>
            </w:pPr>
            <w:r w:rsidRPr="0098262F">
              <w:rPr>
                <w:b/>
              </w:rPr>
              <w:t>Clinical criteria:</w:t>
            </w:r>
          </w:p>
        </w:tc>
      </w:tr>
      <w:tr w:rsidR="00E50A74" w:rsidRPr="0098262F" w14:paraId="3EDB3DED" w14:textId="3DCA2D91">
        <w:trPr>
          <w:cantSplit/>
          <w:trHeight w:val="20"/>
        </w:trPr>
        <w:tc>
          <w:tcPr>
            <w:tcW w:w="5000" w:type="pct"/>
            <w:vAlign w:val="center"/>
            <w:hideMark/>
          </w:tcPr>
          <w:p w14:paraId="16D32FBE" w14:textId="5706DFF2" w:rsidR="00E50A74" w:rsidRPr="0098262F" w:rsidRDefault="00E50A74" w:rsidP="00530866">
            <w:pPr>
              <w:pStyle w:val="TableText0"/>
              <w:rPr>
                <w:color w:val="0066FF"/>
              </w:rPr>
            </w:pPr>
            <w:r w:rsidRPr="004340B7">
              <w:rPr>
                <w:rFonts w:eastAsia="Calibri" w:cs="Times New Roman"/>
              </w:rPr>
              <w:t>Patient must not have developed disease progression while receiving treatment with this drug for this condition.</w:t>
            </w:r>
          </w:p>
        </w:tc>
      </w:tr>
      <w:tr w:rsidR="00E50A74" w:rsidRPr="0098262F" w14:paraId="57A6383E" w14:textId="2C92527B">
        <w:trPr>
          <w:cantSplit/>
          <w:trHeight w:val="20"/>
        </w:trPr>
        <w:tc>
          <w:tcPr>
            <w:tcW w:w="5000" w:type="pct"/>
            <w:vAlign w:val="center"/>
            <w:hideMark/>
          </w:tcPr>
          <w:p w14:paraId="7BE385E2" w14:textId="71BE7CB6" w:rsidR="00E50A74" w:rsidRDefault="00E50A74" w:rsidP="00530866">
            <w:pPr>
              <w:pStyle w:val="TableText0"/>
              <w:rPr>
                <w:b/>
              </w:rPr>
            </w:pPr>
            <w:r w:rsidRPr="0098262F">
              <w:rPr>
                <w:b/>
              </w:rPr>
              <w:t xml:space="preserve">Administrative Advice: </w:t>
            </w:r>
          </w:p>
          <w:p w14:paraId="629438AB" w14:textId="63968F70" w:rsidR="00E50A74" w:rsidRDefault="00E50A74" w:rsidP="00530866">
            <w:pPr>
              <w:pStyle w:val="TableText0"/>
              <w:rPr>
                <w:rFonts w:eastAsia="Calibri" w:cs="Times New Roman"/>
              </w:rPr>
            </w:pPr>
            <w:r w:rsidRPr="005C5BF9">
              <w:rPr>
                <w:rFonts w:eastAsia="Calibri" w:cs="Times New Roman"/>
              </w:rPr>
              <w:t>Applications for authorisation under this restriction may be made in real time using the Online PBS Authorities system (see www.servicesaustralia.gov.au/HPOS) or by telephone by contacting Services Australia on 1800 888 333.</w:t>
            </w:r>
          </w:p>
          <w:p w14:paraId="6B4EE4D7" w14:textId="6494CF65" w:rsidR="00E50A74" w:rsidRDefault="00E50A74" w:rsidP="00530866">
            <w:pPr>
              <w:pStyle w:val="TableText0"/>
              <w:rPr>
                <w:rFonts w:eastAsia="Calibri" w:cs="Times New Roman"/>
              </w:rPr>
            </w:pPr>
            <w:r w:rsidRPr="005C5BF9">
              <w:rPr>
                <w:rFonts w:eastAsia="Calibri" w:cs="Times New Roman"/>
              </w:rPr>
              <w:t>No increase in the maximum amount or number of units may be authorised.</w:t>
            </w:r>
          </w:p>
          <w:p w14:paraId="4CADFB73" w14:textId="64938C99" w:rsidR="00E50A74" w:rsidRDefault="00E50A74" w:rsidP="00530866">
            <w:pPr>
              <w:pStyle w:val="TableText0"/>
              <w:rPr>
                <w:rFonts w:eastAsia="Calibri" w:cs="Times New Roman"/>
              </w:rPr>
            </w:pPr>
            <w:r w:rsidRPr="005C5BF9">
              <w:rPr>
                <w:rFonts w:eastAsia="Calibri" w:cs="Times New Roman"/>
              </w:rPr>
              <w:t>No increase in the maximum number of repeats may be authorised.</w:t>
            </w:r>
          </w:p>
          <w:p w14:paraId="4994419E" w14:textId="4B55906C" w:rsidR="00E50A74" w:rsidRPr="0098262F" w:rsidRDefault="00E50A74" w:rsidP="00530866">
            <w:pPr>
              <w:pStyle w:val="TableText0"/>
            </w:pPr>
            <w:r w:rsidRPr="00DE4169">
              <w:t>Special Pricing Arrangements apply</w:t>
            </w:r>
            <w:r>
              <w:t>.</w:t>
            </w:r>
          </w:p>
        </w:tc>
      </w:tr>
    </w:tbl>
    <w:p w14:paraId="1EC8874E" w14:textId="5FF9D131" w:rsidR="00E50A74" w:rsidRPr="0098262F" w:rsidRDefault="00E50A74" w:rsidP="00530866">
      <w:pPr>
        <w:pStyle w:val="FooterTableFigure"/>
      </w:pPr>
      <w:r w:rsidRPr="0098262F">
        <w:t xml:space="preserve">Source: </w:t>
      </w:r>
      <w:r>
        <w:t>Table 1.13, p70-71 of the submission</w:t>
      </w:r>
    </w:p>
    <w:bookmarkEnd w:id="25"/>
    <w:p w14:paraId="039A3EEF" w14:textId="76A14B3E" w:rsidR="00E50A74" w:rsidRPr="00581B88" w:rsidRDefault="00E50A74" w:rsidP="00530866">
      <w:pPr>
        <w:pStyle w:val="ExecSumBodyText"/>
        <w:numPr>
          <w:ilvl w:val="1"/>
          <w:numId w:val="6"/>
        </w:numPr>
      </w:pPr>
      <w:r>
        <w:t xml:space="preserve">The </w:t>
      </w:r>
      <w:r w:rsidRPr="00581B88">
        <w:t xml:space="preserve">submission proposed a special pricing </w:t>
      </w:r>
      <w:r w:rsidR="00E706CB">
        <w:t>arrangement</w:t>
      </w:r>
      <w:r w:rsidRPr="00581B88">
        <w:t>, whereby the effective approved ex-manufacturer price (AEMP) per 350 mg vial of amivantamab is $</w:t>
      </w:r>
      <w:r w:rsidR="00C87B5E" w:rsidRPr="00C87B5E">
        <w:rPr>
          <w:sz w:val="2"/>
          <w:highlight w:val="black"/>
        </w:rPr>
        <w:t>redacted content</w:t>
      </w:r>
      <w:r w:rsidRPr="00581B88">
        <w:t>.</w:t>
      </w:r>
    </w:p>
    <w:p w14:paraId="25E61580" w14:textId="721B5365" w:rsidR="00E50A74" w:rsidRPr="006951F2" w:rsidRDefault="00E50A74" w:rsidP="00530866">
      <w:pPr>
        <w:pStyle w:val="ExecSumBodyText"/>
        <w:numPr>
          <w:ilvl w:val="1"/>
          <w:numId w:val="6"/>
        </w:numPr>
        <w:rPr>
          <w:i/>
          <w:iCs/>
        </w:rPr>
      </w:pPr>
      <w:bookmarkStart w:id="29" w:name="_Ref215234675"/>
      <w:bookmarkStart w:id="30" w:name="_Ref225495531"/>
      <w:r>
        <w:t>The submission’s proposed population criterion states that the ‘Patient must have progressive disease on or after osimertinib’, thus allowing patients to have access to AmiCP</w:t>
      </w:r>
      <w:r w:rsidRPr="00652DAE">
        <w:t xml:space="preserve"> </w:t>
      </w:r>
      <w:r w:rsidRPr="00A663C0">
        <w:t>on</w:t>
      </w:r>
      <w:r>
        <w:t xml:space="preserve"> or </w:t>
      </w:r>
      <w:r w:rsidRPr="00A663C0">
        <w:t>after progression with osimertinib, irrespective of the disease stage/setting where osimertinib was given or the type of osimertinib regimen (</w:t>
      </w:r>
      <w:r w:rsidR="009E7E7F">
        <w:t xml:space="preserve">i.e., </w:t>
      </w:r>
      <w:r w:rsidRPr="00A663C0">
        <w:t>monotherapy</w:t>
      </w:r>
      <w:r w:rsidR="009E7E7F">
        <w:t xml:space="preserve"> </w:t>
      </w:r>
      <w:r w:rsidRPr="00A663C0">
        <w:t xml:space="preserve">or </w:t>
      </w:r>
      <w:r w:rsidR="00734478">
        <w:t xml:space="preserve">in </w:t>
      </w:r>
      <w:r w:rsidRPr="00A663C0">
        <w:t>combination with chemotherapy) that was used.</w:t>
      </w:r>
      <w:r w:rsidRPr="390D890E">
        <w:t xml:space="preserve"> </w:t>
      </w:r>
      <w:r w:rsidRPr="00C55A3B">
        <w:t xml:space="preserve">The eligibility criteria of the MARIPOSA-2 trial required documented progression on osimertinib monotherapy as the most recent line of therapy. The proposed PBS listing is broader than the patients included in the MARIPOSA-2 trial which did not include patients who progressed on osimertinib in the adjuvant setting or early cancer stage disease or progressed on osimertinib in combination with </w:t>
      </w:r>
      <w:r w:rsidR="00CE0A18">
        <w:t>PDC</w:t>
      </w:r>
      <w:r w:rsidRPr="00C55A3B">
        <w:t>.</w:t>
      </w:r>
      <w:bookmarkEnd w:id="29"/>
      <w:r w:rsidRPr="00C55A3B">
        <w:t xml:space="preserve"> </w:t>
      </w:r>
      <w:r w:rsidR="00090416" w:rsidRPr="009C3174">
        <w:t xml:space="preserve">The ESC considered it was </w:t>
      </w:r>
      <w:r w:rsidR="006951F2" w:rsidRPr="009C3174">
        <w:t xml:space="preserve">appropriate </w:t>
      </w:r>
      <w:r w:rsidR="00CF4E02" w:rsidRPr="009C3174">
        <w:t xml:space="preserve">for </w:t>
      </w:r>
      <w:r w:rsidR="00090416" w:rsidRPr="009C3174">
        <w:t xml:space="preserve">AmiCP </w:t>
      </w:r>
      <w:r w:rsidR="00CF4E02" w:rsidRPr="009C3174">
        <w:t xml:space="preserve">to be limited to </w:t>
      </w:r>
      <w:r w:rsidR="00090416" w:rsidRPr="009C3174">
        <w:t xml:space="preserve">patients that </w:t>
      </w:r>
      <w:r w:rsidR="006951F2" w:rsidRPr="009C3174">
        <w:t>have progressed on osimertinib monotherapy in the advanced/ metastatic setting.</w:t>
      </w:r>
      <w:r w:rsidR="006951F2" w:rsidRPr="390D890E">
        <w:t xml:space="preserve"> </w:t>
      </w:r>
      <w:r w:rsidR="00560633">
        <w:t xml:space="preserve">The </w:t>
      </w:r>
      <w:r w:rsidR="007E4893">
        <w:t>pre-PBAC response noted that the MARIPOSA-2 trial</w:t>
      </w:r>
      <w:r w:rsidR="00701AD0">
        <w:t xml:space="preserve"> included patients with locally advanced/metastatic disease </w:t>
      </w:r>
      <w:r w:rsidR="00BB59DC">
        <w:t xml:space="preserve">who had progressed on osimertinib </w:t>
      </w:r>
      <w:r w:rsidR="00A410F1">
        <w:t>mono</w:t>
      </w:r>
      <w:r w:rsidR="00BB59DC">
        <w:t>therapy</w:t>
      </w:r>
      <w:r w:rsidR="00701AD0">
        <w:t xml:space="preserve">, </w:t>
      </w:r>
      <w:r w:rsidR="00B93205">
        <w:t xml:space="preserve">however considered that restricting the PBS listing to this population would result in </w:t>
      </w:r>
      <w:r w:rsidR="0054174D">
        <w:t>exclusion of other osimertinib-progressed patients with equally high need and no effective alternatives</w:t>
      </w:r>
      <w:r w:rsidR="00EB3568">
        <w:t xml:space="preserve">. </w:t>
      </w:r>
      <w:bookmarkEnd w:id="30"/>
    </w:p>
    <w:p w14:paraId="06D38B72" w14:textId="01F2F70B" w:rsidR="00E50A74" w:rsidRPr="00C55A3B" w:rsidRDefault="00E50A74" w:rsidP="00530866">
      <w:pPr>
        <w:pStyle w:val="ExecSumBodyText"/>
        <w:numPr>
          <w:ilvl w:val="1"/>
          <w:numId w:val="6"/>
        </w:numPr>
      </w:pPr>
      <w:r w:rsidRPr="00C55A3B">
        <w:t xml:space="preserve">The requested restriction differs from the MARIPOSA-2 trial in that it allows a WHO performance status of 2 or less prior to starting amivantamab, whereas the MARIPOSA-2 trial included patients with WHO score of 0 or 1. </w:t>
      </w:r>
    </w:p>
    <w:p w14:paraId="7C9953E0" w14:textId="12AE6DCC" w:rsidR="00E50A74" w:rsidRPr="004847C9" w:rsidRDefault="00E50A74" w:rsidP="00530866">
      <w:pPr>
        <w:pStyle w:val="ExecSumBodyText"/>
        <w:numPr>
          <w:ilvl w:val="1"/>
          <w:numId w:val="6"/>
        </w:numPr>
      </w:pPr>
      <w:r>
        <w:t xml:space="preserve">The submission </w:t>
      </w:r>
      <w:r w:rsidR="001572EA">
        <w:t xml:space="preserve">proposed wording in the initial treatment criteria to accommodate access for </w:t>
      </w:r>
      <w:r>
        <w:t xml:space="preserve">patients that </w:t>
      </w:r>
      <w:r w:rsidR="008A0573">
        <w:t>will</w:t>
      </w:r>
      <w:r>
        <w:t xml:space="preserve"> </w:t>
      </w:r>
      <w:r w:rsidR="00BE1A91">
        <w:t>receive</w:t>
      </w:r>
      <w:r>
        <w:t xml:space="preserve"> amivantamab through a </w:t>
      </w:r>
      <w:r w:rsidR="00C954D0">
        <w:t>compassionate</w:t>
      </w:r>
      <w:r>
        <w:t xml:space="preserve"> access program (eligibility aligned with </w:t>
      </w:r>
      <w:r w:rsidR="00C04F6B">
        <w:t>proposed PBS restriction i.e. progressed on or after treatment with osimertinib)</w:t>
      </w:r>
      <w:r>
        <w:t>.</w:t>
      </w:r>
      <w:r w:rsidRPr="004847C9">
        <w:t xml:space="preserve"> </w:t>
      </w:r>
    </w:p>
    <w:p w14:paraId="2133B2CF" w14:textId="04B47F39" w:rsidR="00E50A74" w:rsidRPr="001F180B" w:rsidRDefault="00350D94" w:rsidP="00530866">
      <w:pPr>
        <w:pStyle w:val="ExecSumBodyText"/>
        <w:numPr>
          <w:ilvl w:val="1"/>
          <w:numId w:val="6"/>
        </w:numPr>
      </w:pPr>
      <w:bookmarkStart w:id="31" w:name="_Ref226441394"/>
      <w:r>
        <w:lastRenderedPageBreak/>
        <w:t>Additionally, t</w:t>
      </w:r>
      <w:r w:rsidR="00E50A74">
        <w:t xml:space="preserve">he submission requested that patients treated under the </w:t>
      </w:r>
      <w:r w:rsidR="003330E3">
        <w:t>self-funded</w:t>
      </w:r>
      <w:r w:rsidR="00E50A74">
        <w:t xml:space="preserve"> access program (</w:t>
      </w:r>
      <w:r w:rsidR="00E50A74">
        <w:rPr>
          <w:rFonts w:eastAsia="Cambria Math" w:cs="Cambria Math"/>
        </w:rPr>
        <w:t>who progressed on prior EGFR TKIs</w:t>
      </w:r>
      <w:r w:rsidR="00F26626">
        <w:rPr>
          <w:rFonts w:eastAsia="Cambria Math" w:cs="Cambria Math"/>
        </w:rPr>
        <w:t xml:space="preserve">, consistent with the </w:t>
      </w:r>
      <w:r w:rsidR="00196139">
        <w:rPr>
          <w:rFonts w:eastAsia="Cambria Math" w:cs="Cambria Math"/>
        </w:rPr>
        <w:t>TGA approved indication</w:t>
      </w:r>
      <w:r w:rsidR="00BD146C">
        <w:rPr>
          <w:rFonts w:eastAsia="Cambria Math" w:cs="Cambria Math"/>
        </w:rPr>
        <w:t>,</w:t>
      </w:r>
      <w:r w:rsidR="00E50A74">
        <w:rPr>
          <w:rFonts w:eastAsia="Cambria Math" w:cs="Cambria Math"/>
        </w:rPr>
        <w:t xml:space="preserve"> </w:t>
      </w:r>
      <w:r w:rsidR="00BD146C">
        <w:rPr>
          <w:rFonts w:eastAsia="Cambria Math" w:cs="Cambria Math"/>
        </w:rPr>
        <w:t xml:space="preserve">which does not specify </w:t>
      </w:r>
      <w:r w:rsidR="00E50A74">
        <w:rPr>
          <w:rFonts w:eastAsia="Cambria Math" w:cs="Cambria Math"/>
        </w:rPr>
        <w:t xml:space="preserve">osimertinib) be eligible for grandfathering. </w:t>
      </w:r>
      <w:r w:rsidR="00CC502B">
        <w:t xml:space="preserve">However, the submission did not propose a grandfather restriction to accommodate access for </w:t>
      </w:r>
      <w:r w:rsidR="00FA5039">
        <w:t xml:space="preserve">this </w:t>
      </w:r>
      <w:r w:rsidR="00CC502B">
        <w:t>patient</w:t>
      </w:r>
      <w:r w:rsidR="00FA5039">
        <w:t xml:space="preserve"> population</w:t>
      </w:r>
      <w:r w:rsidR="00685F36">
        <w:t>.</w:t>
      </w:r>
      <w:r w:rsidR="00CC502B">
        <w:t xml:space="preserve"> </w:t>
      </w:r>
      <w:bookmarkEnd w:id="31"/>
    </w:p>
    <w:p w14:paraId="36AD5828" w14:textId="79C67672" w:rsidR="001F180B" w:rsidRDefault="00FC10A1" w:rsidP="00530866">
      <w:pPr>
        <w:pStyle w:val="ExecSumBodyText"/>
        <w:numPr>
          <w:ilvl w:val="1"/>
          <w:numId w:val="6"/>
        </w:numPr>
      </w:pPr>
      <w:r w:rsidRPr="00FC10A1">
        <w:t xml:space="preserve">The </w:t>
      </w:r>
      <w:r w:rsidR="003679A1">
        <w:t xml:space="preserve">proposed criteria </w:t>
      </w:r>
      <w:r w:rsidRPr="00FC10A1">
        <w:t xml:space="preserve">did </w:t>
      </w:r>
      <w:r w:rsidR="003679A1">
        <w:t xml:space="preserve">not </w:t>
      </w:r>
      <w:r>
        <w:t>specify</w:t>
      </w:r>
      <w:r w:rsidR="003679A1">
        <w:t xml:space="preserve"> </w:t>
      </w:r>
      <w:r w:rsidRPr="00FC10A1">
        <w:t>the type of EGFR mutation as part of the eligibility criteria</w:t>
      </w:r>
      <w:r w:rsidR="0081201B">
        <w:t xml:space="preserve">, despite the TGA indication referring to </w:t>
      </w:r>
      <w:r w:rsidR="00BC6887">
        <w:t>patients</w:t>
      </w:r>
      <w:r w:rsidR="0081201B">
        <w:t xml:space="preserve"> with exon19del or exon 21 L85</w:t>
      </w:r>
      <w:r w:rsidR="00BC6887">
        <w:t>8R mutations</w:t>
      </w:r>
      <w:r>
        <w:t xml:space="preserve">. </w:t>
      </w:r>
    </w:p>
    <w:p w14:paraId="4FA2A60E" w14:textId="2E3DD049" w:rsidR="003679A1" w:rsidRPr="00FC10A1" w:rsidRDefault="003679A1" w:rsidP="00530866">
      <w:pPr>
        <w:pStyle w:val="ExecSumBodyText"/>
        <w:numPr>
          <w:ilvl w:val="1"/>
          <w:numId w:val="6"/>
        </w:numPr>
      </w:pPr>
      <w:r>
        <w:t xml:space="preserve">The proposed criteria required </w:t>
      </w:r>
      <w:r w:rsidR="00EA65FA">
        <w:t>initiation</w:t>
      </w:r>
      <w:r>
        <w:t xml:space="preserve"> of </w:t>
      </w:r>
      <w:r w:rsidR="00EA65FA">
        <w:t xml:space="preserve">amivantamab </w:t>
      </w:r>
      <w:r>
        <w:t xml:space="preserve">treatment to be in combination with </w:t>
      </w:r>
      <w:r w:rsidR="00CE0A18">
        <w:t>PDC</w:t>
      </w:r>
      <w:r w:rsidR="00D30906">
        <w:t xml:space="preserve">. </w:t>
      </w:r>
      <w:r w:rsidR="00FA63CC" w:rsidRPr="008A7C82">
        <w:rPr>
          <w:rFonts w:cstheme="minorHAnsi"/>
          <w:bCs/>
        </w:rPr>
        <w:t>The submission stated that the wording ‘initiated’ was included as patients might discontinue chemotherapy (due to intolerability) and continue amivantamab monotherapy which was also supported in the MARIPOSA-2 trial.</w:t>
      </w:r>
    </w:p>
    <w:p w14:paraId="64D80C5A" w14:textId="68DBB4DA" w:rsidR="00F545FB" w:rsidRPr="0098262F" w:rsidRDefault="00F545FB" w:rsidP="00530866">
      <w:pPr>
        <w:pStyle w:val="ExecSumBodyText"/>
        <w:ind w:firstLine="0"/>
        <w:rPr>
          <w:i/>
          <w:iCs/>
        </w:rPr>
      </w:pPr>
      <w:r w:rsidRPr="00F545FB">
        <w:rPr>
          <w:i/>
          <w:iCs/>
        </w:rPr>
        <w:t>For more detail on PBAC’s view, see section 7 PBAC outcome.</w:t>
      </w:r>
    </w:p>
    <w:p w14:paraId="575F818B" w14:textId="77777777" w:rsidR="00E50A74" w:rsidRPr="0098262F" w:rsidDel="00195452" w:rsidRDefault="00E50A74" w:rsidP="00530866">
      <w:pPr>
        <w:pStyle w:val="2-SectionHeading"/>
      </w:pPr>
      <w:bookmarkStart w:id="32" w:name="_Toc107927623"/>
      <w:bookmarkStart w:id="33" w:name="_Toc219795450"/>
      <w:r w:rsidRPr="0098262F" w:rsidDel="00195452">
        <w:t>Population and disease</w:t>
      </w:r>
      <w:bookmarkEnd w:id="32"/>
      <w:bookmarkEnd w:id="33"/>
    </w:p>
    <w:p w14:paraId="05F9A33E" w14:textId="77777777" w:rsidR="00E50A74" w:rsidRDefault="00E50A74" w:rsidP="00530866">
      <w:pPr>
        <w:pStyle w:val="3-BodyText"/>
      </w:pPr>
      <w:r w:rsidRPr="009C371E">
        <w:t xml:space="preserve">Lung cancer is the fourth </w:t>
      </w:r>
      <w:proofErr w:type="gramStart"/>
      <w:r w:rsidRPr="009C371E">
        <w:t>most commonly diagnosed</w:t>
      </w:r>
      <w:proofErr w:type="gramEnd"/>
      <w:r w:rsidRPr="009C371E">
        <w:t xml:space="preserve"> cancer for Australian men and women, with an estimated 15,100 people diagnosed in 2025</w:t>
      </w:r>
      <w:r>
        <w:t>.</w:t>
      </w:r>
      <w:r>
        <w:rPr>
          <w:rStyle w:val="FootnoteReference"/>
        </w:rPr>
        <w:footnoteReference w:id="1"/>
      </w:r>
      <w:r w:rsidRPr="009C371E">
        <w:t xml:space="preserve"> Lung cancer is the leading cause of cancer mortality, with an estimated 9,000 people expected to die from the disease in 2025. Of the five most common cancers in Australia, survival rates for lung cancer have been the lowest with a 5-year survival of 27% in 2017-2021.</w:t>
      </w:r>
    </w:p>
    <w:p w14:paraId="54F82AA8" w14:textId="77777777" w:rsidR="00E50A74" w:rsidRDefault="00E50A74" w:rsidP="00530866">
      <w:pPr>
        <w:pStyle w:val="3-BodyText"/>
      </w:pPr>
      <w:r w:rsidRPr="00267892">
        <w:t xml:space="preserve">For patients with locally advanced or metastatic (Stage IIIB-IV) NSCLC who are not amenable to curative surgery or radiotherapy, and whose tumours harbour EGFRm, the first-line </w:t>
      </w:r>
      <w:r>
        <w:t>standard of care</w:t>
      </w:r>
      <w:r w:rsidRPr="00267892">
        <w:t xml:space="preserve"> consists of treatment with EGFR TKIs.</w:t>
      </w:r>
      <w:r w:rsidRPr="00243737">
        <w:t xml:space="preserve"> </w:t>
      </w:r>
      <w:r>
        <w:t xml:space="preserve">Osimertinib, a third-generation EGFR TKI, </w:t>
      </w:r>
      <w:r w:rsidRPr="005D330D">
        <w:t xml:space="preserve">is </w:t>
      </w:r>
      <w:r>
        <w:t xml:space="preserve">currently the </w:t>
      </w:r>
      <w:proofErr w:type="gramStart"/>
      <w:r>
        <w:t>most commonly utilised</w:t>
      </w:r>
      <w:proofErr w:type="gramEnd"/>
      <w:r>
        <w:t xml:space="preserve"> option, replacing earlier generation TKIs (gefitinib, erlotinib, afatinib).</w:t>
      </w:r>
    </w:p>
    <w:p w14:paraId="4F896485" w14:textId="77777777" w:rsidR="00E50A74" w:rsidRPr="009C371E" w:rsidRDefault="00E50A74" w:rsidP="00530866">
      <w:pPr>
        <w:pStyle w:val="3-BodyText"/>
      </w:pPr>
      <w:r>
        <w:t xml:space="preserve">The proposed listing is for patients with EGFRm </w:t>
      </w:r>
      <w:r w:rsidRPr="002C3154">
        <w:t xml:space="preserve">locally advanced/metastatic (Stage IIIB-IV) NSCLC </w:t>
      </w:r>
      <w:r>
        <w:t>who have progressed on or after osimertinib. For these patients, subsequent treatment options do not demonstrate clinically meaningful improvements in delaying disease progression or death. Australian registry data as well as international studies report a median overall survival (OS) of between 10 and 14.1 months for these patients.</w:t>
      </w:r>
      <w:r>
        <w:rPr>
          <w:rStyle w:val="FootnoteReference"/>
        </w:rPr>
        <w:footnoteReference w:id="2"/>
      </w:r>
      <w:r>
        <w:rPr>
          <w:vertAlign w:val="superscript"/>
        </w:rPr>
        <w:t>,</w:t>
      </w:r>
      <w:r>
        <w:rPr>
          <w:rStyle w:val="FootnoteReference"/>
        </w:rPr>
        <w:footnoteReference w:id="3"/>
      </w:r>
      <w:r>
        <w:t xml:space="preserve"> </w:t>
      </w:r>
    </w:p>
    <w:p w14:paraId="504B089E" w14:textId="75F1B2B8" w:rsidR="00E50A74" w:rsidRPr="00B12DF3" w:rsidRDefault="02668B6E" w:rsidP="00530866">
      <w:pPr>
        <w:pStyle w:val="3-BodyText"/>
        <w:rPr>
          <w:color w:val="0066FF"/>
        </w:rPr>
      </w:pPr>
      <w:r>
        <w:lastRenderedPageBreak/>
        <w:t>T</w:t>
      </w:r>
      <w:r w:rsidR="00E50A74" w:rsidRPr="00B12DF3">
        <w:t xml:space="preserve">he </w:t>
      </w:r>
      <w:r w:rsidR="21009D7B">
        <w:t xml:space="preserve">European Society </w:t>
      </w:r>
      <w:r w:rsidR="08FAF125">
        <w:t xml:space="preserve">for Medical </w:t>
      </w:r>
      <w:r w:rsidR="21009D7B">
        <w:t>Oncologists (</w:t>
      </w:r>
      <w:r w:rsidR="00E50A74" w:rsidRPr="00B12DF3">
        <w:t>ESMO</w:t>
      </w:r>
      <w:r w:rsidR="21009D7B">
        <w:t>)</w:t>
      </w:r>
      <w:r w:rsidR="00E50A74" w:rsidRPr="00B12DF3">
        <w:rPr>
          <w:rStyle w:val="FootnoteReference"/>
        </w:rPr>
        <w:footnoteReference w:id="4"/>
      </w:r>
      <w:r w:rsidR="00E50A74" w:rsidRPr="00B12DF3">
        <w:t xml:space="preserve"> and </w:t>
      </w:r>
      <w:r w:rsidR="21009D7B">
        <w:t xml:space="preserve">National </w:t>
      </w:r>
      <w:r w:rsidR="08FAF125">
        <w:t>Comprehensive Cancer Network (</w:t>
      </w:r>
      <w:r w:rsidR="00E50A74" w:rsidRPr="00B12DF3">
        <w:t>NCCN</w:t>
      </w:r>
      <w:r w:rsidR="08FAF125">
        <w:t>)</w:t>
      </w:r>
      <w:r w:rsidR="00E50A74" w:rsidRPr="00B12DF3">
        <w:t xml:space="preserve"> NSCLC</w:t>
      </w:r>
      <w:r w:rsidR="00E50A74" w:rsidRPr="00B12DF3">
        <w:rPr>
          <w:rStyle w:val="FootnoteReference"/>
        </w:rPr>
        <w:footnoteReference w:id="5"/>
      </w:r>
      <w:r w:rsidR="00E50A74" w:rsidRPr="00B12DF3">
        <w:t xml:space="preserve"> clinical guidelines suggest AmiCP</w:t>
      </w:r>
      <w:r w:rsidR="008D498E">
        <w:t xml:space="preserve">, </w:t>
      </w:r>
      <w:r w:rsidR="00515E4B">
        <w:t xml:space="preserve">PDC or ABCP </w:t>
      </w:r>
      <w:r w:rsidR="00E50A74" w:rsidRPr="00B12DF3">
        <w:t>following progression with osimertinib.</w:t>
      </w:r>
      <w:r w:rsidR="00E50A74">
        <w:t xml:space="preserve"> </w:t>
      </w:r>
      <w:r w:rsidR="00E50A74" w:rsidRPr="00C55A3B">
        <w:t xml:space="preserve">The NCCN guidelines recommend AmiCP </w:t>
      </w:r>
      <w:r w:rsidR="00523B99">
        <w:t>(</w:t>
      </w:r>
      <w:r w:rsidR="00E50A74" w:rsidRPr="00C55A3B">
        <w:t>preferred treatment option</w:t>
      </w:r>
      <w:r w:rsidR="00523B99">
        <w:t>)</w:t>
      </w:r>
      <w:r w:rsidR="009116F4">
        <w:t xml:space="preserve">, </w:t>
      </w:r>
      <w:proofErr w:type="spellStart"/>
      <w:r w:rsidR="009116F4">
        <w:t>amivantamab</w:t>
      </w:r>
      <w:proofErr w:type="spellEnd"/>
      <w:r w:rsidR="009116F4">
        <w:t xml:space="preserve"> plus </w:t>
      </w:r>
      <w:proofErr w:type="spellStart"/>
      <w:r w:rsidR="009116F4">
        <w:t>l</w:t>
      </w:r>
      <w:r w:rsidR="00523B99">
        <w:t>azertinib</w:t>
      </w:r>
      <w:proofErr w:type="spellEnd"/>
      <w:r w:rsidR="009116F4">
        <w:t>,</w:t>
      </w:r>
      <w:r w:rsidR="00523B99" w:rsidDel="009116F4">
        <w:t xml:space="preserve"> </w:t>
      </w:r>
      <w:r w:rsidR="00523B99">
        <w:t>or systemic therapy</w:t>
      </w:r>
      <w:r w:rsidR="00E50A74" w:rsidRPr="00C55A3B">
        <w:t xml:space="preserve"> </w:t>
      </w:r>
      <w:r w:rsidR="00967DC7">
        <w:t xml:space="preserve">(including PDC, ABCP) </w:t>
      </w:r>
      <w:r w:rsidR="00523B99">
        <w:t>following widespread systemic progression with osimertinib</w:t>
      </w:r>
      <w:r w:rsidR="00E50A74" w:rsidRPr="00C55A3B">
        <w:t>.</w:t>
      </w:r>
    </w:p>
    <w:p w14:paraId="69967AC6" w14:textId="5BDD76CF" w:rsidR="00E50A74" w:rsidRPr="00C55A3B" w:rsidRDefault="00E50A74" w:rsidP="00530866">
      <w:pPr>
        <w:pStyle w:val="3-BodyText"/>
      </w:pPr>
      <w:r w:rsidRPr="00C12834">
        <w:t xml:space="preserve">The submission </w:t>
      </w:r>
      <w:r>
        <w:t>proposed that AmiCP could be used after osimertinib progression irrespective of the first administration setting (i.e. applicable to all current osimertinib PBS listings</w:t>
      </w:r>
      <w:r w:rsidR="002F6308">
        <w:t>)</w:t>
      </w:r>
      <w:r>
        <w:t xml:space="preserve">. </w:t>
      </w:r>
      <w:r w:rsidRPr="00C55A3B">
        <w:t xml:space="preserve">The concerns relating to the proposed request are discussed in paragraph </w:t>
      </w:r>
      <w:r w:rsidRPr="00C55A3B">
        <w:fldChar w:fldCharType="begin"/>
      </w:r>
      <w:r w:rsidRPr="00C55A3B">
        <w:instrText xml:space="preserve"> REF _Ref215234675 \r \h </w:instrText>
      </w:r>
      <w:r w:rsidR="00C55A3B">
        <w:instrText xml:space="preserve"> \* MERGEFORMAT </w:instrText>
      </w:r>
      <w:r w:rsidRPr="00C55A3B">
        <w:fldChar w:fldCharType="separate"/>
      </w:r>
      <w:r w:rsidR="00A572FC">
        <w:t>3.3</w:t>
      </w:r>
      <w:r w:rsidRPr="00C55A3B">
        <w:fldChar w:fldCharType="end"/>
      </w:r>
      <w:r w:rsidRPr="00C55A3B">
        <w:t>.</w:t>
      </w:r>
    </w:p>
    <w:p w14:paraId="4CF0F4EA" w14:textId="77777777" w:rsidR="00E50A74" w:rsidRDefault="00E50A74" w:rsidP="00530866">
      <w:pPr>
        <w:pStyle w:val="3-BodyText"/>
      </w:pPr>
      <w:r>
        <w:t>Amivantamab is a fully human, immunoglobulin G1 (IgG1) bispecific antibody with high affinity for both EGFR and mesenchymal-epidermal transition (MET) receptors. Unlike EGFR TKIs, amivantamab binds extracellularly and is therefore not affected by co-mutations in the EGFR TKI binding pocket.</w:t>
      </w:r>
      <w:r w:rsidRPr="7177B32B">
        <w:rPr>
          <w:rStyle w:val="FootnoteReference"/>
        </w:rPr>
        <w:footnoteReference w:id="6"/>
      </w:r>
      <w:r>
        <w:t xml:space="preserve"> MET mutations, particularly MET amplifications, are common resistance mechanisms. The high affinity of amivantamab for MET receptors therefore offers a potential treatment advantage over other EGFR therapies in those with co-mutations.</w:t>
      </w:r>
    </w:p>
    <w:p w14:paraId="14154947" w14:textId="51519416" w:rsidR="00F545FB" w:rsidRPr="00F545FB" w:rsidRDefault="00F545FB" w:rsidP="00530866">
      <w:pPr>
        <w:pStyle w:val="3-BodyText"/>
        <w:numPr>
          <w:ilvl w:val="0"/>
          <w:numId w:val="0"/>
        </w:numPr>
        <w:ind w:left="720"/>
        <w:rPr>
          <w:i/>
          <w:iCs/>
        </w:rPr>
      </w:pPr>
      <w:r w:rsidRPr="00F545FB">
        <w:rPr>
          <w:i/>
          <w:iCs/>
        </w:rPr>
        <w:t>For more detail on PBAC’s view, see section 7 PBAC outcome.</w:t>
      </w:r>
    </w:p>
    <w:p w14:paraId="52F09FEE" w14:textId="77777777" w:rsidR="00E50A74" w:rsidRPr="0098262F" w:rsidRDefault="00E50A74" w:rsidP="00530866">
      <w:pPr>
        <w:pStyle w:val="2-SectionHeading"/>
      </w:pPr>
      <w:bookmarkStart w:id="34" w:name="_Toc107927624"/>
      <w:bookmarkStart w:id="35" w:name="_Toc219795451"/>
      <w:r w:rsidRPr="0098262F">
        <w:t>Comparator</w:t>
      </w:r>
      <w:bookmarkEnd w:id="34"/>
      <w:bookmarkEnd w:id="35"/>
    </w:p>
    <w:p w14:paraId="63F16055" w14:textId="4BF0AD43" w:rsidR="00284145" w:rsidRPr="00C55A3B" w:rsidRDefault="00E50A74" w:rsidP="00530866">
      <w:pPr>
        <w:pStyle w:val="3-BodyText"/>
      </w:pPr>
      <w:r w:rsidRPr="0098262F">
        <w:t xml:space="preserve">The submission nominated </w:t>
      </w:r>
      <w:r w:rsidR="00CE0A18">
        <w:t>PDC</w:t>
      </w:r>
      <w:r w:rsidR="00B8767F">
        <w:t xml:space="preserve"> </w:t>
      </w:r>
      <w:r>
        <w:t xml:space="preserve">and ABCP therapies </w:t>
      </w:r>
      <w:r w:rsidRPr="0098262F">
        <w:t>as the main comparator</w:t>
      </w:r>
      <w:r>
        <w:t>s</w:t>
      </w:r>
      <w:r w:rsidRPr="0098262F">
        <w:t xml:space="preserve">. The main arguments provided in support of this nomination were </w:t>
      </w:r>
      <w:r>
        <w:t xml:space="preserve">that </w:t>
      </w:r>
      <w:r w:rsidR="00CE0A18">
        <w:t>PD</w:t>
      </w:r>
      <w:r w:rsidR="00B8767F">
        <w:t>C</w:t>
      </w:r>
      <w:r>
        <w:t xml:space="preserve"> and ABCP were among the </w:t>
      </w:r>
      <w:proofErr w:type="gramStart"/>
      <w:r>
        <w:t>most commonly used</w:t>
      </w:r>
      <w:proofErr w:type="gramEnd"/>
      <w:r>
        <w:t xml:space="preserve"> regimens </w:t>
      </w:r>
      <w:r w:rsidR="00292403">
        <w:t xml:space="preserve">in </w:t>
      </w:r>
      <w:r>
        <w:t xml:space="preserve">patients that have progressed on or after osimertinib based on PBS data </w:t>
      </w:r>
      <w:r w:rsidR="1663956B">
        <w:t xml:space="preserve">provided by the </w:t>
      </w:r>
      <w:r>
        <w:t xml:space="preserve">DUSC </w:t>
      </w:r>
      <w:r w:rsidR="1663956B">
        <w:t xml:space="preserve">Secretariat </w:t>
      </w:r>
      <w:r>
        <w:t xml:space="preserve">and the </w:t>
      </w:r>
      <w:proofErr w:type="spellStart"/>
      <w:r>
        <w:t>AUstralian</w:t>
      </w:r>
      <w:proofErr w:type="spellEnd"/>
      <w:r>
        <w:t xml:space="preserve"> Registry and </w:t>
      </w:r>
      <w:proofErr w:type="spellStart"/>
      <w:r>
        <w:t>biObank</w:t>
      </w:r>
      <w:proofErr w:type="spellEnd"/>
      <w:r>
        <w:t xml:space="preserve"> of thoracic </w:t>
      </w:r>
      <w:proofErr w:type="spellStart"/>
      <w:r>
        <w:t>cAncers</w:t>
      </w:r>
      <w:proofErr w:type="spellEnd"/>
      <w:r>
        <w:t xml:space="preserve"> (AURORA) study. </w:t>
      </w:r>
      <w:r w:rsidRPr="00C55A3B">
        <w:t>AURORA is a multi-site longitudinal cohort study enrolling patients with thoracic malignancies from eight Australian hospitals across three states (Victoria, New South Wales, Western Australia).</w:t>
      </w:r>
      <w:r w:rsidRPr="00C55A3B">
        <w:rPr>
          <w:rStyle w:val="FootnoteReference"/>
        </w:rPr>
        <w:footnoteReference w:id="7"/>
      </w:r>
      <w:r w:rsidRPr="00C55A3B">
        <w:rPr>
          <w:vertAlign w:val="superscript"/>
        </w:rPr>
        <w:t>,</w:t>
      </w:r>
      <w:r w:rsidRPr="00C55A3B">
        <w:rPr>
          <w:rStyle w:val="FootnoteReference"/>
        </w:rPr>
        <w:footnoteReference w:id="8"/>
      </w:r>
      <w:r w:rsidRPr="00C55A3B">
        <w:t xml:space="preserve"> </w:t>
      </w:r>
    </w:p>
    <w:p w14:paraId="15C83954" w14:textId="5B0675E8" w:rsidR="00E50A74" w:rsidRPr="00C55A3B" w:rsidRDefault="00E50A74" w:rsidP="00530866">
      <w:pPr>
        <w:pStyle w:val="3-BodyText"/>
      </w:pPr>
      <w:bookmarkStart w:id="36" w:name="_Ref221786857"/>
      <w:bookmarkStart w:id="37" w:name="_Ref216183640"/>
      <w:r>
        <w:t xml:space="preserve">The 100% PBS data </w:t>
      </w:r>
      <w:r w:rsidR="002E16DB">
        <w:t xml:space="preserve">analysis </w:t>
      </w:r>
      <w:r>
        <w:t xml:space="preserve">included in the submission suggest that a large proportion (59.2%) of patients were re-treated with osimertinib post-osimertinib initiation, </w:t>
      </w:r>
      <w:r>
        <w:lastRenderedPageBreak/>
        <w:t xml:space="preserve">despite not being permitted on the PBS. The next </w:t>
      </w:r>
      <w:proofErr w:type="gramStart"/>
      <w:r>
        <w:t>most commonly used</w:t>
      </w:r>
      <w:proofErr w:type="gramEnd"/>
      <w:r>
        <w:t xml:space="preserve"> options were </w:t>
      </w:r>
      <w:r w:rsidR="00CE0A18">
        <w:t>PDC</w:t>
      </w:r>
      <w:r>
        <w:t xml:space="preserve"> and ABCP</w:t>
      </w:r>
      <w:r w:rsidRPr="008415FB">
        <w:t xml:space="preserve"> </w:t>
      </w:r>
      <w:r>
        <w:t>accounting for 16.1% and 11.5% of subsequent treatment utilisation respectively. Data from the AURORA study indicates that most patients were treated with ABCP (28.3%) as the second-line treatment option post-osimertinib progression followed by chemotherapy (19.8%)</w:t>
      </w:r>
      <w:r w:rsidR="00620783">
        <w:t xml:space="preserve">. </w:t>
      </w:r>
      <w:bookmarkEnd w:id="36"/>
      <w:bookmarkEnd w:id="37"/>
    </w:p>
    <w:p w14:paraId="2714ECDD" w14:textId="31E3CF14" w:rsidR="00E50A74" w:rsidRDefault="00E50A74" w:rsidP="00530866">
      <w:pPr>
        <w:pStyle w:val="3-BodyText"/>
      </w:pPr>
      <w:r>
        <w:t xml:space="preserve">The submission proposed a comparator split of 83.08% for ABCP and 16.92% for </w:t>
      </w:r>
      <w:r w:rsidR="00CE0A18">
        <w:t>PDC</w:t>
      </w:r>
      <w:r>
        <w:t xml:space="preserve"> based on its analysis of the 100% PBS data from DUSC, derived as shown in </w:t>
      </w:r>
      <w:r>
        <w:fldChar w:fldCharType="begin"/>
      </w:r>
      <w:r>
        <w:instrText xml:space="preserve"> REF _Ref215236396 \h </w:instrText>
      </w:r>
      <w:r>
        <w:fldChar w:fldCharType="separate"/>
      </w:r>
      <w:r w:rsidR="00A572FC">
        <w:t xml:space="preserve">Table </w:t>
      </w:r>
      <w:r w:rsidR="00A572FC">
        <w:rPr>
          <w:noProof/>
        </w:rPr>
        <w:t>2</w:t>
      </w:r>
      <w:r>
        <w:fldChar w:fldCharType="end"/>
      </w:r>
      <w:r>
        <w:t>.</w:t>
      </w:r>
    </w:p>
    <w:p w14:paraId="68CF9075" w14:textId="437F3536" w:rsidR="00E50A74" w:rsidRDefault="00421D9D" w:rsidP="00530866">
      <w:pPr>
        <w:pStyle w:val="Caption"/>
      </w:pPr>
      <w:bookmarkStart w:id="38" w:name="_Ref218848479"/>
      <w:r>
        <w:t xml:space="preserve">Table </w:t>
      </w:r>
      <w:fldSimple w:instr=" SEQ Table \* ARABIC ">
        <w:r w:rsidR="00D97D5A">
          <w:rPr>
            <w:noProof/>
          </w:rPr>
          <w:t>2</w:t>
        </w:r>
      </w:fldSimple>
      <w:r w:rsidR="00E50A74">
        <w:t>: Derivation of proposed comparator split using PBS data</w:t>
      </w:r>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2: Derivation of proposed comparator split using PBS data"/>
      </w:tblPr>
      <w:tblGrid>
        <w:gridCol w:w="3235"/>
        <w:gridCol w:w="1156"/>
        <w:gridCol w:w="1158"/>
        <w:gridCol w:w="1156"/>
        <w:gridCol w:w="1158"/>
        <w:gridCol w:w="1154"/>
      </w:tblGrid>
      <w:tr w:rsidR="00E50A74" w:rsidRPr="00DA18C8" w14:paraId="1D5E2F43" w14:textId="77777777">
        <w:trPr>
          <w:trHeight w:val="555"/>
        </w:trPr>
        <w:tc>
          <w:tcPr>
            <w:tcW w:w="1794" w:type="pct"/>
            <w:noWrap/>
            <w:tcMar>
              <w:top w:w="0" w:type="dxa"/>
              <w:left w:w="108" w:type="dxa"/>
              <w:bottom w:w="0" w:type="dxa"/>
              <w:right w:w="108" w:type="dxa"/>
            </w:tcMar>
            <w:vAlign w:val="center"/>
            <w:hideMark/>
          </w:tcPr>
          <w:p w14:paraId="7DE5BEDA" w14:textId="77777777" w:rsidR="00E50A74" w:rsidRPr="00DA18C8" w:rsidRDefault="00E50A74" w:rsidP="00530866">
            <w:pPr>
              <w:pStyle w:val="TableText0"/>
            </w:pPr>
          </w:p>
        </w:tc>
        <w:tc>
          <w:tcPr>
            <w:tcW w:w="641" w:type="pct"/>
            <w:noWrap/>
            <w:tcMar>
              <w:top w:w="0" w:type="dxa"/>
              <w:left w:w="108" w:type="dxa"/>
              <w:bottom w:w="0" w:type="dxa"/>
              <w:right w:w="108" w:type="dxa"/>
            </w:tcMar>
            <w:vAlign w:val="center"/>
            <w:hideMark/>
          </w:tcPr>
          <w:p w14:paraId="71D7B60A" w14:textId="77777777" w:rsidR="00E50A74" w:rsidRDefault="00E50A74" w:rsidP="00530866">
            <w:pPr>
              <w:pStyle w:val="In-tableHeading"/>
              <w:jc w:val="center"/>
            </w:pPr>
            <w:r w:rsidRPr="00DA18C8">
              <w:t>Patient</w:t>
            </w:r>
          </w:p>
          <w:p w14:paraId="7B6F9FC8" w14:textId="77777777" w:rsidR="00E50A74" w:rsidRPr="00DA18C8" w:rsidRDefault="00E50A74" w:rsidP="00530866">
            <w:pPr>
              <w:pStyle w:val="In-tableHeading"/>
              <w:jc w:val="center"/>
            </w:pPr>
            <w:r w:rsidRPr="00DA18C8">
              <w:t>Initiations</w:t>
            </w:r>
          </w:p>
        </w:tc>
        <w:tc>
          <w:tcPr>
            <w:tcW w:w="642" w:type="pct"/>
            <w:noWrap/>
            <w:tcMar>
              <w:top w:w="0" w:type="dxa"/>
              <w:left w:w="108" w:type="dxa"/>
              <w:bottom w:w="0" w:type="dxa"/>
              <w:right w:w="108" w:type="dxa"/>
            </w:tcMar>
            <w:vAlign w:val="center"/>
            <w:hideMark/>
          </w:tcPr>
          <w:p w14:paraId="0451A921" w14:textId="77777777" w:rsidR="00E50A74" w:rsidRPr="00DA18C8" w:rsidRDefault="00E50A74" w:rsidP="00530866">
            <w:pPr>
              <w:pStyle w:val="In-tableHeading"/>
              <w:jc w:val="center"/>
            </w:pPr>
            <w:r w:rsidRPr="00DA18C8">
              <w:t>%</w:t>
            </w:r>
          </w:p>
        </w:tc>
        <w:tc>
          <w:tcPr>
            <w:tcW w:w="641" w:type="pct"/>
            <w:tcMar>
              <w:top w:w="0" w:type="dxa"/>
              <w:left w:w="108" w:type="dxa"/>
              <w:bottom w:w="0" w:type="dxa"/>
              <w:right w:w="108" w:type="dxa"/>
            </w:tcMar>
            <w:vAlign w:val="center"/>
            <w:hideMark/>
          </w:tcPr>
          <w:p w14:paraId="4BD21900" w14:textId="77777777" w:rsidR="00E50A74" w:rsidRPr="00DA18C8" w:rsidRDefault="00E50A74" w:rsidP="00530866">
            <w:pPr>
              <w:pStyle w:val="In-tableHeading"/>
              <w:jc w:val="center"/>
            </w:pPr>
            <w:r w:rsidRPr="00DA18C8">
              <w:t>Patient Initiations</w:t>
            </w:r>
          </w:p>
        </w:tc>
        <w:tc>
          <w:tcPr>
            <w:tcW w:w="642" w:type="pct"/>
            <w:tcMar>
              <w:top w:w="0" w:type="dxa"/>
              <w:left w:w="108" w:type="dxa"/>
              <w:bottom w:w="0" w:type="dxa"/>
              <w:right w:w="108" w:type="dxa"/>
            </w:tcMar>
            <w:vAlign w:val="center"/>
            <w:hideMark/>
          </w:tcPr>
          <w:p w14:paraId="5615EFD0" w14:textId="77777777" w:rsidR="00E50A74" w:rsidRPr="00DA18C8" w:rsidRDefault="00E50A74" w:rsidP="00530866">
            <w:pPr>
              <w:pStyle w:val="In-tableHeading"/>
              <w:jc w:val="center"/>
            </w:pPr>
            <w:r w:rsidRPr="00DA18C8">
              <w:t>Re</w:t>
            </w:r>
            <w:r>
              <w:t>-distributed</w:t>
            </w:r>
            <w:r w:rsidRPr="00DA18C8">
              <w:t xml:space="preserve"> %</w:t>
            </w:r>
          </w:p>
        </w:tc>
        <w:tc>
          <w:tcPr>
            <w:tcW w:w="640" w:type="pct"/>
          </w:tcPr>
          <w:p w14:paraId="229DDE19" w14:textId="77777777" w:rsidR="00E50A74" w:rsidRDefault="00E50A74" w:rsidP="00530866">
            <w:pPr>
              <w:pStyle w:val="In-tableHeading"/>
              <w:jc w:val="center"/>
            </w:pPr>
            <w:r w:rsidRPr="00852839">
              <w:t>Proposed comparator split</w:t>
            </w:r>
          </w:p>
        </w:tc>
      </w:tr>
      <w:tr w:rsidR="00E50A74" w:rsidRPr="00DA18C8" w14:paraId="55964E0A" w14:textId="77777777">
        <w:trPr>
          <w:trHeight w:val="312"/>
        </w:trPr>
        <w:tc>
          <w:tcPr>
            <w:tcW w:w="1794" w:type="pct"/>
            <w:noWrap/>
            <w:tcMar>
              <w:top w:w="0" w:type="dxa"/>
              <w:left w:w="108" w:type="dxa"/>
              <w:bottom w:w="0" w:type="dxa"/>
              <w:right w:w="108" w:type="dxa"/>
            </w:tcMar>
            <w:vAlign w:val="center"/>
            <w:hideMark/>
          </w:tcPr>
          <w:p w14:paraId="4147F070" w14:textId="77777777" w:rsidR="00E50A74" w:rsidRPr="00DA18C8" w:rsidRDefault="00E50A74" w:rsidP="00530866">
            <w:pPr>
              <w:pStyle w:val="TableText0"/>
              <w:rPr>
                <w:b/>
              </w:rPr>
            </w:pPr>
            <w:r w:rsidRPr="00DA18C8">
              <w:rPr>
                <w:b/>
              </w:rPr>
              <w:t>Osimertinib retreatment</w:t>
            </w:r>
          </w:p>
        </w:tc>
        <w:tc>
          <w:tcPr>
            <w:tcW w:w="641" w:type="pct"/>
            <w:noWrap/>
            <w:tcMar>
              <w:top w:w="0" w:type="dxa"/>
              <w:left w:w="108" w:type="dxa"/>
              <w:bottom w:w="0" w:type="dxa"/>
              <w:right w:w="108" w:type="dxa"/>
            </w:tcMar>
            <w:vAlign w:val="center"/>
            <w:hideMark/>
          </w:tcPr>
          <w:p w14:paraId="7FDFBD05" w14:textId="77777777" w:rsidR="00E50A74" w:rsidRPr="00DA18C8" w:rsidRDefault="00E50A74" w:rsidP="00530866">
            <w:pPr>
              <w:pStyle w:val="TableText0"/>
              <w:jc w:val="center"/>
            </w:pPr>
            <w:r w:rsidRPr="00DA18C8">
              <w:t>906</w:t>
            </w:r>
          </w:p>
        </w:tc>
        <w:tc>
          <w:tcPr>
            <w:tcW w:w="642" w:type="pct"/>
            <w:noWrap/>
            <w:tcMar>
              <w:top w:w="0" w:type="dxa"/>
              <w:left w:w="108" w:type="dxa"/>
              <w:bottom w:w="0" w:type="dxa"/>
              <w:right w:w="108" w:type="dxa"/>
            </w:tcMar>
            <w:vAlign w:val="center"/>
            <w:hideMark/>
          </w:tcPr>
          <w:p w14:paraId="45635BD5" w14:textId="77777777" w:rsidR="00E50A74" w:rsidRPr="00DA18C8" w:rsidRDefault="00E50A74" w:rsidP="00530866">
            <w:pPr>
              <w:pStyle w:val="TableText0"/>
              <w:jc w:val="center"/>
            </w:pPr>
            <w:r w:rsidRPr="00DA18C8">
              <w:t>59.</w:t>
            </w:r>
            <w:r>
              <w:t>18</w:t>
            </w:r>
            <w:r w:rsidRPr="00DA18C8">
              <w:t>%</w:t>
            </w:r>
          </w:p>
        </w:tc>
        <w:tc>
          <w:tcPr>
            <w:tcW w:w="641" w:type="pct"/>
            <w:tcMar>
              <w:top w:w="0" w:type="dxa"/>
              <w:left w:w="108" w:type="dxa"/>
              <w:bottom w:w="0" w:type="dxa"/>
              <w:right w:w="108" w:type="dxa"/>
            </w:tcMar>
            <w:vAlign w:val="center"/>
            <w:hideMark/>
          </w:tcPr>
          <w:p w14:paraId="0FC6CD54" w14:textId="77777777" w:rsidR="00E50A74" w:rsidRPr="00DA18C8" w:rsidRDefault="00E50A74" w:rsidP="00530866">
            <w:pPr>
              <w:pStyle w:val="TableText0"/>
              <w:jc w:val="center"/>
            </w:pPr>
            <w:r w:rsidRPr="00DA18C8">
              <w:t>906</w:t>
            </w:r>
          </w:p>
        </w:tc>
        <w:tc>
          <w:tcPr>
            <w:tcW w:w="642" w:type="pct"/>
            <w:tcMar>
              <w:top w:w="0" w:type="dxa"/>
              <w:left w:w="108" w:type="dxa"/>
              <w:bottom w:w="0" w:type="dxa"/>
              <w:right w:w="108" w:type="dxa"/>
            </w:tcMar>
            <w:vAlign w:val="center"/>
            <w:hideMark/>
          </w:tcPr>
          <w:p w14:paraId="58BFC5EA" w14:textId="77777777" w:rsidR="00E50A74" w:rsidRPr="00DA18C8" w:rsidRDefault="00E50A74" w:rsidP="00530866">
            <w:pPr>
              <w:pStyle w:val="TableText0"/>
              <w:jc w:val="center"/>
            </w:pPr>
            <w:r w:rsidRPr="00DA18C8">
              <w:t>62.3</w:t>
            </w:r>
            <w:r>
              <w:t>1</w:t>
            </w:r>
            <w:r w:rsidRPr="00DA18C8">
              <w:t>%</w:t>
            </w:r>
          </w:p>
        </w:tc>
        <w:tc>
          <w:tcPr>
            <w:tcW w:w="640" w:type="pct"/>
          </w:tcPr>
          <w:p w14:paraId="501876E7" w14:textId="77777777" w:rsidR="00E50A74" w:rsidRPr="00DA18C8" w:rsidRDefault="00E50A74" w:rsidP="00530866">
            <w:pPr>
              <w:pStyle w:val="TableText0"/>
              <w:jc w:val="center"/>
            </w:pPr>
            <w:r>
              <w:t>-</w:t>
            </w:r>
          </w:p>
        </w:tc>
      </w:tr>
      <w:tr w:rsidR="00E50A74" w:rsidRPr="00DA18C8" w14:paraId="77F1AF90" w14:textId="77777777">
        <w:trPr>
          <w:trHeight w:val="256"/>
        </w:trPr>
        <w:tc>
          <w:tcPr>
            <w:tcW w:w="1794" w:type="pct"/>
            <w:noWrap/>
            <w:tcMar>
              <w:top w:w="0" w:type="dxa"/>
              <w:left w:w="108" w:type="dxa"/>
              <w:bottom w:w="0" w:type="dxa"/>
              <w:right w:w="108" w:type="dxa"/>
            </w:tcMar>
            <w:vAlign w:val="center"/>
            <w:hideMark/>
          </w:tcPr>
          <w:p w14:paraId="023CB279" w14:textId="77777777" w:rsidR="00E50A74" w:rsidRPr="00DA18C8" w:rsidRDefault="00E50A74" w:rsidP="00530866">
            <w:pPr>
              <w:pStyle w:val="TableText0"/>
              <w:rPr>
                <w:b/>
              </w:rPr>
            </w:pPr>
            <w:r w:rsidRPr="00DA18C8">
              <w:rPr>
                <w:b/>
              </w:rPr>
              <w:t>Platinum based chemotherapy doublet</w:t>
            </w:r>
          </w:p>
        </w:tc>
        <w:tc>
          <w:tcPr>
            <w:tcW w:w="641" w:type="pct"/>
            <w:noWrap/>
            <w:tcMar>
              <w:top w:w="0" w:type="dxa"/>
              <w:left w:w="108" w:type="dxa"/>
              <w:bottom w:w="0" w:type="dxa"/>
              <w:right w:w="108" w:type="dxa"/>
            </w:tcMar>
            <w:vAlign w:val="center"/>
            <w:hideMark/>
          </w:tcPr>
          <w:p w14:paraId="6D978174" w14:textId="77777777" w:rsidR="00E50A74" w:rsidRPr="00DA18C8" w:rsidRDefault="00E50A74" w:rsidP="00530866">
            <w:pPr>
              <w:pStyle w:val="TableText0"/>
              <w:jc w:val="center"/>
            </w:pPr>
            <w:r w:rsidRPr="00DA18C8">
              <w:t>246</w:t>
            </w:r>
          </w:p>
        </w:tc>
        <w:tc>
          <w:tcPr>
            <w:tcW w:w="642" w:type="pct"/>
            <w:noWrap/>
            <w:tcMar>
              <w:top w:w="0" w:type="dxa"/>
              <w:left w:w="108" w:type="dxa"/>
              <w:bottom w:w="0" w:type="dxa"/>
              <w:right w:w="108" w:type="dxa"/>
            </w:tcMar>
            <w:vAlign w:val="center"/>
            <w:hideMark/>
          </w:tcPr>
          <w:p w14:paraId="684E3381" w14:textId="77777777" w:rsidR="00E50A74" w:rsidRPr="00DA18C8" w:rsidRDefault="00E50A74" w:rsidP="00530866">
            <w:pPr>
              <w:pStyle w:val="TableText0"/>
              <w:jc w:val="center"/>
            </w:pPr>
            <w:r w:rsidRPr="00DA18C8">
              <w:t>16.</w:t>
            </w:r>
            <w:r>
              <w:t>07</w:t>
            </w:r>
            <w:r w:rsidRPr="00DA18C8">
              <w:t>%</w:t>
            </w:r>
          </w:p>
        </w:tc>
        <w:tc>
          <w:tcPr>
            <w:tcW w:w="641" w:type="pct"/>
            <w:tcMar>
              <w:top w:w="0" w:type="dxa"/>
              <w:left w:w="108" w:type="dxa"/>
              <w:bottom w:w="0" w:type="dxa"/>
              <w:right w:w="108" w:type="dxa"/>
            </w:tcMar>
            <w:vAlign w:val="center"/>
            <w:hideMark/>
          </w:tcPr>
          <w:p w14:paraId="1B1AD014" w14:textId="77777777" w:rsidR="00E50A74" w:rsidRPr="00DA18C8" w:rsidRDefault="00E50A74" w:rsidP="00530866">
            <w:pPr>
              <w:pStyle w:val="TableText0"/>
              <w:jc w:val="center"/>
            </w:pPr>
            <w:r w:rsidRPr="00DA18C8">
              <w:t>246</w:t>
            </w:r>
          </w:p>
        </w:tc>
        <w:tc>
          <w:tcPr>
            <w:tcW w:w="642" w:type="pct"/>
            <w:tcMar>
              <w:top w:w="0" w:type="dxa"/>
              <w:left w:w="108" w:type="dxa"/>
              <w:bottom w:w="0" w:type="dxa"/>
              <w:right w:w="108" w:type="dxa"/>
            </w:tcMar>
            <w:vAlign w:val="center"/>
            <w:hideMark/>
          </w:tcPr>
          <w:p w14:paraId="6EAD5E8A" w14:textId="77777777" w:rsidR="00E50A74" w:rsidRPr="00DA18C8" w:rsidRDefault="00E50A74" w:rsidP="00530866">
            <w:pPr>
              <w:pStyle w:val="TableText0"/>
              <w:jc w:val="center"/>
            </w:pPr>
            <w:r w:rsidRPr="00DA18C8">
              <w:t>16.9</w:t>
            </w:r>
            <w:r>
              <w:t>2</w:t>
            </w:r>
            <w:r w:rsidRPr="00DA18C8">
              <w:t>%</w:t>
            </w:r>
          </w:p>
        </w:tc>
        <w:tc>
          <w:tcPr>
            <w:tcW w:w="640" w:type="pct"/>
            <w:vAlign w:val="center"/>
          </w:tcPr>
          <w:p w14:paraId="0C10B4B8" w14:textId="77777777" w:rsidR="00E50A74" w:rsidRPr="00DA18C8" w:rsidRDefault="00E50A74" w:rsidP="00530866">
            <w:pPr>
              <w:pStyle w:val="TableText0"/>
              <w:jc w:val="center"/>
            </w:pPr>
            <w:r w:rsidRPr="00DA18C8">
              <w:t>16.9</w:t>
            </w:r>
            <w:r>
              <w:t>2</w:t>
            </w:r>
            <w:r w:rsidRPr="00DA18C8">
              <w:t>%</w:t>
            </w:r>
          </w:p>
        </w:tc>
      </w:tr>
      <w:tr w:rsidR="00E50A74" w:rsidRPr="00DA18C8" w14:paraId="159BBCC1" w14:textId="77777777">
        <w:trPr>
          <w:trHeight w:val="230"/>
        </w:trPr>
        <w:tc>
          <w:tcPr>
            <w:tcW w:w="1794" w:type="pct"/>
            <w:noWrap/>
            <w:tcMar>
              <w:top w:w="0" w:type="dxa"/>
              <w:left w:w="108" w:type="dxa"/>
              <w:bottom w:w="0" w:type="dxa"/>
              <w:right w:w="108" w:type="dxa"/>
            </w:tcMar>
            <w:vAlign w:val="center"/>
            <w:hideMark/>
          </w:tcPr>
          <w:p w14:paraId="0DE91469" w14:textId="77777777" w:rsidR="00E50A74" w:rsidRPr="00DA18C8" w:rsidRDefault="00E50A74" w:rsidP="00530866">
            <w:pPr>
              <w:pStyle w:val="TableText0"/>
              <w:rPr>
                <w:b/>
              </w:rPr>
            </w:pPr>
            <w:r w:rsidRPr="00DA18C8">
              <w:rPr>
                <w:b/>
              </w:rPr>
              <w:t>ABCP</w:t>
            </w:r>
          </w:p>
        </w:tc>
        <w:tc>
          <w:tcPr>
            <w:tcW w:w="641" w:type="pct"/>
            <w:noWrap/>
            <w:tcMar>
              <w:top w:w="0" w:type="dxa"/>
              <w:left w:w="108" w:type="dxa"/>
              <w:bottom w:w="0" w:type="dxa"/>
              <w:right w:w="108" w:type="dxa"/>
            </w:tcMar>
            <w:vAlign w:val="center"/>
            <w:hideMark/>
          </w:tcPr>
          <w:p w14:paraId="41C0C59A" w14:textId="77777777" w:rsidR="00E50A74" w:rsidRPr="00DA18C8" w:rsidRDefault="00E50A74" w:rsidP="00530866">
            <w:pPr>
              <w:pStyle w:val="TableText0"/>
              <w:jc w:val="center"/>
            </w:pPr>
            <w:r w:rsidRPr="00DA18C8">
              <w:t>176</w:t>
            </w:r>
          </w:p>
        </w:tc>
        <w:tc>
          <w:tcPr>
            <w:tcW w:w="642" w:type="pct"/>
            <w:noWrap/>
            <w:tcMar>
              <w:top w:w="0" w:type="dxa"/>
              <w:left w:w="108" w:type="dxa"/>
              <w:bottom w:w="0" w:type="dxa"/>
              <w:right w:w="108" w:type="dxa"/>
            </w:tcMar>
            <w:vAlign w:val="center"/>
            <w:hideMark/>
          </w:tcPr>
          <w:p w14:paraId="1B698D66" w14:textId="77777777" w:rsidR="00E50A74" w:rsidRPr="00DA18C8" w:rsidRDefault="00E50A74" w:rsidP="00530866">
            <w:pPr>
              <w:pStyle w:val="TableText0"/>
              <w:jc w:val="center"/>
            </w:pPr>
            <w:r w:rsidRPr="00DA18C8">
              <w:t>11.5</w:t>
            </w:r>
            <w:r>
              <w:t>0</w:t>
            </w:r>
            <w:r w:rsidRPr="00DA18C8">
              <w:t>%</w:t>
            </w:r>
          </w:p>
        </w:tc>
        <w:tc>
          <w:tcPr>
            <w:tcW w:w="641" w:type="pct"/>
            <w:tcMar>
              <w:top w:w="0" w:type="dxa"/>
              <w:left w:w="108" w:type="dxa"/>
              <w:bottom w:w="0" w:type="dxa"/>
              <w:right w:w="108" w:type="dxa"/>
            </w:tcMar>
            <w:vAlign w:val="center"/>
            <w:hideMark/>
          </w:tcPr>
          <w:p w14:paraId="3B623D79" w14:textId="77777777" w:rsidR="00E50A74" w:rsidRPr="00DA18C8" w:rsidRDefault="00E50A74" w:rsidP="00530866">
            <w:pPr>
              <w:pStyle w:val="TableText0"/>
              <w:jc w:val="center"/>
            </w:pPr>
            <w:r w:rsidRPr="00DA18C8">
              <w:t>176</w:t>
            </w:r>
          </w:p>
        </w:tc>
        <w:tc>
          <w:tcPr>
            <w:tcW w:w="642" w:type="pct"/>
            <w:tcMar>
              <w:top w:w="0" w:type="dxa"/>
              <w:left w:w="108" w:type="dxa"/>
              <w:bottom w:w="0" w:type="dxa"/>
              <w:right w:w="108" w:type="dxa"/>
            </w:tcMar>
            <w:vAlign w:val="center"/>
            <w:hideMark/>
          </w:tcPr>
          <w:p w14:paraId="42DD265F" w14:textId="77777777" w:rsidR="00E50A74" w:rsidRPr="00DA18C8" w:rsidRDefault="00E50A74" w:rsidP="00530866">
            <w:pPr>
              <w:pStyle w:val="TableText0"/>
              <w:jc w:val="center"/>
            </w:pPr>
            <w:r w:rsidRPr="00DA18C8">
              <w:t>12.1</w:t>
            </w:r>
            <w:r>
              <w:t>0</w:t>
            </w:r>
            <w:r w:rsidRPr="00DA18C8">
              <w:t>%</w:t>
            </w:r>
          </w:p>
        </w:tc>
        <w:tc>
          <w:tcPr>
            <w:tcW w:w="640" w:type="pct"/>
          </w:tcPr>
          <w:p w14:paraId="3915D511" w14:textId="77777777" w:rsidR="00E50A74" w:rsidRPr="00026991" w:rsidRDefault="00E50A74" w:rsidP="00530866">
            <w:pPr>
              <w:pStyle w:val="TableText0"/>
              <w:jc w:val="center"/>
              <w:rPr>
                <w:vertAlign w:val="superscript"/>
              </w:rPr>
            </w:pPr>
            <w:r>
              <w:t xml:space="preserve">83.03% </w:t>
            </w:r>
            <w:r>
              <w:rPr>
                <w:vertAlign w:val="superscript"/>
              </w:rPr>
              <w:t>c</w:t>
            </w:r>
          </w:p>
        </w:tc>
      </w:tr>
      <w:tr w:rsidR="00E50A74" w:rsidRPr="00DA18C8" w14:paraId="2CBE3245" w14:textId="77777777">
        <w:trPr>
          <w:trHeight w:val="249"/>
        </w:trPr>
        <w:tc>
          <w:tcPr>
            <w:tcW w:w="1794" w:type="pct"/>
            <w:noWrap/>
            <w:tcMar>
              <w:top w:w="0" w:type="dxa"/>
              <w:left w:w="108" w:type="dxa"/>
              <w:bottom w:w="0" w:type="dxa"/>
              <w:right w:w="108" w:type="dxa"/>
            </w:tcMar>
            <w:vAlign w:val="center"/>
            <w:hideMark/>
          </w:tcPr>
          <w:p w14:paraId="12A4E7D8" w14:textId="77777777" w:rsidR="00E50A74" w:rsidRPr="00DA18C8" w:rsidRDefault="00E50A74" w:rsidP="00530866">
            <w:pPr>
              <w:pStyle w:val="TableText0"/>
              <w:rPr>
                <w:b/>
              </w:rPr>
            </w:pPr>
            <w:r w:rsidRPr="00DA18C8">
              <w:rPr>
                <w:b/>
              </w:rPr>
              <w:t>1/2 Gen TKIs</w:t>
            </w:r>
          </w:p>
        </w:tc>
        <w:tc>
          <w:tcPr>
            <w:tcW w:w="641" w:type="pct"/>
            <w:noWrap/>
            <w:tcMar>
              <w:top w:w="0" w:type="dxa"/>
              <w:left w:w="108" w:type="dxa"/>
              <w:bottom w:w="0" w:type="dxa"/>
              <w:right w:w="108" w:type="dxa"/>
            </w:tcMar>
            <w:vAlign w:val="center"/>
            <w:hideMark/>
          </w:tcPr>
          <w:p w14:paraId="5B5F17FE" w14:textId="77777777" w:rsidR="00E50A74" w:rsidRPr="00DA18C8" w:rsidRDefault="00E50A74" w:rsidP="00530866">
            <w:pPr>
              <w:pStyle w:val="TableText0"/>
              <w:jc w:val="center"/>
            </w:pPr>
            <w:r w:rsidRPr="00DA18C8">
              <w:t>70</w:t>
            </w:r>
          </w:p>
        </w:tc>
        <w:tc>
          <w:tcPr>
            <w:tcW w:w="642" w:type="pct"/>
            <w:noWrap/>
            <w:tcMar>
              <w:top w:w="0" w:type="dxa"/>
              <w:left w:w="108" w:type="dxa"/>
              <w:bottom w:w="0" w:type="dxa"/>
              <w:right w:w="108" w:type="dxa"/>
            </w:tcMar>
            <w:vAlign w:val="center"/>
            <w:hideMark/>
          </w:tcPr>
          <w:p w14:paraId="6A2852E6" w14:textId="77777777" w:rsidR="00E50A74" w:rsidRPr="00DA18C8" w:rsidRDefault="00E50A74" w:rsidP="00530866">
            <w:pPr>
              <w:pStyle w:val="TableText0"/>
              <w:jc w:val="center"/>
            </w:pPr>
            <w:r w:rsidRPr="00DA18C8">
              <w:t>4.</w:t>
            </w:r>
            <w:r>
              <w:t>57</w:t>
            </w:r>
            <w:r w:rsidRPr="00DA18C8">
              <w:t>%</w:t>
            </w:r>
          </w:p>
        </w:tc>
        <w:tc>
          <w:tcPr>
            <w:tcW w:w="641" w:type="pct"/>
            <w:tcMar>
              <w:top w:w="0" w:type="dxa"/>
              <w:left w:w="108" w:type="dxa"/>
              <w:bottom w:w="0" w:type="dxa"/>
              <w:right w:w="108" w:type="dxa"/>
            </w:tcMar>
            <w:vAlign w:val="center"/>
            <w:hideMark/>
          </w:tcPr>
          <w:p w14:paraId="2801236A" w14:textId="77777777" w:rsidR="00E50A74" w:rsidRPr="00DA6A3A" w:rsidRDefault="00E50A74" w:rsidP="00530866">
            <w:pPr>
              <w:pStyle w:val="TableText0"/>
              <w:jc w:val="center"/>
            </w:pPr>
            <w:r w:rsidRPr="00DA6A3A">
              <w:t>70</w:t>
            </w:r>
          </w:p>
        </w:tc>
        <w:tc>
          <w:tcPr>
            <w:tcW w:w="642" w:type="pct"/>
            <w:tcMar>
              <w:top w:w="0" w:type="dxa"/>
              <w:left w:w="108" w:type="dxa"/>
              <w:bottom w:w="0" w:type="dxa"/>
              <w:right w:w="108" w:type="dxa"/>
            </w:tcMar>
            <w:vAlign w:val="center"/>
            <w:hideMark/>
          </w:tcPr>
          <w:p w14:paraId="4EB85586" w14:textId="77777777" w:rsidR="00E50A74" w:rsidRPr="00DA18C8" w:rsidRDefault="00E50A74" w:rsidP="00530866">
            <w:pPr>
              <w:pStyle w:val="TableText0"/>
              <w:jc w:val="center"/>
            </w:pPr>
            <w:r w:rsidRPr="00DA18C8">
              <w:t>4.8</w:t>
            </w:r>
            <w:r>
              <w:t>1</w:t>
            </w:r>
            <w:r w:rsidRPr="00DA18C8">
              <w:t>%</w:t>
            </w:r>
          </w:p>
        </w:tc>
        <w:tc>
          <w:tcPr>
            <w:tcW w:w="640" w:type="pct"/>
          </w:tcPr>
          <w:p w14:paraId="10B5E27B" w14:textId="77777777" w:rsidR="00E50A74" w:rsidRPr="00DA18C8" w:rsidRDefault="00E50A74" w:rsidP="00530866">
            <w:pPr>
              <w:pStyle w:val="TableText0"/>
              <w:jc w:val="center"/>
            </w:pPr>
            <w:r>
              <w:t>-</w:t>
            </w:r>
          </w:p>
        </w:tc>
      </w:tr>
      <w:tr w:rsidR="00E50A74" w:rsidRPr="00DA18C8" w14:paraId="2B8699FF" w14:textId="77777777">
        <w:trPr>
          <w:trHeight w:val="267"/>
        </w:trPr>
        <w:tc>
          <w:tcPr>
            <w:tcW w:w="1794" w:type="pct"/>
            <w:noWrap/>
            <w:tcMar>
              <w:top w:w="0" w:type="dxa"/>
              <w:left w:w="108" w:type="dxa"/>
              <w:bottom w:w="0" w:type="dxa"/>
              <w:right w:w="108" w:type="dxa"/>
            </w:tcMar>
            <w:vAlign w:val="center"/>
            <w:hideMark/>
          </w:tcPr>
          <w:p w14:paraId="179B53A4" w14:textId="77777777" w:rsidR="00E50A74" w:rsidRPr="00DA18C8" w:rsidRDefault="00E50A74" w:rsidP="00530866">
            <w:pPr>
              <w:pStyle w:val="TableText0"/>
              <w:rPr>
                <w:b/>
              </w:rPr>
            </w:pPr>
            <w:r w:rsidRPr="00DA18C8">
              <w:rPr>
                <w:b/>
              </w:rPr>
              <w:t>Single chemotherapy agent</w:t>
            </w:r>
          </w:p>
        </w:tc>
        <w:tc>
          <w:tcPr>
            <w:tcW w:w="641" w:type="pct"/>
            <w:noWrap/>
            <w:tcMar>
              <w:top w:w="0" w:type="dxa"/>
              <w:left w:w="108" w:type="dxa"/>
              <w:bottom w:w="0" w:type="dxa"/>
              <w:right w:w="108" w:type="dxa"/>
            </w:tcMar>
            <w:vAlign w:val="center"/>
            <w:hideMark/>
          </w:tcPr>
          <w:p w14:paraId="3CE47480" w14:textId="77777777" w:rsidR="00E50A74" w:rsidRPr="00DA18C8" w:rsidRDefault="00E50A74" w:rsidP="00530866">
            <w:pPr>
              <w:pStyle w:val="TableText0"/>
              <w:jc w:val="center"/>
            </w:pPr>
            <w:r w:rsidRPr="00DA18C8">
              <w:t>48</w:t>
            </w:r>
          </w:p>
        </w:tc>
        <w:tc>
          <w:tcPr>
            <w:tcW w:w="642" w:type="pct"/>
            <w:noWrap/>
            <w:tcMar>
              <w:top w:w="0" w:type="dxa"/>
              <w:left w:w="108" w:type="dxa"/>
              <w:bottom w:w="0" w:type="dxa"/>
              <w:right w:w="108" w:type="dxa"/>
            </w:tcMar>
            <w:vAlign w:val="center"/>
            <w:hideMark/>
          </w:tcPr>
          <w:p w14:paraId="235615A3" w14:textId="77777777" w:rsidR="00E50A74" w:rsidRPr="00DA18C8" w:rsidRDefault="00E50A74" w:rsidP="00530866">
            <w:pPr>
              <w:pStyle w:val="TableText0"/>
              <w:jc w:val="center"/>
            </w:pPr>
            <w:r w:rsidRPr="00DA18C8">
              <w:t>3.1</w:t>
            </w:r>
            <w:r>
              <w:t>4</w:t>
            </w:r>
            <w:r w:rsidRPr="00DA18C8">
              <w:t>%</w:t>
            </w:r>
          </w:p>
        </w:tc>
        <w:tc>
          <w:tcPr>
            <w:tcW w:w="641" w:type="pct"/>
            <w:tcMar>
              <w:top w:w="0" w:type="dxa"/>
              <w:left w:w="108" w:type="dxa"/>
              <w:bottom w:w="0" w:type="dxa"/>
              <w:right w:w="108" w:type="dxa"/>
            </w:tcMar>
            <w:vAlign w:val="center"/>
            <w:hideMark/>
          </w:tcPr>
          <w:p w14:paraId="3888DE77" w14:textId="77777777" w:rsidR="00E50A74" w:rsidRPr="00DA6A3A" w:rsidRDefault="00E50A74" w:rsidP="00530866">
            <w:pPr>
              <w:pStyle w:val="TableText0"/>
              <w:jc w:val="center"/>
            </w:pPr>
            <w:r w:rsidRPr="00DA6A3A">
              <w:t xml:space="preserve">Removed </w:t>
            </w:r>
            <w:r w:rsidRPr="00DA6A3A">
              <w:rPr>
                <w:vertAlign w:val="superscript"/>
              </w:rPr>
              <w:t>a</w:t>
            </w:r>
          </w:p>
        </w:tc>
        <w:tc>
          <w:tcPr>
            <w:tcW w:w="642" w:type="pct"/>
            <w:tcMar>
              <w:top w:w="0" w:type="dxa"/>
              <w:left w:w="108" w:type="dxa"/>
              <w:bottom w:w="0" w:type="dxa"/>
              <w:right w:w="108" w:type="dxa"/>
            </w:tcMar>
            <w:vAlign w:val="center"/>
            <w:hideMark/>
          </w:tcPr>
          <w:p w14:paraId="75CB434F" w14:textId="77777777" w:rsidR="00E50A74" w:rsidRPr="00DA18C8" w:rsidRDefault="00E50A74" w:rsidP="00530866">
            <w:pPr>
              <w:pStyle w:val="TableText0"/>
              <w:jc w:val="center"/>
            </w:pPr>
            <w:r w:rsidRPr="00DA18C8">
              <w:t>-</w:t>
            </w:r>
          </w:p>
        </w:tc>
        <w:tc>
          <w:tcPr>
            <w:tcW w:w="640" w:type="pct"/>
          </w:tcPr>
          <w:p w14:paraId="11E223DD" w14:textId="77777777" w:rsidR="00E50A74" w:rsidRPr="00DA18C8" w:rsidRDefault="00E50A74" w:rsidP="00530866">
            <w:pPr>
              <w:pStyle w:val="TableText0"/>
              <w:jc w:val="center"/>
            </w:pPr>
            <w:r>
              <w:t>-</w:t>
            </w:r>
          </w:p>
        </w:tc>
      </w:tr>
      <w:tr w:rsidR="00E50A74" w:rsidRPr="00DA18C8" w14:paraId="7CC2FA54" w14:textId="77777777">
        <w:trPr>
          <w:trHeight w:val="286"/>
        </w:trPr>
        <w:tc>
          <w:tcPr>
            <w:tcW w:w="1794" w:type="pct"/>
            <w:noWrap/>
            <w:tcMar>
              <w:top w:w="0" w:type="dxa"/>
              <w:left w:w="108" w:type="dxa"/>
              <w:bottom w:w="0" w:type="dxa"/>
              <w:right w:w="108" w:type="dxa"/>
            </w:tcMar>
            <w:vAlign w:val="center"/>
            <w:hideMark/>
          </w:tcPr>
          <w:p w14:paraId="65CE94C4" w14:textId="77777777" w:rsidR="00E50A74" w:rsidRPr="00DA18C8" w:rsidRDefault="00E50A74" w:rsidP="00530866">
            <w:pPr>
              <w:pStyle w:val="TableText0"/>
              <w:rPr>
                <w:b/>
              </w:rPr>
            </w:pPr>
            <w:r w:rsidRPr="00DA18C8">
              <w:rPr>
                <w:b/>
              </w:rPr>
              <w:t>IO Regimens</w:t>
            </w:r>
          </w:p>
        </w:tc>
        <w:tc>
          <w:tcPr>
            <w:tcW w:w="641" w:type="pct"/>
            <w:noWrap/>
            <w:tcMar>
              <w:top w:w="0" w:type="dxa"/>
              <w:left w:w="108" w:type="dxa"/>
              <w:bottom w:w="0" w:type="dxa"/>
              <w:right w:w="108" w:type="dxa"/>
            </w:tcMar>
            <w:vAlign w:val="center"/>
            <w:hideMark/>
          </w:tcPr>
          <w:p w14:paraId="412E07D5" w14:textId="77777777" w:rsidR="00E50A74" w:rsidRPr="00DA18C8" w:rsidRDefault="00E50A74" w:rsidP="00530866">
            <w:pPr>
              <w:pStyle w:val="TableText0"/>
              <w:jc w:val="center"/>
            </w:pPr>
            <w:r w:rsidRPr="00DA18C8">
              <w:t>36</w:t>
            </w:r>
          </w:p>
        </w:tc>
        <w:tc>
          <w:tcPr>
            <w:tcW w:w="642" w:type="pct"/>
            <w:noWrap/>
            <w:tcMar>
              <w:top w:w="0" w:type="dxa"/>
              <w:left w:w="108" w:type="dxa"/>
              <w:bottom w:w="0" w:type="dxa"/>
              <w:right w:w="108" w:type="dxa"/>
            </w:tcMar>
            <w:vAlign w:val="center"/>
            <w:hideMark/>
          </w:tcPr>
          <w:p w14:paraId="1DEF4E0C" w14:textId="77777777" w:rsidR="00E50A74" w:rsidRPr="00DA18C8" w:rsidRDefault="00E50A74" w:rsidP="00530866">
            <w:pPr>
              <w:pStyle w:val="TableText0"/>
              <w:jc w:val="center"/>
            </w:pPr>
            <w:r w:rsidRPr="00DA18C8">
              <w:t>2.</w:t>
            </w:r>
            <w:r>
              <w:t>35</w:t>
            </w:r>
            <w:r w:rsidRPr="00DA18C8">
              <w:t>%</w:t>
            </w:r>
          </w:p>
        </w:tc>
        <w:tc>
          <w:tcPr>
            <w:tcW w:w="641" w:type="pct"/>
            <w:tcMar>
              <w:top w:w="0" w:type="dxa"/>
              <w:left w:w="108" w:type="dxa"/>
              <w:bottom w:w="0" w:type="dxa"/>
              <w:right w:w="108" w:type="dxa"/>
            </w:tcMar>
            <w:vAlign w:val="center"/>
            <w:hideMark/>
          </w:tcPr>
          <w:p w14:paraId="0091E9C5" w14:textId="77777777" w:rsidR="00E50A74" w:rsidRPr="00DA6A3A" w:rsidRDefault="00E50A74" w:rsidP="00530866">
            <w:pPr>
              <w:pStyle w:val="TableText0"/>
              <w:jc w:val="center"/>
            </w:pPr>
            <w:r w:rsidRPr="00DA6A3A">
              <w:t>36</w:t>
            </w:r>
          </w:p>
        </w:tc>
        <w:tc>
          <w:tcPr>
            <w:tcW w:w="642" w:type="pct"/>
            <w:tcMar>
              <w:top w:w="0" w:type="dxa"/>
              <w:left w:w="108" w:type="dxa"/>
              <w:bottom w:w="0" w:type="dxa"/>
              <w:right w:w="108" w:type="dxa"/>
            </w:tcMar>
            <w:vAlign w:val="center"/>
            <w:hideMark/>
          </w:tcPr>
          <w:p w14:paraId="78C1E203" w14:textId="77777777" w:rsidR="00E50A74" w:rsidRPr="00DA18C8" w:rsidRDefault="00E50A74" w:rsidP="00530866">
            <w:pPr>
              <w:pStyle w:val="TableText0"/>
              <w:jc w:val="center"/>
            </w:pPr>
            <w:r w:rsidRPr="00DA18C8">
              <w:t>2.</w:t>
            </w:r>
            <w:r>
              <w:t>48</w:t>
            </w:r>
            <w:r w:rsidRPr="00DA18C8">
              <w:t>%</w:t>
            </w:r>
          </w:p>
        </w:tc>
        <w:tc>
          <w:tcPr>
            <w:tcW w:w="640" w:type="pct"/>
          </w:tcPr>
          <w:p w14:paraId="410876D1" w14:textId="77777777" w:rsidR="00E50A74" w:rsidRPr="00DA18C8" w:rsidRDefault="00E50A74" w:rsidP="00530866">
            <w:pPr>
              <w:pStyle w:val="TableText0"/>
              <w:jc w:val="center"/>
            </w:pPr>
            <w:r>
              <w:t>-</w:t>
            </w:r>
          </w:p>
        </w:tc>
      </w:tr>
      <w:tr w:rsidR="00E50A74" w:rsidRPr="00DA18C8" w14:paraId="25565054" w14:textId="77777777">
        <w:trPr>
          <w:trHeight w:val="261"/>
        </w:trPr>
        <w:tc>
          <w:tcPr>
            <w:tcW w:w="1794" w:type="pct"/>
            <w:noWrap/>
            <w:tcMar>
              <w:top w:w="0" w:type="dxa"/>
              <w:left w:w="108" w:type="dxa"/>
              <w:bottom w:w="0" w:type="dxa"/>
              <w:right w:w="108" w:type="dxa"/>
            </w:tcMar>
            <w:vAlign w:val="center"/>
            <w:hideMark/>
          </w:tcPr>
          <w:p w14:paraId="5F0A5084" w14:textId="77777777" w:rsidR="00E50A74" w:rsidRPr="00DA18C8" w:rsidRDefault="00E50A74" w:rsidP="00530866">
            <w:pPr>
              <w:pStyle w:val="TableText0"/>
              <w:rPr>
                <w:b/>
              </w:rPr>
            </w:pPr>
            <w:r w:rsidRPr="00DA18C8">
              <w:rPr>
                <w:b/>
              </w:rPr>
              <w:t>Other</w:t>
            </w:r>
          </w:p>
        </w:tc>
        <w:tc>
          <w:tcPr>
            <w:tcW w:w="641" w:type="pct"/>
            <w:noWrap/>
            <w:tcMar>
              <w:top w:w="0" w:type="dxa"/>
              <w:left w:w="108" w:type="dxa"/>
              <w:bottom w:w="0" w:type="dxa"/>
              <w:right w:w="108" w:type="dxa"/>
            </w:tcMar>
            <w:vAlign w:val="center"/>
            <w:hideMark/>
          </w:tcPr>
          <w:p w14:paraId="29BFB64A" w14:textId="77777777" w:rsidR="00E50A74" w:rsidRPr="00DA18C8" w:rsidRDefault="00E50A74" w:rsidP="00530866">
            <w:pPr>
              <w:pStyle w:val="TableText0"/>
              <w:jc w:val="center"/>
            </w:pPr>
            <w:r w:rsidRPr="00DA18C8">
              <w:t>29</w:t>
            </w:r>
          </w:p>
        </w:tc>
        <w:tc>
          <w:tcPr>
            <w:tcW w:w="642" w:type="pct"/>
            <w:noWrap/>
            <w:tcMar>
              <w:top w:w="0" w:type="dxa"/>
              <w:left w:w="108" w:type="dxa"/>
              <w:bottom w:w="0" w:type="dxa"/>
              <w:right w:w="108" w:type="dxa"/>
            </w:tcMar>
            <w:vAlign w:val="center"/>
            <w:hideMark/>
          </w:tcPr>
          <w:p w14:paraId="3AC102A9" w14:textId="77777777" w:rsidR="00E50A74" w:rsidRPr="00DA18C8" w:rsidRDefault="00E50A74" w:rsidP="00530866">
            <w:pPr>
              <w:pStyle w:val="TableText0"/>
              <w:jc w:val="center"/>
            </w:pPr>
            <w:r w:rsidRPr="00DA18C8">
              <w:t>1.</w:t>
            </w:r>
            <w:r>
              <w:t>89</w:t>
            </w:r>
            <w:r w:rsidRPr="00DA18C8">
              <w:t>%</w:t>
            </w:r>
          </w:p>
        </w:tc>
        <w:tc>
          <w:tcPr>
            <w:tcW w:w="641" w:type="pct"/>
            <w:tcMar>
              <w:top w:w="0" w:type="dxa"/>
              <w:left w:w="108" w:type="dxa"/>
              <w:bottom w:w="0" w:type="dxa"/>
              <w:right w:w="108" w:type="dxa"/>
            </w:tcMar>
            <w:vAlign w:val="center"/>
            <w:hideMark/>
          </w:tcPr>
          <w:p w14:paraId="198FD5B4" w14:textId="77777777" w:rsidR="00E50A74" w:rsidRPr="00DA6A3A" w:rsidRDefault="00E50A74" w:rsidP="00530866">
            <w:pPr>
              <w:pStyle w:val="TableText0"/>
              <w:jc w:val="center"/>
            </w:pPr>
            <w:r w:rsidRPr="00DA6A3A">
              <w:t>Removed</w:t>
            </w:r>
            <w:r w:rsidRPr="00DA6A3A">
              <w:rPr>
                <w:vertAlign w:val="superscript"/>
              </w:rPr>
              <w:t xml:space="preserve"> b</w:t>
            </w:r>
          </w:p>
        </w:tc>
        <w:tc>
          <w:tcPr>
            <w:tcW w:w="642" w:type="pct"/>
            <w:tcMar>
              <w:top w:w="0" w:type="dxa"/>
              <w:left w:w="108" w:type="dxa"/>
              <w:bottom w:w="0" w:type="dxa"/>
              <w:right w:w="108" w:type="dxa"/>
            </w:tcMar>
            <w:vAlign w:val="center"/>
            <w:hideMark/>
          </w:tcPr>
          <w:p w14:paraId="3E0618BB" w14:textId="77777777" w:rsidR="00E50A74" w:rsidRPr="00DA18C8" w:rsidRDefault="00E50A74" w:rsidP="00530866">
            <w:pPr>
              <w:pStyle w:val="TableText0"/>
              <w:jc w:val="center"/>
            </w:pPr>
            <w:r w:rsidRPr="00DA18C8">
              <w:t>-</w:t>
            </w:r>
          </w:p>
        </w:tc>
        <w:tc>
          <w:tcPr>
            <w:tcW w:w="640" w:type="pct"/>
          </w:tcPr>
          <w:p w14:paraId="0AEF9C92" w14:textId="77777777" w:rsidR="00E50A74" w:rsidRPr="00DA18C8" w:rsidRDefault="00E50A74" w:rsidP="00530866">
            <w:pPr>
              <w:pStyle w:val="TableText0"/>
              <w:jc w:val="center"/>
            </w:pPr>
            <w:r>
              <w:t>-</w:t>
            </w:r>
          </w:p>
        </w:tc>
      </w:tr>
      <w:tr w:rsidR="00E50A74" w:rsidRPr="00DA18C8" w14:paraId="4F29CAF4" w14:textId="77777777">
        <w:trPr>
          <w:trHeight w:val="266"/>
        </w:trPr>
        <w:tc>
          <w:tcPr>
            <w:tcW w:w="1794" w:type="pct"/>
            <w:noWrap/>
            <w:tcMar>
              <w:top w:w="0" w:type="dxa"/>
              <w:left w:w="108" w:type="dxa"/>
              <w:bottom w:w="0" w:type="dxa"/>
              <w:right w:w="108" w:type="dxa"/>
            </w:tcMar>
            <w:vAlign w:val="center"/>
            <w:hideMark/>
          </w:tcPr>
          <w:p w14:paraId="7B545E55" w14:textId="77777777" w:rsidR="00E50A74" w:rsidRPr="00DA18C8" w:rsidRDefault="00E50A74" w:rsidP="00530866">
            <w:pPr>
              <w:pStyle w:val="TableText0"/>
              <w:rPr>
                <w:b/>
              </w:rPr>
            </w:pPr>
            <w:r w:rsidRPr="00DA18C8">
              <w:rPr>
                <w:b/>
              </w:rPr>
              <w:t>Bev regimens</w:t>
            </w:r>
          </w:p>
        </w:tc>
        <w:tc>
          <w:tcPr>
            <w:tcW w:w="641" w:type="pct"/>
            <w:noWrap/>
            <w:tcMar>
              <w:top w:w="0" w:type="dxa"/>
              <w:left w:w="108" w:type="dxa"/>
              <w:bottom w:w="0" w:type="dxa"/>
              <w:right w:w="108" w:type="dxa"/>
            </w:tcMar>
            <w:vAlign w:val="center"/>
            <w:hideMark/>
          </w:tcPr>
          <w:p w14:paraId="6EB3EF71" w14:textId="77777777" w:rsidR="00E50A74" w:rsidRPr="00DA18C8" w:rsidRDefault="00E50A74" w:rsidP="00530866">
            <w:pPr>
              <w:pStyle w:val="TableText0"/>
              <w:jc w:val="center"/>
            </w:pPr>
            <w:r w:rsidRPr="00DA18C8">
              <w:t>20</w:t>
            </w:r>
          </w:p>
        </w:tc>
        <w:tc>
          <w:tcPr>
            <w:tcW w:w="642" w:type="pct"/>
            <w:noWrap/>
            <w:tcMar>
              <w:top w:w="0" w:type="dxa"/>
              <w:left w:w="108" w:type="dxa"/>
              <w:bottom w:w="0" w:type="dxa"/>
              <w:right w:w="108" w:type="dxa"/>
            </w:tcMar>
            <w:vAlign w:val="center"/>
            <w:hideMark/>
          </w:tcPr>
          <w:p w14:paraId="07F5B8F7" w14:textId="77777777" w:rsidR="00E50A74" w:rsidRPr="00DA18C8" w:rsidRDefault="00E50A74" w:rsidP="00530866">
            <w:pPr>
              <w:pStyle w:val="TableText0"/>
              <w:jc w:val="center"/>
            </w:pPr>
            <w:r w:rsidRPr="00DA18C8">
              <w:t>1.3</w:t>
            </w:r>
            <w:r>
              <w:t>1</w:t>
            </w:r>
            <w:r w:rsidRPr="00DA18C8">
              <w:t>%</w:t>
            </w:r>
          </w:p>
        </w:tc>
        <w:tc>
          <w:tcPr>
            <w:tcW w:w="641" w:type="pct"/>
            <w:tcMar>
              <w:top w:w="0" w:type="dxa"/>
              <w:left w:w="108" w:type="dxa"/>
              <w:bottom w:w="0" w:type="dxa"/>
              <w:right w:w="108" w:type="dxa"/>
            </w:tcMar>
            <w:vAlign w:val="center"/>
            <w:hideMark/>
          </w:tcPr>
          <w:p w14:paraId="78C59965" w14:textId="77777777" w:rsidR="00E50A74" w:rsidRPr="00DA18C8" w:rsidRDefault="00E50A74" w:rsidP="00530866">
            <w:pPr>
              <w:pStyle w:val="TableText0"/>
              <w:jc w:val="center"/>
            </w:pPr>
            <w:r w:rsidRPr="00DA18C8">
              <w:t>20</w:t>
            </w:r>
          </w:p>
        </w:tc>
        <w:tc>
          <w:tcPr>
            <w:tcW w:w="642" w:type="pct"/>
            <w:tcMar>
              <w:top w:w="0" w:type="dxa"/>
              <w:left w:w="108" w:type="dxa"/>
              <w:bottom w:w="0" w:type="dxa"/>
              <w:right w:w="108" w:type="dxa"/>
            </w:tcMar>
            <w:vAlign w:val="center"/>
            <w:hideMark/>
          </w:tcPr>
          <w:p w14:paraId="4F9AA456" w14:textId="77777777" w:rsidR="00E50A74" w:rsidRPr="00DA18C8" w:rsidRDefault="00E50A74" w:rsidP="00530866">
            <w:pPr>
              <w:pStyle w:val="TableText0"/>
              <w:jc w:val="center"/>
            </w:pPr>
            <w:r w:rsidRPr="00DA18C8">
              <w:t>1.</w:t>
            </w:r>
            <w:r>
              <w:t>38</w:t>
            </w:r>
            <w:r w:rsidRPr="00DA18C8">
              <w:t>%</w:t>
            </w:r>
          </w:p>
        </w:tc>
        <w:tc>
          <w:tcPr>
            <w:tcW w:w="640" w:type="pct"/>
          </w:tcPr>
          <w:p w14:paraId="7A9F5FC4" w14:textId="77777777" w:rsidR="00E50A74" w:rsidRPr="00DA18C8" w:rsidRDefault="00E50A74" w:rsidP="00530866">
            <w:pPr>
              <w:pStyle w:val="TableText0"/>
              <w:jc w:val="center"/>
            </w:pPr>
            <w:r>
              <w:t>-</w:t>
            </w:r>
          </w:p>
        </w:tc>
      </w:tr>
      <w:tr w:rsidR="00E50A74" w:rsidRPr="00DA18C8" w14:paraId="513CEB50" w14:textId="77777777">
        <w:trPr>
          <w:trHeight w:val="255"/>
        </w:trPr>
        <w:tc>
          <w:tcPr>
            <w:tcW w:w="1794" w:type="pct"/>
            <w:noWrap/>
            <w:tcMar>
              <w:top w:w="0" w:type="dxa"/>
              <w:left w:w="108" w:type="dxa"/>
              <w:bottom w:w="0" w:type="dxa"/>
              <w:right w:w="108" w:type="dxa"/>
            </w:tcMar>
            <w:vAlign w:val="center"/>
            <w:hideMark/>
          </w:tcPr>
          <w:p w14:paraId="115BCA16" w14:textId="77777777" w:rsidR="00E50A74" w:rsidRPr="00DA18C8" w:rsidRDefault="00E50A74" w:rsidP="00530866">
            <w:pPr>
              <w:pStyle w:val="TableText0"/>
              <w:rPr>
                <w:b/>
              </w:rPr>
            </w:pPr>
            <w:r w:rsidRPr="00DA18C8">
              <w:rPr>
                <w:b/>
              </w:rPr>
              <w:t>TOTAL</w:t>
            </w:r>
          </w:p>
        </w:tc>
        <w:tc>
          <w:tcPr>
            <w:tcW w:w="641" w:type="pct"/>
            <w:noWrap/>
            <w:tcMar>
              <w:top w:w="0" w:type="dxa"/>
              <w:left w:w="108" w:type="dxa"/>
              <w:bottom w:w="0" w:type="dxa"/>
              <w:right w:w="108" w:type="dxa"/>
            </w:tcMar>
            <w:vAlign w:val="center"/>
            <w:hideMark/>
          </w:tcPr>
          <w:p w14:paraId="0964607F" w14:textId="77777777" w:rsidR="00E50A74" w:rsidRPr="00DA18C8" w:rsidRDefault="00E50A74" w:rsidP="00530866">
            <w:pPr>
              <w:pStyle w:val="TableText0"/>
              <w:jc w:val="center"/>
              <w:rPr>
                <w:b/>
              </w:rPr>
            </w:pPr>
            <w:r w:rsidRPr="00DA18C8">
              <w:rPr>
                <w:b/>
              </w:rPr>
              <w:t>1531</w:t>
            </w:r>
          </w:p>
        </w:tc>
        <w:tc>
          <w:tcPr>
            <w:tcW w:w="642" w:type="pct"/>
            <w:noWrap/>
            <w:tcMar>
              <w:top w:w="0" w:type="dxa"/>
              <w:left w:w="108" w:type="dxa"/>
              <w:bottom w:w="0" w:type="dxa"/>
              <w:right w:w="108" w:type="dxa"/>
            </w:tcMar>
            <w:vAlign w:val="center"/>
            <w:hideMark/>
          </w:tcPr>
          <w:p w14:paraId="6AD6ABF2" w14:textId="77777777" w:rsidR="00E50A74" w:rsidRPr="00DA18C8" w:rsidRDefault="00E50A74" w:rsidP="00530866">
            <w:pPr>
              <w:pStyle w:val="TableText0"/>
              <w:jc w:val="center"/>
              <w:rPr>
                <w:b/>
              </w:rPr>
            </w:pPr>
            <w:r w:rsidRPr="00DA18C8">
              <w:rPr>
                <w:b/>
              </w:rPr>
              <w:t>100.0%</w:t>
            </w:r>
          </w:p>
        </w:tc>
        <w:tc>
          <w:tcPr>
            <w:tcW w:w="641" w:type="pct"/>
            <w:tcMar>
              <w:top w:w="0" w:type="dxa"/>
              <w:left w:w="108" w:type="dxa"/>
              <w:bottom w:w="0" w:type="dxa"/>
              <w:right w:w="108" w:type="dxa"/>
            </w:tcMar>
            <w:vAlign w:val="center"/>
            <w:hideMark/>
          </w:tcPr>
          <w:p w14:paraId="488F4B84" w14:textId="77777777" w:rsidR="00E50A74" w:rsidRPr="00DA18C8" w:rsidRDefault="00E50A74" w:rsidP="00530866">
            <w:pPr>
              <w:pStyle w:val="TableText0"/>
              <w:jc w:val="center"/>
              <w:rPr>
                <w:b/>
              </w:rPr>
            </w:pPr>
            <w:r w:rsidRPr="00DA18C8">
              <w:rPr>
                <w:b/>
              </w:rPr>
              <w:t>1454</w:t>
            </w:r>
          </w:p>
        </w:tc>
        <w:tc>
          <w:tcPr>
            <w:tcW w:w="642" w:type="pct"/>
            <w:tcMar>
              <w:top w:w="0" w:type="dxa"/>
              <w:left w:w="108" w:type="dxa"/>
              <w:bottom w:w="0" w:type="dxa"/>
              <w:right w:w="108" w:type="dxa"/>
            </w:tcMar>
            <w:vAlign w:val="center"/>
            <w:hideMark/>
          </w:tcPr>
          <w:p w14:paraId="3C50D04F" w14:textId="77777777" w:rsidR="00E50A74" w:rsidRPr="00DA18C8" w:rsidRDefault="00E50A74" w:rsidP="00530866">
            <w:pPr>
              <w:pStyle w:val="TableText0"/>
              <w:jc w:val="center"/>
              <w:rPr>
                <w:b/>
              </w:rPr>
            </w:pPr>
            <w:r w:rsidRPr="00DA18C8">
              <w:rPr>
                <w:b/>
              </w:rPr>
              <w:t>100.0%</w:t>
            </w:r>
          </w:p>
        </w:tc>
        <w:tc>
          <w:tcPr>
            <w:tcW w:w="640" w:type="pct"/>
          </w:tcPr>
          <w:p w14:paraId="035439E0" w14:textId="77777777" w:rsidR="00E50A74" w:rsidRPr="00DA18C8" w:rsidRDefault="00E50A74" w:rsidP="00530866">
            <w:pPr>
              <w:pStyle w:val="TableText0"/>
              <w:jc w:val="center"/>
              <w:rPr>
                <w:b/>
              </w:rPr>
            </w:pPr>
            <w:r w:rsidRPr="00DA18C8">
              <w:rPr>
                <w:b/>
              </w:rPr>
              <w:t>100.0%</w:t>
            </w:r>
          </w:p>
        </w:tc>
      </w:tr>
    </w:tbl>
    <w:p w14:paraId="291C4AF6" w14:textId="77777777" w:rsidR="00E50A74" w:rsidRPr="00807B2D" w:rsidRDefault="00E50A74" w:rsidP="00530866">
      <w:pPr>
        <w:pStyle w:val="TableFigureFooter"/>
      </w:pPr>
      <w:r w:rsidRPr="00807B2D">
        <w:t>Source: Table 1.9, p55 of the submission</w:t>
      </w:r>
    </w:p>
    <w:p w14:paraId="3D748341" w14:textId="77777777" w:rsidR="00E50A74" w:rsidRDefault="00E50A74" w:rsidP="00530866">
      <w:pPr>
        <w:pStyle w:val="TableFigureFooter"/>
      </w:pPr>
      <w:r>
        <w:t>Abbreviations: ABCP = atezolizumab plus bevacizumab plus carboplatin plus paclitaxel; IO=</w:t>
      </w:r>
      <w:bookmarkStart w:id="39" w:name="_Int_2D4UzQbV"/>
      <w:r>
        <w:t>immune-oncology</w:t>
      </w:r>
      <w:bookmarkEnd w:id="39"/>
      <w:r>
        <w:t>; PBS= pharmaceutical benefit scheme; TKIs= tyrosine kinase inhibitors</w:t>
      </w:r>
    </w:p>
    <w:p w14:paraId="39DC1DD2" w14:textId="1116E493" w:rsidR="00E50A74" w:rsidRDefault="00E50A74" w:rsidP="00530866">
      <w:pPr>
        <w:pStyle w:val="TableFigureFooter"/>
      </w:pPr>
      <w:r>
        <w:rPr>
          <w:vertAlign w:val="superscript"/>
        </w:rPr>
        <w:t>a</w:t>
      </w:r>
      <w:r>
        <w:t xml:space="preserve"> Removed by the submission as assumed these patients would </w:t>
      </w:r>
      <w:r w:rsidRPr="004A61E6">
        <w:t xml:space="preserve">not fit enough to receive </w:t>
      </w:r>
      <w:r w:rsidR="00CE0A18">
        <w:t>PDC</w:t>
      </w:r>
      <w:r w:rsidRPr="004A61E6">
        <w:t xml:space="preserve"> regimens</w:t>
      </w:r>
      <w:r>
        <w:t>, thus would not be treated with AmiCP</w:t>
      </w:r>
    </w:p>
    <w:p w14:paraId="4C70C686" w14:textId="77777777" w:rsidR="00E50A74" w:rsidRDefault="00E50A74" w:rsidP="00530866">
      <w:pPr>
        <w:pStyle w:val="TableFigureFooter"/>
      </w:pPr>
      <w:r>
        <w:rPr>
          <w:vertAlign w:val="superscript"/>
        </w:rPr>
        <w:t xml:space="preserve">b </w:t>
      </w:r>
      <w:r>
        <w:t>Removed by the submission as were not considered treatments for NSCLC (</w:t>
      </w:r>
      <w:r w:rsidRPr="002F4D7E">
        <w:t xml:space="preserve">e.g., tamoxifen and </w:t>
      </w:r>
      <w:proofErr w:type="spellStart"/>
      <w:r w:rsidRPr="002F4D7E">
        <w:t>lipefilgrastim</w:t>
      </w:r>
      <w:proofErr w:type="spellEnd"/>
      <w:r>
        <w:t>)</w:t>
      </w:r>
    </w:p>
    <w:p w14:paraId="726CFC58" w14:textId="77777777" w:rsidR="00D32852" w:rsidRDefault="00E50A74" w:rsidP="00530866">
      <w:pPr>
        <w:pStyle w:val="TableFigureFooter"/>
      </w:pPr>
      <w:r>
        <w:rPr>
          <w:vertAlign w:val="superscript"/>
        </w:rPr>
        <w:t>c</w:t>
      </w:r>
      <w:r>
        <w:t xml:space="preserve"> ACBP proportion combines proportions from osimertinib retreatment, ABCP, 1/2 Gen TKIs, IO regiments and Bev regimens</w:t>
      </w:r>
      <w:r w:rsidR="00B17A92">
        <w:t xml:space="preserve">. </w:t>
      </w:r>
    </w:p>
    <w:p w14:paraId="1D7CD63A" w14:textId="54EFDDA5" w:rsidR="00E50A74" w:rsidRPr="00C55A3B" w:rsidRDefault="00B17A92" w:rsidP="00530866">
      <w:pPr>
        <w:pStyle w:val="TableFigureFooter"/>
      </w:pPr>
      <w:r w:rsidRPr="00C55A3B">
        <w:t xml:space="preserve">Note: Comparator split </w:t>
      </w:r>
      <w:r w:rsidR="00927945" w:rsidRPr="00C55A3B">
        <w:t xml:space="preserve">derived during the evaluation </w:t>
      </w:r>
      <w:r w:rsidRPr="00C55A3B">
        <w:t>based on ABCP</w:t>
      </w:r>
      <w:r w:rsidR="00795BC6" w:rsidRPr="00C55A3B">
        <w:t xml:space="preserve"> and </w:t>
      </w:r>
      <w:r w:rsidR="00CE0A18">
        <w:t>PDC</w:t>
      </w:r>
      <w:r w:rsidR="00795BC6" w:rsidRPr="00C55A3B">
        <w:t xml:space="preserve"> counts alone </w:t>
      </w:r>
      <w:r w:rsidR="00D32852" w:rsidRPr="00C55A3B">
        <w:t>was</w:t>
      </w:r>
      <w:r w:rsidR="00795BC6" w:rsidRPr="00C55A3B">
        <w:t xml:space="preserve"> based on </w:t>
      </w:r>
      <w:r w:rsidR="009845D7" w:rsidRPr="00C55A3B">
        <w:t xml:space="preserve">246 </w:t>
      </w:r>
      <w:r w:rsidR="00CE0A18">
        <w:t>PDC</w:t>
      </w:r>
      <w:r w:rsidR="009845D7" w:rsidRPr="00C55A3B">
        <w:t xml:space="preserve"> patients + 176</w:t>
      </w:r>
      <w:r w:rsidR="00B07A44" w:rsidRPr="00C55A3B">
        <w:t xml:space="preserve"> ABCP patients </w:t>
      </w:r>
      <w:r w:rsidR="00D32852" w:rsidRPr="00C55A3B">
        <w:t>(total = 422)</w:t>
      </w:r>
      <w:r w:rsidR="00B07A44" w:rsidRPr="00C55A3B">
        <w:t xml:space="preserve"> as the substituted population, with </w:t>
      </w:r>
      <w:r w:rsidR="00CE0A18">
        <w:t>PDC</w:t>
      </w:r>
      <w:r w:rsidR="000228A5" w:rsidRPr="00C55A3B">
        <w:t xml:space="preserve"> representing </w:t>
      </w:r>
      <w:r w:rsidR="00AD20C0" w:rsidRPr="00C55A3B">
        <w:t xml:space="preserve">58.3% </w:t>
      </w:r>
      <w:r w:rsidR="00D32852" w:rsidRPr="00C55A3B">
        <w:t>and ABCP 41.7%.</w:t>
      </w:r>
    </w:p>
    <w:p w14:paraId="593336DA" w14:textId="77777777" w:rsidR="00E50A74" w:rsidRPr="00C55A3B" w:rsidRDefault="00E50A74" w:rsidP="00530866">
      <w:pPr>
        <w:pStyle w:val="3-BodyText"/>
      </w:pPr>
      <w:bookmarkStart w:id="40" w:name="_Ref216274431"/>
      <w:r w:rsidRPr="00C55A3B">
        <w:t>There are several concerns with the submission’s approach to the proposed comparator split:</w:t>
      </w:r>
      <w:bookmarkEnd w:id="40"/>
    </w:p>
    <w:p w14:paraId="1CCC237D" w14:textId="1EAF7CAD" w:rsidR="00E50A74" w:rsidRPr="00C55A3B" w:rsidRDefault="00E50A74" w:rsidP="00530866">
      <w:pPr>
        <w:pStyle w:val="ListParagraph"/>
        <w:numPr>
          <w:ilvl w:val="0"/>
          <w:numId w:val="13"/>
        </w:numPr>
        <w:jc w:val="both"/>
      </w:pPr>
      <w:r w:rsidRPr="00C55A3B">
        <w:t xml:space="preserve">The submission assumed that all patients who received osimertinib re-treatment, first-/second-generation TKIs, immunotherapy and bevacizumab regimens would be included as part of the ABCP category as these were considered higher cost medicines compared to </w:t>
      </w:r>
      <w:r w:rsidR="00CE0A18">
        <w:t>PDC</w:t>
      </w:r>
      <w:r w:rsidRPr="00C55A3B">
        <w:t xml:space="preserve">. </w:t>
      </w:r>
    </w:p>
    <w:p w14:paraId="5E7A212A" w14:textId="142FAE6E" w:rsidR="00E50A74" w:rsidRDefault="00B11BD0" w:rsidP="00530866">
      <w:pPr>
        <w:pStyle w:val="ListParagraph"/>
        <w:numPr>
          <w:ilvl w:val="0"/>
          <w:numId w:val="13"/>
        </w:numPr>
        <w:jc w:val="both"/>
      </w:pPr>
      <w:r w:rsidRPr="00C55A3B">
        <w:t>The 100% PBS</w:t>
      </w:r>
      <w:r w:rsidR="00831283" w:rsidRPr="00C55A3B">
        <w:t xml:space="preserve"> data indicate</w:t>
      </w:r>
      <w:r w:rsidRPr="00C55A3B">
        <w:t>d</w:t>
      </w:r>
      <w:r w:rsidR="00831283" w:rsidRPr="00C55A3B">
        <w:t xml:space="preserve"> that a</w:t>
      </w:r>
      <w:r w:rsidR="00E50A74" w:rsidRPr="00C55A3B">
        <w:t xml:space="preserve"> proportion of patients </w:t>
      </w:r>
      <w:r w:rsidR="00831283" w:rsidRPr="00C55A3B">
        <w:t>may</w:t>
      </w:r>
      <w:r w:rsidR="00E50A74" w:rsidRPr="00C55A3B">
        <w:t xml:space="preserve"> be retreated with osimertinib despite it not being permitted on the PBS for this indication (see paragraph </w:t>
      </w:r>
      <w:r w:rsidR="00E50A74" w:rsidRPr="00C55A3B">
        <w:fldChar w:fldCharType="begin"/>
      </w:r>
      <w:r w:rsidR="00E50A74" w:rsidRPr="00C55A3B">
        <w:instrText xml:space="preserve"> REF _Ref216183640 \r \h </w:instrText>
      </w:r>
      <w:r w:rsidR="00C55A3B">
        <w:instrText xml:space="preserve"> \* MERGEFORMAT </w:instrText>
      </w:r>
      <w:r w:rsidR="00E50A74" w:rsidRPr="00C55A3B">
        <w:fldChar w:fldCharType="separate"/>
      </w:r>
      <w:r w:rsidR="00A572FC">
        <w:t>5.2</w:t>
      </w:r>
      <w:r w:rsidR="00E50A74" w:rsidRPr="00C55A3B">
        <w:fldChar w:fldCharType="end"/>
      </w:r>
      <w:r w:rsidR="00054DA5" w:rsidRPr="00C55A3B">
        <w:t>)</w:t>
      </w:r>
      <w:r w:rsidR="00E50A74" w:rsidRPr="00C55A3B">
        <w:t xml:space="preserve">. </w:t>
      </w:r>
      <w:r w:rsidR="00FE06D4">
        <w:t xml:space="preserve">The </w:t>
      </w:r>
      <w:r w:rsidR="0061185E" w:rsidRPr="0061185E">
        <w:t>evaluation considered the data may not fully represent retreatment but may include some miscoding.</w:t>
      </w:r>
    </w:p>
    <w:p w14:paraId="0B3A668A" w14:textId="0738025C" w:rsidR="00DA7DD2" w:rsidRPr="009C3174" w:rsidRDefault="00DD3406" w:rsidP="00530866">
      <w:pPr>
        <w:pStyle w:val="ListParagraph"/>
        <w:jc w:val="both"/>
      </w:pPr>
      <w:r w:rsidRPr="009C3174">
        <w:t xml:space="preserve">In the </w:t>
      </w:r>
      <w:r w:rsidR="002A51F6" w:rsidRPr="002A51F6">
        <w:t>Pre-Sub-Committee Response</w:t>
      </w:r>
      <w:r w:rsidR="002A51F6">
        <w:t xml:space="preserve"> (</w:t>
      </w:r>
      <w:r w:rsidRPr="009C3174">
        <w:t>PSCR</w:t>
      </w:r>
      <w:r w:rsidR="002A51F6">
        <w:t>)</w:t>
      </w:r>
      <w:r w:rsidRPr="009C3174">
        <w:t xml:space="preserve">, the sponsor cited the highly fragmented treatment utilisation </w:t>
      </w:r>
      <w:r w:rsidR="008162EB" w:rsidRPr="009C3174">
        <w:t xml:space="preserve">in the post-osimertinib </w:t>
      </w:r>
      <w:r w:rsidR="0005781B" w:rsidRPr="009C3174">
        <w:t>setting and</w:t>
      </w:r>
      <w:r w:rsidR="007C4D8A" w:rsidRPr="009C3174">
        <w:t xml:space="preserve"> considered</w:t>
      </w:r>
      <w:r w:rsidR="003B7588" w:rsidRPr="009C3174">
        <w:t xml:space="preserve"> the split of 83.08% for ABCP and 16.92% for </w:t>
      </w:r>
      <w:r w:rsidR="00CE0A18">
        <w:t>PDC</w:t>
      </w:r>
      <w:r w:rsidR="003B7588" w:rsidRPr="009C3174">
        <w:t xml:space="preserve"> to be</w:t>
      </w:r>
      <w:r w:rsidR="00120C7D" w:rsidRPr="009C3174">
        <w:t xml:space="preserve"> a</w:t>
      </w:r>
      <w:r w:rsidR="003B7588" w:rsidRPr="009C3174">
        <w:t xml:space="preserve"> pragmatic</w:t>
      </w:r>
      <w:r w:rsidR="00120C7D" w:rsidRPr="009C3174">
        <w:t xml:space="preserve"> approach</w:t>
      </w:r>
      <w:r w:rsidR="005C6ADF" w:rsidRPr="009C3174">
        <w:t>.</w:t>
      </w:r>
      <w:r w:rsidR="002E04EE">
        <w:t xml:space="preserve"> </w:t>
      </w:r>
    </w:p>
    <w:p w14:paraId="7B26009E" w14:textId="570EB848" w:rsidR="0062782D" w:rsidRPr="009C3174" w:rsidRDefault="00253138" w:rsidP="00530866">
      <w:pPr>
        <w:pStyle w:val="3-BodyText"/>
      </w:pPr>
      <w:r w:rsidRPr="009C3174">
        <w:t xml:space="preserve">The ESC </w:t>
      </w:r>
      <w:r w:rsidR="00C8243C" w:rsidRPr="009C3174">
        <w:t>noted the use of osimertinib in the retreatment setting was not permitted on the PBS and</w:t>
      </w:r>
      <w:r w:rsidR="005433C4" w:rsidRPr="009C3174">
        <w:t xml:space="preserve"> considered the high proportion of use in the analysis of PBS data was </w:t>
      </w:r>
      <w:r w:rsidR="005433C4" w:rsidRPr="009C3174">
        <w:lastRenderedPageBreak/>
        <w:t xml:space="preserve">likely due to miscoding. </w:t>
      </w:r>
      <w:r w:rsidR="003D4CE0" w:rsidRPr="009C3174">
        <w:t xml:space="preserve">Additionally, the ESC noted the </w:t>
      </w:r>
      <w:r w:rsidR="00C8243C" w:rsidRPr="009C3174">
        <w:t>cost-effectiveness of retreatment ha</w:t>
      </w:r>
      <w:r w:rsidR="003D4CE0" w:rsidRPr="009C3174">
        <w:t>s not been assessed</w:t>
      </w:r>
      <w:r w:rsidR="00797353" w:rsidRPr="009C3174">
        <w:t>.</w:t>
      </w:r>
      <w:r w:rsidR="002E04EE">
        <w:t xml:space="preserve"> </w:t>
      </w:r>
    </w:p>
    <w:p w14:paraId="43E186D3" w14:textId="74594334" w:rsidR="003C3265" w:rsidRPr="00650ECF" w:rsidRDefault="003C3265" w:rsidP="00530866">
      <w:pPr>
        <w:pStyle w:val="3-BodyText"/>
      </w:pPr>
      <w:bookmarkStart w:id="41" w:name="_Ref225425678"/>
      <w:r w:rsidRPr="009C3174">
        <w:t xml:space="preserve">The ESC </w:t>
      </w:r>
      <w:r w:rsidR="00372305" w:rsidRPr="009C3174">
        <w:t>considered that, in clinical practice, AmiCP was most likely to replace chemotherapy with or without atezolizumab and bevacizumab.</w:t>
      </w:r>
      <w:r w:rsidR="002E04EE">
        <w:t xml:space="preserve"> </w:t>
      </w:r>
      <w:r w:rsidR="00372305" w:rsidRPr="009C3174">
        <w:t xml:space="preserve">On balance, the </w:t>
      </w:r>
      <w:r w:rsidR="000B062A" w:rsidRPr="009C3174">
        <w:t>ESC considered 30% of patients would receive atezolizumab and bevacizumab</w:t>
      </w:r>
      <w:r w:rsidR="00B12D53" w:rsidRPr="009C3174">
        <w:t xml:space="preserve"> and noted this was consistent with the AURORA study</w:t>
      </w:r>
      <w:r w:rsidR="000D20BC" w:rsidRPr="009C3174">
        <w:t xml:space="preserve"> (see paragraph </w:t>
      </w:r>
      <w:r w:rsidR="000D20BC" w:rsidRPr="009C3174">
        <w:fldChar w:fldCharType="begin"/>
      </w:r>
      <w:r w:rsidR="000D20BC" w:rsidRPr="009C3174">
        <w:instrText xml:space="preserve"> REF _Ref221786857 \r \h </w:instrText>
      </w:r>
      <w:r w:rsidR="009C3174">
        <w:instrText xml:space="preserve"> \* MERGEFORMAT </w:instrText>
      </w:r>
      <w:r w:rsidR="000D20BC" w:rsidRPr="009C3174">
        <w:fldChar w:fldCharType="separate"/>
      </w:r>
      <w:r w:rsidR="00A572FC">
        <w:t>5.2</w:t>
      </w:r>
      <w:r w:rsidR="000D20BC" w:rsidRPr="009C3174">
        <w:fldChar w:fldCharType="end"/>
      </w:r>
      <w:r w:rsidR="000D20BC" w:rsidRPr="009C3174">
        <w:t>)</w:t>
      </w:r>
      <w:r w:rsidR="00B12D53" w:rsidRPr="009C3174">
        <w:t xml:space="preserve"> and PBAC</w:t>
      </w:r>
      <w:r w:rsidR="00067E8B" w:rsidRPr="009C3174">
        <w:t>’</w:t>
      </w:r>
      <w:r w:rsidR="00B12D53" w:rsidRPr="009C3174">
        <w:t>s previous consideration of osimertinib (</w:t>
      </w:r>
      <w:r w:rsidR="000D20BC" w:rsidRPr="009C3174">
        <w:t>paragraph 7.</w:t>
      </w:r>
      <w:r w:rsidR="008A5D5B" w:rsidRPr="009C3174">
        <w:t>8</w:t>
      </w:r>
      <w:r w:rsidR="000D20BC" w:rsidRPr="009C3174">
        <w:t>, osimertinib</w:t>
      </w:r>
      <w:r w:rsidR="005C0656" w:rsidRPr="009C3174">
        <w:t xml:space="preserve"> PSD, July 2025 PBAC meeting). </w:t>
      </w:r>
      <w:r w:rsidR="00F26D59">
        <w:t>In the</w:t>
      </w:r>
      <w:r w:rsidR="00704EEB">
        <w:t xml:space="preserve"> pre-PBAC response</w:t>
      </w:r>
      <w:r w:rsidR="00F26D59">
        <w:t>, the sponsor</w:t>
      </w:r>
      <w:r w:rsidR="00704EEB">
        <w:t xml:space="preserve"> </w:t>
      </w:r>
      <w:r w:rsidR="00E72B9F">
        <w:t>noted that the submitted comparator split was intended to capture</w:t>
      </w:r>
      <w:r w:rsidR="004E16AD">
        <w:t xml:space="preserve"> real-world utilisation of all systemic therapies used post-osimertinib</w:t>
      </w:r>
      <w:r w:rsidR="003C6110">
        <w:t xml:space="preserve">. </w:t>
      </w:r>
      <w:r w:rsidR="00DB49BA">
        <w:t>The sponsor considered th</w:t>
      </w:r>
      <w:r w:rsidR="000D2972">
        <w:t>at the previous consideration of the proposed 30% / 70% split was to inform subsequent therapies in the economic model evaluation for the PBS listing of osimertinib</w:t>
      </w:r>
      <w:r w:rsidR="00B64557">
        <w:t xml:space="preserve"> in stage 3 unresectable </w:t>
      </w:r>
      <w:r w:rsidR="00AA7C81">
        <w:t>NSCLC</w:t>
      </w:r>
      <w:r w:rsidR="00BF0D2C">
        <w:t xml:space="preserve"> </w:t>
      </w:r>
      <w:r w:rsidR="00BF0D2C">
        <w:rPr>
          <w:bCs/>
        </w:rPr>
        <w:t>(</w:t>
      </w:r>
      <w:r w:rsidR="00BF0D2C" w:rsidRPr="00581296">
        <w:rPr>
          <w:bCs/>
        </w:rPr>
        <w:t>paragraph 7.8,</w:t>
      </w:r>
      <w:r w:rsidR="00BF0D2C">
        <w:rPr>
          <w:bCs/>
        </w:rPr>
        <w:t xml:space="preserve"> </w:t>
      </w:r>
      <w:r w:rsidR="00BF0D2C" w:rsidRPr="00581296">
        <w:rPr>
          <w:bCs/>
        </w:rPr>
        <w:t>osimertinib PSD, July 2025</w:t>
      </w:r>
      <w:r w:rsidR="00BF0D2C">
        <w:rPr>
          <w:bCs/>
        </w:rPr>
        <w:t xml:space="preserve">), and the basis of the estimate was unclear. </w:t>
      </w:r>
      <w:r w:rsidR="00AF6B04">
        <w:rPr>
          <w:bCs/>
        </w:rPr>
        <w:t>The sponsor also noted that in a previous PBAC consideration</w:t>
      </w:r>
      <w:r w:rsidR="00DB4166">
        <w:rPr>
          <w:bCs/>
        </w:rPr>
        <w:t xml:space="preserve"> </w:t>
      </w:r>
      <w:r w:rsidR="00DB4166" w:rsidRPr="00D03086">
        <w:rPr>
          <w:bCs/>
        </w:rPr>
        <w:t>(paragraph 6.3, osimertinib PSD, November 2023</w:t>
      </w:r>
      <w:r w:rsidR="00DB4166">
        <w:rPr>
          <w:bCs/>
        </w:rPr>
        <w:t>)</w:t>
      </w:r>
      <w:r w:rsidR="00AF6B04">
        <w:rPr>
          <w:bCs/>
        </w:rPr>
        <w:t>, ESC suggested that ABCP utilisation could be as high as 60%</w:t>
      </w:r>
      <w:r w:rsidR="00DB4166">
        <w:rPr>
          <w:bCs/>
        </w:rPr>
        <w:t>.</w:t>
      </w:r>
      <w:bookmarkEnd w:id="41"/>
    </w:p>
    <w:p w14:paraId="479B825F" w14:textId="525BA84B" w:rsidR="00650ECF" w:rsidRPr="00D7670F" w:rsidRDefault="00650ECF" w:rsidP="00530866">
      <w:pPr>
        <w:pStyle w:val="3-BodyText"/>
      </w:pPr>
      <w:r w:rsidRPr="00B53E32">
        <w:t xml:space="preserve">The PBAC noted the clinical evidence for ABCP (and immunotherapy more broadly) in patients with EGFRm NSCLC </w:t>
      </w:r>
      <w:r>
        <w:t xml:space="preserve">was </w:t>
      </w:r>
      <w:r w:rsidRPr="00B53E32">
        <w:t>limited</w:t>
      </w:r>
      <w:r>
        <w:t xml:space="preserve">; however, acknowledged it was used in select, </w:t>
      </w:r>
      <w:r w:rsidR="00FE06D4">
        <w:t>fi</w:t>
      </w:r>
      <w:r>
        <w:t>t patients with a high disease burden.</w:t>
      </w:r>
    </w:p>
    <w:p w14:paraId="36804B59" w14:textId="091AF3DD" w:rsidR="00F545FB" w:rsidRPr="003D4CE0" w:rsidRDefault="00F545FB" w:rsidP="00530866">
      <w:pPr>
        <w:pStyle w:val="3-BodyText"/>
        <w:numPr>
          <w:ilvl w:val="0"/>
          <w:numId w:val="0"/>
        </w:numPr>
        <w:ind w:left="720"/>
        <w:rPr>
          <w:i/>
          <w:iCs/>
        </w:rPr>
      </w:pPr>
      <w:r w:rsidRPr="00F545FB">
        <w:rPr>
          <w:i/>
          <w:iCs/>
        </w:rPr>
        <w:t>For more detail on PBAC’s view, see section 7 PBAC outcome.</w:t>
      </w:r>
    </w:p>
    <w:p w14:paraId="41BDD3FE" w14:textId="77777777" w:rsidR="00E50A74" w:rsidRPr="0098262F" w:rsidRDefault="00E50A74" w:rsidP="00530866">
      <w:pPr>
        <w:pStyle w:val="2-SectionHeading"/>
      </w:pPr>
      <w:bookmarkStart w:id="42" w:name="_Toc107927625"/>
      <w:bookmarkStart w:id="43" w:name="_Toc219795452"/>
      <w:bookmarkStart w:id="44" w:name="_Toc22897640"/>
      <w:r w:rsidRPr="0098262F">
        <w:t>Consideration of the evidence</w:t>
      </w:r>
      <w:bookmarkEnd w:id="42"/>
      <w:bookmarkEnd w:id="43"/>
    </w:p>
    <w:p w14:paraId="2D7F42C9" w14:textId="77777777" w:rsidR="006A431D" w:rsidRPr="006E1229" w:rsidRDefault="006A431D" w:rsidP="00530866">
      <w:pPr>
        <w:pStyle w:val="4-SubsectionHeading"/>
      </w:pPr>
      <w:bookmarkStart w:id="45" w:name="_Toc107927626"/>
      <w:bookmarkStart w:id="46" w:name="_Toc219795453"/>
      <w:r w:rsidRPr="006E1229">
        <w:t>Sponsor hearing</w:t>
      </w:r>
    </w:p>
    <w:p w14:paraId="45A90ECF" w14:textId="59259CC7" w:rsidR="006A431D" w:rsidRPr="00010A81" w:rsidRDefault="006A431D" w:rsidP="00530866">
      <w:pPr>
        <w:numPr>
          <w:ilvl w:val="1"/>
          <w:numId w:val="6"/>
        </w:numPr>
        <w:spacing w:after="120"/>
        <w:rPr>
          <w:rFonts w:cs="Calibri"/>
          <w:bCs/>
          <w:snapToGrid w:val="0"/>
        </w:rPr>
      </w:pPr>
      <w:r w:rsidRPr="00010A81">
        <w:rPr>
          <w:rFonts w:cs="Calibri"/>
          <w:bCs/>
          <w:snapToGrid w:val="0"/>
        </w:rPr>
        <w:t>There was no hearing for this item.</w:t>
      </w:r>
    </w:p>
    <w:p w14:paraId="703E7166" w14:textId="77777777" w:rsidR="006A431D" w:rsidRPr="00010A81" w:rsidRDefault="006A431D" w:rsidP="00530866">
      <w:pPr>
        <w:pStyle w:val="4-SubsectionHeading"/>
      </w:pPr>
      <w:r w:rsidRPr="00010A81">
        <w:t>Consumer inputs</w:t>
      </w:r>
    </w:p>
    <w:p w14:paraId="0893AD1D" w14:textId="2EB2093A" w:rsidR="00836363" w:rsidRDefault="005214A1" w:rsidP="00530866">
      <w:pPr>
        <w:numPr>
          <w:ilvl w:val="1"/>
          <w:numId w:val="6"/>
        </w:numPr>
        <w:spacing w:after="120"/>
        <w:rPr>
          <w:rFonts w:asciiTheme="minorHAnsi" w:hAnsiTheme="minorHAnsi"/>
          <w:snapToGrid w:val="0"/>
        </w:rPr>
      </w:pPr>
      <w:r w:rsidRPr="6631623C">
        <w:rPr>
          <w:rFonts w:asciiTheme="minorHAnsi" w:hAnsiTheme="minorHAnsi"/>
          <w:snapToGrid w:val="0"/>
        </w:rPr>
        <w:t>The PBAC welcomed the input from individuals (</w:t>
      </w:r>
      <w:r w:rsidR="008B7DB6" w:rsidRPr="6631623C">
        <w:rPr>
          <w:rFonts w:asciiTheme="minorHAnsi" w:hAnsiTheme="minorHAnsi"/>
          <w:snapToGrid w:val="0"/>
        </w:rPr>
        <w:t>18</w:t>
      </w:r>
      <w:r w:rsidRPr="6631623C">
        <w:rPr>
          <w:rFonts w:asciiTheme="minorHAnsi" w:hAnsiTheme="minorHAnsi"/>
          <w:snapToGrid w:val="0"/>
        </w:rPr>
        <w:t>), health care professionals (</w:t>
      </w:r>
      <w:r w:rsidR="008D0551">
        <w:rPr>
          <w:rFonts w:asciiTheme="minorHAnsi" w:hAnsiTheme="minorHAnsi"/>
          <w:snapToGrid w:val="0"/>
        </w:rPr>
        <w:t>3</w:t>
      </w:r>
      <w:r w:rsidRPr="6631623C">
        <w:rPr>
          <w:rFonts w:asciiTheme="minorHAnsi" w:hAnsiTheme="minorHAnsi"/>
          <w:snapToGrid w:val="0"/>
        </w:rPr>
        <w:t>) and organisations (</w:t>
      </w:r>
      <w:r w:rsidR="008B7DB6" w:rsidRPr="6631623C">
        <w:rPr>
          <w:rFonts w:asciiTheme="minorHAnsi" w:hAnsiTheme="minorHAnsi"/>
          <w:snapToGrid w:val="0"/>
        </w:rPr>
        <w:t>2</w:t>
      </w:r>
      <w:r w:rsidRPr="6631623C">
        <w:rPr>
          <w:rFonts w:asciiTheme="minorHAnsi" w:hAnsiTheme="minorHAnsi"/>
          <w:snapToGrid w:val="0"/>
        </w:rPr>
        <w:t xml:space="preserve">) via the </w:t>
      </w:r>
      <w:r w:rsidR="003826FA" w:rsidRPr="6631623C">
        <w:rPr>
          <w:rFonts w:asciiTheme="minorHAnsi" w:hAnsiTheme="minorHAnsi"/>
          <w:snapToGrid w:val="0"/>
        </w:rPr>
        <w:t>Office of Health Technology Assessment Consultation Hub.</w:t>
      </w:r>
      <w:r w:rsidRPr="6631623C">
        <w:rPr>
          <w:rFonts w:asciiTheme="minorHAnsi" w:hAnsiTheme="minorHAnsi"/>
          <w:snapToGrid w:val="0"/>
        </w:rPr>
        <w:t xml:space="preserve"> The </w:t>
      </w:r>
      <w:r w:rsidR="004D66CD" w:rsidRPr="6631623C">
        <w:rPr>
          <w:rFonts w:asciiTheme="minorHAnsi" w:hAnsiTheme="minorHAnsi"/>
          <w:snapToGrid w:val="0"/>
        </w:rPr>
        <w:t xml:space="preserve">inputs </w:t>
      </w:r>
      <w:r w:rsidRPr="6631623C">
        <w:rPr>
          <w:rFonts w:asciiTheme="minorHAnsi" w:hAnsiTheme="minorHAnsi"/>
          <w:snapToGrid w:val="0"/>
        </w:rPr>
        <w:t xml:space="preserve">described a range of </w:t>
      </w:r>
      <w:r w:rsidR="00532EF5" w:rsidRPr="6631623C">
        <w:rPr>
          <w:rFonts w:asciiTheme="minorHAnsi" w:hAnsiTheme="minorHAnsi"/>
          <w:snapToGrid w:val="0"/>
        </w:rPr>
        <w:t>harms</w:t>
      </w:r>
      <w:r w:rsidRPr="6631623C">
        <w:rPr>
          <w:rFonts w:asciiTheme="minorHAnsi" w:hAnsiTheme="minorHAnsi"/>
          <w:snapToGrid w:val="0"/>
        </w:rPr>
        <w:t xml:space="preserve"> of treatment with</w:t>
      </w:r>
      <w:r w:rsidR="00CD1284" w:rsidRPr="6631623C">
        <w:rPr>
          <w:rFonts w:asciiTheme="minorHAnsi" w:hAnsiTheme="minorHAnsi"/>
          <w:snapToGrid w:val="0"/>
        </w:rPr>
        <w:t xml:space="preserve"> the current standard of care such as lethargy, pain, breathing difficulties</w:t>
      </w:r>
      <w:r w:rsidR="00E23CF1" w:rsidRPr="6631623C">
        <w:rPr>
          <w:rFonts w:asciiTheme="minorHAnsi" w:hAnsiTheme="minorHAnsi"/>
          <w:snapToGrid w:val="0"/>
        </w:rPr>
        <w:t>, reduced mobility and significant emotional strain associated with progressive lung disease</w:t>
      </w:r>
      <w:r w:rsidR="0088132F" w:rsidRPr="6631623C">
        <w:rPr>
          <w:rFonts w:asciiTheme="minorHAnsi" w:hAnsiTheme="minorHAnsi"/>
          <w:snapToGrid w:val="0"/>
        </w:rPr>
        <w:t xml:space="preserve">, and the limited treatment options </w:t>
      </w:r>
      <w:r w:rsidR="00F45661" w:rsidRPr="6631623C">
        <w:rPr>
          <w:rFonts w:asciiTheme="minorHAnsi" w:hAnsiTheme="minorHAnsi"/>
          <w:snapToGrid w:val="0"/>
        </w:rPr>
        <w:t xml:space="preserve">currently </w:t>
      </w:r>
      <w:r w:rsidR="0088132F" w:rsidRPr="6631623C">
        <w:rPr>
          <w:rFonts w:asciiTheme="minorHAnsi" w:hAnsiTheme="minorHAnsi"/>
          <w:snapToGrid w:val="0"/>
        </w:rPr>
        <w:t>available</w:t>
      </w:r>
      <w:r w:rsidR="00F45661" w:rsidRPr="6631623C">
        <w:rPr>
          <w:rFonts w:asciiTheme="minorHAnsi" w:hAnsiTheme="minorHAnsi"/>
          <w:snapToGrid w:val="0"/>
        </w:rPr>
        <w:t>. The comments from individuals</w:t>
      </w:r>
      <w:r w:rsidR="000A60A7" w:rsidRPr="6631623C">
        <w:rPr>
          <w:rFonts w:asciiTheme="minorHAnsi" w:hAnsiTheme="minorHAnsi"/>
          <w:snapToGrid w:val="0"/>
        </w:rPr>
        <w:t xml:space="preserve"> </w:t>
      </w:r>
      <w:r w:rsidR="0058411F" w:rsidRPr="6631623C">
        <w:rPr>
          <w:rFonts w:asciiTheme="minorHAnsi" w:hAnsiTheme="minorHAnsi"/>
          <w:snapToGrid w:val="0"/>
        </w:rPr>
        <w:t xml:space="preserve">expressed hope </w:t>
      </w:r>
      <w:r w:rsidR="00F27C33" w:rsidRPr="6631623C">
        <w:rPr>
          <w:rFonts w:asciiTheme="minorHAnsi" w:hAnsiTheme="minorHAnsi"/>
          <w:snapToGrid w:val="0"/>
        </w:rPr>
        <w:t>that</w:t>
      </w:r>
      <w:r w:rsidRPr="6631623C">
        <w:rPr>
          <w:rFonts w:asciiTheme="minorHAnsi" w:hAnsiTheme="minorHAnsi"/>
          <w:snapToGrid w:val="0"/>
        </w:rPr>
        <w:t xml:space="preserve"> </w:t>
      </w:r>
      <w:r w:rsidR="00833683" w:rsidRPr="6631623C">
        <w:rPr>
          <w:rFonts w:asciiTheme="minorHAnsi" w:hAnsiTheme="minorHAnsi"/>
          <w:snapToGrid w:val="0"/>
        </w:rPr>
        <w:t>amivantamab</w:t>
      </w:r>
      <w:r w:rsidR="00F27C33" w:rsidRPr="6631623C">
        <w:rPr>
          <w:rFonts w:asciiTheme="minorHAnsi" w:hAnsiTheme="minorHAnsi"/>
          <w:snapToGrid w:val="0"/>
        </w:rPr>
        <w:t xml:space="preserve"> could </w:t>
      </w:r>
      <w:r w:rsidR="00485743" w:rsidRPr="6631623C">
        <w:rPr>
          <w:rFonts w:asciiTheme="minorHAnsi" w:hAnsiTheme="minorHAnsi"/>
          <w:snapToGrid w:val="0"/>
        </w:rPr>
        <w:t>improve quality of life</w:t>
      </w:r>
      <w:r w:rsidR="00610D69" w:rsidRPr="6631623C">
        <w:rPr>
          <w:rFonts w:asciiTheme="minorHAnsi" w:hAnsiTheme="minorHAnsi"/>
          <w:snapToGrid w:val="0"/>
        </w:rPr>
        <w:t xml:space="preserve"> and prolong survival</w:t>
      </w:r>
      <w:r w:rsidR="00833683" w:rsidRPr="6631623C">
        <w:rPr>
          <w:rFonts w:asciiTheme="minorHAnsi" w:hAnsiTheme="minorHAnsi"/>
          <w:snapToGrid w:val="0"/>
        </w:rPr>
        <w:t>,</w:t>
      </w:r>
      <w:r w:rsidRPr="6631623C">
        <w:rPr>
          <w:rFonts w:asciiTheme="minorHAnsi" w:hAnsiTheme="minorHAnsi"/>
          <w:snapToGrid w:val="0"/>
        </w:rPr>
        <w:t xml:space="preserve"> </w:t>
      </w:r>
      <w:r w:rsidR="00AC608D" w:rsidRPr="6631623C">
        <w:rPr>
          <w:rFonts w:asciiTheme="minorHAnsi" w:hAnsiTheme="minorHAnsi"/>
          <w:snapToGrid w:val="0"/>
        </w:rPr>
        <w:t>and highlighted</w:t>
      </w:r>
      <w:r w:rsidR="005C32F8" w:rsidRPr="6631623C">
        <w:rPr>
          <w:rFonts w:asciiTheme="minorHAnsi" w:hAnsiTheme="minorHAnsi"/>
          <w:snapToGrid w:val="0"/>
        </w:rPr>
        <w:t xml:space="preserve"> access to amivantamab is prohibitive due to </w:t>
      </w:r>
      <w:r w:rsidR="0002297D" w:rsidRPr="6631623C">
        <w:rPr>
          <w:rFonts w:asciiTheme="minorHAnsi" w:hAnsiTheme="minorHAnsi"/>
          <w:snapToGrid w:val="0"/>
        </w:rPr>
        <w:t xml:space="preserve">the significant </w:t>
      </w:r>
      <w:r w:rsidR="005C32F8" w:rsidRPr="6631623C">
        <w:rPr>
          <w:rFonts w:asciiTheme="minorHAnsi" w:hAnsiTheme="minorHAnsi"/>
          <w:snapToGrid w:val="0"/>
        </w:rPr>
        <w:t>cost.</w:t>
      </w:r>
      <w:r w:rsidR="00641CC5" w:rsidRPr="6631623C">
        <w:rPr>
          <w:rFonts w:asciiTheme="minorHAnsi" w:hAnsiTheme="minorHAnsi"/>
          <w:snapToGrid w:val="0"/>
        </w:rPr>
        <w:t xml:space="preserve"> Health care professionals</w:t>
      </w:r>
      <w:r w:rsidR="009929AC" w:rsidRPr="6631623C">
        <w:rPr>
          <w:rFonts w:asciiTheme="minorHAnsi" w:hAnsiTheme="minorHAnsi"/>
          <w:snapToGrid w:val="0"/>
        </w:rPr>
        <w:t xml:space="preserve"> </w:t>
      </w:r>
      <w:r w:rsidR="00112F00" w:rsidRPr="6631623C">
        <w:rPr>
          <w:rFonts w:asciiTheme="minorHAnsi" w:hAnsiTheme="minorHAnsi"/>
          <w:snapToGrid w:val="0"/>
        </w:rPr>
        <w:t>described amivantamab as offering valuable improvements in progression-free and overall survival for patients with EGFR-mutated NSCLC</w:t>
      </w:r>
      <w:r w:rsidR="008B1EAB" w:rsidRPr="6631623C">
        <w:rPr>
          <w:rFonts w:asciiTheme="minorHAnsi" w:hAnsiTheme="minorHAnsi"/>
          <w:snapToGrid w:val="0"/>
        </w:rPr>
        <w:t xml:space="preserve">, noting that the current second line option </w:t>
      </w:r>
      <w:r w:rsidR="00927C9A" w:rsidRPr="6631623C">
        <w:rPr>
          <w:rFonts w:asciiTheme="minorHAnsi" w:hAnsiTheme="minorHAnsi"/>
          <w:snapToGrid w:val="0"/>
        </w:rPr>
        <w:t>(primarily</w:t>
      </w:r>
      <w:r w:rsidR="00B931C4" w:rsidRPr="6631623C">
        <w:rPr>
          <w:rFonts w:asciiTheme="minorHAnsi" w:hAnsiTheme="minorHAnsi"/>
          <w:snapToGrid w:val="0"/>
        </w:rPr>
        <w:t xml:space="preserve"> </w:t>
      </w:r>
      <w:r w:rsidR="00CE0A18" w:rsidRPr="6631623C">
        <w:rPr>
          <w:rFonts w:asciiTheme="minorHAnsi" w:hAnsiTheme="minorHAnsi"/>
          <w:snapToGrid w:val="0"/>
        </w:rPr>
        <w:t>PDC</w:t>
      </w:r>
      <w:r w:rsidR="00927C9A" w:rsidRPr="6631623C">
        <w:rPr>
          <w:rFonts w:asciiTheme="minorHAnsi" w:hAnsiTheme="minorHAnsi"/>
          <w:snapToGrid w:val="0"/>
        </w:rPr>
        <w:t xml:space="preserve">) </w:t>
      </w:r>
      <w:r w:rsidR="008B1EAB" w:rsidRPr="6631623C">
        <w:rPr>
          <w:rFonts w:asciiTheme="minorHAnsi" w:hAnsiTheme="minorHAnsi"/>
          <w:snapToGrid w:val="0"/>
        </w:rPr>
        <w:t xml:space="preserve">provided “minimal and very </w:t>
      </w:r>
      <w:proofErr w:type="gramStart"/>
      <w:r w:rsidR="008B1EAB" w:rsidRPr="6631623C">
        <w:rPr>
          <w:rFonts w:asciiTheme="minorHAnsi" w:hAnsiTheme="minorHAnsi"/>
          <w:snapToGrid w:val="0"/>
        </w:rPr>
        <w:t>short ter</w:t>
      </w:r>
      <w:r w:rsidR="009E77A7" w:rsidRPr="6631623C">
        <w:rPr>
          <w:rFonts w:asciiTheme="minorHAnsi" w:hAnsiTheme="minorHAnsi"/>
          <w:snapToGrid w:val="0"/>
        </w:rPr>
        <w:t>m</w:t>
      </w:r>
      <w:proofErr w:type="gramEnd"/>
      <w:r w:rsidR="008B1EAB" w:rsidRPr="6631623C">
        <w:rPr>
          <w:rFonts w:asciiTheme="minorHAnsi" w:hAnsiTheme="minorHAnsi"/>
          <w:snapToGrid w:val="0"/>
        </w:rPr>
        <w:t xml:space="preserve"> responses</w:t>
      </w:r>
      <w:r w:rsidR="00620ADA" w:rsidRPr="6631623C">
        <w:rPr>
          <w:rFonts w:asciiTheme="minorHAnsi" w:hAnsiTheme="minorHAnsi"/>
          <w:snapToGrid w:val="0"/>
        </w:rPr>
        <w:t>,</w:t>
      </w:r>
      <w:r w:rsidR="008B1EAB" w:rsidRPr="6631623C">
        <w:rPr>
          <w:rFonts w:asciiTheme="minorHAnsi" w:hAnsiTheme="minorHAnsi"/>
          <w:snapToGrid w:val="0"/>
        </w:rPr>
        <w:t xml:space="preserve">” </w:t>
      </w:r>
      <w:r w:rsidR="00620ADA" w:rsidRPr="6631623C">
        <w:rPr>
          <w:rFonts w:asciiTheme="minorHAnsi" w:hAnsiTheme="minorHAnsi"/>
          <w:snapToGrid w:val="0"/>
        </w:rPr>
        <w:t>while describing its toxicities as m</w:t>
      </w:r>
      <w:r w:rsidR="00043AAD" w:rsidRPr="6631623C">
        <w:rPr>
          <w:rFonts w:asciiTheme="minorHAnsi" w:hAnsiTheme="minorHAnsi"/>
          <w:snapToGrid w:val="0"/>
        </w:rPr>
        <w:t xml:space="preserve">anageable and acceptable </w:t>
      </w:r>
      <w:proofErr w:type="gramStart"/>
      <w:r w:rsidR="00043AAD" w:rsidRPr="6631623C">
        <w:rPr>
          <w:rFonts w:asciiTheme="minorHAnsi" w:hAnsiTheme="minorHAnsi"/>
          <w:snapToGrid w:val="0"/>
        </w:rPr>
        <w:t>with regard to</w:t>
      </w:r>
      <w:proofErr w:type="gramEnd"/>
      <w:r w:rsidR="00043AAD" w:rsidRPr="6631623C">
        <w:rPr>
          <w:rFonts w:asciiTheme="minorHAnsi" w:hAnsiTheme="minorHAnsi"/>
          <w:snapToGrid w:val="0"/>
        </w:rPr>
        <w:t xml:space="preserve"> the survival benefits. The inputs emphasised </w:t>
      </w:r>
      <w:r w:rsidR="00E750C7" w:rsidRPr="6631623C">
        <w:rPr>
          <w:rFonts w:asciiTheme="minorHAnsi" w:hAnsiTheme="minorHAnsi"/>
          <w:snapToGrid w:val="0"/>
        </w:rPr>
        <w:t>amivantamab plus chemotherapy is considered standard of care internationally for second-line EGFR-</w:t>
      </w:r>
      <w:r w:rsidR="00E750C7" w:rsidRPr="6631623C">
        <w:rPr>
          <w:rFonts w:asciiTheme="minorHAnsi" w:hAnsiTheme="minorHAnsi"/>
          <w:snapToGrid w:val="0"/>
        </w:rPr>
        <w:lastRenderedPageBreak/>
        <w:t xml:space="preserve">mutated lung </w:t>
      </w:r>
      <w:r w:rsidR="00E70112" w:rsidRPr="6631623C">
        <w:rPr>
          <w:rFonts w:asciiTheme="minorHAnsi" w:hAnsiTheme="minorHAnsi"/>
          <w:snapToGrid w:val="0"/>
        </w:rPr>
        <w:t>cancer and considered timely access for Australians a critical equity issue.</w:t>
      </w:r>
      <w:r w:rsidR="00892E66" w:rsidRPr="6631623C">
        <w:rPr>
          <w:rFonts w:asciiTheme="minorHAnsi" w:hAnsiTheme="minorHAnsi"/>
          <w:snapToGrid w:val="0"/>
        </w:rPr>
        <w:t xml:space="preserve"> </w:t>
      </w:r>
    </w:p>
    <w:p w14:paraId="04364924" w14:textId="448F0D00" w:rsidR="00FE1ED2" w:rsidRDefault="00892E66" w:rsidP="00530866">
      <w:pPr>
        <w:numPr>
          <w:ilvl w:val="1"/>
          <w:numId w:val="6"/>
        </w:numPr>
        <w:spacing w:after="120"/>
        <w:rPr>
          <w:rFonts w:asciiTheme="minorHAnsi" w:hAnsiTheme="minorHAnsi"/>
          <w:bCs/>
          <w:snapToGrid w:val="0"/>
        </w:rPr>
      </w:pPr>
      <w:r>
        <w:rPr>
          <w:rFonts w:asciiTheme="minorHAnsi" w:hAnsiTheme="minorHAnsi"/>
          <w:bCs/>
          <w:snapToGrid w:val="0"/>
        </w:rPr>
        <w:t>The PBAC noted</w:t>
      </w:r>
      <w:r w:rsidR="000B4652">
        <w:rPr>
          <w:rFonts w:asciiTheme="minorHAnsi" w:hAnsiTheme="minorHAnsi"/>
          <w:bCs/>
          <w:snapToGrid w:val="0"/>
        </w:rPr>
        <w:t xml:space="preserve"> input from Lung Foundation Australia</w:t>
      </w:r>
      <w:r w:rsidR="0048660E">
        <w:rPr>
          <w:rFonts w:asciiTheme="minorHAnsi" w:hAnsiTheme="minorHAnsi"/>
          <w:bCs/>
          <w:snapToGrid w:val="0"/>
        </w:rPr>
        <w:t xml:space="preserve">, which highlighted </w:t>
      </w:r>
      <w:r w:rsidR="0026792D">
        <w:rPr>
          <w:rFonts w:asciiTheme="minorHAnsi" w:hAnsiTheme="minorHAnsi"/>
          <w:bCs/>
          <w:snapToGrid w:val="0"/>
        </w:rPr>
        <w:t xml:space="preserve">limited treatment options and a high unmet need </w:t>
      </w:r>
      <w:r w:rsidR="00A568D9">
        <w:rPr>
          <w:rFonts w:asciiTheme="minorHAnsi" w:hAnsiTheme="minorHAnsi"/>
          <w:bCs/>
          <w:snapToGrid w:val="0"/>
        </w:rPr>
        <w:t>for this population of patients.</w:t>
      </w:r>
      <w:r w:rsidR="002E04EE">
        <w:rPr>
          <w:rFonts w:asciiTheme="minorHAnsi" w:hAnsiTheme="minorHAnsi"/>
          <w:bCs/>
          <w:snapToGrid w:val="0"/>
        </w:rPr>
        <w:t xml:space="preserve"> </w:t>
      </w:r>
    </w:p>
    <w:p w14:paraId="692071E7" w14:textId="7C766293" w:rsidR="005214A1" w:rsidRPr="00995889" w:rsidRDefault="005214A1" w:rsidP="00530866">
      <w:pPr>
        <w:pStyle w:val="3-BodyText"/>
        <w:rPr>
          <w:snapToGrid w:val="0"/>
        </w:rPr>
      </w:pPr>
      <w:r w:rsidRPr="00995889">
        <w:rPr>
          <w:snapToGrid w:val="0"/>
        </w:rPr>
        <w:t xml:space="preserve">The PBAC noted the advice received from </w:t>
      </w:r>
      <w:r w:rsidR="00BD6972" w:rsidRPr="00995889">
        <w:rPr>
          <w:snapToGrid w:val="0"/>
        </w:rPr>
        <w:t>The Thoracic Group of Australasia (TOGA)</w:t>
      </w:r>
      <w:r w:rsidRPr="00995889">
        <w:rPr>
          <w:snapToGrid w:val="0"/>
        </w:rPr>
        <w:t xml:space="preserve"> clarifying the likely use of </w:t>
      </w:r>
      <w:r w:rsidR="00493F65" w:rsidRPr="00995889">
        <w:rPr>
          <w:snapToGrid w:val="0"/>
        </w:rPr>
        <w:t>amivantamab</w:t>
      </w:r>
      <w:r w:rsidRPr="00995889">
        <w:rPr>
          <w:snapToGrid w:val="0"/>
        </w:rPr>
        <w:t xml:space="preserve"> in clinical practice.</w:t>
      </w:r>
      <w:r w:rsidR="002E04EE">
        <w:rPr>
          <w:snapToGrid w:val="0"/>
        </w:rPr>
        <w:t xml:space="preserve"> </w:t>
      </w:r>
    </w:p>
    <w:p w14:paraId="2A7A9443" w14:textId="3E53892D" w:rsidR="00E50A74" w:rsidRPr="00010A81" w:rsidRDefault="00E50A74" w:rsidP="00530866">
      <w:pPr>
        <w:pStyle w:val="4-SubsectionHeading"/>
      </w:pPr>
      <w:r w:rsidRPr="00010A81">
        <w:t>Clinical trials</w:t>
      </w:r>
      <w:bookmarkEnd w:id="44"/>
      <w:bookmarkEnd w:id="45"/>
      <w:bookmarkEnd w:id="46"/>
    </w:p>
    <w:p w14:paraId="3B9691C7" w14:textId="6D0C0C16" w:rsidR="00E50A74" w:rsidRDefault="00E50A74" w:rsidP="00530866">
      <w:pPr>
        <w:pStyle w:val="3-BodyText"/>
      </w:pPr>
      <w:r w:rsidRPr="00010A81">
        <w:t>The submission was based on one head-to-head randomised trial comparing amivantamab in combination with carboplatin and pemetrexed (AmiCP) to carboplatin and pemetrexed (N=394): MARIPOSA-2 trial. Evidence presented in the</w:t>
      </w:r>
      <w:r w:rsidRPr="00EA2175">
        <w:t xml:space="preserve"> submission was based on data from the primary analysis at the clinical cut-off (CCO) of July 2023, after a median follow-up </w:t>
      </w:r>
      <w:r w:rsidR="006B2D9D">
        <w:t>of</w:t>
      </w:r>
      <w:r w:rsidRPr="00EA2175">
        <w:t xml:space="preserve"> 8.7 months. The first interim analysis of OS occurred at the primary analysis, and a second pre-specified interim analysis (IA2) was performed at the CCO of April 2024 after a median follow-up of 18.1 months. </w:t>
      </w:r>
    </w:p>
    <w:p w14:paraId="1A63450E" w14:textId="22E106DD" w:rsidR="00E50A74" w:rsidRPr="00C55A3B" w:rsidRDefault="00E50A74" w:rsidP="00530866">
      <w:pPr>
        <w:pStyle w:val="3-BodyText"/>
      </w:pPr>
      <w:r>
        <w:t>No head-to-head trials were available for the comparison of AmiCP with ABCP therefore,</w:t>
      </w:r>
      <w:r w:rsidR="005D741F">
        <w:t xml:space="preserve"> a literature search was conducted to identify clinical trials with </w:t>
      </w:r>
      <w:r w:rsidR="008071E4">
        <w:t>a common comparator arm</w:t>
      </w:r>
      <w:r>
        <w:t xml:space="preserve">. The results from subgroup analyses relevant to the proposed patient population from the ATTLAS trial were used to support the clinical claim. The ATTLAS trial (N=228) is an open-label, multicentre, Phase III RCT conducted in Korea which compared ABCP and </w:t>
      </w:r>
      <w:r w:rsidR="00CE0A18">
        <w:t>PDC</w:t>
      </w:r>
      <w:r>
        <w:t xml:space="preserve"> in patients with EGFRm or ALK-rearranged or translocated NSCLC upon progression on (any) TKI therapy. </w:t>
      </w:r>
      <w:r w:rsidRPr="00C55A3B">
        <w:t xml:space="preserve">40.4% of the intention-to-treat (ITT) population had prior osimertinib treatment, thus formed the subgroup relevant to this submission. </w:t>
      </w:r>
    </w:p>
    <w:p w14:paraId="6D5CE1AE" w14:textId="0BF0C713" w:rsidR="00E50A74" w:rsidRPr="0098262F" w:rsidRDefault="00E50A74" w:rsidP="00530866">
      <w:pPr>
        <w:pStyle w:val="3-BodyText"/>
      </w:pPr>
      <w:r>
        <w:t xml:space="preserve">Details of the trials presented in the submission are provided </w:t>
      </w:r>
      <w:r w:rsidR="78FC0D85">
        <w:t>below</w:t>
      </w:r>
      <w:r w:rsidR="00D93B2D">
        <w:t xml:space="preserve"> in </w:t>
      </w:r>
      <w:r>
        <w:fldChar w:fldCharType="begin"/>
      </w:r>
      <w:r>
        <w:instrText xml:space="preserve"> REF _Ref104803956 \h </w:instrText>
      </w:r>
      <w:r>
        <w:fldChar w:fldCharType="separate"/>
      </w:r>
      <w:r w:rsidR="00A572FC" w:rsidRPr="0098262F">
        <w:t xml:space="preserve">Table </w:t>
      </w:r>
      <w:r w:rsidR="00A572FC">
        <w:rPr>
          <w:noProof/>
        </w:rPr>
        <w:t>3</w:t>
      </w:r>
      <w:r>
        <w:fldChar w:fldCharType="end"/>
      </w:r>
      <w:r>
        <w:t>.</w:t>
      </w:r>
    </w:p>
    <w:p w14:paraId="1F4AC7E0" w14:textId="12F85DC8" w:rsidR="00E50A74" w:rsidRDefault="00D97D5A" w:rsidP="00530866">
      <w:pPr>
        <w:pStyle w:val="Caption"/>
        <w:rPr>
          <w:rStyle w:val="CommentReference"/>
          <w:b/>
          <w:szCs w:val="24"/>
        </w:rPr>
      </w:pPr>
      <w:r>
        <w:lastRenderedPageBreak/>
        <w:t xml:space="preserve">Table </w:t>
      </w:r>
      <w:fldSimple w:instr=" SEQ Table \* ARABIC ">
        <w:r>
          <w:rPr>
            <w:noProof/>
          </w:rPr>
          <w:t>3</w:t>
        </w:r>
      </w:fldSimple>
      <w:r w:rsidR="00E50A74" w:rsidRPr="0098262F">
        <w:t>:</w:t>
      </w:r>
      <w:r w:rsidR="00E50A74" w:rsidRPr="0098262F">
        <w:rPr>
          <w:rStyle w:val="CommentReference"/>
          <w:b/>
          <w:szCs w:val="24"/>
        </w:rPr>
        <w:t xml:space="preserve"> </w:t>
      </w:r>
      <w:r w:rsidR="00E50A74">
        <w:rPr>
          <w:rStyle w:val="CommentReference"/>
          <w:b/>
          <w:szCs w:val="24"/>
        </w:rPr>
        <w:t xml:space="preserve">Trials </w:t>
      </w:r>
      <w:r w:rsidR="00E50A74" w:rsidRPr="0098262F">
        <w:rPr>
          <w:rStyle w:val="CommentReference"/>
          <w:b/>
          <w:szCs w:val="24"/>
        </w:rPr>
        <w:t>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submission"/>
      </w:tblPr>
      <w:tblGrid>
        <w:gridCol w:w="1435"/>
        <w:gridCol w:w="5459"/>
        <w:gridCol w:w="2123"/>
      </w:tblGrid>
      <w:tr w:rsidR="00641E2B" w:rsidRPr="0098262F" w14:paraId="082F8361" w14:textId="77777777">
        <w:trPr>
          <w:tblHeader/>
        </w:trPr>
        <w:tc>
          <w:tcPr>
            <w:tcW w:w="796" w:type="pct"/>
            <w:vAlign w:val="center"/>
          </w:tcPr>
          <w:p w14:paraId="12E29300" w14:textId="77777777" w:rsidR="00E50A74" w:rsidRPr="0098262F" w:rsidRDefault="00E50A74" w:rsidP="00530866">
            <w:pPr>
              <w:pStyle w:val="In-tableHeading"/>
            </w:pPr>
            <w:r w:rsidRPr="0098262F">
              <w:t>Trial ID</w:t>
            </w:r>
          </w:p>
        </w:tc>
        <w:tc>
          <w:tcPr>
            <w:tcW w:w="3027" w:type="pct"/>
            <w:vAlign w:val="center"/>
          </w:tcPr>
          <w:p w14:paraId="192E2A70" w14:textId="77777777" w:rsidR="00E50A74" w:rsidRPr="0098262F" w:rsidRDefault="00E50A74" w:rsidP="00530866">
            <w:pPr>
              <w:pStyle w:val="In-tableHeading"/>
            </w:pPr>
            <w:r w:rsidRPr="0098262F">
              <w:t>Protocol title/ Publication title</w:t>
            </w:r>
          </w:p>
        </w:tc>
        <w:tc>
          <w:tcPr>
            <w:tcW w:w="1177" w:type="pct"/>
            <w:vAlign w:val="center"/>
          </w:tcPr>
          <w:p w14:paraId="1B1ED073" w14:textId="77777777" w:rsidR="00E50A74" w:rsidRPr="0098262F" w:rsidRDefault="00E50A74" w:rsidP="00530866">
            <w:pPr>
              <w:pStyle w:val="In-tableHeading"/>
            </w:pPr>
            <w:r w:rsidRPr="0098262F">
              <w:t>Publication citation</w:t>
            </w:r>
          </w:p>
        </w:tc>
      </w:tr>
      <w:tr w:rsidR="00E50A74" w:rsidRPr="0098262F" w14:paraId="3BB233E5" w14:textId="77777777">
        <w:tc>
          <w:tcPr>
            <w:tcW w:w="5000" w:type="pct"/>
            <w:gridSpan w:val="3"/>
            <w:vAlign w:val="center"/>
          </w:tcPr>
          <w:p w14:paraId="21CFCB2D" w14:textId="77777777" w:rsidR="00E50A74" w:rsidRPr="0098262F" w:rsidRDefault="00E50A74" w:rsidP="00530866">
            <w:pPr>
              <w:pStyle w:val="TableText0"/>
              <w:rPr>
                <w:szCs w:val="18"/>
              </w:rPr>
            </w:pPr>
            <w:r w:rsidRPr="00FC41D9">
              <w:rPr>
                <w:b/>
                <w:bCs w:val="0"/>
              </w:rPr>
              <w:t>AmiCP vs CP</w:t>
            </w:r>
          </w:p>
        </w:tc>
      </w:tr>
      <w:tr w:rsidR="00641E2B" w:rsidRPr="0098262F" w14:paraId="6A158E29" w14:textId="77777777">
        <w:tc>
          <w:tcPr>
            <w:tcW w:w="796" w:type="pct"/>
            <w:vMerge w:val="restart"/>
            <w:vAlign w:val="center"/>
          </w:tcPr>
          <w:p w14:paraId="5C3B1AD8" w14:textId="77777777" w:rsidR="00E50A74" w:rsidRDefault="00E50A74" w:rsidP="00530866">
            <w:pPr>
              <w:pStyle w:val="TableText0"/>
            </w:pPr>
            <w:r>
              <w:t>MARIPOSA</w:t>
            </w:r>
            <w:r w:rsidRPr="00D95DEB">
              <w:t>-2</w:t>
            </w:r>
          </w:p>
          <w:p w14:paraId="3E7DBB06" w14:textId="60334BFA" w:rsidR="006A5414" w:rsidRDefault="006A5414" w:rsidP="00530866">
            <w:pPr>
              <w:pStyle w:val="TableText0"/>
            </w:pPr>
            <w:r>
              <w:t>(</w:t>
            </w:r>
            <w:r w:rsidRPr="006A5414">
              <w:t>NCT04988295</w:t>
            </w:r>
            <w:r>
              <w:t>)</w:t>
            </w:r>
          </w:p>
        </w:tc>
        <w:tc>
          <w:tcPr>
            <w:tcW w:w="3027" w:type="pct"/>
            <w:vAlign w:val="center"/>
          </w:tcPr>
          <w:p w14:paraId="787C9F0E" w14:textId="77777777" w:rsidR="00E50A74" w:rsidRPr="0098262F" w:rsidRDefault="00E50A74" w:rsidP="00530866">
            <w:pPr>
              <w:pStyle w:val="TableText0"/>
            </w:pPr>
            <w:r w:rsidRPr="005E3893">
              <w:rPr>
                <w:lang w:val="pt-BR"/>
              </w:rPr>
              <w:t xml:space="preserve">Califano R, Passaro A, Tan JL, et al. </w:t>
            </w:r>
            <w:r w:rsidRPr="00696B6B">
              <w:t xml:space="preserve">Amivantamab plus chemotherapy vs chemotherapy in EGFR-mutant advanced NSCLC after disease progression on osimertinib: outcomes by osimertinib resistance mechanisms in MARIPOSA-2. </w:t>
            </w:r>
          </w:p>
        </w:tc>
        <w:tc>
          <w:tcPr>
            <w:tcW w:w="1177" w:type="pct"/>
            <w:vAlign w:val="center"/>
          </w:tcPr>
          <w:p w14:paraId="5FEEE008" w14:textId="77777777" w:rsidR="00E50A74" w:rsidRPr="0098262F" w:rsidRDefault="00E50A74" w:rsidP="00530866">
            <w:pPr>
              <w:pStyle w:val="TableText0"/>
            </w:pPr>
            <w:r w:rsidRPr="00D147BC">
              <w:rPr>
                <w:i/>
                <w:iCs/>
              </w:rPr>
              <w:t>J Clin Oncol</w:t>
            </w:r>
            <w:r w:rsidRPr="00D147BC">
              <w:t xml:space="preserve"> 2025;</w:t>
            </w:r>
            <w:r w:rsidRPr="00D147BC">
              <w:rPr>
                <w:rFonts w:ascii="Arial" w:hAnsi="Arial" w:cs="Arial"/>
              </w:rPr>
              <w:t> </w:t>
            </w:r>
            <w:r w:rsidRPr="00D147BC">
              <w:t>43(16_suppl): 8639.</w:t>
            </w:r>
          </w:p>
        </w:tc>
      </w:tr>
      <w:tr w:rsidR="00641E2B" w:rsidRPr="0098262F" w14:paraId="462A265A" w14:textId="77777777">
        <w:tc>
          <w:tcPr>
            <w:tcW w:w="796" w:type="pct"/>
            <w:vMerge/>
            <w:vAlign w:val="center"/>
          </w:tcPr>
          <w:p w14:paraId="57FBB361" w14:textId="77777777" w:rsidR="00E50A74" w:rsidRDefault="00E50A74" w:rsidP="00530866">
            <w:pPr>
              <w:pStyle w:val="TableText0"/>
            </w:pPr>
          </w:p>
        </w:tc>
        <w:tc>
          <w:tcPr>
            <w:tcW w:w="3027" w:type="pct"/>
            <w:vAlign w:val="center"/>
          </w:tcPr>
          <w:p w14:paraId="6E1D6D12" w14:textId="77777777" w:rsidR="00E50A74" w:rsidRPr="0098262F" w:rsidRDefault="00E50A74" w:rsidP="00530866">
            <w:pPr>
              <w:pStyle w:val="TableText0"/>
            </w:pPr>
            <w:r w:rsidRPr="00D64648">
              <w:t xml:space="preserve">Passaro A, Wang J, Wang Y, et al. Amivantamab plus chemotherapy with and without </w:t>
            </w:r>
            <w:proofErr w:type="spellStart"/>
            <w:r w:rsidRPr="00D64648">
              <w:t>lazertinib</w:t>
            </w:r>
            <w:proofErr w:type="spellEnd"/>
            <w:r w:rsidRPr="00D64648">
              <w:t xml:space="preserve"> in EGFR-mutant advanced NSCLC after disease progression on osimertinib: primary results from the phase III MARIPOSA-2 study. </w:t>
            </w:r>
          </w:p>
        </w:tc>
        <w:tc>
          <w:tcPr>
            <w:tcW w:w="1177" w:type="pct"/>
            <w:vAlign w:val="center"/>
          </w:tcPr>
          <w:p w14:paraId="79EE4DC3" w14:textId="77777777" w:rsidR="00E50A74" w:rsidRPr="0098262F" w:rsidRDefault="00E50A74" w:rsidP="00530866">
            <w:pPr>
              <w:pStyle w:val="TableText0"/>
            </w:pPr>
            <w:r w:rsidRPr="004273CB">
              <w:rPr>
                <w:i/>
                <w:iCs/>
              </w:rPr>
              <w:t>Ann Oncol</w:t>
            </w:r>
            <w:r w:rsidRPr="004273CB">
              <w:t xml:space="preserve"> 2024; 35(1): 77–90.</w:t>
            </w:r>
          </w:p>
        </w:tc>
      </w:tr>
      <w:tr w:rsidR="00641E2B" w:rsidRPr="0098262F" w14:paraId="2B12A965" w14:textId="77777777">
        <w:tc>
          <w:tcPr>
            <w:tcW w:w="796" w:type="pct"/>
            <w:vMerge/>
            <w:vAlign w:val="center"/>
          </w:tcPr>
          <w:p w14:paraId="5A0E35EB" w14:textId="77777777" w:rsidR="00E50A74" w:rsidRDefault="00E50A74" w:rsidP="00530866">
            <w:pPr>
              <w:pStyle w:val="TableText0"/>
            </w:pPr>
          </w:p>
        </w:tc>
        <w:tc>
          <w:tcPr>
            <w:tcW w:w="3027" w:type="pct"/>
            <w:vAlign w:val="center"/>
          </w:tcPr>
          <w:p w14:paraId="6E374F6F" w14:textId="77777777" w:rsidR="00E50A74" w:rsidRPr="0098262F" w:rsidRDefault="00E50A74" w:rsidP="00530866">
            <w:pPr>
              <w:pStyle w:val="TableText0"/>
            </w:pPr>
            <w:r w:rsidRPr="007002DF">
              <w:t xml:space="preserve">Tomasini P, </w:t>
            </w:r>
            <w:proofErr w:type="spellStart"/>
            <w:r w:rsidRPr="007002DF">
              <w:t>Cordellat</w:t>
            </w:r>
            <w:proofErr w:type="spellEnd"/>
            <w:r w:rsidRPr="007002DF">
              <w:t xml:space="preserve"> AB, Dooms C, et al. 8P Amivantamab plus chemotherapy vs chemotherapy in EGFR-mutant advanced NSCLC after progression on osimertinib: secondary analyses of patient-relevant endpoints from MARIPOSA-2. </w:t>
            </w:r>
          </w:p>
        </w:tc>
        <w:tc>
          <w:tcPr>
            <w:tcW w:w="1177" w:type="pct"/>
            <w:vAlign w:val="center"/>
          </w:tcPr>
          <w:p w14:paraId="5AEF5813" w14:textId="77777777" w:rsidR="00E50A74" w:rsidRPr="0098262F" w:rsidRDefault="00E50A74" w:rsidP="00530866">
            <w:pPr>
              <w:pStyle w:val="TableText0"/>
            </w:pPr>
            <w:r w:rsidRPr="00C938BE">
              <w:rPr>
                <w:i/>
                <w:iCs/>
              </w:rPr>
              <w:t>ESMO Open</w:t>
            </w:r>
            <w:r w:rsidRPr="00C938BE">
              <w:t xml:space="preserve"> 2024; 9.</w:t>
            </w:r>
          </w:p>
        </w:tc>
      </w:tr>
      <w:tr w:rsidR="00641E2B" w:rsidRPr="0098262F" w14:paraId="5CB5012C" w14:textId="77777777">
        <w:tc>
          <w:tcPr>
            <w:tcW w:w="796" w:type="pct"/>
            <w:vMerge/>
            <w:vAlign w:val="center"/>
          </w:tcPr>
          <w:p w14:paraId="05F94F07" w14:textId="77777777" w:rsidR="00E50A74" w:rsidRDefault="00E50A74" w:rsidP="00530866">
            <w:pPr>
              <w:pStyle w:val="TableText0"/>
            </w:pPr>
          </w:p>
        </w:tc>
        <w:tc>
          <w:tcPr>
            <w:tcW w:w="3027" w:type="pct"/>
            <w:vAlign w:val="center"/>
          </w:tcPr>
          <w:p w14:paraId="48597005" w14:textId="77777777" w:rsidR="00E50A74" w:rsidRPr="0098262F" w:rsidRDefault="00E50A74" w:rsidP="00530866">
            <w:pPr>
              <w:pStyle w:val="TableText0"/>
            </w:pPr>
            <w:r w:rsidRPr="00C753C5">
              <w:t xml:space="preserve">Popat S, Reckamp KL, Califano R, et al. LBA54 Amivantamab plus chemotherapy vs chemotherapy in EGFR-mutated, advanced non-small cell lung cancer after disease progression on osimertinib: second interim overall survival from MARIPOSA-2. </w:t>
            </w:r>
          </w:p>
        </w:tc>
        <w:tc>
          <w:tcPr>
            <w:tcW w:w="1177" w:type="pct"/>
            <w:vAlign w:val="center"/>
          </w:tcPr>
          <w:p w14:paraId="2A2B5DAA" w14:textId="77777777" w:rsidR="00E50A74" w:rsidRPr="0098262F" w:rsidRDefault="00E50A74" w:rsidP="00530866">
            <w:pPr>
              <w:pStyle w:val="TableText0"/>
            </w:pPr>
            <w:r w:rsidRPr="002D670B">
              <w:rPr>
                <w:i/>
                <w:iCs/>
              </w:rPr>
              <w:t>Ann Oncol</w:t>
            </w:r>
            <w:r w:rsidRPr="002D670B">
              <w:t xml:space="preserve"> 2024; 35: S1244–S1245</w:t>
            </w:r>
          </w:p>
        </w:tc>
      </w:tr>
      <w:tr w:rsidR="00641E2B" w:rsidRPr="0098262F" w14:paraId="6C5E4D8E" w14:textId="77777777">
        <w:tc>
          <w:tcPr>
            <w:tcW w:w="796" w:type="pct"/>
            <w:vMerge/>
            <w:vAlign w:val="center"/>
          </w:tcPr>
          <w:p w14:paraId="26FADA97" w14:textId="77777777" w:rsidR="00E50A74" w:rsidRDefault="00E50A74" w:rsidP="00530866">
            <w:pPr>
              <w:pStyle w:val="TableText0"/>
            </w:pPr>
          </w:p>
        </w:tc>
        <w:tc>
          <w:tcPr>
            <w:tcW w:w="3027" w:type="pct"/>
            <w:vAlign w:val="center"/>
          </w:tcPr>
          <w:p w14:paraId="00A09206" w14:textId="77777777" w:rsidR="00E50A74" w:rsidRPr="00C753C5" w:rsidRDefault="00E50A74" w:rsidP="00530866">
            <w:pPr>
              <w:pStyle w:val="TableText0"/>
            </w:pPr>
            <w:r w:rsidRPr="00101616">
              <w:t xml:space="preserve">Gentzler RD, Spira A, </w:t>
            </w:r>
            <w:proofErr w:type="spellStart"/>
            <w:r w:rsidRPr="00101616">
              <w:t>Melosky</w:t>
            </w:r>
            <w:proofErr w:type="spellEnd"/>
            <w:r w:rsidRPr="00101616">
              <w:t xml:space="preserve"> B, et al. 3MO Amivantamab plus chemotherapy vs chemotherapy in EGFR-mutant advanced NSCLC after progression on osimertinib: a post-progression analysis of MARIPOSA-2. ESMO Open 2024; 9.</w:t>
            </w:r>
          </w:p>
        </w:tc>
        <w:tc>
          <w:tcPr>
            <w:tcW w:w="1177" w:type="pct"/>
            <w:vAlign w:val="center"/>
          </w:tcPr>
          <w:p w14:paraId="2B0EA861" w14:textId="77777777" w:rsidR="00E50A74" w:rsidRPr="0098262F" w:rsidRDefault="00E50A74" w:rsidP="00530866">
            <w:pPr>
              <w:pStyle w:val="TableText0"/>
            </w:pPr>
            <w:r w:rsidRPr="00794D7B">
              <w:rPr>
                <w:i/>
                <w:iCs/>
              </w:rPr>
              <w:t>ESMO Open</w:t>
            </w:r>
            <w:r w:rsidRPr="00794D7B">
              <w:t xml:space="preserve"> 2024; 9.</w:t>
            </w:r>
          </w:p>
        </w:tc>
      </w:tr>
      <w:tr w:rsidR="00641E2B" w:rsidRPr="0098262F" w14:paraId="20DB7A96" w14:textId="77777777">
        <w:tc>
          <w:tcPr>
            <w:tcW w:w="796" w:type="pct"/>
            <w:vMerge/>
            <w:vAlign w:val="center"/>
          </w:tcPr>
          <w:p w14:paraId="78D22E64" w14:textId="77777777" w:rsidR="00E50A74" w:rsidRPr="0098262F" w:rsidRDefault="00E50A74" w:rsidP="00530866">
            <w:pPr>
              <w:pStyle w:val="TableText0"/>
            </w:pPr>
          </w:p>
        </w:tc>
        <w:tc>
          <w:tcPr>
            <w:tcW w:w="3027" w:type="pct"/>
            <w:vAlign w:val="center"/>
          </w:tcPr>
          <w:p w14:paraId="324AA6D8" w14:textId="77777777" w:rsidR="00E50A74" w:rsidRPr="0098262F" w:rsidRDefault="00E50A74" w:rsidP="00530866">
            <w:pPr>
              <w:pStyle w:val="TableText0"/>
              <w:rPr>
                <w:szCs w:val="18"/>
              </w:rPr>
            </w:pPr>
            <w:r w:rsidRPr="007E5974">
              <w:rPr>
                <w:szCs w:val="18"/>
              </w:rPr>
              <w:t xml:space="preserve">Passaro A, Cho BC, Wang Y, et al. LBA15 Amivantamab plus chemotherapy (with or without </w:t>
            </w:r>
            <w:proofErr w:type="spellStart"/>
            <w:r w:rsidRPr="007E5974">
              <w:rPr>
                <w:szCs w:val="18"/>
              </w:rPr>
              <w:t>lazertinib</w:t>
            </w:r>
            <w:proofErr w:type="spellEnd"/>
            <w:r w:rsidRPr="007E5974">
              <w:rPr>
                <w:szCs w:val="18"/>
              </w:rPr>
              <w:t>) vs chemotherapy in EGFR-mutated advanced NSCLC after progression on osimertinib: MARIPOSA-2, a phase III, global, randomized, controlled trial.</w:t>
            </w:r>
          </w:p>
        </w:tc>
        <w:tc>
          <w:tcPr>
            <w:tcW w:w="1177" w:type="pct"/>
            <w:vAlign w:val="center"/>
          </w:tcPr>
          <w:p w14:paraId="74EF7153" w14:textId="77777777" w:rsidR="00E50A74" w:rsidRPr="0098262F" w:rsidRDefault="00E50A74" w:rsidP="00530866">
            <w:pPr>
              <w:pStyle w:val="TableText0"/>
              <w:rPr>
                <w:i/>
              </w:rPr>
            </w:pPr>
            <w:r w:rsidRPr="00F92F37">
              <w:rPr>
                <w:i/>
                <w:szCs w:val="18"/>
              </w:rPr>
              <w:t xml:space="preserve">Ann Oncol </w:t>
            </w:r>
            <w:r w:rsidRPr="00F92F37">
              <w:rPr>
                <w:iCs/>
                <w:szCs w:val="18"/>
              </w:rPr>
              <w:t>2023; 34: S1307</w:t>
            </w:r>
          </w:p>
        </w:tc>
      </w:tr>
      <w:tr w:rsidR="00641E2B" w:rsidRPr="0098262F" w14:paraId="352EC2BF" w14:textId="77777777">
        <w:tc>
          <w:tcPr>
            <w:tcW w:w="796" w:type="pct"/>
            <w:vMerge/>
            <w:vAlign w:val="center"/>
          </w:tcPr>
          <w:p w14:paraId="1EFA82AB" w14:textId="77777777" w:rsidR="00E50A74" w:rsidRPr="0098262F" w:rsidRDefault="00E50A74" w:rsidP="00530866">
            <w:pPr>
              <w:pStyle w:val="TableText0"/>
            </w:pPr>
          </w:p>
        </w:tc>
        <w:tc>
          <w:tcPr>
            <w:tcW w:w="3027" w:type="pct"/>
            <w:vAlign w:val="center"/>
          </w:tcPr>
          <w:p w14:paraId="0B739A1D" w14:textId="77777777" w:rsidR="00E50A74" w:rsidRPr="0098262F" w:rsidRDefault="00E50A74" w:rsidP="00530866">
            <w:pPr>
              <w:pStyle w:val="TableText0"/>
              <w:rPr>
                <w:szCs w:val="18"/>
              </w:rPr>
            </w:pPr>
            <w:r w:rsidRPr="00243737">
              <w:rPr>
                <w:szCs w:val="18"/>
              </w:rPr>
              <w:t>Shih JY, Wang J, Wang Y, et al. LBA11 Amivantamab plus chemotherapy vs chemotherapy among Asian patients with EGFR-mutant advanced NSCLC after progression on osimertinib: a MARIPOSA-2 subgroup analysis. Ann Oncol 2023; 34: S1661–S1662.</w:t>
            </w:r>
          </w:p>
        </w:tc>
        <w:tc>
          <w:tcPr>
            <w:tcW w:w="1177" w:type="pct"/>
            <w:vAlign w:val="center"/>
          </w:tcPr>
          <w:p w14:paraId="6CEC02A7" w14:textId="77777777" w:rsidR="00E50A74" w:rsidRPr="0098262F" w:rsidRDefault="00E50A74" w:rsidP="00530866">
            <w:pPr>
              <w:pStyle w:val="TableText0"/>
            </w:pPr>
            <w:r w:rsidRPr="006232C6">
              <w:rPr>
                <w:i/>
                <w:szCs w:val="18"/>
              </w:rPr>
              <w:t xml:space="preserve">Ann Oncol </w:t>
            </w:r>
            <w:r w:rsidRPr="006232C6">
              <w:rPr>
                <w:iCs/>
                <w:szCs w:val="18"/>
              </w:rPr>
              <w:t>2023; 34: S1661–S1662</w:t>
            </w:r>
          </w:p>
        </w:tc>
      </w:tr>
      <w:tr w:rsidR="00E50A74" w:rsidRPr="0098262F" w14:paraId="222FF63B" w14:textId="77777777">
        <w:tc>
          <w:tcPr>
            <w:tcW w:w="5000" w:type="pct"/>
            <w:gridSpan w:val="3"/>
            <w:vAlign w:val="center"/>
          </w:tcPr>
          <w:p w14:paraId="5DF1D973" w14:textId="77777777" w:rsidR="00E50A74" w:rsidRPr="006232C6" w:rsidRDefault="00E50A74" w:rsidP="00530866">
            <w:pPr>
              <w:pStyle w:val="TableText0"/>
              <w:rPr>
                <w:i/>
                <w:szCs w:val="18"/>
              </w:rPr>
            </w:pPr>
            <w:r>
              <w:rPr>
                <w:b/>
                <w:bCs w:val="0"/>
              </w:rPr>
              <w:t xml:space="preserve">ABCP vs CP </w:t>
            </w:r>
          </w:p>
        </w:tc>
      </w:tr>
      <w:tr w:rsidR="00641E2B" w:rsidRPr="0098262F" w14:paraId="46FAD1F6" w14:textId="77777777">
        <w:tc>
          <w:tcPr>
            <w:tcW w:w="796" w:type="pct"/>
            <w:vMerge w:val="restart"/>
            <w:vAlign w:val="center"/>
          </w:tcPr>
          <w:p w14:paraId="00C73DBC" w14:textId="77777777" w:rsidR="00E50A74" w:rsidRDefault="00E50A74" w:rsidP="00530866">
            <w:pPr>
              <w:pStyle w:val="TableText0"/>
            </w:pPr>
            <w:r>
              <w:t>ATTLAS</w:t>
            </w:r>
          </w:p>
          <w:p w14:paraId="25060D07" w14:textId="7458AFC4" w:rsidR="00D41F5F" w:rsidRPr="0098262F" w:rsidRDefault="00D41F5F" w:rsidP="00530866">
            <w:pPr>
              <w:pStyle w:val="TableText0"/>
            </w:pPr>
            <w:r>
              <w:t>(</w:t>
            </w:r>
            <w:r w:rsidRPr="00D41F5F">
              <w:t>NCT03991403</w:t>
            </w:r>
            <w:r>
              <w:t>)</w:t>
            </w:r>
          </w:p>
        </w:tc>
        <w:tc>
          <w:tcPr>
            <w:tcW w:w="3027" w:type="pct"/>
            <w:vAlign w:val="center"/>
          </w:tcPr>
          <w:p w14:paraId="742E85FA" w14:textId="77777777" w:rsidR="00E50A74" w:rsidRPr="00243737" w:rsidRDefault="00E50A74" w:rsidP="00530866">
            <w:pPr>
              <w:pStyle w:val="TableText0"/>
              <w:rPr>
                <w:szCs w:val="18"/>
              </w:rPr>
            </w:pPr>
            <w:r w:rsidRPr="003152D5">
              <w:rPr>
                <w:szCs w:val="18"/>
              </w:rPr>
              <w:t>Park S, Kim TM, Han JY, et al. Phase III, randomized study of atezolizumab plus bevacizumab and chemotherapy in patients with EGFR</w:t>
            </w:r>
            <w:r w:rsidRPr="003152D5">
              <w:rPr>
                <w:rFonts w:ascii="Cambria Math" w:hAnsi="Cambria Math" w:cs="Cambria Math"/>
                <w:szCs w:val="18"/>
              </w:rPr>
              <w:t>‑</w:t>
            </w:r>
            <w:r w:rsidRPr="003152D5">
              <w:rPr>
                <w:szCs w:val="18"/>
              </w:rPr>
              <w:t xml:space="preserve"> or ALK</w:t>
            </w:r>
            <w:r w:rsidRPr="003152D5">
              <w:rPr>
                <w:rFonts w:ascii="Cambria Math" w:hAnsi="Cambria Math" w:cs="Cambria Math"/>
                <w:szCs w:val="18"/>
              </w:rPr>
              <w:t>‑</w:t>
            </w:r>
            <w:r w:rsidRPr="003152D5">
              <w:rPr>
                <w:szCs w:val="18"/>
              </w:rPr>
              <w:t>rearranged or translocated non</w:t>
            </w:r>
            <w:r w:rsidRPr="003152D5">
              <w:rPr>
                <w:rFonts w:cs="Arial Narrow"/>
                <w:szCs w:val="18"/>
              </w:rPr>
              <w:t>–</w:t>
            </w:r>
            <w:r w:rsidRPr="003152D5">
              <w:rPr>
                <w:szCs w:val="18"/>
              </w:rPr>
              <w:t>small-cell lung cancer (ATTLAS, KCSG</w:t>
            </w:r>
            <w:r w:rsidRPr="003152D5">
              <w:rPr>
                <w:rFonts w:ascii="Cambria Math" w:hAnsi="Cambria Math" w:cs="Cambria Math"/>
                <w:szCs w:val="18"/>
              </w:rPr>
              <w:t>‑</w:t>
            </w:r>
            <w:r w:rsidRPr="003152D5">
              <w:rPr>
                <w:szCs w:val="18"/>
              </w:rPr>
              <w:t>lu19</w:t>
            </w:r>
            <w:r w:rsidRPr="003152D5">
              <w:rPr>
                <w:rFonts w:ascii="Cambria Math" w:hAnsi="Cambria Math" w:cs="Cambria Math"/>
                <w:szCs w:val="18"/>
              </w:rPr>
              <w:t>‑</w:t>
            </w:r>
            <w:r w:rsidRPr="003152D5">
              <w:rPr>
                <w:szCs w:val="18"/>
              </w:rPr>
              <w:t>04).</w:t>
            </w:r>
          </w:p>
        </w:tc>
        <w:tc>
          <w:tcPr>
            <w:tcW w:w="1177" w:type="pct"/>
            <w:vAlign w:val="center"/>
          </w:tcPr>
          <w:p w14:paraId="37D6D01E" w14:textId="77777777" w:rsidR="00E50A74" w:rsidRPr="006232C6" w:rsidRDefault="00E50A74" w:rsidP="00530866">
            <w:pPr>
              <w:pStyle w:val="TableText0"/>
              <w:rPr>
                <w:i/>
                <w:szCs w:val="18"/>
              </w:rPr>
            </w:pPr>
            <w:r w:rsidRPr="00276CB5">
              <w:rPr>
                <w:i/>
                <w:szCs w:val="18"/>
              </w:rPr>
              <w:t xml:space="preserve">J Clin Oncol </w:t>
            </w:r>
            <w:r w:rsidRPr="00276CB5">
              <w:rPr>
                <w:iCs/>
                <w:szCs w:val="18"/>
              </w:rPr>
              <w:t>2024; 42(11): 1241–1251</w:t>
            </w:r>
          </w:p>
        </w:tc>
      </w:tr>
      <w:tr w:rsidR="00641E2B" w:rsidRPr="0098262F" w14:paraId="55F09BD3" w14:textId="77777777">
        <w:tc>
          <w:tcPr>
            <w:tcW w:w="796" w:type="pct"/>
            <w:vMerge/>
            <w:vAlign w:val="center"/>
          </w:tcPr>
          <w:p w14:paraId="1F5593A6" w14:textId="77777777" w:rsidR="00E50A74" w:rsidRPr="0098262F" w:rsidRDefault="00E50A74" w:rsidP="00530866">
            <w:pPr>
              <w:pStyle w:val="TableText0"/>
            </w:pPr>
          </w:p>
        </w:tc>
        <w:tc>
          <w:tcPr>
            <w:tcW w:w="3027" w:type="pct"/>
            <w:vAlign w:val="center"/>
          </w:tcPr>
          <w:p w14:paraId="310E1382" w14:textId="77777777" w:rsidR="00E50A74" w:rsidRPr="00243737" w:rsidRDefault="00E50A74" w:rsidP="00530866">
            <w:pPr>
              <w:pStyle w:val="TableText0"/>
              <w:rPr>
                <w:szCs w:val="18"/>
              </w:rPr>
            </w:pPr>
            <w:r w:rsidRPr="00221FCE">
              <w:rPr>
                <w:szCs w:val="18"/>
              </w:rPr>
              <w:t>Kim H, Park S, Kim TM, et al. 631P Exploratory biomarker analysis in EGFR</w:t>
            </w:r>
            <w:r w:rsidRPr="00221FCE">
              <w:rPr>
                <w:rFonts w:ascii="Cambria Math" w:hAnsi="Cambria Math" w:cs="Cambria Math"/>
                <w:szCs w:val="18"/>
              </w:rPr>
              <w:t>‑</w:t>
            </w:r>
            <w:r w:rsidRPr="00221FCE">
              <w:rPr>
                <w:szCs w:val="18"/>
              </w:rPr>
              <w:t>mutated NSCLC patients who were treated with atezolizumab plus bevacizumab and chemotherapy from phase III ATTLAS trial.</w:t>
            </w:r>
          </w:p>
        </w:tc>
        <w:tc>
          <w:tcPr>
            <w:tcW w:w="1177" w:type="pct"/>
            <w:vAlign w:val="center"/>
          </w:tcPr>
          <w:p w14:paraId="040F31A8" w14:textId="77777777" w:rsidR="00E50A74" w:rsidRPr="006232C6" w:rsidRDefault="00E50A74" w:rsidP="00530866">
            <w:pPr>
              <w:pStyle w:val="TableText0"/>
              <w:rPr>
                <w:i/>
                <w:szCs w:val="18"/>
              </w:rPr>
            </w:pPr>
            <w:r w:rsidRPr="001D6E2E">
              <w:rPr>
                <w:i/>
                <w:szCs w:val="18"/>
              </w:rPr>
              <w:t xml:space="preserve">Ann Oncol </w:t>
            </w:r>
            <w:r w:rsidRPr="00BE2658">
              <w:rPr>
                <w:iCs/>
                <w:szCs w:val="18"/>
              </w:rPr>
              <w:t>2024; 35: S1636</w:t>
            </w:r>
          </w:p>
        </w:tc>
      </w:tr>
      <w:tr w:rsidR="00641E2B" w:rsidRPr="0098262F" w14:paraId="249AB8C0" w14:textId="77777777">
        <w:tc>
          <w:tcPr>
            <w:tcW w:w="796" w:type="pct"/>
            <w:vMerge/>
            <w:vAlign w:val="center"/>
          </w:tcPr>
          <w:p w14:paraId="0A96C46C" w14:textId="77777777" w:rsidR="00E50A74" w:rsidRPr="0098262F" w:rsidRDefault="00E50A74" w:rsidP="00530866">
            <w:pPr>
              <w:pStyle w:val="TableText0"/>
            </w:pPr>
          </w:p>
        </w:tc>
        <w:tc>
          <w:tcPr>
            <w:tcW w:w="3027" w:type="pct"/>
            <w:vAlign w:val="center"/>
          </w:tcPr>
          <w:p w14:paraId="54FA23BF" w14:textId="77777777" w:rsidR="00E50A74" w:rsidRPr="00221FCE" w:rsidRDefault="00E50A74" w:rsidP="00530866">
            <w:pPr>
              <w:pStyle w:val="TableText0"/>
              <w:rPr>
                <w:szCs w:val="18"/>
              </w:rPr>
            </w:pPr>
            <w:r w:rsidRPr="00D36721">
              <w:rPr>
                <w:szCs w:val="18"/>
              </w:rPr>
              <w:t>Ahn MJ, Park S, Kim TM, et al. LBA67 A phase III, randomized study of atezolizumab plus bevacizumab and chemotherapy in patients with EGFR</w:t>
            </w:r>
            <w:r w:rsidRPr="00D36721">
              <w:rPr>
                <w:rFonts w:ascii="Cambria Math" w:hAnsi="Cambria Math" w:cs="Cambria Math"/>
                <w:szCs w:val="18"/>
              </w:rPr>
              <w:t>‑</w:t>
            </w:r>
            <w:r w:rsidRPr="00D36721">
              <w:rPr>
                <w:szCs w:val="18"/>
              </w:rPr>
              <w:t xml:space="preserve"> or ALK</w:t>
            </w:r>
            <w:r w:rsidRPr="00D36721">
              <w:rPr>
                <w:rFonts w:ascii="Cambria Math" w:hAnsi="Cambria Math" w:cs="Cambria Math"/>
                <w:szCs w:val="18"/>
              </w:rPr>
              <w:t>‑</w:t>
            </w:r>
            <w:r w:rsidRPr="00D36721">
              <w:rPr>
                <w:szCs w:val="18"/>
              </w:rPr>
              <w:t>mutated non-small cell lung cancer (ATTLAS, KCSG</w:t>
            </w:r>
            <w:r w:rsidRPr="00D36721">
              <w:rPr>
                <w:rFonts w:ascii="Cambria Math" w:hAnsi="Cambria Math" w:cs="Cambria Math"/>
                <w:szCs w:val="18"/>
              </w:rPr>
              <w:t>‑</w:t>
            </w:r>
            <w:r w:rsidRPr="00D36721">
              <w:rPr>
                <w:szCs w:val="18"/>
              </w:rPr>
              <w:t>LU19</w:t>
            </w:r>
            <w:r w:rsidRPr="00D36721">
              <w:rPr>
                <w:rFonts w:ascii="Cambria Math" w:hAnsi="Cambria Math" w:cs="Cambria Math"/>
                <w:szCs w:val="18"/>
              </w:rPr>
              <w:t>‑</w:t>
            </w:r>
            <w:r w:rsidRPr="00D36721">
              <w:rPr>
                <w:szCs w:val="18"/>
              </w:rPr>
              <w:t>04).</w:t>
            </w:r>
          </w:p>
        </w:tc>
        <w:tc>
          <w:tcPr>
            <w:tcW w:w="1177" w:type="pct"/>
            <w:vAlign w:val="center"/>
          </w:tcPr>
          <w:p w14:paraId="1B3A3F4A" w14:textId="77777777" w:rsidR="00E50A74" w:rsidRPr="001D6E2E" w:rsidRDefault="00E50A74" w:rsidP="00530866">
            <w:pPr>
              <w:pStyle w:val="TableText0"/>
              <w:rPr>
                <w:i/>
                <w:szCs w:val="18"/>
              </w:rPr>
            </w:pPr>
            <w:r w:rsidRPr="005B3B65">
              <w:rPr>
                <w:i/>
                <w:szCs w:val="18"/>
              </w:rPr>
              <w:t xml:space="preserve">Ann Oncol </w:t>
            </w:r>
            <w:r w:rsidRPr="005B3B65">
              <w:rPr>
                <w:iCs/>
                <w:szCs w:val="18"/>
              </w:rPr>
              <w:t>2023; 34: S1311</w:t>
            </w:r>
          </w:p>
        </w:tc>
      </w:tr>
      <w:tr w:rsidR="00641E2B" w:rsidRPr="0098262F" w14:paraId="275BBAE5" w14:textId="77777777">
        <w:tc>
          <w:tcPr>
            <w:tcW w:w="796" w:type="pct"/>
            <w:vMerge/>
            <w:vAlign w:val="center"/>
          </w:tcPr>
          <w:p w14:paraId="5EAE606F" w14:textId="77777777" w:rsidR="00E50A74" w:rsidRPr="0098262F" w:rsidRDefault="00E50A74" w:rsidP="00530866">
            <w:pPr>
              <w:pStyle w:val="TableText0"/>
            </w:pPr>
          </w:p>
        </w:tc>
        <w:tc>
          <w:tcPr>
            <w:tcW w:w="3027" w:type="pct"/>
            <w:vAlign w:val="center"/>
          </w:tcPr>
          <w:p w14:paraId="62B6757D" w14:textId="77777777" w:rsidR="00E50A74" w:rsidRPr="00221FCE" w:rsidRDefault="00E50A74" w:rsidP="00530866">
            <w:pPr>
              <w:pStyle w:val="TableText0"/>
              <w:rPr>
                <w:szCs w:val="18"/>
              </w:rPr>
            </w:pPr>
            <w:r w:rsidRPr="007C21FF">
              <w:rPr>
                <w:szCs w:val="18"/>
              </w:rPr>
              <w:t>Park S, Lee YG, Park JH, et al. A phase III, open-label, randomized study of atezolizumab in combination with carboplatin + paclitaxel + bevacizumab compared with pemetrexed + cisplatin or carboplatin in stage IV non-squamous non-small cell lung cancer (NSCLC) with activating EGFR mutation or ALK translocation (ATLAS Trial).</w:t>
            </w:r>
          </w:p>
        </w:tc>
        <w:tc>
          <w:tcPr>
            <w:tcW w:w="1177" w:type="pct"/>
            <w:vAlign w:val="center"/>
          </w:tcPr>
          <w:p w14:paraId="0CC61D39" w14:textId="77777777" w:rsidR="00E50A74" w:rsidRPr="001D6E2E" w:rsidRDefault="00E50A74" w:rsidP="00530866">
            <w:pPr>
              <w:pStyle w:val="TableText0"/>
              <w:rPr>
                <w:i/>
                <w:szCs w:val="18"/>
              </w:rPr>
            </w:pPr>
            <w:r w:rsidRPr="00763B39">
              <w:rPr>
                <w:i/>
                <w:szCs w:val="18"/>
              </w:rPr>
              <w:t xml:space="preserve">J Clin Oncol </w:t>
            </w:r>
            <w:r w:rsidRPr="00763B39">
              <w:rPr>
                <w:iCs/>
                <w:szCs w:val="18"/>
              </w:rPr>
              <w:t>2020; 38(15_suppl): TPS9636</w:t>
            </w:r>
            <w:r w:rsidRPr="00763B39">
              <w:rPr>
                <w:i/>
                <w:szCs w:val="18"/>
              </w:rPr>
              <w:t>.</w:t>
            </w:r>
          </w:p>
        </w:tc>
      </w:tr>
    </w:tbl>
    <w:p w14:paraId="051DBCF6" w14:textId="77777777" w:rsidR="00E50A74" w:rsidRDefault="00E50A74" w:rsidP="00530866">
      <w:pPr>
        <w:pStyle w:val="FooterTableFigure"/>
      </w:pPr>
      <w:r w:rsidRPr="00C94A12">
        <w:t>Source: Table 2.7, p86 of the submission.</w:t>
      </w:r>
    </w:p>
    <w:p w14:paraId="60E6CDB5" w14:textId="77777777" w:rsidR="00E50A74" w:rsidRDefault="00E50A74" w:rsidP="00530866">
      <w:pPr>
        <w:pStyle w:val="FooterTableFigure"/>
      </w:pPr>
      <w:r>
        <w:t>Abbreviations: ABCP=</w:t>
      </w:r>
      <w:r w:rsidRPr="00B51085">
        <w:t xml:space="preserve"> atezolizumab plus bevacizumab plus carboplatin plus paclitaxel</w:t>
      </w:r>
      <w:r>
        <w:t>; ALK=</w:t>
      </w:r>
      <w:r w:rsidRPr="00260CCE">
        <w:t xml:space="preserve"> Anaplastic Lymphoma Kinase</w:t>
      </w:r>
      <w:r>
        <w:t>; AmiCP=</w:t>
      </w:r>
      <w:r w:rsidRPr="0063590B">
        <w:t xml:space="preserve"> amivantamab in combination with carboplatin and pemetrexed</w:t>
      </w:r>
      <w:r>
        <w:t>; CP=</w:t>
      </w:r>
      <w:r w:rsidRPr="00A04E3E">
        <w:t xml:space="preserve"> carboplatin plus pemetrexed</w:t>
      </w:r>
      <w:r>
        <w:t>; EGFR=</w:t>
      </w:r>
      <w:r w:rsidRPr="00392F2A">
        <w:t xml:space="preserve"> </w:t>
      </w:r>
      <w:r>
        <w:t>epidermal growth factor receptor; NSCLC= non-small cell lung cancer</w:t>
      </w:r>
    </w:p>
    <w:p w14:paraId="0FA6E4D0" w14:textId="68AA880E" w:rsidR="0C6F9B60" w:rsidRDefault="0C6F9B60" w:rsidP="00530866">
      <w:pPr>
        <w:pStyle w:val="FooterTableFigure"/>
      </w:pPr>
    </w:p>
    <w:p w14:paraId="116E7645" w14:textId="100B4D69" w:rsidR="00E50A74" w:rsidRPr="0098262F" w:rsidRDefault="00E50A74" w:rsidP="00530866">
      <w:pPr>
        <w:pStyle w:val="3-BodyText"/>
        <w:rPr>
          <w:color w:val="0066FF"/>
        </w:rPr>
      </w:pPr>
      <w:r w:rsidRPr="0098262F">
        <w:t xml:space="preserve">The key features of the included evidence are summarised in </w:t>
      </w:r>
      <w:r w:rsidRPr="0098262F">
        <w:fldChar w:fldCharType="begin"/>
      </w:r>
      <w:r w:rsidRPr="0098262F">
        <w:instrText xml:space="preserve"> REF _Ref104804098 \h  \* MERGEFORMAT </w:instrText>
      </w:r>
      <w:r w:rsidRPr="0098262F">
        <w:fldChar w:fldCharType="separate"/>
      </w:r>
      <w:r w:rsidR="00A572FC" w:rsidRPr="00A572FC">
        <w:t>Table 4</w:t>
      </w:r>
      <w:r w:rsidRPr="0098262F">
        <w:fldChar w:fldCharType="end"/>
      </w:r>
      <w:r w:rsidRPr="0098262F">
        <w:t>.</w:t>
      </w:r>
    </w:p>
    <w:p w14:paraId="55BBDC8D" w14:textId="76D672C3" w:rsidR="00E50A74" w:rsidRPr="0098262F" w:rsidRDefault="00D97D5A" w:rsidP="00530866">
      <w:pPr>
        <w:pStyle w:val="Caption"/>
        <w:rPr>
          <w:rStyle w:val="CommentReference"/>
          <w:b/>
          <w:szCs w:val="24"/>
        </w:rPr>
      </w:pPr>
      <w:r>
        <w:lastRenderedPageBreak/>
        <w:t xml:space="preserve">Table </w:t>
      </w:r>
      <w:fldSimple w:instr=" SEQ Table \* ARABIC ">
        <w:r>
          <w:rPr>
            <w:noProof/>
          </w:rPr>
          <w:t>4</w:t>
        </w:r>
      </w:fldSimple>
      <w:r w:rsidR="00E50A74" w:rsidRPr="0098262F">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1286"/>
        <w:gridCol w:w="840"/>
        <w:gridCol w:w="1410"/>
        <w:gridCol w:w="1120"/>
        <w:gridCol w:w="1546"/>
        <w:gridCol w:w="1122"/>
        <w:gridCol w:w="1693"/>
      </w:tblGrid>
      <w:tr w:rsidR="00E50A74" w:rsidRPr="0098262F" w14:paraId="4A436648" w14:textId="77777777" w:rsidTr="001E34DF">
        <w:trPr>
          <w:cantSplit/>
          <w:tblHeader/>
        </w:trPr>
        <w:tc>
          <w:tcPr>
            <w:tcW w:w="713" w:type="pct"/>
            <w:vAlign w:val="center"/>
          </w:tcPr>
          <w:p w14:paraId="230902DD" w14:textId="77777777" w:rsidR="00E50A74" w:rsidRPr="0098262F" w:rsidRDefault="00E50A74" w:rsidP="00530866">
            <w:pPr>
              <w:pStyle w:val="In-tableHeading"/>
            </w:pPr>
            <w:r w:rsidRPr="0098262F">
              <w:t>Trial</w:t>
            </w:r>
          </w:p>
        </w:tc>
        <w:tc>
          <w:tcPr>
            <w:tcW w:w="466" w:type="pct"/>
            <w:vAlign w:val="center"/>
          </w:tcPr>
          <w:p w14:paraId="2BBF9282" w14:textId="77777777" w:rsidR="00E50A74" w:rsidRPr="0098262F" w:rsidRDefault="00E50A74" w:rsidP="00530866">
            <w:pPr>
              <w:pStyle w:val="In-tableHeading"/>
            </w:pPr>
            <w:r w:rsidRPr="0098262F">
              <w:t>N</w:t>
            </w:r>
          </w:p>
        </w:tc>
        <w:tc>
          <w:tcPr>
            <w:tcW w:w="782" w:type="pct"/>
            <w:vAlign w:val="center"/>
          </w:tcPr>
          <w:p w14:paraId="6F643DDF" w14:textId="77777777" w:rsidR="00E50A74" w:rsidRPr="0098262F" w:rsidRDefault="00E50A74" w:rsidP="00530866">
            <w:pPr>
              <w:pStyle w:val="In-tableHeading"/>
            </w:pPr>
            <w:r w:rsidRPr="0098262F">
              <w:t>Design/ duration</w:t>
            </w:r>
          </w:p>
        </w:tc>
        <w:tc>
          <w:tcPr>
            <w:tcW w:w="621" w:type="pct"/>
            <w:vAlign w:val="center"/>
          </w:tcPr>
          <w:p w14:paraId="73A67A23" w14:textId="77777777" w:rsidR="00E50A74" w:rsidRPr="0098262F" w:rsidRDefault="00E50A74" w:rsidP="00530866">
            <w:pPr>
              <w:pStyle w:val="In-tableHeading"/>
            </w:pPr>
            <w:r w:rsidRPr="0098262F">
              <w:t>Risk of bias</w:t>
            </w:r>
          </w:p>
        </w:tc>
        <w:tc>
          <w:tcPr>
            <w:tcW w:w="857" w:type="pct"/>
            <w:vAlign w:val="center"/>
          </w:tcPr>
          <w:p w14:paraId="54A880BB" w14:textId="77777777" w:rsidR="00E50A74" w:rsidRPr="0098262F" w:rsidRDefault="00E50A74" w:rsidP="00530866">
            <w:pPr>
              <w:pStyle w:val="In-tableHeading"/>
            </w:pPr>
            <w:r w:rsidRPr="0098262F">
              <w:t>Patient population</w:t>
            </w:r>
          </w:p>
        </w:tc>
        <w:tc>
          <w:tcPr>
            <w:tcW w:w="622" w:type="pct"/>
            <w:vAlign w:val="center"/>
          </w:tcPr>
          <w:p w14:paraId="5F5F750D" w14:textId="77777777" w:rsidR="00E50A74" w:rsidRPr="0098262F" w:rsidRDefault="00E50A74" w:rsidP="00530866">
            <w:pPr>
              <w:pStyle w:val="In-tableHeading"/>
            </w:pPr>
            <w:r w:rsidRPr="0098262F">
              <w:t>Outcome(s)</w:t>
            </w:r>
          </w:p>
        </w:tc>
        <w:tc>
          <w:tcPr>
            <w:tcW w:w="939" w:type="pct"/>
            <w:vAlign w:val="center"/>
          </w:tcPr>
          <w:p w14:paraId="6C1A5BDF" w14:textId="77777777" w:rsidR="00E50A74" w:rsidRPr="0098262F" w:rsidRDefault="00E50A74" w:rsidP="00530866">
            <w:pPr>
              <w:pStyle w:val="In-tableHeading"/>
            </w:pPr>
            <w:r w:rsidRPr="0098262F">
              <w:t>Use in modelled evaluation</w:t>
            </w:r>
          </w:p>
        </w:tc>
      </w:tr>
      <w:tr w:rsidR="00E50A74" w:rsidRPr="0098262F" w14:paraId="22EBF604" w14:textId="77777777" w:rsidTr="00682BA6">
        <w:trPr>
          <w:cantSplit/>
        </w:trPr>
        <w:tc>
          <w:tcPr>
            <w:tcW w:w="5000" w:type="pct"/>
            <w:gridSpan w:val="7"/>
            <w:vAlign w:val="center"/>
          </w:tcPr>
          <w:p w14:paraId="16B7C421" w14:textId="77777777" w:rsidR="00E50A74" w:rsidRPr="0098262F" w:rsidRDefault="00E50A74" w:rsidP="00530866">
            <w:pPr>
              <w:pStyle w:val="In-tableHeading"/>
            </w:pPr>
            <w:proofErr w:type="spellStart"/>
            <w:r>
              <w:t>AmiCP</w:t>
            </w:r>
            <w:proofErr w:type="spellEnd"/>
            <w:r>
              <w:t xml:space="preserve"> vs. CP</w:t>
            </w:r>
          </w:p>
        </w:tc>
      </w:tr>
      <w:tr w:rsidR="00E50A74" w:rsidRPr="0098262F" w14:paraId="15215E35" w14:textId="77777777" w:rsidTr="00682BA6">
        <w:trPr>
          <w:cantSplit/>
        </w:trPr>
        <w:tc>
          <w:tcPr>
            <w:tcW w:w="713" w:type="pct"/>
            <w:vAlign w:val="center"/>
          </w:tcPr>
          <w:p w14:paraId="5149AAA1" w14:textId="77777777" w:rsidR="00E50A74" w:rsidRPr="0098262F" w:rsidRDefault="00E50A74" w:rsidP="00530866">
            <w:pPr>
              <w:pStyle w:val="TableText0"/>
            </w:pPr>
            <w:r>
              <w:t>MARIPOSA-2</w:t>
            </w:r>
          </w:p>
        </w:tc>
        <w:tc>
          <w:tcPr>
            <w:tcW w:w="466" w:type="pct"/>
            <w:vAlign w:val="center"/>
          </w:tcPr>
          <w:p w14:paraId="1223BEA7" w14:textId="77777777" w:rsidR="00E50A74" w:rsidRPr="000E158C" w:rsidRDefault="00E50A74" w:rsidP="00530866">
            <w:pPr>
              <w:pStyle w:val="TableText0"/>
              <w:jc w:val="center"/>
              <w:rPr>
                <w:vertAlign w:val="superscript"/>
              </w:rPr>
            </w:pPr>
            <w:r>
              <w:t xml:space="preserve">395 </w:t>
            </w:r>
            <w:r>
              <w:rPr>
                <w:vertAlign w:val="superscript"/>
              </w:rPr>
              <w:t>a</w:t>
            </w:r>
          </w:p>
        </w:tc>
        <w:tc>
          <w:tcPr>
            <w:tcW w:w="782" w:type="pct"/>
            <w:vAlign w:val="center"/>
          </w:tcPr>
          <w:p w14:paraId="0055D02F" w14:textId="77777777" w:rsidR="00E50A74" w:rsidRPr="0098262F" w:rsidRDefault="00E50A74" w:rsidP="00530866">
            <w:pPr>
              <w:pStyle w:val="TableText0"/>
              <w:jc w:val="center"/>
            </w:pPr>
            <w:r>
              <w:t>R, OL, MC</w:t>
            </w:r>
          </w:p>
          <w:p w14:paraId="7720416F" w14:textId="77777777" w:rsidR="00E50A74" w:rsidRDefault="00E50A74" w:rsidP="00530866">
            <w:pPr>
              <w:pStyle w:val="TableText0"/>
              <w:jc w:val="center"/>
            </w:pPr>
            <w:r>
              <w:t>8.7 mths (primary)</w:t>
            </w:r>
          </w:p>
          <w:p w14:paraId="2B7B3F88" w14:textId="77777777" w:rsidR="00E50A74" w:rsidRPr="0098262F" w:rsidRDefault="00E50A74" w:rsidP="00530866">
            <w:pPr>
              <w:pStyle w:val="TableText0"/>
              <w:jc w:val="center"/>
            </w:pPr>
            <w:r>
              <w:t>18.1 mths (IA2)</w:t>
            </w:r>
          </w:p>
        </w:tc>
        <w:tc>
          <w:tcPr>
            <w:tcW w:w="621" w:type="pct"/>
            <w:vAlign w:val="center"/>
          </w:tcPr>
          <w:p w14:paraId="3240FE2D" w14:textId="77777777" w:rsidR="00E50A74" w:rsidRPr="00137BD7" w:rsidRDefault="00E50A74" w:rsidP="00530866">
            <w:pPr>
              <w:pStyle w:val="TableText0"/>
              <w:jc w:val="center"/>
              <w:rPr>
                <w:iCs/>
              </w:rPr>
            </w:pPr>
            <w:r w:rsidRPr="00137BD7">
              <w:rPr>
                <w:iCs/>
              </w:rPr>
              <w:t>Some concerns</w:t>
            </w:r>
          </w:p>
        </w:tc>
        <w:tc>
          <w:tcPr>
            <w:tcW w:w="857" w:type="pct"/>
            <w:vAlign w:val="center"/>
          </w:tcPr>
          <w:p w14:paraId="0263DFEA" w14:textId="77777777" w:rsidR="00E50A74" w:rsidRPr="0098262F" w:rsidRDefault="00E50A74" w:rsidP="00530866">
            <w:pPr>
              <w:pStyle w:val="TableText0"/>
              <w:jc w:val="center"/>
            </w:pPr>
            <w:r w:rsidRPr="000E158C">
              <w:t xml:space="preserve">Stage </w:t>
            </w:r>
            <w:proofErr w:type="spellStart"/>
            <w:r w:rsidRPr="000E158C">
              <w:t>IIIb</w:t>
            </w:r>
            <w:proofErr w:type="spellEnd"/>
            <w:r w:rsidRPr="000E158C">
              <w:t>-IV EGFRm patients who had progressed on or after osimertinib</w:t>
            </w:r>
          </w:p>
        </w:tc>
        <w:tc>
          <w:tcPr>
            <w:tcW w:w="622" w:type="pct"/>
            <w:vAlign w:val="center"/>
          </w:tcPr>
          <w:p w14:paraId="4C91C622" w14:textId="77777777" w:rsidR="00E50A74" w:rsidRPr="0098262F" w:rsidRDefault="00E50A74" w:rsidP="00530866">
            <w:pPr>
              <w:pStyle w:val="TableText0"/>
              <w:jc w:val="center"/>
            </w:pPr>
            <w:r w:rsidRPr="00257CB4">
              <w:t xml:space="preserve">PFS, OS, ORR, </w:t>
            </w:r>
            <w:proofErr w:type="spellStart"/>
            <w:r w:rsidRPr="00257CB4">
              <w:t>icPFS</w:t>
            </w:r>
            <w:proofErr w:type="spellEnd"/>
            <w:r w:rsidRPr="00257CB4">
              <w:t xml:space="preserve">, </w:t>
            </w:r>
            <w:proofErr w:type="spellStart"/>
            <w:r w:rsidRPr="00257CB4">
              <w:t>HRQoL</w:t>
            </w:r>
            <w:proofErr w:type="spellEnd"/>
            <w:r w:rsidRPr="00257CB4">
              <w:t xml:space="preserve"> and safety</w:t>
            </w:r>
          </w:p>
        </w:tc>
        <w:tc>
          <w:tcPr>
            <w:tcW w:w="939" w:type="pct"/>
            <w:vAlign w:val="center"/>
          </w:tcPr>
          <w:p w14:paraId="0F6AF40D" w14:textId="77777777" w:rsidR="00E50A74" w:rsidRPr="0098262F" w:rsidRDefault="00E50A74" w:rsidP="00530866">
            <w:pPr>
              <w:pStyle w:val="TableText0"/>
              <w:jc w:val="center"/>
            </w:pPr>
            <w:r>
              <w:t>PFS, OS, TTTD, HRQoL</w:t>
            </w:r>
          </w:p>
        </w:tc>
      </w:tr>
      <w:tr w:rsidR="00E50A74" w:rsidRPr="0098262F" w14:paraId="5F3CE6B9" w14:textId="77777777">
        <w:trPr>
          <w:cantSplit/>
        </w:trPr>
        <w:tc>
          <w:tcPr>
            <w:tcW w:w="5000" w:type="pct"/>
            <w:gridSpan w:val="7"/>
            <w:vAlign w:val="center"/>
          </w:tcPr>
          <w:p w14:paraId="3C27D5AB" w14:textId="77777777" w:rsidR="00E50A74" w:rsidRPr="0098262F" w:rsidRDefault="00E50A74" w:rsidP="00530866">
            <w:pPr>
              <w:pStyle w:val="TableText0"/>
            </w:pPr>
            <w:r w:rsidRPr="00B52E1A">
              <w:rPr>
                <w:b/>
                <w:bCs w:val="0"/>
              </w:rPr>
              <w:t>ABCP vs. CP</w:t>
            </w:r>
          </w:p>
        </w:tc>
      </w:tr>
      <w:tr w:rsidR="00E50A74" w:rsidRPr="00FE07E8" w14:paraId="35B5B56F" w14:textId="77777777" w:rsidTr="00682BA6">
        <w:trPr>
          <w:cantSplit/>
        </w:trPr>
        <w:tc>
          <w:tcPr>
            <w:tcW w:w="713" w:type="pct"/>
            <w:vAlign w:val="center"/>
          </w:tcPr>
          <w:p w14:paraId="3E6C2CBC" w14:textId="77777777" w:rsidR="00E50A74" w:rsidRPr="00FE07E8" w:rsidRDefault="00E50A74" w:rsidP="00530866">
            <w:pPr>
              <w:pStyle w:val="TableText0"/>
            </w:pPr>
            <w:r w:rsidRPr="00FE07E8">
              <w:t>ATTLAS</w:t>
            </w:r>
          </w:p>
        </w:tc>
        <w:tc>
          <w:tcPr>
            <w:tcW w:w="466" w:type="pct"/>
            <w:vAlign w:val="center"/>
          </w:tcPr>
          <w:p w14:paraId="56FD06DB" w14:textId="77777777" w:rsidR="00E50A74" w:rsidRPr="00FE07E8" w:rsidRDefault="00E50A74" w:rsidP="00530866">
            <w:pPr>
              <w:pStyle w:val="TableText0"/>
              <w:jc w:val="center"/>
              <w:rPr>
                <w:vertAlign w:val="superscript"/>
              </w:rPr>
            </w:pPr>
            <w:r w:rsidRPr="00FE07E8">
              <w:t xml:space="preserve">310 </w:t>
            </w:r>
            <w:r w:rsidRPr="00FE07E8">
              <w:rPr>
                <w:vertAlign w:val="superscript"/>
              </w:rPr>
              <w:t>b</w:t>
            </w:r>
          </w:p>
        </w:tc>
        <w:tc>
          <w:tcPr>
            <w:tcW w:w="782" w:type="pct"/>
            <w:vAlign w:val="center"/>
          </w:tcPr>
          <w:p w14:paraId="43FCE23D" w14:textId="77777777" w:rsidR="00E50A74" w:rsidRPr="00FE07E8" w:rsidRDefault="00E50A74" w:rsidP="00530866">
            <w:pPr>
              <w:pStyle w:val="TableText0"/>
              <w:jc w:val="center"/>
            </w:pPr>
            <w:r w:rsidRPr="00FE07E8">
              <w:t>R, OL</w:t>
            </w:r>
          </w:p>
          <w:p w14:paraId="57802077" w14:textId="77777777" w:rsidR="00E50A74" w:rsidRPr="00FE07E8" w:rsidRDefault="00E50A74" w:rsidP="00530866">
            <w:pPr>
              <w:pStyle w:val="TableText0"/>
              <w:jc w:val="center"/>
            </w:pPr>
            <w:r w:rsidRPr="00FE07E8">
              <w:t>26.1 mths</w:t>
            </w:r>
          </w:p>
        </w:tc>
        <w:tc>
          <w:tcPr>
            <w:tcW w:w="621" w:type="pct"/>
            <w:vAlign w:val="center"/>
          </w:tcPr>
          <w:p w14:paraId="696A5B0E" w14:textId="77777777" w:rsidR="00E50A74" w:rsidRPr="00137BD7" w:rsidRDefault="00E50A74" w:rsidP="00530866">
            <w:pPr>
              <w:pStyle w:val="TableText0"/>
              <w:jc w:val="center"/>
              <w:rPr>
                <w:iCs/>
              </w:rPr>
            </w:pPr>
            <w:r w:rsidRPr="00137BD7">
              <w:rPr>
                <w:iCs/>
              </w:rPr>
              <w:t>Some concerns</w:t>
            </w:r>
          </w:p>
        </w:tc>
        <w:tc>
          <w:tcPr>
            <w:tcW w:w="857" w:type="pct"/>
            <w:vAlign w:val="center"/>
          </w:tcPr>
          <w:p w14:paraId="30342285" w14:textId="5546A42A" w:rsidR="00E50A74" w:rsidRPr="00FE07E8" w:rsidRDefault="00E50A74" w:rsidP="00530866">
            <w:pPr>
              <w:pStyle w:val="TableText0"/>
              <w:jc w:val="center"/>
            </w:pPr>
            <w:r w:rsidRPr="00FE07E8">
              <w:t>Stage III-IV EGFRm and ALK positive patients who had progressed on or after any EGFR TKI</w:t>
            </w:r>
          </w:p>
        </w:tc>
        <w:tc>
          <w:tcPr>
            <w:tcW w:w="622" w:type="pct"/>
            <w:vAlign w:val="center"/>
          </w:tcPr>
          <w:p w14:paraId="5B1D1A83" w14:textId="77777777" w:rsidR="00E50A74" w:rsidRPr="00FE07E8" w:rsidRDefault="00E50A74" w:rsidP="00530866">
            <w:pPr>
              <w:pStyle w:val="TableText0"/>
              <w:jc w:val="center"/>
            </w:pPr>
            <w:r w:rsidRPr="00FE07E8">
              <w:t>PFS, OS</w:t>
            </w:r>
          </w:p>
        </w:tc>
        <w:tc>
          <w:tcPr>
            <w:tcW w:w="939" w:type="pct"/>
            <w:vAlign w:val="center"/>
          </w:tcPr>
          <w:p w14:paraId="068EF766" w14:textId="77777777" w:rsidR="00E50A74" w:rsidRPr="00FE07E8" w:rsidRDefault="00E50A74" w:rsidP="00530866">
            <w:pPr>
              <w:pStyle w:val="TableText0"/>
              <w:jc w:val="center"/>
            </w:pPr>
            <w:r w:rsidRPr="00FE07E8">
              <w:t>Not used</w:t>
            </w:r>
          </w:p>
        </w:tc>
      </w:tr>
    </w:tbl>
    <w:p w14:paraId="16FE31B4" w14:textId="19F536F4" w:rsidR="00E50A74" w:rsidRPr="00FE07E8" w:rsidRDefault="00E50A74" w:rsidP="00530866">
      <w:pPr>
        <w:pStyle w:val="FooterTableFigure"/>
      </w:pPr>
      <w:r w:rsidRPr="00FE07E8">
        <w:t>Source: Compiled during the evaluation using information presented in the submission</w:t>
      </w:r>
    </w:p>
    <w:p w14:paraId="30C579B8" w14:textId="77777777" w:rsidR="00E50A74" w:rsidRPr="00FE07E8" w:rsidRDefault="00E50A74" w:rsidP="00530866">
      <w:pPr>
        <w:pStyle w:val="FooterTableFigure"/>
      </w:pPr>
      <w:r>
        <w:t xml:space="preserve">Abbreviations: </w:t>
      </w:r>
      <w:r w:rsidRPr="00280B1F">
        <w:t>ABCP = atezolizumab plus bevacizumab plus carboplatin plus paclitaxel</w:t>
      </w:r>
      <w:r>
        <w:t xml:space="preserve">; </w:t>
      </w:r>
      <w:r w:rsidRPr="00606966">
        <w:t>AmiCP = amivantamab in combination with carboplatin and pemetrexed</w:t>
      </w:r>
      <w:r>
        <w:t xml:space="preserve">; </w:t>
      </w:r>
      <w:r w:rsidRPr="00E66FEC">
        <w:t>CP= carboplatin plus pemetrexed</w:t>
      </w:r>
      <w:r>
        <w:t>;</w:t>
      </w:r>
      <w:r w:rsidRPr="00E66FEC">
        <w:t xml:space="preserve"> </w:t>
      </w:r>
      <w:r w:rsidRPr="00FE07E8">
        <w:t xml:space="preserve">DB = double blind; </w:t>
      </w:r>
      <w:r>
        <w:t xml:space="preserve">IA2= interim analysis 2; </w:t>
      </w:r>
      <w:r w:rsidRPr="00FE07E8">
        <w:t xml:space="preserve">MC = multi-centre; </w:t>
      </w:r>
      <w:r>
        <w:t xml:space="preserve">mths= months; </w:t>
      </w:r>
      <w:r w:rsidRPr="00FE07E8">
        <w:t>OL = open label; OS = overall survival; PFS = progression-free survival; R= randomised</w:t>
      </w:r>
      <w:r>
        <w:t>, TTTD= time to treatment discontinuation.</w:t>
      </w:r>
    </w:p>
    <w:p w14:paraId="22DB4B95" w14:textId="77777777" w:rsidR="00E50A74" w:rsidRDefault="00E50A74" w:rsidP="00530866">
      <w:pPr>
        <w:pStyle w:val="FooterTableFigure"/>
      </w:pPr>
      <w:bookmarkStart w:id="47" w:name="_Int_0g1qTgBy"/>
      <w:proofErr w:type="spellStart"/>
      <w:r w:rsidRPr="79174808">
        <w:rPr>
          <w:vertAlign w:val="superscript"/>
        </w:rPr>
        <w:t>a</w:t>
      </w:r>
      <w:bookmarkEnd w:id="47"/>
      <w:proofErr w:type="spellEnd"/>
      <w:r>
        <w:t xml:space="preserve"> </w:t>
      </w:r>
      <w:bookmarkStart w:id="48" w:name="_Int_pXMhuDQb"/>
      <w:r>
        <w:t>The</w:t>
      </w:r>
      <w:bookmarkEnd w:id="48"/>
      <w:r>
        <w:t xml:space="preserve"> MARIPOSA-2 trial was designed as a three-armed study (including a </w:t>
      </w:r>
      <w:proofErr w:type="spellStart"/>
      <w:r>
        <w:t>lazertinib</w:t>
      </w:r>
      <w:proofErr w:type="spellEnd"/>
      <w:r>
        <w:t xml:space="preserve">, </w:t>
      </w:r>
      <w:proofErr w:type="spellStart"/>
      <w:r>
        <w:t>amivantamab</w:t>
      </w:r>
      <w:proofErr w:type="spellEnd"/>
      <w:r>
        <w:t>, carboplatin, and pemetrexed arm). This was not included as it is not relevant to this submission. The trial was designed to have a dual primary hypothesis to independently evaluate the efficacy of treatment comparisons.</w:t>
      </w:r>
    </w:p>
    <w:p w14:paraId="51EF4E65" w14:textId="77777777" w:rsidR="00E50A74" w:rsidRPr="00EE5734" w:rsidRDefault="00E50A74" w:rsidP="00530866">
      <w:pPr>
        <w:pStyle w:val="FooterTableFigure"/>
        <w:rPr>
          <w:sz w:val="20"/>
        </w:rPr>
      </w:pPr>
      <w:r>
        <w:rPr>
          <w:vertAlign w:val="superscript"/>
        </w:rPr>
        <w:t>b</w:t>
      </w:r>
      <w:r>
        <w:t xml:space="preserve"> This reflects the whole trial population. </w:t>
      </w:r>
    </w:p>
    <w:p w14:paraId="4537ADD4" w14:textId="77EFE0E5" w:rsidR="00A77749" w:rsidRDefault="00E50A74" w:rsidP="00530866">
      <w:pPr>
        <w:pStyle w:val="3-BodyText"/>
      </w:pPr>
      <w:r w:rsidRPr="00966FDB">
        <w:t xml:space="preserve">The submission considered that there was an overall low risk of bias associated with the </w:t>
      </w:r>
      <w:r>
        <w:t>MARIPOSA</w:t>
      </w:r>
      <w:r w:rsidRPr="00966FDB">
        <w:t>-2 and ATTLAS trials.</w:t>
      </w:r>
      <w:r>
        <w:t xml:space="preserve"> </w:t>
      </w:r>
      <w:r w:rsidRPr="00C55A3B">
        <w:t>Due to the open-label nature of both trials, unblinded treatment allocation may have introduced performance and detection biases. Awareness of the treatment allocation may also have impacted on how patients report adverse events, quality of life outcomes and treating clinician management decisions. Further, the lack of blinding may cause bias if it leads to deviations from the intended intervention and knowledge of this may also have introduced bias. It is noted that most outcomes were assessed by blinded independent central review (BICR) in the MARIPOSA-2 trial while for ATTLAS, all outcomes were investigator-assessed. Based on the potential sources of bias described, there are some concerns with the overall risk of bias.</w:t>
      </w:r>
      <w:r w:rsidRPr="00966FDB">
        <w:t xml:space="preserve"> </w:t>
      </w:r>
    </w:p>
    <w:p w14:paraId="6470E85E" w14:textId="657CBCEA" w:rsidR="00A77749" w:rsidRPr="009C3174" w:rsidRDefault="00A77749" w:rsidP="00530866">
      <w:pPr>
        <w:pStyle w:val="3-BodyText"/>
      </w:pPr>
      <w:r w:rsidRPr="009C3174">
        <w:t xml:space="preserve">The ESC considered </w:t>
      </w:r>
      <w:r w:rsidR="004E053A" w:rsidRPr="009C3174">
        <w:t xml:space="preserve">the MARIPOSA-2 trial </w:t>
      </w:r>
      <w:r w:rsidR="00A916D9" w:rsidRPr="009C3174">
        <w:t xml:space="preserve">population was representative of the </w:t>
      </w:r>
      <w:r w:rsidR="004E053A" w:rsidRPr="009C3174">
        <w:t>Australian population</w:t>
      </w:r>
      <w:r w:rsidR="0096087A" w:rsidRPr="009C3174">
        <w:t>.</w:t>
      </w:r>
      <w:r w:rsidR="00334548">
        <w:t xml:space="preserve"> However, the PBAC noted MARIPOSA-2 </w:t>
      </w:r>
      <w:r w:rsidR="004D7D56">
        <w:t xml:space="preserve">was limited to </w:t>
      </w:r>
      <w:r w:rsidR="00DB25B7">
        <w:t xml:space="preserve">patients previously treated with osimertinib </w:t>
      </w:r>
      <w:r w:rsidR="004D7D56">
        <w:t xml:space="preserve">as </w:t>
      </w:r>
      <w:r w:rsidR="00DB25B7">
        <w:t xml:space="preserve">monotherapy in the advanced/ metastatic setting </w:t>
      </w:r>
      <w:r w:rsidR="00447190">
        <w:t xml:space="preserve">(paragraph </w:t>
      </w:r>
      <w:r w:rsidR="00447190">
        <w:fldChar w:fldCharType="begin"/>
      </w:r>
      <w:r w:rsidR="00447190">
        <w:instrText xml:space="preserve"> REF _Ref225495531 \r \h </w:instrText>
      </w:r>
      <w:r w:rsidR="00447190">
        <w:fldChar w:fldCharType="separate"/>
      </w:r>
      <w:r w:rsidR="00A572FC">
        <w:t>3.3</w:t>
      </w:r>
      <w:r w:rsidR="00447190">
        <w:fldChar w:fldCharType="end"/>
      </w:r>
      <w:r w:rsidR="00447190">
        <w:t xml:space="preserve">) </w:t>
      </w:r>
      <w:r w:rsidR="00DB25B7">
        <w:t>which may not reflect the broader post-osimertinib patient population.</w:t>
      </w:r>
      <w:r w:rsidR="002E04EE">
        <w:t xml:space="preserve"> </w:t>
      </w:r>
    </w:p>
    <w:p w14:paraId="53137034" w14:textId="77777777" w:rsidR="00E50A74" w:rsidRPr="0098262F" w:rsidRDefault="00E50A74" w:rsidP="00530866">
      <w:pPr>
        <w:pStyle w:val="4-SubsectionHeading"/>
      </w:pPr>
      <w:bookmarkStart w:id="49" w:name="_Toc22897641"/>
      <w:bookmarkStart w:id="50" w:name="_Toc107927627"/>
      <w:bookmarkStart w:id="51" w:name="_Toc219795454"/>
      <w:r w:rsidRPr="0098262F">
        <w:t>Comparative effectiveness</w:t>
      </w:r>
      <w:bookmarkEnd w:id="49"/>
      <w:bookmarkEnd w:id="50"/>
      <w:bookmarkEnd w:id="51"/>
    </w:p>
    <w:p w14:paraId="2BC449B7" w14:textId="77777777" w:rsidR="00E50A74" w:rsidRPr="009D6847" w:rsidRDefault="00E50A74" w:rsidP="00530866">
      <w:pPr>
        <w:rPr>
          <w:b/>
          <w:bCs/>
        </w:rPr>
      </w:pPr>
      <w:r w:rsidRPr="009D6847">
        <w:rPr>
          <w:b/>
          <w:bCs/>
        </w:rPr>
        <w:t>Direct comparison: AmiCP vs. CP</w:t>
      </w:r>
    </w:p>
    <w:p w14:paraId="244CCE9E" w14:textId="1AF064F5" w:rsidR="00E50A74" w:rsidRDefault="00E50A74" w:rsidP="00530866">
      <w:pPr>
        <w:pStyle w:val="3-BodyText"/>
      </w:pPr>
      <w:r>
        <w:t>A summary of the efficacy results for</w:t>
      </w:r>
      <w:r w:rsidR="1F773E8B">
        <w:t xml:space="preserve"> progression free survival</w:t>
      </w:r>
      <w:r>
        <w:t xml:space="preserve"> </w:t>
      </w:r>
      <w:r w:rsidR="77B8A315">
        <w:t>(</w:t>
      </w:r>
      <w:r>
        <w:t>PFS</w:t>
      </w:r>
      <w:r w:rsidR="6D41CE11">
        <w:t>)</w:t>
      </w:r>
      <w:r>
        <w:t xml:space="preserve">, </w:t>
      </w:r>
      <w:r w:rsidR="126BDC9E">
        <w:t>overall survival (</w:t>
      </w:r>
      <w:r>
        <w:t>OS</w:t>
      </w:r>
      <w:r w:rsidR="1A6E7497">
        <w:t>)</w:t>
      </w:r>
      <w:r>
        <w:t xml:space="preserve">, </w:t>
      </w:r>
      <w:r w:rsidR="7F79B2AF">
        <w:t>objective response rate (</w:t>
      </w:r>
      <w:r>
        <w:t>ORR</w:t>
      </w:r>
      <w:r w:rsidR="69193A8D">
        <w:t>)</w:t>
      </w:r>
      <w:r>
        <w:t xml:space="preserve"> and </w:t>
      </w:r>
      <w:r w:rsidR="218B4A4E">
        <w:t>intracranial progression free survival (</w:t>
      </w:r>
      <w:proofErr w:type="spellStart"/>
      <w:r>
        <w:t>icPFS</w:t>
      </w:r>
      <w:proofErr w:type="spellEnd"/>
      <w:r w:rsidR="31E0396C">
        <w:t>)</w:t>
      </w:r>
      <w:r>
        <w:t xml:space="preserve"> from the full analysis set (FAS) population in the MARIPOSA-2 trial is presented in </w:t>
      </w:r>
      <w:r>
        <w:fldChar w:fldCharType="begin"/>
      </w:r>
      <w:r>
        <w:instrText xml:space="preserve"> REF _Ref215754071 \h </w:instrText>
      </w:r>
      <w:r>
        <w:fldChar w:fldCharType="separate"/>
      </w:r>
      <w:r w:rsidR="00A572FC">
        <w:t xml:space="preserve">Table </w:t>
      </w:r>
      <w:r w:rsidR="00A572FC">
        <w:rPr>
          <w:noProof/>
        </w:rPr>
        <w:t>5</w:t>
      </w:r>
      <w:r>
        <w:fldChar w:fldCharType="end"/>
      </w:r>
      <w:r>
        <w:t>.</w:t>
      </w:r>
    </w:p>
    <w:p w14:paraId="319F54C6" w14:textId="6220D0DD" w:rsidR="00E50A74" w:rsidRDefault="00D97D5A" w:rsidP="00530866">
      <w:pPr>
        <w:pStyle w:val="Caption"/>
      </w:pPr>
      <w:r>
        <w:lastRenderedPageBreak/>
        <w:t xml:space="preserve">Table </w:t>
      </w:r>
      <w:fldSimple w:instr=" SEQ Table \* ARABIC ">
        <w:r>
          <w:rPr>
            <w:noProof/>
          </w:rPr>
          <w:t>5</w:t>
        </w:r>
      </w:fldSimple>
      <w:r w:rsidR="00E50A74">
        <w:t xml:space="preserve">: </w:t>
      </w:r>
      <w:r w:rsidR="00E50A74" w:rsidRPr="0018794B">
        <w:t xml:space="preserve">Summary of PFS, OS and ORR outcomes in </w:t>
      </w:r>
      <w:r w:rsidR="00E50A74">
        <w:t>MARIPOSA-2</w:t>
      </w:r>
      <w:r w:rsidR="00E50A74" w:rsidRPr="0018794B">
        <w:t xml:space="preserve"> trial (FAS)</w:t>
      </w:r>
    </w:p>
    <w:tbl>
      <w:tblPr>
        <w:tblStyle w:val="TableGrid11"/>
        <w:tblW w:w="5000" w:type="pct"/>
        <w:tblLook w:val="04A0" w:firstRow="1" w:lastRow="0" w:firstColumn="1" w:lastColumn="0" w:noHBand="0" w:noVBand="1"/>
        <w:tblCaption w:val="Table 5: Summary of PFS, OS and ORR outcomes in MARIPOSA-2 trial (FAS)"/>
      </w:tblPr>
      <w:tblGrid>
        <w:gridCol w:w="5039"/>
        <w:gridCol w:w="1989"/>
        <w:gridCol w:w="1989"/>
      </w:tblGrid>
      <w:tr w:rsidR="00E50A74" w:rsidRPr="00517D06" w14:paraId="5313E7CD" w14:textId="77777777" w:rsidTr="00B82613">
        <w:tc>
          <w:tcPr>
            <w:tcW w:w="2794" w:type="pct"/>
            <w:tcBorders>
              <w:top w:val="single" w:sz="4" w:space="0" w:color="auto"/>
              <w:left w:val="single" w:sz="4" w:space="0" w:color="auto"/>
              <w:bottom w:val="single" w:sz="4" w:space="0" w:color="auto"/>
              <w:right w:val="single" w:sz="4" w:space="0" w:color="auto"/>
            </w:tcBorders>
            <w:hideMark/>
          </w:tcPr>
          <w:p w14:paraId="4883ED72" w14:textId="77777777" w:rsidR="00E50A74" w:rsidRPr="00517D06" w:rsidRDefault="00E50A74" w:rsidP="00530866">
            <w:pPr>
              <w:keepNext/>
              <w:keepLines/>
              <w:jc w:val="left"/>
              <w:rPr>
                <w:rFonts w:ascii="Arial Narrow" w:eastAsiaTheme="majorEastAsia" w:hAnsi="Arial Narrow" w:cstheme="majorBidi"/>
                <w:bCs/>
                <w:sz w:val="20"/>
                <w:szCs w:val="22"/>
              </w:rPr>
            </w:pPr>
          </w:p>
        </w:tc>
        <w:tc>
          <w:tcPr>
            <w:tcW w:w="1103" w:type="pct"/>
            <w:tcBorders>
              <w:top w:val="single" w:sz="4" w:space="0" w:color="auto"/>
              <w:left w:val="single" w:sz="4" w:space="0" w:color="auto"/>
              <w:bottom w:val="single" w:sz="4" w:space="0" w:color="auto"/>
              <w:right w:val="single" w:sz="4" w:space="0" w:color="auto"/>
            </w:tcBorders>
          </w:tcPr>
          <w:p w14:paraId="08390D21" w14:textId="77777777" w:rsidR="00E50A74" w:rsidRPr="002C7907" w:rsidRDefault="00E50A74" w:rsidP="00530866">
            <w:pPr>
              <w:keepNext/>
              <w:keepLines/>
              <w:jc w:val="center"/>
              <w:rPr>
                <w:rFonts w:ascii="Arial Narrow" w:eastAsiaTheme="majorEastAsia" w:hAnsi="Arial Narrow" w:cs="Times New Roman"/>
                <w:b/>
                <w:sz w:val="20"/>
                <w:szCs w:val="22"/>
                <w:lang w:val="en-US"/>
              </w:rPr>
            </w:pPr>
            <w:proofErr w:type="spellStart"/>
            <w:r w:rsidRPr="002C7907">
              <w:rPr>
                <w:rFonts w:ascii="Arial Narrow" w:eastAsiaTheme="majorEastAsia" w:hAnsi="Arial Narrow" w:cs="Times New Roman"/>
                <w:b/>
                <w:sz w:val="20"/>
                <w:szCs w:val="22"/>
                <w:lang w:val="en-US"/>
              </w:rPr>
              <w:t>AmiCP</w:t>
            </w:r>
            <w:proofErr w:type="spellEnd"/>
            <w:r w:rsidRPr="002C7907">
              <w:rPr>
                <w:rFonts w:ascii="Arial Narrow" w:eastAsiaTheme="majorEastAsia" w:hAnsi="Arial Narrow" w:cs="Times New Roman"/>
                <w:b/>
                <w:sz w:val="20"/>
                <w:szCs w:val="22"/>
                <w:lang w:val="en-US"/>
              </w:rPr>
              <w:t xml:space="preserve"> (n=131)</w:t>
            </w:r>
          </w:p>
        </w:tc>
        <w:tc>
          <w:tcPr>
            <w:tcW w:w="1103" w:type="pct"/>
            <w:tcBorders>
              <w:top w:val="single" w:sz="4" w:space="0" w:color="auto"/>
              <w:left w:val="single" w:sz="4" w:space="0" w:color="auto"/>
              <w:bottom w:val="single" w:sz="4" w:space="0" w:color="auto"/>
              <w:right w:val="single" w:sz="4" w:space="0" w:color="auto"/>
            </w:tcBorders>
          </w:tcPr>
          <w:p w14:paraId="0FB94EE2" w14:textId="77777777" w:rsidR="00E50A74" w:rsidRPr="002C7907" w:rsidRDefault="00E50A74" w:rsidP="00530866">
            <w:pPr>
              <w:keepNext/>
              <w:keepLines/>
              <w:jc w:val="center"/>
              <w:rPr>
                <w:rFonts w:ascii="Arial Narrow" w:eastAsiaTheme="majorEastAsia" w:hAnsi="Arial Narrow" w:cs="Times New Roman"/>
                <w:b/>
                <w:sz w:val="20"/>
                <w:szCs w:val="22"/>
                <w:lang w:val="en-US"/>
              </w:rPr>
            </w:pPr>
            <w:r w:rsidRPr="002C7907">
              <w:rPr>
                <w:rFonts w:ascii="Arial Narrow" w:eastAsiaTheme="majorEastAsia" w:hAnsi="Arial Narrow" w:cs="Times New Roman"/>
                <w:b/>
                <w:sz w:val="20"/>
                <w:szCs w:val="22"/>
                <w:lang w:val="en-US"/>
              </w:rPr>
              <w:t>CP (n=263)</w:t>
            </w:r>
          </w:p>
        </w:tc>
      </w:tr>
      <w:tr w:rsidR="00E50A74" w:rsidRPr="00517D06" w14:paraId="38ACE1C0" w14:textId="77777777" w:rsidTr="00B82613">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B08A0D" w14:textId="77777777" w:rsidR="00E50A74" w:rsidRPr="002C7907" w:rsidRDefault="00E50A74" w:rsidP="00530866">
            <w:pPr>
              <w:keepNext/>
              <w:keepLines/>
              <w:jc w:val="left"/>
              <w:rPr>
                <w:rFonts w:ascii="Arial Narrow" w:eastAsiaTheme="majorEastAsia" w:hAnsi="Arial Narrow" w:cs="Times New Roman"/>
                <w:b/>
                <w:sz w:val="20"/>
                <w:szCs w:val="22"/>
                <w:lang w:val="en-US"/>
              </w:rPr>
            </w:pPr>
            <w:r w:rsidRPr="0018794B">
              <w:rPr>
                <w:rFonts w:ascii="Arial Narrow" w:eastAsiaTheme="majorEastAsia" w:hAnsi="Arial Narrow" w:cstheme="majorBidi"/>
                <w:b/>
                <w:sz w:val="20"/>
                <w:szCs w:val="22"/>
              </w:rPr>
              <w:t>Progression free survival (PFS)</w:t>
            </w:r>
            <w:r>
              <w:rPr>
                <w:rFonts w:ascii="Arial Narrow" w:eastAsiaTheme="majorEastAsia" w:hAnsi="Arial Narrow" w:cstheme="majorBidi"/>
                <w:b/>
                <w:sz w:val="20"/>
                <w:szCs w:val="22"/>
              </w:rPr>
              <w:t xml:space="preserve"> by BICR – primary analysis</w:t>
            </w:r>
          </w:p>
        </w:tc>
      </w:tr>
      <w:tr w:rsidR="00E50A74" w:rsidRPr="00517D06" w14:paraId="260F262A" w14:textId="77777777" w:rsidTr="00B82613">
        <w:tc>
          <w:tcPr>
            <w:tcW w:w="2794" w:type="pct"/>
            <w:tcBorders>
              <w:top w:val="single" w:sz="4" w:space="0" w:color="auto"/>
              <w:left w:val="single" w:sz="4" w:space="0" w:color="auto"/>
              <w:bottom w:val="single" w:sz="4" w:space="0" w:color="auto"/>
              <w:right w:val="single" w:sz="4" w:space="0" w:color="auto"/>
            </w:tcBorders>
          </w:tcPr>
          <w:p w14:paraId="5B5D5219" w14:textId="77777777" w:rsidR="00E50A74" w:rsidRPr="00517D06" w:rsidRDefault="00E50A74" w:rsidP="00530866">
            <w:pPr>
              <w:keepNext/>
              <w:keepLines/>
              <w:jc w:val="left"/>
              <w:rPr>
                <w:rFonts w:ascii="Arial Narrow" w:eastAsiaTheme="majorEastAsia" w:hAnsi="Arial Narrow" w:cstheme="majorBidi"/>
                <w:bCs/>
                <w:sz w:val="20"/>
                <w:szCs w:val="22"/>
              </w:rPr>
            </w:pPr>
            <w:r w:rsidRPr="00517D06">
              <w:rPr>
                <w:rFonts w:ascii="Arial Narrow" w:eastAsiaTheme="majorEastAsia" w:hAnsi="Arial Narrow" w:cstheme="majorBidi"/>
                <w:bCs/>
                <w:sz w:val="20"/>
                <w:szCs w:val="22"/>
              </w:rPr>
              <w:t>Number of events (%)</w:t>
            </w:r>
          </w:p>
        </w:tc>
        <w:tc>
          <w:tcPr>
            <w:tcW w:w="1103" w:type="pct"/>
            <w:tcBorders>
              <w:top w:val="single" w:sz="4" w:space="0" w:color="auto"/>
              <w:left w:val="single" w:sz="4" w:space="0" w:color="auto"/>
              <w:bottom w:val="single" w:sz="4" w:space="0" w:color="auto"/>
              <w:right w:val="single" w:sz="4" w:space="0" w:color="auto"/>
            </w:tcBorders>
          </w:tcPr>
          <w:p w14:paraId="262370A3" w14:textId="435CF930" w:rsidR="00E50A74" w:rsidRPr="00517D06" w:rsidRDefault="00E50A74" w:rsidP="00530866">
            <w:pPr>
              <w:keepNext/>
              <w:keepLines/>
              <w:jc w:val="center"/>
              <w:rPr>
                <w:rFonts w:ascii="Arial Narrow" w:eastAsiaTheme="majorEastAsia" w:hAnsi="Arial Narrow" w:cstheme="majorBidi"/>
                <w:bCs/>
                <w:sz w:val="20"/>
                <w:szCs w:val="22"/>
              </w:rPr>
            </w:pPr>
            <w:r w:rsidRPr="00517D06">
              <w:rPr>
                <w:rFonts w:ascii="Arial Narrow" w:eastAsiaTheme="majorEastAsia" w:hAnsi="Arial Narrow" w:cstheme="majorBidi"/>
                <w:bCs/>
                <w:sz w:val="20"/>
                <w:szCs w:val="22"/>
              </w:rPr>
              <w:t>74 (56.5)</w:t>
            </w:r>
          </w:p>
        </w:tc>
        <w:tc>
          <w:tcPr>
            <w:tcW w:w="1103" w:type="pct"/>
            <w:tcBorders>
              <w:top w:val="single" w:sz="4" w:space="0" w:color="auto"/>
              <w:left w:val="single" w:sz="4" w:space="0" w:color="auto"/>
              <w:bottom w:val="single" w:sz="4" w:space="0" w:color="auto"/>
              <w:right w:val="single" w:sz="4" w:space="0" w:color="auto"/>
            </w:tcBorders>
          </w:tcPr>
          <w:p w14:paraId="38A4D1BE" w14:textId="60D08179" w:rsidR="00E50A74" w:rsidRPr="00517D06" w:rsidRDefault="00E50A74" w:rsidP="00530866">
            <w:pPr>
              <w:keepNext/>
              <w:keepLines/>
              <w:jc w:val="center"/>
              <w:rPr>
                <w:rFonts w:ascii="Arial Narrow" w:eastAsiaTheme="majorEastAsia" w:hAnsi="Arial Narrow" w:cstheme="majorBidi"/>
                <w:bCs/>
                <w:sz w:val="20"/>
                <w:szCs w:val="22"/>
              </w:rPr>
            </w:pPr>
            <w:r w:rsidRPr="00517D06">
              <w:rPr>
                <w:rFonts w:ascii="Arial Narrow" w:eastAsiaTheme="majorEastAsia" w:hAnsi="Arial Narrow" w:cstheme="majorBidi"/>
                <w:bCs/>
                <w:sz w:val="20"/>
                <w:szCs w:val="22"/>
              </w:rPr>
              <w:t>171 (65.0)</w:t>
            </w:r>
          </w:p>
        </w:tc>
      </w:tr>
      <w:tr w:rsidR="00E50A74" w:rsidRPr="00517D06" w14:paraId="1618CD90" w14:textId="77777777" w:rsidTr="00B82613">
        <w:tc>
          <w:tcPr>
            <w:tcW w:w="2794" w:type="pct"/>
            <w:tcBorders>
              <w:top w:val="single" w:sz="4" w:space="0" w:color="auto"/>
              <w:left w:val="single" w:sz="4" w:space="0" w:color="auto"/>
              <w:bottom w:val="single" w:sz="4" w:space="0" w:color="auto"/>
              <w:right w:val="single" w:sz="4" w:space="0" w:color="auto"/>
            </w:tcBorders>
          </w:tcPr>
          <w:p w14:paraId="2E37DF51" w14:textId="50058DCE" w:rsidR="00E50A74" w:rsidRPr="00517D06" w:rsidRDefault="00E50A74" w:rsidP="00530866">
            <w:pPr>
              <w:keepNext/>
              <w:keepLines/>
              <w:jc w:val="left"/>
              <w:rPr>
                <w:rFonts w:ascii="Arial Narrow" w:eastAsiaTheme="majorEastAsia" w:hAnsi="Arial Narrow" w:cstheme="majorBidi"/>
                <w:bCs/>
                <w:sz w:val="20"/>
                <w:szCs w:val="22"/>
              </w:rPr>
            </w:pPr>
            <w:r w:rsidRPr="00517D06">
              <w:rPr>
                <w:rFonts w:ascii="Arial Narrow" w:eastAsiaTheme="majorEastAsia" w:hAnsi="Arial Narrow" w:cstheme="majorBidi"/>
                <w:bCs/>
                <w:sz w:val="20"/>
                <w:szCs w:val="22"/>
              </w:rPr>
              <w:t>Censored</w:t>
            </w:r>
            <w:r w:rsidR="00C842FE">
              <w:rPr>
                <w:rFonts w:ascii="Arial Narrow" w:eastAsiaTheme="majorEastAsia" w:hAnsi="Arial Narrow" w:cstheme="majorBidi"/>
                <w:bCs/>
                <w:sz w:val="20"/>
                <w:szCs w:val="22"/>
              </w:rPr>
              <w:t xml:space="preserve"> (%)</w:t>
            </w:r>
          </w:p>
        </w:tc>
        <w:tc>
          <w:tcPr>
            <w:tcW w:w="1103" w:type="pct"/>
            <w:tcBorders>
              <w:top w:val="single" w:sz="4" w:space="0" w:color="auto"/>
              <w:left w:val="single" w:sz="4" w:space="0" w:color="auto"/>
              <w:bottom w:val="single" w:sz="4" w:space="0" w:color="auto"/>
              <w:right w:val="single" w:sz="4" w:space="0" w:color="auto"/>
            </w:tcBorders>
          </w:tcPr>
          <w:p w14:paraId="307EF9E6" w14:textId="3A03F365" w:rsidR="00E50A74" w:rsidRPr="00517D06" w:rsidRDefault="00E50A74" w:rsidP="00530866">
            <w:pPr>
              <w:keepNext/>
              <w:keepLines/>
              <w:jc w:val="center"/>
              <w:rPr>
                <w:rFonts w:ascii="Arial Narrow" w:eastAsiaTheme="majorEastAsia" w:hAnsi="Arial Narrow" w:cstheme="majorBidi"/>
                <w:bCs/>
                <w:sz w:val="20"/>
                <w:szCs w:val="22"/>
              </w:rPr>
            </w:pPr>
            <w:r w:rsidRPr="00517D06">
              <w:rPr>
                <w:rFonts w:ascii="Arial Narrow" w:eastAsiaTheme="majorEastAsia" w:hAnsi="Arial Narrow" w:cstheme="majorBidi"/>
                <w:bCs/>
                <w:sz w:val="20"/>
                <w:szCs w:val="22"/>
              </w:rPr>
              <w:t>57 (43.5)</w:t>
            </w:r>
          </w:p>
        </w:tc>
        <w:tc>
          <w:tcPr>
            <w:tcW w:w="1103" w:type="pct"/>
            <w:tcBorders>
              <w:top w:val="single" w:sz="4" w:space="0" w:color="auto"/>
              <w:left w:val="single" w:sz="4" w:space="0" w:color="auto"/>
              <w:bottom w:val="single" w:sz="4" w:space="0" w:color="auto"/>
              <w:right w:val="single" w:sz="4" w:space="0" w:color="auto"/>
            </w:tcBorders>
          </w:tcPr>
          <w:p w14:paraId="1245AD5F" w14:textId="449D4DDF" w:rsidR="00E50A74" w:rsidRPr="00517D06" w:rsidRDefault="00E50A74" w:rsidP="00530866">
            <w:pPr>
              <w:keepNext/>
              <w:keepLines/>
              <w:jc w:val="center"/>
              <w:rPr>
                <w:rFonts w:ascii="Arial Narrow" w:eastAsiaTheme="majorEastAsia" w:hAnsi="Arial Narrow" w:cstheme="majorBidi"/>
                <w:bCs/>
                <w:sz w:val="20"/>
                <w:szCs w:val="22"/>
              </w:rPr>
            </w:pPr>
            <w:r w:rsidRPr="00517D06">
              <w:rPr>
                <w:rFonts w:ascii="Arial Narrow" w:eastAsiaTheme="majorEastAsia" w:hAnsi="Arial Narrow" w:cstheme="majorBidi"/>
                <w:bCs/>
                <w:sz w:val="20"/>
                <w:szCs w:val="22"/>
              </w:rPr>
              <w:t>92 (35.0)</w:t>
            </w:r>
          </w:p>
        </w:tc>
      </w:tr>
      <w:tr w:rsidR="00E50A74" w:rsidRPr="00517D06" w14:paraId="0DE181C3" w14:textId="77777777" w:rsidTr="00B82613">
        <w:tc>
          <w:tcPr>
            <w:tcW w:w="2794" w:type="pct"/>
            <w:tcBorders>
              <w:top w:val="single" w:sz="4" w:space="0" w:color="auto"/>
              <w:left w:val="single" w:sz="4" w:space="0" w:color="auto"/>
              <w:bottom w:val="single" w:sz="4" w:space="0" w:color="auto"/>
              <w:right w:val="single" w:sz="4" w:space="0" w:color="auto"/>
            </w:tcBorders>
          </w:tcPr>
          <w:p w14:paraId="5092BBB1" w14:textId="77777777" w:rsidR="00E50A74" w:rsidRPr="00517D06" w:rsidRDefault="00E50A74" w:rsidP="00530866">
            <w:pPr>
              <w:keepNext/>
              <w:keepLines/>
              <w:jc w:val="left"/>
              <w:rPr>
                <w:rFonts w:ascii="Arial Narrow" w:eastAsiaTheme="majorEastAsia" w:hAnsi="Arial Narrow" w:cstheme="majorBidi"/>
                <w:bCs/>
                <w:sz w:val="20"/>
                <w:szCs w:val="22"/>
              </w:rPr>
            </w:pPr>
            <w:r w:rsidRPr="00517D06">
              <w:rPr>
                <w:rFonts w:ascii="Arial Narrow" w:eastAsiaTheme="majorEastAsia" w:hAnsi="Arial Narrow" w:cstheme="majorBidi"/>
                <w:bCs/>
                <w:sz w:val="20"/>
                <w:szCs w:val="22"/>
              </w:rPr>
              <w:t>Time to event (months)</w:t>
            </w:r>
          </w:p>
        </w:tc>
        <w:tc>
          <w:tcPr>
            <w:tcW w:w="1103" w:type="pct"/>
            <w:tcBorders>
              <w:top w:val="single" w:sz="4" w:space="0" w:color="auto"/>
              <w:left w:val="single" w:sz="4" w:space="0" w:color="auto"/>
              <w:bottom w:val="single" w:sz="4" w:space="0" w:color="auto"/>
              <w:right w:val="single" w:sz="4" w:space="0" w:color="auto"/>
            </w:tcBorders>
          </w:tcPr>
          <w:p w14:paraId="28375FDA" w14:textId="77777777" w:rsidR="00E50A74" w:rsidRPr="00517D06" w:rsidRDefault="00E50A74" w:rsidP="00530866">
            <w:pPr>
              <w:keepNext/>
              <w:keepLines/>
              <w:jc w:val="center"/>
              <w:rPr>
                <w:rFonts w:ascii="Arial Narrow" w:eastAsiaTheme="majorEastAsia" w:hAnsi="Arial Narrow" w:cstheme="majorBidi"/>
                <w:bCs/>
                <w:sz w:val="20"/>
                <w:szCs w:val="22"/>
              </w:rPr>
            </w:pPr>
          </w:p>
        </w:tc>
        <w:tc>
          <w:tcPr>
            <w:tcW w:w="1103" w:type="pct"/>
            <w:tcBorders>
              <w:top w:val="single" w:sz="4" w:space="0" w:color="auto"/>
              <w:left w:val="single" w:sz="4" w:space="0" w:color="auto"/>
              <w:bottom w:val="single" w:sz="4" w:space="0" w:color="auto"/>
              <w:right w:val="single" w:sz="4" w:space="0" w:color="auto"/>
            </w:tcBorders>
          </w:tcPr>
          <w:p w14:paraId="6F64ECE8" w14:textId="77777777" w:rsidR="00E50A74" w:rsidRPr="00517D06" w:rsidRDefault="00E50A74" w:rsidP="00530866">
            <w:pPr>
              <w:keepNext/>
              <w:keepLines/>
              <w:jc w:val="center"/>
              <w:rPr>
                <w:rFonts w:ascii="Arial Narrow" w:eastAsiaTheme="majorEastAsia" w:hAnsi="Arial Narrow" w:cstheme="majorBidi"/>
                <w:bCs/>
                <w:sz w:val="20"/>
                <w:szCs w:val="22"/>
              </w:rPr>
            </w:pPr>
          </w:p>
        </w:tc>
      </w:tr>
      <w:tr w:rsidR="00E50A74" w:rsidRPr="00517D06" w14:paraId="0E4E6535" w14:textId="77777777" w:rsidTr="00B82613">
        <w:tc>
          <w:tcPr>
            <w:tcW w:w="2794" w:type="pct"/>
            <w:tcBorders>
              <w:top w:val="single" w:sz="4" w:space="0" w:color="auto"/>
              <w:left w:val="single" w:sz="4" w:space="0" w:color="auto"/>
              <w:bottom w:val="single" w:sz="4" w:space="0" w:color="auto"/>
              <w:right w:val="single" w:sz="4" w:space="0" w:color="auto"/>
            </w:tcBorders>
          </w:tcPr>
          <w:p w14:paraId="1F3BC486" w14:textId="7EE58443" w:rsidR="00E50A74" w:rsidRPr="00517D06" w:rsidRDefault="00E50A74" w:rsidP="00530866">
            <w:pPr>
              <w:keepNext/>
              <w:keepLines/>
              <w:jc w:val="left"/>
              <w:rPr>
                <w:rFonts w:ascii="Arial Narrow" w:eastAsiaTheme="majorEastAsia" w:hAnsi="Arial Narrow" w:cstheme="majorBidi"/>
                <w:bCs/>
                <w:sz w:val="20"/>
                <w:szCs w:val="22"/>
              </w:rPr>
            </w:pPr>
            <w:r w:rsidRPr="00517D06">
              <w:rPr>
                <w:rFonts w:ascii="Arial Narrow" w:eastAsiaTheme="majorEastAsia" w:hAnsi="Arial Narrow" w:cstheme="majorBidi"/>
                <w:bCs/>
                <w:sz w:val="20"/>
                <w:szCs w:val="22"/>
              </w:rPr>
              <w:t>25th percentile (95% CI)</w:t>
            </w:r>
          </w:p>
        </w:tc>
        <w:tc>
          <w:tcPr>
            <w:tcW w:w="1103" w:type="pct"/>
            <w:tcBorders>
              <w:top w:val="single" w:sz="4" w:space="0" w:color="auto"/>
              <w:left w:val="single" w:sz="4" w:space="0" w:color="auto"/>
              <w:bottom w:val="single" w:sz="4" w:space="0" w:color="auto"/>
              <w:right w:val="single" w:sz="4" w:space="0" w:color="auto"/>
            </w:tcBorders>
          </w:tcPr>
          <w:p w14:paraId="52EF0260" w14:textId="77777777" w:rsidR="00E50A74" w:rsidRPr="00517D06" w:rsidRDefault="00E50A74" w:rsidP="00530866">
            <w:pPr>
              <w:keepNext/>
              <w:keepLines/>
              <w:jc w:val="center"/>
              <w:rPr>
                <w:rFonts w:ascii="Arial Narrow" w:eastAsiaTheme="majorEastAsia" w:hAnsi="Arial Narrow" w:cstheme="majorBidi"/>
                <w:bCs/>
                <w:sz w:val="20"/>
                <w:szCs w:val="22"/>
              </w:rPr>
            </w:pPr>
            <w:r w:rsidRPr="00517D06">
              <w:rPr>
                <w:rFonts w:ascii="Arial Narrow" w:eastAsiaTheme="majorEastAsia" w:hAnsi="Arial Narrow" w:cstheme="majorBidi"/>
                <w:bCs/>
                <w:sz w:val="20"/>
                <w:szCs w:val="22"/>
              </w:rPr>
              <w:t>4.37 (4.17, 5.39)</w:t>
            </w:r>
          </w:p>
        </w:tc>
        <w:tc>
          <w:tcPr>
            <w:tcW w:w="1103" w:type="pct"/>
            <w:tcBorders>
              <w:top w:val="single" w:sz="4" w:space="0" w:color="auto"/>
              <w:left w:val="single" w:sz="4" w:space="0" w:color="auto"/>
              <w:bottom w:val="single" w:sz="4" w:space="0" w:color="auto"/>
              <w:right w:val="single" w:sz="4" w:space="0" w:color="auto"/>
            </w:tcBorders>
          </w:tcPr>
          <w:p w14:paraId="363AF178" w14:textId="77777777" w:rsidR="00E50A74" w:rsidRPr="00517D06" w:rsidRDefault="00E50A74" w:rsidP="00530866">
            <w:pPr>
              <w:keepNext/>
              <w:keepLines/>
              <w:jc w:val="center"/>
              <w:rPr>
                <w:rFonts w:ascii="Arial Narrow" w:eastAsiaTheme="majorEastAsia" w:hAnsi="Arial Narrow" w:cstheme="majorBidi"/>
                <w:bCs/>
                <w:sz w:val="20"/>
                <w:szCs w:val="22"/>
              </w:rPr>
            </w:pPr>
            <w:r w:rsidRPr="00517D06">
              <w:rPr>
                <w:rFonts w:ascii="Arial Narrow" w:eastAsiaTheme="majorEastAsia" w:hAnsi="Arial Narrow" w:cstheme="majorBidi"/>
                <w:bCs/>
                <w:sz w:val="20"/>
                <w:szCs w:val="22"/>
              </w:rPr>
              <w:t>2.50 (1.51, 2.83)</w:t>
            </w:r>
          </w:p>
        </w:tc>
      </w:tr>
      <w:tr w:rsidR="00E50A74" w:rsidRPr="00517D06" w14:paraId="3A9234CA" w14:textId="77777777" w:rsidTr="00B82613">
        <w:tc>
          <w:tcPr>
            <w:tcW w:w="2794" w:type="pct"/>
            <w:tcBorders>
              <w:top w:val="single" w:sz="4" w:space="0" w:color="auto"/>
              <w:left w:val="single" w:sz="4" w:space="0" w:color="auto"/>
              <w:bottom w:val="single" w:sz="4" w:space="0" w:color="auto"/>
              <w:right w:val="single" w:sz="4" w:space="0" w:color="auto"/>
            </w:tcBorders>
          </w:tcPr>
          <w:p w14:paraId="708D6935" w14:textId="6D93D874" w:rsidR="00E50A74" w:rsidRPr="00517D06" w:rsidRDefault="00E50A74" w:rsidP="00530866">
            <w:pPr>
              <w:keepNext/>
              <w:keepLines/>
              <w:jc w:val="left"/>
              <w:rPr>
                <w:rFonts w:ascii="Arial Narrow" w:eastAsiaTheme="majorEastAsia" w:hAnsi="Arial Narrow" w:cstheme="majorBidi"/>
                <w:bCs/>
                <w:sz w:val="20"/>
                <w:szCs w:val="22"/>
              </w:rPr>
            </w:pPr>
            <w:r w:rsidRPr="00517D06">
              <w:rPr>
                <w:rFonts w:ascii="Arial Narrow" w:eastAsiaTheme="majorEastAsia" w:hAnsi="Arial Narrow" w:cstheme="majorBidi"/>
                <w:bCs/>
                <w:sz w:val="20"/>
                <w:szCs w:val="22"/>
              </w:rPr>
              <w:t>Median, months (95% CI)</w:t>
            </w:r>
          </w:p>
        </w:tc>
        <w:tc>
          <w:tcPr>
            <w:tcW w:w="1103" w:type="pct"/>
            <w:tcBorders>
              <w:top w:val="single" w:sz="4" w:space="0" w:color="auto"/>
              <w:left w:val="single" w:sz="4" w:space="0" w:color="auto"/>
              <w:bottom w:val="single" w:sz="4" w:space="0" w:color="auto"/>
              <w:right w:val="single" w:sz="4" w:space="0" w:color="auto"/>
            </w:tcBorders>
          </w:tcPr>
          <w:p w14:paraId="7C0A16FA" w14:textId="77777777" w:rsidR="00E50A74" w:rsidRPr="00517D06" w:rsidRDefault="00E50A74" w:rsidP="00530866">
            <w:pPr>
              <w:keepNext/>
              <w:keepLines/>
              <w:jc w:val="center"/>
              <w:rPr>
                <w:rFonts w:ascii="Arial Narrow" w:eastAsiaTheme="majorEastAsia" w:hAnsi="Arial Narrow" w:cstheme="majorBidi"/>
                <w:bCs/>
                <w:sz w:val="20"/>
                <w:szCs w:val="22"/>
              </w:rPr>
            </w:pPr>
            <w:r w:rsidRPr="00517D06">
              <w:rPr>
                <w:rFonts w:ascii="Arial Narrow" w:eastAsiaTheme="majorEastAsia" w:hAnsi="Arial Narrow" w:cstheme="majorBidi"/>
                <w:bCs/>
                <w:sz w:val="20"/>
                <w:szCs w:val="22"/>
              </w:rPr>
              <w:t>6.28 (5.55, 8.41)</w:t>
            </w:r>
          </w:p>
        </w:tc>
        <w:tc>
          <w:tcPr>
            <w:tcW w:w="1103" w:type="pct"/>
            <w:tcBorders>
              <w:top w:val="single" w:sz="4" w:space="0" w:color="auto"/>
              <w:left w:val="single" w:sz="4" w:space="0" w:color="auto"/>
              <w:bottom w:val="single" w:sz="4" w:space="0" w:color="auto"/>
              <w:right w:val="single" w:sz="4" w:space="0" w:color="auto"/>
            </w:tcBorders>
          </w:tcPr>
          <w:p w14:paraId="2A20776C" w14:textId="77777777" w:rsidR="00E50A74" w:rsidRPr="00517D06" w:rsidRDefault="00E50A74" w:rsidP="00530866">
            <w:pPr>
              <w:keepNext/>
              <w:keepLines/>
              <w:jc w:val="center"/>
              <w:rPr>
                <w:rFonts w:ascii="Arial Narrow" w:eastAsiaTheme="majorEastAsia" w:hAnsi="Arial Narrow" w:cstheme="majorBidi"/>
                <w:bCs/>
                <w:sz w:val="20"/>
                <w:szCs w:val="22"/>
              </w:rPr>
            </w:pPr>
            <w:r w:rsidRPr="00517D06">
              <w:rPr>
                <w:rFonts w:ascii="Arial Narrow" w:eastAsiaTheme="majorEastAsia" w:hAnsi="Arial Narrow" w:cstheme="majorBidi"/>
                <w:bCs/>
                <w:sz w:val="20"/>
                <w:szCs w:val="22"/>
              </w:rPr>
              <w:t>4.17 (4.04, 4.44)</w:t>
            </w:r>
          </w:p>
        </w:tc>
      </w:tr>
      <w:tr w:rsidR="00E50A74" w:rsidRPr="00517D06" w14:paraId="56D5E7EF" w14:textId="77777777" w:rsidTr="00B82613">
        <w:tc>
          <w:tcPr>
            <w:tcW w:w="2794" w:type="pct"/>
            <w:tcBorders>
              <w:top w:val="single" w:sz="4" w:space="0" w:color="auto"/>
              <w:left w:val="single" w:sz="4" w:space="0" w:color="auto"/>
              <w:bottom w:val="single" w:sz="4" w:space="0" w:color="auto"/>
              <w:right w:val="single" w:sz="4" w:space="0" w:color="auto"/>
            </w:tcBorders>
          </w:tcPr>
          <w:p w14:paraId="15FFF8F6" w14:textId="4A990934" w:rsidR="00E50A74" w:rsidRPr="00517D06" w:rsidRDefault="00E50A74" w:rsidP="00530866">
            <w:pPr>
              <w:keepNext/>
              <w:keepLines/>
              <w:jc w:val="left"/>
              <w:rPr>
                <w:rFonts w:ascii="Arial Narrow" w:eastAsiaTheme="majorEastAsia" w:hAnsi="Arial Narrow" w:cstheme="majorBidi"/>
                <w:bCs/>
                <w:sz w:val="20"/>
                <w:szCs w:val="22"/>
              </w:rPr>
            </w:pPr>
            <w:r w:rsidRPr="00517D06">
              <w:rPr>
                <w:rFonts w:ascii="Arial Narrow" w:eastAsiaTheme="majorEastAsia" w:hAnsi="Arial Narrow" w:cstheme="majorBidi"/>
                <w:bCs/>
                <w:sz w:val="20"/>
                <w:szCs w:val="22"/>
              </w:rPr>
              <w:t>75th percentile (95% CI)</w:t>
            </w:r>
          </w:p>
        </w:tc>
        <w:tc>
          <w:tcPr>
            <w:tcW w:w="1103" w:type="pct"/>
            <w:tcBorders>
              <w:top w:val="single" w:sz="4" w:space="0" w:color="auto"/>
              <w:left w:val="single" w:sz="4" w:space="0" w:color="auto"/>
              <w:bottom w:val="single" w:sz="4" w:space="0" w:color="auto"/>
              <w:right w:val="single" w:sz="4" w:space="0" w:color="auto"/>
            </w:tcBorders>
          </w:tcPr>
          <w:p w14:paraId="17FEA519" w14:textId="77777777" w:rsidR="00E50A74" w:rsidRPr="00517D06" w:rsidRDefault="00E50A74" w:rsidP="00530866">
            <w:pPr>
              <w:keepNext/>
              <w:keepLines/>
              <w:jc w:val="center"/>
              <w:rPr>
                <w:rFonts w:ascii="Arial Narrow" w:eastAsiaTheme="majorEastAsia" w:hAnsi="Arial Narrow" w:cstheme="majorBidi"/>
                <w:bCs/>
                <w:sz w:val="20"/>
                <w:szCs w:val="22"/>
              </w:rPr>
            </w:pPr>
            <w:r w:rsidRPr="00517D06">
              <w:rPr>
                <w:rFonts w:ascii="Arial Narrow" w:eastAsiaTheme="majorEastAsia" w:hAnsi="Arial Narrow" w:cstheme="majorBidi"/>
                <w:bCs/>
                <w:sz w:val="20"/>
                <w:szCs w:val="22"/>
              </w:rPr>
              <w:t>11.76 (9.72, NE)</w:t>
            </w:r>
          </w:p>
        </w:tc>
        <w:tc>
          <w:tcPr>
            <w:tcW w:w="1103" w:type="pct"/>
            <w:tcBorders>
              <w:top w:val="single" w:sz="4" w:space="0" w:color="auto"/>
              <w:left w:val="single" w:sz="4" w:space="0" w:color="auto"/>
              <w:bottom w:val="single" w:sz="4" w:space="0" w:color="auto"/>
              <w:right w:val="single" w:sz="4" w:space="0" w:color="auto"/>
            </w:tcBorders>
          </w:tcPr>
          <w:p w14:paraId="1F107E9C" w14:textId="77777777" w:rsidR="00E50A74" w:rsidRPr="00517D06" w:rsidRDefault="00E50A74" w:rsidP="00530866">
            <w:pPr>
              <w:keepNext/>
              <w:keepLines/>
              <w:jc w:val="center"/>
              <w:rPr>
                <w:rFonts w:ascii="Arial Narrow" w:eastAsiaTheme="majorEastAsia" w:hAnsi="Arial Narrow" w:cstheme="majorBidi"/>
                <w:bCs/>
                <w:sz w:val="20"/>
                <w:szCs w:val="22"/>
              </w:rPr>
            </w:pPr>
            <w:r w:rsidRPr="00517D06">
              <w:rPr>
                <w:rFonts w:ascii="Arial Narrow" w:eastAsiaTheme="majorEastAsia" w:hAnsi="Arial Narrow" w:cstheme="majorBidi"/>
                <w:bCs/>
                <w:sz w:val="20"/>
                <w:szCs w:val="22"/>
              </w:rPr>
              <w:t>6.93 (5.78, 8.31)</w:t>
            </w:r>
          </w:p>
        </w:tc>
      </w:tr>
      <w:tr w:rsidR="00E50A74" w:rsidRPr="00517D06" w14:paraId="3B0B7D9E" w14:textId="77777777" w:rsidTr="00B82613">
        <w:tc>
          <w:tcPr>
            <w:tcW w:w="2794" w:type="pct"/>
            <w:tcBorders>
              <w:top w:val="single" w:sz="4" w:space="0" w:color="auto"/>
              <w:left w:val="single" w:sz="4" w:space="0" w:color="auto"/>
              <w:bottom w:val="single" w:sz="4" w:space="0" w:color="auto"/>
              <w:right w:val="single" w:sz="4" w:space="0" w:color="auto"/>
            </w:tcBorders>
          </w:tcPr>
          <w:p w14:paraId="672F9DAE" w14:textId="77777777" w:rsidR="00E50A74" w:rsidRPr="00517D06" w:rsidRDefault="00E50A74" w:rsidP="00530866">
            <w:pPr>
              <w:keepNext/>
              <w:keepLines/>
              <w:jc w:val="left"/>
              <w:rPr>
                <w:rFonts w:ascii="Arial Narrow" w:eastAsiaTheme="majorEastAsia" w:hAnsi="Arial Narrow" w:cstheme="majorBidi"/>
                <w:bCs/>
                <w:sz w:val="20"/>
                <w:szCs w:val="22"/>
              </w:rPr>
            </w:pPr>
            <w:r w:rsidRPr="00517D06">
              <w:rPr>
                <w:rFonts w:ascii="Arial Narrow" w:eastAsiaTheme="majorEastAsia" w:hAnsi="Arial Narrow" w:cstheme="majorBidi"/>
                <w:bCs/>
                <w:sz w:val="20"/>
                <w:szCs w:val="22"/>
              </w:rPr>
              <w:t>Range</w:t>
            </w:r>
          </w:p>
        </w:tc>
        <w:tc>
          <w:tcPr>
            <w:tcW w:w="1103" w:type="pct"/>
            <w:tcBorders>
              <w:top w:val="single" w:sz="4" w:space="0" w:color="auto"/>
              <w:left w:val="single" w:sz="4" w:space="0" w:color="auto"/>
              <w:bottom w:val="single" w:sz="4" w:space="0" w:color="auto"/>
              <w:right w:val="single" w:sz="4" w:space="0" w:color="auto"/>
            </w:tcBorders>
          </w:tcPr>
          <w:p w14:paraId="28C0FE98" w14:textId="77777777" w:rsidR="00E50A74" w:rsidRPr="00517D06" w:rsidRDefault="00E50A74" w:rsidP="00530866">
            <w:pPr>
              <w:keepNext/>
              <w:keepLines/>
              <w:jc w:val="center"/>
              <w:rPr>
                <w:rFonts w:ascii="Arial Narrow" w:eastAsiaTheme="majorEastAsia" w:hAnsi="Arial Narrow" w:cstheme="majorBidi"/>
                <w:bCs/>
                <w:sz w:val="20"/>
                <w:szCs w:val="22"/>
              </w:rPr>
            </w:pPr>
            <w:r w:rsidRPr="00517D06">
              <w:rPr>
                <w:rFonts w:ascii="Arial Narrow" w:eastAsiaTheme="majorEastAsia" w:hAnsi="Arial Narrow" w:cstheme="majorBidi"/>
                <w:bCs/>
                <w:sz w:val="20"/>
                <w:szCs w:val="22"/>
              </w:rPr>
              <w:t>(0.0+, 14.9)</w:t>
            </w:r>
          </w:p>
        </w:tc>
        <w:tc>
          <w:tcPr>
            <w:tcW w:w="1103" w:type="pct"/>
            <w:tcBorders>
              <w:top w:val="single" w:sz="4" w:space="0" w:color="auto"/>
              <w:left w:val="single" w:sz="4" w:space="0" w:color="auto"/>
              <w:bottom w:val="single" w:sz="4" w:space="0" w:color="auto"/>
              <w:right w:val="single" w:sz="4" w:space="0" w:color="auto"/>
            </w:tcBorders>
          </w:tcPr>
          <w:p w14:paraId="0EF3D3A8" w14:textId="77777777" w:rsidR="00E50A74" w:rsidRPr="00517D06" w:rsidRDefault="00E50A74" w:rsidP="00530866">
            <w:pPr>
              <w:keepNext/>
              <w:keepLines/>
              <w:jc w:val="center"/>
              <w:rPr>
                <w:rFonts w:ascii="Arial Narrow" w:eastAsiaTheme="majorEastAsia" w:hAnsi="Arial Narrow" w:cstheme="majorBidi"/>
                <w:bCs/>
                <w:sz w:val="20"/>
                <w:szCs w:val="22"/>
              </w:rPr>
            </w:pPr>
            <w:r w:rsidRPr="00517D06">
              <w:rPr>
                <w:rFonts w:ascii="Arial Narrow" w:eastAsiaTheme="majorEastAsia" w:hAnsi="Arial Narrow" w:cstheme="majorBidi"/>
                <w:bCs/>
                <w:sz w:val="20"/>
                <w:szCs w:val="22"/>
              </w:rPr>
              <w:t>(0.0+, 14.0+)</w:t>
            </w:r>
          </w:p>
        </w:tc>
      </w:tr>
      <w:tr w:rsidR="00E50A74" w:rsidRPr="00517D06" w14:paraId="6E94311F" w14:textId="77777777" w:rsidTr="00B82613">
        <w:tc>
          <w:tcPr>
            <w:tcW w:w="2794" w:type="pct"/>
            <w:tcBorders>
              <w:top w:val="single" w:sz="4" w:space="0" w:color="auto"/>
              <w:left w:val="single" w:sz="4" w:space="0" w:color="auto"/>
              <w:bottom w:val="single" w:sz="4" w:space="0" w:color="auto"/>
              <w:right w:val="single" w:sz="4" w:space="0" w:color="auto"/>
            </w:tcBorders>
          </w:tcPr>
          <w:p w14:paraId="42DEE8F8" w14:textId="4EB2EBD5" w:rsidR="00E50A74" w:rsidRPr="00517D06" w:rsidRDefault="00E50A74" w:rsidP="00530866">
            <w:pPr>
              <w:keepNext/>
              <w:keepLines/>
              <w:jc w:val="left"/>
              <w:rPr>
                <w:rFonts w:ascii="Arial Narrow" w:eastAsiaTheme="majorEastAsia" w:hAnsi="Arial Narrow" w:cstheme="majorBidi"/>
                <w:bCs/>
                <w:sz w:val="20"/>
                <w:szCs w:val="22"/>
              </w:rPr>
            </w:pPr>
            <w:r w:rsidRPr="00517D06">
              <w:rPr>
                <w:rFonts w:ascii="Arial Narrow" w:eastAsiaTheme="majorEastAsia" w:hAnsi="Arial Narrow" w:cstheme="majorBidi"/>
                <w:bCs/>
                <w:sz w:val="20"/>
                <w:szCs w:val="22"/>
              </w:rPr>
              <w:t>6-month event-free rate (95% CI)</w:t>
            </w:r>
          </w:p>
        </w:tc>
        <w:tc>
          <w:tcPr>
            <w:tcW w:w="1103" w:type="pct"/>
            <w:tcBorders>
              <w:top w:val="single" w:sz="4" w:space="0" w:color="auto"/>
              <w:left w:val="single" w:sz="4" w:space="0" w:color="auto"/>
              <w:bottom w:val="single" w:sz="4" w:space="0" w:color="auto"/>
              <w:right w:val="single" w:sz="4" w:space="0" w:color="auto"/>
            </w:tcBorders>
          </w:tcPr>
          <w:p w14:paraId="7C9C5260" w14:textId="77777777" w:rsidR="00E50A74" w:rsidRPr="00517D06" w:rsidRDefault="00E50A74" w:rsidP="00530866">
            <w:pPr>
              <w:keepNext/>
              <w:keepLines/>
              <w:jc w:val="center"/>
              <w:rPr>
                <w:rFonts w:ascii="Arial Narrow" w:eastAsiaTheme="majorEastAsia" w:hAnsi="Arial Narrow" w:cstheme="majorBidi"/>
                <w:bCs/>
                <w:sz w:val="20"/>
                <w:szCs w:val="22"/>
              </w:rPr>
            </w:pPr>
            <w:r w:rsidRPr="00517D06">
              <w:rPr>
                <w:rFonts w:ascii="Arial Narrow" w:eastAsiaTheme="majorEastAsia" w:hAnsi="Arial Narrow" w:cstheme="majorBidi"/>
                <w:bCs/>
                <w:sz w:val="20"/>
                <w:szCs w:val="22"/>
              </w:rPr>
              <w:t>0.51 (0.41, 0.60)</w:t>
            </w:r>
          </w:p>
        </w:tc>
        <w:tc>
          <w:tcPr>
            <w:tcW w:w="1103" w:type="pct"/>
            <w:tcBorders>
              <w:top w:val="single" w:sz="4" w:space="0" w:color="auto"/>
              <w:left w:val="single" w:sz="4" w:space="0" w:color="auto"/>
              <w:bottom w:val="single" w:sz="4" w:space="0" w:color="auto"/>
              <w:right w:val="single" w:sz="4" w:space="0" w:color="auto"/>
            </w:tcBorders>
          </w:tcPr>
          <w:p w14:paraId="14111661" w14:textId="77777777" w:rsidR="00E50A74" w:rsidRPr="00517D06" w:rsidRDefault="00E50A74" w:rsidP="00530866">
            <w:pPr>
              <w:keepNext/>
              <w:keepLines/>
              <w:jc w:val="center"/>
              <w:rPr>
                <w:rFonts w:ascii="Arial Narrow" w:eastAsiaTheme="majorEastAsia" w:hAnsi="Arial Narrow" w:cstheme="majorBidi"/>
                <w:bCs/>
                <w:sz w:val="20"/>
                <w:szCs w:val="22"/>
              </w:rPr>
            </w:pPr>
            <w:r w:rsidRPr="00517D06">
              <w:rPr>
                <w:rFonts w:ascii="Arial Narrow" w:eastAsiaTheme="majorEastAsia" w:hAnsi="Arial Narrow" w:cstheme="majorBidi"/>
                <w:bCs/>
                <w:sz w:val="20"/>
                <w:szCs w:val="22"/>
              </w:rPr>
              <w:t>0.30 (0.23, 0.36)</w:t>
            </w:r>
          </w:p>
        </w:tc>
      </w:tr>
      <w:tr w:rsidR="00E50A74" w:rsidRPr="00517D06" w14:paraId="717903A6" w14:textId="77777777" w:rsidTr="00B82613">
        <w:tc>
          <w:tcPr>
            <w:tcW w:w="2794" w:type="pct"/>
            <w:tcBorders>
              <w:top w:val="single" w:sz="4" w:space="0" w:color="auto"/>
              <w:left w:val="single" w:sz="4" w:space="0" w:color="auto"/>
              <w:bottom w:val="single" w:sz="4" w:space="0" w:color="auto"/>
              <w:right w:val="single" w:sz="4" w:space="0" w:color="auto"/>
            </w:tcBorders>
          </w:tcPr>
          <w:p w14:paraId="462D60B5" w14:textId="563FCDA3" w:rsidR="00E50A74" w:rsidRPr="00517D06" w:rsidRDefault="00E50A74" w:rsidP="00530866">
            <w:pPr>
              <w:keepNext/>
              <w:keepLines/>
              <w:jc w:val="left"/>
              <w:rPr>
                <w:rFonts w:ascii="Arial Narrow" w:eastAsiaTheme="majorEastAsia" w:hAnsi="Arial Narrow" w:cstheme="majorBidi"/>
                <w:bCs/>
                <w:sz w:val="20"/>
                <w:szCs w:val="22"/>
              </w:rPr>
            </w:pPr>
            <w:r w:rsidRPr="00517D06">
              <w:rPr>
                <w:rFonts w:ascii="Arial Narrow" w:eastAsiaTheme="majorEastAsia" w:hAnsi="Arial Narrow" w:cstheme="majorBidi"/>
                <w:bCs/>
                <w:sz w:val="20"/>
                <w:szCs w:val="22"/>
              </w:rPr>
              <w:t>9-month event-free rate (95% CI)</w:t>
            </w:r>
          </w:p>
        </w:tc>
        <w:tc>
          <w:tcPr>
            <w:tcW w:w="1103" w:type="pct"/>
            <w:tcBorders>
              <w:top w:val="single" w:sz="4" w:space="0" w:color="auto"/>
              <w:left w:val="single" w:sz="4" w:space="0" w:color="auto"/>
              <w:bottom w:val="single" w:sz="4" w:space="0" w:color="auto"/>
              <w:right w:val="single" w:sz="4" w:space="0" w:color="auto"/>
            </w:tcBorders>
          </w:tcPr>
          <w:p w14:paraId="55E3CFB4" w14:textId="77777777" w:rsidR="00E50A74" w:rsidRPr="00517D06" w:rsidRDefault="00E50A74" w:rsidP="00530866">
            <w:pPr>
              <w:keepNext/>
              <w:keepLines/>
              <w:jc w:val="center"/>
              <w:rPr>
                <w:rFonts w:ascii="Arial Narrow" w:eastAsiaTheme="majorEastAsia" w:hAnsi="Arial Narrow" w:cstheme="majorBidi"/>
                <w:bCs/>
                <w:sz w:val="20"/>
                <w:szCs w:val="22"/>
              </w:rPr>
            </w:pPr>
            <w:r w:rsidRPr="00517D06">
              <w:rPr>
                <w:rFonts w:ascii="Arial Narrow" w:eastAsiaTheme="majorEastAsia" w:hAnsi="Arial Narrow" w:cstheme="majorBidi"/>
                <w:bCs/>
                <w:sz w:val="20"/>
                <w:szCs w:val="22"/>
              </w:rPr>
              <w:t>0.38 (0.28, 0.48)</w:t>
            </w:r>
          </w:p>
        </w:tc>
        <w:tc>
          <w:tcPr>
            <w:tcW w:w="1103" w:type="pct"/>
            <w:tcBorders>
              <w:top w:val="single" w:sz="4" w:space="0" w:color="auto"/>
              <w:left w:val="single" w:sz="4" w:space="0" w:color="auto"/>
              <w:bottom w:val="single" w:sz="4" w:space="0" w:color="auto"/>
              <w:right w:val="single" w:sz="4" w:space="0" w:color="auto"/>
            </w:tcBorders>
          </w:tcPr>
          <w:p w14:paraId="1FA3FEF7" w14:textId="77777777" w:rsidR="00E50A74" w:rsidRPr="00517D06" w:rsidRDefault="00E50A74" w:rsidP="00530866">
            <w:pPr>
              <w:keepNext/>
              <w:keepLines/>
              <w:jc w:val="center"/>
              <w:rPr>
                <w:rFonts w:ascii="Arial Narrow" w:eastAsiaTheme="majorEastAsia" w:hAnsi="Arial Narrow" w:cstheme="majorBidi"/>
                <w:bCs/>
                <w:sz w:val="20"/>
                <w:szCs w:val="22"/>
              </w:rPr>
            </w:pPr>
            <w:r w:rsidRPr="00517D06">
              <w:rPr>
                <w:rFonts w:ascii="Arial Narrow" w:eastAsiaTheme="majorEastAsia" w:hAnsi="Arial Narrow" w:cstheme="majorBidi"/>
                <w:bCs/>
                <w:sz w:val="20"/>
                <w:szCs w:val="22"/>
              </w:rPr>
              <w:t>0.16 (0.11, 0.23)</w:t>
            </w:r>
          </w:p>
        </w:tc>
      </w:tr>
      <w:tr w:rsidR="00E50A74" w:rsidRPr="00517D06" w14:paraId="6523B3B3" w14:textId="77777777" w:rsidTr="00B82613">
        <w:tc>
          <w:tcPr>
            <w:tcW w:w="2794" w:type="pct"/>
            <w:tcBorders>
              <w:top w:val="single" w:sz="4" w:space="0" w:color="auto"/>
              <w:left w:val="single" w:sz="4" w:space="0" w:color="auto"/>
              <w:bottom w:val="single" w:sz="4" w:space="0" w:color="auto"/>
              <w:right w:val="single" w:sz="4" w:space="0" w:color="auto"/>
            </w:tcBorders>
          </w:tcPr>
          <w:p w14:paraId="4A8DE0CE" w14:textId="458EEB04" w:rsidR="00E50A74" w:rsidRPr="00517D06" w:rsidRDefault="00E50A74" w:rsidP="00530866">
            <w:pPr>
              <w:keepNext/>
              <w:keepLines/>
              <w:jc w:val="left"/>
              <w:rPr>
                <w:rFonts w:ascii="Arial Narrow" w:eastAsiaTheme="majorEastAsia" w:hAnsi="Arial Narrow" w:cstheme="majorBidi"/>
                <w:bCs/>
                <w:sz w:val="20"/>
                <w:szCs w:val="22"/>
              </w:rPr>
            </w:pPr>
            <w:r w:rsidRPr="00517D06">
              <w:rPr>
                <w:rFonts w:ascii="Arial Narrow" w:eastAsiaTheme="majorEastAsia" w:hAnsi="Arial Narrow" w:cstheme="majorBidi"/>
                <w:bCs/>
                <w:sz w:val="20"/>
                <w:szCs w:val="22"/>
              </w:rPr>
              <w:t>12-month event-free rate (95% CI)</w:t>
            </w:r>
          </w:p>
        </w:tc>
        <w:tc>
          <w:tcPr>
            <w:tcW w:w="1103" w:type="pct"/>
            <w:tcBorders>
              <w:top w:val="single" w:sz="4" w:space="0" w:color="auto"/>
              <w:left w:val="single" w:sz="4" w:space="0" w:color="auto"/>
              <w:bottom w:val="single" w:sz="4" w:space="0" w:color="auto"/>
              <w:right w:val="single" w:sz="4" w:space="0" w:color="auto"/>
            </w:tcBorders>
          </w:tcPr>
          <w:p w14:paraId="3FF60F16" w14:textId="77777777" w:rsidR="00E50A74" w:rsidRPr="00517D06" w:rsidRDefault="00E50A74" w:rsidP="00530866">
            <w:pPr>
              <w:keepNext/>
              <w:keepLines/>
              <w:jc w:val="center"/>
              <w:rPr>
                <w:rFonts w:ascii="Arial Narrow" w:eastAsiaTheme="majorEastAsia" w:hAnsi="Arial Narrow" w:cstheme="majorBidi"/>
                <w:bCs/>
                <w:sz w:val="20"/>
                <w:szCs w:val="22"/>
              </w:rPr>
            </w:pPr>
            <w:r w:rsidRPr="00517D06">
              <w:rPr>
                <w:rFonts w:ascii="Arial Narrow" w:eastAsiaTheme="majorEastAsia" w:hAnsi="Arial Narrow" w:cstheme="majorBidi"/>
                <w:bCs/>
                <w:sz w:val="20"/>
                <w:szCs w:val="22"/>
              </w:rPr>
              <w:t>0.22 (0.12, 0.34)</w:t>
            </w:r>
          </w:p>
        </w:tc>
        <w:tc>
          <w:tcPr>
            <w:tcW w:w="1103" w:type="pct"/>
            <w:tcBorders>
              <w:top w:val="single" w:sz="4" w:space="0" w:color="auto"/>
              <w:left w:val="single" w:sz="4" w:space="0" w:color="auto"/>
              <w:bottom w:val="single" w:sz="4" w:space="0" w:color="auto"/>
              <w:right w:val="single" w:sz="4" w:space="0" w:color="auto"/>
            </w:tcBorders>
          </w:tcPr>
          <w:p w14:paraId="5DAD8712" w14:textId="77777777" w:rsidR="00E50A74" w:rsidRPr="00517D06" w:rsidRDefault="00E50A74" w:rsidP="00530866">
            <w:pPr>
              <w:keepNext/>
              <w:keepLines/>
              <w:jc w:val="center"/>
              <w:rPr>
                <w:rFonts w:ascii="Arial Narrow" w:eastAsiaTheme="majorEastAsia" w:hAnsi="Arial Narrow" w:cstheme="majorBidi"/>
                <w:bCs/>
                <w:sz w:val="20"/>
                <w:szCs w:val="22"/>
              </w:rPr>
            </w:pPr>
            <w:r w:rsidRPr="00517D06">
              <w:rPr>
                <w:rFonts w:ascii="Arial Narrow" w:eastAsiaTheme="majorEastAsia" w:hAnsi="Arial Narrow" w:cstheme="majorBidi"/>
                <w:bCs/>
                <w:sz w:val="20"/>
                <w:szCs w:val="22"/>
              </w:rPr>
              <w:t>0.13 (0.08, 0.20)</w:t>
            </w:r>
          </w:p>
        </w:tc>
      </w:tr>
      <w:tr w:rsidR="00E50A74" w:rsidRPr="00517D06" w14:paraId="4DC46524" w14:textId="77777777" w:rsidTr="00B82613">
        <w:tc>
          <w:tcPr>
            <w:tcW w:w="2794" w:type="pct"/>
            <w:tcBorders>
              <w:top w:val="single" w:sz="4" w:space="0" w:color="auto"/>
              <w:left w:val="single" w:sz="4" w:space="0" w:color="auto"/>
              <w:bottom w:val="single" w:sz="4" w:space="0" w:color="auto"/>
              <w:right w:val="single" w:sz="4" w:space="0" w:color="auto"/>
            </w:tcBorders>
          </w:tcPr>
          <w:p w14:paraId="25B1C507" w14:textId="77777777" w:rsidR="00E50A74" w:rsidRPr="00517D06" w:rsidRDefault="00E50A74" w:rsidP="00530866">
            <w:pPr>
              <w:keepNext/>
              <w:keepLines/>
              <w:jc w:val="left"/>
              <w:rPr>
                <w:rFonts w:ascii="Arial Narrow" w:eastAsiaTheme="majorEastAsia" w:hAnsi="Arial Narrow" w:cstheme="majorBidi"/>
                <w:bCs/>
                <w:sz w:val="20"/>
                <w:szCs w:val="22"/>
              </w:rPr>
            </w:pPr>
            <w:r w:rsidRPr="00517D06">
              <w:rPr>
                <w:rFonts w:ascii="Arial Narrow" w:eastAsiaTheme="majorEastAsia" w:hAnsi="Arial Narrow" w:cstheme="majorBidi"/>
                <w:bCs/>
                <w:sz w:val="20"/>
                <w:szCs w:val="22"/>
              </w:rPr>
              <w:t xml:space="preserve">HR (95% CI); p-value </w:t>
            </w:r>
            <w:r w:rsidRPr="00517D06">
              <w:rPr>
                <w:rFonts w:ascii="Arial Narrow" w:eastAsiaTheme="majorEastAsia" w:hAnsi="Arial Narrow" w:cstheme="majorBidi"/>
                <w:bCs/>
                <w:sz w:val="20"/>
                <w:szCs w:val="22"/>
                <w:vertAlign w:val="superscript"/>
              </w:rPr>
              <w:t>a</w:t>
            </w:r>
          </w:p>
        </w:tc>
        <w:tc>
          <w:tcPr>
            <w:tcW w:w="2206" w:type="pct"/>
            <w:gridSpan w:val="2"/>
            <w:tcBorders>
              <w:top w:val="single" w:sz="4" w:space="0" w:color="auto"/>
              <w:left w:val="single" w:sz="4" w:space="0" w:color="auto"/>
              <w:bottom w:val="single" w:sz="4" w:space="0" w:color="auto"/>
              <w:right w:val="single" w:sz="4" w:space="0" w:color="auto"/>
            </w:tcBorders>
          </w:tcPr>
          <w:p w14:paraId="2FE05FB5" w14:textId="77777777" w:rsidR="00E50A74" w:rsidRPr="00517D06" w:rsidRDefault="00E50A74" w:rsidP="00530866">
            <w:pPr>
              <w:keepNext/>
              <w:keepLines/>
              <w:jc w:val="center"/>
              <w:rPr>
                <w:rFonts w:ascii="Arial Narrow" w:eastAsiaTheme="majorEastAsia" w:hAnsi="Arial Narrow" w:cstheme="majorBidi"/>
                <w:b/>
                <w:sz w:val="20"/>
                <w:szCs w:val="22"/>
              </w:rPr>
            </w:pPr>
            <w:r w:rsidRPr="00517D06">
              <w:rPr>
                <w:rFonts w:ascii="Arial Narrow" w:eastAsiaTheme="majorEastAsia" w:hAnsi="Arial Narrow" w:cstheme="majorBidi"/>
                <w:b/>
                <w:sz w:val="20"/>
                <w:szCs w:val="22"/>
              </w:rPr>
              <w:t>0.48 (0.36, 0.64); p&lt;0.0001</w:t>
            </w:r>
          </w:p>
        </w:tc>
      </w:tr>
      <w:tr w:rsidR="00E50A74" w:rsidRPr="00517D06" w14:paraId="0E672072" w14:textId="77777777" w:rsidTr="00B82613">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8ED60" w14:textId="77777777" w:rsidR="00E50A74" w:rsidRPr="00517D06" w:rsidRDefault="00E50A74" w:rsidP="00530866">
            <w:pPr>
              <w:keepNext/>
              <w:keepLines/>
              <w:jc w:val="left"/>
              <w:rPr>
                <w:rFonts w:ascii="Arial Narrow" w:eastAsiaTheme="majorEastAsia" w:hAnsi="Arial Narrow" w:cstheme="majorBidi"/>
                <w:b/>
                <w:sz w:val="20"/>
                <w:szCs w:val="22"/>
              </w:rPr>
            </w:pPr>
            <w:r w:rsidRPr="0018794B">
              <w:rPr>
                <w:rFonts w:ascii="Arial Narrow" w:eastAsiaTheme="majorEastAsia" w:hAnsi="Arial Narrow" w:cstheme="majorBidi"/>
                <w:b/>
                <w:sz w:val="20"/>
                <w:szCs w:val="22"/>
              </w:rPr>
              <w:t>Overall survival (OS)</w:t>
            </w:r>
            <w:r>
              <w:rPr>
                <w:rFonts w:ascii="Arial Narrow" w:eastAsiaTheme="majorEastAsia" w:hAnsi="Arial Narrow" w:cstheme="majorBidi"/>
                <w:b/>
                <w:sz w:val="20"/>
                <w:szCs w:val="22"/>
              </w:rPr>
              <w:t xml:space="preserve"> – interim analysis 2</w:t>
            </w:r>
          </w:p>
        </w:tc>
      </w:tr>
      <w:tr w:rsidR="00E50A74" w:rsidRPr="00517D06" w14:paraId="0648BF2F" w14:textId="77777777" w:rsidTr="00B82613">
        <w:tc>
          <w:tcPr>
            <w:tcW w:w="2794" w:type="pct"/>
            <w:tcBorders>
              <w:top w:val="single" w:sz="4" w:space="0" w:color="auto"/>
              <w:left w:val="single" w:sz="4" w:space="0" w:color="auto"/>
              <w:bottom w:val="single" w:sz="4" w:space="0" w:color="auto"/>
              <w:right w:val="single" w:sz="4" w:space="0" w:color="auto"/>
            </w:tcBorders>
          </w:tcPr>
          <w:p w14:paraId="25545B1B" w14:textId="77777777" w:rsidR="00E50A74" w:rsidRPr="00517D06" w:rsidRDefault="00E50A74" w:rsidP="00530866">
            <w:pPr>
              <w:keepNext/>
              <w:keepLines/>
              <w:jc w:val="left"/>
              <w:rPr>
                <w:rFonts w:ascii="Arial Narrow" w:eastAsiaTheme="majorEastAsia" w:hAnsi="Arial Narrow" w:cstheme="majorBidi"/>
                <w:bCs/>
                <w:sz w:val="20"/>
                <w:szCs w:val="22"/>
              </w:rPr>
            </w:pPr>
            <w:r w:rsidRPr="003212D6">
              <w:rPr>
                <w:rFonts w:ascii="Arial Narrow" w:hAnsi="Arial Narrow" w:cs="Calibri"/>
                <w:sz w:val="20"/>
                <w:szCs w:val="22"/>
              </w:rPr>
              <w:t>Number of events (%)</w:t>
            </w:r>
          </w:p>
        </w:tc>
        <w:tc>
          <w:tcPr>
            <w:tcW w:w="1103" w:type="pct"/>
            <w:tcBorders>
              <w:top w:val="single" w:sz="4" w:space="0" w:color="auto"/>
              <w:left w:val="single" w:sz="4" w:space="0" w:color="auto"/>
              <w:bottom w:val="single" w:sz="4" w:space="0" w:color="auto"/>
              <w:right w:val="single" w:sz="4" w:space="0" w:color="auto"/>
            </w:tcBorders>
          </w:tcPr>
          <w:p w14:paraId="3037F34D" w14:textId="61C1383B" w:rsidR="00E50A74" w:rsidRPr="00517D06" w:rsidRDefault="00E50A74" w:rsidP="00530866">
            <w:pPr>
              <w:keepNext/>
              <w:keepLines/>
              <w:jc w:val="center"/>
              <w:rPr>
                <w:rFonts w:ascii="Arial Narrow" w:eastAsiaTheme="majorEastAsia" w:hAnsi="Arial Narrow" w:cstheme="majorBidi"/>
                <w:b/>
                <w:sz w:val="20"/>
                <w:szCs w:val="22"/>
              </w:rPr>
            </w:pPr>
            <w:r w:rsidRPr="003212D6">
              <w:rPr>
                <w:rFonts w:ascii="Arial Narrow" w:hAnsi="Arial Narrow" w:cs="Calibri"/>
                <w:sz w:val="20"/>
                <w:szCs w:val="22"/>
              </w:rPr>
              <w:t>65 (49.6)</w:t>
            </w:r>
          </w:p>
        </w:tc>
        <w:tc>
          <w:tcPr>
            <w:tcW w:w="1103" w:type="pct"/>
            <w:tcBorders>
              <w:top w:val="single" w:sz="4" w:space="0" w:color="auto"/>
              <w:left w:val="single" w:sz="4" w:space="0" w:color="auto"/>
              <w:bottom w:val="single" w:sz="4" w:space="0" w:color="auto"/>
              <w:right w:val="single" w:sz="4" w:space="0" w:color="auto"/>
            </w:tcBorders>
          </w:tcPr>
          <w:p w14:paraId="6D7D984D" w14:textId="4C970F91" w:rsidR="00E50A74" w:rsidRPr="00517D06" w:rsidRDefault="00E50A74" w:rsidP="00530866">
            <w:pPr>
              <w:keepNext/>
              <w:keepLines/>
              <w:jc w:val="center"/>
              <w:rPr>
                <w:rFonts w:ascii="Arial Narrow" w:eastAsiaTheme="majorEastAsia" w:hAnsi="Arial Narrow" w:cstheme="majorBidi"/>
                <w:b/>
                <w:sz w:val="20"/>
                <w:szCs w:val="22"/>
              </w:rPr>
            </w:pPr>
            <w:r w:rsidRPr="003212D6">
              <w:rPr>
                <w:rFonts w:ascii="Arial Narrow" w:hAnsi="Arial Narrow" w:cs="Calibri"/>
                <w:sz w:val="20"/>
                <w:szCs w:val="22"/>
              </w:rPr>
              <w:t>143 (54.4)</w:t>
            </w:r>
          </w:p>
        </w:tc>
      </w:tr>
      <w:tr w:rsidR="00E50A74" w:rsidRPr="00517D06" w14:paraId="162599E2" w14:textId="77777777" w:rsidTr="00B82613">
        <w:tc>
          <w:tcPr>
            <w:tcW w:w="2794" w:type="pct"/>
            <w:tcBorders>
              <w:top w:val="single" w:sz="4" w:space="0" w:color="auto"/>
              <w:left w:val="single" w:sz="4" w:space="0" w:color="auto"/>
              <w:bottom w:val="single" w:sz="4" w:space="0" w:color="auto"/>
              <w:right w:val="single" w:sz="4" w:space="0" w:color="auto"/>
            </w:tcBorders>
          </w:tcPr>
          <w:p w14:paraId="2FDB0F45" w14:textId="77777777" w:rsidR="00E50A74" w:rsidRPr="00517D06" w:rsidRDefault="00E50A74" w:rsidP="00530866">
            <w:pPr>
              <w:keepNext/>
              <w:keepLines/>
              <w:jc w:val="left"/>
              <w:rPr>
                <w:rFonts w:ascii="Arial Narrow" w:eastAsiaTheme="majorEastAsia" w:hAnsi="Arial Narrow" w:cstheme="majorBidi"/>
                <w:bCs/>
                <w:sz w:val="20"/>
                <w:szCs w:val="22"/>
              </w:rPr>
            </w:pPr>
            <w:r w:rsidRPr="003212D6">
              <w:rPr>
                <w:rFonts w:ascii="Arial Narrow" w:hAnsi="Arial Narrow" w:cs="Calibri"/>
                <w:sz w:val="20"/>
                <w:szCs w:val="22"/>
              </w:rPr>
              <w:t>Censored (%)</w:t>
            </w:r>
          </w:p>
        </w:tc>
        <w:tc>
          <w:tcPr>
            <w:tcW w:w="1103" w:type="pct"/>
            <w:tcBorders>
              <w:top w:val="single" w:sz="4" w:space="0" w:color="auto"/>
              <w:left w:val="single" w:sz="4" w:space="0" w:color="auto"/>
              <w:bottom w:val="single" w:sz="4" w:space="0" w:color="auto"/>
              <w:right w:val="single" w:sz="4" w:space="0" w:color="auto"/>
            </w:tcBorders>
          </w:tcPr>
          <w:p w14:paraId="01E58F74" w14:textId="5A3D093D" w:rsidR="00E50A74" w:rsidRPr="00517D06" w:rsidRDefault="00E50A74" w:rsidP="00530866">
            <w:pPr>
              <w:keepNext/>
              <w:keepLines/>
              <w:jc w:val="center"/>
              <w:rPr>
                <w:rFonts w:ascii="Arial Narrow" w:eastAsiaTheme="majorEastAsia" w:hAnsi="Arial Narrow" w:cstheme="majorBidi"/>
                <w:b/>
                <w:sz w:val="20"/>
                <w:szCs w:val="22"/>
              </w:rPr>
            </w:pPr>
            <w:r w:rsidRPr="003212D6">
              <w:rPr>
                <w:rFonts w:ascii="Arial Narrow" w:hAnsi="Arial Narrow" w:cs="Calibri"/>
                <w:sz w:val="20"/>
                <w:szCs w:val="22"/>
              </w:rPr>
              <w:t>66 (50.4)</w:t>
            </w:r>
          </w:p>
        </w:tc>
        <w:tc>
          <w:tcPr>
            <w:tcW w:w="1103" w:type="pct"/>
            <w:tcBorders>
              <w:top w:val="single" w:sz="4" w:space="0" w:color="auto"/>
              <w:left w:val="single" w:sz="4" w:space="0" w:color="auto"/>
              <w:bottom w:val="single" w:sz="4" w:space="0" w:color="auto"/>
              <w:right w:val="single" w:sz="4" w:space="0" w:color="auto"/>
            </w:tcBorders>
          </w:tcPr>
          <w:p w14:paraId="5EBD1042" w14:textId="729841A6" w:rsidR="00E50A74" w:rsidRPr="00517D06" w:rsidRDefault="00E50A74" w:rsidP="00530866">
            <w:pPr>
              <w:keepNext/>
              <w:keepLines/>
              <w:jc w:val="center"/>
              <w:rPr>
                <w:rFonts w:ascii="Arial Narrow" w:eastAsiaTheme="majorEastAsia" w:hAnsi="Arial Narrow" w:cstheme="majorBidi"/>
                <w:b/>
                <w:sz w:val="20"/>
                <w:szCs w:val="22"/>
              </w:rPr>
            </w:pPr>
            <w:r w:rsidRPr="003212D6">
              <w:rPr>
                <w:rFonts w:ascii="Arial Narrow" w:hAnsi="Arial Narrow" w:cs="Calibri"/>
                <w:sz w:val="20"/>
                <w:szCs w:val="22"/>
              </w:rPr>
              <w:t>120 (45.6)</w:t>
            </w:r>
          </w:p>
        </w:tc>
      </w:tr>
      <w:tr w:rsidR="00E50A74" w:rsidRPr="00517D06" w14:paraId="2B57CDFC" w14:textId="77777777" w:rsidTr="00B82613">
        <w:tc>
          <w:tcPr>
            <w:tcW w:w="2794" w:type="pct"/>
            <w:tcBorders>
              <w:top w:val="single" w:sz="4" w:space="0" w:color="auto"/>
              <w:left w:val="single" w:sz="4" w:space="0" w:color="auto"/>
              <w:bottom w:val="single" w:sz="4" w:space="0" w:color="auto"/>
              <w:right w:val="single" w:sz="4" w:space="0" w:color="auto"/>
            </w:tcBorders>
          </w:tcPr>
          <w:p w14:paraId="3B8D3EC8" w14:textId="77777777" w:rsidR="00E50A74" w:rsidRPr="00517D06" w:rsidRDefault="00E50A74" w:rsidP="00530866">
            <w:pPr>
              <w:keepNext/>
              <w:keepLines/>
              <w:jc w:val="left"/>
              <w:rPr>
                <w:rFonts w:ascii="Arial Narrow" w:eastAsiaTheme="majorEastAsia" w:hAnsi="Arial Narrow" w:cstheme="majorBidi"/>
                <w:bCs/>
                <w:sz w:val="20"/>
                <w:szCs w:val="22"/>
              </w:rPr>
            </w:pPr>
            <w:r w:rsidRPr="003212D6">
              <w:rPr>
                <w:rFonts w:ascii="Arial Narrow" w:hAnsi="Arial Narrow" w:cs="Calibri"/>
                <w:sz w:val="20"/>
                <w:szCs w:val="22"/>
              </w:rPr>
              <w:t>Time to event (months)</w:t>
            </w:r>
          </w:p>
        </w:tc>
        <w:tc>
          <w:tcPr>
            <w:tcW w:w="1103" w:type="pct"/>
            <w:tcBorders>
              <w:top w:val="single" w:sz="4" w:space="0" w:color="auto"/>
              <w:left w:val="single" w:sz="4" w:space="0" w:color="auto"/>
              <w:bottom w:val="single" w:sz="4" w:space="0" w:color="auto"/>
              <w:right w:val="single" w:sz="4" w:space="0" w:color="auto"/>
            </w:tcBorders>
          </w:tcPr>
          <w:p w14:paraId="34AE43AB" w14:textId="77777777" w:rsidR="00E50A74" w:rsidRPr="00517D06" w:rsidRDefault="00E50A74" w:rsidP="00530866">
            <w:pPr>
              <w:keepNext/>
              <w:keepLines/>
              <w:jc w:val="center"/>
              <w:rPr>
                <w:rFonts w:ascii="Arial Narrow" w:eastAsiaTheme="majorEastAsia" w:hAnsi="Arial Narrow" w:cstheme="majorBidi"/>
                <w:b/>
                <w:sz w:val="20"/>
                <w:szCs w:val="22"/>
              </w:rPr>
            </w:pPr>
          </w:p>
        </w:tc>
        <w:tc>
          <w:tcPr>
            <w:tcW w:w="1103" w:type="pct"/>
            <w:tcBorders>
              <w:top w:val="single" w:sz="4" w:space="0" w:color="auto"/>
              <w:left w:val="single" w:sz="4" w:space="0" w:color="auto"/>
              <w:bottom w:val="single" w:sz="4" w:space="0" w:color="auto"/>
              <w:right w:val="single" w:sz="4" w:space="0" w:color="auto"/>
            </w:tcBorders>
          </w:tcPr>
          <w:p w14:paraId="1C66B5C3" w14:textId="77777777" w:rsidR="00E50A74" w:rsidRPr="00517D06" w:rsidRDefault="00E50A74" w:rsidP="00530866">
            <w:pPr>
              <w:keepNext/>
              <w:keepLines/>
              <w:jc w:val="center"/>
              <w:rPr>
                <w:rFonts w:ascii="Arial Narrow" w:eastAsiaTheme="majorEastAsia" w:hAnsi="Arial Narrow" w:cstheme="majorBidi"/>
                <w:b/>
                <w:sz w:val="20"/>
                <w:szCs w:val="22"/>
              </w:rPr>
            </w:pPr>
          </w:p>
        </w:tc>
      </w:tr>
      <w:tr w:rsidR="00E50A74" w:rsidRPr="00517D06" w14:paraId="7E3331B5" w14:textId="77777777" w:rsidTr="00B82613">
        <w:tc>
          <w:tcPr>
            <w:tcW w:w="2794" w:type="pct"/>
            <w:tcBorders>
              <w:top w:val="single" w:sz="4" w:space="0" w:color="auto"/>
              <w:left w:val="single" w:sz="4" w:space="0" w:color="auto"/>
              <w:bottom w:val="single" w:sz="4" w:space="0" w:color="auto"/>
              <w:right w:val="single" w:sz="4" w:space="0" w:color="auto"/>
            </w:tcBorders>
          </w:tcPr>
          <w:p w14:paraId="628615B6" w14:textId="77777777" w:rsidR="00E50A74" w:rsidRPr="00517D06" w:rsidRDefault="00E50A74" w:rsidP="00530866">
            <w:pPr>
              <w:keepNext/>
              <w:keepLines/>
              <w:jc w:val="left"/>
              <w:rPr>
                <w:rFonts w:ascii="Arial Narrow" w:eastAsiaTheme="majorEastAsia" w:hAnsi="Arial Narrow" w:cstheme="majorBidi"/>
                <w:bCs/>
                <w:sz w:val="20"/>
                <w:szCs w:val="22"/>
              </w:rPr>
            </w:pPr>
            <w:r w:rsidRPr="003212D6">
              <w:rPr>
                <w:rFonts w:ascii="Arial Narrow" w:hAnsi="Arial Narrow" w:cs="Calibri"/>
                <w:sz w:val="20"/>
                <w:szCs w:val="22"/>
              </w:rPr>
              <w:t>25th percentile (95% CI)</w:t>
            </w:r>
          </w:p>
        </w:tc>
        <w:tc>
          <w:tcPr>
            <w:tcW w:w="1103" w:type="pct"/>
            <w:tcBorders>
              <w:top w:val="single" w:sz="4" w:space="0" w:color="auto"/>
              <w:left w:val="single" w:sz="4" w:space="0" w:color="auto"/>
              <w:bottom w:val="single" w:sz="4" w:space="0" w:color="auto"/>
              <w:right w:val="single" w:sz="4" w:space="0" w:color="auto"/>
            </w:tcBorders>
          </w:tcPr>
          <w:p w14:paraId="4CFBC6CD" w14:textId="77777777" w:rsidR="00E50A74" w:rsidRPr="00517D06" w:rsidRDefault="00E50A74" w:rsidP="00530866">
            <w:pPr>
              <w:keepNext/>
              <w:keepLines/>
              <w:jc w:val="center"/>
              <w:rPr>
                <w:rFonts w:ascii="Arial Narrow" w:eastAsiaTheme="majorEastAsia" w:hAnsi="Arial Narrow" w:cstheme="majorBidi"/>
                <w:b/>
                <w:sz w:val="20"/>
                <w:szCs w:val="22"/>
              </w:rPr>
            </w:pPr>
            <w:r w:rsidRPr="003212D6">
              <w:rPr>
                <w:rFonts w:ascii="Arial Narrow" w:hAnsi="Arial Narrow" w:cs="Calibri"/>
                <w:sz w:val="20"/>
                <w:szCs w:val="22"/>
              </w:rPr>
              <w:t>10.78 (8.41, 13.83)</w:t>
            </w:r>
          </w:p>
        </w:tc>
        <w:tc>
          <w:tcPr>
            <w:tcW w:w="1103" w:type="pct"/>
            <w:tcBorders>
              <w:top w:val="single" w:sz="4" w:space="0" w:color="auto"/>
              <w:left w:val="single" w:sz="4" w:space="0" w:color="auto"/>
              <w:bottom w:val="single" w:sz="4" w:space="0" w:color="auto"/>
              <w:right w:val="single" w:sz="4" w:space="0" w:color="auto"/>
            </w:tcBorders>
          </w:tcPr>
          <w:p w14:paraId="72067E96" w14:textId="77777777" w:rsidR="00E50A74" w:rsidRPr="00517D06" w:rsidRDefault="00E50A74" w:rsidP="00530866">
            <w:pPr>
              <w:keepNext/>
              <w:keepLines/>
              <w:jc w:val="center"/>
              <w:rPr>
                <w:rFonts w:ascii="Arial Narrow" w:eastAsiaTheme="majorEastAsia" w:hAnsi="Arial Narrow" w:cstheme="majorBidi"/>
                <w:b/>
                <w:sz w:val="20"/>
                <w:szCs w:val="22"/>
              </w:rPr>
            </w:pPr>
            <w:r w:rsidRPr="003212D6">
              <w:rPr>
                <w:rFonts w:ascii="Arial Narrow" w:hAnsi="Arial Narrow" w:cs="Calibri"/>
                <w:sz w:val="20"/>
                <w:szCs w:val="22"/>
              </w:rPr>
              <w:t>8.51 (7.29, 9.86)</w:t>
            </w:r>
          </w:p>
        </w:tc>
      </w:tr>
      <w:tr w:rsidR="00E50A74" w:rsidRPr="00517D06" w14:paraId="2A5E3650" w14:textId="77777777" w:rsidTr="00B82613">
        <w:tc>
          <w:tcPr>
            <w:tcW w:w="2794" w:type="pct"/>
            <w:tcBorders>
              <w:top w:val="single" w:sz="4" w:space="0" w:color="auto"/>
              <w:left w:val="single" w:sz="4" w:space="0" w:color="auto"/>
              <w:bottom w:val="single" w:sz="4" w:space="0" w:color="auto"/>
              <w:right w:val="single" w:sz="4" w:space="0" w:color="auto"/>
            </w:tcBorders>
          </w:tcPr>
          <w:p w14:paraId="0D06D848" w14:textId="77777777" w:rsidR="00E50A74" w:rsidRPr="00517D06" w:rsidRDefault="00E50A74" w:rsidP="00530866">
            <w:pPr>
              <w:keepNext/>
              <w:keepLines/>
              <w:jc w:val="left"/>
              <w:rPr>
                <w:rFonts w:ascii="Arial Narrow" w:eastAsiaTheme="majorEastAsia" w:hAnsi="Arial Narrow" w:cstheme="majorBidi"/>
                <w:bCs/>
                <w:sz w:val="20"/>
                <w:szCs w:val="22"/>
              </w:rPr>
            </w:pPr>
            <w:r w:rsidRPr="003212D6">
              <w:rPr>
                <w:rFonts w:ascii="Arial Narrow" w:hAnsi="Arial Narrow" w:cs="Calibri"/>
                <w:sz w:val="20"/>
                <w:szCs w:val="22"/>
              </w:rPr>
              <w:t>Median, months (95% CI)</w:t>
            </w:r>
          </w:p>
        </w:tc>
        <w:tc>
          <w:tcPr>
            <w:tcW w:w="1103" w:type="pct"/>
            <w:tcBorders>
              <w:top w:val="single" w:sz="4" w:space="0" w:color="auto"/>
              <w:left w:val="single" w:sz="4" w:space="0" w:color="auto"/>
              <w:bottom w:val="single" w:sz="4" w:space="0" w:color="auto"/>
              <w:right w:val="single" w:sz="4" w:space="0" w:color="auto"/>
            </w:tcBorders>
          </w:tcPr>
          <w:p w14:paraId="5AA3E871" w14:textId="77777777" w:rsidR="00E50A74" w:rsidRPr="00517D06" w:rsidRDefault="00E50A74" w:rsidP="00530866">
            <w:pPr>
              <w:keepNext/>
              <w:keepLines/>
              <w:jc w:val="center"/>
              <w:rPr>
                <w:rFonts w:ascii="Arial Narrow" w:eastAsiaTheme="majorEastAsia" w:hAnsi="Arial Narrow" w:cstheme="majorBidi"/>
                <w:b/>
                <w:sz w:val="20"/>
                <w:szCs w:val="22"/>
              </w:rPr>
            </w:pPr>
            <w:r w:rsidRPr="003212D6">
              <w:rPr>
                <w:rFonts w:ascii="Arial Narrow" w:hAnsi="Arial Narrow" w:cs="Calibri"/>
                <w:sz w:val="20"/>
                <w:szCs w:val="22"/>
              </w:rPr>
              <w:t>17.74 (15.97, 22.37)</w:t>
            </w:r>
          </w:p>
        </w:tc>
        <w:tc>
          <w:tcPr>
            <w:tcW w:w="1103" w:type="pct"/>
            <w:tcBorders>
              <w:top w:val="single" w:sz="4" w:space="0" w:color="auto"/>
              <w:left w:val="single" w:sz="4" w:space="0" w:color="auto"/>
              <w:bottom w:val="single" w:sz="4" w:space="0" w:color="auto"/>
              <w:right w:val="single" w:sz="4" w:space="0" w:color="auto"/>
            </w:tcBorders>
          </w:tcPr>
          <w:p w14:paraId="5D193049" w14:textId="77777777" w:rsidR="00E50A74" w:rsidRPr="00517D06" w:rsidRDefault="00E50A74" w:rsidP="00530866">
            <w:pPr>
              <w:keepNext/>
              <w:keepLines/>
              <w:jc w:val="center"/>
              <w:rPr>
                <w:rFonts w:ascii="Arial Narrow" w:eastAsiaTheme="majorEastAsia" w:hAnsi="Arial Narrow" w:cstheme="majorBidi"/>
                <w:b/>
                <w:sz w:val="20"/>
                <w:szCs w:val="22"/>
              </w:rPr>
            </w:pPr>
            <w:r w:rsidRPr="003212D6">
              <w:rPr>
                <w:rFonts w:ascii="Arial Narrow" w:hAnsi="Arial Narrow" w:cs="Calibri"/>
                <w:sz w:val="20"/>
                <w:szCs w:val="22"/>
              </w:rPr>
              <w:t>15.34 (13.73, 16.76)</w:t>
            </w:r>
          </w:p>
        </w:tc>
      </w:tr>
      <w:tr w:rsidR="00E50A74" w:rsidRPr="00517D06" w14:paraId="545269C0" w14:textId="77777777" w:rsidTr="00B82613">
        <w:tc>
          <w:tcPr>
            <w:tcW w:w="2794" w:type="pct"/>
            <w:tcBorders>
              <w:top w:val="single" w:sz="4" w:space="0" w:color="auto"/>
              <w:left w:val="single" w:sz="4" w:space="0" w:color="auto"/>
              <w:bottom w:val="single" w:sz="4" w:space="0" w:color="auto"/>
              <w:right w:val="single" w:sz="4" w:space="0" w:color="auto"/>
            </w:tcBorders>
          </w:tcPr>
          <w:p w14:paraId="7B567413" w14:textId="77777777" w:rsidR="00E50A74" w:rsidRPr="00517D06" w:rsidRDefault="00E50A74" w:rsidP="00530866">
            <w:pPr>
              <w:keepNext/>
              <w:keepLines/>
              <w:jc w:val="left"/>
              <w:rPr>
                <w:rFonts w:ascii="Arial Narrow" w:eastAsiaTheme="majorEastAsia" w:hAnsi="Arial Narrow" w:cstheme="majorBidi"/>
                <w:bCs/>
                <w:sz w:val="20"/>
                <w:szCs w:val="22"/>
              </w:rPr>
            </w:pPr>
            <w:r w:rsidRPr="003212D6">
              <w:rPr>
                <w:rFonts w:ascii="Arial Narrow" w:hAnsi="Arial Narrow" w:cs="Calibri"/>
                <w:sz w:val="20"/>
                <w:szCs w:val="22"/>
              </w:rPr>
              <w:t>75th percentile (95% CI)</w:t>
            </w:r>
          </w:p>
        </w:tc>
        <w:tc>
          <w:tcPr>
            <w:tcW w:w="1103" w:type="pct"/>
            <w:tcBorders>
              <w:top w:val="single" w:sz="4" w:space="0" w:color="auto"/>
              <w:left w:val="single" w:sz="4" w:space="0" w:color="auto"/>
              <w:bottom w:val="single" w:sz="4" w:space="0" w:color="auto"/>
              <w:right w:val="single" w:sz="4" w:space="0" w:color="auto"/>
            </w:tcBorders>
          </w:tcPr>
          <w:p w14:paraId="3EAFF503" w14:textId="77777777" w:rsidR="00E50A74" w:rsidRPr="00517D06" w:rsidRDefault="00E50A74" w:rsidP="00530866">
            <w:pPr>
              <w:keepNext/>
              <w:keepLines/>
              <w:jc w:val="center"/>
              <w:rPr>
                <w:rFonts w:ascii="Arial Narrow" w:eastAsiaTheme="majorEastAsia" w:hAnsi="Arial Narrow" w:cstheme="majorBidi"/>
                <w:b/>
                <w:sz w:val="20"/>
                <w:szCs w:val="22"/>
              </w:rPr>
            </w:pPr>
            <w:r w:rsidRPr="003212D6">
              <w:rPr>
                <w:rFonts w:ascii="Arial Narrow" w:hAnsi="Arial Narrow" w:cs="Calibri"/>
                <w:sz w:val="20"/>
                <w:szCs w:val="22"/>
              </w:rPr>
              <w:t>NE (22.37, NE)</w:t>
            </w:r>
          </w:p>
        </w:tc>
        <w:tc>
          <w:tcPr>
            <w:tcW w:w="1103" w:type="pct"/>
            <w:tcBorders>
              <w:top w:val="single" w:sz="4" w:space="0" w:color="auto"/>
              <w:left w:val="single" w:sz="4" w:space="0" w:color="auto"/>
              <w:bottom w:val="single" w:sz="4" w:space="0" w:color="auto"/>
              <w:right w:val="single" w:sz="4" w:space="0" w:color="auto"/>
            </w:tcBorders>
          </w:tcPr>
          <w:p w14:paraId="7F575485" w14:textId="77777777" w:rsidR="00E50A74" w:rsidRPr="00517D06" w:rsidRDefault="00E50A74" w:rsidP="00530866">
            <w:pPr>
              <w:keepNext/>
              <w:keepLines/>
              <w:jc w:val="center"/>
              <w:rPr>
                <w:rFonts w:ascii="Arial Narrow" w:eastAsiaTheme="majorEastAsia" w:hAnsi="Arial Narrow" w:cstheme="majorBidi"/>
                <w:b/>
                <w:sz w:val="20"/>
                <w:szCs w:val="22"/>
              </w:rPr>
            </w:pPr>
            <w:r w:rsidRPr="003212D6">
              <w:rPr>
                <w:rFonts w:ascii="Arial Narrow" w:hAnsi="Arial Narrow" w:cs="Calibri"/>
                <w:sz w:val="20"/>
                <w:szCs w:val="22"/>
              </w:rPr>
              <w:t>NE (20.53, NE)</w:t>
            </w:r>
          </w:p>
        </w:tc>
      </w:tr>
      <w:tr w:rsidR="00E50A74" w:rsidRPr="00517D06" w14:paraId="2DF34241" w14:textId="77777777" w:rsidTr="00B82613">
        <w:tc>
          <w:tcPr>
            <w:tcW w:w="2794" w:type="pct"/>
            <w:tcBorders>
              <w:top w:val="single" w:sz="4" w:space="0" w:color="auto"/>
              <w:left w:val="single" w:sz="4" w:space="0" w:color="auto"/>
              <w:bottom w:val="single" w:sz="4" w:space="0" w:color="auto"/>
              <w:right w:val="single" w:sz="4" w:space="0" w:color="auto"/>
            </w:tcBorders>
          </w:tcPr>
          <w:p w14:paraId="78AFD944" w14:textId="77777777" w:rsidR="00E50A74" w:rsidRPr="00517D06" w:rsidRDefault="00E50A74" w:rsidP="00530866">
            <w:pPr>
              <w:keepNext/>
              <w:keepLines/>
              <w:jc w:val="left"/>
              <w:rPr>
                <w:rFonts w:ascii="Arial Narrow" w:eastAsiaTheme="majorEastAsia" w:hAnsi="Arial Narrow" w:cstheme="majorBidi"/>
                <w:bCs/>
                <w:sz w:val="20"/>
                <w:szCs w:val="22"/>
              </w:rPr>
            </w:pPr>
            <w:r w:rsidRPr="003212D6">
              <w:rPr>
                <w:rFonts w:ascii="Arial Narrow" w:hAnsi="Arial Narrow" w:cs="Calibri"/>
                <w:sz w:val="20"/>
                <w:szCs w:val="22"/>
              </w:rPr>
              <w:t>Range</w:t>
            </w:r>
          </w:p>
        </w:tc>
        <w:tc>
          <w:tcPr>
            <w:tcW w:w="1103" w:type="pct"/>
            <w:tcBorders>
              <w:top w:val="single" w:sz="4" w:space="0" w:color="auto"/>
              <w:left w:val="single" w:sz="4" w:space="0" w:color="auto"/>
              <w:bottom w:val="single" w:sz="4" w:space="0" w:color="auto"/>
              <w:right w:val="single" w:sz="4" w:space="0" w:color="auto"/>
            </w:tcBorders>
          </w:tcPr>
          <w:p w14:paraId="0D2F02D6" w14:textId="77777777" w:rsidR="00E50A74" w:rsidRPr="00517D06" w:rsidRDefault="00E50A74" w:rsidP="00530866">
            <w:pPr>
              <w:keepNext/>
              <w:keepLines/>
              <w:jc w:val="center"/>
              <w:rPr>
                <w:rFonts w:ascii="Arial Narrow" w:eastAsiaTheme="majorEastAsia" w:hAnsi="Arial Narrow" w:cstheme="majorBidi"/>
                <w:b/>
                <w:sz w:val="20"/>
                <w:szCs w:val="22"/>
              </w:rPr>
            </w:pPr>
            <w:r w:rsidRPr="003212D6">
              <w:rPr>
                <w:rFonts w:ascii="Arial Narrow" w:hAnsi="Arial Narrow" w:cs="Calibri"/>
                <w:sz w:val="20"/>
                <w:szCs w:val="22"/>
              </w:rPr>
              <w:t>(0.5, 24.6+)</w:t>
            </w:r>
          </w:p>
        </w:tc>
        <w:tc>
          <w:tcPr>
            <w:tcW w:w="1103" w:type="pct"/>
            <w:tcBorders>
              <w:top w:val="single" w:sz="4" w:space="0" w:color="auto"/>
              <w:left w:val="single" w:sz="4" w:space="0" w:color="auto"/>
              <w:bottom w:val="single" w:sz="4" w:space="0" w:color="auto"/>
              <w:right w:val="single" w:sz="4" w:space="0" w:color="auto"/>
            </w:tcBorders>
          </w:tcPr>
          <w:p w14:paraId="5F8C8C67" w14:textId="77777777" w:rsidR="00E50A74" w:rsidRPr="00517D06" w:rsidRDefault="00E50A74" w:rsidP="00530866">
            <w:pPr>
              <w:keepNext/>
              <w:keepLines/>
              <w:jc w:val="center"/>
              <w:rPr>
                <w:rFonts w:ascii="Arial Narrow" w:eastAsiaTheme="majorEastAsia" w:hAnsi="Arial Narrow" w:cstheme="majorBidi"/>
                <w:b/>
                <w:sz w:val="20"/>
                <w:szCs w:val="22"/>
              </w:rPr>
            </w:pPr>
            <w:r w:rsidRPr="003212D6">
              <w:rPr>
                <w:rFonts w:ascii="Arial Narrow" w:hAnsi="Arial Narrow" w:cs="Calibri"/>
                <w:sz w:val="20"/>
                <w:szCs w:val="22"/>
              </w:rPr>
              <w:t>(0.0+, 25.3+)</w:t>
            </w:r>
          </w:p>
        </w:tc>
      </w:tr>
      <w:tr w:rsidR="00E50A74" w:rsidRPr="00517D06" w14:paraId="7638DB61" w14:textId="77777777" w:rsidTr="00B82613">
        <w:tc>
          <w:tcPr>
            <w:tcW w:w="2794" w:type="pct"/>
            <w:tcBorders>
              <w:top w:val="single" w:sz="4" w:space="0" w:color="auto"/>
              <w:left w:val="single" w:sz="4" w:space="0" w:color="auto"/>
              <w:bottom w:val="single" w:sz="4" w:space="0" w:color="auto"/>
              <w:right w:val="single" w:sz="4" w:space="0" w:color="auto"/>
            </w:tcBorders>
          </w:tcPr>
          <w:p w14:paraId="68419499" w14:textId="77777777" w:rsidR="00E50A74" w:rsidRPr="00517D06" w:rsidRDefault="00E50A74" w:rsidP="00530866">
            <w:pPr>
              <w:keepNext/>
              <w:keepLines/>
              <w:jc w:val="left"/>
              <w:rPr>
                <w:rFonts w:ascii="Arial Narrow" w:eastAsiaTheme="majorEastAsia" w:hAnsi="Arial Narrow" w:cstheme="majorBidi"/>
                <w:bCs/>
                <w:sz w:val="20"/>
                <w:szCs w:val="22"/>
              </w:rPr>
            </w:pPr>
            <w:r>
              <w:rPr>
                <w:rFonts w:ascii="Arial Narrow" w:hAnsi="Arial Narrow" w:cs="Calibri"/>
                <w:sz w:val="20"/>
                <w:szCs w:val="22"/>
              </w:rPr>
              <w:t xml:space="preserve">  </w:t>
            </w:r>
            <w:r w:rsidRPr="003212D6">
              <w:rPr>
                <w:rFonts w:ascii="Arial Narrow" w:hAnsi="Arial Narrow" w:cs="Calibri"/>
                <w:sz w:val="20"/>
                <w:szCs w:val="22"/>
              </w:rPr>
              <w:t>6-month event-free rate (95% CI)</w:t>
            </w:r>
          </w:p>
        </w:tc>
        <w:tc>
          <w:tcPr>
            <w:tcW w:w="1103" w:type="pct"/>
            <w:tcBorders>
              <w:top w:val="single" w:sz="4" w:space="0" w:color="auto"/>
              <w:left w:val="single" w:sz="4" w:space="0" w:color="auto"/>
              <w:bottom w:val="single" w:sz="4" w:space="0" w:color="auto"/>
              <w:right w:val="single" w:sz="4" w:space="0" w:color="auto"/>
            </w:tcBorders>
          </w:tcPr>
          <w:p w14:paraId="36EE9B62" w14:textId="77777777" w:rsidR="00E50A74" w:rsidRPr="00517D06" w:rsidRDefault="00E50A74" w:rsidP="00530866">
            <w:pPr>
              <w:keepNext/>
              <w:keepLines/>
              <w:jc w:val="center"/>
              <w:rPr>
                <w:rFonts w:ascii="Arial Narrow" w:eastAsiaTheme="majorEastAsia" w:hAnsi="Arial Narrow" w:cstheme="majorBidi"/>
                <w:b/>
                <w:sz w:val="20"/>
                <w:szCs w:val="22"/>
              </w:rPr>
            </w:pPr>
            <w:r w:rsidRPr="003212D6">
              <w:rPr>
                <w:rFonts w:ascii="Arial Narrow" w:hAnsi="Arial Narrow" w:cs="Calibri"/>
                <w:sz w:val="20"/>
                <w:szCs w:val="22"/>
              </w:rPr>
              <w:t>0.91 (0.84, 0.95)</w:t>
            </w:r>
          </w:p>
        </w:tc>
        <w:tc>
          <w:tcPr>
            <w:tcW w:w="1103" w:type="pct"/>
            <w:tcBorders>
              <w:top w:val="single" w:sz="4" w:space="0" w:color="auto"/>
              <w:left w:val="single" w:sz="4" w:space="0" w:color="auto"/>
              <w:bottom w:val="single" w:sz="4" w:space="0" w:color="auto"/>
              <w:right w:val="single" w:sz="4" w:space="0" w:color="auto"/>
            </w:tcBorders>
          </w:tcPr>
          <w:p w14:paraId="7ACBC45B" w14:textId="77777777" w:rsidR="00E50A74" w:rsidRPr="00517D06" w:rsidRDefault="00E50A74" w:rsidP="00530866">
            <w:pPr>
              <w:keepNext/>
              <w:keepLines/>
              <w:jc w:val="center"/>
              <w:rPr>
                <w:rFonts w:ascii="Arial Narrow" w:eastAsiaTheme="majorEastAsia" w:hAnsi="Arial Narrow" w:cstheme="majorBidi"/>
                <w:b/>
                <w:sz w:val="20"/>
                <w:szCs w:val="22"/>
              </w:rPr>
            </w:pPr>
            <w:r w:rsidRPr="003212D6">
              <w:rPr>
                <w:rFonts w:ascii="Arial Narrow" w:hAnsi="Arial Narrow" w:cs="Calibri"/>
                <w:sz w:val="20"/>
                <w:szCs w:val="22"/>
              </w:rPr>
              <w:t>0.87 (0.82, 0.90)</w:t>
            </w:r>
          </w:p>
        </w:tc>
      </w:tr>
      <w:tr w:rsidR="00E50A74" w:rsidRPr="00517D06" w14:paraId="36A830DC" w14:textId="77777777" w:rsidTr="00B82613">
        <w:tc>
          <w:tcPr>
            <w:tcW w:w="2794" w:type="pct"/>
            <w:tcBorders>
              <w:top w:val="single" w:sz="4" w:space="0" w:color="auto"/>
              <w:left w:val="single" w:sz="4" w:space="0" w:color="auto"/>
              <w:bottom w:val="single" w:sz="4" w:space="0" w:color="auto"/>
              <w:right w:val="single" w:sz="4" w:space="0" w:color="auto"/>
            </w:tcBorders>
          </w:tcPr>
          <w:p w14:paraId="7E45100C" w14:textId="64ED4B77" w:rsidR="00E50A74" w:rsidRPr="00517D06" w:rsidRDefault="00807331" w:rsidP="00530866">
            <w:pPr>
              <w:keepNext/>
              <w:keepLines/>
              <w:jc w:val="left"/>
              <w:rPr>
                <w:rFonts w:ascii="Arial Narrow" w:eastAsiaTheme="majorEastAsia" w:hAnsi="Arial Narrow" w:cstheme="majorBidi"/>
                <w:bCs/>
                <w:sz w:val="20"/>
                <w:szCs w:val="22"/>
              </w:rPr>
            </w:pPr>
            <w:r>
              <w:rPr>
                <w:rFonts w:ascii="Arial Narrow" w:hAnsi="Arial Narrow" w:cs="Calibri"/>
                <w:sz w:val="20"/>
                <w:szCs w:val="22"/>
              </w:rPr>
              <w:t xml:space="preserve"> </w:t>
            </w:r>
            <w:r w:rsidR="00E50A74" w:rsidRPr="003212D6">
              <w:rPr>
                <w:rFonts w:ascii="Arial Narrow" w:hAnsi="Arial Narrow" w:cs="Calibri"/>
                <w:sz w:val="20"/>
                <w:szCs w:val="22"/>
              </w:rPr>
              <w:t>9-month event-free rate (95% CI)</w:t>
            </w:r>
          </w:p>
        </w:tc>
        <w:tc>
          <w:tcPr>
            <w:tcW w:w="1103" w:type="pct"/>
            <w:tcBorders>
              <w:top w:val="single" w:sz="4" w:space="0" w:color="auto"/>
              <w:left w:val="single" w:sz="4" w:space="0" w:color="auto"/>
              <w:bottom w:val="single" w:sz="4" w:space="0" w:color="auto"/>
              <w:right w:val="single" w:sz="4" w:space="0" w:color="auto"/>
            </w:tcBorders>
          </w:tcPr>
          <w:p w14:paraId="3A858748" w14:textId="77777777" w:rsidR="00E50A74" w:rsidRPr="00517D06" w:rsidRDefault="00E50A74" w:rsidP="00530866">
            <w:pPr>
              <w:keepNext/>
              <w:keepLines/>
              <w:jc w:val="center"/>
              <w:rPr>
                <w:rFonts w:ascii="Arial Narrow" w:eastAsiaTheme="majorEastAsia" w:hAnsi="Arial Narrow" w:cstheme="majorBidi"/>
                <w:b/>
                <w:sz w:val="20"/>
                <w:szCs w:val="22"/>
              </w:rPr>
            </w:pPr>
            <w:r w:rsidRPr="003212D6">
              <w:rPr>
                <w:rFonts w:ascii="Arial Narrow" w:hAnsi="Arial Narrow" w:cs="Calibri"/>
                <w:sz w:val="20"/>
                <w:szCs w:val="22"/>
              </w:rPr>
              <w:t>0.80 (0.72, 0.86)</w:t>
            </w:r>
          </w:p>
        </w:tc>
        <w:tc>
          <w:tcPr>
            <w:tcW w:w="1103" w:type="pct"/>
            <w:tcBorders>
              <w:top w:val="single" w:sz="4" w:space="0" w:color="auto"/>
              <w:left w:val="single" w:sz="4" w:space="0" w:color="auto"/>
              <w:bottom w:val="single" w:sz="4" w:space="0" w:color="auto"/>
              <w:right w:val="single" w:sz="4" w:space="0" w:color="auto"/>
            </w:tcBorders>
          </w:tcPr>
          <w:p w14:paraId="2FA3B6CA" w14:textId="77777777" w:rsidR="00E50A74" w:rsidRPr="00517D06" w:rsidRDefault="00E50A74" w:rsidP="00530866">
            <w:pPr>
              <w:keepNext/>
              <w:keepLines/>
              <w:jc w:val="center"/>
              <w:rPr>
                <w:rFonts w:ascii="Arial Narrow" w:eastAsiaTheme="majorEastAsia" w:hAnsi="Arial Narrow" w:cstheme="majorBidi"/>
                <w:b/>
                <w:sz w:val="20"/>
                <w:szCs w:val="22"/>
              </w:rPr>
            </w:pPr>
            <w:r w:rsidRPr="003212D6">
              <w:rPr>
                <w:rFonts w:ascii="Arial Narrow" w:hAnsi="Arial Narrow" w:cs="Calibri"/>
                <w:sz w:val="20"/>
                <w:szCs w:val="22"/>
              </w:rPr>
              <w:t>0.73 (0.67, 0.78)</w:t>
            </w:r>
          </w:p>
        </w:tc>
      </w:tr>
      <w:tr w:rsidR="00E50A74" w:rsidRPr="00517D06" w14:paraId="46456959" w14:textId="77777777" w:rsidTr="00B82613">
        <w:tc>
          <w:tcPr>
            <w:tcW w:w="2794" w:type="pct"/>
            <w:tcBorders>
              <w:top w:val="single" w:sz="4" w:space="0" w:color="auto"/>
              <w:left w:val="single" w:sz="4" w:space="0" w:color="auto"/>
              <w:bottom w:val="single" w:sz="4" w:space="0" w:color="auto"/>
              <w:right w:val="single" w:sz="4" w:space="0" w:color="auto"/>
            </w:tcBorders>
          </w:tcPr>
          <w:p w14:paraId="6D673AB7" w14:textId="6B8F8426" w:rsidR="00E50A74" w:rsidRPr="00517D06" w:rsidRDefault="00807331" w:rsidP="00530866">
            <w:pPr>
              <w:keepNext/>
              <w:keepLines/>
              <w:jc w:val="left"/>
              <w:rPr>
                <w:rFonts w:ascii="Arial Narrow" w:eastAsiaTheme="majorEastAsia" w:hAnsi="Arial Narrow" w:cstheme="majorBidi"/>
                <w:bCs/>
                <w:sz w:val="20"/>
                <w:szCs w:val="22"/>
              </w:rPr>
            </w:pPr>
            <w:r>
              <w:rPr>
                <w:rFonts w:ascii="Arial Narrow" w:hAnsi="Arial Narrow" w:cs="Calibri"/>
                <w:sz w:val="20"/>
                <w:szCs w:val="22"/>
              </w:rPr>
              <w:t xml:space="preserve"> </w:t>
            </w:r>
            <w:r w:rsidR="00E50A74" w:rsidRPr="003212D6">
              <w:rPr>
                <w:rFonts w:ascii="Arial Narrow" w:hAnsi="Arial Narrow" w:cs="Calibri"/>
                <w:sz w:val="20"/>
                <w:szCs w:val="22"/>
              </w:rPr>
              <w:t>12-month event-free rate (95% CI)</w:t>
            </w:r>
          </w:p>
        </w:tc>
        <w:tc>
          <w:tcPr>
            <w:tcW w:w="1103" w:type="pct"/>
            <w:tcBorders>
              <w:top w:val="single" w:sz="4" w:space="0" w:color="auto"/>
              <w:left w:val="single" w:sz="4" w:space="0" w:color="auto"/>
              <w:bottom w:val="single" w:sz="4" w:space="0" w:color="auto"/>
              <w:right w:val="single" w:sz="4" w:space="0" w:color="auto"/>
            </w:tcBorders>
          </w:tcPr>
          <w:p w14:paraId="2C4473AB" w14:textId="77777777" w:rsidR="00E50A74" w:rsidRPr="00517D06" w:rsidRDefault="00E50A74" w:rsidP="00530866">
            <w:pPr>
              <w:keepNext/>
              <w:keepLines/>
              <w:jc w:val="center"/>
              <w:rPr>
                <w:rFonts w:ascii="Arial Narrow" w:eastAsiaTheme="majorEastAsia" w:hAnsi="Arial Narrow" w:cstheme="majorBidi"/>
                <w:b/>
                <w:sz w:val="20"/>
                <w:szCs w:val="22"/>
              </w:rPr>
            </w:pPr>
            <w:r w:rsidRPr="003212D6">
              <w:rPr>
                <w:rFonts w:ascii="Arial Narrow" w:hAnsi="Arial Narrow" w:cs="Calibri"/>
                <w:sz w:val="20"/>
                <w:szCs w:val="22"/>
              </w:rPr>
              <w:t>0.70 (0.61, 0.77)</w:t>
            </w:r>
          </w:p>
        </w:tc>
        <w:tc>
          <w:tcPr>
            <w:tcW w:w="1103" w:type="pct"/>
            <w:tcBorders>
              <w:top w:val="single" w:sz="4" w:space="0" w:color="auto"/>
              <w:left w:val="single" w:sz="4" w:space="0" w:color="auto"/>
              <w:bottom w:val="single" w:sz="4" w:space="0" w:color="auto"/>
              <w:right w:val="single" w:sz="4" w:space="0" w:color="auto"/>
            </w:tcBorders>
          </w:tcPr>
          <w:p w14:paraId="59164441" w14:textId="77777777" w:rsidR="00E50A74" w:rsidRPr="00517D06" w:rsidRDefault="00E50A74" w:rsidP="00530866">
            <w:pPr>
              <w:keepNext/>
              <w:keepLines/>
              <w:jc w:val="center"/>
              <w:rPr>
                <w:rFonts w:ascii="Arial Narrow" w:eastAsiaTheme="majorEastAsia" w:hAnsi="Arial Narrow" w:cstheme="majorBidi"/>
                <w:b/>
                <w:sz w:val="20"/>
                <w:szCs w:val="22"/>
              </w:rPr>
            </w:pPr>
            <w:r w:rsidRPr="003212D6">
              <w:rPr>
                <w:rFonts w:ascii="Arial Narrow" w:hAnsi="Arial Narrow" w:cs="Calibri"/>
                <w:sz w:val="20"/>
                <w:szCs w:val="22"/>
              </w:rPr>
              <w:t>0.63 (0.57, 0.69)</w:t>
            </w:r>
          </w:p>
        </w:tc>
      </w:tr>
      <w:tr w:rsidR="00E50A74" w:rsidRPr="00517D06" w14:paraId="3D7240A1" w14:textId="77777777" w:rsidTr="00B82613">
        <w:tc>
          <w:tcPr>
            <w:tcW w:w="2794" w:type="pct"/>
            <w:tcBorders>
              <w:top w:val="single" w:sz="4" w:space="0" w:color="auto"/>
              <w:left w:val="single" w:sz="4" w:space="0" w:color="auto"/>
              <w:bottom w:val="single" w:sz="4" w:space="0" w:color="auto"/>
              <w:right w:val="single" w:sz="4" w:space="0" w:color="auto"/>
            </w:tcBorders>
          </w:tcPr>
          <w:p w14:paraId="6FE75F35" w14:textId="1BE4E6C9" w:rsidR="00E50A74" w:rsidRPr="00517D06" w:rsidRDefault="00807331" w:rsidP="00530866">
            <w:pPr>
              <w:keepNext/>
              <w:keepLines/>
              <w:jc w:val="left"/>
              <w:rPr>
                <w:rFonts w:ascii="Arial Narrow" w:eastAsiaTheme="majorEastAsia" w:hAnsi="Arial Narrow" w:cstheme="majorBidi"/>
                <w:bCs/>
                <w:sz w:val="20"/>
                <w:szCs w:val="22"/>
              </w:rPr>
            </w:pPr>
            <w:r>
              <w:rPr>
                <w:rFonts w:ascii="Arial Narrow" w:hAnsi="Arial Narrow" w:cs="Calibri"/>
                <w:sz w:val="20"/>
                <w:szCs w:val="22"/>
              </w:rPr>
              <w:t xml:space="preserve"> </w:t>
            </w:r>
            <w:r w:rsidR="00E50A74" w:rsidRPr="003212D6">
              <w:rPr>
                <w:rFonts w:ascii="Arial Narrow" w:hAnsi="Arial Narrow" w:cs="Calibri"/>
                <w:sz w:val="20"/>
                <w:szCs w:val="22"/>
              </w:rPr>
              <w:t>18-month event-free rate (95% CI)</w:t>
            </w:r>
          </w:p>
        </w:tc>
        <w:tc>
          <w:tcPr>
            <w:tcW w:w="1103" w:type="pct"/>
            <w:tcBorders>
              <w:top w:val="single" w:sz="4" w:space="0" w:color="auto"/>
              <w:left w:val="single" w:sz="4" w:space="0" w:color="auto"/>
              <w:bottom w:val="single" w:sz="4" w:space="0" w:color="auto"/>
              <w:right w:val="single" w:sz="4" w:space="0" w:color="auto"/>
            </w:tcBorders>
          </w:tcPr>
          <w:p w14:paraId="1A3C7954" w14:textId="77777777" w:rsidR="00E50A74" w:rsidRPr="00517D06" w:rsidRDefault="00E50A74" w:rsidP="00530866">
            <w:pPr>
              <w:keepNext/>
              <w:keepLines/>
              <w:jc w:val="center"/>
              <w:rPr>
                <w:rFonts w:ascii="Arial Narrow" w:eastAsiaTheme="majorEastAsia" w:hAnsi="Arial Narrow" w:cstheme="majorBidi"/>
                <w:b/>
                <w:sz w:val="20"/>
                <w:szCs w:val="22"/>
              </w:rPr>
            </w:pPr>
            <w:r w:rsidRPr="003212D6">
              <w:rPr>
                <w:rFonts w:ascii="Arial Narrow" w:hAnsi="Arial Narrow" w:cs="Calibri"/>
                <w:sz w:val="20"/>
                <w:szCs w:val="22"/>
              </w:rPr>
              <w:t>0.50 (0.40, 0.59)</w:t>
            </w:r>
          </w:p>
        </w:tc>
        <w:tc>
          <w:tcPr>
            <w:tcW w:w="1103" w:type="pct"/>
            <w:tcBorders>
              <w:top w:val="single" w:sz="4" w:space="0" w:color="auto"/>
              <w:left w:val="single" w:sz="4" w:space="0" w:color="auto"/>
              <w:bottom w:val="single" w:sz="4" w:space="0" w:color="auto"/>
              <w:right w:val="single" w:sz="4" w:space="0" w:color="auto"/>
            </w:tcBorders>
          </w:tcPr>
          <w:p w14:paraId="1D0755C6" w14:textId="77777777" w:rsidR="00E50A74" w:rsidRPr="00517D06" w:rsidRDefault="00E50A74" w:rsidP="00530866">
            <w:pPr>
              <w:keepNext/>
              <w:keepLines/>
              <w:jc w:val="center"/>
              <w:rPr>
                <w:rFonts w:ascii="Arial Narrow" w:eastAsiaTheme="majorEastAsia" w:hAnsi="Arial Narrow" w:cstheme="majorBidi"/>
                <w:b/>
                <w:sz w:val="20"/>
                <w:szCs w:val="22"/>
              </w:rPr>
            </w:pPr>
            <w:r w:rsidRPr="003212D6">
              <w:rPr>
                <w:rFonts w:ascii="Arial Narrow" w:hAnsi="Arial Narrow" w:cs="Calibri"/>
                <w:sz w:val="20"/>
                <w:szCs w:val="22"/>
              </w:rPr>
              <w:t>0.40 (0.33, 0.46)</w:t>
            </w:r>
          </w:p>
        </w:tc>
      </w:tr>
      <w:tr w:rsidR="00E50A74" w:rsidRPr="00517D06" w14:paraId="4B56AE3D" w14:textId="77777777" w:rsidTr="00B82613">
        <w:tc>
          <w:tcPr>
            <w:tcW w:w="2794" w:type="pct"/>
            <w:tcBorders>
              <w:top w:val="single" w:sz="4" w:space="0" w:color="auto"/>
              <w:left w:val="single" w:sz="4" w:space="0" w:color="auto"/>
              <w:bottom w:val="single" w:sz="4" w:space="0" w:color="auto"/>
              <w:right w:val="single" w:sz="4" w:space="0" w:color="auto"/>
            </w:tcBorders>
          </w:tcPr>
          <w:p w14:paraId="63264710" w14:textId="77777777" w:rsidR="00E50A74" w:rsidRPr="00517D06" w:rsidRDefault="00E50A74" w:rsidP="00530866">
            <w:pPr>
              <w:keepNext/>
              <w:keepLines/>
              <w:jc w:val="left"/>
              <w:rPr>
                <w:rFonts w:ascii="Arial Narrow" w:eastAsiaTheme="majorEastAsia" w:hAnsi="Arial Narrow" w:cstheme="majorBidi"/>
                <w:bCs/>
                <w:sz w:val="20"/>
                <w:szCs w:val="22"/>
              </w:rPr>
            </w:pPr>
            <w:r w:rsidRPr="003212D6">
              <w:rPr>
                <w:rFonts w:ascii="Arial Narrow" w:hAnsi="Arial Narrow" w:cs="Calibri"/>
                <w:sz w:val="20"/>
                <w:szCs w:val="22"/>
              </w:rPr>
              <w:t>HR (95% CI); p-</w:t>
            </w:r>
            <w:proofErr w:type="spellStart"/>
            <w:r w:rsidRPr="003212D6">
              <w:rPr>
                <w:rFonts w:ascii="Arial Narrow" w:hAnsi="Arial Narrow" w:cs="Calibri"/>
                <w:sz w:val="20"/>
                <w:szCs w:val="22"/>
              </w:rPr>
              <w:t>value</w:t>
            </w:r>
            <w:r w:rsidRPr="003212D6">
              <w:rPr>
                <w:rFonts w:ascii="Arial Narrow" w:hAnsi="Arial Narrow" w:cs="Calibri"/>
                <w:sz w:val="20"/>
                <w:szCs w:val="22"/>
                <w:vertAlign w:val="superscript"/>
              </w:rPr>
              <w:t>a</w:t>
            </w:r>
            <w:proofErr w:type="spellEnd"/>
          </w:p>
        </w:tc>
        <w:tc>
          <w:tcPr>
            <w:tcW w:w="2206" w:type="pct"/>
            <w:gridSpan w:val="2"/>
            <w:tcBorders>
              <w:top w:val="single" w:sz="4" w:space="0" w:color="auto"/>
              <w:left w:val="single" w:sz="4" w:space="0" w:color="auto"/>
              <w:bottom w:val="single" w:sz="4" w:space="0" w:color="auto"/>
              <w:right w:val="single" w:sz="4" w:space="0" w:color="auto"/>
            </w:tcBorders>
          </w:tcPr>
          <w:p w14:paraId="4E812434" w14:textId="77777777" w:rsidR="00E50A74" w:rsidRPr="00517D06" w:rsidRDefault="00E50A74" w:rsidP="00530866">
            <w:pPr>
              <w:keepNext/>
              <w:keepLines/>
              <w:jc w:val="center"/>
              <w:rPr>
                <w:rFonts w:ascii="Arial Narrow" w:eastAsiaTheme="majorEastAsia" w:hAnsi="Arial Narrow" w:cstheme="majorBidi"/>
                <w:b/>
                <w:sz w:val="20"/>
                <w:szCs w:val="22"/>
              </w:rPr>
            </w:pPr>
            <w:r w:rsidRPr="003212D6">
              <w:rPr>
                <w:rFonts w:ascii="Arial Narrow" w:hAnsi="Arial Narrow" w:cs="Calibri"/>
                <w:b/>
                <w:bCs/>
                <w:sz w:val="20"/>
                <w:szCs w:val="22"/>
              </w:rPr>
              <w:t>0.73 (0.54, 0.99), p=0.0386</w:t>
            </w:r>
          </w:p>
        </w:tc>
      </w:tr>
      <w:tr w:rsidR="00E50A74" w:rsidRPr="00517D06" w14:paraId="2F50BE02" w14:textId="77777777" w:rsidTr="00B82613">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741B6" w14:textId="77777777" w:rsidR="00E50A74" w:rsidRPr="00517D06" w:rsidRDefault="00E50A74" w:rsidP="00530866">
            <w:pPr>
              <w:keepNext/>
              <w:keepLines/>
              <w:jc w:val="left"/>
              <w:rPr>
                <w:rFonts w:ascii="Arial Narrow" w:eastAsiaTheme="majorEastAsia" w:hAnsi="Arial Narrow" w:cstheme="majorBidi"/>
                <w:b/>
                <w:sz w:val="20"/>
                <w:szCs w:val="22"/>
              </w:rPr>
            </w:pPr>
            <w:r w:rsidRPr="00F65677">
              <w:rPr>
                <w:rFonts w:ascii="Arial Narrow" w:hAnsi="Arial Narrow" w:cs="Calibri"/>
                <w:b/>
                <w:bCs/>
                <w:sz w:val="20"/>
                <w:szCs w:val="22"/>
              </w:rPr>
              <w:t>Objective response rate (ORR)</w:t>
            </w:r>
            <w:r>
              <w:rPr>
                <w:rFonts w:ascii="Arial Narrow" w:eastAsiaTheme="majorEastAsia" w:hAnsi="Arial Narrow" w:cstheme="majorBidi"/>
                <w:b/>
                <w:sz w:val="20"/>
                <w:szCs w:val="22"/>
              </w:rPr>
              <w:t xml:space="preserve"> – primary analysis</w:t>
            </w:r>
          </w:p>
        </w:tc>
      </w:tr>
      <w:tr w:rsidR="00E50A74" w:rsidRPr="00517D06" w14:paraId="2B30ECE3" w14:textId="77777777" w:rsidTr="00B82613">
        <w:tc>
          <w:tcPr>
            <w:tcW w:w="2794" w:type="pct"/>
            <w:tcBorders>
              <w:top w:val="single" w:sz="4" w:space="0" w:color="auto"/>
              <w:left w:val="single" w:sz="4" w:space="0" w:color="auto"/>
              <w:bottom w:val="single" w:sz="4" w:space="0" w:color="auto"/>
              <w:right w:val="single" w:sz="4" w:space="0" w:color="auto"/>
            </w:tcBorders>
          </w:tcPr>
          <w:p w14:paraId="479612DD" w14:textId="77777777" w:rsidR="00E50A74" w:rsidRPr="003212D6" w:rsidRDefault="00E50A74" w:rsidP="00530866">
            <w:pPr>
              <w:keepNext/>
              <w:keepLines/>
              <w:jc w:val="left"/>
              <w:rPr>
                <w:rFonts w:ascii="Arial Narrow" w:hAnsi="Arial Narrow" w:cs="Calibri"/>
                <w:sz w:val="20"/>
                <w:szCs w:val="22"/>
              </w:rPr>
            </w:pPr>
            <w:r w:rsidRPr="0016346A">
              <w:rPr>
                <w:rFonts w:ascii="Arial Narrow" w:hAnsi="Arial Narrow"/>
                <w:sz w:val="20"/>
                <w:szCs w:val="22"/>
              </w:rPr>
              <w:t>Number of patients with measurable disease at baseline</w:t>
            </w:r>
          </w:p>
        </w:tc>
        <w:tc>
          <w:tcPr>
            <w:tcW w:w="1103" w:type="pct"/>
            <w:tcBorders>
              <w:top w:val="single" w:sz="4" w:space="0" w:color="auto"/>
              <w:left w:val="single" w:sz="4" w:space="0" w:color="auto"/>
              <w:bottom w:val="single" w:sz="4" w:space="0" w:color="auto"/>
              <w:right w:val="single" w:sz="4" w:space="0" w:color="auto"/>
            </w:tcBorders>
          </w:tcPr>
          <w:p w14:paraId="635E94B4" w14:textId="77777777" w:rsidR="00E50A74" w:rsidRPr="003212D6" w:rsidRDefault="00E50A74" w:rsidP="00530866">
            <w:pPr>
              <w:keepNext/>
              <w:keepLines/>
              <w:jc w:val="center"/>
              <w:rPr>
                <w:rFonts w:ascii="Arial Narrow" w:hAnsi="Arial Narrow" w:cs="Calibri"/>
                <w:b/>
                <w:bCs/>
                <w:sz w:val="20"/>
                <w:szCs w:val="22"/>
              </w:rPr>
            </w:pPr>
            <w:r w:rsidRPr="0016346A">
              <w:rPr>
                <w:rFonts w:ascii="Arial Narrow" w:hAnsi="Arial Narrow"/>
                <w:sz w:val="20"/>
                <w:szCs w:val="22"/>
              </w:rPr>
              <w:t>130</w:t>
            </w:r>
          </w:p>
        </w:tc>
        <w:tc>
          <w:tcPr>
            <w:tcW w:w="1103" w:type="pct"/>
            <w:tcBorders>
              <w:top w:val="single" w:sz="4" w:space="0" w:color="auto"/>
              <w:left w:val="single" w:sz="4" w:space="0" w:color="auto"/>
              <w:bottom w:val="single" w:sz="4" w:space="0" w:color="auto"/>
              <w:right w:val="single" w:sz="4" w:space="0" w:color="auto"/>
            </w:tcBorders>
          </w:tcPr>
          <w:p w14:paraId="3E7BB739" w14:textId="77777777" w:rsidR="00E50A74" w:rsidRPr="00517D06" w:rsidRDefault="00E50A74" w:rsidP="00530866">
            <w:pPr>
              <w:keepNext/>
              <w:keepLines/>
              <w:jc w:val="center"/>
              <w:rPr>
                <w:rFonts w:ascii="Arial Narrow" w:eastAsiaTheme="majorEastAsia" w:hAnsi="Arial Narrow" w:cstheme="majorBidi"/>
                <w:b/>
                <w:sz w:val="20"/>
                <w:szCs w:val="22"/>
              </w:rPr>
            </w:pPr>
            <w:r w:rsidRPr="0016346A">
              <w:rPr>
                <w:rFonts w:ascii="Arial Narrow" w:hAnsi="Arial Narrow"/>
                <w:sz w:val="20"/>
                <w:szCs w:val="22"/>
              </w:rPr>
              <w:t>260</w:t>
            </w:r>
          </w:p>
        </w:tc>
      </w:tr>
      <w:tr w:rsidR="00E50A74" w:rsidRPr="00517D06" w14:paraId="0081E3AE" w14:textId="77777777" w:rsidTr="00B82613">
        <w:tc>
          <w:tcPr>
            <w:tcW w:w="2794" w:type="pct"/>
            <w:tcBorders>
              <w:top w:val="single" w:sz="4" w:space="0" w:color="auto"/>
              <w:left w:val="single" w:sz="4" w:space="0" w:color="auto"/>
              <w:bottom w:val="single" w:sz="4" w:space="0" w:color="auto"/>
              <w:right w:val="single" w:sz="4" w:space="0" w:color="auto"/>
            </w:tcBorders>
          </w:tcPr>
          <w:p w14:paraId="0EFC7884" w14:textId="77777777" w:rsidR="00E50A74" w:rsidRPr="003212D6" w:rsidRDefault="00E50A74" w:rsidP="00530866">
            <w:pPr>
              <w:keepNext/>
              <w:keepLines/>
              <w:jc w:val="left"/>
              <w:rPr>
                <w:rFonts w:ascii="Arial Narrow" w:hAnsi="Arial Narrow" w:cs="Calibri"/>
                <w:sz w:val="20"/>
                <w:szCs w:val="22"/>
              </w:rPr>
            </w:pPr>
            <w:r w:rsidRPr="0016346A">
              <w:rPr>
                <w:rFonts w:ascii="Arial Narrow" w:hAnsi="Arial Narrow"/>
                <w:sz w:val="20"/>
                <w:szCs w:val="22"/>
              </w:rPr>
              <w:t>Objective response rate (CR + PR)</w:t>
            </w:r>
          </w:p>
        </w:tc>
        <w:tc>
          <w:tcPr>
            <w:tcW w:w="1103" w:type="pct"/>
            <w:tcBorders>
              <w:top w:val="single" w:sz="4" w:space="0" w:color="auto"/>
              <w:left w:val="single" w:sz="4" w:space="0" w:color="auto"/>
              <w:bottom w:val="single" w:sz="4" w:space="0" w:color="auto"/>
              <w:right w:val="single" w:sz="4" w:space="0" w:color="auto"/>
            </w:tcBorders>
          </w:tcPr>
          <w:p w14:paraId="06A80E56" w14:textId="77777777" w:rsidR="00E50A74" w:rsidRPr="003212D6" w:rsidRDefault="00E50A74" w:rsidP="00530866">
            <w:pPr>
              <w:keepNext/>
              <w:keepLines/>
              <w:jc w:val="center"/>
              <w:rPr>
                <w:rFonts w:ascii="Arial Narrow" w:hAnsi="Arial Narrow" w:cs="Calibri"/>
                <w:b/>
                <w:bCs/>
                <w:sz w:val="20"/>
                <w:szCs w:val="22"/>
              </w:rPr>
            </w:pPr>
            <w:r w:rsidRPr="0016346A">
              <w:rPr>
                <w:rFonts w:ascii="Arial Narrow" w:hAnsi="Arial Narrow"/>
                <w:sz w:val="20"/>
                <w:szCs w:val="22"/>
              </w:rPr>
              <w:t>8</w:t>
            </w:r>
            <w:r w:rsidRPr="004A01B8">
              <w:rPr>
                <w:rFonts w:ascii="Arial Narrow" w:hAnsi="Arial Narrow"/>
                <w:sz w:val="20"/>
                <w:szCs w:val="22"/>
              </w:rPr>
              <w:t>3 (63.8%)</w:t>
            </w:r>
          </w:p>
        </w:tc>
        <w:tc>
          <w:tcPr>
            <w:tcW w:w="1103" w:type="pct"/>
            <w:tcBorders>
              <w:top w:val="single" w:sz="4" w:space="0" w:color="auto"/>
              <w:left w:val="single" w:sz="4" w:space="0" w:color="auto"/>
              <w:bottom w:val="single" w:sz="4" w:space="0" w:color="auto"/>
              <w:right w:val="single" w:sz="4" w:space="0" w:color="auto"/>
            </w:tcBorders>
          </w:tcPr>
          <w:p w14:paraId="783ABD6D" w14:textId="77777777" w:rsidR="00E50A74" w:rsidRPr="00517D06" w:rsidRDefault="00E50A74" w:rsidP="00530866">
            <w:pPr>
              <w:keepNext/>
              <w:keepLines/>
              <w:jc w:val="center"/>
              <w:rPr>
                <w:rFonts w:ascii="Arial Narrow" w:eastAsiaTheme="majorEastAsia" w:hAnsi="Arial Narrow" w:cstheme="majorBidi"/>
                <w:b/>
                <w:sz w:val="20"/>
                <w:szCs w:val="22"/>
              </w:rPr>
            </w:pPr>
            <w:r w:rsidRPr="0016346A">
              <w:rPr>
                <w:rFonts w:ascii="Arial Narrow" w:hAnsi="Arial Narrow"/>
                <w:sz w:val="20"/>
                <w:szCs w:val="22"/>
              </w:rPr>
              <w:t>94 (36.2%)</w:t>
            </w:r>
          </w:p>
        </w:tc>
      </w:tr>
      <w:tr w:rsidR="00E50A74" w:rsidRPr="00517D06" w14:paraId="75AECFDF" w14:textId="77777777" w:rsidTr="00B82613">
        <w:tc>
          <w:tcPr>
            <w:tcW w:w="2794" w:type="pct"/>
            <w:tcBorders>
              <w:top w:val="single" w:sz="4" w:space="0" w:color="auto"/>
              <w:left w:val="single" w:sz="4" w:space="0" w:color="auto"/>
              <w:bottom w:val="single" w:sz="4" w:space="0" w:color="auto"/>
              <w:right w:val="single" w:sz="4" w:space="0" w:color="auto"/>
            </w:tcBorders>
          </w:tcPr>
          <w:p w14:paraId="12083F0A" w14:textId="77777777" w:rsidR="00E50A74" w:rsidRPr="003212D6" w:rsidRDefault="00E50A74" w:rsidP="00530866">
            <w:pPr>
              <w:keepNext/>
              <w:keepLines/>
              <w:jc w:val="left"/>
              <w:rPr>
                <w:rFonts w:ascii="Arial Narrow" w:hAnsi="Arial Narrow" w:cs="Calibri"/>
                <w:sz w:val="20"/>
                <w:szCs w:val="22"/>
              </w:rPr>
            </w:pPr>
            <w:r w:rsidRPr="0016346A">
              <w:rPr>
                <w:rFonts w:ascii="Arial Narrow" w:hAnsi="Arial Narrow"/>
                <w:sz w:val="20"/>
                <w:szCs w:val="22"/>
              </w:rPr>
              <w:t>95% CI</w:t>
            </w:r>
          </w:p>
        </w:tc>
        <w:tc>
          <w:tcPr>
            <w:tcW w:w="1103" w:type="pct"/>
            <w:tcBorders>
              <w:top w:val="single" w:sz="4" w:space="0" w:color="auto"/>
              <w:left w:val="single" w:sz="4" w:space="0" w:color="auto"/>
              <w:bottom w:val="single" w:sz="4" w:space="0" w:color="auto"/>
              <w:right w:val="single" w:sz="4" w:space="0" w:color="auto"/>
            </w:tcBorders>
          </w:tcPr>
          <w:p w14:paraId="61671848" w14:textId="77777777" w:rsidR="00E50A74" w:rsidRPr="003212D6" w:rsidRDefault="00E50A74" w:rsidP="00530866">
            <w:pPr>
              <w:keepNext/>
              <w:keepLines/>
              <w:jc w:val="center"/>
              <w:rPr>
                <w:rFonts w:ascii="Arial Narrow" w:hAnsi="Arial Narrow" w:cs="Calibri"/>
                <w:b/>
                <w:bCs/>
                <w:sz w:val="20"/>
                <w:szCs w:val="22"/>
              </w:rPr>
            </w:pPr>
            <w:r w:rsidRPr="0016346A">
              <w:rPr>
                <w:rFonts w:ascii="Arial Narrow" w:hAnsi="Arial Narrow"/>
                <w:sz w:val="20"/>
                <w:szCs w:val="22"/>
              </w:rPr>
              <w:t>(55.0%, 72.1%)</w:t>
            </w:r>
          </w:p>
        </w:tc>
        <w:tc>
          <w:tcPr>
            <w:tcW w:w="1103" w:type="pct"/>
            <w:tcBorders>
              <w:top w:val="single" w:sz="4" w:space="0" w:color="auto"/>
              <w:left w:val="single" w:sz="4" w:space="0" w:color="auto"/>
              <w:bottom w:val="single" w:sz="4" w:space="0" w:color="auto"/>
              <w:right w:val="single" w:sz="4" w:space="0" w:color="auto"/>
            </w:tcBorders>
          </w:tcPr>
          <w:p w14:paraId="4B1B6998" w14:textId="77777777" w:rsidR="00E50A74" w:rsidRPr="00517D06" w:rsidRDefault="00E50A74" w:rsidP="00530866">
            <w:pPr>
              <w:keepNext/>
              <w:keepLines/>
              <w:jc w:val="center"/>
              <w:rPr>
                <w:rFonts w:ascii="Arial Narrow" w:eastAsiaTheme="majorEastAsia" w:hAnsi="Arial Narrow" w:cstheme="majorBidi"/>
                <w:b/>
                <w:sz w:val="20"/>
                <w:szCs w:val="22"/>
              </w:rPr>
            </w:pPr>
            <w:r w:rsidRPr="0016346A">
              <w:rPr>
                <w:rFonts w:ascii="Arial Narrow" w:hAnsi="Arial Narrow"/>
                <w:sz w:val="20"/>
                <w:szCs w:val="22"/>
              </w:rPr>
              <w:t>(30.3%, 42.3%)</w:t>
            </w:r>
          </w:p>
        </w:tc>
      </w:tr>
      <w:tr w:rsidR="00E50A74" w:rsidRPr="00517D06" w14:paraId="4FBFBC53" w14:textId="77777777" w:rsidTr="00B82613">
        <w:tc>
          <w:tcPr>
            <w:tcW w:w="2794" w:type="pct"/>
            <w:tcBorders>
              <w:top w:val="single" w:sz="4" w:space="0" w:color="auto"/>
              <w:left w:val="single" w:sz="4" w:space="0" w:color="auto"/>
              <w:bottom w:val="single" w:sz="4" w:space="0" w:color="auto"/>
              <w:right w:val="single" w:sz="4" w:space="0" w:color="auto"/>
            </w:tcBorders>
          </w:tcPr>
          <w:p w14:paraId="4E698E2E" w14:textId="77777777" w:rsidR="00E50A74" w:rsidRPr="003212D6" w:rsidRDefault="00E50A74" w:rsidP="00530866">
            <w:pPr>
              <w:keepNext/>
              <w:keepLines/>
              <w:jc w:val="left"/>
              <w:rPr>
                <w:rFonts w:ascii="Arial Narrow" w:hAnsi="Arial Narrow" w:cs="Calibri"/>
                <w:sz w:val="20"/>
                <w:szCs w:val="22"/>
              </w:rPr>
            </w:pPr>
            <w:r w:rsidRPr="0016346A">
              <w:rPr>
                <w:rFonts w:ascii="Arial Narrow" w:hAnsi="Arial Narrow"/>
                <w:sz w:val="20"/>
                <w:szCs w:val="22"/>
              </w:rPr>
              <w:t>Odds ratio (95% CI), p-</w:t>
            </w:r>
            <w:proofErr w:type="spellStart"/>
            <w:r w:rsidRPr="0016346A">
              <w:rPr>
                <w:rFonts w:ascii="Arial Narrow" w:hAnsi="Arial Narrow"/>
                <w:sz w:val="20"/>
                <w:szCs w:val="22"/>
              </w:rPr>
              <w:t>value</w:t>
            </w:r>
            <w:r w:rsidRPr="0016346A">
              <w:rPr>
                <w:rFonts w:ascii="Arial Narrow" w:hAnsi="Arial Narrow"/>
                <w:sz w:val="20"/>
                <w:szCs w:val="22"/>
                <w:vertAlign w:val="superscript"/>
              </w:rPr>
              <w:t>a,b</w:t>
            </w:r>
            <w:proofErr w:type="spellEnd"/>
          </w:p>
        </w:tc>
        <w:tc>
          <w:tcPr>
            <w:tcW w:w="2206" w:type="pct"/>
            <w:gridSpan w:val="2"/>
            <w:tcBorders>
              <w:top w:val="single" w:sz="4" w:space="0" w:color="auto"/>
              <w:left w:val="single" w:sz="4" w:space="0" w:color="auto"/>
              <w:bottom w:val="single" w:sz="4" w:space="0" w:color="auto"/>
              <w:right w:val="single" w:sz="4" w:space="0" w:color="auto"/>
            </w:tcBorders>
          </w:tcPr>
          <w:p w14:paraId="42805167" w14:textId="77777777" w:rsidR="00E50A74" w:rsidRPr="00517D06" w:rsidRDefault="00E50A74" w:rsidP="00530866">
            <w:pPr>
              <w:keepNext/>
              <w:keepLines/>
              <w:jc w:val="center"/>
              <w:rPr>
                <w:rFonts w:ascii="Arial Narrow" w:eastAsiaTheme="majorEastAsia" w:hAnsi="Arial Narrow" w:cstheme="majorBidi"/>
                <w:b/>
                <w:sz w:val="20"/>
                <w:szCs w:val="22"/>
              </w:rPr>
            </w:pPr>
            <w:r w:rsidRPr="0016346A">
              <w:rPr>
                <w:rFonts w:ascii="Arial Narrow" w:hAnsi="Arial Narrow"/>
                <w:b/>
                <w:bCs/>
                <w:sz w:val="20"/>
                <w:szCs w:val="22"/>
              </w:rPr>
              <w:t>3.10 (2.00, 4.80); p&lt;0.0001</w:t>
            </w:r>
          </w:p>
        </w:tc>
      </w:tr>
      <w:tr w:rsidR="00E50A74" w:rsidRPr="00517D06" w14:paraId="1050CD79" w14:textId="77777777" w:rsidTr="00B82613">
        <w:tc>
          <w:tcPr>
            <w:tcW w:w="2794" w:type="pct"/>
            <w:tcBorders>
              <w:top w:val="single" w:sz="4" w:space="0" w:color="auto"/>
              <w:left w:val="single" w:sz="4" w:space="0" w:color="auto"/>
              <w:bottom w:val="single" w:sz="4" w:space="0" w:color="auto"/>
              <w:right w:val="single" w:sz="4" w:space="0" w:color="auto"/>
            </w:tcBorders>
          </w:tcPr>
          <w:p w14:paraId="09A8A92D" w14:textId="77777777" w:rsidR="00E50A74" w:rsidRPr="003212D6" w:rsidRDefault="00E50A74" w:rsidP="00530866">
            <w:pPr>
              <w:keepNext/>
              <w:keepLines/>
              <w:jc w:val="left"/>
              <w:rPr>
                <w:rFonts w:ascii="Arial Narrow" w:hAnsi="Arial Narrow" w:cs="Calibri"/>
                <w:sz w:val="20"/>
                <w:szCs w:val="22"/>
              </w:rPr>
            </w:pPr>
            <w:r w:rsidRPr="0016346A">
              <w:rPr>
                <w:rFonts w:ascii="Arial Narrow" w:hAnsi="Arial Narrow"/>
                <w:sz w:val="20"/>
                <w:szCs w:val="22"/>
              </w:rPr>
              <w:t>Best Overall Response</w:t>
            </w:r>
          </w:p>
        </w:tc>
        <w:tc>
          <w:tcPr>
            <w:tcW w:w="1103" w:type="pct"/>
            <w:tcBorders>
              <w:top w:val="single" w:sz="4" w:space="0" w:color="auto"/>
              <w:left w:val="single" w:sz="4" w:space="0" w:color="auto"/>
              <w:bottom w:val="single" w:sz="4" w:space="0" w:color="auto"/>
              <w:right w:val="single" w:sz="4" w:space="0" w:color="auto"/>
            </w:tcBorders>
          </w:tcPr>
          <w:p w14:paraId="266EE1D7" w14:textId="77777777" w:rsidR="00E50A74" w:rsidRPr="003212D6" w:rsidRDefault="00E50A74" w:rsidP="00530866">
            <w:pPr>
              <w:keepNext/>
              <w:keepLines/>
              <w:jc w:val="center"/>
              <w:rPr>
                <w:rFonts w:ascii="Arial Narrow" w:hAnsi="Arial Narrow" w:cs="Calibri"/>
                <w:b/>
                <w:bCs/>
                <w:sz w:val="20"/>
                <w:szCs w:val="22"/>
              </w:rPr>
            </w:pPr>
          </w:p>
        </w:tc>
        <w:tc>
          <w:tcPr>
            <w:tcW w:w="1103" w:type="pct"/>
            <w:tcBorders>
              <w:top w:val="single" w:sz="4" w:space="0" w:color="auto"/>
              <w:left w:val="single" w:sz="4" w:space="0" w:color="auto"/>
              <w:bottom w:val="single" w:sz="4" w:space="0" w:color="auto"/>
              <w:right w:val="single" w:sz="4" w:space="0" w:color="auto"/>
            </w:tcBorders>
          </w:tcPr>
          <w:p w14:paraId="06DABB51" w14:textId="77777777" w:rsidR="00E50A74" w:rsidRPr="00517D06" w:rsidRDefault="00E50A74" w:rsidP="00530866">
            <w:pPr>
              <w:keepNext/>
              <w:keepLines/>
              <w:jc w:val="center"/>
              <w:rPr>
                <w:rFonts w:ascii="Arial Narrow" w:eastAsiaTheme="majorEastAsia" w:hAnsi="Arial Narrow" w:cstheme="majorBidi"/>
                <w:b/>
                <w:sz w:val="20"/>
                <w:szCs w:val="22"/>
              </w:rPr>
            </w:pPr>
          </w:p>
        </w:tc>
      </w:tr>
      <w:tr w:rsidR="00E50A74" w:rsidRPr="00517D06" w14:paraId="67BAC9A1" w14:textId="77777777" w:rsidTr="00B82613">
        <w:tc>
          <w:tcPr>
            <w:tcW w:w="2794" w:type="pct"/>
            <w:tcBorders>
              <w:top w:val="single" w:sz="4" w:space="0" w:color="auto"/>
              <w:left w:val="single" w:sz="4" w:space="0" w:color="auto"/>
              <w:bottom w:val="single" w:sz="4" w:space="0" w:color="auto"/>
              <w:right w:val="single" w:sz="4" w:space="0" w:color="auto"/>
            </w:tcBorders>
          </w:tcPr>
          <w:p w14:paraId="06E75388" w14:textId="77777777" w:rsidR="00E50A74" w:rsidRPr="003212D6" w:rsidRDefault="00E50A74" w:rsidP="00530866">
            <w:pPr>
              <w:keepNext/>
              <w:keepLines/>
              <w:jc w:val="left"/>
              <w:rPr>
                <w:rFonts w:ascii="Arial Narrow" w:hAnsi="Arial Narrow" w:cs="Calibri"/>
                <w:sz w:val="20"/>
                <w:szCs w:val="22"/>
              </w:rPr>
            </w:pPr>
            <w:r w:rsidRPr="0016346A">
              <w:rPr>
                <w:rFonts w:ascii="Arial Narrow" w:hAnsi="Arial Narrow"/>
                <w:sz w:val="20"/>
                <w:szCs w:val="22"/>
              </w:rPr>
              <w:t>Complete Response (CR)</w:t>
            </w:r>
          </w:p>
        </w:tc>
        <w:tc>
          <w:tcPr>
            <w:tcW w:w="1103" w:type="pct"/>
            <w:tcBorders>
              <w:top w:val="single" w:sz="4" w:space="0" w:color="auto"/>
              <w:left w:val="single" w:sz="4" w:space="0" w:color="auto"/>
              <w:bottom w:val="single" w:sz="4" w:space="0" w:color="auto"/>
              <w:right w:val="single" w:sz="4" w:space="0" w:color="auto"/>
            </w:tcBorders>
          </w:tcPr>
          <w:p w14:paraId="737C4133" w14:textId="77777777" w:rsidR="00E50A74" w:rsidRPr="003212D6" w:rsidRDefault="00E50A74" w:rsidP="00530866">
            <w:pPr>
              <w:keepNext/>
              <w:keepLines/>
              <w:jc w:val="center"/>
              <w:rPr>
                <w:rFonts w:ascii="Arial Narrow" w:hAnsi="Arial Narrow" w:cs="Calibri"/>
                <w:b/>
                <w:bCs/>
                <w:sz w:val="20"/>
                <w:szCs w:val="22"/>
              </w:rPr>
            </w:pPr>
            <w:r w:rsidRPr="0016346A">
              <w:rPr>
                <w:rFonts w:ascii="Arial Narrow" w:hAnsi="Arial Narrow"/>
                <w:sz w:val="20"/>
                <w:szCs w:val="22"/>
              </w:rPr>
              <w:t>2 (1.5%)</w:t>
            </w:r>
          </w:p>
        </w:tc>
        <w:tc>
          <w:tcPr>
            <w:tcW w:w="1103" w:type="pct"/>
            <w:tcBorders>
              <w:top w:val="single" w:sz="4" w:space="0" w:color="auto"/>
              <w:left w:val="single" w:sz="4" w:space="0" w:color="auto"/>
              <w:bottom w:val="single" w:sz="4" w:space="0" w:color="auto"/>
              <w:right w:val="single" w:sz="4" w:space="0" w:color="auto"/>
            </w:tcBorders>
          </w:tcPr>
          <w:p w14:paraId="00DE3598" w14:textId="77777777" w:rsidR="00E50A74" w:rsidRPr="00517D06" w:rsidRDefault="00E50A74" w:rsidP="00530866">
            <w:pPr>
              <w:keepNext/>
              <w:keepLines/>
              <w:jc w:val="center"/>
              <w:rPr>
                <w:rFonts w:ascii="Arial Narrow" w:eastAsiaTheme="majorEastAsia" w:hAnsi="Arial Narrow" w:cstheme="majorBidi"/>
                <w:b/>
                <w:sz w:val="20"/>
                <w:szCs w:val="22"/>
              </w:rPr>
            </w:pPr>
            <w:r w:rsidRPr="0016346A">
              <w:rPr>
                <w:rFonts w:ascii="Arial Narrow" w:hAnsi="Arial Narrow"/>
                <w:sz w:val="20"/>
                <w:szCs w:val="22"/>
              </w:rPr>
              <w:t>1 (0.4%)</w:t>
            </w:r>
          </w:p>
        </w:tc>
      </w:tr>
      <w:tr w:rsidR="00E50A74" w:rsidRPr="00517D06" w14:paraId="297DECED" w14:textId="77777777" w:rsidTr="00B82613">
        <w:tc>
          <w:tcPr>
            <w:tcW w:w="2794" w:type="pct"/>
            <w:tcBorders>
              <w:top w:val="single" w:sz="4" w:space="0" w:color="auto"/>
              <w:left w:val="single" w:sz="4" w:space="0" w:color="auto"/>
              <w:bottom w:val="single" w:sz="4" w:space="0" w:color="auto"/>
              <w:right w:val="single" w:sz="4" w:space="0" w:color="auto"/>
            </w:tcBorders>
          </w:tcPr>
          <w:p w14:paraId="03D61549" w14:textId="77777777" w:rsidR="00E50A74" w:rsidRPr="003212D6" w:rsidRDefault="00E50A74" w:rsidP="00530866">
            <w:pPr>
              <w:keepNext/>
              <w:keepLines/>
              <w:jc w:val="left"/>
              <w:rPr>
                <w:rFonts w:ascii="Arial Narrow" w:hAnsi="Arial Narrow" w:cs="Calibri"/>
                <w:sz w:val="20"/>
                <w:szCs w:val="22"/>
              </w:rPr>
            </w:pPr>
            <w:r w:rsidRPr="0016346A">
              <w:rPr>
                <w:rFonts w:ascii="Arial Narrow" w:hAnsi="Arial Narrow"/>
                <w:sz w:val="20"/>
                <w:szCs w:val="22"/>
              </w:rPr>
              <w:t>Partial Response (PR)</w:t>
            </w:r>
          </w:p>
        </w:tc>
        <w:tc>
          <w:tcPr>
            <w:tcW w:w="1103" w:type="pct"/>
            <w:tcBorders>
              <w:top w:val="single" w:sz="4" w:space="0" w:color="auto"/>
              <w:left w:val="single" w:sz="4" w:space="0" w:color="auto"/>
              <w:bottom w:val="single" w:sz="4" w:space="0" w:color="auto"/>
              <w:right w:val="single" w:sz="4" w:space="0" w:color="auto"/>
            </w:tcBorders>
          </w:tcPr>
          <w:p w14:paraId="46FB50C2" w14:textId="77777777" w:rsidR="00E50A74" w:rsidRPr="003212D6" w:rsidRDefault="00E50A74" w:rsidP="00530866">
            <w:pPr>
              <w:keepNext/>
              <w:keepLines/>
              <w:jc w:val="center"/>
              <w:rPr>
                <w:rFonts w:ascii="Arial Narrow" w:hAnsi="Arial Narrow" w:cs="Calibri"/>
                <w:b/>
                <w:bCs/>
                <w:sz w:val="20"/>
                <w:szCs w:val="22"/>
              </w:rPr>
            </w:pPr>
            <w:r w:rsidRPr="0016346A">
              <w:rPr>
                <w:rFonts w:ascii="Arial Narrow" w:hAnsi="Arial Narrow"/>
                <w:sz w:val="20"/>
                <w:szCs w:val="22"/>
              </w:rPr>
              <w:t>81 (62.3%)</w:t>
            </w:r>
          </w:p>
        </w:tc>
        <w:tc>
          <w:tcPr>
            <w:tcW w:w="1103" w:type="pct"/>
            <w:tcBorders>
              <w:top w:val="single" w:sz="4" w:space="0" w:color="auto"/>
              <w:left w:val="single" w:sz="4" w:space="0" w:color="auto"/>
              <w:bottom w:val="single" w:sz="4" w:space="0" w:color="auto"/>
              <w:right w:val="single" w:sz="4" w:space="0" w:color="auto"/>
            </w:tcBorders>
          </w:tcPr>
          <w:p w14:paraId="32560801" w14:textId="77777777" w:rsidR="00E50A74" w:rsidRPr="00517D06" w:rsidRDefault="00E50A74" w:rsidP="00530866">
            <w:pPr>
              <w:keepNext/>
              <w:keepLines/>
              <w:jc w:val="center"/>
              <w:rPr>
                <w:rFonts w:ascii="Arial Narrow" w:eastAsiaTheme="majorEastAsia" w:hAnsi="Arial Narrow" w:cstheme="majorBidi"/>
                <w:b/>
                <w:sz w:val="20"/>
                <w:szCs w:val="22"/>
              </w:rPr>
            </w:pPr>
            <w:r w:rsidRPr="0016346A">
              <w:rPr>
                <w:rFonts w:ascii="Arial Narrow" w:hAnsi="Arial Narrow"/>
                <w:sz w:val="20"/>
                <w:szCs w:val="22"/>
              </w:rPr>
              <w:t>93 (35.8%)</w:t>
            </w:r>
          </w:p>
        </w:tc>
      </w:tr>
      <w:tr w:rsidR="00E50A74" w:rsidRPr="00517D06" w14:paraId="4AA0CD66" w14:textId="77777777" w:rsidTr="00B82613">
        <w:tc>
          <w:tcPr>
            <w:tcW w:w="2794" w:type="pct"/>
            <w:tcBorders>
              <w:top w:val="single" w:sz="4" w:space="0" w:color="auto"/>
              <w:left w:val="single" w:sz="4" w:space="0" w:color="auto"/>
              <w:bottom w:val="single" w:sz="4" w:space="0" w:color="auto"/>
              <w:right w:val="single" w:sz="4" w:space="0" w:color="auto"/>
            </w:tcBorders>
          </w:tcPr>
          <w:p w14:paraId="5EF6FC6A" w14:textId="77777777" w:rsidR="00E50A74" w:rsidRPr="003212D6" w:rsidRDefault="00E50A74" w:rsidP="00530866">
            <w:pPr>
              <w:keepNext/>
              <w:keepLines/>
              <w:jc w:val="left"/>
              <w:rPr>
                <w:rFonts w:ascii="Arial Narrow" w:hAnsi="Arial Narrow" w:cs="Calibri"/>
                <w:sz w:val="20"/>
                <w:szCs w:val="22"/>
              </w:rPr>
            </w:pPr>
            <w:r w:rsidRPr="0016346A">
              <w:rPr>
                <w:rFonts w:ascii="Arial Narrow" w:hAnsi="Arial Narrow"/>
                <w:sz w:val="20"/>
                <w:szCs w:val="22"/>
              </w:rPr>
              <w:t>Stable Disease (SD)</w:t>
            </w:r>
          </w:p>
        </w:tc>
        <w:tc>
          <w:tcPr>
            <w:tcW w:w="1103" w:type="pct"/>
            <w:tcBorders>
              <w:top w:val="single" w:sz="4" w:space="0" w:color="auto"/>
              <w:left w:val="single" w:sz="4" w:space="0" w:color="auto"/>
              <w:bottom w:val="single" w:sz="4" w:space="0" w:color="auto"/>
              <w:right w:val="single" w:sz="4" w:space="0" w:color="auto"/>
            </w:tcBorders>
          </w:tcPr>
          <w:p w14:paraId="443E50D0" w14:textId="77777777" w:rsidR="00E50A74" w:rsidRPr="003212D6" w:rsidRDefault="00E50A74" w:rsidP="00530866">
            <w:pPr>
              <w:keepNext/>
              <w:keepLines/>
              <w:jc w:val="center"/>
              <w:rPr>
                <w:rFonts w:ascii="Arial Narrow" w:hAnsi="Arial Narrow" w:cs="Calibri"/>
                <w:b/>
                <w:bCs/>
                <w:sz w:val="20"/>
                <w:szCs w:val="22"/>
              </w:rPr>
            </w:pPr>
            <w:r w:rsidRPr="0016346A">
              <w:rPr>
                <w:rFonts w:ascii="Arial Narrow" w:hAnsi="Arial Narrow"/>
                <w:sz w:val="20"/>
                <w:szCs w:val="22"/>
              </w:rPr>
              <w:t>30 (23.1%)</w:t>
            </w:r>
          </w:p>
        </w:tc>
        <w:tc>
          <w:tcPr>
            <w:tcW w:w="1103" w:type="pct"/>
            <w:tcBorders>
              <w:top w:val="single" w:sz="4" w:space="0" w:color="auto"/>
              <w:left w:val="single" w:sz="4" w:space="0" w:color="auto"/>
              <w:bottom w:val="single" w:sz="4" w:space="0" w:color="auto"/>
              <w:right w:val="single" w:sz="4" w:space="0" w:color="auto"/>
            </w:tcBorders>
          </w:tcPr>
          <w:p w14:paraId="25AF2164" w14:textId="77777777" w:rsidR="00E50A74" w:rsidRPr="00517D06" w:rsidRDefault="00E50A74" w:rsidP="00530866">
            <w:pPr>
              <w:keepNext/>
              <w:keepLines/>
              <w:jc w:val="center"/>
              <w:rPr>
                <w:rFonts w:ascii="Arial Narrow" w:eastAsiaTheme="majorEastAsia" w:hAnsi="Arial Narrow" w:cstheme="majorBidi"/>
                <w:b/>
                <w:sz w:val="20"/>
                <w:szCs w:val="22"/>
              </w:rPr>
            </w:pPr>
            <w:r w:rsidRPr="0016346A">
              <w:rPr>
                <w:rFonts w:ascii="Arial Narrow" w:hAnsi="Arial Narrow"/>
                <w:sz w:val="20"/>
                <w:szCs w:val="22"/>
              </w:rPr>
              <w:t>82 (31.5%)</w:t>
            </w:r>
          </w:p>
        </w:tc>
      </w:tr>
      <w:tr w:rsidR="00E50A74" w:rsidRPr="00517D06" w14:paraId="47163A64" w14:textId="77777777" w:rsidTr="00B82613">
        <w:tc>
          <w:tcPr>
            <w:tcW w:w="2794" w:type="pct"/>
            <w:tcBorders>
              <w:top w:val="single" w:sz="4" w:space="0" w:color="auto"/>
              <w:left w:val="single" w:sz="4" w:space="0" w:color="auto"/>
              <w:bottom w:val="single" w:sz="4" w:space="0" w:color="auto"/>
              <w:right w:val="single" w:sz="4" w:space="0" w:color="auto"/>
            </w:tcBorders>
          </w:tcPr>
          <w:p w14:paraId="15F49441" w14:textId="77777777" w:rsidR="00E50A74" w:rsidRPr="003212D6" w:rsidRDefault="00E50A74" w:rsidP="00530866">
            <w:pPr>
              <w:keepNext/>
              <w:keepLines/>
              <w:jc w:val="left"/>
              <w:rPr>
                <w:rFonts w:ascii="Arial Narrow" w:hAnsi="Arial Narrow" w:cs="Calibri"/>
                <w:sz w:val="20"/>
                <w:szCs w:val="22"/>
              </w:rPr>
            </w:pPr>
            <w:r w:rsidRPr="0016346A">
              <w:rPr>
                <w:rFonts w:ascii="Arial Narrow" w:hAnsi="Arial Narrow"/>
                <w:sz w:val="20"/>
                <w:szCs w:val="22"/>
              </w:rPr>
              <w:t>Progressive Disease (PD)</w:t>
            </w:r>
          </w:p>
        </w:tc>
        <w:tc>
          <w:tcPr>
            <w:tcW w:w="1103" w:type="pct"/>
            <w:tcBorders>
              <w:top w:val="single" w:sz="4" w:space="0" w:color="auto"/>
              <w:left w:val="single" w:sz="4" w:space="0" w:color="auto"/>
              <w:bottom w:val="single" w:sz="4" w:space="0" w:color="auto"/>
              <w:right w:val="single" w:sz="4" w:space="0" w:color="auto"/>
            </w:tcBorders>
          </w:tcPr>
          <w:p w14:paraId="62E83F0D" w14:textId="77777777" w:rsidR="00E50A74" w:rsidRPr="003212D6" w:rsidRDefault="00E50A74" w:rsidP="00530866">
            <w:pPr>
              <w:keepNext/>
              <w:keepLines/>
              <w:jc w:val="center"/>
              <w:rPr>
                <w:rFonts w:ascii="Arial Narrow" w:hAnsi="Arial Narrow" w:cs="Calibri"/>
                <w:b/>
                <w:bCs/>
                <w:sz w:val="20"/>
                <w:szCs w:val="22"/>
              </w:rPr>
            </w:pPr>
            <w:r w:rsidRPr="0016346A">
              <w:rPr>
                <w:rFonts w:ascii="Arial Narrow" w:hAnsi="Arial Narrow"/>
                <w:sz w:val="20"/>
                <w:szCs w:val="22"/>
              </w:rPr>
              <w:t>10 (7.7%)</w:t>
            </w:r>
          </w:p>
        </w:tc>
        <w:tc>
          <w:tcPr>
            <w:tcW w:w="1103" w:type="pct"/>
            <w:tcBorders>
              <w:top w:val="single" w:sz="4" w:space="0" w:color="auto"/>
              <w:left w:val="single" w:sz="4" w:space="0" w:color="auto"/>
              <w:bottom w:val="single" w:sz="4" w:space="0" w:color="auto"/>
              <w:right w:val="single" w:sz="4" w:space="0" w:color="auto"/>
            </w:tcBorders>
          </w:tcPr>
          <w:p w14:paraId="02C7D3D5" w14:textId="77777777" w:rsidR="00E50A74" w:rsidRPr="00517D06" w:rsidRDefault="00E50A74" w:rsidP="00530866">
            <w:pPr>
              <w:keepNext/>
              <w:keepLines/>
              <w:jc w:val="center"/>
              <w:rPr>
                <w:rFonts w:ascii="Arial Narrow" w:eastAsiaTheme="majorEastAsia" w:hAnsi="Arial Narrow" w:cstheme="majorBidi"/>
                <w:b/>
                <w:sz w:val="20"/>
                <w:szCs w:val="22"/>
              </w:rPr>
            </w:pPr>
            <w:r w:rsidRPr="0016346A">
              <w:rPr>
                <w:rFonts w:ascii="Arial Narrow" w:hAnsi="Arial Narrow"/>
                <w:sz w:val="20"/>
                <w:szCs w:val="22"/>
              </w:rPr>
              <w:t>52 (20.0%)</w:t>
            </w:r>
          </w:p>
        </w:tc>
      </w:tr>
      <w:tr w:rsidR="00E50A74" w:rsidRPr="00517D06" w14:paraId="18CEB879" w14:textId="77777777" w:rsidTr="00B82613">
        <w:tc>
          <w:tcPr>
            <w:tcW w:w="2794" w:type="pct"/>
            <w:tcBorders>
              <w:top w:val="single" w:sz="4" w:space="0" w:color="auto"/>
              <w:left w:val="single" w:sz="4" w:space="0" w:color="auto"/>
              <w:bottom w:val="single" w:sz="4" w:space="0" w:color="auto"/>
              <w:right w:val="single" w:sz="4" w:space="0" w:color="auto"/>
            </w:tcBorders>
          </w:tcPr>
          <w:p w14:paraId="3ACAE805" w14:textId="77777777" w:rsidR="00E50A74" w:rsidRPr="0016346A" w:rsidRDefault="00E50A74" w:rsidP="00530866">
            <w:pPr>
              <w:keepNext/>
              <w:keepLines/>
              <w:jc w:val="left"/>
              <w:rPr>
                <w:rFonts w:ascii="Arial Narrow" w:hAnsi="Arial Narrow"/>
                <w:sz w:val="20"/>
                <w:szCs w:val="22"/>
              </w:rPr>
            </w:pPr>
            <w:r w:rsidRPr="0016346A">
              <w:rPr>
                <w:rFonts w:ascii="Arial Narrow" w:hAnsi="Arial Narrow"/>
                <w:sz w:val="20"/>
                <w:szCs w:val="22"/>
              </w:rPr>
              <w:t>Not Evaluable (NE)</w:t>
            </w:r>
          </w:p>
        </w:tc>
        <w:tc>
          <w:tcPr>
            <w:tcW w:w="1103" w:type="pct"/>
            <w:tcBorders>
              <w:top w:val="single" w:sz="4" w:space="0" w:color="auto"/>
              <w:left w:val="single" w:sz="4" w:space="0" w:color="auto"/>
              <w:bottom w:val="single" w:sz="4" w:space="0" w:color="auto"/>
              <w:right w:val="single" w:sz="4" w:space="0" w:color="auto"/>
            </w:tcBorders>
          </w:tcPr>
          <w:p w14:paraId="1533E28F" w14:textId="77777777" w:rsidR="00E50A74" w:rsidRPr="0016346A" w:rsidRDefault="00E50A74" w:rsidP="00530866">
            <w:pPr>
              <w:keepNext/>
              <w:keepLines/>
              <w:jc w:val="center"/>
              <w:rPr>
                <w:rFonts w:ascii="Arial Narrow" w:hAnsi="Arial Narrow"/>
                <w:sz w:val="20"/>
                <w:szCs w:val="22"/>
              </w:rPr>
            </w:pPr>
            <w:r w:rsidRPr="0016346A">
              <w:rPr>
                <w:rFonts w:ascii="Arial Narrow" w:hAnsi="Arial Narrow"/>
                <w:sz w:val="20"/>
                <w:szCs w:val="22"/>
              </w:rPr>
              <w:t>7 (5.4%)</w:t>
            </w:r>
          </w:p>
        </w:tc>
        <w:tc>
          <w:tcPr>
            <w:tcW w:w="1103" w:type="pct"/>
            <w:tcBorders>
              <w:top w:val="single" w:sz="4" w:space="0" w:color="auto"/>
              <w:left w:val="single" w:sz="4" w:space="0" w:color="auto"/>
              <w:bottom w:val="single" w:sz="4" w:space="0" w:color="auto"/>
              <w:right w:val="single" w:sz="4" w:space="0" w:color="auto"/>
            </w:tcBorders>
          </w:tcPr>
          <w:p w14:paraId="02873A28" w14:textId="77777777" w:rsidR="00E50A74" w:rsidRPr="0016346A" w:rsidRDefault="00E50A74" w:rsidP="00530866">
            <w:pPr>
              <w:keepNext/>
              <w:keepLines/>
              <w:jc w:val="center"/>
              <w:rPr>
                <w:rFonts w:ascii="Arial Narrow" w:hAnsi="Arial Narrow"/>
                <w:sz w:val="20"/>
                <w:szCs w:val="22"/>
              </w:rPr>
            </w:pPr>
            <w:r w:rsidRPr="0016346A">
              <w:rPr>
                <w:rFonts w:ascii="Arial Narrow" w:hAnsi="Arial Narrow"/>
                <w:sz w:val="20"/>
                <w:szCs w:val="22"/>
              </w:rPr>
              <w:t>32 (12.3%)</w:t>
            </w:r>
          </w:p>
        </w:tc>
      </w:tr>
      <w:tr w:rsidR="00E50A74" w:rsidRPr="00517D06" w14:paraId="68045048" w14:textId="77777777" w:rsidTr="00B82613">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87A651" w14:textId="77777777" w:rsidR="00E50A74" w:rsidRPr="00E47BDE" w:rsidRDefault="00E50A74" w:rsidP="00530866">
            <w:pPr>
              <w:pStyle w:val="TableText0"/>
              <w:rPr>
                <w:b/>
                <w:bCs w:val="0"/>
                <w:sz w:val="20"/>
                <w:szCs w:val="22"/>
              </w:rPr>
            </w:pPr>
            <w:r w:rsidRPr="00315E17">
              <w:rPr>
                <w:b/>
                <w:bCs w:val="0"/>
                <w:sz w:val="20"/>
                <w:szCs w:val="22"/>
              </w:rPr>
              <w:t>Intracranial PFS</w:t>
            </w:r>
            <w:r>
              <w:rPr>
                <w:b/>
                <w:sz w:val="20"/>
                <w:szCs w:val="22"/>
              </w:rPr>
              <w:t>– interim analysis 2</w:t>
            </w:r>
          </w:p>
        </w:tc>
      </w:tr>
      <w:tr w:rsidR="00E50A74" w:rsidRPr="00517D06" w14:paraId="6CB67AEF" w14:textId="77777777" w:rsidTr="00B82613">
        <w:tc>
          <w:tcPr>
            <w:tcW w:w="2794" w:type="pct"/>
            <w:tcBorders>
              <w:top w:val="single" w:sz="4" w:space="0" w:color="auto"/>
              <w:left w:val="single" w:sz="4" w:space="0" w:color="auto"/>
              <w:bottom w:val="single" w:sz="4" w:space="0" w:color="auto"/>
              <w:right w:val="single" w:sz="4" w:space="0" w:color="auto"/>
            </w:tcBorders>
          </w:tcPr>
          <w:p w14:paraId="0888D8B7" w14:textId="77777777" w:rsidR="00E50A74" w:rsidRPr="0016346A" w:rsidRDefault="00E50A74" w:rsidP="00530866">
            <w:pPr>
              <w:keepNext/>
              <w:keepLines/>
              <w:jc w:val="left"/>
              <w:rPr>
                <w:rFonts w:ascii="Arial Narrow" w:hAnsi="Arial Narrow"/>
                <w:sz w:val="20"/>
                <w:szCs w:val="22"/>
              </w:rPr>
            </w:pPr>
            <w:r w:rsidRPr="00E627C2">
              <w:rPr>
                <w:rFonts w:ascii="Arial Narrow" w:hAnsi="Arial Narrow" w:cs="Calibri"/>
                <w:sz w:val="20"/>
                <w:szCs w:val="22"/>
              </w:rPr>
              <w:t>Number of events (%)</w:t>
            </w:r>
          </w:p>
        </w:tc>
        <w:tc>
          <w:tcPr>
            <w:tcW w:w="1103" w:type="pct"/>
            <w:tcBorders>
              <w:top w:val="single" w:sz="4" w:space="0" w:color="auto"/>
              <w:left w:val="single" w:sz="4" w:space="0" w:color="auto"/>
              <w:bottom w:val="single" w:sz="4" w:space="0" w:color="auto"/>
              <w:right w:val="single" w:sz="4" w:space="0" w:color="auto"/>
            </w:tcBorders>
          </w:tcPr>
          <w:p w14:paraId="04EE8FF1" w14:textId="77777777" w:rsidR="00E50A74" w:rsidRPr="0016346A" w:rsidRDefault="00E50A74" w:rsidP="00530866">
            <w:pPr>
              <w:keepNext/>
              <w:keepLines/>
              <w:jc w:val="center"/>
              <w:rPr>
                <w:rFonts w:ascii="Arial Narrow" w:hAnsi="Arial Narrow"/>
                <w:sz w:val="20"/>
                <w:szCs w:val="22"/>
              </w:rPr>
            </w:pPr>
            <w:r w:rsidRPr="00E627C2">
              <w:rPr>
                <w:rFonts w:ascii="Arial Narrow" w:hAnsi="Arial Narrow" w:cs="Calibri"/>
                <w:sz w:val="20"/>
                <w:szCs w:val="22"/>
              </w:rPr>
              <w:t>86 (65.6%)</w:t>
            </w:r>
          </w:p>
        </w:tc>
        <w:tc>
          <w:tcPr>
            <w:tcW w:w="1103" w:type="pct"/>
            <w:tcBorders>
              <w:top w:val="single" w:sz="4" w:space="0" w:color="auto"/>
              <w:left w:val="single" w:sz="4" w:space="0" w:color="auto"/>
              <w:bottom w:val="single" w:sz="4" w:space="0" w:color="auto"/>
              <w:right w:val="single" w:sz="4" w:space="0" w:color="auto"/>
            </w:tcBorders>
          </w:tcPr>
          <w:p w14:paraId="4F14D183" w14:textId="77777777" w:rsidR="00E50A74" w:rsidRPr="0016346A" w:rsidRDefault="00E50A74" w:rsidP="00530866">
            <w:pPr>
              <w:keepNext/>
              <w:keepLines/>
              <w:jc w:val="center"/>
              <w:rPr>
                <w:rFonts w:ascii="Arial Narrow" w:hAnsi="Arial Narrow"/>
                <w:sz w:val="20"/>
                <w:szCs w:val="22"/>
              </w:rPr>
            </w:pPr>
            <w:r w:rsidRPr="00E627C2">
              <w:rPr>
                <w:rFonts w:ascii="Arial Narrow" w:hAnsi="Arial Narrow" w:cs="Calibri"/>
                <w:sz w:val="20"/>
                <w:szCs w:val="22"/>
              </w:rPr>
              <w:t>174 (66.2%)</w:t>
            </w:r>
          </w:p>
        </w:tc>
      </w:tr>
      <w:tr w:rsidR="00E50A74" w:rsidRPr="00517D06" w14:paraId="2D7A0889" w14:textId="77777777" w:rsidTr="00B82613">
        <w:tc>
          <w:tcPr>
            <w:tcW w:w="2794" w:type="pct"/>
            <w:tcBorders>
              <w:top w:val="single" w:sz="4" w:space="0" w:color="auto"/>
              <w:left w:val="single" w:sz="4" w:space="0" w:color="auto"/>
              <w:bottom w:val="single" w:sz="4" w:space="0" w:color="auto"/>
              <w:right w:val="single" w:sz="4" w:space="0" w:color="auto"/>
            </w:tcBorders>
          </w:tcPr>
          <w:p w14:paraId="2F9715B1" w14:textId="77777777" w:rsidR="00E50A74" w:rsidRPr="0016346A" w:rsidRDefault="00E50A74" w:rsidP="00530866">
            <w:pPr>
              <w:keepNext/>
              <w:keepLines/>
              <w:jc w:val="left"/>
              <w:rPr>
                <w:rFonts w:ascii="Arial Narrow" w:hAnsi="Arial Narrow"/>
                <w:sz w:val="20"/>
                <w:szCs w:val="22"/>
              </w:rPr>
            </w:pPr>
            <w:r w:rsidRPr="00E627C2">
              <w:rPr>
                <w:rFonts w:ascii="Arial Narrow" w:hAnsi="Arial Narrow" w:cs="Calibri"/>
                <w:sz w:val="20"/>
                <w:szCs w:val="22"/>
              </w:rPr>
              <w:t>Censored</w:t>
            </w:r>
          </w:p>
        </w:tc>
        <w:tc>
          <w:tcPr>
            <w:tcW w:w="1103" w:type="pct"/>
            <w:tcBorders>
              <w:top w:val="single" w:sz="4" w:space="0" w:color="auto"/>
              <w:left w:val="single" w:sz="4" w:space="0" w:color="auto"/>
              <w:bottom w:val="single" w:sz="4" w:space="0" w:color="auto"/>
              <w:right w:val="single" w:sz="4" w:space="0" w:color="auto"/>
            </w:tcBorders>
          </w:tcPr>
          <w:p w14:paraId="5227EC4F" w14:textId="77777777" w:rsidR="00E50A74" w:rsidRPr="0016346A" w:rsidRDefault="00E50A74" w:rsidP="00530866">
            <w:pPr>
              <w:keepNext/>
              <w:keepLines/>
              <w:jc w:val="center"/>
              <w:rPr>
                <w:rFonts w:ascii="Arial Narrow" w:hAnsi="Arial Narrow"/>
                <w:sz w:val="20"/>
                <w:szCs w:val="22"/>
              </w:rPr>
            </w:pPr>
            <w:r w:rsidRPr="00E627C2">
              <w:rPr>
                <w:rFonts w:ascii="Arial Narrow" w:hAnsi="Arial Narrow" w:cs="Calibri"/>
                <w:sz w:val="20"/>
                <w:szCs w:val="22"/>
              </w:rPr>
              <w:t>45 (34.4%)</w:t>
            </w:r>
          </w:p>
        </w:tc>
        <w:tc>
          <w:tcPr>
            <w:tcW w:w="1103" w:type="pct"/>
            <w:tcBorders>
              <w:top w:val="single" w:sz="4" w:space="0" w:color="auto"/>
              <w:left w:val="single" w:sz="4" w:space="0" w:color="auto"/>
              <w:bottom w:val="single" w:sz="4" w:space="0" w:color="auto"/>
              <w:right w:val="single" w:sz="4" w:space="0" w:color="auto"/>
            </w:tcBorders>
          </w:tcPr>
          <w:p w14:paraId="60A177B3" w14:textId="77777777" w:rsidR="00E50A74" w:rsidRPr="0016346A" w:rsidRDefault="00E50A74" w:rsidP="00530866">
            <w:pPr>
              <w:keepNext/>
              <w:keepLines/>
              <w:jc w:val="center"/>
              <w:rPr>
                <w:rFonts w:ascii="Arial Narrow" w:hAnsi="Arial Narrow"/>
                <w:sz w:val="20"/>
                <w:szCs w:val="22"/>
              </w:rPr>
            </w:pPr>
            <w:r w:rsidRPr="00E627C2">
              <w:rPr>
                <w:rFonts w:ascii="Arial Narrow" w:hAnsi="Arial Narrow" w:cs="Calibri"/>
                <w:sz w:val="20"/>
                <w:szCs w:val="22"/>
              </w:rPr>
              <w:t>89 (33.8%)</w:t>
            </w:r>
          </w:p>
        </w:tc>
      </w:tr>
      <w:tr w:rsidR="00E50A74" w:rsidRPr="00517D06" w14:paraId="51D3B9D2" w14:textId="77777777" w:rsidTr="00B82613">
        <w:tc>
          <w:tcPr>
            <w:tcW w:w="2794" w:type="pct"/>
            <w:tcBorders>
              <w:top w:val="single" w:sz="4" w:space="0" w:color="auto"/>
              <w:left w:val="single" w:sz="4" w:space="0" w:color="auto"/>
              <w:bottom w:val="single" w:sz="4" w:space="0" w:color="auto"/>
              <w:right w:val="single" w:sz="4" w:space="0" w:color="auto"/>
            </w:tcBorders>
          </w:tcPr>
          <w:p w14:paraId="3DA648EF" w14:textId="77777777" w:rsidR="00E50A74" w:rsidRPr="0016346A" w:rsidRDefault="00E50A74" w:rsidP="00530866">
            <w:pPr>
              <w:keepNext/>
              <w:keepLines/>
              <w:jc w:val="left"/>
              <w:rPr>
                <w:rFonts w:ascii="Arial Narrow" w:hAnsi="Arial Narrow"/>
                <w:sz w:val="20"/>
                <w:szCs w:val="22"/>
              </w:rPr>
            </w:pPr>
            <w:r w:rsidRPr="00E627C2">
              <w:rPr>
                <w:rFonts w:ascii="Arial Narrow" w:hAnsi="Arial Narrow" w:cs="Calibri"/>
                <w:sz w:val="20"/>
                <w:szCs w:val="22"/>
              </w:rPr>
              <w:t>Time to event (months)</w:t>
            </w:r>
          </w:p>
        </w:tc>
        <w:tc>
          <w:tcPr>
            <w:tcW w:w="1103" w:type="pct"/>
            <w:tcBorders>
              <w:top w:val="single" w:sz="4" w:space="0" w:color="auto"/>
              <w:left w:val="single" w:sz="4" w:space="0" w:color="auto"/>
              <w:bottom w:val="single" w:sz="4" w:space="0" w:color="auto"/>
              <w:right w:val="single" w:sz="4" w:space="0" w:color="auto"/>
            </w:tcBorders>
          </w:tcPr>
          <w:p w14:paraId="2F48D882" w14:textId="77777777" w:rsidR="00E50A74" w:rsidRPr="0016346A" w:rsidRDefault="00E50A74" w:rsidP="00530866">
            <w:pPr>
              <w:keepNext/>
              <w:keepLines/>
              <w:jc w:val="center"/>
              <w:rPr>
                <w:rFonts w:ascii="Arial Narrow" w:hAnsi="Arial Narrow"/>
                <w:sz w:val="20"/>
                <w:szCs w:val="22"/>
              </w:rPr>
            </w:pPr>
          </w:p>
        </w:tc>
        <w:tc>
          <w:tcPr>
            <w:tcW w:w="1103" w:type="pct"/>
            <w:tcBorders>
              <w:top w:val="single" w:sz="4" w:space="0" w:color="auto"/>
              <w:left w:val="single" w:sz="4" w:space="0" w:color="auto"/>
              <w:bottom w:val="single" w:sz="4" w:space="0" w:color="auto"/>
              <w:right w:val="single" w:sz="4" w:space="0" w:color="auto"/>
            </w:tcBorders>
          </w:tcPr>
          <w:p w14:paraId="18A6CB58" w14:textId="77777777" w:rsidR="00E50A74" w:rsidRPr="0016346A" w:rsidRDefault="00E50A74" w:rsidP="00530866">
            <w:pPr>
              <w:keepNext/>
              <w:keepLines/>
              <w:jc w:val="center"/>
              <w:rPr>
                <w:rFonts w:ascii="Arial Narrow" w:hAnsi="Arial Narrow"/>
                <w:sz w:val="20"/>
                <w:szCs w:val="22"/>
              </w:rPr>
            </w:pPr>
          </w:p>
        </w:tc>
      </w:tr>
      <w:tr w:rsidR="00E50A74" w:rsidRPr="00517D06" w14:paraId="5FBE46E5" w14:textId="77777777" w:rsidTr="00B82613">
        <w:tc>
          <w:tcPr>
            <w:tcW w:w="2794" w:type="pct"/>
            <w:tcBorders>
              <w:top w:val="single" w:sz="4" w:space="0" w:color="auto"/>
              <w:left w:val="single" w:sz="4" w:space="0" w:color="auto"/>
              <w:bottom w:val="single" w:sz="4" w:space="0" w:color="auto"/>
              <w:right w:val="single" w:sz="4" w:space="0" w:color="auto"/>
            </w:tcBorders>
          </w:tcPr>
          <w:p w14:paraId="428C98BD" w14:textId="77777777" w:rsidR="00E50A74" w:rsidRPr="0016346A" w:rsidRDefault="00E50A74" w:rsidP="00530866">
            <w:pPr>
              <w:keepNext/>
              <w:keepLines/>
              <w:jc w:val="left"/>
              <w:rPr>
                <w:rFonts w:ascii="Arial Narrow" w:hAnsi="Arial Narrow"/>
                <w:sz w:val="20"/>
                <w:szCs w:val="22"/>
              </w:rPr>
            </w:pPr>
            <w:r w:rsidRPr="00E627C2">
              <w:rPr>
                <w:rFonts w:ascii="Arial Narrow" w:hAnsi="Arial Narrow" w:cs="Calibri"/>
                <w:sz w:val="20"/>
                <w:szCs w:val="22"/>
              </w:rPr>
              <w:t>25th percentile (95% CI)</w:t>
            </w:r>
          </w:p>
        </w:tc>
        <w:tc>
          <w:tcPr>
            <w:tcW w:w="1103" w:type="pct"/>
            <w:tcBorders>
              <w:top w:val="single" w:sz="4" w:space="0" w:color="auto"/>
              <w:left w:val="single" w:sz="4" w:space="0" w:color="auto"/>
              <w:bottom w:val="single" w:sz="4" w:space="0" w:color="auto"/>
              <w:right w:val="single" w:sz="4" w:space="0" w:color="auto"/>
            </w:tcBorders>
          </w:tcPr>
          <w:p w14:paraId="26CC5045" w14:textId="77777777" w:rsidR="00E50A74" w:rsidRPr="0016346A" w:rsidRDefault="00E50A74" w:rsidP="00530866">
            <w:pPr>
              <w:keepNext/>
              <w:keepLines/>
              <w:jc w:val="center"/>
              <w:rPr>
                <w:rFonts w:ascii="Arial Narrow" w:hAnsi="Arial Narrow"/>
                <w:sz w:val="20"/>
                <w:szCs w:val="22"/>
              </w:rPr>
            </w:pPr>
            <w:r w:rsidRPr="00E627C2">
              <w:rPr>
                <w:rFonts w:ascii="Arial Narrow" w:hAnsi="Arial Narrow" w:cs="Calibri"/>
                <w:sz w:val="20"/>
                <w:szCs w:val="22"/>
              </w:rPr>
              <w:t>7.95 (5.78, 8.48)</w:t>
            </w:r>
          </w:p>
        </w:tc>
        <w:tc>
          <w:tcPr>
            <w:tcW w:w="1103" w:type="pct"/>
            <w:tcBorders>
              <w:top w:val="single" w:sz="4" w:space="0" w:color="auto"/>
              <w:left w:val="single" w:sz="4" w:space="0" w:color="auto"/>
              <w:bottom w:val="single" w:sz="4" w:space="0" w:color="auto"/>
              <w:right w:val="single" w:sz="4" w:space="0" w:color="auto"/>
            </w:tcBorders>
          </w:tcPr>
          <w:p w14:paraId="07303718" w14:textId="77777777" w:rsidR="00E50A74" w:rsidRPr="0016346A" w:rsidRDefault="00E50A74" w:rsidP="00530866">
            <w:pPr>
              <w:keepNext/>
              <w:keepLines/>
              <w:jc w:val="center"/>
              <w:rPr>
                <w:rFonts w:ascii="Arial Narrow" w:hAnsi="Arial Narrow"/>
                <w:sz w:val="20"/>
                <w:szCs w:val="22"/>
              </w:rPr>
            </w:pPr>
            <w:r w:rsidRPr="00E627C2">
              <w:rPr>
                <w:rFonts w:ascii="Arial Narrow" w:hAnsi="Arial Narrow" w:cs="Calibri"/>
                <w:sz w:val="20"/>
                <w:szCs w:val="22"/>
              </w:rPr>
              <w:t>4.93 (3.48, 5.75)</w:t>
            </w:r>
          </w:p>
        </w:tc>
      </w:tr>
      <w:tr w:rsidR="00E50A74" w:rsidRPr="00517D06" w14:paraId="6E0E2F0A" w14:textId="77777777" w:rsidTr="00B82613">
        <w:tc>
          <w:tcPr>
            <w:tcW w:w="2794" w:type="pct"/>
            <w:tcBorders>
              <w:top w:val="single" w:sz="4" w:space="0" w:color="auto"/>
              <w:left w:val="single" w:sz="4" w:space="0" w:color="auto"/>
              <w:bottom w:val="single" w:sz="4" w:space="0" w:color="auto"/>
              <w:right w:val="single" w:sz="4" w:space="0" w:color="auto"/>
            </w:tcBorders>
          </w:tcPr>
          <w:p w14:paraId="21B29B5B" w14:textId="77777777" w:rsidR="00E50A74" w:rsidRPr="0016346A" w:rsidRDefault="00E50A74" w:rsidP="00530866">
            <w:pPr>
              <w:keepNext/>
              <w:keepLines/>
              <w:jc w:val="left"/>
              <w:rPr>
                <w:rFonts w:ascii="Arial Narrow" w:hAnsi="Arial Narrow"/>
                <w:sz w:val="20"/>
                <w:szCs w:val="22"/>
              </w:rPr>
            </w:pPr>
            <w:r w:rsidRPr="00E627C2">
              <w:rPr>
                <w:rFonts w:ascii="Arial Narrow" w:hAnsi="Arial Narrow" w:cs="Calibri"/>
                <w:sz w:val="20"/>
                <w:szCs w:val="22"/>
              </w:rPr>
              <w:t>Median, months (95% CI)</w:t>
            </w:r>
          </w:p>
        </w:tc>
        <w:tc>
          <w:tcPr>
            <w:tcW w:w="1103" w:type="pct"/>
            <w:tcBorders>
              <w:top w:val="single" w:sz="4" w:space="0" w:color="auto"/>
              <w:left w:val="single" w:sz="4" w:space="0" w:color="auto"/>
              <w:bottom w:val="single" w:sz="4" w:space="0" w:color="auto"/>
              <w:right w:val="single" w:sz="4" w:space="0" w:color="auto"/>
            </w:tcBorders>
          </w:tcPr>
          <w:p w14:paraId="5BFEB591" w14:textId="77777777" w:rsidR="00E50A74" w:rsidRPr="0016346A" w:rsidRDefault="00E50A74" w:rsidP="00530866">
            <w:pPr>
              <w:keepNext/>
              <w:keepLines/>
              <w:jc w:val="center"/>
              <w:rPr>
                <w:rFonts w:ascii="Arial Narrow" w:hAnsi="Arial Narrow"/>
                <w:sz w:val="20"/>
                <w:szCs w:val="22"/>
              </w:rPr>
            </w:pPr>
            <w:r w:rsidRPr="00E627C2">
              <w:rPr>
                <w:rFonts w:ascii="Arial Narrow" w:hAnsi="Arial Narrow" w:cs="Calibri"/>
                <w:sz w:val="20"/>
                <w:szCs w:val="22"/>
              </w:rPr>
              <w:t>12.45 (10.58, 14.36)</w:t>
            </w:r>
          </w:p>
        </w:tc>
        <w:tc>
          <w:tcPr>
            <w:tcW w:w="1103" w:type="pct"/>
            <w:tcBorders>
              <w:top w:val="single" w:sz="4" w:space="0" w:color="auto"/>
              <w:left w:val="single" w:sz="4" w:space="0" w:color="auto"/>
              <w:bottom w:val="single" w:sz="4" w:space="0" w:color="auto"/>
              <w:right w:val="single" w:sz="4" w:space="0" w:color="auto"/>
            </w:tcBorders>
          </w:tcPr>
          <w:p w14:paraId="55886EC4" w14:textId="77777777" w:rsidR="00E50A74" w:rsidRPr="0016346A" w:rsidRDefault="00E50A74" w:rsidP="00530866">
            <w:pPr>
              <w:keepNext/>
              <w:keepLines/>
              <w:jc w:val="center"/>
              <w:rPr>
                <w:rFonts w:ascii="Arial Narrow" w:hAnsi="Arial Narrow"/>
                <w:sz w:val="20"/>
                <w:szCs w:val="22"/>
              </w:rPr>
            </w:pPr>
            <w:r w:rsidRPr="00E627C2">
              <w:rPr>
                <w:rFonts w:ascii="Arial Narrow" w:hAnsi="Arial Narrow" w:cs="Calibri"/>
                <w:sz w:val="20"/>
                <w:szCs w:val="22"/>
              </w:rPr>
              <w:t>8.90 (8.15, 11.07)</w:t>
            </w:r>
          </w:p>
        </w:tc>
      </w:tr>
      <w:tr w:rsidR="00E50A74" w:rsidRPr="00517D06" w14:paraId="7A42F775" w14:textId="77777777" w:rsidTr="00B82613">
        <w:tc>
          <w:tcPr>
            <w:tcW w:w="2794" w:type="pct"/>
            <w:tcBorders>
              <w:top w:val="single" w:sz="4" w:space="0" w:color="auto"/>
              <w:left w:val="single" w:sz="4" w:space="0" w:color="auto"/>
              <w:bottom w:val="single" w:sz="4" w:space="0" w:color="auto"/>
              <w:right w:val="single" w:sz="4" w:space="0" w:color="auto"/>
            </w:tcBorders>
          </w:tcPr>
          <w:p w14:paraId="312F8AAB" w14:textId="77777777" w:rsidR="00E50A74" w:rsidRPr="0016346A" w:rsidRDefault="00E50A74" w:rsidP="00530866">
            <w:pPr>
              <w:keepNext/>
              <w:keepLines/>
              <w:jc w:val="left"/>
              <w:rPr>
                <w:rFonts w:ascii="Arial Narrow" w:hAnsi="Arial Narrow"/>
                <w:sz w:val="20"/>
                <w:szCs w:val="22"/>
              </w:rPr>
            </w:pPr>
            <w:r w:rsidRPr="00E627C2">
              <w:rPr>
                <w:rFonts w:ascii="Arial Narrow" w:hAnsi="Arial Narrow" w:cs="Calibri"/>
                <w:sz w:val="20"/>
                <w:szCs w:val="22"/>
              </w:rPr>
              <w:t>75th percentile (95% CI)</w:t>
            </w:r>
          </w:p>
        </w:tc>
        <w:tc>
          <w:tcPr>
            <w:tcW w:w="1103" w:type="pct"/>
            <w:tcBorders>
              <w:top w:val="single" w:sz="4" w:space="0" w:color="auto"/>
              <w:left w:val="single" w:sz="4" w:space="0" w:color="auto"/>
              <w:bottom w:val="single" w:sz="4" w:space="0" w:color="auto"/>
              <w:right w:val="single" w:sz="4" w:space="0" w:color="auto"/>
            </w:tcBorders>
          </w:tcPr>
          <w:p w14:paraId="07E79BAA" w14:textId="77777777" w:rsidR="00E50A74" w:rsidRPr="0016346A" w:rsidRDefault="00E50A74" w:rsidP="00530866">
            <w:pPr>
              <w:keepNext/>
              <w:keepLines/>
              <w:jc w:val="center"/>
              <w:rPr>
                <w:rFonts w:ascii="Arial Narrow" w:hAnsi="Arial Narrow"/>
                <w:sz w:val="20"/>
                <w:szCs w:val="22"/>
              </w:rPr>
            </w:pPr>
            <w:r w:rsidRPr="00E627C2">
              <w:rPr>
                <w:rFonts w:ascii="Arial Narrow" w:hAnsi="Arial Narrow" w:cs="Calibri"/>
                <w:sz w:val="20"/>
                <w:szCs w:val="22"/>
              </w:rPr>
              <w:t>19.29 (16.72, 22.37)</w:t>
            </w:r>
          </w:p>
        </w:tc>
        <w:tc>
          <w:tcPr>
            <w:tcW w:w="1103" w:type="pct"/>
            <w:tcBorders>
              <w:top w:val="single" w:sz="4" w:space="0" w:color="auto"/>
              <w:left w:val="single" w:sz="4" w:space="0" w:color="auto"/>
              <w:bottom w:val="single" w:sz="4" w:space="0" w:color="auto"/>
              <w:right w:val="single" w:sz="4" w:space="0" w:color="auto"/>
            </w:tcBorders>
          </w:tcPr>
          <w:p w14:paraId="5B4B7E8E" w14:textId="77777777" w:rsidR="00E50A74" w:rsidRPr="0016346A" w:rsidRDefault="00E50A74" w:rsidP="00530866">
            <w:pPr>
              <w:keepNext/>
              <w:keepLines/>
              <w:jc w:val="center"/>
              <w:rPr>
                <w:rFonts w:ascii="Arial Narrow" w:hAnsi="Arial Narrow"/>
                <w:sz w:val="20"/>
                <w:szCs w:val="22"/>
              </w:rPr>
            </w:pPr>
            <w:r w:rsidRPr="00E627C2">
              <w:rPr>
                <w:rFonts w:ascii="Arial Narrow" w:hAnsi="Arial Narrow" w:cs="Calibri"/>
                <w:sz w:val="20"/>
                <w:szCs w:val="22"/>
              </w:rPr>
              <w:t>15.57 (13.90, 17.08)</w:t>
            </w:r>
          </w:p>
        </w:tc>
      </w:tr>
      <w:tr w:rsidR="00E50A74" w:rsidRPr="00517D06" w14:paraId="1AEAF433" w14:textId="77777777" w:rsidTr="00B82613">
        <w:tc>
          <w:tcPr>
            <w:tcW w:w="2794" w:type="pct"/>
            <w:tcBorders>
              <w:top w:val="single" w:sz="4" w:space="0" w:color="auto"/>
              <w:left w:val="single" w:sz="4" w:space="0" w:color="auto"/>
              <w:bottom w:val="single" w:sz="4" w:space="0" w:color="auto"/>
              <w:right w:val="single" w:sz="4" w:space="0" w:color="auto"/>
            </w:tcBorders>
          </w:tcPr>
          <w:p w14:paraId="761C3697" w14:textId="77777777" w:rsidR="00E50A74" w:rsidRPr="0016346A" w:rsidRDefault="00E50A74" w:rsidP="00530866">
            <w:pPr>
              <w:keepNext/>
              <w:keepLines/>
              <w:jc w:val="left"/>
              <w:rPr>
                <w:rFonts w:ascii="Arial Narrow" w:hAnsi="Arial Narrow"/>
                <w:sz w:val="20"/>
                <w:szCs w:val="22"/>
              </w:rPr>
            </w:pPr>
            <w:r w:rsidRPr="00E627C2">
              <w:rPr>
                <w:rFonts w:ascii="Arial Narrow" w:hAnsi="Arial Narrow" w:cs="Calibri"/>
                <w:sz w:val="20"/>
                <w:szCs w:val="22"/>
              </w:rPr>
              <w:t>HR (95% CI); p-</w:t>
            </w:r>
            <w:proofErr w:type="spellStart"/>
            <w:r w:rsidRPr="00E627C2">
              <w:rPr>
                <w:rFonts w:ascii="Arial Narrow" w:hAnsi="Arial Narrow" w:cs="Calibri"/>
                <w:sz w:val="20"/>
                <w:szCs w:val="22"/>
              </w:rPr>
              <w:t>value</w:t>
            </w:r>
            <w:r w:rsidRPr="00E627C2">
              <w:rPr>
                <w:rFonts w:ascii="Arial Narrow" w:hAnsi="Arial Narrow" w:cs="Calibri"/>
                <w:sz w:val="20"/>
                <w:szCs w:val="22"/>
                <w:vertAlign w:val="superscript"/>
              </w:rPr>
              <w:t>a</w:t>
            </w:r>
            <w:proofErr w:type="spellEnd"/>
          </w:p>
        </w:tc>
        <w:tc>
          <w:tcPr>
            <w:tcW w:w="2206" w:type="pct"/>
            <w:gridSpan w:val="2"/>
            <w:tcBorders>
              <w:top w:val="single" w:sz="4" w:space="0" w:color="auto"/>
              <w:left w:val="single" w:sz="4" w:space="0" w:color="auto"/>
              <w:bottom w:val="single" w:sz="4" w:space="0" w:color="auto"/>
              <w:right w:val="single" w:sz="4" w:space="0" w:color="auto"/>
            </w:tcBorders>
          </w:tcPr>
          <w:p w14:paraId="33673F0F" w14:textId="77777777" w:rsidR="00E50A74" w:rsidRPr="0016346A" w:rsidRDefault="00E50A74" w:rsidP="00530866">
            <w:pPr>
              <w:keepNext/>
              <w:keepLines/>
              <w:jc w:val="center"/>
              <w:rPr>
                <w:rFonts w:ascii="Arial Narrow" w:hAnsi="Arial Narrow"/>
                <w:sz w:val="20"/>
                <w:szCs w:val="22"/>
              </w:rPr>
            </w:pPr>
            <w:r w:rsidRPr="00ED7E08">
              <w:rPr>
                <w:rFonts w:ascii="Arial Narrow" w:hAnsi="Arial Narrow" w:cs="Calibri"/>
                <w:b/>
                <w:bCs/>
                <w:sz w:val="20"/>
                <w:szCs w:val="22"/>
              </w:rPr>
              <w:t>0.65 (0.49, 0.84); p=0.0012</w:t>
            </w:r>
          </w:p>
        </w:tc>
      </w:tr>
    </w:tbl>
    <w:p w14:paraId="42A70286" w14:textId="77777777" w:rsidR="00E50A74" w:rsidRDefault="00E50A74" w:rsidP="00530866">
      <w:pPr>
        <w:pStyle w:val="TableFigureFooter"/>
      </w:pPr>
      <w:r>
        <w:t>Source: Tables 2.27, 2.29, 2.30, 2.32, p135, 141, 142, 143 of the submission</w:t>
      </w:r>
    </w:p>
    <w:p w14:paraId="1C1898C9" w14:textId="77777777" w:rsidR="00E50A74" w:rsidRDefault="00E50A74" w:rsidP="00530866">
      <w:pPr>
        <w:pStyle w:val="TableFigureFooter"/>
      </w:pPr>
      <w:r w:rsidRPr="00592782">
        <w:t xml:space="preserve">Abbreviations: </w:t>
      </w:r>
      <w:r w:rsidRPr="00DF6D4D">
        <w:t>AmiCP = amivantamab in combination with carboplatin and pemetrexed</w:t>
      </w:r>
      <w:r>
        <w:t xml:space="preserve">; </w:t>
      </w:r>
      <w:r w:rsidRPr="00592782">
        <w:t xml:space="preserve">BICR=blinded independent central review; </w:t>
      </w:r>
      <w:r w:rsidRPr="003E2E93">
        <w:t>CP= carboplatin plus pemetrexed</w:t>
      </w:r>
      <w:r>
        <w:t>;</w:t>
      </w:r>
      <w:r w:rsidRPr="003E2E93">
        <w:t xml:space="preserve"> </w:t>
      </w:r>
      <w:r w:rsidRPr="00592782">
        <w:t xml:space="preserve">+=censored observation; </w:t>
      </w:r>
      <w:r>
        <w:t xml:space="preserve">CI= confidence interval; </w:t>
      </w:r>
      <w:r w:rsidRPr="00592782">
        <w:t>FAS=full analysis set; PFS= progression free survival; NE=not estimable</w:t>
      </w:r>
      <w:r>
        <w:t>.</w:t>
      </w:r>
    </w:p>
    <w:p w14:paraId="76AA2325" w14:textId="77777777" w:rsidR="00E50A74" w:rsidRDefault="00E50A74" w:rsidP="00530866">
      <w:pPr>
        <w:pStyle w:val="TableFigureFooter"/>
        <w:rPr>
          <w:rFonts w:eastAsia="Calibri"/>
        </w:rPr>
      </w:pPr>
      <w:r w:rsidRPr="79174808">
        <w:rPr>
          <w:rFonts w:eastAsia="Calibri"/>
          <w:vertAlign w:val="superscript"/>
        </w:rPr>
        <w:t xml:space="preserve">a </w:t>
      </w:r>
      <w:r w:rsidRPr="79174808">
        <w:rPr>
          <w:rFonts w:eastAsia="Calibri"/>
        </w:rPr>
        <w:t>Hazard ratio is from stratified proportional hazards model. Hazard ratio &lt;1 favours experimental treatment.</w:t>
      </w:r>
      <w:r w:rsidRPr="79174808">
        <w:rPr>
          <w:rFonts w:eastAsia="Calibri"/>
          <w:vertAlign w:val="superscript"/>
        </w:rPr>
        <w:t xml:space="preserve"> </w:t>
      </w:r>
      <w:r w:rsidRPr="79174808">
        <w:rPr>
          <w:rFonts w:eastAsia="Calibri"/>
        </w:rPr>
        <w:t xml:space="preserve">p-value is from a log-rank test stratified by osimertinib line of therapy (first-line vs </w:t>
      </w:r>
      <w:bookmarkStart w:id="52" w:name="_Int_p1SStRFO"/>
      <w:r w:rsidRPr="79174808">
        <w:rPr>
          <w:rFonts w:eastAsia="Calibri"/>
        </w:rPr>
        <w:t>second-line</w:t>
      </w:r>
      <w:bookmarkEnd w:id="52"/>
      <w:r w:rsidRPr="79174808">
        <w:rPr>
          <w:rFonts w:eastAsia="Calibri"/>
        </w:rPr>
        <w:t>), history of brain metastases (yes or no), and Asian race (yes vs no).</w:t>
      </w:r>
    </w:p>
    <w:p w14:paraId="78133142" w14:textId="77777777" w:rsidR="00E50A74" w:rsidRDefault="00E50A74" w:rsidP="00530866">
      <w:pPr>
        <w:pStyle w:val="TableFigureFooter"/>
      </w:pPr>
      <w:r w:rsidRPr="00162167">
        <w:rPr>
          <w:b/>
          <w:bCs/>
        </w:rPr>
        <w:t>Bold</w:t>
      </w:r>
      <w:r w:rsidRPr="00814607">
        <w:t xml:space="preserve"> text indicates statistically significant results.</w:t>
      </w:r>
    </w:p>
    <w:p w14:paraId="1355A3B2" w14:textId="77777777" w:rsidR="00E50A74" w:rsidRPr="00F5181A" w:rsidRDefault="00E50A74" w:rsidP="00530866">
      <w:pPr>
        <w:pStyle w:val="TableFigureFooter"/>
      </w:pPr>
      <w:r>
        <w:lastRenderedPageBreak/>
        <w:t>Note: Median follow up for primary analysis (clinical cutoff of July 2023) = 8.7 months and for IA2 (clinical cutoff of April 2024 = 18.1 months</w:t>
      </w:r>
    </w:p>
    <w:p w14:paraId="57759ABC" w14:textId="75F8DA78" w:rsidR="00E50A74" w:rsidRPr="00C82F98" w:rsidRDefault="00E50A74" w:rsidP="00530866">
      <w:pPr>
        <w:pStyle w:val="3-BodyText"/>
        <w:rPr>
          <w:i/>
          <w:iCs/>
        </w:rPr>
      </w:pPr>
      <w:r>
        <w:t>After a</w:t>
      </w:r>
      <w:r w:rsidDel="00004852">
        <w:t xml:space="preserve"> </w:t>
      </w:r>
      <w:r>
        <w:t>median follow-up period of 8.7 months,</w:t>
      </w:r>
      <w:r w:rsidR="004D2196">
        <w:t xml:space="preserve"> the </w:t>
      </w:r>
      <w:r>
        <w:t>median PFS for the AmiCP and CP arms were 6.28 months and 4.17 months, respectively. This was a statistically significant difference (hazard ratio (HR) 0.48 (95% confidence interval [CI] 0.36, 0.64).</w:t>
      </w:r>
      <w:r w:rsidDel="00071208">
        <w:t xml:space="preserve"> </w:t>
      </w:r>
      <w:r w:rsidR="00DF0F5E">
        <w:t xml:space="preserve">Median </w:t>
      </w:r>
      <w:r w:rsidRPr="00C82F98">
        <w:t>PFS was prolonged by 2.1 months in patients treated with AmiCP compared to patients treated with CP alone.</w:t>
      </w:r>
      <w:r w:rsidRPr="00C82F98">
        <w:rPr>
          <w:i/>
          <w:iCs/>
        </w:rPr>
        <w:t xml:space="preserve"> </w:t>
      </w:r>
    </w:p>
    <w:p w14:paraId="55BE0B8B" w14:textId="4488DA83" w:rsidR="00E50A74" w:rsidRDefault="00E50A74" w:rsidP="00530866">
      <w:pPr>
        <w:pStyle w:val="3-BodyText"/>
      </w:pPr>
      <w:r>
        <w:t xml:space="preserve">The Kaplan Meier (KM) curves for PFS in the MARIPOSA-2 trial are presented in </w:t>
      </w:r>
      <w:r w:rsidR="00752E5B">
        <w:rPr>
          <w:b/>
          <w:bCs/>
          <w:lang w:val="en-GB"/>
        </w:rPr>
        <w:fldChar w:fldCharType="begin"/>
      </w:r>
      <w:r w:rsidR="00752E5B">
        <w:instrText xml:space="preserve"> REF _Ref219793899 \h </w:instrText>
      </w:r>
      <w:r w:rsidR="00752E5B">
        <w:rPr>
          <w:b/>
          <w:bCs/>
          <w:lang w:val="en-GB"/>
        </w:rPr>
      </w:r>
      <w:r w:rsidR="00752E5B">
        <w:rPr>
          <w:b/>
          <w:bCs/>
          <w:lang w:val="en-GB"/>
        </w:rPr>
        <w:fldChar w:fldCharType="separate"/>
      </w:r>
      <w:r w:rsidR="00A572FC" w:rsidRPr="004678FB">
        <w:t xml:space="preserve">Figure </w:t>
      </w:r>
      <w:r w:rsidR="00A572FC">
        <w:rPr>
          <w:noProof/>
        </w:rPr>
        <w:t>1</w:t>
      </w:r>
      <w:r w:rsidR="00752E5B">
        <w:rPr>
          <w:b/>
          <w:bCs/>
          <w:lang w:val="en-GB"/>
        </w:rPr>
        <w:fldChar w:fldCharType="end"/>
      </w:r>
      <w:r w:rsidR="00752E5B">
        <w:rPr>
          <w:b/>
          <w:bCs/>
          <w:lang w:val="en-GB"/>
        </w:rPr>
        <w:t>.</w:t>
      </w:r>
    </w:p>
    <w:p w14:paraId="76CDA6E3" w14:textId="2078A679" w:rsidR="00E50A74" w:rsidRDefault="00E50A74" w:rsidP="00530866">
      <w:pPr>
        <w:pStyle w:val="Caption"/>
      </w:pPr>
      <w:bookmarkStart w:id="53" w:name="_Ref219793899"/>
      <w:r w:rsidRPr="004678FB">
        <w:t xml:space="preserve">Figure </w:t>
      </w:r>
      <w:fldSimple w:instr=" SEQ Figure \* ARABIC ">
        <w:r w:rsidR="00A572FC">
          <w:rPr>
            <w:noProof/>
          </w:rPr>
          <w:t>1</w:t>
        </w:r>
      </w:fldSimple>
      <w:bookmarkEnd w:id="53"/>
      <w:r w:rsidRPr="004678FB">
        <w:t>: Kaplan-Meier Plot of PFS by BICR for AmiCP vs CP – FAS</w:t>
      </w:r>
    </w:p>
    <w:p w14:paraId="4A885909" w14:textId="77777777" w:rsidR="00E50A74" w:rsidRDefault="00E50A74" w:rsidP="00530866">
      <w:pPr>
        <w:pStyle w:val="TableFigureHeading"/>
      </w:pPr>
      <w:r w:rsidRPr="00F02216">
        <w:rPr>
          <w:rFonts w:ascii="Calibri" w:eastAsia="Calibri" w:hAnsi="Calibri" w:cs="Times New Roman"/>
          <w:noProof/>
          <w:sz w:val="24"/>
        </w:rPr>
        <w:drawing>
          <wp:inline distT="0" distB="0" distL="0" distR="0" wp14:anchorId="2759E19D" wp14:editId="05ED5794">
            <wp:extent cx="5345723" cy="2868099"/>
            <wp:effectExtent l="19050" t="19050" r="26670" b="27940"/>
            <wp:docPr id="21458915" name="Picture 1" descr="Figure 1: Kaplan-Meier Plot of PFS by BICR for AmiCP vs CP –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8915" name="Picture 1" descr="Figure 1: Kaplan-Meier Plot of PFS by BICR for AmiCP vs CP – FAS"/>
                    <pic:cNvPicPr/>
                  </pic:nvPicPr>
                  <pic:blipFill>
                    <a:blip r:embed="rId11"/>
                    <a:stretch>
                      <a:fillRect/>
                    </a:stretch>
                  </pic:blipFill>
                  <pic:spPr>
                    <a:xfrm>
                      <a:off x="0" y="0"/>
                      <a:ext cx="5354827" cy="2872984"/>
                    </a:xfrm>
                    <a:prstGeom prst="rect">
                      <a:avLst/>
                    </a:prstGeom>
                    <a:ln>
                      <a:solidFill>
                        <a:sysClr val="windowText" lastClr="000000"/>
                      </a:solidFill>
                    </a:ln>
                  </pic:spPr>
                </pic:pic>
              </a:graphicData>
            </a:graphic>
          </wp:inline>
        </w:drawing>
      </w:r>
    </w:p>
    <w:p w14:paraId="6BCC90CC" w14:textId="77777777" w:rsidR="00E50A74" w:rsidRDefault="00E50A74" w:rsidP="00530866">
      <w:pPr>
        <w:pStyle w:val="TableFigureFooter"/>
      </w:pPr>
      <w:r>
        <w:t>Source: Figure 2.8, p135 of the submission</w:t>
      </w:r>
    </w:p>
    <w:p w14:paraId="21DBDCD8" w14:textId="77777777" w:rsidR="00E50A74" w:rsidRDefault="00E50A74" w:rsidP="00530866">
      <w:pPr>
        <w:pStyle w:val="TableFigureFooter"/>
      </w:pPr>
      <w:r>
        <w:t xml:space="preserve">Abbreviations: </w:t>
      </w:r>
      <w:r w:rsidRPr="00BD42E8">
        <w:t>AmiCP = amivantamab in combination with carboplatin and pemetrexed</w:t>
      </w:r>
      <w:r>
        <w:t xml:space="preserve">; </w:t>
      </w:r>
      <w:r w:rsidRPr="00014B12">
        <w:t>BICR=blinded independent central review</w:t>
      </w:r>
      <w:r>
        <w:t>;</w:t>
      </w:r>
      <w:r w:rsidRPr="00014B12">
        <w:t xml:space="preserve"> </w:t>
      </w:r>
      <w:r w:rsidRPr="00BD42E8">
        <w:t>CP=carboplatin plus pemetrexed</w:t>
      </w:r>
      <w:r>
        <w:t>;</w:t>
      </w:r>
      <w:r w:rsidRPr="00BD42E8">
        <w:t xml:space="preserve"> </w:t>
      </w:r>
      <w:r>
        <w:t xml:space="preserve">PFS= progression free survival; </w:t>
      </w:r>
      <w:r w:rsidRPr="00014B12">
        <w:t>FAS=full analysis set</w:t>
      </w:r>
    </w:p>
    <w:p w14:paraId="0AB41254" w14:textId="6D567A45" w:rsidR="00E50A74" w:rsidRPr="00F95529" w:rsidRDefault="00E50A74" w:rsidP="00530866">
      <w:pPr>
        <w:pStyle w:val="3-BodyText"/>
      </w:pPr>
      <w:r>
        <w:t xml:space="preserve">Secondary outcomes used to support the clinical claim included OS, ORR and </w:t>
      </w:r>
      <w:proofErr w:type="spellStart"/>
      <w:r>
        <w:t>icPFS</w:t>
      </w:r>
      <w:proofErr w:type="spellEnd"/>
      <w:r>
        <w:t>. For the OS outcome, results from the interim analysis 2 (IA2) clinical cutoff of April 2024</w:t>
      </w:r>
      <w:r w:rsidR="00A17650">
        <w:t xml:space="preserve"> showed</w:t>
      </w:r>
      <w:r>
        <w:t xml:space="preserve"> </w:t>
      </w:r>
      <w:r w:rsidR="00130048">
        <w:t>a</w:t>
      </w:r>
      <w:r>
        <w:t xml:space="preserve"> statistically significant reduction in the risk of death for AmiCP vs CP (HR=0.73; 95% CI: 0.54, 0.99; p=0.0386). </w:t>
      </w:r>
      <w:r w:rsidRPr="00F95529">
        <w:t>The 95% CI of the event free rates were overlapping across all nominated time points (</w:t>
      </w:r>
      <w:r w:rsidRPr="00F95529">
        <w:fldChar w:fldCharType="begin"/>
      </w:r>
      <w:r w:rsidRPr="00F95529">
        <w:instrText xml:space="preserve"> REF _Ref215754071 \h  \* MERGEFORMAT </w:instrText>
      </w:r>
      <w:r w:rsidRPr="00F95529">
        <w:fldChar w:fldCharType="separate"/>
      </w:r>
      <w:r w:rsidR="00A572FC">
        <w:t xml:space="preserve">Table </w:t>
      </w:r>
      <w:r w:rsidR="00A572FC">
        <w:rPr>
          <w:noProof/>
        </w:rPr>
        <w:t>5</w:t>
      </w:r>
      <w:r w:rsidRPr="00F95529">
        <w:fldChar w:fldCharType="end"/>
      </w:r>
      <w:r w:rsidRPr="00F95529">
        <w:t>).</w:t>
      </w:r>
    </w:p>
    <w:p w14:paraId="392FDB69" w14:textId="4282B987" w:rsidR="00E50A74" w:rsidRPr="00F95529" w:rsidRDefault="00E50A74" w:rsidP="00530866">
      <w:pPr>
        <w:pStyle w:val="3-BodyText"/>
      </w:pPr>
      <w:r w:rsidRPr="00F95529">
        <w:t xml:space="preserve">The KM curves for OS in the MARIPOSA-2 trial are presented in </w:t>
      </w:r>
      <w:r w:rsidRPr="00F95529">
        <w:fldChar w:fldCharType="begin"/>
      </w:r>
      <w:r w:rsidRPr="00F95529">
        <w:instrText xml:space="preserve"> REF _Ref215753976 \h </w:instrText>
      </w:r>
      <w:r w:rsidR="00F95529" w:rsidRPr="00F95529">
        <w:instrText xml:space="preserve"> \* MERGEFORMAT </w:instrText>
      </w:r>
      <w:r w:rsidRPr="00F95529">
        <w:fldChar w:fldCharType="separate"/>
      </w:r>
      <w:r w:rsidR="00A572FC">
        <w:t xml:space="preserve">Figure </w:t>
      </w:r>
      <w:r w:rsidR="00A572FC">
        <w:rPr>
          <w:noProof/>
        </w:rPr>
        <w:t>2</w:t>
      </w:r>
      <w:r w:rsidRPr="00F95529">
        <w:fldChar w:fldCharType="end"/>
      </w:r>
      <w:r w:rsidRPr="00F95529">
        <w:t>. The OS curves appear to converge between 22 and 23 months likely due to low numbers of patients remaining at risk.</w:t>
      </w:r>
    </w:p>
    <w:p w14:paraId="7C011C24" w14:textId="31A88FA3" w:rsidR="00E50A74" w:rsidRDefault="00E50A74" w:rsidP="00530866">
      <w:pPr>
        <w:pStyle w:val="Caption"/>
      </w:pPr>
      <w:bookmarkStart w:id="54" w:name="_Ref215753976"/>
      <w:r>
        <w:lastRenderedPageBreak/>
        <w:t xml:space="preserve">Figure </w:t>
      </w:r>
      <w:fldSimple w:instr=" SEQ Figure \* ARABIC ">
        <w:r w:rsidR="00A572FC">
          <w:rPr>
            <w:noProof/>
          </w:rPr>
          <w:t>2</w:t>
        </w:r>
      </w:fldSimple>
      <w:bookmarkEnd w:id="54"/>
      <w:r>
        <w:t xml:space="preserve">: </w:t>
      </w:r>
      <w:r w:rsidRPr="00935829">
        <w:t>Kaplan-Meier Plot</w:t>
      </w:r>
      <w:r>
        <w:t xml:space="preserve"> of</w:t>
      </w:r>
      <w:r w:rsidRPr="00935829">
        <w:t xml:space="preserve"> OS for AmiCP </w:t>
      </w:r>
      <w:r>
        <w:t>and</w:t>
      </w:r>
      <w:r w:rsidRPr="00935829">
        <w:t xml:space="preserve"> CP – FAS</w:t>
      </w:r>
    </w:p>
    <w:p w14:paraId="51A1787A" w14:textId="77777777" w:rsidR="00E50A74" w:rsidRDefault="00E50A74" w:rsidP="00530866">
      <w:pPr>
        <w:pStyle w:val="3-BodyText"/>
        <w:numPr>
          <w:ilvl w:val="0"/>
          <w:numId w:val="0"/>
        </w:numPr>
        <w:ind w:left="720" w:hanging="720"/>
      </w:pPr>
      <w:r w:rsidRPr="00DD3C96">
        <w:rPr>
          <w:noProof/>
        </w:rPr>
        <w:drawing>
          <wp:inline distT="0" distB="0" distL="0" distR="0" wp14:anchorId="793D9B1E" wp14:editId="4162988F">
            <wp:extent cx="5732145" cy="3235325"/>
            <wp:effectExtent l="19050" t="19050" r="20955" b="22225"/>
            <wp:docPr id="1598782124" name="Picture 1" descr="Figure 2: Kaplan-Meier Plot of OS for AmiCP and CP –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782124" name="Picture 1" descr="Figure 2: Kaplan-Meier Plot of OS for AmiCP and CP – FAS"/>
                    <pic:cNvPicPr/>
                  </pic:nvPicPr>
                  <pic:blipFill>
                    <a:blip r:embed="rId12"/>
                    <a:stretch>
                      <a:fillRect/>
                    </a:stretch>
                  </pic:blipFill>
                  <pic:spPr>
                    <a:xfrm>
                      <a:off x="0" y="0"/>
                      <a:ext cx="5732145" cy="3235325"/>
                    </a:xfrm>
                    <a:prstGeom prst="rect">
                      <a:avLst/>
                    </a:prstGeom>
                    <a:ln>
                      <a:solidFill>
                        <a:sysClr val="windowText" lastClr="000000"/>
                      </a:solidFill>
                    </a:ln>
                  </pic:spPr>
                </pic:pic>
              </a:graphicData>
            </a:graphic>
          </wp:inline>
        </w:drawing>
      </w:r>
    </w:p>
    <w:p w14:paraId="3A97D3A3" w14:textId="77777777" w:rsidR="00E50A74" w:rsidRDefault="00E50A74" w:rsidP="00530866">
      <w:pPr>
        <w:pStyle w:val="TableFigureFooter"/>
      </w:pPr>
      <w:r>
        <w:t>Source: Figure 2.14, p141 of the submission</w:t>
      </w:r>
    </w:p>
    <w:p w14:paraId="6D9EDC98" w14:textId="09D5EF52" w:rsidR="00E50A74" w:rsidRPr="00387392" w:rsidRDefault="00E50A74" w:rsidP="00530866">
      <w:pPr>
        <w:pStyle w:val="TableFigureFooter"/>
        <w:rPr>
          <w:rFonts w:eastAsia="Calibri"/>
        </w:rPr>
      </w:pPr>
      <w:r w:rsidRPr="79174808">
        <w:rPr>
          <w:rFonts w:eastAsia="Calibri"/>
        </w:rPr>
        <w:t>Abbreviations: Ami=amivantamab; CP=</w:t>
      </w:r>
      <w:r>
        <w:t xml:space="preserve"> </w:t>
      </w:r>
      <w:r w:rsidRPr="79174808">
        <w:rPr>
          <w:rFonts w:eastAsia="Calibri"/>
        </w:rPr>
        <w:t xml:space="preserve">carboplatin plus </w:t>
      </w:r>
      <w:r w:rsidR="7ED8A5CD" w:rsidRPr="79174808">
        <w:rPr>
          <w:rFonts w:eastAsia="Calibri"/>
        </w:rPr>
        <w:t>pemetrexed; FAS</w:t>
      </w:r>
      <w:r w:rsidRPr="79174808">
        <w:rPr>
          <w:rFonts w:eastAsia="Calibri"/>
        </w:rPr>
        <w:t>=full analysis set; IA=interim analysis; OS= overall survival.</w:t>
      </w:r>
    </w:p>
    <w:p w14:paraId="02819EE5" w14:textId="0177F36E" w:rsidR="00E50A74" w:rsidRPr="00934AFE" w:rsidRDefault="00E50A74" w:rsidP="00530866">
      <w:pPr>
        <w:pStyle w:val="3-BodyText"/>
      </w:pPr>
      <w:bookmarkStart w:id="55" w:name="_Ref216185037"/>
      <w:r>
        <w:t xml:space="preserve">AmiCP prolonged </w:t>
      </w:r>
      <w:r w:rsidR="00513AE1">
        <w:t xml:space="preserve">median </w:t>
      </w:r>
      <w:r>
        <w:t xml:space="preserve">overall survival by 2.4 months compared to CP (median OS 17.7 months vs. 15.3 months). </w:t>
      </w:r>
      <w:bookmarkEnd w:id="55"/>
    </w:p>
    <w:p w14:paraId="41B96B6B" w14:textId="77777777" w:rsidR="00E50A74" w:rsidRDefault="00E50A74" w:rsidP="00530866">
      <w:pPr>
        <w:pStyle w:val="3-BodyText"/>
      </w:pPr>
      <w:r>
        <w:t xml:space="preserve">After a median follow-up of 8.7 months, the objective response rate was higher in the AmiCP arm (63.8%) compared to the CP arm (36.2%), resulting in an odds ratio of 3.1 </w:t>
      </w:r>
      <w:r w:rsidRPr="004E39D6">
        <w:t>(95% CI: 2.00, 4.80; p&lt;0.0001).</w:t>
      </w:r>
    </w:p>
    <w:p w14:paraId="015AB282" w14:textId="24ACFFC3" w:rsidR="00E50A74" w:rsidRPr="00E97410" w:rsidRDefault="00E50A74" w:rsidP="00530866">
      <w:pPr>
        <w:pStyle w:val="3-BodyText"/>
      </w:pPr>
      <w:r>
        <w:t xml:space="preserve">Results for </w:t>
      </w:r>
      <w:proofErr w:type="spellStart"/>
      <w:r>
        <w:t>icPFS</w:t>
      </w:r>
      <w:proofErr w:type="spellEnd"/>
      <w:r>
        <w:t xml:space="preserve"> from the IA2 analysis showed a statistically significant </w:t>
      </w:r>
      <w:r w:rsidR="00471FFD">
        <w:t xml:space="preserve">difference in </w:t>
      </w:r>
      <w:r>
        <w:t xml:space="preserve">risk of intracranial disease progression </w:t>
      </w:r>
      <w:r w:rsidR="00471FFD">
        <w:t>for AmiCP versus</w:t>
      </w:r>
      <w:r>
        <w:t xml:space="preserve"> CP (</w:t>
      </w:r>
      <w:r w:rsidRPr="002E0327">
        <w:t>HR=0.65 [95% CI: 0.49, 0.84], nominal p=0.0012</w:t>
      </w:r>
      <w:r>
        <w:t>).</w:t>
      </w:r>
    </w:p>
    <w:p w14:paraId="0F7EC60C" w14:textId="77777777" w:rsidR="00E50A74" w:rsidRDefault="00E50A74" w:rsidP="00530866">
      <w:pPr>
        <w:pStyle w:val="3-BodyText"/>
      </w:pPr>
      <w:r w:rsidRPr="00A305F5">
        <w:t>The patient</w:t>
      </w:r>
      <w:r>
        <w:t>-</w:t>
      </w:r>
      <w:r w:rsidRPr="00A305F5">
        <w:t xml:space="preserve">reported outcome measures </w:t>
      </w:r>
      <w:r>
        <w:t xml:space="preserve">included in the MARIPOSA-2 trial included the </w:t>
      </w:r>
      <w:r w:rsidRPr="00A305F5">
        <w:t>EQ-5D-5L</w:t>
      </w:r>
      <w:r>
        <w:t xml:space="preserve"> and were analysed as an exploratory endpoint. </w:t>
      </w:r>
      <w:r w:rsidRPr="00F57957">
        <w:t xml:space="preserve">EQ-5D-5L utility scores </w:t>
      </w:r>
      <w:r>
        <w:t xml:space="preserve">(based on the UK value set) </w:t>
      </w:r>
      <w:r w:rsidRPr="00F57957">
        <w:t xml:space="preserve">were maintained across all treatment cycles and </w:t>
      </w:r>
      <w:r>
        <w:t xml:space="preserve">differences between treatment arms </w:t>
      </w:r>
      <w:r w:rsidRPr="00F57957">
        <w:t>were no</w:t>
      </w:r>
      <w:r>
        <w:t>t</w:t>
      </w:r>
      <w:r w:rsidRPr="00F57957">
        <w:t xml:space="preserve"> statistically significant</w:t>
      </w:r>
      <w:r>
        <w:t xml:space="preserve"> </w:t>
      </w:r>
      <w:r w:rsidRPr="00F57957">
        <w:t>(p&gt;0.05).</w:t>
      </w:r>
    </w:p>
    <w:p w14:paraId="207A660C" w14:textId="77777777" w:rsidR="00294B4E" w:rsidRDefault="00294B4E" w:rsidP="00530866">
      <w:pPr>
        <w:pStyle w:val="3-BodyText"/>
        <w:numPr>
          <w:ilvl w:val="0"/>
          <w:numId w:val="0"/>
        </w:numPr>
        <w:ind w:left="720"/>
      </w:pPr>
    </w:p>
    <w:p w14:paraId="0D808345" w14:textId="18651D87" w:rsidR="00E50A74" w:rsidRPr="009D6847" w:rsidRDefault="00471FFD" w:rsidP="00530866">
      <w:pPr>
        <w:rPr>
          <w:b/>
          <w:bCs/>
        </w:rPr>
      </w:pPr>
      <w:r>
        <w:rPr>
          <w:b/>
          <w:bCs/>
        </w:rPr>
        <w:t>Evidence for</w:t>
      </w:r>
      <w:r w:rsidR="00E50A74" w:rsidRPr="009D6847">
        <w:rPr>
          <w:b/>
          <w:bCs/>
        </w:rPr>
        <w:t xml:space="preserve"> AmiCP vs. ABCP</w:t>
      </w:r>
    </w:p>
    <w:p w14:paraId="15CF50C7" w14:textId="0A587B6D" w:rsidR="00E50A74" w:rsidRDefault="00471FFD" w:rsidP="00530866">
      <w:pPr>
        <w:pStyle w:val="3-BodyText"/>
      </w:pPr>
      <w:r w:rsidRPr="00471FFD">
        <w:t xml:space="preserve">The submission did not present comparative evidence to support the claim that AmiCP was superior compared with ABCP. </w:t>
      </w:r>
      <w:r w:rsidR="00E50A74">
        <w:t xml:space="preserve">Based on the subgroup results from ATTLAS, the submission </w:t>
      </w:r>
      <w:r w:rsidR="007D5FD4">
        <w:t xml:space="preserve">argued </w:t>
      </w:r>
      <w:r w:rsidR="00E50A74">
        <w:t xml:space="preserve">that </w:t>
      </w:r>
      <w:r w:rsidR="00E50A74" w:rsidRPr="001B0B29">
        <w:t>the efficacy of CP in MARIPOSA-2 study is representative of the efficacy of ABCP</w:t>
      </w:r>
      <w:r>
        <w:t>. This was based on the lack of demonstrated difference between ABCP and CP in the ATTLAS trial</w:t>
      </w:r>
      <w:r w:rsidR="000619F4">
        <w:t>. This in turn was</w:t>
      </w:r>
      <w:r w:rsidR="00B847EB">
        <w:t xml:space="preserve"> </w:t>
      </w:r>
      <w:r>
        <w:t>the basis</w:t>
      </w:r>
      <w:r w:rsidR="00B847EB">
        <w:t xml:space="preserve"> for</w:t>
      </w:r>
      <w:r w:rsidR="00E50A74">
        <w:t xml:space="preserve"> the claim that AmiCP is superior to ABCP based on PFS and OS outcomes. The submission further noted that at the March 2019 PBAC meeting, </w:t>
      </w:r>
      <w:r w:rsidR="00E50A74" w:rsidRPr="0011455E">
        <w:rPr>
          <w:rFonts w:eastAsia="Calibri"/>
          <w:szCs w:val="20"/>
        </w:rPr>
        <w:t xml:space="preserve">the claim of superior clinical effectiveness </w:t>
      </w:r>
      <w:r w:rsidR="00E50A74">
        <w:rPr>
          <w:rFonts w:eastAsia="Calibri"/>
          <w:szCs w:val="20"/>
        </w:rPr>
        <w:t xml:space="preserve">for ABCP </w:t>
      </w:r>
      <w:r w:rsidR="00E50A74" w:rsidRPr="0011455E">
        <w:rPr>
          <w:rFonts w:eastAsia="Calibri"/>
          <w:szCs w:val="20"/>
        </w:rPr>
        <w:lastRenderedPageBreak/>
        <w:t xml:space="preserve">compared to </w:t>
      </w:r>
      <w:r w:rsidR="00CE0A18">
        <w:rPr>
          <w:rFonts w:eastAsia="Calibri"/>
          <w:szCs w:val="20"/>
        </w:rPr>
        <w:t>PDC</w:t>
      </w:r>
      <w:r w:rsidR="00E50A74" w:rsidRPr="0011455E">
        <w:rPr>
          <w:rFonts w:eastAsia="Calibri"/>
          <w:szCs w:val="20"/>
        </w:rPr>
        <w:t xml:space="preserve"> </w:t>
      </w:r>
      <w:r w:rsidR="00E50A74">
        <w:rPr>
          <w:rFonts w:eastAsia="Calibri"/>
          <w:szCs w:val="20"/>
        </w:rPr>
        <w:t>in the EGFR/ALK mutation positive</w:t>
      </w:r>
      <w:r w:rsidR="00E50A74" w:rsidRPr="0011455E">
        <w:rPr>
          <w:rFonts w:eastAsia="Calibri"/>
          <w:szCs w:val="20"/>
        </w:rPr>
        <w:t xml:space="preserve"> population </w:t>
      </w:r>
      <w:r w:rsidR="00E50A74">
        <w:rPr>
          <w:rFonts w:eastAsia="Calibri"/>
          <w:szCs w:val="20"/>
        </w:rPr>
        <w:t xml:space="preserve">was considered reasonable </w:t>
      </w:r>
      <w:r w:rsidR="00E50A74" w:rsidRPr="00B14608">
        <w:rPr>
          <w:rFonts w:eastAsia="Calibri"/>
          <w:szCs w:val="20"/>
        </w:rPr>
        <w:t>but noted that</w:t>
      </w:r>
      <w:r w:rsidR="00E50A74">
        <w:rPr>
          <w:rFonts w:eastAsia="Calibri"/>
          <w:szCs w:val="20"/>
        </w:rPr>
        <w:t xml:space="preserve"> this</w:t>
      </w:r>
      <w:r w:rsidR="00E50A74" w:rsidRPr="00B14608">
        <w:rPr>
          <w:rFonts w:eastAsia="Calibri"/>
          <w:szCs w:val="20"/>
        </w:rPr>
        <w:t xml:space="preserve"> was based on an ITC of a small subgroup and so the magnitude of the benefit</w:t>
      </w:r>
      <w:r w:rsidR="00E50A74">
        <w:rPr>
          <w:rFonts w:eastAsia="Calibri"/>
          <w:szCs w:val="20"/>
        </w:rPr>
        <w:t xml:space="preserve"> </w:t>
      </w:r>
      <w:r w:rsidR="00E50A74" w:rsidRPr="00B14608">
        <w:rPr>
          <w:rFonts w:eastAsia="Calibri"/>
          <w:szCs w:val="20"/>
        </w:rPr>
        <w:t>remained highly uncertain</w:t>
      </w:r>
      <w:r w:rsidR="00E50A74">
        <w:rPr>
          <w:rFonts w:eastAsia="Calibri"/>
          <w:szCs w:val="20"/>
        </w:rPr>
        <w:t xml:space="preserve"> (paragraph 6.34, atezolizumab PSD, March 2019 PBAC meeting). </w:t>
      </w:r>
    </w:p>
    <w:p w14:paraId="2A11C711" w14:textId="56A778CF" w:rsidR="00E50A74" w:rsidRPr="0018249F" w:rsidRDefault="004F1585" w:rsidP="00530866">
      <w:pPr>
        <w:pStyle w:val="3-BodyText"/>
        <w:rPr>
          <w:i/>
          <w:iCs/>
        </w:rPr>
      </w:pPr>
      <w:r w:rsidRPr="004F1585">
        <w:fldChar w:fldCharType="begin"/>
      </w:r>
      <w:r w:rsidRPr="004F1585">
        <w:instrText xml:space="preserve"> REF _Ref215755318 \h </w:instrText>
      </w:r>
      <w:r>
        <w:instrText xml:space="preserve"> \* MERGEFORMAT </w:instrText>
      </w:r>
      <w:r w:rsidRPr="004F1585">
        <w:fldChar w:fldCharType="separate"/>
      </w:r>
      <w:r w:rsidR="00A572FC">
        <w:t xml:space="preserve">Table </w:t>
      </w:r>
      <w:r w:rsidR="00A572FC" w:rsidRPr="00A572FC">
        <w:t>6</w:t>
      </w:r>
      <w:r w:rsidRPr="004F1585">
        <w:fldChar w:fldCharType="end"/>
      </w:r>
      <w:r w:rsidR="00E50A74" w:rsidRPr="004F1585">
        <w:t xml:space="preserve"> presents</w:t>
      </w:r>
      <w:r w:rsidR="00E50A74" w:rsidRPr="0084563A">
        <w:t xml:space="preserve"> the results of the Bucher ITC conducted during the evaluation.</w:t>
      </w:r>
      <w:r w:rsidR="00E50A74">
        <w:t xml:space="preserve"> </w:t>
      </w:r>
      <w:r w:rsidR="00E50A74" w:rsidRPr="00F95529">
        <w:t>The subgroup analyses from ATTLAS are exploratory, with small sample size, and lack of clarity of the patient characteristics and their comparability across arms.</w:t>
      </w:r>
    </w:p>
    <w:p w14:paraId="070EAE8C" w14:textId="77777777" w:rsidR="00E50A74" w:rsidRDefault="00E50A74" w:rsidP="00530866">
      <w:pPr>
        <w:pStyle w:val="3-BodyText"/>
        <w:numPr>
          <w:ilvl w:val="0"/>
          <w:numId w:val="0"/>
        </w:numPr>
      </w:pPr>
    </w:p>
    <w:p w14:paraId="594ADC64" w14:textId="767E71FE" w:rsidR="00E50A74" w:rsidRPr="00C10156" w:rsidRDefault="00D97D5A" w:rsidP="00530866">
      <w:pPr>
        <w:pStyle w:val="Caption"/>
      </w:pPr>
      <w:r>
        <w:t xml:space="preserve">Table </w:t>
      </w:r>
      <w:fldSimple w:instr=" SEQ Table \* ARABIC ">
        <w:r>
          <w:rPr>
            <w:noProof/>
          </w:rPr>
          <w:t>6</w:t>
        </w:r>
      </w:fldSimple>
      <w:r w:rsidR="00E50A74">
        <w:t xml:space="preserve">: </w:t>
      </w:r>
      <w:r w:rsidR="00E50A74" w:rsidRPr="00081756">
        <w:rPr>
          <w:rStyle w:val="CommentReference"/>
          <w:b/>
          <w:szCs w:val="24"/>
        </w:rPr>
        <w:t>Results of the indirect comparison for PFS</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Results of the indirect comparison for PFS"/>
      </w:tblPr>
      <w:tblGrid>
        <w:gridCol w:w="1500"/>
        <w:gridCol w:w="1759"/>
        <w:gridCol w:w="1338"/>
        <w:gridCol w:w="1504"/>
        <w:gridCol w:w="1248"/>
        <w:gridCol w:w="1673"/>
      </w:tblGrid>
      <w:tr w:rsidR="002B1728" w:rsidRPr="0098262F" w14:paraId="2315EF84" w14:textId="77777777">
        <w:trPr>
          <w:tblHeader/>
        </w:trPr>
        <w:tc>
          <w:tcPr>
            <w:tcW w:w="1500" w:type="dxa"/>
            <w:vAlign w:val="center"/>
          </w:tcPr>
          <w:p w14:paraId="27F5D6A0" w14:textId="77777777" w:rsidR="00E50A74" w:rsidRPr="0098262F" w:rsidRDefault="00E50A74" w:rsidP="00530866">
            <w:pPr>
              <w:pStyle w:val="In-tableHeading"/>
            </w:pPr>
            <w:r w:rsidRPr="0098262F">
              <w:t>Trial</w:t>
            </w:r>
          </w:p>
        </w:tc>
        <w:tc>
          <w:tcPr>
            <w:tcW w:w="1759" w:type="dxa"/>
            <w:vAlign w:val="center"/>
          </w:tcPr>
          <w:p w14:paraId="1D3779FD" w14:textId="77777777" w:rsidR="00E50A74" w:rsidRPr="0098262F" w:rsidRDefault="00E50A74" w:rsidP="00530866">
            <w:pPr>
              <w:pStyle w:val="In-tableHeading"/>
              <w:jc w:val="center"/>
            </w:pPr>
            <w:r w:rsidRPr="0098262F">
              <w:t>Outcome</w:t>
            </w:r>
          </w:p>
        </w:tc>
        <w:tc>
          <w:tcPr>
            <w:tcW w:w="1338" w:type="dxa"/>
            <w:vAlign w:val="center"/>
          </w:tcPr>
          <w:p w14:paraId="744FABC9" w14:textId="77777777" w:rsidR="00E50A74" w:rsidRPr="0098262F" w:rsidRDefault="00E50A74" w:rsidP="00530866">
            <w:pPr>
              <w:pStyle w:val="In-tableHeading"/>
              <w:jc w:val="center"/>
            </w:pPr>
            <w:proofErr w:type="spellStart"/>
            <w:r>
              <w:t>AmiCP</w:t>
            </w:r>
            <w:proofErr w:type="spellEnd"/>
          </w:p>
          <w:p w14:paraId="2F7E25CC" w14:textId="77777777" w:rsidR="00E50A74" w:rsidRPr="0098262F" w:rsidRDefault="00E50A74" w:rsidP="00530866">
            <w:pPr>
              <w:pStyle w:val="In-tableHeading"/>
              <w:jc w:val="center"/>
            </w:pPr>
            <w:r w:rsidRPr="0098262F">
              <w:t>n/N (%)</w:t>
            </w:r>
          </w:p>
        </w:tc>
        <w:tc>
          <w:tcPr>
            <w:tcW w:w="1504" w:type="dxa"/>
            <w:vAlign w:val="center"/>
          </w:tcPr>
          <w:p w14:paraId="157CCC9E" w14:textId="77777777" w:rsidR="00E50A74" w:rsidRPr="0098262F" w:rsidRDefault="00E50A74" w:rsidP="00530866">
            <w:pPr>
              <w:pStyle w:val="In-tableHeading"/>
              <w:jc w:val="center"/>
            </w:pPr>
            <w:r>
              <w:t>CP</w:t>
            </w:r>
          </w:p>
          <w:p w14:paraId="6FC28424" w14:textId="77777777" w:rsidR="00E50A74" w:rsidRPr="0098262F" w:rsidRDefault="00E50A74" w:rsidP="00530866">
            <w:pPr>
              <w:pStyle w:val="In-tableHeading"/>
              <w:jc w:val="center"/>
            </w:pPr>
            <w:r w:rsidRPr="0098262F">
              <w:t>n/N (%)</w:t>
            </w:r>
          </w:p>
        </w:tc>
        <w:tc>
          <w:tcPr>
            <w:tcW w:w="1248" w:type="dxa"/>
            <w:vAlign w:val="center"/>
          </w:tcPr>
          <w:p w14:paraId="14544281" w14:textId="77777777" w:rsidR="00E50A74" w:rsidRPr="0098262F" w:rsidRDefault="00E50A74" w:rsidP="00530866">
            <w:pPr>
              <w:pStyle w:val="In-tableHeading"/>
              <w:jc w:val="center"/>
            </w:pPr>
            <w:r w:rsidRPr="0098262F">
              <w:t>Absolute difference</w:t>
            </w:r>
          </w:p>
        </w:tc>
        <w:tc>
          <w:tcPr>
            <w:tcW w:w="1673" w:type="dxa"/>
            <w:vAlign w:val="center"/>
          </w:tcPr>
          <w:p w14:paraId="7F881837" w14:textId="77777777" w:rsidR="00E50A74" w:rsidRPr="0098262F" w:rsidRDefault="00E50A74" w:rsidP="00530866">
            <w:pPr>
              <w:pStyle w:val="In-tableHeading"/>
              <w:jc w:val="center"/>
            </w:pPr>
            <w:r w:rsidRPr="0098262F">
              <w:t>HR (95% CI)</w:t>
            </w:r>
          </w:p>
        </w:tc>
      </w:tr>
      <w:tr w:rsidR="0070001F" w:rsidRPr="0098262F" w14:paraId="5A6F7A3F" w14:textId="77777777">
        <w:tc>
          <w:tcPr>
            <w:tcW w:w="9022" w:type="dxa"/>
            <w:gridSpan w:val="6"/>
            <w:shd w:val="clear" w:color="auto" w:fill="D9D9D9" w:themeFill="background1" w:themeFillShade="D9"/>
            <w:vAlign w:val="center"/>
          </w:tcPr>
          <w:p w14:paraId="1B926669" w14:textId="77777777" w:rsidR="00E50A74" w:rsidRPr="00D65570" w:rsidRDefault="00E50A74" w:rsidP="00530866">
            <w:pPr>
              <w:pStyle w:val="TableText0"/>
              <w:rPr>
                <w:b/>
                <w:bCs w:val="0"/>
              </w:rPr>
            </w:pPr>
            <w:r w:rsidRPr="00D65570">
              <w:rPr>
                <w:b/>
                <w:bCs w:val="0"/>
              </w:rPr>
              <w:t>Prior osimertinib in 1L</w:t>
            </w:r>
          </w:p>
        </w:tc>
      </w:tr>
      <w:tr w:rsidR="002B1728" w:rsidRPr="0098262F" w14:paraId="361C5529" w14:textId="77777777">
        <w:tc>
          <w:tcPr>
            <w:tcW w:w="1500" w:type="dxa"/>
            <w:vMerge w:val="restart"/>
            <w:vAlign w:val="center"/>
          </w:tcPr>
          <w:p w14:paraId="01B1B442" w14:textId="77777777" w:rsidR="00E50A74" w:rsidRPr="0098262F" w:rsidRDefault="00E50A74" w:rsidP="00530866">
            <w:pPr>
              <w:pStyle w:val="TableText0"/>
            </w:pPr>
            <w:r>
              <w:t>MARIPOSA-2</w:t>
            </w:r>
          </w:p>
        </w:tc>
        <w:tc>
          <w:tcPr>
            <w:tcW w:w="1759" w:type="dxa"/>
            <w:vAlign w:val="center"/>
          </w:tcPr>
          <w:p w14:paraId="195CF4A3" w14:textId="77777777" w:rsidR="00E50A74" w:rsidRPr="0098262F" w:rsidRDefault="00E50A74" w:rsidP="00530866">
            <w:pPr>
              <w:pStyle w:val="TableText0"/>
            </w:pPr>
            <w:r w:rsidRPr="0098262F">
              <w:t>Progressed</w:t>
            </w:r>
          </w:p>
        </w:tc>
        <w:tc>
          <w:tcPr>
            <w:tcW w:w="1338" w:type="dxa"/>
            <w:vAlign w:val="center"/>
          </w:tcPr>
          <w:p w14:paraId="1E21CE96" w14:textId="77777777" w:rsidR="00E50A74" w:rsidRPr="0098262F" w:rsidRDefault="00E50A74" w:rsidP="00530866">
            <w:pPr>
              <w:pStyle w:val="TableText0"/>
              <w:jc w:val="center"/>
              <w:rPr>
                <w:iCs/>
              </w:rPr>
            </w:pPr>
            <w:r>
              <w:rPr>
                <w:iCs/>
              </w:rPr>
              <w:t>54/97 (56%)</w:t>
            </w:r>
          </w:p>
        </w:tc>
        <w:tc>
          <w:tcPr>
            <w:tcW w:w="1504" w:type="dxa"/>
            <w:vAlign w:val="center"/>
          </w:tcPr>
          <w:p w14:paraId="11FF11E8" w14:textId="77777777" w:rsidR="00E50A74" w:rsidRPr="0098262F" w:rsidRDefault="00E50A74" w:rsidP="00530866">
            <w:pPr>
              <w:pStyle w:val="TableText0"/>
              <w:jc w:val="center"/>
              <w:rPr>
                <w:iCs/>
              </w:rPr>
            </w:pPr>
            <w:r>
              <w:rPr>
                <w:iCs/>
              </w:rPr>
              <w:t>117/181 (65%)</w:t>
            </w:r>
          </w:p>
        </w:tc>
        <w:tc>
          <w:tcPr>
            <w:tcW w:w="1248" w:type="dxa"/>
            <w:vAlign w:val="center"/>
          </w:tcPr>
          <w:p w14:paraId="015EBAB7" w14:textId="18DCDFAA" w:rsidR="00E50A74" w:rsidRPr="0098262F" w:rsidRDefault="00E50A74" w:rsidP="00530866">
            <w:pPr>
              <w:pStyle w:val="TableText0"/>
              <w:jc w:val="center"/>
            </w:pPr>
          </w:p>
        </w:tc>
        <w:tc>
          <w:tcPr>
            <w:tcW w:w="1673" w:type="dxa"/>
            <w:vAlign w:val="center"/>
          </w:tcPr>
          <w:p w14:paraId="2A2DB242" w14:textId="77777777" w:rsidR="00E50A74" w:rsidRPr="0098262F" w:rsidRDefault="00E50A74" w:rsidP="00530866">
            <w:pPr>
              <w:pStyle w:val="TableText0"/>
              <w:jc w:val="center"/>
            </w:pPr>
            <w:r w:rsidRPr="0098262F">
              <w:t>-</w:t>
            </w:r>
          </w:p>
        </w:tc>
      </w:tr>
      <w:tr w:rsidR="00B81055" w:rsidRPr="0098262F" w14:paraId="5EB357DC" w14:textId="77777777">
        <w:tc>
          <w:tcPr>
            <w:tcW w:w="1500" w:type="dxa"/>
            <w:vMerge/>
            <w:tcBorders>
              <w:bottom w:val="double" w:sz="4" w:space="0" w:color="auto"/>
            </w:tcBorders>
            <w:vAlign w:val="center"/>
          </w:tcPr>
          <w:p w14:paraId="77FBDA4C" w14:textId="77777777" w:rsidR="00E50A74" w:rsidRPr="0098262F" w:rsidRDefault="00E50A74" w:rsidP="00530866">
            <w:pPr>
              <w:pStyle w:val="TableText0"/>
            </w:pPr>
          </w:p>
        </w:tc>
        <w:tc>
          <w:tcPr>
            <w:tcW w:w="1759" w:type="dxa"/>
            <w:tcBorders>
              <w:bottom w:val="double" w:sz="4" w:space="0" w:color="auto"/>
            </w:tcBorders>
            <w:vAlign w:val="center"/>
          </w:tcPr>
          <w:p w14:paraId="13F29A63" w14:textId="77777777" w:rsidR="00E50A74" w:rsidRPr="0098262F" w:rsidRDefault="00E50A74" w:rsidP="00530866">
            <w:pPr>
              <w:pStyle w:val="TableText0"/>
            </w:pPr>
            <w:r w:rsidRPr="0098262F">
              <w:t>Median months PFS</w:t>
            </w:r>
          </w:p>
        </w:tc>
        <w:tc>
          <w:tcPr>
            <w:tcW w:w="1338" w:type="dxa"/>
            <w:tcBorders>
              <w:bottom w:val="double" w:sz="4" w:space="0" w:color="auto"/>
            </w:tcBorders>
            <w:vAlign w:val="center"/>
          </w:tcPr>
          <w:p w14:paraId="5D197658" w14:textId="77777777" w:rsidR="00E50A74" w:rsidRPr="0098262F" w:rsidRDefault="00E50A74" w:rsidP="00530866">
            <w:pPr>
              <w:pStyle w:val="TableText0"/>
              <w:jc w:val="center"/>
              <w:rPr>
                <w:iCs/>
              </w:rPr>
            </w:pPr>
            <w:r>
              <w:rPr>
                <w:iCs/>
              </w:rPr>
              <w:t>6.28</w:t>
            </w:r>
          </w:p>
        </w:tc>
        <w:tc>
          <w:tcPr>
            <w:tcW w:w="1504" w:type="dxa"/>
            <w:tcBorders>
              <w:bottom w:val="double" w:sz="4" w:space="0" w:color="auto"/>
            </w:tcBorders>
            <w:vAlign w:val="center"/>
          </w:tcPr>
          <w:p w14:paraId="34DDF885" w14:textId="77777777" w:rsidR="00E50A74" w:rsidRPr="0098262F" w:rsidRDefault="00E50A74" w:rsidP="00530866">
            <w:pPr>
              <w:pStyle w:val="TableText0"/>
              <w:jc w:val="center"/>
              <w:rPr>
                <w:iCs/>
              </w:rPr>
            </w:pPr>
            <w:r>
              <w:rPr>
                <w:iCs/>
              </w:rPr>
              <w:t>4.07</w:t>
            </w:r>
          </w:p>
        </w:tc>
        <w:tc>
          <w:tcPr>
            <w:tcW w:w="1248" w:type="dxa"/>
            <w:tcBorders>
              <w:bottom w:val="double" w:sz="4" w:space="0" w:color="auto"/>
            </w:tcBorders>
            <w:vAlign w:val="center"/>
          </w:tcPr>
          <w:p w14:paraId="4293C508" w14:textId="77777777" w:rsidR="00E50A74" w:rsidRPr="0098262F" w:rsidRDefault="00E50A74" w:rsidP="00530866">
            <w:pPr>
              <w:pStyle w:val="TableText0"/>
              <w:jc w:val="center"/>
            </w:pPr>
            <w:r>
              <w:t>2.21</w:t>
            </w:r>
          </w:p>
        </w:tc>
        <w:tc>
          <w:tcPr>
            <w:tcW w:w="1673" w:type="dxa"/>
            <w:tcBorders>
              <w:bottom w:val="double" w:sz="4" w:space="0" w:color="auto"/>
            </w:tcBorders>
            <w:vAlign w:val="center"/>
          </w:tcPr>
          <w:p w14:paraId="39FA9F05" w14:textId="77777777" w:rsidR="00E50A74" w:rsidRPr="0098262F" w:rsidRDefault="00E50A74" w:rsidP="00530866">
            <w:pPr>
              <w:pStyle w:val="TableText0"/>
              <w:jc w:val="center"/>
            </w:pPr>
            <w:r>
              <w:t>0.47 (0.34, 0.66)</w:t>
            </w:r>
          </w:p>
        </w:tc>
      </w:tr>
      <w:tr w:rsidR="0026644E" w:rsidRPr="0098262F" w14:paraId="5B5D330F" w14:textId="77777777">
        <w:tc>
          <w:tcPr>
            <w:tcW w:w="1500" w:type="dxa"/>
            <w:tcBorders>
              <w:top w:val="double" w:sz="4" w:space="0" w:color="auto"/>
              <w:bottom w:val="single" w:sz="4" w:space="0" w:color="auto"/>
            </w:tcBorders>
            <w:vAlign w:val="center"/>
          </w:tcPr>
          <w:p w14:paraId="213E72FB" w14:textId="77777777" w:rsidR="00E50A74" w:rsidRPr="0098262F" w:rsidRDefault="00E50A74" w:rsidP="00530866">
            <w:pPr>
              <w:pStyle w:val="In-tableHeading"/>
            </w:pPr>
            <w:r w:rsidRPr="0098262F">
              <w:t>Comparators</w:t>
            </w:r>
          </w:p>
        </w:tc>
        <w:tc>
          <w:tcPr>
            <w:tcW w:w="1759" w:type="dxa"/>
            <w:tcBorders>
              <w:top w:val="double" w:sz="4" w:space="0" w:color="auto"/>
              <w:bottom w:val="single" w:sz="4" w:space="0" w:color="auto"/>
            </w:tcBorders>
            <w:vAlign w:val="center"/>
          </w:tcPr>
          <w:p w14:paraId="73CDDBC6" w14:textId="77777777" w:rsidR="00E50A74" w:rsidRPr="0098262F" w:rsidRDefault="00E50A74" w:rsidP="00530866">
            <w:pPr>
              <w:pStyle w:val="In-tableHeading"/>
            </w:pPr>
          </w:p>
        </w:tc>
        <w:tc>
          <w:tcPr>
            <w:tcW w:w="1338" w:type="dxa"/>
            <w:tcBorders>
              <w:top w:val="double" w:sz="4" w:space="0" w:color="auto"/>
              <w:bottom w:val="single" w:sz="4" w:space="0" w:color="auto"/>
            </w:tcBorders>
            <w:vAlign w:val="center"/>
          </w:tcPr>
          <w:p w14:paraId="3B753DE8" w14:textId="77777777" w:rsidR="00E50A74" w:rsidRPr="0098262F" w:rsidRDefault="00E50A74" w:rsidP="00530866">
            <w:pPr>
              <w:pStyle w:val="In-tableHeading"/>
              <w:jc w:val="center"/>
            </w:pPr>
            <w:r>
              <w:t>ABCP</w:t>
            </w:r>
          </w:p>
          <w:p w14:paraId="1BD4B43E" w14:textId="77777777" w:rsidR="00E50A74" w:rsidRPr="0098262F" w:rsidRDefault="00E50A74" w:rsidP="00530866">
            <w:pPr>
              <w:pStyle w:val="In-tableHeading"/>
              <w:jc w:val="center"/>
            </w:pPr>
            <w:r w:rsidRPr="0098262F">
              <w:t>n/N (%)</w:t>
            </w:r>
          </w:p>
        </w:tc>
        <w:tc>
          <w:tcPr>
            <w:tcW w:w="1504" w:type="dxa"/>
            <w:tcBorders>
              <w:top w:val="double" w:sz="4" w:space="0" w:color="auto"/>
              <w:bottom w:val="single" w:sz="4" w:space="0" w:color="auto"/>
            </w:tcBorders>
            <w:vAlign w:val="center"/>
          </w:tcPr>
          <w:p w14:paraId="4A136286" w14:textId="77777777" w:rsidR="00E50A74" w:rsidRPr="0098262F" w:rsidRDefault="00E50A74" w:rsidP="00530866">
            <w:pPr>
              <w:pStyle w:val="In-tableHeading"/>
              <w:jc w:val="center"/>
            </w:pPr>
            <w:r>
              <w:t>CP</w:t>
            </w:r>
          </w:p>
          <w:p w14:paraId="64B78AC4" w14:textId="77777777" w:rsidR="00E50A74" w:rsidRPr="0098262F" w:rsidRDefault="00E50A74" w:rsidP="00530866">
            <w:pPr>
              <w:pStyle w:val="In-tableHeading"/>
              <w:jc w:val="center"/>
            </w:pPr>
            <w:r w:rsidRPr="0098262F">
              <w:t>n/N (%)</w:t>
            </w:r>
          </w:p>
        </w:tc>
        <w:tc>
          <w:tcPr>
            <w:tcW w:w="1248" w:type="dxa"/>
            <w:tcBorders>
              <w:top w:val="double" w:sz="4" w:space="0" w:color="auto"/>
              <w:bottom w:val="single" w:sz="4" w:space="0" w:color="auto"/>
            </w:tcBorders>
            <w:vAlign w:val="center"/>
          </w:tcPr>
          <w:p w14:paraId="7053641B" w14:textId="77777777" w:rsidR="00E50A74" w:rsidRPr="0098262F" w:rsidRDefault="00E50A74" w:rsidP="00530866">
            <w:pPr>
              <w:pStyle w:val="In-tableHeading"/>
              <w:jc w:val="center"/>
            </w:pPr>
            <w:r w:rsidRPr="0098262F">
              <w:t>Absolute difference</w:t>
            </w:r>
          </w:p>
        </w:tc>
        <w:tc>
          <w:tcPr>
            <w:tcW w:w="1673" w:type="dxa"/>
            <w:tcBorders>
              <w:top w:val="double" w:sz="4" w:space="0" w:color="auto"/>
              <w:bottom w:val="single" w:sz="4" w:space="0" w:color="auto"/>
            </w:tcBorders>
            <w:vAlign w:val="center"/>
          </w:tcPr>
          <w:p w14:paraId="4A345705" w14:textId="77777777" w:rsidR="00E50A74" w:rsidRPr="0098262F" w:rsidRDefault="00E50A74" w:rsidP="00530866">
            <w:pPr>
              <w:pStyle w:val="In-tableHeading"/>
              <w:jc w:val="center"/>
            </w:pPr>
            <w:r w:rsidRPr="0098262F">
              <w:t>HR (95% CI)</w:t>
            </w:r>
          </w:p>
        </w:tc>
      </w:tr>
      <w:tr w:rsidR="00B81055" w:rsidRPr="0098262F" w14:paraId="55D30D62" w14:textId="77777777">
        <w:tc>
          <w:tcPr>
            <w:tcW w:w="1500" w:type="dxa"/>
            <w:vMerge w:val="restart"/>
            <w:tcBorders>
              <w:top w:val="single" w:sz="4" w:space="0" w:color="auto"/>
            </w:tcBorders>
            <w:vAlign w:val="center"/>
          </w:tcPr>
          <w:p w14:paraId="44146338" w14:textId="77777777" w:rsidR="00E50A74" w:rsidRPr="0098262F" w:rsidRDefault="00E50A74" w:rsidP="00530866">
            <w:pPr>
              <w:pStyle w:val="TableText0"/>
            </w:pPr>
            <w:r>
              <w:t>ATTLAS</w:t>
            </w:r>
          </w:p>
        </w:tc>
        <w:tc>
          <w:tcPr>
            <w:tcW w:w="1759" w:type="dxa"/>
            <w:tcBorders>
              <w:top w:val="single" w:sz="4" w:space="0" w:color="auto"/>
            </w:tcBorders>
            <w:vAlign w:val="center"/>
          </w:tcPr>
          <w:p w14:paraId="5D2F4537" w14:textId="77777777" w:rsidR="00E50A74" w:rsidRPr="0098262F" w:rsidRDefault="00E50A74" w:rsidP="00530866">
            <w:pPr>
              <w:pStyle w:val="TableText0"/>
            </w:pPr>
            <w:r w:rsidRPr="0098262F">
              <w:t>Progressed</w:t>
            </w:r>
          </w:p>
        </w:tc>
        <w:tc>
          <w:tcPr>
            <w:tcW w:w="1338" w:type="dxa"/>
            <w:tcBorders>
              <w:top w:val="single" w:sz="4" w:space="0" w:color="auto"/>
            </w:tcBorders>
            <w:vAlign w:val="center"/>
          </w:tcPr>
          <w:p w14:paraId="797F4211" w14:textId="77777777" w:rsidR="00E50A74" w:rsidRPr="0098262F" w:rsidRDefault="00E50A74" w:rsidP="00530866">
            <w:pPr>
              <w:pStyle w:val="TableText0"/>
              <w:jc w:val="center"/>
            </w:pPr>
            <w:r>
              <w:t>9/12 (75%)</w:t>
            </w:r>
          </w:p>
        </w:tc>
        <w:tc>
          <w:tcPr>
            <w:tcW w:w="1504" w:type="dxa"/>
            <w:tcBorders>
              <w:top w:val="single" w:sz="4" w:space="0" w:color="auto"/>
            </w:tcBorders>
            <w:vAlign w:val="center"/>
          </w:tcPr>
          <w:p w14:paraId="22168661" w14:textId="77777777" w:rsidR="00E50A74" w:rsidRPr="0098262F" w:rsidRDefault="00E50A74" w:rsidP="00530866">
            <w:pPr>
              <w:pStyle w:val="TableText0"/>
              <w:jc w:val="center"/>
            </w:pPr>
            <w:r>
              <w:t>9/9 (100%)</w:t>
            </w:r>
          </w:p>
        </w:tc>
        <w:tc>
          <w:tcPr>
            <w:tcW w:w="1248" w:type="dxa"/>
            <w:tcBorders>
              <w:top w:val="single" w:sz="4" w:space="0" w:color="auto"/>
            </w:tcBorders>
            <w:vAlign w:val="center"/>
          </w:tcPr>
          <w:p w14:paraId="552E08FC" w14:textId="78E44085" w:rsidR="00E50A74" w:rsidRPr="0098262F" w:rsidRDefault="00E50A74" w:rsidP="00530866">
            <w:pPr>
              <w:pStyle w:val="TableText0"/>
              <w:jc w:val="center"/>
            </w:pPr>
          </w:p>
        </w:tc>
        <w:tc>
          <w:tcPr>
            <w:tcW w:w="1673" w:type="dxa"/>
            <w:tcBorders>
              <w:top w:val="single" w:sz="4" w:space="0" w:color="auto"/>
            </w:tcBorders>
            <w:vAlign w:val="center"/>
          </w:tcPr>
          <w:p w14:paraId="621B8BE7" w14:textId="77777777" w:rsidR="00E50A74" w:rsidRPr="0098262F" w:rsidRDefault="00E50A74" w:rsidP="00530866">
            <w:pPr>
              <w:pStyle w:val="TableText0"/>
              <w:jc w:val="center"/>
            </w:pPr>
            <w:r>
              <w:t>-</w:t>
            </w:r>
          </w:p>
        </w:tc>
      </w:tr>
      <w:tr w:rsidR="002B1728" w:rsidRPr="0098262F" w14:paraId="047AE882" w14:textId="77777777">
        <w:tc>
          <w:tcPr>
            <w:tcW w:w="1500" w:type="dxa"/>
            <w:vMerge/>
            <w:vAlign w:val="center"/>
          </w:tcPr>
          <w:p w14:paraId="1CB55B18" w14:textId="77777777" w:rsidR="00E50A74" w:rsidRPr="0098262F" w:rsidRDefault="00E50A74" w:rsidP="00530866">
            <w:pPr>
              <w:pStyle w:val="TableText0"/>
              <w:jc w:val="center"/>
            </w:pPr>
          </w:p>
        </w:tc>
        <w:tc>
          <w:tcPr>
            <w:tcW w:w="1759" w:type="dxa"/>
            <w:vAlign w:val="center"/>
          </w:tcPr>
          <w:p w14:paraId="7474702C" w14:textId="77777777" w:rsidR="00E50A74" w:rsidRPr="0098262F" w:rsidRDefault="00E50A74" w:rsidP="00530866">
            <w:pPr>
              <w:pStyle w:val="TableText0"/>
            </w:pPr>
            <w:r w:rsidRPr="0098262F">
              <w:t>Median months PFS</w:t>
            </w:r>
          </w:p>
        </w:tc>
        <w:tc>
          <w:tcPr>
            <w:tcW w:w="1338" w:type="dxa"/>
            <w:vAlign w:val="center"/>
          </w:tcPr>
          <w:p w14:paraId="32003AA0" w14:textId="77777777" w:rsidR="00E50A74" w:rsidRPr="0098262F" w:rsidRDefault="00E50A74" w:rsidP="00530866">
            <w:pPr>
              <w:pStyle w:val="TableText0"/>
              <w:jc w:val="center"/>
            </w:pPr>
            <w:r>
              <w:t>6.47</w:t>
            </w:r>
          </w:p>
        </w:tc>
        <w:tc>
          <w:tcPr>
            <w:tcW w:w="1504" w:type="dxa"/>
            <w:vAlign w:val="center"/>
          </w:tcPr>
          <w:p w14:paraId="4DD5E2AB" w14:textId="77777777" w:rsidR="00E50A74" w:rsidRPr="0098262F" w:rsidRDefault="00E50A74" w:rsidP="00530866">
            <w:pPr>
              <w:pStyle w:val="TableText0"/>
              <w:jc w:val="center"/>
            </w:pPr>
            <w:r>
              <w:t>4.14</w:t>
            </w:r>
          </w:p>
        </w:tc>
        <w:tc>
          <w:tcPr>
            <w:tcW w:w="1248" w:type="dxa"/>
            <w:vAlign w:val="center"/>
          </w:tcPr>
          <w:p w14:paraId="21658C18" w14:textId="77777777" w:rsidR="00E50A74" w:rsidRPr="0098262F" w:rsidRDefault="00E50A74" w:rsidP="00530866">
            <w:pPr>
              <w:pStyle w:val="TableText0"/>
              <w:jc w:val="center"/>
            </w:pPr>
            <w:r>
              <w:t>2.33</w:t>
            </w:r>
          </w:p>
        </w:tc>
        <w:tc>
          <w:tcPr>
            <w:tcW w:w="1673" w:type="dxa"/>
            <w:vAlign w:val="center"/>
          </w:tcPr>
          <w:p w14:paraId="4FBC439E" w14:textId="77777777" w:rsidR="00E50A74" w:rsidRPr="0098262F" w:rsidRDefault="00E50A74" w:rsidP="00530866">
            <w:pPr>
              <w:pStyle w:val="TableText0"/>
              <w:jc w:val="center"/>
            </w:pPr>
            <w:r>
              <w:t>0.52 (0.19, 1.41)</w:t>
            </w:r>
          </w:p>
        </w:tc>
      </w:tr>
      <w:tr w:rsidR="002B1728" w:rsidRPr="0098262F" w14:paraId="365126B9" w14:textId="77777777">
        <w:tc>
          <w:tcPr>
            <w:tcW w:w="7349" w:type="dxa"/>
            <w:gridSpan w:val="5"/>
            <w:vAlign w:val="center"/>
          </w:tcPr>
          <w:p w14:paraId="7A366A1C" w14:textId="77777777" w:rsidR="00E50A74" w:rsidRPr="0098262F" w:rsidRDefault="00E50A74" w:rsidP="00530866">
            <w:pPr>
              <w:pStyle w:val="TableText0"/>
              <w:jc w:val="right"/>
              <w:rPr>
                <w:b/>
              </w:rPr>
            </w:pPr>
            <w:r w:rsidRPr="0098262F">
              <w:rPr>
                <w:b/>
              </w:rPr>
              <w:t xml:space="preserve">Indirect comparison </w:t>
            </w:r>
            <w:r>
              <w:rPr>
                <w:b/>
              </w:rPr>
              <w:t>AmiCP</w:t>
            </w:r>
            <w:r w:rsidRPr="0098262F">
              <w:rPr>
                <w:b/>
              </w:rPr>
              <w:t xml:space="preserve"> vs. </w:t>
            </w:r>
            <w:r>
              <w:rPr>
                <w:b/>
              </w:rPr>
              <w:t>ABCP</w:t>
            </w:r>
          </w:p>
        </w:tc>
        <w:tc>
          <w:tcPr>
            <w:tcW w:w="1673" w:type="dxa"/>
            <w:vAlign w:val="center"/>
          </w:tcPr>
          <w:p w14:paraId="1491BECB" w14:textId="77777777" w:rsidR="00E50A74" w:rsidRPr="00F208DE" w:rsidRDefault="00E50A74" w:rsidP="00530866">
            <w:pPr>
              <w:pStyle w:val="TableText0"/>
              <w:jc w:val="center"/>
              <w:rPr>
                <w:bCs w:val="0"/>
              </w:rPr>
            </w:pPr>
            <w:r w:rsidRPr="00F208DE">
              <w:rPr>
                <w:bCs w:val="0"/>
              </w:rPr>
              <w:t>0.9 (0.31, 2.6) p=0.85</w:t>
            </w:r>
          </w:p>
        </w:tc>
      </w:tr>
      <w:tr w:rsidR="0070001F" w:rsidRPr="0098262F" w14:paraId="640D2170" w14:textId="77777777">
        <w:tc>
          <w:tcPr>
            <w:tcW w:w="9022" w:type="dxa"/>
            <w:gridSpan w:val="6"/>
            <w:shd w:val="clear" w:color="auto" w:fill="D9D9D9" w:themeFill="background1" w:themeFillShade="D9"/>
            <w:vAlign w:val="center"/>
          </w:tcPr>
          <w:p w14:paraId="62474ACA" w14:textId="77777777" w:rsidR="00E50A74" w:rsidRPr="004A5606" w:rsidRDefault="00E50A74" w:rsidP="00530866">
            <w:pPr>
              <w:pStyle w:val="TableText0"/>
              <w:rPr>
                <w:bCs w:val="0"/>
              </w:rPr>
            </w:pPr>
            <w:r w:rsidRPr="00D65570">
              <w:rPr>
                <w:b/>
                <w:bCs w:val="0"/>
              </w:rPr>
              <w:t xml:space="preserve">Prior osimertinib in </w:t>
            </w:r>
            <w:r>
              <w:rPr>
                <w:b/>
                <w:bCs w:val="0"/>
              </w:rPr>
              <w:t>2L</w:t>
            </w:r>
          </w:p>
        </w:tc>
      </w:tr>
      <w:tr w:rsidR="002B1728" w:rsidRPr="0098262F" w14:paraId="64365317" w14:textId="77777777">
        <w:tc>
          <w:tcPr>
            <w:tcW w:w="1500" w:type="dxa"/>
            <w:vMerge w:val="restart"/>
            <w:vAlign w:val="center"/>
          </w:tcPr>
          <w:p w14:paraId="66C8C1C4" w14:textId="77777777" w:rsidR="00E50A74" w:rsidRPr="0098262F" w:rsidRDefault="00E50A74" w:rsidP="00530866">
            <w:pPr>
              <w:pStyle w:val="TableText0"/>
            </w:pPr>
            <w:r>
              <w:t>MARIPOSA-2</w:t>
            </w:r>
          </w:p>
        </w:tc>
        <w:tc>
          <w:tcPr>
            <w:tcW w:w="1759" w:type="dxa"/>
            <w:vAlign w:val="center"/>
          </w:tcPr>
          <w:p w14:paraId="3EBE749D" w14:textId="77777777" w:rsidR="00E50A74" w:rsidRPr="0098262F" w:rsidRDefault="00E50A74" w:rsidP="00530866">
            <w:pPr>
              <w:pStyle w:val="TableText0"/>
            </w:pPr>
            <w:r w:rsidRPr="0098262F">
              <w:t>Progressed</w:t>
            </w:r>
          </w:p>
        </w:tc>
        <w:tc>
          <w:tcPr>
            <w:tcW w:w="1338" w:type="dxa"/>
            <w:vAlign w:val="center"/>
          </w:tcPr>
          <w:p w14:paraId="2B8C80E8" w14:textId="77777777" w:rsidR="00E50A74" w:rsidRPr="0098262F" w:rsidRDefault="00E50A74" w:rsidP="00530866">
            <w:pPr>
              <w:pStyle w:val="TableText0"/>
              <w:jc w:val="center"/>
              <w:rPr>
                <w:iCs/>
              </w:rPr>
            </w:pPr>
            <w:r>
              <w:rPr>
                <w:iCs/>
              </w:rPr>
              <w:t>20/34 (59%)</w:t>
            </w:r>
          </w:p>
        </w:tc>
        <w:tc>
          <w:tcPr>
            <w:tcW w:w="1504" w:type="dxa"/>
            <w:vAlign w:val="center"/>
          </w:tcPr>
          <w:p w14:paraId="4839FDE7" w14:textId="77777777" w:rsidR="00E50A74" w:rsidRPr="0098262F" w:rsidRDefault="00E50A74" w:rsidP="00530866">
            <w:pPr>
              <w:pStyle w:val="TableText0"/>
              <w:jc w:val="center"/>
              <w:rPr>
                <w:iCs/>
              </w:rPr>
            </w:pPr>
            <w:r>
              <w:rPr>
                <w:iCs/>
              </w:rPr>
              <w:t>54/82 (66%)</w:t>
            </w:r>
          </w:p>
        </w:tc>
        <w:tc>
          <w:tcPr>
            <w:tcW w:w="1248" w:type="dxa"/>
            <w:vAlign w:val="center"/>
          </w:tcPr>
          <w:p w14:paraId="73CE548A" w14:textId="66A7DC0F" w:rsidR="00E50A74" w:rsidRPr="0098262F" w:rsidRDefault="00E50A74" w:rsidP="00530866">
            <w:pPr>
              <w:pStyle w:val="TableText0"/>
              <w:jc w:val="center"/>
            </w:pPr>
          </w:p>
        </w:tc>
        <w:tc>
          <w:tcPr>
            <w:tcW w:w="1673" w:type="dxa"/>
            <w:vAlign w:val="center"/>
          </w:tcPr>
          <w:p w14:paraId="4D8E393A" w14:textId="77777777" w:rsidR="00E50A74" w:rsidRPr="0098262F" w:rsidRDefault="00E50A74" w:rsidP="00530866">
            <w:pPr>
              <w:pStyle w:val="TableText0"/>
              <w:jc w:val="center"/>
            </w:pPr>
            <w:r w:rsidRPr="0098262F">
              <w:t>-</w:t>
            </w:r>
          </w:p>
        </w:tc>
      </w:tr>
      <w:tr w:rsidR="00B81055" w:rsidRPr="0098262F" w14:paraId="25493EE9" w14:textId="77777777">
        <w:tc>
          <w:tcPr>
            <w:tcW w:w="1500" w:type="dxa"/>
            <w:vMerge/>
            <w:tcBorders>
              <w:bottom w:val="double" w:sz="4" w:space="0" w:color="auto"/>
            </w:tcBorders>
            <w:vAlign w:val="center"/>
          </w:tcPr>
          <w:p w14:paraId="131E7E36" w14:textId="77777777" w:rsidR="00E50A74" w:rsidRPr="0098262F" w:rsidRDefault="00E50A74" w:rsidP="00530866">
            <w:pPr>
              <w:pStyle w:val="TableText0"/>
            </w:pPr>
          </w:p>
        </w:tc>
        <w:tc>
          <w:tcPr>
            <w:tcW w:w="1759" w:type="dxa"/>
            <w:tcBorders>
              <w:bottom w:val="double" w:sz="4" w:space="0" w:color="auto"/>
            </w:tcBorders>
            <w:vAlign w:val="center"/>
          </w:tcPr>
          <w:p w14:paraId="13DCA3D4" w14:textId="77777777" w:rsidR="00E50A74" w:rsidRPr="0098262F" w:rsidRDefault="00E50A74" w:rsidP="00530866">
            <w:pPr>
              <w:pStyle w:val="TableText0"/>
            </w:pPr>
            <w:r w:rsidRPr="0098262F">
              <w:t>Median months PFS</w:t>
            </w:r>
          </w:p>
        </w:tc>
        <w:tc>
          <w:tcPr>
            <w:tcW w:w="1338" w:type="dxa"/>
            <w:tcBorders>
              <w:bottom w:val="double" w:sz="4" w:space="0" w:color="auto"/>
            </w:tcBorders>
            <w:vAlign w:val="center"/>
          </w:tcPr>
          <w:p w14:paraId="1285B710" w14:textId="77777777" w:rsidR="00E50A74" w:rsidRPr="0098262F" w:rsidRDefault="00E50A74" w:rsidP="00530866">
            <w:pPr>
              <w:pStyle w:val="TableText0"/>
              <w:jc w:val="center"/>
              <w:rPr>
                <w:iCs/>
              </w:rPr>
            </w:pPr>
            <w:r>
              <w:rPr>
                <w:iCs/>
              </w:rPr>
              <w:t>6.21</w:t>
            </w:r>
          </w:p>
        </w:tc>
        <w:tc>
          <w:tcPr>
            <w:tcW w:w="1504" w:type="dxa"/>
            <w:tcBorders>
              <w:bottom w:val="double" w:sz="4" w:space="0" w:color="auto"/>
            </w:tcBorders>
            <w:vAlign w:val="center"/>
          </w:tcPr>
          <w:p w14:paraId="2ECC9962" w14:textId="77777777" w:rsidR="00E50A74" w:rsidRPr="0098262F" w:rsidRDefault="00E50A74" w:rsidP="00530866">
            <w:pPr>
              <w:pStyle w:val="TableText0"/>
              <w:jc w:val="center"/>
              <w:rPr>
                <w:iCs/>
              </w:rPr>
            </w:pPr>
            <w:r>
              <w:rPr>
                <w:iCs/>
              </w:rPr>
              <w:t>5.26</w:t>
            </w:r>
          </w:p>
        </w:tc>
        <w:tc>
          <w:tcPr>
            <w:tcW w:w="1248" w:type="dxa"/>
            <w:tcBorders>
              <w:bottom w:val="double" w:sz="4" w:space="0" w:color="auto"/>
            </w:tcBorders>
            <w:vAlign w:val="center"/>
          </w:tcPr>
          <w:p w14:paraId="7A2523C2" w14:textId="77777777" w:rsidR="00E50A74" w:rsidRPr="0098262F" w:rsidRDefault="00E50A74" w:rsidP="00530866">
            <w:pPr>
              <w:pStyle w:val="TableText0"/>
              <w:jc w:val="center"/>
            </w:pPr>
            <w:r>
              <w:t>0.95</w:t>
            </w:r>
          </w:p>
        </w:tc>
        <w:tc>
          <w:tcPr>
            <w:tcW w:w="1673" w:type="dxa"/>
            <w:tcBorders>
              <w:bottom w:val="double" w:sz="4" w:space="0" w:color="auto"/>
            </w:tcBorders>
            <w:vAlign w:val="center"/>
          </w:tcPr>
          <w:p w14:paraId="7DD9BD89" w14:textId="77777777" w:rsidR="00E50A74" w:rsidRPr="0098262F" w:rsidRDefault="00E50A74" w:rsidP="00530866">
            <w:pPr>
              <w:pStyle w:val="TableText0"/>
              <w:jc w:val="center"/>
            </w:pPr>
            <w:r>
              <w:t>0.55 (0.32, 0.93)</w:t>
            </w:r>
          </w:p>
        </w:tc>
      </w:tr>
      <w:tr w:rsidR="0026644E" w:rsidRPr="0098262F" w14:paraId="661D212E" w14:textId="77777777">
        <w:tc>
          <w:tcPr>
            <w:tcW w:w="1500" w:type="dxa"/>
            <w:tcBorders>
              <w:top w:val="double" w:sz="4" w:space="0" w:color="auto"/>
              <w:bottom w:val="single" w:sz="4" w:space="0" w:color="auto"/>
            </w:tcBorders>
            <w:vAlign w:val="center"/>
          </w:tcPr>
          <w:p w14:paraId="05FF3A27" w14:textId="77777777" w:rsidR="00E50A74" w:rsidRPr="0098262F" w:rsidRDefault="00E50A74" w:rsidP="00530866">
            <w:pPr>
              <w:pStyle w:val="In-tableHeading"/>
            </w:pPr>
            <w:r w:rsidRPr="0098262F">
              <w:t>Comparators</w:t>
            </w:r>
          </w:p>
        </w:tc>
        <w:tc>
          <w:tcPr>
            <w:tcW w:w="1759" w:type="dxa"/>
            <w:tcBorders>
              <w:top w:val="double" w:sz="4" w:space="0" w:color="auto"/>
              <w:bottom w:val="single" w:sz="4" w:space="0" w:color="auto"/>
            </w:tcBorders>
            <w:vAlign w:val="center"/>
          </w:tcPr>
          <w:p w14:paraId="2B66A4EA" w14:textId="77777777" w:rsidR="00E50A74" w:rsidRPr="0098262F" w:rsidRDefault="00E50A74" w:rsidP="00530866">
            <w:pPr>
              <w:pStyle w:val="In-tableHeading"/>
            </w:pPr>
          </w:p>
        </w:tc>
        <w:tc>
          <w:tcPr>
            <w:tcW w:w="1338" w:type="dxa"/>
            <w:tcBorders>
              <w:top w:val="double" w:sz="4" w:space="0" w:color="auto"/>
              <w:bottom w:val="single" w:sz="4" w:space="0" w:color="auto"/>
            </w:tcBorders>
            <w:vAlign w:val="center"/>
          </w:tcPr>
          <w:p w14:paraId="1BD16812" w14:textId="77777777" w:rsidR="00E50A74" w:rsidRPr="0098262F" w:rsidRDefault="00E50A74" w:rsidP="00530866">
            <w:pPr>
              <w:pStyle w:val="In-tableHeading"/>
              <w:jc w:val="center"/>
            </w:pPr>
            <w:r>
              <w:t>ABCP</w:t>
            </w:r>
          </w:p>
          <w:p w14:paraId="4B9243D2" w14:textId="77777777" w:rsidR="00E50A74" w:rsidRPr="0098262F" w:rsidRDefault="00E50A74" w:rsidP="00530866">
            <w:pPr>
              <w:pStyle w:val="In-tableHeading"/>
              <w:jc w:val="center"/>
            </w:pPr>
            <w:r w:rsidRPr="0098262F">
              <w:t>n/N (%)</w:t>
            </w:r>
          </w:p>
        </w:tc>
        <w:tc>
          <w:tcPr>
            <w:tcW w:w="1504" w:type="dxa"/>
            <w:tcBorders>
              <w:top w:val="double" w:sz="4" w:space="0" w:color="auto"/>
              <w:bottom w:val="single" w:sz="4" w:space="0" w:color="auto"/>
            </w:tcBorders>
            <w:vAlign w:val="center"/>
          </w:tcPr>
          <w:p w14:paraId="45409B7E" w14:textId="77777777" w:rsidR="00E50A74" w:rsidRPr="0098262F" w:rsidRDefault="00E50A74" w:rsidP="00530866">
            <w:pPr>
              <w:pStyle w:val="In-tableHeading"/>
              <w:jc w:val="center"/>
            </w:pPr>
            <w:r>
              <w:t>CP</w:t>
            </w:r>
          </w:p>
          <w:p w14:paraId="5A9A0032" w14:textId="77777777" w:rsidR="00E50A74" w:rsidRPr="0098262F" w:rsidRDefault="00E50A74" w:rsidP="00530866">
            <w:pPr>
              <w:pStyle w:val="In-tableHeading"/>
              <w:jc w:val="center"/>
            </w:pPr>
            <w:r w:rsidRPr="0098262F">
              <w:t>n/N (%)</w:t>
            </w:r>
          </w:p>
        </w:tc>
        <w:tc>
          <w:tcPr>
            <w:tcW w:w="1248" w:type="dxa"/>
            <w:tcBorders>
              <w:top w:val="double" w:sz="4" w:space="0" w:color="auto"/>
              <w:bottom w:val="single" w:sz="4" w:space="0" w:color="auto"/>
            </w:tcBorders>
            <w:vAlign w:val="center"/>
          </w:tcPr>
          <w:p w14:paraId="61066CAE" w14:textId="77777777" w:rsidR="00E50A74" w:rsidRPr="0098262F" w:rsidRDefault="00E50A74" w:rsidP="00530866">
            <w:pPr>
              <w:pStyle w:val="In-tableHeading"/>
              <w:jc w:val="center"/>
            </w:pPr>
            <w:r w:rsidRPr="0098262F">
              <w:t>Absolute difference</w:t>
            </w:r>
          </w:p>
        </w:tc>
        <w:tc>
          <w:tcPr>
            <w:tcW w:w="1673" w:type="dxa"/>
            <w:tcBorders>
              <w:top w:val="double" w:sz="4" w:space="0" w:color="auto"/>
              <w:bottom w:val="single" w:sz="4" w:space="0" w:color="auto"/>
            </w:tcBorders>
            <w:vAlign w:val="center"/>
          </w:tcPr>
          <w:p w14:paraId="4E844C57" w14:textId="77777777" w:rsidR="00E50A74" w:rsidRPr="0098262F" w:rsidRDefault="00E50A74" w:rsidP="00530866">
            <w:pPr>
              <w:pStyle w:val="In-tableHeading"/>
              <w:jc w:val="center"/>
            </w:pPr>
            <w:r w:rsidRPr="0098262F">
              <w:t>HR (95% CI)</w:t>
            </w:r>
          </w:p>
        </w:tc>
      </w:tr>
      <w:tr w:rsidR="00B81055" w:rsidRPr="0098262F" w14:paraId="6B81C244" w14:textId="77777777">
        <w:tc>
          <w:tcPr>
            <w:tcW w:w="1500" w:type="dxa"/>
            <w:vMerge w:val="restart"/>
            <w:tcBorders>
              <w:top w:val="single" w:sz="4" w:space="0" w:color="auto"/>
            </w:tcBorders>
            <w:vAlign w:val="center"/>
          </w:tcPr>
          <w:p w14:paraId="53273395" w14:textId="77777777" w:rsidR="00E50A74" w:rsidRPr="0098262F" w:rsidRDefault="00E50A74" w:rsidP="00530866">
            <w:pPr>
              <w:pStyle w:val="TableText0"/>
            </w:pPr>
            <w:r>
              <w:t>ATTLAS</w:t>
            </w:r>
          </w:p>
        </w:tc>
        <w:tc>
          <w:tcPr>
            <w:tcW w:w="1759" w:type="dxa"/>
            <w:tcBorders>
              <w:top w:val="single" w:sz="4" w:space="0" w:color="auto"/>
            </w:tcBorders>
            <w:vAlign w:val="center"/>
          </w:tcPr>
          <w:p w14:paraId="21F2C05C" w14:textId="77777777" w:rsidR="00E50A74" w:rsidRPr="0098262F" w:rsidRDefault="00E50A74" w:rsidP="00530866">
            <w:pPr>
              <w:pStyle w:val="TableText0"/>
            </w:pPr>
            <w:r w:rsidRPr="0098262F">
              <w:t>Progressed</w:t>
            </w:r>
          </w:p>
        </w:tc>
        <w:tc>
          <w:tcPr>
            <w:tcW w:w="1338" w:type="dxa"/>
            <w:tcBorders>
              <w:top w:val="single" w:sz="4" w:space="0" w:color="auto"/>
            </w:tcBorders>
            <w:vAlign w:val="center"/>
          </w:tcPr>
          <w:p w14:paraId="78CA4C1B" w14:textId="77777777" w:rsidR="00E50A74" w:rsidRPr="0098262F" w:rsidRDefault="00E50A74" w:rsidP="00530866">
            <w:pPr>
              <w:pStyle w:val="TableFigureHeading"/>
            </w:pPr>
            <w:r>
              <w:t>44/50 (88%)</w:t>
            </w:r>
          </w:p>
        </w:tc>
        <w:tc>
          <w:tcPr>
            <w:tcW w:w="1504" w:type="dxa"/>
            <w:tcBorders>
              <w:top w:val="single" w:sz="4" w:space="0" w:color="auto"/>
            </w:tcBorders>
            <w:vAlign w:val="center"/>
          </w:tcPr>
          <w:p w14:paraId="03D69AFA" w14:textId="77777777" w:rsidR="00E50A74" w:rsidRPr="0098262F" w:rsidRDefault="00E50A74" w:rsidP="00530866">
            <w:pPr>
              <w:pStyle w:val="TableText0"/>
              <w:jc w:val="center"/>
            </w:pPr>
            <w:r>
              <w:t>17/20 (85%)</w:t>
            </w:r>
          </w:p>
        </w:tc>
        <w:tc>
          <w:tcPr>
            <w:tcW w:w="1248" w:type="dxa"/>
            <w:tcBorders>
              <w:top w:val="single" w:sz="4" w:space="0" w:color="auto"/>
            </w:tcBorders>
            <w:vAlign w:val="center"/>
          </w:tcPr>
          <w:p w14:paraId="5B042357" w14:textId="5F38B0CC" w:rsidR="00E50A74" w:rsidRPr="0098262F" w:rsidRDefault="00E50A74" w:rsidP="00530866">
            <w:pPr>
              <w:pStyle w:val="TableText0"/>
              <w:jc w:val="center"/>
            </w:pPr>
          </w:p>
        </w:tc>
        <w:tc>
          <w:tcPr>
            <w:tcW w:w="1673" w:type="dxa"/>
            <w:tcBorders>
              <w:top w:val="single" w:sz="4" w:space="0" w:color="auto"/>
            </w:tcBorders>
            <w:vAlign w:val="center"/>
          </w:tcPr>
          <w:p w14:paraId="48CC9520" w14:textId="77777777" w:rsidR="00E50A74" w:rsidRPr="0098262F" w:rsidRDefault="00E50A74" w:rsidP="00530866">
            <w:pPr>
              <w:pStyle w:val="TableText0"/>
              <w:jc w:val="center"/>
            </w:pPr>
            <w:r>
              <w:t>-</w:t>
            </w:r>
          </w:p>
        </w:tc>
      </w:tr>
      <w:tr w:rsidR="002B1728" w:rsidRPr="0098262F" w14:paraId="2E53B7A8" w14:textId="77777777">
        <w:tc>
          <w:tcPr>
            <w:tcW w:w="1500" w:type="dxa"/>
            <w:vMerge/>
            <w:vAlign w:val="center"/>
          </w:tcPr>
          <w:p w14:paraId="6C069C24" w14:textId="77777777" w:rsidR="00E50A74" w:rsidRPr="0098262F" w:rsidRDefault="00E50A74" w:rsidP="00530866">
            <w:pPr>
              <w:pStyle w:val="TableText0"/>
              <w:jc w:val="center"/>
            </w:pPr>
          </w:p>
        </w:tc>
        <w:tc>
          <w:tcPr>
            <w:tcW w:w="1759" w:type="dxa"/>
            <w:vAlign w:val="center"/>
          </w:tcPr>
          <w:p w14:paraId="54A11194" w14:textId="77777777" w:rsidR="00E50A74" w:rsidRPr="0098262F" w:rsidRDefault="00E50A74" w:rsidP="00530866">
            <w:pPr>
              <w:pStyle w:val="TableText0"/>
            </w:pPr>
            <w:r w:rsidRPr="0098262F">
              <w:t>Median months PFS</w:t>
            </w:r>
          </w:p>
        </w:tc>
        <w:tc>
          <w:tcPr>
            <w:tcW w:w="1338" w:type="dxa"/>
            <w:vAlign w:val="center"/>
          </w:tcPr>
          <w:p w14:paraId="422C4863" w14:textId="77777777" w:rsidR="00E50A74" w:rsidRPr="0098262F" w:rsidRDefault="00E50A74" w:rsidP="00530866">
            <w:pPr>
              <w:pStyle w:val="TableText0"/>
              <w:jc w:val="center"/>
            </w:pPr>
            <w:r>
              <w:t>8.31</w:t>
            </w:r>
          </w:p>
        </w:tc>
        <w:tc>
          <w:tcPr>
            <w:tcW w:w="1504" w:type="dxa"/>
            <w:vAlign w:val="center"/>
          </w:tcPr>
          <w:p w14:paraId="37E1CDD7" w14:textId="77777777" w:rsidR="00E50A74" w:rsidRPr="0098262F" w:rsidRDefault="00E50A74" w:rsidP="00530866">
            <w:pPr>
              <w:pStyle w:val="TableText0"/>
              <w:jc w:val="center"/>
            </w:pPr>
            <w:r>
              <w:t>6.93</w:t>
            </w:r>
          </w:p>
        </w:tc>
        <w:tc>
          <w:tcPr>
            <w:tcW w:w="1248" w:type="dxa"/>
            <w:vAlign w:val="center"/>
          </w:tcPr>
          <w:p w14:paraId="6CA27CB5" w14:textId="77777777" w:rsidR="00E50A74" w:rsidRPr="0098262F" w:rsidRDefault="00E50A74" w:rsidP="00530866">
            <w:pPr>
              <w:pStyle w:val="TableText0"/>
              <w:jc w:val="center"/>
            </w:pPr>
            <w:r>
              <w:t>1.38</w:t>
            </w:r>
          </w:p>
        </w:tc>
        <w:tc>
          <w:tcPr>
            <w:tcW w:w="1673" w:type="dxa"/>
            <w:vAlign w:val="center"/>
          </w:tcPr>
          <w:p w14:paraId="30971029" w14:textId="77777777" w:rsidR="00E50A74" w:rsidRPr="0098262F" w:rsidRDefault="00E50A74" w:rsidP="00530866">
            <w:pPr>
              <w:pStyle w:val="TableText0"/>
              <w:jc w:val="center"/>
            </w:pPr>
            <w:r>
              <w:t>1.07 (0.59, 1.94)</w:t>
            </w:r>
          </w:p>
        </w:tc>
      </w:tr>
      <w:tr w:rsidR="002B1728" w:rsidRPr="004A5606" w14:paraId="7476A6D1" w14:textId="77777777">
        <w:tc>
          <w:tcPr>
            <w:tcW w:w="7349" w:type="dxa"/>
            <w:gridSpan w:val="5"/>
            <w:vAlign w:val="center"/>
          </w:tcPr>
          <w:p w14:paraId="5CB97BCD" w14:textId="77777777" w:rsidR="00E50A74" w:rsidRPr="0098262F" w:rsidRDefault="00E50A74" w:rsidP="00530866">
            <w:pPr>
              <w:pStyle w:val="TableText0"/>
              <w:jc w:val="right"/>
              <w:rPr>
                <w:b/>
              </w:rPr>
            </w:pPr>
            <w:r w:rsidRPr="0098262F">
              <w:rPr>
                <w:b/>
              </w:rPr>
              <w:t xml:space="preserve">Indirect comparison </w:t>
            </w:r>
            <w:r>
              <w:rPr>
                <w:b/>
              </w:rPr>
              <w:t>AmiCP</w:t>
            </w:r>
            <w:r w:rsidRPr="0098262F">
              <w:rPr>
                <w:b/>
              </w:rPr>
              <w:t xml:space="preserve"> vs. </w:t>
            </w:r>
            <w:r>
              <w:rPr>
                <w:b/>
              </w:rPr>
              <w:t>ABCP</w:t>
            </w:r>
          </w:p>
        </w:tc>
        <w:tc>
          <w:tcPr>
            <w:tcW w:w="1673" w:type="dxa"/>
            <w:vAlign w:val="center"/>
          </w:tcPr>
          <w:p w14:paraId="52CF4428" w14:textId="77777777" w:rsidR="00E50A74" w:rsidRPr="00F208DE" w:rsidRDefault="00E50A74" w:rsidP="00530866">
            <w:pPr>
              <w:pStyle w:val="TableText0"/>
              <w:jc w:val="center"/>
              <w:rPr>
                <w:bCs w:val="0"/>
              </w:rPr>
            </w:pPr>
            <w:r w:rsidRPr="00F208DE">
              <w:rPr>
                <w:bCs w:val="0"/>
              </w:rPr>
              <w:t>0.51 (0.23, 1.14) p=0.10</w:t>
            </w:r>
          </w:p>
        </w:tc>
      </w:tr>
    </w:tbl>
    <w:p w14:paraId="06EA9C89" w14:textId="77777777" w:rsidR="00E50A74" w:rsidRPr="0098262F" w:rsidRDefault="00E50A74" w:rsidP="00530866">
      <w:pPr>
        <w:pStyle w:val="FooterTableFigure"/>
      </w:pPr>
      <w:r w:rsidRPr="0098262F">
        <w:t xml:space="preserve">Source: </w:t>
      </w:r>
      <w:r>
        <w:t>Calculated during the evaluation using subgroup analysis data from MARIPOSA-2 and ATTLAS</w:t>
      </w:r>
    </w:p>
    <w:p w14:paraId="7183E9F1" w14:textId="77777777" w:rsidR="00E50A74" w:rsidRPr="0098262F" w:rsidRDefault="00E50A74" w:rsidP="00530866">
      <w:pPr>
        <w:pStyle w:val="FooterTableFigure"/>
        <w:rPr>
          <w:sz w:val="20"/>
        </w:rPr>
      </w:pPr>
      <w:r>
        <w:t xml:space="preserve">Abbreviations: 1L = first line treatment; 2L= second line treatment; </w:t>
      </w:r>
      <w:r w:rsidRPr="00B81A97">
        <w:t>AmiCP = amivantamab in combination with carboplatin and pemetrexed</w:t>
      </w:r>
      <w:r>
        <w:t>;</w:t>
      </w:r>
      <w:r w:rsidRPr="00615813">
        <w:t xml:space="preserve"> ABCP = atezolizumab plus bevacizumab plus carboplatin plus paclitaxel</w:t>
      </w:r>
      <w:r>
        <w:t>; CP</w:t>
      </w:r>
      <w:r w:rsidRPr="006A4D88">
        <w:t xml:space="preserve"> = carboplatin plus pemetrexed</w:t>
      </w:r>
      <w:r>
        <w:t xml:space="preserve">; </w:t>
      </w:r>
      <w:r w:rsidRPr="0098262F">
        <w:t xml:space="preserve">HR = hazard ratio; </w:t>
      </w:r>
      <w:r>
        <w:t xml:space="preserve">n= number of patients with event; N= total number of patients; </w:t>
      </w:r>
      <w:r w:rsidRPr="0098262F">
        <w:t>NA = not available</w:t>
      </w:r>
      <w:r>
        <w:t>.</w:t>
      </w:r>
    </w:p>
    <w:p w14:paraId="4A5F2389" w14:textId="55F01C52" w:rsidR="008B0452" w:rsidRDefault="00E50A74" w:rsidP="00530866">
      <w:pPr>
        <w:pStyle w:val="3-BodyText"/>
      </w:pPr>
      <w:bookmarkStart w:id="56" w:name="_Ref216184419"/>
      <w:r w:rsidRPr="00F95529">
        <w:t>The HRs from the ITC results appear to favour AmiCP arm but were not statistically significant. There is uncertainty in these results given the limitations with the small sample sizes and issues with transitivity including differences in race and ECOG status, where ATTLAS recruited majority Asian patients (based in Korea) and a large proportion with ECOG performance status of 1 (up to 90.3%) and duration of follow up (e.g. 8.7 months in the MARIPOSA-2 trial for PFS outcome vs. 26.1 months in ATTLAS).</w:t>
      </w:r>
      <w:bookmarkEnd w:id="56"/>
      <w:r w:rsidR="00807331">
        <w:t xml:space="preserve"> </w:t>
      </w:r>
    </w:p>
    <w:p w14:paraId="0253D04F" w14:textId="5384C44F" w:rsidR="006A36D0" w:rsidRPr="00F95529" w:rsidRDefault="006A36D0" w:rsidP="00530866">
      <w:pPr>
        <w:pStyle w:val="3-BodyText"/>
      </w:pPr>
      <w:r>
        <w:lastRenderedPageBreak/>
        <w:t xml:space="preserve">The PBAC noted the </w:t>
      </w:r>
      <w:r w:rsidR="00480448">
        <w:t xml:space="preserve">progression free survival </w:t>
      </w:r>
      <w:r>
        <w:t xml:space="preserve">from </w:t>
      </w:r>
      <w:r w:rsidR="00174E6F">
        <w:t>ATTLAS in t</w:t>
      </w:r>
      <w:r>
        <w:t xml:space="preserve">he broader population of </w:t>
      </w:r>
      <w:r w:rsidR="00174E6F">
        <w:t xml:space="preserve">patients </w:t>
      </w:r>
      <w:r w:rsidR="000D33A8">
        <w:t xml:space="preserve">with </w:t>
      </w:r>
      <w:r>
        <w:t xml:space="preserve">EGFRm </w:t>
      </w:r>
      <w:r w:rsidR="00174E6F">
        <w:t xml:space="preserve">NSCLC </w:t>
      </w:r>
      <w:r w:rsidR="00A970D3">
        <w:t>(n=</w:t>
      </w:r>
      <w:r w:rsidR="00D2228E">
        <w:t xml:space="preserve">215) </w:t>
      </w:r>
      <w:r w:rsidR="00480448">
        <w:t xml:space="preserve">was </w:t>
      </w:r>
      <w:r w:rsidR="00AB783C">
        <w:t>8.</w:t>
      </w:r>
      <w:r w:rsidR="00996F97">
        <w:t>71</w:t>
      </w:r>
      <w:r w:rsidR="00AB783C">
        <w:t xml:space="preserve"> months for ABCP patients and 5.62 months for CP patients (HR 0.6</w:t>
      </w:r>
      <w:r w:rsidR="00996F97">
        <w:t>0</w:t>
      </w:r>
      <w:r w:rsidR="00AB783C">
        <w:t>, 95%CI: 0.4</w:t>
      </w:r>
      <w:r w:rsidR="00996F97">
        <w:t>3</w:t>
      </w:r>
      <w:r w:rsidR="00AB783C">
        <w:t>, 0.8</w:t>
      </w:r>
      <w:r w:rsidR="00996F97">
        <w:t>4</w:t>
      </w:r>
      <w:r w:rsidR="00AB783C">
        <w:t>)</w:t>
      </w:r>
      <w:r w:rsidR="001C1055">
        <w:rPr>
          <w:rStyle w:val="FootnoteReference"/>
        </w:rPr>
        <w:footnoteReference w:id="9"/>
      </w:r>
      <w:r w:rsidR="001C1055">
        <w:t>.</w:t>
      </w:r>
      <w:r w:rsidR="00807331">
        <w:t xml:space="preserve"> </w:t>
      </w:r>
    </w:p>
    <w:p w14:paraId="1D06848E" w14:textId="499DA434" w:rsidR="00E50A74" w:rsidRPr="0098262F" w:rsidRDefault="00E50A74" w:rsidP="00530866">
      <w:pPr>
        <w:pStyle w:val="4-SubsectionHeading"/>
      </w:pPr>
      <w:bookmarkStart w:id="57" w:name="_Toc22897642"/>
      <w:bookmarkStart w:id="58" w:name="_Toc107927628"/>
      <w:bookmarkStart w:id="59" w:name="_Toc219795455"/>
      <w:r w:rsidRPr="0098262F">
        <w:t>Comparative harms</w:t>
      </w:r>
      <w:bookmarkEnd w:id="57"/>
      <w:bookmarkEnd w:id="58"/>
      <w:bookmarkEnd w:id="59"/>
    </w:p>
    <w:p w14:paraId="1E17FEF3" w14:textId="77777777" w:rsidR="00E50A74" w:rsidRPr="009D6847" w:rsidRDefault="00E50A74" w:rsidP="00530866">
      <w:pPr>
        <w:rPr>
          <w:b/>
          <w:bCs/>
        </w:rPr>
      </w:pPr>
      <w:r w:rsidRPr="009D6847">
        <w:rPr>
          <w:b/>
          <w:bCs/>
        </w:rPr>
        <w:t>Direct comparison: AmiCP vs. CP</w:t>
      </w:r>
    </w:p>
    <w:p w14:paraId="199C6F12" w14:textId="7536253F" w:rsidR="00E50A74" w:rsidRDefault="00E50A74" w:rsidP="00530866">
      <w:pPr>
        <w:pStyle w:val="3-BodyText"/>
      </w:pPr>
      <w:r>
        <w:t>A summary of the comparative harms for AmiCP vs. CP from the MARIPOSA-2 trial after</w:t>
      </w:r>
      <w:r w:rsidDel="00AD434D">
        <w:t xml:space="preserve"> </w:t>
      </w:r>
      <w:r w:rsidR="00AD434D">
        <w:t xml:space="preserve">a median of </w:t>
      </w:r>
      <w:r>
        <w:t xml:space="preserve">8.7 months follow up is presented in </w:t>
      </w:r>
      <w:r>
        <w:fldChar w:fldCharType="begin"/>
      </w:r>
      <w:r>
        <w:instrText xml:space="preserve"> REF _Ref215756673 \h </w:instrText>
      </w:r>
      <w:r>
        <w:fldChar w:fldCharType="separate"/>
      </w:r>
      <w:r w:rsidR="00A572FC" w:rsidRPr="002C35E6">
        <w:rPr>
          <w:lang w:eastAsia="en-US"/>
        </w:rPr>
        <w:t>Table</w:t>
      </w:r>
      <w:r w:rsidR="00A572FC">
        <w:rPr>
          <w:lang w:eastAsia="en-US"/>
        </w:rPr>
        <w:t xml:space="preserve"> </w:t>
      </w:r>
      <w:r w:rsidR="00A572FC">
        <w:rPr>
          <w:noProof/>
          <w:lang w:eastAsia="en-US"/>
        </w:rPr>
        <w:t>7</w:t>
      </w:r>
      <w:r>
        <w:fldChar w:fldCharType="end"/>
      </w:r>
      <w:r>
        <w:t xml:space="preserve">. Patients in the AmiCP arm had a greater risk of experiencing </w:t>
      </w:r>
      <w:r w:rsidRPr="00633C6A">
        <w:t xml:space="preserve">Grade ≥3 </w:t>
      </w:r>
      <w:r>
        <w:t>treatment emergent adverse events (TEAEs) related to the study treatment compared to the CP arm (</w:t>
      </w:r>
      <w:r w:rsidR="00D610B3">
        <w:t>72.3</w:t>
      </w:r>
      <w:r>
        <w:t xml:space="preserve">% vs. </w:t>
      </w:r>
      <w:r w:rsidR="00D610B3">
        <w:t>48.1</w:t>
      </w:r>
      <w:r>
        <w:t>%), a greater risk of serious adverse events (AEs) (32.3% vs. 20.2%), a greater risk of AEs leading to treatment discontinuation (18.5% vs. 3.7%), dose reduction (40.8%</w:t>
      </w:r>
      <w:r w:rsidR="00807331">
        <w:t xml:space="preserve"> </w:t>
      </w:r>
      <w:r>
        <w:t>vs. 15.2%) and drug interruption (64.6% vs. 33.3%).</w:t>
      </w:r>
    </w:p>
    <w:p w14:paraId="215DC142" w14:textId="70C0A9BF" w:rsidR="00E50A74" w:rsidRPr="002C35E6" w:rsidRDefault="00D97D5A" w:rsidP="00530866">
      <w:pPr>
        <w:pStyle w:val="Caption"/>
        <w:rPr>
          <w:lang w:eastAsia="en-US"/>
        </w:rPr>
      </w:pPr>
      <w:r>
        <w:t xml:space="preserve">Table </w:t>
      </w:r>
      <w:fldSimple w:instr=" SEQ Table \* ARABIC ">
        <w:r>
          <w:rPr>
            <w:noProof/>
          </w:rPr>
          <w:t>7</w:t>
        </w:r>
      </w:fldSimple>
      <w:r w:rsidR="00E50A74">
        <w:rPr>
          <w:lang w:eastAsia="en-US"/>
        </w:rPr>
        <w:t>:</w:t>
      </w:r>
      <w:r w:rsidR="00E50A74" w:rsidRPr="002C35E6">
        <w:rPr>
          <w:lang w:eastAsia="en-US"/>
        </w:rPr>
        <w:t xml:space="preserve"> Overall summary of TEAE incidence – Primary analysis CCO (SAS population)</w:t>
      </w:r>
    </w:p>
    <w:tbl>
      <w:tblPr>
        <w:tblStyle w:val="newstyle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Overall summary of TEAE incidence – Primary analysis CCO (SAS population)"/>
      </w:tblPr>
      <w:tblGrid>
        <w:gridCol w:w="2224"/>
        <w:gridCol w:w="1394"/>
        <w:gridCol w:w="1394"/>
        <w:gridCol w:w="2090"/>
        <w:gridCol w:w="1915"/>
      </w:tblGrid>
      <w:tr w:rsidR="00E50A74" w:rsidRPr="00F95529" w14:paraId="44691D92" w14:textId="77777777" w:rsidTr="00106FA9">
        <w:trPr>
          <w:tblHeader/>
        </w:trPr>
        <w:tc>
          <w:tcPr>
            <w:tcW w:w="1233" w:type="pct"/>
            <w:vAlign w:val="center"/>
          </w:tcPr>
          <w:p w14:paraId="24CBD1E7" w14:textId="77777777" w:rsidR="00E50A74" w:rsidRPr="00F95529" w:rsidRDefault="00E50A74" w:rsidP="00530866">
            <w:pPr>
              <w:pStyle w:val="TableText0"/>
              <w:keepNext w:val="0"/>
              <w:keepLines w:val="0"/>
              <w:rPr>
                <w:sz w:val="16"/>
                <w:szCs w:val="16"/>
              </w:rPr>
            </w:pPr>
          </w:p>
        </w:tc>
        <w:tc>
          <w:tcPr>
            <w:tcW w:w="773" w:type="pct"/>
            <w:vAlign w:val="center"/>
          </w:tcPr>
          <w:p w14:paraId="3A4044FD" w14:textId="77777777" w:rsidR="00E50A74" w:rsidRPr="00F95529" w:rsidRDefault="00E50A74" w:rsidP="00530866">
            <w:pPr>
              <w:pStyle w:val="In-tableHeading"/>
              <w:keepNext w:val="0"/>
              <w:keepLines w:val="0"/>
              <w:jc w:val="center"/>
              <w:rPr>
                <w:sz w:val="20"/>
                <w:szCs w:val="22"/>
              </w:rPr>
            </w:pPr>
            <w:proofErr w:type="spellStart"/>
            <w:r w:rsidRPr="00F95529">
              <w:rPr>
                <w:sz w:val="20"/>
                <w:szCs w:val="22"/>
              </w:rPr>
              <w:t>AmiCP</w:t>
            </w:r>
            <w:proofErr w:type="spellEnd"/>
          </w:p>
          <w:p w14:paraId="4EA36EFB" w14:textId="77777777" w:rsidR="00E50A74" w:rsidRPr="00F95529" w:rsidRDefault="00E50A74" w:rsidP="00530866">
            <w:pPr>
              <w:pStyle w:val="In-tableHeading"/>
              <w:keepNext w:val="0"/>
              <w:keepLines w:val="0"/>
              <w:jc w:val="center"/>
              <w:rPr>
                <w:sz w:val="20"/>
                <w:szCs w:val="22"/>
              </w:rPr>
            </w:pPr>
            <w:r w:rsidRPr="00F95529">
              <w:rPr>
                <w:sz w:val="20"/>
                <w:szCs w:val="22"/>
              </w:rPr>
              <w:t>(n=130)</w:t>
            </w:r>
          </w:p>
        </w:tc>
        <w:tc>
          <w:tcPr>
            <w:tcW w:w="773" w:type="pct"/>
            <w:vAlign w:val="center"/>
          </w:tcPr>
          <w:p w14:paraId="6EE5818D" w14:textId="77777777" w:rsidR="00E50A74" w:rsidRPr="00F95529" w:rsidRDefault="00E50A74" w:rsidP="00530866">
            <w:pPr>
              <w:pStyle w:val="In-tableHeading"/>
              <w:keepNext w:val="0"/>
              <w:keepLines w:val="0"/>
              <w:jc w:val="center"/>
              <w:rPr>
                <w:sz w:val="20"/>
                <w:szCs w:val="22"/>
              </w:rPr>
            </w:pPr>
            <w:r w:rsidRPr="00F95529">
              <w:rPr>
                <w:sz w:val="20"/>
                <w:szCs w:val="22"/>
              </w:rPr>
              <w:t>CP</w:t>
            </w:r>
          </w:p>
          <w:p w14:paraId="75A7ED6A" w14:textId="77777777" w:rsidR="00E50A74" w:rsidRPr="00F95529" w:rsidRDefault="00E50A74" w:rsidP="00530866">
            <w:pPr>
              <w:pStyle w:val="In-tableHeading"/>
              <w:keepNext w:val="0"/>
              <w:keepLines w:val="0"/>
              <w:jc w:val="center"/>
              <w:rPr>
                <w:sz w:val="20"/>
                <w:szCs w:val="22"/>
              </w:rPr>
            </w:pPr>
            <w:r w:rsidRPr="00F95529">
              <w:rPr>
                <w:sz w:val="20"/>
                <w:szCs w:val="22"/>
              </w:rPr>
              <w:t>(n=243)</w:t>
            </w:r>
          </w:p>
        </w:tc>
        <w:tc>
          <w:tcPr>
            <w:tcW w:w="1159" w:type="pct"/>
            <w:vAlign w:val="center"/>
          </w:tcPr>
          <w:p w14:paraId="464BEAA0" w14:textId="77777777" w:rsidR="00E50A74" w:rsidRPr="00F95529" w:rsidRDefault="00E50A74" w:rsidP="00530866">
            <w:pPr>
              <w:pStyle w:val="In-tableHeading"/>
              <w:keepNext w:val="0"/>
              <w:keepLines w:val="0"/>
              <w:jc w:val="center"/>
              <w:rPr>
                <w:sz w:val="20"/>
                <w:szCs w:val="22"/>
              </w:rPr>
            </w:pPr>
            <w:r w:rsidRPr="00F95529">
              <w:rPr>
                <w:sz w:val="20"/>
                <w:szCs w:val="22"/>
              </w:rPr>
              <w:t xml:space="preserve">Risk difference (95% CI) </w:t>
            </w:r>
          </w:p>
        </w:tc>
        <w:tc>
          <w:tcPr>
            <w:tcW w:w="1062" w:type="pct"/>
            <w:vAlign w:val="center"/>
          </w:tcPr>
          <w:p w14:paraId="6974E459" w14:textId="77777777" w:rsidR="00E50A74" w:rsidRPr="00F95529" w:rsidRDefault="00E50A74" w:rsidP="00530866">
            <w:pPr>
              <w:pStyle w:val="In-tableHeading"/>
              <w:keepNext w:val="0"/>
              <w:keepLines w:val="0"/>
              <w:jc w:val="center"/>
              <w:rPr>
                <w:sz w:val="20"/>
                <w:szCs w:val="22"/>
              </w:rPr>
            </w:pPr>
            <w:r w:rsidRPr="00F95529">
              <w:rPr>
                <w:sz w:val="20"/>
                <w:szCs w:val="22"/>
              </w:rPr>
              <w:t xml:space="preserve">Relative risk (95% CI) </w:t>
            </w:r>
          </w:p>
        </w:tc>
      </w:tr>
      <w:tr w:rsidR="00E50A74" w:rsidRPr="00F95529" w14:paraId="64CEA4E7" w14:textId="77777777" w:rsidTr="00106FA9">
        <w:trPr>
          <w:trHeight w:val="237"/>
        </w:trPr>
        <w:tc>
          <w:tcPr>
            <w:tcW w:w="1233" w:type="pct"/>
            <w:vAlign w:val="center"/>
          </w:tcPr>
          <w:p w14:paraId="0FA051D1" w14:textId="77777777" w:rsidR="00E50A74" w:rsidRPr="00F95529" w:rsidRDefault="00E50A74" w:rsidP="00530866">
            <w:pPr>
              <w:pStyle w:val="TableText0"/>
              <w:keepNext w:val="0"/>
              <w:keepLines w:val="0"/>
              <w:rPr>
                <w:rFonts w:cs="Calibri Light"/>
                <w:b/>
                <w:sz w:val="20"/>
                <w:szCs w:val="20"/>
              </w:rPr>
            </w:pPr>
            <w:r w:rsidRPr="00F95529">
              <w:rPr>
                <w:rFonts w:cs="Calibri Light"/>
                <w:b/>
                <w:sz w:val="20"/>
                <w:szCs w:val="20"/>
              </w:rPr>
              <w:t>Grade ≥3 AEs</w:t>
            </w:r>
          </w:p>
        </w:tc>
        <w:tc>
          <w:tcPr>
            <w:tcW w:w="773" w:type="pct"/>
            <w:vAlign w:val="center"/>
          </w:tcPr>
          <w:p w14:paraId="146F885C"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94 (72.3%)</w:t>
            </w:r>
          </w:p>
        </w:tc>
        <w:tc>
          <w:tcPr>
            <w:tcW w:w="773" w:type="pct"/>
            <w:vAlign w:val="center"/>
          </w:tcPr>
          <w:p w14:paraId="15CEE533"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117 (48.1%)</w:t>
            </w:r>
          </w:p>
        </w:tc>
        <w:tc>
          <w:tcPr>
            <w:tcW w:w="1159" w:type="pct"/>
            <w:vAlign w:val="center"/>
          </w:tcPr>
          <w:p w14:paraId="3D3B9CB6"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24.16% (14.23, 34.09)</w:t>
            </w:r>
          </w:p>
        </w:tc>
        <w:tc>
          <w:tcPr>
            <w:tcW w:w="1062" w:type="pct"/>
            <w:vAlign w:val="center"/>
          </w:tcPr>
          <w:p w14:paraId="32F7BB06" w14:textId="136A7689"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1.50 (1.27, 1.78)</w:t>
            </w:r>
          </w:p>
        </w:tc>
      </w:tr>
      <w:tr w:rsidR="00E50A74" w:rsidRPr="00F95529" w14:paraId="73DDDAF4" w14:textId="77777777" w:rsidTr="00106FA9">
        <w:tc>
          <w:tcPr>
            <w:tcW w:w="1233" w:type="pct"/>
            <w:vAlign w:val="center"/>
          </w:tcPr>
          <w:p w14:paraId="669915F2" w14:textId="77777777" w:rsidR="00E50A74" w:rsidRPr="00F95529" w:rsidRDefault="00E50A74" w:rsidP="00530866">
            <w:pPr>
              <w:pStyle w:val="TableText0"/>
              <w:keepNext w:val="0"/>
              <w:keepLines w:val="0"/>
              <w:rPr>
                <w:rFonts w:cs="Calibri Light"/>
                <w:sz w:val="20"/>
                <w:szCs w:val="20"/>
              </w:rPr>
            </w:pPr>
            <w:r w:rsidRPr="00F95529">
              <w:rPr>
                <w:rFonts w:cs="Calibri Light"/>
                <w:sz w:val="20"/>
                <w:szCs w:val="20"/>
              </w:rPr>
              <w:t>Grade ≥3 AEs related to study treatment</w:t>
            </w:r>
            <w:r w:rsidRPr="00F95529">
              <w:rPr>
                <w:sz w:val="20"/>
                <w:szCs w:val="20"/>
                <w:vertAlign w:val="superscript"/>
              </w:rPr>
              <w:t xml:space="preserve"> a</w:t>
            </w:r>
          </w:p>
        </w:tc>
        <w:tc>
          <w:tcPr>
            <w:tcW w:w="773" w:type="pct"/>
            <w:vAlign w:val="center"/>
          </w:tcPr>
          <w:p w14:paraId="19EBD190"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87 (66.9%)</w:t>
            </w:r>
          </w:p>
        </w:tc>
        <w:tc>
          <w:tcPr>
            <w:tcW w:w="773" w:type="pct"/>
            <w:vAlign w:val="center"/>
          </w:tcPr>
          <w:p w14:paraId="06D34354"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86 (35.4%)</w:t>
            </w:r>
          </w:p>
        </w:tc>
        <w:tc>
          <w:tcPr>
            <w:tcW w:w="1159" w:type="pct"/>
            <w:vAlign w:val="center"/>
          </w:tcPr>
          <w:p w14:paraId="71CAA1F6"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31.53% (21.45, 41.61)</w:t>
            </w:r>
          </w:p>
        </w:tc>
        <w:tc>
          <w:tcPr>
            <w:tcW w:w="1062" w:type="pct"/>
            <w:vAlign w:val="center"/>
          </w:tcPr>
          <w:p w14:paraId="05B46045"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1.89 (1.54,2.33)</w:t>
            </w:r>
          </w:p>
        </w:tc>
      </w:tr>
      <w:tr w:rsidR="00E50A74" w:rsidRPr="00F95529" w14:paraId="75AC6E6E" w14:textId="77777777" w:rsidTr="00106FA9">
        <w:tc>
          <w:tcPr>
            <w:tcW w:w="1233" w:type="pct"/>
            <w:vAlign w:val="center"/>
          </w:tcPr>
          <w:p w14:paraId="2125C312" w14:textId="39C1C06B" w:rsidR="00E50A74" w:rsidRPr="00F95529" w:rsidRDefault="00E50A74" w:rsidP="00530866">
            <w:pPr>
              <w:pStyle w:val="TableText0"/>
              <w:keepNext w:val="0"/>
              <w:keepLines w:val="0"/>
              <w:rPr>
                <w:rFonts w:cs="Calibri Light"/>
                <w:sz w:val="20"/>
                <w:szCs w:val="20"/>
              </w:rPr>
            </w:pPr>
            <w:r w:rsidRPr="00F95529">
              <w:rPr>
                <w:rFonts w:cs="Calibri Light"/>
                <w:sz w:val="20"/>
                <w:szCs w:val="20"/>
              </w:rPr>
              <w:t xml:space="preserve">Related to </w:t>
            </w:r>
            <w:r w:rsidR="007B7E35" w:rsidRPr="00F95529">
              <w:rPr>
                <w:rFonts w:cs="Calibri Light"/>
                <w:sz w:val="20"/>
                <w:szCs w:val="20"/>
              </w:rPr>
              <w:t>amivantamab</w:t>
            </w:r>
          </w:p>
        </w:tc>
        <w:tc>
          <w:tcPr>
            <w:tcW w:w="773" w:type="pct"/>
            <w:vAlign w:val="center"/>
          </w:tcPr>
          <w:p w14:paraId="40B949E7"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54 (41.5%)</w:t>
            </w:r>
          </w:p>
        </w:tc>
        <w:tc>
          <w:tcPr>
            <w:tcW w:w="773" w:type="pct"/>
            <w:vAlign w:val="center"/>
          </w:tcPr>
          <w:p w14:paraId="1F54FDE2"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0</w:t>
            </w:r>
          </w:p>
        </w:tc>
        <w:tc>
          <w:tcPr>
            <w:tcW w:w="1159" w:type="pct"/>
            <w:vAlign w:val="center"/>
          </w:tcPr>
          <w:p w14:paraId="1A9C8E36"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41.5% (NC)</w:t>
            </w:r>
          </w:p>
        </w:tc>
        <w:tc>
          <w:tcPr>
            <w:tcW w:w="1062" w:type="pct"/>
            <w:vAlign w:val="center"/>
          </w:tcPr>
          <w:p w14:paraId="03086F8F"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NC</w:t>
            </w:r>
          </w:p>
        </w:tc>
      </w:tr>
      <w:tr w:rsidR="00E50A74" w:rsidRPr="00F95529" w14:paraId="27375864" w14:textId="77777777" w:rsidTr="00106FA9">
        <w:tc>
          <w:tcPr>
            <w:tcW w:w="1233" w:type="pct"/>
            <w:vAlign w:val="center"/>
          </w:tcPr>
          <w:p w14:paraId="7315559D" w14:textId="77777777" w:rsidR="00E50A74" w:rsidRPr="00F95529" w:rsidRDefault="00E50A74" w:rsidP="00530866">
            <w:pPr>
              <w:pStyle w:val="TableText0"/>
              <w:keepNext w:val="0"/>
              <w:keepLines w:val="0"/>
              <w:rPr>
                <w:rFonts w:cs="Calibri Light"/>
                <w:b/>
                <w:sz w:val="20"/>
                <w:szCs w:val="20"/>
              </w:rPr>
            </w:pPr>
            <w:r w:rsidRPr="00F95529">
              <w:rPr>
                <w:rFonts w:cs="Calibri Light"/>
                <w:b/>
                <w:sz w:val="20"/>
                <w:szCs w:val="20"/>
              </w:rPr>
              <w:t>Serious AEs</w:t>
            </w:r>
          </w:p>
        </w:tc>
        <w:tc>
          <w:tcPr>
            <w:tcW w:w="773" w:type="pct"/>
            <w:vAlign w:val="center"/>
          </w:tcPr>
          <w:p w14:paraId="14826F49"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42 (32.3%)</w:t>
            </w:r>
          </w:p>
        </w:tc>
        <w:tc>
          <w:tcPr>
            <w:tcW w:w="773" w:type="pct"/>
            <w:vAlign w:val="center"/>
          </w:tcPr>
          <w:p w14:paraId="6AF3F1BF"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49 (20.2%)</w:t>
            </w:r>
          </w:p>
        </w:tc>
        <w:tc>
          <w:tcPr>
            <w:tcW w:w="1159" w:type="pct"/>
            <w:vAlign w:val="center"/>
          </w:tcPr>
          <w:p w14:paraId="2B8E2F5D"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12.14% (2.65, 21.63)</w:t>
            </w:r>
          </w:p>
        </w:tc>
        <w:tc>
          <w:tcPr>
            <w:tcW w:w="1062" w:type="pct"/>
            <w:vAlign w:val="center"/>
          </w:tcPr>
          <w:p w14:paraId="08BBC9BF"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1.60 (1.13, 2.28)</w:t>
            </w:r>
          </w:p>
        </w:tc>
      </w:tr>
      <w:tr w:rsidR="00E50A74" w:rsidRPr="00F95529" w14:paraId="17006DE9" w14:textId="77777777" w:rsidTr="00106FA9">
        <w:tc>
          <w:tcPr>
            <w:tcW w:w="1233" w:type="pct"/>
            <w:vAlign w:val="center"/>
          </w:tcPr>
          <w:p w14:paraId="1146AA0E" w14:textId="77777777" w:rsidR="00E50A74" w:rsidRPr="00F95529" w:rsidRDefault="00E50A74" w:rsidP="00530866">
            <w:pPr>
              <w:pStyle w:val="TableText0"/>
              <w:keepNext w:val="0"/>
              <w:keepLines w:val="0"/>
              <w:rPr>
                <w:rFonts w:cs="Calibri Light"/>
                <w:sz w:val="20"/>
                <w:szCs w:val="20"/>
              </w:rPr>
            </w:pPr>
            <w:r w:rsidRPr="00F95529">
              <w:rPr>
                <w:rFonts w:cs="Calibri Light"/>
                <w:sz w:val="20"/>
                <w:szCs w:val="20"/>
              </w:rPr>
              <w:t>SAEs related to study treatment</w:t>
            </w:r>
            <w:r w:rsidRPr="00F95529">
              <w:rPr>
                <w:sz w:val="20"/>
                <w:szCs w:val="20"/>
                <w:vertAlign w:val="superscript"/>
              </w:rPr>
              <w:t xml:space="preserve"> a</w:t>
            </w:r>
          </w:p>
        </w:tc>
        <w:tc>
          <w:tcPr>
            <w:tcW w:w="773" w:type="pct"/>
            <w:vAlign w:val="center"/>
          </w:tcPr>
          <w:p w14:paraId="5EF697A0"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30 (23.1%)</w:t>
            </w:r>
          </w:p>
        </w:tc>
        <w:tc>
          <w:tcPr>
            <w:tcW w:w="773" w:type="pct"/>
            <w:vAlign w:val="center"/>
          </w:tcPr>
          <w:p w14:paraId="3523CC56"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21 (8.6%)</w:t>
            </w:r>
          </w:p>
        </w:tc>
        <w:tc>
          <w:tcPr>
            <w:tcW w:w="1159" w:type="pct"/>
            <w:vAlign w:val="center"/>
          </w:tcPr>
          <w:p w14:paraId="3962D8B5"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14.43% (6.38, 22.49)</w:t>
            </w:r>
          </w:p>
        </w:tc>
        <w:tc>
          <w:tcPr>
            <w:tcW w:w="1062" w:type="pct"/>
            <w:vAlign w:val="center"/>
          </w:tcPr>
          <w:p w14:paraId="20206CF3"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2.67 (1.60, 4.47)</w:t>
            </w:r>
          </w:p>
        </w:tc>
      </w:tr>
      <w:tr w:rsidR="00E50A74" w:rsidRPr="00F95529" w14:paraId="75DB85A4" w14:textId="77777777" w:rsidTr="00106FA9">
        <w:tc>
          <w:tcPr>
            <w:tcW w:w="1233" w:type="pct"/>
            <w:vAlign w:val="center"/>
          </w:tcPr>
          <w:p w14:paraId="06855000" w14:textId="2EFA95FE" w:rsidR="00E50A74" w:rsidRPr="00F95529" w:rsidRDefault="00E50A74" w:rsidP="00530866">
            <w:pPr>
              <w:pStyle w:val="TableText0"/>
              <w:keepNext w:val="0"/>
              <w:keepLines w:val="0"/>
              <w:rPr>
                <w:rFonts w:cs="Calibri Light"/>
                <w:sz w:val="20"/>
                <w:szCs w:val="20"/>
              </w:rPr>
            </w:pPr>
            <w:r w:rsidRPr="00F95529">
              <w:rPr>
                <w:rFonts w:cs="Calibri Light"/>
                <w:sz w:val="20"/>
                <w:szCs w:val="20"/>
              </w:rPr>
              <w:t xml:space="preserve">Related to </w:t>
            </w:r>
            <w:r w:rsidR="00867D13" w:rsidRPr="00F95529">
              <w:rPr>
                <w:rFonts w:cs="Calibri Light"/>
                <w:sz w:val="20"/>
                <w:szCs w:val="20"/>
              </w:rPr>
              <w:t>a</w:t>
            </w:r>
            <w:r w:rsidRPr="00F95529">
              <w:rPr>
                <w:rFonts w:cs="Calibri Light"/>
                <w:sz w:val="20"/>
                <w:szCs w:val="20"/>
              </w:rPr>
              <w:t>mivantamab</w:t>
            </w:r>
          </w:p>
        </w:tc>
        <w:tc>
          <w:tcPr>
            <w:tcW w:w="773" w:type="pct"/>
            <w:vAlign w:val="center"/>
          </w:tcPr>
          <w:p w14:paraId="435AC6FF"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15 (11.5%)</w:t>
            </w:r>
          </w:p>
        </w:tc>
        <w:tc>
          <w:tcPr>
            <w:tcW w:w="773" w:type="pct"/>
            <w:vAlign w:val="center"/>
          </w:tcPr>
          <w:p w14:paraId="0C910AEB"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0</w:t>
            </w:r>
          </w:p>
        </w:tc>
        <w:tc>
          <w:tcPr>
            <w:tcW w:w="1159" w:type="pct"/>
            <w:vAlign w:val="center"/>
          </w:tcPr>
          <w:p w14:paraId="335C8A86"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11.5% (NC)</w:t>
            </w:r>
          </w:p>
        </w:tc>
        <w:tc>
          <w:tcPr>
            <w:tcW w:w="1062" w:type="pct"/>
            <w:vAlign w:val="center"/>
          </w:tcPr>
          <w:p w14:paraId="003B1684"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NC</w:t>
            </w:r>
          </w:p>
        </w:tc>
      </w:tr>
      <w:tr w:rsidR="00E50A74" w:rsidRPr="00F95529" w14:paraId="049F44A8" w14:textId="77777777" w:rsidTr="00106FA9">
        <w:tc>
          <w:tcPr>
            <w:tcW w:w="1233" w:type="pct"/>
            <w:vAlign w:val="center"/>
          </w:tcPr>
          <w:p w14:paraId="01A2CD8F" w14:textId="77777777" w:rsidR="00E50A74" w:rsidRPr="00F95529" w:rsidRDefault="00E50A74" w:rsidP="00530866">
            <w:pPr>
              <w:pStyle w:val="TableText0"/>
              <w:keepNext w:val="0"/>
              <w:keepLines w:val="0"/>
              <w:rPr>
                <w:rFonts w:cs="Calibri Light"/>
                <w:b/>
                <w:sz w:val="20"/>
                <w:szCs w:val="20"/>
                <w:vertAlign w:val="superscript"/>
              </w:rPr>
            </w:pPr>
            <w:r w:rsidRPr="00F95529">
              <w:rPr>
                <w:rFonts w:cs="Calibri Light"/>
                <w:b/>
                <w:sz w:val="20"/>
                <w:szCs w:val="20"/>
              </w:rPr>
              <w:t>AEs leading to discontinuation of any study treatment</w:t>
            </w:r>
          </w:p>
        </w:tc>
        <w:tc>
          <w:tcPr>
            <w:tcW w:w="773" w:type="pct"/>
            <w:vAlign w:val="center"/>
          </w:tcPr>
          <w:p w14:paraId="5DB494E1"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24 (18.5%)</w:t>
            </w:r>
          </w:p>
        </w:tc>
        <w:tc>
          <w:tcPr>
            <w:tcW w:w="773" w:type="pct"/>
            <w:vAlign w:val="center"/>
          </w:tcPr>
          <w:p w14:paraId="73C062D7"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9 (3.7%)</w:t>
            </w:r>
          </w:p>
        </w:tc>
        <w:tc>
          <w:tcPr>
            <w:tcW w:w="1159" w:type="pct"/>
            <w:vAlign w:val="center"/>
          </w:tcPr>
          <w:p w14:paraId="369CB503"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14.8% (7.68, 21.84)</w:t>
            </w:r>
          </w:p>
        </w:tc>
        <w:tc>
          <w:tcPr>
            <w:tcW w:w="1062" w:type="pct"/>
            <w:vAlign w:val="center"/>
          </w:tcPr>
          <w:p w14:paraId="34D904F0"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4.98 (2.39,10.41)</w:t>
            </w:r>
          </w:p>
        </w:tc>
      </w:tr>
      <w:tr w:rsidR="00E50A74" w:rsidRPr="00F95529" w14:paraId="10B1B529" w14:textId="77777777" w:rsidTr="00106FA9">
        <w:tc>
          <w:tcPr>
            <w:tcW w:w="1233" w:type="pct"/>
            <w:vAlign w:val="center"/>
          </w:tcPr>
          <w:p w14:paraId="6D198FDC" w14:textId="77777777" w:rsidR="00E50A74" w:rsidRPr="00F95529" w:rsidRDefault="00E50A74" w:rsidP="00530866">
            <w:pPr>
              <w:pStyle w:val="TableText0"/>
              <w:keepNext w:val="0"/>
              <w:keepLines w:val="0"/>
              <w:rPr>
                <w:rFonts w:cs="Calibri Light"/>
                <w:b/>
                <w:sz w:val="20"/>
                <w:szCs w:val="20"/>
              </w:rPr>
            </w:pPr>
            <w:r w:rsidRPr="00F95529">
              <w:rPr>
                <w:rFonts w:cs="Calibri Light"/>
                <w:b/>
                <w:sz w:val="20"/>
                <w:szCs w:val="20"/>
              </w:rPr>
              <w:t>AEs leading to dose reduction of any study agent</w:t>
            </w:r>
          </w:p>
        </w:tc>
        <w:tc>
          <w:tcPr>
            <w:tcW w:w="773" w:type="pct"/>
            <w:vAlign w:val="center"/>
          </w:tcPr>
          <w:p w14:paraId="08B0D8EC"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53 (40.8%)</w:t>
            </w:r>
          </w:p>
        </w:tc>
        <w:tc>
          <w:tcPr>
            <w:tcW w:w="773" w:type="pct"/>
            <w:vAlign w:val="center"/>
          </w:tcPr>
          <w:p w14:paraId="037E7BBA"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37 (15.2%)</w:t>
            </w:r>
          </w:p>
        </w:tc>
        <w:tc>
          <w:tcPr>
            <w:tcW w:w="1159" w:type="pct"/>
            <w:vAlign w:val="center"/>
          </w:tcPr>
          <w:p w14:paraId="265D4592"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25.54% (15.96, 35.12)</w:t>
            </w:r>
          </w:p>
        </w:tc>
        <w:tc>
          <w:tcPr>
            <w:tcW w:w="1062" w:type="pct"/>
            <w:vAlign w:val="center"/>
          </w:tcPr>
          <w:p w14:paraId="6342B1F3"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2.68 (1.87, 3.85)</w:t>
            </w:r>
          </w:p>
        </w:tc>
      </w:tr>
      <w:tr w:rsidR="00E50A74" w:rsidRPr="00F95529" w14:paraId="21A59E79" w14:textId="77777777" w:rsidTr="00106FA9">
        <w:tc>
          <w:tcPr>
            <w:tcW w:w="1233" w:type="pct"/>
            <w:vAlign w:val="center"/>
          </w:tcPr>
          <w:p w14:paraId="0C7F9F5E" w14:textId="77777777" w:rsidR="00E50A74" w:rsidRPr="00F95529" w:rsidRDefault="00E50A74" w:rsidP="00530866">
            <w:pPr>
              <w:pStyle w:val="TableText0"/>
              <w:keepNext w:val="0"/>
              <w:keepLines w:val="0"/>
              <w:rPr>
                <w:rFonts w:cs="Calibri Light"/>
                <w:b/>
                <w:sz w:val="20"/>
                <w:szCs w:val="20"/>
              </w:rPr>
            </w:pPr>
            <w:r w:rsidRPr="00F95529">
              <w:rPr>
                <w:rFonts w:cs="Calibri Light"/>
                <w:b/>
                <w:sz w:val="20"/>
                <w:szCs w:val="20"/>
              </w:rPr>
              <w:t>AEs leading to drug interruption of any study agent</w:t>
            </w:r>
          </w:p>
        </w:tc>
        <w:tc>
          <w:tcPr>
            <w:tcW w:w="773" w:type="pct"/>
            <w:vAlign w:val="center"/>
          </w:tcPr>
          <w:p w14:paraId="171198D7"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84 (64.6%)</w:t>
            </w:r>
          </w:p>
        </w:tc>
        <w:tc>
          <w:tcPr>
            <w:tcW w:w="773" w:type="pct"/>
            <w:vAlign w:val="center"/>
          </w:tcPr>
          <w:p w14:paraId="192132B8"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81 (33.3%)</w:t>
            </w:r>
          </w:p>
        </w:tc>
        <w:tc>
          <w:tcPr>
            <w:tcW w:w="1159" w:type="pct"/>
            <w:vAlign w:val="center"/>
          </w:tcPr>
          <w:p w14:paraId="29A382AE"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31.28% (21.15, 41.42)</w:t>
            </w:r>
          </w:p>
        </w:tc>
        <w:tc>
          <w:tcPr>
            <w:tcW w:w="1062" w:type="pct"/>
            <w:vAlign w:val="center"/>
          </w:tcPr>
          <w:p w14:paraId="00D90BC8"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1.94 (1.56, 2.41)</w:t>
            </w:r>
          </w:p>
        </w:tc>
      </w:tr>
      <w:tr w:rsidR="00E50A74" w:rsidRPr="00F95529" w14:paraId="07CE7F81" w14:textId="77777777" w:rsidTr="00106FA9">
        <w:tc>
          <w:tcPr>
            <w:tcW w:w="1233" w:type="pct"/>
            <w:vAlign w:val="center"/>
          </w:tcPr>
          <w:p w14:paraId="69BD3EE1" w14:textId="77777777" w:rsidR="00E50A74" w:rsidRPr="00F95529" w:rsidRDefault="00E50A74" w:rsidP="00530866">
            <w:pPr>
              <w:pStyle w:val="TableText0"/>
              <w:keepNext w:val="0"/>
              <w:keepLines w:val="0"/>
              <w:rPr>
                <w:rFonts w:cs="Calibri Light"/>
                <w:b/>
                <w:sz w:val="20"/>
                <w:szCs w:val="20"/>
                <w:vertAlign w:val="superscript"/>
              </w:rPr>
            </w:pPr>
            <w:r w:rsidRPr="00F95529">
              <w:rPr>
                <w:rFonts w:cs="Calibri Light"/>
                <w:b/>
                <w:sz w:val="20"/>
                <w:szCs w:val="20"/>
              </w:rPr>
              <w:t xml:space="preserve">AEs leading to death </w:t>
            </w:r>
            <w:r w:rsidRPr="00F95529">
              <w:rPr>
                <w:rFonts w:cs="Calibri Light"/>
                <w:b/>
                <w:sz w:val="20"/>
                <w:szCs w:val="20"/>
                <w:vertAlign w:val="superscript"/>
              </w:rPr>
              <w:t>b</w:t>
            </w:r>
          </w:p>
        </w:tc>
        <w:tc>
          <w:tcPr>
            <w:tcW w:w="773" w:type="pct"/>
            <w:vAlign w:val="center"/>
          </w:tcPr>
          <w:p w14:paraId="1C22288D" w14:textId="77777777" w:rsidR="00E50A74" w:rsidRPr="00F95529" w:rsidRDefault="00E50A74" w:rsidP="00530866">
            <w:pPr>
              <w:pStyle w:val="TableText0"/>
              <w:keepNext w:val="0"/>
              <w:keepLines w:val="0"/>
              <w:jc w:val="center"/>
              <w:rPr>
                <w:rFonts w:cs="Calibri Light"/>
                <w:bCs w:val="0"/>
                <w:color w:val="FF0000"/>
                <w:sz w:val="20"/>
                <w:szCs w:val="20"/>
              </w:rPr>
            </w:pPr>
            <w:r w:rsidRPr="00F95529">
              <w:rPr>
                <w:rFonts w:cs="Calibri Light"/>
                <w:bCs w:val="0"/>
                <w:sz w:val="20"/>
                <w:szCs w:val="20"/>
              </w:rPr>
              <w:t>3 (2.3%)</w:t>
            </w:r>
          </w:p>
        </w:tc>
        <w:tc>
          <w:tcPr>
            <w:tcW w:w="773" w:type="pct"/>
            <w:vAlign w:val="center"/>
          </w:tcPr>
          <w:p w14:paraId="657A6D1B" w14:textId="77777777" w:rsidR="00E50A74" w:rsidRPr="00F95529" w:rsidRDefault="00E50A74" w:rsidP="00530866">
            <w:pPr>
              <w:pStyle w:val="TableText0"/>
              <w:keepNext w:val="0"/>
              <w:keepLines w:val="0"/>
              <w:jc w:val="center"/>
              <w:rPr>
                <w:rFonts w:cs="Calibri Light"/>
                <w:bCs w:val="0"/>
                <w:color w:val="FF0000"/>
                <w:sz w:val="20"/>
                <w:szCs w:val="20"/>
              </w:rPr>
            </w:pPr>
            <w:r w:rsidRPr="00F95529">
              <w:rPr>
                <w:rFonts w:cs="Calibri Light"/>
                <w:bCs w:val="0"/>
                <w:sz w:val="20"/>
                <w:szCs w:val="20"/>
              </w:rPr>
              <w:t>3 (1.2%)</w:t>
            </w:r>
          </w:p>
        </w:tc>
        <w:tc>
          <w:tcPr>
            <w:tcW w:w="1159" w:type="pct"/>
            <w:vAlign w:val="center"/>
          </w:tcPr>
          <w:p w14:paraId="24B89461"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1.07% (-1.86,4.00)</w:t>
            </w:r>
          </w:p>
        </w:tc>
        <w:tc>
          <w:tcPr>
            <w:tcW w:w="1062" w:type="pct"/>
            <w:vAlign w:val="center"/>
          </w:tcPr>
          <w:p w14:paraId="58211279" w14:textId="77777777" w:rsidR="00E50A74" w:rsidRPr="00F95529" w:rsidRDefault="00E50A74" w:rsidP="00530866">
            <w:pPr>
              <w:pStyle w:val="TableText0"/>
              <w:keepNext w:val="0"/>
              <w:keepLines w:val="0"/>
              <w:jc w:val="center"/>
              <w:rPr>
                <w:rFonts w:cs="Calibri Light"/>
                <w:bCs w:val="0"/>
                <w:sz w:val="20"/>
                <w:szCs w:val="20"/>
              </w:rPr>
            </w:pPr>
            <w:r w:rsidRPr="00F95529">
              <w:rPr>
                <w:rFonts w:cs="Calibri Light"/>
                <w:bCs w:val="0"/>
                <w:sz w:val="20"/>
                <w:szCs w:val="20"/>
              </w:rPr>
              <w:t>1.87 (0.38, 9.13)</w:t>
            </w:r>
          </w:p>
        </w:tc>
      </w:tr>
      <w:tr w:rsidR="00E50A74" w:rsidRPr="00F95529" w14:paraId="6BE0CC31" w14:textId="77777777" w:rsidTr="00106FA9">
        <w:tc>
          <w:tcPr>
            <w:tcW w:w="1233" w:type="pct"/>
            <w:vAlign w:val="center"/>
          </w:tcPr>
          <w:p w14:paraId="17FE3FA6" w14:textId="77777777" w:rsidR="00E50A74" w:rsidRPr="00F95529" w:rsidRDefault="00E50A74" w:rsidP="00530866">
            <w:pPr>
              <w:rPr>
                <w:rFonts w:ascii="Arial Narrow" w:hAnsi="Arial Narrow" w:cs="Calibri Light"/>
                <w:sz w:val="20"/>
                <w:szCs w:val="20"/>
              </w:rPr>
            </w:pPr>
            <w:r w:rsidRPr="00F95529">
              <w:rPr>
                <w:rFonts w:ascii="Arial Narrow" w:hAnsi="Arial Narrow" w:cs="Calibri Light"/>
                <w:sz w:val="20"/>
                <w:szCs w:val="20"/>
              </w:rPr>
              <w:t>Related to study treatment</w:t>
            </w:r>
            <w:r w:rsidRPr="00F95529">
              <w:rPr>
                <w:rFonts w:ascii="Arial Narrow" w:hAnsi="Arial Narrow"/>
                <w:sz w:val="20"/>
                <w:szCs w:val="20"/>
                <w:vertAlign w:val="superscript"/>
              </w:rPr>
              <w:t xml:space="preserve"> a</w:t>
            </w:r>
          </w:p>
        </w:tc>
        <w:tc>
          <w:tcPr>
            <w:tcW w:w="773" w:type="pct"/>
            <w:vAlign w:val="center"/>
          </w:tcPr>
          <w:p w14:paraId="0FDC773C" w14:textId="77777777" w:rsidR="00E50A74" w:rsidRPr="00F95529" w:rsidRDefault="00E50A74" w:rsidP="00530866">
            <w:pPr>
              <w:jc w:val="center"/>
              <w:rPr>
                <w:rFonts w:ascii="Arial Narrow" w:hAnsi="Arial Narrow" w:cs="Calibri Light"/>
                <w:color w:val="FF0000"/>
                <w:sz w:val="20"/>
                <w:szCs w:val="20"/>
              </w:rPr>
            </w:pPr>
            <w:r w:rsidRPr="00F95529">
              <w:rPr>
                <w:rFonts w:ascii="Arial Narrow" w:hAnsi="Arial Narrow" w:cs="Calibri Light"/>
                <w:sz w:val="20"/>
                <w:szCs w:val="20"/>
              </w:rPr>
              <w:t>2 (1.5%)</w:t>
            </w:r>
          </w:p>
        </w:tc>
        <w:tc>
          <w:tcPr>
            <w:tcW w:w="773" w:type="pct"/>
            <w:vAlign w:val="center"/>
          </w:tcPr>
          <w:p w14:paraId="17D6E78E" w14:textId="77777777" w:rsidR="00E50A74" w:rsidRPr="00F95529" w:rsidRDefault="00E50A74" w:rsidP="00530866">
            <w:pPr>
              <w:jc w:val="center"/>
              <w:rPr>
                <w:rFonts w:ascii="Arial Narrow" w:hAnsi="Arial Narrow" w:cs="Calibri Light"/>
                <w:color w:val="FF0000"/>
                <w:sz w:val="20"/>
                <w:szCs w:val="20"/>
              </w:rPr>
            </w:pPr>
            <w:r w:rsidRPr="00F95529">
              <w:rPr>
                <w:rFonts w:ascii="Arial Narrow" w:hAnsi="Arial Narrow" w:cs="Calibri Light"/>
                <w:sz w:val="20"/>
                <w:szCs w:val="20"/>
              </w:rPr>
              <w:t>1 (0.4%)</w:t>
            </w:r>
          </w:p>
        </w:tc>
        <w:tc>
          <w:tcPr>
            <w:tcW w:w="1159" w:type="pct"/>
            <w:vAlign w:val="center"/>
          </w:tcPr>
          <w:p w14:paraId="2A7DF340" w14:textId="77777777" w:rsidR="00E50A74" w:rsidRPr="00F95529" w:rsidRDefault="00E50A74" w:rsidP="00530866">
            <w:pPr>
              <w:jc w:val="center"/>
              <w:rPr>
                <w:rFonts w:ascii="Arial Narrow" w:hAnsi="Arial Narrow" w:cs="Calibri Light"/>
                <w:sz w:val="20"/>
                <w:szCs w:val="20"/>
              </w:rPr>
            </w:pPr>
            <w:r w:rsidRPr="00F95529">
              <w:rPr>
                <w:rFonts w:ascii="Arial Narrow" w:hAnsi="Arial Narrow" w:cs="Calibri Light"/>
                <w:sz w:val="20"/>
                <w:szCs w:val="20"/>
              </w:rPr>
              <w:t>1.13 (-1.14, 3.39)</w:t>
            </w:r>
          </w:p>
        </w:tc>
        <w:tc>
          <w:tcPr>
            <w:tcW w:w="1062" w:type="pct"/>
            <w:vAlign w:val="center"/>
          </w:tcPr>
          <w:p w14:paraId="3CE9AEB9" w14:textId="77777777" w:rsidR="00E50A74" w:rsidRPr="00F95529" w:rsidRDefault="00E50A74" w:rsidP="00530866">
            <w:pPr>
              <w:jc w:val="center"/>
              <w:rPr>
                <w:rFonts w:ascii="Arial Narrow" w:hAnsi="Arial Narrow" w:cs="Calibri Light"/>
                <w:sz w:val="20"/>
                <w:szCs w:val="20"/>
              </w:rPr>
            </w:pPr>
            <w:r w:rsidRPr="00F95529">
              <w:rPr>
                <w:rFonts w:ascii="Arial Narrow" w:hAnsi="Arial Narrow" w:cs="Calibri Light"/>
                <w:sz w:val="20"/>
                <w:szCs w:val="20"/>
              </w:rPr>
              <w:t>3.74 (0.34, 40.84)</w:t>
            </w:r>
          </w:p>
        </w:tc>
      </w:tr>
      <w:tr w:rsidR="00E50A74" w:rsidRPr="00F95529" w14:paraId="5141A2B4" w14:textId="77777777" w:rsidTr="00106FA9">
        <w:tc>
          <w:tcPr>
            <w:tcW w:w="5000" w:type="pct"/>
            <w:gridSpan w:val="5"/>
            <w:vAlign w:val="center"/>
          </w:tcPr>
          <w:p w14:paraId="2A065D9A" w14:textId="77777777" w:rsidR="00E50A74" w:rsidRPr="00F95529" w:rsidRDefault="00E50A74" w:rsidP="00530866">
            <w:pPr>
              <w:jc w:val="left"/>
              <w:rPr>
                <w:rFonts w:ascii="Arial Narrow" w:hAnsi="Arial Narrow" w:cs="Calibri Light"/>
                <w:sz w:val="20"/>
                <w:szCs w:val="20"/>
              </w:rPr>
            </w:pPr>
            <w:proofErr w:type="gramStart"/>
            <w:r w:rsidRPr="00F95529">
              <w:rPr>
                <w:rFonts w:ascii="Arial Narrow" w:hAnsi="Arial Narrow"/>
                <w:b/>
                <w:bCs/>
                <w:sz w:val="20"/>
                <w:szCs w:val="22"/>
              </w:rPr>
              <w:t>Most commonly reported</w:t>
            </w:r>
            <w:proofErr w:type="gramEnd"/>
            <w:r w:rsidRPr="00F95529">
              <w:rPr>
                <w:rFonts w:ascii="Arial Narrow" w:hAnsi="Arial Narrow"/>
                <w:b/>
                <w:bCs/>
                <w:sz w:val="20"/>
                <w:szCs w:val="22"/>
              </w:rPr>
              <w:t xml:space="preserve"> toxicity </w:t>
            </w:r>
            <w:r w:rsidRPr="00F95529">
              <w:rPr>
                <w:rFonts w:ascii="Arial Narrow" w:hAnsi="Arial Narrow"/>
                <w:b/>
                <w:bCs/>
                <w:sz w:val="20"/>
                <w:szCs w:val="20"/>
              </w:rPr>
              <w:t>Grade ≥ 3 TEAEs</w:t>
            </w:r>
          </w:p>
        </w:tc>
      </w:tr>
      <w:tr w:rsidR="00E50A74" w:rsidRPr="00F95529" w14:paraId="4A2CD4B1" w14:textId="77777777" w:rsidTr="00106FA9">
        <w:tc>
          <w:tcPr>
            <w:tcW w:w="1233" w:type="pct"/>
            <w:vAlign w:val="center"/>
          </w:tcPr>
          <w:p w14:paraId="5E0BB159" w14:textId="77777777" w:rsidR="00E50A74" w:rsidRPr="00F95529" w:rsidRDefault="00E50A74" w:rsidP="00530866">
            <w:pPr>
              <w:rPr>
                <w:rFonts w:ascii="Arial Narrow" w:hAnsi="Arial Narrow" w:cs="Calibri Light"/>
                <w:sz w:val="20"/>
                <w:szCs w:val="20"/>
              </w:rPr>
            </w:pPr>
            <w:r w:rsidRPr="00F95529">
              <w:rPr>
                <w:rFonts w:ascii="Arial Narrow" w:hAnsi="Arial Narrow" w:cs="Calibri Light"/>
                <w:sz w:val="20"/>
                <w:szCs w:val="20"/>
              </w:rPr>
              <w:t>Neutropenia</w:t>
            </w:r>
          </w:p>
        </w:tc>
        <w:tc>
          <w:tcPr>
            <w:tcW w:w="773" w:type="pct"/>
            <w:vAlign w:val="center"/>
          </w:tcPr>
          <w:p w14:paraId="019F9AFF" w14:textId="77777777" w:rsidR="00E50A74" w:rsidRPr="00F95529" w:rsidRDefault="00E50A74" w:rsidP="00530866">
            <w:pPr>
              <w:pStyle w:val="TableText0"/>
              <w:jc w:val="center"/>
              <w:rPr>
                <w:rFonts w:cs="Calibri Light"/>
                <w:sz w:val="20"/>
                <w:szCs w:val="22"/>
              </w:rPr>
            </w:pPr>
            <w:r w:rsidRPr="00F95529">
              <w:rPr>
                <w:sz w:val="20"/>
                <w:szCs w:val="22"/>
              </w:rPr>
              <w:t>59 (45.4%)</w:t>
            </w:r>
          </w:p>
        </w:tc>
        <w:tc>
          <w:tcPr>
            <w:tcW w:w="773" w:type="pct"/>
            <w:vAlign w:val="center"/>
          </w:tcPr>
          <w:p w14:paraId="6309DF2F" w14:textId="77777777" w:rsidR="00E50A74" w:rsidRPr="00F95529" w:rsidRDefault="00E50A74" w:rsidP="00530866">
            <w:pPr>
              <w:pStyle w:val="TableText0"/>
              <w:jc w:val="center"/>
              <w:rPr>
                <w:rFonts w:cs="Calibri Light"/>
                <w:sz w:val="20"/>
                <w:szCs w:val="22"/>
              </w:rPr>
            </w:pPr>
            <w:r w:rsidRPr="00F95529">
              <w:rPr>
                <w:sz w:val="20"/>
                <w:szCs w:val="22"/>
              </w:rPr>
              <w:t>52 (21.4%)</w:t>
            </w:r>
          </w:p>
        </w:tc>
        <w:tc>
          <w:tcPr>
            <w:tcW w:w="1159" w:type="pct"/>
            <w:vAlign w:val="center"/>
          </w:tcPr>
          <w:p w14:paraId="0CC3F0E9" w14:textId="77777777" w:rsidR="00E50A74" w:rsidRPr="00F95529" w:rsidRDefault="00E50A74" w:rsidP="00530866">
            <w:pPr>
              <w:jc w:val="center"/>
              <w:rPr>
                <w:rFonts w:ascii="Arial Narrow" w:hAnsi="Arial Narrow" w:cs="Calibri Light"/>
                <w:sz w:val="20"/>
                <w:szCs w:val="20"/>
              </w:rPr>
            </w:pPr>
            <w:r w:rsidRPr="00F95529">
              <w:rPr>
                <w:rFonts w:ascii="Arial Narrow" w:hAnsi="Arial Narrow" w:cs="Calibri Light"/>
                <w:sz w:val="20"/>
                <w:szCs w:val="20"/>
              </w:rPr>
              <w:t>23.99% (13.99, 33.98)</w:t>
            </w:r>
          </w:p>
        </w:tc>
        <w:tc>
          <w:tcPr>
            <w:tcW w:w="1062" w:type="pct"/>
            <w:vAlign w:val="center"/>
          </w:tcPr>
          <w:p w14:paraId="53FDC9A0" w14:textId="77777777" w:rsidR="00E50A74" w:rsidRPr="00F95529" w:rsidRDefault="00E50A74" w:rsidP="00530866">
            <w:pPr>
              <w:jc w:val="center"/>
              <w:rPr>
                <w:rFonts w:ascii="Arial Narrow" w:hAnsi="Arial Narrow" w:cs="Calibri Light"/>
                <w:sz w:val="20"/>
                <w:szCs w:val="20"/>
              </w:rPr>
            </w:pPr>
            <w:r w:rsidRPr="00F95529">
              <w:rPr>
                <w:rFonts w:ascii="Arial Narrow" w:hAnsi="Arial Narrow" w:cs="Calibri Light"/>
                <w:sz w:val="20"/>
                <w:szCs w:val="20"/>
              </w:rPr>
              <w:t>2.12 (1.56, 2.88)</w:t>
            </w:r>
          </w:p>
        </w:tc>
      </w:tr>
      <w:tr w:rsidR="00E50A74" w:rsidRPr="00F95529" w14:paraId="7F36DF4E" w14:textId="77777777" w:rsidTr="00106FA9">
        <w:tc>
          <w:tcPr>
            <w:tcW w:w="1233" w:type="pct"/>
            <w:vAlign w:val="center"/>
          </w:tcPr>
          <w:p w14:paraId="34E874C6" w14:textId="77777777" w:rsidR="00E50A74" w:rsidRPr="00F95529" w:rsidRDefault="00E50A74" w:rsidP="00530866">
            <w:pPr>
              <w:rPr>
                <w:rFonts w:ascii="Arial Narrow" w:hAnsi="Arial Narrow" w:cs="Calibri Light"/>
                <w:sz w:val="20"/>
                <w:szCs w:val="20"/>
              </w:rPr>
            </w:pPr>
            <w:r w:rsidRPr="00F95529">
              <w:rPr>
                <w:rFonts w:ascii="Arial Narrow" w:hAnsi="Arial Narrow" w:cs="Calibri Light"/>
                <w:sz w:val="20"/>
                <w:szCs w:val="20"/>
              </w:rPr>
              <w:t>Leukopenia</w:t>
            </w:r>
          </w:p>
        </w:tc>
        <w:tc>
          <w:tcPr>
            <w:tcW w:w="773" w:type="pct"/>
            <w:vAlign w:val="center"/>
          </w:tcPr>
          <w:p w14:paraId="54D4AE0A" w14:textId="77777777" w:rsidR="00E50A74" w:rsidRPr="00F95529" w:rsidRDefault="00E50A74" w:rsidP="00530866">
            <w:pPr>
              <w:pStyle w:val="TableText0"/>
              <w:jc w:val="center"/>
              <w:rPr>
                <w:rFonts w:cs="Calibri Light"/>
                <w:sz w:val="20"/>
                <w:szCs w:val="22"/>
              </w:rPr>
            </w:pPr>
            <w:r w:rsidRPr="00F95529">
              <w:rPr>
                <w:sz w:val="20"/>
                <w:szCs w:val="22"/>
              </w:rPr>
              <w:t>26 (20.0%)</w:t>
            </w:r>
          </w:p>
        </w:tc>
        <w:tc>
          <w:tcPr>
            <w:tcW w:w="773" w:type="pct"/>
            <w:vAlign w:val="center"/>
          </w:tcPr>
          <w:p w14:paraId="7E2594DD" w14:textId="77777777" w:rsidR="00E50A74" w:rsidRPr="00F95529" w:rsidRDefault="00E50A74" w:rsidP="00530866">
            <w:pPr>
              <w:pStyle w:val="TableText0"/>
              <w:jc w:val="center"/>
              <w:rPr>
                <w:rFonts w:cs="Calibri Light"/>
                <w:sz w:val="20"/>
                <w:szCs w:val="22"/>
              </w:rPr>
            </w:pPr>
            <w:r w:rsidRPr="00F95529">
              <w:rPr>
                <w:sz w:val="20"/>
                <w:szCs w:val="22"/>
              </w:rPr>
              <w:t>23 (9.5%)</w:t>
            </w:r>
          </w:p>
        </w:tc>
        <w:tc>
          <w:tcPr>
            <w:tcW w:w="1159" w:type="pct"/>
            <w:vAlign w:val="center"/>
          </w:tcPr>
          <w:p w14:paraId="02CCDD52" w14:textId="77777777" w:rsidR="00E50A74" w:rsidRPr="00F95529" w:rsidRDefault="00E50A74" w:rsidP="00530866">
            <w:pPr>
              <w:jc w:val="center"/>
              <w:rPr>
                <w:rFonts w:ascii="Arial Narrow" w:hAnsi="Arial Narrow" w:cs="Calibri Light"/>
                <w:sz w:val="20"/>
                <w:szCs w:val="20"/>
              </w:rPr>
            </w:pPr>
            <w:r w:rsidRPr="00F95529">
              <w:rPr>
                <w:rFonts w:ascii="Arial Narrow" w:hAnsi="Arial Narrow" w:cs="Calibri Light"/>
                <w:sz w:val="20"/>
                <w:szCs w:val="20"/>
              </w:rPr>
              <w:t>10.53% (2.74, 18.33)</w:t>
            </w:r>
          </w:p>
        </w:tc>
        <w:tc>
          <w:tcPr>
            <w:tcW w:w="1062" w:type="pct"/>
            <w:vAlign w:val="center"/>
          </w:tcPr>
          <w:p w14:paraId="08535029" w14:textId="77777777" w:rsidR="00E50A74" w:rsidRPr="00F95529" w:rsidRDefault="00E50A74" w:rsidP="00530866">
            <w:pPr>
              <w:jc w:val="center"/>
              <w:rPr>
                <w:rFonts w:ascii="Arial Narrow" w:hAnsi="Arial Narrow" w:cs="Calibri Light"/>
                <w:sz w:val="20"/>
                <w:szCs w:val="20"/>
              </w:rPr>
            </w:pPr>
            <w:r w:rsidRPr="00F95529">
              <w:rPr>
                <w:rFonts w:ascii="Arial Narrow" w:hAnsi="Arial Narrow" w:cs="Calibri Light"/>
                <w:sz w:val="20"/>
                <w:szCs w:val="20"/>
              </w:rPr>
              <w:t>2.11 (1.26, 3.55)</w:t>
            </w:r>
          </w:p>
        </w:tc>
      </w:tr>
      <w:tr w:rsidR="00E50A74" w:rsidRPr="00F95529" w14:paraId="0D303901" w14:textId="77777777" w:rsidTr="00106FA9">
        <w:tc>
          <w:tcPr>
            <w:tcW w:w="1233" w:type="pct"/>
            <w:vAlign w:val="center"/>
          </w:tcPr>
          <w:p w14:paraId="77219CD3" w14:textId="77777777" w:rsidR="00E50A74" w:rsidRPr="00F95529" w:rsidRDefault="00E50A74" w:rsidP="00530866">
            <w:pPr>
              <w:rPr>
                <w:rFonts w:ascii="Arial Narrow" w:hAnsi="Arial Narrow" w:cs="Calibri Light"/>
                <w:sz w:val="20"/>
                <w:szCs w:val="20"/>
              </w:rPr>
            </w:pPr>
            <w:r w:rsidRPr="00F95529">
              <w:rPr>
                <w:rFonts w:ascii="Arial Narrow" w:hAnsi="Arial Narrow" w:cs="Calibri Light"/>
                <w:sz w:val="20"/>
                <w:szCs w:val="20"/>
              </w:rPr>
              <w:t>Anaemia</w:t>
            </w:r>
          </w:p>
        </w:tc>
        <w:tc>
          <w:tcPr>
            <w:tcW w:w="773" w:type="pct"/>
            <w:vAlign w:val="center"/>
          </w:tcPr>
          <w:p w14:paraId="5F8A3220" w14:textId="77777777" w:rsidR="00E50A74" w:rsidRPr="00F95529" w:rsidRDefault="00E50A74" w:rsidP="00530866">
            <w:pPr>
              <w:pStyle w:val="TableText0"/>
              <w:jc w:val="center"/>
              <w:rPr>
                <w:rFonts w:cs="Calibri Light"/>
                <w:sz w:val="20"/>
                <w:szCs w:val="22"/>
              </w:rPr>
            </w:pPr>
            <w:r w:rsidRPr="00F95529">
              <w:rPr>
                <w:sz w:val="20"/>
                <w:szCs w:val="22"/>
              </w:rPr>
              <w:t>15 (11.5%)</w:t>
            </w:r>
          </w:p>
        </w:tc>
        <w:tc>
          <w:tcPr>
            <w:tcW w:w="773" w:type="pct"/>
            <w:vAlign w:val="center"/>
          </w:tcPr>
          <w:p w14:paraId="53B1EFFB" w14:textId="77777777" w:rsidR="00E50A74" w:rsidRPr="00F95529" w:rsidRDefault="00E50A74" w:rsidP="00530866">
            <w:pPr>
              <w:pStyle w:val="TableText0"/>
              <w:jc w:val="center"/>
              <w:rPr>
                <w:rFonts w:cs="Calibri Light"/>
                <w:sz w:val="20"/>
                <w:szCs w:val="22"/>
              </w:rPr>
            </w:pPr>
            <w:r w:rsidRPr="00F95529">
              <w:rPr>
                <w:sz w:val="20"/>
                <w:szCs w:val="22"/>
              </w:rPr>
              <w:t>23 (9.5%)</w:t>
            </w:r>
          </w:p>
        </w:tc>
        <w:tc>
          <w:tcPr>
            <w:tcW w:w="1159" w:type="pct"/>
            <w:vAlign w:val="center"/>
          </w:tcPr>
          <w:p w14:paraId="6C5061C6" w14:textId="77777777" w:rsidR="00E50A74" w:rsidRPr="00F95529" w:rsidRDefault="00E50A74" w:rsidP="00530866">
            <w:pPr>
              <w:jc w:val="center"/>
              <w:rPr>
                <w:rFonts w:ascii="Arial Narrow" w:hAnsi="Arial Narrow" w:cs="Calibri Light"/>
                <w:sz w:val="20"/>
                <w:szCs w:val="20"/>
              </w:rPr>
            </w:pPr>
            <w:r w:rsidRPr="00F95529">
              <w:rPr>
                <w:rFonts w:ascii="Arial Narrow" w:hAnsi="Arial Narrow" w:cs="Calibri Light"/>
                <w:sz w:val="20"/>
                <w:szCs w:val="20"/>
              </w:rPr>
              <w:t>2.07% (-4.54, 8.68)</w:t>
            </w:r>
          </w:p>
        </w:tc>
        <w:tc>
          <w:tcPr>
            <w:tcW w:w="1062" w:type="pct"/>
            <w:vAlign w:val="center"/>
          </w:tcPr>
          <w:p w14:paraId="62C3D0DA" w14:textId="77777777" w:rsidR="00E50A74" w:rsidRPr="00F95529" w:rsidRDefault="00E50A74" w:rsidP="00530866">
            <w:pPr>
              <w:jc w:val="center"/>
              <w:rPr>
                <w:rFonts w:ascii="Arial Narrow" w:hAnsi="Arial Narrow" w:cs="Calibri Light"/>
                <w:sz w:val="20"/>
                <w:szCs w:val="20"/>
              </w:rPr>
            </w:pPr>
            <w:r w:rsidRPr="00F95529">
              <w:rPr>
                <w:rFonts w:ascii="Arial Narrow" w:hAnsi="Arial Narrow" w:cs="Calibri Light"/>
                <w:sz w:val="20"/>
                <w:szCs w:val="20"/>
              </w:rPr>
              <w:t>1.22 (0.66, 2.25)</w:t>
            </w:r>
          </w:p>
        </w:tc>
      </w:tr>
      <w:tr w:rsidR="00E50A74" w:rsidRPr="00F95529" w14:paraId="6731B043" w14:textId="77777777" w:rsidTr="00106FA9">
        <w:tc>
          <w:tcPr>
            <w:tcW w:w="1233" w:type="pct"/>
            <w:vAlign w:val="center"/>
          </w:tcPr>
          <w:p w14:paraId="0E078DDE" w14:textId="77777777" w:rsidR="00E50A74" w:rsidRPr="00F95529" w:rsidRDefault="00E50A74" w:rsidP="00530866">
            <w:pPr>
              <w:rPr>
                <w:rFonts w:ascii="Arial Narrow" w:hAnsi="Arial Narrow" w:cs="Calibri Light"/>
                <w:sz w:val="20"/>
                <w:szCs w:val="20"/>
              </w:rPr>
            </w:pPr>
            <w:r w:rsidRPr="00F95529">
              <w:rPr>
                <w:rFonts w:ascii="Arial Narrow" w:hAnsi="Arial Narrow" w:cs="Calibri Light"/>
                <w:sz w:val="20"/>
                <w:szCs w:val="20"/>
              </w:rPr>
              <w:t>Thrombocytopenia</w:t>
            </w:r>
          </w:p>
        </w:tc>
        <w:tc>
          <w:tcPr>
            <w:tcW w:w="773" w:type="pct"/>
            <w:vAlign w:val="center"/>
          </w:tcPr>
          <w:p w14:paraId="52DA4175" w14:textId="77777777" w:rsidR="00E50A74" w:rsidRPr="00F95529" w:rsidRDefault="00E50A74" w:rsidP="00530866">
            <w:pPr>
              <w:pStyle w:val="TableText0"/>
              <w:jc w:val="center"/>
              <w:rPr>
                <w:rFonts w:cs="Calibri Light"/>
                <w:sz w:val="20"/>
                <w:szCs w:val="22"/>
              </w:rPr>
            </w:pPr>
            <w:r w:rsidRPr="00F95529">
              <w:rPr>
                <w:sz w:val="20"/>
                <w:szCs w:val="22"/>
              </w:rPr>
              <w:t>19 (14.6%)</w:t>
            </w:r>
          </w:p>
        </w:tc>
        <w:tc>
          <w:tcPr>
            <w:tcW w:w="773" w:type="pct"/>
            <w:vAlign w:val="center"/>
          </w:tcPr>
          <w:p w14:paraId="1A0E0E1B" w14:textId="77777777" w:rsidR="00E50A74" w:rsidRPr="00F95529" w:rsidRDefault="00E50A74" w:rsidP="00530866">
            <w:pPr>
              <w:pStyle w:val="TableText0"/>
              <w:jc w:val="center"/>
              <w:rPr>
                <w:rFonts w:cs="Calibri Light"/>
                <w:sz w:val="20"/>
                <w:szCs w:val="22"/>
              </w:rPr>
            </w:pPr>
            <w:r w:rsidRPr="00F95529">
              <w:rPr>
                <w:sz w:val="20"/>
                <w:szCs w:val="22"/>
              </w:rPr>
              <w:t>22 (9.1%)</w:t>
            </w:r>
          </w:p>
        </w:tc>
        <w:tc>
          <w:tcPr>
            <w:tcW w:w="1159" w:type="pct"/>
            <w:vAlign w:val="center"/>
          </w:tcPr>
          <w:p w14:paraId="283FEB2A" w14:textId="77777777" w:rsidR="00E50A74" w:rsidRPr="00F95529" w:rsidRDefault="00E50A74" w:rsidP="00530866">
            <w:pPr>
              <w:jc w:val="center"/>
              <w:rPr>
                <w:rFonts w:ascii="Arial Narrow" w:hAnsi="Arial Narrow" w:cs="Calibri Light"/>
                <w:sz w:val="20"/>
                <w:szCs w:val="20"/>
              </w:rPr>
            </w:pPr>
            <w:r w:rsidRPr="00F95529">
              <w:rPr>
                <w:rFonts w:ascii="Arial Narrow" w:hAnsi="Arial Narrow" w:cs="Calibri Light"/>
                <w:sz w:val="20"/>
                <w:szCs w:val="20"/>
              </w:rPr>
              <w:t>5.56% (-1.50, 12.63)</w:t>
            </w:r>
          </w:p>
        </w:tc>
        <w:tc>
          <w:tcPr>
            <w:tcW w:w="1062" w:type="pct"/>
            <w:vAlign w:val="center"/>
          </w:tcPr>
          <w:p w14:paraId="372D7D6E" w14:textId="77777777" w:rsidR="00E50A74" w:rsidRPr="00F95529" w:rsidRDefault="00E50A74" w:rsidP="00530866">
            <w:pPr>
              <w:jc w:val="center"/>
              <w:rPr>
                <w:rFonts w:ascii="Arial Narrow" w:hAnsi="Arial Narrow" w:cs="Calibri Light"/>
                <w:sz w:val="20"/>
                <w:szCs w:val="20"/>
              </w:rPr>
            </w:pPr>
            <w:r w:rsidRPr="00F95529">
              <w:rPr>
                <w:rFonts w:ascii="Arial Narrow" w:hAnsi="Arial Narrow" w:cs="Calibri Light"/>
                <w:sz w:val="20"/>
                <w:szCs w:val="20"/>
              </w:rPr>
              <w:t>1.61 (0.91, 2.87)</w:t>
            </w:r>
          </w:p>
        </w:tc>
      </w:tr>
    </w:tbl>
    <w:p w14:paraId="7843E93B" w14:textId="77777777" w:rsidR="00E50A74" w:rsidRPr="002C35E6" w:rsidRDefault="00E50A74" w:rsidP="00530866">
      <w:pPr>
        <w:pStyle w:val="TableFigureFooter"/>
        <w:rPr>
          <w:rFonts w:eastAsia="SimSun"/>
          <w:lang w:eastAsia="en-US" w:bidi="en-US"/>
        </w:rPr>
      </w:pPr>
      <w:r w:rsidRPr="002C35E6">
        <w:rPr>
          <w:rFonts w:eastAsia="SimSun"/>
          <w:lang w:eastAsia="en-US" w:bidi="en-US"/>
        </w:rPr>
        <w:t xml:space="preserve">Source: </w:t>
      </w:r>
      <w:r>
        <w:rPr>
          <w:rFonts w:eastAsia="SimSun"/>
          <w:lang w:eastAsia="en-US" w:bidi="en-US"/>
        </w:rPr>
        <w:t xml:space="preserve">Table 2.46, p164 of the submission </w:t>
      </w:r>
      <w:r w:rsidRPr="0052199E">
        <w:rPr>
          <w:rFonts w:eastAsia="SimSun"/>
          <w:lang w:eastAsia="en-US" w:bidi="en-US"/>
        </w:rPr>
        <w:t>and RR and RDs added during the evaluation</w:t>
      </w:r>
    </w:p>
    <w:p w14:paraId="6057760A" w14:textId="77777777" w:rsidR="00E50A74" w:rsidRPr="002C35E6" w:rsidRDefault="00E50A74" w:rsidP="00530866">
      <w:pPr>
        <w:pStyle w:val="TableFigureFooter"/>
        <w:rPr>
          <w:rFonts w:eastAsia="SimSun"/>
          <w:lang w:eastAsia="en-US" w:bidi="en-US"/>
        </w:rPr>
      </w:pPr>
      <w:r w:rsidRPr="002C35E6">
        <w:rPr>
          <w:rFonts w:eastAsia="SimSun"/>
          <w:lang w:eastAsia="en-US" w:bidi="en-US"/>
        </w:rPr>
        <w:t>Abbreviations: AmiCP=amivantamab plus</w:t>
      </w:r>
      <w:r w:rsidRPr="002C35E6">
        <w:rPr>
          <w:rFonts w:eastAsia="SimSun"/>
          <w:szCs w:val="18"/>
          <w:lang w:eastAsia="en-US" w:bidi="en-US"/>
        </w:rPr>
        <w:t xml:space="preserve"> </w:t>
      </w:r>
      <w:r w:rsidRPr="002C35E6">
        <w:rPr>
          <w:rFonts w:eastAsia="SimSun"/>
          <w:lang w:eastAsia="en-US" w:bidi="en-US"/>
        </w:rPr>
        <w:t>carboplatin and pemetrexed</w:t>
      </w:r>
      <w:r>
        <w:rPr>
          <w:rFonts w:eastAsia="SimSun"/>
          <w:lang w:eastAsia="en-US" w:bidi="en-US"/>
        </w:rPr>
        <w:t>;</w:t>
      </w:r>
      <w:r w:rsidRPr="002C35E6">
        <w:rPr>
          <w:rFonts w:eastAsia="SimSun"/>
          <w:lang w:eastAsia="en-US" w:bidi="en-US"/>
        </w:rPr>
        <w:t xml:space="preserve"> AE=adverse event</w:t>
      </w:r>
      <w:r>
        <w:rPr>
          <w:rFonts w:eastAsia="SimSun"/>
          <w:lang w:eastAsia="en-US" w:bidi="en-US"/>
        </w:rPr>
        <w:t>;</w:t>
      </w:r>
      <w:r>
        <w:t xml:space="preserve"> CCO= clinical cut off; </w:t>
      </w:r>
      <w:r>
        <w:rPr>
          <w:rFonts w:eastAsia="SimSun"/>
          <w:lang w:eastAsia="en-US" w:bidi="en-US"/>
        </w:rPr>
        <w:t xml:space="preserve">CI= confidence interval; </w:t>
      </w:r>
      <w:r w:rsidRPr="0093296F">
        <w:rPr>
          <w:rFonts w:eastAsia="SimSun"/>
          <w:lang w:eastAsia="en-US" w:bidi="en-US"/>
        </w:rPr>
        <w:t>CP= carboplatin plus pemetrexed;</w:t>
      </w:r>
      <w:r w:rsidRPr="002C35E6">
        <w:rPr>
          <w:rFonts w:eastAsia="SimSun"/>
          <w:lang w:eastAsia="en-US" w:bidi="en-US"/>
        </w:rPr>
        <w:t xml:space="preserve"> SAE=serious adverse event</w:t>
      </w:r>
      <w:r>
        <w:rPr>
          <w:rFonts w:eastAsia="SimSun"/>
          <w:lang w:eastAsia="en-US" w:bidi="en-US"/>
        </w:rPr>
        <w:t xml:space="preserve">; </w:t>
      </w:r>
      <w:r w:rsidRPr="0037688B">
        <w:rPr>
          <w:rFonts w:eastAsia="SimSun"/>
          <w:lang w:eastAsia="en-US" w:bidi="en-US"/>
        </w:rPr>
        <w:t>NC= not calculatable</w:t>
      </w:r>
      <w:r>
        <w:rPr>
          <w:rFonts w:eastAsia="SimSun"/>
          <w:lang w:eastAsia="en-US" w:bidi="en-US"/>
        </w:rPr>
        <w:t>;</w:t>
      </w:r>
      <w:r w:rsidRPr="002C35E6">
        <w:rPr>
          <w:rFonts w:eastAsia="SimSun"/>
          <w:lang w:eastAsia="en-US" w:bidi="en-US"/>
        </w:rPr>
        <w:t xml:space="preserve"> TEAE=treatment-emergent adverse event</w:t>
      </w:r>
      <w:r>
        <w:rPr>
          <w:rFonts w:eastAsia="SimSun"/>
          <w:lang w:eastAsia="en-US" w:bidi="en-US"/>
        </w:rPr>
        <w:t xml:space="preserve"> </w:t>
      </w:r>
    </w:p>
    <w:p w14:paraId="16585658" w14:textId="77777777" w:rsidR="00E50A74" w:rsidRPr="002C35E6" w:rsidRDefault="00E50A74" w:rsidP="00530866">
      <w:pPr>
        <w:pStyle w:val="TableFigureFooter"/>
        <w:rPr>
          <w:rFonts w:eastAsia="SimSun"/>
          <w:lang w:eastAsia="en-US" w:bidi="en-US"/>
        </w:rPr>
      </w:pPr>
      <w:bookmarkStart w:id="60" w:name="_Int_ezOK1LgP"/>
      <w:r w:rsidRPr="79174808">
        <w:rPr>
          <w:rFonts w:eastAsia="SimSun"/>
          <w:vertAlign w:val="superscript"/>
          <w:lang w:eastAsia="en-US" w:bidi="en-US"/>
        </w:rPr>
        <w:t>a</w:t>
      </w:r>
      <w:bookmarkEnd w:id="60"/>
      <w:r w:rsidRPr="79174808">
        <w:rPr>
          <w:rFonts w:eastAsia="SimSun"/>
          <w:lang w:eastAsia="en-US" w:bidi="en-US"/>
        </w:rPr>
        <w:t xml:space="preserve"> AE assessed by the investigator as related to study agent</w:t>
      </w:r>
    </w:p>
    <w:p w14:paraId="55F53958" w14:textId="77777777" w:rsidR="00E50A74" w:rsidRPr="002C35E6" w:rsidRDefault="00E50A74" w:rsidP="00530866">
      <w:pPr>
        <w:pStyle w:val="TableFigureFooter"/>
        <w:rPr>
          <w:rFonts w:eastAsia="SimSun"/>
          <w:lang w:eastAsia="en-US" w:bidi="en-US"/>
        </w:rPr>
      </w:pPr>
      <w:r w:rsidRPr="002C35E6">
        <w:rPr>
          <w:rFonts w:eastAsia="SimSun"/>
          <w:vertAlign w:val="superscript"/>
          <w:lang w:eastAsia="en-US" w:bidi="en-US"/>
        </w:rPr>
        <w:t>b</w:t>
      </w:r>
      <w:r w:rsidRPr="002C35E6">
        <w:rPr>
          <w:rFonts w:eastAsia="SimSun"/>
          <w:lang w:eastAsia="en-US" w:bidi="en-US"/>
        </w:rPr>
        <w:t xml:space="preserve"> AEs leading to death are based on AE outcome of Fatal</w:t>
      </w:r>
    </w:p>
    <w:p w14:paraId="64C8EC80" w14:textId="765211C0" w:rsidR="00E50A74" w:rsidRPr="00DB5D67" w:rsidRDefault="00E50A74" w:rsidP="00530866">
      <w:pPr>
        <w:pStyle w:val="3-BodyText"/>
        <w:rPr>
          <w:color w:val="0066FF"/>
        </w:rPr>
      </w:pPr>
      <w:r>
        <w:lastRenderedPageBreak/>
        <w:t xml:space="preserve">There were substantially more patients in the AmiCP arm experiencing Grade </w:t>
      </w:r>
      <w:r>
        <w:rPr>
          <w:rFonts w:cs="Calibri"/>
        </w:rPr>
        <w:t>≥</w:t>
      </w:r>
      <w:r>
        <w:t xml:space="preserve">3 TEAEs compared to CP arm (72.3% vs. 48.1% respectively). The most common Grade </w:t>
      </w:r>
      <w:r>
        <w:rPr>
          <w:rFonts w:cs="Calibri"/>
        </w:rPr>
        <w:t>≥</w:t>
      </w:r>
      <w:r>
        <w:t>3 TEAEs were blood and lymphatic system disorders such as neutropenia (</w:t>
      </w:r>
      <w:r w:rsidRPr="00E603D9">
        <w:t>45.4% vs</w:t>
      </w:r>
      <w:r>
        <w:t>.</w:t>
      </w:r>
      <w:r w:rsidRPr="00E603D9">
        <w:t xml:space="preserve"> 21.4%</w:t>
      </w:r>
      <w:r>
        <w:t xml:space="preserve">), leukopenia (20.0% vs. 9.5%) and anaemia (11.5% vs. 9.5%). </w:t>
      </w:r>
    </w:p>
    <w:p w14:paraId="0B25E383" w14:textId="2C062D1F" w:rsidR="00E50A74" w:rsidRDefault="00E50A74" w:rsidP="00530866">
      <w:pPr>
        <w:pStyle w:val="3-BodyText"/>
      </w:pPr>
      <w:r>
        <w:t>TEAEs leading to death w</w:t>
      </w:r>
      <w:r w:rsidR="00814B0C">
        <w:t>ere</w:t>
      </w:r>
      <w:r>
        <w:t xml:space="preserve"> reported in three patients (2.3%) in the A</w:t>
      </w:r>
      <w:r w:rsidR="00FD445D">
        <w:t>mi</w:t>
      </w:r>
      <w:r>
        <w:t>CP arm and three (1.2%) in the CP arm. Two of the deaths in the A</w:t>
      </w:r>
      <w:r w:rsidR="00FD445D">
        <w:t>mi</w:t>
      </w:r>
      <w:r>
        <w:t>CP arm were assessed as being related to study treatment, one death due to sepsis (assessed as related to carboplatin and pemetrexed) and another due to Grade 3 infectious pleural effusion and ventricular fibrillation (assessed as related to amivantamab and pemetrexed).</w:t>
      </w:r>
    </w:p>
    <w:p w14:paraId="1A369824" w14:textId="4809F1F7" w:rsidR="00294B4E" w:rsidRPr="00A80FB7" w:rsidRDefault="00E50A74" w:rsidP="00530866">
      <w:pPr>
        <w:pStyle w:val="3-BodyText"/>
        <w:rPr>
          <w:color w:val="0066FF"/>
        </w:rPr>
      </w:pPr>
      <w:r w:rsidRPr="00C76B72">
        <w:t>Rash, IRRs and pneumonitis / interstitial lung disease (ILD) were pre-identified AEs of special interest (AESIs). AESIs were reported more often in the AmiCP arm (88.5%) compared to the CP arm (15.6%), primarily driven by higher incidences of rash and IRRs. Most were reported to be Grade 1 or 2 AEs and managed through dose reductions or interruptions or in the case of IRRs, pre-specified pre-infusion medications.</w:t>
      </w:r>
      <w:r w:rsidR="00693F54">
        <w:t xml:space="preserve"> The PBAC noted Grade 3 -</w:t>
      </w:r>
      <w:r w:rsidR="00B86180">
        <w:t xml:space="preserve"> </w:t>
      </w:r>
      <w:r w:rsidR="00693F54">
        <w:t xml:space="preserve">4 </w:t>
      </w:r>
      <w:proofErr w:type="spellStart"/>
      <w:r w:rsidR="00693F54">
        <w:t>rash</w:t>
      </w:r>
      <w:proofErr w:type="spellEnd"/>
      <w:r w:rsidR="00693F54">
        <w:t xml:space="preserve"> occurred in 11% of AmiCP patients</w:t>
      </w:r>
      <w:r w:rsidR="006C1B11">
        <w:rPr>
          <w:rStyle w:val="FootnoteReference"/>
        </w:rPr>
        <w:footnoteReference w:id="10"/>
      </w:r>
      <w:r w:rsidR="00B86180">
        <w:t xml:space="preserve">. </w:t>
      </w:r>
    </w:p>
    <w:p w14:paraId="5AC502B2" w14:textId="77777777" w:rsidR="00E50A74" w:rsidRPr="0065584E" w:rsidRDefault="00E50A74" w:rsidP="00530866">
      <w:pPr>
        <w:rPr>
          <w:b/>
          <w:bCs/>
        </w:rPr>
      </w:pPr>
      <w:r w:rsidRPr="0065584E">
        <w:rPr>
          <w:b/>
          <w:bCs/>
        </w:rPr>
        <w:t>Indirect comparison: AmiCP vs. ABCP</w:t>
      </w:r>
    </w:p>
    <w:p w14:paraId="53055DA6" w14:textId="04A38B79" w:rsidR="00E50A74" w:rsidRDefault="00E50A74" w:rsidP="00530866">
      <w:pPr>
        <w:pStyle w:val="3-BodyText"/>
      </w:pPr>
      <w:r w:rsidRPr="00EA3C9B">
        <w:t xml:space="preserve">The submission presented a side-by-side comparison of the safety data from </w:t>
      </w:r>
      <w:r>
        <w:t>MARIPOSA</w:t>
      </w:r>
      <w:r w:rsidRPr="00EA3C9B">
        <w:t>-2 and ATTLAS trials</w:t>
      </w:r>
      <w:r>
        <w:t xml:space="preserve"> (</w:t>
      </w:r>
      <w:r>
        <w:fldChar w:fldCharType="begin"/>
      </w:r>
      <w:r>
        <w:instrText xml:space="preserve"> REF _Ref215757062 \h </w:instrText>
      </w:r>
      <w:r>
        <w:fldChar w:fldCharType="separate"/>
      </w:r>
      <w:r w:rsidR="00A572FC">
        <w:t xml:space="preserve">Table </w:t>
      </w:r>
      <w:r w:rsidR="00A572FC">
        <w:rPr>
          <w:noProof/>
        </w:rPr>
        <w:t>8</w:t>
      </w:r>
      <w:r>
        <w:fldChar w:fldCharType="end"/>
      </w:r>
      <w:r>
        <w:t>)</w:t>
      </w:r>
      <w:r w:rsidRPr="00EA3C9B">
        <w:t>.</w:t>
      </w:r>
      <w:r>
        <w:t xml:space="preserve"> </w:t>
      </w:r>
      <w:r w:rsidRPr="0068153B">
        <w:t>Data for the whole trial population from both trials were used</w:t>
      </w:r>
      <w:r>
        <w:t xml:space="preserve"> as safety data specific to the subgroup of patients who had prior osimertinib treatment from the ATTLAS trial was not reported. </w:t>
      </w:r>
    </w:p>
    <w:p w14:paraId="0FE6943B" w14:textId="3123EED7" w:rsidR="00E50A74" w:rsidRPr="00D567CB" w:rsidRDefault="00D97D5A" w:rsidP="00530866">
      <w:pPr>
        <w:pStyle w:val="Caption"/>
        <w:rPr>
          <w:rStyle w:val="TableFigureHeadingChar"/>
        </w:rPr>
      </w:pPr>
      <w:r>
        <w:t xml:space="preserve">Table </w:t>
      </w:r>
      <w:fldSimple w:instr=" SEQ Table \* ARABIC ">
        <w:r>
          <w:rPr>
            <w:noProof/>
          </w:rPr>
          <w:t>8</w:t>
        </w:r>
      </w:fldSimple>
      <w:r w:rsidR="00E50A74">
        <w:t>: Comparison of safety data from MARIPOSA-2 and ATTLAS</w:t>
      </w:r>
    </w:p>
    <w:tbl>
      <w:tblPr>
        <w:tblStyle w:val="TableGrid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Comparison of safety data from MARIPOSA-2 and ATTLAS"/>
      </w:tblPr>
      <w:tblGrid>
        <w:gridCol w:w="2263"/>
        <w:gridCol w:w="1515"/>
        <w:gridCol w:w="1749"/>
        <w:gridCol w:w="1744"/>
        <w:gridCol w:w="1746"/>
      </w:tblGrid>
      <w:tr w:rsidR="004375E0" w:rsidRPr="001A6363" w14:paraId="22DB1C0F" w14:textId="77777777" w:rsidTr="008B0452">
        <w:tc>
          <w:tcPr>
            <w:tcW w:w="1255" w:type="pct"/>
            <w:vAlign w:val="center"/>
          </w:tcPr>
          <w:p w14:paraId="47375445" w14:textId="77777777" w:rsidR="002B7A54" w:rsidRPr="00081756" w:rsidRDefault="002B7A54" w:rsidP="00530866">
            <w:pPr>
              <w:pStyle w:val="In-tableHeading"/>
              <w:keepNext w:val="0"/>
              <w:keepLines w:val="0"/>
              <w:jc w:val="center"/>
              <w:rPr>
                <w:sz w:val="20"/>
                <w:szCs w:val="22"/>
              </w:rPr>
            </w:pPr>
          </w:p>
        </w:tc>
        <w:tc>
          <w:tcPr>
            <w:tcW w:w="1810" w:type="pct"/>
            <w:gridSpan w:val="2"/>
            <w:vAlign w:val="center"/>
          </w:tcPr>
          <w:p w14:paraId="30A8C23E" w14:textId="77777777" w:rsidR="002B7A54" w:rsidRPr="00081756" w:rsidRDefault="002B7A54" w:rsidP="00530866">
            <w:pPr>
              <w:pStyle w:val="In-tableHeading"/>
              <w:keepNext w:val="0"/>
              <w:keepLines w:val="0"/>
              <w:jc w:val="center"/>
              <w:rPr>
                <w:sz w:val="20"/>
                <w:szCs w:val="22"/>
              </w:rPr>
            </w:pPr>
            <w:r w:rsidRPr="00081756">
              <w:rPr>
                <w:sz w:val="20"/>
                <w:szCs w:val="22"/>
              </w:rPr>
              <w:t>MARIPOSA-2</w:t>
            </w:r>
          </w:p>
        </w:tc>
        <w:tc>
          <w:tcPr>
            <w:tcW w:w="1935" w:type="pct"/>
            <w:gridSpan w:val="2"/>
            <w:vAlign w:val="center"/>
          </w:tcPr>
          <w:p w14:paraId="5530A2EF" w14:textId="77777777" w:rsidR="002B7A54" w:rsidRPr="00081756" w:rsidRDefault="002B7A54" w:rsidP="00530866">
            <w:pPr>
              <w:pStyle w:val="In-tableHeading"/>
              <w:keepNext w:val="0"/>
              <w:keepLines w:val="0"/>
              <w:jc w:val="center"/>
              <w:rPr>
                <w:sz w:val="20"/>
                <w:szCs w:val="22"/>
              </w:rPr>
            </w:pPr>
            <w:r w:rsidRPr="00081756">
              <w:rPr>
                <w:sz w:val="20"/>
                <w:szCs w:val="22"/>
              </w:rPr>
              <w:t>ATTLAS</w:t>
            </w:r>
          </w:p>
        </w:tc>
      </w:tr>
      <w:tr w:rsidR="00E50A74" w:rsidRPr="001A6363" w14:paraId="2314017E" w14:textId="77777777" w:rsidTr="008B0452">
        <w:tc>
          <w:tcPr>
            <w:tcW w:w="1255" w:type="pct"/>
            <w:vAlign w:val="center"/>
          </w:tcPr>
          <w:p w14:paraId="614C2100" w14:textId="77777777" w:rsidR="00E50A74" w:rsidRPr="00081756" w:rsidRDefault="00E50A74" w:rsidP="00530866">
            <w:pPr>
              <w:pStyle w:val="In-tableHeading"/>
              <w:keepNext w:val="0"/>
              <w:keepLines w:val="0"/>
              <w:jc w:val="center"/>
              <w:rPr>
                <w:sz w:val="20"/>
                <w:szCs w:val="22"/>
              </w:rPr>
            </w:pPr>
          </w:p>
        </w:tc>
        <w:tc>
          <w:tcPr>
            <w:tcW w:w="840" w:type="pct"/>
            <w:vAlign w:val="center"/>
          </w:tcPr>
          <w:p w14:paraId="409AE9F2" w14:textId="77777777" w:rsidR="00E50A74" w:rsidRPr="00081756" w:rsidRDefault="00E50A74" w:rsidP="00530866">
            <w:pPr>
              <w:pStyle w:val="In-tableHeading"/>
              <w:keepNext w:val="0"/>
              <w:keepLines w:val="0"/>
              <w:jc w:val="center"/>
              <w:rPr>
                <w:sz w:val="20"/>
                <w:szCs w:val="22"/>
              </w:rPr>
            </w:pPr>
            <w:proofErr w:type="spellStart"/>
            <w:r w:rsidRPr="00081756">
              <w:rPr>
                <w:sz w:val="20"/>
                <w:szCs w:val="22"/>
              </w:rPr>
              <w:t>AmiCP</w:t>
            </w:r>
            <w:proofErr w:type="spellEnd"/>
            <w:r w:rsidRPr="00081756">
              <w:rPr>
                <w:sz w:val="20"/>
                <w:szCs w:val="22"/>
              </w:rPr>
              <w:t xml:space="preserve"> (n=130)</w:t>
            </w:r>
          </w:p>
        </w:tc>
        <w:tc>
          <w:tcPr>
            <w:tcW w:w="970" w:type="pct"/>
            <w:vAlign w:val="center"/>
          </w:tcPr>
          <w:p w14:paraId="359070CD" w14:textId="35A2460B" w:rsidR="00E50A74" w:rsidRPr="00081756" w:rsidRDefault="00E50A74" w:rsidP="00530866">
            <w:pPr>
              <w:pStyle w:val="In-tableHeading"/>
              <w:keepNext w:val="0"/>
              <w:keepLines w:val="0"/>
              <w:jc w:val="center"/>
              <w:rPr>
                <w:sz w:val="20"/>
                <w:szCs w:val="22"/>
              </w:rPr>
            </w:pPr>
            <w:r w:rsidRPr="00081756">
              <w:rPr>
                <w:sz w:val="20"/>
                <w:szCs w:val="22"/>
              </w:rPr>
              <w:t>CP</w:t>
            </w:r>
            <w:r w:rsidR="006D4CBF">
              <w:rPr>
                <w:sz w:val="20"/>
                <w:szCs w:val="22"/>
              </w:rPr>
              <w:t xml:space="preserve"> </w:t>
            </w:r>
            <w:r w:rsidRPr="00081756">
              <w:rPr>
                <w:sz w:val="20"/>
                <w:szCs w:val="22"/>
              </w:rPr>
              <w:t>(n=243)</w:t>
            </w:r>
          </w:p>
        </w:tc>
        <w:tc>
          <w:tcPr>
            <w:tcW w:w="967" w:type="pct"/>
            <w:vAlign w:val="center"/>
          </w:tcPr>
          <w:p w14:paraId="0FC6A196" w14:textId="77777777" w:rsidR="00E50A74" w:rsidRPr="00081756" w:rsidRDefault="00E50A74" w:rsidP="00530866">
            <w:pPr>
              <w:pStyle w:val="In-tableHeading"/>
              <w:keepNext w:val="0"/>
              <w:keepLines w:val="0"/>
              <w:jc w:val="center"/>
              <w:rPr>
                <w:sz w:val="20"/>
                <w:szCs w:val="22"/>
              </w:rPr>
            </w:pPr>
            <w:r w:rsidRPr="00081756">
              <w:rPr>
                <w:sz w:val="20"/>
                <w:szCs w:val="22"/>
              </w:rPr>
              <w:t>ABCP (n=151)</w:t>
            </w:r>
          </w:p>
        </w:tc>
        <w:tc>
          <w:tcPr>
            <w:tcW w:w="968" w:type="pct"/>
            <w:vAlign w:val="center"/>
          </w:tcPr>
          <w:p w14:paraId="56FA17F2" w14:textId="143FF7F4" w:rsidR="00E50A74" w:rsidRPr="00081756" w:rsidRDefault="00E50A74" w:rsidP="00530866">
            <w:pPr>
              <w:pStyle w:val="In-tableHeading"/>
              <w:keepNext w:val="0"/>
              <w:keepLines w:val="0"/>
              <w:jc w:val="center"/>
              <w:rPr>
                <w:sz w:val="20"/>
                <w:szCs w:val="22"/>
              </w:rPr>
            </w:pPr>
            <w:r w:rsidRPr="00081756">
              <w:rPr>
                <w:sz w:val="20"/>
                <w:szCs w:val="22"/>
              </w:rPr>
              <w:t>CP</w:t>
            </w:r>
            <w:r w:rsidR="006D4CBF">
              <w:rPr>
                <w:sz w:val="20"/>
                <w:szCs w:val="22"/>
              </w:rPr>
              <w:t xml:space="preserve"> </w:t>
            </w:r>
            <w:r w:rsidRPr="00081756">
              <w:rPr>
                <w:sz w:val="20"/>
                <w:szCs w:val="22"/>
              </w:rPr>
              <w:t>(n=74)</w:t>
            </w:r>
          </w:p>
        </w:tc>
      </w:tr>
      <w:tr w:rsidR="00E50A74" w:rsidRPr="001A6363" w14:paraId="31BF0C23" w14:textId="77777777" w:rsidTr="008B0452">
        <w:tc>
          <w:tcPr>
            <w:tcW w:w="1255" w:type="pct"/>
            <w:vAlign w:val="center"/>
          </w:tcPr>
          <w:p w14:paraId="518A0129" w14:textId="77777777" w:rsidR="00E50A74" w:rsidRPr="001A6363" w:rsidRDefault="00E50A74" w:rsidP="00530866">
            <w:pPr>
              <w:jc w:val="left"/>
              <w:rPr>
                <w:rFonts w:ascii="Arial Narrow" w:hAnsi="Arial Narrow" w:cs="Calibri Light"/>
                <w:sz w:val="20"/>
                <w:szCs w:val="20"/>
              </w:rPr>
            </w:pPr>
            <w:r>
              <w:rPr>
                <w:rFonts w:ascii="Arial Narrow" w:hAnsi="Arial Narrow" w:cs="Calibri Light"/>
                <w:sz w:val="20"/>
                <w:szCs w:val="20"/>
              </w:rPr>
              <w:t>Median f/up, mths</w:t>
            </w:r>
          </w:p>
        </w:tc>
        <w:tc>
          <w:tcPr>
            <w:tcW w:w="1810" w:type="pct"/>
            <w:gridSpan w:val="2"/>
            <w:vAlign w:val="center"/>
          </w:tcPr>
          <w:p w14:paraId="365B5930" w14:textId="77777777" w:rsidR="00E50A74" w:rsidRPr="006571AD" w:rsidRDefault="00E50A74" w:rsidP="00530866">
            <w:pPr>
              <w:pStyle w:val="TableText0"/>
              <w:keepNext w:val="0"/>
              <w:keepLines w:val="0"/>
              <w:jc w:val="center"/>
              <w:rPr>
                <w:sz w:val="20"/>
                <w:szCs w:val="18"/>
              </w:rPr>
            </w:pPr>
            <w:r w:rsidRPr="006571AD">
              <w:rPr>
                <w:sz w:val="20"/>
                <w:szCs w:val="18"/>
              </w:rPr>
              <w:t>8.7</w:t>
            </w:r>
          </w:p>
        </w:tc>
        <w:tc>
          <w:tcPr>
            <w:tcW w:w="1935" w:type="pct"/>
            <w:gridSpan w:val="2"/>
            <w:vAlign w:val="center"/>
          </w:tcPr>
          <w:p w14:paraId="41723F61" w14:textId="77777777" w:rsidR="00E50A74" w:rsidRPr="006571AD" w:rsidRDefault="00E50A74" w:rsidP="00530866">
            <w:pPr>
              <w:pStyle w:val="TableText0"/>
              <w:keepNext w:val="0"/>
              <w:keepLines w:val="0"/>
              <w:jc w:val="center"/>
              <w:rPr>
                <w:sz w:val="20"/>
                <w:szCs w:val="18"/>
              </w:rPr>
            </w:pPr>
            <w:r w:rsidRPr="006571AD">
              <w:rPr>
                <w:sz w:val="20"/>
                <w:szCs w:val="18"/>
              </w:rPr>
              <w:t>26.1</w:t>
            </w:r>
          </w:p>
        </w:tc>
      </w:tr>
      <w:tr w:rsidR="00E50A74" w:rsidRPr="001A6363" w14:paraId="44137CFB" w14:textId="77777777" w:rsidTr="008B0452">
        <w:tc>
          <w:tcPr>
            <w:tcW w:w="1255" w:type="pct"/>
            <w:vAlign w:val="center"/>
          </w:tcPr>
          <w:p w14:paraId="094160DA" w14:textId="77777777" w:rsidR="00E50A74" w:rsidRPr="001A6363" w:rsidRDefault="00E50A74" w:rsidP="00530866">
            <w:pPr>
              <w:jc w:val="left"/>
              <w:rPr>
                <w:rFonts w:ascii="Arial Narrow" w:hAnsi="Arial Narrow" w:cs="Calibri Light"/>
                <w:sz w:val="20"/>
                <w:szCs w:val="20"/>
              </w:rPr>
            </w:pPr>
            <w:r w:rsidRPr="001A6363">
              <w:rPr>
                <w:rFonts w:ascii="Arial Narrow" w:hAnsi="Arial Narrow" w:cs="Calibri Light"/>
                <w:sz w:val="20"/>
                <w:szCs w:val="20"/>
              </w:rPr>
              <w:t xml:space="preserve">Median </w:t>
            </w:r>
            <w:r>
              <w:rPr>
                <w:rFonts w:ascii="Arial Narrow" w:hAnsi="Arial Narrow" w:cs="Calibri Light"/>
                <w:sz w:val="20"/>
                <w:szCs w:val="20"/>
              </w:rPr>
              <w:t>DoT</w:t>
            </w:r>
            <w:r w:rsidRPr="001A6363">
              <w:rPr>
                <w:rFonts w:ascii="Arial Narrow" w:hAnsi="Arial Narrow" w:cs="Calibri Light"/>
                <w:sz w:val="20"/>
                <w:szCs w:val="20"/>
              </w:rPr>
              <w:t>, mths</w:t>
            </w:r>
          </w:p>
        </w:tc>
        <w:tc>
          <w:tcPr>
            <w:tcW w:w="840" w:type="pct"/>
            <w:vAlign w:val="center"/>
          </w:tcPr>
          <w:p w14:paraId="2C2D3F46" w14:textId="77777777" w:rsidR="00E50A74" w:rsidRPr="008E3081" w:rsidRDefault="00E50A74" w:rsidP="00530866">
            <w:pPr>
              <w:pStyle w:val="TableText0"/>
              <w:keepNext w:val="0"/>
              <w:keepLines w:val="0"/>
              <w:jc w:val="center"/>
              <w:rPr>
                <w:sz w:val="20"/>
                <w:szCs w:val="20"/>
              </w:rPr>
            </w:pPr>
            <w:r w:rsidRPr="008E3081">
              <w:rPr>
                <w:sz w:val="20"/>
                <w:szCs w:val="20"/>
              </w:rPr>
              <w:t>6.3</w:t>
            </w:r>
          </w:p>
        </w:tc>
        <w:tc>
          <w:tcPr>
            <w:tcW w:w="970" w:type="pct"/>
            <w:vAlign w:val="center"/>
          </w:tcPr>
          <w:p w14:paraId="5EE11D1F" w14:textId="77777777" w:rsidR="00E50A74" w:rsidRPr="008E3081" w:rsidRDefault="00E50A74" w:rsidP="00530866">
            <w:pPr>
              <w:pStyle w:val="TableText0"/>
              <w:keepNext w:val="0"/>
              <w:keepLines w:val="0"/>
              <w:jc w:val="center"/>
              <w:rPr>
                <w:sz w:val="20"/>
                <w:szCs w:val="20"/>
              </w:rPr>
            </w:pPr>
            <w:r w:rsidRPr="008E3081">
              <w:rPr>
                <w:sz w:val="20"/>
                <w:szCs w:val="20"/>
              </w:rPr>
              <w:t>3.7</w:t>
            </w:r>
          </w:p>
        </w:tc>
        <w:tc>
          <w:tcPr>
            <w:tcW w:w="967" w:type="pct"/>
            <w:vAlign w:val="center"/>
          </w:tcPr>
          <w:p w14:paraId="66026812" w14:textId="77777777" w:rsidR="00E50A74" w:rsidRPr="008E3081" w:rsidRDefault="00E50A74" w:rsidP="00530866">
            <w:pPr>
              <w:pStyle w:val="TableText0"/>
              <w:keepNext w:val="0"/>
              <w:keepLines w:val="0"/>
              <w:jc w:val="center"/>
              <w:rPr>
                <w:sz w:val="20"/>
                <w:szCs w:val="20"/>
              </w:rPr>
            </w:pPr>
            <w:r w:rsidRPr="008E3081">
              <w:rPr>
                <w:sz w:val="20"/>
                <w:szCs w:val="20"/>
              </w:rPr>
              <w:t>NR</w:t>
            </w:r>
          </w:p>
        </w:tc>
        <w:tc>
          <w:tcPr>
            <w:tcW w:w="968" w:type="pct"/>
            <w:vAlign w:val="center"/>
          </w:tcPr>
          <w:p w14:paraId="055F617F" w14:textId="77777777" w:rsidR="00E50A74" w:rsidRPr="008E3081" w:rsidRDefault="00E50A74" w:rsidP="00530866">
            <w:pPr>
              <w:pStyle w:val="TableText0"/>
              <w:keepNext w:val="0"/>
              <w:keepLines w:val="0"/>
              <w:jc w:val="center"/>
              <w:rPr>
                <w:sz w:val="20"/>
                <w:szCs w:val="20"/>
              </w:rPr>
            </w:pPr>
            <w:r w:rsidRPr="008E3081">
              <w:rPr>
                <w:sz w:val="20"/>
                <w:szCs w:val="20"/>
              </w:rPr>
              <w:t>NR</w:t>
            </w:r>
          </w:p>
        </w:tc>
      </w:tr>
      <w:tr w:rsidR="002B7A54" w:rsidRPr="001A6363" w14:paraId="3DBC6714" w14:textId="77777777" w:rsidTr="008B0452">
        <w:tc>
          <w:tcPr>
            <w:tcW w:w="5000" w:type="pct"/>
            <w:gridSpan w:val="5"/>
            <w:vAlign w:val="center"/>
          </w:tcPr>
          <w:p w14:paraId="60F54DF4" w14:textId="77777777" w:rsidR="002B7A54" w:rsidRPr="002C2552" w:rsidRDefault="002B7A54" w:rsidP="00530866">
            <w:pPr>
              <w:pStyle w:val="TableText0"/>
              <w:keepNext w:val="0"/>
              <w:keepLines w:val="0"/>
              <w:rPr>
                <w:b/>
                <w:bCs w:val="0"/>
                <w:szCs w:val="20"/>
              </w:rPr>
            </w:pPr>
            <w:r w:rsidRPr="002C2552">
              <w:rPr>
                <w:rFonts w:cs="Calibri Light"/>
                <w:b/>
                <w:bCs w:val="0"/>
                <w:sz w:val="20"/>
                <w:szCs w:val="20"/>
              </w:rPr>
              <w:t>Reported AEs</w:t>
            </w:r>
          </w:p>
        </w:tc>
      </w:tr>
      <w:tr w:rsidR="00E50A74" w:rsidRPr="001A6363" w14:paraId="6EB87981" w14:textId="77777777" w:rsidTr="008B0452">
        <w:tc>
          <w:tcPr>
            <w:tcW w:w="1255" w:type="pct"/>
            <w:vAlign w:val="center"/>
          </w:tcPr>
          <w:p w14:paraId="6C4570BF" w14:textId="77777777" w:rsidR="00E50A74" w:rsidRPr="001A6363" w:rsidRDefault="00E50A74" w:rsidP="00530866">
            <w:pPr>
              <w:jc w:val="left"/>
              <w:rPr>
                <w:rFonts w:ascii="Arial Narrow" w:hAnsi="Arial Narrow" w:cs="Calibri Light"/>
                <w:sz w:val="20"/>
                <w:szCs w:val="20"/>
              </w:rPr>
            </w:pPr>
            <w:r w:rsidRPr="001A6363">
              <w:rPr>
                <w:rFonts w:ascii="Arial Narrow" w:hAnsi="Arial Narrow" w:cs="Calibri Light"/>
                <w:sz w:val="20"/>
                <w:szCs w:val="20"/>
              </w:rPr>
              <w:t xml:space="preserve">1 or more </w:t>
            </w:r>
          </w:p>
        </w:tc>
        <w:tc>
          <w:tcPr>
            <w:tcW w:w="840" w:type="pct"/>
            <w:vAlign w:val="center"/>
          </w:tcPr>
          <w:p w14:paraId="3F033DE8" w14:textId="77777777" w:rsidR="00E50A74" w:rsidRPr="008E3081" w:rsidRDefault="00E50A74" w:rsidP="00530866">
            <w:pPr>
              <w:pStyle w:val="TableText0"/>
              <w:keepNext w:val="0"/>
              <w:keepLines w:val="0"/>
              <w:jc w:val="center"/>
              <w:rPr>
                <w:sz w:val="20"/>
                <w:szCs w:val="20"/>
              </w:rPr>
            </w:pPr>
            <w:r w:rsidRPr="008E3081">
              <w:rPr>
                <w:sz w:val="20"/>
                <w:szCs w:val="20"/>
              </w:rPr>
              <w:t>130 (100%)</w:t>
            </w:r>
          </w:p>
        </w:tc>
        <w:tc>
          <w:tcPr>
            <w:tcW w:w="970" w:type="pct"/>
            <w:vAlign w:val="center"/>
          </w:tcPr>
          <w:p w14:paraId="7A6AC41F" w14:textId="77777777" w:rsidR="00E50A74" w:rsidRPr="008E3081" w:rsidRDefault="00E50A74" w:rsidP="00530866">
            <w:pPr>
              <w:pStyle w:val="TableText0"/>
              <w:keepNext w:val="0"/>
              <w:keepLines w:val="0"/>
              <w:jc w:val="center"/>
              <w:rPr>
                <w:sz w:val="20"/>
                <w:szCs w:val="20"/>
              </w:rPr>
            </w:pPr>
            <w:r w:rsidRPr="008E3081">
              <w:rPr>
                <w:sz w:val="20"/>
                <w:szCs w:val="20"/>
              </w:rPr>
              <w:t>227 (93.4%)</w:t>
            </w:r>
          </w:p>
        </w:tc>
        <w:tc>
          <w:tcPr>
            <w:tcW w:w="967" w:type="pct"/>
            <w:vAlign w:val="center"/>
          </w:tcPr>
          <w:p w14:paraId="5E74A309" w14:textId="4353730E" w:rsidR="00E50A74" w:rsidRPr="008E3081" w:rsidRDefault="00E50A74" w:rsidP="00530866">
            <w:pPr>
              <w:pStyle w:val="TableText0"/>
              <w:keepNext w:val="0"/>
              <w:keepLines w:val="0"/>
              <w:jc w:val="center"/>
              <w:rPr>
                <w:sz w:val="20"/>
                <w:szCs w:val="20"/>
              </w:rPr>
            </w:pPr>
            <w:r w:rsidRPr="008E3081">
              <w:rPr>
                <w:sz w:val="20"/>
                <w:szCs w:val="20"/>
              </w:rPr>
              <w:t>149</w:t>
            </w:r>
            <w:r w:rsidR="006D4CBF">
              <w:rPr>
                <w:sz w:val="20"/>
                <w:szCs w:val="20"/>
              </w:rPr>
              <w:t xml:space="preserve"> </w:t>
            </w:r>
            <w:r w:rsidRPr="008E3081">
              <w:rPr>
                <w:sz w:val="20"/>
                <w:szCs w:val="20"/>
              </w:rPr>
              <w:t>(98.7%)</w:t>
            </w:r>
          </w:p>
        </w:tc>
        <w:tc>
          <w:tcPr>
            <w:tcW w:w="968" w:type="pct"/>
            <w:vAlign w:val="center"/>
          </w:tcPr>
          <w:p w14:paraId="6E070238" w14:textId="5F2BCA06" w:rsidR="00E50A74" w:rsidRPr="008E3081" w:rsidRDefault="00E50A74" w:rsidP="00530866">
            <w:pPr>
              <w:pStyle w:val="TableText0"/>
              <w:keepNext w:val="0"/>
              <w:keepLines w:val="0"/>
              <w:jc w:val="center"/>
              <w:rPr>
                <w:sz w:val="20"/>
                <w:szCs w:val="20"/>
              </w:rPr>
            </w:pPr>
            <w:r w:rsidRPr="008E3081">
              <w:rPr>
                <w:sz w:val="20"/>
                <w:szCs w:val="20"/>
              </w:rPr>
              <w:t>62</w:t>
            </w:r>
            <w:r w:rsidR="006D4CBF">
              <w:rPr>
                <w:sz w:val="20"/>
                <w:szCs w:val="20"/>
              </w:rPr>
              <w:t xml:space="preserve"> </w:t>
            </w:r>
            <w:r w:rsidRPr="008E3081">
              <w:rPr>
                <w:sz w:val="20"/>
                <w:szCs w:val="20"/>
              </w:rPr>
              <w:t>(83.8%)</w:t>
            </w:r>
          </w:p>
        </w:tc>
      </w:tr>
      <w:tr w:rsidR="00E50A74" w:rsidRPr="001A6363" w14:paraId="0A6BDE0E" w14:textId="77777777" w:rsidTr="008B0452">
        <w:tc>
          <w:tcPr>
            <w:tcW w:w="1255" w:type="pct"/>
            <w:vAlign w:val="center"/>
          </w:tcPr>
          <w:p w14:paraId="361A46EB" w14:textId="77777777" w:rsidR="00E50A74" w:rsidRPr="001A6363" w:rsidRDefault="00E50A74" w:rsidP="00530866">
            <w:pPr>
              <w:jc w:val="left"/>
              <w:rPr>
                <w:rFonts w:ascii="Arial Narrow" w:hAnsi="Arial Narrow" w:cs="Calibri Light"/>
                <w:sz w:val="20"/>
                <w:szCs w:val="20"/>
              </w:rPr>
            </w:pPr>
            <w:r w:rsidRPr="001A6363">
              <w:rPr>
                <w:rFonts w:ascii="Arial Narrow" w:hAnsi="Arial Narrow" w:cs="Calibri Light"/>
                <w:sz w:val="20"/>
                <w:szCs w:val="20"/>
              </w:rPr>
              <w:t>Related to study treatment</w:t>
            </w:r>
          </w:p>
        </w:tc>
        <w:tc>
          <w:tcPr>
            <w:tcW w:w="840" w:type="pct"/>
            <w:vAlign w:val="center"/>
          </w:tcPr>
          <w:p w14:paraId="291F855B" w14:textId="77777777" w:rsidR="00E50A74" w:rsidRPr="008E3081" w:rsidRDefault="00E50A74" w:rsidP="00530866">
            <w:pPr>
              <w:pStyle w:val="TableText0"/>
              <w:keepNext w:val="0"/>
              <w:keepLines w:val="0"/>
              <w:jc w:val="center"/>
              <w:rPr>
                <w:sz w:val="20"/>
                <w:szCs w:val="20"/>
              </w:rPr>
            </w:pPr>
            <w:r w:rsidRPr="008E3081">
              <w:rPr>
                <w:sz w:val="20"/>
                <w:szCs w:val="20"/>
              </w:rPr>
              <w:t>129 (99.2%)</w:t>
            </w:r>
          </w:p>
        </w:tc>
        <w:tc>
          <w:tcPr>
            <w:tcW w:w="970" w:type="pct"/>
            <w:vAlign w:val="center"/>
          </w:tcPr>
          <w:p w14:paraId="394BC1AF" w14:textId="77777777" w:rsidR="00E50A74" w:rsidRPr="008E3081" w:rsidRDefault="00E50A74" w:rsidP="00530866">
            <w:pPr>
              <w:pStyle w:val="TableText0"/>
              <w:keepNext w:val="0"/>
              <w:keepLines w:val="0"/>
              <w:jc w:val="center"/>
              <w:rPr>
                <w:sz w:val="20"/>
                <w:szCs w:val="20"/>
              </w:rPr>
            </w:pPr>
            <w:r w:rsidRPr="008E3081">
              <w:rPr>
                <w:sz w:val="20"/>
                <w:szCs w:val="20"/>
              </w:rPr>
              <w:t>210 (86.4%)</w:t>
            </w:r>
          </w:p>
        </w:tc>
        <w:tc>
          <w:tcPr>
            <w:tcW w:w="967" w:type="pct"/>
            <w:vAlign w:val="center"/>
          </w:tcPr>
          <w:p w14:paraId="3DCCAA9B" w14:textId="1E232978" w:rsidR="00E50A74" w:rsidRPr="008E3081" w:rsidRDefault="00E50A74" w:rsidP="00530866">
            <w:pPr>
              <w:pStyle w:val="TableText0"/>
              <w:keepNext w:val="0"/>
              <w:keepLines w:val="0"/>
              <w:jc w:val="center"/>
              <w:rPr>
                <w:sz w:val="20"/>
                <w:szCs w:val="20"/>
              </w:rPr>
            </w:pPr>
            <w:r w:rsidRPr="008E3081">
              <w:rPr>
                <w:sz w:val="20"/>
                <w:szCs w:val="20"/>
              </w:rPr>
              <w:t>146</w:t>
            </w:r>
            <w:r w:rsidR="006D4CBF">
              <w:rPr>
                <w:sz w:val="20"/>
                <w:szCs w:val="20"/>
              </w:rPr>
              <w:t xml:space="preserve"> </w:t>
            </w:r>
            <w:r w:rsidRPr="008E3081">
              <w:rPr>
                <w:sz w:val="20"/>
                <w:szCs w:val="20"/>
              </w:rPr>
              <w:t>(96.7%)</w:t>
            </w:r>
          </w:p>
        </w:tc>
        <w:tc>
          <w:tcPr>
            <w:tcW w:w="968" w:type="pct"/>
            <w:vAlign w:val="center"/>
          </w:tcPr>
          <w:p w14:paraId="46876AEB" w14:textId="1AAEC77B" w:rsidR="00E50A74" w:rsidRPr="008E3081" w:rsidRDefault="00E50A74" w:rsidP="00530866">
            <w:pPr>
              <w:pStyle w:val="TableText0"/>
              <w:keepNext w:val="0"/>
              <w:keepLines w:val="0"/>
              <w:jc w:val="center"/>
              <w:rPr>
                <w:sz w:val="20"/>
                <w:szCs w:val="20"/>
              </w:rPr>
            </w:pPr>
            <w:r w:rsidRPr="008E3081">
              <w:rPr>
                <w:sz w:val="20"/>
                <w:szCs w:val="20"/>
              </w:rPr>
              <w:t>56</w:t>
            </w:r>
            <w:r w:rsidR="006D4CBF">
              <w:rPr>
                <w:sz w:val="20"/>
                <w:szCs w:val="20"/>
              </w:rPr>
              <w:t xml:space="preserve"> </w:t>
            </w:r>
            <w:r w:rsidRPr="008E3081">
              <w:rPr>
                <w:sz w:val="20"/>
                <w:szCs w:val="20"/>
              </w:rPr>
              <w:t>(75.7%)</w:t>
            </w:r>
          </w:p>
        </w:tc>
      </w:tr>
      <w:tr w:rsidR="00E50A74" w:rsidRPr="001A6363" w14:paraId="7CD86D99" w14:textId="77777777" w:rsidTr="008B0452">
        <w:tc>
          <w:tcPr>
            <w:tcW w:w="1255" w:type="pct"/>
            <w:vAlign w:val="center"/>
          </w:tcPr>
          <w:p w14:paraId="67326C0A" w14:textId="77777777" w:rsidR="00E50A74" w:rsidRPr="001A6363" w:rsidRDefault="00E50A74" w:rsidP="00530866">
            <w:pPr>
              <w:jc w:val="left"/>
              <w:rPr>
                <w:rFonts w:ascii="Arial Narrow" w:hAnsi="Arial Narrow" w:cs="Calibri Light"/>
                <w:sz w:val="20"/>
                <w:szCs w:val="20"/>
              </w:rPr>
            </w:pPr>
            <w:r w:rsidRPr="001A6363">
              <w:rPr>
                <w:rFonts w:ascii="Arial Narrow" w:hAnsi="Arial Narrow" w:cs="Calibri Light"/>
                <w:sz w:val="20"/>
                <w:szCs w:val="20"/>
              </w:rPr>
              <w:t xml:space="preserve">Grade ≥3 </w:t>
            </w:r>
          </w:p>
        </w:tc>
        <w:tc>
          <w:tcPr>
            <w:tcW w:w="840" w:type="pct"/>
            <w:vAlign w:val="center"/>
          </w:tcPr>
          <w:p w14:paraId="6A86D372" w14:textId="748B24BE" w:rsidR="00E50A74" w:rsidRPr="008E3081" w:rsidRDefault="00E50A74" w:rsidP="00530866">
            <w:pPr>
              <w:pStyle w:val="TableText0"/>
              <w:keepNext w:val="0"/>
              <w:keepLines w:val="0"/>
              <w:jc w:val="center"/>
              <w:rPr>
                <w:sz w:val="20"/>
                <w:szCs w:val="20"/>
              </w:rPr>
            </w:pPr>
            <w:r w:rsidRPr="008E3081">
              <w:rPr>
                <w:sz w:val="20"/>
                <w:szCs w:val="20"/>
              </w:rPr>
              <w:t>94</w:t>
            </w:r>
            <w:r w:rsidR="006D4CBF">
              <w:rPr>
                <w:sz w:val="20"/>
                <w:szCs w:val="20"/>
              </w:rPr>
              <w:t xml:space="preserve"> </w:t>
            </w:r>
            <w:r w:rsidRPr="008E3081">
              <w:rPr>
                <w:sz w:val="20"/>
                <w:szCs w:val="20"/>
              </w:rPr>
              <w:t>(72.3%)</w:t>
            </w:r>
          </w:p>
        </w:tc>
        <w:tc>
          <w:tcPr>
            <w:tcW w:w="970" w:type="pct"/>
            <w:vAlign w:val="center"/>
          </w:tcPr>
          <w:p w14:paraId="05F29529" w14:textId="6E073249" w:rsidR="00E50A74" w:rsidRPr="008E3081" w:rsidRDefault="00E50A74" w:rsidP="00530866">
            <w:pPr>
              <w:pStyle w:val="TableText0"/>
              <w:keepNext w:val="0"/>
              <w:keepLines w:val="0"/>
              <w:jc w:val="center"/>
              <w:rPr>
                <w:sz w:val="20"/>
                <w:szCs w:val="20"/>
              </w:rPr>
            </w:pPr>
            <w:r w:rsidRPr="008E3081">
              <w:rPr>
                <w:sz w:val="20"/>
                <w:szCs w:val="20"/>
              </w:rPr>
              <w:t>117</w:t>
            </w:r>
            <w:r w:rsidR="006D4CBF">
              <w:rPr>
                <w:sz w:val="20"/>
                <w:szCs w:val="20"/>
              </w:rPr>
              <w:t xml:space="preserve"> </w:t>
            </w:r>
            <w:r w:rsidRPr="008E3081">
              <w:rPr>
                <w:sz w:val="20"/>
                <w:szCs w:val="20"/>
              </w:rPr>
              <w:t>(48.1%)</w:t>
            </w:r>
          </w:p>
        </w:tc>
        <w:tc>
          <w:tcPr>
            <w:tcW w:w="967" w:type="pct"/>
            <w:vAlign w:val="center"/>
          </w:tcPr>
          <w:p w14:paraId="361FB85E" w14:textId="66B720DD" w:rsidR="00E50A74" w:rsidRPr="007D1C1B" w:rsidRDefault="00E50A74" w:rsidP="00530866">
            <w:pPr>
              <w:pStyle w:val="TableText0"/>
              <w:keepNext w:val="0"/>
              <w:keepLines w:val="0"/>
              <w:jc w:val="center"/>
              <w:rPr>
                <w:sz w:val="20"/>
                <w:szCs w:val="20"/>
              </w:rPr>
            </w:pPr>
            <w:r w:rsidRPr="007D1C1B">
              <w:rPr>
                <w:sz w:val="20"/>
                <w:szCs w:val="20"/>
              </w:rPr>
              <w:t>61</w:t>
            </w:r>
            <w:r w:rsidR="006D4CBF">
              <w:rPr>
                <w:sz w:val="20"/>
                <w:szCs w:val="20"/>
              </w:rPr>
              <w:t xml:space="preserve"> </w:t>
            </w:r>
            <w:r w:rsidRPr="007D1C1B">
              <w:rPr>
                <w:sz w:val="20"/>
                <w:szCs w:val="20"/>
              </w:rPr>
              <w:t>(40.4%)</w:t>
            </w:r>
          </w:p>
        </w:tc>
        <w:tc>
          <w:tcPr>
            <w:tcW w:w="968" w:type="pct"/>
            <w:vAlign w:val="center"/>
          </w:tcPr>
          <w:p w14:paraId="218BF0BF" w14:textId="611A0FD7" w:rsidR="00E50A74" w:rsidRPr="007D1C1B" w:rsidRDefault="00E50A74" w:rsidP="00530866">
            <w:pPr>
              <w:pStyle w:val="TableText0"/>
              <w:keepNext w:val="0"/>
              <w:keepLines w:val="0"/>
              <w:jc w:val="center"/>
              <w:rPr>
                <w:sz w:val="20"/>
                <w:szCs w:val="20"/>
              </w:rPr>
            </w:pPr>
            <w:r w:rsidRPr="007D1C1B">
              <w:rPr>
                <w:sz w:val="20"/>
                <w:szCs w:val="20"/>
              </w:rPr>
              <w:t>16</w:t>
            </w:r>
            <w:r w:rsidR="006D4CBF">
              <w:rPr>
                <w:sz w:val="20"/>
                <w:szCs w:val="20"/>
              </w:rPr>
              <w:t xml:space="preserve"> </w:t>
            </w:r>
            <w:r w:rsidRPr="007D1C1B">
              <w:rPr>
                <w:sz w:val="20"/>
                <w:szCs w:val="20"/>
              </w:rPr>
              <w:t>(21.6%)</w:t>
            </w:r>
          </w:p>
        </w:tc>
      </w:tr>
      <w:tr w:rsidR="00E50A74" w:rsidRPr="001A6363" w14:paraId="72BA1E6E" w14:textId="77777777" w:rsidTr="008B0452">
        <w:tc>
          <w:tcPr>
            <w:tcW w:w="1255" w:type="pct"/>
            <w:vAlign w:val="center"/>
          </w:tcPr>
          <w:p w14:paraId="15F1733B" w14:textId="77777777" w:rsidR="00E50A74" w:rsidRPr="001A6363" w:rsidRDefault="00E50A74" w:rsidP="00530866">
            <w:pPr>
              <w:jc w:val="left"/>
              <w:rPr>
                <w:rFonts w:ascii="Arial Narrow" w:hAnsi="Arial Narrow" w:cs="Calibri Light"/>
                <w:sz w:val="20"/>
                <w:szCs w:val="20"/>
              </w:rPr>
            </w:pPr>
            <w:r w:rsidRPr="001A6363">
              <w:rPr>
                <w:rFonts w:ascii="Arial Narrow" w:hAnsi="Arial Narrow" w:cs="Calibri Light"/>
                <w:sz w:val="20"/>
                <w:szCs w:val="20"/>
              </w:rPr>
              <w:t>Related to study treatment</w:t>
            </w:r>
          </w:p>
        </w:tc>
        <w:tc>
          <w:tcPr>
            <w:tcW w:w="840" w:type="pct"/>
            <w:vAlign w:val="center"/>
          </w:tcPr>
          <w:p w14:paraId="702C8FF7" w14:textId="1CC72F88" w:rsidR="00E50A74" w:rsidRPr="008E3081" w:rsidRDefault="00E50A74" w:rsidP="00530866">
            <w:pPr>
              <w:pStyle w:val="TableText0"/>
              <w:keepNext w:val="0"/>
              <w:keepLines w:val="0"/>
              <w:jc w:val="center"/>
              <w:rPr>
                <w:sz w:val="20"/>
                <w:szCs w:val="20"/>
              </w:rPr>
            </w:pPr>
            <w:r w:rsidRPr="008E3081">
              <w:rPr>
                <w:sz w:val="20"/>
                <w:szCs w:val="20"/>
              </w:rPr>
              <w:t>87</w:t>
            </w:r>
            <w:r w:rsidR="006D4CBF">
              <w:rPr>
                <w:sz w:val="20"/>
                <w:szCs w:val="20"/>
              </w:rPr>
              <w:t xml:space="preserve"> </w:t>
            </w:r>
            <w:r w:rsidRPr="008E3081">
              <w:rPr>
                <w:sz w:val="20"/>
                <w:szCs w:val="20"/>
              </w:rPr>
              <w:t>(66.9%)</w:t>
            </w:r>
          </w:p>
        </w:tc>
        <w:tc>
          <w:tcPr>
            <w:tcW w:w="970" w:type="pct"/>
            <w:vAlign w:val="center"/>
          </w:tcPr>
          <w:p w14:paraId="120104B6" w14:textId="748516C3" w:rsidR="00E50A74" w:rsidRPr="008E3081" w:rsidRDefault="00E50A74" w:rsidP="00530866">
            <w:pPr>
              <w:pStyle w:val="TableText0"/>
              <w:keepNext w:val="0"/>
              <w:keepLines w:val="0"/>
              <w:jc w:val="center"/>
              <w:rPr>
                <w:sz w:val="20"/>
                <w:szCs w:val="20"/>
              </w:rPr>
            </w:pPr>
            <w:r w:rsidRPr="008E3081">
              <w:rPr>
                <w:sz w:val="20"/>
                <w:szCs w:val="20"/>
              </w:rPr>
              <w:t>86</w:t>
            </w:r>
            <w:r w:rsidR="006D4CBF">
              <w:rPr>
                <w:sz w:val="20"/>
                <w:szCs w:val="20"/>
              </w:rPr>
              <w:t xml:space="preserve"> </w:t>
            </w:r>
            <w:r w:rsidRPr="008E3081">
              <w:rPr>
                <w:sz w:val="20"/>
                <w:szCs w:val="20"/>
              </w:rPr>
              <w:t>(35.4%)</w:t>
            </w:r>
          </w:p>
        </w:tc>
        <w:tc>
          <w:tcPr>
            <w:tcW w:w="967" w:type="pct"/>
            <w:vAlign w:val="center"/>
          </w:tcPr>
          <w:p w14:paraId="7FF49588" w14:textId="02EB6754" w:rsidR="00E50A74" w:rsidRPr="005B3EF5" w:rsidRDefault="00E50A74" w:rsidP="00530866">
            <w:pPr>
              <w:pStyle w:val="TableText0"/>
              <w:keepNext w:val="0"/>
              <w:keepLines w:val="0"/>
              <w:jc w:val="center"/>
              <w:rPr>
                <w:sz w:val="20"/>
                <w:szCs w:val="20"/>
              </w:rPr>
            </w:pPr>
            <w:r w:rsidRPr="005B3EF5">
              <w:rPr>
                <w:sz w:val="20"/>
                <w:szCs w:val="20"/>
              </w:rPr>
              <w:t>53</w:t>
            </w:r>
            <w:r w:rsidR="006D4CBF">
              <w:rPr>
                <w:sz w:val="20"/>
                <w:szCs w:val="20"/>
              </w:rPr>
              <w:t xml:space="preserve"> </w:t>
            </w:r>
            <w:r w:rsidRPr="005B3EF5">
              <w:rPr>
                <w:sz w:val="20"/>
                <w:szCs w:val="20"/>
              </w:rPr>
              <w:t>(35.1%)</w:t>
            </w:r>
          </w:p>
        </w:tc>
        <w:tc>
          <w:tcPr>
            <w:tcW w:w="968" w:type="pct"/>
            <w:vAlign w:val="center"/>
          </w:tcPr>
          <w:p w14:paraId="1B5BD2F6" w14:textId="47097AD6" w:rsidR="00E50A74" w:rsidRPr="005B3EF5" w:rsidRDefault="00E50A74" w:rsidP="00530866">
            <w:pPr>
              <w:pStyle w:val="TableText0"/>
              <w:keepNext w:val="0"/>
              <w:keepLines w:val="0"/>
              <w:jc w:val="center"/>
              <w:rPr>
                <w:sz w:val="20"/>
                <w:szCs w:val="20"/>
              </w:rPr>
            </w:pPr>
            <w:r w:rsidRPr="005B3EF5">
              <w:rPr>
                <w:sz w:val="20"/>
                <w:szCs w:val="20"/>
              </w:rPr>
              <w:t>11</w:t>
            </w:r>
            <w:r w:rsidR="006D4CBF">
              <w:rPr>
                <w:sz w:val="20"/>
                <w:szCs w:val="20"/>
              </w:rPr>
              <w:t xml:space="preserve"> </w:t>
            </w:r>
            <w:r w:rsidRPr="005B3EF5">
              <w:rPr>
                <w:sz w:val="20"/>
                <w:szCs w:val="20"/>
              </w:rPr>
              <w:t>(14.9%)</w:t>
            </w:r>
          </w:p>
        </w:tc>
      </w:tr>
      <w:tr w:rsidR="00E50A74" w:rsidRPr="001A6363" w14:paraId="449085AD" w14:textId="77777777" w:rsidTr="008B0452">
        <w:tc>
          <w:tcPr>
            <w:tcW w:w="1255" w:type="pct"/>
            <w:vAlign w:val="center"/>
          </w:tcPr>
          <w:p w14:paraId="692E5D24" w14:textId="77777777" w:rsidR="00E50A74" w:rsidRPr="001A6363" w:rsidRDefault="00E50A74" w:rsidP="00530866">
            <w:pPr>
              <w:jc w:val="left"/>
              <w:rPr>
                <w:rFonts w:ascii="Arial Narrow" w:hAnsi="Arial Narrow" w:cs="Calibri Light"/>
                <w:sz w:val="20"/>
                <w:szCs w:val="20"/>
              </w:rPr>
            </w:pPr>
            <w:r w:rsidRPr="001A6363">
              <w:rPr>
                <w:rFonts w:ascii="Arial Narrow" w:hAnsi="Arial Narrow" w:cs="Calibri Light"/>
                <w:sz w:val="20"/>
                <w:szCs w:val="20"/>
              </w:rPr>
              <w:t>Serious AEs</w:t>
            </w:r>
          </w:p>
        </w:tc>
        <w:tc>
          <w:tcPr>
            <w:tcW w:w="840" w:type="pct"/>
            <w:vAlign w:val="center"/>
          </w:tcPr>
          <w:p w14:paraId="5CA0EB2D" w14:textId="5D5991B6" w:rsidR="00E50A74" w:rsidRPr="008E3081" w:rsidRDefault="00E50A74" w:rsidP="00530866">
            <w:pPr>
              <w:pStyle w:val="TableText0"/>
              <w:keepNext w:val="0"/>
              <w:keepLines w:val="0"/>
              <w:jc w:val="center"/>
              <w:rPr>
                <w:sz w:val="20"/>
                <w:szCs w:val="20"/>
              </w:rPr>
            </w:pPr>
            <w:r w:rsidRPr="008E3081">
              <w:rPr>
                <w:sz w:val="20"/>
                <w:szCs w:val="20"/>
              </w:rPr>
              <w:t>42</w:t>
            </w:r>
            <w:r w:rsidR="006D4CBF">
              <w:rPr>
                <w:sz w:val="20"/>
                <w:szCs w:val="20"/>
              </w:rPr>
              <w:t xml:space="preserve"> </w:t>
            </w:r>
            <w:r w:rsidRPr="008E3081">
              <w:rPr>
                <w:sz w:val="20"/>
                <w:szCs w:val="20"/>
              </w:rPr>
              <w:t>(32.3%)</w:t>
            </w:r>
          </w:p>
        </w:tc>
        <w:tc>
          <w:tcPr>
            <w:tcW w:w="970" w:type="pct"/>
            <w:vAlign w:val="center"/>
          </w:tcPr>
          <w:p w14:paraId="36D8FB44" w14:textId="5CDC304E" w:rsidR="00E50A74" w:rsidRPr="008E3081" w:rsidRDefault="00E50A74" w:rsidP="00530866">
            <w:pPr>
              <w:pStyle w:val="TableText0"/>
              <w:keepNext w:val="0"/>
              <w:keepLines w:val="0"/>
              <w:jc w:val="center"/>
              <w:rPr>
                <w:sz w:val="20"/>
                <w:szCs w:val="20"/>
              </w:rPr>
            </w:pPr>
            <w:r w:rsidRPr="008E3081">
              <w:rPr>
                <w:sz w:val="20"/>
                <w:szCs w:val="20"/>
              </w:rPr>
              <w:t>49</w:t>
            </w:r>
            <w:r w:rsidR="006D4CBF">
              <w:rPr>
                <w:sz w:val="20"/>
                <w:szCs w:val="20"/>
              </w:rPr>
              <w:t xml:space="preserve"> </w:t>
            </w:r>
            <w:r w:rsidRPr="008E3081">
              <w:rPr>
                <w:sz w:val="20"/>
                <w:szCs w:val="20"/>
              </w:rPr>
              <w:t>(20.2%)</w:t>
            </w:r>
          </w:p>
        </w:tc>
        <w:tc>
          <w:tcPr>
            <w:tcW w:w="967" w:type="pct"/>
            <w:vAlign w:val="center"/>
          </w:tcPr>
          <w:p w14:paraId="145720A8" w14:textId="00917C7B" w:rsidR="00E50A74" w:rsidRPr="005B3EF5" w:rsidRDefault="00E50A74" w:rsidP="00530866">
            <w:pPr>
              <w:pStyle w:val="TableText0"/>
              <w:keepNext w:val="0"/>
              <w:keepLines w:val="0"/>
              <w:jc w:val="center"/>
              <w:rPr>
                <w:sz w:val="20"/>
                <w:szCs w:val="20"/>
              </w:rPr>
            </w:pPr>
            <w:r w:rsidRPr="005B3EF5">
              <w:rPr>
                <w:sz w:val="20"/>
                <w:szCs w:val="20"/>
              </w:rPr>
              <w:t>33</w:t>
            </w:r>
            <w:r w:rsidR="006D4CBF">
              <w:rPr>
                <w:sz w:val="20"/>
                <w:szCs w:val="20"/>
              </w:rPr>
              <w:t xml:space="preserve"> </w:t>
            </w:r>
            <w:r w:rsidRPr="005B3EF5">
              <w:rPr>
                <w:sz w:val="20"/>
                <w:szCs w:val="20"/>
              </w:rPr>
              <w:t>(21.9%)</w:t>
            </w:r>
          </w:p>
        </w:tc>
        <w:tc>
          <w:tcPr>
            <w:tcW w:w="968" w:type="pct"/>
            <w:vAlign w:val="center"/>
          </w:tcPr>
          <w:p w14:paraId="41111993" w14:textId="7DC1A4D0" w:rsidR="00E50A74" w:rsidRPr="005B3EF5" w:rsidRDefault="00E50A74" w:rsidP="00530866">
            <w:pPr>
              <w:pStyle w:val="TableText0"/>
              <w:keepNext w:val="0"/>
              <w:keepLines w:val="0"/>
              <w:jc w:val="center"/>
              <w:rPr>
                <w:sz w:val="20"/>
                <w:szCs w:val="20"/>
              </w:rPr>
            </w:pPr>
            <w:r w:rsidRPr="005B3EF5">
              <w:rPr>
                <w:sz w:val="20"/>
                <w:szCs w:val="20"/>
              </w:rPr>
              <w:t>1</w:t>
            </w:r>
            <w:r w:rsidR="006D4CBF">
              <w:rPr>
                <w:sz w:val="20"/>
                <w:szCs w:val="20"/>
              </w:rPr>
              <w:t xml:space="preserve"> </w:t>
            </w:r>
            <w:r w:rsidRPr="005B3EF5">
              <w:rPr>
                <w:sz w:val="20"/>
                <w:szCs w:val="20"/>
              </w:rPr>
              <w:t>(1.4%)</w:t>
            </w:r>
          </w:p>
        </w:tc>
      </w:tr>
      <w:tr w:rsidR="00E50A74" w:rsidRPr="001A6363" w14:paraId="33146508" w14:textId="77777777" w:rsidTr="008B0452">
        <w:tc>
          <w:tcPr>
            <w:tcW w:w="1255" w:type="pct"/>
            <w:vAlign w:val="center"/>
          </w:tcPr>
          <w:p w14:paraId="77650D7E" w14:textId="77777777" w:rsidR="00E50A74" w:rsidRPr="001A6363" w:rsidRDefault="00E50A74" w:rsidP="00530866">
            <w:pPr>
              <w:tabs>
                <w:tab w:val="left" w:pos="2579"/>
              </w:tabs>
              <w:jc w:val="left"/>
              <w:rPr>
                <w:rFonts w:ascii="Arial Narrow" w:hAnsi="Arial Narrow" w:cs="Calibri Light"/>
                <w:sz w:val="20"/>
                <w:szCs w:val="20"/>
                <w:vertAlign w:val="superscript"/>
              </w:rPr>
            </w:pPr>
            <w:r>
              <w:rPr>
                <w:rFonts w:ascii="Arial Narrow" w:hAnsi="Arial Narrow" w:cs="Calibri Light"/>
                <w:sz w:val="20"/>
                <w:szCs w:val="20"/>
              </w:rPr>
              <w:t>Led</w:t>
            </w:r>
            <w:r w:rsidRPr="001A6363">
              <w:rPr>
                <w:rFonts w:ascii="Arial Narrow" w:hAnsi="Arial Narrow" w:cs="Calibri Light"/>
                <w:sz w:val="20"/>
                <w:szCs w:val="20"/>
              </w:rPr>
              <w:t xml:space="preserve"> to </w:t>
            </w:r>
            <w:proofErr w:type="spellStart"/>
            <w:r w:rsidRPr="001A6363">
              <w:rPr>
                <w:rFonts w:ascii="Arial Narrow" w:hAnsi="Arial Narrow" w:cs="Calibri Light"/>
                <w:sz w:val="20"/>
                <w:szCs w:val="20"/>
              </w:rPr>
              <w:t>death</w:t>
            </w:r>
            <w:r w:rsidRPr="001A6363">
              <w:rPr>
                <w:rFonts w:ascii="Arial Narrow" w:hAnsi="Arial Narrow" w:cs="Calibri Light"/>
                <w:sz w:val="20"/>
                <w:szCs w:val="20"/>
                <w:vertAlign w:val="superscript"/>
              </w:rPr>
              <w:t>b</w:t>
            </w:r>
            <w:proofErr w:type="spellEnd"/>
          </w:p>
        </w:tc>
        <w:tc>
          <w:tcPr>
            <w:tcW w:w="840" w:type="pct"/>
            <w:vAlign w:val="center"/>
          </w:tcPr>
          <w:p w14:paraId="3D98D515" w14:textId="55DC38B0" w:rsidR="00E50A74" w:rsidRPr="008E3081" w:rsidRDefault="00E50A74" w:rsidP="00530866">
            <w:pPr>
              <w:pStyle w:val="TableText0"/>
              <w:keepNext w:val="0"/>
              <w:keepLines w:val="0"/>
              <w:jc w:val="center"/>
              <w:rPr>
                <w:sz w:val="20"/>
                <w:szCs w:val="20"/>
              </w:rPr>
            </w:pPr>
            <w:r w:rsidRPr="008E3081">
              <w:rPr>
                <w:sz w:val="20"/>
                <w:szCs w:val="20"/>
              </w:rPr>
              <w:t>2</w:t>
            </w:r>
            <w:r w:rsidR="006D4CBF">
              <w:rPr>
                <w:sz w:val="20"/>
                <w:szCs w:val="20"/>
              </w:rPr>
              <w:t xml:space="preserve"> </w:t>
            </w:r>
            <w:r w:rsidRPr="008E3081">
              <w:rPr>
                <w:sz w:val="20"/>
                <w:szCs w:val="20"/>
              </w:rPr>
              <w:t>(1.5%)</w:t>
            </w:r>
          </w:p>
        </w:tc>
        <w:tc>
          <w:tcPr>
            <w:tcW w:w="970" w:type="pct"/>
            <w:vAlign w:val="center"/>
          </w:tcPr>
          <w:p w14:paraId="6B81BEDA" w14:textId="7EF40B65" w:rsidR="00E50A74" w:rsidRPr="008E3081" w:rsidRDefault="00E50A74" w:rsidP="00530866">
            <w:pPr>
              <w:pStyle w:val="TableText0"/>
              <w:keepNext w:val="0"/>
              <w:keepLines w:val="0"/>
              <w:jc w:val="center"/>
              <w:rPr>
                <w:sz w:val="20"/>
                <w:szCs w:val="20"/>
              </w:rPr>
            </w:pPr>
            <w:r w:rsidRPr="008E3081">
              <w:rPr>
                <w:sz w:val="20"/>
                <w:szCs w:val="20"/>
              </w:rPr>
              <w:t>1</w:t>
            </w:r>
            <w:r w:rsidR="006D4CBF">
              <w:rPr>
                <w:sz w:val="20"/>
                <w:szCs w:val="20"/>
              </w:rPr>
              <w:t xml:space="preserve"> </w:t>
            </w:r>
            <w:r w:rsidRPr="008E3081">
              <w:rPr>
                <w:sz w:val="20"/>
                <w:szCs w:val="20"/>
              </w:rPr>
              <w:t>(0.4%)</w:t>
            </w:r>
          </w:p>
        </w:tc>
        <w:tc>
          <w:tcPr>
            <w:tcW w:w="967" w:type="pct"/>
            <w:vAlign w:val="center"/>
          </w:tcPr>
          <w:p w14:paraId="5D856947" w14:textId="6DD73CD8" w:rsidR="00E50A74" w:rsidRPr="008E3081" w:rsidRDefault="00E50A74" w:rsidP="00530866">
            <w:pPr>
              <w:pStyle w:val="TableText0"/>
              <w:keepNext w:val="0"/>
              <w:keepLines w:val="0"/>
              <w:jc w:val="center"/>
              <w:rPr>
                <w:sz w:val="20"/>
                <w:szCs w:val="20"/>
              </w:rPr>
            </w:pPr>
            <w:r w:rsidRPr="008E3081">
              <w:rPr>
                <w:sz w:val="20"/>
                <w:szCs w:val="20"/>
              </w:rPr>
              <w:t>3</w:t>
            </w:r>
            <w:r w:rsidR="006D4CBF">
              <w:rPr>
                <w:sz w:val="20"/>
                <w:szCs w:val="20"/>
              </w:rPr>
              <w:t xml:space="preserve"> </w:t>
            </w:r>
            <w:r w:rsidRPr="008E3081">
              <w:rPr>
                <w:sz w:val="20"/>
                <w:szCs w:val="20"/>
              </w:rPr>
              <w:t>(2.0%)</w:t>
            </w:r>
          </w:p>
        </w:tc>
        <w:tc>
          <w:tcPr>
            <w:tcW w:w="968" w:type="pct"/>
            <w:vAlign w:val="center"/>
          </w:tcPr>
          <w:p w14:paraId="6224B5D0" w14:textId="77777777" w:rsidR="00E50A74" w:rsidRPr="008E3081" w:rsidRDefault="00E50A74" w:rsidP="00530866">
            <w:pPr>
              <w:pStyle w:val="TableText0"/>
              <w:keepNext w:val="0"/>
              <w:keepLines w:val="0"/>
              <w:jc w:val="center"/>
              <w:rPr>
                <w:sz w:val="20"/>
                <w:szCs w:val="20"/>
              </w:rPr>
            </w:pPr>
            <w:r w:rsidRPr="008E3081">
              <w:rPr>
                <w:sz w:val="20"/>
                <w:szCs w:val="20"/>
              </w:rPr>
              <w:t>0</w:t>
            </w:r>
          </w:p>
        </w:tc>
      </w:tr>
    </w:tbl>
    <w:p w14:paraId="3074B1C2" w14:textId="77777777" w:rsidR="00E50A74" w:rsidRDefault="00E50A74" w:rsidP="00530866">
      <w:pPr>
        <w:pStyle w:val="TableFigureFooter"/>
      </w:pPr>
      <w:r>
        <w:t>Source: Table 2.62, p192 of the submission</w:t>
      </w:r>
    </w:p>
    <w:p w14:paraId="07D42EC1" w14:textId="41F6545A" w:rsidR="00E50A74" w:rsidRDefault="00E50A74" w:rsidP="00530866">
      <w:pPr>
        <w:pStyle w:val="TableFigureFooter"/>
        <w:rPr>
          <w:rFonts w:eastAsia="Calibri"/>
        </w:rPr>
      </w:pPr>
      <w:r w:rsidRPr="79174808">
        <w:rPr>
          <w:rFonts w:eastAsia="Calibri"/>
        </w:rPr>
        <w:t>Abbreviations: AEs= adverse events; AmiCP=</w:t>
      </w:r>
      <w:r>
        <w:t xml:space="preserve"> </w:t>
      </w:r>
      <w:r w:rsidRPr="79174808">
        <w:rPr>
          <w:rFonts w:eastAsia="Calibri"/>
        </w:rPr>
        <w:t>amivantamab in combination with carboplatin and pemetrexed; ABCP=</w:t>
      </w:r>
      <w:r>
        <w:t xml:space="preserve"> </w:t>
      </w:r>
      <w:r w:rsidRPr="79174808">
        <w:rPr>
          <w:rFonts w:eastAsia="Calibri"/>
        </w:rPr>
        <w:t xml:space="preserve">atezolizumab plus bevacizumab plus carboplatin plus </w:t>
      </w:r>
      <w:r w:rsidR="2DFB58C0" w:rsidRPr="79174808">
        <w:rPr>
          <w:rFonts w:eastAsia="Calibri"/>
        </w:rPr>
        <w:t>paclitaxel; CP</w:t>
      </w:r>
      <w:r w:rsidRPr="79174808">
        <w:rPr>
          <w:rFonts w:eastAsia="Calibri"/>
        </w:rPr>
        <w:t>=</w:t>
      </w:r>
      <w:r>
        <w:t xml:space="preserve"> </w:t>
      </w:r>
      <w:r w:rsidRPr="79174808">
        <w:rPr>
          <w:rFonts w:eastAsia="Calibri"/>
        </w:rPr>
        <w:t xml:space="preserve">carboplatin plus pemetrexed; f/up= follow up; DoT= duration of treatment; mths= months; n= number of patients; RD=risk difference; RR=risk ratio </w:t>
      </w:r>
    </w:p>
    <w:p w14:paraId="72125C54" w14:textId="77777777" w:rsidR="00E50A74" w:rsidRDefault="00E50A74" w:rsidP="00530866">
      <w:pPr>
        <w:pStyle w:val="TableFigureFooter"/>
        <w:rPr>
          <w:rFonts w:eastAsia="Calibri"/>
        </w:rPr>
      </w:pPr>
      <w:r w:rsidRPr="00664185">
        <w:rPr>
          <w:rFonts w:eastAsia="Calibri"/>
          <w:vertAlign w:val="superscript"/>
        </w:rPr>
        <w:t>a</w:t>
      </w:r>
      <w:r>
        <w:rPr>
          <w:rFonts w:eastAsia="Calibri"/>
        </w:rPr>
        <w:t xml:space="preserve"> MARIPOSA-2 reported AEs related to drug discontinuation/interruption/reduction by individual study agent</w:t>
      </w:r>
    </w:p>
    <w:p w14:paraId="456D07E3" w14:textId="77777777" w:rsidR="00E50A74" w:rsidRDefault="00E50A74" w:rsidP="00530866">
      <w:pPr>
        <w:pStyle w:val="TableFigureFooter"/>
      </w:pPr>
      <w:r>
        <w:rPr>
          <w:b/>
          <w:bCs/>
        </w:rPr>
        <w:t>Bold</w:t>
      </w:r>
      <w:r>
        <w:t xml:space="preserve"> text indicates significant results.</w:t>
      </w:r>
    </w:p>
    <w:p w14:paraId="02D47599" w14:textId="03AD4213" w:rsidR="00E50A74" w:rsidRDefault="00E50A74" w:rsidP="00530866">
      <w:pPr>
        <w:pStyle w:val="3-BodyText"/>
      </w:pPr>
      <w:r>
        <w:t xml:space="preserve">The submission noted that compared to CP, ABCP (relative difference [RD]=0.15, relative risk [RR]=1.18) reported higher relative rates for AEs of any grade compared to AmiCP (RD=0.07, RR=1.07). Conversely, AmiCP had a higher RD but lower RR for </w:t>
      </w:r>
      <w:r w:rsidRPr="00F54248">
        <w:t>Grade ≥3 AEs</w:t>
      </w:r>
      <w:r>
        <w:t xml:space="preserve"> than ABCP (AmiCP: RD=0.24, RR=1.50; ABCP: RD=0.19, RR=1.87). </w:t>
      </w:r>
    </w:p>
    <w:p w14:paraId="2BB011CD" w14:textId="7DE2BF0E" w:rsidR="00E50A74" w:rsidRPr="00F95529" w:rsidRDefault="00E50A74" w:rsidP="00530866">
      <w:pPr>
        <w:pStyle w:val="3-BodyText"/>
      </w:pPr>
      <w:r w:rsidRPr="00F95529">
        <w:lastRenderedPageBreak/>
        <w:t xml:space="preserve">In general, it is observed that the reported rates for AEs in the AmiCP arm were higher than those in the CP arm in the MARIPOSA-2 trial and similarly, rates in the ABCP arm were higher than the CP arm in the ATTLAS trial. However, comparisons between trials may be limited for reasons described in paragraph </w:t>
      </w:r>
      <w:r w:rsidRPr="00F95529">
        <w:fldChar w:fldCharType="begin"/>
      </w:r>
      <w:r w:rsidRPr="00F95529">
        <w:instrText xml:space="preserve"> REF _Ref216184419 \r \h  \* MERGEFORMAT </w:instrText>
      </w:r>
      <w:r w:rsidRPr="00F95529">
        <w:fldChar w:fldCharType="separate"/>
      </w:r>
      <w:r w:rsidR="00A572FC">
        <w:t>6.22</w:t>
      </w:r>
      <w:r w:rsidRPr="00F95529">
        <w:fldChar w:fldCharType="end"/>
      </w:r>
      <w:r w:rsidRPr="00F95529">
        <w:t>.</w:t>
      </w:r>
    </w:p>
    <w:p w14:paraId="1CA7A731" w14:textId="3A874BDB" w:rsidR="00E50A74" w:rsidRDefault="00E50A74" w:rsidP="00530866">
      <w:pPr>
        <w:pStyle w:val="3-BodyText"/>
      </w:pPr>
      <w:r w:rsidRPr="00537BE0">
        <w:t xml:space="preserve">The submission noted that the rates of reported AEs were higher in the CP arm in the </w:t>
      </w:r>
      <w:r>
        <w:t>MARIPOSA</w:t>
      </w:r>
      <w:r w:rsidRPr="00537BE0">
        <w:t xml:space="preserve">-2 trial compared to those in the ATTLAS trial and suggested that this may be due to the underlying differences in patient profiles and this may bias against AmiCP. </w:t>
      </w:r>
      <w:r w:rsidRPr="00F95529">
        <w:t xml:space="preserve">As described in paragraph </w:t>
      </w:r>
      <w:r w:rsidRPr="00F95529">
        <w:fldChar w:fldCharType="begin"/>
      </w:r>
      <w:r w:rsidRPr="00F95529">
        <w:instrText xml:space="preserve"> REF _Ref216184419 \r \h  \* MERGEFORMAT </w:instrText>
      </w:r>
      <w:r w:rsidRPr="00F95529">
        <w:fldChar w:fldCharType="separate"/>
      </w:r>
      <w:r w:rsidR="00A572FC">
        <w:t>6.22</w:t>
      </w:r>
      <w:r w:rsidRPr="00F95529">
        <w:fldChar w:fldCharType="end"/>
      </w:r>
      <w:r w:rsidRPr="00F95529">
        <w:t>, more patients in the ATTLAS trial had a higher ECOG performance score and were likely exposed to longer durations of treatments compared to patients in the MARIPOSA-2 trial, therefore it is not reasonable to assume that this would bias against AmiCP</w:t>
      </w:r>
      <w:r w:rsidRPr="00537BE0">
        <w:rPr>
          <w:i/>
          <w:iCs/>
        </w:rPr>
        <w:t>.</w:t>
      </w:r>
    </w:p>
    <w:p w14:paraId="66C5B261" w14:textId="77777777" w:rsidR="00E50A74" w:rsidRPr="0098262F" w:rsidRDefault="00E50A74" w:rsidP="00530866">
      <w:pPr>
        <w:pStyle w:val="4-SubsectionHeading"/>
      </w:pPr>
      <w:bookmarkStart w:id="61" w:name="_Toc22897643"/>
      <w:bookmarkStart w:id="62" w:name="_Toc107927629"/>
      <w:bookmarkStart w:id="63" w:name="_Toc219795456"/>
      <w:r w:rsidRPr="0098262F">
        <w:t>Benefits/harms</w:t>
      </w:r>
      <w:bookmarkEnd w:id="61"/>
      <w:bookmarkEnd w:id="62"/>
      <w:bookmarkEnd w:id="63"/>
    </w:p>
    <w:p w14:paraId="49591A31" w14:textId="761C7102" w:rsidR="00E50A74" w:rsidRDefault="00E50A74" w:rsidP="00530866">
      <w:pPr>
        <w:pStyle w:val="3-BodyText"/>
      </w:pPr>
      <w:r w:rsidRPr="0098262F">
        <w:t xml:space="preserve">A summary of the comparative benefits and harms for </w:t>
      </w:r>
      <w:r>
        <w:t xml:space="preserve">AmiCP </w:t>
      </w:r>
      <w:r w:rsidRPr="0098262F">
        <w:t xml:space="preserve">versus </w:t>
      </w:r>
      <w:r>
        <w:t>CP</w:t>
      </w:r>
      <w:r w:rsidRPr="0098262F">
        <w:t xml:space="preserve"> is presented in</w:t>
      </w:r>
      <w:r w:rsidR="004D6065">
        <w:t xml:space="preserve"> </w:t>
      </w:r>
      <w:r w:rsidRPr="0098262F">
        <w:fldChar w:fldCharType="begin"/>
      </w:r>
      <w:r w:rsidRPr="0098262F">
        <w:instrText xml:space="preserve"> REF _Ref104805037 \h </w:instrText>
      </w:r>
      <w:r w:rsidRPr="0098262F">
        <w:fldChar w:fldCharType="separate"/>
      </w:r>
      <w:r w:rsidR="00A572FC" w:rsidRPr="0098262F">
        <w:t xml:space="preserve">Table </w:t>
      </w:r>
      <w:r w:rsidR="00A572FC">
        <w:rPr>
          <w:noProof/>
        </w:rPr>
        <w:t>9</w:t>
      </w:r>
      <w:r w:rsidRPr="0098262F">
        <w:fldChar w:fldCharType="end"/>
      </w:r>
      <w:r>
        <w:t>.</w:t>
      </w:r>
    </w:p>
    <w:p w14:paraId="7A4E934D" w14:textId="4B223823" w:rsidR="00E50A74" w:rsidRPr="0098262F" w:rsidRDefault="00D97D5A" w:rsidP="00530866">
      <w:pPr>
        <w:pStyle w:val="Caption"/>
        <w:rPr>
          <w:rStyle w:val="CommentReference"/>
          <w:b/>
          <w:szCs w:val="24"/>
        </w:rPr>
      </w:pPr>
      <w:r>
        <w:lastRenderedPageBreak/>
        <w:t xml:space="preserve">Table </w:t>
      </w:r>
      <w:fldSimple w:instr=" SEQ Table \* ARABIC ">
        <w:r>
          <w:rPr>
            <w:noProof/>
          </w:rPr>
          <w:t>9</w:t>
        </w:r>
      </w:fldSimple>
      <w:r w:rsidR="00E50A74" w:rsidRPr="0098262F">
        <w:t xml:space="preserve">: </w:t>
      </w:r>
      <w:r w:rsidR="00E50A74" w:rsidRPr="0098262F">
        <w:rPr>
          <w:rStyle w:val="CommentReference"/>
          <w:b/>
          <w:szCs w:val="24"/>
        </w:rPr>
        <w:t>Summary of comparative benefits and harms for A</w:t>
      </w:r>
      <w:r w:rsidR="00E50A74">
        <w:rPr>
          <w:rStyle w:val="CommentReference"/>
          <w:b/>
          <w:szCs w:val="24"/>
        </w:rPr>
        <w:t>miCP and CP</w:t>
      </w:r>
    </w:p>
    <w:tbl>
      <w:tblPr>
        <w:tblW w:w="5000" w:type="pct"/>
        <w:tblLayout w:type="fixed"/>
        <w:tblCellMar>
          <w:left w:w="28" w:type="dxa"/>
          <w:right w:w="28" w:type="dxa"/>
        </w:tblCellMar>
        <w:tblLook w:val="04A0" w:firstRow="1" w:lastRow="0" w:firstColumn="1" w:lastColumn="0" w:noHBand="0" w:noVBand="1"/>
      </w:tblPr>
      <w:tblGrid>
        <w:gridCol w:w="9017"/>
      </w:tblGrid>
      <w:tr w:rsidR="00E50A74" w:rsidRPr="0098262F" w14:paraId="4FC8F079" w14:textId="77777777" w:rsidTr="006B35E6">
        <w:trPr>
          <w:cantSplit/>
        </w:trPr>
        <w:tc>
          <w:tcPr>
            <w:tcW w:w="5000" w:type="pct"/>
            <w:tcBorders>
              <w:top w:val="single" w:sz="4" w:space="0" w:color="auto"/>
              <w:left w:val="single" w:sz="4" w:space="0" w:color="auto"/>
              <w:bottom w:val="double" w:sz="4" w:space="0" w:color="auto"/>
              <w:right w:val="single" w:sz="4" w:space="0" w:color="auto"/>
            </w:tcBorders>
            <w:vAlign w:val="center"/>
          </w:tcPr>
          <w:p w14:paraId="3375F872" w14:textId="77777777" w:rsidR="00E50A74" w:rsidRPr="0098262F" w:rsidRDefault="00E50A74" w:rsidP="00530866">
            <w:pPr>
              <w:pStyle w:val="In-tableHeading"/>
            </w:pPr>
            <w:r w:rsidRPr="0098262F">
              <w:t>Benefits</w:t>
            </w:r>
          </w:p>
        </w:tc>
      </w:tr>
    </w:tbl>
    <w:tbl>
      <w:tblPr>
        <w:tblStyle w:val="TableGrid"/>
        <w:tblW w:w="5000" w:type="pct"/>
        <w:tblLayout w:type="fixed"/>
        <w:tblCellMar>
          <w:left w:w="28" w:type="dxa"/>
          <w:right w:w="28" w:type="dxa"/>
        </w:tblCellMar>
        <w:tblLook w:val="04A0" w:firstRow="1" w:lastRow="0" w:firstColumn="1" w:lastColumn="0" w:noHBand="0" w:noVBand="1"/>
        <w:tblCaption w:val="Table 9: Summary of comparative benefits and harms for AmiCP and CP"/>
      </w:tblPr>
      <w:tblGrid>
        <w:gridCol w:w="2463"/>
        <w:gridCol w:w="1643"/>
        <w:gridCol w:w="1701"/>
        <w:gridCol w:w="1625"/>
        <w:gridCol w:w="1585"/>
      </w:tblGrid>
      <w:tr w:rsidR="00E50A74" w:rsidRPr="0098262F" w14:paraId="1FE77D26" w14:textId="77777777" w:rsidTr="006B35E6">
        <w:trPr>
          <w:trHeight w:val="20"/>
        </w:trPr>
        <w:tc>
          <w:tcPr>
            <w:tcW w:w="5000" w:type="pct"/>
            <w:gridSpan w:val="5"/>
          </w:tcPr>
          <w:p w14:paraId="6ABE4199" w14:textId="77777777" w:rsidR="00E50A74" w:rsidRPr="0098262F" w:rsidRDefault="00E50A74" w:rsidP="00530866">
            <w:pPr>
              <w:pStyle w:val="In-tableHeading"/>
            </w:pPr>
            <w:r w:rsidRPr="0098262F">
              <w:t xml:space="preserve">Progression free survival (median duration of follow up </w:t>
            </w:r>
            <w:r>
              <w:t>8.74</w:t>
            </w:r>
            <w:r w:rsidRPr="0098262F">
              <w:t xml:space="preserve"> months)</w:t>
            </w:r>
          </w:p>
        </w:tc>
      </w:tr>
      <w:tr w:rsidR="00E50A74" w:rsidRPr="0098262F" w14:paraId="2FDF49C4" w14:textId="77777777">
        <w:trPr>
          <w:trHeight w:val="20"/>
        </w:trPr>
        <w:tc>
          <w:tcPr>
            <w:tcW w:w="1366" w:type="pct"/>
            <w:tcBorders>
              <w:bottom w:val="single" w:sz="4" w:space="0" w:color="auto"/>
            </w:tcBorders>
          </w:tcPr>
          <w:p w14:paraId="0EB8EA3B" w14:textId="77777777" w:rsidR="00E50A74" w:rsidRPr="0098262F" w:rsidRDefault="00E50A74" w:rsidP="00530866">
            <w:pPr>
              <w:pStyle w:val="In-tableHeading"/>
            </w:pPr>
            <w:r w:rsidRPr="0098262F">
              <w:t>Event</w:t>
            </w:r>
          </w:p>
        </w:tc>
        <w:tc>
          <w:tcPr>
            <w:tcW w:w="911" w:type="pct"/>
            <w:tcBorders>
              <w:bottom w:val="single" w:sz="4" w:space="0" w:color="auto"/>
            </w:tcBorders>
          </w:tcPr>
          <w:p w14:paraId="66FEA196" w14:textId="77777777" w:rsidR="00E50A74" w:rsidRPr="0098262F" w:rsidRDefault="00E50A74" w:rsidP="00530866">
            <w:pPr>
              <w:pStyle w:val="In-tableHeading"/>
              <w:jc w:val="center"/>
            </w:pPr>
            <w:proofErr w:type="spellStart"/>
            <w:r>
              <w:t>AmiCP</w:t>
            </w:r>
            <w:proofErr w:type="spellEnd"/>
          </w:p>
        </w:tc>
        <w:tc>
          <w:tcPr>
            <w:tcW w:w="943" w:type="pct"/>
            <w:tcBorders>
              <w:bottom w:val="single" w:sz="4" w:space="0" w:color="auto"/>
            </w:tcBorders>
          </w:tcPr>
          <w:p w14:paraId="5189F49F" w14:textId="77777777" w:rsidR="00E50A74" w:rsidRPr="0098262F" w:rsidRDefault="00E50A74" w:rsidP="00530866">
            <w:pPr>
              <w:pStyle w:val="In-tableHeading"/>
              <w:jc w:val="center"/>
            </w:pPr>
            <w:r>
              <w:t>CP</w:t>
            </w:r>
          </w:p>
        </w:tc>
        <w:tc>
          <w:tcPr>
            <w:tcW w:w="901" w:type="pct"/>
            <w:tcBorders>
              <w:bottom w:val="single" w:sz="4" w:space="0" w:color="auto"/>
            </w:tcBorders>
          </w:tcPr>
          <w:p w14:paraId="347A5EA4" w14:textId="77777777" w:rsidR="00E50A74" w:rsidRPr="0098262F" w:rsidRDefault="00E50A74" w:rsidP="00530866">
            <w:pPr>
              <w:pStyle w:val="In-tableHeading"/>
              <w:jc w:val="center"/>
              <w:rPr>
                <w:rFonts w:asciiTheme="minorHAnsi" w:hAnsiTheme="minorHAnsi"/>
              </w:rPr>
            </w:pPr>
            <w:r w:rsidRPr="0098262F">
              <w:t>Absolute Difference</w:t>
            </w:r>
          </w:p>
        </w:tc>
        <w:tc>
          <w:tcPr>
            <w:tcW w:w="879" w:type="pct"/>
            <w:tcBorders>
              <w:bottom w:val="single" w:sz="4" w:space="0" w:color="auto"/>
            </w:tcBorders>
          </w:tcPr>
          <w:p w14:paraId="558D7C1D" w14:textId="77777777" w:rsidR="00E50A74" w:rsidRPr="0098262F" w:rsidRDefault="00E50A74" w:rsidP="00530866">
            <w:pPr>
              <w:pStyle w:val="In-tableHeading"/>
              <w:jc w:val="center"/>
            </w:pPr>
            <w:r w:rsidRPr="0098262F">
              <w:t>HR (95% CI)</w:t>
            </w:r>
          </w:p>
        </w:tc>
      </w:tr>
      <w:tr w:rsidR="00E50A74" w:rsidRPr="0098262F" w14:paraId="092743DB" w14:textId="77777777">
        <w:trPr>
          <w:trHeight w:val="20"/>
        </w:trPr>
        <w:tc>
          <w:tcPr>
            <w:tcW w:w="1366" w:type="pct"/>
            <w:tcBorders>
              <w:bottom w:val="single" w:sz="4" w:space="0" w:color="auto"/>
              <w:right w:val="single" w:sz="4" w:space="0" w:color="auto"/>
            </w:tcBorders>
          </w:tcPr>
          <w:p w14:paraId="241DA6E4" w14:textId="77777777" w:rsidR="00E50A74" w:rsidRPr="0098262F" w:rsidRDefault="00E50A74" w:rsidP="00530866">
            <w:pPr>
              <w:pStyle w:val="TableText0"/>
            </w:pPr>
            <w:r w:rsidRPr="0098262F">
              <w:t>Progressed, n (%)</w:t>
            </w:r>
          </w:p>
        </w:tc>
        <w:tc>
          <w:tcPr>
            <w:tcW w:w="911" w:type="pct"/>
            <w:tcBorders>
              <w:left w:val="single" w:sz="4" w:space="0" w:color="auto"/>
              <w:bottom w:val="single" w:sz="4" w:space="0" w:color="auto"/>
              <w:right w:val="single" w:sz="4" w:space="0" w:color="auto"/>
            </w:tcBorders>
          </w:tcPr>
          <w:p w14:paraId="209845A2" w14:textId="77777777" w:rsidR="00E50A74" w:rsidRPr="0098262F" w:rsidRDefault="00E50A74" w:rsidP="00530866">
            <w:pPr>
              <w:pStyle w:val="TableText0"/>
              <w:jc w:val="center"/>
            </w:pPr>
            <w:r>
              <w:rPr>
                <w:rFonts w:cs="Times New Roman"/>
                <w:szCs w:val="20"/>
              </w:rPr>
              <w:t>7</w:t>
            </w:r>
            <w:r>
              <w:rPr>
                <w:szCs w:val="20"/>
              </w:rPr>
              <w:t>4</w:t>
            </w:r>
            <w:r w:rsidRPr="0098262F">
              <w:rPr>
                <w:rFonts w:cs="Times New Roman"/>
                <w:szCs w:val="20"/>
              </w:rPr>
              <w:t>/</w:t>
            </w:r>
            <w:r>
              <w:rPr>
                <w:rFonts w:cs="Times New Roman"/>
                <w:szCs w:val="20"/>
              </w:rPr>
              <w:t>1</w:t>
            </w:r>
            <w:r>
              <w:rPr>
                <w:szCs w:val="20"/>
              </w:rPr>
              <w:t>31</w:t>
            </w:r>
            <w:r w:rsidRPr="0098262F">
              <w:rPr>
                <w:rFonts w:cs="Times New Roman"/>
                <w:szCs w:val="20"/>
              </w:rPr>
              <w:t xml:space="preserve"> (</w:t>
            </w:r>
            <w:r>
              <w:rPr>
                <w:rFonts w:cs="Times New Roman"/>
                <w:szCs w:val="20"/>
              </w:rPr>
              <w:t>5</w:t>
            </w:r>
            <w:r>
              <w:rPr>
                <w:szCs w:val="20"/>
              </w:rPr>
              <w:t>6.5</w:t>
            </w:r>
            <w:r w:rsidRPr="0098262F">
              <w:rPr>
                <w:rFonts w:cs="Times New Roman"/>
                <w:szCs w:val="20"/>
              </w:rPr>
              <w:t>%)</w:t>
            </w:r>
          </w:p>
        </w:tc>
        <w:tc>
          <w:tcPr>
            <w:tcW w:w="943" w:type="pct"/>
            <w:tcBorders>
              <w:left w:val="single" w:sz="4" w:space="0" w:color="auto"/>
              <w:bottom w:val="single" w:sz="4" w:space="0" w:color="auto"/>
              <w:right w:val="single" w:sz="4" w:space="0" w:color="auto"/>
            </w:tcBorders>
          </w:tcPr>
          <w:p w14:paraId="0CB4124D" w14:textId="77777777" w:rsidR="00E50A74" w:rsidRPr="0098262F" w:rsidRDefault="00E50A74" w:rsidP="00530866">
            <w:pPr>
              <w:pStyle w:val="TableText0"/>
              <w:jc w:val="center"/>
            </w:pPr>
            <w:r>
              <w:rPr>
                <w:rFonts w:cs="Times New Roman"/>
                <w:szCs w:val="20"/>
              </w:rPr>
              <w:t>1</w:t>
            </w:r>
            <w:r>
              <w:rPr>
                <w:szCs w:val="20"/>
              </w:rPr>
              <w:t>71</w:t>
            </w:r>
            <w:r w:rsidRPr="0098262F">
              <w:rPr>
                <w:rFonts w:cs="Times New Roman"/>
                <w:szCs w:val="20"/>
              </w:rPr>
              <w:t>/</w:t>
            </w:r>
            <w:r>
              <w:rPr>
                <w:rFonts w:cs="Times New Roman"/>
                <w:szCs w:val="20"/>
              </w:rPr>
              <w:t>2</w:t>
            </w:r>
            <w:r>
              <w:rPr>
                <w:szCs w:val="20"/>
              </w:rPr>
              <w:t>63</w:t>
            </w:r>
            <w:r w:rsidRPr="0098262F">
              <w:rPr>
                <w:rFonts w:cs="Times New Roman"/>
                <w:szCs w:val="20"/>
              </w:rPr>
              <w:t xml:space="preserve"> (</w:t>
            </w:r>
            <w:r>
              <w:rPr>
                <w:rFonts w:cs="Times New Roman"/>
                <w:szCs w:val="20"/>
              </w:rPr>
              <w:t>6</w:t>
            </w:r>
            <w:r>
              <w:rPr>
                <w:szCs w:val="20"/>
              </w:rPr>
              <w:t>5.0</w:t>
            </w:r>
            <w:r w:rsidRPr="0098262F">
              <w:rPr>
                <w:rFonts w:cs="Times New Roman"/>
                <w:szCs w:val="20"/>
              </w:rPr>
              <w:t>%)</w:t>
            </w:r>
          </w:p>
        </w:tc>
        <w:tc>
          <w:tcPr>
            <w:tcW w:w="901" w:type="pct"/>
            <w:tcBorders>
              <w:left w:val="single" w:sz="4" w:space="0" w:color="auto"/>
              <w:bottom w:val="single" w:sz="4" w:space="0" w:color="auto"/>
              <w:right w:val="single" w:sz="4" w:space="0" w:color="auto"/>
            </w:tcBorders>
          </w:tcPr>
          <w:p w14:paraId="732EBB28" w14:textId="77777777" w:rsidR="00E50A74" w:rsidRPr="0098262F" w:rsidRDefault="00E50A74" w:rsidP="00530866">
            <w:pPr>
              <w:pStyle w:val="TableText0"/>
              <w:numPr>
                <w:ilvl w:val="0"/>
                <w:numId w:val="14"/>
              </w:numPr>
              <w:jc w:val="center"/>
              <w:rPr>
                <w:color w:val="0070C0"/>
              </w:rPr>
            </w:pPr>
          </w:p>
        </w:tc>
        <w:tc>
          <w:tcPr>
            <w:tcW w:w="879" w:type="pct"/>
            <w:vMerge w:val="restart"/>
            <w:tcBorders>
              <w:left w:val="single" w:sz="4" w:space="0" w:color="auto"/>
            </w:tcBorders>
          </w:tcPr>
          <w:p w14:paraId="62CEEDA8" w14:textId="77777777" w:rsidR="00E50A74" w:rsidRDefault="00E50A74" w:rsidP="00530866">
            <w:pPr>
              <w:pStyle w:val="TableText0"/>
              <w:jc w:val="center"/>
              <w:rPr>
                <w:b/>
                <w:bCs w:val="0"/>
                <w:szCs w:val="20"/>
              </w:rPr>
            </w:pPr>
          </w:p>
          <w:p w14:paraId="37803740" w14:textId="77777777" w:rsidR="00E50A74" w:rsidRDefault="00E50A74" w:rsidP="00530866">
            <w:pPr>
              <w:pStyle w:val="TableText0"/>
              <w:jc w:val="center"/>
              <w:rPr>
                <w:szCs w:val="20"/>
              </w:rPr>
            </w:pPr>
          </w:p>
          <w:p w14:paraId="4CD45755" w14:textId="77777777" w:rsidR="00E50A74" w:rsidRPr="0098262F" w:rsidRDefault="00E50A74" w:rsidP="00530866">
            <w:pPr>
              <w:pStyle w:val="TableText0"/>
              <w:jc w:val="center"/>
            </w:pPr>
            <w:r w:rsidRPr="009C5F92">
              <w:rPr>
                <w:b/>
                <w:bCs w:val="0"/>
                <w:szCs w:val="20"/>
              </w:rPr>
              <w:t>0.48 (0.36, 0.64); p&lt;0.0001</w:t>
            </w:r>
          </w:p>
        </w:tc>
      </w:tr>
      <w:tr w:rsidR="00E50A74" w:rsidRPr="0098262F" w14:paraId="37420898" w14:textId="77777777">
        <w:trPr>
          <w:trHeight w:val="355"/>
        </w:trPr>
        <w:tc>
          <w:tcPr>
            <w:tcW w:w="1366" w:type="pct"/>
            <w:tcBorders>
              <w:bottom w:val="single" w:sz="4" w:space="0" w:color="auto"/>
              <w:right w:val="single" w:sz="4" w:space="0" w:color="auto"/>
            </w:tcBorders>
          </w:tcPr>
          <w:p w14:paraId="4262D238" w14:textId="77777777" w:rsidR="00E50A74" w:rsidRPr="0098262F" w:rsidRDefault="00E50A74" w:rsidP="00530866">
            <w:pPr>
              <w:pStyle w:val="TableText0"/>
            </w:pPr>
            <w:r w:rsidRPr="0098262F">
              <w:t>Median PFS, months (95% CI)</w:t>
            </w:r>
          </w:p>
        </w:tc>
        <w:tc>
          <w:tcPr>
            <w:tcW w:w="911" w:type="pct"/>
            <w:tcBorders>
              <w:left w:val="single" w:sz="4" w:space="0" w:color="auto"/>
              <w:bottom w:val="single" w:sz="4" w:space="0" w:color="auto"/>
              <w:right w:val="single" w:sz="4" w:space="0" w:color="auto"/>
            </w:tcBorders>
          </w:tcPr>
          <w:p w14:paraId="642787E2" w14:textId="77777777" w:rsidR="00E50A74" w:rsidRPr="0098262F" w:rsidRDefault="00E50A74" w:rsidP="00530866">
            <w:pPr>
              <w:pStyle w:val="TableText0"/>
              <w:jc w:val="center"/>
              <w:rPr>
                <w:rFonts w:cs="Times New Roman"/>
                <w:szCs w:val="20"/>
              </w:rPr>
            </w:pPr>
            <w:r w:rsidRPr="000540C5">
              <w:rPr>
                <w:rFonts w:cs="Times New Roman"/>
                <w:szCs w:val="20"/>
              </w:rPr>
              <w:t>6.28 (5.55, 8.41)</w:t>
            </w:r>
          </w:p>
        </w:tc>
        <w:tc>
          <w:tcPr>
            <w:tcW w:w="943" w:type="pct"/>
            <w:tcBorders>
              <w:left w:val="single" w:sz="4" w:space="0" w:color="auto"/>
              <w:bottom w:val="single" w:sz="4" w:space="0" w:color="auto"/>
              <w:right w:val="single" w:sz="4" w:space="0" w:color="auto"/>
            </w:tcBorders>
          </w:tcPr>
          <w:p w14:paraId="5B94C543" w14:textId="77777777" w:rsidR="00E50A74" w:rsidRPr="0098262F" w:rsidRDefault="00E50A74" w:rsidP="00530866">
            <w:pPr>
              <w:pStyle w:val="TableText0"/>
              <w:jc w:val="center"/>
              <w:rPr>
                <w:rFonts w:cs="Times New Roman"/>
                <w:szCs w:val="20"/>
              </w:rPr>
            </w:pPr>
            <w:r w:rsidRPr="00DB05A8">
              <w:rPr>
                <w:rFonts w:cs="Times New Roman"/>
                <w:szCs w:val="20"/>
              </w:rPr>
              <w:t>4.17 (4.04, 4.44)</w:t>
            </w:r>
          </w:p>
        </w:tc>
        <w:tc>
          <w:tcPr>
            <w:tcW w:w="901" w:type="pct"/>
            <w:tcBorders>
              <w:left w:val="single" w:sz="4" w:space="0" w:color="auto"/>
              <w:bottom w:val="single" w:sz="4" w:space="0" w:color="auto"/>
              <w:right w:val="single" w:sz="4" w:space="0" w:color="auto"/>
            </w:tcBorders>
          </w:tcPr>
          <w:p w14:paraId="75608536" w14:textId="77777777" w:rsidR="00E50A74" w:rsidRPr="0098262F" w:rsidRDefault="00E50A74" w:rsidP="00530866">
            <w:pPr>
              <w:pStyle w:val="TableText0"/>
              <w:jc w:val="center"/>
            </w:pPr>
            <w:r>
              <w:t>2.11</w:t>
            </w:r>
          </w:p>
        </w:tc>
        <w:tc>
          <w:tcPr>
            <w:tcW w:w="879" w:type="pct"/>
            <w:vMerge/>
            <w:tcBorders>
              <w:left w:val="single" w:sz="4" w:space="0" w:color="auto"/>
            </w:tcBorders>
          </w:tcPr>
          <w:p w14:paraId="12E35BB6" w14:textId="77777777" w:rsidR="00E50A74" w:rsidRPr="0098262F" w:rsidRDefault="00E50A74" w:rsidP="00530866">
            <w:pPr>
              <w:pStyle w:val="TableText0"/>
              <w:jc w:val="center"/>
              <w:rPr>
                <w:szCs w:val="20"/>
              </w:rPr>
            </w:pPr>
          </w:p>
        </w:tc>
      </w:tr>
      <w:tr w:rsidR="00E50A74" w:rsidRPr="0098262F" w14:paraId="5285AF5E" w14:textId="77777777">
        <w:trPr>
          <w:trHeight w:val="20"/>
        </w:trPr>
        <w:tc>
          <w:tcPr>
            <w:tcW w:w="1366" w:type="pct"/>
            <w:tcBorders>
              <w:top w:val="single" w:sz="4" w:space="0" w:color="auto"/>
              <w:bottom w:val="single" w:sz="4" w:space="0" w:color="auto"/>
              <w:right w:val="single" w:sz="4" w:space="0" w:color="auto"/>
            </w:tcBorders>
          </w:tcPr>
          <w:p w14:paraId="7B5080E3" w14:textId="77777777" w:rsidR="00E50A74" w:rsidRPr="0098262F" w:rsidRDefault="00E50A74" w:rsidP="00530866">
            <w:pPr>
              <w:pStyle w:val="TableText0"/>
            </w:pPr>
            <w:r w:rsidRPr="0098262F">
              <w:t xml:space="preserve">% not progressed at </w:t>
            </w:r>
            <w:r>
              <w:t>6</w:t>
            </w:r>
            <w:r w:rsidRPr="0098262F">
              <w:t xml:space="preserve"> months (95% CI)</w:t>
            </w:r>
          </w:p>
        </w:tc>
        <w:tc>
          <w:tcPr>
            <w:tcW w:w="911" w:type="pct"/>
            <w:tcBorders>
              <w:top w:val="single" w:sz="4" w:space="0" w:color="auto"/>
              <w:left w:val="single" w:sz="4" w:space="0" w:color="auto"/>
              <w:bottom w:val="single" w:sz="4" w:space="0" w:color="auto"/>
              <w:right w:val="single" w:sz="4" w:space="0" w:color="auto"/>
            </w:tcBorders>
          </w:tcPr>
          <w:p w14:paraId="5A6D8437" w14:textId="77777777" w:rsidR="00E50A74" w:rsidRPr="0098262F" w:rsidRDefault="00E50A74" w:rsidP="00530866">
            <w:pPr>
              <w:pStyle w:val="TableText0"/>
              <w:jc w:val="center"/>
            </w:pPr>
            <w:r>
              <w:rPr>
                <w:szCs w:val="20"/>
              </w:rPr>
              <w:t>51 (41, 60)</w:t>
            </w:r>
          </w:p>
        </w:tc>
        <w:tc>
          <w:tcPr>
            <w:tcW w:w="943" w:type="pct"/>
            <w:tcBorders>
              <w:top w:val="single" w:sz="4" w:space="0" w:color="auto"/>
              <w:left w:val="single" w:sz="4" w:space="0" w:color="auto"/>
              <w:bottom w:val="single" w:sz="4" w:space="0" w:color="auto"/>
              <w:right w:val="single" w:sz="4" w:space="0" w:color="auto"/>
            </w:tcBorders>
          </w:tcPr>
          <w:p w14:paraId="367626A5" w14:textId="77777777" w:rsidR="00E50A74" w:rsidRPr="0098262F" w:rsidRDefault="00E50A74" w:rsidP="00530866">
            <w:pPr>
              <w:pStyle w:val="TableText0"/>
              <w:jc w:val="center"/>
              <w:rPr>
                <w:szCs w:val="20"/>
              </w:rPr>
            </w:pPr>
            <w:r>
              <w:rPr>
                <w:szCs w:val="20"/>
              </w:rPr>
              <w:t>30 (23, 36)</w:t>
            </w:r>
          </w:p>
        </w:tc>
        <w:tc>
          <w:tcPr>
            <w:tcW w:w="901" w:type="pct"/>
            <w:tcBorders>
              <w:top w:val="single" w:sz="4" w:space="0" w:color="auto"/>
              <w:left w:val="single" w:sz="4" w:space="0" w:color="auto"/>
              <w:bottom w:val="single" w:sz="4" w:space="0" w:color="auto"/>
              <w:right w:val="single" w:sz="4" w:space="0" w:color="auto"/>
            </w:tcBorders>
          </w:tcPr>
          <w:p w14:paraId="6DB55AA9" w14:textId="77777777" w:rsidR="00E50A74" w:rsidRPr="0098262F" w:rsidRDefault="00E50A74" w:rsidP="00530866">
            <w:pPr>
              <w:pStyle w:val="TableText0"/>
              <w:jc w:val="center"/>
            </w:pPr>
            <w:r>
              <w:t xml:space="preserve">21 </w:t>
            </w:r>
          </w:p>
        </w:tc>
        <w:tc>
          <w:tcPr>
            <w:tcW w:w="879" w:type="pct"/>
            <w:vMerge/>
            <w:tcBorders>
              <w:left w:val="single" w:sz="4" w:space="0" w:color="auto"/>
            </w:tcBorders>
          </w:tcPr>
          <w:p w14:paraId="6163F39D" w14:textId="77777777" w:rsidR="00E50A74" w:rsidRPr="0098262F" w:rsidRDefault="00E50A74" w:rsidP="00530866">
            <w:pPr>
              <w:pStyle w:val="TableText0"/>
              <w:jc w:val="center"/>
            </w:pPr>
          </w:p>
        </w:tc>
      </w:tr>
      <w:tr w:rsidR="00E50A74" w:rsidRPr="0098262F" w14:paraId="23C6DAF3" w14:textId="77777777">
        <w:trPr>
          <w:trHeight w:val="20"/>
        </w:trPr>
        <w:tc>
          <w:tcPr>
            <w:tcW w:w="1366" w:type="pct"/>
            <w:tcBorders>
              <w:top w:val="single" w:sz="4" w:space="0" w:color="auto"/>
              <w:bottom w:val="single" w:sz="4" w:space="0" w:color="auto"/>
              <w:right w:val="single" w:sz="4" w:space="0" w:color="auto"/>
            </w:tcBorders>
          </w:tcPr>
          <w:p w14:paraId="6DA5811D" w14:textId="77777777" w:rsidR="00E50A74" w:rsidRPr="0098262F" w:rsidRDefault="00E50A74" w:rsidP="00530866">
            <w:pPr>
              <w:pStyle w:val="TableText0"/>
            </w:pPr>
            <w:r w:rsidRPr="00217893">
              <w:t xml:space="preserve">% not progressed at </w:t>
            </w:r>
            <w:r>
              <w:t>9</w:t>
            </w:r>
            <w:r w:rsidRPr="00217893">
              <w:t xml:space="preserve"> months (95% CI)</w:t>
            </w:r>
          </w:p>
        </w:tc>
        <w:tc>
          <w:tcPr>
            <w:tcW w:w="911" w:type="pct"/>
            <w:tcBorders>
              <w:top w:val="single" w:sz="4" w:space="0" w:color="auto"/>
              <w:left w:val="single" w:sz="4" w:space="0" w:color="auto"/>
              <w:bottom w:val="single" w:sz="4" w:space="0" w:color="auto"/>
              <w:right w:val="single" w:sz="4" w:space="0" w:color="auto"/>
            </w:tcBorders>
          </w:tcPr>
          <w:p w14:paraId="015718D2" w14:textId="77777777" w:rsidR="00E50A74" w:rsidRPr="0098262F" w:rsidRDefault="00E50A74" w:rsidP="00530866">
            <w:pPr>
              <w:pStyle w:val="TableText0"/>
              <w:jc w:val="center"/>
              <w:rPr>
                <w:szCs w:val="20"/>
              </w:rPr>
            </w:pPr>
            <w:r>
              <w:rPr>
                <w:szCs w:val="20"/>
              </w:rPr>
              <w:t>38 (28, 48)</w:t>
            </w:r>
          </w:p>
        </w:tc>
        <w:tc>
          <w:tcPr>
            <w:tcW w:w="943" w:type="pct"/>
            <w:tcBorders>
              <w:top w:val="single" w:sz="4" w:space="0" w:color="auto"/>
              <w:left w:val="single" w:sz="4" w:space="0" w:color="auto"/>
              <w:bottom w:val="single" w:sz="4" w:space="0" w:color="auto"/>
              <w:right w:val="single" w:sz="4" w:space="0" w:color="auto"/>
            </w:tcBorders>
          </w:tcPr>
          <w:p w14:paraId="055FD755" w14:textId="77777777" w:rsidR="00E50A74" w:rsidRPr="0098262F" w:rsidRDefault="00E50A74" w:rsidP="00530866">
            <w:pPr>
              <w:pStyle w:val="TableText0"/>
              <w:jc w:val="center"/>
              <w:rPr>
                <w:szCs w:val="20"/>
              </w:rPr>
            </w:pPr>
            <w:r>
              <w:rPr>
                <w:szCs w:val="20"/>
              </w:rPr>
              <w:t>16 (11, 23)</w:t>
            </w:r>
          </w:p>
        </w:tc>
        <w:tc>
          <w:tcPr>
            <w:tcW w:w="901" w:type="pct"/>
            <w:tcBorders>
              <w:top w:val="single" w:sz="4" w:space="0" w:color="auto"/>
              <w:left w:val="single" w:sz="4" w:space="0" w:color="auto"/>
              <w:bottom w:val="single" w:sz="4" w:space="0" w:color="auto"/>
              <w:right w:val="single" w:sz="4" w:space="0" w:color="auto"/>
            </w:tcBorders>
          </w:tcPr>
          <w:p w14:paraId="48D47D58" w14:textId="77777777" w:rsidR="00E50A74" w:rsidRPr="0098262F" w:rsidRDefault="00E50A74" w:rsidP="00530866">
            <w:pPr>
              <w:pStyle w:val="TableText0"/>
              <w:jc w:val="center"/>
            </w:pPr>
            <w:r>
              <w:t>22</w:t>
            </w:r>
          </w:p>
        </w:tc>
        <w:tc>
          <w:tcPr>
            <w:tcW w:w="879" w:type="pct"/>
            <w:vMerge/>
            <w:tcBorders>
              <w:left w:val="single" w:sz="4" w:space="0" w:color="auto"/>
            </w:tcBorders>
          </w:tcPr>
          <w:p w14:paraId="1AD9776A" w14:textId="77777777" w:rsidR="00E50A74" w:rsidRPr="0098262F" w:rsidRDefault="00E50A74" w:rsidP="00530866">
            <w:pPr>
              <w:pStyle w:val="TableText0"/>
              <w:jc w:val="center"/>
            </w:pPr>
          </w:p>
        </w:tc>
      </w:tr>
      <w:tr w:rsidR="00E50A74" w:rsidRPr="0098262F" w14:paraId="08BE0567" w14:textId="77777777">
        <w:trPr>
          <w:trHeight w:val="20"/>
        </w:trPr>
        <w:tc>
          <w:tcPr>
            <w:tcW w:w="1366" w:type="pct"/>
            <w:tcBorders>
              <w:top w:val="single" w:sz="4" w:space="0" w:color="auto"/>
              <w:bottom w:val="single" w:sz="4" w:space="0" w:color="auto"/>
              <w:right w:val="single" w:sz="4" w:space="0" w:color="auto"/>
            </w:tcBorders>
          </w:tcPr>
          <w:p w14:paraId="1ECA7405" w14:textId="77777777" w:rsidR="00E50A74" w:rsidRPr="0098262F" w:rsidRDefault="00E50A74" w:rsidP="00530866">
            <w:pPr>
              <w:pStyle w:val="TableText0"/>
            </w:pPr>
            <w:r w:rsidRPr="0098262F">
              <w:t xml:space="preserve">% not progressed at </w:t>
            </w:r>
            <w:r>
              <w:t>12</w:t>
            </w:r>
            <w:r w:rsidRPr="0098262F">
              <w:t xml:space="preserve"> months (95% CI)</w:t>
            </w:r>
          </w:p>
        </w:tc>
        <w:tc>
          <w:tcPr>
            <w:tcW w:w="911" w:type="pct"/>
            <w:tcBorders>
              <w:top w:val="single" w:sz="4" w:space="0" w:color="auto"/>
              <w:left w:val="single" w:sz="4" w:space="0" w:color="auto"/>
              <w:bottom w:val="single" w:sz="4" w:space="0" w:color="auto"/>
              <w:right w:val="single" w:sz="4" w:space="0" w:color="auto"/>
            </w:tcBorders>
          </w:tcPr>
          <w:p w14:paraId="57D1B231" w14:textId="77777777" w:rsidR="00E50A74" w:rsidRPr="0098262F" w:rsidRDefault="00E50A74" w:rsidP="00530866">
            <w:pPr>
              <w:pStyle w:val="TableText0"/>
              <w:jc w:val="center"/>
              <w:rPr>
                <w:szCs w:val="20"/>
              </w:rPr>
            </w:pPr>
            <w:r>
              <w:rPr>
                <w:szCs w:val="20"/>
              </w:rPr>
              <w:t>22 (12, 34)</w:t>
            </w:r>
          </w:p>
        </w:tc>
        <w:tc>
          <w:tcPr>
            <w:tcW w:w="943" w:type="pct"/>
            <w:tcBorders>
              <w:top w:val="single" w:sz="4" w:space="0" w:color="auto"/>
              <w:left w:val="single" w:sz="4" w:space="0" w:color="auto"/>
              <w:bottom w:val="single" w:sz="4" w:space="0" w:color="auto"/>
              <w:right w:val="single" w:sz="4" w:space="0" w:color="auto"/>
            </w:tcBorders>
          </w:tcPr>
          <w:p w14:paraId="22ADDB7E" w14:textId="77777777" w:rsidR="00E50A74" w:rsidRPr="0098262F" w:rsidRDefault="00E50A74" w:rsidP="00530866">
            <w:pPr>
              <w:pStyle w:val="TableText0"/>
              <w:jc w:val="center"/>
              <w:rPr>
                <w:szCs w:val="20"/>
              </w:rPr>
            </w:pPr>
            <w:r>
              <w:rPr>
                <w:szCs w:val="20"/>
              </w:rPr>
              <w:t>13 (8.0, 20)</w:t>
            </w:r>
          </w:p>
        </w:tc>
        <w:tc>
          <w:tcPr>
            <w:tcW w:w="901" w:type="pct"/>
            <w:tcBorders>
              <w:top w:val="single" w:sz="4" w:space="0" w:color="auto"/>
              <w:left w:val="single" w:sz="4" w:space="0" w:color="auto"/>
              <w:bottom w:val="single" w:sz="4" w:space="0" w:color="auto"/>
              <w:right w:val="single" w:sz="4" w:space="0" w:color="auto"/>
            </w:tcBorders>
          </w:tcPr>
          <w:p w14:paraId="02CA3483" w14:textId="77777777" w:rsidR="00E50A74" w:rsidRPr="0098262F" w:rsidRDefault="00E50A74" w:rsidP="00530866">
            <w:pPr>
              <w:pStyle w:val="TableText0"/>
              <w:jc w:val="center"/>
              <w:rPr>
                <w:rFonts w:cs="Times New Roman"/>
                <w:szCs w:val="20"/>
              </w:rPr>
            </w:pPr>
            <w:r>
              <w:rPr>
                <w:rFonts w:cs="Times New Roman"/>
                <w:szCs w:val="20"/>
              </w:rPr>
              <w:t>9</w:t>
            </w:r>
          </w:p>
        </w:tc>
        <w:tc>
          <w:tcPr>
            <w:tcW w:w="879" w:type="pct"/>
            <w:vMerge/>
            <w:tcBorders>
              <w:left w:val="single" w:sz="4" w:space="0" w:color="auto"/>
              <w:bottom w:val="single" w:sz="4" w:space="0" w:color="auto"/>
            </w:tcBorders>
          </w:tcPr>
          <w:p w14:paraId="224D40DC" w14:textId="77777777" w:rsidR="00E50A74" w:rsidRPr="0098262F" w:rsidRDefault="00E50A74" w:rsidP="00530866">
            <w:pPr>
              <w:pStyle w:val="TableText0"/>
              <w:jc w:val="center"/>
            </w:pPr>
          </w:p>
        </w:tc>
      </w:tr>
      <w:tr w:rsidR="00E50A74" w:rsidRPr="0098262F" w14:paraId="05BAAE52" w14:textId="77777777" w:rsidTr="006B35E6">
        <w:trPr>
          <w:trHeight w:val="20"/>
        </w:trPr>
        <w:tc>
          <w:tcPr>
            <w:tcW w:w="5000" w:type="pct"/>
            <w:gridSpan w:val="5"/>
            <w:tcBorders>
              <w:top w:val="single" w:sz="4" w:space="0" w:color="auto"/>
              <w:left w:val="single" w:sz="4" w:space="0" w:color="auto"/>
              <w:bottom w:val="single" w:sz="4" w:space="0" w:color="auto"/>
              <w:right w:val="single" w:sz="4" w:space="0" w:color="auto"/>
            </w:tcBorders>
          </w:tcPr>
          <w:p w14:paraId="7CE203DA" w14:textId="77777777" w:rsidR="00E50A74" w:rsidRPr="0098262F" w:rsidRDefault="00E50A74" w:rsidP="00530866">
            <w:pPr>
              <w:pStyle w:val="In-tableHeading"/>
            </w:pPr>
            <w:r w:rsidRPr="0098262F">
              <w:t xml:space="preserve">Overall survival (median duration of follow up </w:t>
            </w:r>
            <w:r>
              <w:t>18.1</w:t>
            </w:r>
            <w:r w:rsidRPr="0098262F">
              <w:t xml:space="preserve"> months)</w:t>
            </w:r>
          </w:p>
        </w:tc>
      </w:tr>
      <w:tr w:rsidR="00E50A74" w:rsidRPr="0098262F" w14:paraId="6D6E7780" w14:textId="77777777">
        <w:trPr>
          <w:trHeight w:val="326"/>
        </w:trPr>
        <w:tc>
          <w:tcPr>
            <w:tcW w:w="1366" w:type="pct"/>
            <w:tcBorders>
              <w:top w:val="single" w:sz="4" w:space="0" w:color="auto"/>
              <w:left w:val="single" w:sz="4" w:space="0" w:color="auto"/>
              <w:bottom w:val="single" w:sz="4" w:space="0" w:color="auto"/>
              <w:right w:val="single" w:sz="4" w:space="0" w:color="auto"/>
            </w:tcBorders>
          </w:tcPr>
          <w:p w14:paraId="65BE3775" w14:textId="77777777" w:rsidR="00E50A74" w:rsidRPr="0098262F" w:rsidRDefault="00E50A74" w:rsidP="00530866">
            <w:pPr>
              <w:pStyle w:val="TableText0"/>
            </w:pPr>
            <w:r w:rsidRPr="0098262F">
              <w:t xml:space="preserve">Deaths, n/N (%) </w:t>
            </w:r>
          </w:p>
        </w:tc>
        <w:tc>
          <w:tcPr>
            <w:tcW w:w="911" w:type="pct"/>
            <w:tcBorders>
              <w:top w:val="single" w:sz="4" w:space="0" w:color="auto"/>
              <w:left w:val="single" w:sz="4" w:space="0" w:color="auto"/>
              <w:bottom w:val="single" w:sz="4" w:space="0" w:color="auto"/>
              <w:right w:val="single" w:sz="4" w:space="0" w:color="auto"/>
            </w:tcBorders>
          </w:tcPr>
          <w:p w14:paraId="4D628222" w14:textId="77777777" w:rsidR="00E50A74" w:rsidRPr="0098262F" w:rsidRDefault="00E50A74" w:rsidP="00530866">
            <w:pPr>
              <w:pStyle w:val="TableText0"/>
              <w:jc w:val="center"/>
            </w:pPr>
            <w:r>
              <w:rPr>
                <w:rFonts w:cs="Times New Roman"/>
                <w:szCs w:val="20"/>
              </w:rPr>
              <w:t>65</w:t>
            </w:r>
            <w:r w:rsidRPr="0098262F">
              <w:rPr>
                <w:rFonts w:cs="Times New Roman"/>
                <w:szCs w:val="20"/>
              </w:rPr>
              <w:t>/</w:t>
            </w:r>
            <w:r>
              <w:rPr>
                <w:rFonts w:cs="Times New Roman"/>
                <w:szCs w:val="20"/>
              </w:rPr>
              <w:t>131</w:t>
            </w:r>
            <w:r w:rsidRPr="0098262F">
              <w:rPr>
                <w:rFonts w:cs="Times New Roman"/>
                <w:szCs w:val="20"/>
              </w:rPr>
              <w:t xml:space="preserve"> (</w:t>
            </w:r>
            <w:r>
              <w:rPr>
                <w:rFonts w:cs="Times New Roman"/>
                <w:szCs w:val="20"/>
              </w:rPr>
              <w:t>49.6</w:t>
            </w:r>
            <w:r w:rsidRPr="0098262F">
              <w:rPr>
                <w:rFonts w:cs="Times New Roman"/>
                <w:szCs w:val="20"/>
              </w:rPr>
              <w:t>%)</w:t>
            </w:r>
          </w:p>
        </w:tc>
        <w:tc>
          <w:tcPr>
            <w:tcW w:w="943" w:type="pct"/>
            <w:tcBorders>
              <w:top w:val="single" w:sz="4" w:space="0" w:color="auto"/>
              <w:left w:val="single" w:sz="4" w:space="0" w:color="auto"/>
              <w:bottom w:val="single" w:sz="4" w:space="0" w:color="auto"/>
              <w:right w:val="single" w:sz="4" w:space="0" w:color="auto"/>
            </w:tcBorders>
          </w:tcPr>
          <w:p w14:paraId="57272B24" w14:textId="77777777" w:rsidR="00E50A74" w:rsidRPr="0098262F" w:rsidRDefault="00E50A74" w:rsidP="00530866">
            <w:pPr>
              <w:pStyle w:val="TableText0"/>
              <w:jc w:val="center"/>
            </w:pPr>
            <w:r>
              <w:rPr>
                <w:rFonts w:cs="Times New Roman"/>
                <w:szCs w:val="20"/>
              </w:rPr>
              <w:t>143</w:t>
            </w:r>
            <w:r w:rsidRPr="0098262F">
              <w:rPr>
                <w:rFonts w:cs="Times New Roman"/>
                <w:szCs w:val="20"/>
              </w:rPr>
              <w:t>/</w:t>
            </w:r>
            <w:r>
              <w:rPr>
                <w:rFonts w:cs="Times New Roman"/>
                <w:szCs w:val="20"/>
              </w:rPr>
              <w:t>263</w:t>
            </w:r>
            <w:r w:rsidRPr="0098262F">
              <w:rPr>
                <w:rFonts w:cs="Times New Roman"/>
                <w:szCs w:val="20"/>
              </w:rPr>
              <w:t xml:space="preserve"> (</w:t>
            </w:r>
            <w:r>
              <w:rPr>
                <w:rFonts w:cs="Times New Roman"/>
                <w:szCs w:val="20"/>
              </w:rPr>
              <w:t>54.4</w:t>
            </w:r>
            <w:r w:rsidRPr="0098262F">
              <w:rPr>
                <w:rFonts w:cs="Times New Roman"/>
                <w:szCs w:val="20"/>
              </w:rPr>
              <w:t>%)</w:t>
            </w:r>
          </w:p>
        </w:tc>
        <w:tc>
          <w:tcPr>
            <w:tcW w:w="901" w:type="pct"/>
            <w:tcBorders>
              <w:top w:val="single" w:sz="4" w:space="0" w:color="auto"/>
              <w:left w:val="single" w:sz="4" w:space="0" w:color="auto"/>
              <w:bottom w:val="single" w:sz="4" w:space="0" w:color="auto"/>
              <w:right w:val="single" w:sz="4" w:space="0" w:color="auto"/>
            </w:tcBorders>
          </w:tcPr>
          <w:p w14:paraId="14AEE749" w14:textId="77777777" w:rsidR="00E50A74" w:rsidRPr="0098262F" w:rsidRDefault="00E50A74" w:rsidP="00530866">
            <w:pPr>
              <w:pStyle w:val="TableText0"/>
              <w:jc w:val="center"/>
            </w:pPr>
            <w:r>
              <w:rPr>
                <w:color w:val="000000" w:themeColor="text1"/>
              </w:rPr>
              <w:t>-</w:t>
            </w:r>
          </w:p>
        </w:tc>
        <w:tc>
          <w:tcPr>
            <w:tcW w:w="879" w:type="pct"/>
            <w:vMerge w:val="restart"/>
            <w:tcBorders>
              <w:top w:val="single" w:sz="4" w:space="0" w:color="auto"/>
              <w:left w:val="single" w:sz="4" w:space="0" w:color="auto"/>
              <w:right w:val="single" w:sz="4" w:space="0" w:color="auto"/>
            </w:tcBorders>
          </w:tcPr>
          <w:p w14:paraId="14EBA1E1" w14:textId="77777777" w:rsidR="00E50A74" w:rsidRDefault="00E50A74" w:rsidP="00530866">
            <w:pPr>
              <w:pStyle w:val="TableText0"/>
              <w:jc w:val="center"/>
              <w:rPr>
                <w:b/>
                <w:bCs w:val="0"/>
                <w:szCs w:val="20"/>
              </w:rPr>
            </w:pPr>
          </w:p>
          <w:p w14:paraId="2EADFDB8" w14:textId="77777777" w:rsidR="00E50A74" w:rsidRDefault="00E50A74" w:rsidP="00530866">
            <w:pPr>
              <w:pStyle w:val="TableText0"/>
              <w:jc w:val="center"/>
              <w:rPr>
                <w:b/>
                <w:bCs w:val="0"/>
                <w:szCs w:val="20"/>
              </w:rPr>
            </w:pPr>
          </w:p>
          <w:p w14:paraId="63EB5289" w14:textId="77777777" w:rsidR="00E50A74" w:rsidRDefault="00E50A74" w:rsidP="00530866">
            <w:pPr>
              <w:pStyle w:val="TableText0"/>
              <w:jc w:val="center"/>
              <w:rPr>
                <w:b/>
                <w:bCs w:val="0"/>
                <w:szCs w:val="20"/>
              </w:rPr>
            </w:pPr>
          </w:p>
          <w:p w14:paraId="55CA31AD" w14:textId="77777777" w:rsidR="00E50A74" w:rsidRPr="00C90DE7" w:rsidRDefault="00E50A74" w:rsidP="00530866">
            <w:pPr>
              <w:pStyle w:val="TableText0"/>
              <w:jc w:val="center"/>
              <w:rPr>
                <w:b/>
                <w:bCs w:val="0"/>
                <w:szCs w:val="20"/>
              </w:rPr>
            </w:pPr>
            <w:r w:rsidRPr="00C90DE7">
              <w:rPr>
                <w:b/>
                <w:bCs w:val="0"/>
                <w:szCs w:val="20"/>
              </w:rPr>
              <w:t>0.73 (0.54, 0.99), p=0.0386</w:t>
            </w:r>
          </w:p>
          <w:p w14:paraId="48E0A6DE" w14:textId="77777777" w:rsidR="00E50A74" w:rsidRPr="0098262F" w:rsidRDefault="00E50A74" w:rsidP="00530866">
            <w:pPr>
              <w:pStyle w:val="TableText0"/>
            </w:pPr>
          </w:p>
        </w:tc>
      </w:tr>
      <w:tr w:rsidR="00E50A74" w:rsidRPr="0098262F" w14:paraId="403D5E87" w14:textId="77777777">
        <w:trPr>
          <w:trHeight w:val="289"/>
        </w:trPr>
        <w:tc>
          <w:tcPr>
            <w:tcW w:w="1366" w:type="pct"/>
            <w:tcBorders>
              <w:top w:val="single" w:sz="4" w:space="0" w:color="auto"/>
              <w:left w:val="single" w:sz="4" w:space="0" w:color="auto"/>
              <w:bottom w:val="single" w:sz="4" w:space="0" w:color="auto"/>
              <w:right w:val="single" w:sz="4" w:space="0" w:color="auto"/>
            </w:tcBorders>
          </w:tcPr>
          <w:p w14:paraId="41EB5612" w14:textId="77777777" w:rsidR="00E50A74" w:rsidRPr="0098262F" w:rsidRDefault="00E50A74" w:rsidP="00530866">
            <w:pPr>
              <w:pStyle w:val="TableText0"/>
            </w:pPr>
            <w:r w:rsidRPr="0098262F">
              <w:t>Median OS, months (95% CI)</w:t>
            </w:r>
          </w:p>
        </w:tc>
        <w:tc>
          <w:tcPr>
            <w:tcW w:w="911" w:type="pct"/>
            <w:tcBorders>
              <w:top w:val="single" w:sz="4" w:space="0" w:color="auto"/>
              <w:left w:val="single" w:sz="4" w:space="0" w:color="auto"/>
              <w:bottom w:val="single" w:sz="4" w:space="0" w:color="auto"/>
              <w:right w:val="single" w:sz="4" w:space="0" w:color="auto"/>
            </w:tcBorders>
          </w:tcPr>
          <w:p w14:paraId="7C51D204" w14:textId="77777777" w:rsidR="00E50A74" w:rsidRPr="0098262F" w:rsidRDefault="00E50A74" w:rsidP="00530866">
            <w:pPr>
              <w:pStyle w:val="TableText0"/>
              <w:jc w:val="center"/>
              <w:rPr>
                <w:rFonts w:cs="Times New Roman"/>
                <w:szCs w:val="20"/>
              </w:rPr>
            </w:pPr>
            <w:r>
              <w:rPr>
                <w:rFonts w:cs="Times New Roman"/>
                <w:szCs w:val="20"/>
              </w:rPr>
              <w:t>17.74</w:t>
            </w:r>
            <w:r w:rsidRPr="0098262F">
              <w:rPr>
                <w:rFonts w:cs="Times New Roman"/>
                <w:szCs w:val="20"/>
              </w:rPr>
              <w:t xml:space="preserve"> (</w:t>
            </w:r>
            <w:r>
              <w:rPr>
                <w:rFonts w:cs="Times New Roman"/>
                <w:szCs w:val="20"/>
              </w:rPr>
              <w:t>15.97, 22.37</w:t>
            </w:r>
            <w:r w:rsidRPr="0098262F">
              <w:rPr>
                <w:rFonts w:cs="Times New Roman"/>
                <w:szCs w:val="20"/>
              </w:rPr>
              <w:t>)</w:t>
            </w:r>
          </w:p>
        </w:tc>
        <w:tc>
          <w:tcPr>
            <w:tcW w:w="943" w:type="pct"/>
            <w:tcBorders>
              <w:top w:val="single" w:sz="4" w:space="0" w:color="auto"/>
              <w:left w:val="single" w:sz="4" w:space="0" w:color="auto"/>
              <w:bottom w:val="single" w:sz="4" w:space="0" w:color="auto"/>
              <w:right w:val="single" w:sz="4" w:space="0" w:color="auto"/>
            </w:tcBorders>
          </w:tcPr>
          <w:p w14:paraId="69F2EFB7" w14:textId="77777777" w:rsidR="00E50A74" w:rsidRPr="0098262F" w:rsidRDefault="00E50A74" w:rsidP="00530866">
            <w:pPr>
              <w:pStyle w:val="TableText0"/>
              <w:jc w:val="center"/>
              <w:rPr>
                <w:rFonts w:cs="Times New Roman"/>
                <w:szCs w:val="20"/>
              </w:rPr>
            </w:pPr>
            <w:r>
              <w:rPr>
                <w:rFonts w:cs="Times New Roman"/>
                <w:szCs w:val="20"/>
              </w:rPr>
              <w:t>15.34 (13.73, 16.76</w:t>
            </w:r>
            <w:r w:rsidRPr="0098262F">
              <w:rPr>
                <w:rFonts w:cs="Times New Roman"/>
                <w:szCs w:val="20"/>
              </w:rPr>
              <w:t>)</w:t>
            </w:r>
          </w:p>
        </w:tc>
        <w:tc>
          <w:tcPr>
            <w:tcW w:w="901" w:type="pct"/>
            <w:tcBorders>
              <w:top w:val="single" w:sz="4" w:space="0" w:color="auto"/>
              <w:left w:val="single" w:sz="4" w:space="0" w:color="auto"/>
              <w:bottom w:val="single" w:sz="4" w:space="0" w:color="auto"/>
              <w:right w:val="single" w:sz="4" w:space="0" w:color="auto"/>
            </w:tcBorders>
          </w:tcPr>
          <w:p w14:paraId="27E340E2" w14:textId="77777777" w:rsidR="00E50A74" w:rsidRPr="0098262F" w:rsidRDefault="00E50A74" w:rsidP="00530866">
            <w:pPr>
              <w:pStyle w:val="TableText0"/>
              <w:jc w:val="center"/>
            </w:pPr>
            <w:r>
              <w:t>2.4</w:t>
            </w:r>
          </w:p>
        </w:tc>
        <w:tc>
          <w:tcPr>
            <w:tcW w:w="879" w:type="pct"/>
            <w:vMerge/>
            <w:tcBorders>
              <w:left w:val="single" w:sz="4" w:space="0" w:color="auto"/>
              <w:right w:val="single" w:sz="4" w:space="0" w:color="auto"/>
            </w:tcBorders>
          </w:tcPr>
          <w:p w14:paraId="543CEC2D" w14:textId="77777777" w:rsidR="00E50A74" w:rsidRPr="0098262F" w:rsidRDefault="00E50A74" w:rsidP="00530866">
            <w:pPr>
              <w:pStyle w:val="TableText0"/>
              <w:jc w:val="center"/>
              <w:rPr>
                <w:szCs w:val="20"/>
              </w:rPr>
            </w:pPr>
          </w:p>
        </w:tc>
      </w:tr>
      <w:tr w:rsidR="00E50A74" w:rsidRPr="0098262F" w14:paraId="1C59B632" w14:textId="77777777">
        <w:trPr>
          <w:trHeight w:val="264"/>
        </w:trPr>
        <w:tc>
          <w:tcPr>
            <w:tcW w:w="1366" w:type="pct"/>
            <w:tcBorders>
              <w:top w:val="single" w:sz="4" w:space="0" w:color="auto"/>
              <w:left w:val="single" w:sz="4" w:space="0" w:color="auto"/>
              <w:bottom w:val="single" w:sz="4" w:space="0" w:color="auto"/>
              <w:right w:val="single" w:sz="4" w:space="0" w:color="auto"/>
            </w:tcBorders>
          </w:tcPr>
          <w:p w14:paraId="0D603544" w14:textId="77777777" w:rsidR="00E50A74" w:rsidRPr="0098262F" w:rsidRDefault="00E50A74" w:rsidP="00530866">
            <w:pPr>
              <w:pStyle w:val="TableText0"/>
            </w:pPr>
            <w:r w:rsidRPr="0098262F">
              <w:t xml:space="preserve">% Alive at </w:t>
            </w:r>
            <w:r>
              <w:t>6</w:t>
            </w:r>
            <w:r w:rsidRPr="0098262F">
              <w:t xml:space="preserve"> months (95% CI) </w:t>
            </w:r>
          </w:p>
        </w:tc>
        <w:tc>
          <w:tcPr>
            <w:tcW w:w="911" w:type="pct"/>
            <w:tcBorders>
              <w:top w:val="single" w:sz="4" w:space="0" w:color="auto"/>
              <w:left w:val="single" w:sz="4" w:space="0" w:color="auto"/>
              <w:bottom w:val="single" w:sz="4" w:space="0" w:color="auto"/>
              <w:right w:val="single" w:sz="4" w:space="0" w:color="auto"/>
            </w:tcBorders>
          </w:tcPr>
          <w:p w14:paraId="3EE82B79" w14:textId="77777777" w:rsidR="00E50A74" w:rsidRPr="0098262F" w:rsidRDefault="00E50A74" w:rsidP="00530866">
            <w:pPr>
              <w:pStyle w:val="TableText0"/>
              <w:jc w:val="center"/>
            </w:pPr>
            <w:r>
              <w:rPr>
                <w:szCs w:val="20"/>
              </w:rPr>
              <w:t>91 (84, 95)</w:t>
            </w:r>
          </w:p>
        </w:tc>
        <w:tc>
          <w:tcPr>
            <w:tcW w:w="943" w:type="pct"/>
            <w:tcBorders>
              <w:top w:val="single" w:sz="4" w:space="0" w:color="auto"/>
              <w:left w:val="single" w:sz="4" w:space="0" w:color="auto"/>
              <w:bottom w:val="single" w:sz="4" w:space="0" w:color="auto"/>
              <w:right w:val="single" w:sz="4" w:space="0" w:color="auto"/>
            </w:tcBorders>
          </w:tcPr>
          <w:p w14:paraId="6BD89C84" w14:textId="77777777" w:rsidR="00E50A74" w:rsidRPr="0098262F" w:rsidRDefault="00E50A74" w:rsidP="00530866">
            <w:pPr>
              <w:pStyle w:val="TableText0"/>
              <w:jc w:val="center"/>
              <w:rPr>
                <w:szCs w:val="20"/>
              </w:rPr>
            </w:pPr>
            <w:r>
              <w:rPr>
                <w:szCs w:val="20"/>
              </w:rPr>
              <w:t>87 (82, 90)</w:t>
            </w:r>
          </w:p>
        </w:tc>
        <w:tc>
          <w:tcPr>
            <w:tcW w:w="901" w:type="pct"/>
            <w:tcBorders>
              <w:top w:val="single" w:sz="4" w:space="0" w:color="auto"/>
              <w:left w:val="single" w:sz="4" w:space="0" w:color="auto"/>
              <w:bottom w:val="single" w:sz="4" w:space="0" w:color="auto"/>
              <w:right w:val="single" w:sz="4" w:space="0" w:color="auto"/>
            </w:tcBorders>
          </w:tcPr>
          <w:p w14:paraId="6FF972CE" w14:textId="77777777" w:rsidR="00E50A74" w:rsidRPr="0098262F" w:rsidRDefault="00E50A74" w:rsidP="00530866">
            <w:pPr>
              <w:pStyle w:val="TableText0"/>
              <w:jc w:val="center"/>
            </w:pPr>
            <w:r>
              <w:t>4</w:t>
            </w:r>
          </w:p>
        </w:tc>
        <w:tc>
          <w:tcPr>
            <w:tcW w:w="879" w:type="pct"/>
            <w:vMerge/>
            <w:tcBorders>
              <w:left w:val="single" w:sz="4" w:space="0" w:color="auto"/>
              <w:right w:val="single" w:sz="4" w:space="0" w:color="auto"/>
            </w:tcBorders>
          </w:tcPr>
          <w:p w14:paraId="4FB6369B" w14:textId="77777777" w:rsidR="00E50A74" w:rsidRPr="0098262F" w:rsidRDefault="00E50A74" w:rsidP="00530866">
            <w:pPr>
              <w:pStyle w:val="TableText0"/>
              <w:jc w:val="center"/>
            </w:pPr>
          </w:p>
        </w:tc>
      </w:tr>
      <w:tr w:rsidR="00E50A74" w:rsidRPr="0098262F" w14:paraId="1D72D64D" w14:textId="77777777" w:rsidTr="00EA09C4">
        <w:trPr>
          <w:trHeight w:val="269"/>
        </w:trPr>
        <w:tc>
          <w:tcPr>
            <w:tcW w:w="1366" w:type="pct"/>
            <w:tcBorders>
              <w:top w:val="single" w:sz="4" w:space="0" w:color="auto"/>
              <w:left w:val="single" w:sz="4" w:space="0" w:color="auto"/>
              <w:bottom w:val="single" w:sz="4" w:space="0" w:color="auto"/>
              <w:right w:val="single" w:sz="4" w:space="0" w:color="auto"/>
            </w:tcBorders>
          </w:tcPr>
          <w:p w14:paraId="38AF667E" w14:textId="77777777" w:rsidR="00E50A74" w:rsidRPr="0098262F" w:rsidRDefault="00E50A74" w:rsidP="00530866">
            <w:pPr>
              <w:pStyle w:val="TableText0"/>
            </w:pPr>
            <w:r w:rsidRPr="0098262F">
              <w:t xml:space="preserve">% Alive at </w:t>
            </w:r>
            <w:r>
              <w:t>9</w:t>
            </w:r>
            <w:r w:rsidRPr="0098262F">
              <w:t xml:space="preserve"> months (95% CI)</w:t>
            </w:r>
          </w:p>
        </w:tc>
        <w:tc>
          <w:tcPr>
            <w:tcW w:w="911" w:type="pct"/>
            <w:tcBorders>
              <w:top w:val="single" w:sz="4" w:space="0" w:color="auto"/>
              <w:left w:val="single" w:sz="4" w:space="0" w:color="auto"/>
              <w:bottom w:val="single" w:sz="4" w:space="0" w:color="auto"/>
              <w:right w:val="single" w:sz="4" w:space="0" w:color="auto"/>
            </w:tcBorders>
          </w:tcPr>
          <w:p w14:paraId="3BFBD0CE" w14:textId="77777777" w:rsidR="00E50A74" w:rsidRPr="0098262F" w:rsidRDefault="00E50A74" w:rsidP="00530866">
            <w:pPr>
              <w:pStyle w:val="TableText0"/>
              <w:jc w:val="center"/>
              <w:rPr>
                <w:szCs w:val="20"/>
              </w:rPr>
            </w:pPr>
            <w:r>
              <w:rPr>
                <w:szCs w:val="20"/>
              </w:rPr>
              <w:t>80 (72, 86)</w:t>
            </w:r>
          </w:p>
        </w:tc>
        <w:tc>
          <w:tcPr>
            <w:tcW w:w="943" w:type="pct"/>
            <w:tcBorders>
              <w:top w:val="single" w:sz="4" w:space="0" w:color="auto"/>
              <w:left w:val="single" w:sz="4" w:space="0" w:color="auto"/>
              <w:bottom w:val="single" w:sz="4" w:space="0" w:color="auto"/>
              <w:right w:val="single" w:sz="4" w:space="0" w:color="auto"/>
            </w:tcBorders>
          </w:tcPr>
          <w:p w14:paraId="4686514B" w14:textId="77777777" w:rsidR="00E50A74" w:rsidRPr="0098262F" w:rsidRDefault="00E50A74" w:rsidP="00530866">
            <w:pPr>
              <w:pStyle w:val="TableText0"/>
              <w:jc w:val="center"/>
              <w:rPr>
                <w:szCs w:val="20"/>
              </w:rPr>
            </w:pPr>
            <w:r>
              <w:rPr>
                <w:szCs w:val="20"/>
              </w:rPr>
              <w:t>73 (67, 78)</w:t>
            </w:r>
          </w:p>
        </w:tc>
        <w:tc>
          <w:tcPr>
            <w:tcW w:w="901" w:type="pct"/>
            <w:tcBorders>
              <w:top w:val="single" w:sz="4" w:space="0" w:color="auto"/>
              <w:left w:val="single" w:sz="4" w:space="0" w:color="auto"/>
              <w:bottom w:val="single" w:sz="4" w:space="0" w:color="auto"/>
              <w:right w:val="single" w:sz="4" w:space="0" w:color="auto"/>
            </w:tcBorders>
          </w:tcPr>
          <w:p w14:paraId="29E977A6" w14:textId="77777777" w:rsidR="00E50A74" w:rsidRPr="0098262F" w:rsidRDefault="00E50A74" w:rsidP="00530866">
            <w:pPr>
              <w:pStyle w:val="TableText0"/>
              <w:jc w:val="center"/>
            </w:pPr>
            <w:r>
              <w:t>7</w:t>
            </w:r>
          </w:p>
        </w:tc>
        <w:tc>
          <w:tcPr>
            <w:tcW w:w="879" w:type="pct"/>
            <w:vMerge/>
            <w:tcBorders>
              <w:left w:val="single" w:sz="4" w:space="0" w:color="auto"/>
              <w:right w:val="single" w:sz="4" w:space="0" w:color="auto"/>
            </w:tcBorders>
          </w:tcPr>
          <w:p w14:paraId="7C9FE721" w14:textId="77777777" w:rsidR="00E50A74" w:rsidRPr="0098262F" w:rsidRDefault="00E50A74" w:rsidP="00530866">
            <w:pPr>
              <w:pStyle w:val="TableText0"/>
              <w:jc w:val="center"/>
            </w:pPr>
          </w:p>
        </w:tc>
      </w:tr>
      <w:tr w:rsidR="00E50A74" w:rsidRPr="0098262F" w14:paraId="6328B230" w14:textId="77777777" w:rsidTr="00EA09C4">
        <w:trPr>
          <w:trHeight w:val="266"/>
        </w:trPr>
        <w:tc>
          <w:tcPr>
            <w:tcW w:w="1366" w:type="pct"/>
            <w:tcBorders>
              <w:top w:val="single" w:sz="4" w:space="0" w:color="auto"/>
              <w:left w:val="single" w:sz="4" w:space="0" w:color="auto"/>
              <w:bottom w:val="single" w:sz="4" w:space="0" w:color="auto"/>
              <w:right w:val="single" w:sz="4" w:space="0" w:color="auto"/>
            </w:tcBorders>
          </w:tcPr>
          <w:p w14:paraId="5993FE72" w14:textId="77777777" w:rsidR="00E50A74" w:rsidRPr="0098262F" w:rsidRDefault="00E50A74" w:rsidP="00530866">
            <w:pPr>
              <w:pStyle w:val="TableText0"/>
            </w:pPr>
            <w:r>
              <w:t>% Alive at 12 months (95% CI)</w:t>
            </w:r>
          </w:p>
        </w:tc>
        <w:tc>
          <w:tcPr>
            <w:tcW w:w="911" w:type="pct"/>
            <w:tcBorders>
              <w:top w:val="single" w:sz="4" w:space="0" w:color="auto"/>
              <w:left w:val="single" w:sz="4" w:space="0" w:color="auto"/>
              <w:bottom w:val="single" w:sz="4" w:space="0" w:color="auto"/>
              <w:right w:val="single" w:sz="4" w:space="0" w:color="auto"/>
            </w:tcBorders>
          </w:tcPr>
          <w:p w14:paraId="1D953747" w14:textId="77777777" w:rsidR="00E50A74" w:rsidRPr="0098262F" w:rsidRDefault="00E50A74" w:rsidP="00530866">
            <w:pPr>
              <w:pStyle w:val="TableText0"/>
              <w:jc w:val="center"/>
              <w:rPr>
                <w:szCs w:val="20"/>
              </w:rPr>
            </w:pPr>
            <w:r>
              <w:rPr>
                <w:szCs w:val="20"/>
              </w:rPr>
              <w:t>70 (61, 77)</w:t>
            </w:r>
          </w:p>
        </w:tc>
        <w:tc>
          <w:tcPr>
            <w:tcW w:w="943" w:type="pct"/>
            <w:tcBorders>
              <w:top w:val="single" w:sz="4" w:space="0" w:color="auto"/>
              <w:left w:val="single" w:sz="4" w:space="0" w:color="auto"/>
              <w:bottom w:val="single" w:sz="4" w:space="0" w:color="auto"/>
              <w:right w:val="single" w:sz="4" w:space="0" w:color="auto"/>
            </w:tcBorders>
          </w:tcPr>
          <w:p w14:paraId="00766CCC" w14:textId="77777777" w:rsidR="00E50A74" w:rsidRPr="0098262F" w:rsidRDefault="00E50A74" w:rsidP="00530866">
            <w:pPr>
              <w:pStyle w:val="TableText0"/>
              <w:jc w:val="center"/>
              <w:rPr>
                <w:szCs w:val="20"/>
              </w:rPr>
            </w:pPr>
            <w:r>
              <w:rPr>
                <w:szCs w:val="20"/>
              </w:rPr>
              <w:t>63 (57, 69)</w:t>
            </w:r>
          </w:p>
        </w:tc>
        <w:tc>
          <w:tcPr>
            <w:tcW w:w="901" w:type="pct"/>
            <w:tcBorders>
              <w:top w:val="single" w:sz="4" w:space="0" w:color="auto"/>
              <w:left w:val="single" w:sz="4" w:space="0" w:color="auto"/>
              <w:bottom w:val="single" w:sz="4" w:space="0" w:color="auto"/>
              <w:right w:val="single" w:sz="4" w:space="0" w:color="auto"/>
            </w:tcBorders>
          </w:tcPr>
          <w:p w14:paraId="5A3884F5" w14:textId="77777777" w:rsidR="00E50A74" w:rsidRPr="0098262F" w:rsidRDefault="00E50A74" w:rsidP="00530866">
            <w:pPr>
              <w:pStyle w:val="TableText0"/>
              <w:jc w:val="center"/>
            </w:pPr>
            <w:r>
              <w:t>7</w:t>
            </w:r>
          </w:p>
        </w:tc>
        <w:tc>
          <w:tcPr>
            <w:tcW w:w="879" w:type="pct"/>
            <w:vMerge/>
            <w:tcBorders>
              <w:left w:val="single" w:sz="4" w:space="0" w:color="auto"/>
              <w:right w:val="single" w:sz="4" w:space="0" w:color="auto"/>
            </w:tcBorders>
          </w:tcPr>
          <w:p w14:paraId="45518358" w14:textId="77777777" w:rsidR="00E50A74" w:rsidRPr="0098262F" w:rsidRDefault="00E50A74" w:rsidP="00530866">
            <w:pPr>
              <w:pStyle w:val="TableText0"/>
              <w:jc w:val="center"/>
            </w:pPr>
          </w:p>
        </w:tc>
      </w:tr>
      <w:tr w:rsidR="00E50A74" w:rsidRPr="0098262F" w14:paraId="67CC104B" w14:textId="77777777">
        <w:trPr>
          <w:trHeight w:val="385"/>
        </w:trPr>
        <w:tc>
          <w:tcPr>
            <w:tcW w:w="1366" w:type="pct"/>
            <w:tcBorders>
              <w:top w:val="single" w:sz="4" w:space="0" w:color="auto"/>
              <w:left w:val="single" w:sz="4" w:space="0" w:color="auto"/>
              <w:bottom w:val="double" w:sz="4" w:space="0" w:color="auto"/>
              <w:right w:val="single" w:sz="4" w:space="0" w:color="auto"/>
            </w:tcBorders>
          </w:tcPr>
          <w:p w14:paraId="2B48D8DE" w14:textId="77777777" w:rsidR="00E50A74" w:rsidRPr="0098262F" w:rsidRDefault="00E50A74" w:rsidP="00530866">
            <w:pPr>
              <w:pStyle w:val="TableText0"/>
            </w:pPr>
            <w:r>
              <w:t>% Alive at 18 months (95% CI)</w:t>
            </w:r>
          </w:p>
        </w:tc>
        <w:tc>
          <w:tcPr>
            <w:tcW w:w="911" w:type="pct"/>
            <w:tcBorders>
              <w:top w:val="single" w:sz="4" w:space="0" w:color="auto"/>
              <w:left w:val="single" w:sz="4" w:space="0" w:color="auto"/>
              <w:bottom w:val="double" w:sz="4" w:space="0" w:color="auto"/>
              <w:right w:val="single" w:sz="4" w:space="0" w:color="auto"/>
            </w:tcBorders>
          </w:tcPr>
          <w:p w14:paraId="24B49909" w14:textId="77777777" w:rsidR="00E50A74" w:rsidRPr="0098262F" w:rsidRDefault="00E50A74" w:rsidP="00530866">
            <w:pPr>
              <w:pStyle w:val="TableText0"/>
              <w:jc w:val="center"/>
              <w:rPr>
                <w:szCs w:val="20"/>
              </w:rPr>
            </w:pPr>
            <w:r>
              <w:rPr>
                <w:szCs w:val="20"/>
              </w:rPr>
              <w:t>50 (40, 59)</w:t>
            </w:r>
          </w:p>
        </w:tc>
        <w:tc>
          <w:tcPr>
            <w:tcW w:w="943" w:type="pct"/>
            <w:tcBorders>
              <w:top w:val="single" w:sz="4" w:space="0" w:color="auto"/>
              <w:left w:val="single" w:sz="4" w:space="0" w:color="auto"/>
              <w:bottom w:val="double" w:sz="4" w:space="0" w:color="auto"/>
              <w:right w:val="single" w:sz="4" w:space="0" w:color="auto"/>
            </w:tcBorders>
          </w:tcPr>
          <w:p w14:paraId="3F5FC6AF" w14:textId="77777777" w:rsidR="00E50A74" w:rsidRPr="0098262F" w:rsidRDefault="00E50A74" w:rsidP="00530866">
            <w:pPr>
              <w:pStyle w:val="TableText0"/>
              <w:jc w:val="center"/>
              <w:rPr>
                <w:szCs w:val="20"/>
              </w:rPr>
            </w:pPr>
            <w:r>
              <w:rPr>
                <w:szCs w:val="20"/>
              </w:rPr>
              <w:t>40 (33, 46)</w:t>
            </w:r>
          </w:p>
        </w:tc>
        <w:tc>
          <w:tcPr>
            <w:tcW w:w="901" w:type="pct"/>
            <w:tcBorders>
              <w:top w:val="single" w:sz="4" w:space="0" w:color="auto"/>
              <w:left w:val="single" w:sz="4" w:space="0" w:color="auto"/>
              <w:bottom w:val="double" w:sz="4" w:space="0" w:color="auto"/>
              <w:right w:val="single" w:sz="4" w:space="0" w:color="auto"/>
            </w:tcBorders>
          </w:tcPr>
          <w:p w14:paraId="58560E4D" w14:textId="77777777" w:rsidR="00E50A74" w:rsidRPr="0098262F" w:rsidRDefault="00E50A74" w:rsidP="00530866">
            <w:pPr>
              <w:pStyle w:val="TableText0"/>
              <w:jc w:val="center"/>
            </w:pPr>
            <w:r>
              <w:t xml:space="preserve">10 </w:t>
            </w:r>
          </w:p>
        </w:tc>
        <w:tc>
          <w:tcPr>
            <w:tcW w:w="879" w:type="pct"/>
            <w:vMerge/>
            <w:tcBorders>
              <w:left w:val="single" w:sz="4" w:space="0" w:color="auto"/>
              <w:bottom w:val="double" w:sz="4" w:space="0" w:color="auto"/>
              <w:right w:val="single" w:sz="4" w:space="0" w:color="auto"/>
            </w:tcBorders>
          </w:tcPr>
          <w:p w14:paraId="786F7AEF" w14:textId="77777777" w:rsidR="00E50A74" w:rsidRPr="0098262F" w:rsidRDefault="00E50A74" w:rsidP="00530866">
            <w:pPr>
              <w:pStyle w:val="TableText0"/>
              <w:jc w:val="center"/>
            </w:pPr>
          </w:p>
        </w:tc>
      </w:tr>
    </w:tbl>
    <w:tbl>
      <w:tblPr>
        <w:tblW w:w="5000" w:type="pct"/>
        <w:tblLayout w:type="fixed"/>
        <w:tblCellMar>
          <w:left w:w="28" w:type="dxa"/>
          <w:right w:w="28" w:type="dxa"/>
        </w:tblCellMar>
        <w:tblLook w:val="04A0" w:firstRow="1" w:lastRow="0" w:firstColumn="1" w:lastColumn="0" w:noHBand="0" w:noVBand="1"/>
        <w:tblCaption w:val="Table 9: Summary of comparative benefits and harms for AmiCP and CP"/>
      </w:tblPr>
      <w:tblGrid>
        <w:gridCol w:w="1554"/>
        <w:gridCol w:w="728"/>
        <w:gridCol w:w="7"/>
        <w:gridCol w:w="1277"/>
        <w:gridCol w:w="1555"/>
        <w:gridCol w:w="1133"/>
        <w:gridCol w:w="1362"/>
        <w:gridCol w:w="1401"/>
      </w:tblGrid>
      <w:tr w:rsidR="00E50A74" w:rsidRPr="00F95529" w14:paraId="1F70AF94" w14:textId="77777777" w:rsidTr="003D1DE4">
        <w:tc>
          <w:tcPr>
            <w:tcW w:w="5000" w:type="pct"/>
            <w:gridSpan w:val="8"/>
            <w:tcBorders>
              <w:top w:val="double" w:sz="4" w:space="0" w:color="auto"/>
              <w:left w:val="single" w:sz="4" w:space="0" w:color="auto"/>
              <w:bottom w:val="single" w:sz="4" w:space="0" w:color="auto"/>
              <w:right w:val="single" w:sz="4" w:space="0" w:color="auto"/>
            </w:tcBorders>
            <w:vAlign w:val="center"/>
          </w:tcPr>
          <w:p w14:paraId="1A99F5A0" w14:textId="77777777" w:rsidR="00E50A74" w:rsidRPr="00F95529" w:rsidRDefault="00E50A74" w:rsidP="00530866">
            <w:pPr>
              <w:pStyle w:val="In-tableHeading"/>
            </w:pPr>
            <w:r w:rsidRPr="00F95529">
              <w:t xml:space="preserve">Harms </w:t>
            </w:r>
          </w:p>
        </w:tc>
      </w:tr>
      <w:tr w:rsidR="008C3EE8" w:rsidRPr="00F95529" w14:paraId="48B6F8D4" w14:textId="77777777">
        <w:trPr>
          <w:trHeight w:val="70"/>
        </w:trPr>
        <w:tc>
          <w:tcPr>
            <w:tcW w:w="862" w:type="pct"/>
            <w:vMerge w:val="restart"/>
            <w:tcBorders>
              <w:top w:val="single" w:sz="4" w:space="0" w:color="auto"/>
              <w:left w:val="single" w:sz="4" w:space="0" w:color="auto"/>
              <w:bottom w:val="single" w:sz="4" w:space="0" w:color="auto"/>
              <w:right w:val="single" w:sz="4" w:space="0" w:color="auto"/>
            </w:tcBorders>
            <w:vAlign w:val="center"/>
          </w:tcPr>
          <w:p w14:paraId="410C79F0" w14:textId="77777777" w:rsidR="00E50A74" w:rsidRPr="00F95529" w:rsidRDefault="00E50A74" w:rsidP="00530866">
            <w:pPr>
              <w:pStyle w:val="In-tableHeading"/>
            </w:pPr>
          </w:p>
        </w:tc>
        <w:tc>
          <w:tcPr>
            <w:tcW w:w="404" w:type="pct"/>
            <w:vMerge w:val="restart"/>
            <w:tcBorders>
              <w:top w:val="single" w:sz="4" w:space="0" w:color="auto"/>
              <w:left w:val="single" w:sz="4" w:space="0" w:color="auto"/>
              <w:bottom w:val="single" w:sz="4" w:space="0" w:color="auto"/>
              <w:right w:val="single" w:sz="4" w:space="0" w:color="auto"/>
            </w:tcBorders>
            <w:vAlign w:val="center"/>
          </w:tcPr>
          <w:p w14:paraId="16AEB65F" w14:textId="77777777" w:rsidR="00E50A74" w:rsidRPr="00F95529" w:rsidRDefault="00E50A74" w:rsidP="00530866">
            <w:pPr>
              <w:pStyle w:val="In-tableHeading"/>
              <w:jc w:val="center"/>
            </w:pPr>
            <w:proofErr w:type="spellStart"/>
            <w:r w:rsidRPr="00F95529">
              <w:t>AmiCP</w:t>
            </w:r>
            <w:proofErr w:type="spellEnd"/>
          </w:p>
          <w:p w14:paraId="4797073E" w14:textId="77777777" w:rsidR="00E50A74" w:rsidRPr="00F95529" w:rsidRDefault="00E50A74" w:rsidP="00530866">
            <w:pPr>
              <w:pStyle w:val="In-tableHeading"/>
              <w:jc w:val="center"/>
            </w:pPr>
            <w:r w:rsidRPr="00F95529">
              <w:t>n/N</w:t>
            </w:r>
          </w:p>
        </w:tc>
        <w:tc>
          <w:tcPr>
            <w:tcW w:w="712" w:type="pct"/>
            <w:gridSpan w:val="2"/>
            <w:vMerge w:val="restart"/>
            <w:tcBorders>
              <w:top w:val="single" w:sz="4" w:space="0" w:color="auto"/>
              <w:left w:val="single" w:sz="4" w:space="0" w:color="auto"/>
              <w:bottom w:val="single" w:sz="4" w:space="0" w:color="auto"/>
              <w:right w:val="single" w:sz="4" w:space="0" w:color="auto"/>
            </w:tcBorders>
            <w:vAlign w:val="center"/>
          </w:tcPr>
          <w:p w14:paraId="07FDC03A" w14:textId="77777777" w:rsidR="00E50A74" w:rsidRPr="00F95529" w:rsidRDefault="00E50A74" w:rsidP="00530866">
            <w:pPr>
              <w:pStyle w:val="In-tableHeading"/>
              <w:jc w:val="center"/>
            </w:pPr>
            <w:r w:rsidRPr="00F95529">
              <w:t>CP</w:t>
            </w:r>
          </w:p>
          <w:p w14:paraId="2CC4175C" w14:textId="77777777" w:rsidR="00E50A74" w:rsidRPr="00F95529" w:rsidRDefault="00E50A74" w:rsidP="00530866">
            <w:pPr>
              <w:pStyle w:val="In-tableHeading"/>
              <w:jc w:val="center"/>
            </w:pPr>
            <w:r w:rsidRPr="00F95529">
              <w:t>n/N</w:t>
            </w:r>
          </w:p>
        </w:tc>
        <w:tc>
          <w:tcPr>
            <w:tcW w:w="862" w:type="pct"/>
            <w:vMerge w:val="restart"/>
            <w:tcBorders>
              <w:top w:val="single" w:sz="4" w:space="0" w:color="auto"/>
              <w:left w:val="single" w:sz="4" w:space="0" w:color="auto"/>
              <w:bottom w:val="single" w:sz="4" w:space="0" w:color="auto"/>
              <w:right w:val="single" w:sz="4" w:space="0" w:color="auto"/>
            </w:tcBorders>
            <w:vAlign w:val="center"/>
          </w:tcPr>
          <w:p w14:paraId="79C0F74A" w14:textId="77777777" w:rsidR="00E50A74" w:rsidRPr="00F95529" w:rsidRDefault="00E50A74" w:rsidP="00530866">
            <w:pPr>
              <w:pStyle w:val="In-tableHeading"/>
              <w:jc w:val="center"/>
            </w:pPr>
            <w:r w:rsidRPr="00F95529">
              <w:t>RR</w:t>
            </w:r>
          </w:p>
          <w:p w14:paraId="7ADBCE09" w14:textId="77777777" w:rsidR="00E50A74" w:rsidRPr="00F95529" w:rsidRDefault="00E50A74" w:rsidP="00530866">
            <w:pPr>
              <w:pStyle w:val="In-tableHeading"/>
              <w:jc w:val="center"/>
            </w:pPr>
            <w:r w:rsidRPr="00F95529">
              <w:t>(95% CI)</w:t>
            </w:r>
          </w:p>
        </w:tc>
        <w:tc>
          <w:tcPr>
            <w:tcW w:w="1383" w:type="pct"/>
            <w:gridSpan w:val="2"/>
            <w:tcBorders>
              <w:top w:val="single" w:sz="4" w:space="0" w:color="auto"/>
              <w:left w:val="single" w:sz="4" w:space="0" w:color="auto"/>
              <w:bottom w:val="single" w:sz="4" w:space="0" w:color="auto"/>
              <w:right w:val="single" w:sz="4" w:space="0" w:color="auto"/>
            </w:tcBorders>
            <w:vAlign w:val="center"/>
          </w:tcPr>
          <w:p w14:paraId="5D7C2EB9" w14:textId="77777777" w:rsidR="00E50A74" w:rsidRPr="00F95529" w:rsidRDefault="00E50A74" w:rsidP="00530866">
            <w:pPr>
              <w:pStyle w:val="In-tableHeading"/>
              <w:jc w:val="center"/>
            </w:pPr>
            <w:r w:rsidRPr="00F95529">
              <w:t>Event rate/100 patients*</w:t>
            </w:r>
          </w:p>
        </w:tc>
        <w:tc>
          <w:tcPr>
            <w:tcW w:w="777" w:type="pct"/>
            <w:vMerge w:val="restart"/>
            <w:tcBorders>
              <w:top w:val="single" w:sz="4" w:space="0" w:color="auto"/>
              <w:left w:val="single" w:sz="4" w:space="0" w:color="auto"/>
              <w:bottom w:val="single" w:sz="4" w:space="0" w:color="auto"/>
              <w:right w:val="single" w:sz="4" w:space="0" w:color="auto"/>
            </w:tcBorders>
            <w:vAlign w:val="center"/>
          </w:tcPr>
          <w:p w14:paraId="00194800" w14:textId="77777777" w:rsidR="00E50A74" w:rsidRPr="00F95529" w:rsidRDefault="00E50A74" w:rsidP="00530866">
            <w:pPr>
              <w:pStyle w:val="In-tableHeading"/>
              <w:jc w:val="center"/>
            </w:pPr>
            <w:r w:rsidRPr="00F95529">
              <w:t>RD as %</w:t>
            </w:r>
          </w:p>
          <w:p w14:paraId="64EBE4D7" w14:textId="77777777" w:rsidR="00E50A74" w:rsidRPr="00F95529" w:rsidRDefault="00E50A74" w:rsidP="00530866">
            <w:pPr>
              <w:pStyle w:val="In-tableHeading"/>
              <w:jc w:val="center"/>
            </w:pPr>
            <w:r w:rsidRPr="00F95529">
              <w:t>(95% CI)</w:t>
            </w:r>
          </w:p>
        </w:tc>
      </w:tr>
      <w:tr w:rsidR="00641E2B" w:rsidRPr="00F95529" w14:paraId="12CEB6AE" w14:textId="77777777">
        <w:trPr>
          <w:trHeight w:val="390"/>
        </w:trPr>
        <w:tc>
          <w:tcPr>
            <w:tcW w:w="862" w:type="pct"/>
            <w:vMerge/>
            <w:tcBorders>
              <w:top w:val="single" w:sz="4" w:space="0" w:color="auto"/>
              <w:left w:val="single" w:sz="4" w:space="0" w:color="auto"/>
              <w:bottom w:val="single" w:sz="4" w:space="0" w:color="auto"/>
              <w:right w:val="single" w:sz="4" w:space="0" w:color="auto"/>
            </w:tcBorders>
            <w:vAlign w:val="center"/>
          </w:tcPr>
          <w:p w14:paraId="2E74B3A2" w14:textId="77777777" w:rsidR="00E50A74" w:rsidRPr="00F95529" w:rsidRDefault="00E50A74" w:rsidP="00530866">
            <w:pPr>
              <w:pStyle w:val="In-tableHeading"/>
            </w:pPr>
          </w:p>
        </w:tc>
        <w:tc>
          <w:tcPr>
            <w:tcW w:w="404" w:type="pct"/>
            <w:vMerge/>
            <w:tcBorders>
              <w:top w:val="single" w:sz="4" w:space="0" w:color="auto"/>
              <w:left w:val="single" w:sz="4" w:space="0" w:color="auto"/>
              <w:bottom w:val="single" w:sz="4" w:space="0" w:color="auto"/>
              <w:right w:val="single" w:sz="4" w:space="0" w:color="auto"/>
            </w:tcBorders>
            <w:vAlign w:val="center"/>
          </w:tcPr>
          <w:p w14:paraId="4E1C26CA" w14:textId="77777777" w:rsidR="00E50A74" w:rsidRPr="00F95529" w:rsidRDefault="00E50A74" w:rsidP="00530866">
            <w:pPr>
              <w:pStyle w:val="In-tableHeading"/>
            </w:pPr>
          </w:p>
        </w:tc>
        <w:tc>
          <w:tcPr>
            <w:tcW w:w="712" w:type="pct"/>
            <w:gridSpan w:val="2"/>
            <w:vMerge/>
            <w:tcBorders>
              <w:top w:val="single" w:sz="4" w:space="0" w:color="auto"/>
              <w:left w:val="single" w:sz="4" w:space="0" w:color="auto"/>
              <w:bottom w:val="single" w:sz="4" w:space="0" w:color="auto"/>
              <w:right w:val="single" w:sz="4" w:space="0" w:color="auto"/>
            </w:tcBorders>
            <w:vAlign w:val="center"/>
          </w:tcPr>
          <w:p w14:paraId="29090487" w14:textId="77777777" w:rsidR="00E50A74" w:rsidRPr="00F95529" w:rsidRDefault="00E50A74" w:rsidP="00530866">
            <w:pPr>
              <w:pStyle w:val="In-tableHeading"/>
            </w:pPr>
          </w:p>
        </w:tc>
        <w:tc>
          <w:tcPr>
            <w:tcW w:w="862" w:type="pct"/>
            <w:vMerge/>
            <w:tcBorders>
              <w:top w:val="single" w:sz="4" w:space="0" w:color="auto"/>
              <w:left w:val="single" w:sz="4" w:space="0" w:color="auto"/>
              <w:bottom w:val="single" w:sz="4" w:space="0" w:color="auto"/>
              <w:right w:val="single" w:sz="4" w:space="0" w:color="auto"/>
            </w:tcBorders>
            <w:vAlign w:val="center"/>
          </w:tcPr>
          <w:p w14:paraId="59FF6D28" w14:textId="77777777" w:rsidR="00E50A74" w:rsidRPr="00F95529" w:rsidRDefault="00E50A74" w:rsidP="00530866">
            <w:pPr>
              <w:pStyle w:val="In-tableHeading"/>
            </w:pPr>
          </w:p>
        </w:tc>
        <w:tc>
          <w:tcPr>
            <w:tcW w:w="628" w:type="pct"/>
            <w:tcBorders>
              <w:top w:val="single" w:sz="4" w:space="0" w:color="auto"/>
              <w:left w:val="single" w:sz="4" w:space="0" w:color="auto"/>
              <w:bottom w:val="single" w:sz="4" w:space="0" w:color="auto"/>
              <w:right w:val="single" w:sz="4" w:space="0" w:color="auto"/>
            </w:tcBorders>
            <w:vAlign w:val="center"/>
          </w:tcPr>
          <w:p w14:paraId="370B87A0" w14:textId="77777777" w:rsidR="00E50A74" w:rsidRPr="00F95529" w:rsidRDefault="00E50A74" w:rsidP="00530866">
            <w:pPr>
              <w:pStyle w:val="In-tableHeading"/>
              <w:jc w:val="center"/>
            </w:pPr>
            <w:proofErr w:type="spellStart"/>
            <w:r w:rsidRPr="00F95529">
              <w:t>AmiCP</w:t>
            </w:r>
            <w:proofErr w:type="spellEnd"/>
          </w:p>
        </w:tc>
        <w:tc>
          <w:tcPr>
            <w:tcW w:w="755" w:type="pct"/>
            <w:tcBorders>
              <w:top w:val="single" w:sz="4" w:space="0" w:color="auto"/>
              <w:left w:val="single" w:sz="4" w:space="0" w:color="auto"/>
              <w:bottom w:val="single" w:sz="4" w:space="0" w:color="auto"/>
              <w:right w:val="single" w:sz="4" w:space="0" w:color="auto"/>
            </w:tcBorders>
            <w:vAlign w:val="center"/>
          </w:tcPr>
          <w:p w14:paraId="505ED4C6" w14:textId="77777777" w:rsidR="00E50A74" w:rsidRPr="00F95529" w:rsidRDefault="00E50A74" w:rsidP="00530866">
            <w:pPr>
              <w:pStyle w:val="In-tableHeading"/>
              <w:jc w:val="center"/>
            </w:pPr>
            <w:r w:rsidRPr="00F95529">
              <w:t>CP</w:t>
            </w:r>
          </w:p>
        </w:tc>
        <w:tc>
          <w:tcPr>
            <w:tcW w:w="777" w:type="pct"/>
            <w:vMerge/>
            <w:tcBorders>
              <w:top w:val="single" w:sz="4" w:space="0" w:color="auto"/>
              <w:left w:val="single" w:sz="4" w:space="0" w:color="auto"/>
              <w:bottom w:val="single" w:sz="4" w:space="0" w:color="auto"/>
              <w:right w:val="single" w:sz="4" w:space="0" w:color="auto"/>
            </w:tcBorders>
            <w:vAlign w:val="center"/>
          </w:tcPr>
          <w:p w14:paraId="61158CFD" w14:textId="77777777" w:rsidR="00E50A74" w:rsidRPr="00F95529" w:rsidRDefault="00E50A74" w:rsidP="00530866">
            <w:pPr>
              <w:pStyle w:val="In-tableHeading"/>
            </w:pPr>
          </w:p>
        </w:tc>
      </w:tr>
      <w:tr w:rsidR="00641E2B" w:rsidRPr="00F95529" w14:paraId="55D6CA66" w14:textId="77777777">
        <w:tc>
          <w:tcPr>
            <w:tcW w:w="862" w:type="pct"/>
            <w:tcBorders>
              <w:top w:val="single" w:sz="4" w:space="0" w:color="auto"/>
              <w:left w:val="single" w:sz="4" w:space="0" w:color="auto"/>
              <w:bottom w:val="single" w:sz="4" w:space="0" w:color="auto"/>
              <w:right w:val="single" w:sz="4" w:space="0" w:color="auto"/>
            </w:tcBorders>
            <w:vAlign w:val="center"/>
          </w:tcPr>
          <w:p w14:paraId="1F42F2DA" w14:textId="77777777" w:rsidR="00E50A74" w:rsidRPr="00F95529" w:rsidRDefault="00E50A74" w:rsidP="00530866">
            <w:pPr>
              <w:pStyle w:val="TableText0"/>
            </w:pPr>
            <w:r w:rsidRPr="00F95529">
              <w:t>Rash</w:t>
            </w:r>
          </w:p>
        </w:tc>
        <w:tc>
          <w:tcPr>
            <w:tcW w:w="408" w:type="pct"/>
            <w:gridSpan w:val="2"/>
            <w:tcBorders>
              <w:top w:val="single" w:sz="4" w:space="0" w:color="auto"/>
              <w:left w:val="single" w:sz="4" w:space="0" w:color="auto"/>
              <w:bottom w:val="single" w:sz="4" w:space="0" w:color="auto"/>
              <w:right w:val="single" w:sz="4" w:space="0" w:color="auto"/>
            </w:tcBorders>
            <w:vAlign w:val="center"/>
          </w:tcPr>
          <w:p w14:paraId="666B4D2A" w14:textId="77777777" w:rsidR="00E50A74" w:rsidRPr="00F95529" w:rsidRDefault="00E50A74" w:rsidP="00530866">
            <w:pPr>
              <w:pStyle w:val="TableText0"/>
              <w:jc w:val="center"/>
            </w:pPr>
            <w:r w:rsidRPr="00F95529">
              <w:t>56/130</w:t>
            </w:r>
          </w:p>
        </w:tc>
        <w:tc>
          <w:tcPr>
            <w:tcW w:w="708" w:type="pct"/>
            <w:tcBorders>
              <w:top w:val="single" w:sz="4" w:space="0" w:color="auto"/>
              <w:left w:val="single" w:sz="4" w:space="0" w:color="auto"/>
              <w:bottom w:val="single" w:sz="4" w:space="0" w:color="auto"/>
              <w:right w:val="single" w:sz="4" w:space="0" w:color="auto"/>
            </w:tcBorders>
            <w:vAlign w:val="center"/>
          </w:tcPr>
          <w:p w14:paraId="3D7C3866" w14:textId="77777777" w:rsidR="00E50A74" w:rsidRPr="00F95529" w:rsidRDefault="00E50A74" w:rsidP="00530866">
            <w:pPr>
              <w:pStyle w:val="TableText0"/>
              <w:jc w:val="center"/>
            </w:pPr>
            <w:r w:rsidRPr="00F95529">
              <w:t>12/243</w:t>
            </w:r>
          </w:p>
        </w:tc>
        <w:tc>
          <w:tcPr>
            <w:tcW w:w="862" w:type="pct"/>
            <w:tcBorders>
              <w:top w:val="single" w:sz="4" w:space="0" w:color="auto"/>
              <w:left w:val="single" w:sz="4" w:space="0" w:color="auto"/>
              <w:bottom w:val="single" w:sz="4" w:space="0" w:color="auto"/>
              <w:right w:val="single" w:sz="4" w:space="0" w:color="auto"/>
            </w:tcBorders>
            <w:vAlign w:val="center"/>
          </w:tcPr>
          <w:p w14:paraId="618C695C" w14:textId="77777777" w:rsidR="00E50A74" w:rsidRPr="00F95529" w:rsidRDefault="00E50A74" w:rsidP="00530866">
            <w:pPr>
              <w:pStyle w:val="TableText0"/>
              <w:jc w:val="center"/>
            </w:pPr>
            <w:r w:rsidRPr="00F95529">
              <w:t xml:space="preserve">8.72 </w:t>
            </w:r>
            <w:r w:rsidRPr="00F95529">
              <w:br/>
              <w:t>(4.86, 15.67)</w:t>
            </w:r>
          </w:p>
        </w:tc>
        <w:tc>
          <w:tcPr>
            <w:tcW w:w="628" w:type="pct"/>
            <w:tcBorders>
              <w:top w:val="single" w:sz="4" w:space="0" w:color="auto"/>
              <w:left w:val="single" w:sz="4" w:space="0" w:color="auto"/>
              <w:bottom w:val="single" w:sz="4" w:space="0" w:color="auto"/>
              <w:right w:val="single" w:sz="4" w:space="0" w:color="auto"/>
            </w:tcBorders>
            <w:vAlign w:val="center"/>
          </w:tcPr>
          <w:p w14:paraId="62B2D320" w14:textId="77777777" w:rsidR="00E50A74" w:rsidRPr="00F95529" w:rsidRDefault="00E50A74" w:rsidP="00530866">
            <w:pPr>
              <w:pStyle w:val="TableText0"/>
              <w:jc w:val="center"/>
            </w:pPr>
            <w:r w:rsidRPr="00F95529">
              <w:t>43</w:t>
            </w:r>
          </w:p>
        </w:tc>
        <w:tc>
          <w:tcPr>
            <w:tcW w:w="755" w:type="pct"/>
            <w:tcBorders>
              <w:top w:val="single" w:sz="4" w:space="0" w:color="auto"/>
              <w:left w:val="single" w:sz="4" w:space="0" w:color="auto"/>
              <w:bottom w:val="single" w:sz="4" w:space="0" w:color="auto"/>
              <w:right w:val="single" w:sz="4" w:space="0" w:color="auto"/>
            </w:tcBorders>
            <w:vAlign w:val="center"/>
          </w:tcPr>
          <w:p w14:paraId="015A5143" w14:textId="77777777" w:rsidR="00E50A74" w:rsidRPr="00F95529" w:rsidRDefault="00E50A74" w:rsidP="00530866">
            <w:pPr>
              <w:pStyle w:val="TableText0"/>
              <w:jc w:val="center"/>
            </w:pPr>
            <w:r w:rsidRPr="00F95529">
              <w:t>5</w:t>
            </w:r>
          </w:p>
        </w:tc>
        <w:tc>
          <w:tcPr>
            <w:tcW w:w="777" w:type="pct"/>
            <w:tcBorders>
              <w:top w:val="single" w:sz="4" w:space="0" w:color="auto"/>
              <w:left w:val="single" w:sz="4" w:space="0" w:color="auto"/>
              <w:bottom w:val="single" w:sz="4" w:space="0" w:color="auto"/>
              <w:right w:val="single" w:sz="4" w:space="0" w:color="auto"/>
            </w:tcBorders>
            <w:vAlign w:val="center"/>
          </w:tcPr>
          <w:p w14:paraId="00EC3AA1" w14:textId="77777777" w:rsidR="00E50A74" w:rsidRPr="00F95529" w:rsidRDefault="00E50A74" w:rsidP="00530866">
            <w:pPr>
              <w:pStyle w:val="TableText0"/>
              <w:jc w:val="center"/>
            </w:pPr>
            <w:r w:rsidRPr="00F95529">
              <w:t xml:space="preserve">38.14 </w:t>
            </w:r>
          </w:p>
          <w:p w14:paraId="0191EA51" w14:textId="77777777" w:rsidR="00E50A74" w:rsidRPr="00F95529" w:rsidRDefault="00E50A74" w:rsidP="00530866">
            <w:pPr>
              <w:pStyle w:val="TableText0"/>
              <w:jc w:val="center"/>
            </w:pPr>
            <w:r w:rsidRPr="00F95529">
              <w:t>(29.20, 47.08)</w:t>
            </w:r>
          </w:p>
        </w:tc>
      </w:tr>
      <w:tr w:rsidR="00641E2B" w:rsidRPr="00F95529" w14:paraId="3F0F8A65" w14:textId="77777777">
        <w:tc>
          <w:tcPr>
            <w:tcW w:w="862" w:type="pct"/>
            <w:tcBorders>
              <w:top w:val="single" w:sz="4" w:space="0" w:color="auto"/>
              <w:left w:val="single" w:sz="4" w:space="0" w:color="auto"/>
              <w:bottom w:val="single" w:sz="4" w:space="0" w:color="auto"/>
              <w:right w:val="single" w:sz="4" w:space="0" w:color="auto"/>
            </w:tcBorders>
            <w:vAlign w:val="center"/>
          </w:tcPr>
          <w:p w14:paraId="2C1F999F" w14:textId="77777777" w:rsidR="00E50A74" w:rsidRPr="00F95529" w:rsidRDefault="00E50A74" w:rsidP="00530866">
            <w:pPr>
              <w:pStyle w:val="TableText0"/>
            </w:pPr>
            <w:r w:rsidRPr="00F95529">
              <w:t>Infusion Related Reaction</w:t>
            </w:r>
          </w:p>
        </w:tc>
        <w:tc>
          <w:tcPr>
            <w:tcW w:w="408" w:type="pct"/>
            <w:gridSpan w:val="2"/>
            <w:tcBorders>
              <w:top w:val="single" w:sz="4" w:space="0" w:color="auto"/>
              <w:left w:val="single" w:sz="4" w:space="0" w:color="auto"/>
              <w:bottom w:val="single" w:sz="4" w:space="0" w:color="auto"/>
              <w:right w:val="single" w:sz="4" w:space="0" w:color="auto"/>
            </w:tcBorders>
            <w:vAlign w:val="center"/>
          </w:tcPr>
          <w:p w14:paraId="5355339D" w14:textId="77777777" w:rsidR="00E50A74" w:rsidRPr="00F95529" w:rsidRDefault="00E50A74" w:rsidP="00530866">
            <w:pPr>
              <w:pStyle w:val="TableText0"/>
              <w:jc w:val="center"/>
            </w:pPr>
            <w:r w:rsidRPr="00F95529">
              <w:t>76/130</w:t>
            </w:r>
          </w:p>
        </w:tc>
        <w:tc>
          <w:tcPr>
            <w:tcW w:w="708" w:type="pct"/>
            <w:tcBorders>
              <w:top w:val="single" w:sz="4" w:space="0" w:color="auto"/>
              <w:left w:val="single" w:sz="4" w:space="0" w:color="auto"/>
              <w:bottom w:val="single" w:sz="4" w:space="0" w:color="auto"/>
              <w:right w:val="single" w:sz="4" w:space="0" w:color="auto"/>
            </w:tcBorders>
            <w:vAlign w:val="center"/>
          </w:tcPr>
          <w:p w14:paraId="06A9F97C" w14:textId="77777777" w:rsidR="00E50A74" w:rsidRPr="00F95529" w:rsidRDefault="00E50A74" w:rsidP="00530866">
            <w:pPr>
              <w:pStyle w:val="TableText0"/>
              <w:jc w:val="center"/>
            </w:pPr>
            <w:r w:rsidRPr="00F95529">
              <w:t>1/243</w:t>
            </w:r>
          </w:p>
        </w:tc>
        <w:tc>
          <w:tcPr>
            <w:tcW w:w="862" w:type="pct"/>
            <w:tcBorders>
              <w:top w:val="single" w:sz="4" w:space="0" w:color="auto"/>
              <w:left w:val="single" w:sz="4" w:space="0" w:color="auto"/>
              <w:bottom w:val="single" w:sz="4" w:space="0" w:color="auto"/>
              <w:right w:val="single" w:sz="4" w:space="0" w:color="auto"/>
            </w:tcBorders>
            <w:vAlign w:val="center"/>
          </w:tcPr>
          <w:p w14:paraId="41D4CFA8" w14:textId="77777777" w:rsidR="00E50A74" w:rsidRPr="00F95529" w:rsidRDefault="00E50A74" w:rsidP="00530866">
            <w:pPr>
              <w:pStyle w:val="TableText0"/>
              <w:jc w:val="center"/>
            </w:pPr>
            <w:r w:rsidRPr="00F95529">
              <w:t>142.06 (19.98,1009.88)</w:t>
            </w:r>
          </w:p>
        </w:tc>
        <w:tc>
          <w:tcPr>
            <w:tcW w:w="628" w:type="pct"/>
            <w:tcBorders>
              <w:top w:val="single" w:sz="4" w:space="0" w:color="auto"/>
              <w:left w:val="single" w:sz="4" w:space="0" w:color="auto"/>
              <w:bottom w:val="single" w:sz="4" w:space="0" w:color="auto"/>
              <w:right w:val="single" w:sz="4" w:space="0" w:color="auto"/>
            </w:tcBorders>
            <w:vAlign w:val="center"/>
          </w:tcPr>
          <w:p w14:paraId="1C2F300F" w14:textId="77777777" w:rsidR="00E50A74" w:rsidRPr="00F95529" w:rsidRDefault="00E50A74" w:rsidP="00530866">
            <w:pPr>
              <w:pStyle w:val="TableText0"/>
              <w:jc w:val="center"/>
            </w:pPr>
            <w:r w:rsidRPr="00F95529">
              <w:t>59</w:t>
            </w:r>
          </w:p>
        </w:tc>
        <w:tc>
          <w:tcPr>
            <w:tcW w:w="755" w:type="pct"/>
            <w:tcBorders>
              <w:top w:val="single" w:sz="4" w:space="0" w:color="auto"/>
              <w:left w:val="single" w:sz="4" w:space="0" w:color="auto"/>
              <w:bottom w:val="single" w:sz="4" w:space="0" w:color="auto"/>
              <w:right w:val="single" w:sz="4" w:space="0" w:color="auto"/>
            </w:tcBorders>
            <w:vAlign w:val="center"/>
          </w:tcPr>
          <w:p w14:paraId="595362A0" w14:textId="77777777" w:rsidR="00E50A74" w:rsidRPr="00F95529" w:rsidRDefault="00E50A74" w:rsidP="00530866">
            <w:pPr>
              <w:pStyle w:val="TableText0"/>
              <w:jc w:val="center"/>
            </w:pPr>
            <w:r w:rsidRPr="00F95529">
              <w:t>0.4</w:t>
            </w:r>
          </w:p>
        </w:tc>
        <w:tc>
          <w:tcPr>
            <w:tcW w:w="777" w:type="pct"/>
            <w:tcBorders>
              <w:top w:val="single" w:sz="4" w:space="0" w:color="auto"/>
              <w:left w:val="single" w:sz="4" w:space="0" w:color="auto"/>
              <w:bottom w:val="single" w:sz="4" w:space="0" w:color="auto"/>
              <w:right w:val="single" w:sz="4" w:space="0" w:color="auto"/>
            </w:tcBorders>
            <w:vAlign w:val="center"/>
          </w:tcPr>
          <w:p w14:paraId="6EFB7049" w14:textId="77777777" w:rsidR="00E50A74" w:rsidRPr="00F95529" w:rsidRDefault="00E50A74" w:rsidP="00530866">
            <w:pPr>
              <w:pStyle w:val="TableText0"/>
              <w:jc w:val="center"/>
            </w:pPr>
            <w:r w:rsidRPr="00F95529">
              <w:t xml:space="preserve">58.05 </w:t>
            </w:r>
            <w:r w:rsidRPr="00F95529">
              <w:br/>
              <w:t>(49.54, 66.56)</w:t>
            </w:r>
          </w:p>
        </w:tc>
      </w:tr>
      <w:tr w:rsidR="00641E2B" w:rsidRPr="00F95529" w14:paraId="0DFBFC4C" w14:textId="77777777">
        <w:tc>
          <w:tcPr>
            <w:tcW w:w="862" w:type="pct"/>
            <w:tcBorders>
              <w:top w:val="single" w:sz="4" w:space="0" w:color="auto"/>
              <w:left w:val="single" w:sz="4" w:space="0" w:color="auto"/>
              <w:bottom w:val="single" w:sz="4" w:space="0" w:color="auto"/>
              <w:right w:val="single" w:sz="4" w:space="0" w:color="auto"/>
            </w:tcBorders>
            <w:vAlign w:val="center"/>
          </w:tcPr>
          <w:p w14:paraId="523D117E" w14:textId="77777777" w:rsidR="00E50A74" w:rsidRPr="00F95529" w:rsidRDefault="00E50A74" w:rsidP="00530866">
            <w:pPr>
              <w:pStyle w:val="TableText0"/>
            </w:pPr>
            <w:r w:rsidRPr="00F95529">
              <w:t>Grade ≥ 3 neutropenia</w:t>
            </w:r>
          </w:p>
        </w:tc>
        <w:tc>
          <w:tcPr>
            <w:tcW w:w="408" w:type="pct"/>
            <w:gridSpan w:val="2"/>
            <w:tcBorders>
              <w:top w:val="single" w:sz="4" w:space="0" w:color="auto"/>
              <w:left w:val="single" w:sz="4" w:space="0" w:color="auto"/>
              <w:bottom w:val="single" w:sz="4" w:space="0" w:color="auto"/>
              <w:right w:val="single" w:sz="4" w:space="0" w:color="auto"/>
            </w:tcBorders>
            <w:vAlign w:val="center"/>
          </w:tcPr>
          <w:p w14:paraId="0BD4EF96" w14:textId="77777777" w:rsidR="00E50A74" w:rsidRPr="00F95529" w:rsidRDefault="00E50A74" w:rsidP="00530866">
            <w:pPr>
              <w:pStyle w:val="TableText0"/>
              <w:jc w:val="center"/>
            </w:pPr>
            <w:r w:rsidRPr="00F95529">
              <w:t>59/130</w:t>
            </w:r>
          </w:p>
        </w:tc>
        <w:tc>
          <w:tcPr>
            <w:tcW w:w="708" w:type="pct"/>
            <w:tcBorders>
              <w:top w:val="single" w:sz="4" w:space="0" w:color="auto"/>
              <w:left w:val="single" w:sz="4" w:space="0" w:color="auto"/>
              <w:bottom w:val="single" w:sz="4" w:space="0" w:color="auto"/>
              <w:right w:val="single" w:sz="4" w:space="0" w:color="auto"/>
            </w:tcBorders>
            <w:vAlign w:val="center"/>
          </w:tcPr>
          <w:p w14:paraId="02F7F4AF" w14:textId="77777777" w:rsidR="00E50A74" w:rsidRPr="00F95529" w:rsidRDefault="00E50A74" w:rsidP="00530866">
            <w:pPr>
              <w:pStyle w:val="TableText0"/>
              <w:jc w:val="center"/>
            </w:pPr>
            <w:r w:rsidRPr="00F95529">
              <w:t>52/243</w:t>
            </w:r>
          </w:p>
        </w:tc>
        <w:tc>
          <w:tcPr>
            <w:tcW w:w="862" w:type="pct"/>
            <w:tcBorders>
              <w:top w:val="single" w:sz="4" w:space="0" w:color="auto"/>
              <w:left w:val="single" w:sz="4" w:space="0" w:color="auto"/>
              <w:bottom w:val="single" w:sz="4" w:space="0" w:color="auto"/>
              <w:right w:val="single" w:sz="4" w:space="0" w:color="auto"/>
            </w:tcBorders>
            <w:vAlign w:val="center"/>
          </w:tcPr>
          <w:p w14:paraId="7D7290F9" w14:textId="77777777" w:rsidR="00E50A74" w:rsidRPr="00F95529" w:rsidRDefault="00E50A74" w:rsidP="00530866">
            <w:pPr>
              <w:pStyle w:val="TableText0"/>
              <w:jc w:val="center"/>
            </w:pPr>
            <w:r w:rsidRPr="00F95529">
              <w:t xml:space="preserve">2.12 </w:t>
            </w:r>
          </w:p>
          <w:p w14:paraId="2F309187" w14:textId="77777777" w:rsidR="00E50A74" w:rsidRPr="00F95529" w:rsidRDefault="00E50A74" w:rsidP="00530866">
            <w:pPr>
              <w:pStyle w:val="TableText0"/>
              <w:jc w:val="center"/>
            </w:pPr>
            <w:r w:rsidRPr="00F95529">
              <w:rPr>
                <w:rFonts w:cs="Calibri Light"/>
                <w:szCs w:val="20"/>
              </w:rPr>
              <w:t>(1.56, 2.88)</w:t>
            </w:r>
          </w:p>
        </w:tc>
        <w:tc>
          <w:tcPr>
            <w:tcW w:w="628" w:type="pct"/>
            <w:tcBorders>
              <w:top w:val="single" w:sz="4" w:space="0" w:color="auto"/>
              <w:left w:val="single" w:sz="4" w:space="0" w:color="auto"/>
              <w:bottom w:val="single" w:sz="4" w:space="0" w:color="auto"/>
              <w:right w:val="single" w:sz="4" w:space="0" w:color="auto"/>
            </w:tcBorders>
            <w:vAlign w:val="center"/>
          </w:tcPr>
          <w:p w14:paraId="754BB631" w14:textId="77777777" w:rsidR="00E50A74" w:rsidRPr="00F95529" w:rsidRDefault="00E50A74" w:rsidP="00530866">
            <w:pPr>
              <w:pStyle w:val="TableText0"/>
              <w:jc w:val="center"/>
            </w:pPr>
            <w:r w:rsidRPr="00F95529">
              <w:t>45</w:t>
            </w:r>
          </w:p>
        </w:tc>
        <w:tc>
          <w:tcPr>
            <w:tcW w:w="755" w:type="pct"/>
            <w:tcBorders>
              <w:top w:val="single" w:sz="4" w:space="0" w:color="auto"/>
              <w:left w:val="single" w:sz="4" w:space="0" w:color="auto"/>
              <w:bottom w:val="single" w:sz="4" w:space="0" w:color="auto"/>
              <w:right w:val="single" w:sz="4" w:space="0" w:color="auto"/>
            </w:tcBorders>
            <w:vAlign w:val="center"/>
          </w:tcPr>
          <w:p w14:paraId="749960F2" w14:textId="77777777" w:rsidR="00E50A74" w:rsidRPr="00F95529" w:rsidRDefault="00E50A74" w:rsidP="00530866">
            <w:pPr>
              <w:pStyle w:val="TableText0"/>
              <w:jc w:val="center"/>
              <w:rPr>
                <w:rStyle w:val="CommentReference"/>
                <w:rFonts w:eastAsia="Times New Roman" w:cs="Arial"/>
                <w:bCs w:val="0"/>
              </w:rPr>
            </w:pPr>
            <w:r w:rsidRPr="00F95529">
              <w:t>21</w:t>
            </w:r>
          </w:p>
        </w:tc>
        <w:tc>
          <w:tcPr>
            <w:tcW w:w="777" w:type="pct"/>
            <w:tcBorders>
              <w:top w:val="single" w:sz="4" w:space="0" w:color="auto"/>
              <w:left w:val="single" w:sz="4" w:space="0" w:color="auto"/>
              <w:bottom w:val="single" w:sz="4" w:space="0" w:color="auto"/>
              <w:right w:val="single" w:sz="4" w:space="0" w:color="auto"/>
            </w:tcBorders>
            <w:vAlign w:val="center"/>
          </w:tcPr>
          <w:p w14:paraId="3B291A87" w14:textId="77777777" w:rsidR="00E50A74" w:rsidRPr="00F95529" w:rsidRDefault="00E50A74" w:rsidP="00530866">
            <w:pPr>
              <w:pStyle w:val="TableText0"/>
              <w:jc w:val="center"/>
              <w:rPr>
                <w:rFonts w:cs="Calibri Light"/>
                <w:bCs w:val="0"/>
                <w:szCs w:val="20"/>
              </w:rPr>
            </w:pPr>
            <w:r w:rsidRPr="00F95529">
              <w:rPr>
                <w:rFonts w:cs="Calibri Light"/>
                <w:bCs w:val="0"/>
                <w:szCs w:val="20"/>
              </w:rPr>
              <w:t xml:space="preserve">23.99 </w:t>
            </w:r>
          </w:p>
          <w:p w14:paraId="32EB7533" w14:textId="77777777" w:rsidR="00E50A74" w:rsidRPr="00F95529" w:rsidRDefault="00E50A74" w:rsidP="00530866">
            <w:pPr>
              <w:pStyle w:val="TableText0"/>
              <w:jc w:val="center"/>
              <w:rPr>
                <w:bCs w:val="0"/>
              </w:rPr>
            </w:pPr>
            <w:r w:rsidRPr="00F95529">
              <w:rPr>
                <w:rFonts w:cs="Calibri Light"/>
                <w:bCs w:val="0"/>
                <w:szCs w:val="20"/>
              </w:rPr>
              <w:t>(13.99, 33.98)</w:t>
            </w:r>
          </w:p>
        </w:tc>
      </w:tr>
      <w:tr w:rsidR="00641E2B" w:rsidRPr="00F95529" w14:paraId="5701C0E1" w14:textId="77777777">
        <w:tc>
          <w:tcPr>
            <w:tcW w:w="862" w:type="pct"/>
            <w:tcBorders>
              <w:top w:val="single" w:sz="4" w:space="0" w:color="auto"/>
              <w:left w:val="single" w:sz="4" w:space="0" w:color="auto"/>
              <w:bottom w:val="single" w:sz="4" w:space="0" w:color="auto"/>
              <w:right w:val="single" w:sz="4" w:space="0" w:color="auto"/>
            </w:tcBorders>
          </w:tcPr>
          <w:p w14:paraId="170AB020" w14:textId="77777777" w:rsidR="00E50A74" w:rsidRPr="00F95529" w:rsidRDefault="00E50A74" w:rsidP="00530866">
            <w:pPr>
              <w:pStyle w:val="TableText0"/>
            </w:pPr>
            <w:r w:rsidRPr="00F95529">
              <w:t>Grade ≥ 3 leukopenia</w:t>
            </w:r>
          </w:p>
        </w:tc>
        <w:tc>
          <w:tcPr>
            <w:tcW w:w="408" w:type="pct"/>
            <w:gridSpan w:val="2"/>
            <w:tcBorders>
              <w:top w:val="single" w:sz="4" w:space="0" w:color="auto"/>
              <w:left w:val="single" w:sz="4" w:space="0" w:color="auto"/>
              <w:bottom w:val="single" w:sz="4" w:space="0" w:color="auto"/>
              <w:right w:val="single" w:sz="4" w:space="0" w:color="auto"/>
            </w:tcBorders>
            <w:vAlign w:val="center"/>
          </w:tcPr>
          <w:p w14:paraId="10137E2A" w14:textId="77777777" w:rsidR="00E50A74" w:rsidRPr="00F95529" w:rsidRDefault="00E50A74" w:rsidP="00530866">
            <w:pPr>
              <w:pStyle w:val="TableText0"/>
              <w:jc w:val="center"/>
            </w:pPr>
            <w:r w:rsidRPr="00F95529">
              <w:t>26/130</w:t>
            </w:r>
          </w:p>
        </w:tc>
        <w:tc>
          <w:tcPr>
            <w:tcW w:w="708" w:type="pct"/>
            <w:tcBorders>
              <w:top w:val="single" w:sz="4" w:space="0" w:color="auto"/>
              <w:left w:val="single" w:sz="4" w:space="0" w:color="auto"/>
              <w:bottom w:val="single" w:sz="4" w:space="0" w:color="auto"/>
              <w:right w:val="single" w:sz="4" w:space="0" w:color="auto"/>
            </w:tcBorders>
            <w:vAlign w:val="center"/>
          </w:tcPr>
          <w:p w14:paraId="56DBD01F" w14:textId="77777777" w:rsidR="00E50A74" w:rsidRPr="00F95529" w:rsidRDefault="00E50A74" w:rsidP="00530866">
            <w:pPr>
              <w:pStyle w:val="TableText0"/>
              <w:jc w:val="center"/>
            </w:pPr>
            <w:r w:rsidRPr="00F95529">
              <w:t>23/243</w:t>
            </w:r>
          </w:p>
        </w:tc>
        <w:tc>
          <w:tcPr>
            <w:tcW w:w="862" w:type="pct"/>
            <w:tcBorders>
              <w:top w:val="single" w:sz="4" w:space="0" w:color="auto"/>
              <w:left w:val="single" w:sz="4" w:space="0" w:color="auto"/>
              <w:bottom w:val="single" w:sz="4" w:space="0" w:color="auto"/>
              <w:right w:val="single" w:sz="4" w:space="0" w:color="auto"/>
            </w:tcBorders>
            <w:vAlign w:val="center"/>
          </w:tcPr>
          <w:p w14:paraId="49CC1E50" w14:textId="77777777" w:rsidR="00E50A74" w:rsidRPr="00F95529" w:rsidRDefault="00E50A74" w:rsidP="00530866">
            <w:pPr>
              <w:pStyle w:val="TableText0"/>
              <w:jc w:val="center"/>
              <w:rPr>
                <w:rFonts w:cs="Calibri Light"/>
                <w:bCs w:val="0"/>
                <w:szCs w:val="20"/>
              </w:rPr>
            </w:pPr>
            <w:r w:rsidRPr="00F95529">
              <w:rPr>
                <w:rFonts w:cs="Calibri Light"/>
                <w:bCs w:val="0"/>
                <w:szCs w:val="20"/>
              </w:rPr>
              <w:t xml:space="preserve">2.11 </w:t>
            </w:r>
          </w:p>
          <w:p w14:paraId="36B3AFDD" w14:textId="77777777" w:rsidR="00E50A74" w:rsidRPr="00F95529" w:rsidRDefault="00E50A74" w:rsidP="00530866">
            <w:pPr>
              <w:pStyle w:val="TableText0"/>
              <w:jc w:val="center"/>
              <w:rPr>
                <w:bCs w:val="0"/>
              </w:rPr>
            </w:pPr>
            <w:r w:rsidRPr="00F95529">
              <w:rPr>
                <w:rFonts w:cs="Calibri Light"/>
                <w:bCs w:val="0"/>
                <w:szCs w:val="20"/>
              </w:rPr>
              <w:t>(1.26, 3.55)</w:t>
            </w:r>
          </w:p>
        </w:tc>
        <w:tc>
          <w:tcPr>
            <w:tcW w:w="628" w:type="pct"/>
            <w:tcBorders>
              <w:top w:val="single" w:sz="4" w:space="0" w:color="auto"/>
              <w:left w:val="single" w:sz="4" w:space="0" w:color="auto"/>
              <w:bottom w:val="single" w:sz="4" w:space="0" w:color="auto"/>
              <w:right w:val="single" w:sz="4" w:space="0" w:color="auto"/>
            </w:tcBorders>
            <w:vAlign w:val="center"/>
          </w:tcPr>
          <w:p w14:paraId="266E9218" w14:textId="77777777" w:rsidR="00E50A74" w:rsidRPr="00F95529" w:rsidRDefault="00E50A74" w:rsidP="00530866">
            <w:pPr>
              <w:pStyle w:val="TableText0"/>
              <w:jc w:val="center"/>
            </w:pPr>
            <w:r w:rsidRPr="00F95529">
              <w:t>20</w:t>
            </w:r>
          </w:p>
        </w:tc>
        <w:tc>
          <w:tcPr>
            <w:tcW w:w="755" w:type="pct"/>
            <w:tcBorders>
              <w:top w:val="single" w:sz="4" w:space="0" w:color="auto"/>
              <w:left w:val="single" w:sz="4" w:space="0" w:color="auto"/>
              <w:bottom w:val="single" w:sz="4" w:space="0" w:color="auto"/>
              <w:right w:val="single" w:sz="4" w:space="0" w:color="auto"/>
            </w:tcBorders>
            <w:vAlign w:val="center"/>
          </w:tcPr>
          <w:p w14:paraId="7AE77044" w14:textId="77777777" w:rsidR="00E50A74" w:rsidRPr="00F95529" w:rsidRDefault="00E50A74" w:rsidP="00530866">
            <w:pPr>
              <w:pStyle w:val="TableText0"/>
              <w:jc w:val="center"/>
            </w:pPr>
            <w:r w:rsidRPr="00F95529">
              <w:t>10</w:t>
            </w:r>
          </w:p>
        </w:tc>
        <w:tc>
          <w:tcPr>
            <w:tcW w:w="777" w:type="pct"/>
            <w:tcBorders>
              <w:top w:val="single" w:sz="4" w:space="0" w:color="auto"/>
              <w:left w:val="single" w:sz="4" w:space="0" w:color="auto"/>
              <w:bottom w:val="single" w:sz="4" w:space="0" w:color="auto"/>
              <w:right w:val="single" w:sz="4" w:space="0" w:color="auto"/>
            </w:tcBorders>
            <w:vAlign w:val="center"/>
          </w:tcPr>
          <w:p w14:paraId="1BCAE0D5" w14:textId="77777777" w:rsidR="00E50A74" w:rsidRPr="00F95529" w:rsidRDefault="00E50A74" w:rsidP="00530866">
            <w:pPr>
              <w:pStyle w:val="TableText0"/>
              <w:jc w:val="center"/>
              <w:rPr>
                <w:rFonts w:cs="Calibri Light"/>
                <w:bCs w:val="0"/>
                <w:szCs w:val="20"/>
              </w:rPr>
            </w:pPr>
            <w:r w:rsidRPr="00F95529">
              <w:rPr>
                <w:rFonts w:cs="Calibri Light"/>
                <w:bCs w:val="0"/>
                <w:szCs w:val="20"/>
              </w:rPr>
              <w:t xml:space="preserve">10.53 </w:t>
            </w:r>
          </w:p>
          <w:p w14:paraId="5120163B" w14:textId="77777777" w:rsidR="00E50A74" w:rsidRPr="00F95529" w:rsidRDefault="00E50A74" w:rsidP="00530866">
            <w:pPr>
              <w:pStyle w:val="TableText0"/>
              <w:jc w:val="center"/>
              <w:rPr>
                <w:bCs w:val="0"/>
              </w:rPr>
            </w:pPr>
            <w:r w:rsidRPr="00F95529">
              <w:rPr>
                <w:rFonts w:cs="Calibri Light"/>
                <w:bCs w:val="0"/>
                <w:szCs w:val="20"/>
              </w:rPr>
              <w:t>(2.74, 18.33)</w:t>
            </w:r>
          </w:p>
        </w:tc>
      </w:tr>
    </w:tbl>
    <w:p w14:paraId="795163B5" w14:textId="24AE10D0" w:rsidR="00E50A74" w:rsidRDefault="00E50A74" w:rsidP="00530866">
      <w:pPr>
        <w:pStyle w:val="FooterTableFigure"/>
        <w:keepLines/>
        <w:jc w:val="left"/>
      </w:pPr>
      <w:r>
        <w:t xml:space="preserve">Source: Table 2.47 p165, Table 2.48 p167 of the </w:t>
      </w:r>
      <w:r w:rsidR="796CA7A2">
        <w:t>submission; Table</w:t>
      </w:r>
      <w:r>
        <w:t xml:space="preserve"> 2.27, p135 of the submission, Table 2.29, p141 of the submission</w:t>
      </w:r>
      <w:r w:rsidR="0E45B0AA">
        <w:t>.</w:t>
      </w:r>
      <w:r>
        <w:t xml:space="preserve"> </w:t>
      </w:r>
      <w:r>
        <w:br/>
        <w:t xml:space="preserve">Abbreviations: AmiCP = amivantamab in combination with carboplatin and pemetrexed; CI= confidence interval; CP= carboplatin </w:t>
      </w:r>
      <w:r w:rsidR="10BB198C">
        <w:t xml:space="preserve">plus </w:t>
      </w:r>
      <w:r w:rsidR="0323F96E">
        <w:t>pemetrexed; HR</w:t>
      </w:r>
      <w:r>
        <w:t xml:space="preserve"> = hazard ratio; n=number of patients experiencing event; N= total number of patients; PBO = placebo; RD = risk difference; RR = risk ratio</w:t>
      </w:r>
    </w:p>
    <w:p w14:paraId="1EDF9A09" w14:textId="032504E5" w:rsidR="00F67820" w:rsidRPr="008B0452" w:rsidRDefault="00F67820" w:rsidP="00530866">
      <w:pPr>
        <w:pStyle w:val="FooterTableFigure"/>
        <w:keepLines/>
        <w:jc w:val="left"/>
        <w:rPr>
          <w:sz w:val="16"/>
          <w:szCs w:val="20"/>
        </w:rPr>
      </w:pPr>
      <w:r w:rsidRPr="008B0452">
        <w:rPr>
          <w:rFonts w:eastAsia="Calibri"/>
          <w:b/>
          <w:bCs/>
          <w:szCs w:val="18"/>
          <w:lang w:eastAsia="en-US"/>
        </w:rPr>
        <w:t>Bold text</w:t>
      </w:r>
      <w:r w:rsidRPr="008B0452">
        <w:rPr>
          <w:rFonts w:eastAsia="Calibri"/>
          <w:szCs w:val="18"/>
          <w:lang w:eastAsia="en-US"/>
        </w:rPr>
        <w:t xml:space="preserve"> indicates statistically significant results</w:t>
      </w:r>
    </w:p>
    <w:p w14:paraId="426B0D24" w14:textId="67587174" w:rsidR="00E50A74" w:rsidRPr="0098262F" w:rsidRDefault="00E50A74" w:rsidP="00530866">
      <w:pPr>
        <w:pStyle w:val="3-BodyText"/>
      </w:pPr>
      <w:proofErr w:type="gramStart"/>
      <w:r w:rsidRPr="0098262F">
        <w:t>On the basis of</w:t>
      </w:r>
      <w:proofErr w:type="gramEnd"/>
      <w:r w:rsidRPr="0098262F">
        <w:t xml:space="preserve"> direct</w:t>
      </w:r>
      <w:r>
        <w:t xml:space="preserve"> </w:t>
      </w:r>
      <w:r w:rsidRPr="0098262F">
        <w:t xml:space="preserve">evidence presented by the submission, for every 100 patients treated with </w:t>
      </w:r>
      <w:r>
        <w:t>AmiCP</w:t>
      </w:r>
      <w:r w:rsidRPr="0098262F">
        <w:t xml:space="preserve"> in comparison with </w:t>
      </w:r>
      <w:r w:rsidR="00212722">
        <w:t>CP</w:t>
      </w:r>
      <w:r w:rsidRPr="0098262F">
        <w:t>:</w:t>
      </w:r>
    </w:p>
    <w:p w14:paraId="1FE3F79F" w14:textId="77777777" w:rsidR="00E50A74" w:rsidRDefault="00E50A74" w:rsidP="00530866">
      <w:pPr>
        <w:pStyle w:val="ListParagraph"/>
        <w:ind w:left="771" w:hanging="357"/>
        <w:contextualSpacing/>
        <w:jc w:val="both"/>
      </w:pPr>
      <w:r>
        <w:t>Approximately 21 additional patients will remain progression-free after 6 months.</w:t>
      </w:r>
    </w:p>
    <w:p w14:paraId="079F4490" w14:textId="77777777" w:rsidR="00E50A74" w:rsidRDefault="00E50A74" w:rsidP="00530866">
      <w:pPr>
        <w:pStyle w:val="ListParagraph"/>
        <w:ind w:left="774"/>
        <w:jc w:val="both"/>
      </w:pPr>
      <w:r>
        <w:t>Approximately 4 additional patients will remain alive after 6 months.</w:t>
      </w:r>
    </w:p>
    <w:p w14:paraId="04160BD4" w14:textId="7BF9FE83" w:rsidR="00E50A74" w:rsidRPr="0098262F" w:rsidRDefault="00E50A74" w:rsidP="00530866">
      <w:pPr>
        <w:pStyle w:val="3-BodyText"/>
      </w:pPr>
      <w:proofErr w:type="gramStart"/>
      <w:r w:rsidRPr="0098262F">
        <w:t>On the basis of</w:t>
      </w:r>
      <w:proofErr w:type="gramEnd"/>
      <w:r w:rsidRPr="0098262F">
        <w:t xml:space="preserve"> direct evidence presented by the submission, for every 100 patients treated with </w:t>
      </w:r>
      <w:r>
        <w:t>AmiCP</w:t>
      </w:r>
      <w:r w:rsidRPr="0098262F">
        <w:t xml:space="preserve"> in comparison with </w:t>
      </w:r>
      <w:r w:rsidR="00212722">
        <w:t>CP</w:t>
      </w:r>
      <w:r>
        <w:t xml:space="preserve"> </w:t>
      </w:r>
      <w:r w:rsidRPr="0098262F">
        <w:t xml:space="preserve">over a </w:t>
      </w:r>
      <w:r>
        <w:t xml:space="preserve">median of 8.71 months </w:t>
      </w:r>
      <w:r w:rsidRPr="0098262F">
        <w:t>duration of follow-up:</w:t>
      </w:r>
    </w:p>
    <w:p w14:paraId="5CD06A61" w14:textId="2326D836" w:rsidR="00E50A74" w:rsidRDefault="00E50A74" w:rsidP="00530866">
      <w:pPr>
        <w:pStyle w:val="ListParagraph"/>
        <w:ind w:left="771" w:hanging="357"/>
        <w:contextualSpacing/>
        <w:jc w:val="both"/>
      </w:pPr>
      <w:r>
        <w:t>Approximately 38 additional patients had a rash</w:t>
      </w:r>
      <w:r w:rsidR="006747F5">
        <w:t>.</w:t>
      </w:r>
    </w:p>
    <w:p w14:paraId="428DE514" w14:textId="77777777" w:rsidR="00E50A74" w:rsidRDefault="00E50A74" w:rsidP="00530866">
      <w:pPr>
        <w:pStyle w:val="ListParagraph"/>
        <w:ind w:left="771" w:hanging="357"/>
        <w:contextualSpacing/>
        <w:jc w:val="both"/>
      </w:pPr>
      <w:r>
        <w:t>Approximately 58 additional patients had an infusion related reaction.</w:t>
      </w:r>
    </w:p>
    <w:p w14:paraId="589A01F0" w14:textId="77777777" w:rsidR="00E50A74" w:rsidRDefault="00E50A74" w:rsidP="00530866">
      <w:pPr>
        <w:pStyle w:val="ListParagraph"/>
        <w:ind w:left="771" w:hanging="357"/>
        <w:contextualSpacing/>
        <w:jc w:val="both"/>
      </w:pPr>
      <w:r>
        <w:t>Approximately 24 additional patients had a Grade ≥ 3 neutropenia.</w:t>
      </w:r>
    </w:p>
    <w:p w14:paraId="27492D94" w14:textId="753CFD18" w:rsidR="00E50A74" w:rsidRDefault="00E50A74" w:rsidP="00530866">
      <w:pPr>
        <w:pStyle w:val="ListParagraph"/>
        <w:ind w:left="774"/>
        <w:jc w:val="both"/>
      </w:pPr>
      <w:r>
        <w:lastRenderedPageBreak/>
        <w:t xml:space="preserve">Approximately 11 additional patients would be diagnosed with </w:t>
      </w:r>
      <w:r w:rsidR="006747F5">
        <w:t xml:space="preserve">Grade 3 or 4 </w:t>
      </w:r>
      <w:r>
        <w:t>leukopenia (a decrease in the white blood cell count)</w:t>
      </w:r>
      <w:r w:rsidR="006747F5">
        <w:t>.</w:t>
      </w:r>
    </w:p>
    <w:p w14:paraId="3D6654FE" w14:textId="77777777" w:rsidR="00E50A74" w:rsidRPr="0098262F" w:rsidRDefault="00E50A74" w:rsidP="00530866">
      <w:pPr>
        <w:pStyle w:val="3-BodyText"/>
      </w:pPr>
      <w:r w:rsidRPr="00113E00">
        <w:t xml:space="preserve">The ‘side by side’ comparison between </w:t>
      </w:r>
      <w:r>
        <w:t>AmiCP and ABCP</w:t>
      </w:r>
      <w:r w:rsidRPr="00113E00">
        <w:t xml:space="preserve"> presented in the submission did not allow for a quantitative comparison of the benefits and harms of </w:t>
      </w:r>
      <w:r>
        <w:t>AmiCP and ABCP</w:t>
      </w:r>
      <w:r w:rsidRPr="00113E00">
        <w:t>. Accordingly, a benefits/harms table has not been presented for this indirect comparison.</w:t>
      </w:r>
    </w:p>
    <w:p w14:paraId="19D76007" w14:textId="77777777" w:rsidR="00E50A74" w:rsidRPr="0098262F" w:rsidRDefault="00E50A74" w:rsidP="00530866">
      <w:pPr>
        <w:pStyle w:val="4-SubsectionHeading"/>
      </w:pPr>
      <w:bookmarkStart w:id="64" w:name="_Toc22897644"/>
      <w:bookmarkStart w:id="65" w:name="_Toc107927630"/>
      <w:bookmarkStart w:id="66" w:name="_Toc219795457"/>
      <w:r w:rsidRPr="0098262F">
        <w:t>Clinical claim</w:t>
      </w:r>
      <w:bookmarkEnd w:id="64"/>
      <w:bookmarkEnd w:id="65"/>
      <w:bookmarkEnd w:id="66"/>
    </w:p>
    <w:p w14:paraId="768BB884" w14:textId="4067FD39" w:rsidR="00E50A74" w:rsidRDefault="00E50A74" w:rsidP="00530866">
      <w:pPr>
        <w:pStyle w:val="3-BodyText"/>
        <w:rPr>
          <w:i/>
          <w:iCs/>
        </w:rPr>
      </w:pPr>
      <w:r>
        <w:t>The submission claimed AmiCP is superior in terms of effectiveness compared with CP</w:t>
      </w:r>
      <w:r w:rsidR="00B402E7">
        <w:t>.</w:t>
      </w:r>
      <w:r>
        <w:t xml:space="preserve"> </w:t>
      </w:r>
      <w:r w:rsidRPr="00147E90">
        <w:t>Th</w:t>
      </w:r>
      <w:r w:rsidR="31714658" w:rsidRPr="00147E90">
        <w:t>e</w:t>
      </w:r>
      <w:r w:rsidRPr="00147E90">
        <w:t xml:space="preserve"> </w:t>
      </w:r>
      <w:r w:rsidR="003B1838" w:rsidRPr="00147E90">
        <w:t>ESC considered this</w:t>
      </w:r>
      <w:r w:rsidR="003B1838">
        <w:t xml:space="preserve"> </w:t>
      </w:r>
      <w:r>
        <w:t xml:space="preserve">claim is adequately supported based on the statistically significant difference in PFS (HR=0.48; 95% CI: 0.36, 0.64; p&lt;0.0001), OS (HR=0.73; 95% CI: 0.54, 0.99; p=0.0386), ORR (OR=3.1; 95% CI: 2.00, 4.80; p&lt;0.0001) and </w:t>
      </w:r>
      <w:proofErr w:type="spellStart"/>
      <w:r>
        <w:t>icPFS</w:t>
      </w:r>
      <w:proofErr w:type="spellEnd"/>
      <w:r>
        <w:t xml:space="preserve"> (HR=0.65; 95% CI: 0.49, 0.84; nominal p=0.0012) for AmiCP compared to CP presented in the MARIPOSA-2 trial. The respective differences between the two treatment arms for PFS and OS were 2.1 months and 2.4 months. </w:t>
      </w:r>
    </w:p>
    <w:p w14:paraId="6932A732" w14:textId="5EE34B5D" w:rsidR="00E50A74" w:rsidRPr="00F95529" w:rsidRDefault="00B402E7" w:rsidP="00530866">
      <w:pPr>
        <w:pStyle w:val="3-BodyText"/>
      </w:pPr>
      <w:r>
        <w:t>The submission claimed AmiCP is inferior but manageable in terms of safety compared to CP.</w:t>
      </w:r>
      <w:r w:rsidR="00113137">
        <w:t xml:space="preserve"> Th</w:t>
      </w:r>
      <w:r w:rsidR="3B6F83CC">
        <w:t>e</w:t>
      </w:r>
      <w:r w:rsidR="001F415A">
        <w:t xml:space="preserve"> </w:t>
      </w:r>
      <w:r w:rsidR="001F415A" w:rsidRPr="00D276ED">
        <w:t>ESC considered the</w:t>
      </w:r>
      <w:r w:rsidR="00113137">
        <w:t xml:space="preserve"> claim </w:t>
      </w:r>
      <w:r w:rsidR="000D212B" w:rsidRPr="006F0D09">
        <w:t>of</w:t>
      </w:r>
      <w:r w:rsidR="000D212B" w:rsidRPr="79174808">
        <w:rPr>
          <w:i/>
          <w:iCs/>
        </w:rPr>
        <w:t xml:space="preserve"> </w:t>
      </w:r>
      <w:r w:rsidR="000D212B">
        <w:t xml:space="preserve">inferior safety </w:t>
      </w:r>
      <w:r w:rsidR="00113137">
        <w:t>was adequately supported.</w:t>
      </w:r>
      <w:r w:rsidR="00807331">
        <w:t xml:space="preserve"> </w:t>
      </w:r>
      <w:r w:rsidR="00E50A74">
        <w:t xml:space="preserve">Although there were substantially more patients in the AmiCP arm experiencing Grade </w:t>
      </w:r>
      <w:r w:rsidR="00E50A74" w:rsidRPr="79174808">
        <w:rPr>
          <w:rFonts w:cs="Calibri"/>
        </w:rPr>
        <w:t>≥</w:t>
      </w:r>
      <w:r w:rsidR="00E50A74">
        <w:t xml:space="preserve">3 TEAEs compared to CP arm (72.3% vs. 48.1%) and SAEs (32.3% vs. 20.2%), </w:t>
      </w:r>
      <w:r w:rsidR="006F0D09">
        <w:t xml:space="preserve">the evaluation noted </w:t>
      </w:r>
      <w:r w:rsidR="00E50A74">
        <w:t>most were related to blood and lymphatic system disorders (neutropenia, leukopenia and anaemia) and infusion related reactions which could be managed through dose interruptions or reductions and/or pre-infusions medications.</w:t>
      </w:r>
    </w:p>
    <w:p w14:paraId="5745241F" w14:textId="4F0B12B8" w:rsidR="00E50A74" w:rsidRPr="00F95529" w:rsidRDefault="00317842" w:rsidP="00530866">
      <w:pPr>
        <w:pStyle w:val="3-BodyText"/>
      </w:pPr>
      <w:bookmarkStart w:id="67" w:name="_Ref216255049"/>
      <w:r w:rsidRPr="00F95529">
        <w:t xml:space="preserve">The </w:t>
      </w:r>
      <w:r w:rsidR="001F415A" w:rsidRPr="009C3174">
        <w:t>ESC considered the</w:t>
      </w:r>
      <w:r w:rsidR="001F415A">
        <w:t xml:space="preserve"> </w:t>
      </w:r>
      <w:r w:rsidRPr="00F95529">
        <w:t xml:space="preserve">submission’s conclusion that AmiCP is superior to ABCP is not well supported based on the approach taken and the evidence presented. </w:t>
      </w:r>
      <w:r w:rsidR="00E50A74" w:rsidRPr="00F95529">
        <w:t>The submission claimed that AmiCP is superior in terms of effectiveness compared with ABCP and non-inferior in terms of safety compared to ABCP</w:t>
      </w:r>
      <w:r w:rsidR="00F51A74" w:rsidRPr="00F95529">
        <w:t>, however</w:t>
      </w:r>
      <w:r w:rsidR="00E50A74" w:rsidRPr="00F95529">
        <w:t>:</w:t>
      </w:r>
      <w:bookmarkEnd w:id="67"/>
    </w:p>
    <w:p w14:paraId="128795E0" w14:textId="4707DBE6" w:rsidR="00E50A74" w:rsidRPr="00F95529" w:rsidRDefault="00E50A74" w:rsidP="00530866">
      <w:pPr>
        <w:pStyle w:val="ListParagraph"/>
        <w:numPr>
          <w:ilvl w:val="0"/>
          <w:numId w:val="15"/>
        </w:numPr>
        <w:jc w:val="both"/>
      </w:pPr>
      <w:r w:rsidRPr="00F95529">
        <w:t xml:space="preserve">The clinical claim was ‘inferred’ based on ABCP not having demonstrated superiority to CP in the proposed patient population using exploratory subgroup analysis results from the ATTLAS trial and that AmiCP has demonstrated superiority to CP based on the results from the MARIPOSA-2 trial. </w:t>
      </w:r>
    </w:p>
    <w:p w14:paraId="768D7954" w14:textId="77777777" w:rsidR="00E50A74" w:rsidRPr="00F95529" w:rsidRDefault="00E50A74" w:rsidP="00530866">
      <w:pPr>
        <w:pStyle w:val="ListParagraph"/>
        <w:numPr>
          <w:ilvl w:val="0"/>
          <w:numId w:val="15"/>
        </w:numPr>
        <w:jc w:val="both"/>
      </w:pPr>
      <w:r w:rsidRPr="00F95529">
        <w:t xml:space="preserve">The results from the Bucher ITC analysis conducted during the evaluation indicated that there was no statistically significant differences between AmiCP and ABCP for either of the prior osimertinib in first- or second-line treatment subgroups, although noting the limitations of small sample sizes and transitivity concerns in terms of differences in trial design, setting, duration of study follow-up and baseline characteristics such as race and ECOG performance status. </w:t>
      </w:r>
    </w:p>
    <w:p w14:paraId="026BF195" w14:textId="22291CB4" w:rsidR="009C60D6" w:rsidRDefault="009C60D6" w:rsidP="00530866">
      <w:pPr>
        <w:pStyle w:val="3-BodyText"/>
        <w:rPr>
          <w:snapToGrid w:val="0"/>
        </w:rPr>
      </w:pPr>
      <w:bookmarkStart w:id="68" w:name="_Hlk76376200"/>
      <w:r w:rsidRPr="00C43922">
        <w:rPr>
          <w:iCs/>
          <w:snapToGrid w:val="0"/>
        </w:rPr>
        <w:t>The</w:t>
      </w:r>
      <w:r w:rsidRPr="00C43922">
        <w:rPr>
          <w:snapToGrid w:val="0"/>
        </w:rPr>
        <w:t xml:space="preserve"> PBAC considered that the claim of superior comparative effectiveness </w:t>
      </w:r>
      <w:r w:rsidR="002F4EAE">
        <w:rPr>
          <w:snapToGrid w:val="0"/>
        </w:rPr>
        <w:t xml:space="preserve">and inferior comparator safety </w:t>
      </w:r>
      <w:r w:rsidR="00C43922" w:rsidRPr="00C43922">
        <w:rPr>
          <w:snapToGrid w:val="0"/>
        </w:rPr>
        <w:t xml:space="preserve">compared to CP </w:t>
      </w:r>
      <w:r w:rsidRPr="00C43922">
        <w:rPr>
          <w:snapToGrid w:val="0"/>
        </w:rPr>
        <w:t>was reasonable.</w:t>
      </w:r>
      <w:r w:rsidR="00F130F8">
        <w:rPr>
          <w:snapToGrid w:val="0"/>
        </w:rPr>
        <w:t xml:space="preserve"> </w:t>
      </w:r>
    </w:p>
    <w:p w14:paraId="78F301D8" w14:textId="35F460F9" w:rsidR="00F130F8" w:rsidRPr="00C43922" w:rsidRDefault="00F130F8" w:rsidP="00530866">
      <w:pPr>
        <w:pStyle w:val="3-BodyText"/>
        <w:rPr>
          <w:snapToGrid w:val="0"/>
        </w:rPr>
      </w:pPr>
      <w:r>
        <w:rPr>
          <w:snapToGrid w:val="0"/>
        </w:rPr>
        <w:t>The PB</w:t>
      </w:r>
      <w:r w:rsidR="00732F2B">
        <w:rPr>
          <w:snapToGrid w:val="0"/>
        </w:rPr>
        <w:t>A</w:t>
      </w:r>
      <w:r>
        <w:rPr>
          <w:snapToGrid w:val="0"/>
        </w:rPr>
        <w:t xml:space="preserve">C considered that the claim of </w:t>
      </w:r>
      <w:r w:rsidR="00CB02F8">
        <w:rPr>
          <w:snapToGrid w:val="0"/>
        </w:rPr>
        <w:t xml:space="preserve">superior comparative effectiveness </w:t>
      </w:r>
      <w:r w:rsidR="00732F2B">
        <w:rPr>
          <w:snapToGrid w:val="0"/>
        </w:rPr>
        <w:t xml:space="preserve">and non-inferior safety </w:t>
      </w:r>
      <w:r w:rsidR="00CB02F8">
        <w:rPr>
          <w:snapToGrid w:val="0"/>
        </w:rPr>
        <w:t xml:space="preserve">compared to ABCP was not supported by the </w:t>
      </w:r>
      <w:r w:rsidR="00732F2B">
        <w:rPr>
          <w:snapToGrid w:val="0"/>
        </w:rPr>
        <w:t>data.</w:t>
      </w:r>
      <w:r w:rsidR="00807331">
        <w:rPr>
          <w:snapToGrid w:val="0"/>
        </w:rPr>
        <w:t xml:space="preserve"> </w:t>
      </w:r>
    </w:p>
    <w:p w14:paraId="2C748C3E" w14:textId="77777777" w:rsidR="00E50A74" w:rsidRPr="0098262F" w:rsidRDefault="00E50A74" w:rsidP="00530866">
      <w:pPr>
        <w:pStyle w:val="4-SubsectionHeading"/>
      </w:pPr>
      <w:bookmarkStart w:id="69" w:name="_Toc22897645"/>
      <w:bookmarkStart w:id="70" w:name="_Toc107927631"/>
      <w:bookmarkStart w:id="71" w:name="_Toc219795458"/>
      <w:bookmarkEnd w:id="68"/>
      <w:r w:rsidRPr="0098262F">
        <w:lastRenderedPageBreak/>
        <w:t>Economic analysis</w:t>
      </w:r>
      <w:bookmarkEnd w:id="69"/>
      <w:bookmarkEnd w:id="70"/>
      <w:bookmarkEnd w:id="71"/>
      <w:r w:rsidRPr="0098262F">
        <w:t xml:space="preserve"> </w:t>
      </w:r>
    </w:p>
    <w:p w14:paraId="0E3502C3" w14:textId="591C073B" w:rsidR="00E50A74" w:rsidRPr="00BB74F9" w:rsidRDefault="2B6B0A10" w:rsidP="00530866">
      <w:pPr>
        <w:pStyle w:val="3-BodyText"/>
        <w:rPr>
          <w:b/>
          <w:bCs/>
        </w:rPr>
      </w:pPr>
      <w:bookmarkStart w:id="72" w:name="_Ref222233073"/>
      <w:r>
        <w:t>The submission presented a modelled cost</w:t>
      </w:r>
      <w:r w:rsidR="2ADC0E43">
        <w:t xml:space="preserve"> </w:t>
      </w:r>
      <w:r>
        <w:t>utility analysis (CUA) using a three</w:t>
      </w:r>
      <w:r w:rsidR="1C6E153F">
        <w:t>-</w:t>
      </w:r>
      <w:r>
        <w:t>state partitioned survival model over a seven-year time horizon, comparing AmiCP with CP.</w:t>
      </w:r>
      <w:r w:rsidR="00807331">
        <w:t xml:space="preserve"> </w:t>
      </w:r>
      <w:r>
        <w:t>Additionally, the same model was used to generate an ICER for AmiCP vs ABCP.</w:t>
      </w:r>
      <w:r w:rsidR="00807331">
        <w:t xml:space="preserve"> </w:t>
      </w:r>
      <w:r>
        <w:t>The base case ICER in the submission was calculated as a weighted ICER applying a comparator split of 83.1% ABCP, 16.9% CP.</w:t>
      </w:r>
      <w:bookmarkEnd w:id="72"/>
      <w:r>
        <w:t xml:space="preserve"> </w:t>
      </w:r>
    </w:p>
    <w:p w14:paraId="2387645C" w14:textId="44A98EC1" w:rsidR="00552C42" w:rsidRPr="00552C42" w:rsidRDefault="00E50A74" w:rsidP="00530866">
      <w:pPr>
        <w:pStyle w:val="3-BodyText"/>
        <w:rPr>
          <w:b/>
          <w:bCs/>
        </w:rPr>
      </w:pPr>
      <w:r>
        <w:t>The submission applied the published price of</w:t>
      </w:r>
      <w:r w:rsidRPr="00585D0A">
        <w:t xml:space="preserve"> </w:t>
      </w:r>
      <w:r w:rsidRPr="002D5035">
        <w:t>atezolizumab</w:t>
      </w:r>
      <w:r>
        <w:t xml:space="preserve"> as the base case. A</w:t>
      </w:r>
      <w:r w:rsidRPr="002D5035">
        <w:t>tezolizumab</w:t>
      </w:r>
      <w:r>
        <w:t xml:space="preserve"> has a SPA in place</w:t>
      </w:r>
      <w:r w:rsidR="00BC70DF">
        <w:t>; therefore,</w:t>
      </w:r>
      <w:r w:rsidR="00807331">
        <w:t xml:space="preserve"> </w:t>
      </w:r>
      <w:r w:rsidRPr="00F95529">
        <w:t>base case ICERs are presented</w:t>
      </w:r>
      <w:r w:rsidR="001807F0">
        <w:t xml:space="preserve"> herein</w:t>
      </w:r>
      <w:r w:rsidRPr="00F95529">
        <w:t xml:space="preserve"> using 50% of the published price of atezolizumab. </w:t>
      </w:r>
    </w:p>
    <w:p w14:paraId="7DE6BB64" w14:textId="5C0778A2" w:rsidR="00E50A74" w:rsidRPr="0041034A" w:rsidRDefault="00E50A74" w:rsidP="00530866">
      <w:pPr>
        <w:pStyle w:val="3-BodyText"/>
      </w:pPr>
      <w:r w:rsidRPr="00F81909">
        <w:t xml:space="preserve">A summary of the key components of the economic evaluation is presented in </w:t>
      </w:r>
      <w:r w:rsidR="0041034A">
        <w:fldChar w:fldCharType="begin"/>
      </w:r>
      <w:r w:rsidR="0041034A">
        <w:instrText xml:space="preserve"> REF _Ref216380020 \h </w:instrText>
      </w:r>
      <w:r w:rsidR="0041034A">
        <w:fldChar w:fldCharType="separate"/>
      </w:r>
      <w:r w:rsidR="00A572FC" w:rsidRPr="0098262F">
        <w:t>Table</w:t>
      </w:r>
      <w:r w:rsidR="00A572FC">
        <w:t xml:space="preserve"> </w:t>
      </w:r>
      <w:r w:rsidR="00A572FC">
        <w:rPr>
          <w:noProof/>
        </w:rPr>
        <w:t>10</w:t>
      </w:r>
      <w:r w:rsidR="0041034A">
        <w:fldChar w:fldCharType="end"/>
      </w:r>
      <w:r w:rsidR="0041034A">
        <w:t xml:space="preserve"> </w:t>
      </w:r>
      <w:r>
        <w:t>below</w:t>
      </w:r>
      <w:r w:rsidRPr="00F81909">
        <w:t>.</w:t>
      </w:r>
    </w:p>
    <w:p w14:paraId="17AFEBE8" w14:textId="22A52AA7" w:rsidR="00E50A74" w:rsidRPr="0098262F" w:rsidRDefault="00D97D5A" w:rsidP="00530866">
      <w:pPr>
        <w:pStyle w:val="Caption"/>
        <w:rPr>
          <w:rStyle w:val="CommentReference"/>
          <w:b/>
          <w:szCs w:val="24"/>
        </w:rPr>
      </w:pPr>
      <w:r>
        <w:lastRenderedPageBreak/>
        <w:t xml:space="preserve">Table </w:t>
      </w:r>
      <w:fldSimple w:instr=" SEQ Table \* ARABIC ">
        <w:r>
          <w:rPr>
            <w:noProof/>
          </w:rPr>
          <w:t>10</w:t>
        </w:r>
      </w:fldSimple>
      <w:r w:rsidR="00E50A74" w:rsidRPr="0098262F">
        <w:t>:</w:t>
      </w:r>
      <w:r w:rsidR="00E50A74" w:rsidRPr="0098262F">
        <w:rPr>
          <w:rStyle w:val="CommentReference"/>
          <w:b/>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0: Summary of model structure, key inputs and rationale"/>
      </w:tblPr>
      <w:tblGrid>
        <w:gridCol w:w="2518"/>
        <w:gridCol w:w="6499"/>
      </w:tblGrid>
      <w:tr w:rsidR="00E50A74" w:rsidRPr="0098262F" w14:paraId="4E34A645" w14:textId="77777777">
        <w:trPr>
          <w:tblHeader/>
        </w:trPr>
        <w:tc>
          <w:tcPr>
            <w:tcW w:w="1396" w:type="pct"/>
            <w:vAlign w:val="center"/>
          </w:tcPr>
          <w:p w14:paraId="52F9F16E" w14:textId="77777777" w:rsidR="00E50A74" w:rsidRPr="0098262F" w:rsidRDefault="00E50A74" w:rsidP="00530866">
            <w:pPr>
              <w:pStyle w:val="In-tableHeading"/>
            </w:pPr>
            <w:r w:rsidRPr="0098262F">
              <w:t>Component</w:t>
            </w:r>
          </w:p>
        </w:tc>
        <w:tc>
          <w:tcPr>
            <w:tcW w:w="3604" w:type="pct"/>
            <w:vAlign w:val="center"/>
          </w:tcPr>
          <w:p w14:paraId="59AFF41B" w14:textId="77777777" w:rsidR="00E50A74" w:rsidRPr="0098262F" w:rsidRDefault="00E50A74" w:rsidP="00530866">
            <w:pPr>
              <w:pStyle w:val="In-tableHeading"/>
            </w:pPr>
            <w:r w:rsidRPr="0098262F">
              <w:t>Summary</w:t>
            </w:r>
          </w:p>
        </w:tc>
      </w:tr>
      <w:tr w:rsidR="00E50A74" w:rsidRPr="0098262F" w14:paraId="106F494D" w14:textId="77777777">
        <w:tc>
          <w:tcPr>
            <w:tcW w:w="1396" w:type="pct"/>
            <w:vAlign w:val="center"/>
          </w:tcPr>
          <w:p w14:paraId="54DB8593" w14:textId="77777777" w:rsidR="00E50A74" w:rsidRPr="0098262F" w:rsidRDefault="00E50A74" w:rsidP="00530866">
            <w:pPr>
              <w:pStyle w:val="TableText0"/>
            </w:pPr>
            <w:r w:rsidRPr="0098262F">
              <w:t>Treatments</w:t>
            </w:r>
          </w:p>
        </w:tc>
        <w:tc>
          <w:tcPr>
            <w:tcW w:w="3604" w:type="pct"/>
            <w:vAlign w:val="center"/>
          </w:tcPr>
          <w:p w14:paraId="04A03072" w14:textId="77777777" w:rsidR="00E50A74" w:rsidRPr="0098262F" w:rsidRDefault="00E50A74" w:rsidP="00530866">
            <w:pPr>
              <w:pStyle w:val="TableText0"/>
            </w:pPr>
            <w:r w:rsidRPr="00551DD7">
              <w:t xml:space="preserve">AmiCP vs CP; AmiCP vs ABCP; and AmiCP vs a weighted comparator mix (83.1% ABCP, 16.9% CP). The model explicitly compared AmiCP with CP using MARIPOSA-2 data and </w:t>
            </w:r>
            <w:r>
              <w:t xml:space="preserve">ABCP is </w:t>
            </w:r>
            <w:r w:rsidRPr="00551DD7">
              <w:t>represented by applying CP</w:t>
            </w:r>
            <w:r>
              <w:t>’s</w:t>
            </w:r>
            <w:r w:rsidRPr="00551DD7">
              <w:t xml:space="preserve"> </w:t>
            </w:r>
            <w:r w:rsidRPr="00DF6074">
              <w:t>PFS, OS and TTTD</w:t>
            </w:r>
            <w:r w:rsidRPr="00551DD7">
              <w:t xml:space="preserve"> functions</w:t>
            </w:r>
            <w:r>
              <w:t xml:space="preserve"> from MARIPOSA-2</w:t>
            </w:r>
            <w:r w:rsidRPr="00551DD7">
              <w:t>, with ABCP-specific costs and dose intensity.</w:t>
            </w:r>
          </w:p>
        </w:tc>
      </w:tr>
      <w:tr w:rsidR="00E50A74" w:rsidRPr="0098262F" w14:paraId="73001475" w14:textId="77777777">
        <w:tc>
          <w:tcPr>
            <w:tcW w:w="1396" w:type="pct"/>
            <w:vAlign w:val="center"/>
          </w:tcPr>
          <w:p w14:paraId="185BD82E" w14:textId="77777777" w:rsidR="00E50A74" w:rsidRPr="0098262F" w:rsidRDefault="00E50A74" w:rsidP="00530866">
            <w:pPr>
              <w:pStyle w:val="TableText0"/>
            </w:pPr>
            <w:r w:rsidRPr="0098262F">
              <w:t>Time horizon</w:t>
            </w:r>
          </w:p>
        </w:tc>
        <w:tc>
          <w:tcPr>
            <w:tcW w:w="3604" w:type="pct"/>
            <w:vAlign w:val="center"/>
          </w:tcPr>
          <w:p w14:paraId="168121F3" w14:textId="77777777" w:rsidR="00E50A74" w:rsidRPr="0098262F" w:rsidRDefault="00E50A74" w:rsidP="00530866">
            <w:pPr>
              <w:pStyle w:val="TableText0"/>
            </w:pPr>
            <w:r w:rsidRPr="00FF5F44">
              <w:t>Seven years in the model base case, described as a lifetime horizon, versus median follow up in MARIPOSA-2 of 8.7 months for PFS and 18.1 months for OS.</w:t>
            </w:r>
          </w:p>
        </w:tc>
      </w:tr>
      <w:tr w:rsidR="00E50A74" w:rsidRPr="0098262F" w14:paraId="2E22F814" w14:textId="77777777">
        <w:tc>
          <w:tcPr>
            <w:tcW w:w="1396" w:type="pct"/>
            <w:vAlign w:val="center"/>
          </w:tcPr>
          <w:p w14:paraId="651DBAA6" w14:textId="77777777" w:rsidR="00E50A74" w:rsidRPr="0098262F" w:rsidRDefault="00E50A74" w:rsidP="00530866">
            <w:pPr>
              <w:pStyle w:val="TableText0"/>
            </w:pPr>
            <w:r w:rsidRPr="0098262F">
              <w:t>Outcomes</w:t>
            </w:r>
          </w:p>
        </w:tc>
        <w:tc>
          <w:tcPr>
            <w:tcW w:w="3604" w:type="pct"/>
            <w:vAlign w:val="center"/>
          </w:tcPr>
          <w:p w14:paraId="408E4CBE" w14:textId="77777777" w:rsidR="00E50A74" w:rsidRPr="0098262F" w:rsidRDefault="00E50A74" w:rsidP="00530866">
            <w:pPr>
              <w:pStyle w:val="TableText0"/>
            </w:pPr>
            <w:r w:rsidRPr="00EC47FF">
              <w:t>Life years (LYs) and quality-adjusted life years (QALYs)</w:t>
            </w:r>
          </w:p>
        </w:tc>
      </w:tr>
      <w:tr w:rsidR="00E50A74" w:rsidRPr="0098262F" w14:paraId="0A5BB683" w14:textId="77777777">
        <w:tc>
          <w:tcPr>
            <w:tcW w:w="1396" w:type="pct"/>
            <w:vAlign w:val="center"/>
          </w:tcPr>
          <w:p w14:paraId="0E93F60E" w14:textId="77777777" w:rsidR="00E50A74" w:rsidRPr="0098262F" w:rsidRDefault="00E50A74" w:rsidP="00530866">
            <w:pPr>
              <w:pStyle w:val="TableText0"/>
            </w:pPr>
            <w:r w:rsidRPr="0098262F">
              <w:t>Methods used to generate results</w:t>
            </w:r>
          </w:p>
        </w:tc>
        <w:tc>
          <w:tcPr>
            <w:tcW w:w="3604" w:type="pct"/>
            <w:vAlign w:val="center"/>
          </w:tcPr>
          <w:p w14:paraId="5D5321F2" w14:textId="55F306FB" w:rsidR="00E50A74" w:rsidRDefault="00E50A74" w:rsidP="00530866">
            <w:pPr>
              <w:pStyle w:val="TableText0"/>
            </w:pPr>
            <w:r w:rsidRPr="00F31F3E">
              <w:t xml:space="preserve">Cohort cost-utility analysis using a three-state partitioned survival model for PFS, post-progression survival and death. Kaplan-Meier (KM) data from MARIPOSA-2 were </w:t>
            </w:r>
            <w:proofErr w:type="gramStart"/>
            <w:r w:rsidRPr="00F31F3E">
              <w:t>used</w:t>
            </w:r>
            <w:r w:rsidR="006D0CC6">
              <w:t>.</w:t>
            </w:r>
            <w:r w:rsidRPr="00F31F3E">
              <w:t>.</w:t>
            </w:r>
            <w:proofErr w:type="gramEnd"/>
            <w:r w:rsidRPr="00F31F3E">
              <w:t xml:space="preserve"> </w:t>
            </w:r>
            <w:r w:rsidRPr="00E43098">
              <w:t>Subsequent therapy effects were assumed to be fully captured in OS, with only costs of post-progression therapy modelled explicitly.</w:t>
            </w:r>
          </w:p>
          <w:p w14:paraId="594A16DB" w14:textId="77777777" w:rsidR="00E50A74" w:rsidRPr="0098262F" w:rsidRDefault="00E50A74" w:rsidP="00530866">
            <w:pPr>
              <w:pStyle w:val="TableText0"/>
            </w:pPr>
            <w:r w:rsidRPr="00F31F3E">
              <w:t>A stepped structure provided trial-based, extrapolated life-year and utility-weighted analyses. The model was implemented in Excel.</w:t>
            </w:r>
          </w:p>
        </w:tc>
      </w:tr>
      <w:tr w:rsidR="00E50A74" w:rsidRPr="0098262F" w14:paraId="4E8C0E13" w14:textId="77777777">
        <w:tc>
          <w:tcPr>
            <w:tcW w:w="1396" w:type="pct"/>
            <w:vAlign w:val="center"/>
          </w:tcPr>
          <w:p w14:paraId="7B758917" w14:textId="77777777" w:rsidR="00E50A74" w:rsidRPr="0098262F" w:rsidRDefault="00E50A74" w:rsidP="00530866">
            <w:pPr>
              <w:pStyle w:val="TableText0"/>
            </w:pPr>
            <w:r w:rsidRPr="0098262F">
              <w:t>Health states</w:t>
            </w:r>
          </w:p>
        </w:tc>
        <w:tc>
          <w:tcPr>
            <w:tcW w:w="3604" w:type="pct"/>
            <w:vAlign w:val="center"/>
          </w:tcPr>
          <w:p w14:paraId="67193ED3" w14:textId="77777777" w:rsidR="00E50A74" w:rsidRPr="0098262F" w:rsidRDefault="00E50A74" w:rsidP="00530866">
            <w:pPr>
              <w:pStyle w:val="TableText0"/>
            </w:pPr>
            <w:r w:rsidRPr="00C005A4">
              <w:t>Three mutually exclusive health states: PFS, post-progression (progressed disease) and death.</w:t>
            </w:r>
          </w:p>
        </w:tc>
      </w:tr>
      <w:tr w:rsidR="00E50A74" w:rsidRPr="0098262F" w14:paraId="1596CE50" w14:textId="77777777">
        <w:tc>
          <w:tcPr>
            <w:tcW w:w="1396" w:type="pct"/>
            <w:vAlign w:val="center"/>
          </w:tcPr>
          <w:p w14:paraId="6E04DE8B" w14:textId="77777777" w:rsidR="00E50A74" w:rsidRPr="0098262F" w:rsidRDefault="00E50A74" w:rsidP="00530866">
            <w:pPr>
              <w:pStyle w:val="TableText0"/>
            </w:pPr>
            <w:r w:rsidRPr="0098262F">
              <w:t>Cycle length</w:t>
            </w:r>
          </w:p>
        </w:tc>
        <w:tc>
          <w:tcPr>
            <w:tcW w:w="3604" w:type="pct"/>
            <w:vAlign w:val="center"/>
          </w:tcPr>
          <w:p w14:paraId="4BDA6D10" w14:textId="77777777" w:rsidR="00E50A74" w:rsidRPr="0098262F" w:rsidRDefault="00E50A74" w:rsidP="00530866">
            <w:pPr>
              <w:pStyle w:val="TableText0"/>
            </w:pPr>
            <w:r w:rsidRPr="00AB1484">
              <w:t xml:space="preserve">One week cycle </w:t>
            </w:r>
          </w:p>
        </w:tc>
      </w:tr>
      <w:tr w:rsidR="00E50A74" w:rsidRPr="0098262F" w14:paraId="6F52471D" w14:textId="77777777">
        <w:tc>
          <w:tcPr>
            <w:tcW w:w="1396" w:type="pct"/>
            <w:vAlign w:val="center"/>
          </w:tcPr>
          <w:p w14:paraId="5575A230" w14:textId="77777777" w:rsidR="00E50A74" w:rsidRPr="0098262F" w:rsidRDefault="00E50A74" w:rsidP="00530866">
            <w:pPr>
              <w:pStyle w:val="TableText0"/>
            </w:pPr>
            <w:r w:rsidRPr="0098262F">
              <w:t>Allocation to health states</w:t>
            </w:r>
          </w:p>
        </w:tc>
        <w:tc>
          <w:tcPr>
            <w:tcW w:w="3604" w:type="pct"/>
            <w:vAlign w:val="center"/>
          </w:tcPr>
          <w:p w14:paraId="1CDBDE16" w14:textId="77777777" w:rsidR="00E50A74" w:rsidRDefault="00E50A74" w:rsidP="00530866">
            <w:pPr>
              <w:pStyle w:val="TableText0"/>
            </w:pPr>
            <w:r w:rsidRPr="00DE603E">
              <w:t>Health state occupancy over time was determined by PFS and OS curves</w:t>
            </w:r>
            <w:r>
              <w:t xml:space="preserve"> from MARIPOSA-2</w:t>
            </w:r>
            <w:r w:rsidRPr="00DE603E">
              <w:t xml:space="preserve">: the proportion progression-free was taken from PFS, the proportion alive from OS, and the proportion progressed inferred as OS minus PFS at each time point. </w:t>
            </w:r>
          </w:p>
          <w:p w14:paraId="39E3B2E1" w14:textId="77777777" w:rsidR="00E50A74" w:rsidRPr="0098262F" w:rsidRDefault="00E50A74" w:rsidP="00530866">
            <w:pPr>
              <w:pStyle w:val="TableText0"/>
            </w:pPr>
            <w:r w:rsidRPr="00922277">
              <w:t>Background mortality was taken from Australian life tables (2021</w:t>
            </w:r>
            <w:r>
              <w:t>-</w:t>
            </w:r>
            <w:r w:rsidRPr="00922277">
              <w:t>23) and applied as a lower bound to OS hazards. For ABCP, CP</w:t>
            </w:r>
            <w:r>
              <w:t>’s</w:t>
            </w:r>
            <w:r w:rsidRPr="00922277">
              <w:t xml:space="preserve"> PFS, OS and TTTD curves were applied</w:t>
            </w:r>
            <w:r>
              <w:t>.</w:t>
            </w:r>
          </w:p>
        </w:tc>
      </w:tr>
      <w:tr w:rsidR="00E50A74" w:rsidRPr="0098262F" w14:paraId="49A2B17C" w14:textId="77777777">
        <w:tc>
          <w:tcPr>
            <w:tcW w:w="1396" w:type="pct"/>
            <w:vAlign w:val="center"/>
          </w:tcPr>
          <w:p w14:paraId="427F1A85" w14:textId="77777777" w:rsidR="00E50A74" w:rsidRPr="0098262F" w:rsidRDefault="00E50A74" w:rsidP="00530866">
            <w:pPr>
              <w:pStyle w:val="TableText0"/>
            </w:pPr>
            <w:r w:rsidRPr="0098262F">
              <w:t>Extrapolation method</w:t>
            </w:r>
          </w:p>
        </w:tc>
        <w:tc>
          <w:tcPr>
            <w:tcW w:w="3604" w:type="pct"/>
            <w:vAlign w:val="center"/>
          </w:tcPr>
          <w:p w14:paraId="21294B3E" w14:textId="092197CB" w:rsidR="00E50A74" w:rsidRDefault="00E50A74" w:rsidP="00530866">
            <w:pPr>
              <w:pStyle w:val="TableText0"/>
            </w:pPr>
            <w:r w:rsidRPr="00111D3C">
              <w:t xml:space="preserve">KM estimates </w:t>
            </w:r>
            <w:r w:rsidRPr="00922277">
              <w:t>from MARIPOSA-2 informed transitions</w:t>
            </w:r>
            <w:r w:rsidRPr="00C26197">
              <w:t xml:space="preserve"> for PFS, OS and TTTD until fewer than 20% of patients remained at risk </w:t>
            </w:r>
            <w:r w:rsidRPr="00623524">
              <w:t>(approximately 9.5 vs 5.8 months for PFS and 19.3 vs 17.8 months for OS in the AmiCP vs CP arms)</w:t>
            </w:r>
            <w:r w:rsidRPr="00111D3C">
              <w:t xml:space="preserve"> for each endpoint and arm; beyond this, independent parametric survival models were fitted by arm. </w:t>
            </w:r>
          </w:p>
          <w:p w14:paraId="483844B7" w14:textId="77777777" w:rsidR="00E50A74" w:rsidRDefault="00E50A74" w:rsidP="00530866">
            <w:pPr>
              <w:pStyle w:val="TableText0"/>
            </w:pPr>
            <w:r w:rsidRPr="00E75A38">
              <w:t>Base-case selections were loglogistic for AmiCP PFS and generalised gamma for CP/ABCP PFS (both best-fitting by AIC</w:t>
            </w:r>
            <w:r>
              <w:t>+</w:t>
            </w:r>
            <w:r w:rsidRPr="00E75A38">
              <w:t>BIC), and gamma for OS in all arms; for OS, gamma was best-fitting for CP/ABCP but ranked fourth for AmiCP.</w:t>
            </w:r>
            <w:r w:rsidRPr="00111D3C">
              <w:t xml:space="preserve"> </w:t>
            </w:r>
          </w:p>
          <w:p w14:paraId="31B10D5A" w14:textId="77777777" w:rsidR="00E50A74" w:rsidRDefault="00E50A74" w:rsidP="00530866">
            <w:pPr>
              <w:pStyle w:val="TableText0"/>
            </w:pPr>
            <w:r w:rsidRPr="00111D3C">
              <w:t>TTTD used generalised gamma for the amivantamab component, Gompertz for the chemotherapy component in AmiCP and loglogistic for CP/ABCP</w:t>
            </w:r>
            <w:r>
              <w:t xml:space="preserve">, all </w:t>
            </w:r>
            <w:r w:rsidRPr="00B54629">
              <w:t>best fitting by AIC/BIC</w:t>
            </w:r>
            <w:r>
              <w:t>.</w:t>
            </w:r>
          </w:p>
          <w:p w14:paraId="705A0C9C" w14:textId="317797C4" w:rsidR="00E50A74" w:rsidRPr="0098262F" w:rsidRDefault="00E50A74" w:rsidP="00530866">
            <w:pPr>
              <w:pStyle w:val="TableText0"/>
            </w:pPr>
            <w:r w:rsidRPr="00111D3C">
              <w:t xml:space="preserve">No explicit convergence of treatment arms was imposed within the seven-year horizon. </w:t>
            </w:r>
          </w:p>
        </w:tc>
      </w:tr>
      <w:tr w:rsidR="00E50A74" w:rsidRPr="0098262F" w14:paraId="0F80B70D" w14:textId="77777777">
        <w:tc>
          <w:tcPr>
            <w:tcW w:w="1396" w:type="pct"/>
            <w:vAlign w:val="center"/>
          </w:tcPr>
          <w:p w14:paraId="017FC2C9" w14:textId="77777777" w:rsidR="00E50A74" w:rsidRPr="0098262F" w:rsidRDefault="00E50A74" w:rsidP="00530866">
            <w:pPr>
              <w:pStyle w:val="TableText0"/>
            </w:pPr>
            <w:r w:rsidRPr="0098262F">
              <w:t>Health related quality of life</w:t>
            </w:r>
          </w:p>
        </w:tc>
        <w:tc>
          <w:tcPr>
            <w:tcW w:w="3604" w:type="pct"/>
            <w:vAlign w:val="center"/>
          </w:tcPr>
          <w:p w14:paraId="1D60393E" w14:textId="77777777" w:rsidR="00E50A74" w:rsidRPr="0098262F" w:rsidRDefault="00E50A74" w:rsidP="00530866">
            <w:pPr>
              <w:pStyle w:val="TableText0"/>
            </w:pPr>
            <w:r w:rsidRPr="00221E03">
              <w:t>Utilities were derived from EQ-5D-5L data collected in MARIPOSA-2 and valued using Australian tariffs (Norman et al., 2023). Treatment-specific utilities were applied in the pre-progression state (AmiCP 0.875; CP 0.893), with the AmiCP pre-progression utility also applied to ABCP; a pooled post-progression utility of 0.840 was used for all arms. QALY gains with AmiCP were driven mainly by additional time spent progression free rather than utility differences between arms.</w:t>
            </w:r>
          </w:p>
        </w:tc>
      </w:tr>
      <w:tr w:rsidR="00E50A74" w:rsidRPr="0098262F" w14:paraId="109C66B0" w14:textId="77777777">
        <w:tc>
          <w:tcPr>
            <w:tcW w:w="1396" w:type="pct"/>
            <w:vAlign w:val="center"/>
          </w:tcPr>
          <w:p w14:paraId="57FB1D30" w14:textId="77777777" w:rsidR="00E50A74" w:rsidRPr="0098262F" w:rsidRDefault="00E50A74" w:rsidP="00530866">
            <w:pPr>
              <w:pStyle w:val="TableText0"/>
            </w:pPr>
            <w:r>
              <w:t>O</w:t>
            </w:r>
            <w:r w:rsidRPr="0098262F">
              <w:t>ther key components</w:t>
            </w:r>
          </w:p>
          <w:p w14:paraId="579BAA1E" w14:textId="77777777" w:rsidR="00E50A74" w:rsidRPr="0098262F" w:rsidRDefault="00E50A74" w:rsidP="00530866">
            <w:pPr>
              <w:pStyle w:val="TableText0"/>
            </w:pPr>
          </w:p>
        </w:tc>
        <w:tc>
          <w:tcPr>
            <w:tcW w:w="3604" w:type="pct"/>
            <w:vAlign w:val="center"/>
          </w:tcPr>
          <w:p w14:paraId="09DA23CF" w14:textId="540617A3" w:rsidR="00E50A74" w:rsidRPr="0098262F" w:rsidRDefault="00E50A74" w:rsidP="00530866">
            <w:pPr>
              <w:pStyle w:val="TableText0"/>
            </w:pPr>
            <w:r w:rsidRPr="007966EF">
              <w:t>Subsequent systemic therapy was simplified to docetaxel monotherapy (four 3</w:t>
            </w:r>
            <w:r w:rsidRPr="007966EF">
              <w:rPr>
                <w:rFonts w:ascii="Cambria Math" w:hAnsi="Cambria Math" w:cs="Cambria Math"/>
              </w:rPr>
              <w:t>‑</w:t>
            </w:r>
            <w:r w:rsidRPr="007966EF">
              <w:t>weekly cycles) applied as a one</w:t>
            </w:r>
            <w:r w:rsidRPr="007966EF">
              <w:rPr>
                <w:rFonts w:ascii="Cambria Math" w:hAnsi="Cambria Math" w:cs="Cambria Math"/>
              </w:rPr>
              <w:t>‑</w:t>
            </w:r>
            <w:r w:rsidRPr="007966EF">
              <w:t>off cost at progression to 58.3% of AmiCP patients and 70.2% of CP/ABCP patients, without modelling differential survival effects</w:t>
            </w:r>
            <w:r w:rsidRPr="003A023A">
              <w:t>. A one</w:t>
            </w:r>
            <w:r w:rsidRPr="003A023A">
              <w:rPr>
                <w:rFonts w:ascii="Cambria Math" w:hAnsi="Cambria Math" w:cs="Cambria Math"/>
              </w:rPr>
              <w:t>‑</w:t>
            </w:r>
            <w:r w:rsidRPr="003A023A">
              <w:t>off end</w:t>
            </w:r>
            <w:r w:rsidRPr="003A023A">
              <w:rPr>
                <w:rFonts w:ascii="Cambria Math" w:hAnsi="Cambria Math" w:cs="Cambria Math"/>
              </w:rPr>
              <w:t>‑</w:t>
            </w:r>
            <w:r w:rsidRPr="003A023A">
              <w:t>of</w:t>
            </w:r>
            <w:r w:rsidRPr="003A023A">
              <w:rPr>
                <w:rFonts w:ascii="Cambria Math" w:hAnsi="Cambria Math" w:cs="Cambria Math"/>
              </w:rPr>
              <w:t>‑</w:t>
            </w:r>
            <w:r w:rsidRPr="003A023A">
              <w:t>life hospital and health</w:t>
            </w:r>
            <w:r w:rsidRPr="003A023A">
              <w:rPr>
                <w:rFonts w:ascii="Cambria Math" w:hAnsi="Cambria Math" w:cs="Cambria Math"/>
              </w:rPr>
              <w:t>‑</w:t>
            </w:r>
            <w:r w:rsidRPr="003A023A">
              <w:t>care cost of $62,814.37 per cancer death was applied</w:t>
            </w:r>
            <w:r w:rsidR="00832599">
              <w:t>.</w:t>
            </w:r>
            <w:r w:rsidRPr="003A023A">
              <w:t xml:space="preserve"> </w:t>
            </w:r>
          </w:p>
        </w:tc>
      </w:tr>
    </w:tbl>
    <w:p w14:paraId="5B1C210A" w14:textId="77777777" w:rsidR="00E50A74" w:rsidRDefault="00E50A74" w:rsidP="00530866">
      <w:pPr>
        <w:pStyle w:val="FooterTableFigure"/>
        <w:keepNext/>
        <w:keepLines/>
      </w:pPr>
      <w:r w:rsidRPr="00EA7E45">
        <w:t>Source: Table 3.1 (p206), Table 3.4 (p214) and Sections 3.2-3.6 of the submission.</w:t>
      </w:r>
      <w:r w:rsidRPr="004F71C0">
        <w:t xml:space="preserve"> </w:t>
      </w:r>
    </w:p>
    <w:p w14:paraId="612C51D3" w14:textId="77777777" w:rsidR="00E50A74" w:rsidRPr="0098262F" w:rsidRDefault="00E50A74" w:rsidP="00530866">
      <w:pPr>
        <w:pStyle w:val="FooterTableFigure"/>
        <w:keepNext/>
        <w:keepLines/>
      </w:pPr>
      <w:r w:rsidRPr="004F71C0">
        <w:t>Abbreviations:</w:t>
      </w:r>
      <w:r>
        <w:t xml:space="preserve"> </w:t>
      </w:r>
      <w:r w:rsidRPr="004F71C0">
        <w:t>AmiCP=amivantamab plus carboplatin plus pemetrexed; CP=carboplatin plus pemetrexed; ABCP=atezolizumab plus bevacizumab plus carboplatin plus paclitaxel; PFS=progression free survival; OS=overall survival; TTTD=time to treatment discontinuation; LY=life year; QALY=quality-adjusted life year; KM=Kaplan-Meier; AIC=Akaike information criterion; BIC=Bayesian information criterion; EQ-5D-5L=EuroQol 5-dimension 5-level; PBS=Pharmaceutical Benefits Scheme; SPA=special pricing arrangement</w:t>
      </w:r>
      <w:r>
        <w:t>.</w:t>
      </w:r>
    </w:p>
    <w:p w14:paraId="7C4BF9A5" w14:textId="2AE84A59" w:rsidR="00E50A74" w:rsidRDefault="00E50A74" w:rsidP="00530866">
      <w:pPr>
        <w:pStyle w:val="3-BodyText"/>
      </w:pPr>
      <w:r>
        <w:t xml:space="preserve">A time horizon of 7 years was applied as the base case in the model. </w:t>
      </w:r>
      <w:r w:rsidRPr="00F95529">
        <w:t>This is long relative to the 8.7-month PFS and 18.1-month OS median follow</w:t>
      </w:r>
      <w:r w:rsidRPr="00F95529">
        <w:rPr>
          <w:rFonts w:ascii="Cambria Math" w:hAnsi="Cambria Math" w:cs="Cambria Math"/>
        </w:rPr>
        <w:t>‑</w:t>
      </w:r>
      <w:r w:rsidRPr="00F95529">
        <w:t>up in MARIPOSA</w:t>
      </w:r>
      <w:r w:rsidRPr="00F95529">
        <w:rPr>
          <w:rFonts w:ascii="Cambria Math" w:hAnsi="Cambria Math" w:cs="Cambria Math"/>
        </w:rPr>
        <w:t>‑</w:t>
      </w:r>
      <w:r w:rsidRPr="00F95529">
        <w:t>2</w:t>
      </w:r>
      <w:r>
        <w:rPr>
          <w:i/>
          <w:iCs/>
        </w:rPr>
        <w:t>.</w:t>
      </w:r>
      <w:r>
        <w:rPr>
          <w:i/>
          <w:iCs/>
          <w:lang w:bidi="fa-IR"/>
        </w:rPr>
        <w:t xml:space="preserve"> </w:t>
      </w:r>
    </w:p>
    <w:p w14:paraId="09B521A9" w14:textId="246460EA" w:rsidR="00E50A74" w:rsidRPr="00F95529" w:rsidRDefault="00AB303F" w:rsidP="00530866">
      <w:pPr>
        <w:pStyle w:val="3-BodyText"/>
      </w:pPr>
      <w:r w:rsidRPr="009C3174">
        <w:t xml:space="preserve">The ESC noted </w:t>
      </w:r>
      <w:r w:rsidR="0057415F" w:rsidRPr="009C3174">
        <w:t>a time horizon of 7.5 years was applied to the economic model for first line use of osimertinib in combination with chemotherapy</w:t>
      </w:r>
      <w:r w:rsidR="00341DE3" w:rsidRPr="009C3174">
        <w:t xml:space="preserve"> (paragraph 6.50, 7.13, </w:t>
      </w:r>
      <w:r w:rsidR="00341DE3" w:rsidRPr="009C3174">
        <w:lastRenderedPageBreak/>
        <w:t xml:space="preserve">osimertinib PSD, </w:t>
      </w:r>
      <w:r w:rsidR="00EC65A3" w:rsidRPr="009C3174">
        <w:t>May 2025 PBAC meeting).</w:t>
      </w:r>
      <w:r w:rsidR="00EC65A3">
        <w:rPr>
          <w:i/>
          <w:iCs/>
        </w:rPr>
        <w:t xml:space="preserve"> </w:t>
      </w:r>
      <w:r w:rsidR="00E50A74" w:rsidRPr="00F95529">
        <w:t>Given that the proposed treatment with AmiCP is positioned as second-line and beyond, a shorter time horizon of 5 years may be more appropriate given the poor prognosis of these patients.</w:t>
      </w:r>
    </w:p>
    <w:p w14:paraId="6F60105A" w14:textId="201822DC" w:rsidR="00EB60C5" w:rsidRPr="00EB60C5" w:rsidRDefault="00E50A74" w:rsidP="00530866">
      <w:pPr>
        <w:pStyle w:val="3-BodyText"/>
        <w:rPr>
          <w:b/>
          <w:bCs/>
        </w:rPr>
      </w:pPr>
      <w:bookmarkStart w:id="73" w:name="_Ref216446955"/>
      <w:bookmarkStart w:id="74" w:name="_Ref216446957"/>
      <w:bookmarkStart w:id="75" w:name="_Hlk216446696"/>
      <w:r>
        <w:t>The submission applied the PFS, OS and TTTD of the CP arm from MARIPOSA2 to ABCP</w:t>
      </w:r>
      <w:r w:rsidR="7BDF155A">
        <w:t>,</w:t>
      </w:r>
      <w:r>
        <w:t xml:space="preserve"> </w:t>
      </w:r>
      <w:bookmarkEnd w:id="73"/>
      <w:r>
        <w:t xml:space="preserve">based on the justification that </w:t>
      </w:r>
      <w:r w:rsidR="59C618EF">
        <w:t xml:space="preserve">(1) </w:t>
      </w:r>
      <w:r>
        <w:t>results from the ATTLAS trials did not show that ABCP improved PFS or OS relative to CP in the prior osimertinib setting</w:t>
      </w:r>
      <w:r w:rsidR="46FE1371">
        <w:t>,</w:t>
      </w:r>
      <w:r>
        <w:t xml:space="preserve"> and that </w:t>
      </w:r>
      <w:r w:rsidR="75B1857C">
        <w:t xml:space="preserve">(2) </w:t>
      </w:r>
      <w:r>
        <w:t>there is no head-to-head data comparing AmiCP with ABCP.</w:t>
      </w:r>
      <w:r w:rsidR="00E13D8E">
        <w:t xml:space="preserve"> </w:t>
      </w:r>
      <w:r w:rsidR="00AC23EC">
        <w:t xml:space="preserve">Consequently, </w:t>
      </w:r>
      <w:r w:rsidR="00577299">
        <w:t xml:space="preserve">the ABCP arm differed from CP in the economic model </w:t>
      </w:r>
      <w:r w:rsidR="00B2762E">
        <w:t xml:space="preserve">primarily through cost inputs </w:t>
      </w:r>
      <w:r w:rsidR="007A60B4">
        <w:t xml:space="preserve">and a small </w:t>
      </w:r>
      <w:r w:rsidR="00744176">
        <w:t xml:space="preserve">pre-progression </w:t>
      </w:r>
      <w:r w:rsidR="007A60B4">
        <w:t xml:space="preserve">utility </w:t>
      </w:r>
      <w:r w:rsidR="00856815">
        <w:t>difference</w:t>
      </w:r>
      <w:r w:rsidR="004224A1">
        <w:t>.</w:t>
      </w:r>
      <w:r w:rsidR="00E62504">
        <w:t xml:space="preserve"> Under the assumed comparator mix (83.1% ABCP; 16.9% CP), this approach effectively assumes that most patients receive a higher-cost regimen that is modelled as providing no additional survival benefit over CP, which materially increases comparator costs and improves the weighted ICER for AmiCP.</w:t>
      </w:r>
      <w:r>
        <w:t xml:space="preserve"> </w:t>
      </w:r>
      <w:bookmarkEnd w:id="74"/>
      <w:r w:rsidR="00282F71" w:rsidRPr="6631623C">
        <w:rPr>
          <w:rFonts w:ascii="Calibri" w:hAnsi="Calibri" w:cs="Calibri"/>
        </w:rPr>
        <w:t>The ESC noted this effectively resulted in a comparison with treatment that is not cost effective (i.e., additional cost of ABCP with no additional benefit).</w:t>
      </w:r>
    </w:p>
    <w:p w14:paraId="47A914B7" w14:textId="5ED0126F" w:rsidR="00E50A74" w:rsidRPr="008C5462" w:rsidRDefault="00E50A74" w:rsidP="00530866">
      <w:pPr>
        <w:pStyle w:val="3-BodyText"/>
        <w:numPr>
          <w:ilvl w:val="0"/>
          <w:numId w:val="0"/>
        </w:numPr>
        <w:ind w:left="720"/>
        <w:rPr>
          <w:b/>
          <w:bCs/>
        </w:rPr>
      </w:pPr>
      <w:r w:rsidRPr="008C5462">
        <w:rPr>
          <w:b/>
          <w:bCs/>
        </w:rPr>
        <w:t>Extrapolation</w:t>
      </w:r>
      <w:r>
        <w:rPr>
          <w:b/>
          <w:bCs/>
        </w:rPr>
        <w:t>s</w:t>
      </w:r>
    </w:p>
    <w:p w14:paraId="3C8C90B0" w14:textId="10E0C79C" w:rsidR="00E50A74" w:rsidRPr="009C3174" w:rsidRDefault="00E50A74" w:rsidP="00530866">
      <w:pPr>
        <w:pStyle w:val="3-BodyText"/>
      </w:pPr>
      <w:r>
        <w:t xml:space="preserve">The submission justified the use of independent parametric extrapolations for PFS and OS by asserting violation of the proportional </w:t>
      </w:r>
      <w:bookmarkStart w:id="76" w:name="_Int_581wxSfr"/>
      <w:r>
        <w:t>hazards</w:t>
      </w:r>
      <w:bookmarkEnd w:id="76"/>
      <w:r>
        <w:t xml:space="preserve"> assumption based on empirical hazard and log-log plots, without presenting formal statistical tests. </w:t>
      </w:r>
      <w:r w:rsidR="4D3AB413" w:rsidRPr="009C3174">
        <w:t xml:space="preserve">The </w:t>
      </w:r>
      <w:r w:rsidR="298FCE55" w:rsidRPr="009C3174">
        <w:t>PSCR</w:t>
      </w:r>
      <w:r w:rsidR="001F415A" w:rsidRPr="009C3174">
        <w:t xml:space="preserve"> </w:t>
      </w:r>
      <w:r w:rsidR="4D3AB413" w:rsidRPr="009C3174">
        <w:t xml:space="preserve">argued that, although the Schoenfeld test did not demonstrate a statistically significant proportional hazard violation, the cumulative hazard, log–log, and Schoenfeld residual plots suggested time-varying hazards. Therefore, independent fitting might be more appropriate​. The ESC </w:t>
      </w:r>
      <w:r w:rsidR="70B2A424" w:rsidRPr="009C3174">
        <w:t>noted this was reasonable.</w:t>
      </w:r>
    </w:p>
    <w:p w14:paraId="0CDAD9F7" w14:textId="5072A035" w:rsidR="00E50A74" w:rsidRPr="00B066F0" w:rsidRDefault="00E50A74" w:rsidP="00530866">
      <w:pPr>
        <w:pStyle w:val="3-BodyText"/>
      </w:pPr>
      <w:bookmarkStart w:id="77" w:name="_Ref216445320"/>
      <w:bookmarkEnd w:id="75"/>
      <w:r>
        <w:t>To extrapolate OS, the submission chose the gamma distribution for AmiCP (</w:t>
      </w:r>
      <w:bookmarkStart w:id="78" w:name="_Int_aGuTdfBj"/>
      <w:r>
        <w:t>fo</w:t>
      </w:r>
      <w:r w:rsidR="00D97485">
        <w:t>u</w:t>
      </w:r>
      <w:r>
        <w:t>rth-ranking</w:t>
      </w:r>
      <w:bookmarkEnd w:id="78"/>
      <w:r>
        <w:t xml:space="preserve"> by AIC+BIC) and gamma for CP/ABCP (best fitting by AIC+BIC). The choice of </w:t>
      </w:r>
      <w:r w:rsidR="00B4786C">
        <w:t xml:space="preserve">OS </w:t>
      </w:r>
      <w:r>
        <w:t xml:space="preserve">distributions for both AmiCP and CP/ABCP </w:t>
      </w:r>
      <w:r w:rsidR="00970F21">
        <w:t xml:space="preserve">remains </w:t>
      </w:r>
      <w:r>
        <w:t xml:space="preserve">highly uncertain </w:t>
      </w:r>
      <w:r w:rsidR="00B20474">
        <w:t>due to limited observed OS data</w:t>
      </w:r>
      <w:r>
        <w:t xml:space="preserve">, uncertainty </w:t>
      </w:r>
      <w:r w:rsidR="0069578B">
        <w:t xml:space="preserve">around durability </w:t>
      </w:r>
      <w:r w:rsidR="00F863C6">
        <w:t xml:space="preserve">of the </w:t>
      </w:r>
      <w:r>
        <w:t xml:space="preserve">IA2 </w:t>
      </w:r>
      <w:r w:rsidR="00D507F3">
        <w:t>treatment effect</w:t>
      </w:r>
      <w:r w:rsidR="00542D02">
        <w:t>,</w:t>
      </w:r>
      <w:r>
        <w:t xml:space="preserve"> and the extent </w:t>
      </w:r>
      <w:r w:rsidR="00B67929">
        <w:t>of extrapolation</w:t>
      </w:r>
      <w:r>
        <w:t xml:space="preserve"> beyond the MARIPOSA</w:t>
      </w:r>
      <w:r w:rsidRPr="79174808">
        <w:rPr>
          <w:rFonts w:ascii="Cambria Math" w:hAnsi="Cambria Math" w:cs="Cambria Math"/>
        </w:rPr>
        <w:t>‑</w:t>
      </w:r>
      <w:r>
        <w:t>2 data</w:t>
      </w:r>
      <w:r w:rsidRPr="79174808">
        <w:rPr>
          <w:i/>
          <w:iCs/>
        </w:rPr>
        <w:t>.</w:t>
      </w:r>
      <w:bookmarkEnd w:id="77"/>
      <w:r w:rsidR="00754A0B" w:rsidRPr="79174808">
        <w:rPr>
          <w:i/>
          <w:iCs/>
        </w:rPr>
        <w:t xml:space="preserve"> </w:t>
      </w:r>
    </w:p>
    <w:p w14:paraId="42E8A096" w14:textId="1721471E" w:rsidR="00E50A74" w:rsidRDefault="00E50A74" w:rsidP="00530866">
      <w:pPr>
        <w:pStyle w:val="3-BodyText"/>
      </w:pPr>
      <w:r>
        <w:fldChar w:fldCharType="begin"/>
      </w:r>
      <w:r>
        <w:instrText xml:space="preserve"> REF _Ref216529204 \h </w:instrText>
      </w:r>
      <w:r>
        <w:fldChar w:fldCharType="separate"/>
      </w:r>
      <w:r w:rsidR="00A572FC">
        <w:t xml:space="preserve">Figure </w:t>
      </w:r>
      <w:r w:rsidR="00A572FC">
        <w:rPr>
          <w:noProof/>
        </w:rPr>
        <w:t>3</w:t>
      </w:r>
      <w:r>
        <w:fldChar w:fldCharType="end"/>
      </w:r>
      <w:r>
        <w:t xml:space="preserve"> </w:t>
      </w:r>
      <w:r w:rsidRPr="001B7D27">
        <w:t>overlays the MARIPOSA</w:t>
      </w:r>
      <w:r>
        <w:t>-</w:t>
      </w:r>
      <w:r w:rsidRPr="001B7D27">
        <w:t>2 Kaplan</w:t>
      </w:r>
      <w:r>
        <w:t>-</w:t>
      </w:r>
      <w:r w:rsidRPr="001B7D27">
        <w:t>Meier OS curves for AmiCP and CP with the selected parametric extrapolations</w:t>
      </w:r>
      <w:r>
        <w:t>.</w:t>
      </w:r>
      <w:r w:rsidRPr="000A657F">
        <w:t xml:space="preserve"> </w:t>
      </w:r>
    </w:p>
    <w:p w14:paraId="71657BBF" w14:textId="047EF57A" w:rsidR="00E50A74" w:rsidRDefault="00E50A74" w:rsidP="00BF0455">
      <w:pPr>
        <w:pStyle w:val="Caption"/>
      </w:pPr>
      <w:bookmarkStart w:id="79" w:name="_Ref216529204"/>
      <w:r>
        <w:lastRenderedPageBreak/>
        <w:t xml:space="preserve">Figure </w:t>
      </w:r>
      <w:fldSimple w:instr=" SEQ Figure \* ARABIC ">
        <w:r w:rsidR="00A572FC">
          <w:rPr>
            <w:noProof/>
          </w:rPr>
          <w:t>3</w:t>
        </w:r>
      </w:fldSimple>
      <w:bookmarkEnd w:id="79"/>
      <w:r w:rsidRPr="00B260D6">
        <w:t>:Trial Kaplan Meier and modelled extrapolated OS curves for AmiCP and CP</w:t>
      </w:r>
    </w:p>
    <w:p w14:paraId="5D4945BF" w14:textId="77777777" w:rsidR="00E50A74" w:rsidRDefault="00E50A74" w:rsidP="00BF0455">
      <w:pPr>
        <w:keepNext/>
      </w:pPr>
      <w:r>
        <w:rPr>
          <w:noProof/>
        </w:rPr>
        <w:drawing>
          <wp:inline distT="0" distB="0" distL="0" distR="0" wp14:anchorId="5B97C73E" wp14:editId="14BF5024">
            <wp:extent cx="5730530" cy="1839432"/>
            <wp:effectExtent l="0" t="0" r="3810" b="8890"/>
            <wp:docPr id="58835572" name="Picture 1" descr="Figure 3:Trial Kaplan Meier and modelled extrapolated OS curves for AmiCP and 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35572" name="Picture 1" descr="Figure 3:Trial Kaplan Meier and modelled extrapolated OS curves for AmiCP and C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3171" cy="1859539"/>
                    </a:xfrm>
                    <a:prstGeom prst="rect">
                      <a:avLst/>
                    </a:prstGeom>
                    <a:noFill/>
                  </pic:spPr>
                </pic:pic>
              </a:graphicData>
            </a:graphic>
          </wp:inline>
        </w:drawing>
      </w:r>
    </w:p>
    <w:p w14:paraId="5F0597DC" w14:textId="77777777" w:rsidR="00E50A74" w:rsidRDefault="00E50A74" w:rsidP="00BF0455">
      <w:pPr>
        <w:pStyle w:val="TableFigureFooter"/>
        <w:keepNext/>
      </w:pPr>
      <w:r>
        <w:t>Source: Figure 3.15, p230 of the submission.</w:t>
      </w:r>
    </w:p>
    <w:p w14:paraId="749FCD34" w14:textId="77777777" w:rsidR="00E50A74" w:rsidRDefault="00E50A74" w:rsidP="00BF0455">
      <w:pPr>
        <w:pStyle w:val="TableFigureFooter"/>
        <w:keepNext/>
      </w:pPr>
      <w:r>
        <w:t xml:space="preserve">Abbreviations: </w:t>
      </w:r>
      <w:r w:rsidRPr="00351682">
        <w:t>AmiCP = amivantamab plus carboplatin plus pemetrexed; CP = carboplatin plus pemetrexed; KM = Kaplan–Meier; OS = overall survival</w:t>
      </w:r>
      <w:r>
        <w:t>.</w:t>
      </w:r>
      <w:r w:rsidRPr="00351682">
        <w:t xml:space="preserve"> </w:t>
      </w:r>
    </w:p>
    <w:p w14:paraId="31902E84" w14:textId="77777777" w:rsidR="00E50A74" w:rsidRPr="008C2A98" w:rsidRDefault="00E50A74" w:rsidP="00BF0455">
      <w:pPr>
        <w:pStyle w:val="TableFigureFooter"/>
        <w:keepNext/>
      </w:pPr>
      <w:r>
        <w:t xml:space="preserve">Note: Other distributions were presented in the submission but omitted from the figure due to poor statistical fit or not clinically plausible. </w:t>
      </w:r>
    </w:p>
    <w:p w14:paraId="79137B13" w14:textId="2A3C4826" w:rsidR="00E50A74" w:rsidRDefault="00E50A74" w:rsidP="00530866">
      <w:pPr>
        <w:pStyle w:val="3-BodyText"/>
        <w:rPr>
          <w:lang w:bidi="fa-IR"/>
        </w:rPr>
      </w:pPr>
      <w:r w:rsidRPr="00F95529">
        <w:t xml:space="preserve">When the comparator </w:t>
      </w:r>
      <w:r w:rsidRPr="00F95529">
        <w:rPr>
          <w:lang w:bidi="fa-IR"/>
        </w:rPr>
        <w:t>curves are considered alongside the AmiCP</w:t>
      </w:r>
      <w:r w:rsidR="006D013B">
        <w:rPr>
          <w:lang w:bidi="fa-IR"/>
        </w:rPr>
        <w:t xml:space="preserve"> curve</w:t>
      </w:r>
      <w:r w:rsidRPr="00F95529">
        <w:rPr>
          <w:lang w:bidi="fa-IR"/>
        </w:rPr>
        <w:t>, the base</w:t>
      </w:r>
      <w:r w:rsidRPr="00F95529">
        <w:rPr>
          <w:rFonts w:ascii="Cambria Math" w:hAnsi="Cambria Math" w:cs="Cambria Math"/>
          <w:lang w:bidi="fa-IR"/>
        </w:rPr>
        <w:t>‑</w:t>
      </w:r>
      <w:r w:rsidRPr="00F95529">
        <w:rPr>
          <w:lang w:bidi="fa-IR"/>
        </w:rPr>
        <w:t>case using gamma distribution for both AmiCP and CP/ABCP implies 3</w:t>
      </w:r>
      <w:r w:rsidRPr="00F95529">
        <w:rPr>
          <w:rFonts w:ascii="Cambria Math" w:hAnsi="Cambria Math" w:cs="Cambria Math"/>
          <w:lang w:bidi="fa-IR"/>
        </w:rPr>
        <w:t>‑</w:t>
      </w:r>
      <w:r w:rsidRPr="00F95529">
        <w:rPr>
          <w:lang w:bidi="fa-IR"/>
        </w:rPr>
        <w:t>year OS of 16.0% versus 9.4% (an absolute difference of 7 percentage points), whereas using Weibull for AmiCP with gamma for CP/ABCP narrows this gap to about 11.3% versus 9.4% (2 percentage points). The proportions of patients remaining event free at 18 months in the MARIPOSA-2 trial were 50% (95% CI, 40, 59) for the AmiCP arm and 40% (95% CI, 33, 46) for the CP arm. The 95% CI were overlapping therefore, the assumption that the treatment benefit observed from the trial is maintained over the time horizon is highly uncertain. Applying the Weibull and gamma distributions for AmiCP and CP/ABCP respectively provides a more conservative extrapolation and would increase the ICER from $</w:t>
      </w:r>
      <w:r w:rsidR="00BA37FE" w:rsidRPr="00BA37FE">
        <w:rPr>
          <w:lang w:bidi="fa-IR"/>
        </w:rPr>
        <w:t>$55,000 to &lt; $75,000</w:t>
      </w:r>
      <w:r w:rsidRPr="00F95529">
        <w:rPr>
          <w:lang w:bidi="fa-IR"/>
        </w:rPr>
        <w:t>/QALY gained to $</w:t>
      </w:r>
      <w:r w:rsidR="00921EE5" w:rsidRPr="00921EE5">
        <w:rPr>
          <w:lang w:bidi="fa-IR"/>
        </w:rPr>
        <w:t>$115,000 to &lt; $135,000</w:t>
      </w:r>
      <w:r w:rsidRPr="00F95529">
        <w:rPr>
          <w:lang w:bidi="fa-IR"/>
        </w:rPr>
        <w:t>/QALY gained (+</w:t>
      </w:r>
      <w:r w:rsidR="00C87B5E" w:rsidRPr="00C87B5E">
        <w:rPr>
          <w:sz w:val="2"/>
          <w:highlight w:val="black"/>
          <w:lang w:bidi="fa-IR"/>
        </w:rPr>
        <w:t>redacted content</w:t>
      </w:r>
      <w:r w:rsidRPr="00F95529">
        <w:rPr>
          <w:lang w:bidi="fa-IR"/>
        </w:rPr>
        <w:t>%).</w:t>
      </w:r>
      <w:r w:rsidR="00807331">
        <w:rPr>
          <w:lang w:bidi="fa-IR"/>
        </w:rPr>
        <w:t xml:space="preserve"> </w:t>
      </w:r>
      <w:r w:rsidR="006D2F92" w:rsidRPr="009C3174">
        <w:t>The PSCR noted that applying a Weibull distribution resulted in the hazard for death increasing rapidly in the extrapolated period to the point where they are higher than observed in the trial. The PSCR stated the hazards of death using Weibull are inconsistent with the observed OS KM data and therefore lack</w:t>
      </w:r>
      <w:r w:rsidR="00DB4154" w:rsidRPr="009C3174">
        <w:t>ed</w:t>
      </w:r>
      <w:r w:rsidR="006D2F92" w:rsidRPr="009C3174">
        <w:t xml:space="preserve"> clinical plausibility.</w:t>
      </w:r>
    </w:p>
    <w:p w14:paraId="7B657F90" w14:textId="7B28BEDF" w:rsidR="00E50A74" w:rsidRPr="00F95529" w:rsidRDefault="00E50A74" w:rsidP="00530866">
      <w:pPr>
        <w:pStyle w:val="3-BodyText"/>
        <w:rPr>
          <w:iCs/>
        </w:rPr>
      </w:pPr>
      <w:r>
        <w:rPr>
          <w:lang w:bidi="fa-IR"/>
        </w:rPr>
        <w:t>The submission fitted separate distributions for TTTD</w:t>
      </w:r>
      <w:r w:rsidRPr="00153016">
        <w:t xml:space="preserve"> </w:t>
      </w:r>
      <w:r w:rsidRPr="00B5572A">
        <w:t xml:space="preserve">for amivantamab </w:t>
      </w:r>
      <w:r>
        <w:t xml:space="preserve">(generalised gamma) </w:t>
      </w:r>
      <w:r w:rsidRPr="00B5572A">
        <w:t xml:space="preserve">and </w:t>
      </w:r>
      <w:r>
        <w:t xml:space="preserve">CP (Gompertz) for the AmiCP arm, and for the CP/ABCP (log-logistic) arm. These distributions were selected based on </w:t>
      </w:r>
      <w:r w:rsidRPr="006300F4">
        <w:t>best</w:t>
      </w:r>
      <w:r>
        <w:t xml:space="preserve"> statistical fit (AIC/BIC).</w:t>
      </w:r>
      <w:r w:rsidRPr="00F95529">
        <w:rPr>
          <w:iCs/>
        </w:rPr>
        <w:t xml:space="preserve"> </w:t>
      </w:r>
    </w:p>
    <w:p w14:paraId="6D1B71B1" w14:textId="12AA8202" w:rsidR="007949AA" w:rsidRDefault="00941D84" w:rsidP="00530866">
      <w:pPr>
        <w:pStyle w:val="3-BodyText"/>
        <w:rPr>
          <w:i/>
        </w:rPr>
      </w:pPr>
      <w:r w:rsidRPr="008431BD">
        <w:rPr>
          <w:iCs/>
        </w:rPr>
        <w:t>Althou</w:t>
      </w:r>
      <w:r w:rsidR="008431BD" w:rsidRPr="008431BD">
        <w:rPr>
          <w:iCs/>
        </w:rPr>
        <w:t>gh</w:t>
      </w:r>
      <w:r w:rsidR="008431BD">
        <w:rPr>
          <w:iCs/>
        </w:rPr>
        <w:t xml:space="preserve"> the TTTD Kaplan-Mei</w:t>
      </w:r>
      <w:r w:rsidR="002837A4">
        <w:rPr>
          <w:iCs/>
        </w:rPr>
        <w:t xml:space="preserve">er </w:t>
      </w:r>
      <w:r w:rsidR="00EB52DF">
        <w:rPr>
          <w:iCs/>
        </w:rPr>
        <w:t>data were relatively mature</w:t>
      </w:r>
      <w:r w:rsidR="009E5300">
        <w:rPr>
          <w:iCs/>
        </w:rPr>
        <w:t xml:space="preserve"> (</w:t>
      </w:r>
      <w:r w:rsidR="00D525A5">
        <w:rPr>
          <w:iCs/>
        </w:rPr>
        <w:t xml:space="preserve">with </w:t>
      </w:r>
      <w:r w:rsidR="002774F2">
        <w:rPr>
          <w:iCs/>
        </w:rPr>
        <w:t xml:space="preserve">80.2% discontinuation events in both </w:t>
      </w:r>
      <w:r w:rsidR="009D5C04">
        <w:rPr>
          <w:iCs/>
        </w:rPr>
        <w:t>arms</w:t>
      </w:r>
      <w:r w:rsidR="00390120">
        <w:rPr>
          <w:iCs/>
        </w:rPr>
        <w:t>)</w:t>
      </w:r>
      <w:r w:rsidR="00002399">
        <w:rPr>
          <w:iCs/>
        </w:rPr>
        <w:t xml:space="preserve">, the model </w:t>
      </w:r>
      <w:r w:rsidR="00523EF4">
        <w:rPr>
          <w:iCs/>
        </w:rPr>
        <w:t xml:space="preserve">used observed </w:t>
      </w:r>
      <w:r w:rsidR="009A0CFC">
        <w:rPr>
          <w:iCs/>
        </w:rPr>
        <w:t>KM data until the &lt;20% at-risk</w:t>
      </w:r>
      <w:r w:rsidR="004061F4">
        <w:rPr>
          <w:iCs/>
        </w:rPr>
        <w:t xml:space="preserve"> cut-off and extrapolated thereafter. </w:t>
      </w:r>
      <w:r w:rsidR="00EC41E4">
        <w:rPr>
          <w:iCs/>
        </w:rPr>
        <w:t xml:space="preserve">Time on treatment </w:t>
      </w:r>
      <w:r w:rsidR="00045CD8">
        <w:rPr>
          <w:iCs/>
        </w:rPr>
        <w:t>was calculated as the minimum of</w:t>
      </w:r>
      <w:r w:rsidR="00AF5154">
        <w:rPr>
          <w:iCs/>
        </w:rPr>
        <w:t xml:space="preserve"> the TTTD and PFS curves (treatment until progression), so the parametric form chosen for </w:t>
      </w:r>
      <w:r w:rsidR="00E42793">
        <w:rPr>
          <w:iCs/>
        </w:rPr>
        <w:t>amivantamab</w:t>
      </w:r>
      <w:r w:rsidR="00AF5154">
        <w:rPr>
          <w:iCs/>
        </w:rPr>
        <w:t xml:space="preserve"> TTTD </w:t>
      </w:r>
      <w:r w:rsidR="00E42793">
        <w:rPr>
          <w:iCs/>
        </w:rPr>
        <w:t xml:space="preserve">only affects </w:t>
      </w:r>
      <w:r w:rsidR="00DC3302">
        <w:rPr>
          <w:iCs/>
        </w:rPr>
        <w:t xml:space="preserve">costs in periods where modelled TTTD </w:t>
      </w:r>
      <w:r w:rsidR="00BB3290">
        <w:rPr>
          <w:iCs/>
        </w:rPr>
        <w:t>is below modelled PFS</w:t>
      </w:r>
      <w:r w:rsidR="00AA4ADC">
        <w:rPr>
          <w:iCs/>
        </w:rPr>
        <w:t xml:space="preserve"> (</w:t>
      </w:r>
      <w:r w:rsidR="008D2883">
        <w:rPr>
          <w:iCs/>
        </w:rPr>
        <w:t>for longer-term progression</w:t>
      </w:r>
      <w:r w:rsidR="00BF5750">
        <w:rPr>
          <w:iCs/>
        </w:rPr>
        <w:t>-</w:t>
      </w:r>
      <w:r w:rsidR="008D2883">
        <w:rPr>
          <w:iCs/>
        </w:rPr>
        <w:t>free survivors</w:t>
      </w:r>
      <w:r w:rsidR="00AA4ADC">
        <w:rPr>
          <w:iCs/>
        </w:rPr>
        <w:t>)</w:t>
      </w:r>
      <w:r w:rsidR="00BB3290">
        <w:rPr>
          <w:iCs/>
        </w:rPr>
        <w:t xml:space="preserve">. </w:t>
      </w:r>
      <w:r w:rsidR="000A7FB9">
        <w:rPr>
          <w:iCs/>
        </w:rPr>
        <w:t xml:space="preserve">In sensitivity analyses </w:t>
      </w:r>
      <w:r w:rsidR="0067561C">
        <w:rPr>
          <w:iCs/>
        </w:rPr>
        <w:t xml:space="preserve">(Table 14) varying amivantamab TTTD </w:t>
      </w:r>
      <w:r w:rsidR="00CE6C95">
        <w:rPr>
          <w:iCs/>
        </w:rPr>
        <w:t>function</w:t>
      </w:r>
      <w:r w:rsidR="00D35301">
        <w:rPr>
          <w:iCs/>
        </w:rPr>
        <w:t xml:space="preserve"> </w:t>
      </w:r>
      <w:r w:rsidR="00390120">
        <w:rPr>
          <w:iCs/>
        </w:rPr>
        <w:t>incre</w:t>
      </w:r>
      <w:r w:rsidR="00D35301">
        <w:rPr>
          <w:iCs/>
        </w:rPr>
        <w:t>a</w:t>
      </w:r>
      <w:r w:rsidR="00390120">
        <w:rPr>
          <w:iCs/>
        </w:rPr>
        <w:t>sed the</w:t>
      </w:r>
      <w:r w:rsidR="00840910">
        <w:rPr>
          <w:iCs/>
        </w:rPr>
        <w:t xml:space="preserve"> ICER</w:t>
      </w:r>
      <w:r w:rsidR="005F7427">
        <w:rPr>
          <w:iCs/>
        </w:rPr>
        <w:t xml:space="preserve"> </w:t>
      </w:r>
      <w:r w:rsidR="002472DB">
        <w:rPr>
          <w:iCs/>
        </w:rPr>
        <w:t xml:space="preserve">by </w:t>
      </w:r>
      <w:r w:rsidR="00004053">
        <w:rPr>
          <w:iCs/>
        </w:rPr>
        <w:t xml:space="preserve">up to </w:t>
      </w:r>
      <w:r w:rsidR="00C87B5E" w:rsidRPr="00C87B5E">
        <w:rPr>
          <w:iCs/>
          <w:sz w:val="2"/>
          <w:highlight w:val="black"/>
        </w:rPr>
        <w:t>redacted content</w:t>
      </w:r>
      <w:r w:rsidR="002472DB">
        <w:rPr>
          <w:iCs/>
        </w:rPr>
        <w:t>%</w:t>
      </w:r>
      <w:r w:rsidR="005F7427">
        <w:rPr>
          <w:iCs/>
        </w:rPr>
        <w:t>.</w:t>
      </w:r>
    </w:p>
    <w:p w14:paraId="7FDBAB39" w14:textId="61D87FA9" w:rsidR="00E50A74" w:rsidRDefault="00E50A74" w:rsidP="00530866">
      <w:pPr>
        <w:pStyle w:val="3-BodyText"/>
      </w:pPr>
      <w:r>
        <w:fldChar w:fldCharType="begin"/>
      </w:r>
      <w:r>
        <w:instrText xml:space="preserve"> REF _Ref216529221 \h </w:instrText>
      </w:r>
      <w:r>
        <w:fldChar w:fldCharType="separate"/>
      </w:r>
      <w:r w:rsidR="00A572FC">
        <w:t xml:space="preserve">Figure </w:t>
      </w:r>
      <w:r w:rsidR="00A572FC">
        <w:rPr>
          <w:noProof/>
        </w:rPr>
        <w:t>4</w:t>
      </w:r>
      <w:r>
        <w:fldChar w:fldCharType="end"/>
      </w:r>
      <w:r>
        <w:t xml:space="preserve"> below </w:t>
      </w:r>
      <w:r w:rsidRPr="001B7D27">
        <w:t>shows the three state partitioned survival traces over seven years for AmiCP, CP and ABCP</w:t>
      </w:r>
      <w:r>
        <w:t>.</w:t>
      </w:r>
    </w:p>
    <w:p w14:paraId="2944A9E9" w14:textId="4D5322E7" w:rsidR="00E50A74" w:rsidRDefault="00E50A74" w:rsidP="00530866">
      <w:pPr>
        <w:pStyle w:val="Caption"/>
      </w:pPr>
      <w:bookmarkStart w:id="80" w:name="_Ref216529221"/>
      <w:bookmarkStart w:id="81" w:name="_Hlk221200222"/>
      <w:r>
        <w:lastRenderedPageBreak/>
        <w:t xml:space="preserve">Figure </w:t>
      </w:r>
      <w:fldSimple w:instr=" SEQ Figure \* ARABIC ">
        <w:r w:rsidR="00A572FC">
          <w:rPr>
            <w:noProof/>
          </w:rPr>
          <w:t>4</w:t>
        </w:r>
      </w:fldSimple>
      <w:bookmarkEnd w:id="80"/>
      <w:r>
        <w:t xml:space="preserve">: </w:t>
      </w:r>
      <w:r w:rsidRPr="00DF4332">
        <w:t>Modelled health state traces over seven years (base case economic model)</w:t>
      </w:r>
    </w:p>
    <w:bookmarkEnd w:id="81"/>
    <w:p w14:paraId="4A372164" w14:textId="77777777" w:rsidR="00E50A74" w:rsidRDefault="00E50A74" w:rsidP="00530866">
      <w:r w:rsidRPr="00C33B04">
        <w:rPr>
          <w:noProof/>
          <w:color w:val="9BBB59" w:themeColor="accent3"/>
        </w:rPr>
        <w:drawing>
          <wp:inline distT="0" distB="0" distL="0" distR="0" wp14:anchorId="2DE46554" wp14:editId="7AB0EA59">
            <wp:extent cx="5662329" cy="2674188"/>
            <wp:effectExtent l="0" t="0" r="0" b="0"/>
            <wp:docPr id="846186290" name="Picture 2049939625" descr="Figure 4: Modelled health state traces over seven years (base cas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186290" name="Picture 2049939625" descr="Figure 4: Modelled health state traces over seven years (base case economic model)"/>
                    <pic:cNvPicPr>
                      <a:picLocks noChangeAspect="1" noChangeArrowheads="1"/>
                    </pic:cNvPicPr>
                  </pic:nvPicPr>
                  <pic:blipFill>
                    <a:blip r:embed="rId14">
                      <a:extLst>
                        <a:ext uri="{96DAC541-7B7A-43D3-8B79-37D633B846F1}">
                          <asvg:svgBlip xmlns:asvg="http://schemas.microsoft.com/office/drawing/2016/SVG/main" r:embed="rId15"/>
                        </a:ext>
                      </a:extLst>
                    </a:blip>
                    <a:stretch>
                      <a:fillRect/>
                    </a:stretch>
                  </pic:blipFill>
                  <pic:spPr bwMode="auto">
                    <a:xfrm>
                      <a:off x="0" y="0"/>
                      <a:ext cx="5698937" cy="2691477"/>
                    </a:xfrm>
                    <a:prstGeom prst="rect">
                      <a:avLst/>
                    </a:prstGeom>
                  </pic:spPr>
                </pic:pic>
              </a:graphicData>
            </a:graphic>
          </wp:inline>
        </w:drawing>
      </w:r>
    </w:p>
    <w:p w14:paraId="4008D9B0" w14:textId="77777777" w:rsidR="00E50A74" w:rsidRDefault="00E50A74" w:rsidP="00530866">
      <w:pPr>
        <w:pStyle w:val="TableFigureFooter"/>
      </w:pPr>
      <w:r>
        <w:t>Source: Figure 3.21, p254 of the submission.</w:t>
      </w:r>
    </w:p>
    <w:p w14:paraId="2E93FF0B" w14:textId="77777777" w:rsidR="00E50A74" w:rsidRDefault="00E50A74" w:rsidP="00530866">
      <w:pPr>
        <w:pStyle w:val="TableFigureFooter"/>
      </w:pPr>
      <w:r>
        <w:t xml:space="preserve">Abbreviations: </w:t>
      </w:r>
      <w:r w:rsidRPr="004A08E4">
        <w:t>A+CP = amivantamab plus carboplatin plus pemetrexed; ABCP = atezolizumab plus bevacizumab plus carboplatin plus paclitaxel; Ami = amivantamab; CP = carboplatin plus pemetrexed; OS = overall survival; PFS = progression free survival; TTTD = time to treatment discontinuation</w:t>
      </w:r>
    </w:p>
    <w:p w14:paraId="7EAC151F" w14:textId="77777777" w:rsidR="00E50A74" w:rsidRPr="00F4291D" w:rsidRDefault="00E50A74" w:rsidP="00530866">
      <w:pPr>
        <w:rPr>
          <w:b/>
          <w:bCs/>
        </w:rPr>
      </w:pPr>
      <w:r w:rsidRPr="00F4291D">
        <w:rPr>
          <w:b/>
          <w:bCs/>
        </w:rPr>
        <w:fldChar w:fldCharType="begin"/>
      </w:r>
      <w:r w:rsidRPr="00F4291D">
        <w:rPr>
          <w:b/>
          <w:bCs/>
        </w:rPr>
        <w:fldChar w:fldCharType="separate"/>
      </w:r>
      <w:r w:rsidRPr="00F4291D">
        <w:rPr>
          <w:b/>
          <w:bCs/>
        </w:rPr>
        <w:fldChar w:fldCharType="end"/>
      </w:r>
      <w:r w:rsidRPr="00F4291D">
        <w:rPr>
          <w:b/>
          <w:bCs/>
        </w:rPr>
        <w:t>Health state utilities</w:t>
      </w:r>
    </w:p>
    <w:p w14:paraId="2AB33515" w14:textId="3FC10514" w:rsidR="00E50A74" w:rsidRDefault="00E50A74" w:rsidP="00530866">
      <w:pPr>
        <w:pStyle w:val="3-BodyText"/>
      </w:pPr>
      <w:r>
        <w:t xml:space="preserve">Quality of life data using the EQ-5D-5L from the MARIPOSA-2 trial were used to inform the utility values for the pre-progression and post-progression health states in the base case analysis. The submission applied treatment-specific pre-progression utilities of 0.875 for AmiCP (also extended to ABCP) and 0.893 for CP to reflect adverse event differences. The submission justified extending </w:t>
      </w:r>
      <w:proofErr w:type="spellStart"/>
      <w:r>
        <w:t>AmiCP's</w:t>
      </w:r>
      <w:proofErr w:type="spellEnd"/>
      <w:r>
        <w:t xml:space="preserve"> utility value to ABCP based on ABCP's inferior adverse event profile relative to CP (due to the additional components in ABCP) and </w:t>
      </w:r>
      <w:bookmarkStart w:id="82" w:name="_Int_CtUS3TzE"/>
      <w:proofErr w:type="spellStart"/>
      <w:r>
        <w:t>AmiCP's</w:t>
      </w:r>
      <w:bookmarkEnd w:id="82"/>
      <w:proofErr w:type="spellEnd"/>
      <w:r>
        <w:t xml:space="preserve"> proposed non-inferiority to ABCP in terms of safety.</w:t>
      </w:r>
    </w:p>
    <w:p w14:paraId="380832FB" w14:textId="77777777" w:rsidR="00E50A74" w:rsidRDefault="00E50A74" w:rsidP="00530866">
      <w:pPr>
        <w:pStyle w:val="3-BodyText"/>
      </w:pPr>
      <w:r>
        <w:t xml:space="preserve">For the post-progression health state, the submission applied </w:t>
      </w:r>
      <w:r w:rsidRPr="0067624E">
        <w:t>pooled</w:t>
      </w:r>
      <w:r>
        <w:t xml:space="preserve"> utility values</w:t>
      </w:r>
      <w:r w:rsidRPr="0067624E">
        <w:t xml:space="preserve"> (0.840) across arms </w:t>
      </w:r>
      <w:r>
        <w:t>as</w:t>
      </w:r>
      <w:r w:rsidRPr="0067624E">
        <w:t xml:space="preserve"> subsequent therapies were </w:t>
      </w:r>
      <w:r>
        <w:t>assumed</w:t>
      </w:r>
      <w:r w:rsidRPr="0067624E">
        <w:t xml:space="preserve"> to be similar irrespective of initial treatment.</w:t>
      </w:r>
    </w:p>
    <w:p w14:paraId="53ED4EC6" w14:textId="3BC90A09" w:rsidR="00E50A74" w:rsidRPr="002708BD" w:rsidRDefault="00E50A74" w:rsidP="00530866">
      <w:pPr>
        <w:pStyle w:val="3-BodyText"/>
      </w:pPr>
      <w:r w:rsidRPr="00F95529">
        <w:t xml:space="preserve">The utility values applied were higher than those applied in similar populations considered by the PBAC in previous considerations. For example, in previously untreated EGFR-mutant advanced NSCLC, PBAC suggested progression-free and post-progression utilities of approximately 0.79 and 0.64, respectively (paragraph 6.26, osimertinib PSD, November 2023 PBAC meeting). </w:t>
      </w:r>
    </w:p>
    <w:p w14:paraId="43801190" w14:textId="345958AC" w:rsidR="002708BD" w:rsidRPr="009C3174" w:rsidRDefault="371C3497" w:rsidP="00530866">
      <w:pPr>
        <w:pStyle w:val="3-BodyText"/>
      </w:pPr>
      <w:r w:rsidRPr="009C3174">
        <w:t>T</w:t>
      </w:r>
      <w:r w:rsidR="37E2E89F" w:rsidRPr="009C3174">
        <w:t>he PSCR</w:t>
      </w:r>
      <w:r w:rsidRPr="009C3174">
        <w:t xml:space="preserve"> </w:t>
      </w:r>
      <w:r w:rsidR="37E2E89F" w:rsidRPr="009C3174">
        <w:t xml:space="preserve">noted that the calculation of QALYs was based on 76.1% of the total QALYs accrued during the observed trial period. As such, </w:t>
      </w:r>
      <w:r w:rsidR="00152A28" w:rsidRPr="009C3174">
        <w:t xml:space="preserve">the PSCR stated </w:t>
      </w:r>
      <w:r w:rsidR="37E2E89F" w:rsidRPr="009C3174">
        <w:t xml:space="preserve">the model was </w:t>
      </w:r>
      <w:r w:rsidR="55B8FB4D" w:rsidRPr="009C3174">
        <w:t>based predominantly</w:t>
      </w:r>
      <w:r w:rsidR="00152A28" w:rsidRPr="009C3174">
        <w:t xml:space="preserve"> on</w:t>
      </w:r>
      <w:r w:rsidR="37E2E89F" w:rsidRPr="009C3174">
        <w:t xml:space="preserve"> observed data rather than long-term extrapolation assumptions.</w:t>
      </w:r>
      <w:r w:rsidR="60BA63AB" w:rsidRPr="009C3174">
        <w:t xml:space="preserve"> </w:t>
      </w:r>
      <w:r w:rsidR="60D3271D" w:rsidRPr="009C3174">
        <w:t xml:space="preserve">However, the ESC noted </w:t>
      </w:r>
      <w:r w:rsidR="37E2E89F" w:rsidRPr="009C3174">
        <w:t>the incremental QALYs gained in th</w:t>
      </w:r>
      <w:r w:rsidR="00152A28" w:rsidRPr="009C3174">
        <w:t>e trial</w:t>
      </w:r>
      <w:r w:rsidR="37E2E89F" w:rsidRPr="009C3174">
        <w:t xml:space="preserve"> period </w:t>
      </w:r>
      <w:r w:rsidR="00152A28" w:rsidRPr="009C3174">
        <w:t xml:space="preserve">was </w:t>
      </w:r>
      <w:r w:rsidR="37E2E89F" w:rsidRPr="009C3174">
        <w:t xml:space="preserve">33%, which indicated that </w:t>
      </w:r>
      <w:r w:rsidR="00703D8B" w:rsidRPr="009C3174">
        <w:t xml:space="preserve">67% of </w:t>
      </w:r>
      <w:r w:rsidR="37E2E89F" w:rsidRPr="009C3174">
        <w:t xml:space="preserve">incremental QALY gain </w:t>
      </w:r>
      <w:r w:rsidR="00703D8B" w:rsidRPr="009C3174">
        <w:t xml:space="preserve">was </w:t>
      </w:r>
      <w:r w:rsidR="37E2E89F" w:rsidRPr="009C3174">
        <w:t>accrued later in the cycle, within the horizon which is more influenced by extrapolated survival assumptions</w:t>
      </w:r>
      <w:r w:rsidR="60D3271D" w:rsidRPr="009C3174">
        <w:t xml:space="preserve"> (see </w:t>
      </w:r>
      <w:r w:rsidR="00FD6618" w:rsidRPr="009C3174">
        <w:fldChar w:fldCharType="begin"/>
      </w:r>
      <w:r w:rsidR="00FD6618" w:rsidRPr="009C3174">
        <w:instrText xml:space="preserve"> REF _Ref222223526 \h </w:instrText>
      </w:r>
      <w:r w:rsidR="009C3174" w:rsidRPr="009C3174">
        <w:instrText xml:space="preserve"> \* MERGEFORMAT </w:instrText>
      </w:r>
      <w:r w:rsidR="00FD6618" w:rsidRPr="009C3174">
        <w:fldChar w:fldCharType="separate"/>
      </w:r>
      <w:r w:rsidR="00A572FC" w:rsidRPr="009C3174">
        <w:t xml:space="preserve">Figure </w:t>
      </w:r>
      <w:r w:rsidR="00A572FC">
        <w:rPr>
          <w:noProof/>
        </w:rPr>
        <w:t>5</w:t>
      </w:r>
      <w:r w:rsidR="00FD6618" w:rsidRPr="009C3174">
        <w:fldChar w:fldCharType="end"/>
      </w:r>
      <w:r w:rsidR="60D3271D" w:rsidRPr="009C3174">
        <w:t>)</w:t>
      </w:r>
      <w:r w:rsidR="37E2E89F" w:rsidRPr="009C3174">
        <w:t>.</w:t>
      </w:r>
      <w:r w:rsidR="00705594">
        <w:t xml:space="preserve"> </w:t>
      </w:r>
    </w:p>
    <w:p w14:paraId="0441CF70" w14:textId="5A75931C" w:rsidR="008711B8" w:rsidRPr="009C3174" w:rsidRDefault="008711B8" w:rsidP="00530866">
      <w:pPr>
        <w:pStyle w:val="Caption"/>
      </w:pPr>
      <w:bookmarkStart w:id="83" w:name="_Ref222223526"/>
      <w:r w:rsidRPr="009C3174">
        <w:lastRenderedPageBreak/>
        <w:t xml:space="preserve">Figure </w:t>
      </w:r>
      <w:fldSimple w:instr=" SEQ Figure \* ARABIC ">
        <w:r w:rsidR="00B17C8F">
          <w:rPr>
            <w:noProof/>
          </w:rPr>
          <w:t>5</w:t>
        </w:r>
      </w:fldSimple>
      <w:bookmarkEnd w:id="83"/>
      <w:r w:rsidRPr="009C3174">
        <w:t xml:space="preserve">: </w:t>
      </w:r>
      <w:r w:rsidR="006A07AE" w:rsidRPr="009C3174">
        <w:t>Cumulative incremental QALYs o</w:t>
      </w:r>
      <w:r w:rsidR="00420829" w:rsidRPr="009C3174">
        <w:t>ver time, by treatment arm</w:t>
      </w:r>
    </w:p>
    <w:p w14:paraId="0DF84617" w14:textId="051857B6" w:rsidR="004E7017" w:rsidRPr="009C3174" w:rsidRDefault="004E7017" w:rsidP="00530866">
      <w:pPr>
        <w:pStyle w:val="3-BodyText"/>
        <w:numPr>
          <w:ilvl w:val="0"/>
          <w:numId w:val="0"/>
        </w:numPr>
      </w:pPr>
      <w:r w:rsidRPr="009C3174">
        <w:rPr>
          <w:noProof/>
        </w:rPr>
        <w:drawing>
          <wp:inline distT="0" distB="0" distL="0" distR="0" wp14:anchorId="346CCA40" wp14:editId="3C375C47">
            <wp:extent cx="5454502" cy="2645980"/>
            <wp:effectExtent l="0" t="0" r="0" b="2540"/>
            <wp:docPr id="1765952991" name="Picture 1" descr="Figure 5: Cumulative incremental QALYs over time, by treatment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952991" name="Picture 1" descr="Figure 5: Cumulative incremental QALYs over time, by treatment arm"/>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504257" cy="2670116"/>
                    </a:xfrm>
                    <a:prstGeom prst="rect">
                      <a:avLst/>
                    </a:prstGeom>
                    <a:noFill/>
                    <a:ln>
                      <a:noFill/>
                    </a:ln>
                  </pic:spPr>
                </pic:pic>
              </a:graphicData>
            </a:graphic>
          </wp:inline>
        </w:drawing>
      </w:r>
    </w:p>
    <w:p w14:paraId="79393ED4" w14:textId="5E63AFBA" w:rsidR="00CC46CC" w:rsidRPr="009C3174" w:rsidRDefault="00CC46CC" w:rsidP="00530866">
      <w:pPr>
        <w:pStyle w:val="TableFigureFooter"/>
      </w:pPr>
      <w:r w:rsidRPr="009C3174">
        <w:t xml:space="preserve">Source: </w:t>
      </w:r>
      <w:r w:rsidR="00FD6618" w:rsidRPr="009C3174">
        <w:t>Economic model provided with submission</w:t>
      </w:r>
    </w:p>
    <w:p w14:paraId="276B2294" w14:textId="293608BF" w:rsidR="002708BD" w:rsidRPr="009C3174" w:rsidRDefault="00CC46CC" w:rsidP="00530866">
      <w:pPr>
        <w:pStyle w:val="TableFigureFooter"/>
      </w:pPr>
      <w:r w:rsidRPr="009C3174">
        <w:t>Abbreviations: A</w:t>
      </w:r>
      <w:r w:rsidR="004105E3" w:rsidRPr="009C3174">
        <w:t>mi</w:t>
      </w:r>
      <w:r w:rsidRPr="009C3174">
        <w:t xml:space="preserve">CP = amivantamab plus carboplatin plus pemetrexed; CP = carboplatin plus pemetrexed; </w:t>
      </w:r>
      <w:r w:rsidR="004105E3" w:rsidRPr="009C3174">
        <w:t>OALY</w:t>
      </w:r>
      <w:r w:rsidR="00236E38" w:rsidRPr="009C3174">
        <w:t>s = Quality adjusted life-years.</w:t>
      </w:r>
    </w:p>
    <w:p w14:paraId="51F3D972" w14:textId="77777777" w:rsidR="00E50A74" w:rsidRPr="00276EF2" w:rsidRDefault="00E50A74" w:rsidP="00530866">
      <w:pPr>
        <w:rPr>
          <w:b/>
          <w:bCs/>
        </w:rPr>
      </w:pPr>
      <w:r w:rsidRPr="00276EF2">
        <w:rPr>
          <w:b/>
          <w:bCs/>
        </w:rPr>
        <w:t>Costs</w:t>
      </w:r>
    </w:p>
    <w:p w14:paraId="12E9CA40" w14:textId="6C854601" w:rsidR="00E50A74" w:rsidRPr="00F95529" w:rsidRDefault="00E50A74" w:rsidP="00530866">
      <w:pPr>
        <w:pStyle w:val="3-BodyText"/>
      </w:pPr>
      <w:r w:rsidRPr="00362EE0">
        <w:t>To calculate the per cycle cost of amivantamab</w:t>
      </w:r>
      <w:r>
        <w:t>, CP and ABCP</w:t>
      </w:r>
      <w:r w:rsidRPr="00362EE0">
        <w:t>, the submission factored in the proportion of skipped/reduced doses, the proportion of patients over</w:t>
      </w:r>
      <w:r w:rsidR="00E3699B">
        <w:t xml:space="preserve"> (14%)</w:t>
      </w:r>
      <w:r w:rsidRPr="00362EE0">
        <w:t>/under 80 kg</w:t>
      </w:r>
      <w:r w:rsidR="00E3699B">
        <w:t xml:space="preserve"> (86%)</w:t>
      </w:r>
      <w:r w:rsidRPr="00362EE0">
        <w:t xml:space="preserve">, and the dose intensity for initial/maintenance treatment based on the </w:t>
      </w:r>
      <w:r>
        <w:t>MARIPOSA-2 and ATTLAS</w:t>
      </w:r>
      <w:r w:rsidRPr="00362EE0">
        <w:t xml:space="preserve"> trial</w:t>
      </w:r>
      <w:r>
        <w:t>s</w:t>
      </w:r>
      <w:r w:rsidRPr="00362EE0">
        <w:t>.</w:t>
      </w:r>
      <w:r>
        <w:t xml:space="preserve"> </w:t>
      </w:r>
    </w:p>
    <w:p w14:paraId="2E00B8F1" w14:textId="1B6D7318" w:rsidR="00E50A74" w:rsidRDefault="00E50A74" w:rsidP="00530866">
      <w:pPr>
        <w:pStyle w:val="3-BodyText"/>
      </w:pPr>
      <w:r>
        <w:t>A one-off AE costs of $</w:t>
      </w:r>
      <w:r w:rsidR="00C87B5E" w:rsidRPr="00C87B5E">
        <w:rPr>
          <w:sz w:val="2"/>
          <w:highlight w:val="black"/>
        </w:rPr>
        <w:t>redacted content</w:t>
      </w:r>
      <w:r>
        <w:t xml:space="preserve"> per patient for the AmiCP arm, $</w:t>
      </w:r>
      <w:r w:rsidR="00C87B5E" w:rsidRPr="00C87B5E">
        <w:rPr>
          <w:sz w:val="2"/>
          <w:highlight w:val="black"/>
        </w:rPr>
        <w:t>redacted content</w:t>
      </w:r>
      <w:r>
        <w:t xml:space="preserve"> for CP arm and $</w:t>
      </w:r>
      <w:r w:rsidR="00C87B5E" w:rsidRPr="00C87B5E">
        <w:rPr>
          <w:sz w:val="2"/>
          <w:highlight w:val="black"/>
        </w:rPr>
        <w:t>redacted content</w:t>
      </w:r>
      <w:r>
        <w:t xml:space="preserve"> for the ABCP arm were applied in cycle 1 estimated based on incidence rates of </w:t>
      </w:r>
      <w:r w:rsidRPr="003D5107">
        <w:t>Grade ≥3 and AESI events from MARIPOSA 2 (AmiCP/CP) and ATTLAS (ABCP)</w:t>
      </w:r>
      <w:r w:rsidR="00C225E3">
        <w:t>.</w:t>
      </w:r>
    </w:p>
    <w:p w14:paraId="6CC3B829" w14:textId="6213288C" w:rsidR="00E50A74" w:rsidRDefault="00E50A74" w:rsidP="00530866">
      <w:pPr>
        <w:pStyle w:val="3-BodyText"/>
        <w:rPr>
          <w:i/>
          <w:iCs/>
        </w:rPr>
      </w:pPr>
      <w:r>
        <w:t>The submission stated that subsequent therapy costs were applied as a one</w:t>
      </w:r>
      <w:r w:rsidR="4B354A5F">
        <w:t xml:space="preserve"> </w:t>
      </w:r>
      <w:r>
        <w:t xml:space="preserve">off when patients progressed, using </w:t>
      </w:r>
      <w:r w:rsidRPr="001B2777">
        <w:t>docetaxel (4 cycles) as the representative regimen; proportions progressing to subsequent therapy were 58.3% (AmiCP) and 70.2%</w:t>
      </w:r>
      <w:r>
        <w:t xml:space="preserve"> (CP/ABCP). This simplification appears pragmatic but favours AmiCP on costs via lower uptake of subsequent therapy</w:t>
      </w:r>
      <w:r w:rsidRPr="79174808">
        <w:rPr>
          <w:i/>
          <w:iCs/>
        </w:rPr>
        <w:t xml:space="preserve">. </w:t>
      </w:r>
    </w:p>
    <w:p w14:paraId="2B7CE918" w14:textId="4FDB983D" w:rsidR="00E50A74" w:rsidRPr="00F95529" w:rsidRDefault="00E50A74" w:rsidP="00530866">
      <w:pPr>
        <w:pStyle w:val="3-BodyText"/>
      </w:pPr>
      <w:r>
        <w:t xml:space="preserve">The submission applied an </w:t>
      </w:r>
      <w:bookmarkStart w:id="84" w:name="_Int_7dhdBV5w"/>
      <w:r>
        <w:t>end</w:t>
      </w:r>
      <w:r w:rsidR="1548D025">
        <w:t xml:space="preserve"> </w:t>
      </w:r>
      <w:r>
        <w:t>of</w:t>
      </w:r>
      <w:r w:rsidR="2EBBA46D">
        <w:t xml:space="preserve"> </w:t>
      </w:r>
      <w:r>
        <w:t>life</w:t>
      </w:r>
      <w:bookmarkEnd w:id="84"/>
      <w:r>
        <w:t xml:space="preserve"> costs of $62,814.37 (2024 AUD) per cancer death derived Langton et al. 2016 which reported health care service use costs in the last six-months of life among patients dying of cancer. The end-of-life cost applied in the model appears high and likely driven by the high inflation rates used. </w:t>
      </w:r>
    </w:p>
    <w:p w14:paraId="7206FC48" w14:textId="461C41D3" w:rsidR="00E50A74" w:rsidRDefault="00E50A74" w:rsidP="00530866">
      <w:pPr>
        <w:pStyle w:val="3-BodyText"/>
      </w:pPr>
      <w:r>
        <w:fldChar w:fldCharType="begin"/>
      </w:r>
      <w:r>
        <w:instrText xml:space="preserve"> REF _Ref216380178 \h </w:instrText>
      </w:r>
      <w:r>
        <w:fldChar w:fldCharType="separate"/>
      </w:r>
      <w:r w:rsidR="00A572FC" w:rsidRPr="0098262F">
        <w:t xml:space="preserve">Table </w:t>
      </w:r>
      <w:r w:rsidR="00A572FC">
        <w:rPr>
          <w:noProof/>
        </w:rPr>
        <w:t>11</w:t>
      </w:r>
      <w:r>
        <w:fldChar w:fldCharType="end"/>
      </w:r>
      <w:r w:rsidRPr="00017043">
        <w:t xml:space="preserve"> summarises the </w:t>
      </w:r>
      <w:r>
        <w:t>key drivers of the economic model.</w:t>
      </w:r>
    </w:p>
    <w:p w14:paraId="110949B3" w14:textId="3FC9C432" w:rsidR="00E50A74" w:rsidRPr="0098262F" w:rsidRDefault="00D97D5A" w:rsidP="00530866">
      <w:pPr>
        <w:pStyle w:val="Caption"/>
        <w:rPr>
          <w:rStyle w:val="CommentReference"/>
          <w:b/>
          <w:szCs w:val="24"/>
        </w:rPr>
      </w:pPr>
      <w:r>
        <w:lastRenderedPageBreak/>
        <w:t xml:space="preserve">Table </w:t>
      </w:r>
      <w:fldSimple w:instr=" SEQ Table \* ARABIC ">
        <w:r>
          <w:rPr>
            <w:noProof/>
          </w:rPr>
          <w:t>11</w:t>
        </w:r>
      </w:fldSimple>
      <w:r w:rsidR="00E50A74" w:rsidRPr="0098262F">
        <w:t>:</w:t>
      </w:r>
      <w:r w:rsidR="00E50A74" w:rsidRPr="0098262F">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Key drivers of the model"/>
      </w:tblPr>
      <w:tblGrid>
        <w:gridCol w:w="1129"/>
        <w:gridCol w:w="3969"/>
        <w:gridCol w:w="3919"/>
      </w:tblGrid>
      <w:tr w:rsidR="00E50A74" w:rsidRPr="00F95529" w14:paraId="4EB3FBBA" w14:textId="77777777" w:rsidTr="00E228BF">
        <w:trPr>
          <w:tblHeader/>
        </w:trPr>
        <w:tc>
          <w:tcPr>
            <w:tcW w:w="626" w:type="pct"/>
            <w:vAlign w:val="center"/>
          </w:tcPr>
          <w:p w14:paraId="2C5D0F1A" w14:textId="77777777" w:rsidR="00E50A74" w:rsidRPr="00F95529" w:rsidRDefault="00E50A74" w:rsidP="00530866">
            <w:pPr>
              <w:pStyle w:val="In-tableHeading"/>
              <w:keepNext w:val="0"/>
              <w:keepLines w:val="0"/>
            </w:pPr>
            <w:r w:rsidRPr="00F95529">
              <w:t>Description</w:t>
            </w:r>
          </w:p>
        </w:tc>
        <w:tc>
          <w:tcPr>
            <w:tcW w:w="2201" w:type="pct"/>
            <w:vAlign w:val="center"/>
          </w:tcPr>
          <w:p w14:paraId="09191F55" w14:textId="77777777" w:rsidR="00E50A74" w:rsidRPr="00F95529" w:rsidRDefault="00E50A74" w:rsidP="00530866">
            <w:pPr>
              <w:pStyle w:val="In-tableHeading"/>
              <w:keepNext w:val="0"/>
              <w:keepLines w:val="0"/>
              <w:jc w:val="center"/>
            </w:pPr>
            <w:r w:rsidRPr="00F95529">
              <w:t>Method/Value</w:t>
            </w:r>
          </w:p>
        </w:tc>
        <w:tc>
          <w:tcPr>
            <w:tcW w:w="2173" w:type="pct"/>
            <w:vAlign w:val="center"/>
          </w:tcPr>
          <w:p w14:paraId="23D3ACEA" w14:textId="77777777" w:rsidR="00E50A74" w:rsidRPr="00F95529" w:rsidRDefault="00E50A74" w:rsidP="00530866">
            <w:pPr>
              <w:pStyle w:val="In-tableHeading"/>
              <w:keepNext w:val="0"/>
              <w:keepLines w:val="0"/>
              <w:jc w:val="center"/>
            </w:pPr>
            <w:r w:rsidRPr="00F95529">
              <w:t>Impact</w:t>
            </w:r>
          </w:p>
          <w:p w14:paraId="0A9D46DB" w14:textId="01D2F7AC" w:rsidR="00E50A74" w:rsidRPr="00F95529" w:rsidRDefault="00E50A74" w:rsidP="00530866">
            <w:pPr>
              <w:pStyle w:val="In-tableHeading"/>
              <w:keepNext w:val="0"/>
              <w:keepLines w:val="0"/>
              <w:jc w:val="center"/>
            </w:pPr>
            <w:r w:rsidRPr="00F95529">
              <w:t>Base case: $</w:t>
            </w:r>
            <w:r w:rsidR="00C87B5E" w:rsidRPr="00C87B5E">
              <w:rPr>
                <w:sz w:val="2"/>
                <w:highlight w:val="black"/>
              </w:rPr>
              <w:t>redacted content</w:t>
            </w:r>
            <w:r w:rsidR="009165AB">
              <w:rPr>
                <w:vertAlign w:val="superscript"/>
              </w:rPr>
              <w:t>1</w:t>
            </w:r>
            <w:r w:rsidRPr="00F95529">
              <w:t xml:space="preserve">/QALY </w:t>
            </w:r>
            <w:r w:rsidRPr="00F95529">
              <w:rPr>
                <w:vertAlign w:val="superscript"/>
              </w:rPr>
              <w:t>a</w:t>
            </w:r>
          </w:p>
        </w:tc>
      </w:tr>
      <w:tr w:rsidR="00E50A74" w:rsidRPr="00F95529" w14:paraId="617F55A1" w14:textId="77777777" w:rsidTr="00E228BF">
        <w:trPr>
          <w:tblHeader/>
        </w:trPr>
        <w:tc>
          <w:tcPr>
            <w:tcW w:w="626" w:type="pct"/>
            <w:vAlign w:val="center"/>
          </w:tcPr>
          <w:p w14:paraId="69CCE2F0" w14:textId="5399B75E" w:rsidR="00E50A74" w:rsidRPr="00F95529" w:rsidRDefault="00E50A74" w:rsidP="00530866">
            <w:pPr>
              <w:pStyle w:val="TableText0"/>
              <w:keepNext w:val="0"/>
              <w:keepLines w:val="0"/>
            </w:pPr>
            <w:r w:rsidRPr="00F95529">
              <w:t>Extrapolation of overall survival (AmiCP and CP/ABCP)</w:t>
            </w:r>
          </w:p>
        </w:tc>
        <w:tc>
          <w:tcPr>
            <w:tcW w:w="2201" w:type="pct"/>
            <w:vAlign w:val="center"/>
          </w:tcPr>
          <w:p w14:paraId="742AFF41" w14:textId="7AF92572" w:rsidR="00E50A74" w:rsidRPr="00F95529" w:rsidRDefault="00E50A74" w:rsidP="00530866">
            <w:pPr>
              <w:pStyle w:val="TableText0"/>
              <w:keepNext w:val="0"/>
              <w:keepLines w:val="0"/>
            </w:pPr>
            <w:r>
              <w:t>Gamma distributions were used for OS in both AmiCP and CP/ABCP (</w:t>
            </w:r>
            <w:r w:rsidR="2305A6DE">
              <w:t>best fitting</w:t>
            </w:r>
            <w:r>
              <w:t xml:space="preserve"> for CP/ABCP but ranked fourth for AmiCP)</w:t>
            </w:r>
          </w:p>
        </w:tc>
        <w:tc>
          <w:tcPr>
            <w:tcW w:w="2173" w:type="pct"/>
            <w:vAlign w:val="center"/>
          </w:tcPr>
          <w:p w14:paraId="308F5A4C" w14:textId="77777777" w:rsidR="00E50A74" w:rsidRPr="00F95529" w:rsidRDefault="00E50A74" w:rsidP="00530866">
            <w:pPr>
              <w:pStyle w:val="TableText0"/>
              <w:keepNext w:val="0"/>
              <w:keepLines w:val="0"/>
            </w:pPr>
            <w:r w:rsidRPr="00F95529">
              <w:t>High, favour AmiCP.</w:t>
            </w:r>
          </w:p>
          <w:p w14:paraId="0687EEDA" w14:textId="77777777" w:rsidR="00E50A74" w:rsidRPr="00F95529" w:rsidRDefault="00E50A74" w:rsidP="00530866">
            <w:pPr>
              <w:pStyle w:val="TableText0"/>
              <w:keepNext w:val="0"/>
              <w:keepLines w:val="0"/>
            </w:pPr>
          </w:p>
          <w:p w14:paraId="27E2E17C" w14:textId="111F2743" w:rsidR="00E50A74" w:rsidRPr="00F95529" w:rsidRDefault="00E50A74" w:rsidP="00530866">
            <w:pPr>
              <w:pStyle w:val="TableText0"/>
              <w:keepNext w:val="0"/>
              <w:keepLines w:val="0"/>
            </w:pPr>
            <w:r w:rsidRPr="00F95529">
              <w:t>The choice of distributions to extrapolate OS for both AmiCP and CP</w:t>
            </w:r>
            <w:r w:rsidR="009A0E00" w:rsidRPr="00F95529">
              <w:t xml:space="preserve"> </w:t>
            </w:r>
            <w:r w:rsidRPr="00F95529">
              <w:t xml:space="preserve">/ABCP is highly uncertain as discussed in paragraph </w:t>
            </w:r>
            <w:r w:rsidRPr="00F95529">
              <w:fldChar w:fldCharType="begin"/>
            </w:r>
            <w:r w:rsidRPr="00F95529">
              <w:instrText xml:space="preserve"> REF _Ref216445320 \r \h </w:instrText>
            </w:r>
            <w:r w:rsidR="00F95529" w:rsidRPr="00F95529">
              <w:instrText xml:space="preserve"> \* MERGEFORMAT </w:instrText>
            </w:r>
            <w:r w:rsidRPr="00F95529">
              <w:fldChar w:fldCharType="separate"/>
            </w:r>
            <w:r w:rsidR="00A572FC">
              <w:t>6.48</w:t>
            </w:r>
            <w:r w:rsidRPr="00F95529">
              <w:fldChar w:fldCharType="end"/>
            </w:r>
            <w:r w:rsidRPr="00F95529">
              <w:t xml:space="preserve">. </w:t>
            </w:r>
          </w:p>
          <w:p w14:paraId="45F1260B" w14:textId="77777777" w:rsidR="00E50A74" w:rsidRPr="00F95529" w:rsidRDefault="00E50A74" w:rsidP="00530866">
            <w:pPr>
              <w:pStyle w:val="TableText0"/>
              <w:keepNext w:val="0"/>
              <w:keepLines w:val="0"/>
            </w:pPr>
          </w:p>
          <w:p w14:paraId="4F4D3F39" w14:textId="66ED2739" w:rsidR="00E50A74" w:rsidRPr="00F95529" w:rsidRDefault="00E50A74" w:rsidP="00530866">
            <w:pPr>
              <w:pStyle w:val="TableText0"/>
              <w:keepNext w:val="0"/>
              <w:keepLines w:val="0"/>
            </w:pPr>
            <w:r w:rsidRPr="00F95529">
              <w:rPr>
                <w:lang w:bidi="fa-IR"/>
              </w:rPr>
              <w:t>For example, applying the Weibull and gamma distributions for AmiCP and CP/ABCP respectively would result in a more conservative extrapolation and would increase the ICER from $</w:t>
            </w:r>
            <w:r w:rsidR="00C87B5E" w:rsidRPr="00C87B5E">
              <w:rPr>
                <w:sz w:val="2"/>
                <w:highlight w:val="black"/>
                <w:lang w:bidi="fa-IR"/>
              </w:rPr>
              <w:t>redacted content</w:t>
            </w:r>
            <w:r w:rsidR="00357631">
              <w:rPr>
                <w:vertAlign w:val="superscript"/>
                <w:lang w:bidi="fa-IR"/>
              </w:rPr>
              <w:t>1</w:t>
            </w:r>
            <w:r w:rsidRPr="00F95529">
              <w:rPr>
                <w:lang w:bidi="fa-IR"/>
              </w:rPr>
              <w:t>/QALY gained to $</w:t>
            </w:r>
            <w:r w:rsidR="00C87B5E" w:rsidRPr="00C87B5E">
              <w:rPr>
                <w:sz w:val="2"/>
                <w:highlight w:val="black"/>
                <w:lang w:bidi="fa-IR"/>
              </w:rPr>
              <w:t>redacted content</w:t>
            </w:r>
            <w:r w:rsidR="002E5862">
              <w:rPr>
                <w:vertAlign w:val="superscript"/>
                <w:lang w:bidi="fa-IR"/>
              </w:rPr>
              <w:t>2</w:t>
            </w:r>
            <w:r w:rsidRPr="00F95529">
              <w:rPr>
                <w:lang w:bidi="fa-IR"/>
              </w:rPr>
              <w:t>/QALY gained (+</w:t>
            </w:r>
            <w:r w:rsidR="00C87B5E" w:rsidRPr="00C87B5E">
              <w:rPr>
                <w:sz w:val="2"/>
                <w:highlight w:val="black"/>
                <w:lang w:bidi="fa-IR"/>
              </w:rPr>
              <w:t>redacted content</w:t>
            </w:r>
            <w:r w:rsidRPr="00F95529">
              <w:rPr>
                <w:lang w:bidi="fa-IR"/>
              </w:rPr>
              <w:t>%).</w:t>
            </w:r>
          </w:p>
        </w:tc>
      </w:tr>
      <w:tr w:rsidR="00E50A74" w:rsidRPr="00F95529" w14:paraId="4A406BF0" w14:textId="77777777" w:rsidTr="00E228BF">
        <w:trPr>
          <w:tblHeader/>
        </w:trPr>
        <w:tc>
          <w:tcPr>
            <w:tcW w:w="626" w:type="pct"/>
            <w:vAlign w:val="center"/>
          </w:tcPr>
          <w:p w14:paraId="7BE56501" w14:textId="77777777" w:rsidR="00E50A74" w:rsidRPr="00F95529" w:rsidRDefault="00E50A74" w:rsidP="00530866">
            <w:pPr>
              <w:pStyle w:val="TableText0"/>
              <w:keepNext w:val="0"/>
              <w:keepLines w:val="0"/>
            </w:pPr>
            <w:r w:rsidRPr="00F95529">
              <w:t>ABCP/CP comparator split</w:t>
            </w:r>
          </w:p>
        </w:tc>
        <w:tc>
          <w:tcPr>
            <w:tcW w:w="2201" w:type="pct"/>
            <w:vAlign w:val="center"/>
          </w:tcPr>
          <w:p w14:paraId="2A60BFBD" w14:textId="1D4896B1" w:rsidR="00E50A74" w:rsidRPr="00F95529" w:rsidRDefault="00E50A74" w:rsidP="00530866">
            <w:pPr>
              <w:pStyle w:val="TableText0"/>
              <w:keepNext w:val="0"/>
              <w:keepLines w:val="0"/>
            </w:pPr>
            <w:r w:rsidRPr="00F95529">
              <w:t xml:space="preserve">83.1% ABCP and 16.9% CP. Issues relating to the proposed comparator split are discussed in paragraph </w:t>
            </w:r>
            <w:r w:rsidRPr="00F95529">
              <w:fldChar w:fldCharType="begin"/>
            </w:r>
            <w:r w:rsidRPr="00F95529">
              <w:instrText xml:space="preserve"> REF _Ref216274431 \r \h  \* MERGEFORMAT </w:instrText>
            </w:r>
            <w:r w:rsidRPr="00F95529">
              <w:fldChar w:fldCharType="separate"/>
            </w:r>
            <w:r w:rsidR="00A572FC">
              <w:t>5.4</w:t>
            </w:r>
            <w:r w:rsidRPr="00F95529">
              <w:fldChar w:fldCharType="end"/>
            </w:r>
            <w:r w:rsidRPr="00F95529">
              <w:t>. The comparator split is skewed towards ABCP and favours AmiCP.</w:t>
            </w:r>
            <w:r w:rsidR="00807331">
              <w:t xml:space="preserve"> </w:t>
            </w:r>
          </w:p>
        </w:tc>
        <w:tc>
          <w:tcPr>
            <w:tcW w:w="2173" w:type="pct"/>
            <w:vAlign w:val="center"/>
          </w:tcPr>
          <w:p w14:paraId="5CA8908C" w14:textId="77777777" w:rsidR="00E50A74" w:rsidRPr="00F95529" w:rsidRDefault="00E50A74" w:rsidP="00530866">
            <w:pPr>
              <w:pStyle w:val="TableText0"/>
              <w:keepNext w:val="0"/>
              <w:keepLines w:val="0"/>
            </w:pPr>
            <w:r w:rsidRPr="00F95529">
              <w:t>High, favours AmiCP.</w:t>
            </w:r>
          </w:p>
          <w:p w14:paraId="49BE315C" w14:textId="77777777" w:rsidR="00E50A74" w:rsidRPr="00F95529" w:rsidRDefault="00E50A74" w:rsidP="00530866">
            <w:pPr>
              <w:pStyle w:val="TableText0"/>
              <w:keepNext w:val="0"/>
              <w:keepLines w:val="0"/>
            </w:pPr>
          </w:p>
          <w:p w14:paraId="09F04276" w14:textId="77777777" w:rsidR="00331E82" w:rsidRPr="00F95529" w:rsidRDefault="00331E82" w:rsidP="00530866">
            <w:pPr>
              <w:pStyle w:val="TableText0"/>
              <w:keepNext w:val="0"/>
              <w:keepLines w:val="0"/>
            </w:pPr>
          </w:p>
          <w:p w14:paraId="207882D8" w14:textId="14F65C6F" w:rsidR="00E50A74" w:rsidRPr="00F95529" w:rsidRDefault="00A37DCA" w:rsidP="00530866">
            <w:pPr>
              <w:pStyle w:val="TableText0"/>
              <w:keepNext w:val="0"/>
              <w:keepLines w:val="0"/>
            </w:pPr>
            <w:r>
              <w:t>A</w:t>
            </w:r>
            <w:r w:rsidR="00B130C1" w:rsidRPr="00F95529">
              <w:t xml:space="preserve">pplying ABCP 30% / </w:t>
            </w:r>
            <w:r w:rsidR="00082D1D" w:rsidRPr="00F95529">
              <w:t>70%</w:t>
            </w:r>
            <w:r w:rsidR="00B130C1" w:rsidRPr="00F95529">
              <w:t xml:space="preserve"> CP increased the ICER to $</w:t>
            </w:r>
            <w:r w:rsidR="00C87B5E" w:rsidRPr="00C87B5E">
              <w:rPr>
                <w:sz w:val="2"/>
                <w:highlight w:val="black"/>
              </w:rPr>
              <w:t>redacted content</w:t>
            </w:r>
            <w:r w:rsidR="00CD34D4">
              <w:rPr>
                <w:vertAlign w:val="superscript"/>
              </w:rPr>
              <w:t>3</w:t>
            </w:r>
            <w:r w:rsidR="00B130C1" w:rsidRPr="00F95529">
              <w:t xml:space="preserve"> (</w:t>
            </w:r>
            <w:r w:rsidR="00B130C1" w:rsidRPr="00620FBB">
              <w:t>+</w:t>
            </w:r>
            <w:r w:rsidR="00C87B5E" w:rsidRPr="00C87B5E">
              <w:rPr>
                <w:sz w:val="2"/>
                <w:highlight w:val="black"/>
              </w:rPr>
              <w:t>redacted content</w:t>
            </w:r>
            <w:r w:rsidR="00E66810">
              <w:t>%</w:t>
            </w:r>
            <w:r w:rsidR="00000665">
              <w:t>)</w:t>
            </w:r>
          </w:p>
        </w:tc>
      </w:tr>
    </w:tbl>
    <w:p w14:paraId="2479BD5E" w14:textId="77777777" w:rsidR="00E50A74" w:rsidRDefault="00E50A74" w:rsidP="00530866">
      <w:pPr>
        <w:pStyle w:val="TableFigureFooter"/>
      </w:pPr>
      <w:r w:rsidRPr="0098262F">
        <w:t xml:space="preserve">Source: </w:t>
      </w:r>
      <w:r w:rsidRPr="00334D16">
        <w:t>Tables 3.39</w:t>
      </w:r>
      <w:r>
        <w:t>-</w:t>
      </w:r>
      <w:r w:rsidRPr="00334D16">
        <w:t>3.43 of the submission.</w:t>
      </w:r>
    </w:p>
    <w:p w14:paraId="6D627731" w14:textId="77777777" w:rsidR="00E50A74" w:rsidRDefault="00E50A74" w:rsidP="00530866">
      <w:pPr>
        <w:pStyle w:val="TableFigureFooter"/>
      </w:pPr>
      <w:r>
        <w:t xml:space="preserve">Abbreviations: ABCP = atezolizumab plus bevacizumab plus carboplatin plus paclitaxel; AmiCP = amivantamab plus carboplatin plus pemetrexed; CP = carboplatin plus pemetrexed; DUSC = Drug Utilisation Sub-Committee; EQ-5D-5L = </w:t>
      </w:r>
      <w:bookmarkStart w:id="85" w:name="_Int_WYFzeUjM"/>
      <w:r>
        <w:t>EuroQol</w:t>
      </w:r>
      <w:bookmarkEnd w:id="85"/>
      <w:r>
        <w:t xml:space="preserve"> 5-dimension 5-level questionnaire; ICER = incremental cost-effectiveness ratio; KM = Kaplan–Meier; OS = overall survival; PBAC = Pharmaceutical Benefits Advisory Committee; PBS = Pharmaceutical Benefits Scheme; PFS = progression free survival; QALY = quality-adjusted life year; TTTD = time to treatment discontinuation </w:t>
      </w:r>
    </w:p>
    <w:p w14:paraId="75838DE8" w14:textId="26911292" w:rsidR="00E50A74" w:rsidRDefault="00E50A74" w:rsidP="00530866">
      <w:pPr>
        <w:pStyle w:val="TableFigureFooter"/>
      </w:pPr>
      <w:r>
        <w:rPr>
          <w:vertAlign w:val="superscript"/>
        </w:rPr>
        <w:t>a</w:t>
      </w:r>
      <w:r>
        <w:t xml:space="preserve"> ICER based on 50% published price of atezolizumab and comparator split of ABCP/</w:t>
      </w:r>
      <w:r w:rsidR="00CE0A18">
        <w:t>PDC</w:t>
      </w:r>
      <w:r>
        <w:t xml:space="preserve"> </w:t>
      </w:r>
      <w:r w:rsidRPr="00DF575C">
        <w:t>83.1%</w:t>
      </w:r>
      <w:r>
        <w:t>/16.9%</w:t>
      </w:r>
    </w:p>
    <w:p w14:paraId="52E7E7E7" w14:textId="34343456" w:rsidR="00E50A74" w:rsidRDefault="00E50A74" w:rsidP="00530866">
      <w:pPr>
        <w:pStyle w:val="TableFigureFooter"/>
      </w:pPr>
      <w:r>
        <w:rPr>
          <w:vertAlign w:val="superscript"/>
        </w:rPr>
        <w:t>b</w:t>
      </w:r>
      <w:r>
        <w:t xml:space="preserve"> I</w:t>
      </w:r>
      <w:r w:rsidRPr="006D387D">
        <w:t>nformed by previous PBAC decisions (para</w:t>
      </w:r>
      <w:r w:rsidR="00266F61">
        <w:t>graph</w:t>
      </w:r>
      <w:r w:rsidRPr="006D387D">
        <w:t xml:space="preserve"> 6.26, osimertinib, Public Summary Document, November 2023 PBAC meeting).</w:t>
      </w:r>
    </w:p>
    <w:p w14:paraId="164AFCC1" w14:textId="77777777" w:rsidR="00C86D0F" w:rsidRDefault="00E50A74" w:rsidP="00C86D0F">
      <w:pPr>
        <w:pStyle w:val="TableFigureFooter"/>
      </w:pPr>
      <w:r>
        <w:t xml:space="preserve">Note: As described in paragraphs </w:t>
      </w:r>
      <w:r>
        <w:fldChar w:fldCharType="begin"/>
      </w:r>
      <w:r>
        <w:instrText xml:space="preserve"> REF _Ref216446955 \r \h </w:instrText>
      </w:r>
      <w:r>
        <w:fldChar w:fldCharType="separate"/>
      </w:r>
      <w:r w:rsidR="00A572FC">
        <w:t>6.46</w:t>
      </w:r>
      <w:r>
        <w:fldChar w:fldCharType="end"/>
      </w:r>
      <w:r>
        <w:t xml:space="preserve"> and </w:t>
      </w:r>
      <w:r>
        <w:fldChar w:fldCharType="begin"/>
      </w:r>
      <w:r>
        <w:instrText xml:space="preserve"> REF _Ref216446957 \r \h </w:instrText>
      </w:r>
      <w:r>
        <w:fldChar w:fldCharType="separate"/>
      </w:r>
      <w:r w:rsidR="00A572FC">
        <w:t>6.46</w:t>
      </w:r>
      <w:r>
        <w:fldChar w:fldCharType="end"/>
      </w:r>
      <w:r>
        <w:t xml:space="preserve">, the submission’s approach of treating ABCP as equivalent to CP is likely </w:t>
      </w:r>
      <w:r w:rsidR="6A70F1DF">
        <w:t>to have</w:t>
      </w:r>
      <w:r>
        <w:t xml:space="preserve"> important implications on the ICER and this could not be tested during the evaluation due to structure of the model.</w:t>
      </w:r>
    </w:p>
    <w:p w14:paraId="1C2B1C36" w14:textId="6B49671D" w:rsidR="00C86D0F" w:rsidRPr="00C86D0F" w:rsidRDefault="00C86D0F" w:rsidP="00C86D0F">
      <w:pPr>
        <w:pStyle w:val="TableFigureFooter"/>
        <w:rPr>
          <w:bCs/>
          <w:i/>
          <w:iCs/>
        </w:rPr>
      </w:pPr>
      <w:r w:rsidRPr="00C86D0F">
        <w:rPr>
          <w:bCs/>
          <w:i/>
          <w:iCs/>
        </w:rPr>
        <w:t xml:space="preserve">The redacted values correspond to the following ranges: </w:t>
      </w:r>
    </w:p>
    <w:p w14:paraId="3CE615F7" w14:textId="04E608FE" w:rsidR="00C86D0F" w:rsidRPr="00C86D0F" w:rsidRDefault="00C86D0F" w:rsidP="00C86D0F">
      <w:pPr>
        <w:pStyle w:val="TableFigureFooter"/>
        <w:rPr>
          <w:i/>
        </w:rPr>
      </w:pPr>
      <w:r w:rsidRPr="00C86D0F">
        <w:rPr>
          <w:i/>
          <w:vertAlign w:val="superscript"/>
        </w:rPr>
        <w:t>1</w:t>
      </w:r>
      <w:r w:rsidRPr="00C86D0F">
        <w:rPr>
          <w:i/>
        </w:rPr>
        <w:t xml:space="preserve"> </w:t>
      </w:r>
      <w:r w:rsidR="00DC56B1" w:rsidRPr="00DC56B1">
        <w:rPr>
          <w:i/>
        </w:rPr>
        <w:t>$55,000 to &lt; $75,000</w:t>
      </w:r>
    </w:p>
    <w:p w14:paraId="61E5701B" w14:textId="54C6FCC9" w:rsidR="00C86D0F" w:rsidRPr="00C86D0F" w:rsidRDefault="00C86D0F" w:rsidP="00C86D0F">
      <w:pPr>
        <w:pStyle w:val="TableFigureFooter"/>
        <w:rPr>
          <w:i/>
        </w:rPr>
      </w:pPr>
      <w:r w:rsidRPr="00C86D0F">
        <w:rPr>
          <w:i/>
          <w:vertAlign w:val="superscript"/>
        </w:rPr>
        <w:t>2</w:t>
      </w:r>
      <w:r w:rsidRPr="00C86D0F">
        <w:rPr>
          <w:i/>
        </w:rPr>
        <w:t xml:space="preserve"> </w:t>
      </w:r>
      <w:r w:rsidR="002E5862" w:rsidRPr="002E5862">
        <w:rPr>
          <w:i/>
        </w:rPr>
        <w:t>$115,000 to &lt; $135,000</w:t>
      </w:r>
    </w:p>
    <w:p w14:paraId="3A0AB1AC" w14:textId="6C296462" w:rsidR="00C86D0F" w:rsidRPr="00C86D0F" w:rsidRDefault="00C86D0F" w:rsidP="00C86D0F">
      <w:pPr>
        <w:pStyle w:val="TableFigureFooter"/>
        <w:rPr>
          <w:i/>
        </w:rPr>
      </w:pPr>
      <w:r w:rsidRPr="00C86D0F">
        <w:rPr>
          <w:i/>
          <w:vertAlign w:val="superscript"/>
        </w:rPr>
        <w:t>3</w:t>
      </w:r>
      <w:r w:rsidRPr="00C86D0F">
        <w:rPr>
          <w:i/>
        </w:rPr>
        <w:t xml:space="preserve"> </w:t>
      </w:r>
      <w:r w:rsidR="00CD34D4" w:rsidRPr="00CD34D4">
        <w:rPr>
          <w:i/>
        </w:rPr>
        <w:t>$155,000 to &lt; $255,000</w:t>
      </w:r>
    </w:p>
    <w:p w14:paraId="25B8750B" w14:textId="474EE29C" w:rsidR="00E50A74" w:rsidRPr="00EC5D8A" w:rsidRDefault="00E50A74" w:rsidP="00F65F5C">
      <w:pPr>
        <w:pStyle w:val="3-BodyText"/>
        <w:numPr>
          <w:ilvl w:val="0"/>
          <w:numId w:val="0"/>
        </w:numPr>
      </w:pPr>
    </w:p>
    <w:p w14:paraId="306EDE98" w14:textId="05CCFA49" w:rsidR="00E50A74" w:rsidRDefault="00E50A74" w:rsidP="00530866">
      <w:pPr>
        <w:pStyle w:val="3-BodyText"/>
      </w:pPr>
      <w:r w:rsidRPr="004D24EA">
        <w:t xml:space="preserve">The results of the stepped economic evaluation are presented in </w:t>
      </w:r>
      <w:r>
        <w:fldChar w:fldCharType="begin"/>
      </w:r>
      <w:r>
        <w:instrText xml:space="preserve"> REF _Ref216380201 \h  \* MERGEFORMAT </w:instrText>
      </w:r>
      <w:r>
        <w:fldChar w:fldCharType="separate"/>
      </w:r>
      <w:r w:rsidR="00A572FC" w:rsidRPr="00A572FC">
        <w:t>Table 12</w:t>
      </w:r>
      <w:r>
        <w:fldChar w:fldCharType="end"/>
      </w:r>
      <w:r>
        <w:t xml:space="preserve"> below</w:t>
      </w:r>
      <w:r w:rsidRPr="004D24EA">
        <w:t>.</w:t>
      </w:r>
    </w:p>
    <w:p w14:paraId="42912ADD" w14:textId="334979E8" w:rsidR="00E50A74" w:rsidRDefault="00D97D5A" w:rsidP="00530866">
      <w:pPr>
        <w:pStyle w:val="Caption"/>
        <w:rPr>
          <w:rStyle w:val="CommentReference"/>
          <w:b/>
          <w:szCs w:val="24"/>
        </w:rPr>
      </w:pPr>
      <w:r>
        <w:lastRenderedPageBreak/>
        <w:t xml:space="preserve">Table </w:t>
      </w:r>
      <w:fldSimple w:instr=" SEQ Table \* ARABIC ">
        <w:r>
          <w:rPr>
            <w:noProof/>
          </w:rPr>
          <w:t>12</w:t>
        </w:r>
      </w:fldSimple>
      <w:r w:rsidR="00E50A74" w:rsidRPr="0098262F">
        <w:rPr>
          <w:rStyle w:val="CommentReference"/>
          <w:b/>
          <w:szCs w:val="24"/>
        </w:rPr>
        <w:t>: Results of the stepped economic evaluation</w:t>
      </w:r>
    </w:p>
    <w:tbl>
      <w:tblPr>
        <w:tblStyle w:val="TableGrid"/>
        <w:tblW w:w="5000" w:type="pct"/>
        <w:tblLook w:val="04A0" w:firstRow="1" w:lastRow="0" w:firstColumn="1" w:lastColumn="0" w:noHBand="0" w:noVBand="1"/>
        <w:tblCaption w:val="Table 12: Results of the stepped economic evaluation"/>
      </w:tblPr>
      <w:tblGrid>
        <w:gridCol w:w="2154"/>
        <w:gridCol w:w="1057"/>
        <w:gridCol w:w="949"/>
        <w:gridCol w:w="1057"/>
        <w:gridCol w:w="1762"/>
        <w:gridCol w:w="2038"/>
      </w:tblGrid>
      <w:tr w:rsidR="00E50A74" w:rsidRPr="00F95529" w14:paraId="0922C7E9" w14:textId="77777777" w:rsidTr="79174808">
        <w:tc>
          <w:tcPr>
            <w:tcW w:w="1195" w:type="pct"/>
            <w:hideMark/>
          </w:tcPr>
          <w:p w14:paraId="5626431D" w14:textId="77777777" w:rsidR="00E50A74" w:rsidRPr="00F95529" w:rsidRDefault="00E50A74" w:rsidP="00530866">
            <w:pPr>
              <w:pStyle w:val="TableText0"/>
              <w:rPr>
                <w:b/>
                <w:bCs w:val="0"/>
              </w:rPr>
            </w:pPr>
            <w:r w:rsidRPr="00F95529">
              <w:rPr>
                <w:b/>
                <w:bCs w:val="0"/>
              </w:rPr>
              <w:t>Step and component</w:t>
            </w:r>
          </w:p>
        </w:tc>
        <w:tc>
          <w:tcPr>
            <w:tcW w:w="586" w:type="pct"/>
            <w:hideMark/>
          </w:tcPr>
          <w:p w14:paraId="14E99FC8" w14:textId="79E61784" w:rsidR="00E50A74" w:rsidRPr="00F95529" w:rsidRDefault="00E50A74" w:rsidP="00530866">
            <w:pPr>
              <w:pStyle w:val="TableText0"/>
              <w:rPr>
                <w:b/>
                <w:bCs w:val="0"/>
              </w:rPr>
            </w:pPr>
            <w:r w:rsidRPr="00F95529">
              <w:rPr>
                <w:b/>
                <w:bCs w:val="0"/>
              </w:rPr>
              <w:t xml:space="preserve">AmiCP </w:t>
            </w:r>
          </w:p>
        </w:tc>
        <w:tc>
          <w:tcPr>
            <w:tcW w:w="526" w:type="pct"/>
            <w:hideMark/>
          </w:tcPr>
          <w:p w14:paraId="61A372E0" w14:textId="098E5455" w:rsidR="00E50A74" w:rsidRPr="00F95529" w:rsidRDefault="00E50A74" w:rsidP="00530866">
            <w:pPr>
              <w:pStyle w:val="TableText0"/>
              <w:rPr>
                <w:b/>
                <w:bCs w:val="0"/>
              </w:rPr>
            </w:pPr>
            <w:r w:rsidRPr="00F95529">
              <w:rPr>
                <w:b/>
                <w:bCs w:val="0"/>
              </w:rPr>
              <w:t xml:space="preserve">CP </w:t>
            </w:r>
          </w:p>
        </w:tc>
        <w:tc>
          <w:tcPr>
            <w:tcW w:w="586" w:type="pct"/>
            <w:hideMark/>
          </w:tcPr>
          <w:p w14:paraId="567AF68E" w14:textId="0C9D1A43" w:rsidR="00E50A74" w:rsidRPr="00F95529" w:rsidRDefault="00E50A74" w:rsidP="00530866">
            <w:pPr>
              <w:pStyle w:val="TableText0"/>
              <w:rPr>
                <w:b/>
                <w:bCs w:val="0"/>
              </w:rPr>
            </w:pPr>
            <w:r w:rsidRPr="00F95529">
              <w:rPr>
                <w:b/>
                <w:bCs w:val="0"/>
              </w:rPr>
              <w:t xml:space="preserve">ABCP </w:t>
            </w:r>
          </w:p>
        </w:tc>
        <w:tc>
          <w:tcPr>
            <w:tcW w:w="977" w:type="pct"/>
            <w:hideMark/>
          </w:tcPr>
          <w:p w14:paraId="4651971A" w14:textId="77777777" w:rsidR="00E50A74" w:rsidRPr="00F95529" w:rsidRDefault="00E50A74" w:rsidP="00530866">
            <w:pPr>
              <w:pStyle w:val="TableText0"/>
              <w:rPr>
                <w:b/>
                <w:bCs w:val="0"/>
              </w:rPr>
            </w:pPr>
            <w:r w:rsidRPr="00F95529">
              <w:rPr>
                <w:b/>
                <w:bCs w:val="0"/>
              </w:rPr>
              <w:t>Increment vs CP</w:t>
            </w:r>
          </w:p>
        </w:tc>
        <w:tc>
          <w:tcPr>
            <w:tcW w:w="1130" w:type="pct"/>
            <w:hideMark/>
          </w:tcPr>
          <w:p w14:paraId="431EA167" w14:textId="77777777" w:rsidR="00E50A74" w:rsidRPr="00F95529" w:rsidRDefault="00E50A74" w:rsidP="00530866">
            <w:pPr>
              <w:pStyle w:val="TableText0"/>
              <w:rPr>
                <w:b/>
                <w:bCs w:val="0"/>
              </w:rPr>
            </w:pPr>
            <w:r w:rsidRPr="00F95529">
              <w:rPr>
                <w:b/>
                <w:bCs w:val="0"/>
              </w:rPr>
              <w:t>Increment vs ABCP</w:t>
            </w:r>
          </w:p>
        </w:tc>
      </w:tr>
      <w:tr w:rsidR="00E50A74" w:rsidRPr="00F95529" w14:paraId="77B38F59" w14:textId="77777777" w:rsidTr="79174808">
        <w:tc>
          <w:tcPr>
            <w:tcW w:w="5000" w:type="pct"/>
            <w:gridSpan w:val="6"/>
            <w:hideMark/>
          </w:tcPr>
          <w:p w14:paraId="165BE0CE" w14:textId="71D53975" w:rsidR="00E50A74" w:rsidRPr="00F95529" w:rsidRDefault="00E50A74" w:rsidP="00530866">
            <w:pPr>
              <w:pStyle w:val="TableText0"/>
              <w:rPr>
                <w:b/>
              </w:rPr>
            </w:pPr>
            <w:r w:rsidRPr="79174808">
              <w:rPr>
                <w:b/>
              </w:rPr>
              <w:t xml:space="preserve">Step 1: </w:t>
            </w:r>
            <w:r w:rsidR="5422871A" w:rsidRPr="79174808">
              <w:rPr>
                <w:b/>
              </w:rPr>
              <w:t>trial-based</w:t>
            </w:r>
            <w:r w:rsidRPr="79174808">
              <w:rPr>
                <w:b/>
              </w:rPr>
              <w:t xml:space="preserve"> analysis </w:t>
            </w:r>
          </w:p>
          <w:p w14:paraId="5DCC0A4A" w14:textId="77777777" w:rsidR="00E50A74" w:rsidRPr="00F95529" w:rsidRDefault="00E50A74" w:rsidP="00530866">
            <w:pPr>
              <w:pStyle w:val="TableText0"/>
            </w:pPr>
            <w:r w:rsidRPr="00F95529">
              <w:rPr>
                <w:b/>
                <w:bCs w:val="0"/>
              </w:rPr>
              <w:t>(18.1 months, no discounting; drug, administration and adverse event costs only)</w:t>
            </w:r>
          </w:p>
        </w:tc>
      </w:tr>
      <w:tr w:rsidR="00E50A74" w:rsidRPr="00F95529" w14:paraId="185D94D8" w14:textId="77777777" w:rsidTr="79174808">
        <w:tc>
          <w:tcPr>
            <w:tcW w:w="1195" w:type="pct"/>
            <w:hideMark/>
          </w:tcPr>
          <w:p w14:paraId="3E8F3AB3" w14:textId="77777777" w:rsidR="00E50A74" w:rsidRPr="00F95529" w:rsidRDefault="00E50A74" w:rsidP="00530866">
            <w:pPr>
              <w:pStyle w:val="TableText0"/>
            </w:pPr>
            <w:r w:rsidRPr="00F95529">
              <w:t>Costs</w:t>
            </w:r>
          </w:p>
        </w:tc>
        <w:tc>
          <w:tcPr>
            <w:tcW w:w="586" w:type="pct"/>
            <w:hideMark/>
          </w:tcPr>
          <w:p w14:paraId="17CBB820" w14:textId="4DAB8609" w:rsidR="00E50A74" w:rsidRPr="00F95529" w:rsidRDefault="00E50A74" w:rsidP="00530866">
            <w:pPr>
              <w:pStyle w:val="TableText0"/>
              <w:jc w:val="center"/>
            </w:pPr>
            <w:r w:rsidRPr="00F95529">
              <w:t>$</w:t>
            </w:r>
            <w:r w:rsidR="00C87B5E" w:rsidRPr="00C87B5E">
              <w:rPr>
                <w:sz w:val="2"/>
                <w:highlight w:val="black"/>
              </w:rPr>
              <w:t>redacted content</w:t>
            </w:r>
          </w:p>
        </w:tc>
        <w:tc>
          <w:tcPr>
            <w:tcW w:w="526" w:type="pct"/>
            <w:hideMark/>
          </w:tcPr>
          <w:p w14:paraId="7D6367F5" w14:textId="77777777" w:rsidR="00E50A74" w:rsidRPr="00DC06AB" w:rsidRDefault="00E50A74" w:rsidP="00530866">
            <w:pPr>
              <w:pStyle w:val="TableText0"/>
              <w:jc w:val="center"/>
            </w:pPr>
            <w:r w:rsidRPr="00DC06AB">
              <w:t>$3,320</w:t>
            </w:r>
          </w:p>
        </w:tc>
        <w:tc>
          <w:tcPr>
            <w:tcW w:w="586" w:type="pct"/>
            <w:hideMark/>
          </w:tcPr>
          <w:p w14:paraId="69981504" w14:textId="77777777" w:rsidR="00E50A74" w:rsidRPr="00DC06AB" w:rsidRDefault="00E50A74" w:rsidP="00530866">
            <w:pPr>
              <w:pStyle w:val="TableText0"/>
              <w:jc w:val="center"/>
            </w:pPr>
            <w:r w:rsidRPr="00DC06AB">
              <w:t>$37,182</w:t>
            </w:r>
          </w:p>
        </w:tc>
        <w:tc>
          <w:tcPr>
            <w:tcW w:w="977" w:type="pct"/>
            <w:hideMark/>
          </w:tcPr>
          <w:p w14:paraId="0A6B33C4" w14:textId="25346084" w:rsidR="00E50A74" w:rsidRPr="00F95529" w:rsidRDefault="00E50A74" w:rsidP="00530866">
            <w:pPr>
              <w:pStyle w:val="TableText0"/>
              <w:jc w:val="center"/>
            </w:pPr>
            <w:r w:rsidRPr="00F95529">
              <w:t>$</w:t>
            </w:r>
            <w:r w:rsidR="00C87B5E" w:rsidRPr="00C87B5E">
              <w:rPr>
                <w:sz w:val="2"/>
                <w:highlight w:val="black"/>
              </w:rPr>
              <w:t>redacted content</w:t>
            </w:r>
          </w:p>
        </w:tc>
        <w:tc>
          <w:tcPr>
            <w:tcW w:w="1130" w:type="pct"/>
            <w:hideMark/>
          </w:tcPr>
          <w:p w14:paraId="4DAD9C9A" w14:textId="49EED3D7" w:rsidR="00E50A74" w:rsidRPr="00F95529" w:rsidRDefault="00E50A74" w:rsidP="00530866">
            <w:pPr>
              <w:pStyle w:val="TableText0"/>
              <w:jc w:val="center"/>
            </w:pPr>
            <w:r w:rsidRPr="00F95529">
              <w:t>$</w:t>
            </w:r>
            <w:r w:rsidR="00C87B5E" w:rsidRPr="00C87B5E">
              <w:rPr>
                <w:sz w:val="2"/>
                <w:highlight w:val="black"/>
              </w:rPr>
              <w:t>redacted content</w:t>
            </w:r>
          </w:p>
        </w:tc>
      </w:tr>
      <w:tr w:rsidR="00E50A74" w:rsidRPr="00F95529" w14:paraId="77883CF7" w14:textId="77777777" w:rsidTr="79174808">
        <w:tc>
          <w:tcPr>
            <w:tcW w:w="1195" w:type="pct"/>
            <w:hideMark/>
          </w:tcPr>
          <w:p w14:paraId="5923CE3A" w14:textId="77777777" w:rsidR="00E50A74" w:rsidRPr="00F95529" w:rsidRDefault="00E50A74" w:rsidP="00530866">
            <w:pPr>
              <w:pStyle w:val="TableText0"/>
            </w:pPr>
            <w:r w:rsidRPr="00F95529">
              <w:t>LYs</w:t>
            </w:r>
          </w:p>
        </w:tc>
        <w:tc>
          <w:tcPr>
            <w:tcW w:w="586" w:type="pct"/>
            <w:hideMark/>
          </w:tcPr>
          <w:p w14:paraId="4DAB63E8" w14:textId="77777777" w:rsidR="00E50A74" w:rsidRPr="002000DC" w:rsidRDefault="00E50A74" w:rsidP="00530866">
            <w:pPr>
              <w:pStyle w:val="TableText0"/>
              <w:jc w:val="center"/>
            </w:pPr>
            <w:r w:rsidRPr="002000DC">
              <w:t>1.212</w:t>
            </w:r>
          </w:p>
        </w:tc>
        <w:tc>
          <w:tcPr>
            <w:tcW w:w="526" w:type="pct"/>
            <w:hideMark/>
          </w:tcPr>
          <w:p w14:paraId="43249725" w14:textId="77777777" w:rsidR="00E50A74" w:rsidRPr="002000DC" w:rsidRDefault="00E50A74" w:rsidP="00530866">
            <w:pPr>
              <w:pStyle w:val="TableText0"/>
              <w:jc w:val="center"/>
            </w:pPr>
            <w:r w:rsidRPr="002000DC">
              <w:t>1.116</w:t>
            </w:r>
          </w:p>
        </w:tc>
        <w:tc>
          <w:tcPr>
            <w:tcW w:w="586" w:type="pct"/>
            <w:hideMark/>
          </w:tcPr>
          <w:p w14:paraId="6DC73470" w14:textId="77777777" w:rsidR="00E50A74" w:rsidRPr="002000DC" w:rsidRDefault="00E50A74" w:rsidP="00530866">
            <w:pPr>
              <w:pStyle w:val="TableText0"/>
              <w:jc w:val="center"/>
            </w:pPr>
            <w:r w:rsidRPr="002000DC">
              <w:t>1.116</w:t>
            </w:r>
          </w:p>
        </w:tc>
        <w:tc>
          <w:tcPr>
            <w:tcW w:w="977" w:type="pct"/>
            <w:hideMark/>
          </w:tcPr>
          <w:p w14:paraId="0E33B044" w14:textId="77777777" w:rsidR="00E50A74" w:rsidRPr="002000DC" w:rsidRDefault="00E50A74" w:rsidP="00530866">
            <w:pPr>
              <w:pStyle w:val="TableText0"/>
              <w:jc w:val="center"/>
            </w:pPr>
            <w:r w:rsidRPr="002000DC">
              <w:t>0.096</w:t>
            </w:r>
          </w:p>
        </w:tc>
        <w:tc>
          <w:tcPr>
            <w:tcW w:w="1130" w:type="pct"/>
            <w:hideMark/>
          </w:tcPr>
          <w:p w14:paraId="6FFDD2AD" w14:textId="77777777" w:rsidR="00E50A74" w:rsidRPr="002000DC" w:rsidRDefault="00E50A74" w:rsidP="00530866">
            <w:pPr>
              <w:pStyle w:val="TableText0"/>
              <w:jc w:val="center"/>
            </w:pPr>
            <w:r w:rsidRPr="002000DC">
              <w:t xml:space="preserve">0.096 </w:t>
            </w:r>
          </w:p>
        </w:tc>
      </w:tr>
      <w:tr w:rsidR="00E50A74" w:rsidRPr="00F95529" w14:paraId="2ED71CAA" w14:textId="77777777" w:rsidTr="79174808">
        <w:tc>
          <w:tcPr>
            <w:tcW w:w="2893" w:type="pct"/>
            <w:gridSpan w:val="4"/>
            <w:hideMark/>
          </w:tcPr>
          <w:p w14:paraId="4097D554" w14:textId="77777777" w:rsidR="00E50A74" w:rsidRPr="002000DC" w:rsidRDefault="00E50A74" w:rsidP="00530866">
            <w:pPr>
              <w:pStyle w:val="TableText0"/>
              <w:jc w:val="right"/>
            </w:pPr>
            <w:r w:rsidRPr="002000DC">
              <w:t>Incremental cost per LY gained</w:t>
            </w:r>
          </w:p>
        </w:tc>
        <w:tc>
          <w:tcPr>
            <w:tcW w:w="977" w:type="pct"/>
            <w:hideMark/>
          </w:tcPr>
          <w:p w14:paraId="1BDFCC43" w14:textId="748F4289" w:rsidR="00E50A74" w:rsidRPr="002000DC" w:rsidRDefault="00E50A74" w:rsidP="00530866">
            <w:pPr>
              <w:pStyle w:val="TableText0"/>
              <w:jc w:val="center"/>
            </w:pPr>
            <w:r w:rsidRPr="002000DC">
              <w:t>$</w:t>
            </w:r>
            <w:r w:rsidR="00C87B5E" w:rsidRPr="00C87B5E">
              <w:rPr>
                <w:sz w:val="2"/>
                <w:highlight w:val="black"/>
              </w:rPr>
              <w:t>redacted content</w:t>
            </w:r>
            <w:r w:rsidR="0005381D" w:rsidRPr="0005381D">
              <w:rPr>
                <w:vertAlign w:val="superscript"/>
              </w:rPr>
              <w:t>1</w:t>
            </w:r>
            <w:r w:rsidRPr="002000DC">
              <w:t xml:space="preserve"> </w:t>
            </w:r>
          </w:p>
        </w:tc>
        <w:tc>
          <w:tcPr>
            <w:tcW w:w="1130" w:type="pct"/>
            <w:hideMark/>
          </w:tcPr>
          <w:p w14:paraId="2550FBC3" w14:textId="731E278D" w:rsidR="00E50A74" w:rsidRPr="002000DC" w:rsidRDefault="00E50A74" w:rsidP="00530866">
            <w:pPr>
              <w:pStyle w:val="TableText0"/>
              <w:jc w:val="center"/>
            </w:pPr>
            <w:r w:rsidRPr="002000DC">
              <w:t>$</w:t>
            </w:r>
            <w:r w:rsidR="00C87B5E" w:rsidRPr="00C87B5E">
              <w:rPr>
                <w:sz w:val="2"/>
                <w:highlight w:val="black"/>
              </w:rPr>
              <w:t>redacted content</w:t>
            </w:r>
            <w:r w:rsidR="00BD6223" w:rsidRPr="00BD6223">
              <w:rPr>
                <w:vertAlign w:val="superscript"/>
              </w:rPr>
              <w:t>2</w:t>
            </w:r>
            <w:r w:rsidRPr="002000DC">
              <w:t xml:space="preserve"> </w:t>
            </w:r>
          </w:p>
        </w:tc>
      </w:tr>
      <w:tr w:rsidR="00E50A74" w:rsidRPr="00F95529" w14:paraId="58D8AFD5" w14:textId="77777777" w:rsidTr="79174808">
        <w:tc>
          <w:tcPr>
            <w:tcW w:w="2893" w:type="pct"/>
            <w:gridSpan w:val="4"/>
          </w:tcPr>
          <w:p w14:paraId="0D7381C6" w14:textId="77777777" w:rsidR="00E50A74" w:rsidRPr="002000DC" w:rsidRDefault="00E50A74" w:rsidP="00530866">
            <w:pPr>
              <w:pStyle w:val="TableText0"/>
              <w:jc w:val="right"/>
              <w:rPr>
                <w:b/>
                <w:bCs w:val="0"/>
                <w:vertAlign w:val="superscript"/>
              </w:rPr>
            </w:pPr>
            <w:r w:rsidRPr="002000DC">
              <w:rPr>
                <w:b/>
                <w:bCs w:val="0"/>
              </w:rPr>
              <w:t xml:space="preserve">Weighted ICER </w:t>
            </w:r>
            <w:r w:rsidRPr="002000DC">
              <w:rPr>
                <w:b/>
                <w:bCs w:val="0"/>
                <w:vertAlign w:val="superscript"/>
              </w:rPr>
              <w:t>a</w:t>
            </w:r>
          </w:p>
        </w:tc>
        <w:tc>
          <w:tcPr>
            <w:tcW w:w="2107" w:type="pct"/>
            <w:gridSpan w:val="2"/>
          </w:tcPr>
          <w:p w14:paraId="23463E81" w14:textId="4411F83E" w:rsidR="00E50A74" w:rsidRPr="002000DC" w:rsidRDefault="00E50A74" w:rsidP="00530866">
            <w:pPr>
              <w:pStyle w:val="TableText0"/>
              <w:jc w:val="center"/>
              <w:rPr>
                <w:b/>
                <w:bCs w:val="0"/>
              </w:rPr>
            </w:pPr>
            <w:r w:rsidRPr="002000DC">
              <w:rPr>
                <w:b/>
                <w:bCs w:val="0"/>
              </w:rPr>
              <w:t>$</w:t>
            </w:r>
            <w:r w:rsidR="00C87B5E" w:rsidRPr="00C87B5E">
              <w:rPr>
                <w:b/>
                <w:bCs w:val="0"/>
                <w:sz w:val="2"/>
                <w:highlight w:val="black"/>
              </w:rPr>
              <w:t>redacted content</w:t>
            </w:r>
            <w:r w:rsidR="00A217EE" w:rsidRPr="00A217EE">
              <w:rPr>
                <w:b/>
                <w:bCs w:val="0"/>
                <w:vertAlign w:val="superscript"/>
              </w:rPr>
              <w:t>3</w:t>
            </w:r>
            <w:r w:rsidRPr="002000DC">
              <w:rPr>
                <w:b/>
                <w:bCs w:val="0"/>
              </w:rPr>
              <w:t xml:space="preserve"> per LY</w:t>
            </w:r>
          </w:p>
        </w:tc>
      </w:tr>
      <w:tr w:rsidR="00E50A74" w:rsidRPr="00F95529" w14:paraId="699105EF" w14:textId="77777777" w:rsidTr="79174808">
        <w:tc>
          <w:tcPr>
            <w:tcW w:w="5000" w:type="pct"/>
            <w:gridSpan w:val="6"/>
            <w:hideMark/>
          </w:tcPr>
          <w:p w14:paraId="0BDE5779" w14:textId="77777777" w:rsidR="00E50A74" w:rsidRPr="002000DC" w:rsidRDefault="00E50A74" w:rsidP="00530866">
            <w:pPr>
              <w:pStyle w:val="TableText0"/>
              <w:rPr>
                <w:b/>
                <w:bCs w:val="0"/>
              </w:rPr>
            </w:pPr>
            <w:r w:rsidRPr="002000DC">
              <w:rPr>
                <w:b/>
                <w:bCs w:val="0"/>
              </w:rPr>
              <w:t>Step 2: lifetime analysis (7</w:t>
            </w:r>
            <w:r w:rsidRPr="002000DC">
              <w:rPr>
                <w:b/>
                <w:bCs w:val="0"/>
              </w:rPr>
              <w:noBreakHyphen/>
              <w:t>year horizon)</w:t>
            </w:r>
          </w:p>
          <w:p w14:paraId="6BCE6F4E" w14:textId="6DB8A171" w:rsidR="00E50A74" w:rsidRPr="002000DC" w:rsidRDefault="00E50A74" w:rsidP="00530866">
            <w:pPr>
              <w:pStyle w:val="TableText0"/>
              <w:rPr>
                <w:b/>
              </w:rPr>
            </w:pPr>
            <w:r w:rsidRPr="79174808">
              <w:rPr>
                <w:b/>
              </w:rPr>
              <w:t xml:space="preserve">5% discounting, inclusion of </w:t>
            </w:r>
            <w:r w:rsidR="3997F94F" w:rsidRPr="79174808">
              <w:rPr>
                <w:b/>
              </w:rPr>
              <w:t>third line</w:t>
            </w:r>
            <w:r w:rsidRPr="79174808">
              <w:rPr>
                <w:b/>
              </w:rPr>
              <w:t xml:space="preserve"> and end</w:t>
            </w:r>
            <w:r w:rsidR="6B17DA90" w:rsidRPr="79174808">
              <w:rPr>
                <w:b/>
              </w:rPr>
              <w:t xml:space="preserve"> </w:t>
            </w:r>
            <w:r w:rsidRPr="79174808">
              <w:rPr>
                <w:b/>
              </w:rPr>
              <w:t>of</w:t>
            </w:r>
            <w:r w:rsidR="6B17DA90" w:rsidRPr="79174808">
              <w:rPr>
                <w:b/>
              </w:rPr>
              <w:t xml:space="preserve"> </w:t>
            </w:r>
            <w:r w:rsidRPr="79174808">
              <w:rPr>
                <w:b/>
              </w:rPr>
              <w:t>life costs</w:t>
            </w:r>
          </w:p>
        </w:tc>
      </w:tr>
      <w:tr w:rsidR="00E50A74" w:rsidRPr="00F95529" w14:paraId="68C5EE16" w14:textId="77777777" w:rsidTr="79174808">
        <w:tc>
          <w:tcPr>
            <w:tcW w:w="1195" w:type="pct"/>
            <w:hideMark/>
          </w:tcPr>
          <w:p w14:paraId="7B9D92BD" w14:textId="77777777" w:rsidR="00E50A74" w:rsidRPr="00F95529" w:rsidRDefault="00E50A74" w:rsidP="00530866">
            <w:pPr>
              <w:pStyle w:val="TableText0"/>
            </w:pPr>
            <w:r w:rsidRPr="00F95529">
              <w:t>Costs</w:t>
            </w:r>
          </w:p>
        </w:tc>
        <w:tc>
          <w:tcPr>
            <w:tcW w:w="586" w:type="pct"/>
            <w:hideMark/>
          </w:tcPr>
          <w:p w14:paraId="67135298" w14:textId="77A944DD" w:rsidR="00E50A74" w:rsidRPr="002000DC" w:rsidRDefault="00E50A74" w:rsidP="00530866">
            <w:pPr>
              <w:pStyle w:val="TableText0"/>
              <w:jc w:val="center"/>
            </w:pPr>
            <w:r w:rsidRPr="002000DC">
              <w:t>$</w:t>
            </w:r>
            <w:r w:rsidR="00C87B5E" w:rsidRPr="00C87B5E">
              <w:rPr>
                <w:sz w:val="2"/>
                <w:highlight w:val="black"/>
              </w:rPr>
              <w:t>redacted content</w:t>
            </w:r>
          </w:p>
        </w:tc>
        <w:tc>
          <w:tcPr>
            <w:tcW w:w="526" w:type="pct"/>
            <w:hideMark/>
          </w:tcPr>
          <w:p w14:paraId="6B548DD2" w14:textId="77777777" w:rsidR="00E50A74" w:rsidRPr="00DC06AB" w:rsidRDefault="00E50A74" w:rsidP="00530866">
            <w:pPr>
              <w:pStyle w:val="TableText0"/>
              <w:jc w:val="center"/>
            </w:pPr>
            <w:r w:rsidRPr="00DC06AB">
              <w:t>$64,017</w:t>
            </w:r>
          </w:p>
        </w:tc>
        <w:tc>
          <w:tcPr>
            <w:tcW w:w="586" w:type="pct"/>
            <w:hideMark/>
          </w:tcPr>
          <w:p w14:paraId="25D1B41E" w14:textId="77777777" w:rsidR="00E50A74" w:rsidRPr="00DC06AB" w:rsidRDefault="00E50A74" w:rsidP="00530866">
            <w:pPr>
              <w:pStyle w:val="TableText0"/>
              <w:jc w:val="center"/>
            </w:pPr>
            <w:r w:rsidRPr="00DC06AB">
              <w:t>$102,410</w:t>
            </w:r>
          </w:p>
        </w:tc>
        <w:tc>
          <w:tcPr>
            <w:tcW w:w="977" w:type="pct"/>
            <w:hideMark/>
          </w:tcPr>
          <w:p w14:paraId="78F79C11" w14:textId="772A6840" w:rsidR="00E50A74" w:rsidRPr="002000DC" w:rsidRDefault="00E50A74" w:rsidP="00530866">
            <w:pPr>
              <w:pStyle w:val="TableText0"/>
              <w:jc w:val="center"/>
            </w:pPr>
            <w:r w:rsidRPr="002000DC">
              <w:t>$</w:t>
            </w:r>
            <w:r w:rsidR="00C87B5E" w:rsidRPr="00C87B5E">
              <w:rPr>
                <w:sz w:val="2"/>
                <w:highlight w:val="black"/>
              </w:rPr>
              <w:t>redacted content</w:t>
            </w:r>
          </w:p>
        </w:tc>
        <w:tc>
          <w:tcPr>
            <w:tcW w:w="1130" w:type="pct"/>
            <w:hideMark/>
          </w:tcPr>
          <w:p w14:paraId="4E2B28B8" w14:textId="45158833" w:rsidR="00E50A74" w:rsidRPr="002000DC" w:rsidRDefault="00E50A74" w:rsidP="00530866">
            <w:pPr>
              <w:pStyle w:val="TableText0"/>
              <w:jc w:val="center"/>
            </w:pPr>
            <w:r w:rsidRPr="002000DC">
              <w:t>$</w:t>
            </w:r>
            <w:r w:rsidR="00C87B5E" w:rsidRPr="00C87B5E">
              <w:rPr>
                <w:sz w:val="2"/>
                <w:highlight w:val="black"/>
              </w:rPr>
              <w:t>redacted content</w:t>
            </w:r>
          </w:p>
        </w:tc>
      </w:tr>
      <w:tr w:rsidR="00E50A74" w:rsidRPr="00F95529" w14:paraId="19CBCF88" w14:textId="77777777" w:rsidTr="79174808">
        <w:tc>
          <w:tcPr>
            <w:tcW w:w="1195" w:type="pct"/>
            <w:hideMark/>
          </w:tcPr>
          <w:p w14:paraId="0C4BBAA1" w14:textId="77777777" w:rsidR="00E50A74" w:rsidRPr="00F95529" w:rsidRDefault="00E50A74" w:rsidP="00530866">
            <w:pPr>
              <w:pStyle w:val="TableText0"/>
            </w:pPr>
            <w:r w:rsidRPr="00F95529">
              <w:t>LYs</w:t>
            </w:r>
          </w:p>
        </w:tc>
        <w:tc>
          <w:tcPr>
            <w:tcW w:w="586" w:type="pct"/>
            <w:hideMark/>
          </w:tcPr>
          <w:p w14:paraId="504376E6" w14:textId="77777777" w:rsidR="00E50A74" w:rsidRPr="002000DC" w:rsidRDefault="00E50A74" w:rsidP="00530866">
            <w:pPr>
              <w:pStyle w:val="TableText0"/>
              <w:jc w:val="center"/>
            </w:pPr>
            <w:r w:rsidRPr="002000DC">
              <w:t>1.759</w:t>
            </w:r>
          </w:p>
        </w:tc>
        <w:tc>
          <w:tcPr>
            <w:tcW w:w="526" w:type="pct"/>
            <w:hideMark/>
          </w:tcPr>
          <w:p w14:paraId="4735292D" w14:textId="77777777" w:rsidR="00E50A74" w:rsidRPr="002000DC" w:rsidRDefault="00E50A74" w:rsidP="00530866">
            <w:pPr>
              <w:pStyle w:val="TableText0"/>
              <w:jc w:val="center"/>
            </w:pPr>
            <w:r w:rsidRPr="002000DC">
              <w:t>1.466</w:t>
            </w:r>
          </w:p>
        </w:tc>
        <w:tc>
          <w:tcPr>
            <w:tcW w:w="586" w:type="pct"/>
            <w:hideMark/>
          </w:tcPr>
          <w:p w14:paraId="5D797219" w14:textId="77777777" w:rsidR="00E50A74" w:rsidRPr="002000DC" w:rsidRDefault="00E50A74" w:rsidP="00530866">
            <w:pPr>
              <w:pStyle w:val="TableText0"/>
              <w:jc w:val="center"/>
            </w:pPr>
            <w:r w:rsidRPr="002000DC">
              <w:t>1.466</w:t>
            </w:r>
          </w:p>
        </w:tc>
        <w:tc>
          <w:tcPr>
            <w:tcW w:w="977" w:type="pct"/>
            <w:hideMark/>
          </w:tcPr>
          <w:p w14:paraId="171AFF41" w14:textId="77777777" w:rsidR="00E50A74" w:rsidRPr="002000DC" w:rsidRDefault="00E50A74" w:rsidP="00530866">
            <w:pPr>
              <w:pStyle w:val="TableText0"/>
              <w:jc w:val="center"/>
            </w:pPr>
            <w:r w:rsidRPr="002000DC">
              <w:t>0.293</w:t>
            </w:r>
          </w:p>
        </w:tc>
        <w:tc>
          <w:tcPr>
            <w:tcW w:w="1130" w:type="pct"/>
            <w:hideMark/>
          </w:tcPr>
          <w:p w14:paraId="01BF0FBF" w14:textId="77777777" w:rsidR="00E50A74" w:rsidRPr="002000DC" w:rsidRDefault="00E50A74" w:rsidP="00530866">
            <w:pPr>
              <w:pStyle w:val="TableText0"/>
              <w:jc w:val="center"/>
            </w:pPr>
            <w:r w:rsidRPr="002000DC">
              <w:t>0.293</w:t>
            </w:r>
          </w:p>
        </w:tc>
      </w:tr>
      <w:tr w:rsidR="00E50A74" w:rsidRPr="00F95529" w14:paraId="23EA4629" w14:textId="77777777" w:rsidTr="79174808">
        <w:tc>
          <w:tcPr>
            <w:tcW w:w="2893" w:type="pct"/>
            <w:gridSpan w:val="4"/>
            <w:hideMark/>
          </w:tcPr>
          <w:p w14:paraId="3AE55047" w14:textId="77777777" w:rsidR="00E50A74" w:rsidRPr="002000DC" w:rsidRDefault="00E50A74" w:rsidP="00530866">
            <w:pPr>
              <w:pStyle w:val="TableText0"/>
              <w:jc w:val="right"/>
            </w:pPr>
            <w:r w:rsidRPr="002000DC">
              <w:t>Incremental cost per LY gained</w:t>
            </w:r>
          </w:p>
        </w:tc>
        <w:tc>
          <w:tcPr>
            <w:tcW w:w="977" w:type="pct"/>
            <w:hideMark/>
          </w:tcPr>
          <w:p w14:paraId="0A45834C" w14:textId="16B31FC8" w:rsidR="00E50A74" w:rsidRPr="002000DC" w:rsidRDefault="00E50A74" w:rsidP="00530866">
            <w:pPr>
              <w:pStyle w:val="TableText0"/>
              <w:jc w:val="center"/>
            </w:pPr>
            <w:r w:rsidRPr="002000DC">
              <w:t>$</w:t>
            </w:r>
            <w:r w:rsidR="00C87B5E" w:rsidRPr="00C87B5E">
              <w:rPr>
                <w:sz w:val="2"/>
                <w:highlight w:val="black"/>
              </w:rPr>
              <w:t>redacted content</w:t>
            </w:r>
            <w:r w:rsidR="00F7502B" w:rsidRPr="00F7502B">
              <w:rPr>
                <w:vertAlign w:val="superscript"/>
              </w:rPr>
              <w:t>3</w:t>
            </w:r>
          </w:p>
        </w:tc>
        <w:tc>
          <w:tcPr>
            <w:tcW w:w="1130" w:type="pct"/>
            <w:hideMark/>
          </w:tcPr>
          <w:p w14:paraId="27CAA35F" w14:textId="021F0BD4" w:rsidR="00E50A74" w:rsidRPr="002000DC" w:rsidRDefault="00E50A74" w:rsidP="00530866">
            <w:pPr>
              <w:pStyle w:val="TableText0"/>
              <w:jc w:val="center"/>
            </w:pPr>
            <w:r w:rsidRPr="002000DC">
              <w:t>$</w:t>
            </w:r>
            <w:r w:rsidR="00C87B5E" w:rsidRPr="00C87B5E">
              <w:rPr>
                <w:sz w:val="2"/>
                <w:highlight w:val="black"/>
              </w:rPr>
              <w:t>redacted content</w:t>
            </w:r>
            <w:r w:rsidR="00F7502B">
              <w:rPr>
                <w:vertAlign w:val="superscript"/>
              </w:rPr>
              <w:t>4</w:t>
            </w:r>
          </w:p>
        </w:tc>
      </w:tr>
      <w:tr w:rsidR="00E50A74" w:rsidRPr="00F95529" w14:paraId="52BEFAF7" w14:textId="77777777" w:rsidTr="79174808">
        <w:tc>
          <w:tcPr>
            <w:tcW w:w="2893" w:type="pct"/>
            <w:gridSpan w:val="4"/>
          </w:tcPr>
          <w:p w14:paraId="6D9253C8" w14:textId="77777777" w:rsidR="00E50A74" w:rsidRPr="002000DC" w:rsidRDefault="00E50A74" w:rsidP="00530866">
            <w:pPr>
              <w:pStyle w:val="TableText0"/>
              <w:jc w:val="right"/>
              <w:rPr>
                <w:b/>
                <w:bCs w:val="0"/>
              </w:rPr>
            </w:pPr>
            <w:r w:rsidRPr="002000DC">
              <w:rPr>
                <w:b/>
                <w:bCs w:val="0"/>
              </w:rPr>
              <w:t xml:space="preserve">Weighted ICER </w:t>
            </w:r>
            <w:r w:rsidRPr="002000DC">
              <w:rPr>
                <w:b/>
                <w:bCs w:val="0"/>
                <w:vertAlign w:val="superscript"/>
              </w:rPr>
              <w:t>a</w:t>
            </w:r>
          </w:p>
        </w:tc>
        <w:tc>
          <w:tcPr>
            <w:tcW w:w="2107" w:type="pct"/>
            <w:gridSpan w:val="2"/>
          </w:tcPr>
          <w:p w14:paraId="21A50509" w14:textId="5CE1021B" w:rsidR="00E50A74" w:rsidRPr="002000DC" w:rsidRDefault="00E50A74" w:rsidP="00530866">
            <w:pPr>
              <w:pStyle w:val="TableText0"/>
              <w:jc w:val="center"/>
              <w:rPr>
                <w:b/>
                <w:bCs w:val="0"/>
              </w:rPr>
            </w:pPr>
            <w:r w:rsidRPr="002000DC">
              <w:rPr>
                <w:b/>
                <w:bCs w:val="0"/>
              </w:rPr>
              <w:t>$</w:t>
            </w:r>
            <w:r w:rsidR="00C87B5E" w:rsidRPr="00C87B5E">
              <w:rPr>
                <w:b/>
                <w:bCs w:val="0"/>
                <w:sz w:val="2"/>
                <w:highlight w:val="black"/>
              </w:rPr>
              <w:t>redacted content</w:t>
            </w:r>
            <w:r w:rsidR="00F7502B">
              <w:rPr>
                <w:b/>
                <w:bCs w:val="0"/>
                <w:vertAlign w:val="superscript"/>
              </w:rPr>
              <w:t>5</w:t>
            </w:r>
            <w:r w:rsidRPr="002000DC">
              <w:rPr>
                <w:b/>
                <w:bCs w:val="0"/>
              </w:rPr>
              <w:t xml:space="preserve"> per LY</w:t>
            </w:r>
          </w:p>
        </w:tc>
      </w:tr>
      <w:tr w:rsidR="00E50A74" w:rsidRPr="00F95529" w14:paraId="632CFC32" w14:textId="77777777" w:rsidTr="79174808">
        <w:tc>
          <w:tcPr>
            <w:tcW w:w="5000" w:type="pct"/>
            <w:gridSpan w:val="6"/>
            <w:hideMark/>
          </w:tcPr>
          <w:p w14:paraId="03AEC7A0" w14:textId="77777777" w:rsidR="00E50A74" w:rsidRPr="002000DC" w:rsidRDefault="00E50A74" w:rsidP="00530866">
            <w:pPr>
              <w:pStyle w:val="TableText0"/>
              <w:rPr>
                <w:b/>
                <w:bCs w:val="0"/>
              </w:rPr>
            </w:pPr>
            <w:r w:rsidRPr="002000DC">
              <w:rPr>
                <w:b/>
                <w:bCs w:val="0"/>
              </w:rPr>
              <w:t>Step 3: Same as Step 2 plus utility weights applied</w:t>
            </w:r>
          </w:p>
        </w:tc>
      </w:tr>
      <w:tr w:rsidR="00E50A74" w:rsidRPr="00F95529" w14:paraId="67488458" w14:textId="77777777" w:rsidTr="79174808">
        <w:tc>
          <w:tcPr>
            <w:tcW w:w="1195" w:type="pct"/>
            <w:hideMark/>
          </w:tcPr>
          <w:p w14:paraId="4FD3F769" w14:textId="77777777" w:rsidR="00E50A74" w:rsidRPr="00F95529" w:rsidRDefault="00E50A74" w:rsidP="00530866">
            <w:pPr>
              <w:pStyle w:val="TableText0"/>
            </w:pPr>
            <w:r w:rsidRPr="00F95529">
              <w:t>Costs</w:t>
            </w:r>
          </w:p>
        </w:tc>
        <w:tc>
          <w:tcPr>
            <w:tcW w:w="586" w:type="pct"/>
            <w:hideMark/>
          </w:tcPr>
          <w:p w14:paraId="11C74A8B" w14:textId="7AF2BA68" w:rsidR="00E50A74" w:rsidRPr="002000DC" w:rsidRDefault="00E50A74" w:rsidP="00530866">
            <w:pPr>
              <w:pStyle w:val="TableText0"/>
              <w:jc w:val="center"/>
            </w:pPr>
            <w:r w:rsidRPr="002000DC">
              <w:t>$</w:t>
            </w:r>
            <w:r w:rsidR="00C87B5E" w:rsidRPr="00C87B5E">
              <w:rPr>
                <w:sz w:val="2"/>
                <w:highlight w:val="black"/>
              </w:rPr>
              <w:t>redacted content</w:t>
            </w:r>
          </w:p>
        </w:tc>
        <w:tc>
          <w:tcPr>
            <w:tcW w:w="526" w:type="pct"/>
            <w:hideMark/>
          </w:tcPr>
          <w:p w14:paraId="25837058" w14:textId="77777777" w:rsidR="00E50A74" w:rsidRPr="00DC06AB" w:rsidRDefault="00E50A74" w:rsidP="00530866">
            <w:pPr>
              <w:pStyle w:val="TableText0"/>
              <w:jc w:val="center"/>
            </w:pPr>
            <w:r w:rsidRPr="00DC06AB">
              <w:t>$64,017</w:t>
            </w:r>
          </w:p>
        </w:tc>
        <w:tc>
          <w:tcPr>
            <w:tcW w:w="586" w:type="pct"/>
            <w:hideMark/>
          </w:tcPr>
          <w:p w14:paraId="3E799C23" w14:textId="77777777" w:rsidR="00E50A74" w:rsidRPr="00DC06AB" w:rsidRDefault="00E50A74" w:rsidP="00530866">
            <w:pPr>
              <w:pStyle w:val="TableText0"/>
              <w:jc w:val="center"/>
            </w:pPr>
            <w:r w:rsidRPr="00DC06AB">
              <w:t>$102,410</w:t>
            </w:r>
          </w:p>
        </w:tc>
        <w:tc>
          <w:tcPr>
            <w:tcW w:w="977" w:type="pct"/>
            <w:hideMark/>
          </w:tcPr>
          <w:p w14:paraId="5A67BF15" w14:textId="31B8E167" w:rsidR="00E50A74" w:rsidRPr="002000DC" w:rsidRDefault="00E50A74" w:rsidP="00530866">
            <w:pPr>
              <w:pStyle w:val="TableText0"/>
              <w:jc w:val="center"/>
            </w:pPr>
            <w:r w:rsidRPr="002000DC">
              <w:t>$</w:t>
            </w:r>
            <w:r w:rsidR="00C87B5E" w:rsidRPr="00C87B5E">
              <w:rPr>
                <w:sz w:val="2"/>
                <w:highlight w:val="black"/>
              </w:rPr>
              <w:t>redacted content</w:t>
            </w:r>
          </w:p>
        </w:tc>
        <w:tc>
          <w:tcPr>
            <w:tcW w:w="1130" w:type="pct"/>
            <w:hideMark/>
          </w:tcPr>
          <w:p w14:paraId="591A76B3" w14:textId="0C931982" w:rsidR="00E50A74" w:rsidRPr="002000DC" w:rsidRDefault="00E50A74" w:rsidP="00530866">
            <w:pPr>
              <w:pStyle w:val="TableText0"/>
              <w:jc w:val="center"/>
            </w:pPr>
            <w:r w:rsidRPr="002000DC">
              <w:t>$</w:t>
            </w:r>
            <w:r w:rsidR="00C87B5E" w:rsidRPr="00C87B5E">
              <w:rPr>
                <w:sz w:val="2"/>
                <w:highlight w:val="black"/>
              </w:rPr>
              <w:t>redacted content</w:t>
            </w:r>
          </w:p>
        </w:tc>
      </w:tr>
      <w:tr w:rsidR="00E50A74" w:rsidRPr="00F95529" w14:paraId="33B69F83" w14:textId="77777777" w:rsidTr="79174808">
        <w:tc>
          <w:tcPr>
            <w:tcW w:w="1195" w:type="pct"/>
            <w:hideMark/>
          </w:tcPr>
          <w:p w14:paraId="640A2392" w14:textId="77777777" w:rsidR="00E50A74" w:rsidRPr="00F95529" w:rsidRDefault="00E50A74" w:rsidP="00530866">
            <w:pPr>
              <w:pStyle w:val="TableText0"/>
            </w:pPr>
            <w:r w:rsidRPr="00F95529">
              <w:t>QALYs</w:t>
            </w:r>
          </w:p>
        </w:tc>
        <w:tc>
          <w:tcPr>
            <w:tcW w:w="586" w:type="pct"/>
            <w:hideMark/>
          </w:tcPr>
          <w:p w14:paraId="74037EB0" w14:textId="77777777" w:rsidR="00E50A74" w:rsidRPr="002000DC" w:rsidRDefault="00E50A74" w:rsidP="00530866">
            <w:pPr>
              <w:pStyle w:val="TableText0"/>
              <w:jc w:val="center"/>
            </w:pPr>
            <w:r w:rsidRPr="002000DC">
              <w:t>1.507</w:t>
            </w:r>
          </w:p>
        </w:tc>
        <w:tc>
          <w:tcPr>
            <w:tcW w:w="526" w:type="pct"/>
            <w:hideMark/>
          </w:tcPr>
          <w:p w14:paraId="4520204C" w14:textId="77777777" w:rsidR="00E50A74" w:rsidRPr="002000DC" w:rsidRDefault="00E50A74" w:rsidP="00530866">
            <w:pPr>
              <w:pStyle w:val="TableText0"/>
              <w:jc w:val="center"/>
            </w:pPr>
            <w:r w:rsidRPr="002000DC">
              <w:t>1.263</w:t>
            </w:r>
          </w:p>
        </w:tc>
        <w:tc>
          <w:tcPr>
            <w:tcW w:w="586" w:type="pct"/>
            <w:hideMark/>
          </w:tcPr>
          <w:p w14:paraId="7C83CEE9" w14:textId="77777777" w:rsidR="00E50A74" w:rsidRPr="002000DC" w:rsidRDefault="00E50A74" w:rsidP="00530866">
            <w:pPr>
              <w:pStyle w:val="TableText0"/>
              <w:jc w:val="center"/>
            </w:pPr>
            <w:r w:rsidRPr="002000DC">
              <w:t>1.252</w:t>
            </w:r>
          </w:p>
        </w:tc>
        <w:tc>
          <w:tcPr>
            <w:tcW w:w="977" w:type="pct"/>
            <w:hideMark/>
          </w:tcPr>
          <w:p w14:paraId="67A5AF89" w14:textId="77777777" w:rsidR="00E50A74" w:rsidRPr="002000DC" w:rsidRDefault="00E50A74" w:rsidP="00530866">
            <w:pPr>
              <w:pStyle w:val="TableText0"/>
              <w:jc w:val="center"/>
            </w:pPr>
            <w:r w:rsidRPr="002000DC">
              <w:t>0.244</w:t>
            </w:r>
          </w:p>
        </w:tc>
        <w:tc>
          <w:tcPr>
            <w:tcW w:w="1130" w:type="pct"/>
            <w:hideMark/>
          </w:tcPr>
          <w:p w14:paraId="5A4C1460" w14:textId="77777777" w:rsidR="00E50A74" w:rsidRPr="002000DC" w:rsidRDefault="00E50A74" w:rsidP="00530866">
            <w:pPr>
              <w:pStyle w:val="TableText0"/>
              <w:jc w:val="center"/>
            </w:pPr>
            <w:r w:rsidRPr="002000DC">
              <w:t>0.255</w:t>
            </w:r>
          </w:p>
        </w:tc>
      </w:tr>
      <w:tr w:rsidR="00E50A74" w:rsidRPr="00F95529" w14:paraId="04B6D766" w14:textId="77777777" w:rsidTr="79174808">
        <w:tc>
          <w:tcPr>
            <w:tcW w:w="2893" w:type="pct"/>
            <w:gridSpan w:val="4"/>
            <w:hideMark/>
          </w:tcPr>
          <w:p w14:paraId="00122901" w14:textId="77777777" w:rsidR="00E50A74" w:rsidRPr="00F95529" w:rsidRDefault="00E50A74" w:rsidP="00530866">
            <w:pPr>
              <w:pStyle w:val="TableText0"/>
              <w:jc w:val="right"/>
            </w:pPr>
            <w:r w:rsidRPr="00F95529">
              <w:t>Incremental cost per QALY gained (base case)</w:t>
            </w:r>
          </w:p>
        </w:tc>
        <w:tc>
          <w:tcPr>
            <w:tcW w:w="977" w:type="pct"/>
            <w:hideMark/>
          </w:tcPr>
          <w:p w14:paraId="53BBB89E" w14:textId="5D71F89F" w:rsidR="00E50A74" w:rsidRPr="00F95529" w:rsidRDefault="00E50A74" w:rsidP="00530866">
            <w:pPr>
              <w:pStyle w:val="TableText0"/>
              <w:jc w:val="center"/>
            </w:pPr>
            <w:r w:rsidRPr="00AF7703">
              <w:t>$</w:t>
            </w:r>
            <w:r w:rsidR="00C87B5E" w:rsidRPr="00C87B5E">
              <w:rPr>
                <w:sz w:val="2"/>
                <w:highlight w:val="black"/>
              </w:rPr>
              <w:t>redacted content</w:t>
            </w:r>
            <w:r w:rsidR="00F65705" w:rsidRPr="00F65705">
              <w:rPr>
                <w:vertAlign w:val="superscript"/>
              </w:rPr>
              <w:t>3</w:t>
            </w:r>
          </w:p>
        </w:tc>
        <w:tc>
          <w:tcPr>
            <w:tcW w:w="1130" w:type="pct"/>
            <w:hideMark/>
          </w:tcPr>
          <w:p w14:paraId="63A67A83" w14:textId="749023EB" w:rsidR="00E50A74" w:rsidRPr="00F95529" w:rsidRDefault="00E50A74" w:rsidP="00530866">
            <w:pPr>
              <w:pStyle w:val="TableText0"/>
              <w:jc w:val="center"/>
            </w:pPr>
            <w:r w:rsidRPr="00F95529">
              <w:t>$</w:t>
            </w:r>
            <w:r w:rsidR="00C87B5E" w:rsidRPr="00C87B5E">
              <w:rPr>
                <w:sz w:val="2"/>
                <w:highlight w:val="black"/>
              </w:rPr>
              <w:t>redacted content</w:t>
            </w:r>
            <w:r w:rsidR="001D6D2C">
              <w:rPr>
                <w:vertAlign w:val="superscript"/>
              </w:rPr>
              <w:t>5</w:t>
            </w:r>
          </w:p>
        </w:tc>
      </w:tr>
      <w:tr w:rsidR="00E50A74" w:rsidRPr="00F95529" w14:paraId="6E8CD9DD" w14:textId="77777777" w:rsidTr="79174808">
        <w:tc>
          <w:tcPr>
            <w:tcW w:w="2893" w:type="pct"/>
            <w:gridSpan w:val="4"/>
          </w:tcPr>
          <w:p w14:paraId="7572156E" w14:textId="77777777" w:rsidR="00E50A74" w:rsidRPr="00F95529" w:rsidRDefault="00E50A74" w:rsidP="00530866">
            <w:pPr>
              <w:pStyle w:val="TableText0"/>
              <w:jc w:val="right"/>
              <w:rPr>
                <w:b/>
                <w:bCs w:val="0"/>
              </w:rPr>
            </w:pPr>
            <w:r w:rsidRPr="00F95529">
              <w:rPr>
                <w:b/>
                <w:bCs w:val="0"/>
              </w:rPr>
              <w:t xml:space="preserve">Weighted ICER </w:t>
            </w:r>
            <w:r w:rsidRPr="00F95529">
              <w:rPr>
                <w:b/>
                <w:bCs w:val="0"/>
                <w:vertAlign w:val="superscript"/>
              </w:rPr>
              <w:t>a</w:t>
            </w:r>
          </w:p>
        </w:tc>
        <w:tc>
          <w:tcPr>
            <w:tcW w:w="2107" w:type="pct"/>
            <w:gridSpan w:val="2"/>
          </w:tcPr>
          <w:p w14:paraId="34AD11B3" w14:textId="2E12E353" w:rsidR="00E50A74" w:rsidRPr="00F95529" w:rsidRDefault="00E50A74" w:rsidP="00530866">
            <w:pPr>
              <w:pStyle w:val="TableText0"/>
              <w:jc w:val="center"/>
              <w:rPr>
                <w:b/>
                <w:bCs w:val="0"/>
              </w:rPr>
            </w:pPr>
            <w:r w:rsidRPr="00F95529">
              <w:rPr>
                <w:b/>
                <w:bCs w:val="0"/>
              </w:rPr>
              <w:t>$</w:t>
            </w:r>
            <w:r w:rsidR="00C87B5E" w:rsidRPr="00C87B5E">
              <w:rPr>
                <w:b/>
                <w:bCs w:val="0"/>
                <w:sz w:val="2"/>
                <w:highlight w:val="black"/>
              </w:rPr>
              <w:t>redacted content</w:t>
            </w:r>
            <w:r w:rsidR="00D06DC4">
              <w:rPr>
                <w:b/>
                <w:bCs w:val="0"/>
                <w:vertAlign w:val="superscript"/>
              </w:rPr>
              <w:t>6</w:t>
            </w:r>
            <w:r w:rsidRPr="00F95529">
              <w:rPr>
                <w:b/>
                <w:bCs w:val="0"/>
              </w:rPr>
              <w:t xml:space="preserve"> per QALY</w:t>
            </w:r>
          </w:p>
        </w:tc>
      </w:tr>
    </w:tbl>
    <w:p w14:paraId="2C8EEB52" w14:textId="77777777" w:rsidR="00E50A74" w:rsidRDefault="00E50A74" w:rsidP="00530866">
      <w:pPr>
        <w:pStyle w:val="FooterTableFigure"/>
      </w:pPr>
      <w:r w:rsidRPr="0098262F">
        <w:t xml:space="preserve">Source: </w:t>
      </w:r>
      <w:r w:rsidRPr="00682EA9">
        <w:t>Table 3.39</w:t>
      </w:r>
      <w:r>
        <w:t>, P256</w:t>
      </w:r>
      <w:r w:rsidRPr="00682EA9">
        <w:t xml:space="preserve"> of the submission</w:t>
      </w:r>
      <w:r>
        <w:t>.</w:t>
      </w:r>
      <w:r w:rsidRPr="00236D94">
        <w:t xml:space="preserve"> </w:t>
      </w:r>
    </w:p>
    <w:p w14:paraId="01E68255" w14:textId="77777777" w:rsidR="00E50A74" w:rsidRDefault="00E50A74" w:rsidP="00530866">
      <w:pPr>
        <w:pStyle w:val="FooterTableFigure"/>
      </w:pPr>
      <w:r w:rsidRPr="00236D94">
        <w:t xml:space="preserve">Abbreviations: </w:t>
      </w:r>
      <w:r w:rsidRPr="00FA6614">
        <w:t>ABCP = atezolizumab plus bevacizumab plus carboplatin plus paclitaxel; AmiCP = Amivantamab plus carboplatin plus pemetrexed; CP = carboplatin plus pemetrexed; LYs = life years; QALYs = quality-adjusted life years</w:t>
      </w:r>
      <w:r w:rsidRPr="00236D94">
        <w:t xml:space="preserve"> </w:t>
      </w:r>
    </w:p>
    <w:p w14:paraId="0322ACAE" w14:textId="22D0C426" w:rsidR="00E50A74" w:rsidRDefault="00E50A74" w:rsidP="00530866">
      <w:pPr>
        <w:pStyle w:val="FooterTableFigure"/>
      </w:pPr>
      <w:r>
        <w:rPr>
          <w:vertAlign w:val="superscript"/>
        </w:rPr>
        <w:t>a</w:t>
      </w:r>
      <w:r>
        <w:t xml:space="preserve"> </w:t>
      </w:r>
      <w:r w:rsidRPr="000F56B4">
        <w:t>Based on comparator split of ABCP/</w:t>
      </w:r>
      <w:r w:rsidR="00CE0A18">
        <w:t>PDC</w:t>
      </w:r>
      <w:r w:rsidRPr="000F56B4">
        <w:t>: 83.1%/16.9%</w:t>
      </w:r>
      <w:r>
        <w:t>.</w:t>
      </w:r>
    </w:p>
    <w:p w14:paraId="644752B9" w14:textId="77777777" w:rsidR="00E50A74" w:rsidRDefault="00E50A74" w:rsidP="00FF0EAD">
      <w:pPr>
        <w:pStyle w:val="FooterTableFigure"/>
        <w:spacing w:after="0"/>
        <w:rPr>
          <w:i/>
          <w:iCs/>
        </w:rPr>
      </w:pPr>
      <w:r w:rsidRPr="005F6135">
        <w:t>Notes:</w:t>
      </w:r>
      <w:r>
        <w:t xml:space="preserve"> All</w:t>
      </w:r>
      <w:r w:rsidRPr="005F6135">
        <w:t xml:space="preserve"> </w:t>
      </w:r>
      <w:r w:rsidRPr="00CF3140">
        <w:t>ABCP costs and</w:t>
      </w:r>
      <w:r>
        <w:t xml:space="preserve"> </w:t>
      </w:r>
      <w:r w:rsidRPr="00CF3140">
        <w:t xml:space="preserve">ICERs are calculated </w:t>
      </w:r>
      <w:r>
        <w:t xml:space="preserve">during the evaluation </w:t>
      </w:r>
      <w:r w:rsidRPr="00CF3140">
        <w:t>assuming atezolizumab at 50% of its published price. Results applying the effective price of atezolizumab under the SPA are presented in the CIC section.</w:t>
      </w:r>
      <w:r w:rsidRPr="00106CA9">
        <w:rPr>
          <w:i/>
          <w:iCs/>
        </w:rPr>
        <w:t xml:space="preserve"> </w:t>
      </w:r>
      <w:r w:rsidRPr="00FA6A3F">
        <w:rPr>
          <w:i/>
          <w:iCs/>
        </w:rPr>
        <w:t>Analyses in italics were conducted during evaluation.</w:t>
      </w:r>
    </w:p>
    <w:p w14:paraId="24CBECBC" w14:textId="77777777" w:rsidR="00D07D6A" w:rsidRPr="00F56B14" w:rsidRDefault="00D07D6A" w:rsidP="00D07D6A">
      <w:pPr>
        <w:jc w:val="left"/>
        <w:rPr>
          <w:rFonts w:ascii="Arial Narrow" w:hAnsi="Arial Narrow" w:cstheme="minorHAnsi"/>
          <w:bCs/>
          <w:i/>
          <w:iCs/>
          <w:sz w:val="18"/>
          <w:szCs w:val="18"/>
        </w:rPr>
      </w:pPr>
      <w:r w:rsidRPr="00F56B14">
        <w:rPr>
          <w:rFonts w:ascii="Arial Narrow" w:hAnsi="Arial Narrow" w:cstheme="minorHAnsi"/>
          <w:bCs/>
          <w:i/>
          <w:iCs/>
          <w:sz w:val="18"/>
          <w:szCs w:val="18"/>
        </w:rPr>
        <w:t xml:space="preserve">The redacted values correspond to the following ranges: </w:t>
      </w:r>
    </w:p>
    <w:p w14:paraId="3E45B89F" w14:textId="170C8764" w:rsidR="00D07D6A" w:rsidRPr="000856F4" w:rsidRDefault="00D07D6A" w:rsidP="00D07D6A">
      <w:pPr>
        <w:jc w:val="left"/>
        <w:rPr>
          <w:rFonts w:ascii="Arial Narrow" w:hAnsi="Arial Narrow"/>
          <w:i/>
          <w:sz w:val="18"/>
          <w:szCs w:val="18"/>
        </w:rPr>
      </w:pPr>
      <w:r w:rsidRPr="000856F4">
        <w:rPr>
          <w:rFonts w:ascii="Arial Narrow" w:hAnsi="Arial Narrow"/>
          <w:i/>
          <w:sz w:val="18"/>
          <w:szCs w:val="18"/>
          <w:vertAlign w:val="superscript"/>
        </w:rPr>
        <w:t>1</w:t>
      </w:r>
      <w:r w:rsidRPr="000856F4">
        <w:rPr>
          <w:rFonts w:ascii="Arial Narrow" w:hAnsi="Arial Narrow"/>
          <w:i/>
          <w:sz w:val="18"/>
          <w:szCs w:val="18"/>
        </w:rPr>
        <w:t xml:space="preserve"> </w:t>
      </w:r>
      <w:r w:rsidR="004955A8" w:rsidRPr="004955A8">
        <w:rPr>
          <w:rFonts w:ascii="Arial Narrow" w:hAnsi="Arial Narrow"/>
          <w:i/>
          <w:sz w:val="18"/>
          <w:szCs w:val="18"/>
        </w:rPr>
        <w:t>$455,000 to &lt; $555,000</w:t>
      </w:r>
    </w:p>
    <w:p w14:paraId="13C87AD0" w14:textId="1DD75F80" w:rsidR="00D07D6A" w:rsidRPr="000856F4" w:rsidRDefault="00D07D6A" w:rsidP="00D07D6A">
      <w:pPr>
        <w:jc w:val="left"/>
        <w:rPr>
          <w:rFonts w:ascii="Arial Narrow" w:hAnsi="Arial Narrow"/>
          <w:i/>
          <w:sz w:val="18"/>
          <w:szCs w:val="18"/>
        </w:rPr>
      </w:pPr>
      <w:r w:rsidRPr="000856F4">
        <w:rPr>
          <w:rFonts w:ascii="Arial Narrow" w:hAnsi="Arial Narrow"/>
          <w:i/>
          <w:sz w:val="18"/>
          <w:szCs w:val="18"/>
          <w:vertAlign w:val="superscript"/>
        </w:rPr>
        <w:t>2</w:t>
      </w:r>
      <w:r w:rsidRPr="000856F4">
        <w:rPr>
          <w:rFonts w:ascii="Arial Narrow" w:hAnsi="Arial Narrow"/>
          <w:i/>
          <w:sz w:val="18"/>
          <w:szCs w:val="18"/>
        </w:rPr>
        <w:t xml:space="preserve"> </w:t>
      </w:r>
      <w:r w:rsidR="00BD6223" w:rsidRPr="00BD6223">
        <w:rPr>
          <w:rFonts w:ascii="Arial Narrow" w:hAnsi="Arial Narrow"/>
          <w:i/>
          <w:sz w:val="18"/>
          <w:szCs w:val="18"/>
        </w:rPr>
        <w:t>$135,000 to &lt; $155,000</w:t>
      </w:r>
    </w:p>
    <w:p w14:paraId="0D1C493E" w14:textId="4C896365" w:rsidR="00D07D6A" w:rsidRPr="000856F4" w:rsidRDefault="00D07D6A" w:rsidP="00D07D6A">
      <w:pPr>
        <w:jc w:val="left"/>
        <w:rPr>
          <w:rFonts w:ascii="Arial Narrow" w:hAnsi="Arial Narrow"/>
          <w:i/>
          <w:sz w:val="18"/>
          <w:szCs w:val="18"/>
        </w:rPr>
      </w:pPr>
      <w:r w:rsidRPr="000856F4">
        <w:rPr>
          <w:rFonts w:ascii="Arial Narrow" w:hAnsi="Arial Narrow"/>
          <w:i/>
          <w:sz w:val="18"/>
          <w:szCs w:val="18"/>
          <w:vertAlign w:val="superscript"/>
        </w:rPr>
        <w:t>3</w:t>
      </w:r>
      <w:r w:rsidRPr="000856F4">
        <w:rPr>
          <w:rFonts w:ascii="Arial Narrow" w:hAnsi="Arial Narrow"/>
          <w:i/>
          <w:sz w:val="18"/>
          <w:szCs w:val="18"/>
        </w:rPr>
        <w:t xml:space="preserve"> </w:t>
      </w:r>
      <w:r w:rsidR="00A217EE" w:rsidRPr="00A217EE">
        <w:rPr>
          <w:rFonts w:ascii="Arial Narrow" w:hAnsi="Arial Narrow"/>
          <w:i/>
          <w:sz w:val="18"/>
          <w:szCs w:val="18"/>
        </w:rPr>
        <w:t>$155,000 to &lt; $255,000</w:t>
      </w:r>
    </w:p>
    <w:p w14:paraId="24D6A796" w14:textId="21A320FC" w:rsidR="009050A1" w:rsidRDefault="00D07D6A" w:rsidP="00D07D6A">
      <w:pPr>
        <w:jc w:val="left"/>
        <w:rPr>
          <w:rFonts w:ascii="Arial Narrow" w:hAnsi="Arial Narrow"/>
          <w:i/>
          <w:sz w:val="18"/>
          <w:szCs w:val="18"/>
        </w:rPr>
      </w:pPr>
      <w:r w:rsidRPr="000856F4">
        <w:rPr>
          <w:rFonts w:ascii="Arial Narrow" w:hAnsi="Arial Narrow"/>
          <w:i/>
          <w:sz w:val="18"/>
          <w:szCs w:val="18"/>
          <w:vertAlign w:val="superscript"/>
        </w:rPr>
        <w:t>4</w:t>
      </w:r>
      <w:r w:rsidRPr="000856F4">
        <w:rPr>
          <w:rFonts w:ascii="Arial Narrow" w:hAnsi="Arial Narrow"/>
          <w:i/>
          <w:sz w:val="18"/>
          <w:szCs w:val="18"/>
        </w:rPr>
        <w:t xml:space="preserve"> </w:t>
      </w:r>
      <w:r w:rsidR="003D15D2" w:rsidRPr="003D15D2">
        <w:rPr>
          <w:rFonts w:ascii="Arial Narrow" w:hAnsi="Arial Narrow"/>
          <w:i/>
          <w:sz w:val="18"/>
          <w:szCs w:val="18"/>
        </w:rPr>
        <w:t>$</w:t>
      </w:r>
      <w:r w:rsidR="00994F4A">
        <w:rPr>
          <w:rFonts w:ascii="Arial Narrow" w:hAnsi="Arial Narrow"/>
          <w:i/>
          <w:sz w:val="18"/>
          <w:szCs w:val="18"/>
        </w:rPr>
        <w:t>3</w:t>
      </w:r>
      <w:r w:rsidR="003D15D2" w:rsidRPr="003D15D2">
        <w:rPr>
          <w:rFonts w:ascii="Arial Narrow" w:hAnsi="Arial Narrow"/>
          <w:i/>
          <w:sz w:val="18"/>
          <w:szCs w:val="18"/>
        </w:rPr>
        <w:t>5,000 to &lt; $</w:t>
      </w:r>
      <w:r w:rsidR="00994F4A">
        <w:rPr>
          <w:rFonts w:ascii="Arial Narrow" w:hAnsi="Arial Narrow"/>
          <w:i/>
          <w:sz w:val="18"/>
          <w:szCs w:val="18"/>
        </w:rPr>
        <w:t>4</w:t>
      </w:r>
      <w:r w:rsidR="003D15D2" w:rsidRPr="003D15D2">
        <w:rPr>
          <w:rFonts w:ascii="Arial Narrow" w:hAnsi="Arial Narrow"/>
          <w:i/>
          <w:sz w:val="18"/>
          <w:szCs w:val="18"/>
        </w:rPr>
        <w:t>5,000</w:t>
      </w:r>
    </w:p>
    <w:p w14:paraId="3435F4B1" w14:textId="5DB101A0" w:rsidR="00D07D6A" w:rsidRPr="005514CF" w:rsidRDefault="00E63960" w:rsidP="005514CF">
      <w:pPr>
        <w:jc w:val="left"/>
        <w:rPr>
          <w:rFonts w:ascii="Arial Narrow" w:hAnsi="Arial Narrow"/>
          <w:i/>
          <w:sz w:val="18"/>
          <w:szCs w:val="18"/>
          <w:rtl/>
        </w:rPr>
      </w:pPr>
      <w:r>
        <w:rPr>
          <w:rFonts w:ascii="Arial Narrow" w:hAnsi="Arial Narrow"/>
          <w:i/>
          <w:sz w:val="18"/>
          <w:szCs w:val="18"/>
          <w:vertAlign w:val="superscript"/>
        </w:rPr>
        <w:t>5</w:t>
      </w:r>
      <w:r w:rsidR="006668EE" w:rsidRPr="006668EE">
        <w:rPr>
          <w:rFonts w:ascii="Arial Narrow" w:hAnsi="Arial Narrow"/>
          <w:i/>
          <w:sz w:val="18"/>
          <w:szCs w:val="18"/>
          <w:vertAlign w:val="superscript"/>
        </w:rPr>
        <w:t xml:space="preserve"> </w:t>
      </w:r>
      <w:r w:rsidR="006668EE" w:rsidRPr="006668EE">
        <w:rPr>
          <w:rFonts w:ascii="Arial Narrow" w:hAnsi="Arial Narrow"/>
          <w:i/>
          <w:sz w:val="18"/>
          <w:szCs w:val="18"/>
        </w:rPr>
        <w:t>$45,000 to &lt; $55,000</w:t>
      </w:r>
      <w:r>
        <w:rPr>
          <w:rFonts w:ascii="Arial Narrow" w:hAnsi="Arial Narrow"/>
          <w:i/>
          <w:sz w:val="18"/>
          <w:szCs w:val="18"/>
          <w:vertAlign w:val="superscript"/>
        </w:rPr>
        <w:t>6</w:t>
      </w:r>
      <w:r w:rsidR="00B96F95">
        <w:rPr>
          <w:rFonts w:ascii="Arial Narrow" w:hAnsi="Arial Narrow"/>
          <w:i/>
          <w:sz w:val="18"/>
          <w:szCs w:val="18"/>
        </w:rPr>
        <w:t xml:space="preserve"> </w:t>
      </w:r>
      <w:r w:rsidR="00B96F95" w:rsidRPr="00B96F95">
        <w:rPr>
          <w:rFonts w:ascii="Arial Narrow" w:hAnsi="Arial Narrow"/>
          <w:i/>
          <w:sz w:val="18"/>
          <w:szCs w:val="18"/>
        </w:rPr>
        <w:t>$55,000 to &lt; $75,000</w:t>
      </w:r>
    </w:p>
    <w:p w14:paraId="129DDC34" w14:textId="175E62B9" w:rsidR="00E50A74" w:rsidRDefault="00E50A74" w:rsidP="00530866">
      <w:pPr>
        <w:pStyle w:val="3-BodyText"/>
      </w:pPr>
      <w:r w:rsidRPr="0098262F">
        <w:t xml:space="preserve">The results of key sensitivity analyses </w:t>
      </w:r>
      <w:r>
        <w:t xml:space="preserve">presented by the submission </w:t>
      </w:r>
      <w:r w:rsidRPr="0098262F">
        <w:t xml:space="preserve">are summarised in </w:t>
      </w:r>
      <w:r>
        <w:fldChar w:fldCharType="begin"/>
      </w:r>
      <w:r>
        <w:instrText xml:space="preserve"> REF _Ref216388212 \h </w:instrText>
      </w:r>
      <w:r>
        <w:fldChar w:fldCharType="separate"/>
      </w:r>
      <w:r w:rsidR="00A572FC" w:rsidRPr="008F0911">
        <w:t xml:space="preserve">Table </w:t>
      </w:r>
      <w:r w:rsidR="00A572FC">
        <w:rPr>
          <w:noProof/>
        </w:rPr>
        <w:t>13</w:t>
      </w:r>
      <w:r>
        <w:fldChar w:fldCharType="end"/>
      </w:r>
      <w:r w:rsidRPr="0098262F">
        <w:t>.</w:t>
      </w:r>
    </w:p>
    <w:p w14:paraId="4BFFCE67" w14:textId="792454CA" w:rsidR="00E50A74" w:rsidRDefault="00E50A74" w:rsidP="005E5441">
      <w:pPr>
        <w:pStyle w:val="Caption"/>
      </w:pPr>
      <w:bookmarkStart w:id="86" w:name="_Ref216388212"/>
      <w:r w:rsidRPr="008F0911">
        <w:lastRenderedPageBreak/>
        <w:t xml:space="preserve">Table </w:t>
      </w:r>
      <w:fldSimple w:instr=" SEQ Table \* ARABIC ">
        <w:r w:rsidR="00D97D5A">
          <w:rPr>
            <w:noProof/>
          </w:rPr>
          <w:t>13</w:t>
        </w:r>
      </w:fldSimple>
      <w:bookmarkEnd w:id="86"/>
      <w:r>
        <w:t xml:space="preserve">: </w:t>
      </w:r>
      <w:r w:rsidRPr="001B46DA">
        <w:t>Results of sensitivity analyses</w:t>
      </w:r>
    </w:p>
    <w:tbl>
      <w:tblPr>
        <w:tblW w:w="5000" w:type="pct"/>
        <w:tblLook w:val="04A0" w:firstRow="1" w:lastRow="0" w:firstColumn="1" w:lastColumn="0" w:noHBand="0" w:noVBand="1"/>
        <w:tblCaption w:val="Table 13: Results of sensitivity analyses"/>
      </w:tblPr>
      <w:tblGrid>
        <w:gridCol w:w="3103"/>
        <w:gridCol w:w="1479"/>
        <w:gridCol w:w="1479"/>
        <w:gridCol w:w="1479"/>
        <w:gridCol w:w="1477"/>
      </w:tblGrid>
      <w:tr w:rsidR="00E50A74" w:rsidRPr="00573356" w14:paraId="2E85DC8F" w14:textId="77777777">
        <w:trPr>
          <w:trHeight w:val="381"/>
          <w:tblHeader/>
        </w:trPr>
        <w:tc>
          <w:tcPr>
            <w:tcW w:w="1721" w:type="pct"/>
            <w:tcBorders>
              <w:top w:val="single" w:sz="4" w:space="0" w:color="auto"/>
              <w:left w:val="single" w:sz="4" w:space="0" w:color="auto"/>
              <w:bottom w:val="single" w:sz="4" w:space="0" w:color="auto"/>
              <w:right w:val="nil"/>
            </w:tcBorders>
            <w:vAlign w:val="center"/>
            <w:hideMark/>
          </w:tcPr>
          <w:p w14:paraId="2F9E2780" w14:textId="7CAB00FF" w:rsidR="00E50A74" w:rsidRPr="00573356" w:rsidRDefault="00E50A74" w:rsidP="005E5441">
            <w:pPr>
              <w:keepNext/>
              <w:jc w:val="left"/>
              <w:rPr>
                <w:rFonts w:ascii="Arial Narrow" w:eastAsiaTheme="majorEastAsia" w:hAnsi="Arial Narrow" w:cstheme="majorBidi"/>
                <w:b/>
                <w:sz w:val="20"/>
                <w:lang w:eastAsia="zh-CN"/>
              </w:rPr>
            </w:pPr>
            <w:r w:rsidRPr="00573356">
              <w:rPr>
                <w:rFonts w:ascii="Arial Narrow" w:eastAsiaTheme="majorEastAsia" w:hAnsi="Arial Narrow" w:cstheme="majorBidi"/>
                <w:b/>
                <w:sz w:val="20"/>
                <w:lang w:val="en-US" w:eastAsia="zh-CN"/>
              </w:rPr>
              <w:t>Analyses</w:t>
            </w:r>
          </w:p>
        </w:tc>
        <w:tc>
          <w:tcPr>
            <w:tcW w:w="820" w:type="pct"/>
            <w:tcBorders>
              <w:top w:val="single" w:sz="4" w:space="0" w:color="auto"/>
              <w:left w:val="single" w:sz="4" w:space="0" w:color="auto"/>
              <w:bottom w:val="single" w:sz="4" w:space="0" w:color="auto"/>
              <w:right w:val="nil"/>
            </w:tcBorders>
            <w:hideMark/>
          </w:tcPr>
          <w:p w14:paraId="615E2A6C" w14:textId="77777777" w:rsidR="00E50A74" w:rsidRPr="00573356" w:rsidRDefault="00E50A74" w:rsidP="005E5441">
            <w:pPr>
              <w:keepNext/>
              <w:jc w:val="center"/>
              <w:rPr>
                <w:rFonts w:ascii="Arial Narrow" w:eastAsiaTheme="majorEastAsia" w:hAnsi="Arial Narrow" w:cstheme="majorBidi"/>
                <w:b/>
                <w:sz w:val="20"/>
                <w:lang w:eastAsia="zh-CN"/>
              </w:rPr>
            </w:pPr>
            <w:r w:rsidRPr="00573356">
              <w:rPr>
                <w:rFonts w:ascii="Arial Narrow" w:eastAsiaTheme="majorEastAsia" w:hAnsi="Arial Narrow" w:cstheme="majorBidi"/>
                <w:b/>
                <w:sz w:val="20"/>
              </w:rPr>
              <w:t>Incremental cost</w:t>
            </w:r>
          </w:p>
        </w:tc>
        <w:tc>
          <w:tcPr>
            <w:tcW w:w="820" w:type="pct"/>
            <w:tcBorders>
              <w:top w:val="single" w:sz="4" w:space="0" w:color="auto"/>
              <w:left w:val="single" w:sz="4" w:space="0" w:color="auto"/>
              <w:bottom w:val="single" w:sz="4" w:space="0" w:color="auto"/>
              <w:right w:val="nil"/>
            </w:tcBorders>
            <w:hideMark/>
          </w:tcPr>
          <w:p w14:paraId="748E51AA" w14:textId="77777777" w:rsidR="00E50A74" w:rsidRPr="00573356" w:rsidRDefault="00E50A74" w:rsidP="005E5441">
            <w:pPr>
              <w:keepNext/>
              <w:jc w:val="center"/>
              <w:rPr>
                <w:rFonts w:ascii="Arial Narrow" w:eastAsiaTheme="majorEastAsia" w:hAnsi="Arial Narrow" w:cstheme="majorBidi"/>
                <w:b/>
                <w:sz w:val="20"/>
                <w:lang w:eastAsia="zh-CN"/>
              </w:rPr>
            </w:pPr>
            <w:r w:rsidRPr="00573356">
              <w:rPr>
                <w:rFonts w:ascii="Arial Narrow" w:eastAsiaTheme="majorEastAsia" w:hAnsi="Arial Narrow" w:cstheme="majorBidi"/>
                <w:b/>
                <w:sz w:val="20"/>
              </w:rPr>
              <w:t>Incremental QALY</w:t>
            </w:r>
          </w:p>
        </w:tc>
        <w:tc>
          <w:tcPr>
            <w:tcW w:w="820" w:type="pct"/>
            <w:tcBorders>
              <w:top w:val="single" w:sz="4" w:space="0" w:color="auto"/>
              <w:left w:val="single" w:sz="4" w:space="0" w:color="auto"/>
              <w:bottom w:val="single" w:sz="4" w:space="0" w:color="auto"/>
              <w:right w:val="nil"/>
            </w:tcBorders>
            <w:vAlign w:val="center"/>
            <w:hideMark/>
          </w:tcPr>
          <w:p w14:paraId="12DFDE32" w14:textId="77777777" w:rsidR="00E50A74" w:rsidRPr="00573356" w:rsidRDefault="00E50A74" w:rsidP="005E5441">
            <w:pPr>
              <w:keepNext/>
              <w:jc w:val="center"/>
              <w:rPr>
                <w:rFonts w:ascii="Arial Narrow" w:eastAsiaTheme="majorEastAsia" w:hAnsi="Arial Narrow" w:cstheme="majorBidi"/>
                <w:b/>
                <w:sz w:val="20"/>
                <w:lang w:eastAsia="zh-CN"/>
              </w:rPr>
            </w:pPr>
            <w:r w:rsidRPr="00573356">
              <w:rPr>
                <w:rFonts w:ascii="Arial Narrow" w:eastAsiaTheme="majorEastAsia" w:hAnsi="Arial Narrow" w:cstheme="majorBidi"/>
                <w:b/>
                <w:sz w:val="20"/>
                <w:lang w:val="en-US" w:eastAsia="zh-CN"/>
              </w:rPr>
              <w:t>ICER</w:t>
            </w:r>
          </w:p>
        </w:tc>
        <w:tc>
          <w:tcPr>
            <w:tcW w:w="819" w:type="pct"/>
            <w:tcBorders>
              <w:top w:val="single" w:sz="4" w:space="0" w:color="auto"/>
              <w:left w:val="single" w:sz="4" w:space="0" w:color="auto"/>
              <w:bottom w:val="single" w:sz="4" w:space="0" w:color="auto"/>
              <w:right w:val="single" w:sz="4" w:space="0" w:color="auto"/>
            </w:tcBorders>
            <w:vAlign w:val="center"/>
            <w:hideMark/>
          </w:tcPr>
          <w:p w14:paraId="315BEC52" w14:textId="77777777" w:rsidR="00E50A74" w:rsidRPr="00573356" w:rsidRDefault="00E50A74" w:rsidP="005E5441">
            <w:pPr>
              <w:keepNext/>
              <w:jc w:val="center"/>
              <w:rPr>
                <w:rFonts w:ascii="Arial Narrow" w:eastAsiaTheme="majorEastAsia" w:hAnsi="Arial Narrow" w:cstheme="majorBidi"/>
                <w:b/>
                <w:sz w:val="20"/>
                <w:lang w:eastAsia="zh-CN"/>
              </w:rPr>
            </w:pPr>
            <w:r w:rsidRPr="00573356">
              <w:rPr>
                <w:rFonts w:ascii="Arial Narrow" w:eastAsiaTheme="majorEastAsia" w:hAnsi="Arial Narrow" w:cstheme="majorBidi"/>
                <w:b/>
                <w:sz w:val="20"/>
                <w:lang w:val="en-US" w:eastAsia="zh-CN"/>
              </w:rPr>
              <w:t>% Change from Base Case</w:t>
            </w:r>
          </w:p>
        </w:tc>
      </w:tr>
      <w:tr w:rsidR="00E50A74" w:rsidRPr="00573356" w14:paraId="40EAE8A3" w14:textId="77777777">
        <w:trPr>
          <w:trHeight w:val="250"/>
        </w:trPr>
        <w:tc>
          <w:tcPr>
            <w:tcW w:w="1721" w:type="pct"/>
            <w:tcBorders>
              <w:top w:val="nil"/>
              <w:left w:val="single" w:sz="4" w:space="0" w:color="auto"/>
              <w:bottom w:val="single" w:sz="4" w:space="0" w:color="auto"/>
              <w:right w:val="nil"/>
            </w:tcBorders>
            <w:vAlign w:val="center"/>
            <w:hideMark/>
          </w:tcPr>
          <w:p w14:paraId="606B1A76" w14:textId="77777777" w:rsidR="00E50A74" w:rsidRPr="00573356" w:rsidRDefault="00E50A74" w:rsidP="005E5441">
            <w:pPr>
              <w:keepNext/>
              <w:jc w:val="left"/>
              <w:rPr>
                <w:rFonts w:ascii="Arial Narrow" w:eastAsiaTheme="majorEastAsia" w:hAnsi="Arial Narrow" w:cstheme="majorBidi"/>
                <w:b/>
                <w:sz w:val="20"/>
                <w:lang w:eastAsia="zh-CN"/>
              </w:rPr>
            </w:pPr>
            <w:r w:rsidRPr="00573356">
              <w:rPr>
                <w:rFonts w:ascii="Arial Narrow" w:eastAsiaTheme="majorEastAsia" w:hAnsi="Arial Narrow" w:cstheme="majorBidi"/>
                <w:b/>
                <w:sz w:val="20"/>
                <w:lang w:eastAsia="zh-CN"/>
              </w:rPr>
              <w:t xml:space="preserve">Base case </w:t>
            </w:r>
            <w:r w:rsidRPr="00573356">
              <w:rPr>
                <w:rFonts w:ascii="Arial Narrow" w:eastAsiaTheme="majorEastAsia" w:hAnsi="Arial Narrow" w:cstheme="majorBidi"/>
                <w:b/>
                <w:sz w:val="20"/>
                <w:vertAlign w:val="superscript"/>
                <w:lang w:eastAsia="zh-CN"/>
              </w:rPr>
              <w:t>a</w:t>
            </w:r>
            <w:r w:rsidRPr="00573356">
              <w:rPr>
                <w:rFonts w:ascii="Arial Narrow" w:eastAsiaTheme="majorEastAsia" w:hAnsi="Arial Narrow" w:cstheme="majorBidi"/>
                <w:b/>
                <w:sz w:val="20"/>
                <w:lang w:eastAsia="zh-CN"/>
              </w:rPr>
              <w:t xml:space="preserve"> </w:t>
            </w:r>
          </w:p>
        </w:tc>
        <w:tc>
          <w:tcPr>
            <w:tcW w:w="820" w:type="pct"/>
            <w:tcBorders>
              <w:top w:val="nil"/>
              <w:left w:val="single" w:sz="4" w:space="0" w:color="auto"/>
              <w:bottom w:val="single" w:sz="4" w:space="0" w:color="auto"/>
              <w:right w:val="nil"/>
            </w:tcBorders>
            <w:noWrap/>
            <w:vAlign w:val="center"/>
            <w:hideMark/>
          </w:tcPr>
          <w:p w14:paraId="07E309C5" w14:textId="2F3946BB" w:rsidR="00E50A74" w:rsidRPr="00573356" w:rsidRDefault="00E50A74" w:rsidP="005E5441">
            <w:pPr>
              <w:keepNext/>
              <w:jc w:val="center"/>
              <w:rPr>
                <w:rFonts w:ascii="Arial Narrow" w:eastAsiaTheme="majorEastAsia" w:hAnsi="Arial Narrow" w:cstheme="majorBidi"/>
                <w:b/>
                <w:sz w:val="20"/>
                <w:lang w:eastAsia="zh-CN"/>
              </w:rPr>
            </w:pPr>
            <w:r w:rsidRPr="00573356">
              <w:rPr>
                <w:rFonts w:ascii="Arial Narrow" w:eastAsiaTheme="majorEastAsia" w:hAnsi="Arial Narrow" w:cstheme="majorBidi"/>
                <w:b/>
                <w:sz w:val="20"/>
                <w:lang w:eastAsia="zh-CN"/>
              </w:rPr>
              <w:t>$</w:t>
            </w:r>
            <w:r w:rsidR="00C87B5E" w:rsidRPr="00C87B5E">
              <w:rPr>
                <w:rFonts w:ascii="Arial Narrow" w:eastAsiaTheme="majorEastAsia" w:hAnsi="Arial Narrow" w:cstheme="majorBidi"/>
                <w:b/>
                <w:sz w:val="2"/>
                <w:highlight w:val="black"/>
                <w:lang w:eastAsia="zh-CN"/>
              </w:rPr>
              <w:t>redacted content</w:t>
            </w:r>
          </w:p>
        </w:tc>
        <w:tc>
          <w:tcPr>
            <w:tcW w:w="820" w:type="pct"/>
            <w:tcBorders>
              <w:top w:val="nil"/>
              <w:left w:val="single" w:sz="4" w:space="0" w:color="auto"/>
              <w:bottom w:val="single" w:sz="4" w:space="0" w:color="auto"/>
              <w:right w:val="nil"/>
            </w:tcBorders>
            <w:noWrap/>
            <w:vAlign w:val="center"/>
            <w:hideMark/>
          </w:tcPr>
          <w:p w14:paraId="2BFA896F" w14:textId="77777777" w:rsidR="00E50A74" w:rsidRPr="00573356" w:rsidRDefault="00E50A74" w:rsidP="005E5441">
            <w:pPr>
              <w:keepNext/>
              <w:jc w:val="center"/>
              <w:rPr>
                <w:rFonts w:ascii="Arial Narrow" w:eastAsiaTheme="majorEastAsia" w:hAnsi="Arial Narrow" w:cstheme="majorBidi"/>
                <w:b/>
                <w:sz w:val="20"/>
                <w:lang w:eastAsia="zh-CN"/>
              </w:rPr>
            </w:pPr>
            <w:r w:rsidRPr="00573356">
              <w:rPr>
                <w:rFonts w:ascii="Arial Narrow" w:eastAsiaTheme="majorEastAsia" w:hAnsi="Arial Narrow" w:cstheme="majorBidi"/>
                <w:b/>
                <w:sz w:val="20"/>
                <w:lang w:eastAsia="zh-CN"/>
              </w:rPr>
              <w:t>0.253</w:t>
            </w:r>
          </w:p>
        </w:tc>
        <w:tc>
          <w:tcPr>
            <w:tcW w:w="820" w:type="pct"/>
            <w:tcBorders>
              <w:top w:val="nil"/>
              <w:left w:val="single" w:sz="4" w:space="0" w:color="auto"/>
              <w:bottom w:val="single" w:sz="4" w:space="0" w:color="auto"/>
              <w:right w:val="nil"/>
            </w:tcBorders>
            <w:noWrap/>
            <w:vAlign w:val="center"/>
            <w:hideMark/>
          </w:tcPr>
          <w:p w14:paraId="45772A03" w14:textId="208CD910" w:rsidR="00E50A74" w:rsidRPr="00573356" w:rsidRDefault="00E50A74" w:rsidP="005E5441">
            <w:pPr>
              <w:keepNext/>
              <w:jc w:val="center"/>
              <w:rPr>
                <w:rFonts w:ascii="Arial Narrow" w:eastAsiaTheme="majorEastAsia" w:hAnsi="Arial Narrow" w:cstheme="majorBidi"/>
                <w:b/>
                <w:sz w:val="20"/>
                <w:lang w:eastAsia="zh-CN"/>
              </w:rPr>
            </w:pPr>
            <w:r w:rsidRPr="00573356">
              <w:rPr>
                <w:rFonts w:ascii="Arial Narrow" w:eastAsiaTheme="majorEastAsia" w:hAnsi="Arial Narrow" w:cstheme="majorBidi"/>
                <w:b/>
                <w:sz w:val="20"/>
                <w:lang w:eastAsia="zh-CN"/>
              </w:rPr>
              <w:t>$</w:t>
            </w:r>
            <w:r w:rsidR="00C87B5E" w:rsidRPr="00C87B5E">
              <w:rPr>
                <w:rFonts w:ascii="Arial Narrow" w:eastAsiaTheme="majorEastAsia" w:hAnsi="Arial Narrow" w:cstheme="majorBidi"/>
                <w:b/>
                <w:sz w:val="2"/>
                <w:highlight w:val="black"/>
                <w:lang w:eastAsia="zh-CN"/>
              </w:rPr>
              <w:t>redacted content</w:t>
            </w:r>
            <w:r w:rsidR="00D0411C" w:rsidRPr="00D0411C">
              <w:rPr>
                <w:rFonts w:ascii="Arial Narrow" w:eastAsiaTheme="majorEastAsia" w:hAnsi="Arial Narrow" w:cstheme="majorBidi"/>
                <w:b/>
                <w:sz w:val="20"/>
                <w:vertAlign w:val="superscript"/>
                <w:lang w:eastAsia="zh-CN"/>
              </w:rPr>
              <w:t>1</w:t>
            </w:r>
          </w:p>
        </w:tc>
        <w:tc>
          <w:tcPr>
            <w:tcW w:w="819" w:type="pct"/>
            <w:tcBorders>
              <w:top w:val="nil"/>
              <w:left w:val="single" w:sz="4" w:space="0" w:color="auto"/>
              <w:bottom w:val="single" w:sz="4" w:space="0" w:color="auto"/>
              <w:right w:val="single" w:sz="4" w:space="0" w:color="auto"/>
            </w:tcBorders>
            <w:noWrap/>
            <w:vAlign w:val="center"/>
            <w:hideMark/>
          </w:tcPr>
          <w:p w14:paraId="079381E5" w14:textId="77777777" w:rsidR="00E50A74" w:rsidRPr="00573356" w:rsidRDefault="00E50A74" w:rsidP="005E5441">
            <w:pPr>
              <w:keepNext/>
              <w:jc w:val="center"/>
              <w:rPr>
                <w:rFonts w:ascii="Arial Narrow" w:eastAsiaTheme="majorEastAsia" w:hAnsi="Arial Narrow" w:cstheme="majorBidi"/>
                <w:b/>
                <w:sz w:val="20"/>
                <w:lang w:eastAsia="zh-CN"/>
              </w:rPr>
            </w:pPr>
            <w:r w:rsidRPr="00573356">
              <w:rPr>
                <w:rFonts w:ascii="Arial Narrow" w:eastAsiaTheme="majorEastAsia" w:hAnsi="Arial Narrow" w:cstheme="majorBidi"/>
                <w:b/>
                <w:sz w:val="20"/>
                <w:lang w:eastAsia="zh-CN"/>
              </w:rPr>
              <w:t>-</w:t>
            </w:r>
          </w:p>
        </w:tc>
      </w:tr>
      <w:tr w:rsidR="00E50A74" w:rsidRPr="00573356" w14:paraId="7C0472F7" w14:textId="77777777">
        <w:trPr>
          <w:trHeight w:val="280"/>
        </w:trPr>
        <w:tc>
          <w:tcPr>
            <w:tcW w:w="5000" w:type="pct"/>
            <w:gridSpan w:val="5"/>
            <w:tcBorders>
              <w:top w:val="nil"/>
              <w:left w:val="single" w:sz="4" w:space="0" w:color="auto"/>
              <w:bottom w:val="single" w:sz="4" w:space="0" w:color="auto"/>
              <w:right w:val="single" w:sz="4" w:space="0" w:color="auto"/>
            </w:tcBorders>
            <w:vAlign w:val="center"/>
            <w:hideMark/>
          </w:tcPr>
          <w:p w14:paraId="0EEB82C5" w14:textId="77777777" w:rsidR="00E50A74" w:rsidRPr="00573356" w:rsidRDefault="00E50A74" w:rsidP="005E5441">
            <w:pPr>
              <w:keepNext/>
              <w:jc w:val="left"/>
              <w:rPr>
                <w:rFonts w:ascii="Arial Narrow" w:eastAsiaTheme="majorEastAsia" w:hAnsi="Arial Narrow" w:cstheme="majorBidi"/>
                <w:bCs/>
                <w:sz w:val="20"/>
                <w:lang w:eastAsia="zh-CN"/>
              </w:rPr>
            </w:pPr>
            <w:r w:rsidRPr="00573356">
              <w:rPr>
                <w:rFonts w:ascii="Arial Narrow" w:eastAsiaTheme="majorEastAsia" w:hAnsi="Arial Narrow" w:cstheme="majorBidi"/>
                <w:b/>
                <w:sz w:val="20"/>
                <w:lang w:eastAsia="zh-CN"/>
              </w:rPr>
              <w:t>Discount rate (base case: 5%)</w:t>
            </w:r>
          </w:p>
        </w:tc>
      </w:tr>
      <w:tr w:rsidR="00E50A74" w:rsidRPr="00573356" w14:paraId="79FE4B88" w14:textId="77777777">
        <w:trPr>
          <w:trHeight w:val="280"/>
        </w:trPr>
        <w:tc>
          <w:tcPr>
            <w:tcW w:w="1721" w:type="pct"/>
            <w:tcBorders>
              <w:top w:val="nil"/>
              <w:left w:val="single" w:sz="4" w:space="0" w:color="auto"/>
              <w:right w:val="nil"/>
            </w:tcBorders>
            <w:vAlign w:val="center"/>
            <w:hideMark/>
          </w:tcPr>
          <w:p w14:paraId="51BB5ECC" w14:textId="77777777" w:rsidR="00E50A74" w:rsidRPr="00573356" w:rsidRDefault="00E50A74" w:rsidP="005E5441">
            <w:pPr>
              <w:keepNext/>
              <w:jc w:val="left"/>
              <w:rPr>
                <w:rFonts w:ascii="Arial Narrow" w:eastAsiaTheme="majorEastAsia" w:hAnsi="Arial Narrow" w:cstheme="majorBidi"/>
                <w:bCs/>
                <w:sz w:val="20"/>
                <w:lang w:eastAsia="zh-CN"/>
              </w:rPr>
            </w:pPr>
            <w:r w:rsidRPr="00573356">
              <w:rPr>
                <w:rFonts w:ascii="Arial Narrow" w:eastAsiaTheme="majorEastAsia" w:hAnsi="Arial Narrow" w:cstheme="majorBidi"/>
                <w:bCs/>
                <w:sz w:val="20"/>
                <w:lang w:eastAsia="zh-CN"/>
              </w:rPr>
              <w:t>0%</w:t>
            </w:r>
          </w:p>
        </w:tc>
        <w:tc>
          <w:tcPr>
            <w:tcW w:w="820" w:type="pct"/>
            <w:tcBorders>
              <w:top w:val="nil"/>
              <w:left w:val="single" w:sz="4" w:space="0" w:color="auto"/>
              <w:right w:val="nil"/>
            </w:tcBorders>
            <w:noWrap/>
            <w:vAlign w:val="center"/>
            <w:hideMark/>
          </w:tcPr>
          <w:p w14:paraId="1C3095B3" w14:textId="1F407C9E" w:rsidR="00E50A74" w:rsidRPr="004C7E85" w:rsidRDefault="00E50A74" w:rsidP="005E5441">
            <w:pPr>
              <w:keepNext/>
              <w:jc w:val="center"/>
              <w:rPr>
                <w:rFonts w:ascii="Arial Narrow" w:eastAsiaTheme="majorEastAsia" w:hAnsi="Arial Narrow" w:cstheme="majorBidi"/>
                <w:bCs/>
                <w:sz w:val="20"/>
                <w:lang w:eastAsia="zh-CN"/>
              </w:rPr>
            </w:pPr>
            <w:r w:rsidRPr="004C7E85">
              <w:rPr>
                <w:rFonts w:ascii="Arial Narrow" w:eastAsiaTheme="majorEastAsia" w:hAnsi="Arial Narrow" w:cstheme="majorBidi"/>
                <w:bCs/>
                <w:sz w:val="20"/>
                <w:lang w:eastAsia="zh-CN"/>
              </w:rPr>
              <w:t>$</w:t>
            </w:r>
            <w:r w:rsidR="00C87B5E" w:rsidRPr="00C87B5E">
              <w:rPr>
                <w:rFonts w:ascii="Arial Narrow" w:eastAsiaTheme="majorEastAsia" w:hAnsi="Arial Narrow" w:cstheme="majorBidi"/>
                <w:bCs/>
                <w:sz w:val="2"/>
                <w:highlight w:val="black"/>
                <w:lang w:eastAsia="zh-CN"/>
              </w:rPr>
              <w:t>redacted content</w:t>
            </w:r>
          </w:p>
        </w:tc>
        <w:tc>
          <w:tcPr>
            <w:tcW w:w="820" w:type="pct"/>
            <w:tcBorders>
              <w:top w:val="nil"/>
              <w:left w:val="single" w:sz="4" w:space="0" w:color="auto"/>
              <w:right w:val="nil"/>
            </w:tcBorders>
            <w:noWrap/>
            <w:vAlign w:val="center"/>
            <w:hideMark/>
          </w:tcPr>
          <w:p w14:paraId="0EEBA27C" w14:textId="77777777" w:rsidR="00E50A74" w:rsidRPr="004C7E85" w:rsidRDefault="00E50A74" w:rsidP="005E5441">
            <w:pPr>
              <w:keepNext/>
              <w:jc w:val="center"/>
              <w:rPr>
                <w:rFonts w:ascii="Arial Narrow" w:eastAsiaTheme="majorEastAsia" w:hAnsi="Arial Narrow" w:cstheme="majorBidi"/>
                <w:bCs/>
                <w:sz w:val="20"/>
                <w:lang w:eastAsia="zh-CN"/>
              </w:rPr>
            </w:pPr>
            <w:r w:rsidRPr="004C7E85">
              <w:rPr>
                <w:rFonts w:ascii="Arial Narrow" w:eastAsiaTheme="majorEastAsia" w:hAnsi="Arial Narrow" w:cstheme="majorBidi"/>
                <w:bCs/>
                <w:sz w:val="20"/>
                <w:lang w:eastAsia="zh-CN"/>
              </w:rPr>
              <w:t>0.277</w:t>
            </w:r>
          </w:p>
        </w:tc>
        <w:tc>
          <w:tcPr>
            <w:tcW w:w="820" w:type="pct"/>
            <w:tcBorders>
              <w:top w:val="nil"/>
              <w:left w:val="single" w:sz="4" w:space="0" w:color="auto"/>
              <w:right w:val="nil"/>
            </w:tcBorders>
            <w:noWrap/>
            <w:vAlign w:val="center"/>
            <w:hideMark/>
          </w:tcPr>
          <w:p w14:paraId="00C53A34" w14:textId="08FD6617" w:rsidR="00E50A74" w:rsidRPr="004C7E85" w:rsidRDefault="00E50A74" w:rsidP="005E5441">
            <w:pPr>
              <w:keepNext/>
              <w:jc w:val="center"/>
              <w:rPr>
                <w:rFonts w:ascii="Arial Narrow" w:eastAsiaTheme="majorEastAsia" w:hAnsi="Arial Narrow" w:cstheme="majorBidi"/>
                <w:bCs/>
                <w:sz w:val="20"/>
                <w:lang w:eastAsia="zh-CN"/>
              </w:rPr>
            </w:pPr>
            <w:r w:rsidRPr="004C7E85">
              <w:rPr>
                <w:rFonts w:ascii="Arial Narrow" w:eastAsiaTheme="majorEastAsia" w:hAnsi="Arial Narrow" w:cstheme="majorBidi"/>
                <w:bCs/>
                <w:sz w:val="20"/>
                <w:lang w:eastAsia="zh-CN"/>
              </w:rPr>
              <w:t>$</w:t>
            </w:r>
            <w:r w:rsidR="00C87B5E" w:rsidRPr="00C87B5E">
              <w:rPr>
                <w:rFonts w:ascii="Arial Narrow" w:eastAsiaTheme="majorEastAsia" w:hAnsi="Arial Narrow" w:cstheme="majorBidi"/>
                <w:bCs/>
                <w:sz w:val="2"/>
                <w:highlight w:val="black"/>
                <w:lang w:eastAsia="zh-CN"/>
              </w:rPr>
              <w:t>redacted content</w:t>
            </w:r>
            <w:r w:rsidR="00F93E7C" w:rsidRPr="00F93E7C">
              <w:rPr>
                <w:rFonts w:ascii="Arial Narrow" w:eastAsiaTheme="majorEastAsia" w:hAnsi="Arial Narrow" w:cstheme="majorBidi"/>
                <w:bCs/>
                <w:sz w:val="20"/>
                <w:vertAlign w:val="superscript"/>
                <w:lang w:eastAsia="zh-CN"/>
              </w:rPr>
              <w:t>1</w:t>
            </w:r>
          </w:p>
        </w:tc>
        <w:tc>
          <w:tcPr>
            <w:tcW w:w="819" w:type="pct"/>
            <w:tcBorders>
              <w:top w:val="nil"/>
              <w:left w:val="single" w:sz="4" w:space="0" w:color="auto"/>
              <w:right w:val="single" w:sz="4" w:space="0" w:color="auto"/>
            </w:tcBorders>
            <w:noWrap/>
            <w:vAlign w:val="center"/>
            <w:hideMark/>
          </w:tcPr>
          <w:p w14:paraId="2956977C" w14:textId="1443D31D" w:rsidR="00E50A74" w:rsidRPr="00DE5B40" w:rsidRDefault="00E50A74" w:rsidP="005E5441">
            <w:pPr>
              <w:keepNext/>
              <w:jc w:val="center"/>
              <w:rPr>
                <w:rFonts w:ascii="Arial Narrow" w:eastAsiaTheme="majorEastAsia" w:hAnsi="Arial Narrow" w:cstheme="majorBidi"/>
                <w:bCs/>
                <w:sz w:val="20"/>
                <w:lang w:eastAsia="zh-CN"/>
              </w:rPr>
            </w:pPr>
            <w:r w:rsidRPr="00D454B5">
              <w:rPr>
                <w:rFonts w:ascii="Arial Narrow" w:eastAsiaTheme="majorEastAsia" w:hAnsi="Arial Narrow" w:cstheme="majorBidi"/>
                <w:bCs/>
                <w:sz w:val="20"/>
                <w:lang w:eastAsia="zh-CN"/>
              </w:rPr>
              <w:t>-</w:t>
            </w:r>
            <w:r w:rsidR="00C87B5E" w:rsidRPr="00C87B5E">
              <w:rPr>
                <w:rFonts w:ascii="Arial Narrow" w:eastAsiaTheme="majorEastAsia" w:hAnsi="Arial Narrow" w:cstheme="majorBidi"/>
                <w:bCs/>
                <w:sz w:val="2"/>
                <w:highlight w:val="black"/>
                <w:lang w:eastAsia="zh-CN"/>
              </w:rPr>
              <w:t>redacted content</w:t>
            </w:r>
            <w:r w:rsidRPr="00FA00B9">
              <w:rPr>
                <w:rFonts w:ascii="Arial Narrow" w:eastAsiaTheme="majorEastAsia" w:hAnsi="Arial Narrow" w:cstheme="majorBidi"/>
                <w:bCs/>
                <w:sz w:val="20"/>
                <w:lang w:eastAsia="zh-CN"/>
              </w:rPr>
              <w:t>%</w:t>
            </w:r>
          </w:p>
        </w:tc>
      </w:tr>
      <w:tr w:rsidR="00E50A74" w:rsidRPr="00573356" w14:paraId="7909BCA2" w14:textId="77777777">
        <w:trPr>
          <w:trHeight w:val="280"/>
        </w:trPr>
        <w:tc>
          <w:tcPr>
            <w:tcW w:w="1721" w:type="pct"/>
            <w:tcBorders>
              <w:top w:val="nil"/>
              <w:left w:val="single" w:sz="4" w:space="0" w:color="auto"/>
              <w:bottom w:val="single" w:sz="4" w:space="0" w:color="auto"/>
              <w:right w:val="nil"/>
            </w:tcBorders>
            <w:vAlign w:val="center"/>
            <w:hideMark/>
          </w:tcPr>
          <w:p w14:paraId="2BA4A3CB" w14:textId="77777777" w:rsidR="00E50A74" w:rsidRPr="00573356" w:rsidRDefault="00E50A74" w:rsidP="005E5441">
            <w:pPr>
              <w:keepNext/>
              <w:jc w:val="left"/>
              <w:rPr>
                <w:rFonts w:ascii="Arial Narrow" w:eastAsiaTheme="majorEastAsia" w:hAnsi="Arial Narrow" w:cstheme="majorBidi"/>
                <w:bCs/>
                <w:sz w:val="20"/>
                <w:lang w:eastAsia="zh-CN"/>
              </w:rPr>
            </w:pPr>
            <w:r w:rsidRPr="00573356">
              <w:rPr>
                <w:rFonts w:ascii="Arial Narrow" w:eastAsiaTheme="majorEastAsia" w:hAnsi="Arial Narrow" w:cstheme="majorBidi"/>
                <w:bCs/>
                <w:sz w:val="20"/>
                <w:lang w:eastAsia="zh-CN"/>
              </w:rPr>
              <w:t>3.50%</w:t>
            </w:r>
          </w:p>
        </w:tc>
        <w:tc>
          <w:tcPr>
            <w:tcW w:w="820" w:type="pct"/>
            <w:tcBorders>
              <w:top w:val="nil"/>
              <w:left w:val="single" w:sz="4" w:space="0" w:color="auto"/>
              <w:bottom w:val="single" w:sz="4" w:space="0" w:color="auto"/>
              <w:right w:val="nil"/>
            </w:tcBorders>
            <w:noWrap/>
            <w:vAlign w:val="center"/>
            <w:hideMark/>
          </w:tcPr>
          <w:p w14:paraId="662C7CE2" w14:textId="60959131" w:rsidR="00E50A74" w:rsidRPr="004C7E85" w:rsidRDefault="00E50A74" w:rsidP="005E5441">
            <w:pPr>
              <w:keepNext/>
              <w:jc w:val="center"/>
              <w:rPr>
                <w:rFonts w:ascii="Arial Narrow" w:eastAsiaTheme="majorEastAsia" w:hAnsi="Arial Narrow" w:cstheme="majorBidi"/>
                <w:bCs/>
                <w:sz w:val="20"/>
                <w:lang w:eastAsia="zh-CN"/>
              </w:rPr>
            </w:pPr>
            <w:r w:rsidRPr="004C7E85">
              <w:rPr>
                <w:rFonts w:ascii="Arial Narrow" w:eastAsiaTheme="majorEastAsia" w:hAnsi="Arial Narrow" w:cstheme="majorBidi"/>
                <w:bCs/>
                <w:sz w:val="20"/>
                <w:lang w:eastAsia="zh-CN"/>
              </w:rPr>
              <w:t>$</w:t>
            </w:r>
            <w:r w:rsidR="00C87B5E" w:rsidRPr="00C87B5E">
              <w:rPr>
                <w:rFonts w:ascii="Arial Narrow" w:eastAsiaTheme="majorEastAsia" w:hAnsi="Arial Narrow" w:cstheme="majorBidi"/>
                <w:bCs/>
                <w:sz w:val="2"/>
                <w:highlight w:val="black"/>
                <w:lang w:eastAsia="zh-CN"/>
              </w:rPr>
              <w:t>redacted content</w:t>
            </w:r>
          </w:p>
        </w:tc>
        <w:tc>
          <w:tcPr>
            <w:tcW w:w="820" w:type="pct"/>
            <w:tcBorders>
              <w:top w:val="nil"/>
              <w:left w:val="single" w:sz="4" w:space="0" w:color="auto"/>
              <w:bottom w:val="single" w:sz="4" w:space="0" w:color="auto"/>
              <w:right w:val="nil"/>
            </w:tcBorders>
            <w:noWrap/>
            <w:vAlign w:val="center"/>
            <w:hideMark/>
          </w:tcPr>
          <w:p w14:paraId="53BFD7A5" w14:textId="77777777" w:rsidR="00E50A74" w:rsidRPr="004C7E85" w:rsidRDefault="00E50A74" w:rsidP="005E5441">
            <w:pPr>
              <w:keepNext/>
              <w:jc w:val="center"/>
              <w:rPr>
                <w:rFonts w:ascii="Arial Narrow" w:eastAsiaTheme="majorEastAsia" w:hAnsi="Arial Narrow" w:cstheme="majorBidi"/>
                <w:bCs/>
                <w:sz w:val="20"/>
                <w:lang w:eastAsia="zh-CN"/>
              </w:rPr>
            </w:pPr>
            <w:r w:rsidRPr="004C7E85">
              <w:rPr>
                <w:rFonts w:ascii="Arial Narrow" w:eastAsiaTheme="majorEastAsia" w:hAnsi="Arial Narrow" w:cstheme="majorBidi"/>
                <w:bCs/>
                <w:sz w:val="20"/>
                <w:lang w:eastAsia="zh-CN"/>
              </w:rPr>
              <w:t>0.260</w:t>
            </w:r>
          </w:p>
        </w:tc>
        <w:tc>
          <w:tcPr>
            <w:tcW w:w="820" w:type="pct"/>
            <w:tcBorders>
              <w:top w:val="nil"/>
              <w:left w:val="single" w:sz="4" w:space="0" w:color="auto"/>
              <w:bottom w:val="single" w:sz="4" w:space="0" w:color="auto"/>
              <w:right w:val="nil"/>
            </w:tcBorders>
            <w:noWrap/>
            <w:vAlign w:val="center"/>
            <w:hideMark/>
          </w:tcPr>
          <w:p w14:paraId="01C0C437" w14:textId="641CEA24" w:rsidR="00E50A74" w:rsidRPr="004C7E85" w:rsidRDefault="00E50A74" w:rsidP="005E5441">
            <w:pPr>
              <w:keepNext/>
              <w:jc w:val="center"/>
              <w:rPr>
                <w:rFonts w:ascii="Arial Narrow" w:eastAsiaTheme="majorEastAsia" w:hAnsi="Arial Narrow" w:cstheme="majorBidi"/>
                <w:bCs/>
                <w:sz w:val="20"/>
                <w:lang w:eastAsia="zh-CN"/>
              </w:rPr>
            </w:pPr>
            <w:r w:rsidRPr="004C7E85">
              <w:rPr>
                <w:rFonts w:ascii="Arial Narrow" w:eastAsiaTheme="majorEastAsia" w:hAnsi="Arial Narrow" w:cstheme="majorBidi"/>
                <w:bCs/>
                <w:sz w:val="20"/>
                <w:lang w:eastAsia="zh-CN"/>
              </w:rPr>
              <w:t>$</w:t>
            </w:r>
            <w:r w:rsidR="00C87B5E" w:rsidRPr="00C87B5E">
              <w:rPr>
                <w:rFonts w:ascii="Arial Narrow" w:eastAsiaTheme="majorEastAsia" w:hAnsi="Arial Narrow" w:cstheme="majorBidi"/>
                <w:bCs/>
                <w:sz w:val="2"/>
                <w:highlight w:val="black"/>
                <w:lang w:eastAsia="zh-CN"/>
              </w:rPr>
              <w:t>redacted content</w:t>
            </w:r>
            <w:r w:rsidR="00F93E7C" w:rsidRPr="00F93E7C">
              <w:rPr>
                <w:rFonts w:ascii="Arial Narrow" w:eastAsiaTheme="majorEastAsia" w:hAnsi="Arial Narrow" w:cstheme="majorBidi"/>
                <w:bCs/>
                <w:sz w:val="20"/>
                <w:vertAlign w:val="superscript"/>
                <w:lang w:eastAsia="zh-CN"/>
              </w:rPr>
              <w:t>1</w:t>
            </w:r>
          </w:p>
        </w:tc>
        <w:tc>
          <w:tcPr>
            <w:tcW w:w="819" w:type="pct"/>
            <w:tcBorders>
              <w:top w:val="nil"/>
              <w:left w:val="single" w:sz="4" w:space="0" w:color="auto"/>
              <w:bottom w:val="single" w:sz="4" w:space="0" w:color="auto"/>
              <w:right w:val="single" w:sz="4" w:space="0" w:color="auto"/>
            </w:tcBorders>
            <w:noWrap/>
            <w:vAlign w:val="center"/>
            <w:hideMark/>
          </w:tcPr>
          <w:p w14:paraId="5B341B57" w14:textId="3248E8B6" w:rsidR="00E50A74" w:rsidRPr="00DE5B40" w:rsidRDefault="00E50A74" w:rsidP="005E5441">
            <w:pPr>
              <w:keepNext/>
              <w:jc w:val="center"/>
              <w:rPr>
                <w:rFonts w:ascii="Arial Narrow" w:eastAsiaTheme="majorEastAsia" w:hAnsi="Arial Narrow" w:cstheme="majorBidi"/>
                <w:bCs/>
                <w:sz w:val="20"/>
                <w:lang w:eastAsia="zh-CN"/>
              </w:rPr>
            </w:pPr>
            <w:r w:rsidRPr="00D454B5">
              <w:rPr>
                <w:rFonts w:ascii="Arial Narrow" w:eastAsiaTheme="majorEastAsia" w:hAnsi="Arial Narrow" w:cstheme="majorBidi"/>
                <w:bCs/>
                <w:sz w:val="20"/>
                <w:lang w:eastAsia="zh-CN"/>
              </w:rPr>
              <w:t>-</w:t>
            </w:r>
            <w:r w:rsidR="00C87B5E" w:rsidRPr="00C87B5E">
              <w:rPr>
                <w:rFonts w:ascii="Arial Narrow" w:eastAsiaTheme="majorEastAsia" w:hAnsi="Arial Narrow" w:cstheme="majorBidi"/>
                <w:bCs/>
                <w:sz w:val="2"/>
                <w:highlight w:val="black"/>
                <w:lang w:eastAsia="zh-CN"/>
              </w:rPr>
              <w:t>redacted content</w:t>
            </w:r>
            <w:r w:rsidRPr="00FA00B9">
              <w:rPr>
                <w:rFonts w:ascii="Arial Narrow" w:eastAsiaTheme="majorEastAsia" w:hAnsi="Arial Narrow" w:cstheme="majorBidi"/>
                <w:bCs/>
                <w:sz w:val="20"/>
                <w:lang w:eastAsia="zh-CN"/>
              </w:rPr>
              <w:t>%</w:t>
            </w:r>
          </w:p>
        </w:tc>
      </w:tr>
      <w:tr w:rsidR="00E50A74" w:rsidRPr="00573356" w14:paraId="7D188BE1" w14:textId="77777777">
        <w:trPr>
          <w:trHeight w:val="28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05969681" w14:textId="77777777" w:rsidR="00E50A74" w:rsidRPr="00573356" w:rsidRDefault="00E50A74" w:rsidP="005E5441">
            <w:pPr>
              <w:keepNext/>
              <w:jc w:val="left"/>
              <w:rPr>
                <w:rFonts w:ascii="Arial Narrow" w:eastAsiaTheme="majorEastAsia" w:hAnsi="Arial Narrow" w:cstheme="majorBidi"/>
                <w:bCs/>
                <w:sz w:val="20"/>
                <w:lang w:eastAsia="zh-CN"/>
              </w:rPr>
            </w:pPr>
            <w:r w:rsidRPr="00573356">
              <w:rPr>
                <w:rFonts w:ascii="Arial Narrow" w:eastAsiaTheme="majorEastAsia" w:hAnsi="Arial Narrow" w:cstheme="majorBidi"/>
                <w:b/>
                <w:sz w:val="20"/>
                <w:lang w:eastAsia="zh-CN"/>
              </w:rPr>
              <w:t>Time horizon (base case: 7 years)</w:t>
            </w:r>
          </w:p>
        </w:tc>
      </w:tr>
      <w:tr w:rsidR="00E50A74" w:rsidRPr="00573356" w14:paraId="601E35F4" w14:textId="77777777">
        <w:trPr>
          <w:trHeight w:val="280"/>
        </w:trPr>
        <w:tc>
          <w:tcPr>
            <w:tcW w:w="1721" w:type="pct"/>
            <w:tcBorders>
              <w:top w:val="single" w:sz="4" w:space="0" w:color="auto"/>
              <w:left w:val="single" w:sz="4" w:space="0" w:color="auto"/>
              <w:bottom w:val="single" w:sz="4" w:space="0" w:color="auto"/>
              <w:right w:val="nil"/>
            </w:tcBorders>
            <w:vAlign w:val="center"/>
            <w:hideMark/>
          </w:tcPr>
          <w:p w14:paraId="31BB3FB5" w14:textId="77777777" w:rsidR="00E50A74" w:rsidRPr="00573356" w:rsidRDefault="00E50A74" w:rsidP="005E5441">
            <w:pPr>
              <w:keepNext/>
              <w:jc w:val="left"/>
              <w:rPr>
                <w:rFonts w:ascii="Arial Narrow" w:eastAsiaTheme="majorEastAsia" w:hAnsi="Arial Narrow" w:cstheme="majorBidi"/>
                <w:bCs/>
                <w:sz w:val="20"/>
                <w:lang w:eastAsia="zh-CN"/>
              </w:rPr>
            </w:pPr>
            <w:r w:rsidRPr="00573356">
              <w:rPr>
                <w:rFonts w:ascii="Arial Narrow" w:eastAsiaTheme="majorEastAsia" w:hAnsi="Arial Narrow" w:cstheme="majorBidi"/>
                <w:bCs/>
                <w:sz w:val="20"/>
                <w:lang w:eastAsia="zh-CN"/>
              </w:rPr>
              <w:t>5 years</w:t>
            </w:r>
          </w:p>
        </w:tc>
        <w:tc>
          <w:tcPr>
            <w:tcW w:w="820" w:type="pct"/>
            <w:tcBorders>
              <w:top w:val="single" w:sz="4" w:space="0" w:color="auto"/>
              <w:left w:val="single" w:sz="4" w:space="0" w:color="auto"/>
              <w:bottom w:val="single" w:sz="4" w:space="0" w:color="auto"/>
              <w:right w:val="nil"/>
            </w:tcBorders>
            <w:noWrap/>
            <w:vAlign w:val="center"/>
            <w:hideMark/>
          </w:tcPr>
          <w:p w14:paraId="7787DE17" w14:textId="54A86AE1" w:rsidR="00E50A74" w:rsidRPr="00A16E97" w:rsidRDefault="00E50A74" w:rsidP="005E5441">
            <w:pPr>
              <w:keepNext/>
              <w:jc w:val="center"/>
              <w:rPr>
                <w:rFonts w:ascii="Arial Narrow" w:eastAsiaTheme="majorEastAsia" w:hAnsi="Arial Narrow" w:cstheme="majorBidi"/>
                <w:bCs/>
                <w:sz w:val="20"/>
                <w:lang w:eastAsia="zh-CN"/>
              </w:rPr>
            </w:pPr>
            <w:r w:rsidRPr="00A16E97">
              <w:rPr>
                <w:rFonts w:ascii="Arial Narrow" w:eastAsiaTheme="majorEastAsia" w:hAnsi="Arial Narrow" w:cstheme="majorBidi"/>
                <w:bCs/>
                <w:sz w:val="20"/>
                <w:lang w:eastAsia="zh-CN"/>
              </w:rPr>
              <w:t>$</w:t>
            </w:r>
            <w:r w:rsidR="00C87B5E" w:rsidRPr="00C87B5E">
              <w:rPr>
                <w:rFonts w:ascii="Arial Narrow" w:eastAsiaTheme="majorEastAsia" w:hAnsi="Arial Narrow" w:cstheme="majorBidi"/>
                <w:bCs/>
                <w:sz w:val="2"/>
                <w:highlight w:val="black"/>
                <w:lang w:eastAsia="zh-CN"/>
              </w:rPr>
              <w:t>redacted content</w:t>
            </w:r>
          </w:p>
        </w:tc>
        <w:tc>
          <w:tcPr>
            <w:tcW w:w="820" w:type="pct"/>
            <w:tcBorders>
              <w:top w:val="single" w:sz="4" w:space="0" w:color="auto"/>
              <w:left w:val="single" w:sz="4" w:space="0" w:color="auto"/>
              <w:bottom w:val="single" w:sz="4" w:space="0" w:color="auto"/>
              <w:right w:val="nil"/>
            </w:tcBorders>
            <w:noWrap/>
            <w:vAlign w:val="center"/>
            <w:hideMark/>
          </w:tcPr>
          <w:p w14:paraId="3260024E" w14:textId="77777777" w:rsidR="00E50A74" w:rsidRPr="00A16E97" w:rsidRDefault="00E50A74" w:rsidP="005E5441">
            <w:pPr>
              <w:keepNext/>
              <w:jc w:val="center"/>
              <w:rPr>
                <w:rFonts w:ascii="Arial Narrow" w:eastAsiaTheme="majorEastAsia" w:hAnsi="Arial Narrow" w:cstheme="majorBidi"/>
                <w:bCs/>
                <w:sz w:val="20"/>
                <w:lang w:eastAsia="zh-CN"/>
              </w:rPr>
            </w:pPr>
            <w:r w:rsidRPr="00A16E97">
              <w:rPr>
                <w:rFonts w:ascii="Arial Narrow" w:eastAsiaTheme="majorEastAsia" w:hAnsi="Arial Narrow" w:cstheme="majorBidi"/>
                <w:bCs/>
                <w:sz w:val="20"/>
                <w:lang w:eastAsia="zh-CN"/>
              </w:rPr>
              <w:t>0.242</w:t>
            </w:r>
          </w:p>
        </w:tc>
        <w:tc>
          <w:tcPr>
            <w:tcW w:w="820" w:type="pct"/>
            <w:tcBorders>
              <w:top w:val="single" w:sz="4" w:space="0" w:color="auto"/>
              <w:left w:val="single" w:sz="4" w:space="0" w:color="auto"/>
              <w:bottom w:val="single" w:sz="4" w:space="0" w:color="auto"/>
              <w:right w:val="nil"/>
            </w:tcBorders>
            <w:noWrap/>
            <w:vAlign w:val="center"/>
            <w:hideMark/>
          </w:tcPr>
          <w:p w14:paraId="28453E2F" w14:textId="4CFEF92C" w:rsidR="00E50A74" w:rsidRPr="00A16E97" w:rsidRDefault="00E50A74" w:rsidP="005E5441">
            <w:pPr>
              <w:keepNext/>
              <w:jc w:val="center"/>
              <w:rPr>
                <w:rFonts w:ascii="Arial Narrow" w:eastAsiaTheme="majorEastAsia" w:hAnsi="Arial Narrow" w:cstheme="majorBidi"/>
                <w:bCs/>
                <w:sz w:val="20"/>
                <w:lang w:eastAsia="zh-CN"/>
              </w:rPr>
            </w:pPr>
            <w:r w:rsidRPr="00A16E97">
              <w:rPr>
                <w:rFonts w:ascii="Arial Narrow" w:eastAsiaTheme="majorEastAsia" w:hAnsi="Arial Narrow" w:cstheme="majorBidi"/>
                <w:bCs/>
                <w:sz w:val="20"/>
                <w:lang w:eastAsia="zh-CN"/>
              </w:rPr>
              <w:t>$</w:t>
            </w:r>
            <w:r w:rsidR="00C87B5E" w:rsidRPr="00C87B5E">
              <w:rPr>
                <w:rFonts w:ascii="Arial Narrow" w:eastAsiaTheme="majorEastAsia" w:hAnsi="Arial Narrow" w:cstheme="majorBidi"/>
                <w:bCs/>
                <w:sz w:val="2"/>
                <w:highlight w:val="black"/>
                <w:lang w:eastAsia="zh-CN"/>
              </w:rPr>
              <w:t>redacted content</w:t>
            </w:r>
            <w:r w:rsidR="00880405" w:rsidRPr="00880405">
              <w:rPr>
                <w:rFonts w:ascii="Arial Narrow" w:eastAsiaTheme="majorEastAsia" w:hAnsi="Arial Narrow" w:cstheme="majorBidi"/>
                <w:bCs/>
                <w:sz w:val="20"/>
                <w:vertAlign w:val="superscript"/>
                <w:lang w:eastAsia="zh-CN"/>
              </w:rPr>
              <w:t>2</w:t>
            </w:r>
          </w:p>
        </w:tc>
        <w:tc>
          <w:tcPr>
            <w:tcW w:w="819" w:type="pct"/>
            <w:tcBorders>
              <w:top w:val="single" w:sz="4" w:space="0" w:color="auto"/>
              <w:left w:val="single" w:sz="4" w:space="0" w:color="auto"/>
              <w:bottom w:val="single" w:sz="4" w:space="0" w:color="auto"/>
              <w:right w:val="single" w:sz="4" w:space="0" w:color="auto"/>
            </w:tcBorders>
            <w:noWrap/>
            <w:vAlign w:val="center"/>
            <w:hideMark/>
          </w:tcPr>
          <w:p w14:paraId="036F4E5F" w14:textId="4F47E475" w:rsidR="00E50A74" w:rsidRPr="00DE5B40" w:rsidRDefault="00C87B5E" w:rsidP="005E5441">
            <w:pPr>
              <w:keepNext/>
              <w:jc w:val="center"/>
              <w:rPr>
                <w:rFonts w:ascii="Arial Narrow" w:eastAsiaTheme="majorEastAsia" w:hAnsi="Arial Narrow" w:cstheme="majorBidi"/>
                <w:bCs/>
                <w:sz w:val="20"/>
                <w:lang w:eastAsia="zh-CN"/>
              </w:rPr>
            </w:pPr>
            <w:r w:rsidRPr="00C87B5E">
              <w:rPr>
                <w:rFonts w:ascii="Arial Narrow" w:eastAsiaTheme="majorEastAsia" w:hAnsi="Arial Narrow" w:cstheme="majorBidi"/>
                <w:bCs/>
                <w:sz w:val="2"/>
                <w:highlight w:val="black"/>
                <w:lang w:eastAsia="zh-CN"/>
              </w:rPr>
              <w:t>redacted content</w:t>
            </w:r>
            <w:r w:rsidR="00E50A74" w:rsidRPr="00FA00B9">
              <w:rPr>
                <w:rFonts w:ascii="Arial Narrow" w:eastAsiaTheme="majorEastAsia" w:hAnsi="Arial Narrow" w:cstheme="majorBidi"/>
                <w:bCs/>
                <w:sz w:val="20"/>
                <w:lang w:eastAsia="zh-CN"/>
              </w:rPr>
              <w:t>%</w:t>
            </w:r>
          </w:p>
        </w:tc>
      </w:tr>
      <w:tr w:rsidR="00E50A74" w:rsidRPr="004C7E85" w14:paraId="212BC4EB" w14:textId="77777777">
        <w:trPr>
          <w:trHeight w:val="315"/>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0208A843" w14:textId="77777777" w:rsidR="00E50A74" w:rsidRPr="004C7E85" w:rsidRDefault="00E50A74" w:rsidP="005E5441">
            <w:pPr>
              <w:keepNext/>
              <w:jc w:val="left"/>
              <w:rPr>
                <w:rFonts w:ascii="Arial Narrow" w:eastAsiaTheme="majorEastAsia" w:hAnsi="Arial Narrow" w:cstheme="majorBidi"/>
                <w:bCs/>
                <w:sz w:val="20"/>
                <w:lang w:eastAsia="zh-CN"/>
              </w:rPr>
            </w:pPr>
            <w:r w:rsidRPr="004C7E85">
              <w:rPr>
                <w:rFonts w:ascii="Arial Narrow" w:eastAsiaTheme="majorEastAsia" w:hAnsi="Arial Narrow" w:cstheme="majorBidi"/>
                <w:b/>
                <w:sz w:val="20"/>
                <w:lang w:eastAsia="zh-CN"/>
              </w:rPr>
              <w:t>Parametric function used for AmiCP OS (base case: Gamma)</w:t>
            </w:r>
          </w:p>
        </w:tc>
      </w:tr>
      <w:tr w:rsidR="00E50A74" w:rsidRPr="004C7E85" w14:paraId="6B37DA6C" w14:textId="77777777" w:rsidTr="00D655B2">
        <w:trPr>
          <w:trHeight w:val="80"/>
        </w:trPr>
        <w:tc>
          <w:tcPr>
            <w:tcW w:w="1721" w:type="pct"/>
            <w:tcBorders>
              <w:top w:val="nil"/>
              <w:left w:val="single" w:sz="4" w:space="0" w:color="auto"/>
              <w:bottom w:val="single" w:sz="4" w:space="0" w:color="auto"/>
              <w:right w:val="nil"/>
            </w:tcBorders>
            <w:vAlign w:val="center"/>
            <w:hideMark/>
          </w:tcPr>
          <w:p w14:paraId="43FBE79F" w14:textId="77777777" w:rsidR="00E50A74" w:rsidRPr="004C7E85" w:rsidRDefault="00E50A74" w:rsidP="005E5441">
            <w:pPr>
              <w:keepNext/>
              <w:jc w:val="left"/>
              <w:rPr>
                <w:rFonts w:ascii="Arial Narrow" w:eastAsiaTheme="majorEastAsia" w:hAnsi="Arial Narrow" w:cstheme="majorBidi"/>
                <w:bCs/>
                <w:sz w:val="20"/>
                <w:lang w:eastAsia="zh-CN"/>
              </w:rPr>
            </w:pPr>
            <w:r w:rsidRPr="004C7E85">
              <w:rPr>
                <w:rFonts w:ascii="Arial Narrow" w:eastAsiaTheme="majorEastAsia" w:hAnsi="Arial Narrow" w:cstheme="majorBidi"/>
                <w:bCs/>
                <w:sz w:val="20"/>
                <w:lang w:eastAsia="zh-CN"/>
              </w:rPr>
              <w:t>Weibull</w:t>
            </w:r>
          </w:p>
        </w:tc>
        <w:tc>
          <w:tcPr>
            <w:tcW w:w="820" w:type="pct"/>
            <w:tcBorders>
              <w:top w:val="nil"/>
              <w:left w:val="single" w:sz="4" w:space="0" w:color="auto"/>
              <w:bottom w:val="single" w:sz="4" w:space="0" w:color="auto"/>
              <w:right w:val="nil"/>
            </w:tcBorders>
            <w:noWrap/>
            <w:vAlign w:val="center"/>
            <w:hideMark/>
          </w:tcPr>
          <w:p w14:paraId="31F1989A" w14:textId="6960FE03" w:rsidR="00E50A74" w:rsidRPr="004C7E85" w:rsidRDefault="00E50A74" w:rsidP="005E5441">
            <w:pPr>
              <w:keepNext/>
              <w:jc w:val="center"/>
              <w:rPr>
                <w:rFonts w:ascii="Arial Narrow" w:eastAsiaTheme="majorEastAsia" w:hAnsi="Arial Narrow" w:cstheme="majorBidi"/>
                <w:bCs/>
                <w:sz w:val="20"/>
                <w:lang w:eastAsia="zh-CN"/>
              </w:rPr>
            </w:pPr>
            <w:r w:rsidRPr="004C7E85">
              <w:rPr>
                <w:rFonts w:ascii="Arial Narrow" w:eastAsiaTheme="majorEastAsia" w:hAnsi="Arial Narrow" w:cstheme="majorBidi"/>
                <w:bCs/>
                <w:sz w:val="20"/>
                <w:lang w:eastAsia="zh-CN"/>
              </w:rPr>
              <w:t>$</w:t>
            </w:r>
            <w:r w:rsidR="00C87B5E" w:rsidRPr="00C87B5E">
              <w:rPr>
                <w:rFonts w:ascii="Arial Narrow" w:eastAsiaTheme="majorEastAsia" w:hAnsi="Arial Narrow" w:cstheme="majorBidi"/>
                <w:bCs/>
                <w:sz w:val="2"/>
                <w:highlight w:val="black"/>
                <w:lang w:eastAsia="zh-CN"/>
              </w:rPr>
              <w:t>redacted content</w:t>
            </w:r>
          </w:p>
        </w:tc>
        <w:tc>
          <w:tcPr>
            <w:tcW w:w="820" w:type="pct"/>
            <w:tcBorders>
              <w:top w:val="nil"/>
              <w:left w:val="single" w:sz="4" w:space="0" w:color="auto"/>
              <w:bottom w:val="single" w:sz="4" w:space="0" w:color="auto"/>
              <w:right w:val="nil"/>
            </w:tcBorders>
            <w:noWrap/>
            <w:vAlign w:val="center"/>
            <w:hideMark/>
          </w:tcPr>
          <w:p w14:paraId="1C781D9F" w14:textId="77777777" w:rsidR="00E50A74" w:rsidRPr="004C7E85" w:rsidRDefault="00E50A74" w:rsidP="005E5441">
            <w:pPr>
              <w:keepNext/>
              <w:jc w:val="center"/>
              <w:rPr>
                <w:rFonts w:ascii="Arial Narrow" w:eastAsiaTheme="majorEastAsia" w:hAnsi="Arial Narrow" w:cstheme="majorBidi"/>
                <w:bCs/>
                <w:sz w:val="20"/>
                <w:lang w:eastAsia="zh-CN"/>
              </w:rPr>
            </w:pPr>
            <w:r w:rsidRPr="004C7E85">
              <w:rPr>
                <w:rFonts w:ascii="Arial Narrow" w:eastAsiaTheme="majorEastAsia" w:hAnsi="Arial Narrow" w:cstheme="majorBidi"/>
                <w:bCs/>
                <w:sz w:val="20"/>
                <w:lang w:eastAsia="zh-CN"/>
              </w:rPr>
              <w:t>0.160</w:t>
            </w:r>
          </w:p>
        </w:tc>
        <w:tc>
          <w:tcPr>
            <w:tcW w:w="820" w:type="pct"/>
            <w:tcBorders>
              <w:top w:val="nil"/>
              <w:left w:val="single" w:sz="4" w:space="0" w:color="auto"/>
              <w:bottom w:val="single" w:sz="4" w:space="0" w:color="auto"/>
              <w:right w:val="nil"/>
            </w:tcBorders>
            <w:noWrap/>
            <w:vAlign w:val="center"/>
            <w:hideMark/>
          </w:tcPr>
          <w:p w14:paraId="47150FCA" w14:textId="4910800A" w:rsidR="00E50A74" w:rsidRPr="004C7E85" w:rsidRDefault="00E50A74" w:rsidP="005E5441">
            <w:pPr>
              <w:keepNext/>
              <w:jc w:val="center"/>
              <w:rPr>
                <w:rFonts w:ascii="Arial Narrow" w:eastAsiaTheme="majorEastAsia" w:hAnsi="Arial Narrow" w:cstheme="majorBidi"/>
                <w:bCs/>
                <w:sz w:val="20"/>
                <w:lang w:eastAsia="zh-CN"/>
              </w:rPr>
            </w:pPr>
            <w:r w:rsidRPr="004C7E85">
              <w:rPr>
                <w:rFonts w:ascii="Arial Narrow" w:eastAsiaTheme="majorEastAsia" w:hAnsi="Arial Narrow" w:cstheme="majorBidi"/>
                <w:bCs/>
                <w:sz w:val="20"/>
                <w:lang w:eastAsia="zh-CN"/>
              </w:rPr>
              <w:t>$</w:t>
            </w:r>
            <w:r w:rsidR="00C87B5E" w:rsidRPr="00C87B5E">
              <w:rPr>
                <w:rFonts w:ascii="Arial Narrow" w:eastAsiaTheme="majorEastAsia" w:hAnsi="Arial Narrow" w:cstheme="majorBidi"/>
                <w:bCs/>
                <w:sz w:val="2"/>
                <w:highlight w:val="black"/>
                <w:lang w:eastAsia="zh-CN"/>
              </w:rPr>
              <w:t>redacted content</w:t>
            </w:r>
            <w:r w:rsidR="00CD39A7" w:rsidRPr="00CD39A7">
              <w:rPr>
                <w:rFonts w:ascii="Arial Narrow" w:eastAsiaTheme="majorEastAsia" w:hAnsi="Arial Narrow" w:cstheme="majorBidi"/>
                <w:bCs/>
                <w:sz w:val="20"/>
                <w:vertAlign w:val="superscript"/>
                <w:lang w:eastAsia="zh-CN"/>
              </w:rPr>
              <w:t>3</w:t>
            </w:r>
          </w:p>
        </w:tc>
        <w:tc>
          <w:tcPr>
            <w:tcW w:w="819" w:type="pct"/>
            <w:tcBorders>
              <w:top w:val="nil"/>
              <w:left w:val="single" w:sz="4" w:space="0" w:color="auto"/>
              <w:bottom w:val="single" w:sz="4" w:space="0" w:color="auto"/>
              <w:right w:val="single" w:sz="4" w:space="0" w:color="auto"/>
            </w:tcBorders>
            <w:noWrap/>
            <w:vAlign w:val="center"/>
            <w:hideMark/>
          </w:tcPr>
          <w:p w14:paraId="0E0B869C" w14:textId="1BA6D827" w:rsidR="00E50A74" w:rsidRPr="00DE5B40" w:rsidRDefault="00C87B5E" w:rsidP="005E5441">
            <w:pPr>
              <w:keepNext/>
              <w:jc w:val="center"/>
              <w:rPr>
                <w:rFonts w:ascii="Arial Narrow" w:eastAsiaTheme="majorEastAsia" w:hAnsi="Arial Narrow" w:cstheme="majorBidi"/>
                <w:bCs/>
                <w:sz w:val="20"/>
                <w:lang w:eastAsia="zh-CN"/>
              </w:rPr>
            </w:pPr>
            <w:r w:rsidRPr="00C87B5E">
              <w:rPr>
                <w:rFonts w:ascii="Arial Narrow" w:eastAsiaTheme="majorEastAsia" w:hAnsi="Arial Narrow" w:cstheme="majorBidi"/>
                <w:bCs/>
                <w:sz w:val="2"/>
                <w:highlight w:val="black"/>
                <w:lang w:eastAsia="zh-CN"/>
              </w:rPr>
              <w:t>redacted content</w:t>
            </w:r>
            <w:r w:rsidR="00E50A74" w:rsidRPr="00FA00B9">
              <w:rPr>
                <w:rFonts w:ascii="Arial Narrow" w:eastAsiaTheme="majorEastAsia" w:hAnsi="Arial Narrow" w:cstheme="majorBidi"/>
                <w:bCs/>
                <w:sz w:val="20"/>
                <w:lang w:eastAsia="zh-CN"/>
              </w:rPr>
              <w:t>%</w:t>
            </w:r>
          </w:p>
        </w:tc>
      </w:tr>
      <w:tr w:rsidR="00E50A74" w:rsidRPr="00573356" w14:paraId="65AA277B" w14:textId="77777777">
        <w:trPr>
          <w:trHeight w:val="287"/>
        </w:trPr>
        <w:tc>
          <w:tcPr>
            <w:tcW w:w="5000" w:type="pct"/>
            <w:gridSpan w:val="5"/>
            <w:tcBorders>
              <w:top w:val="nil"/>
              <w:left w:val="single" w:sz="4" w:space="0" w:color="auto"/>
              <w:bottom w:val="single" w:sz="4" w:space="0" w:color="auto"/>
              <w:right w:val="single" w:sz="4" w:space="0" w:color="auto"/>
            </w:tcBorders>
            <w:vAlign w:val="center"/>
            <w:hideMark/>
          </w:tcPr>
          <w:p w14:paraId="260695B6" w14:textId="77777777" w:rsidR="00E50A74" w:rsidRPr="00573356" w:rsidRDefault="00E50A74" w:rsidP="005E5441">
            <w:pPr>
              <w:keepNext/>
              <w:jc w:val="left"/>
              <w:rPr>
                <w:rFonts w:ascii="Arial Narrow" w:eastAsiaTheme="majorEastAsia" w:hAnsi="Arial Narrow" w:cstheme="majorBidi"/>
                <w:bCs/>
                <w:sz w:val="20"/>
                <w:lang w:eastAsia="zh-CN"/>
              </w:rPr>
            </w:pPr>
            <w:r w:rsidRPr="00573356">
              <w:rPr>
                <w:rFonts w:ascii="Arial Narrow" w:eastAsiaTheme="majorEastAsia" w:hAnsi="Arial Narrow" w:cstheme="majorBidi"/>
                <w:b/>
                <w:sz w:val="20"/>
                <w:lang w:eastAsia="zh-CN"/>
              </w:rPr>
              <w:t>Parametric function used for AmiCP: amivantamab TTTD (base case: Generalised Gamma)</w:t>
            </w:r>
          </w:p>
        </w:tc>
      </w:tr>
      <w:tr w:rsidR="00E50A74" w:rsidRPr="00573356" w14:paraId="71F71B86" w14:textId="77777777">
        <w:trPr>
          <w:trHeight w:val="280"/>
        </w:trPr>
        <w:tc>
          <w:tcPr>
            <w:tcW w:w="1721" w:type="pct"/>
            <w:tcBorders>
              <w:top w:val="nil"/>
              <w:left w:val="single" w:sz="4" w:space="0" w:color="auto"/>
              <w:bottom w:val="nil"/>
              <w:right w:val="nil"/>
            </w:tcBorders>
            <w:vAlign w:val="center"/>
            <w:hideMark/>
          </w:tcPr>
          <w:p w14:paraId="4BB974A5" w14:textId="77777777" w:rsidR="00E50A74" w:rsidRPr="00573356" w:rsidRDefault="00E50A74" w:rsidP="005E5441">
            <w:pPr>
              <w:keepNext/>
              <w:jc w:val="left"/>
              <w:rPr>
                <w:rFonts w:ascii="Arial Narrow" w:eastAsiaTheme="majorEastAsia" w:hAnsi="Arial Narrow" w:cstheme="majorBidi"/>
                <w:bCs/>
                <w:sz w:val="20"/>
                <w:lang w:eastAsia="zh-CN"/>
              </w:rPr>
            </w:pPr>
            <w:r w:rsidRPr="00573356">
              <w:rPr>
                <w:rFonts w:ascii="Arial Narrow" w:eastAsiaTheme="majorEastAsia" w:hAnsi="Arial Narrow" w:cstheme="majorBidi"/>
                <w:bCs/>
                <w:sz w:val="20"/>
                <w:lang w:eastAsia="zh-CN"/>
              </w:rPr>
              <w:t>Exponential</w:t>
            </w:r>
          </w:p>
        </w:tc>
        <w:tc>
          <w:tcPr>
            <w:tcW w:w="820" w:type="pct"/>
            <w:tcBorders>
              <w:top w:val="nil"/>
              <w:left w:val="single" w:sz="4" w:space="0" w:color="auto"/>
              <w:bottom w:val="nil"/>
              <w:right w:val="nil"/>
            </w:tcBorders>
            <w:noWrap/>
            <w:vAlign w:val="center"/>
            <w:hideMark/>
          </w:tcPr>
          <w:p w14:paraId="24BCCB6A" w14:textId="3C496AA2" w:rsidR="00E50A74" w:rsidRPr="00573356" w:rsidRDefault="00E50A74" w:rsidP="005E5441">
            <w:pPr>
              <w:keepNext/>
              <w:jc w:val="center"/>
              <w:rPr>
                <w:rFonts w:ascii="Arial Narrow" w:eastAsiaTheme="majorEastAsia" w:hAnsi="Arial Narrow" w:cstheme="majorBidi"/>
                <w:bCs/>
                <w:sz w:val="20"/>
                <w:lang w:eastAsia="zh-CN"/>
              </w:rPr>
            </w:pPr>
            <w:r w:rsidRPr="00573356">
              <w:rPr>
                <w:rFonts w:ascii="Arial Narrow" w:eastAsiaTheme="majorEastAsia" w:hAnsi="Arial Narrow" w:cstheme="majorBidi"/>
                <w:bCs/>
                <w:sz w:val="20"/>
                <w:lang w:eastAsia="zh-CN"/>
              </w:rPr>
              <w:t>$</w:t>
            </w:r>
            <w:r w:rsidR="00C87B5E" w:rsidRPr="00C87B5E">
              <w:rPr>
                <w:rFonts w:ascii="Arial Narrow" w:eastAsiaTheme="majorEastAsia" w:hAnsi="Arial Narrow" w:cstheme="majorBidi"/>
                <w:bCs/>
                <w:sz w:val="2"/>
                <w:highlight w:val="black"/>
                <w:lang w:eastAsia="zh-CN"/>
              </w:rPr>
              <w:t>redacted content</w:t>
            </w:r>
          </w:p>
        </w:tc>
        <w:tc>
          <w:tcPr>
            <w:tcW w:w="820" w:type="pct"/>
            <w:tcBorders>
              <w:top w:val="nil"/>
              <w:left w:val="single" w:sz="4" w:space="0" w:color="auto"/>
              <w:bottom w:val="nil"/>
              <w:right w:val="nil"/>
            </w:tcBorders>
            <w:noWrap/>
            <w:vAlign w:val="center"/>
            <w:hideMark/>
          </w:tcPr>
          <w:p w14:paraId="79D46371" w14:textId="77777777" w:rsidR="00E50A74" w:rsidRPr="00573356" w:rsidRDefault="00E50A74" w:rsidP="005E5441">
            <w:pPr>
              <w:keepNext/>
              <w:jc w:val="center"/>
              <w:rPr>
                <w:rFonts w:ascii="Arial Narrow" w:eastAsiaTheme="majorEastAsia" w:hAnsi="Arial Narrow" w:cstheme="majorBidi"/>
                <w:bCs/>
                <w:sz w:val="20"/>
                <w:lang w:eastAsia="zh-CN"/>
              </w:rPr>
            </w:pPr>
            <w:r w:rsidRPr="00573356">
              <w:rPr>
                <w:rFonts w:ascii="Arial Narrow" w:eastAsiaTheme="majorEastAsia" w:hAnsi="Arial Narrow" w:cstheme="majorBidi"/>
                <w:bCs/>
                <w:sz w:val="20"/>
                <w:lang w:eastAsia="zh-CN"/>
              </w:rPr>
              <w:t>0.253</w:t>
            </w:r>
          </w:p>
        </w:tc>
        <w:tc>
          <w:tcPr>
            <w:tcW w:w="820" w:type="pct"/>
            <w:tcBorders>
              <w:top w:val="nil"/>
              <w:left w:val="single" w:sz="4" w:space="0" w:color="auto"/>
              <w:bottom w:val="nil"/>
              <w:right w:val="nil"/>
            </w:tcBorders>
            <w:noWrap/>
            <w:vAlign w:val="center"/>
            <w:hideMark/>
          </w:tcPr>
          <w:p w14:paraId="63F7E042" w14:textId="1744C941" w:rsidR="00E50A74" w:rsidRPr="00573356" w:rsidRDefault="00E50A74" w:rsidP="005E5441">
            <w:pPr>
              <w:keepNext/>
              <w:jc w:val="center"/>
              <w:rPr>
                <w:rFonts w:ascii="Arial Narrow" w:eastAsiaTheme="majorEastAsia" w:hAnsi="Arial Narrow" w:cstheme="majorBidi"/>
                <w:bCs/>
                <w:sz w:val="20"/>
                <w:lang w:eastAsia="zh-CN"/>
              </w:rPr>
            </w:pPr>
            <w:r w:rsidRPr="00573356">
              <w:rPr>
                <w:rFonts w:ascii="Arial Narrow" w:eastAsiaTheme="majorEastAsia" w:hAnsi="Arial Narrow" w:cstheme="majorBidi"/>
                <w:bCs/>
                <w:sz w:val="20"/>
                <w:lang w:eastAsia="zh-CN"/>
              </w:rPr>
              <w:t>$</w:t>
            </w:r>
            <w:r w:rsidR="00C87B5E" w:rsidRPr="00C87B5E">
              <w:rPr>
                <w:rFonts w:ascii="Arial Narrow" w:eastAsiaTheme="majorEastAsia" w:hAnsi="Arial Narrow" w:cstheme="majorBidi"/>
                <w:bCs/>
                <w:sz w:val="2"/>
                <w:highlight w:val="black"/>
                <w:lang w:eastAsia="zh-CN"/>
              </w:rPr>
              <w:t>redacted content</w:t>
            </w:r>
            <w:r w:rsidR="00CD39A7" w:rsidRPr="00CD39A7">
              <w:rPr>
                <w:rFonts w:ascii="Arial Narrow" w:eastAsiaTheme="majorEastAsia" w:hAnsi="Arial Narrow" w:cstheme="majorBidi"/>
                <w:bCs/>
                <w:sz w:val="20"/>
                <w:vertAlign w:val="superscript"/>
                <w:lang w:eastAsia="zh-CN"/>
              </w:rPr>
              <w:t>2</w:t>
            </w:r>
          </w:p>
        </w:tc>
        <w:tc>
          <w:tcPr>
            <w:tcW w:w="819" w:type="pct"/>
            <w:tcBorders>
              <w:top w:val="nil"/>
              <w:left w:val="single" w:sz="4" w:space="0" w:color="auto"/>
              <w:bottom w:val="nil"/>
              <w:right w:val="single" w:sz="4" w:space="0" w:color="auto"/>
            </w:tcBorders>
            <w:noWrap/>
            <w:vAlign w:val="center"/>
            <w:hideMark/>
          </w:tcPr>
          <w:p w14:paraId="376327B5" w14:textId="4D414C8F" w:rsidR="00E50A74" w:rsidRPr="00DE5B40" w:rsidRDefault="00C87B5E" w:rsidP="005E5441">
            <w:pPr>
              <w:keepNext/>
              <w:jc w:val="center"/>
              <w:rPr>
                <w:rFonts w:ascii="Arial Narrow" w:eastAsiaTheme="majorEastAsia" w:hAnsi="Arial Narrow" w:cstheme="majorBidi"/>
                <w:bCs/>
                <w:sz w:val="20"/>
                <w:lang w:eastAsia="zh-CN"/>
              </w:rPr>
            </w:pPr>
            <w:r w:rsidRPr="00C87B5E">
              <w:rPr>
                <w:rFonts w:ascii="Arial Narrow" w:eastAsiaTheme="majorEastAsia" w:hAnsi="Arial Narrow" w:cstheme="majorBidi"/>
                <w:bCs/>
                <w:sz w:val="2"/>
                <w:highlight w:val="black"/>
                <w:lang w:eastAsia="zh-CN"/>
              </w:rPr>
              <w:t>redacted content</w:t>
            </w:r>
            <w:r w:rsidR="00E50A74" w:rsidRPr="00FA00B9">
              <w:rPr>
                <w:rFonts w:ascii="Arial Narrow" w:eastAsiaTheme="majorEastAsia" w:hAnsi="Arial Narrow" w:cstheme="majorBidi"/>
                <w:bCs/>
                <w:sz w:val="20"/>
                <w:lang w:eastAsia="zh-CN"/>
              </w:rPr>
              <w:t>%</w:t>
            </w:r>
          </w:p>
        </w:tc>
      </w:tr>
      <w:tr w:rsidR="00E50A74" w:rsidRPr="00573356" w14:paraId="177B1FC6" w14:textId="77777777">
        <w:trPr>
          <w:trHeight w:val="280"/>
        </w:trPr>
        <w:tc>
          <w:tcPr>
            <w:tcW w:w="1721" w:type="pct"/>
            <w:tcBorders>
              <w:top w:val="nil"/>
              <w:left w:val="single" w:sz="4" w:space="0" w:color="auto"/>
              <w:bottom w:val="nil"/>
              <w:right w:val="nil"/>
            </w:tcBorders>
            <w:vAlign w:val="center"/>
            <w:hideMark/>
          </w:tcPr>
          <w:p w14:paraId="2FE7DC8A" w14:textId="77777777" w:rsidR="00E50A74" w:rsidRPr="00573356" w:rsidRDefault="00E50A74" w:rsidP="005E5441">
            <w:pPr>
              <w:keepNext/>
              <w:jc w:val="left"/>
              <w:rPr>
                <w:rFonts w:ascii="Arial Narrow" w:eastAsiaTheme="majorEastAsia" w:hAnsi="Arial Narrow" w:cstheme="majorBidi"/>
                <w:bCs/>
                <w:sz w:val="20"/>
                <w:lang w:eastAsia="zh-CN"/>
              </w:rPr>
            </w:pPr>
            <w:r w:rsidRPr="00573356">
              <w:rPr>
                <w:rFonts w:ascii="Arial Narrow" w:eastAsiaTheme="majorEastAsia" w:hAnsi="Arial Narrow" w:cstheme="majorBidi"/>
                <w:bCs/>
                <w:sz w:val="20"/>
                <w:lang w:eastAsia="zh-CN"/>
              </w:rPr>
              <w:t>Weibull</w:t>
            </w:r>
          </w:p>
        </w:tc>
        <w:tc>
          <w:tcPr>
            <w:tcW w:w="820" w:type="pct"/>
            <w:tcBorders>
              <w:top w:val="nil"/>
              <w:left w:val="single" w:sz="4" w:space="0" w:color="auto"/>
              <w:bottom w:val="nil"/>
              <w:right w:val="nil"/>
            </w:tcBorders>
            <w:noWrap/>
            <w:vAlign w:val="center"/>
            <w:hideMark/>
          </w:tcPr>
          <w:p w14:paraId="6D047385" w14:textId="1F6F83B6" w:rsidR="00E50A74" w:rsidRPr="00573356" w:rsidRDefault="00E50A74" w:rsidP="005E5441">
            <w:pPr>
              <w:keepNext/>
              <w:jc w:val="center"/>
              <w:rPr>
                <w:rFonts w:ascii="Arial Narrow" w:eastAsiaTheme="majorEastAsia" w:hAnsi="Arial Narrow" w:cstheme="majorBidi"/>
                <w:bCs/>
                <w:sz w:val="20"/>
                <w:lang w:eastAsia="zh-CN"/>
              </w:rPr>
            </w:pPr>
            <w:r w:rsidRPr="00573356">
              <w:rPr>
                <w:rFonts w:ascii="Arial Narrow" w:eastAsiaTheme="majorEastAsia" w:hAnsi="Arial Narrow" w:cstheme="majorBidi"/>
                <w:bCs/>
                <w:sz w:val="20"/>
                <w:lang w:eastAsia="zh-CN"/>
              </w:rPr>
              <w:t>$</w:t>
            </w:r>
            <w:r w:rsidR="00C87B5E" w:rsidRPr="00C87B5E">
              <w:rPr>
                <w:rFonts w:ascii="Arial Narrow" w:eastAsiaTheme="majorEastAsia" w:hAnsi="Arial Narrow" w:cstheme="majorBidi"/>
                <w:bCs/>
                <w:sz w:val="2"/>
                <w:highlight w:val="black"/>
                <w:lang w:eastAsia="zh-CN"/>
              </w:rPr>
              <w:t>redacted content</w:t>
            </w:r>
          </w:p>
        </w:tc>
        <w:tc>
          <w:tcPr>
            <w:tcW w:w="820" w:type="pct"/>
            <w:tcBorders>
              <w:top w:val="nil"/>
              <w:left w:val="single" w:sz="4" w:space="0" w:color="auto"/>
              <w:bottom w:val="nil"/>
              <w:right w:val="nil"/>
            </w:tcBorders>
            <w:noWrap/>
            <w:vAlign w:val="center"/>
            <w:hideMark/>
          </w:tcPr>
          <w:p w14:paraId="5ED0A9E7" w14:textId="77777777" w:rsidR="00E50A74" w:rsidRPr="00573356" w:rsidRDefault="00E50A74" w:rsidP="005E5441">
            <w:pPr>
              <w:keepNext/>
              <w:jc w:val="center"/>
              <w:rPr>
                <w:rFonts w:ascii="Arial Narrow" w:eastAsiaTheme="majorEastAsia" w:hAnsi="Arial Narrow" w:cstheme="majorBidi"/>
                <w:bCs/>
                <w:sz w:val="20"/>
                <w:lang w:eastAsia="zh-CN"/>
              </w:rPr>
            </w:pPr>
            <w:r w:rsidRPr="00573356">
              <w:rPr>
                <w:rFonts w:ascii="Arial Narrow" w:eastAsiaTheme="majorEastAsia" w:hAnsi="Arial Narrow" w:cstheme="majorBidi"/>
                <w:bCs/>
                <w:sz w:val="20"/>
                <w:lang w:eastAsia="zh-CN"/>
              </w:rPr>
              <w:t>0.253</w:t>
            </w:r>
          </w:p>
        </w:tc>
        <w:tc>
          <w:tcPr>
            <w:tcW w:w="820" w:type="pct"/>
            <w:tcBorders>
              <w:top w:val="nil"/>
              <w:left w:val="single" w:sz="4" w:space="0" w:color="auto"/>
              <w:bottom w:val="nil"/>
              <w:right w:val="nil"/>
            </w:tcBorders>
            <w:noWrap/>
            <w:vAlign w:val="center"/>
            <w:hideMark/>
          </w:tcPr>
          <w:p w14:paraId="0612F50A" w14:textId="29288EC5" w:rsidR="00E50A74" w:rsidRPr="00573356" w:rsidRDefault="00E50A74" w:rsidP="005E5441">
            <w:pPr>
              <w:keepNext/>
              <w:jc w:val="center"/>
              <w:rPr>
                <w:rFonts w:ascii="Arial Narrow" w:eastAsiaTheme="majorEastAsia" w:hAnsi="Arial Narrow" w:cstheme="majorBidi"/>
                <w:bCs/>
                <w:sz w:val="20"/>
                <w:lang w:eastAsia="zh-CN"/>
              </w:rPr>
            </w:pPr>
            <w:r w:rsidRPr="00573356">
              <w:rPr>
                <w:rFonts w:ascii="Arial Narrow" w:eastAsiaTheme="majorEastAsia" w:hAnsi="Arial Narrow" w:cstheme="majorBidi"/>
                <w:bCs/>
                <w:sz w:val="20"/>
                <w:lang w:eastAsia="zh-CN"/>
              </w:rPr>
              <w:t>$</w:t>
            </w:r>
            <w:r w:rsidR="00C87B5E" w:rsidRPr="00C87B5E">
              <w:rPr>
                <w:rFonts w:ascii="Arial Narrow" w:eastAsiaTheme="majorEastAsia" w:hAnsi="Arial Narrow" w:cstheme="majorBidi"/>
                <w:bCs/>
                <w:sz w:val="2"/>
                <w:highlight w:val="black"/>
                <w:lang w:eastAsia="zh-CN"/>
              </w:rPr>
              <w:t>redacted content</w:t>
            </w:r>
            <w:r w:rsidR="00CD39A7" w:rsidRPr="00CD39A7">
              <w:rPr>
                <w:rFonts w:ascii="Arial Narrow" w:eastAsiaTheme="majorEastAsia" w:hAnsi="Arial Narrow" w:cstheme="majorBidi"/>
                <w:bCs/>
                <w:sz w:val="20"/>
                <w:vertAlign w:val="superscript"/>
                <w:lang w:eastAsia="zh-CN"/>
              </w:rPr>
              <w:t>2</w:t>
            </w:r>
          </w:p>
        </w:tc>
        <w:tc>
          <w:tcPr>
            <w:tcW w:w="819" w:type="pct"/>
            <w:tcBorders>
              <w:top w:val="nil"/>
              <w:left w:val="single" w:sz="4" w:space="0" w:color="auto"/>
              <w:bottom w:val="nil"/>
              <w:right w:val="single" w:sz="4" w:space="0" w:color="auto"/>
            </w:tcBorders>
            <w:noWrap/>
            <w:vAlign w:val="center"/>
            <w:hideMark/>
          </w:tcPr>
          <w:p w14:paraId="204F2640" w14:textId="73321786" w:rsidR="00E50A74" w:rsidRPr="00DE5B40" w:rsidRDefault="00C87B5E" w:rsidP="005E5441">
            <w:pPr>
              <w:keepNext/>
              <w:jc w:val="center"/>
              <w:rPr>
                <w:rFonts w:ascii="Arial Narrow" w:eastAsiaTheme="majorEastAsia" w:hAnsi="Arial Narrow" w:cstheme="majorBidi"/>
                <w:bCs/>
                <w:sz w:val="20"/>
                <w:lang w:eastAsia="zh-CN"/>
              </w:rPr>
            </w:pPr>
            <w:r w:rsidRPr="00C87B5E">
              <w:rPr>
                <w:rFonts w:ascii="Arial Narrow" w:eastAsiaTheme="majorEastAsia" w:hAnsi="Arial Narrow" w:cstheme="majorBidi"/>
                <w:bCs/>
                <w:sz w:val="2"/>
                <w:highlight w:val="black"/>
                <w:lang w:eastAsia="zh-CN"/>
              </w:rPr>
              <w:t>redacted content</w:t>
            </w:r>
            <w:r w:rsidR="00E50A74" w:rsidRPr="00FA00B9">
              <w:rPr>
                <w:rFonts w:ascii="Arial Narrow" w:eastAsiaTheme="majorEastAsia" w:hAnsi="Arial Narrow" w:cstheme="majorBidi"/>
                <w:bCs/>
                <w:sz w:val="20"/>
                <w:lang w:eastAsia="zh-CN"/>
              </w:rPr>
              <w:t>%</w:t>
            </w:r>
          </w:p>
        </w:tc>
      </w:tr>
      <w:tr w:rsidR="00E50A74" w:rsidRPr="00573356" w14:paraId="3D3020EE" w14:textId="77777777">
        <w:trPr>
          <w:trHeight w:val="280"/>
        </w:trPr>
        <w:tc>
          <w:tcPr>
            <w:tcW w:w="1721" w:type="pct"/>
            <w:tcBorders>
              <w:top w:val="nil"/>
              <w:left w:val="single" w:sz="4" w:space="0" w:color="auto"/>
              <w:bottom w:val="nil"/>
              <w:right w:val="nil"/>
            </w:tcBorders>
            <w:vAlign w:val="center"/>
            <w:hideMark/>
          </w:tcPr>
          <w:p w14:paraId="697E9D15" w14:textId="77777777" w:rsidR="00E50A74" w:rsidRPr="00573356" w:rsidRDefault="00E50A74" w:rsidP="005E5441">
            <w:pPr>
              <w:keepNext/>
              <w:jc w:val="left"/>
              <w:rPr>
                <w:rFonts w:ascii="Arial Narrow" w:eastAsiaTheme="majorEastAsia" w:hAnsi="Arial Narrow" w:cstheme="majorBidi"/>
                <w:bCs/>
                <w:sz w:val="20"/>
                <w:lang w:eastAsia="zh-CN"/>
              </w:rPr>
            </w:pPr>
            <w:r w:rsidRPr="00573356">
              <w:rPr>
                <w:rFonts w:ascii="Arial Narrow" w:eastAsiaTheme="majorEastAsia" w:hAnsi="Arial Narrow" w:cstheme="majorBidi"/>
                <w:bCs/>
                <w:sz w:val="20"/>
                <w:lang w:eastAsia="zh-CN"/>
              </w:rPr>
              <w:t>Gompertz</w:t>
            </w:r>
          </w:p>
        </w:tc>
        <w:tc>
          <w:tcPr>
            <w:tcW w:w="820" w:type="pct"/>
            <w:tcBorders>
              <w:top w:val="nil"/>
              <w:left w:val="single" w:sz="4" w:space="0" w:color="auto"/>
              <w:bottom w:val="nil"/>
              <w:right w:val="nil"/>
            </w:tcBorders>
            <w:noWrap/>
            <w:vAlign w:val="center"/>
            <w:hideMark/>
          </w:tcPr>
          <w:p w14:paraId="395D2AA3" w14:textId="75FE3CE5" w:rsidR="00E50A74" w:rsidRPr="00573356" w:rsidRDefault="00E50A74" w:rsidP="005E5441">
            <w:pPr>
              <w:keepNext/>
              <w:jc w:val="center"/>
              <w:rPr>
                <w:rFonts w:ascii="Arial Narrow" w:eastAsiaTheme="majorEastAsia" w:hAnsi="Arial Narrow" w:cstheme="majorBidi"/>
                <w:bCs/>
                <w:sz w:val="20"/>
                <w:lang w:eastAsia="zh-CN"/>
              </w:rPr>
            </w:pPr>
            <w:r w:rsidRPr="00573356">
              <w:rPr>
                <w:rFonts w:ascii="Arial Narrow" w:eastAsiaTheme="majorEastAsia" w:hAnsi="Arial Narrow" w:cstheme="majorBidi"/>
                <w:bCs/>
                <w:sz w:val="20"/>
                <w:lang w:eastAsia="zh-CN"/>
              </w:rPr>
              <w:t>$</w:t>
            </w:r>
            <w:r w:rsidR="00C87B5E" w:rsidRPr="00C87B5E">
              <w:rPr>
                <w:rFonts w:ascii="Arial Narrow" w:eastAsiaTheme="majorEastAsia" w:hAnsi="Arial Narrow" w:cstheme="majorBidi"/>
                <w:bCs/>
                <w:sz w:val="2"/>
                <w:highlight w:val="black"/>
                <w:lang w:eastAsia="zh-CN"/>
              </w:rPr>
              <w:t>redacted content</w:t>
            </w:r>
          </w:p>
        </w:tc>
        <w:tc>
          <w:tcPr>
            <w:tcW w:w="820" w:type="pct"/>
            <w:tcBorders>
              <w:top w:val="nil"/>
              <w:left w:val="single" w:sz="4" w:space="0" w:color="auto"/>
              <w:bottom w:val="nil"/>
              <w:right w:val="nil"/>
            </w:tcBorders>
            <w:noWrap/>
            <w:vAlign w:val="center"/>
            <w:hideMark/>
          </w:tcPr>
          <w:p w14:paraId="46397A4B" w14:textId="77777777" w:rsidR="00E50A74" w:rsidRPr="00573356" w:rsidRDefault="00E50A74" w:rsidP="005E5441">
            <w:pPr>
              <w:keepNext/>
              <w:jc w:val="center"/>
              <w:rPr>
                <w:rFonts w:ascii="Arial Narrow" w:eastAsiaTheme="majorEastAsia" w:hAnsi="Arial Narrow" w:cstheme="majorBidi"/>
                <w:bCs/>
                <w:sz w:val="20"/>
                <w:lang w:eastAsia="zh-CN"/>
              </w:rPr>
            </w:pPr>
            <w:r w:rsidRPr="00573356">
              <w:rPr>
                <w:rFonts w:ascii="Arial Narrow" w:eastAsiaTheme="majorEastAsia" w:hAnsi="Arial Narrow" w:cstheme="majorBidi"/>
                <w:bCs/>
                <w:sz w:val="20"/>
                <w:lang w:eastAsia="zh-CN"/>
              </w:rPr>
              <w:t>0.253</w:t>
            </w:r>
          </w:p>
        </w:tc>
        <w:tc>
          <w:tcPr>
            <w:tcW w:w="820" w:type="pct"/>
            <w:tcBorders>
              <w:top w:val="nil"/>
              <w:left w:val="single" w:sz="4" w:space="0" w:color="auto"/>
              <w:bottom w:val="nil"/>
              <w:right w:val="nil"/>
            </w:tcBorders>
            <w:noWrap/>
            <w:vAlign w:val="center"/>
            <w:hideMark/>
          </w:tcPr>
          <w:p w14:paraId="2615693D" w14:textId="1D8BCE3C" w:rsidR="00E50A74" w:rsidRPr="00573356" w:rsidRDefault="00E50A74" w:rsidP="005E5441">
            <w:pPr>
              <w:keepNext/>
              <w:jc w:val="center"/>
              <w:rPr>
                <w:rFonts w:ascii="Arial Narrow" w:eastAsiaTheme="majorEastAsia" w:hAnsi="Arial Narrow" w:cstheme="majorBidi"/>
                <w:bCs/>
                <w:sz w:val="20"/>
                <w:lang w:eastAsia="zh-CN"/>
              </w:rPr>
            </w:pPr>
            <w:r w:rsidRPr="00573356">
              <w:rPr>
                <w:rFonts w:ascii="Arial Narrow" w:eastAsiaTheme="majorEastAsia" w:hAnsi="Arial Narrow" w:cstheme="majorBidi"/>
                <w:bCs/>
                <w:sz w:val="20"/>
                <w:lang w:eastAsia="zh-CN"/>
              </w:rPr>
              <w:t>$</w:t>
            </w:r>
            <w:r w:rsidR="00C87B5E" w:rsidRPr="00C87B5E">
              <w:rPr>
                <w:rFonts w:ascii="Arial Narrow" w:eastAsiaTheme="majorEastAsia" w:hAnsi="Arial Narrow" w:cstheme="majorBidi"/>
                <w:bCs/>
                <w:sz w:val="2"/>
                <w:highlight w:val="black"/>
                <w:lang w:eastAsia="zh-CN"/>
              </w:rPr>
              <w:t>redacted content</w:t>
            </w:r>
            <w:r w:rsidR="00161293" w:rsidRPr="00161293">
              <w:rPr>
                <w:rFonts w:ascii="Arial Narrow" w:eastAsiaTheme="majorEastAsia" w:hAnsi="Arial Narrow" w:cstheme="majorBidi"/>
                <w:bCs/>
                <w:sz w:val="20"/>
                <w:vertAlign w:val="superscript"/>
                <w:lang w:eastAsia="zh-CN"/>
              </w:rPr>
              <w:t>2</w:t>
            </w:r>
          </w:p>
        </w:tc>
        <w:tc>
          <w:tcPr>
            <w:tcW w:w="819" w:type="pct"/>
            <w:tcBorders>
              <w:top w:val="nil"/>
              <w:left w:val="single" w:sz="4" w:space="0" w:color="auto"/>
              <w:bottom w:val="nil"/>
              <w:right w:val="single" w:sz="4" w:space="0" w:color="auto"/>
            </w:tcBorders>
            <w:noWrap/>
            <w:vAlign w:val="center"/>
            <w:hideMark/>
          </w:tcPr>
          <w:p w14:paraId="1E730268" w14:textId="48835E4C" w:rsidR="00E50A74" w:rsidRPr="00DE5B40" w:rsidRDefault="00C87B5E" w:rsidP="005E5441">
            <w:pPr>
              <w:keepNext/>
              <w:jc w:val="center"/>
              <w:rPr>
                <w:rFonts w:ascii="Arial Narrow" w:eastAsiaTheme="majorEastAsia" w:hAnsi="Arial Narrow" w:cstheme="majorBidi"/>
                <w:bCs/>
                <w:sz w:val="20"/>
                <w:lang w:eastAsia="zh-CN"/>
              </w:rPr>
            </w:pPr>
            <w:r w:rsidRPr="00C87B5E">
              <w:rPr>
                <w:rFonts w:ascii="Arial Narrow" w:eastAsiaTheme="majorEastAsia" w:hAnsi="Arial Narrow" w:cstheme="majorBidi"/>
                <w:bCs/>
                <w:sz w:val="2"/>
                <w:highlight w:val="black"/>
                <w:lang w:eastAsia="zh-CN"/>
              </w:rPr>
              <w:t>redacted content</w:t>
            </w:r>
            <w:r w:rsidR="00E50A74" w:rsidRPr="00FA00B9">
              <w:rPr>
                <w:rFonts w:ascii="Arial Narrow" w:eastAsiaTheme="majorEastAsia" w:hAnsi="Arial Narrow" w:cstheme="majorBidi"/>
                <w:bCs/>
                <w:sz w:val="20"/>
                <w:lang w:eastAsia="zh-CN"/>
              </w:rPr>
              <w:t>%</w:t>
            </w:r>
          </w:p>
        </w:tc>
      </w:tr>
      <w:tr w:rsidR="00E50A74" w:rsidRPr="00573356" w14:paraId="58D8870F" w14:textId="77777777">
        <w:trPr>
          <w:trHeight w:val="280"/>
        </w:trPr>
        <w:tc>
          <w:tcPr>
            <w:tcW w:w="1721" w:type="pct"/>
            <w:tcBorders>
              <w:top w:val="nil"/>
              <w:left w:val="single" w:sz="4" w:space="0" w:color="auto"/>
              <w:bottom w:val="nil"/>
              <w:right w:val="nil"/>
            </w:tcBorders>
            <w:vAlign w:val="center"/>
            <w:hideMark/>
          </w:tcPr>
          <w:p w14:paraId="7A6C196F" w14:textId="77777777" w:rsidR="00E50A74" w:rsidRPr="00573356" w:rsidRDefault="00E50A74" w:rsidP="005E5441">
            <w:pPr>
              <w:keepNext/>
              <w:jc w:val="left"/>
              <w:rPr>
                <w:rFonts w:ascii="Arial Narrow" w:eastAsiaTheme="majorEastAsia" w:hAnsi="Arial Narrow" w:cstheme="majorBidi"/>
                <w:bCs/>
                <w:sz w:val="20"/>
                <w:lang w:eastAsia="zh-CN"/>
              </w:rPr>
            </w:pPr>
            <w:r w:rsidRPr="00573356">
              <w:rPr>
                <w:rFonts w:ascii="Arial Narrow" w:eastAsiaTheme="majorEastAsia" w:hAnsi="Arial Narrow" w:cstheme="majorBidi"/>
                <w:bCs/>
                <w:sz w:val="20"/>
                <w:lang w:eastAsia="zh-CN"/>
              </w:rPr>
              <w:t>Gamma</w:t>
            </w:r>
          </w:p>
        </w:tc>
        <w:tc>
          <w:tcPr>
            <w:tcW w:w="820" w:type="pct"/>
            <w:tcBorders>
              <w:top w:val="nil"/>
              <w:left w:val="single" w:sz="4" w:space="0" w:color="auto"/>
              <w:bottom w:val="nil"/>
              <w:right w:val="nil"/>
            </w:tcBorders>
            <w:noWrap/>
            <w:vAlign w:val="center"/>
            <w:hideMark/>
          </w:tcPr>
          <w:p w14:paraId="2018A266" w14:textId="18E6EB91" w:rsidR="00E50A74" w:rsidRPr="00573356" w:rsidRDefault="00E50A74" w:rsidP="005E5441">
            <w:pPr>
              <w:keepNext/>
              <w:jc w:val="center"/>
              <w:rPr>
                <w:rFonts w:ascii="Arial Narrow" w:eastAsiaTheme="majorEastAsia" w:hAnsi="Arial Narrow" w:cstheme="majorBidi"/>
                <w:bCs/>
                <w:sz w:val="20"/>
                <w:lang w:eastAsia="zh-CN"/>
              </w:rPr>
            </w:pPr>
            <w:r w:rsidRPr="00573356">
              <w:rPr>
                <w:rFonts w:ascii="Arial Narrow" w:eastAsiaTheme="majorEastAsia" w:hAnsi="Arial Narrow" w:cstheme="majorBidi"/>
                <w:bCs/>
                <w:sz w:val="20"/>
                <w:lang w:eastAsia="zh-CN"/>
              </w:rPr>
              <w:t>$</w:t>
            </w:r>
            <w:r w:rsidR="00C87B5E" w:rsidRPr="00C87B5E">
              <w:rPr>
                <w:rFonts w:ascii="Arial Narrow" w:eastAsiaTheme="majorEastAsia" w:hAnsi="Arial Narrow" w:cstheme="majorBidi"/>
                <w:bCs/>
                <w:sz w:val="2"/>
                <w:highlight w:val="black"/>
                <w:lang w:eastAsia="zh-CN"/>
              </w:rPr>
              <w:t>redacted content</w:t>
            </w:r>
          </w:p>
        </w:tc>
        <w:tc>
          <w:tcPr>
            <w:tcW w:w="820" w:type="pct"/>
            <w:tcBorders>
              <w:top w:val="nil"/>
              <w:left w:val="single" w:sz="4" w:space="0" w:color="auto"/>
              <w:bottom w:val="nil"/>
              <w:right w:val="nil"/>
            </w:tcBorders>
            <w:noWrap/>
            <w:vAlign w:val="center"/>
            <w:hideMark/>
          </w:tcPr>
          <w:p w14:paraId="6C1AEC42" w14:textId="77777777" w:rsidR="00E50A74" w:rsidRPr="00573356" w:rsidRDefault="00E50A74" w:rsidP="005E5441">
            <w:pPr>
              <w:keepNext/>
              <w:jc w:val="center"/>
              <w:rPr>
                <w:rFonts w:ascii="Arial Narrow" w:eastAsiaTheme="majorEastAsia" w:hAnsi="Arial Narrow" w:cstheme="majorBidi"/>
                <w:bCs/>
                <w:sz w:val="20"/>
                <w:lang w:eastAsia="zh-CN"/>
              </w:rPr>
            </w:pPr>
            <w:r w:rsidRPr="00573356">
              <w:rPr>
                <w:rFonts w:ascii="Arial Narrow" w:eastAsiaTheme="majorEastAsia" w:hAnsi="Arial Narrow" w:cstheme="majorBidi"/>
                <w:bCs/>
                <w:sz w:val="20"/>
                <w:lang w:eastAsia="zh-CN"/>
              </w:rPr>
              <w:t>0.253</w:t>
            </w:r>
          </w:p>
        </w:tc>
        <w:tc>
          <w:tcPr>
            <w:tcW w:w="820" w:type="pct"/>
            <w:tcBorders>
              <w:top w:val="nil"/>
              <w:left w:val="single" w:sz="4" w:space="0" w:color="auto"/>
              <w:bottom w:val="nil"/>
              <w:right w:val="nil"/>
            </w:tcBorders>
            <w:noWrap/>
            <w:vAlign w:val="center"/>
            <w:hideMark/>
          </w:tcPr>
          <w:p w14:paraId="5FE68B92" w14:textId="7020A990" w:rsidR="00E50A74" w:rsidRPr="00573356" w:rsidRDefault="00E50A74" w:rsidP="005E5441">
            <w:pPr>
              <w:keepNext/>
              <w:jc w:val="center"/>
              <w:rPr>
                <w:rFonts w:ascii="Arial Narrow" w:eastAsiaTheme="majorEastAsia" w:hAnsi="Arial Narrow" w:cstheme="majorBidi"/>
                <w:bCs/>
                <w:sz w:val="20"/>
                <w:lang w:eastAsia="zh-CN"/>
              </w:rPr>
            </w:pPr>
            <w:r w:rsidRPr="00573356">
              <w:rPr>
                <w:rFonts w:ascii="Arial Narrow" w:eastAsiaTheme="majorEastAsia" w:hAnsi="Arial Narrow" w:cstheme="majorBidi"/>
                <w:bCs/>
                <w:sz w:val="20"/>
                <w:lang w:eastAsia="zh-CN"/>
              </w:rPr>
              <w:t>$</w:t>
            </w:r>
            <w:r w:rsidR="00C87B5E" w:rsidRPr="00C87B5E">
              <w:rPr>
                <w:rFonts w:ascii="Arial Narrow" w:eastAsiaTheme="majorEastAsia" w:hAnsi="Arial Narrow" w:cstheme="majorBidi"/>
                <w:bCs/>
                <w:sz w:val="2"/>
                <w:highlight w:val="black"/>
                <w:lang w:eastAsia="zh-CN"/>
              </w:rPr>
              <w:t>redacted content</w:t>
            </w:r>
            <w:r w:rsidR="00161293" w:rsidRPr="00161293">
              <w:rPr>
                <w:rFonts w:ascii="Arial Narrow" w:eastAsiaTheme="majorEastAsia" w:hAnsi="Arial Narrow" w:cstheme="majorBidi"/>
                <w:bCs/>
                <w:sz w:val="20"/>
                <w:vertAlign w:val="superscript"/>
                <w:lang w:eastAsia="zh-CN"/>
              </w:rPr>
              <w:t>2</w:t>
            </w:r>
          </w:p>
        </w:tc>
        <w:tc>
          <w:tcPr>
            <w:tcW w:w="819" w:type="pct"/>
            <w:tcBorders>
              <w:top w:val="nil"/>
              <w:left w:val="single" w:sz="4" w:space="0" w:color="auto"/>
              <w:bottom w:val="nil"/>
              <w:right w:val="single" w:sz="4" w:space="0" w:color="auto"/>
            </w:tcBorders>
            <w:noWrap/>
            <w:vAlign w:val="center"/>
            <w:hideMark/>
          </w:tcPr>
          <w:p w14:paraId="2A8559F3" w14:textId="53A52AA2" w:rsidR="00E50A74" w:rsidRPr="00DE5B40" w:rsidRDefault="00C87B5E" w:rsidP="005E5441">
            <w:pPr>
              <w:keepNext/>
              <w:jc w:val="center"/>
              <w:rPr>
                <w:rFonts w:ascii="Arial Narrow" w:eastAsiaTheme="majorEastAsia" w:hAnsi="Arial Narrow" w:cstheme="majorBidi"/>
                <w:bCs/>
                <w:sz w:val="20"/>
                <w:lang w:eastAsia="zh-CN"/>
              </w:rPr>
            </w:pPr>
            <w:r w:rsidRPr="00C87B5E">
              <w:rPr>
                <w:rFonts w:ascii="Arial Narrow" w:eastAsiaTheme="majorEastAsia" w:hAnsi="Arial Narrow" w:cstheme="majorBidi"/>
                <w:bCs/>
                <w:sz w:val="2"/>
                <w:highlight w:val="black"/>
                <w:lang w:eastAsia="zh-CN"/>
              </w:rPr>
              <w:t>redacted content</w:t>
            </w:r>
            <w:r w:rsidR="00E50A74" w:rsidRPr="00FA00B9">
              <w:rPr>
                <w:rFonts w:ascii="Arial Narrow" w:eastAsiaTheme="majorEastAsia" w:hAnsi="Arial Narrow" w:cstheme="majorBidi"/>
                <w:bCs/>
                <w:sz w:val="20"/>
                <w:lang w:eastAsia="zh-CN"/>
              </w:rPr>
              <w:t>%</w:t>
            </w:r>
          </w:p>
        </w:tc>
      </w:tr>
      <w:tr w:rsidR="00E50A74" w:rsidRPr="00573356" w14:paraId="1A61786F" w14:textId="77777777">
        <w:trPr>
          <w:trHeight w:val="251"/>
        </w:trPr>
        <w:tc>
          <w:tcPr>
            <w:tcW w:w="5000" w:type="pct"/>
            <w:gridSpan w:val="5"/>
            <w:tcBorders>
              <w:top w:val="nil"/>
              <w:left w:val="single" w:sz="4" w:space="0" w:color="auto"/>
              <w:bottom w:val="single" w:sz="4" w:space="0" w:color="auto"/>
              <w:right w:val="single" w:sz="4" w:space="0" w:color="auto"/>
            </w:tcBorders>
            <w:vAlign w:val="center"/>
            <w:hideMark/>
          </w:tcPr>
          <w:p w14:paraId="7E583E78" w14:textId="77777777" w:rsidR="00E50A74" w:rsidRPr="00573356" w:rsidRDefault="00E50A74" w:rsidP="005E5441">
            <w:pPr>
              <w:keepNext/>
              <w:jc w:val="left"/>
              <w:rPr>
                <w:rFonts w:ascii="Arial Narrow" w:eastAsiaTheme="majorEastAsia" w:hAnsi="Arial Narrow" w:cstheme="majorBidi"/>
                <w:bCs/>
                <w:sz w:val="20"/>
                <w:lang w:eastAsia="zh-CN"/>
              </w:rPr>
            </w:pPr>
            <w:r w:rsidRPr="00573356">
              <w:rPr>
                <w:rFonts w:ascii="Arial Narrow" w:eastAsiaTheme="majorEastAsia" w:hAnsi="Arial Narrow" w:cstheme="majorBidi"/>
                <w:b/>
                <w:sz w:val="20"/>
                <w:lang w:eastAsia="zh-CN"/>
              </w:rPr>
              <w:t>Parametric function used for CP/ ABCP TTTD (base case: Loglogistic)</w:t>
            </w:r>
          </w:p>
        </w:tc>
      </w:tr>
      <w:tr w:rsidR="00E50A74" w:rsidRPr="00573356" w14:paraId="5DF711C6" w14:textId="77777777">
        <w:trPr>
          <w:trHeight w:val="280"/>
        </w:trPr>
        <w:tc>
          <w:tcPr>
            <w:tcW w:w="1721" w:type="pct"/>
            <w:tcBorders>
              <w:top w:val="nil"/>
              <w:left w:val="single" w:sz="4" w:space="0" w:color="auto"/>
              <w:bottom w:val="nil"/>
              <w:right w:val="nil"/>
            </w:tcBorders>
            <w:vAlign w:val="center"/>
            <w:hideMark/>
          </w:tcPr>
          <w:p w14:paraId="7C82B7EE" w14:textId="77777777" w:rsidR="00E50A74" w:rsidRPr="00573356" w:rsidRDefault="00E50A74" w:rsidP="005E5441">
            <w:pPr>
              <w:keepNext/>
              <w:jc w:val="left"/>
              <w:rPr>
                <w:rFonts w:ascii="Arial Narrow" w:eastAsiaTheme="majorEastAsia" w:hAnsi="Arial Narrow" w:cstheme="majorBidi"/>
                <w:bCs/>
                <w:sz w:val="20"/>
                <w:lang w:eastAsia="zh-CN"/>
              </w:rPr>
            </w:pPr>
            <w:r w:rsidRPr="00573356">
              <w:rPr>
                <w:rFonts w:ascii="Arial Narrow" w:eastAsiaTheme="majorEastAsia" w:hAnsi="Arial Narrow" w:cstheme="majorBidi"/>
                <w:bCs/>
                <w:sz w:val="20"/>
                <w:lang w:eastAsia="zh-CN"/>
              </w:rPr>
              <w:t>Weibull</w:t>
            </w:r>
          </w:p>
        </w:tc>
        <w:tc>
          <w:tcPr>
            <w:tcW w:w="820" w:type="pct"/>
            <w:tcBorders>
              <w:top w:val="nil"/>
              <w:left w:val="single" w:sz="4" w:space="0" w:color="auto"/>
              <w:bottom w:val="nil"/>
              <w:right w:val="nil"/>
            </w:tcBorders>
            <w:noWrap/>
            <w:vAlign w:val="center"/>
            <w:hideMark/>
          </w:tcPr>
          <w:p w14:paraId="3DD714E1" w14:textId="6F38F945" w:rsidR="00E50A74" w:rsidRPr="00573356" w:rsidRDefault="00E50A74" w:rsidP="005E5441">
            <w:pPr>
              <w:keepNext/>
              <w:jc w:val="center"/>
              <w:rPr>
                <w:rFonts w:ascii="Arial Narrow" w:eastAsiaTheme="majorEastAsia" w:hAnsi="Arial Narrow" w:cstheme="majorBidi"/>
                <w:bCs/>
                <w:sz w:val="20"/>
                <w:lang w:eastAsia="zh-CN"/>
              </w:rPr>
            </w:pPr>
            <w:r w:rsidRPr="00573356">
              <w:rPr>
                <w:rFonts w:ascii="Arial Narrow" w:eastAsiaTheme="majorEastAsia" w:hAnsi="Arial Narrow" w:cstheme="majorBidi"/>
                <w:bCs/>
                <w:sz w:val="20"/>
                <w:lang w:eastAsia="zh-CN"/>
              </w:rPr>
              <w:t>$</w:t>
            </w:r>
            <w:r w:rsidR="00C87B5E" w:rsidRPr="00C87B5E">
              <w:rPr>
                <w:rFonts w:ascii="Arial Narrow" w:eastAsiaTheme="majorEastAsia" w:hAnsi="Arial Narrow" w:cstheme="majorBidi"/>
                <w:bCs/>
                <w:sz w:val="2"/>
                <w:highlight w:val="black"/>
                <w:lang w:eastAsia="zh-CN"/>
              </w:rPr>
              <w:t>redacted content</w:t>
            </w:r>
          </w:p>
        </w:tc>
        <w:tc>
          <w:tcPr>
            <w:tcW w:w="820" w:type="pct"/>
            <w:tcBorders>
              <w:top w:val="nil"/>
              <w:left w:val="single" w:sz="4" w:space="0" w:color="auto"/>
              <w:bottom w:val="nil"/>
              <w:right w:val="nil"/>
            </w:tcBorders>
            <w:noWrap/>
            <w:vAlign w:val="center"/>
            <w:hideMark/>
          </w:tcPr>
          <w:p w14:paraId="7F48D978" w14:textId="77777777" w:rsidR="00E50A74" w:rsidRPr="00573356" w:rsidRDefault="00E50A74" w:rsidP="005E5441">
            <w:pPr>
              <w:keepNext/>
              <w:jc w:val="center"/>
              <w:rPr>
                <w:rFonts w:ascii="Arial Narrow" w:eastAsiaTheme="majorEastAsia" w:hAnsi="Arial Narrow" w:cstheme="majorBidi"/>
                <w:bCs/>
                <w:sz w:val="20"/>
                <w:lang w:eastAsia="zh-CN"/>
              </w:rPr>
            </w:pPr>
            <w:r w:rsidRPr="00573356">
              <w:rPr>
                <w:rFonts w:ascii="Arial Narrow" w:eastAsiaTheme="majorEastAsia" w:hAnsi="Arial Narrow" w:cstheme="majorBidi"/>
                <w:bCs/>
                <w:sz w:val="20"/>
                <w:lang w:eastAsia="zh-CN"/>
              </w:rPr>
              <w:t>0.253</w:t>
            </w:r>
          </w:p>
        </w:tc>
        <w:tc>
          <w:tcPr>
            <w:tcW w:w="820" w:type="pct"/>
            <w:tcBorders>
              <w:top w:val="nil"/>
              <w:left w:val="single" w:sz="4" w:space="0" w:color="auto"/>
              <w:bottom w:val="nil"/>
              <w:right w:val="nil"/>
            </w:tcBorders>
            <w:noWrap/>
            <w:vAlign w:val="center"/>
            <w:hideMark/>
          </w:tcPr>
          <w:p w14:paraId="28CBD9B7" w14:textId="11015EDE" w:rsidR="00E50A74" w:rsidRPr="00573356" w:rsidRDefault="00E50A74" w:rsidP="005E5441">
            <w:pPr>
              <w:keepNext/>
              <w:jc w:val="center"/>
              <w:rPr>
                <w:rFonts w:ascii="Arial Narrow" w:eastAsiaTheme="majorEastAsia" w:hAnsi="Arial Narrow" w:cstheme="majorBidi"/>
                <w:bCs/>
                <w:sz w:val="20"/>
                <w:lang w:eastAsia="zh-CN"/>
              </w:rPr>
            </w:pPr>
            <w:r w:rsidRPr="00573356">
              <w:rPr>
                <w:rFonts w:ascii="Arial Narrow" w:eastAsiaTheme="majorEastAsia" w:hAnsi="Arial Narrow" w:cstheme="majorBidi"/>
                <w:bCs/>
                <w:sz w:val="20"/>
                <w:lang w:eastAsia="zh-CN"/>
              </w:rPr>
              <w:t>$</w:t>
            </w:r>
            <w:r w:rsidR="00C87B5E" w:rsidRPr="00C87B5E">
              <w:rPr>
                <w:rFonts w:ascii="Arial Narrow" w:eastAsiaTheme="majorEastAsia" w:hAnsi="Arial Narrow" w:cstheme="majorBidi"/>
                <w:bCs/>
                <w:sz w:val="2"/>
                <w:highlight w:val="black"/>
                <w:lang w:eastAsia="zh-CN"/>
              </w:rPr>
              <w:t>redacted content</w:t>
            </w:r>
            <w:r w:rsidR="00161293" w:rsidRPr="00161293">
              <w:rPr>
                <w:rFonts w:ascii="Arial Narrow" w:eastAsiaTheme="majorEastAsia" w:hAnsi="Arial Narrow" w:cstheme="majorBidi"/>
                <w:bCs/>
                <w:sz w:val="20"/>
                <w:vertAlign w:val="superscript"/>
                <w:lang w:eastAsia="zh-CN"/>
              </w:rPr>
              <w:t>2</w:t>
            </w:r>
          </w:p>
        </w:tc>
        <w:tc>
          <w:tcPr>
            <w:tcW w:w="819" w:type="pct"/>
            <w:tcBorders>
              <w:top w:val="nil"/>
              <w:left w:val="single" w:sz="4" w:space="0" w:color="auto"/>
              <w:bottom w:val="nil"/>
              <w:right w:val="single" w:sz="4" w:space="0" w:color="auto"/>
            </w:tcBorders>
            <w:noWrap/>
            <w:vAlign w:val="center"/>
            <w:hideMark/>
          </w:tcPr>
          <w:p w14:paraId="2F6C048B" w14:textId="4C528031" w:rsidR="00E50A74" w:rsidRPr="00DE5B40" w:rsidRDefault="00C87B5E" w:rsidP="005E5441">
            <w:pPr>
              <w:keepNext/>
              <w:jc w:val="center"/>
              <w:rPr>
                <w:rFonts w:ascii="Arial Narrow" w:eastAsiaTheme="majorEastAsia" w:hAnsi="Arial Narrow" w:cstheme="majorBidi"/>
                <w:bCs/>
                <w:sz w:val="20"/>
                <w:lang w:eastAsia="zh-CN"/>
              </w:rPr>
            </w:pPr>
            <w:r w:rsidRPr="00C87B5E">
              <w:rPr>
                <w:rFonts w:ascii="Arial Narrow" w:eastAsiaTheme="majorEastAsia" w:hAnsi="Arial Narrow" w:cstheme="majorBidi"/>
                <w:bCs/>
                <w:sz w:val="2"/>
                <w:highlight w:val="black"/>
                <w:lang w:eastAsia="zh-CN"/>
              </w:rPr>
              <w:t>redacted content</w:t>
            </w:r>
            <w:r w:rsidR="00E50A74" w:rsidRPr="00FA00B9">
              <w:rPr>
                <w:rFonts w:ascii="Arial Narrow" w:eastAsiaTheme="majorEastAsia" w:hAnsi="Arial Narrow" w:cstheme="majorBidi"/>
                <w:bCs/>
                <w:sz w:val="20"/>
                <w:lang w:eastAsia="zh-CN"/>
              </w:rPr>
              <w:t>%</w:t>
            </w:r>
          </w:p>
        </w:tc>
      </w:tr>
      <w:tr w:rsidR="00E50A74" w:rsidRPr="00573356" w14:paraId="3E31EBEE" w14:textId="77777777">
        <w:trPr>
          <w:trHeight w:val="280"/>
        </w:trPr>
        <w:tc>
          <w:tcPr>
            <w:tcW w:w="1721" w:type="pct"/>
            <w:tcBorders>
              <w:top w:val="nil"/>
              <w:left w:val="single" w:sz="4" w:space="0" w:color="auto"/>
              <w:bottom w:val="nil"/>
              <w:right w:val="nil"/>
            </w:tcBorders>
            <w:vAlign w:val="center"/>
            <w:hideMark/>
          </w:tcPr>
          <w:p w14:paraId="77464074" w14:textId="77777777" w:rsidR="00E50A74" w:rsidRPr="00573356" w:rsidRDefault="00E50A74" w:rsidP="005E5441">
            <w:pPr>
              <w:keepNext/>
              <w:jc w:val="left"/>
              <w:rPr>
                <w:rFonts w:ascii="Arial Narrow" w:eastAsiaTheme="majorEastAsia" w:hAnsi="Arial Narrow" w:cstheme="majorBidi"/>
                <w:bCs/>
                <w:sz w:val="20"/>
                <w:lang w:eastAsia="zh-CN"/>
              </w:rPr>
            </w:pPr>
            <w:r w:rsidRPr="00573356">
              <w:rPr>
                <w:rFonts w:ascii="Arial Narrow" w:eastAsiaTheme="majorEastAsia" w:hAnsi="Arial Narrow" w:cstheme="majorBidi"/>
                <w:bCs/>
                <w:sz w:val="20"/>
                <w:lang w:eastAsia="zh-CN"/>
              </w:rPr>
              <w:t>Gamma</w:t>
            </w:r>
          </w:p>
        </w:tc>
        <w:tc>
          <w:tcPr>
            <w:tcW w:w="820" w:type="pct"/>
            <w:tcBorders>
              <w:top w:val="nil"/>
              <w:left w:val="single" w:sz="4" w:space="0" w:color="auto"/>
              <w:bottom w:val="nil"/>
              <w:right w:val="nil"/>
            </w:tcBorders>
            <w:noWrap/>
            <w:vAlign w:val="center"/>
            <w:hideMark/>
          </w:tcPr>
          <w:p w14:paraId="5D238B30" w14:textId="486916D5" w:rsidR="00E50A74" w:rsidRPr="00573356" w:rsidRDefault="00E50A74" w:rsidP="005E5441">
            <w:pPr>
              <w:keepNext/>
              <w:jc w:val="center"/>
              <w:rPr>
                <w:rFonts w:ascii="Arial Narrow" w:eastAsiaTheme="majorEastAsia" w:hAnsi="Arial Narrow" w:cstheme="majorBidi"/>
                <w:bCs/>
                <w:sz w:val="20"/>
                <w:lang w:eastAsia="zh-CN"/>
              </w:rPr>
            </w:pPr>
            <w:r w:rsidRPr="00573356">
              <w:rPr>
                <w:rFonts w:ascii="Arial Narrow" w:eastAsiaTheme="majorEastAsia" w:hAnsi="Arial Narrow" w:cstheme="majorBidi"/>
                <w:bCs/>
                <w:sz w:val="20"/>
                <w:lang w:eastAsia="zh-CN"/>
              </w:rPr>
              <w:t>$</w:t>
            </w:r>
            <w:r w:rsidR="00C87B5E" w:rsidRPr="00C87B5E">
              <w:rPr>
                <w:rFonts w:ascii="Arial Narrow" w:eastAsiaTheme="majorEastAsia" w:hAnsi="Arial Narrow" w:cstheme="majorBidi"/>
                <w:bCs/>
                <w:sz w:val="2"/>
                <w:highlight w:val="black"/>
                <w:lang w:eastAsia="zh-CN"/>
              </w:rPr>
              <w:t>redacted content</w:t>
            </w:r>
          </w:p>
        </w:tc>
        <w:tc>
          <w:tcPr>
            <w:tcW w:w="820" w:type="pct"/>
            <w:tcBorders>
              <w:top w:val="nil"/>
              <w:left w:val="single" w:sz="4" w:space="0" w:color="auto"/>
              <w:bottom w:val="nil"/>
              <w:right w:val="nil"/>
            </w:tcBorders>
            <w:noWrap/>
            <w:vAlign w:val="center"/>
            <w:hideMark/>
          </w:tcPr>
          <w:p w14:paraId="379FA3C1" w14:textId="77777777" w:rsidR="00E50A74" w:rsidRPr="00573356" w:rsidRDefault="00E50A74" w:rsidP="005E5441">
            <w:pPr>
              <w:keepNext/>
              <w:jc w:val="center"/>
              <w:rPr>
                <w:rFonts w:ascii="Arial Narrow" w:eastAsiaTheme="majorEastAsia" w:hAnsi="Arial Narrow" w:cstheme="majorBidi"/>
                <w:bCs/>
                <w:sz w:val="20"/>
                <w:lang w:eastAsia="zh-CN"/>
              </w:rPr>
            </w:pPr>
            <w:r w:rsidRPr="00573356">
              <w:rPr>
                <w:rFonts w:ascii="Arial Narrow" w:eastAsiaTheme="majorEastAsia" w:hAnsi="Arial Narrow" w:cstheme="majorBidi"/>
                <w:bCs/>
                <w:sz w:val="20"/>
                <w:lang w:eastAsia="zh-CN"/>
              </w:rPr>
              <w:t>0.253</w:t>
            </w:r>
          </w:p>
        </w:tc>
        <w:tc>
          <w:tcPr>
            <w:tcW w:w="820" w:type="pct"/>
            <w:tcBorders>
              <w:top w:val="nil"/>
              <w:left w:val="single" w:sz="4" w:space="0" w:color="auto"/>
              <w:bottom w:val="nil"/>
              <w:right w:val="nil"/>
            </w:tcBorders>
            <w:noWrap/>
            <w:vAlign w:val="center"/>
            <w:hideMark/>
          </w:tcPr>
          <w:p w14:paraId="0259EB80" w14:textId="7A933EC9" w:rsidR="00E50A74" w:rsidRPr="00573356" w:rsidRDefault="00E50A74" w:rsidP="005E5441">
            <w:pPr>
              <w:keepNext/>
              <w:jc w:val="center"/>
              <w:rPr>
                <w:rFonts w:ascii="Arial Narrow" w:eastAsiaTheme="majorEastAsia" w:hAnsi="Arial Narrow" w:cstheme="majorBidi"/>
                <w:bCs/>
                <w:sz w:val="20"/>
                <w:lang w:eastAsia="zh-CN"/>
              </w:rPr>
            </w:pPr>
            <w:r w:rsidRPr="00573356">
              <w:rPr>
                <w:rFonts w:ascii="Arial Narrow" w:eastAsiaTheme="majorEastAsia" w:hAnsi="Arial Narrow" w:cstheme="majorBidi"/>
                <w:bCs/>
                <w:sz w:val="20"/>
                <w:lang w:eastAsia="zh-CN"/>
              </w:rPr>
              <w:t>$</w:t>
            </w:r>
            <w:r w:rsidR="00C87B5E" w:rsidRPr="00C87B5E">
              <w:rPr>
                <w:rFonts w:ascii="Arial Narrow" w:eastAsiaTheme="majorEastAsia" w:hAnsi="Arial Narrow" w:cstheme="majorBidi"/>
                <w:bCs/>
                <w:sz w:val="2"/>
                <w:highlight w:val="black"/>
                <w:lang w:eastAsia="zh-CN"/>
              </w:rPr>
              <w:t>redacted content</w:t>
            </w:r>
            <w:r w:rsidR="00161293" w:rsidRPr="00161293">
              <w:rPr>
                <w:rFonts w:ascii="Arial Narrow" w:eastAsiaTheme="majorEastAsia" w:hAnsi="Arial Narrow" w:cstheme="majorBidi"/>
                <w:bCs/>
                <w:sz w:val="20"/>
                <w:vertAlign w:val="superscript"/>
                <w:lang w:eastAsia="zh-CN"/>
              </w:rPr>
              <w:t>2</w:t>
            </w:r>
          </w:p>
        </w:tc>
        <w:tc>
          <w:tcPr>
            <w:tcW w:w="819" w:type="pct"/>
            <w:tcBorders>
              <w:top w:val="nil"/>
              <w:left w:val="single" w:sz="4" w:space="0" w:color="auto"/>
              <w:bottom w:val="nil"/>
              <w:right w:val="single" w:sz="4" w:space="0" w:color="auto"/>
            </w:tcBorders>
            <w:noWrap/>
            <w:vAlign w:val="center"/>
            <w:hideMark/>
          </w:tcPr>
          <w:p w14:paraId="4EAC2C72" w14:textId="15B85901" w:rsidR="00E50A74" w:rsidRPr="00DE5B40" w:rsidRDefault="00C87B5E" w:rsidP="005E5441">
            <w:pPr>
              <w:keepNext/>
              <w:jc w:val="center"/>
              <w:rPr>
                <w:rFonts w:ascii="Arial Narrow" w:eastAsiaTheme="majorEastAsia" w:hAnsi="Arial Narrow" w:cstheme="majorBidi"/>
                <w:bCs/>
                <w:sz w:val="20"/>
                <w:lang w:eastAsia="zh-CN"/>
              </w:rPr>
            </w:pPr>
            <w:r w:rsidRPr="00C87B5E">
              <w:rPr>
                <w:rFonts w:ascii="Arial Narrow" w:eastAsiaTheme="majorEastAsia" w:hAnsi="Arial Narrow" w:cstheme="majorBidi"/>
                <w:bCs/>
                <w:sz w:val="2"/>
                <w:highlight w:val="black"/>
                <w:lang w:eastAsia="zh-CN"/>
              </w:rPr>
              <w:t>redacted content</w:t>
            </w:r>
            <w:r w:rsidR="00E50A74" w:rsidRPr="006C32E7">
              <w:rPr>
                <w:rFonts w:ascii="Arial Narrow" w:eastAsiaTheme="majorEastAsia" w:hAnsi="Arial Narrow" w:cstheme="majorBidi"/>
                <w:bCs/>
                <w:sz w:val="20"/>
                <w:lang w:eastAsia="zh-CN"/>
              </w:rPr>
              <w:t>%</w:t>
            </w:r>
          </w:p>
        </w:tc>
      </w:tr>
      <w:tr w:rsidR="00E50A74" w:rsidRPr="00573356" w14:paraId="78F9CF42" w14:textId="77777777" w:rsidTr="00956D8C">
        <w:trPr>
          <w:trHeight w:val="280"/>
        </w:trPr>
        <w:tc>
          <w:tcPr>
            <w:tcW w:w="1721" w:type="pct"/>
            <w:tcBorders>
              <w:top w:val="nil"/>
              <w:left w:val="single" w:sz="4" w:space="0" w:color="auto"/>
              <w:bottom w:val="single" w:sz="4" w:space="0" w:color="auto"/>
              <w:right w:val="nil"/>
            </w:tcBorders>
            <w:vAlign w:val="center"/>
            <w:hideMark/>
          </w:tcPr>
          <w:p w14:paraId="1C34E420" w14:textId="77777777" w:rsidR="00E50A74" w:rsidRPr="00573356" w:rsidRDefault="00E50A74" w:rsidP="005E5441">
            <w:pPr>
              <w:keepNext/>
              <w:jc w:val="left"/>
              <w:rPr>
                <w:rFonts w:ascii="Arial Narrow" w:eastAsiaTheme="majorEastAsia" w:hAnsi="Arial Narrow" w:cstheme="majorBidi"/>
                <w:bCs/>
                <w:sz w:val="20"/>
                <w:lang w:eastAsia="zh-CN"/>
              </w:rPr>
            </w:pPr>
            <w:r w:rsidRPr="00573356">
              <w:rPr>
                <w:rFonts w:ascii="Arial Narrow" w:eastAsiaTheme="majorEastAsia" w:hAnsi="Arial Narrow" w:cstheme="majorBidi"/>
                <w:bCs/>
                <w:sz w:val="20"/>
                <w:lang w:eastAsia="zh-CN"/>
              </w:rPr>
              <w:t>Generalised Gamma</w:t>
            </w:r>
          </w:p>
        </w:tc>
        <w:tc>
          <w:tcPr>
            <w:tcW w:w="820" w:type="pct"/>
            <w:tcBorders>
              <w:top w:val="nil"/>
              <w:left w:val="single" w:sz="4" w:space="0" w:color="auto"/>
              <w:bottom w:val="single" w:sz="4" w:space="0" w:color="auto"/>
              <w:right w:val="nil"/>
            </w:tcBorders>
            <w:noWrap/>
            <w:vAlign w:val="center"/>
            <w:hideMark/>
          </w:tcPr>
          <w:p w14:paraId="34207139" w14:textId="673B6BDC" w:rsidR="00E50A74" w:rsidRPr="00573356" w:rsidRDefault="00E50A74" w:rsidP="005E5441">
            <w:pPr>
              <w:keepNext/>
              <w:jc w:val="center"/>
              <w:rPr>
                <w:rFonts w:ascii="Arial Narrow" w:eastAsiaTheme="majorEastAsia" w:hAnsi="Arial Narrow" w:cstheme="majorBidi"/>
                <w:bCs/>
                <w:sz w:val="20"/>
                <w:lang w:eastAsia="zh-CN"/>
              </w:rPr>
            </w:pPr>
            <w:r w:rsidRPr="00573356">
              <w:rPr>
                <w:rFonts w:ascii="Arial Narrow" w:eastAsiaTheme="majorEastAsia" w:hAnsi="Arial Narrow" w:cstheme="majorBidi"/>
                <w:bCs/>
                <w:sz w:val="20"/>
                <w:lang w:eastAsia="zh-CN"/>
              </w:rPr>
              <w:t>$</w:t>
            </w:r>
            <w:r w:rsidR="00C87B5E" w:rsidRPr="00C87B5E">
              <w:rPr>
                <w:rFonts w:ascii="Arial Narrow" w:eastAsiaTheme="majorEastAsia" w:hAnsi="Arial Narrow" w:cstheme="majorBidi"/>
                <w:bCs/>
                <w:sz w:val="2"/>
                <w:highlight w:val="black"/>
                <w:lang w:eastAsia="zh-CN"/>
              </w:rPr>
              <w:t>redacted content</w:t>
            </w:r>
          </w:p>
        </w:tc>
        <w:tc>
          <w:tcPr>
            <w:tcW w:w="820" w:type="pct"/>
            <w:tcBorders>
              <w:top w:val="nil"/>
              <w:left w:val="single" w:sz="4" w:space="0" w:color="auto"/>
              <w:bottom w:val="single" w:sz="4" w:space="0" w:color="auto"/>
              <w:right w:val="nil"/>
            </w:tcBorders>
            <w:noWrap/>
            <w:vAlign w:val="center"/>
            <w:hideMark/>
          </w:tcPr>
          <w:p w14:paraId="5BA46A20" w14:textId="77777777" w:rsidR="00E50A74" w:rsidRPr="00573356" w:rsidRDefault="00E50A74" w:rsidP="005E5441">
            <w:pPr>
              <w:keepNext/>
              <w:jc w:val="center"/>
              <w:rPr>
                <w:rFonts w:ascii="Arial Narrow" w:eastAsiaTheme="majorEastAsia" w:hAnsi="Arial Narrow" w:cstheme="majorBidi"/>
                <w:bCs/>
                <w:sz w:val="20"/>
                <w:lang w:eastAsia="zh-CN"/>
              </w:rPr>
            </w:pPr>
            <w:r w:rsidRPr="00573356">
              <w:rPr>
                <w:rFonts w:ascii="Arial Narrow" w:eastAsiaTheme="majorEastAsia" w:hAnsi="Arial Narrow" w:cstheme="majorBidi"/>
                <w:bCs/>
                <w:sz w:val="20"/>
                <w:lang w:eastAsia="zh-CN"/>
              </w:rPr>
              <w:t>0.253</w:t>
            </w:r>
          </w:p>
        </w:tc>
        <w:tc>
          <w:tcPr>
            <w:tcW w:w="820" w:type="pct"/>
            <w:tcBorders>
              <w:top w:val="nil"/>
              <w:left w:val="single" w:sz="4" w:space="0" w:color="auto"/>
              <w:bottom w:val="single" w:sz="4" w:space="0" w:color="auto"/>
              <w:right w:val="nil"/>
            </w:tcBorders>
            <w:noWrap/>
            <w:vAlign w:val="center"/>
            <w:hideMark/>
          </w:tcPr>
          <w:p w14:paraId="4D884655" w14:textId="0B0A5D07" w:rsidR="00E50A74" w:rsidRPr="00573356" w:rsidRDefault="00E50A74" w:rsidP="005E5441">
            <w:pPr>
              <w:keepNext/>
              <w:jc w:val="center"/>
              <w:rPr>
                <w:rFonts w:ascii="Arial Narrow" w:eastAsiaTheme="majorEastAsia" w:hAnsi="Arial Narrow" w:cstheme="majorBidi"/>
                <w:bCs/>
                <w:sz w:val="20"/>
                <w:lang w:eastAsia="zh-CN"/>
              </w:rPr>
            </w:pPr>
            <w:r w:rsidRPr="00573356">
              <w:rPr>
                <w:rFonts w:ascii="Arial Narrow" w:eastAsiaTheme="majorEastAsia" w:hAnsi="Arial Narrow" w:cstheme="majorBidi"/>
                <w:bCs/>
                <w:sz w:val="20"/>
                <w:lang w:eastAsia="zh-CN"/>
              </w:rPr>
              <w:t>$</w:t>
            </w:r>
            <w:r w:rsidR="00C87B5E" w:rsidRPr="00C87B5E">
              <w:rPr>
                <w:rFonts w:ascii="Arial Narrow" w:eastAsiaTheme="majorEastAsia" w:hAnsi="Arial Narrow" w:cstheme="majorBidi"/>
                <w:bCs/>
                <w:sz w:val="2"/>
                <w:highlight w:val="black"/>
                <w:lang w:eastAsia="zh-CN"/>
              </w:rPr>
              <w:t>redacted content</w:t>
            </w:r>
            <w:r w:rsidR="00161293" w:rsidRPr="00161293">
              <w:rPr>
                <w:rFonts w:ascii="Arial Narrow" w:eastAsiaTheme="majorEastAsia" w:hAnsi="Arial Narrow" w:cstheme="majorBidi"/>
                <w:bCs/>
                <w:sz w:val="20"/>
                <w:vertAlign w:val="superscript"/>
                <w:lang w:eastAsia="zh-CN"/>
              </w:rPr>
              <w:t>2</w:t>
            </w:r>
          </w:p>
        </w:tc>
        <w:tc>
          <w:tcPr>
            <w:tcW w:w="819" w:type="pct"/>
            <w:tcBorders>
              <w:top w:val="nil"/>
              <w:left w:val="single" w:sz="4" w:space="0" w:color="auto"/>
              <w:bottom w:val="single" w:sz="4" w:space="0" w:color="auto"/>
              <w:right w:val="single" w:sz="4" w:space="0" w:color="auto"/>
            </w:tcBorders>
            <w:noWrap/>
            <w:vAlign w:val="center"/>
            <w:hideMark/>
          </w:tcPr>
          <w:p w14:paraId="7FFF1C9E" w14:textId="31383562" w:rsidR="00E50A74" w:rsidRPr="00DE5B40" w:rsidRDefault="00C87B5E" w:rsidP="005E5441">
            <w:pPr>
              <w:keepNext/>
              <w:jc w:val="center"/>
              <w:rPr>
                <w:rFonts w:ascii="Arial Narrow" w:eastAsiaTheme="majorEastAsia" w:hAnsi="Arial Narrow" w:cstheme="majorBidi"/>
                <w:bCs/>
                <w:sz w:val="20"/>
                <w:lang w:eastAsia="zh-CN"/>
              </w:rPr>
            </w:pPr>
            <w:r w:rsidRPr="00C87B5E">
              <w:rPr>
                <w:rFonts w:ascii="Arial Narrow" w:eastAsiaTheme="majorEastAsia" w:hAnsi="Arial Narrow" w:cstheme="majorBidi"/>
                <w:bCs/>
                <w:sz w:val="2"/>
                <w:highlight w:val="black"/>
                <w:lang w:eastAsia="zh-CN"/>
              </w:rPr>
              <w:t>redacted content</w:t>
            </w:r>
            <w:r w:rsidR="00E50A74" w:rsidRPr="006C32E7">
              <w:rPr>
                <w:rFonts w:ascii="Arial Narrow" w:eastAsiaTheme="majorEastAsia" w:hAnsi="Arial Narrow" w:cstheme="majorBidi"/>
                <w:bCs/>
                <w:sz w:val="20"/>
                <w:lang w:eastAsia="zh-CN"/>
              </w:rPr>
              <w:t>%</w:t>
            </w:r>
          </w:p>
        </w:tc>
      </w:tr>
    </w:tbl>
    <w:p w14:paraId="249D58B7" w14:textId="77777777" w:rsidR="00E50A74" w:rsidRDefault="00E50A74" w:rsidP="005E5441">
      <w:pPr>
        <w:keepNext/>
      </w:pPr>
      <w:r w:rsidRPr="00F80EC2">
        <w:rPr>
          <w:rFonts w:ascii="Arial Narrow" w:hAnsi="Arial Narrow"/>
          <w:snapToGrid w:val="0"/>
          <w:sz w:val="18"/>
          <w:szCs w:val="22"/>
        </w:rPr>
        <w:t>Source: Table 3.41 of the submission and developed during the evaluation using the submitted economic model workbook.</w:t>
      </w:r>
    </w:p>
    <w:p w14:paraId="43611B41" w14:textId="77777777" w:rsidR="00E50A74" w:rsidRPr="00F80EC2" w:rsidRDefault="00E50A74" w:rsidP="005E5441">
      <w:pPr>
        <w:keepNext/>
        <w:rPr>
          <w:rFonts w:ascii="Arial Narrow" w:hAnsi="Arial Narrow"/>
          <w:snapToGrid w:val="0"/>
          <w:sz w:val="18"/>
          <w:szCs w:val="22"/>
        </w:rPr>
      </w:pPr>
      <w:r w:rsidRPr="00F80EC2">
        <w:rPr>
          <w:rFonts w:ascii="Arial Narrow" w:hAnsi="Arial Narrow"/>
          <w:snapToGrid w:val="0"/>
          <w:sz w:val="18"/>
          <w:szCs w:val="22"/>
        </w:rPr>
        <w:t>Abbreviations: AmiCP=amivantamab plus carboplatin plus pemetrexed; CP=carboplatin plus pemetrexed; ABCP=atezolizumab plus bevacizumab plus carboplatin plus paclitaxel; ICER=incremental cost</w:t>
      </w:r>
      <w:r w:rsidRPr="00F80EC2">
        <w:rPr>
          <w:rFonts w:ascii="Cambria Math" w:hAnsi="Cambria Math" w:cs="Cambria Math"/>
          <w:snapToGrid w:val="0"/>
          <w:sz w:val="18"/>
          <w:szCs w:val="22"/>
        </w:rPr>
        <w:t>‑</w:t>
      </w:r>
      <w:r w:rsidRPr="00F80EC2">
        <w:rPr>
          <w:rFonts w:ascii="Arial Narrow" w:hAnsi="Arial Narrow"/>
          <w:snapToGrid w:val="0"/>
          <w:sz w:val="18"/>
          <w:szCs w:val="22"/>
        </w:rPr>
        <w:t>effectiveness ratio; QALY=quality</w:t>
      </w:r>
      <w:r w:rsidRPr="00F80EC2">
        <w:rPr>
          <w:rFonts w:ascii="Cambria Math" w:hAnsi="Cambria Math" w:cs="Cambria Math"/>
          <w:snapToGrid w:val="0"/>
          <w:sz w:val="18"/>
          <w:szCs w:val="22"/>
        </w:rPr>
        <w:t>‑</w:t>
      </w:r>
      <w:r w:rsidRPr="00F80EC2">
        <w:rPr>
          <w:rFonts w:ascii="Arial Narrow" w:hAnsi="Arial Narrow"/>
          <w:snapToGrid w:val="0"/>
          <w:sz w:val="18"/>
          <w:szCs w:val="22"/>
        </w:rPr>
        <w:t xml:space="preserve">adjusted life year; SPA=special pricing arrangement; OS=overall survival. </w:t>
      </w:r>
    </w:p>
    <w:p w14:paraId="08A5706E" w14:textId="77777777" w:rsidR="00E50A74" w:rsidRDefault="00E50A74" w:rsidP="005E5441">
      <w:pPr>
        <w:keepNext/>
        <w:spacing w:after="120"/>
        <w:contextualSpacing/>
        <w:jc w:val="left"/>
        <w:rPr>
          <w:rFonts w:ascii="Arial Narrow" w:hAnsi="Arial Narrow"/>
          <w:snapToGrid w:val="0"/>
          <w:sz w:val="18"/>
          <w:szCs w:val="22"/>
        </w:rPr>
      </w:pPr>
      <w:r w:rsidRPr="00F80EC2">
        <w:rPr>
          <w:rFonts w:ascii="Arial Narrow" w:hAnsi="Arial Narrow"/>
          <w:snapToGrid w:val="0"/>
          <w:sz w:val="18"/>
          <w:szCs w:val="22"/>
          <w:vertAlign w:val="superscript"/>
        </w:rPr>
        <w:t xml:space="preserve">a </w:t>
      </w:r>
      <w:r w:rsidRPr="00F80EC2">
        <w:rPr>
          <w:rFonts w:ascii="Arial Narrow" w:hAnsi="Arial Narrow"/>
          <w:snapToGrid w:val="0"/>
          <w:sz w:val="18"/>
          <w:szCs w:val="22"/>
        </w:rPr>
        <w:t>Based on 50% published price of atezolizumab</w:t>
      </w:r>
      <w:r>
        <w:rPr>
          <w:rFonts w:ascii="Arial Narrow" w:hAnsi="Arial Narrow"/>
          <w:snapToGrid w:val="0"/>
          <w:sz w:val="18"/>
          <w:szCs w:val="22"/>
        </w:rPr>
        <w:t xml:space="preserve"> and comparator split of 83.1</w:t>
      </w:r>
      <w:r w:rsidRPr="006904D7">
        <w:rPr>
          <w:rFonts w:ascii="Arial Narrow" w:hAnsi="Arial Narrow"/>
          <w:snapToGrid w:val="0"/>
          <w:sz w:val="18"/>
          <w:szCs w:val="22"/>
        </w:rPr>
        <w:t xml:space="preserve">% </w:t>
      </w:r>
      <w:r>
        <w:rPr>
          <w:rFonts w:ascii="Arial Narrow" w:hAnsi="Arial Narrow"/>
          <w:snapToGrid w:val="0"/>
          <w:sz w:val="18"/>
          <w:szCs w:val="22"/>
        </w:rPr>
        <w:t>AB</w:t>
      </w:r>
      <w:r w:rsidRPr="006904D7">
        <w:rPr>
          <w:rFonts w:ascii="Arial Narrow" w:hAnsi="Arial Narrow"/>
          <w:snapToGrid w:val="0"/>
          <w:sz w:val="18"/>
          <w:szCs w:val="22"/>
        </w:rPr>
        <w:t xml:space="preserve">CP / </w:t>
      </w:r>
      <w:r>
        <w:rPr>
          <w:rFonts w:ascii="Arial Narrow" w:hAnsi="Arial Narrow"/>
          <w:snapToGrid w:val="0"/>
          <w:sz w:val="18"/>
          <w:szCs w:val="22"/>
        </w:rPr>
        <w:t>16.9</w:t>
      </w:r>
      <w:r w:rsidRPr="006904D7">
        <w:rPr>
          <w:rFonts w:ascii="Arial Narrow" w:hAnsi="Arial Narrow"/>
          <w:snapToGrid w:val="0"/>
          <w:sz w:val="18"/>
          <w:szCs w:val="22"/>
        </w:rPr>
        <w:t>% CP</w:t>
      </w:r>
    </w:p>
    <w:p w14:paraId="1F5F5003" w14:textId="77777777" w:rsidR="00D0411C" w:rsidRPr="00F56B14" w:rsidRDefault="00D0411C" w:rsidP="005E5441">
      <w:pPr>
        <w:keepNext/>
        <w:jc w:val="left"/>
        <w:rPr>
          <w:rFonts w:ascii="Arial Narrow" w:hAnsi="Arial Narrow" w:cstheme="minorHAnsi"/>
          <w:bCs/>
          <w:i/>
          <w:iCs/>
          <w:sz w:val="18"/>
          <w:szCs w:val="18"/>
        </w:rPr>
      </w:pPr>
      <w:r w:rsidRPr="00F56B14">
        <w:rPr>
          <w:rFonts w:ascii="Arial Narrow" w:hAnsi="Arial Narrow" w:cstheme="minorHAnsi"/>
          <w:bCs/>
          <w:i/>
          <w:iCs/>
          <w:sz w:val="18"/>
          <w:szCs w:val="18"/>
        </w:rPr>
        <w:t xml:space="preserve">The redacted values correspond to the following ranges: </w:t>
      </w:r>
    </w:p>
    <w:p w14:paraId="268D4D58" w14:textId="64A716AD" w:rsidR="00D0411C" w:rsidRPr="000856F4" w:rsidRDefault="00D0411C" w:rsidP="005E5441">
      <w:pPr>
        <w:keepNext/>
        <w:jc w:val="left"/>
        <w:rPr>
          <w:rFonts w:ascii="Arial Narrow" w:hAnsi="Arial Narrow"/>
          <w:i/>
          <w:sz w:val="18"/>
          <w:szCs w:val="18"/>
        </w:rPr>
      </w:pPr>
      <w:r w:rsidRPr="000856F4">
        <w:rPr>
          <w:rFonts w:ascii="Arial Narrow" w:hAnsi="Arial Narrow"/>
          <w:i/>
          <w:sz w:val="18"/>
          <w:szCs w:val="18"/>
          <w:vertAlign w:val="superscript"/>
        </w:rPr>
        <w:t>1</w:t>
      </w:r>
      <w:r w:rsidRPr="000856F4">
        <w:rPr>
          <w:rFonts w:ascii="Arial Narrow" w:hAnsi="Arial Narrow"/>
          <w:i/>
          <w:sz w:val="18"/>
          <w:szCs w:val="18"/>
        </w:rPr>
        <w:t xml:space="preserve"> </w:t>
      </w:r>
      <w:r w:rsidR="00F93E7C" w:rsidRPr="00F93E7C">
        <w:rPr>
          <w:rFonts w:ascii="Arial Narrow" w:hAnsi="Arial Narrow"/>
          <w:i/>
          <w:sz w:val="18"/>
          <w:szCs w:val="18"/>
        </w:rPr>
        <w:t>$55,000 to &lt; $75,000</w:t>
      </w:r>
    </w:p>
    <w:p w14:paraId="15DD0309" w14:textId="602BA7C1" w:rsidR="00D0411C" w:rsidRPr="000856F4" w:rsidRDefault="00D0411C" w:rsidP="005E5441">
      <w:pPr>
        <w:keepNext/>
        <w:jc w:val="left"/>
        <w:rPr>
          <w:rFonts w:ascii="Arial Narrow" w:hAnsi="Arial Narrow"/>
          <w:i/>
          <w:sz w:val="18"/>
          <w:szCs w:val="18"/>
        </w:rPr>
      </w:pPr>
      <w:r w:rsidRPr="000856F4">
        <w:rPr>
          <w:rFonts w:ascii="Arial Narrow" w:hAnsi="Arial Narrow"/>
          <w:i/>
          <w:sz w:val="18"/>
          <w:szCs w:val="18"/>
          <w:vertAlign w:val="superscript"/>
        </w:rPr>
        <w:t>2</w:t>
      </w:r>
      <w:r w:rsidRPr="000856F4">
        <w:rPr>
          <w:rFonts w:ascii="Arial Narrow" w:hAnsi="Arial Narrow"/>
          <w:i/>
          <w:sz w:val="18"/>
          <w:szCs w:val="18"/>
        </w:rPr>
        <w:t xml:space="preserve"> </w:t>
      </w:r>
      <w:r w:rsidR="00880405" w:rsidRPr="00880405">
        <w:rPr>
          <w:rFonts w:ascii="Arial Narrow" w:hAnsi="Arial Narrow"/>
          <w:i/>
          <w:sz w:val="18"/>
          <w:szCs w:val="18"/>
        </w:rPr>
        <w:t>$75,000 to &lt; $95,000</w:t>
      </w:r>
    </w:p>
    <w:p w14:paraId="117E0CA6" w14:textId="594B4EE9" w:rsidR="003228E4" w:rsidRPr="000856F4" w:rsidRDefault="003228E4" w:rsidP="005E5441">
      <w:pPr>
        <w:keepNext/>
        <w:jc w:val="left"/>
        <w:rPr>
          <w:rFonts w:ascii="Arial Narrow" w:hAnsi="Arial Narrow"/>
          <w:i/>
          <w:sz w:val="18"/>
          <w:szCs w:val="18"/>
        </w:rPr>
      </w:pPr>
      <w:r w:rsidRPr="000856F4">
        <w:rPr>
          <w:rFonts w:ascii="Arial Narrow" w:hAnsi="Arial Narrow"/>
          <w:i/>
          <w:sz w:val="18"/>
          <w:szCs w:val="18"/>
          <w:vertAlign w:val="superscript"/>
        </w:rPr>
        <w:t>3</w:t>
      </w:r>
      <w:r w:rsidRPr="000856F4">
        <w:rPr>
          <w:rFonts w:ascii="Arial Narrow" w:hAnsi="Arial Narrow"/>
          <w:i/>
          <w:sz w:val="18"/>
          <w:szCs w:val="18"/>
        </w:rPr>
        <w:t xml:space="preserve"> </w:t>
      </w:r>
      <w:r w:rsidR="00CD39A7" w:rsidRPr="00CD39A7">
        <w:rPr>
          <w:rFonts w:ascii="Arial Narrow" w:hAnsi="Arial Narrow"/>
          <w:i/>
          <w:sz w:val="18"/>
          <w:szCs w:val="18"/>
        </w:rPr>
        <w:t>$115,000 to &lt; $135,000</w:t>
      </w:r>
    </w:p>
    <w:p w14:paraId="38B4584D" w14:textId="77777777" w:rsidR="00D0411C" w:rsidRDefault="00D0411C" w:rsidP="00530866">
      <w:pPr>
        <w:spacing w:after="120"/>
        <w:contextualSpacing/>
        <w:jc w:val="left"/>
        <w:rPr>
          <w:rFonts w:asciiTheme="minorHAnsi" w:eastAsiaTheme="minorHAnsi" w:hAnsiTheme="minorHAnsi"/>
          <w:i/>
          <w:iCs/>
          <w:szCs w:val="22"/>
          <w:lang w:bidi="fa-IR"/>
        </w:rPr>
      </w:pPr>
    </w:p>
    <w:p w14:paraId="4DD6E462" w14:textId="7DBE8350" w:rsidR="00E50A74" w:rsidRPr="00F95529" w:rsidRDefault="00E50A74" w:rsidP="00530866">
      <w:pPr>
        <w:pStyle w:val="3-BodyText"/>
        <w:rPr>
          <w:rtl/>
          <w:lang w:bidi="fa-IR"/>
        </w:rPr>
      </w:pPr>
      <w:r w:rsidRPr="00F95529">
        <w:rPr>
          <w:lang w:bidi="fa-IR"/>
        </w:rPr>
        <w:t xml:space="preserve">Additional sensitivity analyses conducted during the evaluation are presented in </w:t>
      </w:r>
      <w:r w:rsidRPr="00F95529">
        <w:rPr>
          <w:lang w:bidi="fa-IR"/>
        </w:rPr>
        <w:fldChar w:fldCharType="begin"/>
      </w:r>
      <w:r w:rsidRPr="00F95529">
        <w:rPr>
          <w:lang w:bidi="fa-IR"/>
        </w:rPr>
        <w:instrText xml:space="preserve"> REF _Ref216388276 \h  \* MERGEFORMAT </w:instrText>
      </w:r>
      <w:r w:rsidRPr="00F95529">
        <w:rPr>
          <w:lang w:bidi="fa-IR"/>
        </w:rPr>
      </w:r>
      <w:r w:rsidRPr="00F95529">
        <w:rPr>
          <w:lang w:bidi="fa-IR"/>
        </w:rPr>
        <w:fldChar w:fldCharType="separate"/>
      </w:r>
      <w:r w:rsidR="00A572FC">
        <w:t xml:space="preserve">Table </w:t>
      </w:r>
      <w:r w:rsidR="00A572FC">
        <w:rPr>
          <w:noProof/>
        </w:rPr>
        <w:t>14</w:t>
      </w:r>
      <w:r w:rsidRPr="00F95529">
        <w:rPr>
          <w:lang w:bidi="fa-IR"/>
        </w:rPr>
        <w:fldChar w:fldCharType="end"/>
      </w:r>
      <w:r w:rsidRPr="00F95529">
        <w:rPr>
          <w:lang w:bidi="fa-IR"/>
        </w:rPr>
        <w:t>.</w:t>
      </w:r>
    </w:p>
    <w:p w14:paraId="6936F898" w14:textId="17209EDC" w:rsidR="00E50A74" w:rsidRDefault="00E50A74" w:rsidP="00530866">
      <w:pPr>
        <w:pStyle w:val="Caption"/>
      </w:pPr>
      <w:bookmarkStart w:id="87" w:name="_Ref216388276"/>
      <w:r>
        <w:lastRenderedPageBreak/>
        <w:t xml:space="preserve">Table </w:t>
      </w:r>
      <w:fldSimple w:instr=" SEQ Table \* ARABIC ">
        <w:r w:rsidR="00D97D5A">
          <w:rPr>
            <w:noProof/>
          </w:rPr>
          <w:t>14</w:t>
        </w:r>
      </w:fldSimple>
      <w:bookmarkEnd w:id="87"/>
      <w:r>
        <w:t xml:space="preserve">: </w:t>
      </w:r>
      <w:r w:rsidRPr="00A501A5">
        <w:t>Results of sensitivity analyses conducted during the evaluation</w:t>
      </w:r>
    </w:p>
    <w:tbl>
      <w:tblPr>
        <w:tblStyle w:val="TableGrid"/>
        <w:tblW w:w="0" w:type="auto"/>
        <w:tblLook w:val="04A0" w:firstRow="1" w:lastRow="0" w:firstColumn="1" w:lastColumn="0" w:noHBand="0" w:noVBand="1"/>
        <w:tblCaption w:val="Table 14: Results of sensitivity analyses conducted during the evaluation"/>
      </w:tblPr>
      <w:tblGrid>
        <w:gridCol w:w="2916"/>
        <w:gridCol w:w="1417"/>
        <w:gridCol w:w="1560"/>
        <w:gridCol w:w="1585"/>
        <w:gridCol w:w="1539"/>
      </w:tblGrid>
      <w:tr w:rsidR="00E50A74" w:rsidRPr="00F95529" w14:paraId="2629C29D" w14:textId="77777777" w:rsidTr="00545918">
        <w:trPr>
          <w:trHeight w:val="412"/>
          <w:tblHeader/>
        </w:trPr>
        <w:tc>
          <w:tcPr>
            <w:tcW w:w="2916" w:type="dxa"/>
            <w:tcBorders>
              <w:top w:val="single" w:sz="4" w:space="0" w:color="auto"/>
              <w:left w:val="single" w:sz="4" w:space="0" w:color="auto"/>
              <w:bottom w:val="single" w:sz="4" w:space="0" w:color="auto"/>
              <w:right w:val="nil"/>
            </w:tcBorders>
            <w:vAlign w:val="center"/>
          </w:tcPr>
          <w:p w14:paraId="7CEBC62B" w14:textId="77777777" w:rsidR="00E50A74" w:rsidRPr="00F95529" w:rsidRDefault="00E50A74" w:rsidP="00530866">
            <w:pPr>
              <w:jc w:val="left"/>
              <w:rPr>
                <w:rFonts w:ascii="Arial Narrow" w:eastAsiaTheme="majorEastAsia" w:hAnsi="Arial Narrow" w:cstheme="majorBidi"/>
                <w:bCs/>
                <w:sz w:val="20"/>
              </w:rPr>
            </w:pPr>
            <w:r w:rsidRPr="00F95529">
              <w:rPr>
                <w:rFonts w:ascii="Arial Narrow" w:eastAsiaTheme="majorEastAsia" w:hAnsi="Arial Narrow" w:cstheme="majorBidi"/>
                <w:b/>
                <w:sz w:val="20"/>
                <w:lang w:val="en-US" w:eastAsia="zh-CN"/>
              </w:rPr>
              <w:t>Analyses</w:t>
            </w:r>
          </w:p>
        </w:tc>
        <w:tc>
          <w:tcPr>
            <w:tcW w:w="1417" w:type="dxa"/>
            <w:tcBorders>
              <w:top w:val="single" w:sz="4" w:space="0" w:color="auto"/>
              <w:left w:val="single" w:sz="4" w:space="0" w:color="auto"/>
              <w:bottom w:val="single" w:sz="4" w:space="0" w:color="auto"/>
              <w:right w:val="nil"/>
            </w:tcBorders>
            <w:noWrap/>
          </w:tcPr>
          <w:p w14:paraId="7C1E4F7C" w14:textId="77777777" w:rsidR="00E50A74" w:rsidRPr="00F95529" w:rsidRDefault="00E50A74" w:rsidP="00530866">
            <w:pPr>
              <w:jc w:val="center"/>
              <w:rPr>
                <w:rFonts w:ascii="Arial Narrow" w:eastAsiaTheme="majorEastAsia" w:hAnsi="Arial Narrow" w:cstheme="majorBidi"/>
                <w:bCs/>
                <w:sz w:val="20"/>
              </w:rPr>
            </w:pPr>
            <w:r w:rsidRPr="00F95529">
              <w:rPr>
                <w:rFonts w:ascii="Arial Narrow" w:eastAsiaTheme="majorEastAsia" w:hAnsi="Arial Narrow" w:cstheme="majorBidi"/>
                <w:b/>
                <w:sz w:val="20"/>
              </w:rPr>
              <w:t>Incremental cost</w:t>
            </w:r>
          </w:p>
        </w:tc>
        <w:tc>
          <w:tcPr>
            <w:tcW w:w="1560" w:type="dxa"/>
            <w:tcBorders>
              <w:top w:val="single" w:sz="4" w:space="0" w:color="auto"/>
              <w:left w:val="single" w:sz="4" w:space="0" w:color="auto"/>
              <w:bottom w:val="single" w:sz="4" w:space="0" w:color="auto"/>
              <w:right w:val="nil"/>
            </w:tcBorders>
            <w:noWrap/>
          </w:tcPr>
          <w:p w14:paraId="31DC4F98" w14:textId="77777777" w:rsidR="00E50A74" w:rsidRPr="00F95529" w:rsidRDefault="00E50A74" w:rsidP="00530866">
            <w:pPr>
              <w:jc w:val="center"/>
              <w:rPr>
                <w:rFonts w:ascii="Arial Narrow" w:eastAsiaTheme="majorEastAsia" w:hAnsi="Arial Narrow" w:cstheme="majorBidi"/>
                <w:bCs/>
                <w:sz w:val="20"/>
              </w:rPr>
            </w:pPr>
            <w:r w:rsidRPr="00F95529">
              <w:rPr>
                <w:rFonts w:ascii="Arial Narrow" w:eastAsiaTheme="majorEastAsia" w:hAnsi="Arial Narrow" w:cstheme="majorBidi"/>
                <w:b/>
                <w:sz w:val="20"/>
              </w:rPr>
              <w:t>Incremental QALY</w:t>
            </w:r>
          </w:p>
        </w:tc>
        <w:tc>
          <w:tcPr>
            <w:tcW w:w="1585" w:type="dxa"/>
            <w:tcBorders>
              <w:top w:val="single" w:sz="4" w:space="0" w:color="auto"/>
              <w:left w:val="single" w:sz="4" w:space="0" w:color="auto"/>
              <w:bottom w:val="single" w:sz="4" w:space="0" w:color="auto"/>
              <w:right w:val="nil"/>
            </w:tcBorders>
            <w:noWrap/>
            <w:vAlign w:val="center"/>
          </w:tcPr>
          <w:p w14:paraId="6BE64452" w14:textId="77777777" w:rsidR="00E50A74" w:rsidRPr="00F95529" w:rsidRDefault="00E50A74" w:rsidP="00530866">
            <w:pPr>
              <w:jc w:val="center"/>
              <w:rPr>
                <w:rFonts w:ascii="Arial Narrow" w:eastAsiaTheme="majorEastAsia" w:hAnsi="Arial Narrow" w:cstheme="majorBidi"/>
                <w:bCs/>
                <w:sz w:val="20"/>
              </w:rPr>
            </w:pPr>
            <w:r w:rsidRPr="00F95529">
              <w:rPr>
                <w:rFonts w:ascii="Arial Narrow" w:eastAsiaTheme="majorEastAsia" w:hAnsi="Arial Narrow" w:cstheme="majorBidi"/>
                <w:b/>
                <w:sz w:val="20"/>
                <w:lang w:val="en-US" w:eastAsia="zh-CN"/>
              </w:rPr>
              <w:t>ICER</w:t>
            </w:r>
          </w:p>
        </w:tc>
        <w:tc>
          <w:tcPr>
            <w:tcW w:w="1539" w:type="dxa"/>
            <w:tcBorders>
              <w:top w:val="single" w:sz="4" w:space="0" w:color="auto"/>
              <w:left w:val="single" w:sz="4" w:space="0" w:color="auto"/>
              <w:bottom w:val="single" w:sz="4" w:space="0" w:color="auto"/>
              <w:right w:val="single" w:sz="4" w:space="0" w:color="auto"/>
            </w:tcBorders>
            <w:noWrap/>
            <w:vAlign w:val="center"/>
          </w:tcPr>
          <w:p w14:paraId="7BD7F047" w14:textId="77777777" w:rsidR="00E50A74" w:rsidRPr="00F95529" w:rsidRDefault="00E50A74" w:rsidP="00530866">
            <w:pPr>
              <w:jc w:val="center"/>
              <w:rPr>
                <w:rFonts w:ascii="Arial Narrow" w:eastAsiaTheme="majorEastAsia" w:hAnsi="Arial Narrow" w:cstheme="majorBidi"/>
                <w:bCs/>
                <w:sz w:val="20"/>
              </w:rPr>
            </w:pPr>
            <w:r w:rsidRPr="00F95529">
              <w:rPr>
                <w:rFonts w:ascii="Arial Narrow" w:eastAsiaTheme="majorEastAsia" w:hAnsi="Arial Narrow" w:cstheme="majorBidi"/>
                <w:b/>
                <w:sz w:val="20"/>
                <w:lang w:val="en-US" w:eastAsia="zh-CN"/>
              </w:rPr>
              <w:t>% Change from Base Case</w:t>
            </w:r>
          </w:p>
        </w:tc>
      </w:tr>
      <w:tr w:rsidR="00E50A74" w:rsidRPr="00F95529" w14:paraId="773B0B38" w14:textId="77777777" w:rsidTr="00545918">
        <w:trPr>
          <w:trHeight w:val="221"/>
          <w:tblHeader/>
        </w:trPr>
        <w:tc>
          <w:tcPr>
            <w:tcW w:w="2916" w:type="dxa"/>
            <w:tcBorders>
              <w:top w:val="single" w:sz="4" w:space="0" w:color="auto"/>
              <w:left w:val="single" w:sz="4" w:space="0" w:color="auto"/>
              <w:bottom w:val="single" w:sz="4" w:space="0" w:color="auto"/>
              <w:right w:val="nil"/>
            </w:tcBorders>
            <w:vAlign w:val="center"/>
          </w:tcPr>
          <w:p w14:paraId="2B1BCD64" w14:textId="77777777" w:rsidR="00E50A74" w:rsidRPr="00F95529" w:rsidRDefault="00E50A74" w:rsidP="00530866">
            <w:pPr>
              <w:jc w:val="left"/>
              <w:rPr>
                <w:rFonts w:ascii="Arial Narrow" w:eastAsiaTheme="majorEastAsia" w:hAnsi="Arial Narrow" w:cstheme="majorBidi"/>
                <w:b/>
                <w:sz w:val="20"/>
                <w:lang w:eastAsia="zh-CN"/>
              </w:rPr>
            </w:pPr>
            <w:r w:rsidRPr="00F95529">
              <w:rPr>
                <w:rFonts w:ascii="Arial Narrow" w:eastAsiaTheme="majorEastAsia" w:hAnsi="Arial Narrow" w:cstheme="majorBidi"/>
                <w:b/>
                <w:sz w:val="20"/>
                <w:lang w:eastAsia="zh-CN"/>
              </w:rPr>
              <w:t xml:space="preserve">Base case </w:t>
            </w:r>
            <w:r w:rsidRPr="00F95529">
              <w:rPr>
                <w:rFonts w:ascii="Arial Narrow" w:eastAsiaTheme="majorEastAsia" w:hAnsi="Arial Narrow" w:cstheme="majorBidi"/>
                <w:b/>
                <w:sz w:val="20"/>
                <w:vertAlign w:val="superscript"/>
                <w:lang w:eastAsia="zh-CN"/>
              </w:rPr>
              <w:t>a</w:t>
            </w:r>
            <w:r w:rsidRPr="00F95529">
              <w:rPr>
                <w:rFonts w:ascii="Arial Narrow" w:eastAsiaTheme="majorEastAsia" w:hAnsi="Arial Narrow" w:cstheme="majorBidi"/>
                <w:b/>
                <w:sz w:val="20"/>
                <w:lang w:eastAsia="zh-CN"/>
              </w:rPr>
              <w:t xml:space="preserve"> </w:t>
            </w:r>
          </w:p>
        </w:tc>
        <w:tc>
          <w:tcPr>
            <w:tcW w:w="1417" w:type="dxa"/>
            <w:tcBorders>
              <w:top w:val="single" w:sz="4" w:space="0" w:color="auto"/>
              <w:left w:val="single" w:sz="4" w:space="0" w:color="auto"/>
              <w:bottom w:val="single" w:sz="4" w:space="0" w:color="auto"/>
              <w:right w:val="nil"/>
            </w:tcBorders>
            <w:noWrap/>
            <w:vAlign w:val="center"/>
          </w:tcPr>
          <w:p w14:paraId="64A32C53" w14:textId="36C6049B" w:rsidR="00E50A74" w:rsidRPr="00F95529" w:rsidRDefault="00E50A74" w:rsidP="00530866">
            <w:pPr>
              <w:jc w:val="center"/>
              <w:rPr>
                <w:rFonts w:ascii="Arial Narrow" w:eastAsiaTheme="majorEastAsia" w:hAnsi="Arial Narrow" w:cstheme="majorBidi"/>
                <w:b/>
                <w:sz w:val="20"/>
                <w:lang w:eastAsia="zh-CN"/>
              </w:rPr>
            </w:pPr>
            <w:r w:rsidRPr="00F95529">
              <w:rPr>
                <w:rFonts w:ascii="Arial Narrow" w:eastAsiaTheme="majorEastAsia" w:hAnsi="Arial Narrow" w:cstheme="majorBidi"/>
                <w:b/>
                <w:sz w:val="20"/>
                <w:lang w:eastAsia="zh-CN"/>
              </w:rPr>
              <w:t>$</w:t>
            </w:r>
            <w:r w:rsidR="00C87B5E" w:rsidRPr="00C87B5E">
              <w:rPr>
                <w:rFonts w:ascii="Arial Narrow" w:eastAsiaTheme="majorEastAsia" w:hAnsi="Arial Narrow" w:cstheme="majorBidi"/>
                <w:b/>
                <w:sz w:val="2"/>
                <w:highlight w:val="black"/>
                <w:lang w:eastAsia="zh-CN"/>
              </w:rPr>
              <w:t>redacted content</w:t>
            </w:r>
          </w:p>
        </w:tc>
        <w:tc>
          <w:tcPr>
            <w:tcW w:w="1560" w:type="dxa"/>
            <w:tcBorders>
              <w:top w:val="single" w:sz="4" w:space="0" w:color="auto"/>
              <w:left w:val="single" w:sz="4" w:space="0" w:color="auto"/>
              <w:bottom w:val="single" w:sz="4" w:space="0" w:color="auto"/>
              <w:right w:val="nil"/>
            </w:tcBorders>
            <w:noWrap/>
            <w:vAlign w:val="center"/>
          </w:tcPr>
          <w:p w14:paraId="62E8526D" w14:textId="77777777" w:rsidR="00E50A74" w:rsidRPr="00F95529" w:rsidRDefault="00E50A74" w:rsidP="00530866">
            <w:pPr>
              <w:jc w:val="center"/>
              <w:rPr>
                <w:rFonts w:ascii="Arial Narrow" w:eastAsiaTheme="majorEastAsia" w:hAnsi="Arial Narrow" w:cstheme="majorBidi"/>
                <w:b/>
                <w:sz w:val="20"/>
                <w:lang w:eastAsia="zh-CN"/>
              </w:rPr>
            </w:pPr>
            <w:r w:rsidRPr="00F95529">
              <w:rPr>
                <w:rFonts w:ascii="Arial Narrow" w:eastAsiaTheme="majorEastAsia" w:hAnsi="Arial Narrow" w:cstheme="majorBidi"/>
                <w:b/>
                <w:sz w:val="20"/>
                <w:lang w:eastAsia="zh-CN"/>
              </w:rPr>
              <w:t>0.253</w:t>
            </w:r>
          </w:p>
        </w:tc>
        <w:tc>
          <w:tcPr>
            <w:tcW w:w="1585" w:type="dxa"/>
            <w:tcBorders>
              <w:top w:val="single" w:sz="4" w:space="0" w:color="auto"/>
              <w:left w:val="single" w:sz="4" w:space="0" w:color="auto"/>
              <w:bottom w:val="single" w:sz="4" w:space="0" w:color="auto"/>
              <w:right w:val="nil"/>
            </w:tcBorders>
            <w:noWrap/>
            <w:vAlign w:val="center"/>
          </w:tcPr>
          <w:p w14:paraId="05AF1D7B" w14:textId="015662B0" w:rsidR="00E50A74" w:rsidRPr="00F95529" w:rsidRDefault="00E50A74" w:rsidP="00530866">
            <w:pPr>
              <w:jc w:val="center"/>
              <w:rPr>
                <w:rFonts w:ascii="Arial Narrow" w:eastAsiaTheme="majorEastAsia" w:hAnsi="Arial Narrow" w:cstheme="majorBidi"/>
                <w:b/>
                <w:sz w:val="20"/>
                <w:lang w:eastAsia="zh-CN"/>
              </w:rPr>
            </w:pPr>
            <w:r w:rsidRPr="00F95529">
              <w:rPr>
                <w:rFonts w:ascii="Arial Narrow" w:eastAsiaTheme="majorEastAsia" w:hAnsi="Arial Narrow" w:cstheme="majorBidi"/>
                <w:b/>
                <w:sz w:val="20"/>
                <w:lang w:eastAsia="zh-CN"/>
              </w:rPr>
              <w:t>$</w:t>
            </w:r>
            <w:r w:rsidR="00C87B5E" w:rsidRPr="00C87B5E">
              <w:rPr>
                <w:rFonts w:ascii="Arial Narrow" w:eastAsiaTheme="majorEastAsia" w:hAnsi="Arial Narrow" w:cstheme="majorBidi"/>
                <w:b/>
                <w:sz w:val="2"/>
                <w:highlight w:val="black"/>
                <w:lang w:eastAsia="zh-CN"/>
              </w:rPr>
              <w:t>redacted content</w:t>
            </w:r>
            <w:r w:rsidR="001E6E77" w:rsidRPr="001E6E77">
              <w:rPr>
                <w:rFonts w:ascii="Arial Narrow" w:eastAsiaTheme="majorEastAsia" w:hAnsi="Arial Narrow" w:cstheme="majorBidi"/>
                <w:b/>
                <w:sz w:val="20"/>
                <w:vertAlign w:val="superscript"/>
                <w:lang w:eastAsia="zh-CN"/>
              </w:rPr>
              <w:t>1</w:t>
            </w:r>
          </w:p>
        </w:tc>
        <w:tc>
          <w:tcPr>
            <w:tcW w:w="1539" w:type="dxa"/>
            <w:tcBorders>
              <w:top w:val="single" w:sz="4" w:space="0" w:color="auto"/>
              <w:left w:val="single" w:sz="4" w:space="0" w:color="auto"/>
              <w:bottom w:val="single" w:sz="4" w:space="0" w:color="auto"/>
              <w:right w:val="single" w:sz="4" w:space="0" w:color="auto"/>
            </w:tcBorders>
            <w:noWrap/>
            <w:vAlign w:val="center"/>
          </w:tcPr>
          <w:p w14:paraId="2A0AB128" w14:textId="77777777" w:rsidR="00E50A74" w:rsidRPr="00F95529" w:rsidRDefault="00E50A74" w:rsidP="00530866">
            <w:pPr>
              <w:jc w:val="center"/>
              <w:rPr>
                <w:rFonts w:ascii="Arial Narrow" w:eastAsiaTheme="majorEastAsia" w:hAnsi="Arial Narrow" w:cstheme="majorBidi"/>
                <w:b/>
                <w:sz w:val="20"/>
                <w:lang w:eastAsia="zh-CN"/>
              </w:rPr>
            </w:pPr>
            <w:r w:rsidRPr="00F95529">
              <w:rPr>
                <w:rFonts w:ascii="Arial Narrow" w:eastAsiaTheme="majorEastAsia" w:hAnsi="Arial Narrow" w:cstheme="majorBidi"/>
                <w:b/>
                <w:sz w:val="20"/>
                <w:lang w:eastAsia="zh-CN"/>
              </w:rPr>
              <w:t>-</w:t>
            </w:r>
          </w:p>
        </w:tc>
      </w:tr>
      <w:tr w:rsidR="00E50A74" w:rsidRPr="00F95529" w14:paraId="04BEABB3" w14:textId="77777777" w:rsidTr="00545918">
        <w:trPr>
          <w:trHeight w:val="266"/>
          <w:tblHeader/>
        </w:trPr>
        <w:tc>
          <w:tcPr>
            <w:tcW w:w="9017" w:type="dxa"/>
            <w:gridSpan w:val="5"/>
            <w:tcBorders>
              <w:top w:val="single" w:sz="4" w:space="0" w:color="auto"/>
              <w:left w:val="single" w:sz="4" w:space="0" w:color="auto"/>
              <w:bottom w:val="single" w:sz="4" w:space="0" w:color="auto"/>
              <w:right w:val="single" w:sz="4" w:space="0" w:color="auto"/>
            </w:tcBorders>
            <w:vAlign w:val="center"/>
          </w:tcPr>
          <w:p w14:paraId="2F2A4C52" w14:textId="77777777" w:rsidR="00E50A74" w:rsidRPr="00F95529" w:rsidRDefault="00E50A74" w:rsidP="00530866">
            <w:pPr>
              <w:jc w:val="left"/>
              <w:rPr>
                <w:rFonts w:ascii="Arial Narrow" w:eastAsiaTheme="majorEastAsia" w:hAnsi="Arial Narrow" w:cstheme="majorBidi"/>
                <w:b/>
                <w:sz w:val="20"/>
                <w:lang w:eastAsia="zh-CN"/>
              </w:rPr>
            </w:pPr>
            <w:r w:rsidRPr="00F95529">
              <w:rPr>
                <w:rFonts w:ascii="Arial Narrow" w:eastAsiaTheme="majorEastAsia" w:hAnsi="Arial Narrow" w:cstheme="majorBidi"/>
                <w:b/>
                <w:sz w:val="20"/>
                <w:lang w:eastAsia="zh-CN"/>
              </w:rPr>
              <w:t>Alternative comparative splits (base case: 83.1% ABCP / 16.9% CP)</w:t>
            </w:r>
          </w:p>
        </w:tc>
      </w:tr>
      <w:tr w:rsidR="001763C6" w:rsidRPr="00F95529" w14:paraId="464F973C" w14:textId="77777777" w:rsidTr="00545918">
        <w:trPr>
          <w:trHeight w:val="654"/>
          <w:tblHeader/>
        </w:trPr>
        <w:tc>
          <w:tcPr>
            <w:tcW w:w="2916" w:type="dxa"/>
          </w:tcPr>
          <w:p w14:paraId="71EF8F7C" w14:textId="1ACB06F1" w:rsidR="001763C6" w:rsidRPr="00F95529" w:rsidRDefault="00B82D4B" w:rsidP="00530866">
            <w:pPr>
              <w:jc w:val="left"/>
              <w:rPr>
                <w:rFonts w:ascii="Arial Narrow" w:eastAsiaTheme="majorEastAsia" w:hAnsi="Arial Narrow" w:cstheme="majorBidi"/>
                <w:bCs/>
                <w:sz w:val="20"/>
              </w:rPr>
            </w:pPr>
            <w:r w:rsidRPr="00F95529">
              <w:rPr>
                <w:rFonts w:ascii="Arial Narrow" w:eastAsiaTheme="majorEastAsia" w:hAnsi="Arial Narrow" w:cstheme="majorBidi"/>
                <w:bCs/>
                <w:sz w:val="20"/>
              </w:rPr>
              <w:t>ABCP/CP (</w:t>
            </w:r>
            <w:r w:rsidR="00C3465D" w:rsidRPr="00F95529">
              <w:rPr>
                <w:rFonts w:ascii="Arial Narrow" w:eastAsiaTheme="majorEastAsia" w:hAnsi="Arial Narrow" w:cstheme="majorBidi"/>
                <w:bCs/>
                <w:sz w:val="20"/>
              </w:rPr>
              <w:t>30</w:t>
            </w:r>
            <w:r w:rsidRPr="00F95529">
              <w:rPr>
                <w:rFonts w:ascii="Arial Narrow" w:eastAsiaTheme="majorEastAsia" w:hAnsi="Arial Narrow" w:cstheme="majorBidi"/>
                <w:bCs/>
                <w:sz w:val="20"/>
              </w:rPr>
              <w:t xml:space="preserve">% ABCP / </w:t>
            </w:r>
            <w:r w:rsidR="00C3465D" w:rsidRPr="00F95529">
              <w:rPr>
                <w:rFonts w:ascii="Arial Narrow" w:eastAsiaTheme="majorEastAsia" w:hAnsi="Arial Narrow" w:cstheme="majorBidi"/>
                <w:bCs/>
                <w:sz w:val="20"/>
              </w:rPr>
              <w:t>70</w:t>
            </w:r>
            <w:r w:rsidRPr="00F95529">
              <w:rPr>
                <w:rFonts w:ascii="Arial Narrow" w:eastAsiaTheme="majorEastAsia" w:hAnsi="Arial Narrow" w:cstheme="majorBidi"/>
                <w:bCs/>
                <w:sz w:val="20"/>
              </w:rPr>
              <w:t>% CP);</w:t>
            </w:r>
            <w:r w:rsidR="00754EDF" w:rsidRPr="00F95529">
              <w:rPr>
                <w:rFonts w:ascii="Arial Narrow" w:eastAsiaTheme="majorEastAsia" w:hAnsi="Arial Narrow" w:cstheme="majorBidi"/>
                <w:bCs/>
                <w:sz w:val="20"/>
              </w:rPr>
              <w:t xml:space="preserve"> consistent with </w:t>
            </w:r>
            <w:r w:rsidR="00F45C33" w:rsidRPr="00F95529">
              <w:rPr>
                <w:rFonts w:ascii="Arial Narrow" w:eastAsiaTheme="majorEastAsia" w:hAnsi="Arial Narrow" w:cstheme="majorBidi"/>
                <w:bCs/>
                <w:sz w:val="20"/>
              </w:rPr>
              <w:t>Osimertinib PSD</w:t>
            </w:r>
            <w:r w:rsidR="00DD7C7F" w:rsidRPr="00F95529">
              <w:rPr>
                <w:rFonts w:ascii="Arial Narrow" w:eastAsiaTheme="majorEastAsia" w:hAnsi="Arial Narrow" w:cstheme="majorBidi"/>
                <w:bCs/>
                <w:sz w:val="20"/>
              </w:rPr>
              <w:t xml:space="preserve"> </w:t>
            </w:r>
            <w:r w:rsidR="009113E9" w:rsidRPr="00F95529">
              <w:rPr>
                <w:rFonts w:ascii="Arial Narrow" w:eastAsiaTheme="majorEastAsia" w:hAnsi="Arial Narrow" w:cstheme="majorBidi"/>
                <w:bCs/>
                <w:sz w:val="20"/>
              </w:rPr>
              <w:t xml:space="preserve">(paragraph 7.11, </w:t>
            </w:r>
            <w:r w:rsidR="00F45C33" w:rsidRPr="00F95529">
              <w:rPr>
                <w:rFonts w:ascii="Arial Narrow" w:eastAsiaTheme="majorEastAsia" w:hAnsi="Arial Narrow" w:cstheme="majorBidi"/>
                <w:bCs/>
                <w:sz w:val="20"/>
              </w:rPr>
              <w:t xml:space="preserve">Osimertinib </w:t>
            </w:r>
            <w:r w:rsidR="009113E9" w:rsidRPr="00F95529">
              <w:rPr>
                <w:rFonts w:ascii="Arial Narrow" w:eastAsiaTheme="majorEastAsia" w:hAnsi="Arial Narrow" w:cstheme="majorBidi"/>
                <w:bCs/>
                <w:sz w:val="20"/>
              </w:rPr>
              <w:t xml:space="preserve">PSD, </w:t>
            </w:r>
            <w:r w:rsidR="00F45C33" w:rsidRPr="00F95529">
              <w:rPr>
                <w:rFonts w:ascii="Arial Narrow" w:eastAsiaTheme="majorEastAsia" w:hAnsi="Arial Narrow" w:cstheme="majorBidi"/>
                <w:bCs/>
                <w:sz w:val="20"/>
              </w:rPr>
              <w:t>July</w:t>
            </w:r>
            <w:r w:rsidR="009113E9" w:rsidRPr="00F95529">
              <w:rPr>
                <w:rFonts w:ascii="Arial Narrow" w:eastAsiaTheme="majorEastAsia" w:hAnsi="Arial Narrow" w:cstheme="majorBidi"/>
                <w:bCs/>
                <w:sz w:val="20"/>
              </w:rPr>
              <w:t xml:space="preserve"> 2025 PBAC meeting</w:t>
            </w:r>
            <w:r w:rsidR="00DD7C7F" w:rsidRPr="00F95529">
              <w:rPr>
                <w:rFonts w:ascii="Arial Narrow" w:eastAsiaTheme="majorEastAsia" w:hAnsi="Arial Narrow" w:cstheme="majorBidi"/>
                <w:bCs/>
                <w:sz w:val="20"/>
              </w:rPr>
              <w:t>)</w:t>
            </w:r>
          </w:p>
        </w:tc>
        <w:tc>
          <w:tcPr>
            <w:tcW w:w="1417" w:type="dxa"/>
            <w:noWrap/>
          </w:tcPr>
          <w:p w14:paraId="0E6076A5" w14:textId="347BE222" w:rsidR="001763C6" w:rsidRPr="00F95529" w:rsidRDefault="005C4601" w:rsidP="00530866">
            <w:pPr>
              <w:jc w:val="center"/>
              <w:rPr>
                <w:rFonts w:ascii="Arial Narrow" w:eastAsiaTheme="majorEastAsia" w:hAnsi="Arial Narrow" w:cstheme="majorBidi"/>
                <w:bCs/>
                <w:sz w:val="20"/>
              </w:rPr>
            </w:pPr>
            <w:r w:rsidRPr="00F95529">
              <w:rPr>
                <w:rFonts w:ascii="Arial Narrow" w:eastAsiaTheme="majorEastAsia" w:hAnsi="Arial Narrow" w:cstheme="majorBidi"/>
                <w:bCs/>
                <w:sz w:val="20"/>
              </w:rPr>
              <w:t>$</w:t>
            </w:r>
            <w:r w:rsidR="00C87B5E" w:rsidRPr="00C87B5E">
              <w:rPr>
                <w:rFonts w:ascii="Arial Narrow" w:eastAsiaTheme="majorEastAsia" w:hAnsi="Arial Narrow" w:cstheme="majorBidi"/>
                <w:bCs/>
                <w:sz w:val="2"/>
                <w:highlight w:val="black"/>
              </w:rPr>
              <w:t>redacted content</w:t>
            </w:r>
          </w:p>
        </w:tc>
        <w:tc>
          <w:tcPr>
            <w:tcW w:w="1560" w:type="dxa"/>
            <w:noWrap/>
          </w:tcPr>
          <w:p w14:paraId="25B44F51" w14:textId="60039FF9" w:rsidR="001763C6" w:rsidRPr="00F95529" w:rsidRDefault="007A135F" w:rsidP="00530866">
            <w:pPr>
              <w:jc w:val="center"/>
              <w:rPr>
                <w:rFonts w:ascii="Arial Narrow" w:eastAsiaTheme="majorEastAsia" w:hAnsi="Arial Narrow" w:cstheme="majorBidi"/>
                <w:bCs/>
                <w:sz w:val="20"/>
              </w:rPr>
            </w:pPr>
            <w:r w:rsidRPr="00F95529">
              <w:rPr>
                <w:rFonts w:ascii="Arial Narrow" w:eastAsiaTheme="majorEastAsia" w:hAnsi="Arial Narrow" w:cstheme="majorBidi"/>
                <w:bCs/>
                <w:sz w:val="20"/>
              </w:rPr>
              <w:t>0.248</w:t>
            </w:r>
          </w:p>
        </w:tc>
        <w:tc>
          <w:tcPr>
            <w:tcW w:w="1585" w:type="dxa"/>
            <w:noWrap/>
          </w:tcPr>
          <w:p w14:paraId="115392D2" w14:textId="61DA7A09" w:rsidR="001763C6" w:rsidRPr="00F95529" w:rsidRDefault="006007B9" w:rsidP="00530866">
            <w:pPr>
              <w:jc w:val="center"/>
              <w:rPr>
                <w:rFonts w:ascii="Arial Narrow" w:eastAsiaTheme="majorEastAsia" w:hAnsi="Arial Narrow" w:cstheme="majorBidi"/>
                <w:bCs/>
                <w:sz w:val="20"/>
              </w:rPr>
            </w:pPr>
            <w:r w:rsidRPr="00B62CB0">
              <w:rPr>
                <w:rFonts w:ascii="Arial Narrow" w:eastAsiaTheme="majorEastAsia" w:hAnsi="Arial Narrow" w:cstheme="majorBidi"/>
                <w:bCs/>
                <w:sz w:val="20"/>
              </w:rPr>
              <w:t>$</w:t>
            </w:r>
            <w:r w:rsidR="00C87B5E" w:rsidRPr="00C87B5E">
              <w:rPr>
                <w:rFonts w:ascii="Arial Narrow" w:eastAsiaTheme="majorEastAsia" w:hAnsi="Arial Narrow" w:cstheme="majorBidi"/>
                <w:bCs/>
                <w:sz w:val="2"/>
                <w:highlight w:val="black"/>
              </w:rPr>
              <w:t>redacted content</w:t>
            </w:r>
            <w:r w:rsidR="001C0FF0" w:rsidRPr="001C0FF0">
              <w:rPr>
                <w:rFonts w:ascii="Arial Narrow" w:eastAsiaTheme="majorEastAsia" w:hAnsi="Arial Narrow" w:cstheme="majorBidi"/>
                <w:bCs/>
                <w:sz w:val="20"/>
                <w:vertAlign w:val="superscript"/>
              </w:rPr>
              <w:t>2</w:t>
            </w:r>
          </w:p>
        </w:tc>
        <w:tc>
          <w:tcPr>
            <w:tcW w:w="1539" w:type="dxa"/>
            <w:noWrap/>
          </w:tcPr>
          <w:p w14:paraId="4E344533" w14:textId="31CBF052" w:rsidR="001763C6" w:rsidRPr="00F95529" w:rsidRDefault="00C87B5E" w:rsidP="00530866">
            <w:pPr>
              <w:jc w:val="center"/>
              <w:rPr>
                <w:rFonts w:ascii="Arial Narrow" w:eastAsiaTheme="majorEastAsia" w:hAnsi="Arial Narrow" w:cstheme="majorBidi"/>
                <w:bCs/>
                <w:sz w:val="20"/>
              </w:rPr>
            </w:pPr>
            <w:r w:rsidRPr="00C87B5E">
              <w:rPr>
                <w:rFonts w:ascii="Arial Narrow" w:eastAsiaTheme="majorEastAsia" w:hAnsi="Arial Narrow" w:cstheme="majorBidi"/>
                <w:sz w:val="2"/>
                <w:highlight w:val="black"/>
              </w:rPr>
              <w:t>redacted content</w:t>
            </w:r>
            <w:r w:rsidR="00152F0F" w:rsidRPr="00F95529">
              <w:rPr>
                <w:rFonts w:ascii="Arial Narrow" w:eastAsiaTheme="majorEastAsia" w:hAnsi="Arial Narrow" w:cstheme="majorBidi"/>
                <w:bCs/>
                <w:sz w:val="20"/>
              </w:rPr>
              <w:t>%</w:t>
            </w:r>
          </w:p>
        </w:tc>
      </w:tr>
      <w:tr w:rsidR="00E50A74" w:rsidRPr="00F95529" w14:paraId="7595E38C" w14:textId="77777777" w:rsidTr="00545918">
        <w:trPr>
          <w:trHeight w:val="253"/>
          <w:tblHeader/>
        </w:trPr>
        <w:tc>
          <w:tcPr>
            <w:tcW w:w="9017" w:type="dxa"/>
            <w:gridSpan w:val="5"/>
          </w:tcPr>
          <w:p w14:paraId="16FCA6C0" w14:textId="77777777" w:rsidR="00E50A74" w:rsidRPr="00F95529" w:rsidRDefault="00E50A74" w:rsidP="00530866">
            <w:pPr>
              <w:jc w:val="left"/>
              <w:rPr>
                <w:rFonts w:ascii="Arial Narrow" w:eastAsiaTheme="majorEastAsia" w:hAnsi="Arial Narrow" w:cstheme="majorBidi"/>
                <w:bCs/>
                <w:sz w:val="20"/>
              </w:rPr>
            </w:pPr>
            <w:r w:rsidRPr="00F95529">
              <w:rPr>
                <w:rFonts w:ascii="Arial Narrow" w:eastAsiaTheme="majorEastAsia" w:hAnsi="Arial Narrow" w:cstheme="majorBidi"/>
                <w:b/>
                <w:sz w:val="20"/>
              </w:rPr>
              <w:t>End of life cost (base case: $62,814.37)</w:t>
            </w:r>
          </w:p>
        </w:tc>
      </w:tr>
      <w:tr w:rsidR="00E50A74" w:rsidRPr="00F95529" w14:paraId="4F1B372A" w14:textId="77777777" w:rsidTr="00545918">
        <w:trPr>
          <w:trHeight w:val="291"/>
          <w:tblHeader/>
        </w:trPr>
        <w:tc>
          <w:tcPr>
            <w:tcW w:w="2916" w:type="dxa"/>
            <w:hideMark/>
          </w:tcPr>
          <w:p w14:paraId="12475CDC" w14:textId="77777777" w:rsidR="00E50A74" w:rsidRPr="00F95529" w:rsidRDefault="00E50A74" w:rsidP="00530866">
            <w:pPr>
              <w:jc w:val="left"/>
              <w:rPr>
                <w:rFonts w:ascii="Arial Narrow" w:eastAsiaTheme="majorEastAsia" w:hAnsi="Arial Narrow" w:cstheme="majorBidi"/>
                <w:bCs/>
                <w:sz w:val="20"/>
              </w:rPr>
            </w:pPr>
            <w:r w:rsidRPr="00F95529">
              <w:rPr>
                <w:rFonts w:ascii="Arial Narrow" w:eastAsiaTheme="majorEastAsia" w:hAnsi="Arial Narrow" w:cstheme="majorBidi"/>
                <w:bCs/>
                <w:sz w:val="20"/>
              </w:rPr>
              <w:t>End-of-life cost set to zero for incident deaths)</w:t>
            </w:r>
          </w:p>
        </w:tc>
        <w:tc>
          <w:tcPr>
            <w:tcW w:w="1417" w:type="dxa"/>
            <w:noWrap/>
            <w:hideMark/>
          </w:tcPr>
          <w:p w14:paraId="56C22615" w14:textId="6358AC3E" w:rsidR="00E50A74" w:rsidRPr="00F95529" w:rsidRDefault="00E50A74" w:rsidP="00530866">
            <w:pPr>
              <w:jc w:val="center"/>
              <w:rPr>
                <w:rFonts w:ascii="Arial Narrow" w:eastAsiaTheme="majorEastAsia" w:hAnsi="Arial Narrow" w:cstheme="majorBidi"/>
                <w:bCs/>
                <w:sz w:val="20"/>
              </w:rPr>
            </w:pPr>
            <w:r w:rsidRPr="00F95529">
              <w:rPr>
                <w:rFonts w:ascii="Arial Narrow" w:eastAsiaTheme="majorEastAsia" w:hAnsi="Arial Narrow" w:cstheme="majorBidi"/>
                <w:bCs/>
                <w:sz w:val="20"/>
              </w:rPr>
              <w:t>$</w:t>
            </w:r>
            <w:r w:rsidR="00C87B5E" w:rsidRPr="00C87B5E">
              <w:rPr>
                <w:rFonts w:ascii="Arial Narrow" w:eastAsiaTheme="majorEastAsia" w:hAnsi="Arial Narrow" w:cstheme="majorBidi"/>
                <w:bCs/>
                <w:sz w:val="2"/>
                <w:highlight w:val="black"/>
              </w:rPr>
              <w:t>redacted content</w:t>
            </w:r>
          </w:p>
        </w:tc>
        <w:tc>
          <w:tcPr>
            <w:tcW w:w="1560" w:type="dxa"/>
            <w:noWrap/>
            <w:hideMark/>
          </w:tcPr>
          <w:p w14:paraId="713BDC60" w14:textId="77777777" w:rsidR="00E50A74" w:rsidRPr="00F95529" w:rsidRDefault="00E50A74" w:rsidP="00530866">
            <w:pPr>
              <w:jc w:val="center"/>
              <w:rPr>
                <w:rFonts w:ascii="Arial Narrow" w:eastAsiaTheme="majorEastAsia" w:hAnsi="Arial Narrow" w:cstheme="majorBidi"/>
                <w:bCs/>
                <w:sz w:val="20"/>
              </w:rPr>
            </w:pPr>
            <w:r w:rsidRPr="00F95529">
              <w:rPr>
                <w:rFonts w:ascii="Arial Narrow" w:eastAsiaTheme="majorEastAsia" w:hAnsi="Arial Narrow" w:cstheme="majorBidi"/>
                <w:bCs/>
                <w:sz w:val="20"/>
              </w:rPr>
              <w:t>0.253</w:t>
            </w:r>
          </w:p>
        </w:tc>
        <w:tc>
          <w:tcPr>
            <w:tcW w:w="1585" w:type="dxa"/>
            <w:noWrap/>
            <w:hideMark/>
          </w:tcPr>
          <w:p w14:paraId="20824C88" w14:textId="0985C587" w:rsidR="00E50A74" w:rsidRPr="00F95529" w:rsidRDefault="00E50A74" w:rsidP="00530866">
            <w:pPr>
              <w:jc w:val="center"/>
              <w:rPr>
                <w:rFonts w:ascii="Arial Narrow" w:eastAsiaTheme="majorEastAsia" w:hAnsi="Arial Narrow" w:cstheme="majorBidi"/>
                <w:bCs/>
                <w:sz w:val="20"/>
              </w:rPr>
            </w:pPr>
            <w:r w:rsidRPr="00F95529">
              <w:rPr>
                <w:rFonts w:ascii="Arial Narrow" w:eastAsiaTheme="majorEastAsia" w:hAnsi="Arial Narrow" w:cstheme="majorBidi"/>
                <w:bCs/>
                <w:sz w:val="20"/>
              </w:rPr>
              <w:t>$</w:t>
            </w:r>
            <w:r w:rsidR="00C87B5E" w:rsidRPr="00C87B5E">
              <w:rPr>
                <w:rFonts w:ascii="Arial Narrow" w:eastAsiaTheme="majorEastAsia" w:hAnsi="Arial Narrow" w:cstheme="majorBidi"/>
                <w:bCs/>
                <w:sz w:val="2"/>
                <w:highlight w:val="black"/>
              </w:rPr>
              <w:t>redacted content</w:t>
            </w:r>
            <w:r w:rsidR="00944610" w:rsidRPr="00944610">
              <w:rPr>
                <w:rFonts w:ascii="Arial Narrow" w:eastAsiaTheme="majorEastAsia" w:hAnsi="Arial Narrow" w:cstheme="majorBidi"/>
                <w:bCs/>
                <w:sz w:val="20"/>
                <w:vertAlign w:val="superscript"/>
              </w:rPr>
              <w:t>3</w:t>
            </w:r>
          </w:p>
        </w:tc>
        <w:tc>
          <w:tcPr>
            <w:tcW w:w="1539" w:type="dxa"/>
            <w:noWrap/>
            <w:hideMark/>
          </w:tcPr>
          <w:p w14:paraId="41BEC869" w14:textId="0FA7B138" w:rsidR="00E50A74" w:rsidRPr="00F95529" w:rsidRDefault="00C87B5E" w:rsidP="00530866">
            <w:pPr>
              <w:jc w:val="center"/>
              <w:rPr>
                <w:rFonts w:ascii="Arial Narrow" w:eastAsiaTheme="majorEastAsia" w:hAnsi="Arial Narrow" w:cstheme="majorBidi"/>
                <w:bCs/>
                <w:sz w:val="20"/>
              </w:rPr>
            </w:pPr>
            <w:r w:rsidRPr="00C87B5E">
              <w:rPr>
                <w:rFonts w:ascii="Arial Narrow" w:eastAsiaTheme="majorEastAsia" w:hAnsi="Arial Narrow" w:cstheme="majorBidi"/>
                <w:sz w:val="2"/>
                <w:highlight w:val="black"/>
              </w:rPr>
              <w:t>redacted content</w:t>
            </w:r>
            <w:r w:rsidR="00E50A74" w:rsidRPr="00F95529">
              <w:rPr>
                <w:rFonts w:ascii="Arial Narrow" w:eastAsiaTheme="majorEastAsia" w:hAnsi="Arial Narrow" w:cstheme="majorBidi"/>
                <w:bCs/>
                <w:sz w:val="20"/>
              </w:rPr>
              <w:t>%</w:t>
            </w:r>
          </w:p>
        </w:tc>
      </w:tr>
      <w:tr w:rsidR="00E50A74" w:rsidRPr="00F95529" w14:paraId="06F79FB0" w14:textId="77777777" w:rsidTr="00545918">
        <w:trPr>
          <w:trHeight w:val="291"/>
          <w:tblHeader/>
        </w:trPr>
        <w:tc>
          <w:tcPr>
            <w:tcW w:w="9017" w:type="dxa"/>
            <w:gridSpan w:val="5"/>
          </w:tcPr>
          <w:p w14:paraId="622029FC" w14:textId="52E0235C" w:rsidR="00E50A74" w:rsidRPr="00F95529" w:rsidRDefault="00E50A74" w:rsidP="00530866">
            <w:pPr>
              <w:jc w:val="left"/>
              <w:rPr>
                <w:rFonts w:ascii="Arial Narrow" w:eastAsiaTheme="majorEastAsia" w:hAnsi="Arial Narrow" w:cstheme="majorBidi"/>
                <w:sz w:val="20"/>
                <w:szCs w:val="20"/>
              </w:rPr>
            </w:pPr>
            <w:r w:rsidRPr="79174808">
              <w:rPr>
                <w:rFonts w:ascii="Arial Narrow" w:eastAsiaTheme="majorEastAsia" w:hAnsi="Arial Narrow" w:cstheme="majorBidi"/>
                <w:b/>
                <w:bCs/>
                <w:sz w:val="20"/>
                <w:szCs w:val="20"/>
              </w:rPr>
              <w:t>Utility values (base case: pre-progression (AmiCP 0.875/ CP 0.893); post progression pooled (0.840</w:t>
            </w:r>
            <w:r w:rsidR="1DFA4655" w:rsidRPr="79174808">
              <w:rPr>
                <w:rFonts w:ascii="Arial Narrow" w:eastAsiaTheme="majorEastAsia" w:hAnsi="Arial Narrow" w:cstheme="majorBidi"/>
                <w:b/>
                <w:bCs/>
                <w:sz w:val="20"/>
                <w:szCs w:val="20"/>
              </w:rPr>
              <w:t>))</w:t>
            </w:r>
          </w:p>
        </w:tc>
      </w:tr>
      <w:tr w:rsidR="00E50A74" w:rsidRPr="00F95529" w14:paraId="1215700D" w14:textId="77777777" w:rsidTr="00545918">
        <w:trPr>
          <w:trHeight w:val="1190"/>
          <w:tblHeader/>
        </w:trPr>
        <w:tc>
          <w:tcPr>
            <w:tcW w:w="2916" w:type="dxa"/>
            <w:hideMark/>
          </w:tcPr>
          <w:p w14:paraId="64B5CF11" w14:textId="77777777" w:rsidR="00E50A74" w:rsidRPr="00F95529" w:rsidRDefault="00E50A74" w:rsidP="00530866">
            <w:pPr>
              <w:jc w:val="left"/>
              <w:rPr>
                <w:rFonts w:ascii="Arial Narrow" w:eastAsiaTheme="majorEastAsia" w:hAnsi="Arial Narrow" w:cstheme="majorBidi"/>
                <w:bCs/>
                <w:sz w:val="20"/>
              </w:rPr>
            </w:pPr>
            <w:r w:rsidRPr="00F95529">
              <w:rPr>
                <w:rFonts w:ascii="Arial Narrow" w:eastAsiaTheme="majorEastAsia" w:hAnsi="Arial Narrow" w:cstheme="majorBidi"/>
                <w:bCs/>
                <w:sz w:val="20"/>
              </w:rPr>
              <w:t>Pooled utilities scenario: pre-progression utility 0.79 (FLAURA trial) and post-progression utility 0.64 (Labbe et al 2017) applied to AmiCP, CP and ABCP (replacing trial-based utilities)</w:t>
            </w:r>
          </w:p>
        </w:tc>
        <w:tc>
          <w:tcPr>
            <w:tcW w:w="1417" w:type="dxa"/>
            <w:noWrap/>
            <w:hideMark/>
          </w:tcPr>
          <w:p w14:paraId="2DD5BEDB" w14:textId="39772AE5" w:rsidR="00E50A74" w:rsidRPr="00F95529" w:rsidRDefault="00E50A74" w:rsidP="00530866">
            <w:pPr>
              <w:jc w:val="center"/>
              <w:rPr>
                <w:rFonts w:ascii="Arial Narrow" w:eastAsiaTheme="majorEastAsia" w:hAnsi="Arial Narrow" w:cstheme="majorBidi"/>
                <w:bCs/>
                <w:sz w:val="20"/>
              </w:rPr>
            </w:pPr>
            <w:r w:rsidRPr="00F95529">
              <w:rPr>
                <w:rFonts w:ascii="Arial Narrow" w:eastAsiaTheme="majorEastAsia" w:hAnsi="Arial Narrow" w:cstheme="majorBidi"/>
                <w:bCs/>
                <w:sz w:val="20"/>
              </w:rPr>
              <w:t>$</w:t>
            </w:r>
            <w:r w:rsidR="00C87B5E" w:rsidRPr="00C87B5E">
              <w:rPr>
                <w:rFonts w:ascii="Arial Narrow" w:eastAsiaTheme="majorEastAsia" w:hAnsi="Arial Narrow" w:cstheme="majorBidi"/>
                <w:bCs/>
                <w:sz w:val="2"/>
                <w:highlight w:val="black"/>
              </w:rPr>
              <w:t>redacted content</w:t>
            </w:r>
          </w:p>
        </w:tc>
        <w:tc>
          <w:tcPr>
            <w:tcW w:w="1560" w:type="dxa"/>
            <w:noWrap/>
            <w:hideMark/>
          </w:tcPr>
          <w:p w14:paraId="7C079ED0" w14:textId="3656AE4A" w:rsidR="00E50A74" w:rsidRPr="00125FFF" w:rsidRDefault="004A594E" w:rsidP="00530866">
            <w:pPr>
              <w:jc w:val="center"/>
              <w:rPr>
                <w:rFonts w:ascii="Arial Narrow" w:eastAsiaTheme="majorEastAsia" w:hAnsi="Arial Narrow" w:cstheme="majorBidi"/>
                <w:bCs/>
                <w:sz w:val="20"/>
              </w:rPr>
            </w:pPr>
            <w:r w:rsidRPr="00125FFF">
              <w:rPr>
                <w:rFonts w:ascii="Arial Narrow" w:eastAsiaTheme="majorEastAsia" w:hAnsi="Arial Narrow" w:cstheme="majorBidi"/>
                <w:bCs/>
                <w:sz w:val="20"/>
              </w:rPr>
              <w:t>0.226</w:t>
            </w:r>
          </w:p>
        </w:tc>
        <w:tc>
          <w:tcPr>
            <w:tcW w:w="1585" w:type="dxa"/>
            <w:noWrap/>
            <w:hideMark/>
          </w:tcPr>
          <w:p w14:paraId="4B6487CD" w14:textId="6897EF6C" w:rsidR="00E50A74" w:rsidRPr="00125FFF" w:rsidRDefault="004A594E" w:rsidP="00530866">
            <w:pPr>
              <w:jc w:val="center"/>
              <w:rPr>
                <w:rFonts w:ascii="Arial Narrow" w:eastAsiaTheme="majorEastAsia" w:hAnsi="Arial Narrow" w:cstheme="majorBidi"/>
                <w:bCs/>
                <w:sz w:val="20"/>
              </w:rPr>
            </w:pPr>
            <w:r w:rsidRPr="00125FFF">
              <w:rPr>
                <w:rFonts w:ascii="Arial Narrow" w:eastAsiaTheme="majorEastAsia" w:hAnsi="Arial Narrow" w:cstheme="majorBidi"/>
                <w:bCs/>
                <w:sz w:val="20"/>
              </w:rPr>
              <w:t>$</w:t>
            </w:r>
            <w:r w:rsidR="00C87B5E" w:rsidRPr="00C87B5E">
              <w:rPr>
                <w:rFonts w:ascii="Arial Narrow" w:eastAsiaTheme="majorEastAsia" w:hAnsi="Arial Narrow" w:cstheme="majorBidi"/>
                <w:bCs/>
                <w:sz w:val="2"/>
                <w:highlight w:val="black"/>
              </w:rPr>
              <w:t>redacted content</w:t>
            </w:r>
            <w:r w:rsidR="00944610" w:rsidRPr="00944610">
              <w:rPr>
                <w:rFonts w:ascii="Arial Narrow" w:eastAsiaTheme="majorEastAsia" w:hAnsi="Arial Narrow" w:cstheme="majorBidi"/>
                <w:bCs/>
                <w:sz w:val="20"/>
                <w:vertAlign w:val="superscript"/>
              </w:rPr>
              <w:t>3</w:t>
            </w:r>
          </w:p>
        </w:tc>
        <w:tc>
          <w:tcPr>
            <w:tcW w:w="1539" w:type="dxa"/>
            <w:noWrap/>
            <w:hideMark/>
          </w:tcPr>
          <w:p w14:paraId="6ABA8F39" w14:textId="645B60C6" w:rsidR="00E50A74" w:rsidRPr="00615AB4" w:rsidRDefault="00C87B5E" w:rsidP="00530866">
            <w:pPr>
              <w:jc w:val="center"/>
              <w:rPr>
                <w:rFonts w:ascii="Arial Narrow" w:eastAsiaTheme="majorEastAsia" w:hAnsi="Arial Narrow" w:cstheme="majorBidi"/>
                <w:bCs/>
                <w:sz w:val="20"/>
              </w:rPr>
            </w:pPr>
            <w:r w:rsidRPr="00C87B5E">
              <w:rPr>
                <w:rFonts w:ascii="Arial Narrow" w:eastAsiaTheme="majorEastAsia" w:hAnsi="Arial Narrow" w:cstheme="majorBidi"/>
                <w:sz w:val="2"/>
                <w:highlight w:val="black"/>
              </w:rPr>
              <w:t>redacted content</w:t>
            </w:r>
            <w:r w:rsidR="00965135" w:rsidRPr="00615AB4">
              <w:rPr>
                <w:rFonts w:ascii="Arial Narrow" w:eastAsiaTheme="majorEastAsia" w:hAnsi="Arial Narrow" w:cstheme="majorBidi"/>
                <w:bCs/>
                <w:sz w:val="20"/>
              </w:rPr>
              <w:t>%</w:t>
            </w:r>
          </w:p>
        </w:tc>
      </w:tr>
      <w:tr w:rsidR="00A620EF" w:rsidRPr="00F95529" w14:paraId="6AF60559" w14:textId="77777777" w:rsidTr="00545918">
        <w:trPr>
          <w:trHeight w:val="283"/>
          <w:tblHeader/>
        </w:trPr>
        <w:tc>
          <w:tcPr>
            <w:tcW w:w="9017" w:type="dxa"/>
            <w:gridSpan w:val="5"/>
          </w:tcPr>
          <w:p w14:paraId="31462494" w14:textId="2595EB92" w:rsidR="00A620EF" w:rsidRPr="00F95529" w:rsidRDefault="001942C4" w:rsidP="00530866">
            <w:pPr>
              <w:jc w:val="left"/>
              <w:rPr>
                <w:rFonts w:ascii="Arial Narrow" w:eastAsiaTheme="majorEastAsia" w:hAnsi="Arial Narrow" w:cstheme="majorBidi"/>
                <w:b/>
                <w:sz w:val="20"/>
              </w:rPr>
            </w:pPr>
            <w:r w:rsidRPr="00F95529">
              <w:rPr>
                <w:rFonts w:ascii="Arial Narrow" w:eastAsiaTheme="majorEastAsia" w:hAnsi="Arial Narrow" w:cstheme="majorBidi"/>
                <w:b/>
                <w:sz w:val="20"/>
              </w:rPr>
              <w:t>KM-to</w:t>
            </w:r>
            <w:r w:rsidR="0094197A" w:rsidRPr="00F95529">
              <w:rPr>
                <w:rFonts w:ascii="Arial Narrow" w:eastAsiaTheme="majorEastAsia" w:hAnsi="Arial Narrow" w:cstheme="majorBidi"/>
                <w:b/>
                <w:sz w:val="20"/>
              </w:rPr>
              <w:t>-</w:t>
            </w:r>
            <w:r w:rsidRPr="00F95529">
              <w:rPr>
                <w:rFonts w:ascii="Arial Narrow" w:eastAsiaTheme="majorEastAsia" w:hAnsi="Arial Narrow" w:cstheme="majorBidi"/>
                <w:b/>
                <w:sz w:val="20"/>
              </w:rPr>
              <w:t>parametric switch point (</w:t>
            </w:r>
            <w:r w:rsidR="0094197A" w:rsidRPr="00F95529">
              <w:rPr>
                <w:rFonts w:ascii="Arial Narrow" w:eastAsiaTheme="majorEastAsia" w:hAnsi="Arial Narrow" w:cstheme="majorBidi"/>
                <w:b/>
                <w:sz w:val="20"/>
              </w:rPr>
              <w:t xml:space="preserve">base case: </w:t>
            </w:r>
            <w:r w:rsidR="00B425F9" w:rsidRPr="00F95529">
              <w:rPr>
                <w:rFonts w:ascii="Arial Narrow" w:eastAsiaTheme="majorEastAsia" w:hAnsi="Arial Narrow" w:cstheme="majorBidi"/>
                <w:b/>
                <w:sz w:val="20"/>
              </w:rPr>
              <w:t xml:space="preserve">switch </w:t>
            </w:r>
            <w:r w:rsidR="0009591C" w:rsidRPr="00F95529">
              <w:rPr>
                <w:rFonts w:ascii="Arial Narrow" w:eastAsiaTheme="majorEastAsia" w:hAnsi="Arial Narrow" w:cstheme="majorBidi"/>
                <w:b/>
                <w:sz w:val="20"/>
              </w:rPr>
              <w:t xml:space="preserve">at </w:t>
            </w:r>
            <w:r w:rsidR="00B425F9" w:rsidRPr="00F95529">
              <w:rPr>
                <w:rFonts w:ascii="Arial Narrow" w:eastAsiaTheme="majorEastAsia" w:hAnsi="Arial Narrow" w:cstheme="majorBidi"/>
                <w:b/>
                <w:sz w:val="20"/>
              </w:rPr>
              <w:t xml:space="preserve">the 20% at-risk </w:t>
            </w:r>
            <w:r w:rsidR="00F71409" w:rsidRPr="00F95529">
              <w:rPr>
                <w:rFonts w:ascii="Arial Narrow" w:eastAsiaTheme="majorEastAsia" w:hAnsi="Arial Narrow" w:cstheme="majorBidi"/>
                <w:b/>
                <w:sz w:val="20"/>
              </w:rPr>
              <w:t>cut-off</w:t>
            </w:r>
            <w:r w:rsidRPr="00F95529">
              <w:rPr>
                <w:rFonts w:ascii="Arial Narrow" w:eastAsiaTheme="majorEastAsia" w:hAnsi="Arial Narrow" w:cstheme="majorBidi"/>
                <w:b/>
                <w:sz w:val="20"/>
              </w:rPr>
              <w:t>)</w:t>
            </w:r>
          </w:p>
        </w:tc>
      </w:tr>
      <w:tr w:rsidR="00C67B56" w:rsidRPr="00F95529" w14:paraId="1BE30922" w14:textId="77777777" w:rsidTr="00545918">
        <w:trPr>
          <w:trHeight w:val="477"/>
          <w:tblHeader/>
        </w:trPr>
        <w:tc>
          <w:tcPr>
            <w:tcW w:w="2916" w:type="dxa"/>
          </w:tcPr>
          <w:p w14:paraId="66A3A998" w14:textId="2F755F35" w:rsidR="00C67B56" w:rsidRPr="00F95529" w:rsidRDefault="00CF4C32" w:rsidP="00530866">
            <w:pPr>
              <w:jc w:val="left"/>
              <w:rPr>
                <w:rFonts w:ascii="Arial Narrow" w:eastAsiaTheme="majorEastAsia" w:hAnsi="Arial Narrow" w:cstheme="majorBidi"/>
                <w:bCs/>
                <w:sz w:val="20"/>
              </w:rPr>
            </w:pPr>
            <w:r w:rsidRPr="00F95529">
              <w:rPr>
                <w:rFonts w:ascii="Arial Narrow" w:eastAsiaTheme="majorEastAsia" w:hAnsi="Arial Narrow" w:cstheme="majorBidi"/>
                <w:bCs/>
                <w:sz w:val="20"/>
              </w:rPr>
              <w:t xml:space="preserve">Switch at the </w:t>
            </w:r>
            <w:r w:rsidR="00D67541" w:rsidRPr="00F95529">
              <w:rPr>
                <w:rFonts w:ascii="Arial Narrow" w:eastAsiaTheme="majorEastAsia" w:hAnsi="Arial Narrow" w:cstheme="majorBidi"/>
                <w:bCs/>
                <w:sz w:val="20"/>
              </w:rPr>
              <w:t>1</w:t>
            </w:r>
            <w:r w:rsidRPr="00F95529">
              <w:rPr>
                <w:rFonts w:ascii="Arial Narrow" w:eastAsiaTheme="majorEastAsia" w:hAnsi="Arial Narrow" w:cstheme="majorBidi"/>
                <w:bCs/>
                <w:sz w:val="20"/>
              </w:rPr>
              <w:t xml:space="preserve">0% at-risk </w:t>
            </w:r>
            <w:r w:rsidR="00F71409" w:rsidRPr="00F95529">
              <w:rPr>
                <w:rFonts w:ascii="Arial Narrow" w:eastAsiaTheme="majorEastAsia" w:hAnsi="Arial Narrow" w:cstheme="majorBidi"/>
                <w:bCs/>
                <w:sz w:val="20"/>
              </w:rPr>
              <w:t>cut-off</w:t>
            </w:r>
          </w:p>
        </w:tc>
        <w:tc>
          <w:tcPr>
            <w:tcW w:w="1417" w:type="dxa"/>
            <w:noWrap/>
          </w:tcPr>
          <w:p w14:paraId="2FAE09F5" w14:textId="2CB3B453" w:rsidR="00C67B56" w:rsidRPr="00F95529" w:rsidRDefault="006B0B34" w:rsidP="00530866">
            <w:pPr>
              <w:jc w:val="center"/>
              <w:rPr>
                <w:rFonts w:ascii="Arial Narrow" w:eastAsiaTheme="majorEastAsia" w:hAnsi="Arial Narrow" w:cstheme="majorBidi"/>
                <w:bCs/>
                <w:sz w:val="20"/>
              </w:rPr>
            </w:pPr>
            <w:r w:rsidRPr="00F95529">
              <w:rPr>
                <w:rFonts w:ascii="Arial Narrow" w:eastAsiaTheme="majorEastAsia" w:hAnsi="Arial Narrow" w:cstheme="majorBidi"/>
                <w:bCs/>
                <w:sz w:val="20"/>
              </w:rPr>
              <w:t>$</w:t>
            </w:r>
            <w:r w:rsidR="00C87B5E" w:rsidRPr="00C87B5E">
              <w:rPr>
                <w:rFonts w:ascii="Arial Narrow" w:eastAsiaTheme="majorEastAsia" w:hAnsi="Arial Narrow" w:cstheme="majorBidi"/>
                <w:bCs/>
                <w:sz w:val="2"/>
                <w:highlight w:val="black"/>
              </w:rPr>
              <w:t>redacted content</w:t>
            </w:r>
          </w:p>
        </w:tc>
        <w:tc>
          <w:tcPr>
            <w:tcW w:w="1560" w:type="dxa"/>
            <w:noWrap/>
          </w:tcPr>
          <w:p w14:paraId="42C0B865" w14:textId="73AA98FE" w:rsidR="00C67B56" w:rsidRPr="00615AB4" w:rsidRDefault="006B0B34" w:rsidP="00530866">
            <w:pPr>
              <w:jc w:val="center"/>
              <w:rPr>
                <w:rFonts w:ascii="Arial Narrow" w:eastAsiaTheme="majorEastAsia" w:hAnsi="Arial Narrow" w:cstheme="majorBidi"/>
                <w:bCs/>
                <w:sz w:val="20"/>
              </w:rPr>
            </w:pPr>
            <w:r w:rsidRPr="00615AB4">
              <w:rPr>
                <w:rFonts w:ascii="Arial Narrow" w:eastAsiaTheme="majorEastAsia" w:hAnsi="Arial Narrow" w:cstheme="majorBidi"/>
                <w:bCs/>
                <w:sz w:val="20"/>
              </w:rPr>
              <w:t>0.259</w:t>
            </w:r>
          </w:p>
        </w:tc>
        <w:tc>
          <w:tcPr>
            <w:tcW w:w="1585" w:type="dxa"/>
            <w:noWrap/>
          </w:tcPr>
          <w:p w14:paraId="766EE3F6" w14:textId="42045FAD" w:rsidR="00C67B56" w:rsidRPr="00615AB4" w:rsidRDefault="0069298E" w:rsidP="00530866">
            <w:pPr>
              <w:jc w:val="center"/>
              <w:rPr>
                <w:rFonts w:ascii="Arial Narrow" w:eastAsiaTheme="majorEastAsia" w:hAnsi="Arial Narrow" w:cstheme="majorBidi"/>
                <w:bCs/>
                <w:sz w:val="20"/>
              </w:rPr>
            </w:pPr>
            <w:r w:rsidRPr="00615AB4">
              <w:rPr>
                <w:rFonts w:ascii="Arial Narrow" w:eastAsiaTheme="majorEastAsia" w:hAnsi="Arial Narrow" w:cstheme="majorBidi"/>
                <w:bCs/>
                <w:sz w:val="20"/>
              </w:rPr>
              <w:t>$</w:t>
            </w:r>
            <w:r w:rsidR="00C87B5E" w:rsidRPr="00C87B5E">
              <w:rPr>
                <w:rFonts w:ascii="Arial Narrow" w:eastAsiaTheme="majorEastAsia" w:hAnsi="Arial Narrow" w:cstheme="majorBidi"/>
                <w:bCs/>
                <w:sz w:val="2"/>
                <w:highlight w:val="black"/>
              </w:rPr>
              <w:t>redacted content</w:t>
            </w:r>
            <w:r w:rsidR="00944610" w:rsidRPr="00944610">
              <w:rPr>
                <w:rFonts w:ascii="Arial Narrow" w:eastAsiaTheme="majorEastAsia" w:hAnsi="Arial Narrow" w:cstheme="majorBidi"/>
                <w:bCs/>
                <w:sz w:val="20"/>
                <w:vertAlign w:val="superscript"/>
              </w:rPr>
              <w:t>3</w:t>
            </w:r>
          </w:p>
        </w:tc>
        <w:tc>
          <w:tcPr>
            <w:tcW w:w="1539" w:type="dxa"/>
            <w:noWrap/>
          </w:tcPr>
          <w:p w14:paraId="172C5C71" w14:textId="274D17FA" w:rsidR="00C67B56" w:rsidRPr="00615AB4" w:rsidRDefault="00C87B5E" w:rsidP="00530866">
            <w:pPr>
              <w:jc w:val="center"/>
              <w:rPr>
                <w:rFonts w:ascii="Arial Narrow" w:eastAsiaTheme="majorEastAsia" w:hAnsi="Arial Narrow" w:cstheme="majorBidi"/>
                <w:bCs/>
                <w:sz w:val="20"/>
              </w:rPr>
            </w:pPr>
            <w:r w:rsidRPr="00C87B5E">
              <w:rPr>
                <w:rFonts w:ascii="Arial Narrow" w:eastAsiaTheme="majorEastAsia" w:hAnsi="Arial Narrow" w:cstheme="majorBidi"/>
                <w:sz w:val="2"/>
                <w:highlight w:val="black"/>
              </w:rPr>
              <w:t>redacted content</w:t>
            </w:r>
            <w:r w:rsidR="00BD04FB" w:rsidRPr="00615AB4">
              <w:rPr>
                <w:rFonts w:ascii="Arial Narrow" w:eastAsiaTheme="majorEastAsia" w:hAnsi="Arial Narrow" w:cstheme="majorBidi"/>
                <w:bCs/>
                <w:sz w:val="20"/>
              </w:rPr>
              <w:t>%</w:t>
            </w:r>
          </w:p>
        </w:tc>
      </w:tr>
      <w:tr w:rsidR="00E50A74" w:rsidRPr="00F95529" w14:paraId="00B6F355" w14:textId="77777777" w:rsidTr="00545918">
        <w:trPr>
          <w:trHeight w:val="181"/>
          <w:tblHeader/>
        </w:trPr>
        <w:tc>
          <w:tcPr>
            <w:tcW w:w="9017" w:type="dxa"/>
            <w:gridSpan w:val="5"/>
            <w:hideMark/>
          </w:tcPr>
          <w:p w14:paraId="338E9A01" w14:textId="444EFBA3" w:rsidR="00E50A74" w:rsidRPr="00615AB4" w:rsidRDefault="00E50A74" w:rsidP="00530866">
            <w:pPr>
              <w:jc w:val="left"/>
              <w:rPr>
                <w:rFonts w:ascii="Arial Narrow" w:eastAsiaTheme="majorEastAsia" w:hAnsi="Arial Narrow" w:cstheme="majorBidi"/>
                <w:b/>
                <w:bCs/>
                <w:sz w:val="20"/>
              </w:rPr>
            </w:pPr>
            <w:r w:rsidRPr="00615AB4">
              <w:rPr>
                <w:rFonts w:ascii="Arial Narrow" w:eastAsiaTheme="majorEastAsia" w:hAnsi="Arial Narrow" w:cstheme="majorBidi"/>
                <w:b/>
                <w:bCs/>
                <w:sz w:val="20"/>
                <w:u w:val="single"/>
              </w:rPr>
              <w:t>Multivariate analyses</w:t>
            </w:r>
          </w:p>
        </w:tc>
      </w:tr>
      <w:tr w:rsidR="00C84157" w:rsidRPr="00F95529" w14:paraId="3B991536" w14:textId="77777777" w:rsidTr="00545918">
        <w:trPr>
          <w:trHeight w:val="385"/>
          <w:tblHeader/>
        </w:trPr>
        <w:tc>
          <w:tcPr>
            <w:tcW w:w="2916" w:type="dxa"/>
          </w:tcPr>
          <w:p w14:paraId="38D26F5D" w14:textId="355937B9" w:rsidR="00C84157" w:rsidRPr="00F95529" w:rsidRDefault="00C84157" w:rsidP="00530866">
            <w:pPr>
              <w:jc w:val="left"/>
              <w:rPr>
                <w:rFonts w:ascii="Arial Narrow" w:eastAsiaTheme="majorEastAsia" w:hAnsi="Arial Narrow" w:cstheme="majorBidi"/>
                <w:bCs/>
                <w:sz w:val="20"/>
              </w:rPr>
            </w:pPr>
            <w:r w:rsidRPr="00F95529">
              <w:rPr>
                <w:rFonts w:ascii="Arial Narrow" w:eastAsiaTheme="majorEastAsia" w:hAnsi="Arial Narrow" w:cstheme="majorBidi"/>
                <w:bCs/>
                <w:sz w:val="20"/>
              </w:rPr>
              <w:t>#1</w:t>
            </w:r>
            <w:r w:rsidR="00D51C9D" w:rsidRPr="00F95529">
              <w:rPr>
                <w:rFonts w:ascii="Arial Narrow" w:eastAsiaTheme="majorEastAsia" w:hAnsi="Arial Narrow" w:cstheme="majorBidi"/>
                <w:bCs/>
                <w:sz w:val="20"/>
              </w:rPr>
              <w:t>:</w:t>
            </w:r>
            <w:r w:rsidRPr="00F95529">
              <w:rPr>
                <w:rFonts w:ascii="Arial Narrow" w:eastAsiaTheme="majorEastAsia" w:hAnsi="Arial Narrow" w:cstheme="majorBidi"/>
                <w:bCs/>
                <w:sz w:val="20"/>
              </w:rPr>
              <w:t xml:space="preserve"> comparator split</w:t>
            </w:r>
            <w:r w:rsidR="00CB424D" w:rsidRPr="00F95529">
              <w:rPr>
                <w:rFonts w:ascii="Arial Narrow" w:eastAsiaTheme="majorEastAsia" w:hAnsi="Arial Narrow" w:cstheme="majorBidi"/>
                <w:bCs/>
                <w:sz w:val="20"/>
              </w:rPr>
              <w:t xml:space="preserve"> (30% ABCP / 70% CP)</w:t>
            </w:r>
            <w:r w:rsidR="00337A07" w:rsidRPr="00F95529">
              <w:rPr>
                <w:rFonts w:ascii="Arial Narrow" w:eastAsiaTheme="majorEastAsia" w:hAnsi="Arial Narrow" w:cstheme="majorBidi"/>
                <w:bCs/>
                <w:sz w:val="20"/>
              </w:rPr>
              <w:t xml:space="preserve"> + AmiCP OS extrapolated using Weibull</w:t>
            </w:r>
          </w:p>
        </w:tc>
        <w:tc>
          <w:tcPr>
            <w:tcW w:w="1417" w:type="dxa"/>
            <w:noWrap/>
          </w:tcPr>
          <w:p w14:paraId="7C070ED6" w14:textId="611A57B9" w:rsidR="00C84157" w:rsidRPr="00F95529" w:rsidRDefault="007C25CA" w:rsidP="00530866">
            <w:pPr>
              <w:jc w:val="center"/>
              <w:rPr>
                <w:rFonts w:ascii="Arial Narrow" w:eastAsiaTheme="majorEastAsia" w:hAnsi="Arial Narrow" w:cstheme="majorBidi"/>
                <w:bCs/>
                <w:sz w:val="20"/>
              </w:rPr>
            </w:pPr>
            <w:r w:rsidRPr="00F95529">
              <w:rPr>
                <w:rFonts w:ascii="Arial Narrow" w:eastAsiaTheme="majorEastAsia" w:hAnsi="Arial Narrow" w:cstheme="majorBidi"/>
                <w:bCs/>
                <w:sz w:val="20"/>
              </w:rPr>
              <w:t>$</w:t>
            </w:r>
            <w:r w:rsidR="00C87B5E" w:rsidRPr="00C87B5E">
              <w:rPr>
                <w:rFonts w:ascii="Arial Narrow" w:eastAsiaTheme="majorEastAsia" w:hAnsi="Arial Narrow" w:cstheme="majorBidi"/>
                <w:bCs/>
                <w:sz w:val="2"/>
                <w:highlight w:val="black"/>
              </w:rPr>
              <w:t>redacted content</w:t>
            </w:r>
          </w:p>
        </w:tc>
        <w:tc>
          <w:tcPr>
            <w:tcW w:w="1560" w:type="dxa"/>
            <w:noWrap/>
          </w:tcPr>
          <w:p w14:paraId="35D10F98" w14:textId="66AE1302" w:rsidR="00C84157" w:rsidRPr="00615AB4" w:rsidRDefault="007C25CA" w:rsidP="00530866">
            <w:pPr>
              <w:jc w:val="center"/>
              <w:rPr>
                <w:rFonts w:ascii="Arial Narrow" w:eastAsiaTheme="majorEastAsia" w:hAnsi="Arial Narrow" w:cstheme="majorBidi"/>
                <w:bCs/>
                <w:sz w:val="20"/>
              </w:rPr>
            </w:pPr>
            <w:r w:rsidRPr="00615AB4">
              <w:rPr>
                <w:rFonts w:ascii="Arial Narrow" w:eastAsiaTheme="majorEastAsia" w:hAnsi="Arial Narrow" w:cstheme="majorBidi"/>
                <w:bCs/>
                <w:sz w:val="20"/>
              </w:rPr>
              <w:t>0.154</w:t>
            </w:r>
          </w:p>
        </w:tc>
        <w:tc>
          <w:tcPr>
            <w:tcW w:w="1585" w:type="dxa"/>
            <w:noWrap/>
          </w:tcPr>
          <w:p w14:paraId="30500AC5" w14:textId="1958FF15" w:rsidR="00C84157" w:rsidRPr="00615AB4" w:rsidRDefault="00006F83" w:rsidP="00530866">
            <w:pPr>
              <w:jc w:val="center"/>
              <w:rPr>
                <w:rFonts w:ascii="Arial Narrow" w:eastAsiaTheme="majorEastAsia" w:hAnsi="Arial Narrow" w:cstheme="majorBidi"/>
                <w:bCs/>
                <w:sz w:val="20"/>
              </w:rPr>
            </w:pPr>
            <w:r w:rsidRPr="00615AB4">
              <w:rPr>
                <w:rFonts w:ascii="Arial Narrow" w:eastAsiaTheme="majorEastAsia" w:hAnsi="Arial Narrow" w:cstheme="majorBidi"/>
                <w:bCs/>
                <w:sz w:val="20"/>
              </w:rPr>
              <w:t>$</w:t>
            </w:r>
            <w:r w:rsidR="00C87B5E" w:rsidRPr="00C87B5E">
              <w:rPr>
                <w:rFonts w:ascii="Arial Narrow" w:eastAsiaTheme="majorEastAsia" w:hAnsi="Arial Narrow" w:cstheme="majorBidi"/>
                <w:bCs/>
                <w:sz w:val="2"/>
                <w:highlight w:val="black"/>
              </w:rPr>
              <w:t>redacted content</w:t>
            </w:r>
            <w:r w:rsidR="00276DC1" w:rsidRPr="00276DC1">
              <w:rPr>
                <w:rFonts w:ascii="Arial Narrow" w:eastAsiaTheme="majorEastAsia" w:hAnsi="Arial Narrow" w:cstheme="majorBidi"/>
                <w:bCs/>
                <w:sz w:val="20"/>
                <w:vertAlign w:val="superscript"/>
              </w:rPr>
              <w:t>4</w:t>
            </w:r>
          </w:p>
        </w:tc>
        <w:tc>
          <w:tcPr>
            <w:tcW w:w="1539" w:type="dxa"/>
            <w:noWrap/>
          </w:tcPr>
          <w:p w14:paraId="09B9E529" w14:textId="298A42AF" w:rsidR="00C84157" w:rsidRPr="00615AB4" w:rsidRDefault="00C87B5E" w:rsidP="00530866">
            <w:pPr>
              <w:jc w:val="center"/>
              <w:rPr>
                <w:rFonts w:ascii="Arial Narrow" w:eastAsiaTheme="majorEastAsia" w:hAnsi="Arial Narrow" w:cstheme="majorBidi"/>
                <w:bCs/>
                <w:sz w:val="20"/>
              </w:rPr>
            </w:pPr>
            <w:r w:rsidRPr="00C87B5E">
              <w:rPr>
                <w:rFonts w:ascii="Arial Narrow" w:eastAsiaTheme="majorEastAsia" w:hAnsi="Arial Narrow" w:cstheme="majorBidi"/>
                <w:sz w:val="2"/>
                <w:highlight w:val="black"/>
              </w:rPr>
              <w:t>redacted content</w:t>
            </w:r>
            <w:r w:rsidR="007C25CA" w:rsidRPr="00615AB4">
              <w:rPr>
                <w:rFonts w:ascii="Arial Narrow" w:eastAsiaTheme="majorEastAsia" w:hAnsi="Arial Narrow" w:cstheme="majorBidi"/>
                <w:bCs/>
                <w:sz w:val="20"/>
              </w:rPr>
              <w:t>%</w:t>
            </w:r>
          </w:p>
        </w:tc>
      </w:tr>
      <w:tr w:rsidR="00C84157" w:rsidRPr="00F95529" w14:paraId="0FA13EEC" w14:textId="77777777" w:rsidTr="00545918">
        <w:trPr>
          <w:trHeight w:val="409"/>
          <w:tblHeader/>
        </w:trPr>
        <w:tc>
          <w:tcPr>
            <w:tcW w:w="2916" w:type="dxa"/>
          </w:tcPr>
          <w:p w14:paraId="363C5C91" w14:textId="43912F23" w:rsidR="00C84157" w:rsidRPr="00F95529" w:rsidRDefault="00C84157" w:rsidP="00530866">
            <w:pPr>
              <w:jc w:val="left"/>
              <w:rPr>
                <w:rFonts w:ascii="Arial Narrow" w:eastAsiaTheme="majorEastAsia" w:hAnsi="Arial Narrow" w:cstheme="majorBidi"/>
                <w:bCs/>
                <w:sz w:val="20"/>
              </w:rPr>
            </w:pPr>
            <w:r w:rsidRPr="00F95529">
              <w:rPr>
                <w:rFonts w:ascii="Arial Narrow" w:eastAsiaTheme="majorEastAsia" w:hAnsi="Arial Narrow" w:cstheme="majorBidi"/>
                <w:bCs/>
                <w:sz w:val="20"/>
              </w:rPr>
              <w:t>#</w:t>
            </w:r>
            <w:r w:rsidR="00AA263A">
              <w:rPr>
                <w:rFonts w:ascii="Arial Narrow" w:eastAsiaTheme="majorEastAsia" w:hAnsi="Arial Narrow" w:cstheme="majorBidi"/>
                <w:bCs/>
                <w:sz w:val="20"/>
              </w:rPr>
              <w:t>2</w:t>
            </w:r>
            <w:r w:rsidR="00D51C9D" w:rsidRPr="00F95529">
              <w:rPr>
                <w:rFonts w:ascii="Arial Narrow" w:eastAsiaTheme="majorEastAsia" w:hAnsi="Arial Narrow" w:cstheme="majorBidi"/>
                <w:bCs/>
                <w:sz w:val="20"/>
              </w:rPr>
              <w:t>:</w:t>
            </w:r>
            <w:r w:rsidRPr="00F95529">
              <w:rPr>
                <w:rFonts w:ascii="Arial Narrow" w:eastAsiaTheme="majorEastAsia" w:hAnsi="Arial Narrow" w:cstheme="majorBidi"/>
                <w:bCs/>
                <w:sz w:val="20"/>
              </w:rPr>
              <w:t xml:space="preserve"> #</w:t>
            </w:r>
            <w:r w:rsidR="00AA263A">
              <w:rPr>
                <w:rFonts w:ascii="Arial Narrow" w:eastAsiaTheme="majorEastAsia" w:hAnsi="Arial Narrow" w:cstheme="majorBidi"/>
                <w:bCs/>
                <w:sz w:val="20"/>
              </w:rPr>
              <w:t>1</w:t>
            </w:r>
            <w:r w:rsidRPr="00F95529">
              <w:rPr>
                <w:rFonts w:ascii="Arial Narrow" w:eastAsiaTheme="majorEastAsia" w:hAnsi="Arial Narrow" w:cstheme="majorBidi"/>
                <w:bCs/>
                <w:sz w:val="20"/>
              </w:rPr>
              <w:t xml:space="preserve"> + </w:t>
            </w:r>
            <w:r w:rsidR="003B10E2" w:rsidRPr="00F95529">
              <w:rPr>
                <w:rFonts w:ascii="Arial Narrow" w:eastAsiaTheme="majorEastAsia" w:hAnsi="Arial Narrow" w:cstheme="majorBidi"/>
                <w:bCs/>
                <w:sz w:val="20"/>
              </w:rPr>
              <w:t>5-year time horizon</w:t>
            </w:r>
          </w:p>
        </w:tc>
        <w:tc>
          <w:tcPr>
            <w:tcW w:w="1417" w:type="dxa"/>
            <w:noWrap/>
          </w:tcPr>
          <w:p w14:paraId="44B7E9A9" w14:textId="3209BCF5" w:rsidR="00C84157" w:rsidRPr="00F95529" w:rsidRDefault="0030234F" w:rsidP="00530866">
            <w:pPr>
              <w:jc w:val="center"/>
              <w:rPr>
                <w:rFonts w:ascii="Arial Narrow" w:eastAsiaTheme="majorEastAsia" w:hAnsi="Arial Narrow" w:cstheme="majorBidi"/>
                <w:bCs/>
                <w:sz w:val="20"/>
              </w:rPr>
            </w:pPr>
            <w:r w:rsidRPr="00F95529">
              <w:rPr>
                <w:rFonts w:ascii="Arial Narrow" w:eastAsiaTheme="majorEastAsia" w:hAnsi="Arial Narrow" w:cstheme="majorBidi"/>
                <w:bCs/>
                <w:sz w:val="20"/>
              </w:rPr>
              <w:t>$</w:t>
            </w:r>
            <w:r w:rsidR="00C87B5E" w:rsidRPr="00C87B5E">
              <w:rPr>
                <w:rFonts w:ascii="Arial Narrow" w:eastAsiaTheme="majorEastAsia" w:hAnsi="Arial Narrow" w:cstheme="majorBidi"/>
                <w:bCs/>
                <w:sz w:val="2"/>
                <w:highlight w:val="black"/>
              </w:rPr>
              <w:t>redacted content</w:t>
            </w:r>
          </w:p>
        </w:tc>
        <w:tc>
          <w:tcPr>
            <w:tcW w:w="1560" w:type="dxa"/>
            <w:noWrap/>
          </w:tcPr>
          <w:p w14:paraId="5E8BE111" w14:textId="543AC9B5" w:rsidR="00C84157" w:rsidRPr="00615AB4" w:rsidRDefault="0013612C" w:rsidP="00530866">
            <w:pPr>
              <w:jc w:val="center"/>
              <w:rPr>
                <w:rFonts w:ascii="Arial Narrow" w:eastAsiaTheme="majorEastAsia" w:hAnsi="Arial Narrow" w:cstheme="majorBidi"/>
                <w:bCs/>
                <w:sz w:val="20"/>
              </w:rPr>
            </w:pPr>
            <w:r w:rsidRPr="00615AB4">
              <w:rPr>
                <w:rFonts w:ascii="Arial Narrow" w:eastAsiaTheme="majorEastAsia" w:hAnsi="Arial Narrow" w:cstheme="majorBidi"/>
                <w:bCs/>
                <w:sz w:val="20"/>
              </w:rPr>
              <w:t>0.15</w:t>
            </w:r>
            <w:r w:rsidR="002D77B8" w:rsidRPr="00615AB4">
              <w:rPr>
                <w:rFonts w:ascii="Arial Narrow" w:eastAsiaTheme="majorEastAsia" w:hAnsi="Arial Narrow" w:cstheme="majorBidi"/>
                <w:bCs/>
                <w:sz w:val="20"/>
              </w:rPr>
              <w:t>7</w:t>
            </w:r>
          </w:p>
        </w:tc>
        <w:tc>
          <w:tcPr>
            <w:tcW w:w="1585" w:type="dxa"/>
            <w:noWrap/>
          </w:tcPr>
          <w:p w14:paraId="37463FDD" w14:textId="158915F0" w:rsidR="00C84157" w:rsidRPr="00615AB4" w:rsidRDefault="0013612C" w:rsidP="00530866">
            <w:pPr>
              <w:jc w:val="center"/>
              <w:rPr>
                <w:rFonts w:ascii="Arial Narrow" w:eastAsiaTheme="majorEastAsia" w:hAnsi="Arial Narrow" w:cstheme="majorBidi"/>
                <w:bCs/>
                <w:sz w:val="20"/>
              </w:rPr>
            </w:pPr>
            <w:r w:rsidRPr="00615AB4">
              <w:rPr>
                <w:rFonts w:ascii="Arial Narrow" w:eastAsiaTheme="majorEastAsia" w:hAnsi="Arial Narrow" w:cstheme="majorBidi"/>
                <w:bCs/>
                <w:sz w:val="20"/>
              </w:rPr>
              <w:t>$</w:t>
            </w:r>
            <w:r w:rsidR="00C87B5E" w:rsidRPr="00C87B5E">
              <w:rPr>
                <w:rFonts w:ascii="Arial Narrow" w:eastAsiaTheme="majorEastAsia" w:hAnsi="Arial Narrow" w:cstheme="majorBidi"/>
                <w:bCs/>
                <w:sz w:val="2"/>
                <w:highlight w:val="black"/>
              </w:rPr>
              <w:t>redacted content</w:t>
            </w:r>
            <w:r w:rsidR="00276DC1" w:rsidRPr="00276DC1">
              <w:rPr>
                <w:rFonts w:ascii="Arial Narrow" w:eastAsiaTheme="majorEastAsia" w:hAnsi="Arial Narrow" w:cstheme="majorBidi"/>
                <w:bCs/>
                <w:sz w:val="20"/>
                <w:vertAlign w:val="superscript"/>
              </w:rPr>
              <w:t>4</w:t>
            </w:r>
          </w:p>
        </w:tc>
        <w:tc>
          <w:tcPr>
            <w:tcW w:w="1539" w:type="dxa"/>
            <w:noWrap/>
          </w:tcPr>
          <w:p w14:paraId="1D0CD056" w14:textId="7C3B558C" w:rsidR="00C84157" w:rsidRPr="00615AB4" w:rsidRDefault="00C87B5E" w:rsidP="00530866">
            <w:pPr>
              <w:jc w:val="center"/>
              <w:rPr>
                <w:rFonts w:ascii="Arial Narrow" w:eastAsiaTheme="majorEastAsia" w:hAnsi="Arial Narrow" w:cstheme="majorBidi"/>
                <w:bCs/>
                <w:sz w:val="20"/>
              </w:rPr>
            </w:pPr>
            <w:r w:rsidRPr="00C87B5E">
              <w:rPr>
                <w:rFonts w:ascii="Arial Narrow" w:eastAsiaTheme="majorEastAsia" w:hAnsi="Arial Narrow" w:cstheme="majorBidi"/>
                <w:sz w:val="2"/>
                <w:highlight w:val="black"/>
              </w:rPr>
              <w:t>redacted content</w:t>
            </w:r>
            <w:r w:rsidR="0013612C" w:rsidRPr="00615AB4">
              <w:rPr>
                <w:rFonts w:ascii="Arial Narrow" w:eastAsiaTheme="majorEastAsia" w:hAnsi="Arial Narrow" w:cstheme="majorBidi"/>
                <w:bCs/>
                <w:sz w:val="20"/>
              </w:rPr>
              <w:t>%</w:t>
            </w:r>
          </w:p>
        </w:tc>
      </w:tr>
      <w:tr w:rsidR="00C84157" w:rsidRPr="00F95529" w14:paraId="58333396" w14:textId="77777777" w:rsidTr="00545918">
        <w:trPr>
          <w:trHeight w:val="412"/>
          <w:tblHeader/>
        </w:trPr>
        <w:tc>
          <w:tcPr>
            <w:tcW w:w="2916" w:type="dxa"/>
          </w:tcPr>
          <w:p w14:paraId="5AC00C0F" w14:textId="4D61F383" w:rsidR="00C84157" w:rsidRPr="00F95529" w:rsidRDefault="00C84157" w:rsidP="00530866">
            <w:pPr>
              <w:jc w:val="left"/>
              <w:rPr>
                <w:rFonts w:ascii="Arial Narrow" w:eastAsiaTheme="majorEastAsia" w:hAnsi="Arial Narrow" w:cstheme="majorBidi"/>
                <w:bCs/>
                <w:sz w:val="20"/>
              </w:rPr>
            </w:pPr>
            <w:r w:rsidRPr="00F95529">
              <w:rPr>
                <w:rFonts w:ascii="Arial Narrow" w:eastAsiaTheme="majorEastAsia" w:hAnsi="Arial Narrow" w:cstheme="majorBidi"/>
                <w:bCs/>
                <w:sz w:val="20"/>
              </w:rPr>
              <w:t>#</w:t>
            </w:r>
            <w:r w:rsidR="00AA263A">
              <w:rPr>
                <w:rFonts w:ascii="Arial Narrow" w:eastAsiaTheme="majorEastAsia" w:hAnsi="Arial Narrow" w:cstheme="majorBidi"/>
                <w:bCs/>
                <w:sz w:val="20"/>
              </w:rPr>
              <w:t>3</w:t>
            </w:r>
            <w:r w:rsidR="00D51C9D" w:rsidRPr="00F95529">
              <w:rPr>
                <w:rFonts w:ascii="Arial Narrow" w:eastAsiaTheme="majorEastAsia" w:hAnsi="Arial Narrow" w:cstheme="majorBidi"/>
                <w:bCs/>
                <w:sz w:val="20"/>
              </w:rPr>
              <w:t>:</w:t>
            </w:r>
            <w:r w:rsidR="00807331">
              <w:rPr>
                <w:rFonts w:ascii="Arial Narrow" w:eastAsiaTheme="majorEastAsia" w:hAnsi="Arial Narrow" w:cstheme="majorBidi"/>
                <w:bCs/>
                <w:sz w:val="20"/>
              </w:rPr>
              <w:t xml:space="preserve"> </w:t>
            </w:r>
            <w:r w:rsidRPr="00F95529">
              <w:rPr>
                <w:rFonts w:ascii="Arial Narrow" w:eastAsiaTheme="majorEastAsia" w:hAnsi="Arial Narrow" w:cstheme="majorBidi"/>
                <w:bCs/>
                <w:sz w:val="20"/>
              </w:rPr>
              <w:t>#</w:t>
            </w:r>
            <w:r w:rsidR="00AA263A">
              <w:rPr>
                <w:rFonts w:ascii="Arial Narrow" w:eastAsiaTheme="majorEastAsia" w:hAnsi="Arial Narrow" w:cstheme="majorBidi"/>
                <w:bCs/>
                <w:sz w:val="20"/>
              </w:rPr>
              <w:t>2</w:t>
            </w:r>
            <w:r w:rsidRPr="00F95529">
              <w:rPr>
                <w:rFonts w:ascii="Arial Narrow" w:eastAsiaTheme="majorEastAsia" w:hAnsi="Arial Narrow" w:cstheme="majorBidi"/>
                <w:bCs/>
                <w:sz w:val="20"/>
              </w:rPr>
              <w:t xml:space="preserve"> + </w:t>
            </w:r>
            <w:r w:rsidR="00A67ED6" w:rsidRPr="00F95529">
              <w:rPr>
                <w:rFonts w:ascii="Arial Narrow" w:eastAsiaTheme="majorEastAsia" w:hAnsi="Arial Narrow" w:cstheme="majorBidi"/>
                <w:bCs/>
                <w:sz w:val="20"/>
              </w:rPr>
              <w:t xml:space="preserve">End-of-life cost set to zero </w:t>
            </w:r>
          </w:p>
        </w:tc>
        <w:tc>
          <w:tcPr>
            <w:tcW w:w="1417" w:type="dxa"/>
            <w:noWrap/>
          </w:tcPr>
          <w:p w14:paraId="149B7597" w14:textId="464D948F" w:rsidR="00C84157" w:rsidRPr="00F95529" w:rsidRDefault="00D03D92" w:rsidP="00530866">
            <w:pPr>
              <w:jc w:val="center"/>
              <w:rPr>
                <w:rFonts w:ascii="Arial Narrow" w:eastAsiaTheme="majorEastAsia" w:hAnsi="Arial Narrow" w:cstheme="majorBidi"/>
                <w:bCs/>
                <w:sz w:val="20"/>
              </w:rPr>
            </w:pPr>
            <w:r w:rsidRPr="00F95529">
              <w:rPr>
                <w:rFonts w:ascii="Arial Narrow" w:eastAsiaTheme="majorEastAsia" w:hAnsi="Arial Narrow" w:cstheme="majorBidi"/>
                <w:bCs/>
                <w:sz w:val="20"/>
              </w:rPr>
              <w:t>$</w:t>
            </w:r>
            <w:r w:rsidR="00C87B5E" w:rsidRPr="00C87B5E">
              <w:rPr>
                <w:rFonts w:ascii="Arial Narrow" w:eastAsiaTheme="majorEastAsia" w:hAnsi="Arial Narrow" w:cstheme="majorBidi"/>
                <w:bCs/>
                <w:sz w:val="2"/>
                <w:highlight w:val="black"/>
              </w:rPr>
              <w:t>redacted content</w:t>
            </w:r>
          </w:p>
        </w:tc>
        <w:tc>
          <w:tcPr>
            <w:tcW w:w="1560" w:type="dxa"/>
            <w:noWrap/>
          </w:tcPr>
          <w:p w14:paraId="2AFAE90A" w14:textId="56773D43" w:rsidR="00C84157" w:rsidRPr="00615AB4" w:rsidRDefault="0013612C" w:rsidP="00530866">
            <w:pPr>
              <w:jc w:val="center"/>
              <w:rPr>
                <w:rFonts w:ascii="Arial Narrow" w:eastAsiaTheme="majorEastAsia" w:hAnsi="Arial Narrow" w:cstheme="majorBidi"/>
                <w:bCs/>
                <w:sz w:val="20"/>
              </w:rPr>
            </w:pPr>
            <w:r w:rsidRPr="00615AB4">
              <w:rPr>
                <w:rFonts w:ascii="Arial Narrow" w:eastAsiaTheme="majorEastAsia" w:hAnsi="Arial Narrow" w:cstheme="majorBidi"/>
                <w:bCs/>
                <w:sz w:val="20"/>
              </w:rPr>
              <w:t>0.15</w:t>
            </w:r>
            <w:r w:rsidR="00DA72CE" w:rsidRPr="00615AB4">
              <w:rPr>
                <w:rFonts w:ascii="Arial Narrow" w:eastAsiaTheme="majorEastAsia" w:hAnsi="Arial Narrow" w:cstheme="majorBidi"/>
                <w:bCs/>
                <w:sz w:val="20"/>
              </w:rPr>
              <w:t>7</w:t>
            </w:r>
          </w:p>
        </w:tc>
        <w:tc>
          <w:tcPr>
            <w:tcW w:w="1585" w:type="dxa"/>
            <w:noWrap/>
          </w:tcPr>
          <w:p w14:paraId="76CAED89" w14:textId="70A9C952" w:rsidR="00C84157" w:rsidRPr="00615AB4" w:rsidRDefault="00DA72CE" w:rsidP="00530866">
            <w:pPr>
              <w:jc w:val="center"/>
              <w:rPr>
                <w:rFonts w:ascii="Arial Narrow" w:eastAsiaTheme="majorEastAsia" w:hAnsi="Arial Narrow" w:cstheme="majorBidi"/>
                <w:bCs/>
                <w:sz w:val="20"/>
              </w:rPr>
            </w:pPr>
            <w:r w:rsidRPr="00615AB4">
              <w:rPr>
                <w:rFonts w:ascii="Arial Narrow" w:eastAsiaTheme="majorEastAsia" w:hAnsi="Arial Narrow" w:cstheme="majorBidi"/>
                <w:bCs/>
                <w:sz w:val="20"/>
              </w:rPr>
              <w:t>$</w:t>
            </w:r>
            <w:r w:rsidR="00C87B5E" w:rsidRPr="00C87B5E">
              <w:rPr>
                <w:rFonts w:ascii="Arial Narrow" w:eastAsiaTheme="majorEastAsia" w:hAnsi="Arial Narrow" w:cstheme="majorBidi"/>
                <w:bCs/>
                <w:sz w:val="2"/>
                <w:highlight w:val="black"/>
              </w:rPr>
              <w:t>redacted content</w:t>
            </w:r>
            <w:r w:rsidR="00276DC1" w:rsidRPr="00276DC1">
              <w:rPr>
                <w:rFonts w:ascii="Arial Narrow" w:eastAsiaTheme="majorEastAsia" w:hAnsi="Arial Narrow" w:cstheme="majorBidi"/>
                <w:bCs/>
                <w:sz w:val="20"/>
                <w:vertAlign w:val="superscript"/>
              </w:rPr>
              <w:t>4</w:t>
            </w:r>
          </w:p>
        </w:tc>
        <w:tc>
          <w:tcPr>
            <w:tcW w:w="1539" w:type="dxa"/>
            <w:noWrap/>
          </w:tcPr>
          <w:p w14:paraId="620796DB" w14:textId="79E39854" w:rsidR="00C84157" w:rsidRPr="00615AB4" w:rsidRDefault="00C87B5E" w:rsidP="00530866">
            <w:pPr>
              <w:jc w:val="center"/>
              <w:rPr>
                <w:rFonts w:ascii="Arial Narrow" w:eastAsiaTheme="majorEastAsia" w:hAnsi="Arial Narrow" w:cstheme="majorBidi"/>
                <w:bCs/>
                <w:sz w:val="20"/>
              </w:rPr>
            </w:pPr>
            <w:r w:rsidRPr="00C87B5E">
              <w:rPr>
                <w:rFonts w:ascii="Arial Narrow" w:eastAsiaTheme="majorEastAsia" w:hAnsi="Arial Narrow" w:cstheme="majorBidi"/>
                <w:sz w:val="2"/>
                <w:highlight w:val="black"/>
              </w:rPr>
              <w:t>redacted content</w:t>
            </w:r>
            <w:r w:rsidR="0013612C" w:rsidRPr="00615AB4">
              <w:rPr>
                <w:rFonts w:ascii="Arial Narrow" w:eastAsiaTheme="majorEastAsia" w:hAnsi="Arial Narrow" w:cstheme="majorBidi"/>
                <w:bCs/>
                <w:sz w:val="20"/>
              </w:rPr>
              <w:t>%</w:t>
            </w:r>
          </w:p>
        </w:tc>
      </w:tr>
    </w:tbl>
    <w:p w14:paraId="79DE53C3" w14:textId="77777777" w:rsidR="00E50A74" w:rsidRPr="00F80EC2" w:rsidRDefault="00E50A74" w:rsidP="00530866">
      <w:r w:rsidRPr="00F80EC2">
        <w:rPr>
          <w:rFonts w:ascii="Arial Narrow" w:hAnsi="Arial Narrow"/>
          <w:snapToGrid w:val="0"/>
          <w:sz w:val="18"/>
          <w:szCs w:val="22"/>
        </w:rPr>
        <w:t>Source: Table 3.41 of the submission and developed during the evaluation using the submitted economic model workbook.</w:t>
      </w:r>
    </w:p>
    <w:p w14:paraId="61406908" w14:textId="77777777" w:rsidR="00E50A74" w:rsidRPr="00F80EC2" w:rsidRDefault="00E50A74" w:rsidP="00530866">
      <w:pPr>
        <w:rPr>
          <w:rFonts w:ascii="Arial Narrow" w:hAnsi="Arial Narrow"/>
          <w:snapToGrid w:val="0"/>
          <w:sz w:val="18"/>
          <w:szCs w:val="22"/>
        </w:rPr>
      </w:pPr>
      <w:r w:rsidRPr="00F80EC2">
        <w:rPr>
          <w:rFonts w:ascii="Arial Narrow" w:hAnsi="Arial Narrow"/>
          <w:snapToGrid w:val="0"/>
          <w:sz w:val="18"/>
          <w:szCs w:val="22"/>
        </w:rPr>
        <w:t>Abbreviations: AmiCP=amivantamab plus carboplatin plus pemetrexed; CP=carboplatin plus pemetrexed; ABCP=atezolizumab plus bevacizumab plus carboplatin plus paclitaxel; ICER=incremental cost</w:t>
      </w:r>
      <w:r w:rsidRPr="00F80EC2">
        <w:rPr>
          <w:rFonts w:ascii="Cambria Math" w:hAnsi="Cambria Math" w:cs="Cambria Math"/>
          <w:snapToGrid w:val="0"/>
          <w:sz w:val="18"/>
          <w:szCs w:val="22"/>
        </w:rPr>
        <w:t>‑</w:t>
      </w:r>
      <w:r w:rsidRPr="00F80EC2">
        <w:rPr>
          <w:rFonts w:ascii="Arial Narrow" w:hAnsi="Arial Narrow"/>
          <w:snapToGrid w:val="0"/>
          <w:sz w:val="18"/>
          <w:szCs w:val="22"/>
        </w:rPr>
        <w:t>effectiveness ratio; QALY=quality</w:t>
      </w:r>
      <w:r w:rsidRPr="00F80EC2">
        <w:rPr>
          <w:rFonts w:ascii="Cambria Math" w:hAnsi="Cambria Math" w:cs="Cambria Math"/>
          <w:snapToGrid w:val="0"/>
          <w:sz w:val="18"/>
          <w:szCs w:val="22"/>
        </w:rPr>
        <w:t>‑</w:t>
      </w:r>
      <w:r w:rsidRPr="00F80EC2">
        <w:rPr>
          <w:rFonts w:ascii="Arial Narrow" w:hAnsi="Arial Narrow"/>
          <w:snapToGrid w:val="0"/>
          <w:sz w:val="18"/>
          <w:szCs w:val="22"/>
        </w:rPr>
        <w:t xml:space="preserve">adjusted life year; SPA=special pricing arrangement; OS=overall survival. </w:t>
      </w:r>
    </w:p>
    <w:p w14:paraId="48819743" w14:textId="77777777" w:rsidR="00E50A74" w:rsidRPr="00F80EC2" w:rsidRDefault="00E50A74" w:rsidP="00530866">
      <w:pPr>
        <w:spacing w:after="120"/>
        <w:contextualSpacing/>
        <w:jc w:val="left"/>
        <w:rPr>
          <w:rFonts w:ascii="Arial Narrow" w:hAnsi="Arial Narrow"/>
          <w:snapToGrid w:val="0"/>
          <w:sz w:val="18"/>
          <w:szCs w:val="22"/>
        </w:rPr>
      </w:pPr>
      <w:r w:rsidRPr="00F80EC2">
        <w:rPr>
          <w:rFonts w:ascii="Arial Narrow" w:hAnsi="Arial Narrow"/>
          <w:snapToGrid w:val="0"/>
          <w:sz w:val="18"/>
          <w:szCs w:val="22"/>
          <w:vertAlign w:val="superscript"/>
        </w:rPr>
        <w:t xml:space="preserve">a </w:t>
      </w:r>
      <w:r w:rsidRPr="00F80EC2">
        <w:rPr>
          <w:rFonts w:ascii="Arial Narrow" w:hAnsi="Arial Narrow"/>
          <w:snapToGrid w:val="0"/>
          <w:sz w:val="18"/>
          <w:szCs w:val="22"/>
        </w:rPr>
        <w:t>Based on 50% published price of atezolizumab.</w:t>
      </w:r>
    </w:p>
    <w:p w14:paraId="2E94B630" w14:textId="77777777" w:rsidR="00E50A74" w:rsidRPr="00F80EC2" w:rsidRDefault="00E50A74" w:rsidP="00530866">
      <w:pPr>
        <w:spacing w:after="120"/>
        <w:contextualSpacing/>
        <w:jc w:val="left"/>
        <w:rPr>
          <w:rFonts w:ascii="Arial Narrow" w:hAnsi="Arial Narrow"/>
          <w:snapToGrid w:val="0"/>
          <w:sz w:val="18"/>
          <w:szCs w:val="22"/>
        </w:rPr>
      </w:pPr>
      <w:r w:rsidRPr="00F80EC2">
        <w:rPr>
          <w:rFonts w:ascii="Arial Narrow" w:hAnsi="Arial Narrow"/>
          <w:snapToGrid w:val="0"/>
          <w:sz w:val="18"/>
          <w:szCs w:val="22"/>
          <w:vertAlign w:val="superscript"/>
        </w:rPr>
        <w:t>b</w:t>
      </w:r>
      <w:r w:rsidRPr="00F80EC2">
        <w:rPr>
          <w:rFonts w:ascii="Arial Narrow" w:hAnsi="Arial Narrow"/>
          <w:snapToGrid w:val="0"/>
          <w:sz w:val="18"/>
          <w:szCs w:val="22"/>
        </w:rPr>
        <w:t xml:space="preserve"> Using data from the proportion of patients with first-post osimertinib treatment (2L)</w:t>
      </w:r>
    </w:p>
    <w:p w14:paraId="1A1E28E8" w14:textId="77777777" w:rsidR="00E50A74" w:rsidRDefault="00E50A74" w:rsidP="00530866">
      <w:pPr>
        <w:spacing w:after="120"/>
        <w:contextualSpacing/>
        <w:jc w:val="left"/>
        <w:rPr>
          <w:rFonts w:ascii="Arial Narrow" w:hAnsi="Arial Narrow"/>
          <w:snapToGrid w:val="0"/>
          <w:sz w:val="18"/>
          <w:szCs w:val="22"/>
        </w:rPr>
      </w:pPr>
      <w:r w:rsidRPr="00F80EC2">
        <w:rPr>
          <w:rFonts w:ascii="Arial Narrow" w:hAnsi="Arial Narrow"/>
          <w:snapToGrid w:val="0"/>
          <w:sz w:val="18"/>
          <w:szCs w:val="22"/>
          <w:vertAlign w:val="superscript"/>
        </w:rPr>
        <w:t>c</w:t>
      </w:r>
      <w:r w:rsidRPr="00F80EC2">
        <w:rPr>
          <w:rFonts w:ascii="Arial Narrow" w:hAnsi="Arial Narrow"/>
          <w:snapToGrid w:val="0"/>
          <w:sz w:val="18"/>
          <w:szCs w:val="22"/>
        </w:rPr>
        <w:t xml:space="preserve"> Using the combined data from the proportion of patients with first- and second-post osimertinib treatment (2L and 3L)</w:t>
      </w:r>
    </w:p>
    <w:p w14:paraId="3E3624FF" w14:textId="77777777" w:rsidR="00FE2E1B" w:rsidRPr="00F56B14" w:rsidRDefault="00FE2E1B" w:rsidP="00FE2E1B">
      <w:pPr>
        <w:jc w:val="left"/>
        <w:rPr>
          <w:rFonts w:ascii="Arial Narrow" w:hAnsi="Arial Narrow" w:cstheme="minorHAnsi"/>
          <w:bCs/>
          <w:i/>
          <w:iCs/>
          <w:sz w:val="18"/>
          <w:szCs w:val="18"/>
        </w:rPr>
      </w:pPr>
      <w:r w:rsidRPr="00F56B14">
        <w:rPr>
          <w:rFonts w:ascii="Arial Narrow" w:hAnsi="Arial Narrow" w:cstheme="minorHAnsi"/>
          <w:bCs/>
          <w:i/>
          <w:iCs/>
          <w:sz w:val="18"/>
          <w:szCs w:val="18"/>
        </w:rPr>
        <w:t xml:space="preserve">The redacted values correspond to the following ranges: </w:t>
      </w:r>
    </w:p>
    <w:p w14:paraId="3E361125" w14:textId="16B579F7" w:rsidR="00FE2E1B" w:rsidRPr="000856F4" w:rsidRDefault="00FE2E1B" w:rsidP="00FE2E1B">
      <w:pPr>
        <w:jc w:val="left"/>
        <w:rPr>
          <w:rFonts w:ascii="Arial Narrow" w:hAnsi="Arial Narrow"/>
          <w:i/>
          <w:sz w:val="18"/>
          <w:szCs w:val="18"/>
        </w:rPr>
      </w:pPr>
      <w:r w:rsidRPr="000856F4">
        <w:rPr>
          <w:rFonts w:ascii="Arial Narrow" w:hAnsi="Arial Narrow"/>
          <w:i/>
          <w:sz w:val="18"/>
          <w:szCs w:val="18"/>
          <w:vertAlign w:val="superscript"/>
        </w:rPr>
        <w:t>1</w:t>
      </w:r>
      <w:r w:rsidRPr="000856F4">
        <w:rPr>
          <w:rFonts w:ascii="Arial Narrow" w:hAnsi="Arial Narrow"/>
          <w:i/>
          <w:sz w:val="18"/>
          <w:szCs w:val="18"/>
        </w:rPr>
        <w:t xml:space="preserve"> </w:t>
      </w:r>
      <w:r w:rsidR="001E6E77" w:rsidRPr="001E6E77">
        <w:rPr>
          <w:rFonts w:ascii="Arial Narrow" w:hAnsi="Arial Narrow"/>
          <w:i/>
          <w:sz w:val="18"/>
          <w:szCs w:val="18"/>
        </w:rPr>
        <w:t>$55,000 to &lt; $75,000</w:t>
      </w:r>
    </w:p>
    <w:p w14:paraId="3B3C8F5C" w14:textId="44910711" w:rsidR="00FE2E1B" w:rsidRPr="000856F4" w:rsidRDefault="00FE2E1B" w:rsidP="00FE2E1B">
      <w:pPr>
        <w:jc w:val="left"/>
        <w:rPr>
          <w:rFonts w:ascii="Arial Narrow" w:hAnsi="Arial Narrow"/>
          <w:i/>
          <w:sz w:val="18"/>
          <w:szCs w:val="18"/>
        </w:rPr>
      </w:pPr>
      <w:r w:rsidRPr="000856F4">
        <w:rPr>
          <w:rFonts w:ascii="Arial Narrow" w:hAnsi="Arial Narrow"/>
          <w:i/>
          <w:sz w:val="18"/>
          <w:szCs w:val="18"/>
          <w:vertAlign w:val="superscript"/>
        </w:rPr>
        <w:t>2</w:t>
      </w:r>
      <w:r w:rsidRPr="000856F4">
        <w:rPr>
          <w:rFonts w:ascii="Arial Narrow" w:hAnsi="Arial Narrow"/>
          <w:i/>
          <w:sz w:val="18"/>
          <w:szCs w:val="18"/>
        </w:rPr>
        <w:t xml:space="preserve"> </w:t>
      </w:r>
      <w:r w:rsidR="001C0FF0" w:rsidRPr="001C0FF0">
        <w:rPr>
          <w:rFonts w:ascii="Arial Narrow" w:hAnsi="Arial Narrow"/>
          <w:i/>
          <w:sz w:val="18"/>
          <w:szCs w:val="18"/>
        </w:rPr>
        <w:t>$155,000 to &lt; $255,000</w:t>
      </w:r>
    </w:p>
    <w:p w14:paraId="1D548AE0" w14:textId="12C0BAD6" w:rsidR="00FE2E1B" w:rsidRPr="000856F4" w:rsidRDefault="00FE2E1B" w:rsidP="00FE2E1B">
      <w:pPr>
        <w:jc w:val="left"/>
        <w:rPr>
          <w:rFonts w:ascii="Arial Narrow" w:hAnsi="Arial Narrow"/>
          <w:i/>
          <w:sz w:val="18"/>
          <w:szCs w:val="18"/>
        </w:rPr>
      </w:pPr>
      <w:r w:rsidRPr="000856F4">
        <w:rPr>
          <w:rFonts w:ascii="Arial Narrow" w:hAnsi="Arial Narrow"/>
          <w:i/>
          <w:sz w:val="18"/>
          <w:szCs w:val="18"/>
          <w:vertAlign w:val="superscript"/>
        </w:rPr>
        <w:t>3</w:t>
      </w:r>
      <w:r w:rsidRPr="000856F4">
        <w:rPr>
          <w:rFonts w:ascii="Arial Narrow" w:hAnsi="Arial Narrow"/>
          <w:i/>
          <w:sz w:val="18"/>
          <w:szCs w:val="18"/>
        </w:rPr>
        <w:t xml:space="preserve"> </w:t>
      </w:r>
      <w:r w:rsidR="00944610" w:rsidRPr="00944610">
        <w:rPr>
          <w:rFonts w:ascii="Arial Narrow" w:hAnsi="Arial Narrow"/>
          <w:i/>
          <w:sz w:val="18"/>
          <w:szCs w:val="18"/>
        </w:rPr>
        <w:t>$75,000 to &lt; $95,000</w:t>
      </w:r>
    </w:p>
    <w:p w14:paraId="341FE126" w14:textId="2CF6A319" w:rsidR="00B21A5C" w:rsidRDefault="00FE2E1B" w:rsidP="00276DC1">
      <w:pPr>
        <w:jc w:val="left"/>
        <w:rPr>
          <w:rFonts w:ascii="Arial Narrow" w:hAnsi="Arial Narrow"/>
          <w:i/>
          <w:sz w:val="18"/>
          <w:szCs w:val="18"/>
        </w:rPr>
      </w:pPr>
      <w:r w:rsidRPr="000856F4">
        <w:rPr>
          <w:rFonts w:ascii="Arial Narrow" w:hAnsi="Arial Narrow"/>
          <w:i/>
          <w:sz w:val="18"/>
          <w:szCs w:val="18"/>
          <w:vertAlign w:val="superscript"/>
        </w:rPr>
        <w:t>4</w:t>
      </w:r>
      <w:r w:rsidRPr="000856F4">
        <w:rPr>
          <w:rFonts w:ascii="Arial Narrow" w:hAnsi="Arial Narrow"/>
          <w:i/>
          <w:sz w:val="18"/>
          <w:szCs w:val="18"/>
        </w:rPr>
        <w:t xml:space="preserve"> </w:t>
      </w:r>
      <w:r w:rsidR="00276DC1" w:rsidRPr="00276DC1">
        <w:rPr>
          <w:rFonts w:ascii="Arial Narrow" w:hAnsi="Arial Narrow"/>
          <w:i/>
          <w:sz w:val="18"/>
          <w:szCs w:val="18"/>
        </w:rPr>
        <w:t>$255,000 to &lt; $355,000</w:t>
      </w:r>
    </w:p>
    <w:p w14:paraId="24B7938C" w14:textId="77777777" w:rsidR="00276DC1" w:rsidRPr="00276DC1" w:rsidRDefault="00276DC1" w:rsidP="00276DC1">
      <w:pPr>
        <w:jc w:val="left"/>
        <w:rPr>
          <w:rFonts w:ascii="Arial Narrow" w:hAnsi="Arial Narrow"/>
          <w:i/>
          <w:sz w:val="18"/>
          <w:szCs w:val="18"/>
        </w:rPr>
      </w:pPr>
    </w:p>
    <w:p w14:paraId="514F01E0" w14:textId="1A18E063" w:rsidR="00040201" w:rsidRPr="00040201" w:rsidRDefault="00DC5C9A" w:rsidP="00530866">
      <w:pPr>
        <w:pStyle w:val="3-BodyText"/>
      </w:pPr>
      <w:bookmarkStart w:id="88" w:name="_Toc219795459"/>
      <w:r w:rsidRPr="009C3174">
        <w:t xml:space="preserve">The ESC noted the base case ICER using the </w:t>
      </w:r>
      <w:r w:rsidR="133D3E99" w:rsidRPr="009C3174">
        <w:t>economic model</w:t>
      </w:r>
      <w:r w:rsidRPr="009C3174">
        <w:t xml:space="preserve"> comparing AmiCP vs CP (the most robust model, see </w:t>
      </w:r>
      <w:r w:rsidRPr="00040201">
        <w:t xml:space="preserve">paragraph </w:t>
      </w:r>
      <w:r w:rsidRPr="00040201">
        <w:fldChar w:fldCharType="begin"/>
      </w:r>
      <w:r w:rsidRPr="00040201">
        <w:instrText xml:space="preserve"> REF _Ref222233073 \r \h </w:instrText>
      </w:r>
      <w:r w:rsidR="0094609D" w:rsidRPr="00040201">
        <w:instrText xml:space="preserve"> \* MERGEFORMAT </w:instrText>
      </w:r>
      <w:r w:rsidRPr="00040201">
        <w:fldChar w:fldCharType="separate"/>
      </w:r>
      <w:r w:rsidR="00A572FC">
        <w:t>6.41</w:t>
      </w:r>
      <w:r w:rsidRPr="00040201">
        <w:fldChar w:fldCharType="end"/>
      </w:r>
      <w:r w:rsidRPr="00040201">
        <w:t>)</w:t>
      </w:r>
      <w:r w:rsidRPr="009C3174">
        <w:t xml:space="preserve"> was </w:t>
      </w:r>
      <w:r w:rsidR="006F3DC2" w:rsidRPr="002E46AB">
        <w:rPr>
          <w:rFonts w:cstheme="minorHAnsi"/>
        </w:rPr>
        <w:t>$155,000 to &lt; $255,000</w:t>
      </w:r>
      <w:r w:rsidRPr="009C3174">
        <w:t xml:space="preserve"> per QALY gained (see </w:t>
      </w:r>
      <w:r w:rsidRPr="009C3174">
        <w:fldChar w:fldCharType="begin"/>
      </w:r>
      <w:r w:rsidRPr="009C3174">
        <w:instrText xml:space="preserve"> REF _Ref216380201 \h  \* MERGEFORMAT </w:instrText>
      </w:r>
      <w:r w:rsidRPr="009C3174">
        <w:fldChar w:fldCharType="separate"/>
      </w:r>
      <w:r w:rsidR="00A572FC" w:rsidRPr="00A572FC">
        <w:t>Table 12</w:t>
      </w:r>
      <w:r w:rsidRPr="009C3174">
        <w:fldChar w:fldCharType="end"/>
      </w:r>
      <w:r w:rsidRPr="009C3174">
        <w:t xml:space="preserve">) and the weighted ICER </w:t>
      </w:r>
      <w:r w:rsidR="00C137A1" w:rsidRPr="009C3174">
        <w:t xml:space="preserve">assuming 30% ABCP use was </w:t>
      </w:r>
      <w:r w:rsidR="00171469" w:rsidRPr="00171469">
        <w:t>$155,000 to &lt; $255,000</w:t>
      </w:r>
      <w:r w:rsidR="00C137A1" w:rsidRPr="009C3174">
        <w:t xml:space="preserve"> per QALY (see </w:t>
      </w:r>
      <w:r w:rsidR="00C137A1" w:rsidRPr="009C3174">
        <w:fldChar w:fldCharType="begin"/>
      </w:r>
      <w:r w:rsidR="00C137A1" w:rsidRPr="009C3174">
        <w:instrText xml:space="preserve"> REF _Ref216388276 \h  \* MERGEFORMAT </w:instrText>
      </w:r>
      <w:r w:rsidR="00C137A1" w:rsidRPr="009C3174">
        <w:fldChar w:fldCharType="separate"/>
      </w:r>
      <w:r w:rsidR="00A572FC">
        <w:t xml:space="preserve">Table </w:t>
      </w:r>
      <w:r w:rsidR="00A572FC">
        <w:rPr>
          <w:noProof/>
        </w:rPr>
        <w:t>14</w:t>
      </w:r>
      <w:r w:rsidR="00C137A1" w:rsidRPr="009C3174">
        <w:fldChar w:fldCharType="end"/>
      </w:r>
      <w:r w:rsidR="00C137A1" w:rsidRPr="009C3174">
        <w:t xml:space="preserve">). </w:t>
      </w:r>
      <w:r w:rsidR="0041712C">
        <w:t>In the pr</w:t>
      </w:r>
      <w:r w:rsidR="00573265">
        <w:t>e</w:t>
      </w:r>
      <w:r w:rsidR="0041712C">
        <w:t xml:space="preserve">-PBAC response, the sponsor considered </w:t>
      </w:r>
      <w:r w:rsidR="008C5ECF">
        <w:t>the 30% ABCP use undervalued</w:t>
      </w:r>
      <w:r w:rsidR="00B17B6E">
        <w:t xml:space="preserve"> the clinical benefit of AmiCP</w:t>
      </w:r>
      <w:r w:rsidR="00330EF2">
        <w:t xml:space="preserve"> </w:t>
      </w:r>
      <w:r w:rsidR="00B863DD" w:rsidRPr="00BC2AD0">
        <w:rPr>
          <w:bCs/>
        </w:rPr>
        <w:t xml:space="preserve">in EGFRm NSCLC </w:t>
      </w:r>
      <w:r w:rsidR="00B863DD">
        <w:rPr>
          <w:bCs/>
        </w:rPr>
        <w:t>post-</w:t>
      </w:r>
      <w:r w:rsidR="00B863DD" w:rsidRPr="00BC2AD0">
        <w:rPr>
          <w:bCs/>
        </w:rPr>
        <w:t>osimertinib</w:t>
      </w:r>
      <w:r w:rsidR="00B863DD">
        <w:rPr>
          <w:bCs/>
        </w:rPr>
        <w:t>.</w:t>
      </w:r>
      <w:bookmarkStart w:id="89" w:name="_Ref225870110"/>
      <w:r w:rsidR="00E12885">
        <w:rPr>
          <w:bCs/>
        </w:rPr>
        <w:t xml:space="preserve"> </w:t>
      </w:r>
    </w:p>
    <w:p w14:paraId="7EBA9B93" w14:textId="646B461A" w:rsidR="00E12885" w:rsidRDefault="00E12885" w:rsidP="00530866">
      <w:pPr>
        <w:pStyle w:val="3-BodyText"/>
      </w:pPr>
      <w:r w:rsidRPr="00690FA6">
        <w:t>The PBAC noted that</w:t>
      </w:r>
      <w:r w:rsidR="00505C31" w:rsidRPr="00690FA6">
        <w:t xml:space="preserve"> </w:t>
      </w:r>
      <w:r w:rsidR="00773E05" w:rsidRPr="00690FA6">
        <w:t xml:space="preserve">economic </w:t>
      </w:r>
      <w:r w:rsidR="00855716" w:rsidRPr="00690FA6">
        <w:t xml:space="preserve">and financial </w:t>
      </w:r>
      <w:r w:rsidR="00773E05" w:rsidRPr="00690FA6">
        <w:t>model</w:t>
      </w:r>
      <w:r w:rsidR="00855716" w:rsidRPr="00690FA6">
        <w:t>s</w:t>
      </w:r>
      <w:r w:rsidR="00D308FA" w:rsidRPr="00690FA6">
        <w:t xml:space="preserve"> calculated</w:t>
      </w:r>
      <w:r w:rsidRPr="00690FA6">
        <w:t xml:space="preserve"> </w:t>
      </w:r>
      <w:r w:rsidR="000A19ED" w:rsidRPr="00690FA6">
        <w:t xml:space="preserve">a </w:t>
      </w:r>
      <w:r w:rsidR="00221AE2" w:rsidRPr="00690FA6">
        <w:t>weighted</w:t>
      </w:r>
      <w:r w:rsidRPr="00690FA6">
        <w:t xml:space="preserve"> average of 75.1 vials of amivantamab </w:t>
      </w:r>
      <w:r w:rsidR="00B40744" w:rsidRPr="00690FA6">
        <w:t xml:space="preserve">administered </w:t>
      </w:r>
      <w:r w:rsidRPr="00690FA6">
        <w:t xml:space="preserve">over an average of 13.25 three weekly </w:t>
      </w:r>
      <w:r w:rsidRPr="00690FA6">
        <w:lastRenderedPageBreak/>
        <w:t>treatment cycles (9.14 months).</w:t>
      </w:r>
      <w:r w:rsidRPr="00690FA6">
        <w:rPr>
          <w:rStyle w:val="FootnoteReference"/>
        </w:rPr>
        <w:footnoteReference w:id="11"/>
      </w:r>
      <w:r w:rsidRPr="00690FA6">
        <w:t xml:space="preserve"> The PBAC noted this resulted in an average of 5.67 vials of amivantamab per three weekly treatment cycle.</w:t>
      </w:r>
      <w:r w:rsidR="00862943">
        <w:t xml:space="preserve"> The PBAC noted </w:t>
      </w:r>
      <w:r w:rsidR="000F5E91">
        <w:t>the drug cost per 3 weekly treatment cycle for amivantamab was $</w:t>
      </w:r>
      <w:r w:rsidR="00C87B5E" w:rsidRPr="00C87B5E">
        <w:rPr>
          <w:sz w:val="2"/>
          <w:highlight w:val="black"/>
        </w:rPr>
        <w:t>redacted content</w:t>
      </w:r>
      <w:r w:rsidR="000F5E91">
        <w:t xml:space="preserve"> compared </w:t>
      </w:r>
      <w:r w:rsidR="000F5E91" w:rsidRPr="00CD4DCE">
        <w:t>to $4,</w:t>
      </w:r>
      <w:r w:rsidR="0012675F">
        <w:t>01</w:t>
      </w:r>
      <w:r w:rsidR="000F5E91" w:rsidRPr="00CD4DCE">
        <w:t>9</w:t>
      </w:r>
      <w:r w:rsidR="001F0F0C" w:rsidRPr="00CD4DCE">
        <w:t>.53</w:t>
      </w:r>
      <w:r w:rsidR="001F0F0C">
        <w:t xml:space="preserve"> </w:t>
      </w:r>
      <w:r w:rsidR="00EA002C">
        <w:t xml:space="preserve">for atezolizumab plus bevacizumab using the </w:t>
      </w:r>
      <w:r w:rsidR="00862943">
        <w:t>assumed effective price of atezolizumab</w:t>
      </w:r>
      <w:r w:rsidR="006D3A28">
        <w:t xml:space="preserve">. </w:t>
      </w:r>
    </w:p>
    <w:p w14:paraId="55DA80C6" w14:textId="1FF5D619" w:rsidR="00E12885" w:rsidRDefault="00E12885" w:rsidP="00530866">
      <w:pPr>
        <w:pStyle w:val="Caption"/>
      </w:pPr>
      <w:bookmarkStart w:id="90" w:name="_Ref225952296"/>
      <w:bookmarkStart w:id="91" w:name="_Ref225952291"/>
      <w:r>
        <w:t xml:space="preserve">Table </w:t>
      </w:r>
      <w:fldSimple w:instr=" SEQ Table \* ARABIC ">
        <w:r w:rsidR="00D97D5A">
          <w:rPr>
            <w:noProof/>
          </w:rPr>
          <w:t>15</w:t>
        </w:r>
      </w:fldSimple>
      <w:bookmarkEnd w:id="90"/>
      <w:r>
        <w:t xml:space="preserve">: </w:t>
      </w:r>
      <w:r w:rsidR="004F6BCB">
        <w:t>Drug c</w:t>
      </w:r>
      <w:r>
        <w:t>ost per 3 weekly treatment cycle</w:t>
      </w:r>
      <w:bookmarkEnd w:id="91"/>
    </w:p>
    <w:tbl>
      <w:tblPr>
        <w:tblStyle w:val="TableGrid"/>
        <w:tblW w:w="5000" w:type="pct"/>
        <w:tblLook w:val="04A0" w:firstRow="1" w:lastRow="0" w:firstColumn="1" w:lastColumn="0" w:noHBand="0" w:noVBand="1"/>
        <w:tblCaption w:val="Table 15: Drug cost per 3 weekly treatment cycle"/>
      </w:tblPr>
      <w:tblGrid>
        <w:gridCol w:w="2830"/>
        <w:gridCol w:w="1986"/>
        <w:gridCol w:w="1949"/>
        <w:gridCol w:w="2252"/>
      </w:tblGrid>
      <w:tr w:rsidR="00E12885" w:rsidRPr="00E12885" w14:paraId="1C28E3EB" w14:textId="77777777" w:rsidTr="00040201">
        <w:trPr>
          <w:trHeight w:val="209"/>
        </w:trPr>
        <w:tc>
          <w:tcPr>
            <w:tcW w:w="1569" w:type="pct"/>
          </w:tcPr>
          <w:p w14:paraId="4DED34F9" w14:textId="77777777" w:rsidR="00E12885" w:rsidRPr="00E12885" w:rsidRDefault="00E12885" w:rsidP="00530866">
            <w:pPr>
              <w:pStyle w:val="3-BodyText"/>
              <w:numPr>
                <w:ilvl w:val="0"/>
                <w:numId w:val="0"/>
              </w:numPr>
              <w:spacing w:before="0" w:after="0"/>
              <w:rPr>
                <w:rFonts w:ascii="Arial Narrow" w:hAnsi="Arial Narrow"/>
                <w:sz w:val="20"/>
                <w:szCs w:val="18"/>
              </w:rPr>
            </w:pPr>
          </w:p>
        </w:tc>
        <w:tc>
          <w:tcPr>
            <w:tcW w:w="1101" w:type="pct"/>
          </w:tcPr>
          <w:p w14:paraId="20161484" w14:textId="1FDFE1A3" w:rsidR="00E12885" w:rsidRPr="00514BB6" w:rsidRDefault="00912630" w:rsidP="00530866">
            <w:pPr>
              <w:pStyle w:val="3-BodyText"/>
              <w:numPr>
                <w:ilvl w:val="0"/>
                <w:numId w:val="0"/>
              </w:numPr>
              <w:spacing w:before="0" w:after="0"/>
              <w:rPr>
                <w:rFonts w:ascii="Arial Narrow" w:hAnsi="Arial Narrow"/>
                <w:b/>
                <w:bCs/>
                <w:sz w:val="20"/>
                <w:szCs w:val="18"/>
              </w:rPr>
            </w:pPr>
            <w:r w:rsidRPr="00514BB6">
              <w:rPr>
                <w:rFonts w:ascii="Arial Narrow" w:hAnsi="Arial Narrow"/>
                <w:b/>
                <w:bCs/>
                <w:sz w:val="20"/>
                <w:szCs w:val="18"/>
              </w:rPr>
              <w:t>Amivantamab</w:t>
            </w:r>
          </w:p>
        </w:tc>
        <w:tc>
          <w:tcPr>
            <w:tcW w:w="1081" w:type="pct"/>
          </w:tcPr>
          <w:p w14:paraId="0A1DE08D" w14:textId="01963BDD" w:rsidR="00E12885" w:rsidRPr="00514BB6" w:rsidRDefault="00E475F1" w:rsidP="00530866">
            <w:pPr>
              <w:pStyle w:val="3-BodyText"/>
              <w:numPr>
                <w:ilvl w:val="0"/>
                <w:numId w:val="0"/>
              </w:numPr>
              <w:spacing w:before="0" w:after="0"/>
              <w:rPr>
                <w:rFonts w:ascii="Arial Narrow" w:hAnsi="Arial Narrow"/>
                <w:b/>
                <w:bCs/>
                <w:sz w:val="20"/>
                <w:szCs w:val="18"/>
              </w:rPr>
            </w:pPr>
            <w:r w:rsidRPr="00514BB6">
              <w:rPr>
                <w:rFonts w:ascii="Arial Narrow" w:hAnsi="Arial Narrow"/>
                <w:b/>
                <w:bCs/>
                <w:sz w:val="20"/>
                <w:szCs w:val="18"/>
              </w:rPr>
              <w:t>Atezolizumab</w:t>
            </w:r>
          </w:p>
        </w:tc>
        <w:tc>
          <w:tcPr>
            <w:tcW w:w="1249" w:type="pct"/>
          </w:tcPr>
          <w:p w14:paraId="373C3779" w14:textId="3712BE41" w:rsidR="00E12885" w:rsidRPr="00514BB6" w:rsidRDefault="00E475F1" w:rsidP="00530866">
            <w:pPr>
              <w:pStyle w:val="3-BodyText"/>
              <w:numPr>
                <w:ilvl w:val="0"/>
                <w:numId w:val="0"/>
              </w:numPr>
              <w:spacing w:before="0" w:after="0"/>
              <w:rPr>
                <w:rFonts w:ascii="Arial Narrow" w:hAnsi="Arial Narrow"/>
                <w:b/>
                <w:bCs/>
                <w:sz w:val="20"/>
                <w:szCs w:val="18"/>
              </w:rPr>
            </w:pPr>
            <w:r w:rsidRPr="00514BB6">
              <w:rPr>
                <w:rFonts w:ascii="Arial Narrow" w:hAnsi="Arial Narrow"/>
                <w:b/>
                <w:bCs/>
                <w:sz w:val="20"/>
                <w:szCs w:val="18"/>
              </w:rPr>
              <w:t>Bevacizumab</w:t>
            </w:r>
          </w:p>
        </w:tc>
      </w:tr>
      <w:tr w:rsidR="00E12885" w:rsidRPr="00E12885" w14:paraId="7078C45A" w14:textId="77777777" w:rsidTr="005A6D59">
        <w:trPr>
          <w:trHeight w:val="295"/>
        </w:trPr>
        <w:tc>
          <w:tcPr>
            <w:tcW w:w="1569" w:type="pct"/>
          </w:tcPr>
          <w:p w14:paraId="55211CAA" w14:textId="41137D4F" w:rsidR="00E12885" w:rsidRPr="00E12885" w:rsidRDefault="00D54397" w:rsidP="00530866">
            <w:pPr>
              <w:pStyle w:val="3-BodyText"/>
              <w:numPr>
                <w:ilvl w:val="0"/>
                <w:numId w:val="0"/>
              </w:numPr>
              <w:spacing w:before="0" w:after="0"/>
              <w:rPr>
                <w:rFonts w:ascii="Arial Narrow" w:hAnsi="Arial Narrow"/>
                <w:sz w:val="20"/>
                <w:szCs w:val="18"/>
              </w:rPr>
            </w:pPr>
            <w:r>
              <w:rPr>
                <w:rFonts w:ascii="Arial Narrow" w:hAnsi="Arial Narrow"/>
                <w:sz w:val="20"/>
                <w:szCs w:val="18"/>
              </w:rPr>
              <w:t>E</w:t>
            </w:r>
            <w:r w:rsidR="00040201">
              <w:rPr>
                <w:rFonts w:ascii="Arial Narrow" w:hAnsi="Arial Narrow"/>
                <w:sz w:val="20"/>
                <w:szCs w:val="18"/>
              </w:rPr>
              <w:t xml:space="preserve">x-manufacturer price </w:t>
            </w:r>
          </w:p>
        </w:tc>
        <w:tc>
          <w:tcPr>
            <w:tcW w:w="1101" w:type="pct"/>
          </w:tcPr>
          <w:p w14:paraId="72559267" w14:textId="32FEA937" w:rsidR="00E12885" w:rsidRPr="00E12885" w:rsidRDefault="00D54397" w:rsidP="00530866">
            <w:pPr>
              <w:pStyle w:val="3-BodyText"/>
              <w:numPr>
                <w:ilvl w:val="0"/>
                <w:numId w:val="0"/>
              </w:numPr>
              <w:spacing w:before="0" w:after="0"/>
              <w:rPr>
                <w:rFonts w:ascii="Arial Narrow" w:hAnsi="Arial Narrow"/>
                <w:sz w:val="20"/>
                <w:szCs w:val="18"/>
              </w:rPr>
            </w:pPr>
            <w:r>
              <w:rPr>
                <w:rFonts w:ascii="Arial Narrow" w:hAnsi="Arial Narrow"/>
                <w:sz w:val="20"/>
                <w:szCs w:val="18"/>
              </w:rPr>
              <w:t>$</w:t>
            </w:r>
            <w:r w:rsidR="00C87B5E" w:rsidRPr="00C87B5E">
              <w:rPr>
                <w:rFonts w:ascii="Arial Narrow" w:hAnsi="Arial Narrow"/>
                <w:sz w:val="2"/>
                <w:szCs w:val="18"/>
                <w:highlight w:val="black"/>
              </w:rPr>
              <w:t>redacted content</w:t>
            </w:r>
            <w:r w:rsidR="009A7F4C">
              <w:rPr>
                <w:rFonts w:ascii="Arial Narrow" w:hAnsi="Arial Narrow"/>
                <w:sz w:val="20"/>
                <w:szCs w:val="18"/>
              </w:rPr>
              <w:t xml:space="preserve"> </w:t>
            </w:r>
            <w:r>
              <w:rPr>
                <w:rFonts w:ascii="Arial Narrow" w:hAnsi="Arial Narrow"/>
                <w:sz w:val="20"/>
                <w:szCs w:val="18"/>
              </w:rPr>
              <w:t>per 350 mg vial</w:t>
            </w:r>
          </w:p>
        </w:tc>
        <w:tc>
          <w:tcPr>
            <w:tcW w:w="1081" w:type="pct"/>
          </w:tcPr>
          <w:p w14:paraId="57DE61CB" w14:textId="006E2E3A" w:rsidR="00E12885" w:rsidRPr="00391256" w:rsidRDefault="009A7F4C" w:rsidP="00530866">
            <w:pPr>
              <w:pStyle w:val="3-BodyText"/>
              <w:numPr>
                <w:ilvl w:val="0"/>
                <w:numId w:val="0"/>
              </w:numPr>
              <w:spacing w:before="0" w:after="0"/>
              <w:rPr>
                <w:rFonts w:ascii="Arial Narrow" w:hAnsi="Arial Narrow"/>
                <w:sz w:val="20"/>
                <w:szCs w:val="18"/>
              </w:rPr>
            </w:pPr>
            <w:r w:rsidRPr="00391256">
              <w:rPr>
                <w:rFonts w:ascii="Arial Narrow" w:hAnsi="Arial Narrow"/>
                <w:sz w:val="20"/>
                <w:szCs w:val="18"/>
              </w:rPr>
              <w:t>$</w:t>
            </w:r>
            <w:r w:rsidR="00F73F26" w:rsidRPr="00391256">
              <w:rPr>
                <w:rFonts w:ascii="Arial Narrow" w:hAnsi="Arial Narrow"/>
                <w:sz w:val="20"/>
                <w:szCs w:val="18"/>
              </w:rPr>
              <w:t>3,373.68 per 1,200 vial</w:t>
            </w:r>
          </w:p>
        </w:tc>
        <w:tc>
          <w:tcPr>
            <w:tcW w:w="1249" w:type="pct"/>
          </w:tcPr>
          <w:p w14:paraId="095A83A3" w14:textId="4D0FEC81" w:rsidR="00E12885" w:rsidRPr="00391256" w:rsidRDefault="001D0B66" w:rsidP="00530866">
            <w:pPr>
              <w:pStyle w:val="3-BodyText"/>
              <w:numPr>
                <w:ilvl w:val="0"/>
                <w:numId w:val="0"/>
              </w:numPr>
              <w:spacing w:before="0" w:after="0"/>
              <w:rPr>
                <w:rFonts w:ascii="Arial Narrow" w:hAnsi="Arial Narrow"/>
                <w:sz w:val="20"/>
                <w:szCs w:val="18"/>
              </w:rPr>
            </w:pPr>
            <w:r w:rsidRPr="00391256">
              <w:rPr>
                <w:rFonts w:ascii="Arial Narrow" w:hAnsi="Arial Narrow"/>
                <w:sz w:val="20"/>
                <w:szCs w:val="18"/>
              </w:rPr>
              <w:t>$</w:t>
            </w:r>
            <w:r w:rsidR="00F73F26" w:rsidRPr="00391256">
              <w:rPr>
                <w:rFonts w:ascii="Arial Narrow" w:hAnsi="Arial Narrow"/>
                <w:sz w:val="20"/>
                <w:szCs w:val="18"/>
              </w:rPr>
              <w:t xml:space="preserve">215.28 per </w:t>
            </w:r>
            <w:r w:rsidRPr="00391256">
              <w:rPr>
                <w:rFonts w:ascii="Arial Narrow" w:hAnsi="Arial Narrow"/>
                <w:sz w:val="20"/>
                <w:szCs w:val="18"/>
              </w:rPr>
              <w:t>400 mg vial</w:t>
            </w:r>
          </w:p>
        </w:tc>
      </w:tr>
      <w:tr w:rsidR="00E12885" w:rsidRPr="00E12885" w14:paraId="29C0A517" w14:textId="77777777" w:rsidTr="005A6D59">
        <w:trPr>
          <w:trHeight w:val="356"/>
        </w:trPr>
        <w:tc>
          <w:tcPr>
            <w:tcW w:w="1569" w:type="pct"/>
          </w:tcPr>
          <w:p w14:paraId="7A46760F" w14:textId="075FBF3B" w:rsidR="00E12885" w:rsidRPr="00E12885" w:rsidRDefault="00142D18" w:rsidP="00530866">
            <w:pPr>
              <w:pStyle w:val="3-BodyText"/>
              <w:numPr>
                <w:ilvl w:val="0"/>
                <w:numId w:val="0"/>
              </w:numPr>
              <w:spacing w:before="0" w:after="0"/>
              <w:rPr>
                <w:rFonts w:ascii="Arial Narrow" w:hAnsi="Arial Narrow"/>
                <w:sz w:val="20"/>
                <w:szCs w:val="18"/>
              </w:rPr>
            </w:pPr>
            <w:r>
              <w:rPr>
                <w:rFonts w:ascii="Arial Narrow" w:hAnsi="Arial Narrow"/>
                <w:sz w:val="20"/>
                <w:szCs w:val="18"/>
              </w:rPr>
              <w:t xml:space="preserve">Number of </w:t>
            </w:r>
            <w:r w:rsidR="00C4644E">
              <w:rPr>
                <w:rFonts w:ascii="Arial Narrow" w:hAnsi="Arial Narrow"/>
                <w:sz w:val="20"/>
                <w:szCs w:val="18"/>
              </w:rPr>
              <w:t>vials per 3 weekly cycle</w:t>
            </w:r>
          </w:p>
        </w:tc>
        <w:tc>
          <w:tcPr>
            <w:tcW w:w="1101" w:type="pct"/>
          </w:tcPr>
          <w:p w14:paraId="7C2C24D7" w14:textId="6FA7AC24" w:rsidR="00E12885" w:rsidRPr="00E12885" w:rsidRDefault="00842340" w:rsidP="00530866">
            <w:pPr>
              <w:pStyle w:val="3-BodyText"/>
              <w:numPr>
                <w:ilvl w:val="0"/>
                <w:numId w:val="0"/>
              </w:numPr>
              <w:spacing w:before="0" w:after="0"/>
              <w:rPr>
                <w:rFonts w:ascii="Arial Narrow" w:hAnsi="Arial Narrow"/>
                <w:sz w:val="20"/>
                <w:szCs w:val="18"/>
              </w:rPr>
            </w:pPr>
            <w:r w:rsidRPr="003D2962">
              <w:rPr>
                <w:rFonts w:ascii="Arial Narrow" w:hAnsi="Arial Narrow"/>
                <w:sz w:val="20"/>
                <w:szCs w:val="18"/>
              </w:rPr>
              <w:t>5.67</w:t>
            </w:r>
          </w:p>
        </w:tc>
        <w:tc>
          <w:tcPr>
            <w:tcW w:w="1081" w:type="pct"/>
          </w:tcPr>
          <w:p w14:paraId="448E5500" w14:textId="671FC414" w:rsidR="00E12885" w:rsidRPr="00391256" w:rsidRDefault="00842340" w:rsidP="00530866">
            <w:pPr>
              <w:pStyle w:val="3-BodyText"/>
              <w:numPr>
                <w:ilvl w:val="0"/>
                <w:numId w:val="0"/>
              </w:numPr>
              <w:spacing w:before="0" w:after="0"/>
              <w:rPr>
                <w:rFonts w:ascii="Arial Narrow" w:hAnsi="Arial Narrow"/>
                <w:sz w:val="20"/>
                <w:szCs w:val="18"/>
              </w:rPr>
            </w:pPr>
            <w:r w:rsidRPr="00391256">
              <w:rPr>
                <w:rFonts w:ascii="Arial Narrow" w:hAnsi="Arial Narrow"/>
                <w:sz w:val="20"/>
                <w:szCs w:val="18"/>
              </w:rPr>
              <w:t>1</w:t>
            </w:r>
          </w:p>
        </w:tc>
        <w:tc>
          <w:tcPr>
            <w:tcW w:w="1249" w:type="pct"/>
          </w:tcPr>
          <w:p w14:paraId="235FB572" w14:textId="271FFBB4" w:rsidR="00E12885" w:rsidRPr="00391256" w:rsidRDefault="00842340" w:rsidP="00530866">
            <w:pPr>
              <w:pStyle w:val="3-BodyText"/>
              <w:numPr>
                <w:ilvl w:val="0"/>
                <w:numId w:val="0"/>
              </w:numPr>
              <w:spacing w:before="0" w:after="0"/>
              <w:rPr>
                <w:rFonts w:ascii="Arial Narrow" w:hAnsi="Arial Narrow"/>
                <w:sz w:val="20"/>
                <w:szCs w:val="18"/>
              </w:rPr>
            </w:pPr>
            <w:r w:rsidRPr="00391256">
              <w:rPr>
                <w:rFonts w:ascii="Arial Narrow" w:hAnsi="Arial Narrow"/>
                <w:sz w:val="20"/>
                <w:szCs w:val="18"/>
              </w:rPr>
              <w:t>3</w:t>
            </w:r>
            <w:r w:rsidR="0071785F" w:rsidRPr="00391256">
              <w:rPr>
                <w:rFonts w:ascii="Arial Narrow" w:hAnsi="Arial Narrow"/>
                <w:sz w:val="20"/>
                <w:szCs w:val="18"/>
                <w:vertAlign w:val="superscript"/>
              </w:rPr>
              <w:t>1</w:t>
            </w:r>
          </w:p>
        </w:tc>
      </w:tr>
      <w:tr w:rsidR="00842340" w:rsidRPr="00E12885" w14:paraId="5F09D69D" w14:textId="77777777" w:rsidTr="005A6D59">
        <w:trPr>
          <w:trHeight w:val="263"/>
        </w:trPr>
        <w:tc>
          <w:tcPr>
            <w:tcW w:w="1569" w:type="pct"/>
          </w:tcPr>
          <w:p w14:paraId="1A805BAA" w14:textId="6D3EB489" w:rsidR="00842340" w:rsidRDefault="00842CC3" w:rsidP="00530866">
            <w:pPr>
              <w:pStyle w:val="3-BodyText"/>
              <w:numPr>
                <w:ilvl w:val="0"/>
                <w:numId w:val="0"/>
              </w:numPr>
              <w:spacing w:before="0" w:after="0"/>
              <w:rPr>
                <w:rFonts w:ascii="Arial Narrow" w:hAnsi="Arial Narrow"/>
                <w:sz w:val="20"/>
                <w:szCs w:val="18"/>
              </w:rPr>
            </w:pPr>
            <w:r>
              <w:rPr>
                <w:rFonts w:ascii="Arial Narrow" w:hAnsi="Arial Narrow"/>
                <w:sz w:val="20"/>
                <w:szCs w:val="18"/>
              </w:rPr>
              <w:t>Cost per 3 weekly cycle</w:t>
            </w:r>
          </w:p>
        </w:tc>
        <w:tc>
          <w:tcPr>
            <w:tcW w:w="1101" w:type="pct"/>
          </w:tcPr>
          <w:p w14:paraId="49495316" w14:textId="374AC937" w:rsidR="00842340" w:rsidRDefault="00AF1E3D" w:rsidP="00530866">
            <w:pPr>
              <w:pStyle w:val="3-BodyText"/>
              <w:numPr>
                <w:ilvl w:val="0"/>
                <w:numId w:val="0"/>
              </w:numPr>
              <w:spacing w:before="0" w:after="0"/>
              <w:rPr>
                <w:rFonts w:ascii="Arial Narrow" w:hAnsi="Arial Narrow"/>
                <w:sz w:val="20"/>
                <w:szCs w:val="18"/>
              </w:rPr>
            </w:pPr>
            <w:r>
              <w:rPr>
                <w:rFonts w:ascii="Arial Narrow" w:hAnsi="Arial Narrow"/>
                <w:sz w:val="20"/>
                <w:szCs w:val="18"/>
              </w:rPr>
              <w:t>$</w:t>
            </w:r>
            <w:r w:rsidR="00C87B5E" w:rsidRPr="00C87B5E">
              <w:rPr>
                <w:rFonts w:ascii="Arial Narrow" w:hAnsi="Arial Narrow"/>
                <w:sz w:val="2"/>
                <w:szCs w:val="18"/>
                <w:highlight w:val="black"/>
              </w:rPr>
              <w:t>redacted content</w:t>
            </w:r>
          </w:p>
        </w:tc>
        <w:tc>
          <w:tcPr>
            <w:tcW w:w="1081" w:type="pct"/>
          </w:tcPr>
          <w:p w14:paraId="1D055407" w14:textId="674ECB1D" w:rsidR="00842340" w:rsidRPr="00391256" w:rsidRDefault="0001283D" w:rsidP="00530866">
            <w:pPr>
              <w:pStyle w:val="3-BodyText"/>
              <w:numPr>
                <w:ilvl w:val="0"/>
                <w:numId w:val="0"/>
              </w:numPr>
              <w:spacing w:before="0" w:after="0"/>
              <w:rPr>
                <w:rFonts w:ascii="Arial Narrow" w:hAnsi="Arial Narrow"/>
                <w:sz w:val="20"/>
                <w:szCs w:val="18"/>
              </w:rPr>
            </w:pPr>
            <w:r w:rsidRPr="00391256">
              <w:rPr>
                <w:rFonts w:ascii="Arial Narrow" w:hAnsi="Arial Narrow"/>
                <w:sz w:val="20"/>
                <w:szCs w:val="18"/>
              </w:rPr>
              <w:t>$</w:t>
            </w:r>
            <w:r w:rsidR="003A29BD" w:rsidRPr="00391256">
              <w:rPr>
                <w:rFonts w:ascii="Arial Narrow" w:hAnsi="Arial Narrow"/>
                <w:sz w:val="20"/>
                <w:szCs w:val="18"/>
              </w:rPr>
              <w:t>3,</w:t>
            </w:r>
            <w:r w:rsidR="00D85B70">
              <w:rPr>
                <w:rFonts w:ascii="Arial Narrow" w:hAnsi="Arial Narrow"/>
                <w:sz w:val="20"/>
                <w:szCs w:val="18"/>
              </w:rPr>
              <w:t>3</w:t>
            </w:r>
            <w:r w:rsidR="003A29BD" w:rsidRPr="00391256">
              <w:rPr>
                <w:rFonts w:ascii="Arial Narrow" w:hAnsi="Arial Narrow"/>
                <w:sz w:val="20"/>
                <w:szCs w:val="18"/>
              </w:rPr>
              <w:t>73.68</w:t>
            </w:r>
          </w:p>
        </w:tc>
        <w:tc>
          <w:tcPr>
            <w:tcW w:w="1249" w:type="pct"/>
          </w:tcPr>
          <w:p w14:paraId="70754CA2" w14:textId="456A582D" w:rsidR="00842340" w:rsidRPr="00391256" w:rsidRDefault="0001283D" w:rsidP="00530866">
            <w:pPr>
              <w:pStyle w:val="3-BodyText"/>
              <w:numPr>
                <w:ilvl w:val="0"/>
                <w:numId w:val="0"/>
              </w:numPr>
              <w:spacing w:before="0" w:after="0"/>
              <w:rPr>
                <w:rFonts w:ascii="Arial Narrow" w:hAnsi="Arial Narrow"/>
                <w:sz w:val="20"/>
                <w:szCs w:val="18"/>
              </w:rPr>
            </w:pPr>
            <w:r w:rsidRPr="00391256">
              <w:rPr>
                <w:rFonts w:ascii="Arial Narrow" w:hAnsi="Arial Narrow"/>
                <w:sz w:val="20"/>
                <w:szCs w:val="18"/>
              </w:rPr>
              <w:t>$645.84</w:t>
            </w:r>
          </w:p>
        </w:tc>
      </w:tr>
      <w:tr w:rsidR="00ED1B19" w:rsidRPr="00E12885" w14:paraId="11D7E558" w14:textId="77777777" w:rsidTr="005A6D59">
        <w:trPr>
          <w:trHeight w:val="183"/>
        </w:trPr>
        <w:tc>
          <w:tcPr>
            <w:tcW w:w="1569" w:type="pct"/>
          </w:tcPr>
          <w:p w14:paraId="25676F8B" w14:textId="39C00BB1" w:rsidR="00ED1B19" w:rsidRDefault="00514BB6" w:rsidP="00530866">
            <w:pPr>
              <w:pStyle w:val="3-BodyText"/>
              <w:numPr>
                <w:ilvl w:val="0"/>
                <w:numId w:val="0"/>
              </w:numPr>
              <w:spacing w:before="0" w:after="0"/>
              <w:rPr>
                <w:rFonts w:ascii="Arial Narrow" w:hAnsi="Arial Narrow"/>
                <w:sz w:val="20"/>
                <w:szCs w:val="18"/>
              </w:rPr>
            </w:pPr>
            <w:r>
              <w:rPr>
                <w:rFonts w:ascii="Arial Narrow" w:hAnsi="Arial Narrow"/>
                <w:sz w:val="20"/>
                <w:szCs w:val="18"/>
              </w:rPr>
              <w:t>Total cost per 3 weekly cycle</w:t>
            </w:r>
          </w:p>
        </w:tc>
        <w:tc>
          <w:tcPr>
            <w:tcW w:w="1101" w:type="pct"/>
          </w:tcPr>
          <w:p w14:paraId="0C2EF0B4" w14:textId="284B8DC2" w:rsidR="00ED1B19" w:rsidRDefault="00514BB6" w:rsidP="00530866">
            <w:pPr>
              <w:pStyle w:val="3-BodyText"/>
              <w:numPr>
                <w:ilvl w:val="0"/>
                <w:numId w:val="0"/>
              </w:numPr>
              <w:spacing w:before="0" w:after="0"/>
              <w:rPr>
                <w:rFonts w:ascii="Arial Narrow" w:hAnsi="Arial Narrow"/>
                <w:sz w:val="20"/>
                <w:szCs w:val="18"/>
              </w:rPr>
            </w:pPr>
            <w:r>
              <w:rPr>
                <w:rFonts w:ascii="Arial Narrow" w:hAnsi="Arial Narrow"/>
                <w:sz w:val="20"/>
                <w:szCs w:val="18"/>
              </w:rPr>
              <w:t>$</w:t>
            </w:r>
            <w:r w:rsidR="00C87B5E" w:rsidRPr="00C87B5E">
              <w:rPr>
                <w:rFonts w:ascii="Arial Narrow" w:hAnsi="Arial Narrow"/>
                <w:sz w:val="2"/>
                <w:szCs w:val="18"/>
                <w:highlight w:val="black"/>
              </w:rPr>
              <w:t>redacted content</w:t>
            </w:r>
          </w:p>
        </w:tc>
        <w:tc>
          <w:tcPr>
            <w:tcW w:w="2330" w:type="pct"/>
            <w:gridSpan w:val="2"/>
          </w:tcPr>
          <w:p w14:paraId="26D343AC" w14:textId="069C6234" w:rsidR="00ED1B19" w:rsidRPr="00391256" w:rsidRDefault="00ED1B19" w:rsidP="00530866">
            <w:pPr>
              <w:pStyle w:val="3-BodyText"/>
              <w:numPr>
                <w:ilvl w:val="0"/>
                <w:numId w:val="0"/>
              </w:numPr>
              <w:spacing w:before="0" w:after="0"/>
              <w:jc w:val="center"/>
              <w:rPr>
                <w:rFonts w:ascii="Arial Narrow" w:hAnsi="Arial Narrow"/>
                <w:sz w:val="20"/>
                <w:szCs w:val="18"/>
              </w:rPr>
            </w:pPr>
            <w:r w:rsidRPr="00391256">
              <w:rPr>
                <w:rFonts w:ascii="Arial Narrow" w:hAnsi="Arial Narrow"/>
                <w:sz w:val="20"/>
                <w:szCs w:val="18"/>
              </w:rPr>
              <w:t>$4,019.53</w:t>
            </w:r>
          </w:p>
        </w:tc>
      </w:tr>
    </w:tbl>
    <w:bookmarkEnd w:id="89"/>
    <w:p w14:paraId="49E321CF" w14:textId="24ECCDBC" w:rsidR="0071785F" w:rsidRPr="005C7877" w:rsidRDefault="002E5E6B" w:rsidP="00530866">
      <w:pPr>
        <w:pStyle w:val="3-BodyText"/>
        <w:numPr>
          <w:ilvl w:val="0"/>
          <w:numId w:val="0"/>
        </w:numPr>
        <w:spacing w:before="0" w:after="0"/>
        <w:ind w:left="720" w:hanging="720"/>
        <w:rPr>
          <w:rFonts w:ascii="Arial Narrow" w:hAnsi="Arial Narrow"/>
          <w:sz w:val="20"/>
          <w:szCs w:val="18"/>
        </w:rPr>
      </w:pPr>
      <w:r w:rsidRPr="00727C81">
        <w:rPr>
          <w:rFonts w:ascii="Arial Narrow" w:hAnsi="Arial Narrow"/>
          <w:sz w:val="18"/>
          <w:szCs w:val="18"/>
        </w:rPr>
        <w:t xml:space="preserve">1. </w:t>
      </w:r>
      <w:r w:rsidR="00A66DF0" w:rsidRPr="00727C81">
        <w:rPr>
          <w:rFonts w:ascii="Arial Narrow" w:hAnsi="Arial Narrow"/>
          <w:sz w:val="18"/>
          <w:szCs w:val="18"/>
        </w:rPr>
        <w:t>Dose</w:t>
      </w:r>
      <w:r w:rsidR="00A66DF0" w:rsidRPr="00727C81">
        <w:rPr>
          <w:rFonts w:ascii="Arial Narrow" w:hAnsi="Arial Narrow"/>
          <w:sz w:val="18"/>
          <w:szCs w:val="16"/>
        </w:rPr>
        <w:t xml:space="preserve"> of </w:t>
      </w:r>
      <w:r w:rsidRPr="00727C81">
        <w:rPr>
          <w:rFonts w:ascii="Arial Narrow" w:hAnsi="Arial Narrow"/>
          <w:sz w:val="18"/>
          <w:szCs w:val="16"/>
        </w:rPr>
        <w:t>15 mg/ kg and a</w:t>
      </w:r>
      <w:r w:rsidR="0071785F" w:rsidRPr="00727C81">
        <w:rPr>
          <w:rFonts w:ascii="Arial Narrow" w:hAnsi="Arial Narrow"/>
          <w:sz w:val="18"/>
          <w:szCs w:val="16"/>
        </w:rPr>
        <w:t>ssuming a mean weight of 65 kg</w:t>
      </w:r>
      <w:r w:rsidR="00606F02" w:rsidRPr="00727C81">
        <w:rPr>
          <w:rFonts w:ascii="Arial Narrow" w:hAnsi="Arial Narrow"/>
          <w:sz w:val="18"/>
          <w:szCs w:val="16"/>
        </w:rPr>
        <w:t>, rounded to 3 vials</w:t>
      </w:r>
    </w:p>
    <w:p w14:paraId="1213FB1D" w14:textId="745A648E" w:rsidR="00E50A74" w:rsidRPr="0098262F" w:rsidRDefault="00E50A74" w:rsidP="00530866">
      <w:pPr>
        <w:pStyle w:val="4-SubsectionHeading"/>
      </w:pPr>
      <w:r w:rsidRPr="0098262F">
        <w:t>Drug</w:t>
      </w:r>
      <w:bookmarkStart w:id="92" w:name="_Toc22897646"/>
      <w:bookmarkStart w:id="93" w:name="_Toc107927632"/>
      <w:r w:rsidRPr="0098262F">
        <w:t xml:space="preserve"> cost/patient/course</w:t>
      </w:r>
      <w:bookmarkEnd w:id="88"/>
      <w:bookmarkEnd w:id="92"/>
      <w:bookmarkEnd w:id="93"/>
    </w:p>
    <w:p w14:paraId="23954F2B" w14:textId="2DF4A73E" w:rsidR="00E50A74" w:rsidRPr="0098262F" w:rsidRDefault="00E50A74" w:rsidP="00530866">
      <w:pPr>
        <w:pStyle w:val="Caption"/>
        <w:rPr>
          <w:rStyle w:val="CommentReference"/>
          <w:b/>
          <w:szCs w:val="24"/>
        </w:rPr>
      </w:pPr>
      <w:bookmarkStart w:id="94" w:name="_Hlk219395970"/>
      <w:bookmarkStart w:id="95" w:name="_Ref104805102"/>
      <w:r>
        <w:t xml:space="preserve">Table </w:t>
      </w:r>
      <w:fldSimple w:instr=" SEQ Table \* ARABIC ">
        <w:r w:rsidR="00D97D5A">
          <w:rPr>
            <w:noProof/>
          </w:rPr>
          <w:t>16</w:t>
        </w:r>
      </w:fldSimple>
      <w:r w:rsidRPr="0098262F">
        <w:t>:</w:t>
      </w:r>
      <w:r w:rsidRPr="0098262F">
        <w:rPr>
          <w:rStyle w:val="CommentReference"/>
          <w:b/>
          <w:szCs w:val="24"/>
        </w:rPr>
        <w:t xml:space="preserve"> Drug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Drug cost per patient for proposed and comparator drugs"/>
      </w:tblPr>
      <w:tblGrid>
        <w:gridCol w:w="987"/>
        <w:gridCol w:w="811"/>
        <w:gridCol w:w="902"/>
        <w:gridCol w:w="902"/>
        <w:gridCol w:w="902"/>
        <w:gridCol w:w="902"/>
        <w:gridCol w:w="905"/>
        <w:gridCol w:w="902"/>
        <w:gridCol w:w="902"/>
        <w:gridCol w:w="902"/>
      </w:tblGrid>
      <w:tr w:rsidR="00E50A74" w:rsidRPr="0098262F" w14:paraId="58C9FF68" w14:textId="77777777" w:rsidTr="0093315B">
        <w:trPr>
          <w:cantSplit/>
          <w:trHeight w:val="143"/>
          <w:tblHeader/>
          <w:jc w:val="center"/>
        </w:trPr>
        <w:tc>
          <w:tcPr>
            <w:tcW w:w="548" w:type="pct"/>
            <w:vMerge w:val="restart"/>
            <w:vAlign w:val="center"/>
          </w:tcPr>
          <w:p w14:paraId="320AF0F9" w14:textId="77777777" w:rsidR="00E50A74" w:rsidRPr="0098262F" w:rsidRDefault="00E50A74" w:rsidP="00530866">
            <w:pPr>
              <w:pStyle w:val="In-tableHeading"/>
            </w:pPr>
          </w:p>
        </w:tc>
        <w:tc>
          <w:tcPr>
            <w:tcW w:w="1450" w:type="pct"/>
            <w:gridSpan w:val="3"/>
            <w:vMerge w:val="restart"/>
            <w:vAlign w:val="center"/>
          </w:tcPr>
          <w:p w14:paraId="68CB5DD1" w14:textId="45E78615" w:rsidR="00E50A74" w:rsidRPr="0098262F" w:rsidRDefault="00E50A74" w:rsidP="00530866">
            <w:pPr>
              <w:pStyle w:val="In-tableHeading"/>
              <w:jc w:val="center"/>
            </w:pPr>
            <w:proofErr w:type="spellStart"/>
            <w:r w:rsidRPr="00252973">
              <w:t>Am</w:t>
            </w:r>
            <w:r>
              <w:t>iCP</w:t>
            </w:r>
            <w:proofErr w:type="spellEnd"/>
            <w:r w:rsidR="00BA2BD6">
              <w:t xml:space="preserve"> (</w:t>
            </w:r>
            <w:proofErr w:type="spellStart"/>
            <w:r w:rsidR="00BA2BD6">
              <w:t>amivantamab</w:t>
            </w:r>
            <w:proofErr w:type="spellEnd"/>
            <w:r w:rsidR="00434DB4">
              <w:t xml:space="preserve"> only</w:t>
            </w:r>
            <w:r w:rsidR="00BA2BD6">
              <w:t>)</w:t>
            </w:r>
          </w:p>
        </w:tc>
        <w:tc>
          <w:tcPr>
            <w:tcW w:w="3002" w:type="pct"/>
            <w:gridSpan w:val="6"/>
            <w:vAlign w:val="center"/>
          </w:tcPr>
          <w:p w14:paraId="5CDB0134" w14:textId="77777777" w:rsidR="00E50A74" w:rsidRPr="0098262F" w:rsidRDefault="00E50A74" w:rsidP="00530866">
            <w:pPr>
              <w:pStyle w:val="In-tableHeading"/>
              <w:jc w:val="center"/>
            </w:pPr>
            <w:r>
              <w:t>Comparators</w:t>
            </w:r>
          </w:p>
        </w:tc>
      </w:tr>
      <w:tr w:rsidR="00E50A74" w:rsidRPr="0098262F" w14:paraId="4D5CC907" w14:textId="77777777" w:rsidTr="0093315B">
        <w:trPr>
          <w:cantSplit/>
          <w:tblHeader/>
          <w:jc w:val="center"/>
        </w:trPr>
        <w:tc>
          <w:tcPr>
            <w:tcW w:w="548" w:type="pct"/>
            <w:vMerge/>
            <w:vAlign w:val="center"/>
          </w:tcPr>
          <w:p w14:paraId="5858189D" w14:textId="77777777" w:rsidR="00E50A74" w:rsidRPr="0098262F" w:rsidRDefault="00E50A74" w:rsidP="00530866">
            <w:pPr>
              <w:pStyle w:val="In-tableHeading"/>
            </w:pPr>
          </w:p>
        </w:tc>
        <w:tc>
          <w:tcPr>
            <w:tcW w:w="1450" w:type="pct"/>
            <w:gridSpan w:val="3"/>
            <w:vMerge/>
            <w:vAlign w:val="center"/>
          </w:tcPr>
          <w:p w14:paraId="46B52516" w14:textId="77777777" w:rsidR="00E50A74" w:rsidRPr="00252973" w:rsidRDefault="00E50A74" w:rsidP="00530866">
            <w:pPr>
              <w:pStyle w:val="In-tableHeading"/>
              <w:jc w:val="center"/>
            </w:pPr>
          </w:p>
        </w:tc>
        <w:tc>
          <w:tcPr>
            <w:tcW w:w="1502" w:type="pct"/>
            <w:gridSpan w:val="3"/>
            <w:vAlign w:val="center"/>
          </w:tcPr>
          <w:p w14:paraId="2E5CA5F8" w14:textId="77777777" w:rsidR="00E50A74" w:rsidRDefault="00E50A74" w:rsidP="00530866">
            <w:pPr>
              <w:pStyle w:val="In-tableHeading"/>
              <w:jc w:val="center"/>
            </w:pPr>
            <w:r>
              <w:t>CP</w:t>
            </w:r>
          </w:p>
        </w:tc>
        <w:tc>
          <w:tcPr>
            <w:tcW w:w="1500" w:type="pct"/>
            <w:gridSpan w:val="3"/>
            <w:vAlign w:val="center"/>
          </w:tcPr>
          <w:p w14:paraId="3357E0EE" w14:textId="77777777" w:rsidR="00E50A74" w:rsidRDefault="00E50A74" w:rsidP="00530866">
            <w:pPr>
              <w:pStyle w:val="In-tableHeading"/>
              <w:jc w:val="center"/>
            </w:pPr>
            <w:r>
              <w:t>ABCP</w:t>
            </w:r>
          </w:p>
        </w:tc>
      </w:tr>
      <w:tr w:rsidR="00E50A74" w:rsidRPr="0098262F" w14:paraId="10133C13" w14:textId="77777777" w:rsidTr="0093315B">
        <w:trPr>
          <w:cantSplit/>
          <w:tblHeader/>
          <w:jc w:val="center"/>
        </w:trPr>
        <w:tc>
          <w:tcPr>
            <w:tcW w:w="548" w:type="pct"/>
            <w:vMerge/>
            <w:vAlign w:val="center"/>
          </w:tcPr>
          <w:p w14:paraId="7B98DEB7" w14:textId="77777777" w:rsidR="00E50A74" w:rsidRPr="0098262F" w:rsidRDefault="00E50A74" w:rsidP="00530866">
            <w:pPr>
              <w:pStyle w:val="In-tableHeading"/>
            </w:pPr>
          </w:p>
        </w:tc>
        <w:tc>
          <w:tcPr>
            <w:tcW w:w="450" w:type="pct"/>
            <w:vAlign w:val="center"/>
          </w:tcPr>
          <w:p w14:paraId="32A51621" w14:textId="77777777" w:rsidR="00E50A74" w:rsidRPr="0098262F" w:rsidRDefault="00E50A74" w:rsidP="00530866">
            <w:pPr>
              <w:pStyle w:val="In-tableHeading"/>
              <w:jc w:val="center"/>
            </w:pPr>
            <w:r w:rsidRPr="00520A76">
              <w:t>Trial</w:t>
            </w:r>
          </w:p>
        </w:tc>
        <w:tc>
          <w:tcPr>
            <w:tcW w:w="500" w:type="pct"/>
            <w:vAlign w:val="center"/>
          </w:tcPr>
          <w:p w14:paraId="024ECF60" w14:textId="77777777" w:rsidR="00E50A74" w:rsidRPr="0098262F" w:rsidRDefault="00E50A74" w:rsidP="00530866">
            <w:pPr>
              <w:pStyle w:val="In-tableHeading"/>
              <w:jc w:val="center"/>
            </w:pPr>
            <w:r w:rsidRPr="00520A76">
              <w:t>Model</w:t>
            </w:r>
          </w:p>
        </w:tc>
        <w:tc>
          <w:tcPr>
            <w:tcW w:w="500" w:type="pct"/>
            <w:vAlign w:val="center"/>
          </w:tcPr>
          <w:p w14:paraId="2476521F" w14:textId="77777777" w:rsidR="00E50A74" w:rsidRPr="0098262F" w:rsidRDefault="00E50A74" w:rsidP="00530866">
            <w:pPr>
              <w:pStyle w:val="In-tableHeading"/>
              <w:jc w:val="center"/>
            </w:pPr>
            <w:r w:rsidRPr="00520A76">
              <w:t>Financial estimates</w:t>
            </w:r>
          </w:p>
        </w:tc>
        <w:tc>
          <w:tcPr>
            <w:tcW w:w="500" w:type="pct"/>
            <w:vAlign w:val="center"/>
          </w:tcPr>
          <w:p w14:paraId="6A39243C" w14:textId="77777777" w:rsidR="00E50A74" w:rsidRPr="0098262F" w:rsidRDefault="00E50A74" w:rsidP="00530866">
            <w:pPr>
              <w:pStyle w:val="In-tableHeading"/>
              <w:jc w:val="center"/>
            </w:pPr>
            <w:r w:rsidRPr="001B7F21">
              <w:t>Trial</w:t>
            </w:r>
          </w:p>
        </w:tc>
        <w:tc>
          <w:tcPr>
            <w:tcW w:w="500" w:type="pct"/>
            <w:vAlign w:val="center"/>
          </w:tcPr>
          <w:p w14:paraId="2D3012C0" w14:textId="77777777" w:rsidR="00E50A74" w:rsidRPr="0098262F" w:rsidRDefault="00E50A74" w:rsidP="00530866">
            <w:pPr>
              <w:pStyle w:val="In-tableHeading"/>
              <w:jc w:val="center"/>
            </w:pPr>
            <w:r w:rsidRPr="001B7F21">
              <w:t>Model</w:t>
            </w:r>
          </w:p>
        </w:tc>
        <w:tc>
          <w:tcPr>
            <w:tcW w:w="501" w:type="pct"/>
            <w:vAlign w:val="center"/>
          </w:tcPr>
          <w:p w14:paraId="284C1A61" w14:textId="77777777" w:rsidR="00E50A74" w:rsidRPr="0098262F" w:rsidRDefault="00E50A74" w:rsidP="00530866">
            <w:pPr>
              <w:pStyle w:val="In-tableHeading"/>
              <w:jc w:val="center"/>
            </w:pPr>
            <w:r w:rsidRPr="001B7F21">
              <w:t>Financial estimates</w:t>
            </w:r>
          </w:p>
        </w:tc>
        <w:tc>
          <w:tcPr>
            <w:tcW w:w="500" w:type="pct"/>
            <w:vAlign w:val="center"/>
          </w:tcPr>
          <w:p w14:paraId="0A9CD1C9" w14:textId="77777777" w:rsidR="00E50A74" w:rsidRPr="0098262F" w:rsidRDefault="00E50A74" w:rsidP="00530866">
            <w:pPr>
              <w:pStyle w:val="In-tableHeading"/>
              <w:jc w:val="center"/>
            </w:pPr>
            <w:r w:rsidRPr="006D20F1">
              <w:t>Trial</w:t>
            </w:r>
          </w:p>
        </w:tc>
        <w:tc>
          <w:tcPr>
            <w:tcW w:w="500" w:type="pct"/>
            <w:vAlign w:val="center"/>
          </w:tcPr>
          <w:p w14:paraId="3D28B7A1" w14:textId="77777777" w:rsidR="00E50A74" w:rsidRPr="0098262F" w:rsidRDefault="00E50A74" w:rsidP="00530866">
            <w:pPr>
              <w:pStyle w:val="In-tableHeading"/>
              <w:jc w:val="center"/>
            </w:pPr>
            <w:r w:rsidRPr="006D20F1">
              <w:t>Model</w:t>
            </w:r>
          </w:p>
        </w:tc>
        <w:tc>
          <w:tcPr>
            <w:tcW w:w="500" w:type="pct"/>
            <w:vAlign w:val="center"/>
          </w:tcPr>
          <w:p w14:paraId="5E196A63" w14:textId="77777777" w:rsidR="00E50A74" w:rsidRPr="0098262F" w:rsidRDefault="00E50A74" w:rsidP="00530866">
            <w:pPr>
              <w:pStyle w:val="In-tableHeading"/>
              <w:jc w:val="center"/>
            </w:pPr>
            <w:r w:rsidRPr="006D20F1">
              <w:t>Financial estimates</w:t>
            </w:r>
          </w:p>
        </w:tc>
      </w:tr>
      <w:tr w:rsidR="00E50A74" w:rsidRPr="0098262F" w14:paraId="3C0B7792" w14:textId="77777777" w:rsidTr="0093315B">
        <w:trPr>
          <w:cantSplit/>
          <w:jc w:val="center"/>
        </w:trPr>
        <w:tc>
          <w:tcPr>
            <w:tcW w:w="548" w:type="pct"/>
            <w:vAlign w:val="center"/>
          </w:tcPr>
          <w:p w14:paraId="4CF44BCA" w14:textId="0EB9A38E" w:rsidR="00E50A74" w:rsidRPr="0098262F" w:rsidRDefault="00E50A74" w:rsidP="00530866">
            <w:pPr>
              <w:pStyle w:val="TableText0"/>
              <w:jc w:val="center"/>
            </w:pPr>
            <w:r w:rsidRPr="0098262F">
              <w:t>Mean duration</w:t>
            </w:r>
            <w:r>
              <w:t xml:space="preserve"> </w:t>
            </w:r>
            <w:r w:rsidR="00387DD2">
              <w:t>(months)</w:t>
            </w:r>
          </w:p>
        </w:tc>
        <w:tc>
          <w:tcPr>
            <w:tcW w:w="450" w:type="pct"/>
            <w:vAlign w:val="center"/>
          </w:tcPr>
          <w:p w14:paraId="530C68A3" w14:textId="77777777" w:rsidR="00E50A74" w:rsidRPr="002214E4" w:rsidRDefault="00E50A74" w:rsidP="00530866">
            <w:pPr>
              <w:pStyle w:val="TableText0"/>
              <w:jc w:val="center"/>
            </w:pPr>
            <w:r w:rsidRPr="002214E4">
              <w:t>6.49</w:t>
            </w:r>
            <w:r>
              <w:t xml:space="preserve"> </w:t>
            </w:r>
            <w:r>
              <w:rPr>
                <w:vertAlign w:val="superscript"/>
              </w:rPr>
              <w:t>a</w:t>
            </w:r>
          </w:p>
        </w:tc>
        <w:tc>
          <w:tcPr>
            <w:tcW w:w="500" w:type="pct"/>
            <w:vAlign w:val="center"/>
          </w:tcPr>
          <w:p w14:paraId="1E171068" w14:textId="77777777" w:rsidR="00E50A74" w:rsidRPr="00FB0205" w:rsidRDefault="00E50A74" w:rsidP="00530866">
            <w:pPr>
              <w:pStyle w:val="TableText0"/>
              <w:jc w:val="center"/>
            </w:pPr>
            <w:r w:rsidRPr="00FB0205">
              <w:t xml:space="preserve">9.14 </w:t>
            </w:r>
            <w:r w:rsidRPr="00FB0205">
              <w:rPr>
                <w:vertAlign w:val="superscript"/>
              </w:rPr>
              <w:t>b</w:t>
            </w:r>
          </w:p>
        </w:tc>
        <w:tc>
          <w:tcPr>
            <w:tcW w:w="500" w:type="pct"/>
            <w:vAlign w:val="center"/>
          </w:tcPr>
          <w:p w14:paraId="75DD1B6D" w14:textId="77777777" w:rsidR="00E50A74" w:rsidRPr="00FB0205" w:rsidRDefault="00E50A74" w:rsidP="00530866">
            <w:pPr>
              <w:pStyle w:val="TableText0"/>
              <w:jc w:val="center"/>
              <w:rPr>
                <w:vertAlign w:val="superscript"/>
              </w:rPr>
            </w:pPr>
            <w:r w:rsidRPr="00FB0205">
              <w:t xml:space="preserve">9.14 </w:t>
            </w:r>
            <w:r w:rsidRPr="00FB0205">
              <w:rPr>
                <w:vertAlign w:val="superscript"/>
              </w:rPr>
              <w:t>b</w:t>
            </w:r>
          </w:p>
        </w:tc>
        <w:tc>
          <w:tcPr>
            <w:tcW w:w="500" w:type="pct"/>
            <w:vAlign w:val="center"/>
          </w:tcPr>
          <w:p w14:paraId="3E7226E6" w14:textId="77777777" w:rsidR="00E50A74" w:rsidRPr="009E237A" w:rsidRDefault="00E50A74" w:rsidP="00530866">
            <w:pPr>
              <w:pStyle w:val="TableText0"/>
              <w:jc w:val="center"/>
            </w:pPr>
            <w:r w:rsidRPr="009E237A">
              <w:t xml:space="preserve">4.20 </w:t>
            </w:r>
            <w:r w:rsidRPr="009E237A">
              <w:rPr>
                <w:vertAlign w:val="superscript"/>
              </w:rPr>
              <w:t>a</w:t>
            </w:r>
          </w:p>
        </w:tc>
        <w:tc>
          <w:tcPr>
            <w:tcW w:w="500" w:type="pct"/>
            <w:vAlign w:val="center"/>
          </w:tcPr>
          <w:p w14:paraId="3C4B1A99" w14:textId="77777777" w:rsidR="00E50A74" w:rsidRPr="009E237A" w:rsidRDefault="00E50A74" w:rsidP="00530866">
            <w:pPr>
              <w:pStyle w:val="TableText0"/>
              <w:jc w:val="center"/>
            </w:pPr>
            <w:r w:rsidRPr="009E237A">
              <w:t xml:space="preserve">6.84 </w:t>
            </w:r>
            <w:r w:rsidRPr="009E237A">
              <w:rPr>
                <w:vertAlign w:val="superscript"/>
              </w:rPr>
              <w:t>b</w:t>
            </w:r>
          </w:p>
        </w:tc>
        <w:tc>
          <w:tcPr>
            <w:tcW w:w="501" w:type="pct"/>
            <w:vAlign w:val="center"/>
          </w:tcPr>
          <w:p w14:paraId="28483FA4" w14:textId="77777777" w:rsidR="00E50A74" w:rsidRPr="009E237A" w:rsidRDefault="00E50A74" w:rsidP="00530866">
            <w:pPr>
              <w:pStyle w:val="TableText0"/>
              <w:jc w:val="center"/>
            </w:pPr>
            <w:r w:rsidRPr="009E237A">
              <w:t xml:space="preserve">6.84 </w:t>
            </w:r>
            <w:r w:rsidRPr="009E237A">
              <w:rPr>
                <w:vertAlign w:val="superscript"/>
              </w:rPr>
              <w:t>b</w:t>
            </w:r>
          </w:p>
        </w:tc>
        <w:tc>
          <w:tcPr>
            <w:tcW w:w="500" w:type="pct"/>
            <w:vAlign w:val="center"/>
          </w:tcPr>
          <w:p w14:paraId="76BE4B2B" w14:textId="77777777" w:rsidR="00E50A74" w:rsidRPr="009E237A" w:rsidRDefault="00E50A74" w:rsidP="00530866">
            <w:pPr>
              <w:pStyle w:val="TableText0"/>
              <w:jc w:val="center"/>
              <w:rPr>
                <w:vertAlign w:val="superscript"/>
              </w:rPr>
            </w:pPr>
            <w:r w:rsidRPr="009E237A">
              <w:t xml:space="preserve">12.41 </w:t>
            </w:r>
            <w:r w:rsidRPr="009E237A">
              <w:rPr>
                <w:vertAlign w:val="superscript"/>
              </w:rPr>
              <w:t>g</w:t>
            </w:r>
          </w:p>
        </w:tc>
        <w:tc>
          <w:tcPr>
            <w:tcW w:w="500" w:type="pct"/>
            <w:vAlign w:val="center"/>
          </w:tcPr>
          <w:p w14:paraId="7D56B398" w14:textId="77777777" w:rsidR="00E50A74" w:rsidRPr="009E237A" w:rsidRDefault="00E50A74" w:rsidP="00530866">
            <w:pPr>
              <w:pStyle w:val="TableText0"/>
              <w:jc w:val="center"/>
              <w:rPr>
                <w:vertAlign w:val="superscript"/>
              </w:rPr>
            </w:pPr>
            <w:r w:rsidRPr="009E237A">
              <w:t xml:space="preserve">6.84 </w:t>
            </w:r>
            <w:r w:rsidRPr="009E237A">
              <w:rPr>
                <w:vertAlign w:val="superscript"/>
              </w:rPr>
              <w:t>b</w:t>
            </w:r>
          </w:p>
        </w:tc>
        <w:tc>
          <w:tcPr>
            <w:tcW w:w="500" w:type="pct"/>
            <w:vAlign w:val="center"/>
          </w:tcPr>
          <w:p w14:paraId="0234BB8B" w14:textId="77777777" w:rsidR="00E50A74" w:rsidRPr="009E237A" w:rsidRDefault="00E50A74" w:rsidP="00530866">
            <w:pPr>
              <w:pStyle w:val="TableText0"/>
              <w:jc w:val="center"/>
            </w:pPr>
            <w:r w:rsidRPr="009E237A">
              <w:t xml:space="preserve">6.84 </w:t>
            </w:r>
            <w:r w:rsidRPr="009E237A">
              <w:rPr>
                <w:vertAlign w:val="superscript"/>
              </w:rPr>
              <w:t>b</w:t>
            </w:r>
          </w:p>
        </w:tc>
      </w:tr>
      <w:tr w:rsidR="00E50A74" w:rsidRPr="0098262F" w14:paraId="262CB0D4" w14:textId="77777777" w:rsidTr="0093315B">
        <w:trPr>
          <w:cantSplit/>
          <w:jc w:val="center"/>
        </w:trPr>
        <w:tc>
          <w:tcPr>
            <w:tcW w:w="548" w:type="pct"/>
            <w:vAlign w:val="center"/>
          </w:tcPr>
          <w:p w14:paraId="1EF6FF19" w14:textId="77777777" w:rsidR="00E50A74" w:rsidRPr="0098262F" w:rsidRDefault="00E50A74" w:rsidP="00530866">
            <w:pPr>
              <w:pStyle w:val="TableText0"/>
              <w:jc w:val="center"/>
            </w:pPr>
            <w:r w:rsidRPr="0098262F">
              <w:t>Cost/patient/month</w:t>
            </w:r>
          </w:p>
        </w:tc>
        <w:tc>
          <w:tcPr>
            <w:tcW w:w="450" w:type="pct"/>
            <w:vAlign w:val="center"/>
          </w:tcPr>
          <w:p w14:paraId="04A53183" w14:textId="1192CD71" w:rsidR="00E50A74" w:rsidRPr="00950CEC" w:rsidRDefault="00E50A74" w:rsidP="00530866">
            <w:pPr>
              <w:pStyle w:val="TableText0"/>
              <w:jc w:val="center"/>
              <w:rPr>
                <w:vertAlign w:val="superscript"/>
              </w:rPr>
            </w:pPr>
            <w:r w:rsidRPr="00950CEC">
              <w:t>$</w:t>
            </w:r>
            <w:r w:rsidR="00C87B5E" w:rsidRPr="00C87B5E">
              <w:rPr>
                <w:sz w:val="2"/>
                <w:highlight w:val="black"/>
              </w:rPr>
              <w:t>redacted content</w:t>
            </w:r>
            <w:r>
              <w:t xml:space="preserve"> </w:t>
            </w:r>
            <w:r>
              <w:rPr>
                <w:vertAlign w:val="superscript"/>
              </w:rPr>
              <w:t>c</w:t>
            </w:r>
          </w:p>
        </w:tc>
        <w:tc>
          <w:tcPr>
            <w:tcW w:w="500" w:type="pct"/>
            <w:vAlign w:val="center"/>
          </w:tcPr>
          <w:p w14:paraId="50691062" w14:textId="7D028AE6" w:rsidR="00E50A74" w:rsidRPr="00985E13" w:rsidRDefault="00E50A74" w:rsidP="00530866">
            <w:pPr>
              <w:pStyle w:val="TableText0"/>
              <w:jc w:val="center"/>
              <w:rPr>
                <w:vertAlign w:val="superscript"/>
              </w:rPr>
            </w:pPr>
            <w:r w:rsidRPr="00EA24ED">
              <w:t>$</w:t>
            </w:r>
            <w:r w:rsidR="00C87B5E" w:rsidRPr="00C87B5E">
              <w:rPr>
                <w:sz w:val="2"/>
                <w:highlight w:val="black"/>
              </w:rPr>
              <w:t>redacted content</w:t>
            </w:r>
            <w:r>
              <w:t xml:space="preserve"> </w:t>
            </w:r>
            <w:r>
              <w:rPr>
                <w:vertAlign w:val="superscript"/>
              </w:rPr>
              <w:t>c</w:t>
            </w:r>
          </w:p>
        </w:tc>
        <w:tc>
          <w:tcPr>
            <w:tcW w:w="500" w:type="pct"/>
            <w:vAlign w:val="center"/>
          </w:tcPr>
          <w:p w14:paraId="69A6565E" w14:textId="0414F7AD" w:rsidR="00E50A74" w:rsidRPr="00F953AF" w:rsidRDefault="00E50A74" w:rsidP="00530866">
            <w:pPr>
              <w:pStyle w:val="TableText0"/>
              <w:jc w:val="center"/>
              <w:rPr>
                <w:vertAlign w:val="superscript"/>
              </w:rPr>
            </w:pPr>
            <w:r w:rsidRPr="00F953AF">
              <w:t>$</w:t>
            </w:r>
            <w:r w:rsidR="00C87B5E" w:rsidRPr="00C87B5E">
              <w:rPr>
                <w:sz w:val="2"/>
                <w:highlight w:val="black"/>
              </w:rPr>
              <w:t>redacted content</w:t>
            </w:r>
            <w:r w:rsidR="001A42A5" w:rsidRPr="00F953AF">
              <w:t xml:space="preserve"> </w:t>
            </w:r>
            <w:r w:rsidRPr="00F953AF">
              <w:rPr>
                <w:vertAlign w:val="superscript"/>
              </w:rPr>
              <w:t>e</w:t>
            </w:r>
          </w:p>
        </w:tc>
        <w:tc>
          <w:tcPr>
            <w:tcW w:w="500" w:type="pct"/>
            <w:vAlign w:val="center"/>
          </w:tcPr>
          <w:p w14:paraId="2D4C3B07" w14:textId="77777777" w:rsidR="00E50A74" w:rsidRPr="009E237A" w:rsidRDefault="00E50A74" w:rsidP="00530866">
            <w:pPr>
              <w:pStyle w:val="TableText0"/>
              <w:jc w:val="center"/>
              <w:rPr>
                <w:vertAlign w:val="superscript"/>
              </w:rPr>
            </w:pPr>
            <w:r w:rsidRPr="009E237A">
              <w:t xml:space="preserve">$279 </w:t>
            </w:r>
            <w:r w:rsidRPr="009E237A">
              <w:rPr>
                <w:vertAlign w:val="superscript"/>
              </w:rPr>
              <w:t>h</w:t>
            </w:r>
          </w:p>
        </w:tc>
        <w:tc>
          <w:tcPr>
            <w:tcW w:w="500" w:type="pct"/>
            <w:vAlign w:val="center"/>
          </w:tcPr>
          <w:p w14:paraId="60813E14" w14:textId="77777777" w:rsidR="00E50A74" w:rsidRPr="009E237A" w:rsidRDefault="00E50A74" w:rsidP="00530866">
            <w:pPr>
              <w:pStyle w:val="TableText0"/>
              <w:jc w:val="center"/>
              <w:rPr>
                <w:vertAlign w:val="superscript"/>
              </w:rPr>
            </w:pPr>
            <w:r w:rsidRPr="009E237A">
              <w:t>$279</w:t>
            </w:r>
            <w:r w:rsidRPr="009E237A">
              <w:rPr>
                <w:vertAlign w:val="superscript"/>
              </w:rPr>
              <w:t xml:space="preserve"> c</w:t>
            </w:r>
          </w:p>
        </w:tc>
        <w:tc>
          <w:tcPr>
            <w:tcW w:w="501" w:type="pct"/>
            <w:vAlign w:val="center"/>
          </w:tcPr>
          <w:p w14:paraId="59376A7E" w14:textId="77777777" w:rsidR="00E50A74" w:rsidRPr="009E237A" w:rsidRDefault="00E50A74" w:rsidP="00530866">
            <w:pPr>
              <w:pStyle w:val="TableText0"/>
              <w:jc w:val="center"/>
            </w:pPr>
            <w:r w:rsidRPr="009E237A">
              <w:t xml:space="preserve">$289 </w:t>
            </w:r>
            <w:r w:rsidRPr="009E237A">
              <w:rPr>
                <w:vertAlign w:val="superscript"/>
              </w:rPr>
              <w:t>e</w:t>
            </w:r>
          </w:p>
        </w:tc>
        <w:tc>
          <w:tcPr>
            <w:tcW w:w="500" w:type="pct"/>
            <w:vAlign w:val="center"/>
          </w:tcPr>
          <w:p w14:paraId="3DFD4CD3" w14:textId="77777777" w:rsidR="00E50A74" w:rsidRPr="009E237A" w:rsidRDefault="00E50A74" w:rsidP="00530866">
            <w:pPr>
              <w:pStyle w:val="TableText0"/>
              <w:jc w:val="center"/>
              <w:rPr>
                <w:vertAlign w:val="superscript"/>
              </w:rPr>
            </w:pPr>
            <w:r w:rsidRPr="009E237A">
              <w:t xml:space="preserve">$4,534 </w:t>
            </w:r>
            <w:r w:rsidRPr="009E237A">
              <w:rPr>
                <w:vertAlign w:val="superscript"/>
              </w:rPr>
              <w:t>i</w:t>
            </w:r>
          </w:p>
        </w:tc>
        <w:tc>
          <w:tcPr>
            <w:tcW w:w="500" w:type="pct"/>
            <w:vAlign w:val="center"/>
          </w:tcPr>
          <w:p w14:paraId="39790774" w14:textId="77777777" w:rsidR="00E50A74" w:rsidRPr="009E237A" w:rsidRDefault="00E50A74" w:rsidP="00530866">
            <w:pPr>
              <w:pStyle w:val="TableText0"/>
              <w:jc w:val="center"/>
              <w:rPr>
                <w:vertAlign w:val="superscript"/>
              </w:rPr>
            </w:pPr>
            <w:r w:rsidRPr="009E237A">
              <w:t xml:space="preserve">$6,067 </w:t>
            </w:r>
            <w:r w:rsidRPr="009E237A">
              <w:rPr>
                <w:vertAlign w:val="superscript"/>
              </w:rPr>
              <w:t>c</w:t>
            </w:r>
          </w:p>
        </w:tc>
        <w:tc>
          <w:tcPr>
            <w:tcW w:w="500" w:type="pct"/>
            <w:vAlign w:val="center"/>
          </w:tcPr>
          <w:p w14:paraId="731FCDF2" w14:textId="77777777" w:rsidR="00E50A74" w:rsidRPr="009E237A" w:rsidRDefault="00E50A74" w:rsidP="00530866">
            <w:pPr>
              <w:pStyle w:val="TableText0"/>
              <w:jc w:val="center"/>
            </w:pPr>
            <w:r w:rsidRPr="009E237A">
              <w:t xml:space="preserve">$6,137 </w:t>
            </w:r>
            <w:r w:rsidRPr="009E237A">
              <w:rPr>
                <w:vertAlign w:val="superscript"/>
              </w:rPr>
              <w:t>e</w:t>
            </w:r>
          </w:p>
        </w:tc>
      </w:tr>
      <w:tr w:rsidR="00E50A74" w:rsidRPr="0098262F" w14:paraId="2647C3AA" w14:textId="77777777" w:rsidTr="0093315B">
        <w:trPr>
          <w:cantSplit/>
          <w:jc w:val="center"/>
        </w:trPr>
        <w:tc>
          <w:tcPr>
            <w:tcW w:w="548" w:type="pct"/>
            <w:vAlign w:val="center"/>
          </w:tcPr>
          <w:p w14:paraId="1B888EDB" w14:textId="77777777" w:rsidR="00E50A74" w:rsidRPr="0098262F" w:rsidRDefault="00E50A74" w:rsidP="00530866">
            <w:pPr>
              <w:pStyle w:val="TableText0"/>
              <w:jc w:val="center"/>
            </w:pPr>
            <w:r w:rsidRPr="0098262F">
              <w:t>Cost/patient/course</w:t>
            </w:r>
          </w:p>
        </w:tc>
        <w:tc>
          <w:tcPr>
            <w:tcW w:w="450" w:type="pct"/>
            <w:vAlign w:val="center"/>
          </w:tcPr>
          <w:p w14:paraId="60DD393B" w14:textId="2B02F8B7" w:rsidR="00E50A74" w:rsidRPr="002214E4" w:rsidRDefault="00E50A74" w:rsidP="00530866">
            <w:pPr>
              <w:pStyle w:val="TableText0"/>
              <w:jc w:val="center"/>
            </w:pPr>
            <w:r w:rsidRPr="00B44156">
              <w:t>$</w:t>
            </w:r>
            <w:r w:rsidR="00C87B5E" w:rsidRPr="00C87B5E">
              <w:rPr>
                <w:sz w:val="2"/>
                <w:highlight w:val="black"/>
              </w:rPr>
              <w:t>redacted content</w:t>
            </w:r>
            <w:r>
              <w:t xml:space="preserve"> </w:t>
            </w:r>
            <w:r>
              <w:rPr>
                <w:vertAlign w:val="superscript"/>
              </w:rPr>
              <w:t>h</w:t>
            </w:r>
          </w:p>
        </w:tc>
        <w:tc>
          <w:tcPr>
            <w:tcW w:w="500" w:type="pct"/>
            <w:vAlign w:val="center"/>
          </w:tcPr>
          <w:p w14:paraId="21E965D3" w14:textId="6EE7BFDA" w:rsidR="004670E8" w:rsidRPr="00985E13" w:rsidRDefault="00E50A74" w:rsidP="00530866">
            <w:pPr>
              <w:pStyle w:val="TableText0"/>
              <w:rPr>
                <w:vertAlign w:val="superscript"/>
              </w:rPr>
            </w:pPr>
            <w:r w:rsidRPr="001D36DB">
              <w:t>$</w:t>
            </w:r>
            <w:r w:rsidR="00C87B5E" w:rsidRPr="00C87B5E">
              <w:rPr>
                <w:sz w:val="2"/>
                <w:highlight w:val="black"/>
              </w:rPr>
              <w:t>redacted content</w:t>
            </w:r>
            <w:r>
              <w:t xml:space="preserve"> </w:t>
            </w:r>
            <w:r>
              <w:rPr>
                <w:vertAlign w:val="superscript"/>
              </w:rPr>
              <w:t>d</w:t>
            </w:r>
          </w:p>
        </w:tc>
        <w:tc>
          <w:tcPr>
            <w:tcW w:w="500" w:type="pct"/>
            <w:vAlign w:val="center"/>
          </w:tcPr>
          <w:p w14:paraId="11F41DE1" w14:textId="6AA383B3" w:rsidR="00E50A74" w:rsidRPr="00F953AF" w:rsidRDefault="00E50A74" w:rsidP="00530866">
            <w:pPr>
              <w:pStyle w:val="TableText0"/>
              <w:jc w:val="center"/>
              <w:rPr>
                <w:vertAlign w:val="superscript"/>
              </w:rPr>
            </w:pPr>
            <w:r w:rsidRPr="00F953AF">
              <w:t>$</w:t>
            </w:r>
            <w:r w:rsidR="00C87B5E" w:rsidRPr="00C87B5E">
              <w:rPr>
                <w:sz w:val="2"/>
                <w:highlight w:val="black"/>
              </w:rPr>
              <w:t>redacted content</w:t>
            </w:r>
            <w:r w:rsidR="00F121CF" w:rsidRPr="00F953AF">
              <w:t xml:space="preserve"> </w:t>
            </w:r>
            <w:r w:rsidRPr="00F953AF">
              <w:rPr>
                <w:vertAlign w:val="superscript"/>
              </w:rPr>
              <w:t>f</w:t>
            </w:r>
          </w:p>
        </w:tc>
        <w:tc>
          <w:tcPr>
            <w:tcW w:w="500" w:type="pct"/>
            <w:vAlign w:val="center"/>
          </w:tcPr>
          <w:p w14:paraId="5D2B0C7D" w14:textId="77777777" w:rsidR="00E50A74" w:rsidRPr="009E237A" w:rsidRDefault="00E50A74" w:rsidP="00530866">
            <w:pPr>
              <w:pStyle w:val="TableText0"/>
              <w:jc w:val="center"/>
              <w:rPr>
                <w:vertAlign w:val="superscript"/>
              </w:rPr>
            </w:pPr>
            <w:r w:rsidRPr="009E237A">
              <w:t xml:space="preserve">$1,172 </w:t>
            </w:r>
            <w:r w:rsidRPr="009E237A">
              <w:rPr>
                <w:vertAlign w:val="superscript"/>
              </w:rPr>
              <w:t>h</w:t>
            </w:r>
          </w:p>
        </w:tc>
        <w:tc>
          <w:tcPr>
            <w:tcW w:w="500" w:type="pct"/>
            <w:vAlign w:val="center"/>
          </w:tcPr>
          <w:p w14:paraId="578B09C0" w14:textId="77777777" w:rsidR="00E50A74" w:rsidRPr="009E237A" w:rsidRDefault="00E50A74" w:rsidP="00530866">
            <w:pPr>
              <w:pStyle w:val="TableText0"/>
              <w:jc w:val="center"/>
              <w:rPr>
                <w:vertAlign w:val="superscript"/>
              </w:rPr>
            </w:pPr>
            <w:r w:rsidRPr="009E237A">
              <w:t xml:space="preserve">$1,909 </w:t>
            </w:r>
            <w:r w:rsidRPr="009E237A">
              <w:rPr>
                <w:vertAlign w:val="superscript"/>
              </w:rPr>
              <w:t>d</w:t>
            </w:r>
          </w:p>
        </w:tc>
        <w:tc>
          <w:tcPr>
            <w:tcW w:w="501" w:type="pct"/>
            <w:vAlign w:val="center"/>
          </w:tcPr>
          <w:p w14:paraId="0C01EBA3" w14:textId="77777777" w:rsidR="00E50A74" w:rsidRPr="009E237A" w:rsidRDefault="00E50A74" w:rsidP="00530866">
            <w:pPr>
              <w:pStyle w:val="TableText0"/>
              <w:jc w:val="center"/>
            </w:pPr>
            <w:r w:rsidRPr="009E237A">
              <w:t xml:space="preserve">$1,980 </w:t>
            </w:r>
            <w:r w:rsidRPr="009E237A">
              <w:rPr>
                <w:vertAlign w:val="superscript"/>
              </w:rPr>
              <w:t>f</w:t>
            </w:r>
          </w:p>
        </w:tc>
        <w:tc>
          <w:tcPr>
            <w:tcW w:w="500" w:type="pct"/>
            <w:vAlign w:val="center"/>
          </w:tcPr>
          <w:p w14:paraId="40B97A5F" w14:textId="77777777" w:rsidR="00E50A74" w:rsidRPr="009E237A" w:rsidRDefault="00E50A74" w:rsidP="00530866">
            <w:pPr>
              <w:pStyle w:val="TableText0"/>
              <w:jc w:val="center"/>
              <w:rPr>
                <w:vertAlign w:val="superscript"/>
              </w:rPr>
            </w:pPr>
            <w:r w:rsidRPr="009E237A">
              <w:t xml:space="preserve">$56,237 </w:t>
            </w:r>
            <w:r w:rsidRPr="009E237A">
              <w:rPr>
                <w:vertAlign w:val="superscript"/>
              </w:rPr>
              <w:t>i</w:t>
            </w:r>
          </w:p>
        </w:tc>
        <w:tc>
          <w:tcPr>
            <w:tcW w:w="500" w:type="pct"/>
            <w:vAlign w:val="center"/>
          </w:tcPr>
          <w:p w14:paraId="26986428" w14:textId="77777777" w:rsidR="00E50A74" w:rsidRPr="009E237A" w:rsidRDefault="00E50A74" w:rsidP="00530866">
            <w:pPr>
              <w:pStyle w:val="TableText0"/>
              <w:jc w:val="center"/>
              <w:rPr>
                <w:vertAlign w:val="superscript"/>
              </w:rPr>
            </w:pPr>
            <w:r w:rsidRPr="009E237A">
              <w:t xml:space="preserve">$41,495 </w:t>
            </w:r>
            <w:r w:rsidRPr="009E237A">
              <w:rPr>
                <w:vertAlign w:val="superscript"/>
              </w:rPr>
              <w:t>d</w:t>
            </w:r>
          </w:p>
        </w:tc>
        <w:tc>
          <w:tcPr>
            <w:tcW w:w="500" w:type="pct"/>
            <w:vAlign w:val="center"/>
          </w:tcPr>
          <w:p w14:paraId="3F471D9C" w14:textId="77777777" w:rsidR="00E50A74" w:rsidRPr="009E237A" w:rsidRDefault="00E50A74" w:rsidP="00530866">
            <w:pPr>
              <w:pStyle w:val="TableText0"/>
              <w:jc w:val="center"/>
            </w:pPr>
            <w:r w:rsidRPr="009E237A">
              <w:t xml:space="preserve">$42,003 </w:t>
            </w:r>
            <w:r w:rsidRPr="009E237A">
              <w:rPr>
                <w:vertAlign w:val="superscript"/>
              </w:rPr>
              <w:t>f</w:t>
            </w:r>
          </w:p>
        </w:tc>
      </w:tr>
    </w:tbl>
    <w:p w14:paraId="2A2A0A01" w14:textId="77777777" w:rsidR="00E50A74" w:rsidRDefault="00E50A74" w:rsidP="00530866">
      <w:pPr>
        <w:pStyle w:val="TableFigureFooter"/>
      </w:pPr>
      <w:r w:rsidRPr="00351AD9">
        <w:t xml:space="preserve">Source: Compiled based on </w:t>
      </w:r>
      <w:r>
        <w:t>MARIPOSA</w:t>
      </w:r>
      <w:r w:rsidRPr="00351AD9">
        <w:t xml:space="preserve">-2 trial data, </w:t>
      </w:r>
      <w:r w:rsidRPr="000679AD">
        <w:t>Attachment 3.1 (economic model) and Attachment 4.1 (financial estimates) of the submission</w:t>
      </w:r>
      <w:r>
        <w:t>.</w:t>
      </w:r>
      <w:r w:rsidRPr="0081147B">
        <w:t xml:space="preserve"> </w:t>
      </w:r>
    </w:p>
    <w:p w14:paraId="766CEC5B" w14:textId="77777777" w:rsidR="00FA01D0" w:rsidRDefault="00E50A74" w:rsidP="00530866">
      <w:pPr>
        <w:pStyle w:val="TableFigureFooter"/>
      </w:pPr>
      <w:r w:rsidRPr="0081147B">
        <w:t>Abbreviations</w:t>
      </w:r>
      <w:r>
        <w:t xml:space="preserve">: </w:t>
      </w:r>
      <w:r w:rsidRPr="0081147B">
        <w:t xml:space="preserve">NR=not reported; </w:t>
      </w:r>
      <w:r>
        <w:t>NC=not calculatable</w:t>
      </w:r>
      <w:r w:rsidR="00FA01D0">
        <w:t xml:space="preserve">. </w:t>
      </w:r>
    </w:p>
    <w:bookmarkEnd w:id="94"/>
    <w:p w14:paraId="0A443C89" w14:textId="6A0B9655" w:rsidR="000C332E" w:rsidRPr="004B4B68" w:rsidRDefault="003E7B5E" w:rsidP="00530866">
      <w:pPr>
        <w:pStyle w:val="TableFigureFooter"/>
        <w:rPr>
          <w:i/>
          <w:iCs/>
        </w:rPr>
      </w:pPr>
      <w:r>
        <w:t>Notes: The</w:t>
      </w:r>
      <w:r w:rsidR="00637B1A">
        <w:t xml:space="preserve"> AmiCP </w:t>
      </w:r>
      <w:r w:rsidR="00A44073">
        <w:t>columns report the amivantamab component only</w:t>
      </w:r>
      <w:r w:rsidR="009D4208">
        <w:t xml:space="preserve">; </w:t>
      </w:r>
      <w:r w:rsidR="00F212F5">
        <w:t>d</w:t>
      </w:r>
      <w:r w:rsidR="00F212F5" w:rsidRPr="00F212F5">
        <w:t xml:space="preserve">ose intensity and weight/BSA assumptions follow those applied in the submitted economic model (MARIPOSA-2 for AmiCP and CP; ATTLAS-derived for ABCP), including the MARIPOSA-2 weight split (86% &lt;80 kg; 14% ≥80 kg). ABCP costs were calculated assuming atezolizumab at 50% of its published price; </w:t>
      </w:r>
    </w:p>
    <w:p w14:paraId="75E40590" w14:textId="77777777" w:rsidR="00E50A74" w:rsidRDefault="00E50A74" w:rsidP="00530866">
      <w:pPr>
        <w:pStyle w:val="TableFigureFooter"/>
      </w:pPr>
      <w:r w:rsidRPr="79174808">
        <w:rPr>
          <w:vertAlign w:val="superscript"/>
        </w:rPr>
        <w:t xml:space="preserve">a </w:t>
      </w:r>
      <w:bookmarkStart w:id="96" w:name="_Int_HQAt99dk"/>
      <w:r>
        <w:t>As</w:t>
      </w:r>
      <w:bookmarkEnd w:id="96"/>
      <w:r>
        <w:t xml:space="preserve"> reported in MARIPOSA-2 trial at the primary analysis (clinical cutoff July 2023)</w:t>
      </w:r>
    </w:p>
    <w:p w14:paraId="47B65063" w14:textId="39953514" w:rsidR="00E50A74" w:rsidRPr="0001670C" w:rsidRDefault="00E50A74" w:rsidP="00530866">
      <w:pPr>
        <w:pStyle w:val="TableFigureFooter"/>
      </w:pPr>
      <w:r>
        <w:rPr>
          <w:vertAlign w:val="superscript"/>
        </w:rPr>
        <w:t>b</w:t>
      </w:r>
      <w:r>
        <w:t xml:space="preserve"> Calculated based on mean TTD (years) obtained from economic model. </w:t>
      </w:r>
      <w:r w:rsidR="004129D5">
        <w:t xml:space="preserve">The same mean </w:t>
      </w:r>
      <w:r w:rsidR="006277E5">
        <w:t>duration was</w:t>
      </w:r>
      <w:r w:rsidR="004129D5">
        <w:t xml:space="preserve"> </w:t>
      </w:r>
      <w:r>
        <w:t xml:space="preserve">applied in financial estimates. </w:t>
      </w:r>
    </w:p>
    <w:p w14:paraId="3836AF2C" w14:textId="77777777" w:rsidR="00E50A74" w:rsidRDefault="00E50A74" w:rsidP="00530866">
      <w:pPr>
        <w:pStyle w:val="TableFigureFooter"/>
        <w:rPr>
          <w:vertAlign w:val="superscript"/>
        </w:rPr>
      </w:pPr>
      <w:r>
        <w:rPr>
          <w:vertAlign w:val="superscript"/>
        </w:rPr>
        <w:t>c</w:t>
      </w:r>
      <w:r w:rsidRPr="00967A8B">
        <w:t xml:space="preserve"> </w:t>
      </w:r>
      <w:r w:rsidRPr="004874A6">
        <w:t>C</w:t>
      </w:r>
      <w:r>
        <w:t>alculated based on c</w:t>
      </w:r>
      <w:r w:rsidRPr="004874A6">
        <w:t xml:space="preserve">ost per course </w:t>
      </w:r>
      <w:r>
        <w:t>(d) by mean duration.</w:t>
      </w:r>
    </w:p>
    <w:p w14:paraId="24EAF038" w14:textId="77777777" w:rsidR="00E50A74" w:rsidRPr="007C5962" w:rsidRDefault="00E50A74" w:rsidP="00530866">
      <w:pPr>
        <w:pStyle w:val="TableFigureFooter"/>
      </w:pPr>
      <w:r>
        <w:rPr>
          <w:vertAlign w:val="superscript"/>
        </w:rPr>
        <w:t xml:space="preserve">d </w:t>
      </w:r>
      <w:r>
        <w:t xml:space="preserve">Obtained directly from the economic model. </w:t>
      </w:r>
    </w:p>
    <w:p w14:paraId="640E67E3" w14:textId="77777777" w:rsidR="00E50A74" w:rsidRDefault="00E50A74" w:rsidP="00530866">
      <w:pPr>
        <w:pStyle w:val="TableFigureFooter"/>
        <w:rPr>
          <w:vertAlign w:val="superscript"/>
        </w:rPr>
      </w:pPr>
      <w:r>
        <w:rPr>
          <w:vertAlign w:val="superscript"/>
        </w:rPr>
        <w:t xml:space="preserve">e </w:t>
      </w:r>
      <w:r w:rsidRPr="004874A6">
        <w:t>C</w:t>
      </w:r>
      <w:r>
        <w:t>alculated based on c</w:t>
      </w:r>
      <w:r w:rsidRPr="004874A6">
        <w:t xml:space="preserve">ost per course </w:t>
      </w:r>
      <w:r>
        <w:t>(f) by mean duration.</w:t>
      </w:r>
    </w:p>
    <w:p w14:paraId="17B45D9D" w14:textId="62B1074B" w:rsidR="00E50A74" w:rsidRDefault="00E50A74" w:rsidP="00530866">
      <w:pPr>
        <w:pStyle w:val="TableFigureFooter"/>
      </w:pPr>
      <w:r>
        <w:rPr>
          <w:vertAlign w:val="superscript"/>
        </w:rPr>
        <w:t xml:space="preserve">f </w:t>
      </w:r>
      <w:r>
        <w:t>T</w:t>
      </w:r>
      <w:r w:rsidRPr="00A27474">
        <w:t>otal drug cost across the initial and continuing phases (</w:t>
      </w:r>
      <w:r>
        <w:t>extracted from submission’s financial estimates</w:t>
      </w:r>
      <w:r w:rsidRPr="00A27474">
        <w:t xml:space="preserve"> workbook</w:t>
      </w:r>
      <w:r w:rsidR="00A04292">
        <w:t>)</w:t>
      </w:r>
      <w:r w:rsidR="00002960">
        <w:t>,</w:t>
      </w:r>
      <w:r w:rsidR="00002960" w:rsidRPr="00572C37">
        <w:t xml:space="preserve"> assuming 81.1% compliance</w:t>
      </w:r>
      <w:r w:rsidR="00A04292" w:rsidRPr="00572C37">
        <w:t>.</w:t>
      </w:r>
      <w:r w:rsidR="00A04292">
        <w:t xml:space="preserve"> </w:t>
      </w:r>
    </w:p>
    <w:p w14:paraId="7D7803F5" w14:textId="77777777" w:rsidR="00E50A74" w:rsidRDefault="00E50A74" w:rsidP="00530866">
      <w:pPr>
        <w:pStyle w:val="TableFigureFooter"/>
        <w:rPr>
          <w:lang w:bidi="fa-IR"/>
        </w:rPr>
      </w:pPr>
      <w:r>
        <w:rPr>
          <w:vertAlign w:val="superscript"/>
        </w:rPr>
        <w:t>g</w:t>
      </w:r>
      <w:r>
        <w:t xml:space="preserve"> E</w:t>
      </w:r>
      <w:r w:rsidRPr="00470C52">
        <w:t xml:space="preserve">stimated from ATTLAS mean number of atezolizumab cycles during induction (n=151) and maintenance (n=131), weighted by the proportion of patients who received maintenance (131/151). Each cycle was assumed to be 21 days. Mean duration (months) = total cycles × 21 / 30.4375 (365.25/12). </w:t>
      </w:r>
    </w:p>
    <w:p w14:paraId="003CC97D" w14:textId="77777777" w:rsidR="00E50A74" w:rsidRDefault="00E50A74" w:rsidP="00530866">
      <w:pPr>
        <w:pStyle w:val="TableFigureFooter"/>
      </w:pPr>
      <w:r>
        <w:rPr>
          <w:vertAlign w:val="superscript"/>
        </w:rPr>
        <w:t xml:space="preserve">h </w:t>
      </w:r>
      <w:r w:rsidRPr="00544F6C">
        <w:t xml:space="preserve">Trial costs for AmiCP and CP estimated by multiplying the model-based cost/patient/month by the mean duration reported in MARIPOSA-2. </w:t>
      </w:r>
    </w:p>
    <w:p w14:paraId="370A8113" w14:textId="77777777" w:rsidR="00E50A74" w:rsidRDefault="00E50A74" w:rsidP="00530866">
      <w:pPr>
        <w:pStyle w:val="TableFigureFooter"/>
      </w:pPr>
      <w:r>
        <w:rPr>
          <w:vertAlign w:val="superscript"/>
        </w:rPr>
        <w:t xml:space="preserve">i </w:t>
      </w:r>
      <w:r w:rsidRPr="003514FB">
        <w:t xml:space="preserve">Trial costs for ABCP estimated by scaling the model cost/patient/course (d) by the ratio of cumulative dose-intensity-adjusted cycles between ATTLAS and the model (mean cycles and relative dose intensity from Park et al. 2023 Table A4). Relative dose intensity for carboplatin was not reported in Table A4 and was assumed to be 100% for this approximation. </w:t>
      </w:r>
    </w:p>
    <w:p w14:paraId="29068661" w14:textId="7B7DFC86" w:rsidR="00E50A74" w:rsidRPr="0098262F" w:rsidRDefault="00E50A74" w:rsidP="00530866">
      <w:pPr>
        <w:pStyle w:val="4-SubsectionHeading"/>
      </w:pPr>
      <w:bookmarkStart w:id="97" w:name="_Toc22897647"/>
      <w:bookmarkStart w:id="98" w:name="_Toc107927633"/>
      <w:bookmarkStart w:id="99" w:name="_Toc219795460"/>
      <w:bookmarkEnd w:id="95"/>
      <w:r w:rsidRPr="0098262F">
        <w:lastRenderedPageBreak/>
        <w:t>Estimated PBS usage &amp; financial implications</w:t>
      </w:r>
      <w:bookmarkEnd w:id="97"/>
      <w:bookmarkEnd w:id="98"/>
      <w:bookmarkEnd w:id="99"/>
    </w:p>
    <w:p w14:paraId="7A5DFC3E" w14:textId="60D1F204" w:rsidR="00E50A74" w:rsidRPr="00665BEF" w:rsidRDefault="00E50A74" w:rsidP="00530866">
      <w:pPr>
        <w:pStyle w:val="3-BodyText"/>
        <w:rPr>
          <w:color w:val="0066FF"/>
        </w:rPr>
      </w:pPr>
      <w:r w:rsidRPr="0098262F">
        <w:t xml:space="preserve">This submission </w:t>
      </w:r>
      <w:r w:rsidR="008944D3">
        <w:t xml:space="preserve">was </w:t>
      </w:r>
      <w:r w:rsidRPr="0098262F">
        <w:t>not considered by DUSC</w:t>
      </w:r>
      <w:r w:rsidRPr="0098262F">
        <w:rPr>
          <w:color w:val="0070C0"/>
        </w:rPr>
        <w:t>.</w:t>
      </w:r>
    </w:p>
    <w:p w14:paraId="02A2E1E5" w14:textId="59931B4F" w:rsidR="00E50A74" w:rsidRPr="0032523E" w:rsidRDefault="00E50A74" w:rsidP="00530866">
      <w:pPr>
        <w:pStyle w:val="3-BodyText"/>
      </w:pPr>
      <w:r w:rsidRPr="0032523E">
        <w:t xml:space="preserve">The submission </w:t>
      </w:r>
      <w:r>
        <w:t>u</w:t>
      </w:r>
      <w:r w:rsidRPr="0032523E">
        <w:t xml:space="preserve">sed an epidemiological approach to estimate the financial implications of listing amivantamab, used in combination with </w:t>
      </w:r>
      <w:r w:rsidR="00CE0A18">
        <w:t>PDC</w:t>
      </w:r>
      <w:r w:rsidRPr="0032523E">
        <w:t>, for the treatment of EGFRm locally advanced/metastatic NSCLC where the condition has progressed on or after osimertinib.</w:t>
      </w:r>
    </w:p>
    <w:p w14:paraId="3DC0BBF9" w14:textId="5D084AED" w:rsidR="00E50A74" w:rsidRPr="00367419" w:rsidRDefault="00E50A74" w:rsidP="00530866">
      <w:pPr>
        <w:pStyle w:val="3-BodyText"/>
        <w:rPr>
          <w:i/>
          <w:iCs/>
        </w:rPr>
      </w:pPr>
      <w:r>
        <w:rPr>
          <w:color w:val="000000" w:themeColor="text1"/>
        </w:rPr>
        <w:t xml:space="preserve">The submission used the PBS 100% data provided by </w:t>
      </w:r>
      <w:r w:rsidR="00C60332">
        <w:rPr>
          <w:color w:val="000000" w:themeColor="text1"/>
        </w:rPr>
        <w:t xml:space="preserve">the </w:t>
      </w:r>
      <w:r>
        <w:rPr>
          <w:color w:val="000000" w:themeColor="text1"/>
        </w:rPr>
        <w:t xml:space="preserve">DUSC </w:t>
      </w:r>
      <w:r w:rsidR="00C60332">
        <w:rPr>
          <w:color w:val="000000" w:themeColor="text1"/>
        </w:rPr>
        <w:t xml:space="preserve">Secretariat </w:t>
      </w:r>
      <w:r>
        <w:rPr>
          <w:color w:val="000000" w:themeColor="text1"/>
        </w:rPr>
        <w:t xml:space="preserve">as their starting source to estimate the number of patients that would be eligible for treatment with AmiCP. The PBS data </w:t>
      </w:r>
      <w:r w:rsidRPr="00695AAB">
        <w:rPr>
          <w:color w:val="000000" w:themeColor="text1"/>
        </w:rPr>
        <w:t>included patients who had progressed on osimertinib and had gone on to receive subsequent therapy from the 2018-19 financial year to 2024-25. The submission estimated that there would be 860 incident patients in Year 1 (2026), growing to 1,409 patients in Year 6 (2031) using a linear extrapolation function. Although the linear function was fitted to historical</w:t>
      </w:r>
      <w:r w:rsidRPr="00DC1685">
        <w:rPr>
          <w:color w:val="000000" w:themeColor="text1"/>
        </w:rPr>
        <w:t xml:space="preserve"> data, it is uncertain if the trend in clinical practice would continue in the same way with a 10.5% increase annually which exceed the average increase of age-standardised incidence rate of lung cancer of 1.2% per year.</w:t>
      </w:r>
      <w:r w:rsidRPr="00DC1685">
        <w:rPr>
          <w:rStyle w:val="FootnoteReference"/>
          <w:color w:val="000000" w:themeColor="text1"/>
        </w:rPr>
        <w:footnoteReference w:id="12"/>
      </w:r>
      <w:r w:rsidRPr="00DC1685">
        <w:rPr>
          <w:color w:val="000000" w:themeColor="text1"/>
        </w:rPr>
        <w:t xml:space="preserve"> </w:t>
      </w:r>
    </w:p>
    <w:p w14:paraId="25F818A0" w14:textId="58FF497C" w:rsidR="00E50A74" w:rsidRPr="001C69FA" w:rsidRDefault="00E50A74" w:rsidP="00530866">
      <w:pPr>
        <w:pStyle w:val="ExecSumBodyText"/>
        <w:numPr>
          <w:ilvl w:val="1"/>
          <w:numId w:val="6"/>
        </w:numPr>
        <w:rPr>
          <w:i/>
          <w:iCs/>
        </w:rPr>
      </w:pPr>
      <w:bookmarkStart w:id="100" w:name="_Ref222488934"/>
      <w:r w:rsidRPr="001C69FA">
        <w:rPr>
          <w:color w:val="000000" w:themeColor="text1"/>
        </w:rPr>
        <w:t>The 100% PBS data included</w:t>
      </w:r>
      <w:r>
        <w:t xml:space="preserve"> all patients who initiated subsequent therapy post-</w:t>
      </w:r>
      <w:bookmarkStart w:id="101" w:name="_Int_6avOzVD7"/>
      <w:r>
        <w:t>osimertinib</w:t>
      </w:r>
      <w:bookmarkEnd w:id="101"/>
      <w:r>
        <w:t xml:space="preserve">. Although this is consistent with the requested listing (see paragraph </w:t>
      </w:r>
      <w:r>
        <w:fldChar w:fldCharType="begin"/>
      </w:r>
      <w:r>
        <w:instrText xml:space="preserve"> REF _Ref215234675 \r \h  \* MERGEFORMAT </w:instrText>
      </w:r>
      <w:r>
        <w:fldChar w:fldCharType="separate"/>
      </w:r>
      <w:r w:rsidR="00A572FC">
        <w:t>3.3</w:t>
      </w:r>
      <w:r>
        <w:fldChar w:fldCharType="end"/>
      </w:r>
      <w:r>
        <w:t xml:space="preserve">), it is broader than the population studied in the MARIPOSA-2 trial by including patients treated with osimertinib in the adjuvant and the earlier stages of NSCLC. </w:t>
      </w:r>
      <w:bookmarkEnd w:id="100"/>
      <w:r w:rsidR="00BD7CAB">
        <w:t>A</w:t>
      </w:r>
    </w:p>
    <w:p w14:paraId="39D58273" w14:textId="78E72911" w:rsidR="00E50A74" w:rsidRPr="00665BEF" w:rsidRDefault="00E50A74" w:rsidP="00530866">
      <w:pPr>
        <w:pStyle w:val="3-BodyText"/>
      </w:pPr>
      <w:r>
        <w:t xml:space="preserve">A summary of the key inputs in the financial analysis is presented in </w:t>
      </w:r>
      <w:r>
        <w:fldChar w:fldCharType="begin"/>
      </w:r>
      <w:r>
        <w:instrText xml:space="preserve"> REF _Ref104805262 \h </w:instrText>
      </w:r>
      <w:r>
        <w:fldChar w:fldCharType="separate"/>
      </w:r>
      <w:r w:rsidR="00A572FC" w:rsidRPr="0098262F">
        <w:t xml:space="preserve">Table </w:t>
      </w:r>
      <w:r w:rsidR="00A572FC">
        <w:rPr>
          <w:noProof/>
        </w:rPr>
        <w:t>17</w:t>
      </w:r>
      <w:r>
        <w:fldChar w:fldCharType="end"/>
      </w:r>
      <w:r>
        <w:t>.</w:t>
      </w:r>
    </w:p>
    <w:p w14:paraId="4EFA44D3" w14:textId="403AB7AE" w:rsidR="00E50A74" w:rsidRPr="0098262F" w:rsidRDefault="00E50A74" w:rsidP="00530866">
      <w:pPr>
        <w:pStyle w:val="Caption"/>
        <w:rPr>
          <w:rStyle w:val="CommentReference"/>
          <w:b/>
          <w:szCs w:val="24"/>
        </w:rPr>
      </w:pPr>
      <w:bookmarkStart w:id="102" w:name="_Ref104805262"/>
      <w:r w:rsidRPr="0098262F">
        <w:lastRenderedPageBreak/>
        <w:t xml:space="preserve">Table </w:t>
      </w:r>
      <w:fldSimple w:instr=" SEQ Table \* ARABIC ">
        <w:r w:rsidR="00D97D5A">
          <w:rPr>
            <w:noProof/>
          </w:rPr>
          <w:t>17</w:t>
        </w:r>
      </w:fldSimple>
      <w:bookmarkEnd w:id="102"/>
      <w:r w:rsidRPr="0098262F">
        <w:t>:</w:t>
      </w:r>
      <w:r w:rsidRPr="0098262F">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7: Key inputs for financial estimates"/>
      </w:tblPr>
      <w:tblGrid>
        <w:gridCol w:w="1713"/>
        <w:gridCol w:w="3385"/>
        <w:gridCol w:w="3919"/>
      </w:tblGrid>
      <w:tr w:rsidR="00E50A74" w:rsidRPr="00DC1685" w14:paraId="29019B6D" w14:textId="77777777" w:rsidTr="79174808">
        <w:trPr>
          <w:tblHeader/>
        </w:trPr>
        <w:tc>
          <w:tcPr>
            <w:tcW w:w="950" w:type="pct"/>
            <w:vAlign w:val="center"/>
          </w:tcPr>
          <w:p w14:paraId="722F44B1" w14:textId="77777777" w:rsidR="00E50A74" w:rsidRPr="00DC1685" w:rsidRDefault="00E50A74" w:rsidP="00530866">
            <w:pPr>
              <w:pStyle w:val="In-tableHeading"/>
            </w:pPr>
            <w:r w:rsidRPr="00DC1685">
              <w:t>Parameter</w:t>
            </w:r>
          </w:p>
        </w:tc>
        <w:tc>
          <w:tcPr>
            <w:tcW w:w="1877" w:type="pct"/>
            <w:vAlign w:val="center"/>
          </w:tcPr>
          <w:p w14:paraId="1A6B25AD" w14:textId="77777777" w:rsidR="00E50A74" w:rsidRPr="00DC1685" w:rsidRDefault="00E50A74" w:rsidP="00530866">
            <w:pPr>
              <w:pStyle w:val="In-tableHeading"/>
            </w:pPr>
            <w:r w:rsidRPr="00DC1685">
              <w:t>Value applied and source</w:t>
            </w:r>
          </w:p>
        </w:tc>
        <w:tc>
          <w:tcPr>
            <w:tcW w:w="2173" w:type="pct"/>
            <w:vAlign w:val="center"/>
          </w:tcPr>
          <w:p w14:paraId="1B911C91" w14:textId="77777777" w:rsidR="00E50A74" w:rsidRPr="00DC1685" w:rsidRDefault="00E50A74" w:rsidP="00530866">
            <w:pPr>
              <w:pStyle w:val="In-tableHeading"/>
            </w:pPr>
            <w:r w:rsidRPr="00DC1685">
              <w:t>Comment</w:t>
            </w:r>
          </w:p>
        </w:tc>
      </w:tr>
      <w:tr w:rsidR="00E50A74" w:rsidRPr="00DC1685" w14:paraId="30B726D0" w14:textId="77777777" w:rsidTr="79174808">
        <w:tc>
          <w:tcPr>
            <w:tcW w:w="950" w:type="pct"/>
            <w:vAlign w:val="center"/>
          </w:tcPr>
          <w:p w14:paraId="3DB479A4" w14:textId="77777777" w:rsidR="00E50A74" w:rsidRPr="00DC1685" w:rsidRDefault="00E50A74" w:rsidP="00530866">
            <w:pPr>
              <w:pStyle w:val="TableText0"/>
            </w:pPr>
            <w:r w:rsidRPr="00DC1685">
              <w:t>Incident patients (projected)</w:t>
            </w:r>
          </w:p>
        </w:tc>
        <w:tc>
          <w:tcPr>
            <w:tcW w:w="1877" w:type="pct"/>
            <w:vAlign w:val="center"/>
          </w:tcPr>
          <w:p w14:paraId="4FAB68A3" w14:textId="17C6721A" w:rsidR="00E50A74" w:rsidRPr="00DC1685" w:rsidRDefault="004429A3" w:rsidP="00530866">
            <w:pPr>
              <w:pStyle w:val="TableText0"/>
            </w:pPr>
            <w:r w:rsidRPr="00A915DC">
              <w:t>860 in Year 1 to 1</w:t>
            </w:r>
            <w:r w:rsidR="00023389" w:rsidRPr="00A915DC">
              <w:t>,</w:t>
            </w:r>
            <w:r w:rsidRPr="00A915DC">
              <w:t>409 in Year 6</w:t>
            </w:r>
            <w:r w:rsidR="00B44080" w:rsidRPr="00A915DC">
              <w:t>;</w:t>
            </w:r>
            <w:r w:rsidRPr="00A915DC">
              <w:t xml:space="preserve"> </w:t>
            </w:r>
            <w:r w:rsidR="00E50A74" w:rsidRPr="00A915DC">
              <w:t>100% PBS data provided by DUSC (data range from 2018/19 till 2024/25).</w:t>
            </w:r>
          </w:p>
        </w:tc>
        <w:tc>
          <w:tcPr>
            <w:tcW w:w="2173" w:type="pct"/>
            <w:vAlign w:val="center"/>
          </w:tcPr>
          <w:p w14:paraId="7DDA09CE" w14:textId="1EE976F5" w:rsidR="00E50A74" w:rsidRPr="00DC1685" w:rsidRDefault="00E50A74" w:rsidP="00530866">
            <w:pPr>
              <w:pStyle w:val="TableText0"/>
            </w:pPr>
            <w:r>
              <w:t xml:space="preserve">Year 1 estimates (2026) projected using linear function based on historical data. </w:t>
            </w:r>
            <w:r w:rsidR="00E12E97">
              <w:t>I</w:t>
            </w:r>
            <w:r>
              <w:t>ncludes all patients who initiated subsequent therapy post-osimertinib (irrespective of treatment line)</w:t>
            </w:r>
            <w:r w:rsidR="184324D2">
              <w:t xml:space="preserve">. </w:t>
            </w:r>
          </w:p>
        </w:tc>
      </w:tr>
      <w:tr w:rsidR="00E50A74" w:rsidRPr="00DC1685" w14:paraId="00DDA143" w14:textId="77777777" w:rsidTr="79174808">
        <w:tc>
          <w:tcPr>
            <w:tcW w:w="950" w:type="pct"/>
            <w:vAlign w:val="center"/>
          </w:tcPr>
          <w:p w14:paraId="7D58C084" w14:textId="77777777" w:rsidR="00E50A74" w:rsidRPr="00DC1685" w:rsidRDefault="00E50A74" w:rsidP="00530866">
            <w:pPr>
              <w:pStyle w:val="TableText0"/>
              <w:rPr>
                <w:rFonts w:eastAsia="Times New Roman" w:cs="Arial"/>
                <w:color w:val="000000"/>
                <w:szCs w:val="20"/>
              </w:rPr>
            </w:pPr>
            <w:r w:rsidRPr="00DC1685">
              <w:rPr>
                <w:rFonts w:eastAsia="Times New Roman" w:cs="Arial"/>
                <w:color w:val="000000"/>
                <w:szCs w:val="20"/>
              </w:rPr>
              <w:t>% with a WHO status of 0-2 (incident)</w:t>
            </w:r>
          </w:p>
        </w:tc>
        <w:tc>
          <w:tcPr>
            <w:tcW w:w="1877" w:type="pct"/>
            <w:vAlign w:val="center"/>
          </w:tcPr>
          <w:p w14:paraId="50DE88AE" w14:textId="77777777" w:rsidR="00E50A74" w:rsidRPr="00DC1685" w:rsidRDefault="00E50A74" w:rsidP="00530866">
            <w:pPr>
              <w:pStyle w:val="TableText0"/>
            </w:pPr>
            <w:r w:rsidRPr="00DC1685">
              <w:t>83.0%; post-1L osimertinib patient demographics reported in AURORA study.</w:t>
            </w:r>
          </w:p>
        </w:tc>
        <w:tc>
          <w:tcPr>
            <w:tcW w:w="2173" w:type="pct"/>
            <w:vAlign w:val="center"/>
          </w:tcPr>
          <w:p w14:paraId="042E5774" w14:textId="77777777" w:rsidR="00E50A74" w:rsidRPr="00DC1685" w:rsidRDefault="00E50A74" w:rsidP="00530866">
            <w:pPr>
              <w:pStyle w:val="TableText0"/>
            </w:pPr>
            <w:r w:rsidRPr="00DC1685">
              <w:t>Reasonable.</w:t>
            </w:r>
          </w:p>
        </w:tc>
      </w:tr>
      <w:tr w:rsidR="00E50A74" w:rsidRPr="00DC1685" w14:paraId="6D0C6742" w14:textId="77777777" w:rsidTr="79174808">
        <w:tc>
          <w:tcPr>
            <w:tcW w:w="950" w:type="pct"/>
            <w:vAlign w:val="center"/>
          </w:tcPr>
          <w:p w14:paraId="51802995" w14:textId="77777777" w:rsidR="00E50A74" w:rsidRPr="00DC1685" w:rsidRDefault="00E50A74" w:rsidP="00530866">
            <w:pPr>
              <w:pStyle w:val="TableText0"/>
            </w:pPr>
            <w:r w:rsidRPr="00DC1685">
              <w:t xml:space="preserve">Uptake rate </w:t>
            </w:r>
            <w:r w:rsidRPr="00DC1685">
              <w:rPr>
                <w:rFonts w:eastAsia="Times New Roman" w:cs="Arial"/>
                <w:color w:val="000000"/>
                <w:szCs w:val="20"/>
              </w:rPr>
              <w:t>(incident)</w:t>
            </w:r>
          </w:p>
        </w:tc>
        <w:tc>
          <w:tcPr>
            <w:tcW w:w="1877" w:type="pct"/>
            <w:vAlign w:val="center"/>
          </w:tcPr>
          <w:p w14:paraId="3CC81358" w14:textId="3A9B2E9F" w:rsidR="00E50A74" w:rsidRPr="00DC1685" w:rsidRDefault="00C87B5E" w:rsidP="00530866">
            <w:pPr>
              <w:pStyle w:val="TableText0"/>
            </w:pPr>
            <w:r w:rsidRPr="00C87B5E">
              <w:rPr>
                <w:sz w:val="2"/>
                <w:highlight w:val="black"/>
              </w:rPr>
              <w:t>redacted content</w:t>
            </w:r>
            <w:r w:rsidR="00E50A74" w:rsidRPr="00DC1685">
              <w:t xml:space="preserve">% in Year 1, </w:t>
            </w:r>
            <w:r w:rsidRPr="00C87B5E">
              <w:rPr>
                <w:sz w:val="2"/>
                <w:highlight w:val="black"/>
              </w:rPr>
              <w:t>redacted content</w:t>
            </w:r>
            <w:r w:rsidR="00E50A74" w:rsidRPr="00DC1685">
              <w:t xml:space="preserve">% in Year 2, </w:t>
            </w:r>
            <w:r w:rsidRPr="00C87B5E">
              <w:rPr>
                <w:sz w:val="2"/>
                <w:highlight w:val="black"/>
              </w:rPr>
              <w:t>redacted content</w:t>
            </w:r>
            <w:r w:rsidR="00E50A74" w:rsidRPr="00DC1685">
              <w:t>%</w:t>
            </w:r>
            <w:r w:rsidR="003A1620">
              <w:t xml:space="preserve"> </w:t>
            </w:r>
            <w:r w:rsidR="00E50A74" w:rsidRPr="00DC1685">
              <w:t xml:space="preserve">in Year 3 and </w:t>
            </w:r>
            <w:r w:rsidRPr="00C87B5E">
              <w:rPr>
                <w:sz w:val="2"/>
                <w:highlight w:val="black"/>
              </w:rPr>
              <w:t>redacted content</w:t>
            </w:r>
            <w:r w:rsidR="00E50A74" w:rsidRPr="00DC1685">
              <w:t>% in subsequent years</w:t>
            </w:r>
          </w:p>
        </w:tc>
        <w:tc>
          <w:tcPr>
            <w:tcW w:w="2173" w:type="pct"/>
            <w:vAlign w:val="center"/>
          </w:tcPr>
          <w:p w14:paraId="629AF095" w14:textId="2B416C1E" w:rsidR="00E50A74" w:rsidRPr="00DC1685" w:rsidRDefault="00E50A74" w:rsidP="00530866">
            <w:pPr>
              <w:pStyle w:val="TableText0"/>
            </w:pPr>
            <w:r w:rsidRPr="00DC1685">
              <w:t>The</w:t>
            </w:r>
            <w:r w:rsidR="00CB452F">
              <w:t xml:space="preserve"> evaluation considered the</w:t>
            </w:r>
            <w:r w:rsidRPr="00DC1685">
              <w:t xml:space="preserve"> proposed uptake rates are uncertain and appear high given the inferior safety profile.</w:t>
            </w:r>
          </w:p>
        </w:tc>
      </w:tr>
      <w:tr w:rsidR="00E50A74" w:rsidRPr="00DC1685" w14:paraId="2EB0F3DB" w14:textId="77777777" w:rsidTr="79174808">
        <w:tc>
          <w:tcPr>
            <w:tcW w:w="950" w:type="pct"/>
            <w:vAlign w:val="center"/>
          </w:tcPr>
          <w:p w14:paraId="0FE234BC" w14:textId="77777777" w:rsidR="00E50A74" w:rsidRPr="00DC1685" w:rsidRDefault="00E50A74" w:rsidP="00530866">
            <w:pPr>
              <w:pStyle w:val="TableText0"/>
            </w:pPr>
            <w:r w:rsidRPr="00DC1685">
              <w:t>Prevalent pool</w:t>
            </w:r>
          </w:p>
        </w:tc>
        <w:tc>
          <w:tcPr>
            <w:tcW w:w="1877" w:type="pct"/>
            <w:vAlign w:val="center"/>
          </w:tcPr>
          <w:p w14:paraId="740DB72F" w14:textId="77777777" w:rsidR="00E50A74" w:rsidRPr="00DC1685" w:rsidRDefault="00E50A74" w:rsidP="00530866">
            <w:pPr>
              <w:pStyle w:val="TableText0"/>
            </w:pPr>
            <w:r w:rsidRPr="00DC1685">
              <w:t>1,474; 100% PBS data.</w:t>
            </w:r>
          </w:p>
        </w:tc>
        <w:tc>
          <w:tcPr>
            <w:tcW w:w="2173" w:type="pct"/>
            <w:vAlign w:val="center"/>
          </w:tcPr>
          <w:p w14:paraId="4D396A54" w14:textId="3084871F" w:rsidR="00E50A74" w:rsidRPr="00DC1685" w:rsidRDefault="00E50A74" w:rsidP="00530866">
            <w:pPr>
              <w:pStyle w:val="TableText0"/>
            </w:pPr>
            <w:r w:rsidRPr="00DC1685">
              <w:t xml:space="preserve">Based on the total number of patients who initiated subsequent therapy post-osimertinib (with no death record) recorded between 2018 to 2024. </w:t>
            </w:r>
          </w:p>
        </w:tc>
      </w:tr>
      <w:tr w:rsidR="00E50A74" w:rsidRPr="00DC1685" w14:paraId="75BD9B5E" w14:textId="77777777" w:rsidTr="79174808">
        <w:tc>
          <w:tcPr>
            <w:tcW w:w="950" w:type="pct"/>
            <w:vAlign w:val="center"/>
          </w:tcPr>
          <w:p w14:paraId="5587DC25" w14:textId="77777777" w:rsidR="00E50A74" w:rsidRPr="00DC1685" w:rsidRDefault="00E50A74" w:rsidP="00530866">
            <w:pPr>
              <w:pStyle w:val="TableText0"/>
              <w:rPr>
                <w:rFonts w:eastAsia="Times New Roman" w:cs="Arial"/>
                <w:color w:val="000000"/>
                <w:szCs w:val="20"/>
              </w:rPr>
            </w:pPr>
            <w:r w:rsidRPr="00DC1685">
              <w:rPr>
                <w:rFonts w:eastAsia="Times New Roman" w:cs="Arial"/>
                <w:color w:val="000000"/>
                <w:szCs w:val="20"/>
              </w:rPr>
              <w:t>% with a WHO status of 0-2 (prevalent)</w:t>
            </w:r>
          </w:p>
        </w:tc>
        <w:tc>
          <w:tcPr>
            <w:tcW w:w="1877" w:type="pct"/>
            <w:vAlign w:val="center"/>
          </w:tcPr>
          <w:p w14:paraId="58154B23" w14:textId="77777777" w:rsidR="00E50A74" w:rsidRPr="00DC1685" w:rsidRDefault="00E50A74" w:rsidP="00530866">
            <w:pPr>
              <w:pStyle w:val="TableText0"/>
            </w:pPr>
            <w:r w:rsidRPr="00DC1685">
              <w:t>79.7%; post-2L osimertinib patient demographics reported in AURORA study.</w:t>
            </w:r>
          </w:p>
        </w:tc>
        <w:tc>
          <w:tcPr>
            <w:tcW w:w="2173" w:type="pct"/>
            <w:vAlign w:val="center"/>
          </w:tcPr>
          <w:p w14:paraId="43F0536F" w14:textId="77777777" w:rsidR="00E50A74" w:rsidRPr="00DC1685" w:rsidRDefault="00E50A74" w:rsidP="00530866">
            <w:pPr>
              <w:pStyle w:val="TableText0"/>
            </w:pPr>
            <w:r w:rsidRPr="00DC1685">
              <w:t>Reasonable.</w:t>
            </w:r>
          </w:p>
        </w:tc>
      </w:tr>
      <w:tr w:rsidR="00E50A74" w:rsidRPr="00DC1685" w14:paraId="2241BF65" w14:textId="77777777" w:rsidTr="79174808">
        <w:tc>
          <w:tcPr>
            <w:tcW w:w="950" w:type="pct"/>
            <w:vAlign w:val="center"/>
          </w:tcPr>
          <w:p w14:paraId="05FE6162" w14:textId="77777777" w:rsidR="00E50A74" w:rsidRPr="00DC1685" w:rsidRDefault="00E50A74" w:rsidP="00530866">
            <w:pPr>
              <w:pStyle w:val="TableText0"/>
              <w:rPr>
                <w:rFonts w:eastAsia="Times New Roman" w:cs="Arial"/>
                <w:color w:val="000000"/>
                <w:szCs w:val="20"/>
              </w:rPr>
            </w:pPr>
            <w:r w:rsidRPr="00DC1685">
              <w:t>Uptake rate</w:t>
            </w:r>
            <w:r w:rsidRPr="00DC1685">
              <w:rPr>
                <w:rFonts w:eastAsia="Times New Roman" w:cs="Arial"/>
                <w:color w:val="000000"/>
                <w:szCs w:val="20"/>
              </w:rPr>
              <w:t>(prevalent)</w:t>
            </w:r>
          </w:p>
        </w:tc>
        <w:tc>
          <w:tcPr>
            <w:tcW w:w="1877" w:type="pct"/>
            <w:vAlign w:val="center"/>
          </w:tcPr>
          <w:p w14:paraId="0AEAA660" w14:textId="5D127872" w:rsidR="00E50A74" w:rsidRPr="00DC1685" w:rsidRDefault="00C87B5E" w:rsidP="00530866">
            <w:pPr>
              <w:pStyle w:val="TableText0"/>
            </w:pPr>
            <w:r w:rsidRPr="00C87B5E">
              <w:rPr>
                <w:sz w:val="2"/>
                <w:highlight w:val="black"/>
              </w:rPr>
              <w:t>redacted content</w:t>
            </w:r>
            <w:r w:rsidR="00E50A74" w:rsidRPr="00DC1685">
              <w:t xml:space="preserve">% in Year 1, </w:t>
            </w:r>
            <w:r w:rsidRPr="00C87B5E">
              <w:rPr>
                <w:sz w:val="2"/>
                <w:highlight w:val="black"/>
              </w:rPr>
              <w:t>redacted content</w:t>
            </w:r>
            <w:r w:rsidR="00E50A74" w:rsidRPr="00DC1685">
              <w:t xml:space="preserve">% in Year 2 and </w:t>
            </w:r>
            <w:r w:rsidRPr="00C87B5E">
              <w:rPr>
                <w:sz w:val="2"/>
                <w:highlight w:val="black"/>
              </w:rPr>
              <w:t>redacted content</w:t>
            </w:r>
            <w:r w:rsidR="00E50A74" w:rsidRPr="00DC1685">
              <w:t>% in Year 3</w:t>
            </w:r>
          </w:p>
        </w:tc>
        <w:tc>
          <w:tcPr>
            <w:tcW w:w="2173" w:type="pct"/>
            <w:vAlign w:val="center"/>
          </w:tcPr>
          <w:p w14:paraId="66FD6612" w14:textId="00AF11AC" w:rsidR="00E50A74" w:rsidRPr="00DC1685" w:rsidRDefault="00E50A74" w:rsidP="00530866">
            <w:pPr>
              <w:pStyle w:val="TableText0"/>
            </w:pPr>
            <w:r w:rsidRPr="00DC1685">
              <w:t xml:space="preserve">The </w:t>
            </w:r>
            <w:r w:rsidR="00CB452F">
              <w:t xml:space="preserve">evaluation considered the </w:t>
            </w:r>
            <w:r w:rsidRPr="00DC1685">
              <w:t>proposed uptake rates are uncertain and appear high given the inferior safety profile.</w:t>
            </w:r>
            <w:r w:rsidR="00CD0460" w:rsidRPr="00DC1685">
              <w:t xml:space="preserve"> </w:t>
            </w:r>
            <w:r w:rsidR="00CB452F">
              <w:t xml:space="preserve">The PBAC considered it is </w:t>
            </w:r>
            <w:r w:rsidR="00CD0460" w:rsidRPr="00DC1685">
              <w:t>unclear if Ami</w:t>
            </w:r>
            <w:r w:rsidR="00F757E0" w:rsidRPr="00DC1685">
              <w:t xml:space="preserve">CP will be used in patients who have previously received osimertinib in combination with CP. </w:t>
            </w:r>
          </w:p>
        </w:tc>
      </w:tr>
      <w:tr w:rsidR="00E50A74" w:rsidRPr="00DC1685" w14:paraId="5BFFF72C" w14:textId="77777777" w:rsidTr="79174808">
        <w:tc>
          <w:tcPr>
            <w:tcW w:w="950" w:type="pct"/>
            <w:vAlign w:val="center"/>
          </w:tcPr>
          <w:p w14:paraId="4F584D06" w14:textId="77777777" w:rsidR="00E50A74" w:rsidRPr="00DC1685" w:rsidRDefault="00E50A74" w:rsidP="00530866">
            <w:pPr>
              <w:pStyle w:val="TableText0"/>
            </w:pPr>
            <w:r w:rsidRPr="00DC1685">
              <w:t>Treatment duration (amivantamab)</w:t>
            </w:r>
          </w:p>
        </w:tc>
        <w:tc>
          <w:tcPr>
            <w:tcW w:w="1877" w:type="pct"/>
            <w:vAlign w:val="center"/>
          </w:tcPr>
          <w:p w14:paraId="098FB606" w14:textId="6FCF686C" w:rsidR="00E50A74" w:rsidRPr="00DC1685" w:rsidRDefault="00E50A74" w:rsidP="00530866">
            <w:pPr>
              <w:pStyle w:val="TableText0"/>
            </w:pPr>
            <w:r w:rsidRPr="00DC1685">
              <w:t xml:space="preserve">9.14 months (39.75 weeks). Based on mean </w:t>
            </w:r>
            <w:r w:rsidR="00DE1D41" w:rsidRPr="00DC1685">
              <w:t>TTTD</w:t>
            </w:r>
            <w:r w:rsidR="000D0A5D" w:rsidRPr="00DC1685">
              <w:t xml:space="preserve"> </w:t>
            </w:r>
            <w:r w:rsidRPr="00DC1685">
              <w:t>curve from the economic model</w:t>
            </w:r>
          </w:p>
        </w:tc>
        <w:tc>
          <w:tcPr>
            <w:tcW w:w="2173" w:type="pct"/>
            <w:vAlign w:val="center"/>
          </w:tcPr>
          <w:p w14:paraId="6946CBA9" w14:textId="47A5AB06" w:rsidR="00E50A74" w:rsidRPr="00DC1685" w:rsidRDefault="00930E5A" w:rsidP="00530866">
            <w:pPr>
              <w:pStyle w:val="TableText0"/>
            </w:pPr>
            <w:r w:rsidRPr="00DC1685">
              <w:t xml:space="preserve">Consistent with economic model </w:t>
            </w:r>
          </w:p>
        </w:tc>
      </w:tr>
      <w:tr w:rsidR="00E50A74" w:rsidRPr="00DC1685" w14:paraId="570C1AFE" w14:textId="77777777" w:rsidTr="79174808">
        <w:tc>
          <w:tcPr>
            <w:tcW w:w="950" w:type="pct"/>
            <w:vAlign w:val="center"/>
          </w:tcPr>
          <w:p w14:paraId="05BA3897" w14:textId="77777777" w:rsidR="00E50A74" w:rsidRPr="00DC1685" w:rsidRDefault="00E50A74" w:rsidP="00530866">
            <w:pPr>
              <w:pStyle w:val="TableText0"/>
            </w:pPr>
            <w:r w:rsidRPr="00DC1685">
              <w:t>Compliance rate</w:t>
            </w:r>
          </w:p>
        </w:tc>
        <w:tc>
          <w:tcPr>
            <w:tcW w:w="1877" w:type="pct"/>
            <w:vAlign w:val="center"/>
          </w:tcPr>
          <w:p w14:paraId="5419B805" w14:textId="77777777" w:rsidR="00E50A74" w:rsidRPr="00DC1685" w:rsidRDefault="00E50A74" w:rsidP="00530866">
            <w:pPr>
              <w:pStyle w:val="TableText0"/>
              <w:keepNext w:val="0"/>
              <w:keepLines w:val="0"/>
            </w:pPr>
            <w:r w:rsidRPr="00DC1685">
              <w:t xml:space="preserve">MARIPOSA-2 trial </w:t>
            </w:r>
          </w:p>
          <w:p w14:paraId="79B5765F" w14:textId="77777777" w:rsidR="00E50A74" w:rsidRPr="00DC1685" w:rsidRDefault="00E50A74" w:rsidP="00530866">
            <w:pPr>
              <w:pStyle w:val="TableText0"/>
              <w:keepNext w:val="0"/>
              <w:keepLines w:val="0"/>
            </w:pPr>
            <w:r w:rsidRPr="00DC1685">
              <w:t>Ami: 81.28% (&lt;80 kg), 80.11% (≥80 kg)</w:t>
            </w:r>
          </w:p>
          <w:p w14:paraId="418B238E" w14:textId="77777777" w:rsidR="00E50A74" w:rsidRPr="00DC1685" w:rsidRDefault="00E50A74" w:rsidP="00530866">
            <w:pPr>
              <w:pStyle w:val="TableText0"/>
              <w:keepNext w:val="0"/>
              <w:keepLines w:val="0"/>
            </w:pPr>
            <w:r w:rsidRPr="00DC1685">
              <w:t>C:91.90%</w:t>
            </w:r>
          </w:p>
          <w:p w14:paraId="11DFE0F8" w14:textId="77777777" w:rsidR="00E50A74" w:rsidRPr="00DC1685" w:rsidRDefault="00E50A74" w:rsidP="00530866">
            <w:pPr>
              <w:pStyle w:val="TableText0"/>
            </w:pPr>
            <w:r w:rsidRPr="00DC1685">
              <w:t>P: 80.78%,</w:t>
            </w:r>
          </w:p>
        </w:tc>
        <w:tc>
          <w:tcPr>
            <w:tcW w:w="2173" w:type="pct"/>
            <w:vAlign w:val="center"/>
          </w:tcPr>
          <w:p w14:paraId="54C65087" w14:textId="77777777" w:rsidR="00E50A74" w:rsidRPr="00DC1685" w:rsidRDefault="00E50A74" w:rsidP="00530866">
            <w:pPr>
              <w:pStyle w:val="TableText0"/>
            </w:pPr>
            <w:r w:rsidRPr="00DC1685">
              <w:t>This appears reasonable and in line with the MARIPOSA-2 trial and economic model.</w:t>
            </w:r>
          </w:p>
        </w:tc>
      </w:tr>
      <w:tr w:rsidR="00E50A74" w:rsidRPr="00DC1685" w14:paraId="66664C7F" w14:textId="77777777" w:rsidTr="79174808">
        <w:tc>
          <w:tcPr>
            <w:tcW w:w="950" w:type="pct"/>
            <w:vAlign w:val="center"/>
          </w:tcPr>
          <w:p w14:paraId="067454D9" w14:textId="77777777" w:rsidR="00E50A74" w:rsidRPr="00DC1685" w:rsidRDefault="00E50A74" w:rsidP="00530866">
            <w:pPr>
              <w:pStyle w:val="TableText0"/>
            </w:pPr>
            <w:r w:rsidRPr="00DC1685">
              <w:t>Comparator split displacement</w:t>
            </w:r>
          </w:p>
        </w:tc>
        <w:tc>
          <w:tcPr>
            <w:tcW w:w="1877" w:type="pct"/>
            <w:vAlign w:val="center"/>
          </w:tcPr>
          <w:p w14:paraId="37E7C2C1" w14:textId="4C90A2F6" w:rsidR="00E50A74" w:rsidRPr="00DC1685" w:rsidRDefault="00E50A74" w:rsidP="00530866">
            <w:pPr>
              <w:pStyle w:val="TableText0"/>
              <w:keepNext w:val="0"/>
              <w:keepLines w:val="0"/>
            </w:pPr>
            <w:r w:rsidRPr="00DC1685">
              <w:t xml:space="preserve">ABCP: 83.1%; </w:t>
            </w:r>
            <w:r w:rsidR="00CE0A18">
              <w:t>PDC</w:t>
            </w:r>
            <w:r w:rsidRPr="00DC1685">
              <w:t>: 16.9%. Submission’s assumption based on DUSC data</w:t>
            </w:r>
          </w:p>
        </w:tc>
        <w:tc>
          <w:tcPr>
            <w:tcW w:w="2173" w:type="pct"/>
            <w:vAlign w:val="center"/>
          </w:tcPr>
          <w:p w14:paraId="51272940" w14:textId="4C1EE860" w:rsidR="00E50A74" w:rsidRPr="00DC1685" w:rsidRDefault="00E50A74" w:rsidP="00530866">
            <w:pPr>
              <w:pStyle w:val="TableText0"/>
            </w:pPr>
          </w:p>
        </w:tc>
      </w:tr>
      <w:tr w:rsidR="00E50A74" w:rsidRPr="00DC1685" w14:paraId="0C7B091E" w14:textId="77777777" w:rsidTr="79174808">
        <w:tc>
          <w:tcPr>
            <w:tcW w:w="950" w:type="pct"/>
            <w:vAlign w:val="center"/>
          </w:tcPr>
          <w:p w14:paraId="7D919294" w14:textId="77777777" w:rsidR="00E50A74" w:rsidRPr="00DC1685" w:rsidRDefault="00E50A74" w:rsidP="00530866">
            <w:pPr>
              <w:pStyle w:val="TableText0"/>
              <w:keepNext w:val="0"/>
              <w:keepLines w:val="0"/>
            </w:pPr>
            <w:r w:rsidRPr="00DC1685">
              <w:t>MBS Item 13950</w:t>
            </w:r>
          </w:p>
        </w:tc>
        <w:tc>
          <w:tcPr>
            <w:tcW w:w="1877" w:type="pct"/>
            <w:vAlign w:val="center"/>
          </w:tcPr>
          <w:p w14:paraId="54B12DED" w14:textId="77777777" w:rsidR="00E50A74" w:rsidRPr="00DC1685" w:rsidRDefault="00E50A74" w:rsidP="00530866">
            <w:pPr>
              <w:pStyle w:val="TableText0"/>
            </w:pPr>
            <w:r w:rsidRPr="00DC1685">
              <w:t>$126.00 per administration</w:t>
            </w:r>
          </w:p>
        </w:tc>
        <w:tc>
          <w:tcPr>
            <w:tcW w:w="2173" w:type="pct"/>
            <w:vAlign w:val="center"/>
          </w:tcPr>
          <w:p w14:paraId="2C3BC82C" w14:textId="2DD13503" w:rsidR="00E50A74" w:rsidRPr="00DC1685" w:rsidRDefault="00E50A74" w:rsidP="00530866">
            <w:pPr>
              <w:pStyle w:val="TableText0"/>
            </w:pPr>
          </w:p>
        </w:tc>
      </w:tr>
    </w:tbl>
    <w:p w14:paraId="67198229" w14:textId="77777777" w:rsidR="00E50A74" w:rsidRDefault="00E50A74" w:rsidP="00530866">
      <w:pPr>
        <w:pStyle w:val="FooterTableFigure"/>
      </w:pPr>
      <w:r w:rsidRPr="0098262F">
        <w:t xml:space="preserve">Source: </w:t>
      </w:r>
      <w:r>
        <w:t>Compiled during the evaluation using information from Section 4 of the submission</w:t>
      </w:r>
    </w:p>
    <w:p w14:paraId="58A35CEC" w14:textId="44A71209" w:rsidR="00E50A74" w:rsidRDefault="00E50A74" w:rsidP="00A915DC">
      <w:pPr>
        <w:pStyle w:val="FooterTableFigure"/>
        <w:spacing w:after="0"/>
      </w:pPr>
      <w:r>
        <w:t>Abbreviation: 1L= first line treatment; 2L= second line treatment; ABCP= atezolizumab plus bevacizumab plus carboplatin plus paclitaxel; Ami= amivantamab; AmiCP= amivantamab in combination with carboplatin and pemetrexed; C= carboplatin; DUSC= drug utilisation subcommittee; MBS=</w:t>
      </w:r>
      <w:r w:rsidR="003D5408">
        <w:t>Medicare</w:t>
      </w:r>
      <w:r>
        <w:t xml:space="preserve"> benefits schedule; P=pemetrexed; PBS = pharmaceutical benefit scheme; WHO= world health organisation. </w:t>
      </w:r>
    </w:p>
    <w:p w14:paraId="3C0C5EEF" w14:textId="77777777" w:rsidR="00C56AD0" w:rsidRDefault="00C56AD0" w:rsidP="00530866">
      <w:pPr>
        <w:pStyle w:val="FooterTableFigure"/>
      </w:pPr>
    </w:p>
    <w:p w14:paraId="0E30B782" w14:textId="25A67DE4" w:rsidR="00E50A74" w:rsidRPr="00DC1685" w:rsidRDefault="00E50A74" w:rsidP="00530866">
      <w:pPr>
        <w:pStyle w:val="3-BodyText"/>
        <w:rPr>
          <w:color w:val="0066FF"/>
        </w:rPr>
      </w:pPr>
      <w:r>
        <w:t xml:space="preserve">The number of patients treated, estimated use and financial implications for the proposed PBS listing of amivantamab are summarised in </w:t>
      </w:r>
      <w:r>
        <w:rPr>
          <w:highlight w:val="yellow"/>
        </w:rPr>
        <w:fldChar w:fldCharType="begin"/>
      </w:r>
      <w:r>
        <w:instrText xml:space="preserve"> REF _Ref216530372 \h </w:instrText>
      </w:r>
      <w:r>
        <w:rPr>
          <w:highlight w:val="yellow"/>
        </w:rPr>
      </w:r>
      <w:r>
        <w:rPr>
          <w:highlight w:val="yellow"/>
        </w:rPr>
        <w:fldChar w:fldCharType="separate"/>
      </w:r>
      <w:r w:rsidR="00A572FC" w:rsidRPr="0098262F">
        <w:t xml:space="preserve">Table </w:t>
      </w:r>
      <w:r w:rsidR="00A572FC">
        <w:rPr>
          <w:noProof/>
        </w:rPr>
        <w:t>18</w:t>
      </w:r>
      <w:r>
        <w:rPr>
          <w:highlight w:val="yellow"/>
        </w:rPr>
        <w:fldChar w:fldCharType="end"/>
      </w:r>
      <w:r>
        <w:t>.</w:t>
      </w:r>
      <w:r w:rsidRPr="0098262F">
        <w:rPr>
          <w:color w:val="0066FF"/>
        </w:rPr>
        <w:t xml:space="preserve"> </w:t>
      </w:r>
    </w:p>
    <w:p w14:paraId="7DFCADAC" w14:textId="18C67A6B" w:rsidR="00E50A74" w:rsidRPr="0098262F" w:rsidRDefault="00E50A74" w:rsidP="00530866">
      <w:pPr>
        <w:pStyle w:val="Caption"/>
      </w:pPr>
      <w:bookmarkStart w:id="103" w:name="_Ref216530372"/>
      <w:r w:rsidRPr="0098262F">
        <w:lastRenderedPageBreak/>
        <w:t xml:space="preserve">Table </w:t>
      </w:r>
      <w:bookmarkStart w:id="104" w:name="_Ref104805295"/>
      <w:r>
        <w:fldChar w:fldCharType="begin"/>
      </w:r>
      <w:r>
        <w:instrText xml:space="preserve"> SEQ Table \* ARABIC </w:instrText>
      </w:r>
      <w:r>
        <w:fldChar w:fldCharType="separate"/>
      </w:r>
      <w:r w:rsidR="00D97D5A">
        <w:rPr>
          <w:noProof/>
        </w:rPr>
        <w:t>18</w:t>
      </w:r>
      <w:r>
        <w:rPr>
          <w:noProof/>
        </w:rPr>
        <w:fldChar w:fldCharType="end"/>
      </w:r>
      <w:bookmarkEnd w:id="103"/>
      <w:bookmarkEnd w:id="104"/>
      <w:r w:rsidRPr="0098262F">
        <w:t>:</w:t>
      </w:r>
      <w:r w:rsidRPr="0098262F">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8: Estimated use and financial implications"/>
      </w:tblPr>
      <w:tblGrid>
        <w:gridCol w:w="2405"/>
        <w:gridCol w:w="1102"/>
        <w:gridCol w:w="1102"/>
        <w:gridCol w:w="1102"/>
        <w:gridCol w:w="1102"/>
        <w:gridCol w:w="1102"/>
        <w:gridCol w:w="1102"/>
      </w:tblGrid>
      <w:tr w:rsidR="00E50A74" w:rsidRPr="0098262F" w14:paraId="2B05B212" w14:textId="77777777">
        <w:trPr>
          <w:tblHeader/>
        </w:trPr>
        <w:tc>
          <w:tcPr>
            <w:tcW w:w="1334" w:type="pct"/>
            <w:vAlign w:val="center"/>
          </w:tcPr>
          <w:p w14:paraId="619F8935" w14:textId="77777777" w:rsidR="00E50A74" w:rsidRPr="0098262F" w:rsidRDefault="00E50A74" w:rsidP="00530866">
            <w:pPr>
              <w:pStyle w:val="In-tableHeading"/>
            </w:pPr>
          </w:p>
        </w:tc>
        <w:tc>
          <w:tcPr>
            <w:tcW w:w="611" w:type="pct"/>
            <w:vAlign w:val="center"/>
          </w:tcPr>
          <w:p w14:paraId="405F9B7B" w14:textId="77777777" w:rsidR="00E50A74" w:rsidRPr="0098262F" w:rsidRDefault="00E50A74" w:rsidP="00530866">
            <w:pPr>
              <w:pStyle w:val="In-tableHeading"/>
            </w:pPr>
            <w:r w:rsidRPr="0098262F">
              <w:t>Year 1</w:t>
            </w:r>
          </w:p>
        </w:tc>
        <w:tc>
          <w:tcPr>
            <w:tcW w:w="611" w:type="pct"/>
            <w:vAlign w:val="center"/>
          </w:tcPr>
          <w:p w14:paraId="2EDCA6BC" w14:textId="77777777" w:rsidR="00E50A74" w:rsidRPr="0098262F" w:rsidRDefault="00E50A74" w:rsidP="00530866">
            <w:pPr>
              <w:pStyle w:val="In-tableHeading"/>
            </w:pPr>
            <w:r w:rsidRPr="0098262F">
              <w:t>Year 2</w:t>
            </w:r>
          </w:p>
        </w:tc>
        <w:tc>
          <w:tcPr>
            <w:tcW w:w="611" w:type="pct"/>
            <w:vAlign w:val="center"/>
          </w:tcPr>
          <w:p w14:paraId="61F54719" w14:textId="77777777" w:rsidR="00E50A74" w:rsidRPr="0098262F" w:rsidRDefault="00E50A74" w:rsidP="00530866">
            <w:pPr>
              <w:pStyle w:val="In-tableHeading"/>
            </w:pPr>
            <w:r w:rsidRPr="0098262F">
              <w:t>Year 3</w:t>
            </w:r>
          </w:p>
        </w:tc>
        <w:tc>
          <w:tcPr>
            <w:tcW w:w="611" w:type="pct"/>
            <w:vAlign w:val="center"/>
          </w:tcPr>
          <w:p w14:paraId="19B56AE4" w14:textId="77777777" w:rsidR="00E50A74" w:rsidRPr="0098262F" w:rsidRDefault="00E50A74" w:rsidP="00530866">
            <w:pPr>
              <w:pStyle w:val="In-tableHeading"/>
            </w:pPr>
            <w:r w:rsidRPr="0098262F">
              <w:t>Year 4</w:t>
            </w:r>
          </w:p>
        </w:tc>
        <w:tc>
          <w:tcPr>
            <w:tcW w:w="611" w:type="pct"/>
            <w:vAlign w:val="center"/>
          </w:tcPr>
          <w:p w14:paraId="5FD27A61" w14:textId="77777777" w:rsidR="00E50A74" w:rsidRPr="0098262F" w:rsidRDefault="00E50A74" w:rsidP="00530866">
            <w:pPr>
              <w:pStyle w:val="In-tableHeading"/>
            </w:pPr>
            <w:r w:rsidRPr="0098262F">
              <w:t>Year 5</w:t>
            </w:r>
          </w:p>
        </w:tc>
        <w:tc>
          <w:tcPr>
            <w:tcW w:w="611" w:type="pct"/>
            <w:vAlign w:val="center"/>
          </w:tcPr>
          <w:p w14:paraId="28ADB501" w14:textId="77777777" w:rsidR="00E50A74" w:rsidRPr="0098262F" w:rsidRDefault="00E50A74" w:rsidP="00530866">
            <w:pPr>
              <w:pStyle w:val="In-tableHeading"/>
            </w:pPr>
            <w:r w:rsidRPr="0098262F">
              <w:t>Year 6</w:t>
            </w:r>
          </w:p>
        </w:tc>
      </w:tr>
      <w:tr w:rsidR="00E50A74" w:rsidRPr="0098262F" w14:paraId="033914CB" w14:textId="77777777">
        <w:tc>
          <w:tcPr>
            <w:tcW w:w="5000" w:type="pct"/>
            <w:gridSpan w:val="7"/>
            <w:vAlign w:val="center"/>
          </w:tcPr>
          <w:p w14:paraId="148D13B0" w14:textId="77777777" w:rsidR="00E50A74" w:rsidRPr="0098262F" w:rsidRDefault="00E50A74" w:rsidP="00530866">
            <w:pPr>
              <w:pStyle w:val="In-tableHeading"/>
            </w:pPr>
            <w:r w:rsidRPr="0098262F">
              <w:t>Estimated extent of use</w:t>
            </w:r>
          </w:p>
        </w:tc>
      </w:tr>
      <w:tr w:rsidR="00E50A74" w:rsidRPr="0098262F" w14:paraId="4602BD92" w14:textId="77777777">
        <w:tc>
          <w:tcPr>
            <w:tcW w:w="1334" w:type="pct"/>
            <w:vAlign w:val="center"/>
          </w:tcPr>
          <w:p w14:paraId="3FDF58A8" w14:textId="77777777" w:rsidR="00E50A74" w:rsidRPr="0098262F" w:rsidRDefault="00E50A74" w:rsidP="00530866">
            <w:pPr>
              <w:pStyle w:val="TableText0"/>
              <w:rPr>
                <w:rFonts w:ascii="Times" w:hAnsi="Times"/>
              </w:rPr>
            </w:pPr>
            <w:r w:rsidRPr="0098262F">
              <w:t>Number of patients treated</w:t>
            </w:r>
          </w:p>
        </w:tc>
        <w:tc>
          <w:tcPr>
            <w:tcW w:w="611" w:type="pct"/>
            <w:vAlign w:val="center"/>
          </w:tcPr>
          <w:p w14:paraId="7659059D" w14:textId="23D0A290" w:rsidR="00E50A74" w:rsidRPr="007D1BB9" w:rsidRDefault="00C87B5E" w:rsidP="00530866">
            <w:pPr>
              <w:pStyle w:val="TableText0"/>
              <w:jc w:val="center"/>
              <w:rPr>
                <w:color w:val="000000"/>
                <w:highlight w:val="lightGray"/>
              </w:rPr>
            </w:pPr>
            <w:r w:rsidRPr="00C87B5E">
              <w:rPr>
                <w:sz w:val="2"/>
                <w:highlight w:val="black"/>
              </w:rPr>
              <w:t>redacted content</w:t>
            </w:r>
            <w:r w:rsidR="008A3061" w:rsidRPr="00A915DC">
              <w:rPr>
                <w:vertAlign w:val="superscript"/>
              </w:rPr>
              <w:t>1</w:t>
            </w:r>
          </w:p>
        </w:tc>
        <w:tc>
          <w:tcPr>
            <w:tcW w:w="611" w:type="pct"/>
            <w:vAlign w:val="center"/>
          </w:tcPr>
          <w:p w14:paraId="50394E0C" w14:textId="16889AE5" w:rsidR="00E50A74" w:rsidRPr="007D1BB9" w:rsidRDefault="00C87B5E" w:rsidP="00530866">
            <w:pPr>
              <w:pStyle w:val="TableText0"/>
              <w:jc w:val="center"/>
              <w:rPr>
                <w:color w:val="000000"/>
                <w:highlight w:val="lightGray"/>
              </w:rPr>
            </w:pPr>
            <w:r w:rsidRPr="00C87B5E">
              <w:rPr>
                <w:sz w:val="2"/>
                <w:highlight w:val="black"/>
              </w:rPr>
              <w:t>redacted content</w:t>
            </w:r>
            <w:r w:rsidR="005A6583" w:rsidRPr="00A915DC">
              <w:rPr>
                <w:vertAlign w:val="superscript"/>
              </w:rPr>
              <w:t>1</w:t>
            </w:r>
          </w:p>
        </w:tc>
        <w:tc>
          <w:tcPr>
            <w:tcW w:w="611" w:type="pct"/>
            <w:vAlign w:val="center"/>
          </w:tcPr>
          <w:p w14:paraId="4173FF7F" w14:textId="69B12E2A" w:rsidR="00E50A74" w:rsidRPr="007D1BB9" w:rsidRDefault="00C87B5E" w:rsidP="00530866">
            <w:pPr>
              <w:pStyle w:val="TableText0"/>
              <w:jc w:val="center"/>
              <w:rPr>
                <w:color w:val="000000"/>
                <w:highlight w:val="lightGray"/>
              </w:rPr>
            </w:pPr>
            <w:r w:rsidRPr="00C87B5E">
              <w:rPr>
                <w:sz w:val="2"/>
                <w:highlight w:val="black"/>
              </w:rPr>
              <w:t>redacted content</w:t>
            </w:r>
            <w:r w:rsidR="005A6583" w:rsidRPr="004C5A9A">
              <w:rPr>
                <w:vertAlign w:val="superscript"/>
              </w:rPr>
              <w:t>1</w:t>
            </w:r>
          </w:p>
        </w:tc>
        <w:tc>
          <w:tcPr>
            <w:tcW w:w="611" w:type="pct"/>
            <w:vAlign w:val="center"/>
          </w:tcPr>
          <w:p w14:paraId="1A1D7C83" w14:textId="6BAC19A8" w:rsidR="00E50A74" w:rsidRPr="007D1BB9" w:rsidRDefault="00C87B5E" w:rsidP="00530866">
            <w:pPr>
              <w:pStyle w:val="TableText0"/>
              <w:jc w:val="center"/>
              <w:rPr>
                <w:color w:val="000000"/>
                <w:highlight w:val="lightGray"/>
              </w:rPr>
            </w:pPr>
            <w:r w:rsidRPr="00C87B5E">
              <w:rPr>
                <w:sz w:val="2"/>
                <w:highlight w:val="black"/>
              </w:rPr>
              <w:t>redacted content</w:t>
            </w:r>
            <w:r w:rsidR="005A6583" w:rsidRPr="004C5A9A">
              <w:rPr>
                <w:vertAlign w:val="superscript"/>
              </w:rPr>
              <w:t>1</w:t>
            </w:r>
          </w:p>
        </w:tc>
        <w:tc>
          <w:tcPr>
            <w:tcW w:w="611" w:type="pct"/>
            <w:vAlign w:val="center"/>
          </w:tcPr>
          <w:p w14:paraId="783E6B1A" w14:textId="60DDD910" w:rsidR="00E50A74" w:rsidRPr="007D1BB9" w:rsidRDefault="00C87B5E" w:rsidP="00530866">
            <w:pPr>
              <w:pStyle w:val="TableText0"/>
              <w:jc w:val="center"/>
              <w:rPr>
                <w:color w:val="000000"/>
                <w:highlight w:val="lightGray"/>
              </w:rPr>
            </w:pPr>
            <w:r w:rsidRPr="00C87B5E">
              <w:rPr>
                <w:sz w:val="2"/>
                <w:highlight w:val="black"/>
              </w:rPr>
              <w:t>redacted content</w:t>
            </w:r>
            <w:r w:rsidR="005A6583" w:rsidRPr="004C5A9A">
              <w:rPr>
                <w:vertAlign w:val="superscript"/>
              </w:rPr>
              <w:t>1</w:t>
            </w:r>
          </w:p>
        </w:tc>
        <w:tc>
          <w:tcPr>
            <w:tcW w:w="611" w:type="pct"/>
            <w:vAlign w:val="center"/>
          </w:tcPr>
          <w:p w14:paraId="0D9FC985" w14:textId="71C73854" w:rsidR="00E50A74" w:rsidRPr="007D1BB9" w:rsidRDefault="00C87B5E" w:rsidP="00530866">
            <w:pPr>
              <w:pStyle w:val="TableText0"/>
              <w:jc w:val="center"/>
              <w:rPr>
                <w:color w:val="000000"/>
                <w:highlight w:val="lightGray"/>
              </w:rPr>
            </w:pPr>
            <w:r w:rsidRPr="00C87B5E">
              <w:rPr>
                <w:sz w:val="2"/>
                <w:highlight w:val="black"/>
              </w:rPr>
              <w:t>redacted content</w:t>
            </w:r>
            <w:r w:rsidR="005A6583" w:rsidRPr="004C5A9A">
              <w:rPr>
                <w:vertAlign w:val="superscript"/>
              </w:rPr>
              <w:t>1</w:t>
            </w:r>
          </w:p>
        </w:tc>
      </w:tr>
      <w:tr w:rsidR="00E50A74" w:rsidRPr="0098262F" w14:paraId="6904614C" w14:textId="77777777">
        <w:tc>
          <w:tcPr>
            <w:tcW w:w="1334" w:type="pct"/>
            <w:vAlign w:val="center"/>
          </w:tcPr>
          <w:p w14:paraId="722F641A" w14:textId="39FF8D85" w:rsidR="00E50A74" w:rsidRPr="0098262F" w:rsidRDefault="00E50A74" w:rsidP="00530866">
            <w:pPr>
              <w:pStyle w:val="TableText0"/>
              <w:rPr>
                <w:rFonts w:ascii="Times" w:hAnsi="Times"/>
              </w:rPr>
            </w:pPr>
            <w:r w:rsidRPr="0098262F">
              <w:t>Number of</w:t>
            </w:r>
            <w:r w:rsidR="006A2D18">
              <w:t xml:space="preserve"> </w:t>
            </w:r>
            <w:proofErr w:type="spellStart"/>
            <w:r w:rsidR="006A2D18">
              <w:t>a</w:t>
            </w:r>
            <w:r w:rsidR="0041676B">
              <w:t>mivantamab</w:t>
            </w:r>
            <w:proofErr w:type="spellEnd"/>
            <w:r w:rsidRPr="0098262F">
              <w:t xml:space="preserve"> scripts </w:t>
            </w:r>
            <w:proofErr w:type="spellStart"/>
            <w:r w:rsidRPr="0098262F">
              <w:t>dispens</w:t>
            </w:r>
            <w:r w:rsidRPr="00F36F5B">
              <w:t>ed</w:t>
            </w:r>
            <w:r w:rsidRPr="00F36F5B">
              <w:rPr>
                <w:vertAlign w:val="superscript"/>
              </w:rPr>
              <w:t>a</w:t>
            </w:r>
            <w:proofErr w:type="spellEnd"/>
          </w:p>
        </w:tc>
        <w:tc>
          <w:tcPr>
            <w:tcW w:w="611" w:type="pct"/>
            <w:vAlign w:val="center"/>
          </w:tcPr>
          <w:p w14:paraId="1F202006" w14:textId="6F83D125" w:rsidR="00E50A74" w:rsidRPr="0028733D" w:rsidRDefault="00C87B5E" w:rsidP="00530866">
            <w:pPr>
              <w:pStyle w:val="TableText0"/>
              <w:jc w:val="center"/>
              <w:rPr>
                <w:color w:val="000000"/>
                <w:highlight w:val="lightGray"/>
              </w:rPr>
            </w:pPr>
            <w:r w:rsidRPr="00C87B5E">
              <w:rPr>
                <w:sz w:val="2"/>
                <w:highlight w:val="black"/>
              </w:rPr>
              <w:t>redacted content</w:t>
            </w:r>
            <w:r w:rsidR="00A90FDA" w:rsidRPr="004C5A9A">
              <w:rPr>
                <w:vertAlign w:val="superscript"/>
              </w:rPr>
              <w:t>2</w:t>
            </w:r>
          </w:p>
        </w:tc>
        <w:tc>
          <w:tcPr>
            <w:tcW w:w="611" w:type="pct"/>
            <w:vAlign w:val="center"/>
          </w:tcPr>
          <w:p w14:paraId="2E795348" w14:textId="7F16E8C9" w:rsidR="00E50A74" w:rsidRPr="0028733D" w:rsidRDefault="00C87B5E" w:rsidP="00530866">
            <w:pPr>
              <w:pStyle w:val="TableText0"/>
              <w:jc w:val="center"/>
              <w:rPr>
                <w:color w:val="000000"/>
                <w:highlight w:val="lightGray"/>
              </w:rPr>
            </w:pPr>
            <w:r w:rsidRPr="00C87B5E">
              <w:rPr>
                <w:sz w:val="2"/>
                <w:highlight w:val="black"/>
              </w:rPr>
              <w:t>redacted content</w:t>
            </w:r>
            <w:r w:rsidR="00BF33E7" w:rsidRPr="004C5A9A">
              <w:rPr>
                <w:vertAlign w:val="superscript"/>
              </w:rPr>
              <w:t>3</w:t>
            </w:r>
          </w:p>
        </w:tc>
        <w:tc>
          <w:tcPr>
            <w:tcW w:w="611" w:type="pct"/>
            <w:vAlign w:val="center"/>
          </w:tcPr>
          <w:p w14:paraId="7F7CC778" w14:textId="288FBF0C" w:rsidR="00E50A74" w:rsidRPr="0028733D" w:rsidRDefault="00C87B5E" w:rsidP="00530866">
            <w:pPr>
              <w:pStyle w:val="TableText0"/>
              <w:jc w:val="center"/>
              <w:rPr>
                <w:color w:val="000000"/>
                <w:highlight w:val="lightGray"/>
              </w:rPr>
            </w:pPr>
            <w:r w:rsidRPr="00C87B5E">
              <w:rPr>
                <w:sz w:val="2"/>
                <w:highlight w:val="black"/>
              </w:rPr>
              <w:t>redacted content</w:t>
            </w:r>
            <w:r w:rsidR="00BF33E7" w:rsidRPr="004C5A9A">
              <w:rPr>
                <w:vertAlign w:val="superscript"/>
              </w:rPr>
              <w:t>3</w:t>
            </w:r>
          </w:p>
        </w:tc>
        <w:tc>
          <w:tcPr>
            <w:tcW w:w="611" w:type="pct"/>
            <w:vAlign w:val="center"/>
          </w:tcPr>
          <w:p w14:paraId="70FD5062" w14:textId="13E2729C" w:rsidR="00E50A74" w:rsidRPr="0028733D" w:rsidRDefault="00C87B5E" w:rsidP="00530866">
            <w:pPr>
              <w:pStyle w:val="TableText0"/>
              <w:jc w:val="center"/>
              <w:rPr>
                <w:color w:val="000000"/>
                <w:highlight w:val="lightGray"/>
              </w:rPr>
            </w:pPr>
            <w:r w:rsidRPr="00C87B5E">
              <w:rPr>
                <w:sz w:val="2"/>
                <w:highlight w:val="black"/>
              </w:rPr>
              <w:t>redacted content</w:t>
            </w:r>
            <w:r w:rsidR="00BF33E7" w:rsidRPr="004C5A9A">
              <w:rPr>
                <w:vertAlign w:val="superscript"/>
              </w:rPr>
              <w:t>3</w:t>
            </w:r>
          </w:p>
        </w:tc>
        <w:tc>
          <w:tcPr>
            <w:tcW w:w="611" w:type="pct"/>
            <w:vAlign w:val="center"/>
          </w:tcPr>
          <w:p w14:paraId="4101C14D" w14:textId="2D968CE6" w:rsidR="00E50A74" w:rsidRPr="0028733D" w:rsidRDefault="00C87B5E" w:rsidP="00530866">
            <w:pPr>
              <w:pStyle w:val="TableText0"/>
              <w:jc w:val="center"/>
              <w:rPr>
                <w:color w:val="000000"/>
                <w:highlight w:val="lightGray"/>
              </w:rPr>
            </w:pPr>
            <w:r w:rsidRPr="00C87B5E">
              <w:rPr>
                <w:sz w:val="2"/>
                <w:highlight w:val="black"/>
              </w:rPr>
              <w:t>redacted content</w:t>
            </w:r>
            <w:r w:rsidR="00BF33E7" w:rsidRPr="004C5A9A">
              <w:rPr>
                <w:vertAlign w:val="superscript"/>
              </w:rPr>
              <w:t>3</w:t>
            </w:r>
          </w:p>
        </w:tc>
        <w:tc>
          <w:tcPr>
            <w:tcW w:w="611" w:type="pct"/>
            <w:vAlign w:val="center"/>
          </w:tcPr>
          <w:p w14:paraId="7B6190FE" w14:textId="61927F06" w:rsidR="00E50A74" w:rsidRPr="0028733D" w:rsidRDefault="00C87B5E" w:rsidP="00530866">
            <w:pPr>
              <w:pStyle w:val="TableText0"/>
              <w:jc w:val="center"/>
              <w:rPr>
                <w:color w:val="000000"/>
                <w:highlight w:val="lightGray"/>
              </w:rPr>
            </w:pPr>
            <w:r w:rsidRPr="00C87B5E">
              <w:rPr>
                <w:sz w:val="2"/>
                <w:highlight w:val="black"/>
              </w:rPr>
              <w:t>redacted content</w:t>
            </w:r>
            <w:r w:rsidR="00BF33E7" w:rsidRPr="004C5A9A">
              <w:rPr>
                <w:vertAlign w:val="superscript"/>
              </w:rPr>
              <w:t>3</w:t>
            </w:r>
          </w:p>
        </w:tc>
      </w:tr>
      <w:tr w:rsidR="00E50A74" w:rsidRPr="0098262F" w14:paraId="1F90AB34" w14:textId="77777777">
        <w:tc>
          <w:tcPr>
            <w:tcW w:w="5000" w:type="pct"/>
            <w:gridSpan w:val="7"/>
            <w:vAlign w:val="center"/>
          </w:tcPr>
          <w:p w14:paraId="681598B8" w14:textId="77777777" w:rsidR="00E50A74" w:rsidRPr="0098262F" w:rsidRDefault="00E50A74" w:rsidP="00530866">
            <w:pPr>
              <w:pStyle w:val="In-tableHeading"/>
            </w:pPr>
            <w:r w:rsidRPr="0098262F">
              <w:t xml:space="preserve">Estimated financial implications </w:t>
            </w:r>
            <w:r>
              <w:t>of amivantamab</w:t>
            </w:r>
          </w:p>
        </w:tc>
      </w:tr>
      <w:tr w:rsidR="00E50A74" w:rsidRPr="0098262F" w14:paraId="0C5F16E6" w14:textId="77777777">
        <w:tc>
          <w:tcPr>
            <w:tcW w:w="1334" w:type="pct"/>
            <w:vAlign w:val="center"/>
          </w:tcPr>
          <w:p w14:paraId="0C04B400" w14:textId="570B726E" w:rsidR="00E50A74" w:rsidRPr="0098262F" w:rsidRDefault="00E50A74" w:rsidP="00530866">
            <w:pPr>
              <w:pStyle w:val="TableText0"/>
              <w:rPr>
                <w:sz w:val="19"/>
                <w:szCs w:val="19"/>
              </w:rPr>
            </w:pPr>
            <w:r w:rsidRPr="0098262F">
              <w:rPr>
                <w:sz w:val="19"/>
                <w:szCs w:val="19"/>
              </w:rPr>
              <w:t>Cost to PBS/RPBS less copayments</w:t>
            </w:r>
            <w:r w:rsidR="00096103">
              <w:rPr>
                <w:sz w:val="19"/>
                <w:szCs w:val="19"/>
              </w:rPr>
              <w:t xml:space="preserve"> ($)</w:t>
            </w:r>
          </w:p>
        </w:tc>
        <w:tc>
          <w:tcPr>
            <w:tcW w:w="611" w:type="pct"/>
            <w:vAlign w:val="center"/>
          </w:tcPr>
          <w:p w14:paraId="2B7A09C4" w14:textId="7FB3B8B5" w:rsidR="00E50A74" w:rsidRPr="00096103" w:rsidRDefault="00C87B5E" w:rsidP="00530866">
            <w:pPr>
              <w:pStyle w:val="TableText0"/>
              <w:jc w:val="center"/>
              <w:rPr>
                <w:highlight w:val="lightGray"/>
              </w:rPr>
            </w:pPr>
            <w:r w:rsidRPr="00C87B5E">
              <w:rPr>
                <w:sz w:val="2"/>
                <w:highlight w:val="black"/>
              </w:rPr>
              <w:t>redacted content</w:t>
            </w:r>
            <w:r w:rsidR="000650D5" w:rsidRPr="004C5A9A">
              <w:rPr>
                <w:vertAlign w:val="superscript"/>
              </w:rPr>
              <w:t>4</w:t>
            </w:r>
          </w:p>
        </w:tc>
        <w:tc>
          <w:tcPr>
            <w:tcW w:w="611" w:type="pct"/>
            <w:vAlign w:val="center"/>
          </w:tcPr>
          <w:p w14:paraId="03D56CAA" w14:textId="27A5CB83" w:rsidR="00E50A74" w:rsidRPr="00096103" w:rsidRDefault="00C87B5E" w:rsidP="00530866">
            <w:pPr>
              <w:pStyle w:val="TableText0"/>
              <w:jc w:val="center"/>
              <w:rPr>
                <w:highlight w:val="lightGray"/>
              </w:rPr>
            </w:pPr>
            <w:r w:rsidRPr="00C87B5E">
              <w:rPr>
                <w:sz w:val="2"/>
                <w:highlight w:val="black"/>
              </w:rPr>
              <w:t>redacted content</w:t>
            </w:r>
            <w:r w:rsidR="000650D5" w:rsidRPr="004C5A9A">
              <w:rPr>
                <w:vertAlign w:val="superscript"/>
              </w:rPr>
              <w:t>5</w:t>
            </w:r>
          </w:p>
        </w:tc>
        <w:tc>
          <w:tcPr>
            <w:tcW w:w="611" w:type="pct"/>
            <w:vAlign w:val="center"/>
          </w:tcPr>
          <w:p w14:paraId="2DB65BAC" w14:textId="4301191C" w:rsidR="00E50A74" w:rsidRPr="00096103" w:rsidRDefault="00C87B5E" w:rsidP="00530866">
            <w:pPr>
              <w:pStyle w:val="TableText0"/>
              <w:jc w:val="center"/>
              <w:rPr>
                <w:highlight w:val="lightGray"/>
              </w:rPr>
            </w:pPr>
            <w:r w:rsidRPr="00C87B5E">
              <w:rPr>
                <w:sz w:val="2"/>
                <w:highlight w:val="black"/>
              </w:rPr>
              <w:t>redacted content</w:t>
            </w:r>
            <w:r w:rsidR="000650D5" w:rsidRPr="004C5A9A">
              <w:rPr>
                <w:vertAlign w:val="superscript"/>
              </w:rPr>
              <w:t>5</w:t>
            </w:r>
          </w:p>
        </w:tc>
        <w:tc>
          <w:tcPr>
            <w:tcW w:w="611" w:type="pct"/>
            <w:vAlign w:val="center"/>
          </w:tcPr>
          <w:p w14:paraId="47E7ABE0" w14:textId="0B3597CF" w:rsidR="00E50A74" w:rsidRPr="00096103" w:rsidRDefault="00C87B5E" w:rsidP="00530866">
            <w:pPr>
              <w:pStyle w:val="TableText0"/>
              <w:jc w:val="center"/>
              <w:rPr>
                <w:highlight w:val="lightGray"/>
              </w:rPr>
            </w:pPr>
            <w:r w:rsidRPr="00C87B5E">
              <w:rPr>
                <w:sz w:val="2"/>
                <w:highlight w:val="black"/>
              </w:rPr>
              <w:t>redacted content</w:t>
            </w:r>
            <w:r w:rsidR="000650D5" w:rsidRPr="004C5A9A">
              <w:rPr>
                <w:vertAlign w:val="superscript"/>
              </w:rPr>
              <w:t>5</w:t>
            </w:r>
          </w:p>
        </w:tc>
        <w:tc>
          <w:tcPr>
            <w:tcW w:w="611" w:type="pct"/>
            <w:vAlign w:val="center"/>
          </w:tcPr>
          <w:p w14:paraId="1DB99AC7" w14:textId="7C465845" w:rsidR="00E50A74" w:rsidRPr="00096103" w:rsidRDefault="00C87B5E" w:rsidP="00530866">
            <w:pPr>
              <w:pStyle w:val="TableText0"/>
              <w:jc w:val="center"/>
              <w:rPr>
                <w:highlight w:val="lightGray"/>
              </w:rPr>
            </w:pPr>
            <w:r w:rsidRPr="00C87B5E">
              <w:rPr>
                <w:sz w:val="2"/>
                <w:highlight w:val="black"/>
              </w:rPr>
              <w:t>redacted content</w:t>
            </w:r>
            <w:r w:rsidR="00E70FFB" w:rsidRPr="004C5A9A">
              <w:rPr>
                <w:vertAlign w:val="superscript"/>
              </w:rPr>
              <w:t>6</w:t>
            </w:r>
          </w:p>
        </w:tc>
        <w:tc>
          <w:tcPr>
            <w:tcW w:w="611" w:type="pct"/>
            <w:vAlign w:val="center"/>
          </w:tcPr>
          <w:p w14:paraId="74737512" w14:textId="112DD895" w:rsidR="00E50A74" w:rsidRPr="00096103" w:rsidRDefault="00C87B5E" w:rsidP="00530866">
            <w:pPr>
              <w:pStyle w:val="TableText0"/>
              <w:jc w:val="center"/>
              <w:rPr>
                <w:highlight w:val="lightGray"/>
              </w:rPr>
            </w:pPr>
            <w:r w:rsidRPr="00C87B5E">
              <w:rPr>
                <w:sz w:val="2"/>
                <w:highlight w:val="black"/>
              </w:rPr>
              <w:t>redacted content</w:t>
            </w:r>
            <w:r w:rsidR="00E70FFB" w:rsidRPr="004C5A9A">
              <w:rPr>
                <w:vertAlign w:val="superscript"/>
              </w:rPr>
              <w:t>6</w:t>
            </w:r>
          </w:p>
        </w:tc>
      </w:tr>
      <w:tr w:rsidR="00E50A74" w:rsidRPr="0098262F" w14:paraId="4EA9F2E4" w14:textId="77777777">
        <w:tc>
          <w:tcPr>
            <w:tcW w:w="5000" w:type="pct"/>
            <w:gridSpan w:val="7"/>
            <w:vAlign w:val="center"/>
          </w:tcPr>
          <w:p w14:paraId="36FE23A3" w14:textId="77777777" w:rsidR="00E50A74" w:rsidRPr="00175F99" w:rsidRDefault="00E50A74" w:rsidP="00530866">
            <w:pPr>
              <w:pStyle w:val="TableText0"/>
              <w:rPr>
                <w:b/>
                <w:bCs w:val="0"/>
              </w:rPr>
            </w:pPr>
            <w:r w:rsidRPr="00175F99">
              <w:rPr>
                <w:b/>
                <w:bCs w:val="0"/>
              </w:rPr>
              <w:t>Estimated financial implications for CP (as part of AmiCP)</w:t>
            </w:r>
          </w:p>
        </w:tc>
      </w:tr>
      <w:tr w:rsidR="00E50A74" w:rsidRPr="0098262F" w14:paraId="1A62053F" w14:textId="77777777">
        <w:tc>
          <w:tcPr>
            <w:tcW w:w="1334" w:type="pct"/>
            <w:vAlign w:val="center"/>
          </w:tcPr>
          <w:p w14:paraId="68D7E406" w14:textId="351E6614" w:rsidR="00E50A74" w:rsidRPr="0098262F" w:rsidRDefault="00E50A74" w:rsidP="00530866">
            <w:pPr>
              <w:pStyle w:val="TableText0"/>
              <w:rPr>
                <w:sz w:val="19"/>
                <w:szCs w:val="19"/>
              </w:rPr>
            </w:pPr>
            <w:r w:rsidRPr="0098262F">
              <w:rPr>
                <w:sz w:val="19"/>
                <w:szCs w:val="19"/>
              </w:rPr>
              <w:t>Cost to PBS/RPBS less copayments</w:t>
            </w:r>
            <w:r w:rsidR="00096103">
              <w:rPr>
                <w:sz w:val="19"/>
                <w:szCs w:val="19"/>
              </w:rPr>
              <w:t xml:space="preserve"> ($)</w:t>
            </w:r>
          </w:p>
        </w:tc>
        <w:tc>
          <w:tcPr>
            <w:tcW w:w="611" w:type="pct"/>
            <w:vAlign w:val="center"/>
          </w:tcPr>
          <w:p w14:paraId="3D53BA28" w14:textId="270AD2BC" w:rsidR="00E50A74" w:rsidRPr="00096103" w:rsidRDefault="00C87B5E" w:rsidP="00530866">
            <w:pPr>
              <w:pStyle w:val="TableText0"/>
              <w:jc w:val="center"/>
              <w:rPr>
                <w:highlight w:val="lightGray"/>
              </w:rPr>
            </w:pPr>
            <w:r w:rsidRPr="00C87B5E">
              <w:rPr>
                <w:sz w:val="2"/>
                <w:highlight w:val="black"/>
              </w:rPr>
              <w:t>redacted content</w:t>
            </w:r>
            <w:r w:rsidR="00EC1F46" w:rsidRPr="004B560A">
              <w:rPr>
                <w:vertAlign w:val="superscript"/>
              </w:rPr>
              <w:t>7</w:t>
            </w:r>
            <w:r w:rsidRPr="00C87B5E">
              <w:t xml:space="preserve">  </w:t>
            </w:r>
          </w:p>
        </w:tc>
        <w:tc>
          <w:tcPr>
            <w:tcW w:w="611" w:type="pct"/>
            <w:vAlign w:val="center"/>
          </w:tcPr>
          <w:p w14:paraId="501973A9" w14:textId="5D3EBBBF" w:rsidR="00E50A74" w:rsidRPr="00096103" w:rsidRDefault="00C87B5E" w:rsidP="00530866">
            <w:pPr>
              <w:pStyle w:val="TableText0"/>
              <w:jc w:val="center"/>
              <w:rPr>
                <w:highlight w:val="lightGray"/>
              </w:rPr>
            </w:pPr>
            <w:r w:rsidRPr="00C87B5E">
              <w:rPr>
                <w:sz w:val="2"/>
                <w:highlight w:val="black"/>
              </w:rPr>
              <w:t>redacted content</w:t>
            </w:r>
            <w:r w:rsidR="00064915" w:rsidRPr="004B560A">
              <w:rPr>
                <w:vertAlign w:val="superscript"/>
              </w:rPr>
              <w:t>7</w:t>
            </w:r>
          </w:p>
        </w:tc>
        <w:tc>
          <w:tcPr>
            <w:tcW w:w="611" w:type="pct"/>
            <w:vAlign w:val="center"/>
          </w:tcPr>
          <w:p w14:paraId="7B770025" w14:textId="2E1E5737" w:rsidR="00E50A74" w:rsidRPr="00096103" w:rsidRDefault="00C87B5E" w:rsidP="00530866">
            <w:pPr>
              <w:pStyle w:val="TableText0"/>
              <w:jc w:val="center"/>
              <w:rPr>
                <w:highlight w:val="lightGray"/>
              </w:rPr>
            </w:pPr>
            <w:r w:rsidRPr="00C87B5E">
              <w:rPr>
                <w:sz w:val="2"/>
                <w:highlight w:val="black"/>
              </w:rPr>
              <w:t>redacted content</w:t>
            </w:r>
            <w:r w:rsidR="00064915" w:rsidRPr="004B560A">
              <w:rPr>
                <w:vertAlign w:val="superscript"/>
              </w:rPr>
              <w:t>7</w:t>
            </w:r>
          </w:p>
        </w:tc>
        <w:tc>
          <w:tcPr>
            <w:tcW w:w="611" w:type="pct"/>
            <w:vAlign w:val="center"/>
          </w:tcPr>
          <w:p w14:paraId="1F4D7EE9" w14:textId="16F6E35A" w:rsidR="00E50A74" w:rsidRPr="00096103" w:rsidRDefault="00C87B5E" w:rsidP="00530866">
            <w:pPr>
              <w:pStyle w:val="TableText0"/>
              <w:jc w:val="center"/>
              <w:rPr>
                <w:highlight w:val="lightGray"/>
              </w:rPr>
            </w:pPr>
            <w:r w:rsidRPr="00C87B5E">
              <w:rPr>
                <w:sz w:val="2"/>
                <w:highlight w:val="black"/>
              </w:rPr>
              <w:t>redacted content</w:t>
            </w:r>
            <w:r w:rsidR="00064915" w:rsidRPr="004B560A">
              <w:rPr>
                <w:vertAlign w:val="superscript"/>
              </w:rPr>
              <w:t>7</w:t>
            </w:r>
          </w:p>
        </w:tc>
        <w:tc>
          <w:tcPr>
            <w:tcW w:w="611" w:type="pct"/>
            <w:vAlign w:val="center"/>
          </w:tcPr>
          <w:p w14:paraId="7B0A60AC" w14:textId="05958194" w:rsidR="00E50A74" w:rsidRPr="00096103" w:rsidRDefault="00C87B5E" w:rsidP="00530866">
            <w:pPr>
              <w:pStyle w:val="TableText0"/>
              <w:jc w:val="center"/>
              <w:rPr>
                <w:highlight w:val="lightGray"/>
              </w:rPr>
            </w:pPr>
            <w:r w:rsidRPr="00C87B5E">
              <w:rPr>
                <w:sz w:val="2"/>
                <w:highlight w:val="black"/>
              </w:rPr>
              <w:t>redacted content</w:t>
            </w:r>
            <w:r w:rsidR="00064915" w:rsidRPr="004B560A">
              <w:rPr>
                <w:vertAlign w:val="superscript"/>
              </w:rPr>
              <w:t>7</w:t>
            </w:r>
          </w:p>
        </w:tc>
        <w:tc>
          <w:tcPr>
            <w:tcW w:w="611" w:type="pct"/>
            <w:vAlign w:val="center"/>
          </w:tcPr>
          <w:p w14:paraId="582B90E2" w14:textId="233A9F8E" w:rsidR="00E50A74" w:rsidRPr="00096103" w:rsidRDefault="00C87B5E" w:rsidP="00530866">
            <w:pPr>
              <w:pStyle w:val="TableText0"/>
              <w:jc w:val="center"/>
              <w:rPr>
                <w:highlight w:val="lightGray"/>
              </w:rPr>
            </w:pPr>
            <w:r w:rsidRPr="00C87B5E">
              <w:rPr>
                <w:sz w:val="2"/>
                <w:highlight w:val="black"/>
              </w:rPr>
              <w:t>redacted content</w:t>
            </w:r>
            <w:r w:rsidR="00064915" w:rsidRPr="004B560A">
              <w:rPr>
                <w:vertAlign w:val="superscript"/>
              </w:rPr>
              <w:t>7</w:t>
            </w:r>
          </w:p>
        </w:tc>
      </w:tr>
      <w:tr w:rsidR="00E50A74" w:rsidRPr="0098262F" w14:paraId="0C91D209" w14:textId="77777777">
        <w:tc>
          <w:tcPr>
            <w:tcW w:w="5000" w:type="pct"/>
            <w:gridSpan w:val="7"/>
            <w:vAlign w:val="center"/>
          </w:tcPr>
          <w:p w14:paraId="3D6FFEE1" w14:textId="41A26633" w:rsidR="00E50A74" w:rsidRPr="0098262F" w:rsidRDefault="00E50A74" w:rsidP="00530866">
            <w:pPr>
              <w:pStyle w:val="TableText0"/>
            </w:pPr>
            <w:r w:rsidRPr="00175F99">
              <w:rPr>
                <w:b/>
                <w:bCs w:val="0"/>
              </w:rPr>
              <w:t xml:space="preserve">Estimated financial implications for </w:t>
            </w:r>
            <w:proofErr w:type="spellStart"/>
            <w:r w:rsidR="00CE0A18">
              <w:rPr>
                <w:b/>
                <w:bCs w:val="0"/>
              </w:rPr>
              <w:t>PDC</w:t>
            </w:r>
            <w:r>
              <w:rPr>
                <w:b/>
                <w:bCs w:val="0"/>
                <w:vertAlign w:val="superscript"/>
              </w:rPr>
              <w:t>a</w:t>
            </w:r>
            <w:proofErr w:type="spellEnd"/>
            <w:r>
              <w:rPr>
                <w:b/>
                <w:bCs w:val="0"/>
                <w:vertAlign w:val="superscript"/>
              </w:rPr>
              <w:t xml:space="preserve"> </w:t>
            </w:r>
            <w:r w:rsidRPr="00175F99">
              <w:rPr>
                <w:b/>
                <w:bCs w:val="0"/>
              </w:rPr>
              <w:t>(</w:t>
            </w:r>
            <w:r>
              <w:rPr>
                <w:b/>
                <w:bCs w:val="0"/>
              </w:rPr>
              <w:t>substituted medications)</w:t>
            </w:r>
          </w:p>
        </w:tc>
      </w:tr>
      <w:tr w:rsidR="00E50A74" w:rsidRPr="0098262F" w14:paraId="3741CB77" w14:textId="77777777">
        <w:tc>
          <w:tcPr>
            <w:tcW w:w="1334" w:type="pct"/>
            <w:vAlign w:val="center"/>
          </w:tcPr>
          <w:p w14:paraId="51336402" w14:textId="298340F3" w:rsidR="00E50A74" w:rsidRPr="0098262F" w:rsidRDefault="00E50A74" w:rsidP="00530866">
            <w:pPr>
              <w:pStyle w:val="TableText0"/>
              <w:rPr>
                <w:sz w:val="19"/>
                <w:szCs w:val="19"/>
              </w:rPr>
            </w:pPr>
            <w:r w:rsidRPr="0098262F">
              <w:rPr>
                <w:sz w:val="19"/>
                <w:szCs w:val="19"/>
              </w:rPr>
              <w:t>Cost to PBS/RPBS less copayments</w:t>
            </w:r>
            <w:r w:rsidR="00096103">
              <w:rPr>
                <w:sz w:val="19"/>
                <w:szCs w:val="19"/>
              </w:rPr>
              <w:t xml:space="preserve"> ($)</w:t>
            </w:r>
          </w:p>
        </w:tc>
        <w:tc>
          <w:tcPr>
            <w:tcW w:w="611" w:type="pct"/>
            <w:vAlign w:val="center"/>
          </w:tcPr>
          <w:p w14:paraId="3B90782B" w14:textId="153844C9" w:rsidR="00E50A74" w:rsidRPr="00096103" w:rsidRDefault="00E50A74" w:rsidP="00530866">
            <w:pPr>
              <w:pStyle w:val="TableText0"/>
              <w:jc w:val="center"/>
              <w:rPr>
                <w:highlight w:val="lightGray"/>
              </w:rPr>
            </w:pPr>
            <w:r w:rsidRPr="00977EB4">
              <w:t>-</w:t>
            </w:r>
            <w:r w:rsidR="00C87B5E" w:rsidRPr="00C87B5E">
              <w:rPr>
                <w:sz w:val="2"/>
                <w:highlight w:val="black"/>
              </w:rPr>
              <w:t>redacted content</w:t>
            </w:r>
            <w:r w:rsidR="00AA0D7F" w:rsidRPr="004B560A">
              <w:rPr>
                <w:vertAlign w:val="superscript"/>
              </w:rPr>
              <w:t>8</w:t>
            </w:r>
          </w:p>
        </w:tc>
        <w:tc>
          <w:tcPr>
            <w:tcW w:w="611" w:type="pct"/>
            <w:vAlign w:val="center"/>
          </w:tcPr>
          <w:p w14:paraId="305EE27D" w14:textId="46F048A4" w:rsidR="00E50A74" w:rsidRPr="00096103" w:rsidRDefault="00E50A74" w:rsidP="00530866">
            <w:pPr>
              <w:pStyle w:val="TableText0"/>
              <w:jc w:val="center"/>
              <w:rPr>
                <w:highlight w:val="lightGray"/>
              </w:rPr>
            </w:pPr>
            <w:r w:rsidRPr="00977EB4">
              <w:t>-</w:t>
            </w:r>
            <w:r w:rsidR="00C87B5E" w:rsidRPr="00C87B5E">
              <w:rPr>
                <w:sz w:val="2"/>
                <w:highlight w:val="black"/>
              </w:rPr>
              <w:t>redacted content</w:t>
            </w:r>
            <w:r w:rsidR="00AA0D7F" w:rsidRPr="004B560A">
              <w:rPr>
                <w:vertAlign w:val="superscript"/>
              </w:rPr>
              <w:t>8</w:t>
            </w:r>
          </w:p>
        </w:tc>
        <w:tc>
          <w:tcPr>
            <w:tcW w:w="611" w:type="pct"/>
            <w:vAlign w:val="center"/>
          </w:tcPr>
          <w:p w14:paraId="43239938" w14:textId="564694F2" w:rsidR="00E50A74" w:rsidRPr="00096103" w:rsidRDefault="00E50A74" w:rsidP="00530866">
            <w:pPr>
              <w:pStyle w:val="TableText0"/>
              <w:jc w:val="center"/>
              <w:rPr>
                <w:highlight w:val="lightGray"/>
              </w:rPr>
            </w:pPr>
            <w:r w:rsidRPr="00977EB4">
              <w:t>-</w:t>
            </w:r>
            <w:r w:rsidR="00C87B5E" w:rsidRPr="00C87B5E">
              <w:rPr>
                <w:sz w:val="2"/>
                <w:highlight w:val="black"/>
              </w:rPr>
              <w:t>redacted content</w:t>
            </w:r>
            <w:r w:rsidR="00AA0D7F" w:rsidRPr="004B560A">
              <w:rPr>
                <w:vertAlign w:val="superscript"/>
              </w:rPr>
              <w:t>8</w:t>
            </w:r>
          </w:p>
        </w:tc>
        <w:tc>
          <w:tcPr>
            <w:tcW w:w="611" w:type="pct"/>
            <w:vAlign w:val="center"/>
          </w:tcPr>
          <w:p w14:paraId="47B9E1F2" w14:textId="0DEBB909" w:rsidR="00E50A74" w:rsidRPr="00096103" w:rsidRDefault="00E50A74" w:rsidP="00530866">
            <w:pPr>
              <w:pStyle w:val="TableText0"/>
              <w:jc w:val="center"/>
              <w:rPr>
                <w:highlight w:val="lightGray"/>
              </w:rPr>
            </w:pPr>
            <w:r w:rsidRPr="00977EB4">
              <w:t>-</w:t>
            </w:r>
            <w:r w:rsidR="00C87B5E" w:rsidRPr="00C87B5E">
              <w:rPr>
                <w:sz w:val="2"/>
                <w:highlight w:val="black"/>
              </w:rPr>
              <w:t>redacted content</w:t>
            </w:r>
            <w:r w:rsidR="00AA0D7F" w:rsidRPr="004B560A">
              <w:rPr>
                <w:vertAlign w:val="superscript"/>
              </w:rPr>
              <w:t>8</w:t>
            </w:r>
          </w:p>
        </w:tc>
        <w:tc>
          <w:tcPr>
            <w:tcW w:w="611" w:type="pct"/>
            <w:vAlign w:val="center"/>
          </w:tcPr>
          <w:p w14:paraId="411DCA45" w14:textId="0170112B" w:rsidR="00E50A74" w:rsidRPr="00096103" w:rsidRDefault="00E50A74" w:rsidP="00530866">
            <w:pPr>
              <w:pStyle w:val="TableText0"/>
              <w:jc w:val="center"/>
              <w:rPr>
                <w:highlight w:val="lightGray"/>
              </w:rPr>
            </w:pPr>
            <w:r w:rsidRPr="00977EB4">
              <w:t>-</w:t>
            </w:r>
            <w:r w:rsidR="00C87B5E" w:rsidRPr="00C87B5E">
              <w:rPr>
                <w:sz w:val="2"/>
                <w:highlight w:val="black"/>
              </w:rPr>
              <w:t>redacted content</w:t>
            </w:r>
            <w:r w:rsidR="00AA0D7F" w:rsidRPr="004B560A">
              <w:rPr>
                <w:vertAlign w:val="superscript"/>
              </w:rPr>
              <w:t>8</w:t>
            </w:r>
          </w:p>
        </w:tc>
        <w:tc>
          <w:tcPr>
            <w:tcW w:w="611" w:type="pct"/>
            <w:vAlign w:val="center"/>
          </w:tcPr>
          <w:p w14:paraId="2EE58C3D" w14:textId="528F3777" w:rsidR="00E50A74" w:rsidRPr="00096103" w:rsidRDefault="00E50A74" w:rsidP="00530866">
            <w:pPr>
              <w:pStyle w:val="TableText0"/>
              <w:jc w:val="center"/>
              <w:rPr>
                <w:highlight w:val="lightGray"/>
              </w:rPr>
            </w:pPr>
            <w:r w:rsidRPr="00977EB4">
              <w:t>-</w:t>
            </w:r>
            <w:r w:rsidR="00C87B5E" w:rsidRPr="00C87B5E">
              <w:rPr>
                <w:sz w:val="2"/>
                <w:highlight w:val="black"/>
              </w:rPr>
              <w:t>redacted content</w:t>
            </w:r>
            <w:r w:rsidR="00AA0D7F" w:rsidRPr="004B560A">
              <w:rPr>
                <w:vertAlign w:val="superscript"/>
              </w:rPr>
              <w:t>8</w:t>
            </w:r>
          </w:p>
        </w:tc>
      </w:tr>
      <w:tr w:rsidR="00E50A74" w:rsidRPr="0098262F" w14:paraId="6B1E7815" w14:textId="77777777">
        <w:tc>
          <w:tcPr>
            <w:tcW w:w="5000" w:type="pct"/>
            <w:gridSpan w:val="7"/>
            <w:vAlign w:val="center"/>
          </w:tcPr>
          <w:p w14:paraId="72275CC2" w14:textId="77777777" w:rsidR="00E50A74" w:rsidRPr="00633F91" w:rsidRDefault="00E50A74" w:rsidP="00530866">
            <w:pPr>
              <w:pStyle w:val="TableText0"/>
              <w:rPr>
                <w:vertAlign w:val="superscript"/>
              </w:rPr>
            </w:pPr>
            <w:r w:rsidRPr="00175F99">
              <w:rPr>
                <w:b/>
                <w:bCs w:val="0"/>
              </w:rPr>
              <w:t xml:space="preserve">Estimated financial implications for </w:t>
            </w:r>
            <w:r>
              <w:rPr>
                <w:b/>
                <w:bCs w:val="0"/>
              </w:rPr>
              <w:t>ABCP</w:t>
            </w:r>
            <w:r>
              <w:rPr>
                <w:b/>
                <w:bCs w:val="0"/>
                <w:vertAlign w:val="superscript"/>
              </w:rPr>
              <w:t xml:space="preserve"> </w:t>
            </w:r>
            <w:r w:rsidRPr="00175F99">
              <w:rPr>
                <w:b/>
                <w:bCs w:val="0"/>
              </w:rPr>
              <w:t>(</w:t>
            </w:r>
            <w:r>
              <w:rPr>
                <w:b/>
                <w:bCs w:val="0"/>
              </w:rPr>
              <w:t xml:space="preserve">substituted medications) </w:t>
            </w:r>
            <w:r>
              <w:rPr>
                <w:b/>
                <w:bCs w:val="0"/>
                <w:vertAlign w:val="superscript"/>
              </w:rPr>
              <w:t>b</w:t>
            </w:r>
          </w:p>
        </w:tc>
      </w:tr>
      <w:tr w:rsidR="00E50A74" w:rsidRPr="0098262F" w14:paraId="193844A2" w14:textId="77777777">
        <w:tc>
          <w:tcPr>
            <w:tcW w:w="1334" w:type="pct"/>
            <w:vAlign w:val="center"/>
          </w:tcPr>
          <w:p w14:paraId="0AF1B658" w14:textId="776F2D3C" w:rsidR="00E50A74" w:rsidRPr="0098262F" w:rsidRDefault="00E50A74" w:rsidP="00530866">
            <w:pPr>
              <w:pStyle w:val="TableText0"/>
              <w:rPr>
                <w:sz w:val="19"/>
                <w:szCs w:val="19"/>
              </w:rPr>
            </w:pPr>
            <w:r w:rsidRPr="0098262F">
              <w:rPr>
                <w:sz w:val="19"/>
                <w:szCs w:val="19"/>
              </w:rPr>
              <w:t>Cost to PBS/RPBS less copayments</w:t>
            </w:r>
            <w:r w:rsidR="00096103">
              <w:rPr>
                <w:sz w:val="19"/>
                <w:szCs w:val="19"/>
              </w:rPr>
              <w:t xml:space="preserve"> ($)</w:t>
            </w:r>
          </w:p>
        </w:tc>
        <w:tc>
          <w:tcPr>
            <w:tcW w:w="611" w:type="pct"/>
            <w:vAlign w:val="center"/>
          </w:tcPr>
          <w:p w14:paraId="75ECF30E" w14:textId="1B029D4A" w:rsidR="00E50A74" w:rsidRPr="00096103" w:rsidRDefault="00E50A74" w:rsidP="00530866">
            <w:pPr>
              <w:pStyle w:val="TableText0"/>
              <w:jc w:val="center"/>
              <w:rPr>
                <w:bCs w:val="0"/>
                <w:highlight w:val="lightGray"/>
              </w:rPr>
            </w:pPr>
            <w:r w:rsidRPr="00977EB4">
              <w:t>-</w:t>
            </w:r>
            <w:r w:rsidR="00C87B5E" w:rsidRPr="00C87B5E">
              <w:rPr>
                <w:sz w:val="2"/>
                <w:highlight w:val="black"/>
              </w:rPr>
              <w:t>redacted content</w:t>
            </w:r>
            <w:r w:rsidR="00AA0D7F" w:rsidRPr="004B560A">
              <w:rPr>
                <w:vertAlign w:val="superscript"/>
              </w:rPr>
              <w:t>8</w:t>
            </w:r>
          </w:p>
        </w:tc>
        <w:tc>
          <w:tcPr>
            <w:tcW w:w="611" w:type="pct"/>
            <w:vAlign w:val="center"/>
          </w:tcPr>
          <w:p w14:paraId="1E355CEB" w14:textId="44013BF1" w:rsidR="00E50A74" w:rsidRPr="00096103" w:rsidRDefault="00E50A74" w:rsidP="00530866">
            <w:pPr>
              <w:pStyle w:val="TableText0"/>
              <w:jc w:val="center"/>
              <w:rPr>
                <w:bCs w:val="0"/>
                <w:highlight w:val="lightGray"/>
              </w:rPr>
            </w:pPr>
            <w:r w:rsidRPr="00977EB4">
              <w:t>-</w:t>
            </w:r>
            <w:r w:rsidR="00C87B5E" w:rsidRPr="00C87B5E">
              <w:rPr>
                <w:sz w:val="2"/>
                <w:highlight w:val="black"/>
              </w:rPr>
              <w:t>redacted content</w:t>
            </w:r>
            <w:r w:rsidR="00AA0D7F" w:rsidRPr="004B560A">
              <w:rPr>
                <w:vertAlign w:val="superscript"/>
              </w:rPr>
              <w:t>8</w:t>
            </w:r>
          </w:p>
        </w:tc>
        <w:tc>
          <w:tcPr>
            <w:tcW w:w="611" w:type="pct"/>
            <w:vAlign w:val="center"/>
          </w:tcPr>
          <w:p w14:paraId="003A6E87" w14:textId="14CDA837" w:rsidR="00E50A74" w:rsidRPr="00096103" w:rsidRDefault="00E50A74" w:rsidP="00530866">
            <w:pPr>
              <w:pStyle w:val="TableText0"/>
              <w:jc w:val="center"/>
              <w:rPr>
                <w:bCs w:val="0"/>
                <w:highlight w:val="lightGray"/>
              </w:rPr>
            </w:pPr>
            <w:r w:rsidRPr="00977EB4">
              <w:t>-</w:t>
            </w:r>
            <w:r w:rsidR="00C87B5E" w:rsidRPr="00C87B5E">
              <w:rPr>
                <w:sz w:val="2"/>
                <w:highlight w:val="black"/>
              </w:rPr>
              <w:t>redacted content</w:t>
            </w:r>
            <w:r w:rsidR="00AA0D7F" w:rsidRPr="004B560A">
              <w:rPr>
                <w:vertAlign w:val="superscript"/>
              </w:rPr>
              <w:t>8</w:t>
            </w:r>
          </w:p>
        </w:tc>
        <w:tc>
          <w:tcPr>
            <w:tcW w:w="611" w:type="pct"/>
            <w:vAlign w:val="center"/>
          </w:tcPr>
          <w:p w14:paraId="5CAEEBA3" w14:textId="13312A73" w:rsidR="00E50A74" w:rsidRPr="00096103" w:rsidRDefault="00E50A74" w:rsidP="00530866">
            <w:pPr>
              <w:pStyle w:val="TableText0"/>
              <w:jc w:val="center"/>
              <w:rPr>
                <w:bCs w:val="0"/>
                <w:highlight w:val="lightGray"/>
              </w:rPr>
            </w:pPr>
            <w:r w:rsidRPr="00977EB4">
              <w:t>-</w:t>
            </w:r>
            <w:r w:rsidR="00C87B5E" w:rsidRPr="00C87B5E">
              <w:rPr>
                <w:sz w:val="2"/>
                <w:highlight w:val="black"/>
              </w:rPr>
              <w:t>redacted content</w:t>
            </w:r>
            <w:r w:rsidR="00AA0D7F" w:rsidRPr="004B560A">
              <w:rPr>
                <w:vertAlign w:val="superscript"/>
              </w:rPr>
              <w:t>8</w:t>
            </w:r>
          </w:p>
        </w:tc>
        <w:tc>
          <w:tcPr>
            <w:tcW w:w="611" w:type="pct"/>
            <w:vAlign w:val="center"/>
          </w:tcPr>
          <w:p w14:paraId="3D92A7B4" w14:textId="1CCF7C79" w:rsidR="00E50A74" w:rsidRPr="00096103" w:rsidRDefault="00E50A74" w:rsidP="00530866">
            <w:pPr>
              <w:pStyle w:val="TableText0"/>
              <w:jc w:val="center"/>
              <w:rPr>
                <w:bCs w:val="0"/>
                <w:highlight w:val="lightGray"/>
              </w:rPr>
            </w:pPr>
            <w:r w:rsidRPr="00977EB4">
              <w:t>-</w:t>
            </w:r>
            <w:r w:rsidR="00C87B5E" w:rsidRPr="00C87B5E">
              <w:rPr>
                <w:sz w:val="2"/>
                <w:highlight w:val="black"/>
              </w:rPr>
              <w:t>redacted content</w:t>
            </w:r>
            <w:r w:rsidR="00AA0D7F" w:rsidRPr="004B560A">
              <w:rPr>
                <w:vertAlign w:val="superscript"/>
              </w:rPr>
              <w:t>8</w:t>
            </w:r>
          </w:p>
        </w:tc>
        <w:tc>
          <w:tcPr>
            <w:tcW w:w="611" w:type="pct"/>
            <w:vAlign w:val="center"/>
          </w:tcPr>
          <w:p w14:paraId="3E38844D" w14:textId="5D9F0BC0" w:rsidR="00E50A74" w:rsidRPr="00096103" w:rsidRDefault="00E50A74" w:rsidP="00530866">
            <w:pPr>
              <w:pStyle w:val="TableText0"/>
              <w:jc w:val="center"/>
              <w:rPr>
                <w:bCs w:val="0"/>
                <w:highlight w:val="lightGray"/>
              </w:rPr>
            </w:pPr>
            <w:r w:rsidRPr="00977EB4">
              <w:t>-</w:t>
            </w:r>
            <w:r w:rsidR="00C87B5E" w:rsidRPr="00C87B5E">
              <w:rPr>
                <w:sz w:val="2"/>
                <w:highlight w:val="black"/>
              </w:rPr>
              <w:t>redacted content</w:t>
            </w:r>
            <w:r w:rsidR="00AA0D7F" w:rsidRPr="004B560A">
              <w:rPr>
                <w:vertAlign w:val="superscript"/>
              </w:rPr>
              <w:t>8</w:t>
            </w:r>
          </w:p>
        </w:tc>
      </w:tr>
      <w:tr w:rsidR="00E50A74" w:rsidRPr="0098262F" w14:paraId="09AC2B2E" w14:textId="77777777">
        <w:tc>
          <w:tcPr>
            <w:tcW w:w="5000" w:type="pct"/>
            <w:gridSpan w:val="7"/>
            <w:vAlign w:val="center"/>
          </w:tcPr>
          <w:p w14:paraId="1EADB958" w14:textId="1DACE343" w:rsidR="00E50A74" w:rsidRPr="0098262F" w:rsidRDefault="00E50A74" w:rsidP="00530866">
            <w:pPr>
              <w:pStyle w:val="In-tableHeading"/>
            </w:pPr>
            <w:r w:rsidRPr="0098262F">
              <w:t xml:space="preserve">Net financial </w:t>
            </w:r>
            <w:proofErr w:type="spellStart"/>
            <w:r w:rsidRPr="0098262F">
              <w:t>implications</w:t>
            </w:r>
            <w:r w:rsidR="00EF7E21">
              <w:rPr>
                <w:vertAlign w:val="superscript"/>
              </w:rPr>
              <w:t>b</w:t>
            </w:r>
            <w:proofErr w:type="spellEnd"/>
            <w:r w:rsidRPr="0098262F">
              <w:rPr>
                <w:color w:val="4BACC6" w:themeColor="accent5"/>
              </w:rPr>
              <w:t xml:space="preserve"> </w:t>
            </w:r>
          </w:p>
        </w:tc>
      </w:tr>
      <w:tr w:rsidR="00E50A74" w:rsidRPr="0098262F" w14:paraId="50439D72" w14:textId="77777777">
        <w:tc>
          <w:tcPr>
            <w:tcW w:w="1334" w:type="pct"/>
            <w:vAlign w:val="center"/>
          </w:tcPr>
          <w:p w14:paraId="2D013EC2" w14:textId="6FB648A8" w:rsidR="00E50A74" w:rsidRPr="0098262F" w:rsidRDefault="00E50A74" w:rsidP="00530866">
            <w:pPr>
              <w:pStyle w:val="TableText0"/>
              <w:rPr>
                <w:sz w:val="19"/>
                <w:szCs w:val="19"/>
              </w:rPr>
            </w:pPr>
            <w:r w:rsidRPr="0098262F">
              <w:rPr>
                <w:sz w:val="19"/>
                <w:szCs w:val="19"/>
              </w:rPr>
              <w:t>Net cost to PBS/RPBS</w:t>
            </w:r>
            <w:r w:rsidR="00096103">
              <w:rPr>
                <w:sz w:val="19"/>
                <w:szCs w:val="19"/>
              </w:rPr>
              <w:t xml:space="preserve"> ($)</w:t>
            </w:r>
          </w:p>
        </w:tc>
        <w:tc>
          <w:tcPr>
            <w:tcW w:w="611" w:type="pct"/>
            <w:vAlign w:val="center"/>
          </w:tcPr>
          <w:p w14:paraId="23D1510D" w14:textId="4925952A" w:rsidR="00E50A74" w:rsidRPr="00096103" w:rsidRDefault="00C87B5E" w:rsidP="00530866">
            <w:pPr>
              <w:pStyle w:val="TableText0"/>
              <w:jc w:val="center"/>
              <w:rPr>
                <w:highlight w:val="lightGray"/>
              </w:rPr>
            </w:pPr>
            <w:r w:rsidRPr="00C87B5E">
              <w:rPr>
                <w:sz w:val="2"/>
                <w:highlight w:val="black"/>
              </w:rPr>
              <w:t>redacted content</w:t>
            </w:r>
            <w:r w:rsidR="003C1719" w:rsidRPr="004B560A">
              <w:rPr>
                <w:vertAlign w:val="superscript"/>
              </w:rPr>
              <w:t>7</w:t>
            </w:r>
          </w:p>
        </w:tc>
        <w:tc>
          <w:tcPr>
            <w:tcW w:w="611" w:type="pct"/>
            <w:vAlign w:val="center"/>
          </w:tcPr>
          <w:p w14:paraId="301F1885" w14:textId="222571D3" w:rsidR="00E50A74" w:rsidRPr="00096103" w:rsidRDefault="00C87B5E" w:rsidP="00530866">
            <w:pPr>
              <w:pStyle w:val="TableText0"/>
              <w:jc w:val="center"/>
              <w:rPr>
                <w:highlight w:val="lightGray"/>
              </w:rPr>
            </w:pPr>
            <w:r w:rsidRPr="00C87B5E">
              <w:rPr>
                <w:sz w:val="2"/>
                <w:highlight w:val="black"/>
              </w:rPr>
              <w:t>redacted content</w:t>
            </w:r>
            <w:r w:rsidR="003C1719" w:rsidRPr="004B560A">
              <w:rPr>
                <w:vertAlign w:val="superscript"/>
              </w:rPr>
              <w:t>7</w:t>
            </w:r>
          </w:p>
        </w:tc>
        <w:tc>
          <w:tcPr>
            <w:tcW w:w="611" w:type="pct"/>
            <w:vAlign w:val="center"/>
          </w:tcPr>
          <w:p w14:paraId="33FC7405" w14:textId="5294765D" w:rsidR="00E50A74" w:rsidRPr="00096103" w:rsidRDefault="00C87B5E" w:rsidP="00530866">
            <w:pPr>
              <w:pStyle w:val="TableText0"/>
              <w:jc w:val="center"/>
              <w:rPr>
                <w:highlight w:val="lightGray"/>
              </w:rPr>
            </w:pPr>
            <w:r w:rsidRPr="00C87B5E">
              <w:rPr>
                <w:sz w:val="2"/>
                <w:highlight w:val="black"/>
              </w:rPr>
              <w:t>redacted content</w:t>
            </w:r>
            <w:r w:rsidR="003C1719" w:rsidRPr="004B560A">
              <w:rPr>
                <w:vertAlign w:val="superscript"/>
              </w:rPr>
              <w:t>7</w:t>
            </w:r>
          </w:p>
        </w:tc>
        <w:tc>
          <w:tcPr>
            <w:tcW w:w="611" w:type="pct"/>
            <w:vAlign w:val="center"/>
          </w:tcPr>
          <w:p w14:paraId="76FBA527" w14:textId="6BFF58CA" w:rsidR="00E50A74" w:rsidRPr="00096103" w:rsidRDefault="00C87B5E" w:rsidP="00530866">
            <w:pPr>
              <w:pStyle w:val="TableText0"/>
              <w:jc w:val="center"/>
              <w:rPr>
                <w:highlight w:val="lightGray"/>
              </w:rPr>
            </w:pPr>
            <w:r w:rsidRPr="00C87B5E">
              <w:rPr>
                <w:sz w:val="2"/>
                <w:highlight w:val="black"/>
              </w:rPr>
              <w:t>redacted content</w:t>
            </w:r>
            <w:r w:rsidR="003C1719" w:rsidRPr="004B560A">
              <w:rPr>
                <w:vertAlign w:val="superscript"/>
              </w:rPr>
              <w:t>7</w:t>
            </w:r>
          </w:p>
        </w:tc>
        <w:tc>
          <w:tcPr>
            <w:tcW w:w="611" w:type="pct"/>
            <w:vAlign w:val="center"/>
          </w:tcPr>
          <w:p w14:paraId="2EFBB1FE" w14:textId="5DEF30D7" w:rsidR="00E50A74" w:rsidRPr="00096103" w:rsidRDefault="00C87B5E" w:rsidP="00530866">
            <w:pPr>
              <w:pStyle w:val="TableText0"/>
              <w:jc w:val="center"/>
              <w:rPr>
                <w:highlight w:val="lightGray"/>
              </w:rPr>
            </w:pPr>
            <w:r w:rsidRPr="00C87B5E">
              <w:rPr>
                <w:sz w:val="2"/>
                <w:highlight w:val="black"/>
              </w:rPr>
              <w:t>redacted content</w:t>
            </w:r>
            <w:r w:rsidR="003C1719" w:rsidRPr="004B560A">
              <w:rPr>
                <w:vertAlign w:val="superscript"/>
              </w:rPr>
              <w:t>7</w:t>
            </w:r>
          </w:p>
        </w:tc>
        <w:tc>
          <w:tcPr>
            <w:tcW w:w="611" w:type="pct"/>
            <w:vAlign w:val="center"/>
          </w:tcPr>
          <w:p w14:paraId="08E83B9D" w14:textId="554CB050" w:rsidR="00E50A74" w:rsidRPr="00096103" w:rsidRDefault="00C87B5E" w:rsidP="00530866">
            <w:pPr>
              <w:pStyle w:val="TableText0"/>
              <w:jc w:val="center"/>
              <w:rPr>
                <w:highlight w:val="lightGray"/>
              </w:rPr>
            </w:pPr>
            <w:r w:rsidRPr="00C87B5E">
              <w:rPr>
                <w:sz w:val="2"/>
                <w:highlight w:val="black"/>
              </w:rPr>
              <w:t>redacted content</w:t>
            </w:r>
            <w:r w:rsidR="003C1719" w:rsidRPr="004B560A">
              <w:rPr>
                <w:vertAlign w:val="superscript"/>
              </w:rPr>
              <w:t>7</w:t>
            </w:r>
          </w:p>
        </w:tc>
      </w:tr>
      <w:tr w:rsidR="00E50A74" w:rsidRPr="0098262F" w14:paraId="5BEB0DA9" w14:textId="77777777">
        <w:tc>
          <w:tcPr>
            <w:tcW w:w="1334" w:type="pct"/>
            <w:vAlign w:val="center"/>
          </w:tcPr>
          <w:p w14:paraId="4CFC0D15" w14:textId="25E16856" w:rsidR="00E50A74" w:rsidRPr="0098262F" w:rsidRDefault="00E50A74" w:rsidP="00530866">
            <w:pPr>
              <w:pStyle w:val="TableText0"/>
              <w:rPr>
                <w:rFonts w:ascii="Times" w:hAnsi="Times"/>
              </w:rPr>
            </w:pPr>
            <w:r w:rsidRPr="0098262F">
              <w:rPr>
                <w:sz w:val="19"/>
                <w:szCs w:val="19"/>
              </w:rPr>
              <w:t xml:space="preserve">Net cost to </w:t>
            </w:r>
            <w:r>
              <w:rPr>
                <w:sz w:val="19"/>
                <w:szCs w:val="19"/>
              </w:rPr>
              <w:t>MBS</w:t>
            </w:r>
            <w:r w:rsidR="00096103">
              <w:rPr>
                <w:sz w:val="19"/>
                <w:szCs w:val="19"/>
              </w:rPr>
              <w:t xml:space="preserve"> ($)</w:t>
            </w:r>
          </w:p>
        </w:tc>
        <w:tc>
          <w:tcPr>
            <w:tcW w:w="611" w:type="pct"/>
            <w:vAlign w:val="center"/>
          </w:tcPr>
          <w:p w14:paraId="7C8EC354" w14:textId="0D1EDB10" w:rsidR="00E50A74" w:rsidRPr="00096103" w:rsidRDefault="00E50A74" w:rsidP="00530866">
            <w:pPr>
              <w:pStyle w:val="TableText0"/>
              <w:jc w:val="center"/>
              <w:rPr>
                <w:highlight w:val="lightGray"/>
              </w:rPr>
            </w:pPr>
            <w:r w:rsidRPr="00977EB4">
              <w:t>-</w:t>
            </w:r>
            <w:r w:rsidR="00C87B5E" w:rsidRPr="00C87B5E">
              <w:rPr>
                <w:sz w:val="2"/>
                <w:highlight w:val="black"/>
              </w:rPr>
              <w:t>redacted content</w:t>
            </w:r>
            <w:r w:rsidR="00961FE5" w:rsidRPr="004B560A">
              <w:rPr>
                <w:vertAlign w:val="superscript"/>
              </w:rPr>
              <w:t>8</w:t>
            </w:r>
          </w:p>
        </w:tc>
        <w:tc>
          <w:tcPr>
            <w:tcW w:w="611" w:type="pct"/>
            <w:vAlign w:val="center"/>
          </w:tcPr>
          <w:p w14:paraId="0BE87284" w14:textId="28F91C1F" w:rsidR="00E50A74" w:rsidRPr="00096103" w:rsidRDefault="00E50A74" w:rsidP="00530866">
            <w:pPr>
              <w:pStyle w:val="TableText0"/>
              <w:jc w:val="center"/>
              <w:rPr>
                <w:highlight w:val="lightGray"/>
              </w:rPr>
            </w:pPr>
            <w:r w:rsidRPr="00977EB4">
              <w:t>-</w:t>
            </w:r>
            <w:r w:rsidR="00C87B5E" w:rsidRPr="00C87B5E">
              <w:rPr>
                <w:sz w:val="2"/>
                <w:highlight w:val="black"/>
              </w:rPr>
              <w:t>redacted content</w:t>
            </w:r>
            <w:r w:rsidR="00961FE5" w:rsidRPr="004B560A">
              <w:rPr>
                <w:vertAlign w:val="superscript"/>
              </w:rPr>
              <w:t>8</w:t>
            </w:r>
          </w:p>
        </w:tc>
        <w:tc>
          <w:tcPr>
            <w:tcW w:w="611" w:type="pct"/>
            <w:vAlign w:val="center"/>
          </w:tcPr>
          <w:p w14:paraId="6F7DF550" w14:textId="029FD516" w:rsidR="00E50A74" w:rsidRPr="00096103" w:rsidRDefault="00E50A74" w:rsidP="00530866">
            <w:pPr>
              <w:pStyle w:val="TableText0"/>
              <w:jc w:val="center"/>
              <w:rPr>
                <w:highlight w:val="lightGray"/>
              </w:rPr>
            </w:pPr>
            <w:r w:rsidRPr="00977EB4">
              <w:t>-</w:t>
            </w:r>
            <w:r w:rsidR="00C87B5E" w:rsidRPr="00C87B5E">
              <w:rPr>
                <w:sz w:val="2"/>
                <w:highlight w:val="black"/>
              </w:rPr>
              <w:t>redacted content</w:t>
            </w:r>
            <w:r w:rsidR="00961FE5" w:rsidRPr="004B560A">
              <w:rPr>
                <w:vertAlign w:val="superscript"/>
              </w:rPr>
              <w:t>8</w:t>
            </w:r>
          </w:p>
        </w:tc>
        <w:tc>
          <w:tcPr>
            <w:tcW w:w="611" w:type="pct"/>
            <w:vAlign w:val="center"/>
          </w:tcPr>
          <w:p w14:paraId="4E38E337" w14:textId="4B4B2479" w:rsidR="00E50A74" w:rsidRPr="00096103" w:rsidRDefault="00E50A74" w:rsidP="00530866">
            <w:pPr>
              <w:pStyle w:val="TableText0"/>
              <w:jc w:val="center"/>
              <w:rPr>
                <w:highlight w:val="lightGray"/>
              </w:rPr>
            </w:pPr>
            <w:r w:rsidRPr="00977EB4">
              <w:t>-</w:t>
            </w:r>
            <w:r w:rsidR="00C87B5E" w:rsidRPr="00C87B5E">
              <w:rPr>
                <w:sz w:val="2"/>
                <w:highlight w:val="black"/>
              </w:rPr>
              <w:t>redacted content</w:t>
            </w:r>
            <w:r w:rsidR="00961FE5" w:rsidRPr="004B560A">
              <w:rPr>
                <w:vertAlign w:val="superscript"/>
              </w:rPr>
              <w:t>8</w:t>
            </w:r>
          </w:p>
        </w:tc>
        <w:tc>
          <w:tcPr>
            <w:tcW w:w="611" w:type="pct"/>
            <w:vAlign w:val="center"/>
          </w:tcPr>
          <w:p w14:paraId="77719735" w14:textId="03E2A408" w:rsidR="00E50A74" w:rsidRPr="00096103" w:rsidRDefault="00E50A74" w:rsidP="00530866">
            <w:pPr>
              <w:pStyle w:val="TableText0"/>
              <w:jc w:val="center"/>
              <w:rPr>
                <w:highlight w:val="lightGray"/>
              </w:rPr>
            </w:pPr>
            <w:r w:rsidRPr="00977EB4">
              <w:t>-</w:t>
            </w:r>
            <w:r w:rsidR="00C87B5E" w:rsidRPr="00C87B5E">
              <w:rPr>
                <w:sz w:val="2"/>
                <w:highlight w:val="black"/>
              </w:rPr>
              <w:t>redacted content</w:t>
            </w:r>
            <w:r w:rsidR="00961FE5" w:rsidRPr="004B560A">
              <w:rPr>
                <w:vertAlign w:val="superscript"/>
              </w:rPr>
              <w:t>8</w:t>
            </w:r>
          </w:p>
        </w:tc>
        <w:tc>
          <w:tcPr>
            <w:tcW w:w="611" w:type="pct"/>
            <w:vAlign w:val="center"/>
          </w:tcPr>
          <w:p w14:paraId="5BC2D17A" w14:textId="3DB157FC" w:rsidR="00E50A74" w:rsidRPr="00096103" w:rsidRDefault="00E50A74" w:rsidP="00530866">
            <w:pPr>
              <w:pStyle w:val="TableText0"/>
              <w:jc w:val="center"/>
              <w:rPr>
                <w:highlight w:val="lightGray"/>
              </w:rPr>
            </w:pPr>
            <w:r w:rsidRPr="00977EB4">
              <w:t>-</w:t>
            </w:r>
            <w:r w:rsidR="00C87B5E" w:rsidRPr="00C87B5E">
              <w:rPr>
                <w:sz w:val="2"/>
                <w:highlight w:val="black"/>
              </w:rPr>
              <w:t>redacted content</w:t>
            </w:r>
            <w:r w:rsidR="00961FE5" w:rsidRPr="004B560A">
              <w:rPr>
                <w:vertAlign w:val="superscript"/>
              </w:rPr>
              <w:t>8</w:t>
            </w:r>
          </w:p>
        </w:tc>
      </w:tr>
      <w:tr w:rsidR="00E50A74" w:rsidRPr="0098262F" w14:paraId="69F54174" w14:textId="77777777">
        <w:tc>
          <w:tcPr>
            <w:tcW w:w="1334" w:type="pct"/>
            <w:vAlign w:val="center"/>
          </w:tcPr>
          <w:p w14:paraId="6377EC27" w14:textId="648FC966" w:rsidR="00E50A74" w:rsidRPr="0098262F" w:rsidRDefault="00E50A74" w:rsidP="00530866">
            <w:pPr>
              <w:pStyle w:val="TableText0"/>
              <w:rPr>
                <w:sz w:val="19"/>
                <w:szCs w:val="19"/>
              </w:rPr>
            </w:pPr>
            <w:r w:rsidRPr="00113E6F">
              <w:t>Net cost to Australia health budget</w:t>
            </w:r>
            <w:r w:rsidR="00096103">
              <w:rPr>
                <w:sz w:val="19"/>
                <w:szCs w:val="19"/>
              </w:rPr>
              <w:t xml:space="preserve"> ($)</w:t>
            </w:r>
          </w:p>
        </w:tc>
        <w:tc>
          <w:tcPr>
            <w:tcW w:w="611" w:type="pct"/>
            <w:vAlign w:val="center"/>
          </w:tcPr>
          <w:p w14:paraId="0AAB7341" w14:textId="481F4A4C" w:rsidR="00E50A74" w:rsidRPr="00096103" w:rsidRDefault="00C87B5E" w:rsidP="00530866">
            <w:pPr>
              <w:pStyle w:val="TableText0"/>
              <w:jc w:val="center"/>
              <w:rPr>
                <w:highlight w:val="lightGray"/>
              </w:rPr>
            </w:pPr>
            <w:r w:rsidRPr="00C87B5E">
              <w:rPr>
                <w:sz w:val="2"/>
                <w:highlight w:val="black"/>
              </w:rPr>
              <w:t>redacted content</w:t>
            </w:r>
            <w:r w:rsidR="003C1719" w:rsidRPr="004B560A">
              <w:rPr>
                <w:vertAlign w:val="superscript"/>
              </w:rPr>
              <w:t>7</w:t>
            </w:r>
          </w:p>
        </w:tc>
        <w:tc>
          <w:tcPr>
            <w:tcW w:w="611" w:type="pct"/>
            <w:vAlign w:val="center"/>
          </w:tcPr>
          <w:p w14:paraId="6E714B58" w14:textId="7DB15EFD" w:rsidR="00E50A74" w:rsidRPr="00096103" w:rsidRDefault="00C87B5E" w:rsidP="00530866">
            <w:pPr>
              <w:pStyle w:val="TableText0"/>
              <w:jc w:val="center"/>
              <w:rPr>
                <w:highlight w:val="lightGray"/>
              </w:rPr>
            </w:pPr>
            <w:r w:rsidRPr="00C87B5E">
              <w:rPr>
                <w:sz w:val="2"/>
                <w:highlight w:val="black"/>
              </w:rPr>
              <w:t>redacted content</w:t>
            </w:r>
            <w:r w:rsidR="003C1719" w:rsidRPr="004B560A">
              <w:rPr>
                <w:vertAlign w:val="superscript"/>
              </w:rPr>
              <w:t>7</w:t>
            </w:r>
          </w:p>
        </w:tc>
        <w:tc>
          <w:tcPr>
            <w:tcW w:w="611" w:type="pct"/>
            <w:vAlign w:val="center"/>
          </w:tcPr>
          <w:p w14:paraId="0B645ACB" w14:textId="4D03DC2A" w:rsidR="00E50A74" w:rsidRPr="00096103" w:rsidRDefault="00C87B5E" w:rsidP="00530866">
            <w:pPr>
              <w:pStyle w:val="TableText0"/>
              <w:jc w:val="center"/>
              <w:rPr>
                <w:highlight w:val="lightGray"/>
              </w:rPr>
            </w:pPr>
            <w:r w:rsidRPr="00C87B5E">
              <w:rPr>
                <w:sz w:val="2"/>
                <w:highlight w:val="black"/>
              </w:rPr>
              <w:t>redacted content</w:t>
            </w:r>
            <w:r w:rsidR="003C1719" w:rsidRPr="004B560A">
              <w:rPr>
                <w:vertAlign w:val="superscript"/>
              </w:rPr>
              <w:t>7</w:t>
            </w:r>
          </w:p>
        </w:tc>
        <w:tc>
          <w:tcPr>
            <w:tcW w:w="611" w:type="pct"/>
            <w:vAlign w:val="center"/>
          </w:tcPr>
          <w:p w14:paraId="23FBDFE9" w14:textId="3FC588EF" w:rsidR="00E50A74" w:rsidRPr="00096103" w:rsidRDefault="00C87B5E" w:rsidP="00530866">
            <w:pPr>
              <w:pStyle w:val="TableText0"/>
              <w:jc w:val="center"/>
              <w:rPr>
                <w:highlight w:val="lightGray"/>
              </w:rPr>
            </w:pPr>
            <w:r w:rsidRPr="00C87B5E">
              <w:rPr>
                <w:sz w:val="2"/>
                <w:highlight w:val="black"/>
              </w:rPr>
              <w:t>redacted content</w:t>
            </w:r>
            <w:r w:rsidR="003C1719" w:rsidRPr="004B560A">
              <w:rPr>
                <w:vertAlign w:val="superscript"/>
              </w:rPr>
              <w:t>7</w:t>
            </w:r>
          </w:p>
        </w:tc>
        <w:tc>
          <w:tcPr>
            <w:tcW w:w="611" w:type="pct"/>
            <w:vAlign w:val="center"/>
          </w:tcPr>
          <w:p w14:paraId="10C9B009" w14:textId="12CC89BD" w:rsidR="00E50A74" w:rsidRPr="00096103" w:rsidRDefault="00C87B5E" w:rsidP="00530866">
            <w:pPr>
              <w:pStyle w:val="TableText0"/>
              <w:jc w:val="center"/>
              <w:rPr>
                <w:highlight w:val="lightGray"/>
              </w:rPr>
            </w:pPr>
            <w:r w:rsidRPr="00C87B5E">
              <w:rPr>
                <w:sz w:val="2"/>
                <w:highlight w:val="black"/>
              </w:rPr>
              <w:t>redacted content</w:t>
            </w:r>
            <w:r w:rsidR="003C1719" w:rsidRPr="004B560A">
              <w:rPr>
                <w:vertAlign w:val="superscript"/>
              </w:rPr>
              <w:t>7</w:t>
            </w:r>
          </w:p>
        </w:tc>
        <w:tc>
          <w:tcPr>
            <w:tcW w:w="611" w:type="pct"/>
            <w:vAlign w:val="center"/>
          </w:tcPr>
          <w:p w14:paraId="2472FA33" w14:textId="09C23917" w:rsidR="00E50A74" w:rsidRPr="00096103" w:rsidRDefault="00C87B5E" w:rsidP="00530866">
            <w:pPr>
              <w:pStyle w:val="TableText0"/>
              <w:jc w:val="center"/>
              <w:rPr>
                <w:highlight w:val="lightGray"/>
              </w:rPr>
            </w:pPr>
            <w:r w:rsidRPr="00C87B5E">
              <w:rPr>
                <w:sz w:val="2"/>
                <w:highlight w:val="black"/>
              </w:rPr>
              <w:t>redacted content</w:t>
            </w:r>
            <w:r w:rsidR="003C1719" w:rsidRPr="004B560A">
              <w:rPr>
                <w:vertAlign w:val="superscript"/>
              </w:rPr>
              <w:t>7</w:t>
            </w:r>
          </w:p>
        </w:tc>
      </w:tr>
    </w:tbl>
    <w:p w14:paraId="00DCF18F" w14:textId="658B0CCC" w:rsidR="00E50A74" w:rsidRPr="00DC1685" w:rsidRDefault="00E50A74" w:rsidP="00530866">
      <w:pPr>
        <w:pStyle w:val="TableFigureFooter"/>
      </w:pPr>
      <w:r w:rsidRPr="00DC1685">
        <w:t>Source: Table 4.3, 4.4, 4.9, 4.12, 4.17, 4.23, p289- 310 of the submission and recalculated during the evaluation using Table 4.3, 4.4, 4.9, 4.12, 4.15, 4.17, and Table 4.23 in sheet ‘TABLES’ of the submitted financial model (Attachment 4.1),:</w:t>
      </w:r>
      <w:r w:rsidRPr="00DC1685">
        <w:br/>
        <w:t xml:space="preserve">Abbreviations: AmiCP = amivantamab in combination with carboplatin and pemetrexed; ABCP = atezolizumab plus bevacizumab plus carboplatin plus paclitaxel; CP= carboplatin plus pemetrexed; </w:t>
      </w:r>
      <w:r w:rsidR="00CE0A18">
        <w:t>PDC</w:t>
      </w:r>
      <w:r w:rsidRPr="00DC1685">
        <w:t xml:space="preserve">= platinum-based </w:t>
      </w:r>
      <w:r w:rsidR="00987D8C">
        <w:t xml:space="preserve">doublet </w:t>
      </w:r>
      <w:r w:rsidRPr="00DC1685">
        <w:t xml:space="preserve">chemotherapy; MBS= </w:t>
      </w:r>
      <w:r w:rsidR="003D5408" w:rsidRPr="00DC1685">
        <w:t>Medicare</w:t>
      </w:r>
      <w:r w:rsidRPr="00DC1685">
        <w:t xml:space="preserve"> benefits schedule; PBS= pharmaceutical benefit scheme;</w:t>
      </w:r>
      <w:r w:rsidR="00807331">
        <w:t xml:space="preserve"> </w:t>
      </w:r>
      <w:r w:rsidRPr="00DC1685">
        <w:t xml:space="preserve">RPBS= repatriation pharmaceutical benefits scheme; </w:t>
      </w:r>
    </w:p>
    <w:p w14:paraId="372BBC70" w14:textId="7490CCD9" w:rsidR="00E50A74" w:rsidRPr="00DC1685" w:rsidRDefault="00E50A74" w:rsidP="00387AAB">
      <w:pPr>
        <w:pStyle w:val="TableFigureFooter"/>
        <w:spacing w:after="0"/>
      </w:pPr>
      <w:r w:rsidRPr="00DC1685">
        <w:rPr>
          <w:vertAlign w:val="superscript"/>
        </w:rPr>
        <w:t>a</w:t>
      </w:r>
      <w:r w:rsidRPr="00DC1685">
        <w:t xml:space="preserve"> Represented by carboplatin and pemetrexed</w:t>
      </w:r>
    </w:p>
    <w:p w14:paraId="23E8E517" w14:textId="541A83EE" w:rsidR="00E50A74" w:rsidRDefault="00E50A74" w:rsidP="00387AAB">
      <w:pPr>
        <w:pStyle w:val="TableFigureFooter"/>
        <w:spacing w:after="0"/>
      </w:pPr>
      <w:r w:rsidRPr="79174808">
        <w:rPr>
          <w:vertAlign w:val="superscript"/>
        </w:rPr>
        <w:t>b</w:t>
      </w:r>
      <w:r>
        <w:t xml:space="preserve"> Based on 50% of published price of atezolizumab. Atezolizumab has an SPA </w:t>
      </w:r>
    </w:p>
    <w:p w14:paraId="32BA4573" w14:textId="77777777" w:rsidR="008A3061" w:rsidRPr="00F56B14" w:rsidRDefault="008A3061" w:rsidP="008A3061">
      <w:pPr>
        <w:jc w:val="left"/>
        <w:rPr>
          <w:rFonts w:ascii="Arial Narrow" w:hAnsi="Arial Narrow" w:cstheme="minorHAnsi"/>
          <w:bCs/>
          <w:i/>
          <w:iCs/>
          <w:sz w:val="18"/>
          <w:szCs w:val="18"/>
        </w:rPr>
      </w:pPr>
      <w:r w:rsidRPr="00F56B14">
        <w:rPr>
          <w:rFonts w:ascii="Arial Narrow" w:hAnsi="Arial Narrow" w:cstheme="minorHAnsi"/>
          <w:bCs/>
          <w:i/>
          <w:iCs/>
          <w:sz w:val="18"/>
          <w:szCs w:val="18"/>
        </w:rPr>
        <w:t xml:space="preserve">The redacted values correspond to the following ranges: </w:t>
      </w:r>
    </w:p>
    <w:p w14:paraId="2F0710F7" w14:textId="79DC899B" w:rsidR="008A3061" w:rsidRDefault="008A3061" w:rsidP="008A3061">
      <w:pPr>
        <w:jc w:val="left"/>
        <w:rPr>
          <w:rFonts w:ascii="Arial Narrow" w:hAnsi="Arial Narrow"/>
          <w:i/>
          <w:sz w:val="18"/>
          <w:szCs w:val="18"/>
        </w:rPr>
      </w:pPr>
      <w:r w:rsidRPr="000856F4">
        <w:rPr>
          <w:rFonts w:ascii="Arial Narrow" w:hAnsi="Arial Narrow"/>
          <w:i/>
          <w:sz w:val="18"/>
          <w:szCs w:val="18"/>
          <w:vertAlign w:val="superscript"/>
        </w:rPr>
        <w:t>1</w:t>
      </w:r>
      <w:r w:rsidRPr="000856F4">
        <w:rPr>
          <w:rFonts w:ascii="Arial Narrow" w:hAnsi="Arial Narrow"/>
          <w:i/>
          <w:sz w:val="18"/>
          <w:szCs w:val="18"/>
        </w:rPr>
        <w:t xml:space="preserve"> </w:t>
      </w:r>
      <w:r w:rsidR="00424EB3" w:rsidRPr="00424EB3">
        <w:rPr>
          <w:rFonts w:ascii="Arial Narrow" w:hAnsi="Arial Narrow"/>
          <w:i/>
          <w:sz w:val="18"/>
          <w:szCs w:val="18"/>
        </w:rPr>
        <w:t>500 to &lt; 5,000</w:t>
      </w:r>
    </w:p>
    <w:p w14:paraId="636785B5" w14:textId="620CE8CF" w:rsidR="00A90FDA" w:rsidRDefault="00A90FDA" w:rsidP="008A3061">
      <w:pPr>
        <w:jc w:val="left"/>
        <w:rPr>
          <w:rFonts w:ascii="Arial Narrow" w:hAnsi="Arial Narrow"/>
          <w:i/>
          <w:sz w:val="18"/>
          <w:szCs w:val="18"/>
        </w:rPr>
      </w:pPr>
      <w:r w:rsidRPr="002C51CE">
        <w:rPr>
          <w:rFonts w:ascii="Arial Narrow" w:hAnsi="Arial Narrow"/>
          <w:i/>
          <w:sz w:val="18"/>
          <w:szCs w:val="18"/>
          <w:vertAlign w:val="superscript"/>
        </w:rPr>
        <w:t>2</w:t>
      </w:r>
      <w:r>
        <w:rPr>
          <w:rFonts w:ascii="Arial Narrow" w:hAnsi="Arial Narrow"/>
          <w:i/>
          <w:sz w:val="18"/>
          <w:szCs w:val="18"/>
        </w:rPr>
        <w:t xml:space="preserve"> </w:t>
      </w:r>
      <w:r w:rsidRPr="00A90FDA">
        <w:rPr>
          <w:rFonts w:ascii="Arial Narrow" w:hAnsi="Arial Narrow"/>
          <w:i/>
          <w:sz w:val="18"/>
          <w:szCs w:val="18"/>
        </w:rPr>
        <w:t>5,000 to &lt; 10,000</w:t>
      </w:r>
    </w:p>
    <w:p w14:paraId="4D2B19DF" w14:textId="48B5471A" w:rsidR="002C51CE" w:rsidRDefault="002C51CE" w:rsidP="008A3061">
      <w:pPr>
        <w:jc w:val="left"/>
        <w:rPr>
          <w:rFonts w:ascii="Arial Narrow" w:hAnsi="Arial Narrow"/>
          <w:i/>
          <w:sz w:val="18"/>
          <w:szCs w:val="18"/>
        </w:rPr>
      </w:pPr>
      <w:r w:rsidRPr="00BF33E7">
        <w:rPr>
          <w:rFonts w:ascii="Arial Narrow" w:hAnsi="Arial Narrow"/>
          <w:i/>
          <w:sz w:val="18"/>
          <w:szCs w:val="18"/>
          <w:vertAlign w:val="superscript"/>
        </w:rPr>
        <w:t>3</w:t>
      </w:r>
      <w:r>
        <w:rPr>
          <w:rFonts w:ascii="Arial Narrow" w:hAnsi="Arial Narrow"/>
          <w:i/>
          <w:sz w:val="18"/>
          <w:szCs w:val="18"/>
        </w:rPr>
        <w:t xml:space="preserve"> </w:t>
      </w:r>
      <w:r w:rsidR="00BF33E7" w:rsidRPr="00BF33E7">
        <w:rPr>
          <w:rFonts w:ascii="Arial Narrow" w:hAnsi="Arial Narrow"/>
          <w:i/>
          <w:sz w:val="18"/>
          <w:szCs w:val="18"/>
        </w:rPr>
        <w:t>10,000 to &lt; 20,000</w:t>
      </w:r>
    </w:p>
    <w:p w14:paraId="55BFB7CD" w14:textId="7112A21F" w:rsidR="000650D5" w:rsidRDefault="000650D5" w:rsidP="008A3061">
      <w:pPr>
        <w:jc w:val="left"/>
        <w:rPr>
          <w:rFonts w:ascii="Arial Narrow" w:hAnsi="Arial Narrow"/>
          <w:i/>
          <w:sz w:val="18"/>
          <w:szCs w:val="18"/>
        </w:rPr>
      </w:pPr>
      <w:r w:rsidRPr="000650D5">
        <w:rPr>
          <w:rFonts w:ascii="Arial Narrow" w:hAnsi="Arial Narrow"/>
          <w:i/>
          <w:sz w:val="18"/>
          <w:szCs w:val="18"/>
          <w:vertAlign w:val="superscript"/>
        </w:rPr>
        <w:t>4</w:t>
      </w:r>
      <w:r>
        <w:rPr>
          <w:rFonts w:ascii="Arial Narrow" w:hAnsi="Arial Narrow"/>
          <w:i/>
          <w:sz w:val="18"/>
          <w:szCs w:val="18"/>
        </w:rPr>
        <w:t xml:space="preserve"> </w:t>
      </w:r>
      <w:r w:rsidRPr="000650D5">
        <w:rPr>
          <w:rFonts w:ascii="Arial Narrow" w:hAnsi="Arial Narrow"/>
          <w:i/>
          <w:sz w:val="18"/>
          <w:szCs w:val="18"/>
        </w:rPr>
        <w:t>$30 million to &lt; $40 million</w:t>
      </w:r>
    </w:p>
    <w:p w14:paraId="6544C515" w14:textId="103A0DBF" w:rsidR="000650D5" w:rsidRDefault="000650D5" w:rsidP="008A3061">
      <w:pPr>
        <w:jc w:val="left"/>
        <w:rPr>
          <w:rFonts w:ascii="Arial Narrow" w:hAnsi="Arial Narrow"/>
          <w:i/>
          <w:sz w:val="18"/>
          <w:szCs w:val="18"/>
        </w:rPr>
      </w:pPr>
      <w:r w:rsidRPr="006713A5">
        <w:rPr>
          <w:rFonts w:ascii="Arial Narrow" w:hAnsi="Arial Narrow"/>
          <w:i/>
          <w:sz w:val="18"/>
          <w:szCs w:val="18"/>
          <w:vertAlign w:val="superscript"/>
        </w:rPr>
        <w:t>5</w:t>
      </w:r>
      <w:r>
        <w:rPr>
          <w:rFonts w:ascii="Arial Narrow" w:hAnsi="Arial Narrow"/>
          <w:i/>
          <w:sz w:val="18"/>
          <w:szCs w:val="18"/>
        </w:rPr>
        <w:t xml:space="preserve"> </w:t>
      </w:r>
      <w:r w:rsidR="006713A5" w:rsidRPr="006713A5">
        <w:rPr>
          <w:rFonts w:ascii="Arial Narrow" w:hAnsi="Arial Narrow"/>
          <w:i/>
          <w:sz w:val="18"/>
          <w:szCs w:val="18"/>
        </w:rPr>
        <w:t>$40 million to &lt; $50 million</w:t>
      </w:r>
    </w:p>
    <w:p w14:paraId="6DCBCEDB" w14:textId="183017D9" w:rsidR="00BF33E7" w:rsidRDefault="006A2F0D" w:rsidP="008A3061">
      <w:pPr>
        <w:jc w:val="left"/>
        <w:rPr>
          <w:rFonts w:ascii="Arial Narrow" w:hAnsi="Arial Narrow"/>
          <w:i/>
          <w:sz w:val="18"/>
          <w:szCs w:val="18"/>
        </w:rPr>
      </w:pPr>
      <w:r w:rsidRPr="00DB1491">
        <w:rPr>
          <w:rFonts w:ascii="Arial Narrow" w:hAnsi="Arial Narrow"/>
          <w:i/>
          <w:sz w:val="18"/>
          <w:szCs w:val="18"/>
          <w:vertAlign w:val="superscript"/>
        </w:rPr>
        <w:t>6</w:t>
      </w:r>
      <w:r>
        <w:rPr>
          <w:rFonts w:ascii="Arial Narrow" w:hAnsi="Arial Narrow"/>
          <w:i/>
          <w:sz w:val="18"/>
          <w:szCs w:val="18"/>
        </w:rPr>
        <w:t xml:space="preserve"> </w:t>
      </w:r>
      <w:r w:rsidR="00DB1491" w:rsidRPr="00DB1491">
        <w:rPr>
          <w:rFonts w:ascii="Arial Narrow" w:hAnsi="Arial Narrow"/>
          <w:i/>
          <w:sz w:val="18"/>
          <w:szCs w:val="18"/>
        </w:rPr>
        <w:t>$50 million to &lt; $60 million</w:t>
      </w:r>
    </w:p>
    <w:p w14:paraId="11C0121D" w14:textId="72BF7D62" w:rsidR="00E70FFB" w:rsidRDefault="00E70FFB" w:rsidP="008A3061">
      <w:pPr>
        <w:jc w:val="left"/>
        <w:rPr>
          <w:rFonts w:ascii="Arial Narrow" w:hAnsi="Arial Narrow"/>
          <w:i/>
          <w:sz w:val="18"/>
          <w:szCs w:val="18"/>
        </w:rPr>
      </w:pPr>
      <w:r w:rsidRPr="00EC1F46">
        <w:rPr>
          <w:rFonts w:ascii="Arial Narrow" w:hAnsi="Arial Narrow"/>
          <w:i/>
          <w:sz w:val="18"/>
          <w:szCs w:val="18"/>
          <w:vertAlign w:val="superscript"/>
        </w:rPr>
        <w:t xml:space="preserve">7 </w:t>
      </w:r>
      <w:r w:rsidR="00EC1F46" w:rsidRPr="00EC1F46">
        <w:rPr>
          <w:rFonts w:ascii="Arial Narrow" w:hAnsi="Arial Narrow"/>
          <w:i/>
          <w:sz w:val="18"/>
          <w:szCs w:val="18"/>
        </w:rPr>
        <w:t>$0 to &lt; $10 million</w:t>
      </w:r>
    </w:p>
    <w:p w14:paraId="2F14CEF6" w14:textId="7BB4A2AF" w:rsidR="00064915" w:rsidRPr="000856F4" w:rsidRDefault="00064915" w:rsidP="008A3061">
      <w:pPr>
        <w:jc w:val="left"/>
        <w:rPr>
          <w:rFonts w:ascii="Arial Narrow" w:hAnsi="Arial Narrow"/>
          <w:i/>
          <w:sz w:val="18"/>
          <w:szCs w:val="18"/>
        </w:rPr>
      </w:pPr>
      <w:r w:rsidRPr="00AA0D7F">
        <w:rPr>
          <w:rFonts w:ascii="Arial Narrow" w:hAnsi="Arial Narrow"/>
          <w:i/>
          <w:sz w:val="18"/>
          <w:szCs w:val="18"/>
          <w:vertAlign w:val="superscript"/>
        </w:rPr>
        <w:t>8</w:t>
      </w:r>
      <w:r>
        <w:rPr>
          <w:rFonts w:ascii="Arial Narrow" w:hAnsi="Arial Narrow"/>
          <w:i/>
          <w:sz w:val="18"/>
          <w:szCs w:val="18"/>
        </w:rPr>
        <w:t xml:space="preserve"> </w:t>
      </w:r>
      <w:r w:rsidR="00AA0D7F" w:rsidRPr="00AA0D7F">
        <w:rPr>
          <w:rFonts w:ascii="Arial Narrow" w:hAnsi="Arial Narrow"/>
          <w:i/>
          <w:sz w:val="18"/>
          <w:szCs w:val="18"/>
        </w:rPr>
        <w:t>net cost saving</w:t>
      </w:r>
    </w:p>
    <w:p w14:paraId="70F1DC5B" w14:textId="77777777" w:rsidR="00C441F0" w:rsidRPr="00C441F0" w:rsidRDefault="00C441F0" w:rsidP="00C441F0">
      <w:pPr>
        <w:pStyle w:val="3-BodyText"/>
        <w:numPr>
          <w:ilvl w:val="0"/>
          <w:numId w:val="0"/>
        </w:numPr>
        <w:ind w:left="720" w:hanging="720"/>
      </w:pPr>
    </w:p>
    <w:p w14:paraId="38A95E7A" w14:textId="54AFB30D" w:rsidR="00E50A74" w:rsidRPr="00E56CA6" w:rsidRDefault="004E6A47" w:rsidP="00530866">
      <w:pPr>
        <w:pStyle w:val="3-BodyText"/>
        <w:rPr>
          <w:i/>
          <w:iCs/>
        </w:rPr>
      </w:pPr>
      <w:r>
        <w:t xml:space="preserve">The submission estimated the </w:t>
      </w:r>
      <w:r w:rsidR="00B729CF">
        <w:t xml:space="preserve">net </w:t>
      </w:r>
      <w:r w:rsidR="00C873F6">
        <w:t xml:space="preserve">cost of listing </w:t>
      </w:r>
      <w:r w:rsidR="004766CB">
        <w:t>amivantamab</w:t>
      </w:r>
      <w:r w:rsidR="00BC1C68">
        <w:t xml:space="preserve"> </w:t>
      </w:r>
      <w:r w:rsidR="00C873F6">
        <w:t xml:space="preserve">to the </w:t>
      </w:r>
      <w:r w:rsidR="00BC1C68">
        <w:t>PB</w:t>
      </w:r>
      <w:r w:rsidR="003C4D8B">
        <w:t>S+RPBS</w:t>
      </w:r>
      <w:r w:rsidR="00C873F6">
        <w:t xml:space="preserve"> </w:t>
      </w:r>
      <w:r w:rsidR="00816064">
        <w:t>to be</w:t>
      </w:r>
      <w:r w:rsidR="003C4D8B">
        <w:t xml:space="preserve"> </w:t>
      </w:r>
      <w:r w:rsidR="006706E7" w:rsidRPr="006706E7">
        <w:t>$30 million to &lt; $40 million</w:t>
      </w:r>
      <w:r w:rsidR="006706E7">
        <w:t xml:space="preserve"> </w:t>
      </w:r>
      <w:r w:rsidR="00D94418">
        <w:t xml:space="preserve">in year 1, increasing to </w:t>
      </w:r>
      <w:r w:rsidR="00FE1220" w:rsidRPr="00FE1220">
        <w:t>$50 million to &lt; $60 million</w:t>
      </w:r>
      <w:r w:rsidR="00FE1220">
        <w:t xml:space="preserve"> </w:t>
      </w:r>
      <w:r w:rsidR="0028560A">
        <w:t>in year 6</w:t>
      </w:r>
      <w:r w:rsidR="008854F1">
        <w:t xml:space="preserve">, totalling </w:t>
      </w:r>
      <w:r w:rsidR="00DD2F9B" w:rsidRPr="00DD2F9B">
        <w:t>$200 million to &lt; $300 million</w:t>
      </w:r>
      <w:r w:rsidR="00DD2F9B">
        <w:t xml:space="preserve"> </w:t>
      </w:r>
      <w:r w:rsidR="008854F1">
        <w:t>across 6 years</w:t>
      </w:r>
      <w:r w:rsidR="0028560A">
        <w:t>.</w:t>
      </w:r>
      <w:r w:rsidR="00E95C83">
        <w:t xml:space="preserve"> </w:t>
      </w:r>
      <w:r w:rsidR="00E50A74" w:rsidRPr="00893847">
        <w:t xml:space="preserve">The submission estimated </w:t>
      </w:r>
      <w:r w:rsidR="00CA2A27">
        <w:t>(</w:t>
      </w:r>
      <w:r w:rsidR="0083347F">
        <w:t xml:space="preserve">using 50% of published price </w:t>
      </w:r>
      <w:r w:rsidR="00CA2A27">
        <w:t>of atezolizumab)</w:t>
      </w:r>
      <w:r w:rsidR="0083347F">
        <w:t xml:space="preserve"> </w:t>
      </w:r>
      <w:r w:rsidR="00E50A74" w:rsidRPr="00893847">
        <w:t xml:space="preserve">that the proposed listing of amivantamab would result in a </w:t>
      </w:r>
      <w:r w:rsidR="00E50A74">
        <w:t xml:space="preserve">net cost to the Australian health budget of </w:t>
      </w:r>
      <w:r w:rsidR="005D7A5C" w:rsidRPr="005D7A5C">
        <w:t>$0 to &lt; $10 million</w:t>
      </w:r>
      <w:r w:rsidR="005D7A5C">
        <w:t xml:space="preserve"> </w:t>
      </w:r>
      <w:r w:rsidR="00E50A74">
        <w:t xml:space="preserve">in Year 1, increasing to </w:t>
      </w:r>
      <w:r w:rsidR="005D7A5C" w:rsidRPr="005D7A5C">
        <w:t>$0 to &lt; $10 million</w:t>
      </w:r>
      <w:r w:rsidR="005D7A5C">
        <w:t xml:space="preserve"> </w:t>
      </w:r>
      <w:r w:rsidR="00E50A74">
        <w:t xml:space="preserve">in Year 6, totalling </w:t>
      </w:r>
      <w:r w:rsidR="00252985" w:rsidRPr="00252985">
        <w:t>$10 million to &lt; $20 million</w:t>
      </w:r>
      <w:r w:rsidR="00252985">
        <w:t xml:space="preserve"> </w:t>
      </w:r>
      <w:r w:rsidR="00E50A74">
        <w:t xml:space="preserve">across six years. </w:t>
      </w:r>
    </w:p>
    <w:p w14:paraId="549A2DDC" w14:textId="77777777" w:rsidR="00E50A74" w:rsidRPr="00DC1685" w:rsidRDefault="00E50A74" w:rsidP="00530866">
      <w:pPr>
        <w:pStyle w:val="3-BodyText"/>
      </w:pPr>
      <w:bookmarkStart w:id="105" w:name="_Ref222488971"/>
      <w:r w:rsidRPr="00DC1685">
        <w:t>These estimated net cost savings may be overestimated because:</w:t>
      </w:r>
      <w:bookmarkEnd w:id="105"/>
    </w:p>
    <w:p w14:paraId="39DE2BF6" w14:textId="5F82DC7E" w:rsidR="00E50A74" w:rsidRPr="00DC1685" w:rsidRDefault="00E50A74" w:rsidP="00530866">
      <w:pPr>
        <w:pStyle w:val="ListParagraph"/>
        <w:numPr>
          <w:ilvl w:val="0"/>
          <w:numId w:val="17"/>
        </w:numPr>
        <w:jc w:val="both"/>
      </w:pPr>
      <w:r w:rsidRPr="00DC1685">
        <w:t xml:space="preserve">The submission assumed a </w:t>
      </w:r>
      <w:r w:rsidR="00E64441" w:rsidRPr="00DC1685">
        <w:t>CP</w:t>
      </w:r>
      <w:r w:rsidRPr="00DC1685">
        <w:t xml:space="preserve">/ABCP comparator split of 16.92%/83.08%. As discussed in paragraph </w:t>
      </w:r>
      <w:r w:rsidRPr="00DC1685">
        <w:fldChar w:fldCharType="begin"/>
      </w:r>
      <w:r w:rsidRPr="00DC1685">
        <w:instrText xml:space="preserve"> REF _Ref216274431 \r \h </w:instrText>
      </w:r>
      <w:r w:rsidR="00DC1685">
        <w:instrText xml:space="preserve"> \* MERGEFORMAT </w:instrText>
      </w:r>
      <w:r w:rsidRPr="00DC1685">
        <w:fldChar w:fldCharType="separate"/>
      </w:r>
      <w:r w:rsidR="00A572FC">
        <w:t>5.4</w:t>
      </w:r>
      <w:r w:rsidRPr="00DC1685">
        <w:fldChar w:fldCharType="end"/>
      </w:r>
      <w:r w:rsidRPr="00DC1685">
        <w:t xml:space="preserve">, the submission’s approach results in an overestimation of the number (and proportion) of patients that would be treated with ABCP. </w:t>
      </w:r>
    </w:p>
    <w:p w14:paraId="5B42F356" w14:textId="77777777" w:rsidR="00E33F62" w:rsidRPr="00E33F62" w:rsidRDefault="00E50A74" w:rsidP="00530866">
      <w:pPr>
        <w:pStyle w:val="ListParagraph"/>
        <w:jc w:val="both"/>
        <w:rPr>
          <w:i/>
          <w:iCs/>
        </w:rPr>
      </w:pPr>
      <w:r>
        <w:lastRenderedPageBreak/>
        <w:t xml:space="preserve">The number of eligible patients for AmiCP is </w:t>
      </w:r>
      <w:bookmarkStart w:id="106" w:name="_Int_ngffSQj0"/>
      <w:r>
        <w:t>likely overestimated</w:t>
      </w:r>
      <w:bookmarkEnd w:id="106"/>
      <w:r>
        <w:t xml:space="preserve"> due to the broad coverage of the source data for incident patients, high uptake rates for both incident and prevalent patients and uncertainty in the duration</w:t>
      </w:r>
      <w:r w:rsidR="03C19A2B">
        <w:t xml:space="preserve"> of</w:t>
      </w:r>
      <w:r w:rsidR="3F94E766">
        <w:t xml:space="preserve"> amivantamab</w:t>
      </w:r>
      <w:r w:rsidR="3F94E766" w:rsidRPr="79174808">
        <w:rPr>
          <w:i/>
          <w:iCs/>
        </w:rPr>
        <w:t xml:space="preserve"> </w:t>
      </w:r>
      <w:r w:rsidR="3F94E766">
        <w:t>treatment</w:t>
      </w:r>
      <w:r>
        <w:t xml:space="preserve"> applied</w:t>
      </w:r>
      <w:r w:rsidR="23EFF1E7">
        <w:t xml:space="preserve"> in financial estimates (mean TTTD sourced from the economic model)</w:t>
      </w:r>
      <w:r>
        <w:t>.</w:t>
      </w:r>
    </w:p>
    <w:p w14:paraId="1B494A72" w14:textId="78640CE1" w:rsidR="00E50A74" w:rsidRPr="00924A46" w:rsidRDefault="009366B0" w:rsidP="00530866">
      <w:pPr>
        <w:pStyle w:val="ListParagraph"/>
        <w:jc w:val="both"/>
        <w:rPr>
          <w:i/>
          <w:iCs/>
        </w:rPr>
      </w:pPr>
      <w:r>
        <w:t xml:space="preserve">The PBAC </w:t>
      </w:r>
      <w:r w:rsidR="00990859">
        <w:t xml:space="preserve">noted the uptake of </w:t>
      </w:r>
      <w:r w:rsidR="00024587">
        <w:t>AmiCP</w:t>
      </w:r>
      <w:r w:rsidR="00990859">
        <w:t xml:space="preserve"> for patients with </w:t>
      </w:r>
      <w:r w:rsidR="00E33F62">
        <w:t>EGFR exon20ins NSCLC</w:t>
      </w:r>
      <w:r w:rsidR="00B02430">
        <w:t xml:space="preserve"> in the first year of listing </w:t>
      </w:r>
      <w:r w:rsidR="00E33F62">
        <w:t>has been much lower than anticipated.</w:t>
      </w:r>
    </w:p>
    <w:p w14:paraId="046F66AA" w14:textId="05EDFC66" w:rsidR="00E50A74" w:rsidRPr="0098262F" w:rsidRDefault="00E50A74" w:rsidP="00530866">
      <w:pPr>
        <w:pStyle w:val="4-SubsectionHeading"/>
      </w:pPr>
      <w:bookmarkStart w:id="107" w:name="_Toc22897648"/>
      <w:bookmarkStart w:id="108" w:name="_Toc107927634"/>
      <w:bookmarkStart w:id="109" w:name="_Toc219795461"/>
      <w:r w:rsidRPr="0098262F">
        <w:t>Quality Use of Medicines</w:t>
      </w:r>
      <w:bookmarkEnd w:id="107"/>
      <w:bookmarkEnd w:id="108"/>
      <w:bookmarkEnd w:id="109"/>
    </w:p>
    <w:p w14:paraId="40C23A69" w14:textId="77777777" w:rsidR="00E50A74" w:rsidRDefault="00E50A74" w:rsidP="00530866">
      <w:pPr>
        <w:pStyle w:val="3-BodyText"/>
      </w:pPr>
      <w:r w:rsidRPr="004E44DE">
        <w:t>The submission noted that quality use of amivantamab will rely on clinicians being informed about the appropriate patient population and clinical circumstances for its use. This includes ensuring clinicians understand each patient’s characteristics, clinical status, treatment risks and benefits, appropriate dosing and duration, and any relevant comorbidities.</w:t>
      </w:r>
    </w:p>
    <w:p w14:paraId="76479FE3" w14:textId="10299DD4" w:rsidR="00E50A74" w:rsidRPr="004E44DE" w:rsidRDefault="00E50A74" w:rsidP="00530866">
      <w:pPr>
        <w:pStyle w:val="3-BodyText"/>
      </w:pPr>
      <w:r>
        <w:t>The submission outlined four group</w:t>
      </w:r>
      <w:r w:rsidR="23550858">
        <w:t>s</w:t>
      </w:r>
      <w:r>
        <w:t xml:space="preserve"> of stakeholders who play a fundamental role in the appropriate use of amivantamab in combination with chemotherapy: patients, prescribers, nursing staff, and dispensers. Each of these stakeholder groups will be provided with appropriate education, </w:t>
      </w:r>
      <w:bookmarkStart w:id="110" w:name="_Int_KnypodZa"/>
      <w:r>
        <w:t>resources</w:t>
      </w:r>
      <w:bookmarkEnd w:id="110"/>
      <w:r>
        <w:t xml:space="preserve"> and support from the sponsor to promote appropriate prescribing and use of amivantamab in combination with chemotherapy. Education materials will include information for the patient/carer and treating HCPs.</w:t>
      </w:r>
    </w:p>
    <w:p w14:paraId="704343D8" w14:textId="1F5A6D32" w:rsidR="003C6FC2" w:rsidRDefault="00F545FB" w:rsidP="00530866">
      <w:pPr>
        <w:ind w:firstLine="720"/>
        <w:jc w:val="left"/>
        <w:rPr>
          <w:rFonts w:asciiTheme="minorHAnsi" w:eastAsiaTheme="majorEastAsia" w:hAnsiTheme="minorHAnsi" w:cstheme="majorBidi"/>
          <w:b/>
          <w:color w:val="000000" w:themeColor="text1"/>
        </w:rPr>
      </w:pPr>
      <w:bookmarkStart w:id="111" w:name="_Toc107927637"/>
      <w:r w:rsidRPr="00F545FB">
        <w:rPr>
          <w:i/>
          <w:iCs/>
        </w:rPr>
        <w:t>For more detail on PBAC’s view, see section 7 PBAC outcome.</w:t>
      </w:r>
    </w:p>
    <w:p w14:paraId="5F8EAE8D" w14:textId="2887ABC9" w:rsidR="003C6FC2" w:rsidRPr="00764096" w:rsidRDefault="003C6FC2" w:rsidP="00530866">
      <w:pPr>
        <w:pStyle w:val="2-SectionHeading"/>
      </w:pPr>
      <w:r w:rsidRPr="00764096">
        <w:t>PBAC Outcome</w:t>
      </w:r>
    </w:p>
    <w:p w14:paraId="597AA781" w14:textId="64049894" w:rsidR="00F64AE3" w:rsidRPr="00F64AE3" w:rsidRDefault="6BFC406B" w:rsidP="00530866">
      <w:pPr>
        <w:pStyle w:val="3-BodyText"/>
      </w:pPr>
      <w:r w:rsidRPr="6631623C">
        <w:rPr>
          <w:snapToGrid w:val="0"/>
        </w:rPr>
        <w:t xml:space="preserve">The PBAC recommended the listing of amivantamab, in combination with platinum-based </w:t>
      </w:r>
      <w:r w:rsidR="7C61B4C1" w:rsidRPr="6631623C">
        <w:rPr>
          <w:snapToGrid w:val="0"/>
        </w:rPr>
        <w:t xml:space="preserve">doublet </w:t>
      </w:r>
      <w:r w:rsidRPr="6631623C">
        <w:rPr>
          <w:snapToGrid w:val="0"/>
        </w:rPr>
        <w:t>chemotherapy (P</w:t>
      </w:r>
      <w:r w:rsidR="442FA82D" w:rsidRPr="6631623C">
        <w:rPr>
          <w:snapToGrid w:val="0"/>
        </w:rPr>
        <w:t>D</w:t>
      </w:r>
      <w:r w:rsidRPr="6631623C">
        <w:rPr>
          <w:snapToGrid w:val="0"/>
        </w:rPr>
        <w:t>C), for the treatment of patients with epidermal growth factor receptor gene mutated (EGFRm) locally advanced/metastatic non-small cell lung cancer (NSCLC), where the condition has progressed on or after osimertinib, on the basis that it should be available only under special arrangements under Section 100 - Efficient Funding of Chemotherapy (EFC) Public/Private hospitals. The PBAC noted the submission nominated P</w:t>
      </w:r>
      <w:r w:rsidR="2C2AB3BE" w:rsidRPr="6631623C">
        <w:rPr>
          <w:snapToGrid w:val="0"/>
        </w:rPr>
        <w:t>D</w:t>
      </w:r>
      <w:r w:rsidRPr="6631623C">
        <w:rPr>
          <w:snapToGrid w:val="0"/>
        </w:rPr>
        <w:t>C and atezolizumab plus bevacizumab in combination</w:t>
      </w:r>
      <w:r w:rsidR="1D12B108" w:rsidRPr="6631623C">
        <w:rPr>
          <w:snapToGrid w:val="0"/>
        </w:rPr>
        <w:t xml:space="preserve"> with carboplatin and</w:t>
      </w:r>
      <w:r w:rsidR="0802D7C9" w:rsidRPr="6631623C">
        <w:rPr>
          <w:snapToGrid w:val="0"/>
        </w:rPr>
        <w:t xml:space="preserve"> paclitaxel</w:t>
      </w:r>
      <w:r w:rsidR="1D12B108" w:rsidRPr="6631623C">
        <w:rPr>
          <w:snapToGrid w:val="0"/>
        </w:rPr>
        <w:t xml:space="preserve"> (A</w:t>
      </w:r>
      <w:r w:rsidR="0802D7C9" w:rsidRPr="6631623C">
        <w:rPr>
          <w:snapToGrid w:val="0"/>
        </w:rPr>
        <w:t>BCP)</w:t>
      </w:r>
      <w:r w:rsidRPr="6631623C">
        <w:rPr>
          <w:snapToGrid w:val="0"/>
        </w:rPr>
        <w:t xml:space="preserve"> as the main comparators. The PBAC considered patients likely to be treated with amivantamab in combination with P</w:t>
      </w:r>
      <w:r w:rsidR="3DFD9414" w:rsidRPr="6631623C">
        <w:rPr>
          <w:snapToGrid w:val="0"/>
        </w:rPr>
        <w:t>D</w:t>
      </w:r>
      <w:r w:rsidRPr="6631623C">
        <w:rPr>
          <w:snapToGrid w:val="0"/>
        </w:rPr>
        <w:t xml:space="preserve">C would be </w:t>
      </w:r>
      <w:proofErr w:type="gramStart"/>
      <w:r w:rsidRPr="6631623C">
        <w:rPr>
          <w:snapToGrid w:val="0"/>
        </w:rPr>
        <w:t>similar to</w:t>
      </w:r>
      <w:proofErr w:type="gramEnd"/>
      <w:r w:rsidRPr="6631623C">
        <w:rPr>
          <w:snapToGrid w:val="0"/>
        </w:rPr>
        <w:t xml:space="preserve"> patients that are currently treated</w:t>
      </w:r>
      <w:r w:rsidR="4CF22F26" w:rsidRPr="6631623C">
        <w:rPr>
          <w:snapToGrid w:val="0"/>
        </w:rPr>
        <w:t xml:space="preserve"> with ABCP</w:t>
      </w:r>
      <w:r w:rsidRPr="00F64AE3">
        <w:rPr>
          <w:bCs/>
          <w:snapToGrid w:val="0"/>
        </w:rPr>
        <w:t xml:space="preserve"> (</w:t>
      </w:r>
      <w:r w:rsidR="7EB6BEC6" w:rsidRPr="6631623C">
        <w:rPr>
          <w:snapToGrid w:val="0"/>
        </w:rPr>
        <w:t>specifically, fit</w:t>
      </w:r>
      <w:r w:rsidR="67222429" w:rsidRPr="6631623C">
        <w:rPr>
          <w:snapToGrid w:val="0"/>
        </w:rPr>
        <w:t xml:space="preserve"> patients with a h</w:t>
      </w:r>
      <w:r w:rsidRPr="6631623C">
        <w:rPr>
          <w:snapToGrid w:val="0"/>
        </w:rPr>
        <w:t>igh burden of disease); therefore</w:t>
      </w:r>
      <w:r w:rsidR="1248A117">
        <w:rPr>
          <w:bCs/>
          <w:snapToGrid w:val="0"/>
        </w:rPr>
        <w:t>,</w:t>
      </w:r>
      <w:r w:rsidRPr="6631623C">
        <w:rPr>
          <w:snapToGrid w:val="0"/>
        </w:rPr>
        <w:t xml:space="preserve"> the PBAC considered</w:t>
      </w:r>
      <w:r w:rsidR="4CF22F26" w:rsidRPr="6631623C">
        <w:rPr>
          <w:snapToGrid w:val="0"/>
        </w:rPr>
        <w:t xml:space="preserve"> ABCP</w:t>
      </w:r>
      <w:r w:rsidRPr="6631623C">
        <w:rPr>
          <w:snapToGrid w:val="0"/>
        </w:rPr>
        <w:t xml:space="preserve"> was the appropriate comparator.</w:t>
      </w:r>
      <w:r w:rsidR="00807331">
        <w:rPr>
          <w:snapToGrid w:val="0"/>
        </w:rPr>
        <w:t xml:space="preserve"> </w:t>
      </w:r>
      <w:r w:rsidRPr="6631623C">
        <w:rPr>
          <w:snapToGrid w:val="0"/>
        </w:rPr>
        <w:t>The PBAC noted there was insufficient clinical data available to assess if there is an incremental benefit for amivantamab in combination with P</w:t>
      </w:r>
      <w:r w:rsidR="28181856" w:rsidRPr="6631623C">
        <w:rPr>
          <w:snapToGrid w:val="0"/>
        </w:rPr>
        <w:t>D</w:t>
      </w:r>
      <w:r w:rsidRPr="6631623C">
        <w:rPr>
          <w:snapToGrid w:val="0"/>
        </w:rPr>
        <w:t>C compared to</w:t>
      </w:r>
      <w:r w:rsidR="4CF22F26" w:rsidRPr="6631623C">
        <w:rPr>
          <w:snapToGrid w:val="0"/>
        </w:rPr>
        <w:t xml:space="preserve"> ABCP</w:t>
      </w:r>
      <w:r w:rsidRPr="00F64AE3">
        <w:rPr>
          <w:bCs/>
          <w:snapToGrid w:val="0"/>
        </w:rPr>
        <w:t>.</w:t>
      </w:r>
      <w:r w:rsidR="00807331">
        <w:rPr>
          <w:bCs/>
          <w:snapToGrid w:val="0"/>
        </w:rPr>
        <w:t xml:space="preserve"> </w:t>
      </w:r>
      <w:r w:rsidR="4A10608C" w:rsidRPr="503F3717">
        <w:rPr>
          <w:snapToGrid w:val="0"/>
        </w:rPr>
        <w:t xml:space="preserve">In this context, </w:t>
      </w:r>
      <w:r w:rsidR="4A10608C">
        <w:t>t</w:t>
      </w:r>
      <w:r w:rsidR="7D7D256C">
        <w:t xml:space="preserve">he PBAC considered that it would be reasonable for the cost-effective price of amivantamab in EGFRm patients to be informed by the price of atezolizumab plus bevacizumab in the </w:t>
      </w:r>
      <w:r w:rsidR="48B00381">
        <w:t>non</w:t>
      </w:r>
      <w:r w:rsidR="6B00959B">
        <w:t>-</w:t>
      </w:r>
      <w:r w:rsidR="48B00381">
        <w:t>squamous</w:t>
      </w:r>
      <w:r w:rsidR="6B00959B">
        <w:t xml:space="preserve"> </w:t>
      </w:r>
      <w:r w:rsidR="7D7D256C">
        <w:t>NSCLC population.</w:t>
      </w:r>
      <w:r w:rsidR="7D7D256C" w:rsidRPr="6631623C">
        <w:rPr>
          <w:snapToGrid w:val="0"/>
        </w:rPr>
        <w:t xml:space="preserve"> T</w:t>
      </w:r>
      <w:r w:rsidRPr="6631623C">
        <w:rPr>
          <w:snapToGrid w:val="0"/>
        </w:rPr>
        <w:t xml:space="preserve">he PBAC considered amivantamab would be cost effective with a cost per </w:t>
      </w:r>
      <w:r w:rsidR="448C0405" w:rsidRPr="6631623C">
        <w:rPr>
          <w:snapToGrid w:val="0"/>
        </w:rPr>
        <w:t>3-week</w:t>
      </w:r>
      <w:r w:rsidRPr="6631623C">
        <w:rPr>
          <w:snapToGrid w:val="0"/>
        </w:rPr>
        <w:t xml:space="preserve"> treatment cycle no higher than </w:t>
      </w:r>
      <w:r w:rsidR="778FC6C8">
        <w:rPr>
          <w:snapToGrid w:val="0"/>
        </w:rPr>
        <w:t xml:space="preserve">that for </w:t>
      </w:r>
      <w:r w:rsidRPr="6631623C">
        <w:rPr>
          <w:snapToGrid w:val="0"/>
        </w:rPr>
        <w:t xml:space="preserve">atezolizumab plus bevacizumab. The PBAC </w:t>
      </w:r>
      <w:r w:rsidRPr="6631623C">
        <w:rPr>
          <w:snapToGrid w:val="0"/>
        </w:rPr>
        <w:lastRenderedPageBreak/>
        <w:t xml:space="preserve">considered the estimated number of eligible patients presented in the submission was </w:t>
      </w:r>
      <w:r w:rsidR="73F57D60" w:rsidRPr="6631623C">
        <w:rPr>
          <w:snapToGrid w:val="0"/>
        </w:rPr>
        <w:t>reasonable,</w:t>
      </w:r>
      <w:r w:rsidRPr="6631623C">
        <w:rPr>
          <w:snapToGrid w:val="0"/>
        </w:rPr>
        <w:t xml:space="preserve"> but uptake was substantially overestimated.</w:t>
      </w:r>
    </w:p>
    <w:p w14:paraId="58F9D2EF" w14:textId="02F672B8" w:rsidR="00E0447D" w:rsidRDefault="00E0447D" w:rsidP="00530866">
      <w:pPr>
        <w:numPr>
          <w:ilvl w:val="1"/>
          <w:numId w:val="6"/>
        </w:numPr>
        <w:spacing w:after="120"/>
        <w:rPr>
          <w:rFonts w:asciiTheme="minorHAnsi" w:hAnsiTheme="minorHAnsi"/>
          <w:bCs/>
          <w:snapToGrid w:val="0"/>
        </w:rPr>
      </w:pPr>
      <w:r w:rsidRPr="00764096">
        <w:t>The PBAC welcomed input from individuals, health professionals and organisations, which noted</w:t>
      </w:r>
      <w:r w:rsidR="003A6C09" w:rsidRPr="00764096">
        <w:t xml:space="preserve"> the </w:t>
      </w:r>
      <w:r w:rsidR="003A6C09" w:rsidRPr="00764096">
        <w:rPr>
          <w:rFonts w:asciiTheme="minorHAnsi" w:hAnsiTheme="minorHAnsi"/>
          <w:bCs/>
          <w:snapToGrid w:val="0"/>
        </w:rPr>
        <w:t>limited treatment options and high unmet clinical need</w:t>
      </w:r>
      <w:r w:rsidR="00A63044" w:rsidRPr="00764096">
        <w:rPr>
          <w:rFonts w:asciiTheme="minorHAnsi" w:hAnsiTheme="minorHAnsi"/>
          <w:bCs/>
          <w:snapToGrid w:val="0"/>
        </w:rPr>
        <w:t xml:space="preserve"> for effective treatments</w:t>
      </w:r>
      <w:r w:rsidR="003A6C09" w:rsidRPr="00764096">
        <w:rPr>
          <w:rFonts w:asciiTheme="minorHAnsi" w:hAnsiTheme="minorHAnsi"/>
          <w:bCs/>
          <w:snapToGrid w:val="0"/>
        </w:rPr>
        <w:t xml:space="preserve"> for patients</w:t>
      </w:r>
      <w:r w:rsidR="00A904C8" w:rsidRPr="00764096">
        <w:rPr>
          <w:rFonts w:asciiTheme="minorHAnsi" w:hAnsiTheme="minorHAnsi"/>
          <w:bCs/>
          <w:snapToGrid w:val="0"/>
        </w:rPr>
        <w:t xml:space="preserve"> who have previously received osimertinib.</w:t>
      </w:r>
      <w:r w:rsidR="00807331">
        <w:rPr>
          <w:rFonts w:asciiTheme="minorHAnsi" w:hAnsiTheme="minorHAnsi"/>
          <w:bCs/>
          <w:snapToGrid w:val="0"/>
        </w:rPr>
        <w:t xml:space="preserve"> </w:t>
      </w:r>
    </w:p>
    <w:p w14:paraId="5E62F0B7" w14:textId="77777777" w:rsidR="004F7E73" w:rsidRDefault="004F7E73" w:rsidP="004F7E73">
      <w:pPr>
        <w:spacing w:after="120"/>
        <w:ind w:left="720"/>
        <w:rPr>
          <w:rFonts w:asciiTheme="minorHAnsi" w:hAnsiTheme="minorHAnsi"/>
          <w:bCs/>
          <w:snapToGrid w:val="0"/>
        </w:rPr>
      </w:pPr>
    </w:p>
    <w:p w14:paraId="7B856C79" w14:textId="0017ED26" w:rsidR="00223FAA" w:rsidRPr="00E85706" w:rsidRDefault="00223FAA" w:rsidP="00530866">
      <w:pPr>
        <w:pStyle w:val="3-BodyText"/>
        <w:rPr>
          <w:rFonts w:eastAsiaTheme="majorEastAsia" w:cstheme="majorBidi"/>
          <w:b/>
          <w:color w:val="000000" w:themeColor="text1"/>
        </w:rPr>
      </w:pPr>
      <w:r>
        <w:rPr>
          <w:rFonts w:eastAsiaTheme="majorEastAsia" w:cstheme="majorBidi"/>
          <w:bCs/>
          <w:color w:val="000000" w:themeColor="text1"/>
        </w:rPr>
        <w:t>With regards to the restriction criteria, t</w:t>
      </w:r>
      <w:r w:rsidRPr="00BB055E">
        <w:rPr>
          <w:rFonts w:eastAsiaTheme="majorEastAsia" w:cstheme="majorBidi"/>
          <w:bCs/>
          <w:color w:val="000000" w:themeColor="text1"/>
        </w:rPr>
        <w:t xml:space="preserve">he PBAC </w:t>
      </w:r>
      <w:r>
        <w:rPr>
          <w:rFonts w:eastAsiaTheme="majorEastAsia" w:cstheme="majorBidi"/>
          <w:bCs/>
          <w:color w:val="000000" w:themeColor="text1"/>
        </w:rPr>
        <w:t>advised:</w:t>
      </w:r>
    </w:p>
    <w:p w14:paraId="489F66ED" w14:textId="58439B8C" w:rsidR="00223FAA" w:rsidRPr="00E33F62" w:rsidRDefault="00223FAA" w:rsidP="00530866">
      <w:pPr>
        <w:pStyle w:val="3-BodyText"/>
        <w:numPr>
          <w:ilvl w:val="0"/>
          <w:numId w:val="22"/>
        </w:numPr>
        <w:rPr>
          <w:rFonts w:eastAsiaTheme="majorEastAsia" w:cstheme="majorBidi"/>
          <w:b/>
          <w:color w:val="000000" w:themeColor="text1"/>
        </w:rPr>
      </w:pPr>
      <w:r>
        <w:rPr>
          <w:rFonts w:eastAsiaTheme="majorEastAsia" w:cstheme="majorBidi"/>
          <w:bCs/>
          <w:color w:val="000000" w:themeColor="text1"/>
        </w:rPr>
        <w:t xml:space="preserve">The clinical criterion ‘Patient must have </w:t>
      </w:r>
      <w:r w:rsidR="0077404A">
        <w:rPr>
          <w:rFonts w:eastAsiaTheme="majorEastAsia" w:cstheme="majorBidi"/>
          <w:bCs/>
          <w:color w:val="000000" w:themeColor="text1"/>
        </w:rPr>
        <w:t>disease progression</w:t>
      </w:r>
      <w:r>
        <w:rPr>
          <w:rFonts w:eastAsiaTheme="majorEastAsia" w:cstheme="majorBidi"/>
          <w:bCs/>
          <w:color w:val="000000" w:themeColor="text1"/>
        </w:rPr>
        <w:t xml:space="preserve"> on or after osimertinib’ was appropriate. The PBAC noted this would allow </w:t>
      </w:r>
      <w:r w:rsidR="000638EB">
        <w:rPr>
          <w:rFonts w:eastAsiaTheme="majorEastAsia" w:cstheme="majorBidi"/>
          <w:bCs/>
          <w:color w:val="000000" w:themeColor="text1"/>
        </w:rPr>
        <w:t>amivantamab</w:t>
      </w:r>
      <w:r w:rsidR="00434ED9">
        <w:rPr>
          <w:rFonts w:eastAsiaTheme="majorEastAsia" w:cstheme="majorBidi"/>
          <w:bCs/>
          <w:color w:val="000000" w:themeColor="text1"/>
        </w:rPr>
        <w:t xml:space="preserve"> to be used in a patient population broader than included in the MARIPOSA-2 trial (see paragraph </w:t>
      </w:r>
      <w:r w:rsidR="006D615D">
        <w:rPr>
          <w:rFonts w:eastAsiaTheme="majorEastAsia" w:cstheme="majorBidi"/>
          <w:bCs/>
          <w:color w:val="000000" w:themeColor="text1"/>
        </w:rPr>
        <w:fldChar w:fldCharType="begin"/>
      </w:r>
      <w:r w:rsidR="006D615D">
        <w:rPr>
          <w:rFonts w:eastAsiaTheme="majorEastAsia" w:cstheme="majorBidi"/>
          <w:bCs/>
          <w:color w:val="000000" w:themeColor="text1"/>
        </w:rPr>
        <w:instrText xml:space="preserve"> REF _Ref225495531 \r \h </w:instrText>
      </w:r>
      <w:r w:rsidR="006D615D">
        <w:rPr>
          <w:rFonts w:eastAsiaTheme="majorEastAsia" w:cstheme="majorBidi"/>
          <w:bCs/>
          <w:color w:val="000000" w:themeColor="text1"/>
        </w:rPr>
      </w:r>
      <w:r w:rsidR="006D615D">
        <w:rPr>
          <w:rFonts w:eastAsiaTheme="majorEastAsia" w:cstheme="majorBidi"/>
          <w:bCs/>
          <w:color w:val="000000" w:themeColor="text1"/>
        </w:rPr>
        <w:fldChar w:fldCharType="separate"/>
      </w:r>
      <w:r w:rsidR="00A572FC">
        <w:rPr>
          <w:rFonts w:eastAsiaTheme="majorEastAsia" w:cstheme="majorBidi"/>
          <w:bCs/>
          <w:color w:val="000000" w:themeColor="text1"/>
        </w:rPr>
        <w:t>3.3</w:t>
      </w:r>
      <w:r w:rsidR="006D615D">
        <w:rPr>
          <w:rFonts w:eastAsiaTheme="majorEastAsia" w:cstheme="majorBidi"/>
          <w:bCs/>
          <w:color w:val="000000" w:themeColor="text1"/>
        </w:rPr>
        <w:fldChar w:fldCharType="end"/>
      </w:r>
      <w:r w:rsidR="006D615D">
        <w:rPr>
          <w:rFonts w:eastAsiaTheme="majorEastAsia" w:cstheme="majorBidi"/>
          <w:bCs/>
          <w:color w:val="000000" w:themeColor="text1"/>
        </w:rPr>
        <w:t>) but considered that was reasonable</w:t>
      </w:r>
      <w:r w:rsidR="00077402">
        <w:rPr>
          <w:rFonts w:eastAsiaTheme="majorEastAsia" w:cstheme="majorBidi"/>
          <w:bCs/>
          <w:color w:val="000000" w:themeColor="text1"/>
        </w:rPr>
        <w:t xml:space="preserve">; </w:t>
      </w:r>
    </w:p>
    <w:p w14:paraId="480A39A6" w14:textId="247A4207" w:rsidR="00E33F62" w:rsidRPr="00E85706" w:rsidRDefault="00E33F62" w:rsidP="00530866">
      <w:pPr>
        <w:pStyle w:val="3-BodyText"/>
        <w:numPr>
          <w:ilvl w:val="0"/>
          <w:numId w:val="22"/>
        </w:numPr>
        <w:rPr>
          <w:rFonts w:eastAsiaTheme="majorEastAsia" w:cstheme="majorBidi"/>
          <w:b/>
          <w:color w:val="000000" w:themeColor="text1"/>
        </w:rPr>
      </w:pPr>
      <w:r>
        <w:rPr>
          <w:rFonts w:eastAsiaTheme="majorEastAsia" w:cstheme="majorBidi"/>
          <w:bCs/>
          <w:color w:val="000000" w:themeColor="text1"/>
        </w:rPr>
        <w:t>It was appropriate to</w:t>
      </w:r>
      <w:r w:rsidR="005B2163">
        <w:rPr>
          <w:rFonts w:eastAsiaTheme="majorEastAsia" w:cstheme="majorBidi"/>
          <w:bCs/>
          <w:color w:val="000000" w:themeColor="text1"/>
        </w:rPr>
        <w:t xml:space="preserve"> require</w:t>
      </w:r>
      <w:r w:rsidR="00ED4432">
        <w:rPr>
          <w:rFonts w:eastAsiaTheme="majorEastAsia" w:cstheme="majorBidi"/>
          <w:bCs/>
          <w:color w:val="000000" w:themeColor="text1"/>
        </w:rPr>
        <w:t xml:space="preserve"> </w:t>
      </w:r>
      <w:r>
        <w:rPr>
          <w:rFonts w:eastAsiaTheme="majorEastAsia" w:cstheme="majorBidi"/>
          <w:bCs/>
          <w:color w:val="000000" w:themeColor="text1"/>
        </w:rPr>
        <w:t xml:space="preserve">patients </w:t>
      </w:r>
      <w:r w:rsidR="00ED4432">
        <w:rPr>
          <w:rFonts w:eastAsiaTheme="majorEastAsia" w:cstheme="majorBidi"/>
          <w:bCs/>
          <w:color w:val="000000" w:themeColor="text1"/>
        </w:rPr>
        <w:t xml:space="preserve">to have received osimertinib </w:t>
      </w:r>
      <w:r w:rsidR="007647B8">
        <w:rPr>
          <w:rFonts w:eastAsiaTheme="majorEastAsia" w:cstheme="majorBidi"/>
          <w:bCs/>
          <w:color w:val="000000" w:themeColor="text1"/>
        </w:rPr>
        <w:t xml:space="preserve">(including patients in the access program outlined in paragraph </w:t>
      </w:r>
      <w:r w:rsidR="001D1296">
        <w:rPr>
          <w:rFonts w:eastAsiaTheme="majorEastAsia" w:cstheme="majorBidi"/>
          <w:bCs/>
          <w:color w:val="000000" w:themeColor="text1"/>
        </w:rPr>
        <w:fldChar w:fldCharType="begin"/>
      </w:r>
      <w:r w:rsidR="001D1296">
        <w:rPr>
          <w:rFonts w:eastAsiaTheme="majorEastAsia" w:cstheme="majorBidi"/>
          <w:bCs/>
          <w:color w:val="000000" w:themeColor="text1"/>
        </w:rPr>
        <w:instrText xml:space="preserve"> REF _Ref226441394 \r \h </w:instrText>
      </w:r>
      <w:r w:rsidR="001D1296">
        <w:rPr>
          <w:rFonts w:eastAsiaTheme="majorEastAsia" w:cstheme="majorBidi"/>
          <w:bCs/>
          <w:color w:val="000000" w:themeColor="text1"/>
        </w:rPr>
      </w:r>
      <w:r w:rsidR="001D1296">
        <w:rPr>
          <w:rFonts w:eastAsiaTheme="majorEastAsia" w:cstheme="majorBidi"/>
          <w:bCs/>
          <w:color w:val="000000" w:themeColor="text1"/>
        </w:rPr>
        <w:fldChar w:fldCharType="separate"/>
      </w:r>
      <w:r w:rsidR="001D1296">
        <w:rPr>
          <w:rFonts w:eastAsiaTheme="majorEastAsia" w:cstheme="majorBidi"/>
          <w:bCs/>
          <w:color w:val="000000" w:themeColor="text1"/>
        </w:rPr>
        <w:t>3.6</w:t>
      </w:r>
      <w:r w:rsidR="001D1296">
        <w:rPr>
          <w:rFonts w:eastAsiaTheme="majorEastAsia" w:cstheme="majorBidi"/>
          <w:bCs/>
          <w:color w:val="000000" w:themeColor="text1"/>
        </w:rPr>
        <w:fldChar w:fldCharType="end"/>
      </w:r>
      <w:r w:rsidR="001D1296">
        <w:rPr>
          <w:rFonts w:eastAsiaTheme="majorEastAsia" w:cstheme="majorBidi"/>
          <w:bCs/>
          <w:color w:val="000000" w:themeColor="text1"/>
        </w:rPr>
        <w:t xml:space="preserve">) prior to accessing AmiCP; </w:t>
      </w:r>
    </w:p>
    <w:p w14:paraId="4F42E4C0" w14:textId="39450596" w:rsidR="00D30906" w:rsidRDefault="00077402" w:rsidP="00530866">
      <w:pPr>
        <w:pStyle w:val="3-BodyText"/>
        <w:numPr>
          <w:ilvl w:val="0"/>
          <w:numId w:val="22"/>
        </w:numPr>
        <w:rPr>
          <w:rFonts w:eastAsiaTheme="majorEastAsia" w:cstheme="majorBidi"/>
          <w:bCs/>
          <w:color w:val="000000" w:themeColor="text1"/>
        </w:rPr>
      </w:pPr>
      <w:r w:rsidRPr="00077402">
        <w:rPr>
          <w:rFonts w:eastAsiaTheme="majorEastAsia" w:cstheme="majorBidi"/>
          <w:bCs/>
          <w:color w:val="000000" w:themeColor="text1"/>
        </w:rPr>
        <w:t>The clinical criterion ‘Patient must have/have had a WHO performance status of no greater than 2 at treatment initiation with this drug for this condition’ was reasonable</w:t>
      </w:r>
      <w:r w:rsidR="00D30906">
        <w:rPr>
          <w:rFonts w:eastAsiaTheme="majorEastAsia" w:cstheme="majorBidi"/>
          <w:bCs/>
          <w:color w:val="000000" w:themeColor="text1"/>
        </w:rPr>
        <w:t>;</w:t>
      </w:r>
      <w:r w:rsidR="006C638A">
        <w:rPr>
          <w:rFonts w:eastAsiaTheme="majorEastAsia" w:cstheme="majorBidi"/>
          <w:bCs/>
          <w:color w:val="000000" w:themeColor="text1"/>
        </w:rPr>
        <w:t xml:space="preserve"> </w:t>
      </w:r>
    </w:p>
    <w:p w14:paraId="4C0EB5FC" w14:textId="7C540D25" w:rsidR="00D30906" w:rsidRDefault="00D30906" w:rsidP="00530866">
      <w:pPr>
        <w:pStyle w:val="3-BodyText"/>
        <w:numPr>
          <w:ilvl w:val="0"/>
          <w:numId w:val="22"/>
        </w:numPr>
        <w:rPr>
          <w:rFonts w:eastAsiaTheme="majorEastAsia" w:cstheme="majorBidi"/>
          <w:bCs/>
          <w:color w:val="000000" w:themeColor="text1"/>
        </w:rPr>
      </w:pPr>
      <w:r w:rsidRPr="006C638A">
        <w:rPr>
          <w:rFonts w:eastAsiaTheme="majorEastAsia" w:cstheme="majorBidi"/>
          <w:bCs/>
          <w:color w:val="000000" w:themeColor="text1"/>
        </w:rPr>
        <w:t>It was reasonable to not specify the mutation types;</w:t>
      </w:r>
      <w:r w:rsidR="004676A3">
        <w:rPr>
          <w:rFonts w:eastAsiaTheme="majorEastAsia" w:cstheme="majorBidi"/>
          <w:bCs/>
          <w:color w:val="000000" w:themeColor="text1"/>
        </w:rPr>
        <w:t xml:space="preserve"> however, it proposed inclusion of the clinical criterion ‘</w:t>
      </w:r>
      <w:r w:rsidR="004676A3" w:rsidRPr="004676A3">
        <w:rPr>
          <w:rFonts w:eastAsiaTheme="majorEastAsia" w:cstheme="majorBidi"/>
          <w:bCs/>
          <w:color w:val="000000" w:themeColor="text1"/>
        </w:rPr>
        <w:t>Patient must have evidence of an activating epidermal growth factor receptor (EGFR) gene mutation known to confer sensitivity to treatment with amivantamab</w:t>
      </w:r>
      <w:r w:rsidR="00F15404">
        <w:rPr>
          <w:rFonts w:eastAsiaTheme="majorEastAsia" w:cstheme="majorBidi"/>
          <w:bCs/>
          <w:color w:val="000000" w:themeColor="text1"/>
        </w:rPr>
        <w:t xml:space="preserve"> in tumour material</w:t>
      </w:r>
      <w:r w:rsidR="004676A3">
        <w:rPr>
          <w:rFonts w:eastAsiaTheme="majorEastAsia" w:cstheme="majorBidi"/>
          <w:bCs/>
          <w:color w:val="000000" w:themeColor="text1"/>
        </w:rPr>
        <w:t>’;</w:t>
      </w:r>
      <w:r w:rsidRPr="006C638A">
        <w:rPr>
          <w:rFonts w:eastAsiaTheme="majorEastAsia" w:cstheme="majorBidi"/>
          <w:bCs/>
          <w:color w:val="000000" w:themeColor="text1"/>
        </w:rPr>
        <w:t xml:space="preserve"> and</w:t>
      </w:r>
    </w:p>
    <w:p w14:paraId="55A85C0A" w14:textId="4660901E" w:rsidR="00D30906" w:rsidRPr="00D30906" w:rsidRDefault="00D30906" w:rsidP="00530866">
      <w:pPr>
        <w:pStyle w:val="3-BodyText"/>
        <w:numPr>
          <w:ilvl w:val="0"/>
          <w:numId w:val="22"/>
        </w:numPr>
        <w:rPr>
          <w:rFonts w:eastAsiaTheme="majorEastAsia" w:cstheme="majorBidi"/>
          <w:bCs/>
          <w:color w:val="000000" w:themeColor="text1"/>
        </w:rPr>
      </w:pPr>
      <w:r w:rsidRPr="00D30906">
        <w:rPr>
          <w:rFonts w:eastAsiaTheme="majorEastAsia" w:cstheme="majorBidi"/>
          <w:bCs/>
          <w:color w:val="000000" w:themeColor="text1"/>
        </w:rPr>
        <w:t xml:space="preserve">The </w:t>
      </w:r>
      <w:r w:rsidR="00777FFA">
        <w:rPr>
          <w:rFonts w:eastAsiaTheme="majorEastAsia" w:cstheme="majorBidi"/>
          <w:bCs/>
          <w:color w:val="000000" w:themeColor="text1"/>
        </w:rPr>
        <w:t>criterion ‘</w:t>
      </w:r>
      <w:r w:rsidRPr="00D30906">
        <w:rPr>
          <w:rFonts w:eastAsiaTheme="majorEastAsia" w:cstheme="majorBidi"/>
          <w:bCs/>
          <w:color w:val="000000" w:themeColor="text1"/>
        </w:rPr>
        <w:t xml:space="preserve">The treatment must be/have been initiated in combination with platinum-based </w:t>
      </w:r>
      <w:r w:rsidR="00074497">
        <w:rPr>
          <w:rFonts w:eastAsiaTheme="majorEastAsia" w:cstheme="majorBidi"/>
          <w:bCs/>
          <w:color w:val="000000" w:themeColor="text1"/>
        </w:rPr>
        <w:t xml:space="preserve">doublet </w:t>
      </w:r>
      <w:r w:rsidRPr="00D30906">
        <w:rPr>
          <w:rFonts w:eastAsiaTheme="majorEastAsia" w:cstheme="majorBidi"/>
          <w:bCs/>
          <w:color w:val="000000" w:themeColor="text1"/>
        </w:rPr>
        <w:t>chemotherapy (P</w:t>
      </w:r>
      <w:r w:rsidR="00074497">
        <w:rPr>
          <w:rFonts w:eastAsiaTheme="majorEastAsia" w:cstheme="majorBidi"/>
          <w:bCs/>
          <w:color w:val="000000" w:themeColor="text1"/>
        </w:rPr>
        <w:t>D</w:t>
      </w:r>
      <w:r w:rsidRPr="00D30906">
        <w:rPr>
          <w:rFonts w:eastAsiaTheme="majorEastAsia" w:cstheme="majorBidi"/>
          <w:bCs/>
          <w:color w:val="000000" w:themeColor="text1"/>
        </w:rPr>
        <w:t>C)</w:t>
      </w:r>
      <w:r w:rsidR="00777FFA">
        <w:rPr>
          <w:rFonts w:eastAsiaTheme="majorEastAsia" w:cstheme="majorBidi"/>
          <w:bCs/>
          <w:color w:val="000000" w:themeColor="text1"/>
        </w:rPr>
        <w:t>’ was appropriate.</w:t>
      </w:r>
      <w:r w:rsidR="00807331">
        <w:rPr>
          <w:rFonts w:eastAsiaTheme="majorEastAsia" w:cstheme="majorBidi"/>
          <w:bCs/>
          <w:color w:val="000000" w:themeColor="text1"/>
        </w:rPr>
        <w:t xml:space="preserve"> </w:t>
      </w:r>
    </w:p>
    <w:p w14:paraId="3D6E4C98" w14:textId="1C52E323" w:rsidR="003B6886" w:rsidRDefault="00B176F6" w:rsidP="00530866">
      <w:pPr>
        <w:pStyle w:val="3-BodyText"/>
      </w:pPr>
      <w:r>
        <w:t xml:space="preserve">The submission nominated </w:t>
      </w:r>
      <w:r w:rsidR="006E6633">
        <w:t>P</w:t>
      </w:r>
      <w:r w:rsidR="007545A8">
        <w:t>D</w:t>
      </w:r>
      <w:r w:rsidR="006E6633">
        <w:t xml:space="preserve">C </w:t>
      </w:r>
      <w:r w:rsidR="6D1F648B">
        <w:t>and ABCP</w:t>
      </w:r>
      <w:r w:rsidR="0070372D">
        <w:t xml:space="preserve"> </w:t>
      </w:r>
      <w:r>
        <w:t>as the main comparators</w:t>
      </w:r>
      <w:r w:rsidR="00407D9B">
        <w:t xml:space="preserve">, with </w:t>
      </w:r>
      <w:r w:rsidR="00CF35DA">
        <w:t xml:space="preserve">a </w:t>
      </w:r>
      <w:r w:rsidR="00407D9B">
        <w:t xml:space="preserve">comparator split of </w:t>
      </w:r>
      <w:r w:rsidR="00CF35DA">
        <w:t xml:space="preserve">16.92% for </w:t>
      </w:r>
      <w:r w:rsidR="0F2557B6">
        <w:t>PDC and</w:t>
      </w:r>
      <w:r w:rsidR="00CF35DA">
        <w:t xml:space="preserve"> </w:t>
      </w:r>
      <w:r w:rsidR="00407D9B">
        <w:t>83.08% for ABCP</w:t>
      </w:r>
      <w:r w:rsidR="00CF35DA">
        <w:t xml:space="preserve">, based on an analysis of PBS data, with ‘higher’ cost treatments </w:t>
      </w:r>
      <w:r w:rsidR="00CE082C">
        <w:t>(</w:t>
      </w:r>
      <w:r w:rsidR="002B6DA8">
        <w:t xml:space="preserve">see paragraph </w:t>
      </w:r>
      <w:r>
        <w:fldChar w:fldCharType="begin"/>
      </w:r>
      <w:r>
        <w:instrText xml:space="preserve"> REF _Ref216274431 \r \h  \* MERGEFORMAT </w:instrText>
      </w:r>
      <w:r>
        <w:fldChar w:fldCharType="separate"/>
      </w:r>
      <w:r w:rsidR="00A572FC">
        <w:t>5.4</w:t>
      </w:r>
      <w:r>
        <w:fldChar w:fldCharType="end"/>
      </w:r>
      <w:r w:rsidR="00994602">
        <w:t xml:space="preserve">) </w:t>
      </w:r>
      <w:r w:rsidR="00CE082C">
        <w:t>redistributed</w:t>
      </w:r>
      <w:r w:rsidR="00CF35DA">
        <w:t xml:space="preserve"> to ABCP.</w:t>
      </w:r>
      <w:r w:rsidR="00807331">
        <w:t xml:space="preserve"> </w:t>
      </w:r>
      <w:r w:rsidR="00D8037D">
        <w:t>I</w:t>
      </w:r>
      <w:r w:rsidR="001E2069">
        <w:t>n clinical practice</w:t>
      </w:r>
      <w:r w:rsidR="00D8037D">
        <w:t xml:space="preserve"> </w:t>
      </w:r>
      <w:r w:rsidR="006064E9">
        <w:t xml:space="preserve">the PBAC considered </w:t>
      </w:r>
      <w:r w:rsidR="00677636">
        <w:t>patients likely to be treated with</w:t>
      </w:r>
      <w:r w:rsidR="00A42E2E">
        <w:t xml:space="preserve"> </w:t>
      </w:r>
      <w:r w:rsidR="004A77E3">
        <w:t xml:space="preserve">either </w:t>
      </w:r>
      <w:r w:rsidR="006E6633">
        <w:t>amivantamab in combination with P</w:t>
      </w:r>
      <w:r w:rsidR="0070372D">
        <w:t>DC</w:t>
      </w:r>
      <w:r w:rsidR="00A42E2E">
        <w:t xml:space="preserve"> </w:t>
      </w:r>
      <w:r w:rsidR="004A77E3">
        <w:t>or</w:t>
      </w:r>
      <w:r w:rsidR="00677636">
        <w:t xml:space="preserve"> ABCP are </w:t>
      </w:r>
      <w:r w:rsidR="00977DEB">
        <w:t xml:space="preserve">likely to be </w:t>
      </w:r>
      <w:r w:rsidR="00A42E2E">
        <w:t>similar in terms of disease burden</w:t>
      </w:r>
      <w:r w:rsidR="000736D9">
        <w:t xml:space="preserve"> and fitness to receive additional lines of</w:t>
      </w:r>
      <w:r w:rsidR="001144C0">
        <w:t xml:space="preserve"> therapy</w:t>
      </w:r>
      <w:r w:rsidR="00A42E2E">
        <w:t>.</w:t>
      </w:r>
      <w:r w:rsidR="00807331">
        <w:t xml:space="preserve"> </w:t>
      </w:r>
      <w:r w:rsidR="00DE3CFB">
        <w:t>Therefore, t</w:t>
      </w:r>
      <w:r w:rsidR="00D925FE">
        <w:t xml:space="preserve">he PBAC considered ABCP </w:t>
      </w:r>
      <w:r w:rsidR="00737F7F">
        <w:t xml:space="preserve">alone </w:t>
      </w:r>
      <w:r w:rsidR="00D925FE">
        <w:t xml:space="preserve">is the appropriate </w:t>
      </w:r>
      <w:r w:rsidR="005B64EA">
        <w:t xml:space="preserve">main </w:t>
      </w:r>
      <w:r w:rsidR="00D925FE">
        <w:t>comparator</w:t>
      </w:r>
      <w:r w:rsidR="00186CE3">
        <w:t xml:space="preserve"> and that there is no basis for a weighted comparator</w:t>
      </w:r>
      <w:r w:rsidR="00D925FE">
        <w:t>.</w:t>
      </w:r>
      <w:r w:rsidR="00807331">
        <w:t xml:space="preserve"> </w:t>
      </w:r>
    </w:p>
    <w:p w14:paraId="65939841" w14:textId="69CDE4D4" w:rsidR="00B176F6" w:rsidRPr="00B176F6" w:rsidRDefault="003B6886" w:rsidP="00530866">
      <w:pPr>
        <w:pStyle w:val="3-BodyText"/>
      </w:pPr>
      <w:r>
        <w:t xml:space="preserve">The </w:t>
      </w:r>
      <w:r w:rsidR="003246F1">
        <w:t xml:space="preserve">PBAC noted the submission claimed </w:t>
      </w:r>
      <w:r w:rsidR="006344B6">
        <w:t>amivantamab in combination with P</w:t>
      </w:r>
      <w:r w:rsidR="00532279">
        <w:t>D</w:t>
      </w:r>
      <w:r w:rsidR="00AA4BC0">
        <w:t xml:space="preserve">C was </w:t>
      </w:r>
      <w:r w:rsidR="003246F1">
        <w:t>superior in terms of effectiveness</w:t>
      </w:r>
      <w:r w:rsidR="006A05A8">
        <w:t xml:space="preserve"> and inferior in terms of safety compared </w:t>
      </w:r>
      <w:r w:rsidR="00303DBB">
        <w:t>to P</w:t>
      </w:r>
      <w:r w:rsidR="00532279">
        <w:t>D</w:t>
      </w:r>
      <w:r w:rsidR="00303DBB">
        <w:t xml:space="preserve">C and superior in terms of effectiveness and non-inferior in terms of safety compared to ABCP. </w:t>
      </w:r>
      <w:r w:rsidR="00BC138E" w:rsidRPr="00003957">
        <w:t>The PBAC noted</w:t>
      </w:r>
      <w:r w:rsidR="00003957" w:rsidRPr="00003957">
        <w:t xml:space="preserve"> the submission assumed</w:t>
      </w:r>
      <w:r w:rsidR="00BC138E" w:rsidRPr="00003957">
        <w:t xml:space="preserve"> carboplatin plus pemetrexed (CP) was a proxy for P</w:t>
      </w:r>
      <w:r w:rsidR="00532279">
        <w:t>D</w:t>
      </w:r>
      <w:r w:rsidR="00BC138E" w:rsidRPr="00003957">
        <w:t>C.</w:t>
      </w:r>
      <w:r w:rsidR="00807331">
        <w:t xml:space="preserve"> </w:t>
      </w:r>
    </w:p>
    <w:p w14:paraId="5181F63F" w14:textId="4C1D72D9" w:rsidR="00D938C6" w:rsidRDefault="003B6886" w:rsidP="00530866">
      <w:pPr>
        <w:pStyle w:val="3-BodyText"/>
      </w:pPr>
      <w:r>
        <w:t>To support the clinical claim</w:t>
      </w:r>
      <w:r w:rsidR="00906649">
        <w:t xml:space="preserve"> versus P</w:t>
      </w:r>
      <w:r w:rsidR="002C10EC">
        <w:t>D</w:t>
      </w:r>
      <w:r w:rsidR="00906649">
        <w:t>C</w:t>
      </w:r>
      <w:r>
        <w:t xml:space="preserve">, </w:t>
      </w:r>
      <w:r w:rsidR="00794C5C">
        <w:t>the submission</w:t>
      </w:r>
      <w:r w:rsidR="00C9058E">
        <w:t xml:space="preserve"> presented data from </w:t>
      </w:r>
      <w:r w:rsidR="00A91925">
        <w:t xml:space="preserve">MARIPOSA-2, a </w:t>
      </w:r>
      <w:r w:rsidR="00A91925" w:rsidRPr="00010A81">
        <w:t>head-to-head</w:t>
      </w:r>
      <w:r w:rsidR="00A91925">
        <w:t xml:space="preserve">, open-label, </w:t>
      </w:r>
      <w:r w:rsidR="00A91925" w:rsidRPr="00010A81">
        <w:t xml:space="preserve">randomised trial comparing </w:t>
      </w:r>
      <w:r w:rsidR="006E6633">
        <w:t>amivantamab in combination with</w:t>
      </w:r>
      <w:r w:rsidR="00541C44">
        <w:t xml:space="preserve"> CP</w:t>
      </w:r>
      <w:r w:rsidR="00055343">
        <w:t xml:space="preserve"> (AmiCP)</w:t>
      </w:r>
      <w:r w:rsidR="006E6633">
        <w:t xml:space="preserve"> </w:t>
      </w:r>
      <w:r w:rsidR="00A91925" w:rsidRPr="00010A81">
        <w:t>(</w:t>
      </w:r>
      <w:r w:rsidR="00A91925">
        <w:t>n=131</w:t>
      </w:r>
      <w:r w:rsidR="00A91925" w:rsidRPr="00010A81">
        <w:t xml:space="preserve">) </w:t>
      </w:r>
      <w:r w:rsidR="004638A6">
        <w:t>and</w:t>
      </w:r>
      <w:r w:rsidR="00A91925" w:rsidRPr="00010A81">
        <w:t xml:space="preserve"> </w:t>
      </w:r>
      <w:r w:rsidR="00A91925">
        <w:t>CP (n=263</w:t>
      </w:r>
      <w:r w:rsidR="00A91925" w:rsidRPr="00010A81">
        <w:t>)</w:t>
      </w:r>
      <w:r w:rsidR="00906649">
        <w:t xml:space="preserve">. </w:t>
      </w:r>
      <w:r w:rsidR="00DB0905">
        <w:t>To support the clinical claim versus ABCP, the submis</w:t>
      </w:r>
      <w:r w:rsidR="00906649">
        <w:t>sion presented</w:t>
      </w:r>
      <w:r w:rsidR="000A38B9">
        <w:t xml:space="preserve"> </w:t>
      </w:r>
      <w:r w:rsidR="00544EA5">
        <w:t xml:space="preserve">data from a subgroup of patients from ATTLAS, </w:t>
      </w:r>
      <w:r w:rsidR="00544EA5">
        <w:lastRenderedPageBreak/>
        <w:t>a</w:t>
      </w:r>
      <w:r w:rsidR="004638A6">
        <w:t xml:space="preserve"> head-to-head, open-label, randomised trial comparing ABCP </w:t>
      </w:r>
      <w:r w:rsidR="00B477FE">
        <w:t xml:space="preserve">(n=12) </w:t>
      </w:r>
      <w:r w:rsidR="004638A6">
        <w:t xml:space="preserve">and </w:t>
      </w:r>
      <w:r w:rsidR="00CE0A18">
        <w:t>PDC</w:t>
      </w:r>
      <w:r w:rsidR="00B477FE">
        <w:t xml:space="preserve"> (n=9)</w:t>
      </w:r>
      <w:r w:rsidR="00A91925">
        <w:t xml:space="preserve">. </w:t>
      </w:r>
      <w:r w:rsidR="00116740">
        <w:t>The submission did not present a</w:t>
      </w:r>
      <w:r w:rsidR="00B17CF3">
        <w:t xml:space="preserve"> formal indirect treatment comparison of AmiCP and ABCP but relied </w:t>
      </w:r>
      <w:r w:rsidR="009757CB">
        <w:t>on the ATTLAS trial</w:t>
      </w:r>
      <w:r w:rsidR="000D6838">
        <w:t xml:space="preserve"> to claim that ABCP is </w:t>
      </w:r>
      <w:r w:rsidR="00D3081B">
        <w:t>of limited efficacy</w:t>
      </w:r>
      <w:r w:rsidR="009509BC">
        <w:t xml:space="preserve"> with no efficacy assumed in the economic model</w:t>
      </w:r>
      <w:r w:rsidR="00337969">
        <w:t>.</w:t>
      </w:r>
      <w:r w:rsidR="00807331">
        <w:t xml:space="preserve"> </w:t>
      </w:r>
    </w:p>
    <w:p w14:paraId="65918759" w14:textId="063126BF" w:rsidR="00D8752E" w:rsidRPr="00DE173B" w:rsidRDefault="00B5735A" w:rsidP="00530866">
      <w:pPr>
        <w:pStyle w:val="3-BodyText"/>
        <w:rPr>
          <w:rFonts w:eastAsiaTheme="majorEastAsia" w:cstheme="majorBidi"/>
          <w:bCs/>
          <w:color w:val="000000" w:themeColor="text1"/>
        </w:rPr>
      </w:pPr>
      <w:r>
        <w:rPr>
          <w:snapToGrid w:val="0"/>
          <w:lang w:val="en-GB"/>
        </w:rPr>
        <w:t>T</w:t>
      </w:r>
      <w:r w:rsidRPr="0045601C">
        <w:rPr>
          <w:snapToGrid w:val="0"/>
          <w:lang w:val="en-GB"/>
        </w:rPr>
        <w:t xml:space="preserve">he </w:t>
      </w:r>
      <w:r w:rsidR="002D422A">
        <w:rPr>
          <w:snapToGrid w:val="0"/>
          <w:lang w:val="en-GB"/>
        </w:rPr>
        <w:t>PBAC noted</w:t>
      </w:r>
      <w:r w:rsidR="00E10CC4">
        <w:rPr>
          <w:snapToGrid w:val="0"/>
          <w:lang w:val="en-GB"/>
        </w:rPr>
        <w:t xml:space="preserve"> </w:t>
      </w:r>
      <w:r w:rsidR="00AB78AD">
        <w:rPr>
          <w:snapToGrid w:val="0"/>
          <w:lang w:val="en-GB"/>
        </w:rPr>
        <w:t xml:space="preserve">that based on the </w:t>
      </w:r>
      <w:r w:rsidR="00E10CC4">
        <w:rPr>
          <w:snapToGrid w:val="0"/>
          <w:lang w:val="en-GB"/>
        </w:rPr>
        <w:t>MARIPOSA-2 trial</w:t>
      </w:r>
      <w:r w:rsidR="00AB78AD">
        <w:rPr>
          <w:snapToGrid w:val="0"/>
          <w:lang w:val="en-GB"/>
        </w:rPr>
        <w:t xml:space="preserve">, </w:t>
      </w:r>
      <w:r w:rsidR="00E10CC4">
        <w:rPr>
          <w:snapToGrid w:val="0"/>
          <w:lang w:val="en-GB"/>
        </w:rPr>
        <w:t xml:space="preserve">treatment with </w:t>
      </w:r>
      <w:proofErr w:type="spellStart"/>
      <w:r w:rsidR="00E10CC4">
        <w:rPr>
          <w:snapToGrid w:val="0"/>
          <w:lang w:val="en-GB"/>
        </w:rPr>
        <w:t>AmiCP</w:t>
      </w:r>
      <w:proofErr w:type="spellEnd"/>
      <w:r w:rsidR="00E10CC4">
        <w:rPr>
          <w:snapToGrid w:val="0"/>
          <w:lang w:val="en-GB"/>
        </w:rPr>
        <w:t xml:space="preserve"> resulted </w:t>
      </w:r>
      <w:r w:rsidR="00AB78AD">
        <w:rPr>
          <w:snapToGrid w:val="0"/>
          <w:lang w:val="en-GB"/>
        </w:rPr>
        <w:t xml:space="preserve">in </w:t>
      </w:r>
      <w:r w:rsidRPr="0045601C">
        <w:rPr>
          <w:snapToGrid w:val="0"/>
          <w:lang w:val="en-GB"/>
        </w:rPr>
        <w:t>a modest improvement</w:t>
      </w:r>
      <w:r w:rsidR="00367C2A">
        <w:rPr>
          <w:snapToGrid w:val="0"/>
          <w:lang w:val="en-GB"/>
        </w:rPr>
        <w:t xml:space="preserve"> over CP</w:t>
      </w:r>
      <w:r w:rsidRPr="0045601C">
        <w:rPr>
          <w:snapToGrid w:val="0"/>
          <w:lang w:val="en-GB"/>
        </w:rPr>
        <w:t xml:space="preserve"> in</w:t>
      </w:r>
      <w:r>
        <w:rPr>
          <w:snapToGrid w:val="0"/>
          <w:lang w:val="en-GB"/>
        </w:rPr>
        <w:t xml:space="preserve"> progression free survival </w:t>
      </w:r>
      <w:r w:rsidR="006D67FB">
        <w:rPr>
          <w:snapToGrid w:val="0"/>
          <w:lang w:val="en-GB"/>
        </w:rPr>
        <w:t>(6.28</w:t>
      </w:r>
      <w:r>
        <w:rPr>
          <w:snapToGrid w:val="0"/>
          <w:lang w:val="en-GB"/>
        </w:rPr>
        <w:t xml:space="preserve"> months</w:t>
      </w:r>
      <w:r w:rsidR="006D67FB">
        <w:rPr>
          <w:snapToGrid w:val="0"/>
          <w:lang w:val="en-GB"/>
        </w:rPr>
        <w:t xml:space="preserve"> vs </w:t>
      </w:r>
      <w:r w:rsidR="00C16DBF">
        <w:rPr>
          <w:snapToGrid w:val="0"/>
          <w:lang w:val="en-GB"/>
        </w:rPr>
        <w:t>4.17 months; HR = 0.48</w:t>
      </w:r>
      <w:r w:rsidR="006B3E27">
        <w:rPr>
          <w:snapToGrid w:val="0"/>
          <w:lang w:val="en-GB"/>
        </w:rPr>
        <w:t xml:space="preserve">; </w:t>
      </w:r>
      <w:r w:rsidR="005E550F">
        <w:rPr>
          <w:snapToGrid w:val="0"/>
          <w:lang w:val="en-GB"/>
        </w:rPr>
        <w:t>95% CI:</w:t>
      </w:r>
      <w:r w:rsidR="00C16DBF">
        <w:rPr>
          <w:snapToGrid w:val="0"/>
          <w:lang w:val="en-GB"/>
        </w:rPr>
        <w:t xml:space="preserve"> 0.36, 0.64</w:t>
      </w:r>
      <w:r w:rsidR="005E550F">
        <w:rPr>
          <w:snapToGrid w:val="0"/>
          <w:lang w:val="en-GB"/>
        </w:rPr>
        <w:t xml:space="preserve">, </w:t>
      </w:r>
      <w:r w:rsidR="00AB7401" w:rsidRPr="00AB7401">
        <w:rPr>
          <w:bCs/>
          <w:snapToGrid w:val="0"/>
        </w:rPr>
        <w:t>p&lt;0.0001</w:t>
      </w:r>
      <w:r w:rsidR="005E550F">
        <w:rPr>
          <w:snapToGrid w:val="0"/>
          <w:lang w:val="en-GB"/>
        </w:rPr>
        <w:t>)</w:t>
      </w:r>
      <w:r>
        <w:rPr>
          <w:snapToGrid w:val="0"/>
          <w:lang w:val="en-GB"/>
        </w:rPr>
        <w:t xml:space="preserve"> and</w:t>
      </w:r>
      <w:r w:rsidRPr="0045601C">
        <w:rPr>
          <w:snapToGrid w:val="0"/>
          <w:lang w:val="en-GB"/>
        </w:rPr>
        <w:t xml:space="preserve"> overall survival</w:t>
      </w:r>
      <w:r w:rsidR="00AB7401">
        <w:rPr>
          <w:snapToGrid w:val="0"/>
          <w:lang w:val="en-GB"/>
        </w:rPr>
        <w:t xml:space="preserve"> (</w:t>
      </w:r>
      <w:r w:rsidR="00123EFC">
        <w:rPr>
          <w:snapToGrid w:val="0"/>
          <w:lang w:val="en-GB"/>
        </w:rPr>
        <w:t xml:space="preserve">17.74 months vs </w:t>
      </w:r>
      <w:r w:rsidR="00954E70">
        <w:rPr>
          <w:snapToGrid w:val="0"/>
          <w:lang w:val="en-GB"/>
        </w:rPr>
        <w:t xml:space="preserve">15.34 months; HR = 0.73; </w:t>
      </w:r>
      <w:r w:rsidR="002C35AF">
        <w:rPr>
          <w:snapToGrid w:val="0"/>
          <w:lang w:val="en-GB"/>
        </w:rPr>
        <w:t xml:space="preserve">95% CI: 0.54, 0.99, </w:t>
      </w:r>
      <w:r w:rsidR="00367C2A" w:rsidRPr="00367C2A">
        <w:rPr>
          <w:snapToGrid w:val="0"/>
        </w:rPr>
        <w:t>p=0.0386</w:t>
      </w:r>
      <w:r w:rsidR="000F2EC0">
        <w:rPr>
          <w:snapToGrid w:val="0"/>
        </w:rPr>
        <w:t>)</w:t>
      </w:r>
      <w:r w:rsidRPr="0045601C">
        <w:rPr>
          <w:snapToGrid w:val="0"/>
        </w:rPr>
        <w:t xml:space="preserve">. </w:t>
      </w:r>
      <w:r w:rsidR="00B575C4" w:rsidRPr="00CA511F">
        <w:rPr>
          <w:snapToGrid w:val="0"/>
        </w:rPr>
        <w:t xml:space="preserve">The PBAC noted AmiCP was associated with more </w:t>
      </w:r>
      <w:r w:rsidR="00B575C4">
        <w:t xml:space="preserve">Grade </w:t>
      </w:r>
      <w:r w:rsidR="00B575C4" w:rsidRPr="00CA511F">
        <w:rPr>
          <w:rFonts w:cs="Calibri"/>
        </w:rPr>
        <w:t>≥</w:t>
      </w:r>
      <w:r w:rsidR="00B575C4">
        <w:t>3 treatment-emergent adverse events compared to CP (72.3% vs. 48.1%) and more serious adverse events (32.3% vs. 20.2%)</w:t>
      </w:r>
      <w:r w:rsidR="001016A8">
        <w:t xml:space="preserve">. </w:t>
      </w:r>
      <w:r w:rsidR="0028172E">
        <w:t xml:space="preserve">The PBAC considered the </w:t>
      </w:r>
      <w:r w:rsidR="0028172E" w:rsidRPr="0028172E">
        <w:t xml:space="preserve">claim AmiCP was superior in terms of effectiveness and inferior in terms of safety compared to </w:t>
      </w:r>
      <w:r w:rsidR="00CE0A18">
        <w:t>PDC</w:t>
      </w:r>
      <w:r w:rsidR="009A5AEA">
        <w:t xml:space="preserve"> was reasonable.</w:t>
      </w:r>
      <w:r w:rsidR="00887C9E">
        <w:t xml:space="preserve"> </w:t>
      </w:r>
    </w:p>
    <w:p w14:paraId="2F9FCA94" w14:textId="454B7B3E" w:rsidR="000B110C" w:rsidRPr="00025C39" w:rsidRDefault="00230C85" w:rsidP="00530866">
      <w:pPr>
        <w:pStyle w:val="3-BodyText"/>
        <w:rPr>
          <w:rFonts w:eastAsiaTheme="majorEastAsia" w:cstheme="majorBidi"/>
          <w:bCs/>
          <w:color w:val="000000" w:themeColor="text1"/>
        </w:rPr>
      </w:pPr>
      <w:r>
        <w:t xml:space="preserve">The PBAC </w:t>
      </w:r>
      <w:r w:rsidR="00750880">
        <w:t xml:space="preserve">considered an indirect comparison of AmiCP and ABCP </w:t>
      </w:r>
      <w:r w:rsidR="00C04886">
        <w:t>using</w:t>
      </w:r>
      <w:r w:rsidR="001D4186">
        <w:t xml:space="preserve"> the</w:t>
      </w:r>
      <w:r w:rsidR="00DD2396">
        <w:t xml:space="preserve"> subgroup of patients from the ATTLAS trial </w:t>
      </w:r>
      <w:r w:rsidR="00750880" w:rsidRPr="003B69DB">
        <w:t xml:space="preserve">was not </w:t>
      </w:r>
      <w:r w:rsidR="003B69DB">
        <w:t>informative</w:t>
      </w:r>
      <w:r w:rsidR="008723DD">
        <w:t xml:space="preserve"> </w:t>
      </w:r>
      <w:r w:rsidR="00C82AC8">
        <w:t xml:space="preserve">given the small patient </w:t>
      </w:r>
      <w:r w:rsidR="000B1E53">
        <w:t xml:space="preserve">numbers in </w:t>
      </w:r>
      <w:r w:rsidR="008723DD">
        <w:t xml:space="preserve">ATTLAS </w:t>
      </w:r>
      <w:r w:rsidR="00036ABB">
        <w:t xml:space="preserve">with EGFRm NSCLC </w:t>
      </w:r>
      <w:r w:rsidR="00D00F15">
        <w:t xml:space="preserve">and prior osimertinib treatment </w:t>
      </w:r>
      <w:r w:rsidR="008723DD">
        <w:t xml:space="preserve">and transitivity issues between the trials (see paragraph </w:t>
      </w:r>
      <w:r w:rsidR="008723DD">
        <w:fldChar w:fldCharType="begin"/>
      </w:r>
      <w:r w:rsidR="008723DD">
        <w:instrText xml:space="preserve"> REF _Ref216184419 \r \h </w:instrText>
      </w:r>
      <w:r w:rsidR="008723DD">
        <w:fldChar w:fldCharType="separate"/>
      </w:r>
      <w:r w:rsidR="00A572FC">
        <w:t>6.22</w:t>
      </w:r>
      <w:r w:rsidR="008723DD">
        <w:fldChar w:fldCharType="end"/>
      </w:r>
      <w:r w:rsidR="008723DD">
        <w:t xml:space="preserve">). </w:t>
      </w:r>
      <w:r w:rsidR="007548D3">
        <w:t xml:space="preserve">The PBAC considered the </w:t>
      </w:r>
      <w:r w:rsidR="00532B39">
        <w:t>data</w:t>
      </w:r>
      <w:r w:rsidR="004D592F">
        <w:t xml:space="preserve"> presented</w:t>
      </w:r>
      <w:r w:rsidR="00532B39">
        <w:t xml:space="preserve"> </w:t>
      </w:r>
      <w:r w:rsidR="007548D3">
        <w:t xml:space="preserve">was insufficient to </w:t>
      </w:r>
      <w:r w:rsidR="00D243AC">
        <w:t>assess if there is an incremental benefit for AmiCP compared to ABCP.</w:t>
      </w:r>
      <w:r w:rsidR="002E04EE">
        <w:t xml:space="preserve"> </w:t>
      </w:r>
      <w:r w:rsidR="000B110C">
        <w:t xml:space="preserve">The PBAC considered the </w:t>
      </w:r>
      <w:r w:rsidR="000B110C" w:rsidRPr="0028172E">
        <w:t xml:space="preserve">claim AmiCP was superior in terms of effectiveness </w:t>
      </w:r>
      <w:r w:rsidR="004873A6">
        <w:t>and non-inferior in te</w:t>
      </w:r>
      <w:r w:rsidR="00715EE9">
        <w:t>r</w:t>
      </w:r>
      <w:r w:rsidR="004873A6">
        <w:t>m</w:t>
      </w:r>
      <w:r w:rsidR="00715EE9">
        <w:t>s</w:t>
      </w:r>
      <w:r w:rsidR="004873A6">
        <w:t xml:space="preserve"> of safety </w:t>
      </w:r>
      <w:r w:rsidR="000B110C" w:rsidRPr="0028172E">
        <w:t>compared to</w:t>
      </w:r>
      <w:r w:rsidR="000B110C">
        <w:t xml:space="preserve"> ABCP was not supported</w:t>
      </w:r>
      <w:r w:rsidR="00B725DF">
        <w:t>.</w:t>
      </w:r>
      <w:r w:rsidR="00807331">
        <w:t xml:space="preserve"> </w:t>
      </w:r>
    </w:p>
    <w:p w14:paraId="30D4F405" w14:textId="2A7B1A3A" w:rsidR="00025C39" w:rsidRPr="003B69DB" w:rsidRDefault="00025C39" w:rsidP="00530866">
      <w:pPr>
        <w:pStyle w:val="3-BodyText"/>
        <w:rPr>
          <w:rFonts w:eastAsiaTheme="majorEastAsia" w:cstheme="majorBidi"/>
          <w:bCs/>
          <w:color w:val="000000" w:themeColor="text1"/>
        </w:rPr>
      </w:pPr>
      <w:r>
        <w:t xml:space="preserve">The PBAC considered the economic model comparing </w:t>
      </w:r>
      <w:r w:rsidR="00413CFC">
        <w:t xml:space="preserve">AmiCP and ABCP </w:t>
      </w:r>
      <w:r w:rsidR="000A6B2F">
        <w:t xml:space="preserve">(the main comparator) </w:t>
      </w:r>
      <w:r w:rsidR="00413CFC">
        <w:t>was uninformative as the clinical claim of superiority was not accepted.</w:t>
      </w:r>
      <w:r w:rsidR="002E04EE">
        <w:t xml:space="preserve"> </w:t>
      </w:r>
    </w:p>
    <w:p w14:paraId="6A6BDEA7" w14:textId="4E8F2CCB" w:rsidR="00C327D2" w:rsidRPr="007B02C3" w:rsidRDefault="000B7AB4" w:rsidP="00530866">
      <w:pPr>
        <w:pStyle w:val="3-BodyText"/>
        <w:rPr>
          <w:rFonts w:eastAsiaTheme="majorEastAsia" w:cstheme="majorBidi"/>
          <w:bCs/>
        </w:rPr>
      </w:pPr>
      <w:bookmarkStart w:id="112" w:name="_Ref225763309"/>
      <w:r>
        <w:t xml:space="preserve">The PBAC </w:t>
      </w:r>
      <w:r w:rsidR="00F605EB">
        <w:t xml:space="preserve">considered </w:t>
      </w:r>
      <w:r w:rsidR="000F3FF1">
        <w:t xml:space="preserve">that it would be </w:t>
      </w:r>
      <w:r w:rsidR="00F605EB">
        <w:t xml:space="preserve">reasonable for the cost-effective price of amivantamab in EGFRm patients </w:t>
      </w:r>
      <w:r w:rsidR="00BD54C4">
        <w:t xml:space="preserve">to be </w:t>
      </w:r>
      <w:r w:rsidR="00F605EB">
        <w:t>informed b</w:t>
      </w:r>
      <w:r w:rsidR="000F3FF1">
        <w:t xml:space="preserve">y the price of atezolizumab plus bevacizumab in the </w:t>
      </w:r>
      <w:r w:rsidR="00650766">
        <w:t xml:space="preserve">non-squamous </w:t>
      </w:r>
      <w:r w:rsidR="00F167DE">
        <w:t>NSCLC</w:t>
      </w:r>
      <w:r w:rsidR="000F3FF1">
        <w:t xml:space="preserve"> population</w:t>
      </w:r>
      <w:r w:rsidR="00CB69C2">
        <w:t xml:space="preserve">, noting this </w:t>
      </w:r>
      <w:r w:rsidR="001D3785">
        <w:t>included patients with EGFRm</w:t>
      </w:r>
      <w:r w:rsidR="000F3FF1">
        <w:t xml:space="preserve">. </w:t>
      </w:r>
      <w:r w:rsidR="00244737">
        <w:t>In this context, t</w:t>
      </w:r>
      <w:r w:rsidR="00083849">
        <w:t xml:space="preserve">he PBAC considered </w:t>
      </w:r>
      <w:r w:rsidR="008A2D24">
        <w:t xml:space="preserve">amivantamab </w:t>
      </w:r>
      <w:r w:rsidR="00212BC5">
        <w:t xml:space="preserve">(in combination with </w:t>
      </w:r>
      <w:r w:rsidR="00305EB7">
        <w:t>P</w:t>
      </w:r>
      <w:r w:rsidR="00ED3D28">
        <w:t>D</w:t>
      </w:r>
      <w:r w:rsidR="00305EB7">
        <w:t>C</w:t>
      </w:r>
      <w:r w:rsidR="00212BC5">
        <w:t xml:space="preserve">) </w:t>
      </w:r>
      <w:r w:rsidR="00083849">
        <w:t xml:space="preserve">would be cost effective </w:t>
      </w:r>
      <w:r w:rsidR="008A2D24">
        <w:t xml:space="preserve">with a </w:t>
      </w:r>
      <w:r w:rsidR="004B4BEC">
        <w:t xml:space="preserve">drug </w:t>
      </w:r>
      <w:r w:rsidR="008A2D24">
        <w:t xml:space="preserve">cost </w:t>
      </w:r>
      <w:r w:rsidR="00AC5530">
        <w:t xml:space="preserve">for a 3 weekly treatment cycle </w:t>
      </w:r>
      <w:r w:rsidR="00083849">
        <w:t xml:space="preserve">no higher than the </w:t>
      </w:r>
      <w:r w:rsidR="00815D20">
        <w:t>cost of atezolizumab plus bevacizumab</w:t>
      </w:r>
      <w:r w:rsidR="003B5278">
        <w:t xml:space="preserve"> </w:t>
      </w:r>
      <w:r w:rsidR="00212BC5">
        <w:t xml:space="preserve">(in combination with </w:t>
      </w:r>
      <w:r w:rsidR="000816A6">
        <w:t>carboplatin and paclitaxel</w:t>
      </w:r>
      <w:r w:rsidR="00212BC5">
        <w:t>)</w:t>
      </w:r>
      <w:r w:rsidR="003B5278">
        <w:t>.</w:t>
      </w:r>
      <w:r w:rsidR="002E04EE">
        <w:t xml:space="preserve"> </w:t>
      </w:r>
      <w:r w:rsidR="00C97BFC">
        <w:t xml:space="preserve">The PBAC considered it would be appropriate for the </w:t>
      </w:r>
      <w:r w:rsidR="009A080B">
        <w:t>3 weekly cycle cost to be calculated based on</w:t>
      </w:r>
      <w:r w:rsidR="00E13238">
        <w:t xml:space="preserve"> </w:t>
      </w:r>
      <w:bookmarkEnd w:id="112"/>
      <w:r w:rsidR="007B02C3">
        <w:t xml:space="preserve">ex-manufacturer prices (including the effective price of atezolizumab) and an </w:t>
      </w:r>
      <w:r w:rsidR="007B02C3" w:rsidRPr="004F3D49">
        <w:t>average of 5.6</w:t>
      </w:r>
      <w:r w:rsidR="00333ABF" w:rsidRPr="004F3D49">
        <w:t>7</w:t>
      </w:r>
      <w:r w:rsidR="007B02C3" w:rsidRPr="004F3D49">
        <w:t xml:space="preserve"> vials of </w:t>
      </w:r>
      <w:proofErr w:type="spellStart"/>
      <w:r w:rsidR="007B02C3" w:rsidRPr="004F3D49">
        <w:t>amivantamab</w:t>
      </w:r>
      <w:proofErr w:type="spellEnd"/>
      <w:r w:rsidR="007B02C3" w:rsidRPr="004F3D49">
        <w:t xml:space="preserve"> </w:t>
      </w:r>
      <w:r w:rsidR="00C327D2" w:rsidRPr="004F3D49">
        <w:t>(see</w:t>
      </w:r>
      <w:r w:rsidR="00477BE5" w:rsidRPr="004F3D49">
        <w:t xml:space="preserve"> </w:t>
      </w:r>
      <w:r w:rsidR="00477BE5" w:rsidRPr="004F3D49">
        <w:fldChar w:fldCharType="begin"/>
      </w:r>
      <w:r w:rsidR="00477BE5" w:rsidRPr="004F3D49">
        <w:instrText xml:space="preserve"> REF _Ref225952296 \h </w:instrText>
      </w:r>
      <w:r w:rsidR="00712E9B" w:rsidRPr="004F3D49">
        <w:instrText xml:space="preserve"> \* MERGEFORMAT </w:instrText>
      </w:r>
      <w:r w:rsidR="00477BE5" w:rsidRPr="004F3D49">
        <w:fldChar w:fldCharType="separate"/>
      </w:r>
      <w:r w:rsidR="00A572FC" w:rsidRPr="004F3D49">
        <w:t xml:space="preserve">Table </w:t>
      </w:r>
      <w:r w:rsidR="00A572FC" w:rsidRPr="004F3D49">
        <w:rPr>
          <w:noProof/>
        </w:rPr>
        <w:t>15</w:t>
      </w:r>
      <w:r w:rsidR="00477BE5" w:rsidRPr="004F3D49">
        <w:fldChar w:fldCharType="end"/>
      </w:r>
      <w:r w:rsidR="00477BE5" w:rsidRPr="004F3D49">
        <w:t>).</w:t>
      </w:r>
      <w:r w:rsidR="002E04EE">
        <w:t xml:space="preserve"> </w:t>
      </w:r>
    </w:p>
    <w:p w14:paraId="0ED56B17" w14:textId="667DB0F0" w:rsidR="004F7E73" w:rsidRPr="00723843" w:rsidRDefault="008F6B35" w:rsidP="00723843">
      <w:pPr>
        <w:pStyle w:val="3-BodyText"/>
        <w:tabs>
          <w:tab w:val="left" w:pos="5670"/>
        </w:tabs>
        <w:rPr>
          <w:rFonts w:eastAsiaTheme="majorEastAsia" w:cstheme="majorBidi"/>
        </w:rPr>
      </w:pPr>
      <w:r w:rsidRPr="6631623C">
        <w:rPr>
          <w:rFonts w:eastAsiaTheme="majorEastAsia" w:cstheme="majorBidi"/>
        </w:rPr>
        <w:t>T</w:t>
      </w:r>
      <w:r w:rsidR="00DF7AEF" w:rsidRPr="6631623C">
        <w:rPr>
          <w:rFonts w:eastAsiaTheme="majorEastAsia" w:cstheme="majorBidi"/>
        </w:rPr>
        <w:t xml:space="preserve">he PBAC </w:t>
      </w:r>
      <w:r w:rsidR="005A6E0B" w:rsidRPr="6631623C">
        <w:rPr>
          <w:rFonts w:eastAsiaTheme="majorEastAsia" w:cstheme="majorBidi"/>
        </w:rPr>
        <w:t xml:space="preserve">considered </w:t>
      </w:r>
      <w:r w:rsidR="00DF7AEF" w:rsidRPr="6631623C">
        <w:rPr>
          <w:rFonts w:eastAsiaTheme="majorEastAsia" w:cstheme="majorBidi"/>
        </w:rPr>
        <w:t xml:space="preserve">the </w:t>
      </w:r>
      <w:r w:rsidR="0048798F" w:rsidRPr="6631623C">
        <w:rPr>
          <w:rFonts w:eastAsiaTheme="majorEastAsia" w:cstheme="majorBidi"/>
        </w:rPr>
        <w:t>estimated number of eligible patients</w:t>
      </w:r>
      <w:r w:rsidRPr="6631623C">
        <w:rPr>
          <w:rFonts w:eastAsiaTheme="majorEastAsia" w:cstheme="majorBidi"/>
        </w:rPr>
        <w:t xml:space="preserve"> in the submission</w:t>
      </w:r>
      <w:r w:rsidR="0048798F" w:rsidRPr="6631623C">
        <w:rPr>
          <w:rFonts w:eastAsiaTheme="majorEastAsia" w:cstheme="majorBidi"/>
        </w:rPr>
        <w:t xml:space="preserve"> was </w:t>
      </w:r>
      <w:r w:rsidR="0FD8FE54" w:rsidRPr="6631623C">
        <w:rPr>
          <w:rFonts w:eastAsiaTheme="majorEastAsia" w:cstheme="majorBidi"/>
        </w:rPr>
        <w:t>reasonable,</w:t>
      </w:r>
      <w:r w:rsidR="0048798F" w:rsidRPr="6631623C">
        <w:rPr>
          <w:rFonts w:eastAsiaTheme="majorEastAsia" w:cstheme="majorBidi"/>
        </w:rPr>
        <w:t xml:space="preserve"> but </w:t>
      </w:r>
      <w:r w:rsidR="00DF7AEF" w:rsidRPr="6631623C">
        <w:rPr>
          <w:rFonts w:eastAsiaTheme="majorEastAsia" w:cstheme="majorBidi"/>
        </w:rPr>
        <w:t>uptake rate</w:t>
      </w:r>
      <w:r w:rsidR="0040577C" w:rsidRPr="6631623C">
        <w:rPr>
          <w:rFonts w:eastAsiaTheme="majorEastAsia" w:cstheme="majorBidi"/>
        </w:rPr>
        <w:t>s</w:t>
      </w:r>
      <w:r w:rsidR="00DF7AEF" w:rsidRPr="6631623C">
        <w:rPr>
          <w:rFonts w:eastAsiaTheme="majorEastAsia" w:cstheme="majorBidi"/>
        </w:rPr>
        <w:t xml:space="preserve"> assumed </w:t>
      </w:r>
      <w:r w:rsidR="005D2ABA" w:rsidRPr="6631623C">
        <w:rPr>
          <w:rFonts w:eastAsiaTheme="majorEastAsia" w:cstheme="majorBidi"/>
        </w:rPr>
        <w:t>for the prevalent and incident population</w:t>
      </w:r>
      <w:r w:rsidR="00DD0B57" w:rsidRPr="6631623C">
        <w:rPr>
          <w:rFonts w:eastAsiaTheme="majorEastAsia" w:cstheme="majorBidi"/>
        </w:rPr>
        <w:t>s</w:t>
      </w:r>
      <w:r w:rsidR="005D2ABA" w:rsidRPr="6631623C">
        <w:rPr>
          <w:rFonts w:eastAsiaTheme="majorEastAsia" w:cstheme="majorBidi"/>
        </w:rPr>
        <w:t xml:space="preserve"> were substantially </w:t>
      </w:r>
      <w:r w:rsidR="00BB4E1A" w:rsidRPr="6631623C">
        <w:rPr>
          <w:rFonts w:eastAsiaTheme="majorEastAsia" w:cstheme="majorBidi"/>
        </w:rPr>
        <w:t>overestimated</w:t>
      </w:r>
      <w:r w:rsidR="00540B93" w:rsidRPr="6631623C">
        <w:rPr>
          <w:rFonts w:eastAsiaTheme="majorEastAsia" w:cstheme="majorBidi"/>
        </w:rPr>
        <w:t>. The PBAC considered tha</w:t>
      </w:r>
      <w:r w:rsidR="003E09AC" w:rsidRPr="6631623C">
        <w:rPr>
          <w:rFonts w:eastAsiaTheme="majorEastAsia" w:cstheme="majorBidi"/>
        </w:rPr>
        <w:t>t</w:t>
      </w:r>
      <w:r w:rsidR="00E85706" w:rsidRPr="6631623C">
        <w:rPr>
          <w:rFonts w:eastAsiaTheme="majorEastAsia" w:cstheme="majorBidi"/>
        </w:rPr>
        <w:t xml:space="preserve"> </w:t>
      </w:r>
      <w:r w:rsidR="003E09AC" w:rsidRPr="6631623C">
        <w:rPr>
          <w:rFonts w:eastAsiaTheme="majorEastAsia" w:cstheme="majorBidi"/>
        </w:rPr>
        <w:t>given the moderate clinical benefit</w:t>
      </w:r>
      <w:r w:rsidR="00BB7F15">
        <w:rPr>
          <w:rFonts w:eastAsiaTheme="majorEastAsia" w:cstheme="majorBidi"/>
        </w:rPr>
        <w:t xml:space="preserve"> and high toxicity</w:t>
      </w:r>
      <w:r w:rsidR="003E09AC" w:rsidRPr="6631623C">
        <w:rPr>
          <w:rFonts w:eastAsiaTheme="majorEastAsia" w:cstheme="majorBidi"/>
        </w:rPr>
        <w:t xml:space="preserve"> of AmiCP</w:t>
      </w:r>
      <w:r w:rsidR="00BB7F15">
        <w:rPr>
          <w:rFonts w:eastAsiaTheme="majorEastAsia" w:cstheme="majorBidi"/>
        </w:rPr>
        <w:t>,</w:t>
      </w:r>
      <w:r w:rsidR="00F804D4" w:rsidRPr="6631623C">
        <w:rPr>
          <w:rFonts w:eastAsiaTheme="majorEastAsia" w:cstheme="majorBidi"/>
        </w:rPr>
        <w:t xml:space="preserve"> uptake will </w:t>
      </w:r>
      <w:r w:rsidR="00836114" w:rsidRPr="6631623C">
        <w:rPr>
          <w:rFonts w:eastAsiaTheme="majorEastAsia" w:cstheme="majorBidi"/>
        </w:rPr>
        <w:t xml:space="preserve">be </w:t>
      </w:r>
      <w:r w:rsidR="00F804D4" w:rsidRPr="6631623C">
        <w:rPr>
          <w:rFonts w:eastAsiaTheme="majorEastAsia" w:cstheme="majorBidi"/>
        </w:rPr>
        <w:t xml:space="preserve">limited to a small population of </w:t>
      </w:r>
      <w:r w:rsidR="00B746F0" w:rsidRPr="6631623C">
        <w:rPr>
          <w:rFonts w:eastAsiaTheme="majorEastAsia" w:cstheme="majorBidi"/>
        </w:rPr>
        <w:t xml:space="preserve">selected </w:t>
      </w:r>
      <w:r w:rsidR="00F804D4" w:rsidRPr="6631623C">
        <w:rPr>
          <w:rFonts w:eastAsiaTheme="majorEastAsia" w:cstheme="majorBidi"/>
        </w:rPr>
        <w:t xml:space="preserve">patients </w:t>
      </w:r>
      <w:r w:rsidRPr="6631623C">
        <w:rPr>
          <w:rFonts w:eastAsiaTheme="majorEastAsia" w:cstheme="majorBidi"/>
        </w:rPr>
        <w:t xml:space="preserve">with a high disease burden </w:t>
      </w:r>
      <w:r w:rsidR="00F804D4" w:rsidRPr="6631623C">
        <w:rPr>
          <w:rFonts w:eastAsiaTheme="majorEastAsia" w:cstheme="majorBidi"/>
        </w:rPr>
        <w:t xml:space="preserve">able to tolerate </w:t>
      </w:r>
      <w:r w:rsidR="00B746F0" w:rsidRPr="6631623C">
        <w:rPr>
          <w:rFonts w:eastAsiaTheme="majorEastAsia" w:cstheme="majorBidi"/>
        </w:rPr>
        <w:t>the increased risk of adverse events.</w:t>
      </w:r>
      <w:r w:rsidR="002E04EE">
        <w:rPr>
          <w:rFonts w:eastAsiaTheme="majorEastAsia" w:cstheme="majorBidi"/>
        </w:rPr>
        <w:t xml:space="preserve"> </w:t>
      </w:r>
      <w:r w:rsidR="00836114" w:rsidRPr="6631623C">
        <w:rPr>
          <w:rFonts w:eastAsiaTheme="majorEastAsia" w:cstheme="majorBidi"/>
        </w:rPr>
        <w:t xml:space="preserve">The PBAC advised uptake rates should be reduced by </w:t>
      </w:r>
      <w:r w:rsidR="00836114" w:rsidRPr="00CF3C6A">
        <w:rPr>
          <w:rFonts w:eastAsiaTheme="majorEastAsia" w:cstheme="majorBidi"/>
        </w:rPr>
        <w:t>50%</w:t>
      </w:r>
      <w:r w:rsidR="00F77D60" w:rsidRPr="6631623C">
        <w:rPr>
          <w:rFonts w:eastAsiaTheme="majorEastAsia" w:cstheme="majorBidi"/>
        </w:rPr>
        <w:t xml:space="preserve"> and the financial estimates would need to </w:t>
      </w:r>
      <w:r w:rsidR="00E85706" w:rsidRPr="6631623C">
        <w:rPr>
          <w:rFonts w:eastAsiaTheme="majorEastAsia" w:cstheme="majorBidi"/>
        </w:rPr>
        <w:t xml:space="preserve">be </w:t>
      </w:r>
      <w:r w:rsidR="00F77D60" w:rsidRPr="6631623C">
        <w:rPr>
          <w:rFonts w:eastAsiaTheme="majorEastAsia" w:cstheme="majorBidi"/>
        </w:rPr>
        <w:t>updated to include the revised price of amivantamab as outlined</w:t>
      </w:r>
      <w:r w:rsidR="00836114" w:rsidRPr="6631623C">
        <w:rPr>
          <w:rFonts w:eastAsiaTheme="majorEastAsia" w:cstheme="majorBidi"/>
        </w:rPr>
        <w:t xml:space="preserve"> </w:t>
      </w:r>
      <w:r w:rsidR="00F77D60" w:rsidRPr="6631623C">
        <w:rPr>
          <w:rFonts w:eastAsiaTheme="majorEastAsia" w:cstheme="majorBidi"/>
        </w:rPr>
        <w:t xml:space="preserve">in paragraph </w:t>
      </w:r>
      <w:r w:rsidR="00F77D60" w:rsidRPr="6631623C">
        <w:rPr>
          <w:rFonts w:eastAsiaTheme="majorEastAsia" w:cstheme="majorBidi"/>
        </w:rPr>
        <w:fldChar w:fldCharType="begin"/>
      </w:r>
      <w:r w:rsidR="00F77D60" w:rsidRPr="6631623C">
        <w:rPr>
          <w:rFonts w:eastAsiaTheme="majorEastAsia" w:cstheme="majorBidi"/>
        </w:rPr>
        <w:instrText xml:space="preserve"> REF _Ref225763309 \r \h </w:instrText>
      </w:r>
      <w:r w:rsidR="00F77D60" w:rsidRPr="6631623C">
        <w:rPr>
          <w:rFonts w:eastAsiaTheme="majorEastAsia" w:cstheme="majorBidi"/>
        </w:rPr>
      </w:r>
      <w:r w:rsidR="00F77D60" w:rsidRPr="6631623C">
        <w:rPr>
          <w:rFonts w:eastAsiaTheme="majorEastAsia" w:cstheme="majorBidi"/>
        </w:rPr>
        <w:fldChar w:fldCharType="separate"/>
      </w:r>
      <w:r w:rsidR="00A572FC">
        <w:rPr>
          <w:rFonts w:eastAsiaTheme="majorEastAsia" w:cstheme="majorBidi"/>
        </w:rPr>
        <w:t>7.10</w:t>
      </w:r>
      <w:r w:rsidR="00F77D60" w:rsidRPr="6631623C">
        <w:rPr>
          <w:rFonts w:eastAsiaTheme="majorEastAsia" w:cstheme="majorBidi"/>
        </w:rPr>
        <w:fldChar w:fldCharType="end"/>
      </w:r>
      <w:r w:rsidR="00F77D60" w:rsidRPr="6631623C">
        <w:rPr>
          <w:rFonts w:eastAsiaTheme="majorEastAsia" w:cstheme="majorBidi"/>
        </w:rPr>
        <w:t xml:space="preserve">. </w:t>
      </w:r>
      <w:r w:rsidR="00772362">
        <w:rPr>
          <w:rFonts w:eastAsiaTheme="majorEastAsia" w:cstheme="majorBidi"/>
        </w:rPr>
        <w:t xml:space="preserve">The PBAC considered </w:t>
      </w:r>
      <w:proofErr w:type="gramStart"/>
      <w:r w:rsidR="00772362">
        <w:rPr>
          <w:rFonts w:eastAsiaTheme="majorEastAsia" w:cstheme="majorBidi"/>
        </w:rPr>
        <w:t>a majority of</w:t>
      </w:r>
      <w:proofErr w:type="gramEnd"/>
      <w:r w:rsidR="00772362">
        <w:rPr>
          <w:rFonts w:eastAsiaTheme="majorEastAsia" w:cstheme="majorBidi"/>
        </w:rPr>
        <w:t xml:space="preserve"> use of AmiCP would be offset by ABCP.</w:t>
      </w:r>
      <w:r w:rsidR="002E04EE">
        <w:rPr>
          <w:rFonts w:eastAsiaTheme="majorEastAsia" w:cstheme="majorBidi"/>
        </w:rPr>
        <w:t xml:space="preserve"> </w:t>
      </w:r>
    </w:p>
    <w:p w14:paraId="698EF1BE" w14:textId="2D4496B9" w:rsidR="00F76AF0" w:rsidRPr="00D121C5" w:rsidRDefault="00F76AF0" w:rsidP="00530866">
      <w:pPr>
        <w:pStyle w:val="3-BodyText"/>
        <w:ind w:left="709"/>
        <w:rPr>
          <w:b/>
          <w:lang w:val="en-GB"/>
        </w:rPr>
      </w:pPr>
      <w:r>
        <w:rPr>
          <w:lang w:val="en-GB"/>
        </w:rPr>
        <w:t xml:space="preserve">The </w:t>
      </w:r>
      <w:r w:rsidRPr="00D121C5">
        <w:rPr>
          <w:lang w:val="en-GB"/>
        </w:rPr>
        <w:t xml:space="preserve">PBAC found that the criteria prescribed by the </w:t>
      </w:r>
      <w:r w:rsidRPr="00D121C5">
        <w:rPr>
          <w:i/>
          <w:lang w:val="en-GB"/>
        </w:rPr>
        <w:t>National Health (Pharmaceuticals and Vaccines – Cost Recovery) Regulations 20</w:t>
      </w:r>
      <w:r>
        <w:rPr>
          <w:i/>
          <w:lang w:val="en-GB"/>
        </w:rPr>
        <w:t>22</w:t>
      </w:r>
      <w:r w:rsidRPr="00D121C5">
        <w:rPr>
          <w:lang w:val="en-GB"/>
        </w:rPr>
        <w:t xml:space="preserve"> for Pricing Pathway A were not met. </w:t>
      </w:r>
      <w:r w:rsidR="00C77431" w:rsidRPr="00D121C5">
        <w:rPr>
          <w:lang w:val="en-GB"/>
        </w:rPr>
        <w:lastRenderedPageBreak/>
        <w:t>Specifically,</w:t>
      </w:r>
      <w:r w:rsidRPr="00D121C5">
        <w:rPr>
          <w:lang w:val="en-GB"/>
        </w:rPr>
        <w:t xml:space="preserve"> the PBAC found that in the circumstances of its recommendation for </w:t>
      </w:r>
      <w:r>
        <w:rPr>
          <w:lang w:val="en-GB"/>
        </w:rPr>
        <w:t>amivantamab</w:t>
      </w:r>
      <w:r w:rsidRPr="00D121C5">
        <w:rPr>
          <w:lang w:val="en-GB"/>
        </w:rPr>
        <w:t>:</w:t>
      </w:r>
    </w:p>
    <w:p w14:paraId="2BDCE5DC" w14:textId="374D8B91" w:rsidR="00F76AF0" w:rsidRPr="00763DFB" w:rsidRDefault="00F76AF0" w:rsidP="00530866">
      <w:pPr>
        <w:numPr>
          <w:ilvl w:val="1"/>
          <w:numId w:val="21"/>
        </w:numPr>
        <w:spacing w:after="120"/>
        <w:rPr>
          <w:rFonts w:asciiTheme="minorHAnsi" w:hAnsiTheme="minorHAnsi" w:cstheme="minorHAnsi"/>
          <w:lang w:val="en-GB"/>
        </w:rPr>
      </w:pPr>
      <w:r w:rsidRPr="00763DFB">
        <w:rPr>
          <w:rFonts w:asciiTheme="minorHAnsi" w:hAnsiTheme="minorHAnsi" w:cstheme="minorHAnsi"/>
          <w:lang w:val="en-GB"/>
        </w:rPr>
        <w:t>The treatment is not expected to provide a substantial and clinically relevant improvement in efficacy, over alternative therapies</w:t>
      </w:r>
      <w:r>
        <w:rPr>
          <w:rFonts w:asciiTheme="minorHAnsi" w:hAnsiTheme="minorHAnsi" w:cstheme="minorHAnsi"/>
          <w:lang w:val="en-GB"/>
        </w:rPr>
        <w:t xml:space="preserve"> as the </w:t>
      </w:r>
      <w:r w:rsidR="00E85706">
        <w:rPr>
          <w:rFonts w:asciiTheme="minorHAnsi" w:hAnsiTheme="minorHAnsi" w:cstheme="minorHAnsi"/>
          <w:lang w:val="en-GB"/>
        </w:rPr>
        <w:t xml:space="preserve">clinical </w:t>
      </w:r>
      <w:r>
        <w:rPr>
          <w:rFonts w:asciiTheme="minorHAnsi" w:hAnsiTheme="minorHAnsi" w:cstheme="minorHAnsi"/>
          <w:lang w:val="en-GB"/>
        </w:rPr>
        <w:t xml:space="preserve">benefit is expected to be </w:t>
      </w:r>
      <w:r w:rsidR="00E85706">
        <w:rPr>
          <w:rFonts w:asciiTheme="minorHAnsi" w:hAnsiTheme="minorHAnsi" w:cstheme="minorHAnsi"/>
          <w:lang w:val="en-GB"/>
        </w:rPr>
        <w:t>modest</w:t>
      </w:r>
      <w:r w:rsidRPr="00763DFB">
        <w:rPr>
          <w:rFonts w:asciiTheme="minorHAnsi" w:hAnsiTheme="minorHAnsi" w:cstheme="minorHAnsi"/>
          <w:lang w:val="en-GB"/>
        </w:rPr>
        <w:t xml:space="preserve">; </w:t>
      </w:r>
    </w:p>
    <w:p w14:paraId="546AE89C" w14:textId="538726E9" w:rsidR="00F76AF0" w:rsidRPr="00763DFB" w:rsidRDefault="00F76AF0" w:rsidP="00530866">
      <w:pPr>
        <w:numPr>
          <w:ilvl w:val="1"/>
          <w:numId w:val="21"/>
        </w:numPr>
        <w:spacing w:after="120"/>
        <w:rPr>
          <w:rFonts w:asciiTheme="minorHAnsi" w:hAnsiTheme="minorHAnsi" w:cstheme="minorHAnsi"/>
          <w:lang w:val="en-GB"/>
        </w:rPr>
      </w:pPr>
      <w:r w:rsidRPr="00763DFB">
        <w:rPr>
          <w:rFonts w:asciiTheme="minorHAnsi" w:hAnsiTheme="minorHAnsi" w:cstheme="minorHAnsi"/>
          <w:lang w:val="en-GB"/>
        </w:rPr>
        <w:t xml:space="preserve">The treatment is not expected to address a high and urgent unmet clinical need </w:t>
      </w:r>
      <w:r>
        <w:rPr>
          <w:rFonts w:asciiTheme="minorHAnsi" w:hAnsiTheme="minorHAnsi" w:cstheme="minorHAnsi"/>
          <w:lang w:val="en-GB"/>
        </w:rPr>
        <w:t>as alternative treatments are available as standard care (</w:t>
      </w:r>
      <w:r w:rsidR="00CE0A18">
        <w:rPr>
          <w:rFonts w:asciiTheme="minorHAnsi" w:hAnsiTheme="minorHAnsi" w:cstheme="minorHAnsi"/>
          <w:lang w:val="en-GB"/>
        </w:rPr>
        <w:t>PDC</w:t>
      </w:r>
      <w:r w:rsidR="00327460">
        <w:rPr>
          <w:rFonts w:asciiTheme="minorHAnsi" w:hAnsiTheme="minorHAnsi" w:cstheme="minorHAnsi"/>
          <w:lang w:val="en-GB"/>
        </w:rPr>
        <w:t xml:space="preserve"> and ABCP</w:t>
      </w:r>
      <w:r>
        <w:rPr>
          <w:rFonts w:asciiTheme="minorHAnsi" w:hAnsiTheme="minorHAnsi" w:cstheme="minorHAnsi"/>
          <w:lang w:val="en-GB"/>
        </w:rPr>
        <w:t>)</w:t>
      </w:r>
      <w:r w:rsidRPr="00763DFB">
        <w:rPr>
          <w:rFonts w:asciiTheme="minorHAnsi" w:hAnsiTheme="minorHAnsi" w:cstheme="minorHAnsi"/>
          <w:lang w:val="en-GB"/>
        </w:rPr>
        <w:t>;</w:t>
      </w:r>
    </w:p>
    <w:p w14:paraId="246A91A6" w14:textId="2A2BB6C2" w:rsidR="00F76AF0" w:rsidRPr="00401742" w:rsidRDefault="00F76AF0" w:rsidP="00530866">
      <w:pPr>
        <w:numPr>
          <w:ilvl w:val="1"/>
          <w:numId w:val="21"/>
        </w:numPr>
        <w:spacing w:after="120"/>
        <w:rPr>
          <w:rFonts w:asciiTheme="minorHAnsi" w:hAnsiTheme="minorHAnsi"/>
          <w:bCs/>
          <w:snapToGrid w:val="0"/>
          <w:lang w:val="en-GB"/>
        </w:rPr>
      </w:pPr>
      <w:r w:rsidRPr="00763DFB">
        <w:rPr>
          <w:rFonts w:asciiTheme="minorHAnsi" w:hAnsiTheme="minorHAnsi" w:cstheme="minorHAnsi"/>
          <w:lang w:val="en-GB"/>
        </w:rPr>
        <w:t>It was not necessary to make a finding in relation to whether it would be in the public interest for the subsequent pricing application to be progressed under Pricing Pathway A because one or more of the preceding tests had failed</w:t>
      </w:r>
      <w:r w:rsidR="00912630">
        <w:rPr>
          <w:rFonts w:asciiTheme="minorHAnsi" w:hAnsiTheme="minorHAnsi" w:cstheme="minorHAnsi"/>
          <w:lang w:val="en-GB"/>
        </w:rPr>
        <w:t>.</w:t>
      </w:r>
    </w:p>
    <w:p w14:paraId="27625324" w14:textId="77777777" w:rsidR="00F76AF0" w:rsidRPr="007D4707" w:rsidRDefault="00F76AF0" w:rsidP="00530866">
      <w:pPr>
        <w:pStyle w:val="3-BodyText"/>
        <w:ind w:left="709"/>
        <w:rPr>
          <w:snapToGrid w:val="0"/>
          <w:lang w:val="en-GB"/>
        </w:rPr>
      </w:pPr>
      <w:r w:rsidRPr="00525B39">
        <w:rPr>
          <w:snapToGrid w:val="0"/>
          <w:lang w:val="en-GB"/>
        </w:rPr>
        <w:t>The PBAC noted that this submission is not eligible for an Independent Review</w:t>
      </w:r>
      <w:r>
        <w:rPr>
          <w:snapToGrid w:val="0"/>
          <w:lang w:val="en-GB"/>
        </w:rPr>
        <w:t xml:space="preserve"> as it is a positive recommendation</w:t>
      </w:r>
      <w:r w:rsidRPr="00525B39">
        <w:rPr>
          <w:snapToGrid w:val="0"/>
          <w:lang w:val="en-GB"/>
        </w:rPr>
        <w:t xml:space="preserve">. </w:t>
      </w:r>
    </w:p>
    <w:p w14:paraId="3F2228DE" w14:textId="77777777" w:rsidR="003C6FC2" w:rsidRDefault="003C6FC2" w:rsidP="00530866">
      <w:pPr>
        <w:pStyle w:val="3-BodyText"/>
        <w:numPr>
          <w:ilvl w:val="0"/>
          <w:numId w:val="0"/>
        </w:numPr>
        <w:ind w:left="720"/>
        <w:rPr>
          <w:snapToGrid w:val="0"/>
          <w:lang w:val="en-GB"/>
        </w:rPr>
      </w:pPr>
    </w:p>
    <w:p w14:paraId="714CA202" w14:textId="51A5BB08" w:rsidR="003C6FC2" w:rsidRPr="00EA0FC0" w:rsidRDefault="003C6FC2" w:rsidP="00530866">
      <w:pPr>
        <w:rPr>
          <w:rFonts w:eastAsiaTheme="majorEastAsia"/>
          <w:b/>
          <w:bCs/>
        </w:rPr>
      </w:pPr>
      <w:r w:rsidRPr="00EA0FC0">
        <w:rPr>
          <w:rFonts w:eastAsiaTheme="majorEastAsia"/>
          <w:b/>
          <w:bCs/>
        </w:rPr>
        <w:t>Outcome:</w:t>
      </w:r>
    </w:p>
    <w:p w14:paraId="03883045" w14:textId="447D5398" w:rsidR="003C6FC2" w:rsidRDefault="00EA0FC0" w:rsidP="00530866">
      <w:pPr>
        <w:rPr>
          <w:rFonts w:eastAsiaTheme="majorEastAsia"/>
        </w:rPr>
      </w:pPr>
      <w:r w:rsidRPr="00525B39">
        <w:rPr>
          <w:rFonts w:asciiTheme="minorHAnsi" w:hAnsiTheme="minorHAnsi"/>
          <w:bCs/>
          <w:snapToGrid w:val="0"/>
          <w:lang w:val="en-GB"/>
        </w:rPr>
        <w:t>Recommended</w:t>
      </w:r>
    </w:p>
    <w:p w14:paraId="7E889395" w14:textId="77777777" w:rsidR="003C6FC2" w:rsidRDefault="003C6FC2" w:rsidP="00530866">
      <w:pPr>
        <w:rPr>
          <w:rFonts w:eastAsiaTheme="majorEastAsia"/>
        </w:rPr>
      </w:pPr>
    </w:p>
    <w:p w14:paraId="192C236E" w14:textId="77777777" w:rsidR="007E7B80" w:rsidRDefault="007E7B80" w:rsidP="00530866">
      <w:pPr>
        <w:rPr>
          <w:rFonts w:eastAsiaTheme="majorEastAsia"/>
        </w:rPr>
      </w:pPr>
    </w:p>
    <w:p w14:paraId="42B12B85" w14:textId="21DF686E" w:rsidR="007E7B80" w:rsidRDefault="007E7B80">
      <w:pPr>
        <w:jc w:val="left"/>
        <w:rPr>
          <w:rFonts w:eastAsiaTheme="majorEastAsia"/>
        </w:rPr>
      </w:pPr>
      <w:r>
        <w:rPr>
          <w:rFonts w:eastAsiaTheme="majorEastAsia"/>
        </w:rPr>
        <w:br w:type="page"/>
      </w:r>
    </w:p>
    <w:p w14:paraId="2ED7A2E7" w14:textId="77777777" w:rsidR="00906495" w:rsidRPr="00907671" w:rsidRDefault="00906495" w:rsidP="00530866">
      <w:pPr>
        <w:pStyle w:val="2-SectionHeading"/>
      </w:pPr>
      <w:r w:rsidRPr="00907671">
        <w:lastRenderedPageBreak/>
        <w:t>Recommended listing</w:t>
      </w:r>
    </w:p>
    <w:p w14:paraId="2132A459" w14:textId="7BCF6B92" w:rsidR="00906495" w:rsidRPr="00813531" w:rsidRDefault="00906495" w:rsidP="00530866">
      <w:pPr>
        <w:pStyle w:val="3-BodyText"/>
        <w:rPr>
          <w:snapToGrid w:val="0"/>
        </w:rPr>
      </w:pPr>
      <w:r w:rsidRPr="00525B39">
        <w:rPr>
          <w:snapToGrid w:val="0"/>
        </w:rPr>
        <w:t>Add new item:</w:t>
      </w:r>
    </w:p>
    <w:p w14:paraId="3D051683" w14:textId="77777777" w:rsidR="00E4524D" w:rsidRDefault="00E4524D" w:rsidP="00530866">
      <w:pPr>
        <w:rPr>
          <w:b/>
          <w:bCs/>
        </w:rPr>
      </w:pPr>
      <w:r w:rsidRPr="002F3A22">
        <w:rPr>
          <w:b/>
          <w:bCs/>
        </w:rPr>
        <w:t>Initial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562"/>
        <w:gridCol w:w="709"/>
        <w:gridCol w:w="1823"/>
        <w:gridCol w:w="1973"/>
        <w:gridCol w:w="1973"/>
        <w:gridCol w:w="1977"/>
      </w:tblGrid>
      <w:tr w:rsidR="00E4524D" w:rsidRPr="001428E9" w14:paraId="46C75E25" w14:textId="77777777" w:rsidTr="007E7B80">
        <w:trPr>
          <w:cantSplit/>
          <w:trHeight w:val="20"/>
        </w:trPr>
        <w:tc>
          <w:tcPr>
            <w:tcW w:w="1716" w:type="pct"/>
            <w:gridSpan w:val="3"/>
            <w:vAlign w:val="center"/>
          </w:tcPr>
          <w:p w14:paraId="59A80251" w14:textId="77777777" w:rsidR="00E4524D" w:rsidRPr="001428E9" w:rsidRDefault="00E4524D" w:rsidP="00530866">
            <w:pPr>
              <w:keepNext/>
              <w:rPr>
                <w:rFonts w:ascii="Arial Narrow" w:hAnsi="Arial Narrow"/>
                <w:b/>
                <w:bCs/>
                <w:sz w:val="20"/>
                <w:szCs w:val="20"/>
              </w:rPr>
            </w:pPr>
            <w:r w:rsidRPr="001428E9">
              <w:rPr>
                <w:rFonts w:ascii="Arial Narrow" w:hAnsi="Arial Narrow"/>
                <w:b/>
                <w:bCs/>
                <w:sz w:val="20"/>
                <w:szCs w:val="20"/>
              </w:rPr>
              <w:t>MEDICINAL PRODUCT</w:t>
            </w:r>
          </w:p>
          <w:p w14:paraId="1D6DC308" w14:textId="77777777" w:rsidR="00E4524D" w:rsidRPr="001428E9" w:rsidRDefault="00E4524D" w:rsidP="00530866">
            <w:pPr>
              <w:keepNext/>
              <w:rPr>
                <w:rFonts w:ascii="Arial Narrow" w:hAnsi="Arial Narrow"/>
                <w:b/>
                <w:sz w:val="20"/>
                <w:szCs w:val="20"/>
              </w:rPr>
            </w:pPr>
            <w:r w:rsidRPr="001428E9">
              <w:rPr>
                <w:rFonts w:ascii="Arial Narrow" w:hAnsi="Arial Narrow"/>
                <w:b/>
                <w:sz w:val="20"/>
                <w:szCs w:val="20"/>
              </w:rPr>
              <w:t>Form</w:t>
            </w:r>
          </w:p>
        </w:tc>
        <w:tc>
          <w:tcPr>
            <w:tcW w:w="1094" w:type="pct"/>
            <w:vAlign w:val="center"/>
          </w:tcPr>
          <w:p w14:paraId="16DFC913" w14:textId="77777777" w:rsidR="00E4524D" w:rsidRPr="001428E9" w:rsidRDefault="00E4524D" w:rsidP="00530866">
            <w:pPr>
              <w:keepNext/>
              <w:jc w:val="center"/>
              <w:rPr>
                <w:rFonts w:ascii="Arial Narrow" w:hAnsi="Arial Narrow"/>
                <w:b/>
                <w:sz w:val="20"/>
                <w:szCs w:val="20"/>
              </w:rPr>
            </w:pPr>
            <w:r w:rsidRPr="001428E9">
              <w:rPr>
                <w:rFonts w:ascii="Arial Narrow" w:hAnsi="Arial Narrow"/>
                <w:b/>
                <w:sz w:val="20"/>
                <w:szCs w:val="20"/>
              </w:rPr>
              <w:t>PBS item code</w:t>
            </w:r>
          </w:p>
        </w:tc>
        <w:tc>
          <w:tcPr>
            <w:tcW w:w="1094" w:type="pct"/>
            <w:vAlign w:val="center"/>
          </w:tcPr>
          <w:p w14:paraId="2231961A" w14:textId="77777777" w:rsidR="00E4524D" w:rsidRPr="001428E9" w:rsidRDefault="00E4524D" w:rsidP="00530866">
            <w:pPr>
              <w:keepNext/>
              <w:jc w:val="center"/>
              <w:rPr>
                <w:rFonts w:ascii="Arial Narrow" w:hAnsi="Arial Narrow"/>
                <w:b/>
                <w:sz w:val="20"/>
                <w:szCs w:val="20"/>
              </w:rPr>
            </w:pPr>
            <w:r w:rsidRPr="001428E9">
              <w:rPr>
                <w:rFonts w:ascii="Arial Narrow" w:hAnsi="Arial Narrow"/>
                <w:b/>
                <w:sz w:val="20"/>
                <w:szCs w:val="20"/>
              </w:rPr>
              <w:t>Max.</w:t>
            </w:r>
            <w:r>
              <w:rPr>
                <w:rFonts w:ascii="Arial Narrow" w:hAnsi="Arial Narrow"/>
                <w:b/>
                <w:sz w:val="20"/>
                <w:szCs w:val="20"/>
              </w:rPr>
              <w:t xml:space="preserve"> </w:t>
            </w:r>
            <w:r w:rsidRPr="001428E9">
              <w:rPr>
                <w:rFonts w:ascii="Arial Narrow" w:hAnsi="Arial Narrow"/>
                <w:b/>
                <w:sz w:val="20"/>
                <w:szCs w:val="20"/>
              </w:rPr>
              <w:t>Amount</w:t>
            </w:r>
          </w:p>
        </w:tc>
        <w:tc>
          <w:tcPr>
            <w:tcW w:w="1096" w:type="pct"/>
            <w:vAlign w:val="center"/>
          </w:tcPr>
          <w:p w14:paraId="63581FC3" w14:textId="77777777" w:rsidR="00E4524D" w:rsidRPr="001428E9" w:rsidRDefault="00E4524D" w:rsidP="00530866">
            <w:pPr>
              <w:keepNext/>
              <w:jc w:val="center"/>
              <w:rPr>
                <w:rFonts w:ascii="Arial Narrow" w:hAnsi="Arial Narrow"/>
                <w:b/>
                <w:bCs/>
                <w:sz w:val="20"/>
                <w:szCs w:val="20"/>
              </w:rPr>
            </w:pPr>
            <w:r w:rsidRPr="79174808">
              <w:rPr>
                <w:rFonts w:ascii="Arial Narrow" w:hAnsi="Arial Narrow"/>
                <w:b/>
                <w:bCs/>
                <w:sz w:val="20"/>
                <w:szCs w:val="20"/>
              </w:rPr>
              <w:t>№.of Rpts</w:t>
            </w:r>
          </w:p>
        </w:tc>
      </w:tr>
      <w:tr w:rsidR="00E4524D" w:rsidRPr="001428E9" w14:paraId="0A7697B2" w14:textId="77777777" w:rsidTr="007E7B80">
        <w:trPr>
          <w:cantSplit/>
          <w:trHeight w:val="20"/>
        </w:trPr>
        <w:tc>
          <w:tcPr>
            <w:tcW w:w="1716" w:type="pct"/>
            <w:gridSpan w:val="3"/>
            <w:vAlign w:val="center"/>
          </w:tcPr>
          <w:p w14:paraId="69739744" w14:textId="77777777" w:rsidR="00E4524D" w:rsidRDefault="00E4524D" w:rsidP="00530866">
            <w:pPr>
              <w:keepNext/>
              <w:rPr>
                <w:rFonts w:ascii="Arial Narrow" w:hAnsi="Arial Narrow"/>
                <w:sz w:val="20"/>
                <w:szCs w:val="20"/>
              </w:rPr>
            </w:pPr>
            <w:r>
              <w:rPr>
                <w:rFonts w:ascii="Arial Narrow" w:hAnsi="Arial Narrow"/>
                <w:sz w:val="20"/>
                <w:szCs w:val="20"/>
              </w:rPr>
              <w:t>AMIVANTAMAB</w:t>
            </w:r>
            <w:r w:rsidRPr="001428E9">
              <w:rPr>
                <w:rFonts w:ascii="Arial Narrow" w:hAnsi="Arial Narrow"/>
                <w:sz w:val="20"/>
                <w:szCs w:val="20"/>
              </w:rPr>
              <w:t xml:space="preserve"> </w:t>
            </w:r>
          </w:p>
          <w:p w14:paraId="127F0624" w14:textId="77777777" w:rsidR="00E4524D" w:rsidRPr="001428E9" w:rsidRDefault="00E4524D" w:rsidP="00530866">
            <w:pPr>
              <w:keepNext/>
              <w:rPr>
                <w:rFonts w:ascii="Arial Narrow" w:hAnsi="Arial Narrow"/>
                <w:sz w:val="20"/>
                <w:szCs w:val="20"/>
              </w:rPr>
            </w:pPr>
            <w:r>
              <w:rPr>
                <w:rFonts w:ascii="Arial Narrow" w:hAnsi="Arial Narrow"/>
                <w:sz w:val="20"/>
                <w:szCs w:val="20"/>
              </w:rPr>
              <w:t>Solution concentrate for I.V. infusion, 350 mg in 7 mL</w:t>
            </w:r>
          </w:p>
        </w:tc>
        <w:tc>
          <w:tcPr>
            <w:tcW w:w="1094" w:type="pct"/>
            <w:vAlign w:val="center"/>
          </w:tcPr>
          <w:p w14:paraId="2E1B3EEA" w14:textId="77777777" w:rsidR="00E4524D" w:rsidRPr="001428E9" w:rsidRDefault="00E4524D" w:rsidP="00530866">
            <w:pPr>
              <w:keepNext/>
              <w:jc w:val="center"/>
              <w:rPr>
                <w:rFonts w:ascii="Arial Narrow" w:hAnsi="Arial Narrow"/>
                <w:sz w:val="20"/>
                <w:szCs w:val="20"/>
              </w:rPr>
            </w:pPr>
            <w:r w:rsidRPr="001428E9">
              <w:rPr>
                <w:rFonts w:ascii="Arial Narrow" w:hAnsi="Arial Narrow"/>
                <w:sz w:val="20"/>
                <w:szCs w:val="20"/>
              </w:rPr>
              <w:t>{NEW (Public)}</w:t>
            </w:r>
            <w:r>
              <w:rPr>
                <w:rFonts w:ascii="Arial Narrow" w:hAnsi="Arial Narrow"/>
                <w:sz w:val="20"/>
                <w:szCs w:val="20"/>
              </w:rPr>
              <w:br/>
            </w:r>
            <w:r w:rsidRPr="001428E9">
              <w:rPr>
                <w:rFonts w:ascii="Arial Narrow" w:hAnsi="Arial Narrow"/>
                <w:sz w:val="20"/>
                <w:szCs w:val="20"/>
              </w:rPr>
              <w:t>{NEW (Private)}</w:t>
            </w:r>
          </w:p>
        </w:tc>
        <w:tc>
          <w:tcPr>
            <w:tcW w:w="1094" w:type="pct"/>
            <w:vAlign w:val="center"/>
          </w:tcPr>
          <w:p w14:paraId="66495472" w14:textId="77777777" w:rsidR="00E4524D" w:rsidRPr="001428E9" w:rsidRDefault="00E4524D" w:rsidP="00530866">
            <w:pPr>
              <w:keepNext/>
              <w:jc w:val="center"/>
              <w:rPr>
                <w:rFonts w:ascii="Arial Narrow" w:hAnsi="Arial Narrow"/>
                <w:sz w:val="20"/>
                <w:szCs w:val="20"/>
              </w:rPr>
            </w:pPr>
            <w:r>
              <w:rPr>
                <w:rFonts w:ascii="Arial Narrow" w:hAnsi="Arial Narrow"/>
                <w:sz w:val="20"/>
                <w:szCs w:val="20"/>
              </w:rPr>
              <w:t>2100 mg</w:t>
            </w:r>
          </w:p>
        </w:tc>
        <w:tc>
          <w:tcPr>
            <w:tcW w:w="1096" w:type="pct"/>
            <w:vAlign w:val="center"/>
          </w:tcPr>
          <w:p w14:paraId="26399785" w14:textId="77777777" w:rsidR="00E4524D" w:rsidRPr="001428E9" w:rsidRDefault="00E4524D" w:rsidP="00530866">
            <w:pPr>
              <w:keepNext/>
              <w:jc w:val="center"/>
              <w:rPr>
                <w:rFonts w:ascii="Arial Narrow" w:hAnsi="Arial Narrow"/>
                <w:sz w:val="20"/>
                <w:szCs w:val="20"/>
              </w:rPr>
            </w:pPr>
            <w:r>
              <w:rPr>
                <w:rFonts w:ascii="Arial Narrow" w:hAnsi="Arial Narrow"/>
                <w:sz w:val="20"/>
                <w:szCs w:val="20"/>
              </w:rPr>
              <w:t xml:space="preserve"> 5</w:t>
            </w:r>
          </w:p>
        </w:tc>
      </w:tr>
      <w:tr w:rsidR="00E4524D" w:rsidRPr="001428E9" w14:paraId="3E31E602" w14:textId="77777777" w:rsidTr="007E7B80">
        <w:trPr>
          <w:cantSplit/>
          <w:trHeight w:val="20"/>
        </w:trPr>
        <w:tc>
          <w:tcPr>
            <w:tcW w:w="5000" w:type="pct"/>
            <w:gridSpan w:val="6"/>
            <w:vAlign w:val="center"/>
          </w:tcPr>
          <w:p w14:paraId="02A63AFE" w14:textId="77777777" w:rsidR="00E4524D" w:rsidRPr="001428E9" w:rsidRDefault="00E4524D" w:rsidP="00530866">
            <w:pPr>
              <w:keepNext/>
              <w:rPr>
                <w:rFonts w:ascii="Arial Narrow" w:hAnsi="Arial Narrow"/>
                <w:b/>
                <w:sz w:val="20"/>
                <w:szCs w:val="20"/>
              </w:rPr>
            </w:pPr>
            <w:r w:rsidRPr="001428E9">
              <w:rPr>
                <w:rFonts w:ascii="Arial Narrow" w:hAnsi="Arial Narrow"/>
                <w:b/>
                <w:sz w:val="20"/>
                <w:szCs w:val="20"/>
              </w:rPr>
              <w:t xml:space="preserve">Available brands </w:t>
            </w:r>
          </w:p>
        </w:tc>
      </w:tr>
      <w:tr w:rsidR="00E4524D" w:rsidRPr="001428E9" w14:paraId="7886DCA5" w14:textId="77777777" w:rsidTr="007E7B80">
        <w:trPr>
          <w:cantSplit/>
          <w:trHeight w:val="20"/>
        </w:trPr>
        <w:tc>
          <w:tcPr>
            <w:tcW w:w="5000" w:type="pct"/>
            <w:gridSpan w:val="6"/>
            <w:vAlign w:val="center"/>
          </w:tcPr>
          <w:p w14:paraId="1B51BC5D" w14:textId="77777777" w:rsidR="00E4524D" w:rsidRDefault="00E4524D" w:rsidP="00530866">
            <w:pPr>
              <w:keepNext/>
              <w:rPr>
                <w:rFonts w:ascii="Arial Narrow" w:hAnsi="Arial Narrow"/>
                <w:sz w:val="20"/>
                <w:szCs w:val="20"/>
              </w:rPr>
            </w:pPr>
            <w:r w:rsidRPr="79174808">
              <w:rPr>
                <w:rFonts w:ascii="Arial Narrow" w:hAnsi="Arial Narrow"/>
                <w:sz w:val="20"/>
                <w:szCs w:val="20"/>
              </w:rPr>
              <w:t>Rybrevant</w:t>
            </w:r>
          </w:p>
          <w:p w14:paraId="29B3F9E7" w14:textId="77777777" w:rsidR="00E4524D" w:rsidRPr="001428E9" w:rsidRDefault="00E4524D" w:rsidP="00530866">
            <w:pPr>
              <w:keepNext/>
              <w:rPr>
                <w:rFonts w:ascii="Arial Narrow" w:hAnsi="Arial Narrow"/>
                <w:sz w:val="20"/>
                <w:szCs w:val="20"/>
              </w:rPr>
            </w:pPr>
            <w:r>
              <w:rPr>
                <w:rFonts w:ascii="Arial Narrow" w:hAnsi="Arial Narrow"/>
                <w:sz w:val="20"/>
                <w:szCs w:val="20"/>
              </w:rPr>
              <w:t>amivantamab 350 mg/7 mL injection, 7 mL vial</w:t>
            </w:r>
          </w:p>
        </w:tc>
      </w:tr>
      <w:tr w:rsidR="00E4524D" w:rsidRPr="001428E9" w14:paraId="662ABCC6" w14:textId="77777777" w:rsidTr="007E7B80">
        <w:trPr>
          <w:cantSplit/>
          <w:trHeight w:val="20"/>
        </w:trPr>
        <w:tc>
          <w:tcPr>
            <w:tcW w:w="5000" w:type="pct"/>
            <w:gridSpan w:val="6"/>
            <w:vAlign w:val="center"/>
          </w:tcPr>
          <w:p w14:paraId="68CB9BF4" w14:textId="77777777" w:rsidR="00E4524D" w:rsidRPr="001428E9" w:rsidRDefault="00E4524D" w:rsidP="00530866">
            <w:pPr>
              <w:rPr>
                <w:rFonts w:ascii="Arial Narrow" w:hAnsi="Arial Narrow"/>
                <w:color w:val="FF0000"/>
                <w:sz w:val="20"/>
                <w:szCs w:val="20"/>
              </w:rPr>
            </w:pPr>
          </w:p>
        </w:tc>
      </w:tr>
      <w:tr w:rsidR="00E4524D" w:rsidRPr="001428E9" w14:paraId="562F30A3" w14:textId="77777777" w:rsidTr="007E7B80">
        <w:trPr>
          <w:cantSplit/>
          <w:trHeight w:val="20"/>
        </w:trPr>
        <w:tc>
          <w:tcPr>
            <w:tcW w:w="5000" w:type="pct"/>
            <w:gridSpan w:val="6"/>
            <w:vAlign w:val="center"/>
          </w:tcPr>
          <w:p w14:paraId="1098EFAB" w14:textId="5090E46F" w:rsidR="00E4524D" w:rsidRPr="001428E9" w:rsidRDefault="00E4524D" w:rsidP="00530866">
            <w:pPr>
              <w:keepNext/>
              <w:rPr>
                <w:rFonts w:ascii="Arial Narrow" w:hAnsi="Arial Narrow"/>
                <w:color w:val="FF0000"/>
                <w:sz w:val="20"/>
                <w:szCs w:val="20"/>
              </w:rPr>
            </w:pPr>
            <w:r w:rsidRPr="79174808">
              <w:rPr>
                <w:rFonts w:ascii="Arial Narrow" w:hAnsi="Arial Narrow"/>
                <w:b/>
                <w:bCs/>
                <w:sz w:val="20"/>
                <w:szCs w:val="20"/>
              </w:rPr>
              <w:t>Restriction Summary []</w:t>
            </w:r>
            <w:r w:rsidR="002E04EE">
              <w:rPr>
                <w:rFonts w:ascii="Arial Narrow" w:hAnsi="Arial Narrow"/>
                <w:b/>
                <w:bCs/>
                <w:sz w:val="20"/>
                <w:szCs w:val="20"/>
              </w:rPr>
              <w:t xml:space="preserve"> </w:t>
            </w:r>
            <w:r w:rsidRPr="79174808">
              <w:rPr>
                <w:rFonts w:ascii="Arial Narrow" w:hAnsi="Arial Narrow"/>
                <w:b/>
                <w:bCs/>
                <w:sz w:val="20"/>
                <w:szCs w:val="20"/>
              </w:rPr>
              <w:t xml:space="preserve">/ Treatment of Concept: [] </w:t>
            </w:r>
          </w:p>
        </w:tc>
      </w:tr>
      <w:tr w:rsidR="00E4524D" w:rsidRPr="001428E9" w14:paraId="114D7FD6" w14:textId="77777777" w:rsidTr="007E7B80">
        <w:tblPrEx>
          <w:tblCellMar>
            <w:top w:w="15" w:type="dxa"/>
            <w:bottom w:w="15" w:type="dxa"/>
          </w:tblCellMar>
          <w:tblLook w:val="04A0" w:firstRow="1" w:lastRow="0" w:firstColumn="1" w:lastColumn="0" w:noHBand="0" w:noVBand="1"/>
        </w:tblPrEx>
        <w:trPr>
          <w:cantSplit/>
          <w:trHeight w:val="20"/>
        </w:trPr>
        <w:tc>
          <w:tcPr>
            <w:tcW w:w="705" w:type="pct"/>
            <w:gridSpan w:val="2"/>
            <w:vMerge w:val="restart"/>
          </w:tcPr>
          <w:p w14:paraId="6B69BBEC" w14:textId="77777777" w:rsidR="00E4524D" w:rsidRPr="001428E9" w:rsidRDefault="00E4524D" w:rsidP="00530866">
            <w:pPr>
              <w:keepNext/>
              <w:jc w:val="center"/>
              <w:rPr>
                <w:rFonts w:ascii="Arial Narrow" w:hAnsi="Arial Narrow"/>
                <w:b/>
                <w:sz w:val="20"/>
                <w:szCs w:val="20"/>
              </w:rPr>
            </w:pPr>
            <w:r w:rsidRPr="001428E9">
              <w:rPr>
                <w:rFonts w:ascii="Arial Narrow" w:hAnsi="Arial Narrow"/>
                <w:b/>
                <w:sz w:val="20"/>
                <w:szCs w:val="20"/>
              </w:rPr>
              <w:t xml:space="preserve">Concept ID </w:t>
            </w:r>
            <w:r w:rsidRPr="001428E9">
              <w:rPr>
                <w:rFonts w:ascii="Arial Narrow" w:hAnsi="Arial Narrow"/>
                <w:sz w:val="20"/>
                <w:szCs w:val="20"/>
              </w:rPr>
              <w:t>(for internal Dept. use)</w:t>
            </w:r>
          </w:p>
        </w:tc>
        <w:tc>
          <w:tcPr>
            <w:tcW w:w="4295" w:type="pct"/>
            <w:gridSpan w:val="4"/>
          </w:tcPr>
          <w:p w14:paraId="525B3D5A" w14:textId="3B366EED" w:rsidR="00E4524D" w:rsidRPr="001428E9" w:rsidRDefault="00E4524D" w:rsidP="00530866">
            <w:pPr>
              <w:keepNext/>
              <w:rPr>
                <w:rFonts w:ascii="Arial Narrow" w:hAnsi="Arial Narrow"/>
                <w:sz w:val="20"/>
                <w:szCs w:val="20"/>
              </w:rPr>
            </w:pPr>
            <w:r w:rsidRPr="001428E9">
              <w:rPr>
                <w:rFonts w:ascii="Arial Narrow" w:hAnsi="Arial Narrow"/>
                <w:b/>
                <w:sz w:val="20"/>
                <w:szCs w:val="20"/>
              </w:rPr>
              <w:t xml:space="preserve">Category / Program: </w:t>
            </w:r>
            <w:r w:rsidRPr="001428E9">
              <w:rPr>
                <w:rFonts w:ascii="Arial Narrow" w:hAnsi="Arial Narrow"/>
                <w:sz w:val="20"/>
                <w:szCs w:val="20"/>
              </w:rPr>
              <w:t>Section 100 – Efficient Funding of Chemotherapy Public/Private hospitals</w:t>
            </w:r>
          </w:p>
        </w:tc>
      </w:tr>
      <w:tr w:rsidR="00E4524D" w:rsidRPr="001428E9" w14:paraId="4F700216" w14:textId="77777777" w:rsidTr="007E7B80">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652DFBEC" w14:textId="77777777" w:rsidR="00E4524D" w:rsidRPr="001428E9" w:rsidRDefault="00E4524D" w:rsidP="00530866">
            <w:pPr>
              <w:keepNext/>
              <w:rPr>
                <w:rFonts w:ascii="Arial Narrow" w:hAnsi="Arial Narrow"/>
                <w:sz w:val="20"/>
                <w:szCs w:val="20"/>
              </w:rPr>
            </w:pPr>
          </w:p>
        </w:tc>
        <w:tc>
          <w:tcPr>
            <w:tcW w:w="4295" w:type="pct"/>
            <w:gridSpan w:val="4"/>
          </w:tcPr>
          <w:p w14:paraId="30267C01" w14:textId="77777777" w:rsidR="00E4524D" w:rsidRPr="001428E9" w:rsidRDefault="00E4524D" w:rsidP="00530866">
            <w:pPr>
              <w:keepNext/>
              <w:rPr>
                <w:rFonts w:ascii="Arial Narrow" w:hAnsi="Arial Narrow"/>
                <w:b/>
                <w:sz w:val="20"/>
                <w:szCs w:val="20"/>
              </w:rPr>
            </w:pPr>
            <w:r w:rsidRPr="001428E9">
              <w:rPr>
                <w:rFonts w:ascii="Arial Narrow" w:hAnsi="Arial Narrow"/>
                <w:b/>
                <w:sz w:val="20"/>
                <w:szCs w:val="20"/>
              </w:rPr>
              <w:t>Prescriber type:</w:t>
            </w:r>
            <w:r>
              <w:rPr>
                <w:rFonts w:ascii="Arial Narrow" w:hAnsi="Arial Narrow"/>
                <w:b/>
                <w:sz w:val="20"/>
                <w:szCs w:val="20"/>
              </w:rPr>
              <w:t xml:space="preserve">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 xml:space="preserve">Medical Practitioners </w:t>
            </w:r>
          </w:p>
        </w:tc>
      </w:tr>
      <w:tr w:rsidR="00E4524D" w:rsidRPr="001428E9" w14:paraId="2E83CD3E" w14:textId="77777777" w:rsidTr="007E7B80">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170CEA06" w14:textId="77777777" w:rsidR="00E4524D" w:rsidRPr="001428E9" w:rsidRDefault="00E4524D" w:rsidP="00530866">
            <w:pPr>
              <w:rPr>
                <w:rFonts w:ascii="Arial Narrow" w:hAnsi="Arial Narrow"/>
                <w:sz w:val="20"/>
                <w:szCs w:val="20"/>
              </w:rPr>
            </w:pPr>
          </w:p>
        </w:tc>
        <w:tc>
          <w:tcPr>
            <w:tcW w:w="4295" w:type="pct"/>
            <w:gridSpan w:val="4"/>
          </w:tcPr>
          <w:p w14:paraId="657AAE76" w14:textId="77777777" w:rsidR="00E4524D" w:rsidRPr="001428E9" w:rsidRDefault="00E4524D" w:rsidP="00530866">
            <w:pPr>
              <w:rPr>
                <w:rFonts w:ascii="Arial Narrow" w:eastAsia="Calibri" w:hAnsi="Arial Narrow"/>
                <w:sz w:val="20"/>
                <w:szCs w:val="20"/>
              </w:rPr>
            </w:pPr>
            <w:r w:rsidRPr="001428E9">
              <w:rPr>
                <w:rFonts w:ascii="Arial Narrow" w:hAnsi="Arial Narrow"/>
                <w:b/>
                <w:sz w:val="20"/>
                <w:szCs w:val="20"/>
              </w:rPr>
              <w:t xml:space="preserve">Restriction type: </w:t>
            </w:r>
            <w:r>
              <w:rPr>
                <w:rFonts w:ascii="Arial Narrow" w:eastAsia="Calibri" w:hAnsi="Arial Narrow"/>
                <w:sz w:val="20"/>
                <w:szCs w:val="20"/>
              </w:rPr>
              <w:fldChar w:fldCharType="begin">
                <w:ffData>
                  <w:name w:val="Check3"/>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sidRPr="001428E9">
              <w:rPr>
                <w:rFonts w:ascii="Arial Narrow" w:eastAsia="Calibri" w:hAnsi="Arial Narrow"/>
                <w:sz w:val="20"/>
                <w:szCs w:val="20"/>
              </w:rPr>
              <w:t xml:space="preserve">Authority Required (telephone/online PBS Authorities system) </w:t>
            </w:r>
          </w:p>
        </w:tc>
      </w:tr>
      <w:tr w:rsidR="00E4524D" w:rsidRPr="001428E9" w14:paraId="4AA1090E" w14:textId="77777777" w:rsidTr="007E7B80">
        <w:tblPrEx>
          <w:tblCellMar>
            <w:top w:w="15" w:type="dxa"/>
            <w:bottom w:w="15" w:type="dxa"/>
          </w:tblCellMar>
          <w:tblLook w:val="04A0" w:firstRow="1" w:lastRow="0" w:firstColumn="1" w:lastColumn="0" w:noHBand="0" w:noVBand="1"/>
        </w:tblPrEx>
        <w:trPr>
          <w:trHeight w:val="20"/>
        </w:trPr>
        <w:tc>
          <w:tcPr>
            <w:tcW w:w="312" w:type="pct"/>
            <w:vMerge w:val="restart"/>
            <w:textDirection w:val="btLr"/>
            <w:vAlign w:val="center"/>
          </w:tcPr>
          <w:p w14:paraId="11659E57" w14:textId="77777777" w:rsidR="00E4524D" w:rsidRPr="001428E9" w:rsidRDefault="00E4524D" w:rsidP="00530866">
            <w:pPr>
              <w:keepLines/>
              <w:ind w:right="113"/>
              <w:jc w:val="center"/>
              <w:rPr>
                <w:rFonts w:ascii="Arial Narrow" w:hAnsi="Arial Narrow"/>
                <w:color w:val="333333"/>
                <w:sz w:val="20"/>
                <w:szCs w:val="20"/>
              </w:rPr>
            </w:pPr>
            <w:r w:rsidRPr="001428E9">
              <w:rPr>
                <w:rFonts w:ascii="Arial Narrow" w:hAnsi="Arial Narrow"/>
                <w:color w:val="333333"/>
                <w:sz w:val="20"/>
                <w:szCs w:val="20"/>
              </w:rPr>
              <w:t>Prescribing rule level</w:t>
            </w:r>
          </w:p>
        </w:tc>
        <w:tc>
          <w:tcPr>
            <w:tcW w:w="393" w:type="pct"/>
            <w:vAlign w:val="center"/>
          </w:tcPr>
          <w:p w14:paraId="027828C8" w14:textId="619846DF" w:rsidR="00E4524D" w:rsidRDefault="00E4524D" w:rsidP="00530866">
            <w:pPr>
              <w:keepLines/>
              <w:ind w:hanging="35"/>
              <w:jc w:val="center"/>
              <w:rPr>
                <w:rFonts w:ascii="Arial Narrow" w:hAnsi="Arial Narrow"/>
                <w:bCs/>
                <w:sz w:val="20"/>
                <w:szCs w:val="20"/>
              </w:rPr>
            </w:pPr>
          </w:p>
        </w:tc>
        <w:tc>
          <w:tcPr>
            <w:tcW w:w="4295" w:type="pct"/>
            <w:gridSpan w:val="4"/>
            <w:vAlign w:val="center"/>
          </w:tcPr>
          <w:p w14:paraId="56C12479" w14:textId="77777777" w:rsidR="00E4524D" w:rsidRPr="005E1FEF" w:rsidRDefault="00E4524D" w:rsidP="00530866">
            <w:pPr>
              <w:keepLines/>
              <w:rPr>
                <w:rFonts w:ascii="Arial Narrow" w:hAnsi="Arial Narrow"/>
                <w:b/>
                <w:bCs/>
                <w:sz w:val="20"/>
                <w:szCs w:val="20"/>
              </w:rPr>
            </w:pPr>
            <w:r>
              <w:rPr>
                <w:rFonts w:ascii="Arial Narrow" w:hAnsi="Arial Narrow"/>
                <w:b/>
                <w:bCs/>
                <w:sz w:val="20"/>
                <w:szCs w:val="20"/>
              </w:rPr>
              <w:t xml:space="preserve">Administrative Advice: </w:t>
            </w:r>
            <w:r w:rsidRPr="00E46C98">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r w:rsidR="00E4524D" w:rsidRPr="001428E9" w14:paraId="7AA5BF48" w14:textId="77777777" w:rsidTr="007E7B80">
        <w:tblPrEx>
          <w:tblCellMar>
            <w:top w:w="15" w:type="dxa"/>
            <w:bottom w:w="15" w:type="dxa"/>
          </w:tblCellMar>
          <w:tblLook w:val="04A0" w:firstRow="1" w:lastRow="0" w:firstColumn="1" w:lastColumn="0" w:noHBand="0" w:noVBand="1"/>
        </w:tblPrEx>
        <w:trPr>
          <w:trHeight w:val="20"/>
        </w:trPr>
        <w:tc>
          <w:tcPr>
            <w:tcW w:w="312" w:type="pct"/>
            <w:vMerge/>
            <w:textDirection w:val="btLr"/>
            <w:vAlign w:val="center"/>
          </w:tcPr>
          <w:p w14:paraId="1EE5396D" w14:textId="77777777" w:rsidR="00E4524D" w:rsidRPr="001428E9" w:rsidRDefault="00E4524D" w:rsidP="00530866">
            <w:pPr>
              <w:keepLines/>
              <w:ind w:right="113"/>
              <w:jc w:val="center"/>
              <w:rPr>
                <w:rFonts w:ascii="Arial Narrow" w:hAnsi="Arial Narrow"/>
                <w:color w:val="333333"/>
                <w:sz w:val="20"/>
                <w:szCs w:val="20"/>
              </w:rPr>
            </w:pPr>
          </w:p>
        </w:tc>
        <w:tc>
          <w:tcPr>
            <w:tcW w:w="393" w:type="pct"/>
            <w:vAlign w:val="center"/>
          </w:tcPr>
          <w:p w14:paraId="5AD8CE2F" w14:textId="29E3BCF8" w:rsidR="00E4524D" w:rsidRPr="001428E9" w:rsidRDefault="00E4524D" w:rsidP="00530866">
            <w:pPr>
              <w:keepLines/>
              <w:ind w:hanging="35"/>
              <w:jc w:val="center"/>
              <w:rPr>
                <w:rFonts w:ascii="Arial Narrow" w:hAnsi="Arial Narrow"/>
                <w:color w:val="333333"/>
                <w:sz w:val="20"/>
                <w:szCs w:val="20"/>
              </w:rPr>
            </w:pPr>
          </w:p>
        </w:tc>
        <w:tc>
          <w:tcPr>
            <w:tcW w:w="4295" w:type="pct"/>
            <w:gridSpan w:val="4"/>
            <w:vAlign w:val="center"/>
          </w:tcPr>
          <w:p w14:paraId="4A6AB4C5" w14:textId="77777777" w:rsidR="00E4524D" w:rsidRPr="001428E9" w:rsidRDefault="00E4524D" w:rsidP="00530866">
            <w:pPr>
              <w:keepLines/>
              <w:rPr>
                <w:rFonts w:ascii="Arial Narrow" w:hAnsi="Arial Narrow"/>
                <w:color w:val="333333"/>
                <w:sz w:val="20"/>
                <w:szCs w:val="20"/>
              </w:rPr>
            </w:pPr>
            <w:r w:rsidRPr="005E1FEF">
              <w:rPr>
                <w:rFonts w:ascii="Arial Narrow" w:hAnsi="Arial Narrow"/>
                <w:b/>
                <w:bCs/>
                <w:sz w:val="20"/>
                <w:szCs w:val="20"/>
              </w:rPr>
              <w:t xml:space="preserve">Administrative Advice: </w:t>
            </w:r>
            <w:r w:rsidRPr="004B34E7">
              <w:rPr>
                <w:rFonts w:ascii="Arial Narrow" w:hAnsi="Arial Narrow"/>
                <w:sz w:val="20"/>
                <w:szCs w:val="20"/>
              </w:rPr>
              <w:t>No increase in the maximum amount or number of units may be authorised.</w:t>
            </w:r>
          </w:p>
        </w:tc>
      </w:tr>
      <w:tr w:rsidR="00E4524D" w:rsidRPr="001428E9" w14:paraId="55FFD333" w14:textId="77777777" w:rsidTr="007E7B80">
        <w:tblPrEx>
          <w:tblCellMar>
            <w:top w:w="15" w:type="dxa"/>
            <w:bottom w:w="15" w:type="dxa"/>
          </w:tblCellMar>
          <w:tblLook w:val="04A0" w:firstRow="1" w:lastRow="0" w:firstColumn="1" w:lastColumn="0" w:noHBand="0" w:noVBand="1"/>
        </w:tblPrEx>
        <w:trPr>
          <w:trHeight w:val="20"/>
        </w:trPr>
        <w:tc>
          <w:tcPr>
            <w:tcW w:w="312" w:type="pct"/>
            <w:vMerge/>
            <w:vAlign w:val="center"/>
          </w:tcPr>
          <w:p w14:paraId="43A82591" w14:textId="77777777" w:rsidR="00E4524D" w:rsidRPr="001428E9" w:rsidRDefault="00E4524D" w:rsidP="00530866">
            <w:pPr>
              <w:keepLines/>
              <w:jc w:val="center"/>
              <w:rPr>
                <w:rFonts w:ascii="Arial Narrow" w:hAnsi="Arial Narrow"/>
                <w:color w:val="333333"/>
                <w:sz w:val="20"/>
                <w:szCs w:val="20"/>
              </w:rPr>
            </w:pPr>
          </w:p>
        </w:tc>
        <w:tc>
          <w:tcPr>
            <w:tcW w:w="393" w:type="pct"/>
            <w:vAlign w:val="center"/>
          </w:tcPr>
          <w:p w14:paraId="24B6019F" w14:textId="20D53569" w:rsidR="00E4524D" w:rsidRPr="001428E9" w:rsidRDefault="00E4524D" w:rsidP="00530866">
            <w:pPr>
              <w:keepLines/>
              <w:ind w:hanging="35"/>
              <w:jc w:val="center"/>
              <w:rPr>
                <w:rFonts w:ascii="Arial Narrow" w:hAnsi="Arial Narrow"/>
                <w:color w:val="333333"/>
                <w:sz w:val="20"/>
                <w:szCs w:val="20"/>
              </w:rPr>
            </w:pPr>
          </w:p>
        </w:tc>
        <w:tc>
          <w:tcPr>
            <w:tcW w:w="4295" w:type="pct"/>
            <w:gridSpan w:val="4"/>
            <w:vAlign w:val="center"/>
          </w:tcPr>
          <w:p w14:paraId="7568F159" w14:textId="77777777" w:rsidR="00E4524D" w:rsidRPr="001428E9" w:rsidRDefault="00E4524D" w:rsidP="00530866">
            <w:pPr>
              <w:keepLines/>
              <w:rPr>
                <w:rFonts w:ascii="Arial Narrow" w:hAnsi="Arial Narrow"/>
                <w:b/>
                <w:bCs/>
                <w:color w:val="333333"/>
                <w:sz w:val="20"/>
                <w:szCs w:val="20"/>
              </w:rPr>
            </w:pPr>
            <w:r w:rsidRPr="005E1FEF">
              <w:rPr>
                <w:rFonts w:ascii="Arial Narrow" w:hAnsi="Arial Narrow"/>
                <w:b/>
                <w:bCs/>
                <w:sz w:val="20"/>
                <w:szCs w:val="20"/>
              </w:rPr>
              <w:t xml:space="preserve">Administrative Advice: </w:t>
            </w:r>
            <w:r w:rsidRPr="005E1FEF">
              <w:rPr>
                <w:rFonts w:ascii="Arial Narrow" w:hAnsi="Arial Narrow"/>
                <w:sz w:val="20"/>
                <w:szCs w:val="20"/>
              </w:rPr>
              <w:t>No increase in the maximum number of repeats may be authorised.</w:t>
            </w:r>
          </w:p>
        </w:tc>
      </w:tr>
      <w:tr w:rsidR="00E4524D" w:rsidRPr="001428E9" w14:paraId="36BE1A4F" w14:textId="77777777" w:rsidTr="007E7B80">
        <w:tblPrEx>
          <w:tblCellMar>
            <w:top w:w="15" w:type="dxa"/>
            <w:bottom w:w="15" w:type="dxa"/>
          </w:tblCellMar>
          <w:tblLook w:val="04A0" w:firstRow="1" w:lastRow="0" w:firstColumn="1" w:lastColumn="0" w:noHBand="0" w:noVBand="1"/>
        </w:tblPrEx>
        <w:trPr>
          <w:trHeight w:val="20"/>
        </w:trPr>
        <w:tc>
          <w:tcPr>
            <w:tcW w:w="312" w:type="pct"/>
            <w:vMerge/>
            <w:vAlign w:val="center"/>
          </w:tcPr>
          <w:p w14:paraId="52562CB5" w14:textId="77777777" w:rsidR="00E4524D" w:rsidRPr="001428E9" w:rsidRDefault="00E4524D" w:rsidP="00530866">
            <w:pPr>
              <w:keepLines/>
              <w:jc w:val="center"/>
              <w:rPr>
                <w:rFonts w:ascii="Arial Narrow" w:hAnsi="Arial Narrow"/>
                <w:color w:val="333333"/>
                <w:sz w:val="20"/>
                <w:szCs w:val="20"/>
              </w:rPr>
            </w:pPr>
          </w:p>
        </w:tc>
        <w:tc>
          <w:tcPr>
            <w:tcW w:w="393" w:type="pct"/>
            <w:vAlign w:val="center"/>
          </w:tcPr>
          <w:p w14:paraId="4EFE0C25" w14:textId="2E6EC347" w:rsidR="00E4524D" w:rsidRPr="001428E9" w:rsidRDefault="00E4524D" w:rsidP="00530866">
            <w:pPr>
              <w:keepLines/>
              <w:ind w:hanging="35"/>
              <w:jc w:val="center"/>
              <w:rPr>
                <w:rFonts w:ascii="Arial Narrow" w:hAnsi="Arial Narrow"/>
                <w:color w:val="333333"/>
                <w:sz w:val="20"/>
                <w:szCs w:val="20"/>
              </w:rPr>
            </w:pPr>
          </w:p>
        </w:tc>
        <w:tc>
          <w:tcPr>
            <w:tcW w:w="4295" w:type="pct"/>
            <w:gridSpan w:val="4"/>
            <w:vAlign w:val="center"/>
          </w:tcPr>
          <w:p w14:paraId="0324D2F8" w14:textId="77777777" w:rsidR="00E4524D" w:rsidRPr="001428E9" w:rsidRDefault="00E4524D" w:rsidP="00530866">
            <w:pPr>
              <w:keepLines/>
              <w:rPr>
                <w:rFonts w:ascii="Arial Narrow" w:hAnsi="Arial Narrow"/>
                <w:b/>
                <w:bCs/>
                <w:color w:val="333333"/>
                <w:sz w:val="20"/>
                <w:szCs w:val="20"/>
              </w:rPr>
            </w:pPr>
            <w:r w:rsidRPr="005E1FEF">
              <w:rPr>
                <w:rFonts w:ascii="Arial Narrow" w:hAnsi="Arial Narrow"/>
                <w:b/>
                <w:bCs/>
                <w:sz w:val="20"/>
                <w:szCs w:val="20"/>
              </w:rPr>
              <w:t xml:space="preserve">Administrative Advice: </w:t>
            </w:r>
            <w:r w:rsidRPr="005E1FEF">
              <w:rPr>
                <w:rFonts w:ascii="Arial Narrow" w:hAnsi="Arial Narrow"/>
                <w:sz w:val="20"/>
                <w:szCs w:val="20"/>
              </w:rPr>
              <w:t>Special Pricing Arrangement apply.</w:t>
            </w:r>
          </w:p>
        </w:tc>
      </w:tr>
      <w:tr w:rsidR="00E4524D" w:rsidRPr="001428E9" w14:paraId="640A770A" w14:textId="77777777" w:rsidTr="0073287A">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9C82591" w14:textId="6A46553B" w:rsidR="00E4524D" w:rsidRPr="001428E9" w:rsidRDefault="00E4524D" w:rsidP="00530866">
            <w:pPr>
              <w:keepLines/>
              <w:jc w:val="center"/>
              <w:rPr>
                <w:rFonts w:ascii="Arial Narrow" w:hAnsi="Arial Narrow"/>
                <w:color w:val="333333"/>
                <w:sz w:val="20"/>
                <w:szCs w:val="20"/>
              </w:rPr>
            </w:pPr>
          </w:p>
        </w:tc>
        <w:tc>
          <w:tcPr>
            <w:tcW w:w="4295" w:type="pct"/>
            <w:gridSpan w:val="4"/>
            <w:vAlign w:val="center"/>
            <w:hideMark/>
          </w:tcPr>
          <w:p w14:paraId="1E55FE53" w14:textId="77777777" w:rsidR="00E4524D" w:rsidRPr="00012292" w:rsidRDefault="00E4524D" w:rsidP="00530866">
            <w:pPr>
              <w:keepLines/>
              <w:rPr>
                <w:rFonts w:ascii="Arial Narrow" w:hAnsi="Arial Narrow"/>
                <w:sz w:val="20"/>
                <w:szCs w:val="20"/>
              </w:rPr>
            </w:pPr>
            <w:r w:rsidRPr="00012292">
              <w:rPr>
                <w:rFonts w:ascii="Arial Narrow" w:hAnsi="Arial Narrow"/>
                <w:b/>
                <w:bCs/>
                <w:sz w:val="20"/>
                <w:szCs w:val="20"/>
              </w:rPr>
              <w:t>Indication:</w:t>
            </w:r>
            <w:r w:rsidRPr="00012292">
              <w:rPr>
                <w:rFonts w:ascii="Arial Narrow" w:hAnsi="Arial Narrow"/>
                <w:sz w:val="20"/>
                <w:szCs w:val="20"/>
              </w:rPr>
              <w:t xml:space="preserve"> Stage IIIB/ IIIC (locally advanced) or Stage IV (metastatic) non-small cell lung cancer (NSCLC)</w:t>
            </w:r>
          </w:p>
        </w:tc>
      </w:tr>
      <w:tr w:rsidR="00E4524D" w:rsidRPr="001428E9" w14:paraId="56F6280A" w14:textId="77777777" w:rsidTr="0073287A">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085A004" w14:textId="77777777" w:rsidR="00E4524D" w:rsidRPr="001428E9" w:rsidRDefault="00E4524D" w:rsidP="00530866">
            <w:pPr>
              <w:jc w:val="center"/>
              <w:rPr>
                <w:rFonts w:ascii="Arial Narrow" w:hAnsi="Arial Narrow"/>
                <w:color w:val="333333"/>
                <w:sz w:val="20"/>
                <w:szCs w:val="20"/>
              </w:rPr>
            </w:pPr>
          </w:p>
        </w:tc>
        <w:tc>
          <w:tcPr>
            <w:tcW w:w="4295" w:type="pct"/>
            <w:gridSpan w:val="4"/>
            <w:vAlign w:val="center"/>
            <w:hideMark/>
          </w:tcPr>
          <w:p w14:paraId="215863B7" w14:textId="77777777" w:rsidR="00E4524D" w:rsidRPr="001428E9" w:rsidRDefault="00E4524D" w:rsidP="00530866">
            <w:pPr>
              <w:rPr>
                <w:rFonts w:ascii="Arial Narrow" w:hAnsi="Arial Narrow"/>
                <w:color w:val="FF0000"/>
                <w:sz w:val="20"/>
                <w:szCs w:val="20"/>
              </w:rPr>
            </w:pPr>
            <w:r w:rsidRPr="001428E9">
              <w:rPr>
                <w:rFonts w:ascii="Arial Narrow" w:hAnsi="Arial Narrow"/>
                <w:b/>
                <w:bCs/>
                <w:color w:val="333333"/>
                <w:sz w:val="20"/>
                <w:szCs w:val="20"/>
              </w:rPr>
              <w:t>Treatment Phase:</w:t>
            </w:r>
            <w:r w:rsidRPr="001428E9">
              <w:rPr>
                <w:rFonts w:ascii="Arial Narrow" w:hAnsi="Arial Narrow"/>
                <w:color w:val="FF0000"/>
                <w:sz w:val="20"/>
                <w:szCs w:val="20"/>
              </w:rPr>
              <w:t xml:space="preserve"> </w:t>
            </w:r>
            <w:r w:rsidRPr="007319C0">
              <w:rPr>
                <w:rFonts w:ascii="Arial Narrow" w:hAnsi="Arial Narrow"/>
                <w:sz w:val="20"/>
                <w:szCs w:val="20"/>
              </w:rPr>
              <w:t>Initia</w:t>
            </w:r>
            <w:r w:rsidRPr="0084704B">
              <w:rPr>
                <w:rFonts w:ascii="Arial Narrow" w:hAnsi="Arial Narrow"/>
                <w:sz w:val="20"/>
                <w:szCs w:val="20"/>
              </w:rPr>
              <w:t>l treatment – For patients whose condition progressed on or after osimertinib therapy</w:t>
            </w:r>
          </w:p>
        </w:tc>
      </w:tr>
      <w:tr w:rsidR="00EA671B" w:rsidRPr="001428E9" w14:paraId="4BFBB107" w14:textId="77777777" w:rsidTr="007E7B8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482D2D1" w14:textId="27409B7E" w:rsidR="00EA671B" w:rsidRPr="001428E9" w:rsidRDefault="00EA671B" w:rsidP="00530866">
            <w:pPr>
              <w:jc w:val="center"/>
              <w:rPr>
                <w:rFonts w:ascii="Arial Narrow" w:hAnsi="Arial Narrow"/>
                <w:color w:val="333333"/>
                <w:sz w:val="20"/>
                <w:szCs w:val="20"/>
              </w:rPr>
            </w:pPr>
          </w:p>
        </w:tc>
        <w:tc>
          <w:tcPr>
            <w:tcW w:w="4295" w:type="pct"/>
            <w:gridSpan w:val="4"/>
            <w:vAlign w:val="center"/>
          </w:tcPr>
          <w:p w14:paraId="59DE9B61" w14:textId="75A1FFB1" w:rsidR="00EA671B" w:rsidRPr="001428E9" w:rsidRDefault="00EA671B" w:rsidP="00530866">
            <w:pPr>
              <w:rPr>
                <w:rFonts w:ascii="Arial Narrow" w:hAnsi="Arial Narrow"/>
                <w:b/>
                <w:bCs/>
                <w:color w:val="333333"/>
                <w:sz w:val="20"/>
                <w:szCs w:val="20"/>
              </w:rPr>
            </w:pPr>
            <w:r w:rsidRPr="003F6411">
              <w:rPr>
                <w:rFonts w:ascii="Arial Narrow" w:hAnsi="Arial Narrow"/>
                <w:b/>
                <w:color w:val="333333"/>
                <w:sz w:val="20"/>
                <w:szCs w:val="20"/>
              </w:rPr>
              <w:t>Clinical</w:t>
            </w:r>
            <w:r>
              <w:rPr>
                <w:rFonts w:ascii="Arial Narrow" w:hAnsi="Arial Narrow"/>
                <w:b/>
                <w:bCs/>
                <w:color w:val="333333"/>
                <w:sz w:val="20"/>
                <w:szCs w:val="20"/>
              </w:rPr>
              <w:t xml:space="preserve"> </w:t>
            </w:r>
            <w:r w:rsidRPr="001428E9">
              <w:rPr>
                <w:rFonts w:ascii="Arial Narrow" w:hAnsi="Arial Narrow"/>
                <w:b/>
                <w:bCs/>
                <w:color w:val="333333"/>
                <w:sz w:val="20"/>
                <w:szCs w:val="20"/>
              </w:rPr>
              <w:t>criteria:</w:t>
            </w:r>
          </w:p>
        </w:tc>
      </w:tr>
      <w:tr w:rsidR="00EA671B" w:rsidRPr="001428E9" w14:paraId="43AF0819" w14:textId="77777777" w:rsidTr="007E7B8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C5FB5DD" w14:textId="7499E931" w:rsidR="00EA671B" w:rsidRPr="001428E9" w:rsidRDefault="00EA671B" w:rsidP="00530866">
            <w:pPr>
              <w:jc w:val="center"/>
              <w:rPr>
                <w:rFonts w:ascii="Arial Narrow" w:hAnsi="Arial Narrow"/>
                <w:color w:val="333333"/>
                <w:sz w:val="20"/>
                <w:szCs w:val="20"/>
              </w:rPr>
            </w:pPr>
          </w:p>
        </w:tc>
        <w:tc>
          <w:tcPr>
            <w:tcW w:w="4295" w:type="pct"/>
            <w:gridSpan w:val="4"/>
            <w:vAlign w:val="center"/>
          </w:tcPr>
          <w:p w14:paraId="1ED099F5" w14:textId="5BE6ABFE" w:rsidR="00EA671B" w:rsidRPr="001428E9" w:rsidRDefault="00EA671B" w:rsidP="00530866">
            <w:pPr>
              <w:rPr>
                <w:rFonts w:ascii="Arial Narrow" w:hAnsi="Arial Narrow"/>
                <w:b/>
                <w:bCs/>
                <w:color w:val="333333"/>
                <w:sz w:val="20"/>
                <w:szCs w:val="20"/>
              </w:rPr>
            </w:pPr>
            <w:r w:rsidRPr="008E4BEB">
              <w:rPr>
                <w:rFonts w:ascii="Arial Narrow" w:hAnsi="Arial Narrow"/>
                <w:sz w:val="20"/>
                <w:szCs w:val="20"/>
              </w:rPr>
              <w:t>Patient must have disease</w:t>
            </w:r>
            <w:r w:rsidRPr="005C1DEF">
              <w:rPr>
                <w:rFonts w:ascii="Arial Narrow" w:hAnsi="Arial Narrow"/>
                <w:sz w:val="20"/>
                <w:szCs w:val="20"/>
              </w:rPr>
              <w:t xml:space="preserve"> </w:t>
            </w:r>
            <w:r w:rsidRPr="00837371">
              <w:rPr>
                <w:rFonts w:ascii="Arial Narrow" w:hAnsi="Arial Narrow"/>
                <w:sz w:val="20"/>
                <w:szCs w:val="20"/>
              </w:rPr>
              <w:t>progression</w:t>
            </w:r>
            <w:r w:rsidRPr="005C1DEF">
              <w:rPr>
                <w:rFonts w:ascii="Arial Narrow" w:hAnsi="Arial Narrow"/>
                <w:sz w:val="20"/>
                <w:szCs w:val="20"/>
              </w:rPr>
              <w:t xml:space="preserve"> </w:t>
            </w:r>
            <w:r w:rsidRPr="008E4BEB">
              <w:rPr>
                <w:rFonts w:ascii="Arial Narrow" w:hAnsi="Arial Narrow"/>
                <w:sz w:val="20"/>
                <w:szCs w:val="20"/>
              </w:rPr>
              <w:t xml:space="preserve">on or after </w:t>
            </w:r>
            <w:r>
              <w:rPr>
                <w:rFonts w:ascii="Arial Narrow" w:hAnsi="Arial Narrow"/>
                <w:sz w:val="20"/>
                <w:szCs w:val="20"/>
              </w:rPr>
              <w:t>osimertinib.</w:t>
            </w:r>
          </w:p>
        </w:tc>
      </w:tr>
      <w:tr w:rsidR="40845DB7" w14:paraId="56D4BC0F" w14:textId="77777777" w:rsidTr="007E7B8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0BF2B42" w14:textId="20F68692" w:rsidR="40845DB7" w:rsidRDefault="40845DB7" w:rsidP="00530866">
            <w:pPr>
              <w:jc w:val="center"/>
              <w:rPr>
                <w:rFonts w:ascii="Arial Narrow" w:hAnsi="Arial Narrow"/>
                <w:color w:val="333333"/>
                <w:sz w:val="20"/>
                <w:szCs w:val="20"/>
              </w:rPr>
            </w:pPr>
          </w:p>
        </w:tc>
        <w:tc>
          <w:tcPr>
            <w:tcW w:w="4295" w:type="pct"/>
            <w:gridSpan w:val="4"/>
            <w:vAlign w:val="center"/>
          </w:tcPr>
          <w:p w14:paraId="7C99E8A9" w14:textId="54B21B66" w:rsidR="40845DB7" w:rsidRDefault="001E084F" w:rsidP="00530866">
            <w:pPr>
              <w:rPr>
                <w:rFonts w:ascii="Arial Narrow" w:hAnsi="Arial Narrow"/>
                <w:sz w:val="20"/>
                <w:szCs w:val="20"/>
              </w:rPr>
            </w:pPr>
            <w:r>
              <w:rPr>
                <w:rFonts w:ascii="Arial Narrow" w:hAnsi="Arial Narrow"/>
                <w:b/>
                <w:bCs/>
                <w:color w:val="333333"/>
                <w:sz w:val="20"/>
                <w:szCs w:val="20"/>
              </w:rPr>
              <w:t>AND</w:t>
            </w:r>
          </w:p>
        </w:tc>
      </w:tr>
      <w:tr w:rsidR="40845DB7" w14:paraId="24267ADA" w14:textId="77777777" w:rsidTr="007E7B8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96D2C4A" w14:textId="4F93F463" w:rsidR="40845DB7" w:rsidRDefault="40845DB7" w:rsidP="00530866">
            <w:pPr>
              <w:jc w:val="center"/>
              <w:rPr>
                <w:rFonts w:ascii="Arial Narrow" w:hAnsi="Arial Narrow"/>
                <w:color w:val="333333"/>
                <w:sz w:val="20"/>
                <w:szCs w:val="20"/>
              </w:rPr>
            </w:pPr>
          </w:p>
        </w:tc>
        <w:tc>
          <w:tcPr>
            <w:tcW w:w="4295" w:type="pct"/>
            <w:gridSpan w:val="4"/>
            <w:vAlign w:val="center"/>
          </w:tcPr>
          <w:p w14:paraId="04FCDC21" w14:textId="04A98EEE" w:rsidR="40845DB7" w:rsidRDefault="001E084F" w:rsidP="00530866">
            <w:pPr>
              <w:rPr>
                <w:rFonts w:ascii="Arial Narrow" w:hAnsi="Arial Narrow"/>
                <w:sz w:val="20"/>
                <w:szCs w:val="20"/>
              </w:rPr>
            </w:pPr>
            <w:r w:rsidRPr="003F6411">
              <w:rPr>
                <w:rFonts w:ascii="Arial Narrow" w:hAnsi="Arial Narrow"/>
                <w:b/>
                <w:color w:val="333333"/>
                <w:sz w:val="20"/>
                <w:szCs w:val="20"/>
              </w:rPr>
              <w:t>Clinical</w:t>
            </w:r>
            <w:r>
              <w:rPr>
                <w:rFonts w:ascii="Arial Narrow" w:hAnsi="Arial Narrow"/>
                <w:b/>
                <w:bCs/>
                <w:color w:val="333333"/>
                <w:sz w:val="20"/>
                <w:szCs w:val="20"/>
              </w:rPr>
              <w:t xml:space="preserve"> </w:t>
            </w:r>
            <w:r w:rsidRPr="001428E9">
              <w:rPr>
                <w:rFonts w:ascii="Arial Narrow" w:hAnsi="Arial Narrow"/>
                <w:b/>
                <w:bCs/>
                <w:color w:val="333333"/>
                <w:sz w:val="20"/>
                <w:szCs w:val="20"/>
              </w:rPr>
              <w:t>criteria:</w:t>
            </w:r>
          </w:p>
        </w:tc>
      </w:tr>
      <w:tr w:rsidR="40845DB7" w14:paraId="5326A49D" w14:textId="77777777" w:rsidTr="007E7B8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77B3C28" w14:textId="7A134FE8" w:rsidR="40845DB7" w:rsidRDefault="40845DB7" w:rsidP="00530866">
            <w:pPr>
              <w:jc w:val="center"/>
              <w:rPr>
                <w:rFonts w:ascii="Arial Narrow" w:hAnsi="Arial Narrow"/>
                <w:color w:val="333333"/>
                <w:sz w:val="20"/>
                <w:szCs w:val="20"/>
              </w:rPr>
            </w:pPr>
          </w:p>
        </w:tc>
        <w:tc>
          <w:tcPr>
            <w:tcW w:w="4295" w:type="pct"/>
            <w:gridSpan w:val="4"/>
            <w:vAlign w:val="center"/>
          </w:tcPr>
          <w:p w14:paraId="47B3902E" w14:textId="4F2CDDBE" w:rsidR="40845DB7" w:rsidRDefault="001E084F" w:rsidP="00530866">
            <w:pPr>
              <w:rPr>
                <w:rFonts w:ascii="Arial Narrow" w:hAnsi="Arial Narrow"/>
                <w:sz w:val="20"/>
                <w:szCs w:val="20"/>
              </w:rPr>
            </w:pPr>
            <w:r w:rsidRPr="001E084F">
              <w:rPr>
                <w:rFonts w:ascii="Arial Narrow" w:hAnsi="Arial Narrow"/>
                <w:sz w:val="20"/>
                <w:szCs w:val="20"/>
              </w:rPr>
              <w:t>Patient must have evidence of an activating epidermal growth factor receptor (EGFR) gene mutation known to confer sensitivity to treatment with amivantamab in tumour material.</w:t>
            </w:r>
          </w:p>
        </w:tc>
      </w:tr>
      <w:tr w:rsidR="00EA671B" w:rsidRPr="001428E9" w14:paraId="6DA8DFDC" w14:textId="77777777" w:rsidTr="007E7B8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89C6027" w14:textId="77777777" w:rsidR="00EA671B" w:rsidRPr="001428E9" w:rsidRDefault="00EA671B" w:rsidP="00530866">
            <w:pPr>
              <w:jc w:val="center"/>
              <w:rPr>
                <w:rFonts w:ascii="Arial Narrow" w:hAnsi="Arial Narrow"/>
                <w:color w:val="333333"/>
                <w:sz w:val="20"/>
                <w:szCs w:val="20"/>
              </w:rPr>
            </w:pPr>
          </w:p>
        </w:tc>
        <w:tc>
          <w:tcPr>
            <w:tcW w:w="4295" w:type="pct"/>
            <w:gridSpan w:val="4"/>
            <w:vAlign w:val="center"/>
          </w:tcPr>
          <w:p w14:paraId="522196F4" w14:textId="3DA93F8E" w:rsidR="00EA671B" w:rsidRPr="001428E9" w:rsidRDefault="00EA671B" w:rsidP="00530866">
            <w:pPr>
              <w:rPr>
                <w:rFonts w:ascii="Arial Narrow" w:hAnsi="Arial Narrow"/>
                <w:b/>
                <w:bCs/>
                <w:color w:val="333333"/>
                <w:sz w:val="20"/>
                <w:szCs w:val="20"/>
              </w:rPr>
            </w:pPr>
            <w:r>
              <w:rPr>
                <w:rFonts w:ascii="Arial Narrow" w:hAnsi="Arial Narrow"/>
                <w:b/>
                <w:bCs/>
                <w:color w:val="333333"/>
                <w:sz w:val="20"/>
                <w:szCs w:val="20"/>
              </w:rPr>
              <w:t>AND</w:t>
            </w:r>
          </w:p>
        </w:tc>
      </w:tr>
      <w:tr w:rsidR="00E4524D" w:rsidRPr="001428E9" w14:paraId="420892E6" w14:textId="77777777" w:rsidTr="0073287A">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C6AF4B1" w14:textId="51ED5E3B" w:rsidR="00E4524D" w:rsidRPr="001428E9" w:rsidRDefault="00E4524D" w:rsidP="00530866">
            <w:pPr>
              <w:jc w:val="center"/>
              <w:rPr>
                <w:rFonts w:ascii="Arial Narrow" w:hAnsi="Arial Narrow"/>
                <w:color w:val="333333"/>
                <w:sz w:val="20"/>
                <w:szCs w:val="20"/>
              </w:rPr>
            </w:pPr>
          </w:p>
        </w:tc>
        <w:tc>
          <w:tcPr>
            <w:tcW w:w="4295" w:type="pct"/>
            <w:gridSpan w:val="4"/>
            <w:vAlign w:val="center"/>
            <w:hideMark/>
          </w:tcPr>
          <w:p w14:paraId="6E39FF6B" w14:textId="77777777" w:rsidR="00E4524D" w:rsidRPr="001428E9" w:rsidRDefault="00E4524D" w:rsidP="00530866">
            <w:pPr>
              <w:rPr>
                <w:rFonts w:ascii="Arial Narrow" w:hAnsi="Arial Narrow"/>
                <w:color w:val="FF0000"/>
                <w:sz w:val="20"/>
                <w:szCs w:val="20"/>
              </w:rPr>
            </w:pPr>
            <w:r w:rsidRPr="001428E9">
              <w:rPr>
                <w:rFonts w:ascii="Arial Narrow" w:hAnsi="Arial Narrow"/>
                <w:b/>
                <w:bCs/>
                <w:color w:val="333333"/>
                <w:sz w:val="20"/>
                <w:szCs w:val="20"/>
              </w:rPr>
              <w:t xml:space="preserve">Clinical criteria: </w:t>
            </w:r>
          </w:p>
        </w:tc>
      </w:tr>
      <w:tr w:rsidR="00E4524D" w:rsidRPr="001428E9" w14:paraId="388D95BC" w14:textId="77777777" w:rsidTr="007E7B8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DF8521A" w14:textId="1A44ED74" w:rsidR="00E4524D" w:rsidRPr="001428E9" w:rsidRDefault="00E4524D" w:rsidP="00530866">
            <w:pPr>
              <w:jc w:val="center"/>
              <w:rPr>
                <w:rFonts w:ascii="Arial Narrow" w:hAnsi="Arial Narrow"/>
                <w:color w:val="333333"/>
                <w:sz w:val="20"/>
                <w:szCs w:val="20"/>
              </w:rPr>
            </w:pPr>
          </w:p>
        </w:tc>
        <w:tc>
          <w:tcPr>
            <w:tcW w:w="4295" w:type="pct"/>
            <w:gridSpan w:val="4"/>
            <w:vAlign w:val="center"/>
          </w:tcPr>
          <w:p w14:paraId="1A729367" w14:textId="77777777" w:rsidR="00E4524D" w:rsidRPr="001428E9" w:rsidRDefault="00E4524D" w:rsidP="00530866">
            <w:pPr>
              <w:rPr>
                <w:rFonts w:ascii="Arial Narrow" w:hAnsi="Arial Narrow"/>
                <w:color w:val="333333"/>
                <w:sz w:val="20"/>
                <w:szCs w:val="20"/>
              </w:rPr>
            </w:pPr>
            <w:r w:rsidRPr="007A373F">
              <w:rPr>
                <w:rFonts w:ascii="Arial Narrow" w:hAnsi="Arial Narrow"/>
                <w:color w:val="333333"/>
                <w:sz w:val="20"/>
                <w:szCs w:val="20"/>
              </w:rPr>
              <w:t>Patient must have/have had a WHO performance status of no greater than 2 at treatment initiation with this drug for this condition;</w:t>
            </w:r>
          </w:p>
        </w:tc>
      </w:tr>
      <w:tr w:rsidR="00E4524D" w:rsidRPr="001428E9" w14:paraId="7184551B" w14:textId="77777777" w:rsidTr="0073287A">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AB6136E" w14:textId="77777777" w:rsidR="00E4524D" w:rsidRPr="001428E9" w:rsidRDefault="00E4524D" w:rsidP="00530866">
            <w:pPr>
              <w:jc w:val="center"/>
              <w:rPr>
                <w:rFonts w:ascii="Arial Narrow" w:hAnsi="Arial Narrow"/>
                <w:color w:val="333333"/>
                <w:sz w:val="20"/>
                <w:szCs w:val="20"/>
              </w:rPr>
            </w:pPr>
          </w:p>
        </w:tc>
        <w:tc>
          <w:tcPr>
            <w:tcW w:w="4295" w:type="pct"/>
            <w:gridSpan w:val="4"/>
            <w:vAlign w:val="center"/>
            <w:hideMark/>
          </w:tcPr>
          <w:p w14:paraId="26143D67" w14:textId="77777777" w:rsidR="00E4524D" w:rsidRPr="001428E9" w:rsidRDefault="00E4524D" w:rsidP="00530866">
            <w:pPr>
              <w:rPr>
                <w:rFonts w:ascii="Arial Narrow" w:hAnsi="Arial Narrow"/>
                <w:color w:val="333333"/>
                <w:sz w:val="20"/>
                <w:szCs w:val="20"/>
              </w:rPr>
            </w:pPr>
            <w:r w:rsidRPr="001428E9">
              <w:rPr>
                <w:rFonts w:ascii="Arial Narrow" w:hAnsi="Arial Narrow"/>
                <w:b/>
                <w:bCs/>
                <w:color w:val="333333"/>
                <w:sz w:val="20"/>
                <w:szCs w:val="20"/>
              </w:rPr>
              <w:t>AND</w:t>
            </w:r>
          </w:p>
        </w:tc>
      </w:tr>
      <w:tr w:rsidR="00E4524D" w:rsidRPr="001428E9" w14:paraId="487A07F5" w14:textId="77777777" w:rsidTr="007E7B8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CC1F1F4" w14:textId="615643D2" w:rsidR="00E4524D" w:rsidRPr="001428E9" w:rsidRDefault="00E4524D" w:rsidP="00530866">
            <w:pPr>
              <w:jc w:val="center"/>
              <w:rPr>
                <w:rFonts w:ascii="Arial Narrow" w:hAnsi="Arial Narrow"/>
                <w:color w:val="333333"/>
                <w:sz w:val="20"/>
                <w:szCs w:val="20"/>
              </w:rPr>
            </w:pPr>
          </w:p>
        </w:tc>
        <w:tc>
          <w:tcPr>
            <w:tcW w:w="4295" w:type="pct"/>
            <w:gridSpan w:val="4"/>
            <w:vAlign w:val="center"/>
            <w:hideMark/>
          </w:tcPr>
          <w:p w14:paraId="376C154D" w14:textId="77777777" w:rsidR="00E4524D" w:rsidRPr="001428E9" w:rsidRDefault="00E4524D" w:rsidP="00530866">
            <w:pPr>
              <w:rPr>
                <w:rFonts w:ascii="Arial Narrow" w:hAnsi="Arial Narrow"/>
                <w:color w:val="333333"/>
                <w:sz w:val="20"/>
                <w:szCs w:val="20"/>
              </w:rPr>
            </w:pPr>
            <w:r w:rsidRPr="001428E9">
              <w:rPr>
                <w:rFonts w:ascii="Arial Narrow" w:hAnsi="Arial Narrow"/>
                <w:b/>
                <w:bCs/>
                <w:color w:val="333333"/>
                <w:sz w:val="20"/>
                <w:szCs w:val="20"/>
              </w:rPr>
              <w:t>Clinical criteria:</w:t>
            </w:r>
          </w:p>
        </w:tc>
      </w:tr>
      <w:tr w:rsidR="00E4524D" w:rsidRPr="00A61307" w14:paraId="5646FC2E" w14:textId="77777777" w:rsidTr="007E7B8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C902BCE" w14:textId="4574B079" w:rsidR="00E4524D" w:rsidRPr="00A61307" w:rsidRDefault="00E4524D" w:rsidP="00530866">
            <w:pPr>
              <w:jc w:val="center"/>
              <w:rPr>
                <w:rFonts w:ascii="Arial Narrow" w:hAnsi="Arial Narrow"/>
                <w:sz w:val="20"/>
                <w:szCs w:val="20"/>
              </w:rPr>
            </w:pPr>
          </w:p>
        </w:tc>
        <w:tc>
          <w:tcPr>
            <w:tcW w:w="4295" w:type="pct"/>
            <w:gridSpan w:val="4"/>
            <w:vAlign w:val="center"/>
          </w:tcPr>
          <w:p w14:paraId="11ED4399" w14:textId="77777777" w:rsidR="00E4524D" w:rsidRPr="00A61307" w:rsidRDefault="00E4524D" w:rsidP="00530866">
            <w:pPr>
              <w:rPr>
                <w:rFonts w:ascii="Arial Narrow" w:hAnsi="Arial Narrow"/>
                <w:sz w:val="20"/>
                <w:szCs w:val="20"/>
              </w:rPr>
            </w:pPr>
            <w:r w:rsidRPr="00A61307">
              <w:rPr>
                <w:rFonts w:ascii="Arial Narrow" w:hAnsi="Arial Narrow"/>
                <w:sz w:val="20"/>
                <w:szCs w:val="20"/>
              </w:rPr>
              <w:t>Patient must not have previously received this drug for this condition; OR</w:t>
            </w:r>
          </w:p>
        </w:tc>
      </w:tr>
      <w:tr w:rsidR="00E4524D" w:rsidRPr="00A61307" w14:paraId="551E070B" w14:textId="77777777" w:rsidTr="007E7B8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C454201" w14:textId="28A2DBFD" w:rsidR="00E4524D" w:rsidRPr="00A61307" w:rsidRDefault="00E4524D" w:rsidP="00530866">
            <w:pPr>
              <w:jc w:val="center"/>
              <w:rPr>
                <w:rFonts w:ascii="Arial Narrow" w:hAnsi="Arial Narrow"/>
                <w:sz w:val="20"/>
                <w:szCs w:val="20"/>
              </w:rPr>
            </w:pPr>
          </w:p>
        </w:tc>
        <w:tc>
          <w:tcPr>
            <w:tcW w:w="4295" w:type="pct"/>
            <w:gridSpan w:val="4"/>
            <w:vAlign w:val="center"/>
          </w:tcPr>
          <w:p w14:paraId="080223A4" w14:textId="77777777" w:rsidR="00E4524D" w:rsidRPr="00A61307" w:rsidRDefault="00E4524D" w:rsidP="00530866">
            <w:pPr>
              <w:rPr>
                <w:rFonts w:ascii="Arial Narrow" w:hAnsi="Arial Narrow"/>
                <w:sz w:val="20"/>
                <w:szCs w:val="20"/>
              </w:rPr>
            </w:pPr>
            <w:r w:rsidRPr="006A0577">
              <w:rPr>
                <w:rFonts w:ascii="Arial Narrow" w:hAnsi="Arial Narrow"/>
                <w:sz w:val="20"/>
                <w:szCs w:val="20"/>
              </w:rPr>
              <w:t>Patient must be each of: (i) currently receiving non-PBS-subsidised supply for this drug for this PBS indication, (ii) free of disease progression since commencing non-PBS-subsidised supply.</w:t>
            </w:r>
          </w:p>
        </w:tc>
      </w:tr>
      <w:tr w:rsidR="00E4524D" w:rsidRPr="00A61307" w14:paraId="078DBA49" w14:textId="77777777" w:rsidTr="007E7B8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C01213C" w14:textId="77777777" w:rsidR="00E4524D" w:rsidRDefault="00E4524D" w:rsidP="00530866">
            <w:pPr>
              <w:jc w:val="center"/>
              <w:rPr>
                <w:rFonts w:ascii="Arial Narrow" w:hAnsi="Arial Narrow"/>
                <w:sz w:val="20"/>
                <w:szCs w:val="20"/>
              </w:rPr>
            </w:pPr>
          </w:p>
        </w:tc>
        <w:tc>
          <w:tcPr>
            <w:tcW w:w="4295" w:type="pct"/>
            <w:gridSpan w:val="4"/>
            <w:vAlign w:val="center"/>
          </w:tcPr>
          <w:p w14:paraId="5264FEBF" w14:textId="77777777" w:rsidR="00E4524D" w:rsidRPr="006A0577" w:rsidRDefault="00E4524D" w:rsidP="00530866">
            <w:pPr>
              <w:rPr>
                <w:rFonts w:ascii="Arial Narrow" w:hAnsi="Arial Narrow"/>
                <w:sz w:val="20"/>
                <w:szCs w:val="20"/>
              </w:rPr>
            </w:pPr>
            <w:r w:rsidRPr="001428E9">
              <w:rPr>
                <w:rFonts w:ascii="Arial Narrow" w:hAnsi="Arial Narrow"/>
                <w:b/>
                <w:bCs/>
                <w:color w:val="333333"/>
                <w:sz w:val="20"/>
                <w:szCs w:val="20"/>
              </w:rPr>
              <w:t>AND</w:t>
            </w:r>
          </w:p>
        </w:tc>
      </w:tr>
      <w:tr w:rsidR="00E4524D" w:rsidRPr="001428E9" w14:paraId="34789A5A" w14:textId="77777777" w:rsidTr="007E7B8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3302E47" w14:textId="0ADE3E13" w:rsidR="00E4524D" w:rsidRPr="00837371" w:rsidRDefault="00E4524D" w:rsidP="00530866">
            <w:pPr>
              <w:jc w:val="center"/>
              <w:rPr>
                <w:rFonts w:ascii="Arial Narrow" w:hAnsi="Arial Narrow"/>
                <w:color w:val="333333"/>
                <w:sz w:val="20"/>
                <w:szCs w:val="20"/>
              </w:rPr>
            </w:pPr>
          </w:p>
        </w:tc>
        <w:tc>
          <w:tcPr>
            <w:tcW w:w="4295" w:type="pct"/>
            <w:gridSpan w:val="4"/>
            <w:vAlign w:val="center"/>
            <w:hideMark/>
          </w:tcPr>
          <w:p w14:paraId="4A6C36A1" w14:textId="71D0BBF5" w:rsidR="00E4524D" w:rsidRPr="009B5328" w:rsidRDefault="00E4524D" w:rsidP="00530866">
            <w:pPr>
              <w:rPr>
                <w:rFonts w:ascii="Arial Narrow" w:hAnsi="Arial Narrow"/>
                <w:color w:val="333333"/>
                <w:sz w:val="20"/>
                <w:szCs w:val="20"/>
              </w:rPr>
            </w:pPr>
            <w:r w:rsidRPr="009B5328">
              <w:rPr>
                <w:rFonts w:ascii="Arial Narrow" w:hAnsi="Arial Narrow"/>
                <w:b/>
                <w:bCs/>
                <w:color w:val="333333"/>
                <w:sz w:val="20"/>
                <w:szCs w:val="20"/>
              </w:rPr>
              <w:t>Clinical criteria:</w:t>
            </w:r>
          </w:p>
        </w:tc>
      </w:tr>
      <w:tr w:rsidR="00E4524D" w:rsidRPr="00FC3E30" w14:paraId="69D24AB7" w14:textId="77777777" w:rsidTr="007E7B8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1C63CB3" w14:textId="0B00051F" w:rsidR="00E4524D" w:rsidRPr="00837371" w:rsidRDefault="00E4524D" w:rsidP="00530866">
            <w:pPr>
              <w:jc w:val="center"/>
              <w:rPr>
                <w:rFonts w:ascii="Arial Narrow" w:hAnsi="Arial Narrow"/>
                <w:color w:val="333333"/>
                <w:sz w:val="20"/>
                <w:szCs w:val="20"/>
              </w:rPr>
            </w:pPr>
          </w:p>
        </w:tc>
        <w:tc>
          <w:tcPr>
            <w:tcW w:w="4295" w:type="pct"/>
            <w:gridSpan w:val="4"/>
            <w:vAlign w:val="center"/>
          </w:tcPr>
          <w:p w14:paraId="7D1355DF" w14:textId="0E2950CB" w:rsidR="00E4524D" w:rsidRPr="00FC3E30" w:rsidRDefault="00E4524D" w:rsidP="00530866">
            <w:pPr>
              <w:autoSpaceDE w:val="0"/>
              <w:autoSpaceDN w:val="0"/>
              <w:adjustRightInd w:val="0"/>
              <w:rPr>
                <w:rFonts w:ascii="Arial Narrow" w:hAnsi="Arial Narrow" w:cs="Arial Narrow"/>
                <w:sz w:val="20"/>
                <w:szCs w:val="20"/>
              </w:rPr>
            </w:pPr>
            <w:r w:rsidRPr="00FC3E30">
              <w:rPr>
                <w:rFonts w:ascii="Arial Narrow" w:hAnsi="Arial Narrow" w:cs="Arial Narrow"/>
                <w:sz w:val="20"/>
                <w:szCs w:val="20"/>
              </w:rPr>
              <w:t xml:space="preserve">The treatment must be/have been </w:t>
            </w:r>
            <w:r w:rsidRPr="00304B93">
              <w:rPr>
                <w:rFonts w:ascii="Arial Narrow" w:hAnsi="Arial Narrow" w:cs="Arial Narrow"/>
                <w:sz w:val="20"/>
                <w:szCs w:val="20"/>
              </w:rPr>
              <w:t>initiated</w:t>
            </w:r>
            <w:r w:rsidRPr="00FC3E30">
              <w:rPr>
                <w:rFonts w:ascii="Arial Narrow" w:hAnsi="Arial Narrow" w:cs="Arial Narrow"/>
                <w:sz w:val="20"/>
                <w:szCs w:val="20"/>
              </w:rPr>
              <w:t xml:space="preserve"> in combination with platinum-based </w:t>
            </w:r>
            <w:r w:rsidR="002C5736">
              <w:rPr>
                <w:rFonts w:ascii="Arial Narrow" w:hAnsi="Arial Narrow" w:cs="Arial Narrow"/>
                <w:sz w:val="20"/>
                <w:szCs w:val="20"/>
              </w:rPr>
              <w:t xml:space="preserve">doublet </w:t>
            </w:r>
            <w:r w:rsidRPr="00FC3E30">
              <w:rPr>
                <w:rFonts w:ascii="Arial Narrow" w:hAnsi="Arial Narrow" w:cs="Arial Narrow"/>
                <w:sz w:val="20"/>
                <w:szCs w:val="20"/>
              </w:rPr>
              <w:t>chemotherapy</w:t>
            </w:r>
          </w:p>
        </w:tc>
      </w:tr>
      <w:tr w:rsidR="00E4524D" w:rsidRPr="00FC3E30" w14:paraId="4478D682" w14:textId="77777777" w:rsidTr="007E7B8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3892E50" w14:textId="77777777" w:rsidR="00E4524D" w:rsidRPr="00837371" w:rsidRDefault="00E4524D" w:rsidP="00530866">
            <w:pPr>
              <w:jc w:val="center"/>
              <w:rPr>
                <w:rFonts w:ascii="Arial Narrow" w:hAnsi="Arial Narrow"/>
                <w:color w:val="333333"/>
                <w:sz w:val="20"/>
                <w:szCs w:val="20"/>
              </w:rPr>
            </w:pPr>
          </w:p>
        </w:tc>
        <w:tc>
          <w:tcPr>
            <w:tcW w:w="4295" w:type="pct"/>
            <w:gridSpan w:val="4"/>
            <w:vAlign w:val="center"/>
          </w:tcPr>
          <w:p w14:paraId="00C2991E" w14:textId="77777777" w:rsidR="00E4524D" w:rsidRPr="00FC3E30" w:rsidRDefault="00E4524D" w:rsidP="00530866">
            <w:pPr>
              <w:autoSpaceDE w:val="0"/>
              <w:autoSpaceDN w:val="0"/>
              <w:adjustRightInd w:val="0"/>
              <w:rPr>
                <w:rFonts w:ascii="Arial Narrow" w:hAnsi="Arial Narrow" w:cs="Arial Narrow"/>
                <w:sz w:val="20"/>
                <w:szCs w:val="20"/>
              </w:rPr>
            </w:pPr>
            <w:r w:rsidRPr="001428E9">
              <w:rPr>
                <w:rFonts w:ascii="Arial Narrow" w:hAnsi="Arial Narrow"/>
                <w:b/>
                <w:bCs/>
                <w:color w:val="333333"/>
                <w:sz w:val="20"/>
                <w:szCs w:val="20"/>
              </w:rPr>
              <w:t>AND</w:t>
            </w:r>
          </w:p>
        </w:tc>
      </w:tr>
      <w:tr w:rsidR="00E4524D" w:rsidRPr="001428E9" w14:paraId="5E34E256" w14:textId="77777777" w:rsidTr="007E7B8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9686B5E" w14:textId="1AD11BCE" w:rsidR="00E4524D" w:rsidRPr="001428E9" w:rsidRDefault="00E4524D" w:rsidP="00530866">
            <w:pPr>
              <w:jc w:val="center"/>
              <w:rPr>
                <w:rFonts w:ascii="Arial Narrow" w:hAnsi="Arial Narrow"/>
                <w:color w:val="333333"/>
                <w:sz w:val="20"/>
                <w:szCs w:val="20"/>
              </w:rPr>
            </w:pPr>
          </w:p>
        </w:tc>
        <w:tc>
          <w:tcPr>
            <w:tcW w:w="4295" w:type="pct"/>
            <w:gridSpan w:val="4"/>
            <w:vAlign w:val="center"/>
            <w:hideMark/>
          </w:tcPr>
          <w:p w14:paraId="25EBB2BE" w14:textId="77777777" w:rsidR="00E4524D" w:rsidRPr="001428E9" w:rsidRDefault="00E4524D" w:rsidP="00530866">
            <w:pPr>
              <w:rPr>
                <w:rFonts w:ascii="Arial Narrow" w:hAnsi="Arial Narrow"/>
                <w:color w:val="333333"/>
                <w:sz w:val="20"/>
                <w:szCs w:val="20"/>
              </w:rPr>
            </w:pPr>
            <w:r w:rsidRPr="001428E9">
              <w:rPr>
                <w:rFonts w:ascii="Arial Narrow" w:hAnsi="Arial Narrow"/>
                <w:b/>
                <w:bCs/>
                <w:color w:val="333333"/>
                <w:sz w:val="20"/>
                <w:szCs w:val="20"/>
              </w:rPr>
              <w:t xml:space="preserve">Administrative Advice: </w:t>
            </w:r>
            <w:r w:rsidRPr="00C845B2">
              <w:rPr>
                <w:rFonts w:ascii="Arial Narrow" w:hAnsi="Arial Narrow"/>
                <w:color w:val="333333"/>
                <w:sz w:val="20"/>
                <w:szCs w:val="20"/>
              </w:rPr>
              <w:t>A patient may only qualify for PBS-subsidised treatment under this restriction once.</w:t>
            </w:r>
            <w:r>
              <w:rPr>
                <w:rFonts w:ascii="Arial Narrow" w:hAnsi="Arial Narrow"/>
                <w:color w:val="333333"/>
                <w:sz w:val="20"/>
                <w:szCs w:val="20"/>
              </w:rPr>
              <w:t xml:space="preserve"> </w:t>
            </w:r>
            <w:r w:rsidRPr="00C845B2">
              <w:rPr>
                <w:rFonts w:ascii="Arial Narrow" w:hAnsi="Arial Narrow"/>
                <w:color w:val="333333"/>
                <w:sz w:val="20"/>
                <w:szCs w:val="20"/>
              </w:rPr>
              <w:t>Following completion of the initial PBS-subsidised course, further applications for treatment will be assessed under the continuing treatment restriction.</w:t>
            </w:r>
          </w:p>
        </w:tc>
      </w:tr>
    </w:tbl>
    <w:p w14:paraId="68A2D219" w14:textId="77777777" w:rsidR="00E4524D" w:rsidRPr="002F3A22" w:rsidRDefault="00E4524D" w:rsidP="00530866">
      <w:pPr>
        <w:rPr>
          <w:b/>
          <w:bCs/>
        </w:rPr>
      </w:pPr>
      <w:r w:rsidRPr="002F3A22">
        <w:rPr>
          <w:b/>
          <w:bCs/>
        </w:rPr>
        <w:lastRenderedPageBreak/>
        <w:t>Continuing treatment</w:t>
      </w:r>
    </w:p>
    <w:p w14:paraId="4962EC23" w14:textId="77777777" w:rsidR="00E4524D" w:rsidRPr="007309F7" w:rsidRDefault="00E4524D" w:rsidP="00530866">
      <w:pP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Caption w:val="Recommended listing"/>
      </w:tblPr>
      <w:tblGrid>
        <w:gridCol w:w="987"/>
        <w:gridCol w:w="1702"/>
        <w:gridCol w:w="1820"/>
        <w:gridCol w:w="2254"/>
        <w:gridCol w:w="2254"/>
      </w:tblGrid>
      <w:tr w:rsidR="00E4524D" w:rsidRPr="00643219" w14:paraId="466F445E" w14:textId="77777777" w:rsidTr="009332DE">
        <w:tc>
          <w:tcPr>
            <w:tcW w:w="1491" w:type="pct"/>
            <w:gridSpan w:val="2"/>
            <w:tcBorders>
              <w:top w:val="single" w:sz="4" w:space="0" w:color="auto"/>
              <w:left w:val="single" w:sz="4" w:space="0" w:color="auto"/>
              <w:right w:val="single" w:sz="4" w:space="0" w:color="auto"/>
            </w:tcBorders>
          </w:tcPr>
          <w:p w14:paraId="7309D97F" w14:textId="77777777" w:rsidR="00E4524D" w:rsidRPr="00643219" w:rsidRDefault="00E4524D" w:rsidP="00530866">
            <w:pPr>
              <w:keepNext/>
              <w:rPr>
                <w:rFonts w:ascii="Arial Narrow" w:hAnsi="Arial Narrow"/>
                <w:b/>
                <w:bCs/>
                <w:sz w:val="20"/>
                <w:szCs w:val="20"/>
              </w:rPr>
            </w:pPr>
            <w:r w:rsidRPr="00643219">
              <w:rPr>
                <w:rFonts w:ascii="Arial Narrow" w:hAnsi="Arial Narrow"/>
                <w:b/>
                <w:bCs/>
                <w:sz w:val="20"/>
                <w:szCs w:val="20"/>
              </w:rPr>
              <w:t>MEDICINAL PRODUCT</w:t>
            </w:r>
          </w:p>
          <w:p w14:paraId="5BE9D4B9" w14:textId="77777777" w:rsidR="00E4524D" w:rsidRPr="00643219" w:rsidRDefault="00E4524D" w:rsidP="00530866">
            <w:pPr>
              <w:rPr>
                <w:rFonts w:ascii="Arial Narrow" w:hAnsi="Arial Narrow"/>
                <w:b/>
                <w:sz w:val="20"/>
                <w:szCs w:val="20"/>
              </w:rPr>
            </w:pPr>
            <w:r w:rsidRPr="00643219">
              <w:rPr>
                <w:rFonts w:ascii="Arial Narrow" w:hAnsi="Arial Narrow"/>
                <w:b/>
                <w:sz w:val="20"/>
                <w:szCs w:val="20"/>
              </w:rPr>
              <w:t>Form</w:t>
            </w:r>
          </w:p>
        </w:tc>
        <w:tc>
          <w:tcPr>
            <w:tcW w:w="1009" w:type="pct"/>
            <w:tcBorders>
              <w:top w:val="single" w:sz="4" w:space="0" w:color="auto"/>
              <w:left w:val="single" w:sz="4" w:space="0" w:color="auto"/>
              <w:right w:val="single" w:sz="4" w:space="0" w:color="auto"/>
            </w:tcBorders>
            <w:vAlign w:val="center"/>
          </w:tcPr>
          <w:p w14:paraId="34929327" w14:textId="77777777" w:rsidR="00E4524D" w:rsidRPr="00643219" w:rsidRDefault="00E4524D" w:rsidP="00530866">
            <w:pPr>
              <w:jc w:val="center"/>
              <w:rPr>
                <w:rFonts w:ascii="Arial Narrow" w:hAnsi="Arial Narrow"/>
                <w:b/>
                <w:sz w:val="20"/>
                <w:szCs w:val="20"/>
              </w:rPr>
            </w:pPr>
            <w:r w:rsidRPr="00643219">
              <w:rPr>
                <w:rFonts w:ascii="Arial Narrow" w:hAnsi="Arial Narrow"/>
                <w:b/>
                <w:sz w:val="20"/>
                <w:szCs w:val="20"/>
              </w:rPr>
              <w:t>PBS item code</w:t>
            </w:r>
          </w:p>
        </w:tc>
        <w:tc>
          <w:tcPr>
            <w:tcW w:w="1250" w:type="pct"/>
            <w:tcBorders>
              <w:top w:val="single" w:sz="4" w:space="0" w:color="auto"/>
              <w:left w:val="single" w:sz="4" w:space="0" w:color="auto"/>
              <w:right w:val="single" w:sz="4" w:space="0" w:color="auto"/>
            </w:tcBorders>
            <w:vAlign w:val="center"/>
          </w:tcPr>
          <w:p w14:paraId="7623FFC1" w14:textId="77777777" w:rsidR="00E4524D" w:rsidRPr="00643219" w:rsidRDefault="00E4524D" w:rsidP="00530866">
            <w:pPr>
              <w:keepNext/>
              <w:keepLines/>
              <w:ind w:left="-108"/>
              <w:jc w:val="center"/>
              <w:rPr>
                <w:rFonts w:ascii="Arial Narrow" w:hAnsi="Arial Narrow"/>
                <w:b/>
                <w:sz w:val="20"/>
                <w:szCs w:val="20"/>
              </w:rPr>
            </w:pPr>
            <w:r w:rsidRPr="00643219">
              <w:rPr>
                <w:rFonts w:ascii="Arial Narrow" w:hAnsi="Arial Narrow"/>
                <w:b/>
                <w:sz w:val="20"/>
                <w:szCs w:val="20"/>
              </w:rPr>
              <w:t>Max. amount</w:t>
            </w:r>
          </w:p>
        </w:tc>
        <w:tc>
          <w:tcPr>
            <w:tcW w:w="1250" w:type="pct"/>
            <w:tcBorders>
              <w:top w:val="single" w:sz="4" w:space="0" w:color="auto"/>
              <w:left w:val="single" w:sz="4" w:space="0" w:color="auto"/>
              <w:right w:val="single" w:sz="4" w:space="0" w:color="auto"/>
            </w:tcBorders>
            <w:vAlign w:val="center"/>
          </w:tcPr>
          <w:p w14:paraId="5E177EFB" w14:textId="77777777" w:rsidR="00E4524D" w:rsidRPr="00643219" w:rsidRDefault="00E4524D" w:rsidP="00530866">
            <w:pPr>
              <w:keepNext/>
              <w:keepLines/>
              <w:ind w:left="-108"/>
              <w:jc w:val="center"/>
              <w:rPr>
                <w:rFonts w:ascii="Arial Narrow" w:hAnsi="Arial Narrow"/>
                <w:b/>
                <w:sz w:val="20"/>
                <w:szCs w:val="20"/>
              </w:rPr>
            </w:pPr>
            <w:r w:rsidRPr="00643219">
              <w:rPr>
                <w:rFonts w:ascii="Arial Narrow" w:hAnsi="Arial Narrow"/>
                <w:b/>
                <w:sz w:val="20"/>
                <w:szCs w:val="20"/>
              </w:rPr>
              <w:t>№. Of Repeats</w:t>
            </w:r>
          </w:p>
        </w:tc>
      </w:tr>
      <w:tr w:rsidR="00E4524D" w:rsidRPr="00643219" w14:paraId="182BA541" w14:textId="77777777" w:rsidTr="009332DE">
        <w:tc>
          <w:tcPr>
            <w:tcW w:w="1491" w:type="pct"/>
            <w:gridSpan w:val="2"/>
            <w:tcBorders>
              <w:top w:val="single" w:sz="4" w:space="0" w:color="auto"/>
              <w:left w:val="single" w:sz="4" w:space="0" w:color="auto"/>
              <w:right w:val="single" w:sz="4" w:space="0" w:color="auto"/>
            </w:tcBorders>
          </w:tcPr>
          <w:p w14:paraId="359E942E" w14:textId="77777777" w:rsidR="00E4524D" w:rsidRPr="00643219" w:rsidRDefault="00E4524D" w:rsidP="00530866">
            <w:pPr>
              <w:keepNext/>
              <w:keepLines/>
              <w:ind w:left="-108"/>
              <w:rPr>
                <w:rFonts w:ascii="Arial Narrow" w:hAnsi="Arial Narrow"/>
                <w:sz w:val="20"/>
                <w:szCs w:val="20"/>
              </w:rPr>
            </w:pPr>
            <w:r w:rsidRPr="00643219">
              <w:rPr>
                <w:rFonts w:ascii="Arial Narrow" w:hAnsi="Arial Narrow"/>
                <w:sz w:val="20"/>
                <w:szCs w:val="20"/>
              </w:rPr>
              <w:t>AAMIVANTAMAB</w:t>
            </w:r>
          </w:p>
          <w:p w14:paraId="1FA76DDF" w14:textId="77777777" w:rsidR="00E4524D" w:rsidRPr="00643219" w:rsidRDefault="00E4524D" w:rsidP="00530866">
            <w:pPr>
              <w:rPr>
                <w:rFonts w:ascii="Arial Narrow" w:hAnsi="Arial Narrow"/>
                <w:b/>
                <w:sz w:val="20"/>
                <w:szCs w:val="20"/>
              </w:rPr>
            </w:pPr>
            <w:r w:rsidRPr="00643219">
              <w:rPr>
                <w:rFonts w:ascii="Arial Narrow" w:eastAsia="Calibri" w:hAnsi="Arial Narrow"/>
                <w:sz w:val="20"/>
                <w:szCs w:val="20"/>
              </w:rPr>
              <w:t>Solution concentrate for I.V. infusion, 350 mg in 7 mL</w:t>
            </w:r>
          </w:p>
        </w:tc>
        <w:tc>
          <w:tcPr>
            <w:tcW w:w="1009" w:type="pct"/>
            <w:tcBorders>
              <w:top w:val="single" w:sz="4" w:space="0" w:color="auto"/>
              <w:left w:val="single" w:sz="4" w:space="0" w:color="auto"/>
              <w:right w:val="single" w:sz="4" w:space="0" w:color="auto"/>
            </w:tcBorders>
          </w:tcPr>
          <w:p w14:paraId="752ED096" w14:textId="77777777" w:rsidR="00E4524D" w:rsidRPr="00643219" w:rsidRDefault="00E4524D" w:rsidP="00530866">
            <w:pPr>
              <w:keepNext/>
              <w:keepLines/>
              <w:jc w:val="center"/>
              <w:rPr>
                <w:rFonts w:ascii="Arial Narrow" w:hAnsi="Arial Narrow"/>
                <w:sz w:val="20"/>
                <w:szCs w:val="20"/>
              </w:rPr>
            </w:pPr>
            <w:r w:rsidRPr="00643219">
              <w:rPr>
                <w:rFonts w:ascii="Arial Narrow" w:hAnsi="Arial Narrow"/>
                <w:sz w:val="20"/>
                <w:szCs w:val="20"/>
              </w:rPr>
              <w:t>New (Public)</w:t>
            </w:r>
          </w:p>
          <w:p w14:paraId="2004FCC3" w14:textId="77777777" w:rsidR="00E4524D" w:rsidRPr="00643219" w:rsidRDefault="00E4524D" w:rsidP="00530866">
            <w:pPr>
              <w:jc w:val="center"/>
              <w:rPr>
                <w:rFonts w:ascii="Arial Narrow" w:hAnsi="Arial Narrow"/>
                <w:b/>
                <w:sz w:val="20"/>
                <w:szCs w:val="20"/>
              </w:rPr>
            </w:pPr>
            <w:r w:rsidRPr="00643219">
              <w:rPr>
                <w:rFonts w:ascii="Arial Narrow" w:hAnsi="Arial Narrow"/>
                <w:sz w:val="20"/>
                <w:szCs w:val="20"/>
              </w:rPr>
              <w:t>New (Private)</w:t>
            </w:r>
          </w:p>
        </w:tc>
        <w:tc>
          <w:tcPr>
            <w:tcW w:w="1250" w:type="pct"/>
            <w:tcBorders>
              <w:top w:val="single" w:sz="4" w:space="0" w:color="auto"/>
              <w:left w:val="single" w:sz="4" w:space="0" w:color="auto"/>
              <w:right w:val="single" w:sz="4" w:space="0" w:color="auto"/>
            </w:tcBorders>
            <w:vAlign w:val="center"/>
          </w:tcPr>
          <w:p w14:paraId="7A617876" w14:textId="77777777" w:rsidR="00E4524D" w:rsidRPr="00643219" w:rsidRDefault="00E4524D" w:rsidP="00530866">
            <w:pPr>
              <w:keepNext/>
              <w:keepLines/>
              <w:jc w:val="center"/>
              <w:rPr>
                <w:rFonts w:ascii="Arial Narrow" w:hAnsi="Arial Narrow"/>
                <w:b/>
                <w:sz w:val="20"/>
                <w:szCs w:val="20"/>
              </w:rPr>
            </w:pPr>
            <w:r w:rsidRPr="00643219">
              <w:rPr>
                <w:rFonts w:ascii="Arial Narrow" w:hAnsi="Arial Narrow"/>
                <w:sz w:val="20"/>
                <w:szCs w:val="20"/>
              </w:rPr>
              <w:t>2100 mg</w:t>
            </w:r>
          </w:p>
        </w:tc>
        <w:tc>
          <w:tcPr>
            <w:tcW w:w="1250" w:type="pct"/>
            <w:tcBorders>
              <w:top w:val="single" w:sz="4" w:space="0" w:color="auto"/>
              <w:left w:val="single" w:sz="4" w:space="0" w:color="auto"/>
              <w:right w:val="single" w:sz="4" w:space="0" w:color="auto"/>
            </w:tcBorders>
            <w:vAlign w:val="center"/>
          </w:tcPr>
          <w:p w14:paraId="08574CD8" w14:textId="77777777" w:rsidR="00E4524D" w:rsidRPr="00643219" w:rsidRDefault="00E4524D" w:rsidP="00530866">
            <w:pPr>
              <w:keepNext/>
              <w:keepLines/>
              <w:jc w:val="center"/>
              <w:rPr>
                <w:rFonts w:ascii="Arial Narrow" w:hAnsi="Arial Narrow"/>
                <w:b/>
                <w:sz w:val="20"/>
                <w:szCs w:val="20"/>
              </w:rPr>
            </w:pPr>
            <w:r w:rsidRPr="00643219">
              <w:rPr>
                <w:rFonts w:ascii="Arial Narrow" w:hAnsi="Arial Narrow"/>
                <w:sz w:val="20"/>
                <w:szCs w:val="20"/>
              </w:rPr>
              <w:t>7</w:t>
            </w:r>
          </w:p>
        </w:tc>
      </w:tr>
      <w:tr w:rsidR="00E4524D" w:rsidRPr="00643219" w14:paraId="1931CE91" w14:textId="77777777" w:rsidTr="009332DE">
        <w:tc>
          <w:tcPr>
            <w:tcW w:w="5000" w:type="pct"/>
            <w:gridSpan w:val="5"/>
            <w:tcBorders>
              <w:top w:val="single" w:sz="4" w:space="0" w:color="auto"/>
              <w:left w:val="single" w:sz="4" w:space="0" w:color="auto"/>
              <w:right w:val="single" w:sz="4" w:space="0" w:color="auto"/>
            </w:tcBorders>
          </w:tcPr>
          <w:p w14:paraId="5D6F7D96" w14:textId="77777777" w:rsidR="00E4524D" w:rsidRPr="00643219" w:rsidRDefault="00E4524D" w:rsidP="00530866">
            <w:pPr>
              <w:rPr>
                <w:rFonts w:ascii="Arial Narrow" w:hAnsi="Arial Narrow"/>
                <w:b/>
                <w:sz w:val="20"/>
                <w:szCs w:val="20"/>
              </w:rPr>
            </w:pPr>
            <w:r w:rsidRPr="00643219">
              <w:rPr>
                <w:rFonts w:ascii="Arial Narrow" w:hAnsi="Arial Narrow"/>
                <w:b/>
                <w:sz w:val="20"/>
                <w:szCs w:val="20"/>
              </w:rPr>
              <w:t>Available brands</w:t>
            </w:r>
          </w:p>
        </w:tc>
      </w:tr>
      <w:tr w:rsidR="00E4524D" w:rsidRPr="00643219" w14:paraId="2FAF64E6" w14:textId="77777777" w:rsidTr="009332DE">
        <w:tc>
          <w:tcPr>
            <w:tcW w:w="5000" w:type="pct"/>
            <w:gridSpan w:val="5"/>
            <w:tcBorders>
              <w:top w:val="single" w:sz="4" w:space="0" w:color="auto"/>
              <w:left w:val="single" w:sz="4" w:space="0" w:color="auto"/>
              <w:right w:val="single" w:sz="4" w:space="0" w:color="auto"/>
            </w:tcBorders>
          </w:tcPr>
          <w:p w14:paraId="26CE59CF" w14:textId="58A3B39F" w:rsidR="00E4524D" w:rsidRPr="00643219" w:rsidRDefault="002E04EE" w:rsidP="00530866">
            <w:pPr>
              <w:keepNext/>
              <w:keepLines/>
              <w:ind w:left="-108"/>
              <w:rPr>
                <w:rFonts w:ascii="Arial Narrow" w:hAnsi="Arial Narrow"/>
                <w:sz w:val="20"/>
                <w:szCs w:val="20"/>
              </w:rPr>
            </w:pPr>
            <w:r>
              <w:rPr>
                <w:rFonts w:ascii="Arial Narrow" w:hAnsi="Arial Narrow"/>
                <w:sz w:val="20"/>
                <w:szCs w:val="20"/>
              </w:rPr>
              <w:t xml:space="preserve"> </w:t>
            </w:r>
            <w:r w:rsidR="00E4524D" w:rsidRPr="00643219">
              <w:rPr>
                <w:rFonts w:ascii="Arial Narrow" w:hAnsi="Arial Narrow"/>
                <w:sz w:val="20"/>
                <w:szCs w:val="20"/>
              </w:rPr>
              <w:t>Rybrevant</w:t>
            </w:r>
          </w:p>
          <w:p w14:paraId="55581877" w14:textId="77777777" w:rsidR="00E4524D" w:rsidRPr="00643219" w:rsidRDefault="00E4524D" w:rsidP="00530866">
            <w:pPr>
              <w:rPr>
                <w:rFonts w:ascii="Arial Narrow" w:hAnsi="Arial Narrow"/>
                <w:b/>
                <w:sz w:val="20"/>
                <w:szCs w:val="20"/>
              </w:rPr>
            </w:pPr>
            <w:r w:rsidRPr="00643219">
              <w:rPr>
                <w:rFonts w:ascii="Arial Narrow" w:hAnsi="Arial Narrow"/>
                <w:sz w:val="20"/>
                <w:szCs w:val="20"/>
              </w:rPr>
              <w:t>amivantamab 350 mg/7 mL injection, 7 mL vial</w:t>
            </w:r>
          </w:p>
        </w:tc>
      </w:tr>
      <w:tr w:rsidR="00E4524D" w:rsidRPr="00643219" w14:paraId="0818C52E" w14:textId="77777777" w:rsidTr="009332DE">
        <w:tc>
          <w:tcPr>
            <w:tcW w:w="5000" w:type="pct"/>
            <w:gridSpan w:val="5"/>
            <w:tcBorders>
              <w:top w:val="single" w:sz="4" w:space="0" w:color="auto"/>
              <w:left w:val="single" w:sz="4" w:space="0" w:color="auto"/>
              <w:right w:val="single" w:sz="4" w:space="0" w:color="auto"/>
            </w:tcBorders>
          </w:tcPr>
          <w:p w14:paraId="76BE92F5" w14:textId="77777777" w:rsidR="00E4524D" w:rsidRPr="00643219" w:rsidRDefault="00E4524D" w:rsidP="00530866">
            <w:pPr>
              <w:rPr>
                <w:rFonts w:ascii="Arial Narrow" w:hAnsi="Arial Narrow"/>
                <w:b/>
                <w:sz w:val="20"/>
                <w:szCs w:val="20"/>
              </w:rPr>
            </w:pPr>
          </w:p>
        </w:tc>
      </w:tr>
      <w:tr w:rsidR="00E4524D" w:rsidRPr="00643219" w14:paraId="7C074CB0" w14:textId="77777777" w:rsidTr="009332DE">
        <w:tc>
          <w:tcPr>
            <w:tcW w:w="5000" w:type="pct"/>
            <w:gridSpan w:val="5"/>
            <w:tcBorders>
              <w:top w:val="single" w:sz="4" w:space="0" w:color="auto"/>
              <w:left w:val="single" w:sz="4" w:space="0" w:color="auto"/>
              <w:right w:val="single" w:sz="4" w:space="0" w:color="auto"/>
            </w:tcBorders>
          </w:tcPr>
          <w:p w14:paraId="39513912" w14:textId="05B8EB9C" w:rsidR="00E4524D" w:rsidRPr="00643219" w:rsidRDefault="00E4524D" w:rsidP="00530866">
            <w:pPr>
              <w:rPr>
                <w:rFonts w:ascii="Arial Narrow" w:hAnsi="Arial Narrow"/>
                <w:b/>
                <w:sz w:val="20"/>
                <w:szCs w:val="20"/>
              </w:rPr>
            </w:pPr>
            <w:r w:rsidRPr="001428E9">
              <w:rPr>
                <w:rFonts w:ascii="Arial Narrow" w:hAnsi="Arial Narrow"/>
                <w:b/>
                <w:sz w:val="20"/>
                <w:szCs w:val="20"/>
              </w:rPr>
              <w:t xml:space="preserve">Restriction Summary [new] / Treatment of Concept: [new] </w:t>
            </w:r>
          </w:p>
        </w:tc>
      </w:tr>
      <w:tr w:rsidR="00E4524D" w:rsidRPr="00643219" w14:paraId="4E5E78FC" w14:textId="77777777" w:rsidTr="009332DE">
        <w:tc>
          <w:tcPr>
            <w:tcW w:w="547" w:type="pct"/>
            <w:vMerge w:val="restart"/>
            <w:tcBorders>
              <w:top w:val="single" w:sz="4" w:space="0" w:color="auto"/>
              <w:left w:val="single" w:sz="4" w:space="0" w:color="auto"/>
              <w:right w:val="single" w:sz="4" w:space="0" w:color="auto"/>
            </w:tcBorders>
          </w:tcPr>
          <w:p w14:paraId="3F160462" w14:textId="77777777" w:rsidR="00E4524D" w:rsidRPr="00643219" w:rsidRDefault="00E4524D" w:rsidP="00530866">
            <w:pPr>
              <w:jc w:val="center"/>
              <w:rPr>
                <w:rFonts w:ascii="Arial Narrow" w:hAnsi="Arial Narrow"/>
                <w:b/>
                <w:sz w:val="20"/>
                <w:szCs w:val="20"/>
              </w:rPr>
            </w:pPr>
            <w:r w:rsidRPr="00643219">
              <w:rPr>
                <w:rFonts w:ascii="Arial Narrow" w:hAnsi="Arial Narrow"/>
                <w:b/>
                <w:sz w:val="20"/>
                <w:szCs w:val="20"/>
              </w:rPr>
              <w:t xml:space="preserve">Concept ID </w:t>
            </w:r>
            <w:r w:rsidRPr="00643219">
              <w:rPr>
                <w:rFonts w:ascii="Arial Narrow" w:hAnsi="Arial Narrow"/>
                <w:bCs/>
                <w:sz w:val="20"/>
                <w:szCs w:val="20"/>
              </w:rPr>
              <w:t>(for internal Dept. use)</w:t>
            </w:r>
          </w:p>
        </w:tc>
        <w:tc>
          <w:tcPr>
            <w:tcW w:w="4453" w:type="pct"/>
            <w:gridSpan w:val="4"/>
            <w:tcBorders>
              <w:top w:val="single" w:sz="4" w:space="0" w:color="auto"/>
              <w:left w:val="single" w:sz="4" w:space="0" w:color="auto"/>
              <w:bottom w:val="single" w:sz="4" w:space="0" w:color="auto"/>
              <w:right w:val="single" w:sz="4" w:space="0" w:color="auto"/>
            </w:tcBorders>
          </w:tcPr>
          <w:p w14:paraId="4AB2F499" w14:textId="25C11889" w:rsidR="00E4524D" w:rsidRPr="00643219" w:rsidRDefault="00E4524D" w:rsidP="00530866">
            <w:pPr>
              <w:rPr>
                <w:rFonts w:ascii="Arial Narrow" w:hAnsi="Arial Narrow"/>
                <w:sz w:val="20"/>
                <w:szCs w:val="20"/>
              </w:rPr>
            </w:pPr>
            <w:r w:rsidRPr="00643219">
              <w:rPr>
                <w:rFonts w:ascii="Arial Narrow" w:hAnsi="Arial Narrow"/>
                <w:b/>
                <w:sz w:val="20"/>
                <w:szCs w:val="20"/>
              </w:rPr>
              <w:t xml:space="preserve">Category / Program: </w:t>
            </w:r>
            <w:r w:rsidRPr="00643219">
              <w:rPr>
                <w:rFonts w:ascii="Arial Narrow" w:hAnsi="Arial Narrow"/>
                <w:bCs/>
                <w:sz w:val="20"/>
                <w:szCs w:val="20"/>
              </w:rPr>
              <w:t xml:space="preserve">Section 100 – Efficient Funding of Chemotherapy </w:t>
            </w:r>
            <w:r w:rsidRPr="00377C25">
              <w:rPr>
                <w:rFonts w:ascii="Arial Narrow" w:hAnsi="Arial Narrow"/>
                <w:bCs/>
                <w:sz w:val="20"/>
                <w:szCs w:val="20"/>
              </w:rPr>
              <w:t>Public/Private hospitals</w:t>
            </w:r>
          </w:p>
        </w:tc>
      </w:tr>
      <w:tr w:rsidR="00E4524D" w:rsidRPr="00643219" w14:paraId="10EA696A" w14:textId="77777777" w:rsidTr="009332DE">
        <w:trPr>
          <w:trHeight w:val="240"/>
        </w:trPr>
        <w:tc>
          <w:tcPr>
            <w:tcW w:w="547" w:type="pct"/>
            <w:vMerge/>
            <w:tcBorders>
              <w:left w:val="single" w:sz="4" w:space="0" w:color="auto"/>
              <w:right w:val="single" w:sz="4" w:space="0" w:color="auto"/>
            </w:tcBorders>
          </w:tcPr>
          <w:p w14:paraId="19542880" w14:textId="77777777" w:rsidR="00E4524D" w:rsidRPr="00643219" w:rsidRDefault="00E4524D" w:rsidP="00530866">
            <w:pPr>
              <w:rPr>
                <w:rFonts w:ascii="Arial Narrow" w:hAnsi="Arial Narrow"/>
                <w:sz w:val="20"/>
                <w:szCs w:val="20"/>
              </w:rPr>
            </w:pPr>
          </w:p>
        </w:tc>
        <w:tc>
          <w:tcPr>
            <w:tcW w:w="4453" w:type="pct"/>
            <w:gridSpan w:val="4"/>
            <w:tcBorders>
              <w:top w:val="single" w:sz="4" w:space="0" w:color="auto"/>
              <w:left w:val="single" w:sz="4" w:space="0" w:color="auto"/>
              <w:bottom w:val="single" w:sz="4" w:space="0" w:color="auto"/>
              <w:right w:val="single" w:sz="4" w:space="0" w:color="auto"/>
            </w:tcBorders>
          </w:tcPr>
          <w:p w14:paraId="4CA27EE1" w14:textId="22066EAB" w:rsidR="00E4524D" w:rsidRPr="00643219" w:rsidRDefault="00E4524D" w:rsidP="00530866">
            <w:pPr>
              <w:rPr>
                <w:rFonts w:ascii="Arial Narrow" w:hAnsi="Arial Narrow"/>
                <w:b/>
                <w:sz w:val="20"/>
                <w:szCs w:val="20"/>
              </w:rPr>
            </w:pPr>
            <w:r w:rsidRPr="00643219">
              <w:rPr>
                <w:rFonts w:ascii="Arial Narrow" w:hAnsi="Arial Narrow"/>
                <w:b/>
                <w:sz w:val="20"/>
                <w:szCs w:val="20"/>
              </w:rPr>
              <w:t>Prescriber type:</w:t>
            </w:r>
            <w:r w:rsidR="00807331">
              <w:rPr>
                <w:rFonts w:ascii="Arial Narrow" w:hAnsi="Arial Narrow"/>
                <w:b/>
                <w:sz w:val="20"/>
                <w:szCs w:val="20"/>
              </w:rPr>
              <w:t xml:space="preserve"> </w:t>
            </w:r>
            <w:r w:rsidRPr="00643219">
              <w:rPr>
                <w:rFonts w:ascii="Arial Narrow" w:hAnsi="Arial Narrow"/>
                <w:sz w:val="20"/>
                <w:szCs w:val="20"/>
              </w:rPr>
              <w:fldChar w:fldCharType="begin">
                <w:ffData>
                  <w:name w:val=""/>
                  <w:enabled/>
                  <w:calcOnExit w:val="0"/>
                  <w:checkBox>
                    <w:sizeAuto/>
                    <w:default w:val="1"/>
                  </w:checkBox>
                </w:ffData>
              </w:fldChar>
            </w:r>
            <w:r w:rsidRPr="00643219">
              <w:rPr>
                <w:rFonts w:ascii="Arial Narrow" w:hAnsi="Arial Narrow"/>
                <w:sz w:val="20"/>
                <w:szCs w:val="20"/>
              </w:rPr>
              <w:instrText xml:space="preserve"> FORMCHECKBOX </w:instrText>
            </w:r>
            <w:r w:rsidRPr="00643219">
              <w:rPr>
                <w:rFonts w:ascii="Arial Narrow" w:hAnsi="Arial Narrow"/>
                <w:sz w:val="20"/>
                <w:szCs w:val="20"/>
              </w:rPr>
            </w:r>
            <w:r w:rsidRPr="00643219">
              <w:rPr>
                <w:rFonts w:ascii="Arial Narrow" w:hAnsi="Arial Narrow"/>
                <w:sz w:val="20"/>
                <w:szCs w:val="20"/>
              </w:rPr>
              <w:fldChar w:fldCharType="separate"/>
            </w:r>
            <w:r w:rsidRPr="00643219">
              <w:rPr>
                <w:rFonts w:ascii="Arial Narrow" w:hAnsi="Arial Narrow"/>
                <w:sz w:val="20"/>
                <w:szCs w:val="20"/>
              </w:rPr>
              <w:fldChar w:fldCharType="end"/>
            </w:r>
            <w:r w:rsidRPr="00643219">
              <w:rPr>
                <w:rFonts w:ascii="Arial Narrow" w:hAnsi="Arial Narrow"/>
                <w:sz w:val="20"/>
                <w:szCs w:val="20"/>
              </w:rPr>
              <w:t xml:space="preserve">Medical Practitioners </w:t>
            </w:r>
          </w:p>
        </w:tc>
      </w:tr>
      <w:tr w:rsidR="00E4524D" w:rsidRPr="00643219" w14:paraId="7EEA9458" w14:textId="77777777" w:rsidTr="009332DE">
        <w:tc>
          <w:tcPr>
            <w:tcW w:w="547" w:type="pct"/>
            <w:vMerge/>
            <w:tcBorders>
              <w:left w:val="single" w:sz="4" w:space="0" w:color="auto"/>
              <w:bottom w:val="single" w:sz="4" w:space="0" w:color="auto"/>
              <w:right w:val="single" w:sz="4" w:space="0" w:color="auto"/>
            </w:tcBorders>
          </w:tcPr>
          <w:p w14:paraId="0BDABBA9" w14:textId="77777777" w:rsidR="00E4524D" w:rsidRPr="00643219" w:rsidRDefault="00E4524D" w:rsidP="00530866">
            <w:pPr>
              <w:rPr>
                <w:rFonts w:ascii="Arial Narrow" w:hAnsi="Arial Narrow"/>
                <w:sz w:val="20"/>
                <w:szCs w:val="20"/>
              </w:rPr>
            </w:pPr>
          </w:p>
        </w:tc>
        <w:tc>
          <w:tcPr>
            <w:tcW w:w="4453" w:type="pct"/>
            <w:gridSpan w:val="4"/>
            <w:tcBorders>
              <w:top w:val="single" w:sz="4" w:space="0" w:color="auto"/>
              <w:left w:val="single" w:sz="4" w:space="0" w:color="auto"/>
              <w:bottom w:val="single" w:sz="4" w:space="0" w:color="auto"/>
              <w:right w:val="single" w:sz="4" w:space="0" w:color="auto"/>
            </w:tcBorders>
          </w:tcPr>
          <w:p w14:paraId="615E060E" w14:textId="77777777" w:rsidR="00E4524D" w:rsidRPr="00643219" w:rsidRDefault="00E4524D" w:rsidP="00530866">
            <w:pPr>
              <w:rPr>
                <w:rFonts w:ascii="Arial Narrow" w:hAnsi="Arial Narrow"/>
                <w:b/>
                <w:sz w:val="20"/>
                <w:szCs w:val="20"/>
              </w:rPr>
            </w:pPr>
            <w:r w:rsidRPr="00643219">
              <w:rPr>
                <w:rFonts w:ascii="Arial Narrow" w:hAnsi="Arial Narrow"/>
                <w:b/>
                <w:sz w:val="20"/>
                <w:szCs w:val="20"/>
              </w:rPr>
              <w:t>Restriction Type</w:t>
            </w:r>
          </w:p>
          <w:p w14:paraId="6F1B21BF" w14:textId="77777777" w:rsidR="00E4524D" w:rsidRPr="00643219" w:rsidRDefault="00E4524D" w:rsidP="00530866">
            <w:pPr>
              <w:rPr>
                <w:rFonts w:ascii="Arial Narrow" w:eastAsia="Calibri" w:hAnsi="Arial Narrow"/>
                <w:sz w:val="20"/>
                <w:szCs w:val="20"/>
              </w:rPr>
            </w:pPr>
            <w:r w:rsidRPr="00643219">
              <w:rPr>
                <w:rFonts w:ascii="Arial Narrow" w:eastAsia="Calibri" w:hAnsi="Arial Narrow"/>
                <w:sz w:val="20"/>
                <w:szCs w:val="20"/>
              </w:rPr>
              <w:fldChar w:fldCharType="begin">
                <w:ffData>
                  <w:name w:val="Check3"/>
                  <w:enabled/>
                  <w:calcOnExit w:val="0"/>
                  <w:checkBox>
                    <w:sizeAuto/>
                    <w:default w:val="1"/>
                  </w:checkBox>
                </w:ffData>
              </w:fldChar>
            </w:r>
            <w:r w:rsidRPr="00643219">
              <w:rPr>
                <w:rFonts w:ascii="Arial Narrow" w:eastAsia="Calibri" w:hAnsi="Arial Narrow"/>
                <w:sz w:val="20"/>
                <w:szCs w:val="20"/>
              </w:rPr>
              <w:instrText xml:space="preserve"> FORMCHECKBOX </w:instrText>
            </w:r>
            <w:r w:rsidRPr="00643219">
              <w:rPr>
                <w:rFonts w:ascii="Arial Narrow" w:eastAsia="Calibri" w:hAnsi="Arial Narrow"/>
                <w:sz w:val="20"/>
                <w:szCs w:val="20"/>
              </w:rPr>
            </w:r>
            <w:r w:rsidRPr="00643219">
              <w:rPr>
                <w:rFonts w:ascii="Arial Narrow" w:eastAsia="Calibri" w:hAnsi="Arial Narrow"/>
                <w:sz w:val="20"/>
                <w:szCs w:val="20"/>
              </w:rPr>
              <w:fldChar w:fldCharType="separate"/>
            </w:r>
            <w:r w:rsidRPr="00643219">
              <w:rPr>
                <w:rFonts w:ascii="Arial Narrow" w:eastAsia="Calibri" w:hAnsi="Arial Narrow"/>
                <w:sz w:val="20"/>
                <w:szCs w:val="20"/>
              </w:rPr>
              <w:fldChar w:fldCharType="end"/>
            </w:r>
            <w:r w:rsidRPr="00643219">
              <w:rPr>
                <w:rFonts w:ascii="Arial Narrow" w:eastAsia="Calibri" w:hAnsi="Arial Narrow"/>
                <w:sz w:val="20"/>
                <w:szCs w:val="20"/>
              </w:rPr>
              <w:t xml:space="preserve">Authority Required – immediate/real time assessment by Services Australia (telephone/online application </w:t>
            </w:r>
            <w:r w:rsidRPr="00C91E07">
              <w:rPr>
                <w:rFonts w:ascii="Arial Narrow" w:eastAsia="Calibri" w:hAnsi="Arial Narrow"/>
                <w:sz w:val="20"/>
                <w:szCs w:val="20"/>
              </w:rPr>
              <w:t>avenues</w:t>
            </w:r>
            <w:r w:rsidRPr="00643219">
              <w:rPr>
                <w:rFonts w:ascii="Arial Narrow" w:eastAsia="Calibri" w:hAnsi="Arial Narrow"/>
                <w:sz w:val="20"/>
                <w:szCs w:val="20"/>
              </w:rPr>
              <w:t>)</w:t>
            </w:r>
          </w:p>
        </w:tc>
      </w:tr>
      <w:tr w:rsidR="00E4524D" w:rsidRPr="00643219" w14:paraId="430C1602" w14:textId="77777777" w:rsidTr="009332DE">
        <w:tc>
          <w:tcPr>
            <w:tcW w:w="547" w:type="pct"/>
            <w:vAlign w:val="center"/>
          </w:tcPr>
          <w:p w14:paraId="0849ECD5" w14:textId="22336E94" w:rsidR="00E4524D" w:rsidRDefault="00E4524D" w:rsidP="00530866">
            <w:pPr>
              <w:jc w:val="center"/>
              <w:rPr>
                <w:rFonts w:ascii="Arial Narrow" w:hAnsi="Arial Narrow"/>
                <w:bCs/>
                <w:sz w:val="20"/>
                <w:szCs w:val="20"/>
              </w:rPr>
            </w:pPr>
          </w:p>
        </w:tc>
        <w:tc>
          <w:tcPr>
            <w:tcW w:w="4453" w:type="pct"/>
            <w:gridSpan w:val="4"/>
            <w:vAlign w:val="center"/>
          </w:tcPr>
          <w:p w14:paraId="170F5A68" w14:textId="77777777" w:rsidR="00E4524D" w:rsidRPr="005E1FEF" w:rsidRDefault="00E4524D" w:rsidP="00530866">
            <w:pPr>
              <w:rPr>
                <w:rFonts w:ascii="Arial Narrow" w:hAnsi="Arial Narrow"/>
                <w:b/>
                <w:bCs/>
                <w:sz w:val="20"/>
                <w:szCs w:val="20"/>
              </w:rPr>
            </w:pPr>
            <w:r w:rsidRPr="00643219">
              <w:rPr>
                <w:rFonts w:ascii="Arial Narrow" w:hAnsi="Arial Narrow"/>
                <w:b/>
                <w:bCs/>
                <w:sz w:val="20"/>
                <w:szCs w:val="20"/>
              </w:rPr>
              <w:t xml:space="preserve">Administrative Advice: </w:t>
            </w:r>
            <w:r w:rsidRPr="00643219">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E4524D" w:rsidRPr="00643219" w14:paraId="4A868C47" w14:textId="77777777" w:rsidTr="009332DE">
        <w:tc>
          <w:tcPr>
            <w:tcW w:w="547" w:type="pct"/>
            <w:vAlign w:val="center"/>
          </w:tcPr>
          <w:p w14:paraId="41B5167B" w14:textId="2A25F25E" w:rsidR="00E4524D" w:rsidRPr="00643219" w:rsidRDefault="00E4524D" w:rsidP="00530866">
            <w:pPr>
              <w:jc w:val="center"/>
              <w:rPr>
                <w:rFonts w:ascii="Arial Narrow" w:hAnsi="Arial Narrow"/>
                <w:color w:val="333333"/>
                <w:sz w:val="20"/>
                <w:szCs w:val="20"/>
              </w:rPr>
            </w:pPr>
          </w:p>
        </w:tc>
        <w:tc>
          <w:tcPr>
            <w:tcW w:w="4453" w:type="pct"/>
            <w:gridSpan w:val="4"/>
            <w:vAlign w:val="center"/>
          </w:tcPr>
          <w:p w14:paraId="5B2C38A9" w14:textId="77777777" w:rsidR="00E4524D" w:rsidRPr="00643219" w:rsidRDefault="00E4524D" w:rsidP="00530866">
            <w:pPr>
              <w:rPr>
                <w:rFonts w:ascii="Arial Narrow" w:hAnsi="Arial Narrow"/>
                <w:b/>
                <w:bCs/>
                <w:color w:val="333333"/>
                <w:sz w:val="20"/>
                <w:szCs w:val="20"/>
              </w:rPr>
            </w:pPr>
            <w:r w:rsidRPr="005E1FEF">
              <w:rPr>
                <w:rFonts w:ascii="Arial Narrow" w:hAnsi="Arial Narrow"/>
                <w:b/>
                <w:bCs/>
                <w:sz w:val="20"/>
                <w:szCs w:val="20"/>
              </w:rPr>
              <w:t xml:space="preserve">Administrative Advice: </w:t>
            </w:r>
            <w:r w:rsidRPr="004B34E7">
              <w:rPr>
                <w:rFonts w:ascii="Arial Narrow" w:hAnsi="Arial Narrow"/>
                <w:sz w:val="20"/>
                <w:szCs w:val="20"/>
              </w:rPr>
              <w:t>No increase in the maximum amount or number of units may be authorised.</w:t>
            </w:r>
          </w:p>
        </w:tc>
      </w:tr>
      <w:tr w:rsidR="00E4524D" w:rsidRPr="00643219" w14:paraId="395E28D5" w14:textId="77777777" w:rsidTr="009332DE">
        <w:tc>
          <w:tcPr>
            <w:tcW w:w="547" w:type="pct"/>
            <w:vAlign w:val="center"/>
          </w:tcPr>
          <w:p w14:paraId="26C05450" w14:textId="0CCFC862" w:rsidR="00E4524D" w:rsidRPr="00643219" w:rsidRDefault="00E4524D" w:rsidP="00530866">
            <w:pPr>
              <w:jc w:val="center"/>
              <w:rPr>
                <w:rFonts w:ascii="Arial Narrow" w:hAnsi="Arial Narrow"/>
                <w:color w:val="333333"/>
                <w:sz w:val="20"/>
                <w:szCs w:val="20"/>
              </w:rPr>
            </w:pPr>
          </w:p>
        </w:tc>
        <w:tc>
          <w:tcPr>
            <w:tcW w:w="4453" w:type="pct"/>
            <w:gridSpan w:val="4"/>
            <w:vAlign w:val="center"/>
          </w:tcPr>
          <w:p w14:paraId="3B6F56B5" w14:textId="77777777" w:rsidR="00E4524D" w:rsidRPr="00643219" w:rsidRDefault="00E4524D" w:rsidP="00530866">
            <w:pPr>
              <w:rPr>
                <w:rFonts w:ascii="Arial Narrow" w:hAnsi="Arial Narrow"/>
                <w:b/>
                <w:bCs/>
                <w:color w:val="333333"/>
                <w:sz w:val="20"/>
                <w:szCs w:val="20"/>
              </w:rPr>
            </w:pPr>
            <w:r w:rsidRPr="00643219">
              <w:rPr>
                <w:rFonts w:ascii="Arial Narrow" w:hAnsi="Arial Narrow"/>
                <w:b/>
                <w:bCs/>
                <w:sz w:val="20"/>
                <w:szCs w:val="20"/>
              </w:rPr>
              <w:t xml:space="preserve">Administrative Advice: </w:t>
            </w:r>
            <w:r w:rsidRPr="00643219">
              <w:rPr>
                <w:rFonts w:ascii="Arial Narrow" w:hAnsi="Arial Narrow"/>
                <w:sz w:val="20"/>
                <w:szCs w:val="20"/>
              </w:rPr>
              <w:t>No increase in the maximum number of repeats may be authorised.</w:t>
            </w:r>
          </w:p>
        </w:tc>
      </w:tr>
      <w:tr w:rsidR="00E4524D" w:rsidRPr="00643219" w14:paraId="7901599F" w14:textId="77777777" w:rsidTr="009332DE">
        <w:tc>
          <w:tcPr>
            <w:tcW w:w="547" w:type="pct"/>
            <w:vAlign w:val="center"/>
          </w:tcPr>
          <w:p w14:paraId="6C514D5E" w14:textId="1A470EFA" w:rsidR="00E4524D" w:rsidRPr="00643219" w:rsidRDefault="00E4524D" w:rsidP="00530866">
            <w:pPr>
              <w:jc w:val="center"/>
              <w:rPr>
                <w:rFonts w:ascii="Arial Narrow" w:hAnsi="Arial Narrow"/>
                <w:color w:val="333333"/>
                <w:sz w:val="20"/>
                <w:szCs w:val="20"/>
              </w:rPr>
            </w:pPr>
          </w:p>
        </w:tc>
        <w:tc>
          <w:tcPr>
            <w:tcW w:w="4453" w:type="pct"/>
            <w:gridSpan w:val="4"/>
            <w:vAlign w:val="center"/>
          </w:tcPr>
          <w:p w14:paraId="0611EEC3" w14:textId="77777777" w:rsidR="00E4524D" w:rsidRPr="00643219" w:rsidRDefault="00E4524D" w:rsidP="00530866">
            <w:pPr>
              <w:rPr>
                <w:rFonts w:ascii="Arial Narrow" w:hAnsi="Arial Narrow"/>
                <w:b/>
                <w:bCs/>
                <w:color w:val="333333"/>
                <w:sz w:val="20"/>
                <w:szCs w:val="20"/>
              </w:rPr>
            </w:pPr>
            <w:r w:rsidRPr="00643219">
              <w:rPr>
                <w:rFonts w:ascii="Arial Narrow" w:hAnsi="Arial Narrow"/>
                <w:b/>
                <w:bCs/>
                <w:sz w:val="20"/>
                <w:szCs w:val="20"/>
              </w:rPr>
              <w:t xml:space="preserve">Administrative Advice: </w:t>
            </w:r>
            <w:r w:rsidRPr="00643219">
              <w:rPr>
                <w:rFonts w:ascii="Arial Narrow" w:hAnsi="Arial Narrow"/>
                <w:sz w:val="20"/>
                <w:szCs w:val="20"/>
              </w:rPr>
              <w:t>Special Pricing Arrangement apply.</w:t>
            </w:r>
          </w:p>
        </w:tc>
      </w:tr>
      <w:tr w:rsidR="00E4524D" w:rsidRPr="00643219" w14:paraId="1E37D768" w14:textId="77777777" w:rsidTr="009332DE">
        <w:tc>
          <w:tcPr>
            <w:tcW w:w="547" w:type="pct"/>
            <w:vAlign w:val="center"/>
          </w:tcPr>
          <w:p w14:paraId="43D81E19" w14:textId="77777777" w:rsidR="00E4524D" w:rsidRPr="00643219" w:rsidRDefault="00E4524D" w:rsidP="00530866">
            <w:pPr>
              <w:jc w:val="center"/>
              <w:rPr>
                <w:rFonts w:ascii="Arial Narrow" w:hAnsi="Arial Narrow"/>
                <w:color w:val="333333"/>
                <w:sz w:val="20"/>
                <w:szCs w:val="20"/>
              </w:rPr>
            </w:pPr>
          </w:p>
        </w:tc>
        <w:tc>
          <w:tcPr>
            <w:tcW w:w="4453" w:type="pct"/>
            <w:gridSpan w:val="4"/>
            <w:vAlign w:val="center"/>
            <w:hideMark/>
          </w:tcPr>
          <w:p w14:paraId="5507904E" w14:textId="77777777" w:rsidR="00E4524D" w:rsidRPr="00643219" w:rsidRDefault="00E4524D" w:rsidP="00530866">
            <w:pPr>
              <w:rPr>
                <w:rFonts w:ascii="Arial Narrow" w:hAnsi="Arial Narrow"/>
                <w:color w:val="333333"/>
                <w:sz w:val="20"/>
                <w:szCs w:val="20"/>
              </w:rPr>
            </w:pPr>
            <w:r w:rsidRPr="00643219">
              <w:rPr>
                <w:rFonts w:ascii="Arial Narrow" w:hAnsi="Arial Narrow"/>
                <w:b/>
                <w:bCs/>
                <w:color w:val="333333"/>
                <w:sz w:val="20"/>
                <w:szCs w:val="20"/>
              </w:rPr>
              <w:t>Indication:</w:t>
            </w:r>
            <w:r w:rsidRPr="00643219">
              <w:rPr>
                <w:rFonts w:ascii="Arial Narrow" w:hAnsi="Arial Narrow"/>
                <w:bCs/>
                <w:color w:val="333333"/>
                <w:sz w:val="20"/>
                <w:szCs w:val="20"/>
              </w:rPr>
              <w:t xml:space="preserve"> Stage IIIB</w:t>
            </w:r>
            <w:r>
              <w:rPr>
                <w:rFonts w:ascii="Arial Narrow" w:hAnsi="Arial Narrow"/>
                <w:bCs/>
                <w:color w:val="333333"/>
                <w:sz w:val="20"/>
                <w:szCs w:val="20"/>
              </w:rPr>
              <w:t>/</w:t>
            </w:r>
            <w:r w:rsidRPr="00346825">
              <w:rPr>
                <w:rFonts w:ascii="Arial Narrow" w:hAnsi="Arial Narrow"/>
                <w:bCs/>
                <w:color w:val="333333"/>
                <w:sz w:val="20"/>
                <w:szCs w:val="20"/>
              </w:rPr>
              <w:t>IIIC</w:t>
            </w:r>
            <w:r w:rsidRPr="00643219">
              <w:rPr>
                <w:rFonts w:ascii="Arial Narrow" w:hAnsi="Arial Narrow"/>
                <w:bCs/>
                <w:color w:val="333333"/>
                <w:sz w:val="20"/>
                <w:szCs w:val="20"/>
              </w:rPr>
              <w:t xml:space="preserve"> </w:t>
            </w:r>
            <w:r w:rsidRPr="00643219">
              <w:rPr>
                <w:rFonts w:ascii="Arial Narrow" w:hAnsi="Arial Narrow"/>
                <w:bCs/>
                <w:i/>
                <w:iCs/>
                <w:color w:val="333333"/>
                <w:sz w:val="20"/>
                <w:szCs w:val="20"/>
              </w:rPr>
              <w:t>(</w:t>
            </w:r>
            <w:r w:rsidRPr="00643219">
              <w:rPr>
                <w:rFonts w:ascii="Arial Narrow" w:hAnsi="Arial Narrow"/>
                <w:bCs/>
                <w:color w:val="333333"/>
                <w:sz w:val="20"/>
                <w:szCs w:val="20"/>
              </w:rPr>
              <w:t>locally advanced</w:t>
            </w:r>
            <w:r w:rsidRPr="00643219">
              <w:rPr>
                <w:rFonts w:ascii="Arial Narrow" w:hAnsi="Arial Narrow"/>
                <w:bCs/>
                <w:i/>
                <w:iCs/>
                <w:color w:val="333333"/>
                <w:sz w:val="20"/>
                <w:szCs w:val="20"/>
              </w:rPr>
              <w:t>)</w:t>
            </w:r>
            <w:r w:rsidRPr="00643219">
              <w:rPr>
                <w:rFonts w:ascii="Arial Narrow" w:hAnsi="Arial Narrow"/>
                <w:bCs/>
                <w:color w:val="333333"/>
                <w:sz w:val="20"/>
                <w:szCs w:val="20"/>
              </w:rPr>
              <w:t xml:space="preserve"> o</w:t>
            </w:r>
            <w:r>
              <w:rPr>
                <w:rFonts w:ascii="Arial Narrow" w:hAnsi="Arial Narrow"/>
                <w:bCs/>
                <w:color w:val="333333"/>
                <w:sz w:val="20"/>
                <w:szCs w:val="20"/>
              </w:rPr>
              <w:t xml:space="preserve">r Stage </w:t>
            </w:r>
            <w:r w:rsidRPr="00643219">
              <w:rPr>
                <w:rFonts w:ascii="Arial Narrow" w:hAnsi="Arial Narrow"/>
                <w:bCs/>
                <w:color w:val="333333"/>
                <w:sz w:val="20"/>
                <w:szCs w:val="20"/>
              </w:rPr>
              <w:t xml:space="preserve">IV </w:t>
            </w:r>
            <w:r w:rsidRPr="00643219">
              <w:rPr>
                <w:rFonts w:ascii="Arial Narrow" w:hAnsi="Arial Narrow"/>
                <w:bCs/>
                <w:i/>
                <w:iCs/>
                <w:color w:val="333333"/>
                <w:sz w:val="20"/>
                <w:szCs w:val="20"/>
              </w:rPr>
              <w:t>(</w:t>
            </w:r>
            <w:r w:rsidRPr="00643219">
              <w:rPr>
                <w:rFonts w:ascii="Arial Narrow" w:hAnsi="Arial Narrow"/>
                <w:bCs/>
                <w:color w:val="333333"/>
                <w:sz w:val="20"/>
                <w:szCs w:val="20"/>
              </w:rPr>
              <w:t>metastatic</w:t>
            </w:r>
            <w:r w:rsidRPr="00643219">
              <w:rPr>
                <w:rFonts w:ascii="Arial Narrow" w:hAnsi="Arial Narrow"/>
                <w:bCs/>
                <w:i/>
                <w:iCs/>
                <w:color w:val="333333"/>
                <w:sz w:val="20"/>
                <w:szCs w:val="20"/>
              </w:rPr>
              <w:t xml:space="preserve">) </w:t>
            </w:r>
            <w:r w:rsidRPr="00346825">
              <w:rPr>
                <w:rFonts w:ascii="Arial Narrow" w:hAnsi="Arial Narrow"/>
                <w:bCs/>
                <w:color w:val="333333"/>
                <w:sz w:val="20"/>
                <w:szCs w:val="20"/>
              </w:rPr>
              <w:t>non-small cell lung cancer</w:t>
            </w:r>
            <w:r w:rsidRPr="00643219">
              <w:rPr>
                <w:rFonts w:ascii="Arial Narrow" w:hAnsi="Arial Narrow"/>
                <w:bCs/>
                <w:i/>
                <w:iCs/>
                <w:color w:val="333333"/>
                <w:sz w:val="20"/>
                <w:szCs w:val="20"/>
              </w:rPr>
              <w:t xml:space="preserve"> (</w:t>
            </w:r>
            <w:r w:rsidRPr="00643219">
              <w:rPr>
                <w:rFonts w:ascii="Arial Narrow" w:hAnsi="Arial Narrow"/>
                <w:bCs/>
                <w:color w:val="333333"/>
                <w:sz w:val="20"/>
                <w:szCs w:val="20"/>
              </w:rPr>
              <w:t>NSCLC</w:t>
            </w:r>
            <w:r w:rsidRPr="00643219">
              <w:rPr>
                <w:rFonts w:ascii="Arial Narrow" w:hAnsi="Arial Narrow"/>
                <w:bCs/>
                <w:i/>
                <w:iCs/>
                <w:color w:val="333333"/>
                <w:sz w:val="20"/>
                <w:szCs w:val="20"/>
              </w:rPr>
              <w:t>)</w:t>
            </w:r>
            <w:r w:rsidRPr="00643219">
              <w:rPr>
                <w:rFonts w:ascii="Arial Narrow" w:hAnsi="Arial Narrow"/>
                <w:bCs/>
                <w:color w:val="333333"/>
                <w:sz w:val="20"/>
                <w:szCs w:val="20"/>
              </w:rPr>
              <w:t>.</w:t>
            </w:r>
          </w:p>
        </w:tc>
      </w:tr>
      <w:tr w:rsidR="00E4524D" w:rsidRPr="00643219" w14:paraId="04C70EFB" w14:textId="77777777" w:rsidTr="009332DE">
        <w:tc>
          <w:tcPr>
            <w:tcW w:w="547" w:type="pct"/>
            <w:vAlign w:val="center"/>
          </w:tcPr>
          <w:p w14:paraId="5F4F66CE" w14:textId="77777777" w:rsidR="00E4524D" w:rsidRPr="00643219" w:rsidRDefault="00E4524D" w:rsidP="00530866">
            <w:pPr>
              <w:jc w:val="center"/>
              <w:rPr>
                <w:rFonts w:ascii="Arial Narrow" w:hAnsi="Arial Narrow"/>
                <w:color w:val="333333"/>
                <w:sz w:val="20"/>
                <w:szCs w:val="20"/>
              </w:rPr>
            </w:pPr>
          </w:p>
        </w:tc>
        <w:tc>
          <w:tcPr>
            <w:tcW w:w="4453" w:type="pct"/>
            <w:gridSpan w:val="4"/>
            <w:vAlign w:val="center"/>
            <w:hideMark/>
          </w:tcPr>
          <w:p w14:paraId="0427C541" w14:textId="77CA7C4C" w:rsidR="00E4524D" w:rsidRPr="00643219" w:rsidRDefault="00E4524D" w:rsidP="00530866">
            <w:pPr>
              <w:rPr>
                <w:rFonts w:ascii="Arial Narrow" w:hAnsi="Arial Narrow"/>
                <w:color w:val="333333"/>
                <w:sz w:val="20"/>
                <w:szCs w:val="20"/>
              </w:rPr>
            </w:pPr>
            <w:r w:rsidRPr="00643219">
              <w:rPr>
                <w:rFonts w:ascii="Arial Narrow" w:hAnsi="Arial Narrow"/>
                <w:b/>
                <w:bCs/>
                <w:color w:val="333333"/>
                <w:sz w:val="20"/>
                <w:szCs w:val="20"/>
              </w:rPr>
              <w:t>Treatment Phase:</w:t>
            </w:r>
            <w:r w:rsidRPr="00643219">
              <w:rPr>
                <w:rFonts w:ascii="Arial Narrow" w:hAnsi="Arial Narrow"/>
                <w:color w:val="333333"/>
                <w:sz w:val="20"/>
                <w:szCs w:val="20"/>
              </w:rPr>
              <w:t xml:space="preserve"> Continuing </w:t>
            </w:r>
            <w:r w:rsidRPr="009F43F4">
              <w:rPr>
                <w:rFonts w:ascii="Arial Narrow" w:hAnsi="Arial Narrow"/>
                <w:color w:val="333333"/>
                <w:sz w:val="20"/>
                <w:szCs w:val="20"/>
              </w:rPr>
              <w:t xml:space="preserve">treatment – </w:t>
            </w:r>
            <w:r w:rsidRPr="009F43F4">
              <w:rPr>
                <w:rFonts w:ascii="Arial Narrow" w:hAnsi="Arial Narrow"/>
                <w:sz w:val="20"/>
                <w:szCs w:val="20"/>
              </w:rPr>
              <w:t>For patients whose condition progressed on or after osimertinib therapy</w:t>
            </w:r>
          </w:p>
        </w:tc>
      </w:tr>
      <w:tr w:rsidR="00E4524D" w:rsidRPr="00643219" w14:paraId="6BED20EC" w14:textId="77777777" w:rsidTr="009332DE">
        <w:tc>
          <w:tcPr>
            <w:tcW w:w="547" w:type="pct"/>
            <w:vAlign w:val="center"/>
          </w:tcPr>
          <w:p w14:paraId="639667C8" w14:textId="33164937" w:rsidR="00E4524D" w:rsidRPr="00643219" w:rsidRDefault="00E4524D" w:rsidP="00530866">
            <w:pPr>
              <w:jc w:val="center"/>
              <w:rPr>
                <w:rFonts w:ascii="Arial Narrow" w:hAnsi="Arial Narrow"/>
                <w:color w:val="333333"/>
                <w:sz w:val="20"/>
                <w:szCs w:val="20"/>
              </w:rPr>
            </w:pPr>
          </w:p>
        </w:tc>
        <w:tc>
          <w:tcPr>
            <w:tcW w:w="4453" w:type="pct"/>
            <w:gridSpan w:val="4"/>
            <w:vAlign w:val="center"/>
          </w:tcPr>
          <w:p w14:paraId="1C185121" w14:textId="77777777" w:rsidR="00E4524D" w:rsidRPr="00643219" w:rsidRDefault="00E4524D" w:rsidP="00530866">
            <w:pPr>
              <w:rPr>
                <w:rFonts w:ascii="Arial Narrow" w:hAnsi="Arial Narrow"/>
                <w:b/>
                <w:bCs/>
                <w:color w:val="333333"/>
                <w:sz w:val="20"/>
                <w:szCs w:val="20"/>
              </w:rPr>
            </w:pPr>
            <w:r w:rsidRPr="00643219">
              <w:rPr>
                <w:rFonts w:ascii="Arial Narrow" w:hAnsi="Arial Narrow"/>
                <w:b/>
                <w:bCs/>
                <w:color w:val="333333"/>
                <w:sz w:val="20"/>
                <w:szCs w:val="20"/>
              </w:rPr>
              <w:t>Clinical criteria</w:t>
            </w:r>
          </w:p>
        </w:tc>
      </w:tr>
      <w:tr w:rsidR="00E4524D" w:rsidRPr="00643219" w14:paraId="70DBE6EE" w14:textId="77777777" w:rsidTr="009332DE">
        <w:tc>
          <w:tcPr>
            <w:tcW w:w="547" w:type="pct"/>
            <w:vAlign w:val="center"/>
          </w:tcPr>
          <w:p w14:paraId="0314F7F2" w14:textId="790385E3" w:rsidR="00E4524D" w:rsidRPr="00643219" w:rsidRDefault="00E4524D" w:rsidP="00530866">
            <w:pPr>
              <w:jc w:val="center"/>
              <w:rPr>
                <w:rFonts w:ascii="Arial Narrow" w:hAnsi="Arial Narrow"/>
                <w:color w:val="333333"/>
                <w:sz w:val="20"/>
                <w:szCs w:val="20"/>
              </w:rPr>
            </w:pPr>
          </w:p>
        </w:tc>
        <w:tc>
          <w:tcPr>
            <w:tcW w:w="4453" w:type="pct"/>
            <w:gridSpan w:val="4"/>
            <w:vAlign w:val="center"/>
            <w:hideMark/>
          </w:tcPr>
          <w:p w14:paraId="5678BC47" w14:textId="77777777" w:rsidR="00E4524D" w:rsidRPr="00643219" w:rsidRDefault="00E4524D" w:rsidP="00530866">
            <w:pPr>
              <w:rPr>
                <w:rFonts w:ascii="Arial Narrow" w:hAnsi="Arial Narrow"/>
                <w:color w:val="333333"/>
                <w:sz w:val="20"/>
                <w:szCs w:val="20"/>
              </w:rPr>
            </w:pPr>
            <w:r w:rsidRPr="00643219">
              <w:rPr>
                <w:rFonts w:ascii="Arial Narrow" w:hAnsi="Arial Narrow"/>
                <w:color w:val="333333"/>
                <w:sz w:val="20"/>
                <w:szCs w:val="20"/>
              </w:rPr>
              <w:t xml:space="preserve">Patient must have previously received </w:t>
            </w:r>
            <w:r w:rsidRPr="00DF2EFD">
              <w:rPr>
                <w:rFonts w:ascii="Arial Narrow" w:hAnsi="Arial Narrow"/>
                <w:color w:val="333333"/>
                <w:sz w:val="20"/>
                <w:szCs w:val="20"/>
              </w:rPr>
              <w:t>PBS-subsidised</w:t>
            </w:r>
            <w:r w:rsidRPr="00643219">
              <w:rPr>
                <w:rFonts w:ascii="Arial Narrow" w:hAnsi="Arial Narrow"/>
                <w:color w:val="333333"/>
                <w:sz w:val="20"/>
                <w:szCs w:val="20"/>
              </w:rPr>
              <w:t xml:space="preserve"> treatment with this drug for this condition</w:t>
            </w:r>
          </w:p>
        </w:tc>
      </w:tr>
      <w:tr w:rsidR="00E4524D" w:rsidRPr="00643219" w14:paraId="5084377B" w14:textId="77777777" w:rsidTr="009332DE">
        <w:tc>
          <w:tcPr>
            <w:tcW w:w="547" w:type="pct"/>
            <w:vAlign w:val="center"/>
          </w:tcPr>
          <w:p w14:paraId="3F3721F6" w14:textId="77777777" w:rsidR="00E4524D" w:rsidRPr="00643219" w:rsidRDefault="00E4524D" w:rsidP="00530866">
            <w:pPr>
              <w:jc w:val="center"/>
              <w:rPr>
                <w:rFonts w:ascii="Arial Narrow" w:hAnsi="Arial Narrow"/>
                <w:color w:val="333333"/>
                <w:sz w:val="20"/>
                <w:szCs w:val="20"/>
              </w:rPr>
            </w:pPr>
          </w:p>
        </w:tc>
        <w:tc>
          <w:tcPr>
            <w:tcW w:w="4453" w:type="pct"/>
            <w:gridSpan w:val="4"/>
            <w:vAlign w:val="center"/>
            <w:hideMark/>
          </w:tcPr>
          <w:p w14:paraId="411EAA9E" w14:textId="77777777" w:rsidR="00E4524D" w:rsidRPr="00643219" w:rsidRDefault="00E4524D" w:rsidP="00530866">
            <w:pPr>
              <w:rPr>
                <w:rFonts w:ascii="Arial Narrow" w:hAnsi="Arial Narrow"/>
                <w:color w:val="333333"/>
                <w:sz w:val="20"/>
                <w:szCs w:val="20"/>
              </w:rPr>
            </w:pPr>
            <w:r w:rsidRPr="00643219">
              <w:rPr>
                <w:rFonts w:ascii="Arial Narrow" w:hAnsi="Arial Narrow"/>
                <w:b/>
                <w:bCs/>
                <w:color w:val="333333"/>
                <w:sz w:val="20"/>
                <w:szCs w:val="20"/>
              </w:rPr>
              <w:t>AND</w:t>
            </w:r>
          </w:p>
        </w:tc>
      </w:tr>
      <w:tr w:rsidR="00E4524D" w:rsidRPr="00643219" w14:paraId="6D9B11BC" w14:textId="77777777" w:rsidTr="009332DE">
        <w:tc>
          <w:tcPr>
            <w:tcW w:w="547" w:type="pct"/>
            <w:vAlign w:val="center"/>
          </w:tcPr>
          <w:p w14:paraId="7B51397B" w14:textId="36E4263D" w:rsidR="00E4524D" w:rsidRPr="00643219" w:rsidRDefault="00E4524D" w:rsidP="00530866">
            <w:pPr>
              <w:jc w:val="center"/>
              <w:rPr>
                <w:rFonts w:ascii="Arial Narrow" w:hAnsi="Arial Narrow"/>
                <w:color w:val="333333"/>
                <w:sz w:val="20"/>
                <w:szCs w:val="20"/>
              </w:rPr>
            </w:pPr>
          </w:p>
        </w:tc>
        <w:tc>
          <w:tcPr>
            <w:tcW w:w="4453" w:type="pct"/>
            <w:gridSpan w:val="4"/>
            <w:vAlign w:val="center"/>
          </w:tcPr>
          <w:p w14:paraId="76170EAE" w14:textId="77777777" w:rsidR="00E4524D" w:rsidRPr="00643219" w:rsidRDefault="00E4524D" w:rsidP="00530866">
            <w:pPr>
              <w:rPr>
                <w:rFonts w:ascii="Arial Narrow" w:hAnsi="Arial Narrow"/>
                <w:b/>
                <w:bCs/>
                <w:color w:val="333333"/>
                <w:sz w:val="20"/>
                <w:szCs w:val="20"/>
              </w:rPr>
            </w:pPr>
            <w:r w:rsidRPr="00643219">
              <w:rPr>
                <w:rFonts w:ascii="Arial Narrow" w:hAnsi="Arial Narrow"/>
                <w:b/>
                <w:bCs/>
                <w:color w:val="333333"/>
                <w:sz w:val="20"/>
                <w:szCs w:val="20"/>
              </w:rPr>
              <w:t>Clinical criteria</w:t>
            </w:r>
          </w:p>
        </w:tc>
      </w:tr>
      <w:tr w:rsidR="00E4524D" w:rsidRPr="00643219" w14:paraId="2904246F" w14:textId="77777777" w:rsidTr="009332DE">
        <w:tc>
          <w:tcPr>
            <w:tcW w:w="547" w:type="pct"/>
            <w:vAlign w:val="center"/>
          </w:tcPr>
          <w:p w14:paraId="7104421E" w14:textId="699BC63A" w:rsidR="00E4524D" w:rsidRPr="00643219" w:rsidRDefault="00E4524D" w:rsidP="00530866">
            <w:pPr>
              <w:jc w:val="center"/>
              <w:rPr>
                <w:rFonts w:ascii="Arial Narrow" w:hAnsi="Arial Narrow"/>
                <w:color w:val="333333"/>
                <w:sz w:val="20"/>
                <w:szCs w:val="20"/>
              </w:rPr>
            </w:pPr>
          </w:p>
        </w:tc>
        <w:tc>
          <w:tcPr>
            <w:tcW w:w="4453" w:type="pct"/>
            <w:gridSpan w:val="4"/>
            <w:vAlign w:val="center"/>
            <w:hideMark/>
          </w:tcPr>
          <w:p w14:paraId="4B697D99" w14:textId="77777777" w:rsidR="00E4524D" w:rsidRPr="00643219" w:rsidRDefault="00E4524D" w:rsidP="00530866">
            <w:pPr>
              <w:rPr>
                <w:rFonts w:ascii="Arial Narrow" w:hAnsi="Arial Narrow"/>
                <w:color w:val="333333"/>
                <w:sz w:val="20"/>
                <w:szCs w:val="20"/>
              </w:rPr>
            </w:pPr>
            <w:r w:rsidRPr="00643219">
              <w:rPr>
                <w:rFonts w:ascii="Arial Narrow" w:hAnsi="Arial Narrow"/>
                <w:color w:val="333333"/>
                <w:sz w:val="20"/>
                <w:szCs w:val="20"/>
              </w:rPr>
              <w:t>Patient must not have developed disease progression while receiving treatment with this drug for this condition</w:t>
            </w:r>
          </w:p>
        </w:tc>
      </w:tr>
    </w:tbl>
    <w:p w14:paraId="52204416" w14:textId="77777777" w:rsidR="00C2698F" w:rsidRDefault="00C2698F" w:rsidP="00530866">
      <w:pPr>
        <w:rPr>
          <w:rFonts w:eastAsiaTheme="majorEastAsia"/>
        </w:rPr>
      </w:pPr>
    </w:p>
    <w:bookmarkEnd w:id="2"/>
    <w:bookmarkEnd w:id="3"/>
    <w:bookmarkEnd w:id="4"/>
    <w:bookmarkEnd w:id="5"/>
    <w:bookmarkEnd w:id="6"/>
    <w:bookmarkEnd w:id="111"/>
    <w:p w14:paraId="37F1D4FD" w14:textId="77777777" w:rsidR="00DB3EC9" w:rsidRPr="00AF5244" w:rsidRDefault="00DB3EC9" w:rsidP="00530866">
      <w:pPr>
        <w:spacing w:before="120" w:after="120"/>
        <w:rPr>
          <w:rFonts w:asciiTheme="minorHAnsi" w:hAnsiTheme="minorHAnsi"/>
          <w:b/>
          <w:i/>
          <w:iCs/>
          <w:snapToGrid w:val="0"/>
          <w:lang w:val="en-GB" w:eastAsia="en-US"/>
        </w:rPr>
      </w:pPr>
      <w:r w:rsidRPr="00AF5244">
        <w:rPr>
          <w:rFonts w:asciiTheme="minorHAnsi" w:hAnsiTheme="minorHAnsi"/>
          <w:b/>
          <w:i/>
          <w:iCs/>
          <w:snapToGrid w:val="0"/>
          <w:lang w:val="en-GB" w:eastAsia="en-US"/>
        </w:rPr>
        <w:t>These restrictions may be subject to further review. Should there be any changes made to the restriction the sponsor will be informed.</w:t>
      </w:r>
    </w:p>
    <w:p w14:paraId="168EF7BF" w14:textId="6ADC8FDA" w:rsidR="005B1FD4" w:rsidRPr="00061CBE" w:rsidRDefault="005B1FD4" w:rsidP="005B1FD4">
      <w:pPr>
        <w:pStyle w:val="2-SectionHeading"/>
        <w:numPr>
          <w:ilvl w:val="0"/>
          <w:numId w:val="0"/>
        </w:numPr>
        <w:ind w:left="720" w:hanging="720"/>
        <w:rPr>
          <w:lang w:val="en-GB"/>
        </w:rPr>
      </w:pPr>
      <w:r>
        <w:t>9</w:t>
      </w:r>
      <w:r w:rsidRPr="00061CBE">
        <w:tab/>
        <w:t>Context for Decision</w:t>
      </w:r>
    </w:p>
    <w:p w14:paraId="05C3168F" w14:textId="77777777" w:rsidR="005B1FD4" w:rsidRPr="00061CBE" w:rsidRDefault="005B1FD4" w:rsidP="005B1FD4">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84519F5" w14:textId="0F3F0648" w:rsidR="005B1FD4" w:rsidRPr="00061CBE" w:rsidRDefault="005B1FD4" w:rsidP="005B1FD4">
      <w:pPr>
        <w:pStyle w:val="2-SectionHeading"/>
        <w:numPr>
          <w:ilvl w:val="0"/>
          <w:numId w:val="0"/>
        </w:numPr>
        <w:ind w:left="720" w:hanging="720"/>
      </w:pPr>
      <w:r>
        <w:lastRenderedPageBreak/>
        <w:t>10</w:t>
      </w:r>
      <w:r w:rsidRPr="00061CBE">
        <w:tab/>
        <w:t>Sponsor’s Comment</w:t>
      </w:r>
    </w:p>
    <w:p w14:paraId="0A5192ED" w14:textId="1D8C8071" w:rsidR="00007D29" w:rsidRPr="00846C52" w:rsidRDefault="005B1FD4" w:rsidP="005B1FD4">
      <w:pPr>
        <w:pStyle w:val="3-BodyText"/>
        <w:numPr>
          <w:ilvl w:val="0"/>
          <w:numId w:val="0"/>
        </w:numPr>
        <w:ind w:left="720"/>
      </w:pPr>
      <w:r w:rsidRPr="00061CBE">
        <w:rPr>
          <w:bCs/>
        </w:rPr>
        <w:t>The sponsor had no comment.</w:t>
      </w:r>
    </w:p>
    <w:sectPr w:rsidR="00007D29" w:rsidRPr="00846C52" w:rsidSect="0085086C">
      <w:headerReference w:type="even" r:id="rId18"/>
      <w:headerReference w:type="default" r:id="rId19"/>
      <w:footerReference w:type="even" r:id="rId20"/>
      <w:footerReference w:type="default" r:id="rId21"/>
      <w:headerReference w:type="first" r:id="rId22"/>
      <w:footerReference w:type="first" r:id="rId2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C93EC" w14:textId="77777777" w:rsidR="0091194E" w:rsidRDefault="0091194E" w:rsidP="00124A51">
      <w:r>
        <w:separator/>
      </w:r>
    </w:p>
    <w:p w14:paraId="7AD389D1" w14:textId="77777777" w:rsidR="0091194E" w:rsidRDefault="0091194E"/>
  </w:endnote>
  <w:endnote w:type="continuationSeparator" w:id="0">
    <w:p w14:paraId="5E8B01A7" w14:textId="77777777" w:rsidR="0091194E" w:rsidRDefault="0091194E" w:rsidP="00124A51">
      <w:r>
        <w:continuationSeparator/>
      </w:r>
    </w:p>
    <w:p w14:paraId="15CB442E" w14:textId="77777777" w:rsidR="0091194E" w:rsidRDefault="009119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79E4" w14:textId="48083D47" w:rsidR="00DF78C3" w:rsidRDefault="00CF50ED">
    <w:pPr>
      <w:pStyle w:val="Footer"/>
    </w:pPr>
    <w:r>
      <w:rPr>
        <w:noProof/>
      </w:rPr>
      <mc:AlternateContent>
        <mc:Choice Requires="wps">
          <w:drawing>
            <wp:anchor distT="0" distB="0" distL="0" distR="0" simplePos="0" relativeHeight="251658244" behindDoc="0" locked="0" layoutInCell="1" allowOverlap="1" wp14:anchorId="7F239E89" wp14:editId="281E7E2B">
              <wp:simplePos x="635" y="635"/>
              <wp:positionH relativeFrom="page">
                <wp:align>center</wp:align>
              </wp:positionH>
              <wp:positionV relativeFrom="page">
                <wp:align>bottom</wp:align>
              </wp:positionV>
              <wp:extent cx="622300" cy="376555"/>
              <wp:effectExtent l="0" t="0" r="6350" b="0"/>
              <wp:wrapNone/>
              <wp:docPr id="74284722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2015006" w14:textId="3767F69C" w:rsidR="00CF50ED" w:rsidRPr="00CF50ED" w:rsidRDefault="00CF50ED" w:rsidP="00CF50ED">
                          <w:pPr>
                            <w:rPr>
                              <w:rFonts w:ascii="Aptos" w:eastAsia="Aptos" w:hAnsi="Aptos" w:cs="Aptos"/>
                              <w:noProof/>
                              <w:color w:val="FF0000"/>
                            </w:rPr>
                          </w:pPr>
                          <w:r w:rsidRPr="00CF50E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239E89"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72015006" w14:textId="3767F69C" w:rsidR="00CF50ED" w:rsidRPr="00CF50ED" w:rsidRDefault="00CF50ED" w:rsidP="00CF50ED">
                    <w:pPr>
                      <w:rPr>
                        <w:rFonts w:ascii="Aptos" w:eastAsia="Aptos" w:hAnsi="Aptos" w:cs="Aptos"/>
                        <w:noProof/>
                        <w:color w:val="FF0000"/>
                      </w:rPr>
                    </w:pPr>
                    <w:r w:rsidRPr="00CF50ED">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51DDDD30" w:rsidR="00D843F2" w:rsidRDefault="00CF50ED" w:rsidP="00753B29">
    <w:pPr>
      <w:jc w:val="center"/>
    </w:pPr>
    <w:r>
      <w:rPr>
        <w:noProof/>
      </w:rPr>
      <mc:AlternateContent>
        <mc:Choice Requires="wps">
          <w:drawing>
            <wp:anchor distT="0" distB="0" distL="0" distR="0" simplePos="0" relativeHeight="251658245" behindDoc="0" locked="0" layoutInCell="1" allowOverlap="1" wp14:anchorId="477B53C0" wp14:editId="5437DFCC">
              <wp:simplePos x="635" y="635"/>
              <wp:positionH relativeFrom="page">
                <wp:align>center</wp:align>
              </wp:positionH>
              <wp:positionV relativeFrom="page">
                <wp:align>bottom</wp:align>
              </wp:positionV>
              <wp:extent cx="622300" cy="376555"/>
              <wp:effectExtent l="0" t="0" r="6350" b="0"/>
              <wp:wrapNone/>
              <wp:docPr id="29195654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2EE3E63" w14:textId="48DC2791" w:rsidR="00CF50ED" w:rsidRPr="00CF50ED" w:rsidRDefault="00CF50ED" w:rsidP="00CF50ED">
                          <w:pPr>
                            <w:rPr>
                              <w:rFonts w:ascii="Aptos" w:eastAsia="Aptos" w:hAnsi="Aptos" w:cs="Aptos"/>
                              <w:noProof/>
                              <w:color w:val="FF0000"/>
                            </w:rPr>
                          </w:pPr>
                          <w:r w:rsidRPr="00CF50E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7B53C0"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42EE3E63" w14:textId="48DC2791" w:rsidR="00CF50ED" w:rsidRPr="00CF50ED" w:rsidRDefault="00CF50ED" w:rsidP="00CF50ED">
                    <w:pPr>
                      <w:rPr>
                        <w:rFonts w:ascii="Aptos" w:eastAsia="Aptos" w:hAnsi="Aptos" w:cs="Aptos"/>
                        <w:noProof/>
                        <w:color w:val="FF0000"/>
                      </w:rPr>
                    </w:pPr>
                    <w:r w:rsidRPr="00CF50ED">
                      <w:rPr>
                        <w:rFonts w:ascii="Aptos" w:eastAsia="Aptos" w:hAnsi="Aptos" w:cs="Aptos"/>
                        <w:noProof/>
                        <w:color w:val="FF0000"/>
                      </w:rPr>
                      <w:t>OFFICIAL</w:t>
                    </w:r>
                  </w:p>
                </w:txbxContent>
              </v:textbox>
              <w10:wrap anchorx="page" anchory="page"/>
            </v:shape>
          </w:pict>
        </mc:Fallback>
      </mc:AlternateContent>
    </w:r>
  </w:p>
  <w:p w14:paraId="37484CD3" w14:textId="6514B922" w:rsidR="00D843F2" w:rsidRPr="002B0B75" w:rsidRDefault="0091194E" w:rsidP="005631C5">
    <w:pPr>
      <w:jc w:val="center"/>
      <w:rPr>
        <w:b/>
        <w:bCs/>
      </w:rPr>
    </w:pPr>
    <w:sdt>
      <w:sdtPr>
        <w:rPr>
          <w:b/>
          <w:bCs/>
        </w:rPr>
        <w:id w:val="1036156457"/>
        <w:docPartObj>
          <w:docPartGallery w:val="Page Numbers (Bottom of Page)"/>
          <w:docPartUnique/>
        </w:docPartObj>
      </w:sdtPr>
      <w:sdtEndPr>
        <w:rPr>
          <w:noProof/>
        </w:rPr>
      </w:sdtEndPr>
      <w:sdtContent>
        <w:r w:rsidR="00D843F2" w:rsidRPr="002B0B75">
          <w:rPr>
            <w:b/>
            <w:bCs/>
          </w:rPr>
          <w:fldChar w:fldCharType="begin"/>
        </w:r>
        <w:r w:rsidR="00D843F2" w:rsidRPr="002B0B75">
          <w:rPr>
            <w:b/>
            <w:bCs/>
          </w:rPr>
          <w:instrText xml:space="preserve"> PAGE   \* MERGEFORMAT </w:instrText>
        </w:r>
        <w:r w:rsidR="00D843F2" w:rsidRPr="002B0B75">
          <w:rPr>
            <w:b/>
            <w:bCs/>
          </w:rPr>
          <w:fldChar w:fldCharType="separate"/>
        </w:r>
        <w:r w:rsidR="00D843F2" w:rsidRPr="002B0B75">
          <w:rPr>
            <w:b/>
            <w:bCs/>
            <w:noProof/>
          </w:rPr>
          <w:t>2</w:t>
        </w:r>
        <w:r w:rsidR="00D843F2" w:rsidRPr="002B0B75">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2A2C" w14:textId="539DF57E" w:rsidR="00DF78C3" w:rsidRDefault="00CF50ED">
    <w:pPr>
      <w:pStyle w:val="Footer"/>
    </w:pPr>
    <w:r>
      <w:rPr>
        <w:noProof/>
      </w:rPr>
      <mc:AlternateContent>
        <mc:Choice Requires="wps">
          <w:drawing>
            <wp:anchor distT="0" distB="0" distL="0" distR="0" simplePos="0" relativeHeight="251658243" behindDoc="0" locked="0" layoutInCell="1" allowOverlap="1" wp14:anchorId="6DDFBDBC" wp14:editId="16CA4D65">
              <wp:simplePos x="635" y="635"/>
              <wp:positionH relativeFrom="page">
                <wp:align>center</wp:align>
              </wp:positionH>
              <wp:positionV relativeFrom="page">
                <wp:align>bottom</wp:align>
              </wp:positionV>
              <wp:extent cx="622300" cy="376555"/>
              <wp:effectExtent l="0" t="0" r="6350" b="0"/>
              <wp:wrapNone/>
              <wp:docPr id="8973545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902C195" w14:textId="49C92594" w:rsidR="00CF50ED" w:rsidRPr="00CF50ED" w:rsidRDefault="00CF50ED" w:rsidP="00CF50ED">
                          <w:pPr>
                            <w:rPr>
                              <w:rFonts w:ascii="Aptos" w:eastAsia="Aptos" w:hAnsi="Aptos" w:cs="Aptos"/>
                              <w:noProof/>
                              <w:color w:val="FF0000"/>
                            </w:rPr>
                          </w:pPr>
                          <w:r w:rsidRPr="00CF50E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DFBDBC"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0902C195" w14:textId="49C92594" w:rsidR="00CF50ED" w:rsidRPr="00CF50ED" w:rsidRDefault="00CF50ED" w:rsidP="00CF50ED">
                    <w:pPr>
                      <w:rPr>
                        <w:rFonts w:ascii="Aptos" w:eastAsia="Aptos" w:hAnsi="Aptos" w:cs="Aptos"/>
                        <w:noProof/>
                        <w:color w:val="FF0000"/>
                      </w:rPr>
                    </w:pPr>
                    <w:r w:rsidRPr="00CF50ED">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29560" w14:textId="77777777" w:rsidR="0091194E" w:rsidRDefault="0091194E" w:rsidP="00124A51">
      <w:r>
        <w:separator/>
      </w:r>
    </w:p>
    <w:p w14:paraId="27099011" w14:textId="77777777" w:rsidR="0091194E" w:rsidRDefault="0091194E"/>
  </w:footnote>
  <w:footnote w:type="continuationSeparator" w:id="0">
    <w:p w14:paraId="5DC112F4" w14:textId="77777777" w:rsidR="0091194E" w:rsidRDefault="0091194E" w:rsidP="00124A51">
      <w:r>
        <w:continuationSeparator/>
      </w:r>
    </w:p>
    <w:p w14:paraId="5300FA53" w14:textId="77777777" w:rsidR="0091194E" w:rsidRDefault="0091194E"/>
  </w:footnote>
  <w:footnote w:id="1">
    <w:p w14:paraId="782A2DE5" w14:textId="77777777" w:rsidR="00E50A74" w:rsidRDefault="00E50A74" w:rsidP="00E50A74">
      <w:pPr>
        <w:pStyle w:val="FootnoteText"/>
      </w:pPr>
      <w:r>
        <w:rPr>
          <w:rStyle w:val="FootnoteReference"/>
        </w:rPr>
        <w:footnoteRef/>
      </w:r>
      <w:r>
        <w:t xml:space="preserve"> Australian Institute of Health and Welfare (AIHW), 2025. Overview of cancer in Australia. </w:t>
      </w:r>
      <w:hyperlink r:id="rId1" w:anchor="lung" w:history="1">
        <w:r w:rsidRPr="00DD100D">
          <w:rPr>
            <w:rStyle w:val="Hyperlink"/>
          </w:rPr>
          <w:t>https://www.aihw.gov.au/reports/cancer/cancer-data-in-australia/contents/overview#lung</w:t>
        </w:r>
      </w:hyperlink>
    </w:p>
  </w:footnote>
  <w:footnote w:id="2">
    <w:p w14:paraId="052F9DCF" w14:textId="77777777" w:rsidR="00E50A74" w:rsidRDefault="00E50A74" w:rsidP="00E50A74">
      <w:pPr>
        <w:pStyle w:val="FootnoteText"/>
      </w:pPr>
      <w:r>
        <w:rPr>
          <w:rStyle w:val="FootnoteReference"/>
        </w:rPr>
        <w:footnoteRef/>
      </w:r>
      <w:r>
        <w:t xml:space="preserve"> </w:t>
      </w:r>
      <w:r w:rsidRPr="004C19DC">
        <w:t>Attili et al. "Post-progression analysis of EGFR-mutant NSCLC following osimertinib therapy in real-world settings." Cancers 16.14 (2024): 2589.</w:t>
      </w:r>
    </w:p>
  </w:footnote>
  <w:footnote w:id="3">
    <w:p w14:paraId="0EC5CC2B" w14:textId="77777777" w:rsidR="00E50A74" w:rsidRDefault="00E50A74" w:rsidP="00E50A74">
      <w:pPr>
        <w:pStyle w:val="FootnoteText"/>
      </w:pPr>
      <w:r>
        <w:rPr>
          <w:rStyle w:val="FootnoteReference"/>
        </w:rPr>
        <w:footnoteRef/>
      </w:r>
      <w:r>
        <w:t xml:space="preserve"> </w:t>
      </w:r>
      <w:proofErr w:type="spellStart"/>
      <w:r w:rsidRPr="009148EC">
        <w:t>Rotow</w:t>
      </w:r>
      <w:proofErr w:type="spellEnd"/>
      <w:r w:rsidRPr="009148EC">
        <w:t xml:space="preserve"> et al. "Real-world genomic profile of EGFR second-site mutations and other osimertinib resistance mechanisms and clinical landscape of NSCLC post-osimertinib." Journal of Thoracic Oncology 19.2 (2024): 227-239.</w:t>
      </w:r>
    </w:p>
  </w:footnote>
  <w:footnote w:id="4">
    <w:p w14:paraId="5536496A" w14:textId="6516179B" w:rsidR="00E50A74" w:rsidRDefault="00E50A74" w:rsidP="00E50A74">
      <w:pPr>
        <w:pStyle w:val="FootnoteText"/>
      </w:pPr>
      <w:r>
        <w:rPr>
          <w:rStyle w:val="FootnoteReference"/>
        </w:rPr>
        <w:footnoteRef/>
      </w:r>
      <w:r>
        <w:t xml:space="preserve"> ESMO Oncogene-Addicted Non-Small Cell Lung Cancer Living Guideline v1.</w:t>
      </w:r>
      <w:r w:rsidR="00C96007">
        <w:t>3</w:t>
      </w:r>
      <w:r>
        <w:t>,</w:t>
      </w:r>
      <w:r w:rsidR="00C96007">
        <w:t>February 2026</w:t>
      </w:r>
      <w:r>
        <w:t>. Retrieved from:</w:t>
      </w:r>
    </w:p>
    <w:p w14:paraId="1EAB3F67" w14:textId="77777777" w:rsidR="00E50A74" w:rsidRDefault="00E50A74" w:rsidP="00E50A74">
      <w:pPr>
        <w:pStyle w:val="FootnoteText"/>
      </w:pPr>
      <w:hyperlink r:id="rId2" w:history="1">
        <w:r w:rsidRPr="00DD100D">
          <w:rPr>
            <w:rStyle w:val="Hyperlink"/>
          </w:rPr>
          <w:t>https://www.esmo.org/guidelines/living-guidelines/esmo-living-guideline-oncogene-addicted-metastatic-non-small-cell-lung-cancer/management-of-advanced-and-metastatic-disease/egfr-mutation/stage-iv-mnsclc-with-egfr-activating-mutation-after-systemic-progression/egfr-activating-mutation-after-systemic-progression-if-prior-third-generation-tki</w:t>
        </w:r>
      </w:hyperlink>
    </w:p>
  </w:footnote>
  <w:footnote w:id="5">
    <w:p w14:paraId="2AAC085E" w14:textId="77777777" w:rsidR="00E50A74" w:rsidRDefault="00E50A74" w:rsidP="00E50A74">
      <w:pPr>
        <w:pStyle w:val="FootnoteText"/>
      </w:pPr>
      <w:r>
        <w:rPr>
          <w:rStyle w:val="FootnoteReference"/>
        </w:rPr>
        <w:footnoteRef/>
      </w:r>
      <w:r>
        <w:t xml:space="preserve"> NCCN Clinical Practice Guidelines in Oncology. Non-small cell lung cancer, version 1.2026- November 6, 2025</w:t>
      </w:r>
    </w:p>
  </w:footnote>
  <w:footnote w:id="6">
    <w:p w14:paraId="24C9CF99" w14:textId="77777777" w:rsidR="00E50A74" w:rsidRDefault="00E50A74" w:rsidP="00E50A74">
      <w:pPr>
        <w:pStyle w:val="FootnoteText"/>
      </w:pPr>
      <w:r w:rsidRPr="00557814">
        <w:rPr>
          <w:rStyle w:val="FootnoteReference"/>
          <w:rFonts w:asciiTheme="minorHAnsi" w:hAnsiTheme="minorHAnsi" w:cstheme="minorHAnsi"/>
        </w:rPr>
        <w:footnoteRef/>
      </w:r>
      <w:r w:rsidRPr="00557814">
        <w:rPr>
          <w:rFonts w:asciiTheme="minorHAnsi" w:hAnsiTheme="minorHAnsi" w:cstheme="minorHAnsi"/>
        </w:rPr>
        <w:t xml:space="preserve"> </w:t>
      </w:r>
      <w:proofErr w:type="spellStart"/>
      <w:r w:rsidRPr="00557814">
        <w:rPr>
          <w:rFonts w:asciiTheme="minorHAnsi" w:hAnsiTheme="minorHAnsi" w:cstheme="minorHAnsi"/>
        </w:rPr>
        <w:t>Moores</w:t>
      </w:r>
      <w:proofErr w:type="spellEnd"/>
      <w:r w:rsidRPr="00557814">
        <w:rPr>
          <w:rFonts w:asciiTheme="minorHAnsi" w:hAnsiTheme="minorHAnsi" w:cstheme="minorHAnsi"/>
        </w:rPr>
        <w:t xml:space="preserve"> et al, (2016) ‘A novel bispecific antibody targeting EGFR and </w:t>
      </w:r>
      <w:proofErr w:type="spellStart"/>
      <w:r w:rsidRPr="00557814">
        <w:rPr>
          <w:rFonts w:asciiTheme="minorHAnsi" w:hAnsiTheme="minorHAnsi" w:cstheme="minorHAnsi"/>
        </w:rPr>
        <w:t>cMet</w:t>
      </w:r>
      <w:proofErr w:type="spellEnd"/>
      <w:r w:rsidRPr="00557814">
        <w:rPr>
          <w:rFonts w:asciiTheme="minorHAnsi" w:hAnsiTheme="minorHAnsi" w:cstheme="minorHAnsi"/>
        </w:rPr>
        <w:t xml:space="preserve"> is effective against EGFR inhibitor–resistant lung </w:t>
      </w:r>
      <w:proofErr w:type="spellStart"/>
      <w:r w:rsidRPr="00557814">
        <w:rPr>
          <w:rFonts w:asciiTheme="minorHAnsi" w:hAnsiTheme="minorHAnsi" w:cstheme="minorHAnsi"/>
        </w:rPr>
        <w:t>tumors</w:t>
      </w:r>
      <w:proofErr w:type="spellEnd"/>
      <w:r w:rsidRPr="00557814">
        <w:rPr>
          <w:rFonts w:asciiTheme="minorHAnsi" w:hAnsiTheme="minorHAnsi" w:cstheme="minorHAnsi"/>
        </w:rPr>
        <w:t>.’ Cancer research 76.13: 3942-3953.</w:t>
      </w:r>
    </w:p>
  </w:footnote>
  <w:footnote w:id="7">
    <w:p w14:paraId="6D2DE510" w14:textId="77777777" w:rsidR="00E50A74" w:rsidRDefault="00E50A74" w:rsidP="00E50A74">
      <w:pPr>
        <w:pStyle w:val="FootnoteText"/>
      </w:pPr>
      <w:r>
        <w:rPr>
          <w:rStyle w:val="FootnoteReference"/>
        </w:rPr>
        <w:footnoteRef/>
      </w:r>
      <w:r>
        <w:t xml:space="preserve"> </w:t>
      </w:r>
      <w:r w:rsidRPr="005C533D">
        <w:t>Chazan</w:t>
      </w:r>
      <w:r>
        <w:t xml:space="preserve"> </w:t>
      </w:r>
      <w:r w:rsidRPr="005C533D">
        <w:t xml:space="preserve">et al. </w:t>
      </w:r>
      <w:r>
        <w:t>‘</w:t>
      </w:r>
      <w:r w:rsidRPr="005C533D">
        <w:t xml:space="preserve">Treatment patterns, prognostic factors and survival for ALK+ advanced NSCLC in Australia; results from the </w:t>
      </w:r>
      <w:proofErr w:type="spellStart"/>
      <w:r w:rsidRPr="005C533D">
        <w:t>AUstralasian</w:t>
      </w:r>
      <w:proofErr w:type="spellEnd"/>
      <w:r w:rsidRPr="005C533D">
        <w:t xml:space="preserve"> </w:t>
      </w:r>
      <w:proofErr w:type="spellStart"/>
      <w:r w:rsidRPr="005C533D">
        <w:t>thoRacic</w:t>
      </w:r>
      <w:proofErr w:type="spellEnd"/>
      <w:r w:rsidRPr="005C533D">
        <w:t xml:space="preserve"> cancers </w:t>
      </w:r>
      <w:proofErr w:type="spellStart"/>
      <w:r w:rsidRPr="005C533D">
        <w:t>lOngitudinal</w:t>
      </w:r>
      <w:proofErr w:type="spellEnd"/>
      <w:r w:rsidRPr="005C533D">
        <w:t xml:space="preserve"> </w:t>
      </w:r>
      <w:proofErr w:type="spellStart"/>
      <w:r w:rsidRPr="005C533D">
        <w:t>cohoRt</w:t>
      </w:r>
      <w:proofErr w:type="spellEnd"/>
      <w:r w:rsidRPr="005C533D">
        <w:t xml:space="preserve"> study and </w:t>
      </w:r>
      <w:proofErr w:type="spellStart"/>
      <w:r w:rsidRPr="005C533D">
        <w:t>biobAnk</w:t>
      </w:r>
      <w:proofErr w:type="spellEnd"/>
      <w:r w:rsidRPr="005C533D">
        <w:t xml:space="preserve"> (AURORA).</w:t>
      </w:r>
      <w:r>
        <w:t>’</w:t>
      </w:r>
      <w:r w:rsidRPr="005C533D">
        <w:t xml:space="preserve"> JTO Clinical and Research Reports (2025): 100924.</w:t>
      </w:r>
    </w:p>
  </w:footnote>
  <w:footnote w:id="8">
    <w:p w14:paraId="14B997C4" w14:textId="77777777" w:rsidR="00E50A74" w:rsidRDefault="00E50A74" w:rsidP="00E50A74">
      <w:pPr>
        <w:pStyle w:val="FootnoteText"/>
      </w:pPr>
      <w:r>
        <w:rPr>
          <w:rStyle w:val="FootnoteReference"/>
        </w:rPr>
        <w:footnoteRef/>
      </w:r>
      <w:r>
        <w:t xml:space="preserve"> </w:t>
      </w:r>
      <w:r w:rsidRPr="00FF0AC9">
        <w:t>Brown et al. "First-line chemoimmunotherapy and immunotherapy in patients with non-small cell lung cancer and brain metastases: a registry study." Frontiers in Oncology 14 (2024): 1305720.</w:t>
      </w:r>
    </w:p>
  </w:footnote>
  <w:footnote w:id="9">
    <w:p w14:paraId="3CC632B0" w14:textId="18964757" w:rsidR="001C1055" w:rsidRDefault="001C1055">
      <w:pPr>
        <w:pStyle w:val="FootnoteText"/>
      </w:pPr>
      <w:r>
        <w:rPr>
          <w:rStyle w:val="FootnoteReference"/>
        </w:rPr>
        <w:footnoteRef/>
      </w:r>
      <w:r>
        <w:t xml:space="preserve"> </w:t>
      </w:r>
      <w:r w:rsidR="008144EC" w:rsidRPr="003152D5">
        <w:rPr>
          <w:szCs w:val="18"/>
        </w:rPr>
        <w:t>Park S, Kim TM, Han JY, et al. Phase III, randomized study of atezolizumab plus bevacizumab and chemotherapy in patients with EGFR</w:t>
      </w:r>
      <w:r w:rsidR="008144EC" w:rsidRPr="003152D5">
        <w:rPr>
          <w:rFonts w:ascii="Cambria Math" w:hAnsi="Cambria Math" w:cs="Cambria Math"/>
          <w:szCs w:val="18"/>
        </w:rPr>
        <w:t>‑</w:t>
      </w:r>
      <w:r w:rsidR="008144EC" w:rsidRPr="003152D5">
        <w:rPr>
          <w:szCs w:val="18"/>
        </w:rPr>
        <w:t xml:space="preserve"> or ALK</w:t>
      </w:r>
      <w:r w:rsidR="008144EC" w:rsidRPr="003152D5">
        <w:rPr>
          <w:rFonts w:ascii="Cambria Math" w:hAnsi="Cambria Math" w:cs="Cambria Math"/>
          <w:szCs w:val="18"/>
        </w:rPr>
        <w:t>‑</w:t>
      </w:r>
      <w:r w:rsidR="008144EC" w:rsidRPr="003152D5">
        <w:rPr>
          <w:szCs w:val="18"/>
        </w:rPr>
        <w:t>rearranged or translocated non</w:t>
      </w:r>
      <w:r w:rsidR="008144EC" w:rsidRPr="003152D5">
        <w:rPr>
          <w:rFonts w:cs="Arial Narrow"/>
          <w:szCs w:val="18"/>
        </w:rPr>
        <w:t>–</w:t>
      </w:r>
      <w:r w:rsidR="008144EC" w:rsidRPr="003152D5">
        <w:rPr>
          <w:szCs w:val="18"/>
        </w:rPr>
        <w:t>small-cell lung cancer</w:t>
      </w:r>
      <w:r w:rsidR="008144EC">
        <w:rPr>
          <w:szCs w:val="18"/>
        </w:rPr>
        <w:t xml:space="preserve">. </w:t>
      </w:r>
      <w:r w:rsidR="008144EC" w:rsidRPr="00276CB5">
        <w:rPr>
          <w:i/>
          <w:szCs w:val="18"/>
        </w:rPr>
        <w:t xml:space="preserve">J Clin Oncol </w:t>
      </w:r>
      <w:r w:rsidR="008144EC" w:rsidRPr="00276CB5">
        <w:rPr>
          <w:iCs/>
          <w:szCs w:val="18"/>
        </w:rPr>
        <w:t>2024; 42(11): 1241–1251</w:t>
      </w:r>
    </w:p>
  </w:footnote>
  <w:footnote w:id="10">
    <w:p w14:paraId="40946F24" w14:textId="5FC1BB22" w:rsidR="006C1B11" w:rsidRDefault="006C1B11">
      <w:pPr>
        <w:pStyle w:val="FootnoteText"/>
      </w:pPr>
      <w:r>
        <w:rPr>
          <w:rStyle w:val="FootnoteReference"/>
        </w:rPr>
        <w:footnoteRef/>
      </w:r>
      <w:r>
        <w:t xml:space="preserve"> Table </w:t>
      </w:r>
      <w:r w:rsidR="007B3955">
        <w:t>9</w:t>
      </w:r>
      <w:r w:rsidR="002D50F1">
        <w:t>, a</w:t>
      </w:r>
      <w:r>
        <w:t xml:space="preserve">mivantamab TGA Product Information. </w:t>
      </w:r>
    </w:p>
  </w:footnote>
  <w:footnote w:id="11">
    <w:p w14:paraId="56BF13D8" w14:textId="77777777" w:rsidR="00E12885" w:rsidRDefault="00E12885" w:rsidP="00E12885">
      <w:pPr>
        <w:pStyle w:val="FootnoteText"/>
      </w:pPr>
      <w:r w:rsidRPr="0069548C">
        <w:rPr>
          <w:rStyle w:val="FootnoteReference"/>
        </w:rPr>
        <w:footnoteRef/>
      </w:r>
      <w:r w:rsidRPr="0069548C">
        <w:t xml:space="preserve"> 73 vials for patients weighing less than 80 kg (14%) and 88 vials for patients weighing 80 kg or more (86%), see AmiCP Dosing worksheet in Attach 4.1 UCM Ami 2 </w:t>
      </w:r>
      <w:proofErr w:type="spellStart"/>
      <w:r w:rsidRPr="0069548C">
        <w:t>cEGFR</w:t>
      </w:r>
      <w:proofErr w:type="spellEnd"/>
      <w:r w:rsidRPr="0069548C">
        <w:t xml:space="preserve"> Nov-25 (BASE).xls provided with submission</w:t>
      </w:r>
      <w:r>
        <w:t xml:space="preserve"> </w:t>
      </w:r>
    </w:p>
  </w:footnote>
  <w:footnote w:id="12">
    <w:p w14:paraId="7355DA98" w14:textId="77777777" w:rsidR="00E50A74" w:rsidRDefault="00E50A74" w:rsidP="00E50A74">
      <w:pPr>
        <w:pStyle w:val="FootnoteText"/>
      </w:pPr>
      <w:r>
        <w:rPr>
          <w:rStyle w:val="FootnoteReference"/>
        </w:rPr>
        <w:footnoteRef/>
      </w:r>
      <w:r>
        <w:t xml:space="preserve"> Lung cancer statistics and trends. Cancer Council Victoria. </w:t>
      </w:r>
      <w:hyperlink r:id="rId3" w:history="1">
        <w:r w:rsidRPr="00F96CA3">
          <w:rPr>
            <w:rStyle w:val="Hyperlink"/>
          </w:rPr>
          <w:t>https://www.cancervic.org.au/about-cancer/types/statistics/lung-cancer.html</w:t>
        </w:r>
      </w:hyperlink>
    </w:p>
    <w:p w14:paraId="3FAFEEDB" w14:textId="77777777" w:rsidR="00E50A74" w:rsidRDefault="00E50A74" w:rsidP="00E50A7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8856" w14:textId="75D56DCF" w:rsidR="00DF78C3" w:rsidRDefault="00CF50ED">
    <w:pPr>
      <w:pStyle w:val="Header"/>
    </w:pPr>
    <w:r>
      <w:rPr>
        <w:noProof/>
      </w:rPr>
      <mc:AlternateContent>
        <mc:Choice Requires="wps">
          <w:drawing>
            <wp:anchor distT="0" distB="0" distL="0" distR="0" simplePos="0" relativeHeight="251658241" behindDoc="0" locked="0" layoutInCell="1" allowOverlap="1" wp14:anchorId="17E28E85" wp14:editId="5A23B62E">
              <wp:simplePos x="635" y="635"/>
              <wp:positionH relativeFrom="page">
                <wp:align>center</wp:align>
              </wp:positionH>
              <wp:positionV relativeFrom="page">
                <wp:align>top</wp:align>
              </wp:positionV>
              <wp:extent cx="622300" cy="376555"/>
              <wp:effectExtent l="0" t="0" r="6350" b="4445"/>
              <wp:wrapNone/>
              <wp:docPr id="19849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54125CC" w14:textId="6F53CA83" w:rsidR="00CF50ED" w:rsidRPr="00CF50ED" w:rsidRDefault="00CF50ED" w:rsidP="00CF50ED">
                          <w:pPr>
                            <w:rPr>
                              <w:rFonts w:ascii="Aptos" w:eastAsia="Aptos" w:hAnsi="Aptos" w:cs="Aptos"/>
                              <w:noProof/>
                              <w:color w:val="FF0000"/>
                            </w:rPr>
                          </w:pPr>
                          <w:r w:rsidRPr="00CF50E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E28E85"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54125CC" w14:textId="6F53CA83" w:rsidR="00CF50ED" w:rsidRPr="00CF50ED" w:rsidRDefault="00CF50ED" w:rsidP="00CF50ED">
                    <w:pPr>
                      <w:rPr>
                        <w:rFonts w:ascii="Aptos" w:eastAsia="Aptos" w:hAnsi="Aptos" w:cs="Aptos"/>
                        <w:noProof/>
                        <w:color w:val="FF0000"/>
                      </w:rPr>
                    </w:pPr>
                    <w:r w:rsidRPr="00CF50ED">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A7E8" w14:textId="77777777" w:rsidR="00B96282" w:rsidRPr="00B96282" w:rsidRDefault="00B96282" w:rsidP="00B96282">
    <w:pPr>
      <w:keepNext/>
      <w:tabs>
        <w:tab w:val="center" w:pos="4513"/>
        <w:tab w:val="right" w:pos="9026"/>
      </w:tabs>
      <w:jc w:val="center"/>
      <w:rPr>
        <w:rFonts w:asciiTheme="minorHAnsi" w:hAnsiTheme="minorHAnsi"/>
        <w:i/>
        <w:iCs/>
        <w:color w:val="808080"/>
      </w:rPr>
    </w:pPr>
    <w:r w:rsidRPr="00B96282">
      <w:rPr>
        <w:rFonts w:asciiTheme="minorHAnsi" w:hAnsiTheme="minorHAnsi"/>
        <w:i/>
        <w:iCs/>
        <w:noProof/>
        <w:color w:val="808080"/>
      </w:rPr>
      <mc:AlternateContent>
        <mc:Choice Requires="wps">
          <w:drawing>
            <wp:anchor distT="0" distB="0" distL="0" distR="0" simplePos="0" relativeHeight="251660293" behindDoc="0" locked="0" layoutInCell="1" allowOverlap="1" wp14:anchorId="0A1A2D1A" wp14:editId="2940EC4E">
              <wp:simplePos x="635" y="635"/>
              <wp:positionH relativeFrom="page">
                <wp:align>center</wp:align>
              </wp:positionH>
              <wp:positionV relativeFrom="page">
                <wp:align>top</wp:align>
              </wp:positionV>
              <wp:extent cx="622300" cy="376555"/>
              <wp:effectExtent l="0" t="0" r="6350" b="4445"/>
              <wp:wrapNone/>
              <wp:docPr id="89601775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8837BE4" w14:textId="77777777" w:rsidR="00B96282" w:rsidRPr="000406E3" w:rsidRDefault="00B96282" w:rsidP="00B96282">
                          <w:pPr>
                            <w:rPr>
                              <w:rFonts w:ascii="Aptos" w:eastAsia="Aptos" w:hAnsi="Aptos" w:cs="Aptos"/>
                              <w:noProof/>
                              <w:color w:val="FF0000"/>
                            </w:rPr>
                          </w:pPr>
                          <w:r w:rsidRPr="000406E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1A2D1A"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18837BE4" w14:textId="77777777" w:rsidR="00B96282" w:rsidRPr="000406E3" w:rsidRDefault="00B96282" w:rsidP="00B96282">
                    <w:pPr>
                      <w:rPr>
                        <w:rFonts w:ascii="Aptos" w:eastAsia="Aptos" w:hAnsi="Aptos" w:cs="Aptos"/>
                        <w:noProof/>
                        <w:color w:val="FF0000"/>
                      </w:rPr>
                    </w:pPr>
                    <w:r w:rsidRPr="000406E3">
                      <w:rPr>
                        <w:rFonts w:ascii="Aptos" w:eastAsia="Aptos" w:hAnsi="Aptos" w:cs="Aptos"/>
                        <w:noProof/>
                        <w:color w:val="FF0000"/>
                      </w:rPr>
                      <w:t>OFFICIAL</w:t>
                    </w:r>
                  </w:p>
                </w:txbxContent>
              </v:textbox>
              <w10:wrap anchorx="page" anchory="page"/>
            </v:shape>
          </w:pict>
        </mc:Fallback>
      </mc:AlternateContent>
    </w:r>
    <w:r w:rsidRPr="00B96282">
      <w:rPr>
        <w:rFonts w:asciiTheme="minorHAnsi" w:hAnsiTheme="minorHAnsi"/>
        <w:i/>
        <w:iCs/>
        <w:noProof/>
        <w:color w:val="808080"/>
      </w:rPr>
      <w:t>Public Summary Document</w:t>
    </w:r>
    <w:r w:rsidRPr="00B96282">
      <w:rPr>
        <w:rFonts w:asciiTheme="minorHAnsi" w:hAnsiTheme="minorHAnsi"/>
        <w:i/>
        <w:iCs/>
        <w:color w:val="808080"/>
      </w:rPr>
      <w:t xml:space="preserve"> - March 2026 PBAC Meeting</w:t>
    </w:r>
  </w:p>
  <w:p w14:paraId="2F65D540" w14:textId="08FE22A3" w:rsidR="00A8798A" w:rsidRPr="00B96282" w:rsidRDefault="00A8798A" w:rsidP="00B962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C16F" w14:textId="6C298B83" w:rsidR="00DF78C3" w:rsidRDefault="00CF50ED">
    <w:pPr>
      <w:pStyle w:val="Header"/>
    </w:pPr>
    <w:r>
      <w:rPr>
        <w:noProof/>
      </w:rPr>
      <mc:AlternateContent>
        <mc:Choice Requires="wps">
          <w:drawing>
            <wp:anchor distT="0" distB="0" distL="0" distR="0" simplePos="0" relativeHeight="251658240" behindDoc="0" locked="0" layoutInCell="1" allowOverlap="1" wp14:anchorId="10DA152E" wp14:editId="69FD121C">
              <wp:simplePos x="635" y="635"/>
              <wp:positionH relativeFrom="page">
                <wp:align>center</wp:align>
              </wp:positionH>
              <wp:positionV relativeFrom="page">
                <wp:align>top</wp:align>
              </wp:positionV>
              <wp:extent cx="622300" cy="376555"/>
              <wp:effectExtent l="0" t="0" r="6350" b="4445"/>
              <wp:wrapNone/>
              <wp:docPr id="16949873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5210E35" w14:textId="202AE823" w:rsidR="00CF50ED" w:rsidRPr="00CF50ED" w:rsidRDefault="00CF50ED" w:rsidP="00CF50ED">
                          <w:pPr>
                            <w:rPr>
                              <w:rFonts w:ascii="Aptos" w:eastAsia="Aptos" w:hAnsi="Aptos" w:cs="Aptos"/>
                              <w:noProof/>
                              <w:color w:val="FF0000"/>
                            </w:rPr>
                          </w:pPr>
                          <w:r w:rsidRPr="00CF50E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DA152E"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45210E35" w14:textId="202AE823" w:rsidR="00CF50ED" w:rsidRPr="00CF50ED" w:rsidRDefault="00CF50ED" w:rsidP="00CF50ED">
                    <w:pPr>
                      <w:rPr>
                        <w:rFonts w:ascii="Aptos" w:eastAsia="Aptos" w:hAnsi="Aptos" w:cs="Aptos"/>
                        <w:noProof/>
                        <w:color w:val="FF0000"/>
                      </w:rPr>
                    </w:pPr>
                    <w:r w:rsidRPr="00CF50ED">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47466"/>
    <w:multiLevelType w:val="hybridMultilevel"/>
    <w:tmpl w:val="0FA46ED0"/>
    <w:lvl w:ilvl="0" w:tplc="BA62BF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037CC5"/>
    <w:multiLevelType w:val="hybridMultilevel"/>
    <w:tmpl w:val="C4C8A8E4"/>
    <w:lvl w:ilvl="0" w:tplc="81AE6CD2">
      <w:start w:val="1"/>
      <w:numFmt w:val="decimal"/>
      <w:pStyle w:val="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196CE7"/>
    <w:multiLevelType w:val="hybridMultilevel"/>
    <w:tmpl w:val="523E7D06"/>
    <w:lvl w:ilvl="0" w:tplc="B296B67C">
      <w:start w:val="1"/>
      <w:numFmt w:val="bullet"/>
      <w:lvlText w:val=""/>
      <w:lvlJc w:val="left"/>
      <w:pPr>
        <w:ind w:left="720" w:hanging="360"/>
      </w:pPr>
      <w:rPr>
        <w:rFonts w:ascii="Symbol" w:hAnsi="Symbol"/>
      </w:rPr>
    </w:lvl>
    <w:lvl w:ilvl="1" w:tplc="3F5E43B0">
      <w:start w:val="1"/>
      <w:numFmt w:val="bullet"/>
      <w:lvlText w:val=""/>
      <w:lvlJc w:val="left"/>
      <w:pPr>
        <w:ind w:left="720" w:hanging="360"/>
      </w:pPr>
      <w:rPr>
        <w:rFonts w:ascii="Symbol" w:hAnsi="Symbol"/>
      </w:rPr>
    </w:lvl>
    <w:lvl w:ilvl="2" w:tplc="0F160014">
      <w:start w:val="1"/>
      <w:numFmt w:val="bullet"/>
      <w:lvlText w:val=""/>
      <w:lvlJc w:val="left"/>
      <w:pPr>
        <w:ind w:left="720" w:hanging="360"/>
      </w:pPr>
      <w:rPr>
        <w:rFonts w:ascii="Symbol" w:hAnsi="Symbol"/>
      </w:rPr>
    </w:lvl>
    <w:lvl w:ilvl="3" w:tplc="63A2C63C">
      <w:start w:val="1"/>
      <w:numFmt w:val="bullet"/>
      <w:lvlText w:val=""/>
      <w:lvlJc w:val="left"/>
      <w:pPr>
        <w:ind w:left="720" w:hanging="360"/>
      </w:pPr>
      <w:rPr>
        <w:rFonts w:ascii="Symbol" w:hAnsi="Symbol"/>
      </w:rPr>
    </w:lvl>
    <w:lvl w:ilvl="4" w:tplc="850E004C">
      <w:start w:val="1"/>
      <w:numFmt w:val="bullet"/>
      <w:lvlText w:val=""/>
      <w:lvlJc w:val="left"/>
      <w:pPr>
        <w:ind w:left="720" w:hanging="360"/>
      </w:pPr>
      <w:rPr>
        <w:rFonts w:ascii="Symbol" w:hAnsi="Symbol"/>
      </w:rPr>
    </w:lvl>
    <w:lvl w:ilvl="5" w:tplc="E5E6616C">
      <w:start w:val="1"/>
      <w:numFmt w:val="bullet"/>
      <w:lvlText w:val=""/>
      <w:lvlJc w:val="left"/>
      <w:pPr>
        <w:ind w:left="720" w:hanging="360"/>
      </w:pPr>
      <w:rPr>
        <w:rFonts w:ascii="Symbol" w:hAnsi="Symbol"/>
      </w:rPr>
    </w:lvl>
    <w:lvl w:ilvl="6" w:tplc="C03E902C">
      <w:start w:val="1"/>
      <w:numFmt w:val="bullet"/>
      <w:lvlText w:val=""/>
      <w:lvlJc w:val="left"/>
      <w:pPr>
        <w:ind w:left="720" w:hanging="360"/>
      </w:pPr>
      <w:rPr>
        <w:rFonts w:ascii="Symbol" w:hAnsi="Symbol"/>
      </w:rPr>
    </w:lvl>
    <w:lvl w:ilvl="7" w:tplc="67FC9D80">
      <w:start w:val="1"/>
      <w:numFmt w:val="bullet"/>
      <w:lvlText w:val=""/>
      <w:lvlJc w:val="left"/>
      <w:pPr>
        <w:ind w:left="720" w:hanging="360"/>
      </w:pPr>
      <w:rPr>
        <w:rFonts w:ascii="Symbol" w:hAnsi="Symbol"/>
      </w:rPr>
    </w:lvl>
    <w:lvl w:ilvl="8" w:tplc="C56085AE">
      <w:start w:val="1"/>
      <w:numFmt w:val="bullet"/>
      <w:lvlText w:val=""/>
      <w:lvlJc w:val="left"/>
      <w:pPr>
        <w:ind w:left="720" w:hanging="360"/>
      </w:pPr>
      <w:rPr>
        <w:rFonts w:ascii="Symbol" w:hAnsi="Symbol"/>
      </w:rPr>
    </w:lvl>
  </w:abstractNum>
  <w:abstractNum w:abstractNumId="4" w15:restartNumberingAfterBreak="0">
    <w:nsid w:val="1D7376B3"/>
    <w:multiLevelType w:val="hybridMultilevel"/>
    <w:tmpl w:val="7336718A"/>
    <w:lvl w:ilvl="0" w:tplc="21DEC20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6C3B1A"/>
    <w:multiLevelType w:val="hybridMultilevel"/>
    <w:tmpl w:val="264218EA"/>
    <w:lvl w:ilvl="0" w:tplc="40B85112">
      <w:start w:val="1"/>
      <w:numFmt w:val="decimal"/>
      <w:lvlText w:val="%1."/>
      <w:lvlJc w:val="left"/>
      <w:pPr>
        <w:ind w:left="720" w:hanging="360"/>
      </w:pPr>
      <w:rPr>
        <w:rFonts w:hint="default"/>
        <w:b w:val="0"/>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B219F8"/>
    <w:multiLevelType w:val="hybridMultilevel"/>
    <w:tmpl w:val="06AE7F14"/>
    <w:lvl w:ilvl="0" w:tplc="8A7C1AE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5E1D1F"/>
    <w:multiLevelType w:val="hybridMultilevel"/>
    <w:tmpl w:val="E668CBEC"/>
    <w:lvl w:ilvl="0" w:tplc="B0B4944C">
      <w:start w:val="1"/>
      <w:numFmt w:val="bullet"/>
      <w:lvlText w:val=""/>
      <w:lvlJc w:val="left"/>
      <w:pPr>
        <w:ind w:left="720" w:hanging="360"/>
      </w:pPr>
      <w:rPr>
        <w:rFonts w:ascii="Symbol" w:hAnsi="Symbol"/>
      </w:rPr>
    </w:lvl>
    <w:lvl w:ilvl="1" w:tplc="8FB0E982">
      <w:start w:val="1"/>
      <w:numFmt w:val="bullet"/>
      <w:lvlText w:val=""/>
      <w:lvlJc w:val="left"/>
      <w:pPr>
        <w:ind w:left="720" w:hanging="360"/>
      </w:pPr>
      <w:rPr>
        <w:rFonts w:ascii="Symbol" w:hAnsi="Symbol"/>
      </w:rPr>
    </w:lvl>
    <w:lvl w:ilvl="2" w:tplc="C972B4DC">
      <w:start w:val="1"/>
      <w:numFmt w:val="bullet"/>
      <w:lvlText w:val=""/>
      <w:lvlJc w:val="left"/>
      <w:pPr>
        <w:ind w:left="720" w:hanging="360"/>
      </w:pPr>
      <w:rPr>
        <w:rFonts w:ascii="Symbol" w:hAnsi="Symbol"/>
      </w:rPr>
    </w:lvl>
    <w:lvl w:ilvl="3" w:tplc="D08875F8">
      <w:start w:val="1"/>
      <w:numFmt w:val="bullet"/>
      <w:lvlText w:val=""/>
      <w:lvlJc w:val="left"/>
      <w:pPr>
        <w:ind w:left="720" w:hanging="360"/>
      </w:pPr>
      <w:rPr>
        <w:rFonts w:ascii="Symbol" w:hAnsi="Symbol"/>
      </w:rPr>
    </w:lvl>
    <w:lvl w:ilvl="4" w:tplc="43B8446C">
      <w:start w:val="1"/>
      <w:numFmt w:val="bullet"/>
      <w:lvlText w:val=""/>
      <w:lvlJc w:val="left"/>
      <w:pPr>
        <w:ind w:left="720" w:hanging="360"/>
      </w:pPr>
      <w:rPr>
        <w:rFonts w:ascii="Symbol" w:hAnsi="Symbol"/>
      </w:rPr>
    </w:lvl>
    <w:lvl w:ilvl="5" w:tplc="70D05C4C">
      <w:start w:val="1"/>
      <w:numFmt w:val="bullet"/>
      <w:lvlText w:val=""/>
      <w:lvlJc w:val="left"/>
      <w:pPr>
        <w:ind w:left="720" w:hanging="360"/>
      </w:pPr>
      <w:rPr>
        <w:rFonts w:ascii="Symbol" w:hAnsi="Symbol"/>
      </w:rPr>
    </w:lvl>
    <w:lvl w:ilvl="6" w:tplc="32EC03D8">
      <w:start w:val="1"/>
      <w:numFmt w:val="bullet"/>
      <w:lvlText w:val=""/>
      <w:lvlJc w:val="left"/>
      <w:pPr>
        <w:ind w:left="720" w:hanging="360"/>
      </w:pPr>
      <w:rPr>
        <w:rFonts w:ascii="Symbol" w:hAnsi="Symbol"/>
      </w:rPr>
    </w:lvl>
    <w:lvl w:ilvl="7" w:tplc="B18E310A">
      <w:start w:val="1"/>
      <w:numFmt w:val="bullet"/>
      <w:lvlText w:val=""/>
      <w:lvlJc w:val="left"/>
      <w:pPr>
        <w:ind w:left="720" w:hanging="360"/>
      </w:pPr>
      <w:rPr>
        <w:rFonts w:ascii="Symbol" w:hAnsi="Symbol"/>
      </w:rPr>
    </w:lvl>
    <w:lvl w:ilvl="8" w:tplc="9B825712">
      <w:start w:val="1"/>
      <w:numFmt w:val="bullet"/>
      <w:lvlText w:val=""/>
      <w:lvlJc w:val="left"/>
      <w:pPr>
        <w:ind w:left="720" w:hanging="360"/>
      </w:pPr>
      <w:rPr>
        <w:rFonts w:ascii="Symbol" w:hAnsi="Symbol"/>
      </w:rPr>
    </w:lvl>
  </w:abstractNum>
  <w:abstractNum w:abstractNumId="8" w15:restartNumberingAfterBreak="0">
    <w:nsid w:val="264C6CAF"/>
    <w:multiLevelType w:val="hybridMultilevel"/>
    <w:tmpl w:val="93B4FC68"/>
    <w:lvl w:ilvl="0" w:tplc="B7B2AC5E">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868455D"/>
    <w:multiLevelType w:val="hybridMultilevel"/>
    <w:tmpl w:val="8898AC3C"/>
    <w:lvl w:ilvl="0" w:tplc="1BEC720C">
      <w:start w:val="1"/>
      <w:numFmt w:val="bullet"/>
      <w:lvlText w:val=""/>
      <w:lvlJc w:val="left"/>
      <w:pPr>
        <w:ind w:left="720" w:hanging="360"/>
      </w:pPr>
      <w:rPr>
        <w:rFonts w:ascii="Symbol" w:hAnsi="Symbol"/>
      </w:rPr>
    </w:lvl>
    <w:lvl w:ilvl="1" w:tplc="B4105564">
      <w:start w:val="1"/>
      <w:numFmt w:val="bullet"/>
      <w:lvlText w:val=""/>
      <w:lvlJc w:val="left"/>
      <w:pPr>
        <w:ind w:left="720" w:hanging="360"/>
      </w:pPr>
      <w:rPr>
        <w:rFonts w:ascii="Symbol" w:hAnsi="Symbol"/>
      </w:rPr>
    </w:lvl>
    <w:lvl w:ilvl="2" w:tplc="48960C8E">
      <w:start w:val="1"/>
      <w:numFmt w:val="bullet"/>
      <w:lvlText w:val=""/>
      <w:lvlJc w:val="left"/>
      <w:pPr>
        <w:ind w:left="720" w:hanging="360"/>
      </w:pPr>
      <w:rPr>
        <w:rFonts w:ascii="Symbol" w:hAnsi="Symbol"/>
      </w:rPr>
    </w:lvl>
    <w:lvl w:ilvl="3" w:tplc="EE888DEE">
      <w:start w:val="1"/>
      <w:numFmt w:val="bullet"/>
      <w:lvlText w:val=""/>
      <w:lvlJc w:val="left"/>
      <w:pPr>
        <w:ind w:left="720" w:hanging="360"/>
      </w:pPr>
      <w:rPr>
        <w:rFonts w:ascii="Symbol" w:hAnsi="Symbol"/>
      </w:rPr>
    </w:lvl>
    <w:lvl w:ilvl="4" w:tplc="67B03FE4">
      <w:start w:val="1"/>
      <w:numFmt w:val="bullet"/>
      <w:lvlText w:val=""/>
      <w:lvlJc w:val="left"/>
      <w:pPr>
        <w:ind w:left="720" w:hanging="360"/>
      </w:pPr>
      <w:rPr>
        <w:rFonts w:ascii="Symbol" w:hAnsi="Symbol"/>
      </w:rPr>
    </w:lvl>
    <w:lvl w:ilvl="5" w:tplc="A37EBE8C">
      <w:start w:val="1"/>
      <w:numFmt w:val="bullet"/>
      <w:lvlText w:val=""/>
      <w:lvlJc w:val="left"/>
      <w:pPr>
        <w:ind w:left="720" w:hanging="360"/>
      </w:pPr>
      <w:rPr>
        <w:rFonts w:ascii="Symbol" w:hAnsi="Symbol"/>
      </w:rPr>
    </w:lvl>
    <w:lvl w:ilvl="6" w:tplc="A830C122">
      <w:start w:val="1"/>
      <w:numFmt w:val="bullet"/>
      <w:lvlText w:val=""/>
      <w:lvlJc w:val="left"/>
      <w:pPr>
        <w:ind w:left="720" w:hanging="360"/>
      </w:pPr>
      <w:rPr>
        <w:rFonts w:ascii="Symbol" w:hAnsi="Symbol"/>
      </w:rPr>
    </w:lvl>
    <w:lvl w:ilvl="7" w:tplc="D8F0F074">
      <w:start w:val="1"/>
      <w:numFmt w:val="bullet"/>
      <w:lvlText w:val=""/>
      <w:lvlJc w:val="left"/>
      <w:pPr>
        <w:ind w:left="720" w:hanging="360"/>
      </w:pPr>
      <w:rPr>
        <w:rFonts w:ascii="Symbol" w:hAnsi="Symbol"/>
      </w:rPr>
    </w:lvl>
    <w:lvl w:ilvl="8" w:tplc="1A9AFC08">
      <w:start w:val="1"/>
      <w:numFmt w:val="bullet"/>
      <w:lvlText w:val=""/>
      <w:lvlJc w:val="left"/>
      <w:pPr>
        <w:ind w:left="720" w:hanging="360"/>
      </w:pPr>
      <w:rPr>
        <w:rFonts w:ascii="Symbol" w:hAnsi="Symbol"/>
      </w:rPr>
    </w:lvl>
  </w:abstractNum>
  <w:abstractNum w:abstractNumId="10" w15:restartNumberingAfterBreak="0">
    <w:nsid w:val="30346AD7"/>
    <w:multiLevelType w:val="hybridMultilevel"/>
    <w:tmpl w:val="71A65F8E"/>
    <w:lvl w:ilvl="0" w:tplc="CFBE442A">
      <w:start w:val="1"/>
      <w:numFmt w:val="bullet"/>
      <w:pStyle w:val="ListParagraph"/>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6F20DD6"/>
    <w:multiLevelType w:val="hybridMultilevel"/>
    <w:tmpl w:val="04860C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A267C73"/>
    <w:multiLevelType w:val="hybridMultilevel"/>
    <w:tmpl w:val="2EA4AA5A"/>
    <w:lvl w:ilvl="0" w:tplc="0DD2A4F8">
      <w:numFmt w:val="bullet"/>
      <w:lvlText w:val="-"/>
      <w:lvlJc w:val="left"/>
      <w:pPr>
        <w:ind w:left="720" w:hanging="360"/>
      </w:pPr>
      <w:rPr>
        <w:rFonts w:ascii="Arial Narrow" w:eastAsiaTheme="majorEastAsia" w:hAnsi="Arial Narrow" w:cstheme="majorBidi"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6C579E"/>
    <w:multiLevelType w:val="hybridMultilevel"/>
    <w:tmpl w:val="3356FA50"/>
    <w:lvl w:ilvl="0" w:tplc="83A85698">
      <w:start w:val="1"/>
      <w:numFmt w:val="bullet"/>
      <w:lvlText w:val=""/>
      <w:lvlJc w:val="left"/>
      <w:pPr>
        <w:ind w:left="1020" w:hanging="360"/>
      </w:pPr>
      <w:rPr>
        <w:rFonts w:ascii="Symbol" w:hAnsi="Symbol"/>
      </w:rPr>
    </w:lvl>
    <w:lvl w:ilvl="1" w:tplc="66EAA01A">
      <w:start w:val="1"/>
      <w:numFmt w:val="bullet"/>
      <w:lvlText w:val=""/>
      <w:lvlJc w:val="left"/>
      <w:pPr>
        <w:ind w:left="1020" w:hanging="360"/>
      </w:pPr>
      <w:rPr>
        <w:rFonts w:ascii="Symbol" w:hAnsi="Symbol"/>
      </w:rPr>
    </w:lvl>
    <w:lvl w:ilvl="2" w:tplc="8806E908">
      <w:start w:val="1"/>
      <w:numFmt w:val="bullet"/>
      <w:lvlText w:val=""/>
      <w:lvlJc w:val="left"/>
      <w:pPr>
        <w:ind w:left="1020" w:hanging="360"/>
      </w:pPr>
      <w:rPr>
        <w:rFonts w:ascii="Symbol" w:hAnsi="Symbol"/>
      </w:rPr>
    </w:lvl>
    <w:lvl w:ilvl="3" w:tplc="7D7EB438">
      <w:start w:val="1"/>
      <w:numFmt w:val="bullet"/>
      <w:lvlText w:val=""/>
      <w:lvlJc w:val="left"/>
      <w:pPr>
        <w:ind w:left="1020" w:hanging="360"/>
      </w:pPr>
      <w:rPr>
        <w:rFonts w:ascii="Symbol" w:hAnsi="Symbol"/>
      </w:rPr>
    </w:lvl>
    <w:lvl w:ilvl="4" w:tplc="55260F92">
      <w:start w:val="1"/>
      <w:numFmt w:val="bullet"/>
      <w:lvlText w:val=""/>
      <w:lvlJc w:val="left"/>
      <w:pPr>
        <w:ind w:left="1020" w:hanging="360"/>
      </w:pPr>
      <w:rPr>
        <w:rFonts w:ascii="Symbol" w:hAnsi="Symbol"/>
      </w:rPr>
    </w:lvl>
    <w:lvl w:ilvl="5" w:tplc="DADA8032">
      <w:start w:val="1"/>
      <w:numFmt w:val="bullet"/>
      <w:lvlText w:val=""/>
      <w:lvlJc w:val="left"/>
      <w:pPr>
        <w:ind w:left="1020" w:hanging="360"/>
      </w:pPr>
      <w:rPr>
        <w:rFonts w:ascii="Symbol" w:hAnsi="Symbol"/>
      </w:rPr>
    </w:lvl>
    <w:lvl w:ilvl="6" w:tplc="70247A8C">
      <w:start w:val="1"/>
      <w:numFmt w:val="bullet"/>
      <w:lvlText w:val=""/>
      <w:lvlJc w:val="left"/>
      <w:pPr>
        <w:ind w:left="1020" w:hanging="360"/>
      </w:pPr>
      <w:rPr>
        <w:rFonts w:ascii="Symbol" w:hAnsi="Symbol"/>
      </w:rPr>
    </w:lvl>
    <w:lvl w:ilvl="7" w:tplc="D124E990">
      <w:start w:val="1"/>
      <w:numFmt w:val="bullet"/>
      <w:lvlText w:val=""/>
      <w:lvlJc w:val="left"/>
      <w:pPr>
        <w:ind w:left="1020" w:hanging="360"/>
      </w:pPr>
      <w:rPr>
        <w:rFonts w:ascii="Symbol" w:hAnsi="Symbol"/>
      </w:rPr>
    </w:lvl>
    <w:lvl w:ilvl="8" w:tplc="ECFE5928">
      <w:start w:val="1"/>
      <w:numFmt w:val="bullet"/>
      <w:lvlText w:val=""/>
      <w:lvlJc w:val="left"/>
      <w:pPr>
        <w:ind w:left="1020" w:hanging="360"/>
      </w:pPr>
      <w:rPr>
        <w:rFonts w:ascii="Symbol" w:hAnsi="Symbol"/>
      </w:rPr>
    </w:lvl>
  </w:abstractNum>
  <w:abstractNum w:abstractNumId="15" w15:restartNumberingAfterBreak="0">
    <w:nsid w:val="56B76837"/>
    <w:multiLevelType w:val="hybridMultilevel"/>
    <w:tmpl w:val="F762FB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46E0AAD"/>
    <w:multiLevelType w:val="hybridMultilevel"/>
    <w:tmpl w:val="80326012"/>
    <w:lvl w:ilvl="0" w:tplc="05B65D32">
      <w:start w:val="1"/>
      <w:numFmt w:val="bullet"/>
      <w:lvlText w:val=""/>
      <w:lvlJc w:val="left"/>
      <w:pPr>
        <w:ind w:left="1020" w:hanging="360"/>
      </w:pPr>
      <w:rPr>
        <w:rFonts w:ascii="Symbol" w:hAnsi="Symbol"/>
      </w:rPr>
    </w:lvl>
    <w:lvl w:ilvl="1" w:tplc="C228EA4A">
      <w:start w:val="1"/>
      <w:numFmt w:val="bullet"/>
      <w:lvlText w:val=""/>
      <w:lvlJc w:val="left"/>
      <w:pPr>
        <w:ind w:left="1020" w:hanging="360"/>
      </w:pPr>
      <w:rPr>
        <w:rFonts w:ascii="Symbol" w:hAnsi="Symbol"/>
      </w:rPr>
    </w:lvl>
    <w:lvl w:ilvl="2" w:tplc="9E4E8FCE">
      <w:start w:val="1"/>
      <w:numFmt w:val="bullet"/>
      <w:lvlText w:val=""/>
      <w:lvlJc w:val="left"/>
      <w:pPr>
        <w:ind w:left="1020" w:hanging="360"/>
      </w:pPr>
      <w:rPr>
        <w:rFonts w:ascii="Symbol" w:hAnsi="Symbol"/>
      </w:rPr>
    </w:lvl>
    <w:lvl w:ilvl="3" w:tplc="768C77D4">
      <w:start w:val="1"/>
      <w:numFmt w:val="bullet"/>
      <w:lvlText w:val=""/>
      <w:lvlJc w:val="left"/>
      <w:pPr>
        <w:ind w:left="1020" w:hanging="360"/>
      </w:pPr>
      <w:rPr>
        <w:rFonts w:ascii="Symbol" w:hAnsi="Symbol"/>
      </w:rPr>
    </w:lvl>
    <w:lvl w:ilvl="4" w:tplc="6EAAD07A">
      <w:start w:val="1"/>
      <w:numFmt w:val="bullet"/>
      <w:lvlText w:val=""/>
      <w:lvlJc w:val="left"/>
      <w:pPr>
        <w:ind w:left="1020" w:hanging="360"/>
      </w:pPr>
      <w:rPr>
        <w:rFonts w:ascii="Symbol" w:hAnsi="Symbol"/>
      </w:rPr>
    </w:lvl>
    <w:lvl w:ilvl="5" w:tplc="96968E20">
      <w:start w:val="1"/>
      <w:numFmt w:val="bullet"/>
      <w:lvlText w:val=""/>
      <w:lvlJc w:val="left"/>
      <w:pPr>
        <w:ind w:left="1020" w:hanging="360"/>
      </w:pPr>
      <w:rPr>
        <w:rFonts w:ascii="Symbol" w:hAnsi="Symbol"/>
      </w:rPr>
    </w:lvl>
    <w:lvl w:ilvl="6" w:tplc="CEAE9E56">
      <w:start w:val="1"/>
      <w:numFmt w:val="bullet"/>
      <w:lvlText w:val=""/>
      <w:lvlJc w:val="left"/>
      <w:pPr>
        <w:ind w:left="1020" w:hanging="360"/>
      </w:pPr>
      <w:rPr>
        <w:rFonts w:ascii="Symbol" w:hAnsi="Symbol"/>
      </w:rPr>
    </w:lvl>
    <w:lvl w:ilvl="7" w:tplc="F0D2594E">
      <w:start w:val="1"/>
      <w:numFmt w:val="bullet"/>
      <w:lvlText w:val=""/>
      <w:lvlJc w:val="left"/>
      <w:pPr>
        <w:ind w:left="1020" w:hanging="360"/>
      </w:pPr>
      <w:rPr>
        <w:rFonts w:ascii="Symbol" w:hAnsi="Symbol"/>
      </w:rPr>
    </w:lvl>
    <w:lvl w:ilvl="8" w:tplc="7FC66446">
      <w:start w:val="1"/>
      <w:numFmt w:val="bullet"/>
      <w:lvlText w:val=""/>
      <w:lvlJc w:val="left"/>
      <w:pPr>
        <w:ind w:left="1020" w:hanging="360"/>
      </w:pPr>
      <w:rPr>
        <w:rFonts w:ascii="Symbol" w:hAnsi="Symbol"/>
      </w:rPr>
    </w:lvl>
  </w:abstractNum>
  <w:abstractNum w:abstractNumId="17"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66A352EC"/>
    <w:multiLevelType w:val="hybridMultilevel"/>
    <w:tmpl w:val="A7284E2E"/>
    <w:lvl w:ilvl="0" w:tplc="F578C33A">
      <w:start w:val="1"/>
      <w:numFmt w:val="bullet"/>
      <w:pStyle w:val="Tablebullet"/>
      <w:lvlText w:val=""/>
      <w:lvlJc w:val="left"/>
      <w:pPr>
        <w:ind w:left="360" w:hanging="360"/>
      </w:pPr>
      <w:rPr>
        <w:rFonts w:ascii="Symbol" w:hAnsi="Symbol" w:hint="default"/>
        <w:b w:val="0"/>
        <w:i w:val="0"/>
        <w:caps w:val="0"/>
        <w:strike w:val="0"/>
        <w:dstrike w:val="0"/>
        <w:vanish w:val="0"/>
        <w:color w:val="FFFFFF" w:themeColor="background1"/>
        <w:sz w:val="20"/>
        <w:szCs w:val="20"/>
        <w:u w:val="none" w:color="FFFFFF"/>
        <w:vertAlign w:val="baseline"/>
      </w:rPr>
    </w:lvl>
    <w:lvl w:ilvl="1" w:tplc="C40EFE8A">
      <w:start w:val="1"/>
      <w:numFmt w:val="bullet"/>
      <w:pStyle w:val="TablebulletL2"/>
      <w:lvlText w:val="o"/>
      <w:lvlJc w:val="left"/>
      <w:pPr>
        <w:ind w:left="-725"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93906FC"/>
    <w:multiLevelType w:val="hybridMultilevel"/>
    <w:tmpl w:val="35905498"/>
    <w:lvl w:ilvl="0" w:tplc="9E4AE7C2">
      <w:start w:val="1"/>
      <w:numFmt w:val="bullet"/>
      <w:lvlText w:val=""/>
      <w:lvlJc w:val="left"/>
      <w:pPr>
        <w:ind w:left="720" w:hanging="360"/>
      </w:pPr>
      <w:rPr>
        <w:rFonts w:ascii="Symbol" w:hAnsi="Symbol"/>
      </w:rPr>
    </w:lvl>
    <w:lvl w:ilvl="1" w:tplc="B4D61D84">
      <w:start w:val="1"/>
      <w:numFmt w:val="bullet"/>
      <w:lvlText w:val=""/>
      <w:lvlJc w:val="left"/>
      <w:pPr>
        <w:ind w:left="720" w:hanging="360"/>
      </w:pPr>
      <w:rPr>
        <w:rFonts w:ascii="Symbol" w:hAnsi="Symbol"/>
      </w:rPr>
    </w:lvl>
    <w:lvl w:ilvl="2" w:tplc="AA9CABB6">
      <w:start w:val="1"/>
      <w:numFmt w:val="bullet"/>
      <w:lvlText w:val=""/>
      <w:lvlJc w:val="left"/>
      <w:pPr>
        <w:ind w:left="720" w:hanging="360"/>
      </w:pPr>
      <w:rPr>
        <w:rFonts w:ascii="Symbol" w:hAnsi="Symbol"/>
      </w:rPr>
    </w:lvl>
    <w:lvl w:ilvl="3" w:tplc="DDC2ED9C">
      <w:start w:val="1"/>
      <w:numFmt w:val="bullet"/>
      <w:lvlText w:val=""/>
      <w:lvlJc w:val="left"/>
      <w:pPr>
        <w:ind w:left="720" w:hanging="360"/>
      </w:pPr>
      <w:rPr>
        <w:rFonts w:ascii="Symbol" w:hAnsi="Symbol"/>
      </w:rPr>
    </w:lvl>
    <w:lvl w:ilvl="4" w:tplc="05585A9E">
      <w:start w:val="1"/>
      <w:numFmt w:val="bullet"/>
      <w:lvlText w:val=""/>
      <w:lvlJc w:val="left"/>
      <w:pPr>
        <w:ind w:left="720" w:hanging="360"/>
      </w:pPr>
      <w:rPr>
        <w:rFonts w:ascii="Symbol" w:hAnsi="Symbol"/>
      </w:rPr>
    </w:lvl>
    <w:lvl w:ilvl="5" w:tplc="BAD64C78">
      <w:start w:val="1"/>
      <w:numFmt w:val="bullet"/>
      <w:lvlText w:val=""/>
      <w:lvlJc w:val="left"/>
      <w:pPr>
        <w:ind w:left="720" w:hanging="360"/>
      </w:pPr>
      <w:rPr>
        <w:rFonts w:ascii="Symbol" w:hAnsi="Symbol"/>
      </w:rPr>
    </w:lvl>
    <w:lvl w:ilvl="6" w:tplc="2B18C0F0">
      <w:start w:val="1"/>
      <w:numFmt w:val="bullet"/>
      <w:lvlText w:val=""/>
      <w:lvlJc w:val="left"/>
      <w:pPr>
        <w:ind w:left="720" w:hanging="360"/>
      </w:pPr>
      <w:rPr>
        <w:rFonts w:ascii="Symbol" w:hAnsi="Symbol"/>
      </w:rPr>
    </w:lvl>
    <w:lvl w:ilvl="7" w:tplc="37A08764">
      <w:start w:val="1"/>
      <w:numFmt w:val="bullet"/>
      <w:lvlText w:val=""/>
      <w:lvlJc w:val="left"/>
      <w:pPr>
        <w:ind w:left="720" w:hanging="360"/>
      </w:pPr>
      <w:rPr>
        <w:rFonts w:ascii="Symbol" w:hAnsi="Symbol"/>
      </w:rPr>
    </w:lvl>
    <w:lvl w:ilvl="8" w:tplc="85DA9566">
      <w:start w:val="1"/>
      <w:numFmt w:val="bullet"/>
      <w:lvlText w:val=""/>
      <w:lvlJc w:val="left"/>
      <w:pPr>
        <w:ind w:left="720" w:hanging="360"/>
      </w:pPr>
      <w:rPr>
        <w:rFonts w:ascii="Symbol" w:hAnsi="Symbol"/>
      </w:rPr>
    </w:lvl>
  </w:abstractNum>
  <w:abstractNum w:abstractNumId="20" w15:restartNumberingAfterBreak="0">
    <w:nsid w:val="6A0E3BBB"/>
    <w:multiLevelType w:val="multilevel"/>
    <w:tmpl w:val="50C4ECC6"/>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C2E76A7"/>
    <w:multiLevelType w:val="hybridMultilevel"/>
    <w:tmpl w:val="6AAE1F56"/>
    <w:lvl w:ilvl="0" w:tplc="81922984">
      <w:start w:val="1"/>
      <w:numFmt w:val="bullet"/>
      <w:lvlText w:val=""/>
      <w:lvlJc w:val="left"/>
      <w:pPr>
        <w:ind w:left="720" w:hanging="360"/>
      </w:pPr>
      <w:rPr>
        <w:rFonts w:ascii="Symbol" w:hAnsi="Symbol"/>
      </w:rPr>
    </w:lvl>
    <w:lvl w:ilvl="1" w:tplc="166A2686">
      <w:start w:val="1"/>
      <w:numFmt w:val="bullet"/>
      <w:lvlText w:val=""/>
      <w:lvlJc w:val="left"/>
      <w:pPr>
        <w:ind w:left="720" w:hanging="360"/>
      </w:pPr>
      <w:rPr>
        <w:rFonts w:ascii="Symbol" w:hAnsi="Symbol"/>
      </w:rPr>
    </w:lvl>
    <w:lvl w:ilvl="2" w:tplc="60A28E5C">
      <w:start w:val="1"/>
      <w:numFmt w:val="bullet"/>
      <w:lvlText w:val=""/>
      <w:lvlJc w:val="left"/>
      <w:pPr>
        <w:ind w:left="720" w:hanging="360"/>
      </w:pPr>
      <w:rPr>
        <w:rFonts w:ascii="Symbol" w:hAnsi="Symbol"/>
      </w:rPr>
    </w:lvl>
    <w:lvl w:ilvl="3" w:tplc="C730298A">
      <w:start w:val="1"/>
      <w:numFmt w:val="bullet"/>
      <w:lvlText w:val=""/>
      <w:lvlJc w:val="left"/>
      <w:pPr>
        <w:ind w:left="720" w:hanging="360"/>
      </w:pPr>
      <w:rPr>
        <w:rFonts w:ascii="Symbol" w:hAnsi="Symbol"/>
      </w:rPr>
    </w:lvl>
    <w:lvl w:ilvl="4" w:tplc="FBC2CD28">
      <w:start w:val="1"/>
      <w:numFmt w:val="bullet"/>
      <w:lvlText w:val=""/>
      <w:lvlJc w:val="left"/>
      <w:pPr>
        <w:ind w:left="720" w:hanging="360"/>
      </w:pPr>
      <w:rPr>
        <w:rFonts w:ascii="Symbol" w:hAnsi="Symbol"/>
      </w:rPr>
    </w:lvl>
    <w:lvl w:ilvl="5" w:tplc="11705726">
      <w:start w:val="1"/>
      <w:numFmt w:val="bullet"/>
      <w:lvlText w:val=""/>
      <w:lvlJc w:val="left"/>
      <w:pPr>
        <w:ind w:left="720" w:hanging="360"/>
      </w:pPr>
      <w:rPr>
        <w:rFonts w:ascii="Symbol" w:hAnsi="Symbol"/>
      </w:rPr>
    </w:lvl>
    <w:lvl w:ilvl="6" w:tplc="E66C3E24">
      <w:start w:val="1"/>
      <w:numFmt w:val="bullet"/>
      <w:lvlText w:val=""/>
      <w:lvlJc w:val="left"/>
      <w:pPr>
        <w:ind w:left="720" w:hanging="360"/>
      </w:pPr>
      <w:rPr>
        <w:rFonts w:ascii="Symbol" w:hAnsi="Symbol"/>
      </w:rPr>
    </w:lvl>
    <w:lvl w:ilvl="7" w:tplc="7D5EEF82">
      <w:start w:val="1"/>
      <w:numFmt w:val="bullet"/>
      <w:lvlText w:val=""/>
      <w:lvlJc w:val="left"/>
      <w:pPr>
        <w:ind w:left="720" w:hanging="360"/>
      </w:pPr>
      <w:rPr>
        <w:rFonts w:ascii="Symbol" w:hAnsi="Symbol"/>
      </w:rPr>
    </w:lvl>
    <w:lvl w:ilvl="8" w:tplc="D57452AC">
      <w:start w:val="1"/>
      <w:numFmt w:val="bullet"/>
      <w:lvlText w:val=""/>
      <w:lvlJc w:val="left"/>
      <w:pPr>
        <w:ind w:left="720" w:hanging="360"/>
      </w:pPr>
      <w:rPr>
        <w:rFonts w:ascii="Symbol" w:hAnsi="Symbol"/>
      </w:rPr>
    </w:lvl>
  </w:abstractNum>
  <w:abstractNum w:abstractNumId="2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DD268A9"/>
    <w:multiLevelType w:val="hybridMultilevel"/>
    <w:tmpl w:val="E1922DCC"/>
    <w:lvl w:ilvl="0" w:tplc="B7B2AC5E">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399078A"/>
    <w:multiLevelType w:val="hybridMultilevel"/>
    <w:tmpl w:val="A0F45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7C92FCE"/>
    <w:multiLevelType w:val="hybridMultilevel"/>
    <w:tmpl w:val="0CC064E0"/>
    <w:lvl w:ilvl="0" w:tplc="83F00008">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4D033C"/>
    <w:multiLevelType w:val="multilevel"/>
    <w:tmpl w:val="9148092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821CE4"/>
    <w:multiLevelType w:val="hybridMultilevel"/>
    <w:tmpl w:val="14A2EDA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ACD5485"/>
    <w:multiLevelType w:val="hybridMultilevel"/>
    <w:tmpl w:val="55B8F3BA"/>
    <w:lvl w:ilvl="0" w:tplc="DE32A8D8">
      <w:start w:val="1"/>
      <w:numFmt w:val="bullet"/>
      <w:lvlText w:val=""/>
      <w:lvlJc w:val="left"/>
      <w:pPr>
        <w:ind w:left="720" w:hanging="360"/>
      </w:pPr>
      <w:rPr>
        <w:rFonts w:ascii="Symbol" w:hAnsi="Symbol"/>
      </w:rPr>
    </w:lvl>
    <w:lvl w:ilvl="1" w:tplc="01C41AA4">
      <w:start w:val="1"/>
      <w:numFmt w:val="bullet"/>
      <w:lvlText w:val=""/>
      <w:lvlJc w:val="left"/>
      <w:pPr>
        <w:ind w:left="720" w:hanging="360"/>
      </w:pPr>
      <w:rPr>
        <w:rFonts w:ascii="Symbol" w:hAnsi="Symbol"/>
      </w:rPr>
    </w:lvl>
    <w:lvl w:ilvl="2" w:tplc="6CA2E4E4">
      <w:start w:val="1"/>
      <w:numFmt w:val="bullet"/>
      <w:lvlText w:val=""/>
      <w:lvlJc w:val="left"/>
      <w:pPr>
        <w:ind w:left="720" w:hanging="360"/>
      </w:pPr>
      <w:rPr>
        <w:rFonts w:ascii="Symbol" w:hAnsi="Symbol"/>
      </w:rPr>
    </w:lvl>
    <w:lvl w:ilvl="3" w:tplc="87FC5F7E">
      <w:start w:val="1"/>
      <w:numFmt w:val="bullet"/>
      <w:lvlText w:val=""/>
      <w:lvlJc w:val="left"/>
      <w:pPr>
        <w:ind w:left="720" w:hanging="360"/>
      </w:pPr>
      <w:rPr>
        <w:rFonts w:ascii="Symbol" w:hAnsi="Symbol"/>
      </w:rPr>
    </w:lvl>
    <w:lvl w:ilvl="4" w:tplc="B8A4F3BC">
      <w:start w:val="1"/>
      <w:numFmt w:val="bullet"/>
      <w:lvlText w:val=""/>
      <w:lvlJc w:val="left"/>
      <w:pPr>
        <w:ind w:left="720" w:hanging="360"/>
      </w:pPr>
      <w:rPr>
        <w:rFonts w:ascii="Symbol" w:hAnsi="Symbol"/>
      </w:rPr>
    </w:lvl>
    <w:lvl w:ilvl="5" w:tplc="10F28F6A">
      <w:start w:val="1"/>
      <w:numFmt w:val="bullet"/>
      <w:lvlText w:val=""/>
      <w:lvlJc w:val="left"/>
      <w:pPr>
        <w:ind w:left="720" w:hanging="360"/>
      </w:pPr>
      <w:rPr>
        <w:rFonts w:ascii="Symbol" w:hAnsi="Symbol"/>
      </w:rPr>
    </w:lvl>
    <w:lvl w:ilvl="6" w:tplc="5ED23254">
      <w:start w:val="1"/>
      <w:numFmt w:val="bullet"/>
      <w:lvlText w:val=""/>
      <w:lvlJc w:val="left"/>
      <w:pPr>
        <w:ind w:left="720" w:hanging="360"/>
      </w:pPr>
      <w:rPr>
        <w:rFonts w:ascii="Symbol" w:hAnsi="Symbol"/>
      </w:rPr>
    </w:lvl>
    <w:lvl w:ilvl="7" w:tplc="470E4ECA">
      <w:start w:val="1"/>
      <w:numFmt w:val="bullet"/>
      <w:lvlText w:val=""/>
      <w:lvlJc w:val="left"/>
      <w:pPr>
        <w:ind w:left="720" w:hanging="360"/>
      </w:pPr>
      <w:rPr>
        <w:rFonts w:ascii="Symbol" w:hAnsi="Symbol"/>
      </w:rPr>
    </w:lvl>
    <w:lvl w:ilvl="8" w:tplc="F4842456">
      <w:start w:val="1"/>
      <w:numFmt w:val="bullet"/>
      <w:lvlText w:val=""/>
      <w:lvlJc w:val="left"/>
      <w:pPr>
        <w:ind w:left="720" w:hanging="360"/>
      </w:pPr>
      <w:rPr>
        <w:rFonts w:ascii="Symbol" w:hAnsi="Symbol"/>
      </w:rPr>
    </w:lvl>
  </w:abstractNum>
  <w:abstractNum w:abstractNumId="30" w15:restartNumberingAfterBreak="0">
    <w:nsid w:val="7CD954B5"/>
    <w:multiLevelType w:val="hybridMultilevel"/>
    <w:tmpl w:val="3A6CA8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D5A2836"/>
    <w:multiLevelType w:val="hybridMultilevel"/>
    <w:tmpl w:val="D4707554"/>
    <w:lvl w:ilvl="0" w:tplc="86C846F8">
      <w:start w:val="1"/>
      <w:numFmt w:val="bullet"/>
      <w:lvlText w:val=""/>
      <w:lvlJc w:val="left"/>
      <w:pPr>
        <w:ind w:left="720" w:hanging="360"/>
      </w:pPr>
      <w:rPr>
        <w:rFonts w:ascii="Symbol" w:hAnsi="Symbol"/>
      </w:rPr>
    </w:lvl>
    <w:lvl w:ilvl="1" w:tplc="23CC9E58">
      <w:start w:val="1"/>
      <w:numFmt w:val="bullet"/>
      <w:lvlText w:val=""/>
      <w:lvlJc w:val="left"/>
      <w:pPr>
        <w:ind w:left="720" w:hanging="360"/>
      </w:pPr>
      <w:rPr>
        <w:rFonts w:ascii="Symbol" w:hAnsi="Symbol"/>
      </w:rPr>
    </w:lvl>
    <w:lvl w:ilvl="2" w:tplc="138E7AD0">
      <w:start w:val="1"/>
      <w:numFmt w:val="bullet"/>
      <w:lvlText w:val=""/>
      <w:lvlJc w:val="left"/>
      <w:pPr>
        <w:ind w:left="720" w:hanging="360"/>
      </w:pPr>
      <w:rPr>
        <w:rFonts w:ascii="Symbol" w:hAnsi="Symbol"/>
      </w:rPr>
    </w:lvl>
    <w:lvl w:ilvl="3" w:tplc="EDCE9A30">
      <w:start w:val="1"/>
      <w:numFmt w:val="bullet"/>
      <w:lvlText w:val=""/>
      <w:lvlJc w:val="left"/>
      <w:pPr>
        <w:ind w:left="720" w:hanging="360"/>
      </w:pPr>
      <w:rPr>
        <w:rFonts w:ascii="Symbol" w:hAnsi="Symbol"/>
      </w:rPr>
    </w:lvl>
    <w:lvl w:ilvl="4" w:tplc="D20483EC">
      <w:start w:val="1"/>
      <w:numFmt w:val="bullet"/>
      <w:lvlText w:val=""/>
      <w:lvlJc w:val="left"/>
      <w:pPr>
        <w:ind w:left="720" w:hanging="360"/>
      </w:pPr>
      <w:rPr>
        <w:rFonts w:ascii="Symbol" w:hAnsi="Symbol"/>
      </w:rPr>
    </w:lvl>
    <w:lvl w:ilvl="5" w:tplc="5C6ABA06">
      <w:start w:val="1"/>
      <w:numFmt w:val="bullet"/>
      <w:lvlText w:val=""/>
      <w:lvlJc w:val="left"/>
      <w:pPr>
        <w:ind w:left="720" w:hanging="360"/>
      </w:pPr>
      <w:rPr>
        <w:rFonts w:ascii="Symbol" w:hAnsi="Symbol"/>
      </w:rPr>
    </w:lvl>
    <w:lvl w:ilvl="6" w:tplc="FA9A99EE">
      <w:start w:val="1"/>
      <w:numFmt w:val="bullet"/>
      <w:lvlText w:val=""/>
      <w:lvlJc w:val="left"/>
      <w:pPr>
        <w:ind w:left="720" w:hanging="360"/>
      </w:pPr>
      <w:rPr>
        <w:rFonts w:ascii="Symbol" w:hAnsi="Symbol"/>
      </w:rPr>
    </w:lvl>
    <w:lvl w:ilvl="7" w:tplc="C4CAFBB4">
      <w:start w:val="1"/>
      <w:numFmt w:val="bullet"/>
      <w:lvlText w:val=""/>
      <w:lvlJc w:val="left"/>
      <w:pPr>
        <w:ind w:left="720" w:hanging="360"/>
      </w:pPr>
      <w:rPr>
        <w:rFonts w:ascii="Symbol" w:hAnsi="Symbol"/>
      </w:rPr>
    </w:lvl>
    <w:lvl w:ilvl="8" w:tplc="D7AC9A1C">
      <w:start w:val="1"/>
      <w:numFmt w:val="bullet"/>
      <w:lvlText w:val=""/>
      <w:lvlJc w:val="left"/>
      <w:pPr>
        <w:ind w:left="720" w:hanging="360"/>
      </w:pPr>
      <w:rPr>
        <w:rFonts w:ascii="Symbol" w:hAnsi="Symbol"/>
      </w:rPr>
    </w:lvl>
  </w:abstractNum>
  <w:num w:numId="1" w16cid:durableId="1712802321">
    <w:abstractNumId w:val="20"/>
  </w:num>
  <w:num w:numId="2" w16cid:durableId="917793048">
    <w:abstractNumId w:val="13"/>
  </w:num>
  <w:num w:numId="3" w16cid:durableId="263461728">
    <w:abstractNumId w:val="0"/>
  </w:num>
  <w:num w:numId="4" w16cid:durableId="220360847">
    <w:abstractNumId w:val="17"/>
  </w:num>
  <w:num w:numId="5" w16cid:durableId="268196418">
    <w:abstractNumId w:val="10"/>
  </w:num>
  <w:num w:numId="6" w16cid:durableId="1048839230">
    <w:abstractNumId w:val="26"/>
  </w:num>
  <w:num w:numId="7" w16cid:durableId="1858544154">
    <w:abstractNumId w:val="1"/>
  </w:num>
  <w:num w:numId="8" w16cid:durableId="1516114538">
    <w:abstractNumId w:val="18"/>
  </w:num>
  <w:num w:numId="9" w16cid:durableId="1889955299">
    <w:abstractNumId w:val="2"/>
  </w:num>
  <w:num w:numId="10" w16cid:durableId="1863592879">
    <w:abstractNumId w:val="6"/>
  </w:num>
  <w:num w:numId="11" w16cid:durableId="139346788">
    <w:abstractNumId w:val="27"/>
  </w:num>
  <w:num w:numId="12" w16cid:durableId="1566523632">
    <w:abstractNumId w:val="23"/>
  </w:num>
  <w:num w:numId="13" w16cid:durableId="282812062">
    <w:abstractNumId w:val="8"/>
  </w:num>
  <w:num w:numId="14" w16cid:durableId="57016336">
    <w:abstractNumId w:val="12"/>
  </w:num>
  <w:num w:numId="15" w16cid:durableId="1258714849">
    <w:abstractNumId w:val="28"/>
  </w:num>
  <w:num w:numId="16" w16cid:durableId="1138037316">
    <w:abstractNumId w:val="24"/>
  </w:num>
  <w:num w:numId="17" w16cid:durableId="1779718923">
    <w:abstractNumId w:val="30"/>
  </w:num>
  <w:num w:numId="18" w16cid:durableId="618728952">
    <w:abstractNumId w:val="4"/>
  </w:num>
  <w:num w:numId="19" w16cid:durableId="108166807">
    <w:abstractNumId w:val="5"/>
  </w:num>
  <w:num w:numId="20" w16cid:durableId="2144079141">
    <w:abstractNumId w:val="25"/>
  </w:num>
  <w:num w:numId="21" w16cid:durableId="209997201">
    <w:abstractNumId w:val="22"/>
  </w:num>
  <w:num w:numId="22" w16cid:durableId="1735469456">
    <w:abstractNumId w:val="11"/>
  </w:num>
  <w:num w:numId="23" w16cid:durableId="667635423">
    <w:abstractNumId w:val="16"/>
  </w:num>
  <w:num w:numId="24" w16cid:durableId="987902692">
    <w:abstractNumId w:val="29"/>
  </w:num>
  <w:num w:numId="25" w16cid:durableId="1772311194">
    <w:abstractNumId w:val="3"/>
  </w:num>
  <w:num w:numId="26" w16cid:durableId="1805923426">
    <w:abstractNumId w:val="14"/>
  </w:num>
  <w:num w:numId="27" w16cid:durableId="1021785065">
    <w:abstractNumId w:val="9"/>
  </w:num>
  <w:num w:numId="28" w16cid:durableId="101385344">
    <w:abstractNumId w:val="19"/>
  </w:num>
  <w:num w:numId="29" w16cid:durableId="1196112916">
    <w:abstractNumId w:val="15"/>
  </w:num>
  <w:num w:numId="30" w16cid:durableId="1767340282">
    <w:abstractNumId w:val="7"/>
  </w:num>
  <w:num w:numId="31" w16cid:durableId="1731266055">
    <w:abstractNumId w:val="31"/>
  </w:num>
  <w:num w:numId="32" w16cid:durableId="236524873">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012"/>
    <w:rsid w:val="000004D1"/>
    <w:rsid w:val="00000665"/>
    <w:rsid w:val="00000790"/>
    <w:rsid w:val="00000A87"/>
    <w:rsid w:val="000010F1"/>
    <w:rsid w:val="0000110B"/>
    <w:rsid w:val="000018DF"/>
    <w:rsid w:val="00002195"/>
    <w:rsid w:val="00002399"/>
    <w:rsid w:val="00002649"/>
    <w:rsid w:val="0000283D"/>
    <w:rsid w:val="00002960"/>
    <w:rsid w:val="00002CCE"/>
    <w:rsid w:val="00002D53"/>
    <w:rsid w:val="0000341C"/>
    <w:rsid w:val="00003499"/>
    <w:rsid w:val="0000366A"/>
    <w:rsid w:val="00003957"/>
    <w:rsid w:val="000039B7"/>
    <w:rsid w:val="00003BCE"/>
    <w:rsid w:val="00004053"/>
    <w:rsid w:val="00004852"/>
    <w:rsid w:val="00004A97"/>
    <w:rsid w:val="0000515B"/>
    <w:rsid w:val="00005474"/>
    <w:rsid w:val="000056B9"/>
    <w:rsid w:val="0000639A"/>
    <w:rsid w:val="00006481"/>
    <w:rsid w:val="00006A16"/>
    <w:rsid w:val="00006D0E"/>
    <w:rsid w:val="00006F77"/>
    <w:rsid w:val="00006F83"/>
    <w:rsid w:val="0000712A"/>
    <w:rsid w:val="00007170"/>
    <w:rsid w:val="00007183"/>
    <w:rsid w:val="00007A30"/>
    <w:rsid w:val="00007A60"/>
    <w:rsid w:val="00007AE7"/>
    <w:rsid w:val="00007D29"/>
    <w:rsid w:val="0001028F"/>
    <w:rsid w:val="00010A81"/>
    <w:rsid w:val="000116EC"/>
    <w:rsid w:val="0001199E"/>
    <w:rsid w:val="00011BBB"/>
    <w:rsid w:val="00011C6D"/>
    <w:rsid w:val="00011D44"/>
    <w:rsid w:val="00012463"/>
    <w:rsid w:val="0001276D"/>
    <w:rsid w:val="000127B6"/>
    <w:rsid w:val="0001283D"/>
    <w:rsid w:val="000129CA"/>
    <w:rsid w:val="00012E71"/>
    <w:rsid w:val="00012FD4"/>
    <w:rsid w:val="00013126"/>
    <w:rsid w:val="00013247"/>
    <w:rsid w:val="0001374D"/>
    <w:rsid w:val="00013BA5"/>
    <w:rsid w:val="00013FB2"/>
    <w:rsid w:val="00014070"/>
    <w:rsid w:val="000140A9"/>
    <w:rsid w:val="00014664"/>
    <w:rsid w:val="00014EB2"/>
    <w:rsid w:val="00015886"/>
    <w:rsid w:val="00015B4C"/>
    <w:rsid w:val="00015E0D"/>
    <w:rsid w:val="00015E64"/>
    <w:rsid w:val="00015EC4"/>
    <w:rsid w:val="00016024"/>
    <w:rsid w:val="000162EF"/>
    <w:rsid w:val="000168CA"/>
    <w:rsid w:val="00016F53"/>
    <w:rsid w:val="0001712C"/>
    <w:rsid w:val="0001724D"/>
    <w:rsid w:val="000172B2"/>
    <w:rsid w:val="000172CF"/>
    <w:rsid w:val="000175FC"/>
    <w:rsid w:val="000178FA"/>
    <w:rsid w:val="00017B5C"/>
    <w:rsid w:val="00020316"/>
    <w:rsid w:val="000207C9"/>
    <w:rsid w:val="00020BF9"/>
    <w:rsid w:val="000210D7"/>
    <w:rsid w:val="00021E0F"/>
    <w:rsid w:val="00022061"/>
    <w:rsid w:val="0002225F"/>
    <w:rsid w:val="000228A5"/>
    <w:rsid w:val="0002296F"/>
    <w:rsid w:val="0002297D"/>
    <w:rsid w:val="00022988"/>
    <w:rsid w:val="00023389"/>
    <w:rsid w:val="0002346C"/>
    <w:rsid w:val="00023763"/>
    <w:rsid w:val="0002390E"/>
    <w:rsid w:val="00023A73"/>
    <w:rsid w:val="00023D12"/>
    <w:rsid w:val="00023EE2"/>
    <w:rsid w:val="00023F33"/>
    <w:rsid w:val="00024587"/>
    <w:rsid w:val="000245F8"/>
    <w:rsid w:val="00024621"/>
    <w:rsid w:val="0002463D"/>
    <w:rsid w:val="00024806"/>
    <w:rsid w:val="00024A19"/>
    <w:rsid w:val="00024EB5"/>
    <w:rsid w:val="0002543B"/>
    <w:rsid w:val="000256B2"/>
    <w:rsid w:val="00025806"/>
    <w:rsid w:val="00025C39"/>
    <w:rsid w:val="0002608A"/>
    <w:rsid w:val="00026539"/>
    <w:rsid w:val="00026855"/>
    <w:rsid w:val="00026991"/>
    <w:rsid w:val="00026AF2"/>
    <w:rsid w:val="00026E3F"/>
    <w:rsid w:val="00026EA6"/>
    <w:rsid w:val="00027057"/>
    <w:rsid w:val="000274B8"/>
    <w:rsid w:val="000274BF"/>
    <w:rsid w:val="00030223"/>
    <w:rsid w:val="000307A0"/>
    <w:rsid w:val="000308BE"/>
    <w:rsid w:val="00030E67"/>
    <w:rsid w:val="000313B0"/>
    <w:rsid w:val="0003233F"/>
    <w:rsid w:val="00032459"/>
    <w:rsid w:val="000324AB"/>
    <w:rsid w:val="0003258D"/>
    <w:rsid w:val="00032A00"/>
    <w:rsid w:val="000332A0"/>
    <w:rsid w:val="00033435"/>
    <w:rsid w:val="00033527"/>
    <w:rsid w:val="00033863"/>
    <w:rsid w:val="000339F6"/>
    <w:rsid w:val="00033B64"/>
    <w:rsid w:val="00033D17"/>
    <w:rsid w:val="00033FE1"/>
    <w:rsid w:val="00034286"/>
    <w:rsid w:val="0003475D"/>
    <w:rsid w:val="00035DC0"/>
    <w:rsid w:val="000367DD"/>
    <w:rsid w:val="00036829"/>
    <w:rsid w:val="00036ABB"/>
    <w:rsid w:val="00036F90"/>
    <w:rsid w:val="000370CE"/>
    <w:rsid w:val="0003717B"/>
    <w:rsid w:val="00040201"/>
    <w:rsid w:val="00040895"/>
    <w:rsid w:val="00040A10"/>
    <w:rsid w:val="00040AAD"/>
    <w:rsid w:val="000410A0"/>
    <w:rsid w:val="000416F2"/>
    <w:rsid w:val="00041F51"/>
    <w:rsid w:val="000424BA"/>
    <w:rsid w:val="000426CF"/>
    <w:rsid w:val="0004297D"/>
    <w:rsid w:val="0004333C"/>
    <w:rsid w:val="000435EE"/>
    <w:rsid w:val="00043AAD"/>
    <w:rsid w:val="00043C37"/>
    <w:rsid w:val="00043C95"/>
    <w:rsid w:val="000440F6"/>
    <w:rsid w:val="00044A5D"/>
    <w:rsid w:val="00045017"/>
    <w:rsid w:val="000450D1"/>
    <w:rsid w:val="00045187"/>
    <w:rsid w:val="0004521C"/>
    <w:rsid w:val="00045A2B"/>
    <w:rsid w:val="00045CD8"/>
    <w:rsid w:val="000461A6"/>
    <w:rsid w:val="00046367"/>
    <w:rsid w:val="0004698F"/>
    <w:rsid w:val="00046BDD"/>
    <w:rsid w:val="00046D64"/>
    <w:rsid w:val="000475C3"/>
    <w:rsid w:val="00047C5B"/>
    <w:rsid w:val="00047D42"/>
    <w:rsid w:val="00050596"/>
    <w:rsid w:val="000508C2"/>
    <w:rsid w:val="00050BFA"/>
    <w:rsid w:val="000514A6"/>
    <w:rsid w:val="00051557"/>
    <w:rsid w:val="00051E0D"/>
    <w:rsid w:val="00051F63"/>
    <w:rsid w:val="00052553"/>
    <w:rsid w:val="000528F1"/>
    <w:rsid w:val="00052C0F"/>
    <w:rsid w:val="0005317F"/>
    <w:rsid w:val="0005381D"/>
    <w:rsid w:val="000539D0"/>
    <w:rsid w:val="00053D5A"/>
    <w:rsid w:val="00054621"/>
    <w:rsid w:val="000546D7"/>
    <w:rsid w:val="000548CE"/>
    <w:rsid w:val="00054A8D"/>
    <w:rsid w:val="00054DA5"/>
    <w:rsid w:val="000550A1"/>
    <w:rsid w:val="00055343"/>
    <w:rsid w:val="00055357"/>
    <w:rsid w:val="00056292"/>
    <w:rsid w:val="000569AE"/>
    <w:rsid w:val="00056BB9"/>
    <w:rsid w:val="00056CB2"/>
    <w:rsid w:val="00056EAC"/>
    <w:rsid w:val="00056ECF"/>
    <w:rsid w:val="0005710D"/>
    <w:rsid w:val="0005714A"/>
    <w:rsid w:val="000572BB"/>
    <w:rsid w:val="0005781B"/>
    <w:rsid w:val="00057B23"/>
    <w:rsid w:val="00057D4C"/>
    <w:rsid w:val="00057FBC"/>
    <w:rsid w:val="000604DF"/>
    <w:rsid w:val="00060714"/>
    <w:rsid w:val="000608AC"/>
    <w:rsid w:val="00060B74"/>
    <w:rsid w:val="00060CFC"/>
    <w:rsid w:val="00060F46"/>
    <w:rsid w:val="00061301"/>
    <w:rsid w:val="0006141A"/>
    <w:rsid w:val="000618AD"/>
    <w:rsid w:val="000618B7"/>
    <w:rsid w:val="000619F4"/>
    <w:rsid w:val="00061FA9"/>
    <w:rsid w:val="00062324"/>
    <w:rsid w:val="00062437"/>
    <w:rsid w:val="00062690"/>
    <w:rsid w:val="000629CA"/>
    <w:rsid w:val="000635C2"/>
    <w:rsid w:val="00063741"/>
    <w:rsid w:val="000638EB"/>
    <w:rsid w:val="00063EEB"/>
    <w:rsid w:val="000641D4"/>
    <w:rsid w:val="00064336"/>
    <w:rsid w:val="00064915"/>
    <w:rsid w:val="00064EE6"/>
    <w:rsid w:val="000650D5"/>
    <w:rsid w:val="000653B5"/>
    <w:rsid w:val="00065E92"/>
    <w:rsid w:val="000662B3"/>
    <w:rsid w:val="00066360"/>
    <w:rsid w:val="000663A7"/>
    <w:rsid w:val="000666DA"/>
    <w:rsid w:val="000667CF"/>
    <w:rsid w:val="00066AF8"/>
    <w:rsid w:val="00066E56"/>
    <w:rsid w:val="0006746C"/>
    <w:rsid w:val="00067BBF"/>
    <w:rsid w:val="00067E8B"/>
    <w:rsid w:val="00070162"/>
    <w:rsid w:val="0007085C"/>
    <w:rsid w:val="00071248"/>
    <w:rsid w:val="00071390"/>
    <w:rsid w:val="00071525"/>
    <w:rsid w:val="000717EF"/>
    <w:rsid w:val="000719FA"/>
    <w:rsid w:val="00071E31"/>
    <w:rsid w:val="000720B9"/>
    <w:rsid w:val="00072AF9"/>
    <w:rsid w:val="00072FDB"/>
    <w:rsid w:val="00073034"/>
    <w:rsid w:val="00073092"/>
    <w:rsid w:val="000736D9"/>
    <w:rsid w:val="000737F7"/>
    <w:rsid w:val="00073983"/>
    <w:rsid w:val="00073B14"/>
    <w:rsid w:val="00074221"/>
    <w:rsid w:val="00074448"/>
    <w:rsid w:val="00074497"/>
    <w:rsid w:val="00075015"/>
    <w:rsid w:val="00075671"/>
    <w:rsid w:val="00075BFD"/>
    <w:rsid w:val="00075CDA"/>
    <w:rsid w:val="00075D5E"/>
    <w:rsid w:val="0007672F"/>
    <w:rsid w:val="00076B54"/>
    <w:rsid w:val="00076E2B"/>
    <w:rsid w:val="00077016"/>
    <w:rsid w:val="00077269"/>
    <w:rsid w:val="00077402"/>
    <w:rsid w:val="000774F0"/>
    <w:rsid w:val="00077604"/>
    <w:rsid w:val="000776B9"/>
    <w:rsid w:val="00077A1B"/>
    <w:rsid w:val="00077BBF"/>
    <w:rsid w:val="00080011"/>
    <w:rsid w:val="0008001B"/>
    <w:rsid w:val="00080909"/>
    <w:rsid w:val="00080E85"/>
    <w:rsid w:val="000812CA"/>
    <w:rsid w:val="00081422"/>
    <w:rsid w:val="000816A6"/>
    <w:rsid w:val="00081E63"/>
    <w:rsid w:val="00081E98"/>
    <w:rsid w:val="000824E3"/>
    <w:rsid w:val="0008258D"/>
    <w:rsid w:val="00082816"/>
    <w:rsid w:val="00082D1D"/>
    <w:rsid w:val="00082E9D"/>
    <w:rsid w:val="0008300B"/>
    <w:rsid w:val="0008325E"/>
    <w:rsid w:val="00083340"/>
    <w:rsid w:val="0008381A"/>
    <w:rsid w:val="00083849"/>
    <w:rsid w:val="000839EB"/>
    <w:rsid w:val="00083BA1"/>
    <w:rsid w:val="00083E99"/>
    <w:rsid w:val="00084099"/>
    <w:rsid w:val="000843E2"/>
    <w:rsid w:val="00084697"/>
    <w:rsid w:val="000849F8"/>
    <w:rsid w:val="000849FE"/>
    <w:rsid w:val="00084AD3"/>
    <w:rsid w:val="00084B87"/>
    <w:rsid w:val="00084FA8"/>
    <w:rsid w:val="000852E2"/>
    <w:rsid w:val="000856C5"/>
    <w:rsid w:val="000857AA"/>
    <w:rsid w:val="00085C31"/>
    <w:rsid w:val="00086953"/>
    <w:rsid w:val="00087717"/>
    <w:rsid w:val="000878F5"/>
    <w:rsid w:val="00087ABE"/>
    <w:rsid w:val="00087E9D"/>
    <w:rsid w:val="000902D9"/>
    <w:rsid w:val="00090416"/>
    <w:rsid w:val="00090A09"/>
    <w:rsid w:val="00090B39"/>
    <w:rsid w:val="00090C7E"/>
    <w:rsid w:val="000910B4"/>
    <w:rsid w:val="000911AC"/>
    <w:rsid w:val="00091D31"/>
    <w:rsid w:val="00091D55"/>
    <w:rsid w:val="00091EA8"/>
    <w:rsid w:val="00092198"/>
    <w:rsid w:val="000921AF"/>
    <w:rsid w:val="000922A5"/>
    <w:rsid w:val="0009233E"/>
    <w:rsid w:val="00092409"/>
    <w:rsid w:val="00092600"/>
    <w:rsid w:val="0009262B"/>
    <w:rsid w:val="00092657"/>
    <w:rsid w:val="00092A65"/>
    <w:rsid w:val="0009326D"/>
    <w:rsid w:val="00093310"/>
    <w:rsid w:val="00093358"/>
    <w:rsid w:val="000938F2"/>
    <w:rsid w:val="000939FF"/>
    <w:rsid w:val="00093B8C"/>
    <w:rsid w:val="0009427C"/>
    <w:rsid w:val="0009445C"/>
    <w:rsid w:val="0009455D"/>
    <w:rsid w:val="0009455F"/>
    <w:rsid w:val="00094708"/>
    <w:rsid w:val="00094D3B"/>
    <w:rsid w:val="000950CC"/>
    <w:rsid w:val="00095200"/>
    <w:rsid w:val="00095348"/>
    <w:rsid w:val="00095383"/>
    <w:rsid w:val="0009591C"/>
    <w:rsid w:val="00095977"/>
    <w:rsid w:val="00095ABD"/>
    <w:rsid w:val="00095B5D"/>
    <w:rsid w:val="00095FE5"/>
    <w:rsid w:val="00096103"/>
    <w:rsid w:val="00096284"/>
    <w:rsid w:val="0009640A"/>
    <w:rsid w:val="000966A5"/>
    <w:rsid w:val="00096B8C"/>
    <w:rsid w:val="00096B99"/>
    <w:rsid w:val="00096CA4"/>
    <w:rsid w:val="000979E5"/>
    <w:rsid w:val="00097D94"/>
    <w:rsid w:val="00097DE1"/>
    <w:rsid w:val="00097FA9"/>
    <w:rsid w:val="000A0164"/>
    <w:rsid w:val="000A02D3"/>
    <w:rsid w:val="000A04DF"/>
    <w:rsid w:val="000A0C2D"/>
    <w:rsid w:val="000A11BE"/>
    <w:rsid w:val="000A19ED"/>
    <w:rsid w:val="000A1BC0"/>
    <w:rsid w:val="000A1C79"/>
    <w:rsid w:val="000A2600"/>
    <w:rsid w:val="000A2C2F"/>
    <w:rsid w:val="000A2F9E"/>
    <w:rsid w:val="000A31DA"/>
    <w:rsid w:val="000A38B9"/>
    <w:rsid w:val="000A3C51"/>
    <w:rsid w:val="000A3E47"/>
    <w:rsid w:val="000A4589"/>
    <w:rsid w:val="000A4CDF"/>
    <w:rsid w:val="000A522B"/>
    <w:rsid w:val="000A5F1F"/>
    <w:rsid w:val="000A6039"/>
    <w:rsid w:val="000A60A7"/>
    <w:rsid w:val="000A6B2F"/>
    <w:rsid w:val="000A72F0"/>
    <w:rsid w:val="000A7453"/>
    <w:rsid w:val="000A76F4"/>
    <w:rsid w:val="000A7712"/>
    <w:rsid w:val="000A7A79"/>
    <w:rsid w:val="000A7B00"/>
    <w:rsid w:val="000A7D08"/>
    <w:rsid w:val="000A7FB9"/>
    <w:rsid w:val="000B0121"/>
    <w:rsid w:val="000B062A"/>
    <w:rsid w:val="000B0670"/>
    <w:rsid w:val="000B09F8"/>
    <w:rsid w:val="000B0E75"/>
    <w:rsid w:val="000B110C"/>
    <w:rsid w:val="000B1362"/>
    <w:rsid w:val="000B158C"/>
    <w:rsid w:val="000B1BE6"/>
    <w:rsid w:val="000B1E53"/>
    <w:rsid w:val="000B1E74"/>
    <w:rsid w:val="000B28FE"/>
    <w:rsid w:val="000B2DCB"/>
    <w:rsid w:val="000B4652"/>
    <w:rsid w:val="000B46EF"/>
    <w:rsid w:val="000B47B4"/>
    <w:rsid w:val="000B4853"/>
    <w:rsid w:val="000B4A87"/>
    <w:rsid w:val="000B4B62"/>
    <w:rsid w:val="000B4E76"/>
    <w:rsid w:val="000B5000"/>
    <w:rsid w:val="000B5704"/>
    <w:rsid w:val="000B5707"/>
    <w:rsid w:val="000B5A43"/>
    <w:rsid w:val="000B5AD8"/>
    <w:rsid w:val="000B5CE0"/>
    <w:rsid w:val="000B5DA2"/>
    <w:rsid w:val="000B63F4"/>
    <w:rsid w:val="000B6980"/>
    <w:rsid w:val="000B6CAC"/>
    <w:rsid w:val="000B7612"/>
    <w:rsid w:val="000B7663"/>
    <w:rsid w:val="000B78AE"/>
    <w:rsid w:val="000B7AB4"/>
    <w:rsid w:val="000B7F8D"/>
    <w:rsid w:val="000C0285"/>
    <w:rsid w:val="000C0C29"/>
    <w:rsid w:val="000C2962"/>
    <w:rsid w:val="000C29FD"/>
    <w:rsid w:val="000C2D4D"/>
    <w:rsid w:val="000C2F3B"/>
    <w:rsid w:val="000C332E"/>
    <w:rsid w:val="000C3414"/>
    <w:rsid w:val="000C3635"/>
    <w:rsid w:val="000C3AD2"/>
    <w:rsid w:val="000C3DC5"/>
    <w:rsid w:val="000C3DF9"/>
    <w:rsid w:val="000C4041"/>
    <w:rsid w:val="000C4564"/>
    <w:rsid w:val="000C45E7"/>
    <w:rsid w:val="000C4646"/>
    <w:rsid w:val="000C480E"/>
    <w:rsid w:val="000C4B04"/>
    <w:rsid w:val="000C4CF2"/>
    <w:rsid w:val="000C51CF"/>
    <w:rsid w:val="000C5DEF"/>
    <w:rsid w:val="000C6713"/>
    <w:rsid w:val="000C6963"/>
    <w:rsid w:val="000C6AC0"/>
    <w:rsid w:val="000C6CB3"/>
    <w:rsid w:val="000C705E"/>
    <w:rsid w:val="000C7559"/>
    <w:rsid w:val="000D097A"/>
    <w:rsid w:val="000D0A27"/>
    <w:rsid w:val="000D0A5D"/>
    <w:rsid w:val="000D0F9D"/>
    <w:rsid w:val="000D10EC"/>
    <w:rsid w:val="000D13ED"/>
    <w:rsid w:val="000D1BFC"/>
    <w:rsid w:val="000D1D5D"/>
    <w:rsid w:val="000D20BC"/>
    <w:rsid w:val="000D212B"/>
    <w:rsid w:val="000D215F"/>
    <w:rsid w:val="000D23EC"/>
    <w:rsid w:val="000D27C9"/>
    <w:rsid w:val="000D281A"/>
    <w:rsid w:val="000D2848"/>
    <w:rsid w:val="000D2972"/>
    <w:rsid w:val="000D3128"/>
    <w:rsid w:val="000D3130"/>
    <w:rsid w:val="000D326A"/>
    <w:rsid w:val="000D33A8"/>
    <w:rsid w:val="000D34B0"/>
    <w:rsid w:val="000D4235"/>
    <w:rsid w:val="000D427F"/>
    <w:rsid w:val="000D443C"/>
    <w:rsid w:val="000D4C74"/>
    <w:rsid w:val="000D51FB"/>
    <w:rsid w:val="000D579F"/>
    <w:rsid w:val="000D5A72"/>
    <w:rsid w:val="000D627F"/>
    <w:rsid w:val="000D655F"/>
    <w:rsid w:val="000D664F"/>
    <w:rsid w:val="000D6838"/>
    <w:rsid w:val="000D6B47"/>
    <w:rsid w:val="000D752C"/>
    <w:rsid w:val="000D77C4"/>
    <w:rsid w:val="000D7FD7"/>
    <w:rsid w:val="000E0334"/>
    <w:rsid w:val="000E0640"/>
    <w:rsid w:val="000E08A2"/>
    <w:rsid w:val="000E0973"/>
    <w:rsid w:val="000E09ED"/>
    <w:rsid w:val="000E0B7F"/>
    <w:rsid w:val="000E0CC4"/>
    <w:rsid w:val="000E135D"/>
    <w:rsid w:val="000E19AB"/>
    <w:rsid w:val="000E2145"/>
    <w:rsid w:val="000E2165"/>
    <w:rsid w:val="000E222A"/>
    <w:rsid w:val="000E3159"/>
    <w:rsid w:val="000E35CA"/>
    <w:rsid w:val="000E4136"/>
    <w:rsid w:val="000E4274"/>
    <w:rsid w:val="000E4AEA"/>
    <w:rsid w:val="000E4C3B"/>
    <w:rsid w:val="000E4C9C"/>
    <w:rsid w:val="000E4F63"/>
    <w:rsid w:val="000E5093"/>
    <w:rsid w:val="000E5883"/>
    <w:rsid w:val="000E58DC"/>
    <w:rsid w:val="000E5AEF"/>
    <w:rsid w:val="000E5D82"/>
    <w:rsid w:val="000E639C"/>
    <w:rsid w:val="000E69BF"/>
    <w:rsid w:val="000E6BE1"/>
    <w:rsid w:val="000E6D63"/>
    <w:rsid w:val="000E72E6"/>
    <w:rsid w:val="000E7438"/>
    <w:rsid w:val="000E755D"/>
    <w:rsid w:val="000E759B"/>
    <w:rsid w:val="000E7B66"/>
    <w:rsid w:val="000E7FA2"/>
    <w:rsid w:val="000F00BA"/>
    <w:rsid w:val="000F0BB2"/>
    <w:rsid w:val="000F0E01"/>
    <w:rsid w:val="000F1DF0"/>
    <w:rsid w:val="000F22C3"/>
    <w:rsid w:val="000F237F"/>
    <w:rsid w:val="000F2886"/>
    <w:rsid w:val="000F2B63"/>
    <w:rsid w:val="000F2EC0"/>
    <w:rsid w:val="000F316A"/>
    <w:rsid w:val="000F35F7"/>
    <w:rsid w:val="000F3C74"/>
    <w:rsid w:val="000F3FF1"/>
    <w:rsid w:val="000F437F"/>
    <w:rsid w:val="000F462A"/>
    <w:rsid w:val="000F4AEC"/>
    <w:rsid w:val="000F4BB8"/>
    <w:rsid w:val="000F4BEE"/>
    <w:rsid w:val="000F4E1D"/>
    <w:rsid w:val="000F4FA9"/>
    <w:rsid w:val="000F53FB"/>
    <w:rsid w:val="000F54E1"/>
    <w:rsid w:val="000F568B"/>
    <w:rsid w:val="000F56E2"/>
    <w:rsid w:val="000F5718"/>
    <w:rsid w:val="000F5E91"/>
    <w:rsid w:val="000F60FF"/>
    <w:rsid w:val="000F6991"/>
    <w:rsid w:val="000F7127"/>
    <w:rsid w:val="000F7984"/>
    <w:rsid w:val="000F7A26"/>
    <w:rsid w:val="000F7B54"/>
    <w:rsid w:val="000F7BB0"/>
    <w:rsid w:val="000F7BDF"/>
    <w:rsid w:val="000F7E54"/>
    <w:rsid w:val="000F7E91"/>
    <w:rsid w:val="001000B3"/>
    <w:rsid w:val="001009A7"/>
    <w:rsid w:val="00100F8A"/>
    <w:rsid w:val="001012D3"/>
    <w:rsid w:val="001012D4"/>
    <w:rsid w:val="001014BF"/>
    <w:rsid w:val="001015BB"/>
    <w:rsid w:val="001015E2"/>
    <w:rsid w:val="00101685"/>
    <w:rsid w:val="001016A8"/>
    <w:rsid w:val="0010182C"/>
    <w:rsid w:val="00101C69"/>
    <w:rsid w:val="0010273D"/>
    <w:rsid w:val="00102BF3"/>
    <w:rsid w:val="001038D0"/>
    <w:rsid w:val="00103AB0"/>
    <w:rsid w:val="0010452E"/>
    <w:rsid w:val="001046E4"/>
    <w:rsid w:val="00104E5E"/>
    <w:rsid w:val="00105260"/>
    <w:rsid w:val="0010553A"/>
    <w:rsid w:val="0010579D"/>
    <w:rsid w:val="00105AE2"/>
    <w:rsid w:val="001060C6"/>
    <w:rsid w:val="00106639"/>
    <w:rsid w:val="00106B80"/>
    <w:rsid w:val="00106FA9"/>
    <w:rsid w:val="00106FB2"/>
    <w:rsid w:val="00107257"/>
    <w:rsid w:val="001077F7"/>
    <w:rsid w:val="00107BE0"/>
    <w:rsid w:val="00107D86"/>
    <w:rsid w:val="001102E4"/>
    <w:rsid w:val="0011032E"/>
    <w:rsid w:val="00111670"/>
    <w:rsid w:val="001118B4"/>
    <w:rsid w:val="00111C63"/>
    <w:rsid w:val="00111CC3"/>
    <w:rsid w:val="00111D20"/>
    <w:rsid w:val="00111E5A"/>
    <w:rsid w:val="0011218C"/>
    <w:rsid w:val="001122DF"/>
    <w:rsid w:val="001126D8"/>
    <w:rsid w:val="0011275C"/>
    <w:rsid w:val="00112E9E"/>
    <w:rsid w:val="00112F00"/>
    <w:rsid w:val="00113137"/>
    <w:rsid w:val="0011348B"/>
    <w:rsid w:val="00113676"/>
    <w:rsid w:val="00113779"/>
    <w:rsid w:val="00113992"/>
    <w:rsid w:val="00113C2A"/>
    <w:rsid w:val="001142C9"/>
    <w:rsid w:val="001144C0"/>
    <w:rsid w:val="0011481A"/>
    <w:rsid w:val="001148AF"/>
    <w:rsid w:val="00114C99"/>
    <w:rsid w:val="00114E69"/>
    <w:rsid w:val="001155EE"/>
    <w:rsid w:val="00115982"/>
    <w:rsid w:val="00115B62"/>
    <w:rsid w:val="00115DA8"/>
    <w:rsid w:val="00116008"/>
    <w:rsid w:val="001162CC"/>
    <w:rsid w:val="001166A6"/>
    <w:rsid w:val="00116740"/>
    <w:rsid w:val="00116ACD"/>
    <w:rsid w:val="00116C53"/>
    <w:rsid w:val="00116F5C"/>
    <w:rsid w:val="00117F0C"/>
    <w:rsid w:val="00120C7D"/>
    <w:rsid w:val="00121645"/>
    <w:rsid w:val="0012169F"/>
    <w:rsid w:val="00121799"/>
    <w:rsid w:val="00121C55"/>
    <w:rsid w:val="00121ED0"/>
    <w:rsid w:val="001222FC"/>
    <w:rsid w:val="001223F6"/>
    <w:rsid w:val="00122B94"/>
    <w:rsid w:val="001230AC"/>
    <w:rsid w:val="00123230"/>
    <w:rsid w:val="00123284"/>
    <w:rsid w:val="0012335F"/>
    <w:rsid w:val="00123902"/>
    <w:rsid w:val="00123EFC"/>
    <w:rsid w:val="00124040"/>
    <w:rsid w:val="001244C2"/>
    <w:rsid w:val="00124534"/>
    <w:rsid w:val="00124A51"/>
    <w:rsid w:val="00125932"/>
    <w:rsid w:val="001259C3"/>
    <w:rsid w:val="00125C74"/>
    <w:rsid w:val="00125CB3"/>
    <w:rsid w:val="00125FCB"/>
    <w:rsid w:val="00125FFF"/>
    <w:rsid w:val="0012602D"/>
    <w:rsid w:val="0012636B"/>
    <w:rsid w:val="00126621"/>
    <w:rsid w:val="0012675F"/>
    <w:rsid w:val="00126B1D"/>
    <w:rsid w:val="00130048"/>
    <w:rsid w:val="00130106"/>
    <w:rsid w:val="001301E9"/>
    <w:rsid w:val="00131B91"/>
    <w:rsid w:val="00131D82"/>
    <w:rsid w:val="001322C8"/>
    <w:rsid w:val="001322CA"/>
    <w:rsid w:val="00132734"/>
    <w:rsid w:val="001327A5"/>
    <w:rsid w:val="00132B22"/>
    <w:rsid w:val="00132C87"/>
    <w:rsid w:val="00133BC2"/>
    <w:rsid w:val="00133D36"/>
    <w:rsid w:val="00133F2E"/>
    <w:rsid w:val="001341D7"/>
    <w:rsid w:val="001345A0"/>
    <w:rsid w:val="00134C19"/>
    <w:rsid w:val="001356A9"/>
    <w:rsid w:val="00135F70"/>
    <w:rsid w:val="0013612C"/>
    <w:rsid w:val="0013698F"/>
    <w:rsid w:val="00136C99"/>
    <w:rsid w:val="00136E6D"/>
    <w:rsid w:val="00136FD0"/>
    <w:rsid w:val="00137645"/>
    <w:rsid w:val="00137BD7"/>
    <w:rsid w:val="0014015A"/>
    <w:rsid w:val="0014023C"/>
    <w:rsid w:val="00140E99"/>
    <w:rsid w:val="0014165D"/>
    <w:rsid w:val="001420B7"/>
    <w:rsid w:val="0014221D"/>
    <w:rsid w:val="001424D6"/>
    <w:rsid w:val="001428BE"/>
    <w:rsid w:val="00142D18"/>
    <w:rsid w:val="00142D68"/>
    <w:rsid w:val="00143E72"/>
    <w:rsid w:val="00143EFA"/>
    <w:rsid w:val="00143F67"/>
    <w:rsid w:val="0014442D"/>
    <w:rsid w:val="00144658"/>
    <w:rsid w:val="00144C99"/>
    <w:rsid w:val="00145234"/>
    <w:rsid w:val="00145540"/>
    <w:rsid w:val="001456B0"/>
    <w:rsid w:val="00145A28"/>
    <w:rsid w:val="00146516"/>
    <w:rsid w:val="001466FE"/>
    <w:rsid w:val="00146E5C"/>
    <w:rsid w:val="001472CD"/>
    <w:rsid w:val="00147895"/>
    <w:rsid w:val="00147A00"/>
    <w:rsid w:val="00147E90"/>
    <w:rsid w:val="001502E6"/>
    <w:rsid w:val="00150974"/>
    <w:rsid w:val="0015125B"/>
    <w:rsid w:val="001517E8"/>
    <w:rsid w:val="001518B3"/>
    <w:rsid w:val="00152A28"/>
    <w:rsid w:val="00152CD6"/>
    <w:rsid w:val="00152F0F"/>
    <w:rsid w:val="00153381"/>
    <w:rsid w:val="001534B8"/>
    <w:rsid w:val="00153FDD"/>
    <w:rsid w:val="001547AB"/>
    <w:rsid w:val="0015493E"/>
    <w:rsid w:val="00154C50"/>
    <w:rsid w:val="00154EFA"/>
    <w:rsid w:val="00155283"/>
    <w:rsid w:val="00155413"/>
    <w:rsid w:val="00155456"/>
    <w:rsid w:val="00155C95"/>
    <w:rsid w:val="00156900"/>
    <w:rsid w:val="00156A8B"/>
    <w:rsid w:val="00156C09"/>
    <w:rsid w:val="00156E15"/>
    <w:rsid w:val="00156F8F"/>
    <w:rsid w:val="00157130"/>
    <w:rsid w:val="001572EA"/>
    <w:rsid w:val="001576A6"/>
    <w:rsid w:val="001576B1"/>
    <w:rsid w:val="00157D77"/>
    <w:rsid w:val="001600A9"/>
    <w:rsid w:val="0016047B"/>
    <w:rsid w:val="00160995"/>
    <w:rsid w:val="00160A4C"/>
    <w:rsid w:val="00161040"/>
    <w:rsid w:val="00161159"/>
    <w:rsid w:val="001611ED"/>
    <w:rsid w:val="00161293"/>
    <w:rsid w:val="001614D3"/>
    <w:rsid w:val="00161F40"/>
    <w:rsid w:val="00162913"/>
    <w:rsid w:val="001629E5"/>
    <w:rsid w:val="00163C56"/>
    <w:rsid w:val="00163EFF"/>
    <w:rsid w:val="00163F66"/>
    <w:rsid w:val="0016478E"/>
    <w:rsid w:val="00164B4C"/>
    <w:rsid w:val="00164DA2"/>
    <w:rsid w:val="001650C9"/>
    <w:rsid w:val="00165D56"/>
    <w:rsid w:val="00165EC4"/>
    <w:rsid w:val="00165F6D"/>
    <w:rsid w:val="001660DE"/>
    <w:rsid w:val="001661FB"/>
    <w:rsid w:val="00166AF3"/>
    <w:rsid w:val="00166D3A"/>
    <w:rsid w:val="00167032"/>
    <w:rsid w:val="001671A0"/>
    <w:rsid w:val="00167642"/>
    <w:rsid w:val="0016767F"/>
    <w:rsid w:val="001677FC"/>
    <w:rsid w:val="001700C3"/>
    <w:rsid w:val="0017032D"/>
    <w:rsid w:val="001703DC"/>
    <w:rsid w:val="00170810"/>
    <w:rsid w:val="00170E7E"/>
    <w:rsid w:val="00171196"/>
    <w:rsid w:val="00171469"/>
    <w:rsid w:val="001716EC"/>
    <w:rsid w:val="00171DCF"/>
    <w:rsid w:val="0017202F"/>
    <w:rsid w:val="00172198"/>
    <w:rsid w:val="001721D1"/>
    <w:rsid w:val="0017254D"/>
    <w:rsid w:val="0017269C"/>
    <w:rsid w:val="001728AD"/>
    <w:rsid w:val="00172B54"/>
    <w:rsid w:val="00172C44"/>
    <w:rsid w:val="00172FCD"/>
    <w:rsid w:val="00173199"/>
    <w:rsid w:val="00173565"/>
    <w:rsid w:val="00173B07"/>
    <w:rsid w:val="001741B8"/>
    <w:rsid w:val="00174965"/>
    <w:rsid w:val="001749B2"/>
    <w:rsid w:val="00174A9A"/>
    <w:rsid w:val="00174CF7"/>
    <w:rsid w:val="00174E6F"/>
    <w:rsid w:val="0017511A"/>
    <w:rsid w:val="001751FA"/>
    <w:rsid w:val="001755A3"/>
    <w:rsid w:val="00175880"/>
    <w:rsid w:val="001758C9"/>
    <w:rsid w:val="00175971"/>
    <w:rsid w:val="00175D1A"/>
    <w:rsid w:val="001763C6"/>
    <w:rsid w:val="0017645D"/>
    <w:rsid w:val="00176F35"/>
    <w:rsid w:val="00177576"/>
    <w:rsid w:val="00177602"/>
    <w:rsid w:val="001777C7"/>
    <w:rsid w:val="00177933"/>
    <w:rsid w:val="00180233"/>
    <w:rsid w:val="0018053E"/>
    <w:rsid w:val="001807F0"/>
    <w:rsid w:val="001808C0"/>
    <w:rsid w:val="001809FB"/>
    <w:rsid w:val="00180D95"/>
    <w:rsid w:val="001811FC"/>
    <w:rsid w:val="00181807"/>
    <w:rsid w:val="00181B01"/>
    <w:rsid w:val="00181C10"/>
    <w:rsid w:val="00181D9C"/>
    <w:rsid w:val="001824A1"/>
    <w:rsid w:val="00182897"/>
    <w:rsid w:val="001832D5"/>
    <w:rsid w:val="001836B1"/>
    <w:rsid w:val="001837FF"/>
    <w:rsid w:val="00183DA4"/>
    <w:rsid w:val="00183E11"/>
    <w:rsid w:val="00183F3B"/>
    <w:rsid w:val="001843D4"/>
    <w:rsid w:val="00184A43"/>
    <w:rsid w:val="00184B0E"/>
    <w:rsid w:val="00184F5A"/>
    <w:rsid w:val="00185171"/>
    <w:rsid w:val="00185215"/>
    <w:rsid w:val="00185787"/>
    <w:rsid w:val="00186928"/>
    <w:rsid w:val="00186CE3"/>
    <w:rsid w:val="00186FE5"/>
    <w:rsid w:val="001873DA"/>
    <w:rsid w:val="0018752F"/>
    <w:rsid w:val="001879C5"/>
    <w:rsid w:val="00190015"/>
    <w:rsid w:val="001903FE"/>
    <w:rsid w:val="00190512"/>
    <w:rsid w:val="0019121A"/>
    <w:rsid w:val="001917B1"/>
    <w:rsid w:val="00191EFD"/>
    <w:rsid w:val="001930CA"/>
    <w:rsid w:val="0019317C"/>
    <w:rsid w:val="00193838"/>
    <w:rsid w:val="0019392E"/>
    <w:rsid w:val="001942C4"/>
    <w:rsid w:val="0019438C"/>
    <w:rsid w:val="0019478B"/>
    <w:rsid w:val="00194AD8"/>
    <w:rsid w:val="00194E85"/>
    <w:rsid w:val="00195041"/>
    <w:rsid w:val="00195222"/>
    <w:rsid w:val="001953AC"/>
    <w:rsid w:val="00195452"/>
    <w:rsid w:val="00195668"/>
    <w:rsid w:val="00195F9D"/>
    <w:rsid w:val="00196139"/>
    <w:rsid w:val="001962F8"/>
    <w:rsid w:val="0019663D"/>
    <w:rsid w:val="00196AB4"/>
    <w:rsid w:val="00196D7A"/>
    <w:rsid w:val="001971A6"/>
    <w:rsid w:val="00197471"/>
    <w:rsid w:val="001975D8"/>
    <w:rsid w:val="001979B0"/>
    <w:rsid w:val="00197F27"/>
    <w:rsid w:val="001A0019"/>
    <w:rsid w:val="001A051D"/>
    <w:rsid w:val="001A0951"/>
    <w:rsid w:val="001A0A56"/>
    <w:rsid w:val="001A111A"/>
    <w:rsid w:val="001A1361"/>
    <w:rsid w:val="001A178E"/>
    <w:rsid w:val="001A184F"/>
    <w:rsid w:val="001A1D6C"/>
    <w:rsid w:val="001A1DE4"/>
    <w:rsid w:val="001A1DF8"/>
    <w:rsid w:val="001A2208"/>
    <w:rsid w:val="001A28EC"/>
    <w:rsid w:val="001A2E08"/>
    <w:rsid w:val="001A2F3B"/>
    <w:rsid w:val="001A3D7D"/>
    <w:rsid w:val="001A42A5"/>
    <w:rsid w:val="001A43FA"/>
    <w:rsid w:val="001A463B"/>
    <w:rsid w:val="001A47C5"/>
    <w:rsid w:val="001A4877"/>
    <w:rsid w:val="001A49E6"/>
    <w:rsid w:val="001A4A43"/>
    <w:rsid w:val="001A50FB"/>
    <w:rsid w:val="001A56CF"/>
    <w:rsid w:val="001A59FB"/>
    <w:rsid w:val="001A5B60"/>
    <w:rsid w:val="001A5E9E"/>
    <w:rsid w:val="001A6354"/>
    <w:rsid w:val="001A6366"/>
    <w:rsid w:val="001A70B1"/>
    <w:rsid w:val="001A776E"/>
    <w:rsid w:val="001A7AE8"/>
    <w:rsid w:val="001A7D47"/>
    <w:rsid w:val="001B0B25"/>
    <w:rsid w:val="001B13F7"/>
    <w:rsid w:val="001B1784"/>
    <w:rsid w:val="001B187C"/>
    <w:rsid w:val="001B1BDC"/>
    <w:rsid w:val="001B1D6B"/>
    <w:rsid w:val="001B204E"/>
    <w:rsid w:val="001B2372"/>
    <w:rsid w:val="001B242C"/>
    <w:rsid w:val="001B2777"/>
    <w:rsid w:val="001B2F37"/>
    <w:rsid w:val="001B3166"/>
    <w:rsid w:val="001B3399"/>
    <w:rsid w:val="001B3443"/>
    <w:rsid w:val="001B3892"/>
    <w:rsid w:val="001B3A8E"/>
    <w:rsid w:val="001B3F81"/>
    <w:rsid w:val="001B415A"/>
    <w:rsid w:val="001B4185"/>
    <w:rsid w:val="001B4610"/>
    <w:rsid w:val="001B4D20"/>
    <w:rsid w:val="001B6FC4"/>
    <w:rsid w:val="001B71C6"/>
    <w:rsid w:val="001B7856"/>
    <w:rsid w:val="001B7A9F"/>
    <w:rsid w:val="001B7B78"/>
    <w:rsid w:val="001B7CB7"/>
    <w:rsid w:val="001B7F84"/>
    <w:rsid w:val="001C0285"/>
    <w:rsid w:val="001C0627"/>
    <w:rsid w:val="001C0FF0"/>
    <w:rsid w:val="001C1055"/>
    <w:rsid w:val="001C276D"/>
    <w:rsid w:val="001C2A9B"/>
    <w:rsid w:val="001C3902"/>
    <w:rsid w:val="001C3BBD"/>
    <w:rsid w:val="001C3DD6"/>
    <w:rsid w:val="001C4299"/>
    <w:rsid w:val="001C42E3"/>
    <w:rsid w:val="001C4874"/>
    <w:rsid w:val="001C4BD8"/>
    <w:rsid w:val="001C5557"/>
    <w:rsid w:val="001C5B52"/>
    <w:rsid w:val="001C5B62"/>
    <w:rsid w:val="001C5C3E"/>
    <w:rsid w:val="001C5F2C"/>
    <w:rsid w:val="001C5F94"/>
    <w:rsid w:val="001C6047"/>
    <w:rsid w:val="001C6210"/>
    <w:rsid w:val="001C6624"/>
    <w:rsid w:val="001C67F7"/>
    <w:rsid w:val="001C69FA"/>
    <w:rsid w:val="001C6E66"/>
    <w:rsid w:val="001C735A"/>
    <w:rsid w:val="001C7BBE"/>
    <w:rsid w:val="001C7DB6"/>
    <w:rsid w:val="001D0563"/>
    <w:rsid w:val="001D0645"/>
    <w:rsid w:val="001D099B"/>
    <w:rsid w:val="001D0B66"/>
    <w:rsid w:val="001D0C75"/>
    <w:rsid w:val="001D0EF3"/>
    <w:rsid w:val="001D1100"/>
    <w:rsid w:val="001D1296"/>
    <w:rsid w:val="001D12F9"/>
    <w:rsid w:val="001D1391"/>
    <w:rsid w:val="001D147A"/>
    <w:rsid w:val="001D1586"/>
    <w:rsid w:val="001D15BB"/>
    <w:rsid w:val="001D1EF0"/>
    <w:rsid w:val="001D2120"/>
    <w:rsid w:val="001D25D7"/>
    <w:rsid w:val="001D2605"/>
    <w:rsid w:val="001D2B89"/>
    <w:rsid w:val="001D2E68"/>
    <w:rsid w:val="001D32CC"/>
    <w:rsid w:val="001D3785"/>
    <w:rsid w:val="001D3BF9"/>
    <w:rsid w:val="001D3E70"/>
    <w:rsid w:val="001D4186"/>
    <w:rsid w:val="001D4541"/>
    <w:rsid w:val="001D4774"/>
    <w:rsid w:val="001D4CE6"/>
    <w:rsid w:val="001D506E"/>
    <w:rsid w:val="001D50B2"/>
    <w:rsid w:val="001D5656"/>
    <w:rsid w:val="001D62C8"/>
    <w:rsid w:val="001D6317"/>
    <w:rsid w:val="001D6468"/>
    <w:rsid w:val="001D6541"/>
    <w:rsid w:val="001D6721"/>
    <w:rsid w:val="001D6A14"/>
    <w:rsid w:val="001D6D2C"/>
    <w:rsid w:val="001D71F4"/>
    <w:rsid w:val="001D7645"/>
    <w:rsid w:val="001D7A5F"/>
    <w:rsid w:val="001D7E5E"/>
    <w:rsid w:val="001E0841"/>
    <w:rsid w:val="001E084F"/>
    <w:rsid w:val="001E0E48"/>
    <w:rsid w:val="001E10F2"/>
    <w:rsid w:val="001E1C7E"/>
    <w:rsid w:val="001E1E86"/>
    <w:rsid w:val="001E2069"/>
    <w:rsid w:val="001E238E"/>
    <w:rsid w:val="001E2483"/>
    <w:rsid w:val="001E251B"/>
    <w:rsid w:val="001E289E"/>
    <w:rsid w:val="001E2B1E"/>
    <w:rsid w:val="001E2B54"/>
    <w:rsid w:val="001E2CFF"/>
    <w:rsid w:val="001E2F24"/>
    <w:rsid w:val="001E30D4"/>
    <w:rsid w:val="001E3248"/>
    <w:rsid w:val="001E335B"/>
    <w:rsid w:val="001E3400"/>
    <w:rsid w:val="001E34DF"/>
    <w:rsid w:val="001E3871"/>
    <w:rsid w:val="001E3A0C"/>
    <w:rsid w:val="001E3BF4"/>
    <w:rsid w:val="001E430C"/>
    <w:rsid w:val="001E45BC"/>
    <w:rsid w:val="001E4777"/>
    <w:rsid w:val="001E52EB"/>
    <w:rsid w:val="001E5CD5"/>
    <w:rsid w:val="001E6194"/>
    <w:rsid w:val="001E61D2"/>
    <w:rsid w:val="001E6334"/>
    <w:rsid w:val="001E634F"/>
    <w:rsid w:val="001E659E"/>
    <w:rsid w:val="001E67B6"/>
    <w:rsid w:val="001E6E77"/>
    <w:rsid w:val="001E70E6"/>
    <w:rsid w:val="001E740C"/>
    <w:rsid w:val="001E74AE"/>
    <w:rsid w:val="001E7E84"/>
    <w:rsid w:val="001F05D5"/>
    <w:rsid w:val="001F09C8"/>
    <w:rsid w:val="001F0C56"/>
    <w:rsid w:val="001F0EC8"/>
    <w:rsid w:val="001F0F0C"/>
    <w:rsid w:val="001F1235"/>
    <w:rsid w:val="001F1469"/>
    <w:rsid w:val="001F174D"/>
    <w:rsid w:val="001F180B"/>
    <w:rsid w:val="001F1CB3"/>
    <w:rsid w:val="001F2240"/>
    <w:rsid w:val="001F2352"/>
    <w:rsid w:val="001F2AD4"/>
    <w:rsid w:val="001F2D68"/>
    <w:rsid w:val="001F2F4F"/>
    <w:rsid w:val="001F32DE"/>
    <w:rsid w:val="001F3588"/>
    <w:rsid w:val="001F38B5"/>
    <w:rsid w:val="001F3AFF"/>
    <w:rsid w:val="001F3B21"/>
    <w:rsid w:val="001F4081"/>
    <w:rsid w:val="001F415A"/>
    <w:rsid w:val="001F4AAB"/>
    <w:rsid w:val="001F4ED8"/>
    <w:rsid w:val="001F4F25"/>
    <w:rsid w:val="001F54B6"/>
    <w:rsid w:val="001F5582"/>
    <w:rsid w:val="001F5806"/>
    <w:rsid w:val="001F5F9A"/>
    <w:rsid w:val="001F6034"/>
    <w:rsid w:val="001F6D34"/>
    <w:rsid w:val="001F6D64"/>
    <w:rsid w:val="001F6FD1"/>
    <w:rsid w:val="001F703A"/>
    <w:rsid w:val="001F7361"/>
    <w:rsid w:val="001F7C09"/>
    <w:rsid w:val="002000DC"/>
    <w:rsid w:val="00200FF8"/>
    <w:rsid w:val="002011B0"/>
    <w:rsid w:val="00202F7A"/>
    <w:rsid w:val="00203181"/>
    <w:rsid w:val="00203201"/>
    <w:rsid w:val="002032EA"/>
    <w:rsid w:val="002034A8"/>
    <w:rsid w:val="00203783"/>
    <w:rsid w:val="0020385F"/>
    <w:rsid w:val="00203A45"/>
    <w:rsid w:val="00203B21"/>
    <w:rsid w:val="00203B3C"/>
    <w:rsid w:val="00204578"/>
    <w:rsid w:val="00204658"/>
    <w:rsid w:val="0020521E"/>
    <w:rsid w:val="0020526D"/>
    <w:rsid w:val="002055AD"/>
    <w:rsid w:val="0020571C"/>
    <w:rsid w:val="002057CA"/>
    <w:rsid w:val="00205D3A"/>
    <w:rsid w:val="00205FA5"/>
    <w:rsid w:val="002066EE"/>
    <w:rsid w:val="002068A0"/>
    <w:rsid w:val="00206AFF"/>
    <w:rsid w:val="00207021"/>
    <w:rsid w:val="00207215"/>
    <w:rsid w:val="0020732F"/>
    <w:rsid w:val="0020799C"/>
    <w:rsid w:val="00207D00"/>
    <w:rsid w:val="00207DB3"/>
    <w:rsid w:val="00207DCA"/>
    <w:rsid w:val="002105C1"/>
    <w:rsid w:val="00210BEA"/>
    <w:rsid w:val="00210DD3"/>
    <w:rsid w:val="002116FD"/>
    <w:rsid w:val="00212228"/>
    <w:rsid w:val="002122F7"/>
    <w:rsid w:val="00212722"/>
    <w:rsid w:val="00212997"/>
    <w:rsid w:val="00212BC5"/>
    <w:rsid w:val="00212EEA"/>
    <w:rsid w:val="002131B0"/>
    <w:rsid w:val="00213C10"/>
    <w:rsid w:val="00213D5D"/>
    <w:rsid w:val="00213EF5"/>
    <w:rsid w:val="002144CA"/>
    <w:rsid w:val="002147CD"/>
    <w:rsid w:val="00214D07"/>
    <w:rsid w:val="00215798"/>
    <w:rsid w:val="002158F8"/>
    <w:rsid w:val="00215E4D"/>
    <w:rsid w:val="00216268"/>
    <w:rsid w:val="00216330"/>
    <w:rsid w:val="00216905"/>
    <w:rsid w:val="00216BF5"/>
    <w:rsid w:val="00217A8A"/>
    <w:rsid w:val="00217ABA"/>
    <w:rsid w:val="00217D8E"/>
    <w:rsid w:val="002206A0"/>
    <w:rsid w:val="0022113E"/>
    <w:rsid w:val="002213DC"/>
    <w:rsid w:val="0022182D"/>
    <w:rsid w:val="00221AE2"/>
    <w:rsid w:val="00221F69"/>
    <w:rsid w:val="00222A9C"/>
    <w:rsid w:val="00223622"/>
    <w:rsid w:val="00223B49"/>
    <w:rsid w:val="00223D5A"/>
    <w:rsid w:val="00223FAA"/>
    <w:rsid w:val="00224405"/>
    <w:rsid w:val="00224DD4"/>
    <w:rsid w:val="00225648"/>
    <w:rsid w:val="00225BB2"/>
    <w:rsid w:val="00225DDC"/>
    <w:rsid w:val="002263CE"/>
    <w:rsid w:val="0022668E"/>
    <w:rsid w:val="0022696C"/>
    <w:rsid w:val="0022699B"/>
    <w:rsid w:val="002269B9"/>
    <w:rsid w:val="00226A2B"/>
    <w:rsid w:val="00226B7C"/>
    <w:rsid w:val="00227144"/>
    <w:rsid w:val="002272BC"/>
    <w:rsid w:val="002278A0"/>
    <w:rsid w:val="00227FD1"/>
    <w:rsid w:val="002309B4"/>
    <w:rsid w:val="002309CC"/>
    <w:rsid w:val="00230C85"/>
    <w:rsid w:val="00230CB3"/>
    <w:rsid w:val="00231225"/>
    <w:rsid w:val="0023152A"/>
    <w:rsid w:val="00231BA9"/>
    <w:rsid w:val="00231BE2"/>
    <w:rsid w:val="00231DC3"/>
    <w:rsid w:val="0023209F"/>
    <w:rsid w:val="002324B9"/>
    <w:rsid w:val="00232963"/>
    <w:rsid w:val="00232FD7"/>
    <w:rsid w:val="002331B5"/>
    <w:rsid w:val="0023348A"/>
    <w:rsid w:val="00233630"/>
    <w:rsid w:val="00233844"/>
    <w:rsid w:val="00233C01"/>
    <w:rsid w:val="0023413C"/>
    <w:rsid w:val="002346F0"/>
    <w:rsid w:val="002351CA"/>
    <w:rsid w:val="0023549B"/>
    <w:rsid w:val="00235704"/>
    <w:rsid w:val="0023629D"/>
    <w:rsid w:val="002369A2"/>
    <w:rsid w:val="00236E38"/>
    <w:rsid w:val="00236EC1"/>
    <w:rsid w:val="00236F78"/>
    <w:rsid w:val="00236F81"/>
    <w:rsid w:val="00237255"/>
    <w:rsid w:val="0023761B"/>
    <w:rsid w:val="00237DF5"/>
    <w:rsid w:val="002404F8"/>
    <w:rsid w:val="00240570"/>
    <w:rsid w:val="00240F81"/>
    <w:rsid w:val="00241044"/>
    <w:rsid w:val="00241D3D"/>
    <w:rsid w:val="002424AF"/>
    <w:rsid w:val="002434F3"/>
    <w:rsid w:val="0024350B"/>
    <w:rsid w:val="002435C0"/>
    <w:rsid w:val="00243737"/>
    <w:rsid w:val="002439DC"/>
    <w:rsid w:val="002440D7"/>
    <w:rsid w:val="002440FC"/>
    <w:rsid w:val="002441D2"/>
    <w:rsid w:val="00244472"/>
    <w:rsid w:val="00244737"/>
    <w:rsid w:val="00244DC8"/>
    <w:rsid w:val="0024503A"/>
    <w:rsid w:val="002452AF"/>
    <w:rsid w:val="002453C4"/>
    <w:rsid w:val="00245561"/>
    <w:rsid w:val="0024565C"/>
    <w:rsid w:val="002458BA"/>
    <w:rsid w:val="00245905"/>
    <w:rsid w:val="002459D4"/>
    <w:rsid w:val="00245C4D"/>
    <w:rsid w:val="00245CE9"/>
    <w:rsid w:val="00245E9D"/>
    <w:rsid w:val="0024636C"/>
    <w:rsid w:val="00246520"/>
    <w:rsid w:val="00246529"/>
    <w:rsid w:val="00246CE1"/>
    <w:rsid w:val="00247062"/>
    <w:rsid w:val="002472D0"/>
    <w:rsid w:val="002472DB"/>
    <w:rsid w:val="002474BC"/>
    <w:rsid w:val="0024762D"/>
    <w:rsid w:val="0024786C"/>
    <w:rsid w:val="0024790F"/>
    <w:rsid w:val="00247925"/>
    <w:rsid w:val="00247973"/>
    <w:rsid w:val="00247E23"/>
    <w:rsid w:val="002502E8"/>
    <w:rsid w:val="00250C51"/>
    <w:rsid w:val="00251006"/>
    <w:rsid w:val="00251D0A"/>
    <w:rsid w:val="00251FE9"/>
    <w:rsid w:val="002521F2"/>
    <w:rsid w:val="002524D5"/>
    <w:rsid w:val="002527A7"/>
    <w:rsid w:val="00252985"/>
    <w:rsid w:val="00252B85"/>
    <w:rsid w:val="00252CF4"/>
    <w:rsid w:val="00253138"/>
    <w:rsid w:val="00253371"/>
    <w:rsid w:val="00253B1D"/>
    <w:rsid w:val="00253D79"/>
    <w:rsid w:val="00253FAF"/>
    <w:rsid w:val="002540AC"/>
    <w:rsid w:val="00254921"/>
    <w:rsid w:val="00254C38"/>
    <w:rsid w:val="00254DCF"/>
    <w:rsid w:val="00255255"/>
    <w:rsid w:val="0025534B"/>
    <w:rsid w:val="0025575E"/>
    <w:rsid w:val="00255BB7"/>
    <w:rsid w:val="002574EB"/>
    <w:rsid w:val="00257541"/>
    <w:rsid w:val="00257703"/>
    <w:rsid w:val="00257A39"/>
    <w:rsid w:val="00257AC4"/>
    <w:rsid w:val="00257BBE"/>
    <w:rsid w:val="00257C19"/>
    <w:rsid w:val="00257CBC"/>
    <w:rsid w:val="00257D2D"/>
    <w:rsid w:val="002605E4"/>
    <w:rsid w:val="002608B4"/>
    <w:rsid w:val="002609F8"/>
    <w:rsid w:val="00260BB6"/>
    <w:rsid w:val="00260FF5"/>
    <w:rsid w:val="00261262"/>
    <w:rsid w:val="00261EEF"/>
    <w:rsid w:val="00262051"/>
    <w:rsid w:val="00262120"/>
    <w:rsid w:val="00262378"/>
    <w:rsid w:val="00262592"/>
    <w:rsid w:val="002626AA"/>
    <w:rsid w:val="00262A1A"/>
    <w:rsid w:val="00262A87"/>
    <w:rsid w:val="002631F0"/>
    <w:rsid w:val="0026398C"/>
    <w:rsid w:val="00263FDE"/>
    <w:rsid w:val="0026440D"/>
    <w:rsid w:val="0026480E"/>
    <w:rsid w:val="0026492E"/>
    <w:rsid w:val="00264D26"/>
    <w:rsid w:val="00264EFA"/>
    <w:rsid w:val="002654CA"/>
    <w:rsid w:val="00265D81"/>
    <w:rsid w:val="00265F90"/>
    <w:rsid w:val="0026644E"/>
    <w:rsid w:val="00266934"/>
    <w:rsid w:val="00266A6A"/>
    <w:rsid w:val="00266ECD"/>
    <w:rsid w:val="00266F61"/>
    <w:rsid w:val="00267642"/>
    <w:rsid w:val="002676EE"/>
    <w:rsid w:val="00267892"/>
    <w:rsid w:val="0026792D"/>
    <w:rsid w:val="00267930"/>
    <w:rsid w:val="00267ABF"/>
    <w:rsid w:val="00267AEA"/>
    <w:rsid w:val="00267B12"/>
    <w:rsid w:val="00267EB2"/>
    <w:rsid w:val="0027008C"/>
    <w:rsid w:val="002700E6"/>
    <w:rsid w:val="002708BD"/>
    <w:rsid w:val="00270D40"/>
    <w:rsid w:val="00270DA1"/>
    <w:rsid w:val="00270F3D"/>
    <w:rsid w:val="00271B81"/>
    <w:rsid w:val="00271FC8"/>
    <w:rsid w:val="00272940"/>
    <w:rsid w:val="0027294B"/>
    <w:rsid w:val="00272BCD"/>
    <w:rsid w:val="00272EC6"/>
    <w:rsid w:val="0027327F"/>
    <w:rsid w:val="00273633"/>
    <w:rsid w:val="00273EB4"/>
    <w:rsid w:val="00274682"/>
    <w:rsid w:val="00274996"/>
    <w:rsid w:val="00275158"/>
    <w:rsid w:val="00275B90"/>
    <w:rsid w:val="00275C5A"/>
    <w:rsid w:val="002764BF"/>
    <w:rsid w:val="002769D3"/>
    <w:rsid w:val="00276C5D"/>
    <w:rsid w:val="00276CF9"/>
    <w:rsid w:val="00276DC1"/>
    <w:rsid w:val="002774F2"/>
    <w:rsid w:val="002775EF"/>
    <w:rsid w:val="0027773E"/>
    <w:rsid w:val="002803B0"/>
    <w:rsid w:val="00280890"/>
    <w:rsid w:val="00281014"/>
    <w:rsid w:val="00281170"/>
    <w:rsid w:val="0028172E"/>
    <w:rsid w:val="002819E1"/>
    <w:rsid w:val="0028233C"/>
    <w:rsid w:val="00282B44"/>
    <w:rsid w:val="00282EA9"/>
    <w:rsid w:val="00282F71"/>
    <w:rsid w:val="002832E6"/>
    <w:rsid w:val="002835C1"/>
    <w:rsid w:val="002837A4"/>
    <w:rsid w:val="002837E2"/>
    <w:rsid w:val="00283800"/>
    <w:rsid w:val="00283926"/>
    <w:rsid w:val="00284145"/>
    <w:rsid w:val="00284450"/>
    <w:rsid w:val="00284ACD"/>
    <w:rsid w:val="00284F0C"/>
    <w:rsid w:val="00285107"/>
    <w:rsid w:val="00285209"/>
    <w:rsid w:val="002854DF"/>
    <w:rsid w:val="0028560A"/>
    <w:rsid w:val="00285753"/>
    <w:rsid w:val="002859B4"/>
    <w:rsid w:val="00285BCE"/>
    <w:rsid w:val="002862DC"/>
    <w:rsid w:val="0028665D"/>
    <w:rsid w:val="00286785"/>
    <w:rsid w:val="002869E1"/>
    <w:rsid w:val="00286C31"/>
    <w:rsid w:val="00286D08"/>
    <w:rsid w:val="0028733D"/>
    <w:rsid w:val="002876AA"/>
    <w:rsid w:val="00287B20"/>
    <w:rsid w:val="00287C0F"/>
    <w:rsid w:val="00287FF1"/>
    <w:rsid w:val="00291BC7"/>
    <w:rsid w:val="00291F62"/>
    <w:rsid w:val="00292403"/>
    <w:rsid w:val="0029254D"/>
    <w:rsid w:val="002928AE"/>
    <w:rsid w:val="00292E8C"/>
    <w:rsid w:val="00294248"/>
    <w:rsid w:val="002947B5"/>
    <w:rsid w:val="00294B4E"/>
    <w:rsid w:val="00294B96"/>
    <w:rsid w:val="00294C10"/>
    <w:rsid w:val="00295439"/>
    <w:rsid w:val="00295D32"/>
    <w:rsid w:val="00295E46"/>
    <w:rsid w:val="002970D0"/>
    <w:rsid w:val="0029722E"/>
    <w:rsid w:val="00297266"/>
    <w:rsid w:val="002A02A2"/>
    <w:rsid w:val="002A079C"/>
    <w:rsid w:val="002A14AB"/>
    <w:rsid w:val="002A156C"/>
    <w:rsid w:val="002A15E5"/>
    <w:rsid w:val="002A1733"/>
    <w:rsid w:val="002A2048"/>
    <w:rsid w:val="002A295F"/>
    <w:rsid w:val="002A2ABC"/>
    <w:rsid w:val="002A2ADE"/>
    <w:rsid w:val="002A2B74"/>
    <w:rsid w:val="002A2C72"/>
    <w:rsid w:val="002A2F50"/>
    <w:rsid w:val="002A3330"/>
    <w:rsid w:val="002A3B61"/>
    <w:rsid w:val="002A478B"/>
    <w:rsid w:val="002A4E5C"/>
    <w:rsid w:val="002A51F6"/>
    <w:rsid w:val="002A5D32"/>
    <w:rsid w:val="002A5E5B"/>
    <w:rsid w:val="002A5F26"/>
    <w:rsid w:val="002A692A"/>
    <w:rsid w:val="002A77CA"/>
    <w:rsid w:val="002A7823"/>
    <w:rsid w:val="002A7943"/>
    <w:rsid w:val="002A7C9E"/>
    <w:rsid w:val="002B05A1"/>
    <w:rsid w:val="002B074E"/>
    <w:rsid w:val="002B09A4"/>
    <w:rsid w:val="002B0B75"/>
    <w:rsid w:val="002B0DFB"/>
    <w:rsid w:val="002B0F39"/>
    <w:rsid w:val="002B1017"/>
    <w:rsid w:val="002B13BF"/>
    <w:rsid w:val="002B14FC"/>
    <w:rsid w:val="002B1728"/>
    <w:rsid w:val="002B1C1F"/>
    <w:rsid w:val="002B1C6B"/>
    <w:rsid w:val="002B1C88"/>
    <w:rsid w:val="002B3091"/>
    <w:rsid w:val="002B3758"/>
    <w:rsid w:val="002B37DD"/>
    <w:rsid w:val="002B3BF8"/>
    <w:rsid w:val="002B41DC"/>
    <w:rsid w:val="002B432F"/>
    <w:rsid w:val="002B48A7"/>
    <w:rsid w:val="002B4DB0"/>
    <w:rsid w:val="002B4EBC"/>
    <w:rsid w:val="002B4EE3"/>
    <w:rsid w:val="002B5AFE"/>
    <w:rsid w:val="002B5D06"/>
    <w:rsid w:val="002B628F"/>
    <w:rsid w:val="002B62B3"/>
    <w:rsid w:val="002B6754"/>
    <w:rsid w:val="002B683C"/>
    <w:rsid w:val="002B6AF8"/>
    <w:rsid w:val="002B6CCE"/>
    <w:rsid w:val="002B6DA8"/>
    <w:rsid w:val="002B7A54"/>
    <w:rsid w:val="002B7EB5"/>
    <w:rsid w:val="002C0360"/>
    <w:rsid w:val="002C10EC"/>
    <w:rsid w:val="002C1851"/>
    <w:rsid w:val="002C1A60"/>
    <w:rsid w:val="002C221E"/>
    <w:rsid w:val="002C23C0"/>
    <w:rsid w:val="002C2510"/>
    <w:rsid w:val="002C2775"/>
    <w:rsid w:val="002C278E"/>
    <w:rsid w:val="002C27C1"/>
    <w:rsid w:val="002C29F7"/>
    <w:rsid w:val="002C2D9F"/>
    <w:rsid w:val="002C35AF"/>
    <w:rsid w:val="002C36E3"/>
    <w:rsid w:val="002C3727"/>
    <w:rsid w:val="002C48EA"/>
    <w:rsid w:val="002C48FE"/>
    <w:rsid w:val="002C4BAA"/>
    <w:rsid w:val="002C5099"/>
    <w:rsid w:val="002C51CE"/>
    <w:rsid w:val="002C5736"/>
    <w:rsid w:val="002C5889"/>
    <w:rsid w:val="002C5936"/>
    <w:rsid w:val="002C6416"/>
    <w:rsid w:val="002C64C1"/>
    <w:rsid w:val="002C653A"/>
    <w:rsid w:val="002C654F"/>
    <w:rsid w:val="002C6692"/>
    <w:rsid w:val="002C71CE"/>
    <w:rsid w:val="002C7369"/>
    <w:rsid w:val="002C7F6E"/>
    <w:rsid w:val="002D0114"/>
    <w:rsid w:val="002D028D"/>
    <w:rsid w:val="002D08F8"/>
    <w:rsid w:val="002D0B58"/>
    <w:rsid w:val="002D0E09"/>
    <w:rsid w:val="002D1126"/>
    <w:rsid w:val="002D159B"/>
    <w:rsid w:val="002D15A5"/>
    <w:rsid w:val="002D15BC"/>
    <w:rsid w:val="002D165B"/>
    <w:rsid w:val="002D1DBE"/>
    <w:rsid w:val="002D205B"/>
    <w:rsid w:val="002D216C"/>
    <w:rsid w:val="002D262E"/>
    <w:rsid w:val="002D2A06"/>
    <w:rsid w:val="002D2CD5"/>
    <w:rsid w:val="002D2EA3"/>
    <w:rsid w:val="002D3E0D"/>
    <w:rsid w:val="002D422A"/>
    <w:rsid w:val="002D4359"/>
    <w:rsid w:val="002D442F"/>
    <w:rsid w:val="002D4AA1"/>
    <w:rsid w:val="002D4D73"/>
    <w:rsid w:val="002D50F1"/>
    <w:rsid w:val="002D577C"/>
    <w:rsid w:val="002D585E"/>
    <w:rsid w:val="002D62B9"/>
    <w:rsid w:val="002D63F4"/>
    <w:rsid w:val="002D6D5F"/>
    <w:rsid w:val="002D763F"/>
    <w:rsid w:val="002D77B8"/>
    <w:rsid w:val="002D7802"/>
    <w:rsid w:val="002D7832"/>
    <w:rsid w:val="002E0047"/>
    <w:rsid w:val="002E0123"/>
    <w:rsid w:val="002E03A4"/>
    <w:rsid w:val="002E04EE"/>
    <w:rsid w:val="002E0E68"/>
    <w:rsid w:val="002E1071"/>
    <w:rsid w:val="002E1092"/>
    <w:rsid w:val="002E1113"/>
    <w:rsid w:val="002E1293"/>
    <w:rsid w:val="002E15B9"/>
    <w:rsid w:val="002E16DB"/>
    <w:rsid w:val="002E2158"/>
    <w:rsid w:val="002E2BC1"/>
    <w:rsid w:val="002E2EEA"/>
    <w:rsid w:val="002E3C8C"/>
    <w:rsid w:val="002E4096"/>
    <w:rsid w:val="002E4102"/>
    <w:rsid w:val="002E42FE"/>
    <w:rsid w:val="002E4795"/>
    <w:rsid w:val="002E4DD5"/>
    <w:rsid w:val="002E4F02"/>
    <w:rsid w:val="002E55CC"/>
    <w:rsid w:val="002E5862"/>
    <w:rsid w:val="002E5E6B"/>
    <w:rsid w:val="002E5FFC"/>
    <w:rsid w:val="002E65A2"/>
    <w:rsid w:val="002E6B24"/>
    <w:rsid w:val="002E7548"/>
    <w:rsid w:val="002E7722"/>
    <w:rsid w:val="002E77C3"/>
    <w:rsid w:val="002F00A6"/>
    <w:rsid w:val="002F07BA"/>
    <w:rsid w:val="002F0DA9"/>
    <w:rsid w:val="002F1014"/>
    <w:rsid w:val="002F1081"/>
    <w:rsid w:val="002F1295"/>
    <w:rsid w:val="002F164C"/>
    <w:rsid w:val="002F1DBD"/>
    <w:rsid w:val="002F1E3B"/>
    <w:rsid w:val="002F212F"/>
    <w:rsid w:val="002F21F1"/>
    <w:rsid w:val="002F22C3"/>
    <w:rsid w:val="002F22C7"/>
    <w:rsid w:val="002F26AC"/>
    <w:rsid w:val="002F311A"/>
    <w:rsid w:val="002F31CF"/>
    <w:rsid w:val="002F3239"/>
    <w:rsid w:val="002F3911"/>
    <w:rsid w:val="002F39F7"/>
    <w:rsid w:val="002F3A22"/>
    <w:rsid w:val="002F3BEA"/>
    <w:rsid w:val="002F3F9D"/>
    <w:rsid w:val="002F4125"/>
    <w:rsid w:val="002F4958"/>
    <w:rsid w:val="002F4C6F"/>
    <w:rsid w:val="002F4C7D"/>
    <w:rsid w:val="002F4D7E"/>
    <w:rsid w:val="002F4EAE"/>
    <w:rsid w:val="002F589D"/>
    <w:rsid w:val="002F61EF"/>
    <w:rsid w:val="002F6223"/>
    <w:rsid w:val="002F6308"/>
    <w:rsid w:val="002F643C"/>
    <w:rsid w:val="002F68B5"/>
    <w:rsid w:val="002F6F77"/>
    <w:rsid w:val="002F71C0"/>
    <w:rsid w:val="002F74F1"/>
    <w:rsid w:val="002F76F0"/>
    <w:rsid w:val="002F77FF"/>
    <w:rsid w:val="002F7D7D"/>
    <w:rsid w:val="002F7F84"/>
    <w:rsid w:val="003003DC"/>
    <w:rsid w:val="00300BF1"/>
    <w:rsid w:val="00301017"/>
    <w:rsid w:val="0030155F"/>
    <w:rsid w:val="003015D3"/>
    <w:rsid w:val="0030234F"/>
    <w:rsid w:val="00303017"/>
    <w:rsid w:val="00303DBB"/>
    <w:rsid w:val="00303DDB"/>
    <w:rsid w:val="00303F16"/>
    <w:rsid w:val="003041B5"/>
    <w:rsid w:val="003041ED"/>
    <w:rsid w:val="003043E3"/>
    <w:rsid w:val="003055D2"/>
    <w:rsid w:val="0030587B"/>
    <w:rsid w:val="00305EB7"/>
    <w:rsid w:val="00306991"/>
    <w:rsid w:val="00306D98"/>
    <w:rsid w:val="00306DE1"/>
    <w:rsid w:val="00307065"/>
    <w:rsid w:val="003071D5"/>
    <w:rsid w:val="0030786C"/>
    <w:rsid w:val="00310106"/>
    <w:rsid w:val="0031031A"/>
    <w:rsid w:val="003105FF"/>
    <w:rsid w:val="003106B1"/>
    <w:rsid w:val="003107B7"/>
    <w:rsid w:val="00310981"/>
    <w:rsid w:val="00310BF9"/>
    <w:rsid w:val="00310C30"/>
    <w:rsid w:val="003113F8"/>
    <w:rsid w:val="0031172A"/>
    <w:rsid w:val="00311AAD"/>
    <w:rsid w:val="00311D9B"/>
    <w:rsid w:val="00312138"/>
    <w:rsid w:val="00312173"/>
    <w:rsid w:val="003124D9"/>
    <w:rsid w:val="00312594"/>
    <w:rsid w:val="00312A84"/>
    <w:rsid w:val="00312C71"/>
    <w:rsid w:val="0031315D"/>
    <w:rsid w:val="00313730"/>
    <w:rsid w:val="00313D37"/>
    <w:rsid w:val="00314F00"/>
    <w:rsid w:val="003150D1"/>
    <w:rsid w:val="00315202"/>
    <w:rsid w:val="00315498"/>
    <w:rsid w:val="00316474"/>
    <w:rsid w:val="00316ACE"/>
    <w:rsid w:val="00317104"/>
    <w:rsid w:val="00317842"/>
    <w:rsid w:val="0031793A"/>
    <w:rsid w:val="00317CF2"/>
    <w:rsid w:val="0032004D"/>
    <w:rsid w:val="003203D3"/>
    <w:rsid w:val="00320929"/>
    <w:rsid w:val="00320AC6"/>
    <w:rsid w:val="00320CB2"/>
    <w:rsid w:val="003210A2"/>
    <w:rsid w:val="00321180"/>
    <w:rsid w:val="003219A4"/>
    <w:rsid w:val="003219BE"/>
    <w:rsid w:val="0032202F"/>
    <w:rsid w:val="00322107"/>
    <w:rsid w:val="003221D6"/>
    <w:rsid w:val="00322355"/>
    <w:rsid w:val="00322846"/>
    <w:rsid w:val="003228E4"/>
    <w:rsid w:val="0032353C"/>
    <w:rsid w:val="003236D7"/>
    <w:rsid w:val="00323D27"/>
    <w:rsid w:val="00324650"/>
    <w:rsid w:val="003246F1"/>
    <w:rsid w:val="00324C97"/>
    <w:rsid w:val="003252A8"/>
    <w:rsid w:val="00325B37"/>
    <w:rsid w:val="00325D94"/>
    <w:rsid w:val="0032647C"/>
    <w:rsid w:val="0032654F"/>
    <w:rsid w:val="00326C34"/>
    <w:rsid w:val="00326D41"/>
    <w:rsid w:val="00326DA7"/>
    <w:rsid w:val="003270E4"/>
    <w:rsid w:val="00327460"/>
    <w:rsid w:val="003279FA"/>
    <w:rsid w:val="00327BD1"/>
    <w:rsid w:val="00327F50"/>
    <w:rsid w:val="00330DAA"/>
    <w:rsid w:val="00330EF2"/>
    <w:rsid w:val="00330F5C"/>
    <w:rsid w:val="00330F5D"/>
    <w:rsid w:val="003317A0"/>
    <w:rsid w:val="0033197E"/>
    <w:rsid w:val="00331E82"/>
    <w:rsid w:val="00332C48"/>
    <w:rsid w:val="003330E3"/>
    <w:rsid w:val="00333542"/>
    <w:rsid w:val="003336C6"/>
    <w:rsid w:val="00333ABF"/>
    <w:rsid w:val="00333CD7"/>
    <w:rsid w:val="00333E75"/>
    <w:rsid w:val="00334548"/>
    <w:rsid w:val="003347E9"/>
    <w:rsid w:val="00334AD2"/>
    <w:rsid w:val="00336611"/>
    <w:rsid w:val="003366C9"/>
    <w:rsid w:val="00336A41"/>
    <w:rsid w:val="00336EFB"/>
    <w:rsid w:val="003370AF"/>
    <w:rsid w:val="003371B0"/>
    <w:rsid w:val="00337969"/>
    <w:rsid w:val="00337A07"/>
    <w:rsid w:val="00337C81"/>
    <w:rsid w:val="00340284"/>
    <w:rsid w:val="00340A59"/>
    <w:rsid w:val="00340AE6"/>
    <w:rsid w:val="00340DE0"/>
    <w:rsid w:val="00340DF1"/>
    <w:rsid w:val="003411B0"/>
    <w:rsid w:val="0034132B"/>
    <w:rsid w:val="003413BF"/>
    <w:rsid w:val="00341DE3"/>
    <w:rsid w:val="0034201C"/>
    <w:rsid w:val="003424B8"/>
    <w:rsid w:val="003425E3"/>
    <w:rsid w:val="00342D61"/>
    <w:rsid w:val="00343DA6"/>
    <w:rsid w:val="00344431"/>
    <w:rsid w:val="00344C7D"/>
    <w:rsid w:val="00344FDE"/>
    <w:rsid w:val="003453F5"/>
    <w:rsid w:val="00345F0F"/>
    <w:rsid w:val="00345F20"/>
    <w:rsid w:val="00346457"/>
    <w:rsid w:val="00346632"/>
    <w:rsid w:val="0034674C"/>
    <w:rsid w:val="00346809"/>
    <w:rsid w:val="00346C51"/>
    <w:rsid w:val="00347890"/>
    <w:rsid w:val="00347EEE"/>
    <w:rsid w:val="00350479"/>
    <w:rsid w:val="00350D94"/>
    <w:rsid w:val="003510C9"/>
    <w:rsid w:val="003517F9"/>
    <w:rsid w:val="00351BA9"/>
    <w:rsid w:val="00351F17"/>
    <w:rsid w:val="00351FCB"/>
    <w:rsid w:val="003520FB"/>
    <w:rsid w:val="003527FE"/>
    <w:rsid w:val="003529A9"/>
    <w:rsid w:val="00352C79"/>
    <w:rsid w:val="00352CFF"/>
    <w:rsid w:val="00353201"/>
    <w:rsid w:val="00354F64"/>
    <w:rsid w:val="00355251"/>
    <w:rsid w:val="00355334"/>
    <w:rsid w:val="0035580D"/>
    <w:rsid w:val="00355832"/>
    <w:rsid w:val="00355B45"/>
    <w:rsid w:val="0035620E"/>
    <w:rsid w:val="003564DE"/>
    <w:rsid w:val="0035667C"/>
    <w:rsid w:val="00356E35"/>
    <w:rsid w:val="00356F04"/>
    <w:rsid w:val="003575BE"/>
    <w:rsid w:val="00357631"/>
    <w:rsid w:val="003576A0"/>
    <w:rsid w:val="00357905"/>
    <w:rsid w:val="00357C4C"/>
    <w:rsid w:val="00360345"/>
    <w:rsid w:val="0036045B"/>
    <w:rsid w:val="003606E0"/>
    <w:rsid w:val="00360886"/>
    <w:rsid w:val="003608C3"/>
    <w:rsid w:val="00360C39"/>
    <w:rsid w:val="003613C5"/>
    <w:rsid w:val="00361A05"/>
    <w:rsid w:val="003623E9"/>
    <w:rsid w:val="003624C4"/>
    <w:rsid w:val="003628BB"/>
    <w:rsid w:val="00362A77"/>
    <w:rsid w:val="00362D0A"/>
    <w:rsid w:val="003631F7"/>
    <w:rsid w:val="00363469"/>
    <w:rsid w:val="00363B00"/>
    <w:rsid w:val="0036456A"/>
    <w:rsid w:val="00364975"/>
    <w:rsid w:val="00364EBE"/>
    <w:rsid w:val="003654AC"/>
    <w:rsid w:val="00365BDB"/>
    <w:rsid w:val="00365DB9"/>
    <w:rsid w:val="00366101"/>
    <w:rsid w:val="0036634B"/>
    <w:rsid w:val="00366C67"/>
    <w:rsid w:val="003671FF"/>
    <w:rsid w:val="003679A1"/>
    <w:rsid w:val="00367A51"/>
    <w:rsid w:val="00367C2A"/>
    <w:rsid w:val="003705B7"/>
    <w:rsid w:val="00370A17"/>
    <w:rsid w:val="00370ADD"/>
    <w:rsid w:val="003710CF"/>
    <w:rsid w:val="00372305"/>
    <w:rsid w:val="00372B8F"/>
    <w:rsid w:val="00372F7E"/>
    <w:rsid w:val="00373318"/>
    <w:rsid w:val="00373533"/>
    <w:rsid w:val="0037358A"/>
    <w:rsid w:val="0037368F"/>
    <w:rsid w:val="00373C27"/>
    <w:rsid w:val="00373E9E"/>
    <w:rsid w:val="00373F70"/>
    <w:rsid w:val="0037401E"/>
    <w:rsid w:val="00374146"/>
    <w:rsid w:val="00374369"/>
    <w:rsid w:val="00374376"/>
    <w:rsid w:val="00374C8F"/>
    <w:rsid w:val="00374DD6"/>
    <w:rsid w:val="003750F6"/>
    <w:rsid w:val="00375DF3"/>
    <w:rsid w:val="00375E08"/>
    <w:rsid w:val="00375F06"/>
    <w:rsid w:val="003760FC"/>
    <w:rsid w:val="00376CC4"/>
    <w:rsid w:val="00376CCE"/>
    <w:rsid w:val="0037712A"/>
    <w:rsid w:val="00377B8D"/>
    <w:rsid w:val="00377C22"/>
    <w:rsid w:val="0038004F"/>
    <w:rsid w:val="00380CD3"/>
    <w:rsid w:val="00381161"/>
    <w:rsid w:val="003811EF"/>
    <w:rsid w:val="0038128C"/>
    <w:rsid w:val="003817DF"/>
    <w:rsid w:val="00381806"/>
    <w:rsid w:val="00381933"/>
    <w:rsid w:val="00381B78"/>
    <w:rsid w:val="00381CF2"/>
    <w:rsid w:val="0038206C"/>
    <w:rsid w:val="003826D4"/>
    <w:rsid w:val="003826FA"/>
    <w:rsid w:val="00382E51"/>
    <w:rsid w:val="003832AD"/>
    <w:rsid w:val="00383523"/>
    <w:rsid w:val="00383640"/>
    <w:rsid w:val="0038365C"/>
    <w:rsid w:val="0038369B"/>
    <w:rsid w:val="00383B78"/>
    <w:rsid w:val="00383CAC"/>
    <w:rsid w:val="00383E51"/>
    <w:rsid w:val="0038446B"/>
    <w:rsid w:val="00384D00"/>
    <w:rsid w:val="00385A9D"/>
    <w:rsid w:val="003868FC"/>
    <w:rsid w:val="00387121"/>
    <w:rsid w:val="00387574"/>
    <w:rsid w:val="0038767D"/>
    <w:rsid w:val="003878AB"/>
    <w:rsid w:val="00387AAB"/>
    <w:rsid w:val="00387DD2"/>
    <w:rsid w:val="00390120"/>
    <w:rsid w:val="0039013D"/>
    <w:rsid w:val="003901D0"/>
    <w:rsid w:val="003902B1"/>
    <w:rsid w:val="003902DB"/>
    <w:rsid w:val="00390732"/>
    <w:rsid w:val="00390BA7"/>
    <w:rsid w:val="003910E6"/>
    <w:rsid w:val="00391256"/>
    <w:rsid w:val="0039179C"/>
    <w:rsid w:val="003918C4"/>
    <w:rsid w:val="00391F64"/>
    <w:rsid w:val="00392290"/>
    <w:rsid w:val="0039265C"/>
    <w:rsid w:val="00392AEC"/>
    <w:rsid w:val="0039355E"/>
    <w:rsid w:val="00393639"/>
    <w:rsid w:val="00393760"/>
    <w:rsid w:val="00393C7A"/>
    <w:rsid w:val="0039411F"/>
    <w:rsid w:val="0039447A"/>
    <w:rsid w:val="00394DA6"/>
    <w:rsid w:val="00394E80"/>
    <w:rsid w:val="00395761"/>
    <w:rsid w:val="00395770"/>
    <w:rsid w:val="00395840"/>
    <w:rsid w:val="00395AA4"/>
    <w:rsid w:val="003963B3"/>
    <w:rsid w:val="00396456"/>
    <w:rsid w:val="003965CA"/>
    <w:rsid w:val="00396896"/>
    <w:rsid w:val="003969CA"/>
    <w:rsid w:val="00396CE2"/>
    <w:rsid w:val="00396CE3"/>
    <w:rsid w:val="00396FD0"/>
    <w:rsid w:val="0039732A"/>
    <w:rsid w:val="0039780F"/>
    <w:rsid w:val="00397869"/>
    <w:rsid w:val="003978DF"/>
    <w:rsid w:val="00397946"/>
    <w:rsid w:val="00397CB5"/>
    <w:rsid w:val="003A03CF"/>
    <w:rsid w:val="003A0502"/>
    <w:rsid w:val="003A0A39"/>
    <w:rsid w:val="003A0D29"/>
    <w:rsid w:val="003A12DC"/>
    <w:rsid w:val="003A1620"/>
    <w:rsid w:val="003A16D7"/>
    <w:rsid w:val="003A1845"/>
    <w:rsid w:val="003A1A7A"/>
    <w:rsid w:val="003A1C13"/>
    <w:rsid w:val="003A21CC"/>
    <w:rsid w:val="003A2392"/>
    <w:rsid w:val="003A24C6"/>
    <w:rsid w:val="003A24F2"/>
    <w:rsid w:val="003A257D"/>
    <w:rsid w:val="003A2831"/>
    <w:rsid w:val="003A29BD"/>
    <w:rsid w:val="003A3582"/>
    <w:rsid w:val="003A3BD0"/>
    <w:rsid w:val="003A3CB6"/>
    <w:rsid w:val="003A3ED1"/>
    <w:rsid w:val="003A3EFE"/>
    <w:rsid w:val="003A420B"/>
    <w:rsid w:val="003A42BA"/>
    <w:rsid w:val="003A4309"/>
    <w:rsid w:val="003A44DB"/>
    <w:rsid w:val="003A457F"/>
    <w:rsid w:val="003A46DB"/>
    <w:rsid w:val="003A48F7"/>
    <w:rsid w:val="003A4AAC"/>
    <w:rsid w:val="003A4B52"/>
    <w:rsid w:val="003A4C11"/>
    <w:rsid w:val="003A4C14"/>
    <w:rsid w:val="003A4D26"/>
    <w:rsid w:val="003A50BA"/>
    <w:rsid w:val="003A519B"/>
    <w:rsid w:val="003A553F"/>
    <w:rsid w:val="003A5584"/>
    <w:rsid w:val="003A60D1"/>
    <w:rsid w:val="003A68D1"/>
    <w:rsid w:val="003A6971"/>
    <w:rsid w:val="003A6B4F"/>
    <w:rsid w:val="003A6B63"/>
    <w:rsid w:val="003A6C09"/>
    <w:rsid w:val="003A7B32"/>
    <w:rsid w:val="003A7BAC"/>
    <w:rsid w:val="003A7C09"/>
    <w:rsid w:val="003B05C0"/>
    <w:rsid w:val="003B081C"/>
    <w:rsid w:val="003B0D2A"/>
    <w:rsid w:val="003B10E2"/>
    <w:rsid w:val="003B11E4"/>
    <w:rsid w:val="003B1486"/>
    <w:rsid w:val="003B180B"/>
    <w:rsid w:val="003B1838"/>
    <w:rsid w:val="003B1B92"/>
    <w:rsid w:val="003B265C"/>
    <w:rsid w:val="003B27AE"/>
    <w:rsid w:val="003B30A3"/>
    <w:rsid w:val="003B3321"/>
    <w:rsid w:val="003B337C"/>
    <w:rsid w:val="003B3971"/>
    <w:rsid w:val="003B3E84"/>
    <w:rsid w:val="003B5278"/>
    <w:rsid w:val="003B537E"/>
    <w:rsid w:val="003B55D1"/>
    <w:rsid w:val="003B5B61"/>
    <w:rsid w:val="003B6797"/>
    <w:rsid w:val="003B6886"/>
    <w:rsid w:val="003B69DB"/>
    <w:rsid w:val="003B7248"/>
    <w:rsid w:val="003B7588"/>
    <w:rsid w:val="003B77F3"/>
    <w:rsid w:val="003C0080"/>
    <w:rsid w:val="003C0782"/>
    <w:rsid w:val="003C07BE"/>
    <w:rsid w:val="003C0F76"/>
    <w:rsid w:val="003C1654"/>
    <w:rsid w:val="003C1719"/>
    <w:rsid w:val="003C1AD7"/>
    <w:rsid w:val="003C2495"/>
    <w:rsid w:val="003C24B9"/>
    <w:rsid w:val="003C26EE"/>
    <w:rsid w:val="003C2962"/>
    <w:rsid w:val="003C2DCE"/>
    <w:rsid w:val="003C3265"/>
    <w:rsid w:val="003C353F"/>
    <w:rsid w:val="003C3568"/>
    <w:rsid w:val="003C3638"/>
    <w:rsid w:val="003C37BC"/>
    <w:rsid w:val="003C3BBF"/>
    <w:rsid w:val="003C3CDD"/>
    <w:rsid w:val="003C3DC5"/>
    <w:rsid w:val="003C4450"/>
    <w:rsid w:val="003C4641"/>
    <w:rsid w:val="003C4D56"/>
    <w:rsid w:val="003C4D8B"/>
    <w:rsid w:val="003C4EA7"/>
    <w:rsid w:val="003C4F14"/>
    <w:rsid w:val="003C5542"/>
    <w:rsid w:val="003C5689"/>
    <w:rsid w:val="003C5EFA"/>
    <w:rsid w:val="003C5FA0"/>
    <w:rsid w:val="003C5FD3"/>
    <w:rsid w:val="003C6110"/>
    <w:rsid w:val="003C6C45"/>
    <w:rsid w:val="003C6C98"/>
    <w:rsid w:val="003C6FC2"/>
    <w:rsid w:val="003C77BB"/>
    <w:rsid w:val="003C7AD0"/>
    <w:rsid w:val="003C7C15"/>
    <w:rsid w:val="003C7D19"/>
    <w:rsid w:val="003C7D2F"/>
    <w:rsid w:val="003D08C4"/>
    <w:rsid w:val="003D0C5A"/>
    <w:rsid w:val="003D0E55"/>
    <w:rsid w:val="003D12B4"/>
    <w:rsid w:val="003D13B3"/>
    <w:rsid w:val="003D15D2"/>
    <w:rsid w:val="003D1800"/>
    <w:rsid w:val="003D1828"/>
    <w:rsid w:val="003D1901"/>
    <w:rsid w:val="003D1DE4"/>
    <w:rsid w:val="003D1E41"/>
    <w:rsid w:val="003D1E9A"/>
    <w:rsid w:val="003D2050"/>
    <w:rsid w:val="003D2422"/>
    <w:rsid w:val="003D2962"/>
    <w:rsid w:val="003D31D9"/>
    <w:rsid w:val="003D3881"/>
    <w:rsid w:val="003D39A1"/>
    <w:rsid w:val="003D3FBF"/>
    <w:rsid w:val="003D44D1"/>
    <w:rsid w:val="003D4548"/>
    <w:rsid w:val="003D4A30"/>
    <w:rsid w:val="003D4C83"/>
    <w:rsid w:val="003D4CE0"/>
    <w:rsid w:val="003D4E45"/>
    <w:rsid w:val="003D51AD"/>
    <w:rsid w:val="003D5408"/>
    <w:rsid w:val="003D56DB"/>
    <w:rsid w:val="003D5A68"/>
    <w:rsid w:val="003D5C02"/>
    <w:rsid w:val="003D715D"/>
    <w:rsid w:val="003D732F"/>
    <w:rsid w:val="003D7452"/>
    <w:rsid w:val="003D79BB"/>
    <w:rsid w:val="003D7C98"/>
    <w:rsid w:val="003D7D9D"/>
    <w:rsid w:val="003E0177"/>
    <w:rsid w:val="003E0543"/>
    <w:rsid w:val="003E05DE"/>
    <w:rsid w:val="003E095C"/>
    <w:rsid w:val="003E09AC"/>
    <w:rsid w:val="003E0B4B"/>
    <w:rsid w:val="003E113D"/>
    <w:rsid w:val="003E1291"/>
    <w:rsid w:val="003E14C2"/>
    <w:rsid w:val="003E17EF"/>
    <w:rsid w:val="003E1893"/>
    <w:rsid w:val="003E199D"/>
    <w:rsid w:val="003E209D"/>
    <w:rsid w:val="003E2113"/>
    <w:rsid w:val="003E23DF"/>
    <w:rsid w:val="003E27A6"/>
    <w:rsid w:val="003E2956"/>
    <w:rsid w:val="003E2995"/>
    <w:rsid w:val="003E2ABB"/>
    <w:rsid w:val="003E2BB7"/>
    <w:rsid w:val="003E2DE9"/>
    <w:rsid w:val="003E37ED"/>
    <w:rsid w:val="003E3CF0"/>
    <w:rsid w:val="003E4586"/>
    <w:rsid w:val="003E4A6A"/>
    <w:rsid w:val="003E51B2"/>
    <w:rsid w:val="003E5216"/>
    <w:rsid w:val="003E5315"/>
    <w:rsid w:val="003E5603"/>
    <w:rsid w:val="003E56E3"/>
    <w:rsid w:val="003E5A88"/>
    <w:rsid w:val="003E5B8B"/>
    <w:rsid w:val="003E6832"/>
    <w:rsid w:val="003E6A43"/>
    <w:rsid w:val="003E749E"/>
    <w:rsid w:val="003E7B5E"/>
    <w:rsid w:val="003F0197"/>
    <w:rsid w:val="003F01D5"/>
    <w:rsid w:val="003F06FD"/>
    <w:rsid w:val="003F0815"/>
    <w:rsid w:val="003F2829"/>
    <w:rsid w:val="003F286F"/>
    <w:rsid w:val="003F386C"/>
    <w:rsid w:val="003F3969"/>
    <w:rsid w:val="003F3BC8"/>
    <w:rsid w:val="003F4156"/>
    <w:rsid w:val="003F4167"/>
    <w:rsid w:val="003F42BE"/>
    <w:rsid w:val="003F4D52"/>
    <w:rsid w:val="003F5326"/>
    <w:rsid w:val="003F57B8"/>
    <w:rsid w:val="003F5908"/>
    <w:rsid w:val="003F5968"/>
    <w:rsid w:val="003F5ADF"/>
    <w:rsid w:val="003F6411"/>
    <w:rsid w:val="003F64C7"/>
    <w:rsid w:val="003F6B7A"/>
    <w:rsid w:val="003F7669"/>
    <w:rsid w:val="003F7F3A"/>
    <w:rsid w:val="00400B29"/>
    <w:rsid w:val="00400C2E"/>
    <w:rsid w:val="0040108A"/>
    <w:rsid w:val="0040142F"/>
    <w:rsid w:val="00401525"/>
    <w:rsid w:val="00401690"/>
    <w:rsid w:val="0040173B"/>
    <w:rsid w:val="0040178D"/>
    <w:rsid w:val="00401873"/>
    <w:rsid w:val="00401D3A"/>
    <w:rsid w:val="00401F73"/>
    <w:rsid w:val="00402319"/>
    <w:rsid w:val="00402812"/>
    <w:rsid w:val="004030BC"/>
    <w:rsid w:val="00403962"/>
    <w:rsid w:val="00403DD4"/>
    <w:rsid w:val="0040459E"/>
    <w:rsid w:val="0040462D"/>
    <w:rsid w:val="0040465B"/>
    <w:rsid w:val="004046C0"/>
    <w:rsid w:val="0040488C"/>
    <w:rsid w:val="004049DF"/>
    <w:rsid w:val="00404F46"/>
    <w:rsid w:val="0040504B"/>
    <w:rsid w:val="004051A8"/>
    <w:rsid w:val="004052EA"/>
    <w:rsid w:val="00405443"/>
    <w:rsid w:val="00405706"/>
    <w:rsid w:val="0040577C"/>
    <w:rsid w:val="00405811"/>
    <w:rsid w:val="004059F4"/>
    <w:rsid w:val="0040606A"/>
    <w:rsid w:val="004061F4"/>
    <w:rsid w:val="00406306"/>
    <w:rsid w:val="00406C06"/>
    <w:rsid w:val="00406CA2"/>
    <w:rsid w:val="00406E35"/>
    <w:rsid w:val="0040713A"/>
    <w:rsid w:val="00407460"/>
    <w:rsid w:val="004075AB"/>
    <w:rsid w:val="004078AC"/>
    <w:rsid w:val="00407D9B"/>
    <w:rsid w:val="00407FE5"/>
    <w:rsid w:val="004101B0"/>
    <w:rsid w:val="00410326"/>
    <w:rsid w:val="0041034A"/>
    <w:rsid w:val="00410393"/>
    <w:rsid w:val="004105E3"/>
    <w:rsid w:val="00410708"/>
    <w:rsid w:val="00410EC7"/>
    <w:rsid w:val="00411721"/>
    <w:rsid w:val="00411B39"/>
    <w:rsid w:val="00411C90"/>
    <w:rsid w:val="00412437"/>
    <w:rsid w:val="00412639"/>
    <w:rsid w:val="0041274D"/>
    <w:rsid w:val="004127A7"/>
    <w:rsid w:val="004129D5"/>
    <w:rsid w:val="00412DAA"/>
    <w:rsid w:val="00413116"/>
    <w:rsid w:val="00413A1E"/>
    <w:rsid w:val="00413C4E"/>
    <w:rsid w:val="00413CFC"/>
    <w:rsid w:val="00413FC0"/>
    <w:rsid w:val="00414476"/>
    <w:rsid w:val="00414507"/>
    <w:rsid w:val="00414C1D"/>
    <w:rsid w:val="00414C2E"/>
    <w:rsid w:val="004151CF"/>
    <w:rsid w:val="00415609"/>
    <w:rsid w:val="00416364"/>
    <w:rsid w:val="0041636E"/>
    <w:rsid w:val="0041676B"/>
    <w:rsid w:val="0041701D"/>
    <w:rsid w:val="00417038"/>
    <w:rsid w:val="0041712C"/>
    <w:rsid w:val="00417A2F"/>
    <w:rsid w:val="00417A4A"/>
    <w:rsid w:val="00417C0F"/>
    <w:rsid w:val="0042035C"/>
    <w:rsid w:val="0042047F"/>
    <w:rsid w:val="00420517"/>
    <w:rsid w:val="004205ED"/>
    <w:rsid w:val="0042071F"/>
    <w:rsid w:val="00420829"/>
    <w:rsid w:val="00420AA6"/>
    <w:rsid w:val="00420B6C"/>
    <w:rsid w:val="00420B9F"/>
    <w:rsid w:val="00420FC0"/>
    <w:rsid w:val="0042192C"/>
    <w:rsid w:val="00421D9D"/>
    <w:rsid w:val="00422260"/>
    <w:rsid w:val="004224A1"/>
    <w:rsid w:val="004225BF"/>
    <w:rsid w:val="00422EAE"/>
    <w:rsid w:val="004237FE"/>
    <w:rsid w:val="00423D13"/>
    <w:rsid w:val="0042413F"/>
    <w:rsid w:val="00424370"/>
    <w:rsid w:val="00424BBF"/>
    <w:rsid w:val="00424CA8"/>
    <w:rsid w:val="00424EB3"/>
    <w:rsid w:val="004251EB"/>
    <w:rsid w:val="00425B55"/>
    <w:rsid w:val="00425EF3"/>
    <w:rsid w:val="00426573"/>
    <w:rsid w:val="00426784"/>
    <w:rsid w:val="00426939"/>
    <w:rsid w:val="00427FAD"/>
    <w:rsid w:val="00430CB8"/>
    <w:rsid w:val="00431165"/>
    <w:rsid w:val="004319F8"/>
    <w:rsid w:val="00431CF2"/>
    <w:rsid w:val="00431E55"/>
    <w:rsid w:val="004321F6"/>
    <w:rsid w:val="0043294F"/>
    <w:rsid w:val="00432C5F"/>
    <w:rsid w:val="00433044"/>
    <w:rsid w:val="004332D5"/>
    <w:rsid w:val="00433764"/>
    <w:rsid w:val="00434088"/>
    <w:rsid w:val="00434221"/>
    <w:rsid w:val="00434DB4"/>
    <w:rsid w:val="00434E61"/>
    <w:rsid w:val="00434ED9"/>
    <w:rsid w:val="0043514B"/>
    <w:rsid w:val="00435175"/>
    <w:rsid w:val="00435E82"/>
    <w:rsid w:val="00435FF0"/>
    <w:rsid w:val="004368BE"/>
    <w:rsid w:val="00436CE5"/>
    <w:rsid w:val="00436E1F"/>
    <w:rsid w:val="0043712A"/>
    <w:rsid w:val="0043712F"/>
    <w:rsid w:val="004375B9"/>
    <w:rsid w:val="004375E0"/>
    <w:rsid w:val="004379FE"/>
    <w:rsid w:val="00440506"/>
    <w:rsid w:val="00441379"/>
    <w:rsid w:val="004420BB"/>
    <w:rsid w:val="00442662"/>
    <w:rsid w:val="004426ED"/>
    <w:rsid w:val="004428D0"/>
    <w:rsid w:val="004429A3"/>
    <w:rsid w:val="00442C5D"/>
    <w:rsid w:val="00442E52"/>
    <w:rsid w:val="00443FFD"/>
    <w:rsid w:val="00444152"/>
    <w:rsid w:val="00444185"/>
    <w:rsid w:val="004442FC"/>
    <w:rsid w:val="00444361"/>
    <w:rsid w:val="004443A7"/>
    <w:rsid w:val="0044442C"/>
    <w:rsid w:val="00444B88"/>
    <w:rsid w:val="00444C8F"/>
    <w:rsid w:val="00444CAD"/>
    <w:rsid w:val="004456F2"/>
    <w:rsid w:val="00445941"/>
    <w:rsid w:val="00445A4C"/>
    <w:rsid w:val="00446371"/>
    <w:rsid w:val="004463E5"/>
    <w:rsid w:val="004464EB"/>
    <w:rsid w:val="0044676A"/>
    <w:rsid w:val="00446B3A"/>
    <w:rsid w:val="00446BA5"/>
    <w:rsid w:val="00447190"/>
    <w:rsid w:val="00447230"/>
    <w:rsid w:val="00447BA1"/>
    <w:rsid w:val="00447D26"/>
    <w:rsid w:val="00447DB6"/>
    <w:rsid w:val="00447DFC"/>
    <w:rsid w:val="0045017F"/>
    <w:rsid w:val="00450A23"/>
    <w:rsid w:val="00451548"/>
    <w:rsid w:val="004519DD"/>
    <w:rsid w:val="00452390"/>
    <w:rsid w:val="004527E1"/>
    <w:rsid w:val="00453F37"/>
    <w:rsid w:val="004547B3"/>
    <w:rsid w:val="00454BE1"/>
    <w:rsid w:val="004553C6"/>
    <w:rsid w:val="00455BB9"/>
    <w:rsid w:val="00455D45"/>
    <w:rsid w:val="0045601C"/>
    <w:rsid w:val="00456791"/>
    <w:rsid w:val="00456E26"/>
    <w:rsid w:val="0045714A"/>
    <w:rsid w:val="0045744D"/>
    <w:rsid w:val="0045771A"/>
    <w:rsid w:val="004577D4"/>
    <w:rsid w:val="0046156D"/>
    <w:rsid w:val="0046162F"/>
    <w:rsid w:val="004628F1"/>
    <w:rsid w:val="00462B0D"/>
    <w:rsid w:val="00463196"/>
    <w:rsid w:val="004638A6"/>
    <w:rsid w:val="00463ACD"/>
    <w:rsid w:val="00463ED5"/>
    <w:rsid w:val="004642CA"/>
    <w:rsid w:val="004643F1"/>
    <w:rsid w:val="0046448E"/>
    <w:rsid w:val="00464525"/>
    <w:rsid w:val="00464595"/>
    <w:rsid w:val="00464658"/>
    <w:rsid w:val="004649D1"/>
    <w:rsid w:val="00464F5F"/>
    <w:rsid w:val="004657B5"/>
    <w:rsid w:val="004658B5"/>
    <w:rsid w:val="00466429"/>
    <w:rsid w:val="004664AA"/>
    <w:rsid w:val="00466504"/>
    <w:rsid w:val="004667ED"/>
    <w:rsid w:val="00466F7D"/>
    <w:rsid w:val="00466FCD"/>
    <w:rsid w:val="004670E8"/>
    <w:rsid w:val="004676A3"/>
    <w:rsid w:val="00467B01"/>
    <w:rsid w:val="00467C6E"/>
    <w:rsid w:val="00467DE0"/>
    <w:rsid w:val="00467F82"/>
    <w:rsid w:val="004700AF"/>
    <w:rsid w:val="004705B1"/>
    <w:rsid w:val="00470B8A"/>
    <w:rsid w:val="00470B8E"/>
    <w:rsid w:val="00470C57"/>
    <w:rsid w:val="00470FF3"/>
    <w:rsid w:val="004712BB"/>
    <w:rsid w:val="004717B4"/>
    <w:rsid w:val="00471A92"/>
    <w:rsid w:val="00471EA5"/>
    <w:rsid w:val="00471F39"/>
    <w:rsid w:val="00471FFD"/>
    <w:rsid w:val="004724B6"/>
    <w:rsid w:val="004728BE"/>
    <w:rsid w:val="00472A79"/>
    <w:rsid w:val="00472BBA"/>
    <w:rsid w:val="00473F19"/>
    <w:rsid w:val="00474068"/>
    <w:rsid w:val="0047468E"/>
    <w:rsid w:val="00474F6F"/>
    <w:rsid w:val="004753C5"/>
    <w:rsid w:val="004754E4"/>
    <w:rsid w:val="00475E22"/>
    <w:rsid w:val="00475ECE"/>
    <w:rsid w:val="0047640F"/>
    <w:rsid w:val="00476562"/>
    <w:rsid w:val="004766CB"/>
    <w:rsid w:val="004771E7"/>
    <w:rsid w:val="00477459"/>
    <w:rsid w:val="00477BE5"/>
    <w:rsid w:val="00477F3B"/>
    <w:rsid w:val="00480448"/>
    <w:rsid w:val="0048088E"/>
    <w:rsid w:val="00480F2B"/>
    <w:rsid w:val="0048118E"/>
    <w:rsid w:val="004815B2"/>
    <w:rsid w:val="00481F54"/>
    <w:rsid w:val="00482720"/>
    <w:rsid w:val="00482B60"/>
    <w:rsid w:val="00482EC1"/>
    <w:rsid w:val="004835E7"/>
    <w:rsid w:val="004836C0"/>
    <w:rsid w:val="0048381A"/>
    <w:rsid w:val="00483BB2"/>
    <w:rsid w:val="00483C44"/>
    <w:rsid w:val="00483EB0"/>
    <w:rsid w:val="0048409C"/>
    <w:rsid w:val="004850FC"/>
    <w:rsid w:val="00485549"/>
    <w:rsid w:val="004855A5"/>
    <w:rsid w:val="00485743"/>
    <w:rsid w:val="004859E1"/>
    <w:rsid w:val="00485AB1"/>
    <w:rsid w:val="00485DA1"/>
    <w:rsid w:val="00485E0A"/>
    <w:rsid w:val="00485E22"/>
    <w:rsid w:val="00485F18"/>
    <w:rsid w:val="0048647A"/>
    <w:rsid w:val="0048660E"/>
    <w:rsid w:val="004867E2"/>
    <w:rsid w:val="004867EA"/>
    <w:rsid w:val="00486900"/>
    <w:rsid w:val="0048690B"/>
    <w:rsid w:val="004870C7"/>
    <w:rsid w:val="004873A6"/>
    <w:rsid w:val="0048767A"/>
    <w:rsid w:val="0048774C"/>
    <w:rsid w:val="0048798F"/>
    <w:rsid w:val="00487D1B"/>
    <w:rsid w:val="0049060F"/>
    <w:rsid w:val="00490B17"/>
    <w:rsid w:val="00490B6B"/>
    <w:rsid w:val="00491B3A"/>
    <w:rsid w:val="00491E39"/>
    <w:rsid w:val="00492B07"/>
    <w:rsid w:val="00492CFD"/>
    <w:rsid w:val="004936F4"/>
    <w:rsid w:val="00493BAD"/>
    <w:rsid w:val="00493C5A"/>
    <w:rsid w:val="00493F65"/>
    <w:rsid w:val="00494207"/>
    <w:rsid w:val="00494DD5"/>
    <w:rsid w:val="004955A8"/>
    <w:rsid w:val="00495656"/>
    <w:rsid w:val="00495AEF"/>
    <w:rsid w:val="00495C2C"/>
    <w:rsid w:val="004962D2"/>
    <w:rsid w:val="00496856"/>
    <w:rsid w:val="00496BEC"/>
    <w:rsid w:val="00497170"/>
    <w:rsid w:val="004971E3"/>
    <w:rsid w:val="0049776F"/>
    <w:rsid w:val="00497FBF"/>
    <w:rsid w:val="004A01B8"/>
    <w:rsid w:val="004A0DA1"/>
    <w:rsid w:val="004A0FBE"/>
    <w:rsid w:val="004A10A6"/>
    <w:rsid w:val="004A13D6"/>
    <w:rsid w:val="004A1832"/>
    <w:rsid w:val="004A1CEA"/>
    <w:rsid w:val="004A1FF2"/>
    <w:rsid w:val="004A2243"/>
    <w:rsid w:val="004A29B3"/>
    <w:rsid w:val="004A3032"/>
    <w:rsid w:val="004A3213"/>
    <w:rsid w:val="004A3E2A"/>
    <w:rsid w:val="004A4967"/>
    <w:rsid w:val="004A4C2C"/>
    <w:rsid w:val="004A5275"/>
    <w:rsid w:val="004A52E9"/>
    <w:rsid w:val="004A55B5"/>
    <w:rsid w:val="004A5649"/>
    <w:rsid w:val="004A594E"/>
    <w:rsid w:val="004A6040"/>
    <w:rsid w:val="004A6051"/>
    <w:rsid w:val="004A61E6"/>
    <w:rsid w:val="004A6597"/>
    <w:rsid w:val="004A67C3"/>
    <w:rsid w:val="004A7668"/>
    <w:rsid w:val="004A77E3"/>
    <w:rsid w:val="004A7848"/>
    <w:rsid w:val="004A793B"/>
    <w:rsid w:val="004A7ADA"/>
    <w:rsid w:val="004A7B7E"/>
    <w:rsid w:val="004A7EF7"/>
    <w:rsid w:val="004B0B7E"/>
    <w:rsid w:val="004B0CB2"/>
    <w:rsid w:val="004B0DCC"/>
    <w:rsid w:val="004B1042"/>
    <w:rsid w:val="004B1399"/>
    <w:rsid w:val="004B17DC"/>
    <w:rsid w:val="004B1A46"/>
    <w:rsid w:val="004B1CB4"/>
    <w:rsid w:val="004B1E2F"/>
    <w:rsid w:val="004B1E77"/>
    <w:rsid w:val="004B1E7A"/>
    <w:rsid w:val="004B207A"/>
    <w:rsid w:val="004B2246"/>
    <w:rsid w:val="004B2569"/>
    <w:rsid w:val="004B2690"/>
    <w:rsid w:val="004B2F18"/>
    <w:rsid w:val="004B3278"/>
    <w:rsid w:val="004B32CE"/>
    <w:rsid w:val="004B3668"/>
    <w:rsid w:val="004B3A1C"/>
    <w:rsid w:val="004B3BED"/>
    <w:rsid w:val="004B3DDB"/>
    <w:rsid w:val="004B3F23"/>
    <w:rsid w:val="004B4465"/>
    <w:rsid w:val="004B44FD"/>
    <w:rsid w:val="004B4AB8"/>
    <w:rsid w:val="004B4B68"/>
    <w:rsid w:val="004B4BEC"/>
    <w:rsid w:val="004B560A"/>
    <w:rsid w:val="004B5CFC"/>
    <w:rsid w:val="004B60CE"/>
    <w:rsid w:val="004B62D9"/>
    <w:rsid w:val="004B6F79"/>
    <w:rsid w:val="004B7073"/>
    <w:rsid w:val="004B774D"/>
    <w:rsid w:val="004B7AF1"/>
    <w:rsid w:val="004C0119"/>
    <w:rsid w:val="004C0156"/>
    <w:rsid w:val="004C0338"/>
    <w:rsid w:val="004C10FD"/>
    <w:rsid w:val="004C16B2"/>
    <w:rsid w:val="004C19DC"/>
    <w:rsid w:val="004C1F1B"/>
    <w:rsid w:val="004C2118"/>
    <w:rsid w:val="004C2AC2"/>
    <w:rsid w:val="004C2E83"/>
    <w:rsid w:val="004C32BB"/>
    <w:rsid w:val="004C39D6"/>
    <w:rsid w:val="004C3B02"/>
    <w:rsid w:val="004C464B"/>
    <w:rsid w:val="004C483F"/>
    <w:rsid w:val="004C4AED"/>
    <w:rsid w:val="004C5796"/>
    <w:rsid w:val="004C5A9A"/>
    <w:rsid w:val="004C5E74"/>
    <w:rsid w:val="004C5FCE"/>
    <w:rsid w:val="004C61AD"/>
    <w:rsid w:val="004C63DD"/>
    <w:rsid w:val="004C6494"/>
    <w:rsid w:val="004C6C8F"/>
    <w:rsid w:val="004C702A"/>
    <w:rsid w:val="004C7396"/>
    <w:rsid w:val="004C7741"/>
    <w:rsid w:val="004C79FC"/>
    <w:rsid w:val="004C7BC1"/>
    <w:rsid w:val="004C7E85"/>
    <w:rsid w:val="004D0511"/>
    <w:rsid w:val="004D0868"/>
    <w:rsid w:val="004D092B"/>
    <w:rsid w:val="004D0942"/>
    <w:rsid w:val="004D09A8"/>
    <w:rsid w:val="004D0AD9"/>
    <w:rsid w:val="004D1EB7"/>
    <w:rsid w:val="004D2196"/>
    <w:rsid w:val="004D2814"/>
    <w:rsid w:val="004D29B7"/>
    <w:rsid w:val="004D2C2D"/>
    <w:rsid w:val="004D30A3"/>
    <w:rsid w:val="004D3203"/>
    <w:rsid w:val="004D3482"/>
    <w:rsid w:val="004D4D61"/>
    <w:rsid w:val="004D592F"/>
    <w:rsid w:val="004D5C35"/>
    <w:rsid w:val="004D6065"/>
    <w:rsid w:val="004D61B4"/>
    <w:rsid w:val="004D661E"/>
    <w:rsid w:val="004D66AE"/>
    <w:rsid w:val="004D66CD"/>
    <w:rsid w:val="004D69B5"/>
    <w:rsid w:val="004D69DF"/>
    <w:rsid w:val="004D6CB5"/>
    <w:rsid w:val="004D6F0A"/>
    <w:rsid w:val="004D7227"/>
    <w:rsid w:val="004D7623"/>
    <w:rsid w:val="004D7B5E"/>
    <w:rsid w:val="004D7D56"/>
    <w:rsid w:val="004D7E40"/>
    <w:rsid w:val="004E0030"/>
    <w:rsid w:val="004E053A"/>
    <w:rsid w:val="004E0ABA"/>
    <w:rsid w:val="004E0DCC"/>
    <w:rsid w:val="004E0E3D"/>
    <w:rsid w:val="004E0E7F"/>
    <w:rsid w:val="004E0EB8"/>
    <w:rsid w:val="004E1119"/>
    <w:rsid w:val="004E14C0"/>
    <w:rsid w:val="004E16AD"/>
    <w:rsid w:val="004E18E9"/>
    <w:rsid w:val="004E1AF3"/>
    <w:rsid w:val="004E276C"/>
    <w:rsid w:val="004E2ADC"/>
    <w:rsid w:val="004E2BD9"/>
    <w:rsid w:val="004E39CA"/>
    <w:rsid w:val="004E39E6"/>
    <w:rsid w:val="004E3C58"/>
    <w:rsid w:val="004E3DD9"/>
    <w:rsid w:val="004E41B7"/>
    <w:rsid w:val="004E428B"/>
    <w:rsid w:val="004E43B2"/>
    <w:rsid w:val="004E4405"/>
    <w:rsid w:val="004E46B7"/>
    <w:rsid w:val="004E4B86"/>
    <w:rsid w:val="004E4FA1"/>
    <w:rsid w:val="004E501A"/>
    <w:rsid w:val="004E5AD4"/>
    <w:rsid w:val="004E5FE7"/>
    <w:rsid w:val="004E6116"/>
    <w:rsid w:val="004E6A47"/>
    <w:rsid w:val="004E6C35"/>
    <w:rsid w:val="004E6F59"/>
    <w:rsid w:val="004E7017"/>
    <w:rsid w:val="004F027B"/>
    <w:rsid w:val="004F05E0"/>
    <w:rsid w:val="004F0D0E"/>
    <w:rsid w:val="004F0D55"/>
    <w:rsid w:val="004F1237"/>
    <w:rsid w:val="004F1585"/>
    <w:rsid w:val="004F190E"/>
    <w:rsid w:val="004F1D02"/>
    <w:rsid w:val="004F2323"/>
    <w:rsid w:val="004F2679"/>
    <w:rsid w:val="004F2F21"/>
    <w:rsid w:val="004F319F"/>
    <w:rsid w:val="004F3A84"/>
    <w:rsid w:val="004F3D49"/>
    <w:rsid w:val="004F3DE5"/>
    <w:rsid w:val="004F402C"/>
    <w:rsid w:val="004F5186"/>
    <w:rsid w:val="004F52D4"/>
    <w:rsid w:val="004F5555"/>
    <w:rsid w:val="004F5668"/>
    <w:rsid w:val="004F56F7"/>
    <w:rsid w:val="004F58D1"/>
    <w:rsid w:val="004F597F"/>
    <w:rsid w:val="004F5B97"/>
    <w:rsid w:val="004F6913"/>
    <w:rsid w:val="004F6BCB"/>
    <w:rsid w:val="004F729B"/>
    <w:rsid w:val="004F7865"/>
    <w:rsid w:val="004F7A35"/>
    <w:rsid w:val="004F7B62"/>
    <w:rsid w:val="004F7E73"/>
    <w:rsid w:val="005006D9"/>
    <w:rsid w:val="00500AEF"/>
    <w:rsid w:val="0050100F"/>
    <w:rsid w:val="005012D3"/>
    <w:rsid w:val="00501504"/>
    <w:rsid w:val="0050174E"/>
    <w:rsid w:val="00501854"/>
    <w:rsid w:val="005018F8"/>
    <w:rsid w:val="00501927"/>
    <w:rsid w:val="00501BBC"/>
    <w:rsid w:val="00501DBD"/>
    <w:rsid w:val="00501F58"/>
    <w:rsid w:val="0050219B"/>
    <w:rsid w:val="0050220E"/>
    <w:rsid w:val="00502243"/>
    <w:rsid w:val="00502283"/>
    <w:rsid w:val="00502527"/>
    <w:rsid w:val="00502D60"/>
    <w:rsid w:val="00502F99"/>
    <w:rsid w:val="00503634"/>
    <w:rsid w:val="00503DCA"/>
    <w:rsid w:val="00503F17"/>
    <w:rsid w:val="00503F3A"/>
    <w:rsid w:val="0050438F"/>
    <w:rsid w:val="00504A42"/>
    <w:rsid w:val="00504AB7"/>
    <w:rsid w:val="0050564D"/>
    <w:rsid w:val="00505977"/>
    <w:rsid w:val="00505C31"/>
    <w:rsid w:val="00506082"/>
    <w:rsid w:val="005067F7"/>
    <w:rsid w:val="00506928"/>
    <w:rsid w:val="005077EF"/>
    <w:rsid w:val="00507C0D"/>
    <w:rsid w:val="00507CDC"/>
    <w:rsid w:val="00507D24"/>
    <w:rsid w:val="00510302"/>
    <w:rsid w:val="0051044C"/>
    <w:rsid w:val="005109D4"/>
    <w:rsid w:val="00510C83"/>
    <w:rsid w:val="00511AD5"/>
    <w:rsid w:val="00511D70"/>
    <w:rsid w:val="00511DC7"/>
    <w:rsid w:val="00512303"/>
    <w:rsid w:val="005123FB"/>
    <w:rsid w:val="00512C31"/>
    <w:rsid w:val="0051359E"/>
    <w:rsid w:val="005138EE"/>
    <w:rsid w:val="00513AE1"/>
    <w:rsid w:val="00513CF3"/>
    <w:rsid w:val="005142C5"/>
    <w:rsid w:val="00514432"/>
    <w:rsid w:val="00514529"/>
    <w:rsid w:val="005148E9"/>
    <w:rsid w:val="00514ABE"/>
    <w:rsid w:val="00514BB6"/>
    <w:rsid w:val="0051501B"/>
    <w:rsid w:val="0051503F"/>
    <w:rsid w:val="00515203"/>
    <w:rsid w:val="005152B5"/>
    <w:rsid w:val="00515886"/>
    <w:rsid w:val="00515A7D"/>
    <w:rsid w:val="00515BAC"/>
    <w:rsid w:val="00515E4B"/>
    <w:rsid w:val="00516F61"/>
    <w:rsid w:val="005176FF"/>
    <w:rsid w:val="00520077"/>
    <w:rsid w:val="00520109"/>
    <w:rsid w:val="005203AD"/>
    <w:rsid w:val="005207A5"/>
    <w:rsid w:val="00520D99"/>
    <w:rsid w:val="00520EA3"/>
    <w:rsid w:val="0052123C"/>
    <w:rsid w:val="00521319"/>
    <w:rsid w:val="005214A1"/>
    <w:rsid w:val="0052199E"/>
    <w:rsid w:val="005222FF"/>
    <w:rsid w:val="00522622"/>
    <w:rsid w:val="00522BA0"/>
    <w:rsid w:val="00522BC8"/>
    <w:rsid w:val="00522C53"/>
    <w:rsid w:val="00522D4D"/>
    <w:rsid w:val="00523316"/>
    <w:rsid w:val="00523B55"/>
    <w:rsid w:val="00523B99"/>
    <w:rsid w:val="00523C28"/>
    <w:rsid w:val="00523E3B"/>
    <w:rsid w:val="00523EF4"/>
    <w:rsid w:val="00523F41"/>
    <w:rsid w:val="0052474E"/>
    <w:rsid w:val="00524A6E"/>
    <w:rsid w:val="00525042"/>
    <w:rsid w:val="0052636B"/>
    <w:rsid w:val="00526924"/>
    <w:rsid w:val="00526B87"/>
    <w:rsid w:val="00527627"/>
    <w:rsid w:val="00527DF3"/>
    <w:rsid w:val="00530179"/>
    <w:rsid w:val="00530866"/>
    <w:rsid w:val="00530F51"/>
    <w:rsid w:val="00530FD8"/>
    <w:rsid w:val="0053176B"/>
    <w:rsid w:val="005317C4"/>
    <w:rsid w:val="00532279"/>
    <w:rsid w:val="00532973"/>
    <w:rsid w:val="00532B39"/>
    <w:rsid w:val="00532EF5"/>
    <w:rsid w:val="0053321F"/>
    <w:rsid w:val="005332D9"/>
    <w:rsid w:val="005333F6"/>
    <w:rsid w:val="00533E5B"/>
    <w:rsid w:val="00534032"/>
    <w:rsid w:val="005341B3"/>
    <w:rsid w:val="005352CD"/>
    <w:rsid w:val="00535CD9"/>
    <w:rsid w:val="0053645B"/>
    <w:rsid w:val="00536DA6"/>
    <w:rsid w:val="00536E4A"/>
    <w:rsid w:val="00536F42"/>
    <w:rsid w:val="0053714E"/>
    <w:rsid w:val="00537182"/>
    <w:rsid w:val="005371A6"/>
    <w:rsid w:val="00537B58"/>
    <w:rsid w:val="00537DE7"/>
    <w:rsid w:val="00540B93"/>
    <w:rsid w:val="00540D6C"/>
    <w:rsid w:val="00540D9F"/>
    <w:rsid w:val="0054140E"/>
    <w:rsid w:val="0054174D"/>
    <w:rsid w:val="00541C44"/>
    <w:rsid w:val="00541EDD"/>
    <w:rsid w:val="00541FC1"/>
    <w:rsid w:val="005423E5"/>
    <w:rsid w:val="00542743"/>
    <w:rsid w:val="00542C2D"/>
    <w:rsid w:val="00542D02"/>
    <w:rsid w:val="005433C4"/>
    <w:rsid w:val="005436AA"/>
    <w:rsid w:val="005436EA"/>
    <w:rsid w:val="005437ED"/>
    <w:rsid w:val="005438F5"/>
    <w:rsid w:val="0054390A"/>
    <w:rsid w:val="00544307"/>
    <w:rsid w:val="0054440A"/>
    <w:rsid w:val="00544471"/>
    <w:rsid w:val="005444F0"/>
    <w:rsid w:val="005446AF"/>
    <w:rsid w:val="00544872"/>
    <w:rsid w:val="005449BC"/>
    <w:rsid w:val="00544A59"/>
    <w:rsid w:val="00544E6A"/>
    <w:rsid w:val="00544EA5"/>
    <w:rsid w:val="00545136"/>
    <w:rsid w:val="00545171"/>
    <w:rsid w:val="005455E6"/>
    <w:rsid w:val="0054570C"/>
    <w:rsid w:val="0054574C"/>
    <w:rsid w:val="005457A2"/>
    <w:rsid w:val="00545886"/>
    <w:rsid w:val="00545918"/>
    <w:rsid w:val="00546366"/>
    <w:rsid w:val="005467C7"/>
    <w:rsid w:val="005467EC"/>
    <w:rsid w:val="0054717E"/>
    <w:rsid w:val="0054772D"/>
    <w:rsid w:val="0054786A"/>
    <w:rsid w:val="005478BD"/>
    <w:rsid w:val="005478D4"/>
    <w:rsid w:val="005479E3"/>
    <w:rsid w:val="00547DEA"/>
    <w:rsid w:val="00550439"/>
    <w:rsid w:val="00550471"/>
    <w:rsid w:val="005508AB"/>
    <w:rsid w:val="00550B59"/>
    <w:rsid w:val="00550DA7"/>
    <w:rsid w:val="00550DF7"/>
    <w:rsid w:val="005514CF"/>
    <w:rsid w:val="00551960"/>
    <w:rsid w:val="00551985"/>
    <w:rsid w:val="00551AE9"/>
    <w:rsid w:val="00551C3C"/>
    <w:rsid w:val="005520DB"/>
    <w:rsid w:val="00552BD3"/>
    <w:rsid w:val="00552C42"/>
    <w:rsid w:val="005532A0"/>
    <w:rsid w:val="0055347D"/>
    <w:rsid w:val="005539F1"/>
    <w:rsid w:val="00553A0D"/>
    <w:rsid w:val="00553FD4"/>
    <w:rsid w:val="0055418F"/>
    <w:rsid w:val="005542A9"/>
    <w:rsid w:val="00554774"/>
    <w:rsid w:val="005548E8"/>
    <w:rsid w:val="00554CC2"/>
    <w:rsid w:val="00554F44"/>
    <w:rsid w:val="00555033"/>
    <w:rsid w:val="00555109"/>
    <w:rsid w:val="00555428"/>
    <w:rsid w:val="00555621"/>
    <w:rsid w:val="0055598B"/>
    <w:rsid w:val="005559B6"/>
    <w:rsid w:val="00555A5B"/>
    <w:rsid w:val="00555ED9"/>
    <w:rsid w:val="005561BB"/>
    <w:rsid w:val="00556B35"/>
    <w:rsid w:val="00556ECE"/>
    <w:rsid w:val="00557161"/>
    <w:rsid w:val="005571B2"/>
    <w:rsid w:val="0055741A"/>
    <w:rsid w:val="005575E6"/>
    <w:rsid w:val="005600E7"/>
    <w:rsid w:val="00560633"/>
    <w:rsid w:val="0056082A"/>
    <w:rsid w:val="0056088E"/>
    <w:rsid w:val="00560C08"/>
    <w:rsid w:val="005611B7"/>
    <w:rsid w:val="00561230"/>
    <w:rsid w:val="005614B8"/>
    <w:rsid w:val="005614C9"/>
    <w:rsid w:val="005618D4"/>
    <w:rsid w:val="00561A14"/>
    <w:rsid w:val="00561A62"/>
    <w:rsid w:val="00561E4B"/>
    <w:rsid w:val="0056231D"/>
    <w:rsid w:val="005631C5"/>
    <w:rsid w:val="005632A0"/>
    <w:rsid w:val="0056403B"/>
    <w:rsid w:val="0056446E"/>
    <w:rsid w:val="00564595"/>
    <w:rsid w:val="00564867"/>
    <w:rsid w:val="0056488E"/>
    <w:rsid w:val="00564DBB"/>
    <w:rsid w:val="00565085"/>
    <w:rsid w:val="005650AC"/>
    <w:rsid w:val="005652A1"/>
    <w:rsid w:val="00565476"/>
    <w:rsid w:val="005659E9"/>
    <w:rsid w:val="00565ACE"/>
    <w:rsid w:val="00565C79"/>
    <w:rsid w:val="00565DF0"/>
    <w:rsid w:val="0056613A"/>
    <w:rsid w:val="0056696F"/>
    <w:rsid w:val="00567133"/>
    <w:rsid w:val="005702D3"/>
    <w:rsid w:val="005713E5"/>
    <w:rsid w:val="00572073"/>
    <w:rsid w:val="00572269"/>
    <w:rsid w:val="0057244A"/>
    <w:rsid w:val="00572AB6"/>
    <w:rsid w:val="00572C37"/>
    <w:rsid w:val="00572D98"/>
    <w:rsid w:val="00572F26"/>
    <w:rsid w:val="00573265"/>
    <w:rsid w:val="00573620"/>
    <w:rsid w:val="00573878"/>
    <w:rsid w:val="0057415F"/>
    <w:rsid w:val="005744A8"/>
    <w:rsid w:val="00574773"/>
    <w:rsid w:val="0057487B"/>
    <w:rsid w:val="0057503A"/>
    <w:rsid w:val="005750C5"/>
    <w:rsid w:val="005752DE"/>
    <w:rsid w:val="00575D60"/>
    <w:rsid w:val="00575D8D"/>
    <w:rsid w:val="00575DD0"/>
    <w:rsid w:val="00575E20"/>
    <w:rsid w:val="00576757"/>
    <w:rsid w:val="0057675B"/>
    <w:rsid w:val="00576972"/>
    <w:rsid w:val="00576B15"/>
    <w:rsid w:val="00576E45"/>
    <w:rsid w:val="00577002"/>
    <w:rsid w:val="00577026"/>
    <w:rsid w:val="00577248"/>
    <w:rsid w:val="00577299"/>
    <w:rsid w:val="00577418"/>
    <w:rsid w:val="00580D6D"/>
    <w:rsid w:val="00580E88"/>
    <w:rsid w:val="00580E9B"/>
    <w:rsid w:val="00581521"/>
    <w:rsid w:val="00581688"/>
    <w:rsid w:val="00581CBA"/>
    <w:rsid w:val="00582296"/>
    <w:rsid w:val="005828F2"/>
    <w:rsid w:val="00582963"/>
    <w:rsid w:val="00582AFA"/>
    <w:rsid w:val="00583017"/>
    <w:rsid w:val="00583688"/>
    <w:rsid w:val="00583699"/>
    <w:rsid w:val="0058383D"/>
    <w:rsid w:val="0058411F"/>
    <w:rsid w:val="0058466E"/>
    <w:rsid w:val="005850B8"/>
    <w:rsid w:val="005852C1"/>
    <w:rsid w:val="005852EC"/>
    <w:rsid w:val="0058537F"/>
    <w:rsid w:val="00585C6C"/>
    <w:rsid w:val="00585CDD"/>
    <w:rsid w:val="0058610F"/>
    <w:rsid w:val="00586350"/>
    <w:rsid w:val="0058667D"/>
    <w:rsid w:val="00586755"/>
    <w:rsid w:val="00586874"/>
    <w:rsid w:val="005869DB"/>
    <w:rsid w:val="00586D82"/>
    <w:rsid w:val="00587058"/>
    <w:rsid w:val="00587659"/>
    <w:rsid w:val="00587A71"/>
    <w:rsid w:val="0059015F"/>
    <w:rsid w:val="00590D39"/>
    <w:rsid w:val="00590E77"/>
    <w:rsid w:val="005918A8"/>
    <w:rsid w:val="00591957"/>
    <w:rsid w:val="00591C70"/>
    <w:rsid w:val="00592EA0"/>
    <w:rsid w:val="0059344D"/>
    <w:rsid w:val="00593C24"/>
    <w:rsid w:val="005940D2"/>
    <w:rsid w:val="005944CC"/>
    <w:rsid w:val="00594520"/>
    <w:rsid w:val="00594770"/>
    <w:rsid w:val="00594F94"/>
    <w:rsid w:val="005950C1"/>
    <w:rsid w:val="005955AB"/>
    <w:rsid w:val="005960DB"/>
    <w:rsid w:val="00596E65"/>
    <w:rsid w:val="00597B2F"/>
    <w:rsid w:val="00597BF9"/>
    <w:rsid w:val="00597CA8"/>
    <w:rsid w:val="00597E66"/>
    <w:rsid w:val="005A0356"/>
    <w:rsid w:val="005A0756"/>
    <w:rsid w:val="005A0BBE"/>
    <w:rsid w:val="005A0C11"/>
    <w:rsid w:val="005A0D8B"/>
    <w:rsid w:val="005A0FB9"/>
    <w:rsid w:val="005A101A"/>
    <w:rsid w:val="005A1163"/>
    <w:rsid w:val="005A13FE"/>
    <w:rsid w:val="005A178F"/>
    <w:rsid w:val="005A18E4"/>
    <w:rsid w:val="005A1B11"/>
    <w:rsid w:val="005A1B6B"/>
    <w:rsid w:val="005A20ED"/>
    <w:rsid w:val="005A2399"/>
    <w:rsid w:val="005A25D5"/>
    <w:rsid w:val="005A2798"/>
    <w:rsid w:val="005A2B99"/>
    <w:rsid w:val="005A309A"/>
    <w:rsid w:val="005A3444"/>
    <w:rsid w:val="005A373D"/>
    <w:rsid w:val="005A37BA"/>
    <w:rsid w:val="005A467B"/>
    <w:rsid w:val="005A482E"/>
    <w:rsid w:val="005A4DF4"/>
    <w:rsid w:val="005A511C"/>
    <w:rsid w:val="005A516B"/>
    <w:rsid w:val="005A5194"/>
    <w:rsid w:val="005A5371"/>
    <w:rsid w:val="005A5C27"/>
    <w:rsid w:val="005A5CBD"/>
    <w:rsid w:val="005A61AE"/>
    <w:rsid w:val="005A6583"/>
    <w:rsid w:val="005A674D"/>
    <w:rsid w:val="005A6D59"/>
    <w:rsid w:val="005A6E0B"/>
    <w:rsid w:val="005B0342"/>
    <w:rsid w:val="005B04E0"/>
    <w:rsid w:val="005B0B58"/>
    <w:rsid w:val="005B0E25"/>
    <w:rsid w:val="005B0E51"/>
    <w:rsid w:val="005B176A"/>
    <w:rsid w:val="005B17FD"/>
    <w:rsid w:val="005B1FD4"/>
    <w:rsid w:val="005B2163"/>
    <w:rsid w:val="005B23C2"/>
    <w:rsid w:val="005B2517"/>
    <w:rsid w:val="005B2663"/>
    <w:rsid w:val="005B2C77"/>
    <w:rsid w:val="005B3951"/>
    <w:rsid w:val="005B3F4D"/>
    <w:rsid w:val="005B4B9F"/>
    <w:rsid w:val="005B4E53"/>
    <w:rsid w:val="005B55D8"/>
    <w:rsid w:val="005B56E8"/>
    <w:rsid w:val="005B5857"/>
    <w:rsid w:val="005B5B6B"/>
    <w:rsid w:val="005B6061"/>
    <w:rsid w:val="005B64EA"/>
    <w:rsid w:val="005B66FA"/>
    <w:rsid w:val="005B68C9"/>
    <w:rsid w:val="005B72CF"/>
    <w:rsid w:val="005B732D"/>
    <w:rsid w:val="005B7E8E"/>
    <w:rsid w:val="005C04A2"/>
    <w:rsid w:val="005C05FF"/>
    <w:rsid w:val="005C0656"/>
    <w:rsid w:val="005C087E"/>
    <w:rsid w:val="005C0A58"/>
    <w:rsid w:val="005C1625"/>
    <w:rsid w:val="005C19C4"/>
    <w:rsid w:val="005C1B83"/>
    <w:rsid w:val="005C25FF"/>
    <w:rsid w:val="005C2661"/>
    <w:rsid w:val="005C2A77"/>
    <w:rsid w:val="005C2D55"/>
    <w:rsid w:val="005C3011"/>
    <w:rsid w:val="005C30FD"/>
    <w:rsid w:val="005C3135"/>
    <w:rsid w:val="005C3144"/>
    <w:rsid w:val="005C32F8"/>
    <w:rsid w:val="005C346B"/>
    <w:rsid w:val="005C39D2"/>
    <w:rsid w:val="005C3F5C"/>
    <w:rsid w:val="005C4515"/>
    <w:rsid w:val="005C4541"/>
    <w:rsid w:val="005C4601"/>
    <w:rsid w:val="005C533D"/>
    <w:rsid w:val="005C562C"/>
    <w:rsid w:val="005C58CB"/>
    <w:rsid w:val="005C5ABC"/>
    <w:rsid w:val="005C6752"/>
    <w:rsid w:val="005C6ADF"/>
    <w:rsid w:val="005C7877"/>
    <w:rsid w:val="005C7A3F"/>
    <w:rsid w:val="005D02A3"/>
    <w:rsid w:val="005D044D"/>
    <w:rsid w:val="005D05A6"/>
    <w:rsid w:val="005D06E6"/>
    <w:rsid w:val="005D0ABD"/>
    <w:rsid w:val="005D1793"/>
    <w:rsid w:val="005D18AD"/>
    <w:rsid w:val="005D26B4"/>
    <w:rsid w:val="005D29A2"/>
    <w:rsid w:val="005D2ABA"/>
    <w:rsid w:val="005D2C9C"/>
    <w:rsid w:val="005D2E1F"/>
    <w:rsid w:val="005D2F7B"/>
    <w:rsid w:val="005D3094"/>
    <w:rsid w:val="005D330D"/>
    <w:rsid w:val="005D4114"/>
    <w:rsid w:val="005D418D"/>
    <w:rsid w:val="005D4BE9"/>
    <w:rsid w:val="005D50BB"/>
    <w:rsid w:val="005D553A"/>
    <w:rsid w:val="005D5A2D"/>
    <w:rsid w:val="005D5E47"/>
    <w:rsid w:val="005D632E"/>
    <w:rsid w:val="005D662B"/>
    <w:rsid w:val="005D67F9"/>
    <w:rsid w:val="005D6E03"/>
    <w:rsid w:val="005D72DB"/>
    <w:rsid w:val="005D741F"/>
    <w:rsid w:val="005D78FE"/>
    <w:rsid w:val="005D7A5C"/>
    <w:rsid w:val="005E02A0"/>
    <w:rsid w:val="005E0C9B"/>
    <w:rsid w:val="005E1995"/>
    <w:rsid w:val="005E2110"/>
    <w:rsid w:val="005E2F69"/>
    <w:rsid w:val="005E3514"/>
    <w:rsid w:val="005E3543"/>
    <w:rsid w:val="005E3DFC"/>
    <w:rsid w:val="005E4177"/>
    <w:rsid w:val="005E4290"/>
    <w:rsid w:val="005E4B50"/>
    <w:rsid w:val="005E4C59"/>
    <w:rsid w:val="005E5441"/>
    <w:rsid w:val="005E550F"/>
    <w:rsid w:val="005E5B74"/>
    <w:rsid w:val="005E610B"/>
    <w:rsid w:val="005E61D0"/>
    <w:rsid w:val="005E6547"/>
    <w:rsid w:val="005E6760"/>
    <w:rsid w:val="005E6CBC"/>
    <w:rsid w:val="005E7177"/>
    <w:rsid w:val="005E72FF"/>
    <w:rsid w:val="005E73C0"/>
    <w:rsid w:val="005F0528"/>
    <w:rsid w:val="005F07ED"/>
    <w:rsid w:val="005F0CAE"/>
    <w:rsid w:val="005F116F"/>
    <w:rsid w:val="005F17D2"/>
    <w:rsid w:val="005F1D84"/>
    <w:rsid w:val="005F2706"/>
    <w:rsid w:val="005F300A"/>
    <w:rsid w:val="005F3664"/>
    <w:rsid w:val="005F3B88"/>
    <w:rsid w:val="005F4299"/>
    <w:rsid w:val="005F43B6"/>
    <w:rsid w:val="005F461E"/>
    <w:rsid w:val="005F47F4"/>
    <w:rsid w:val="005F49B3"/>
    <w:rsid w:val="005F57FF"/>
    <w:rsid w:val="005F5A2F"/>
    <w:rsid w:val="005F6A8F"/>
    <w:rsid w:val="005F6BB7"/>
    <w:rsid w:val="005F7427"/>
    <w:rsid w:val="005F7588"/>
    <w:rsid w:val="005F79AB"/>
    <w:rsid w:val="005F7A34"/>
    <w:rsid w:val="0060048B"/>
    <w:rsid w:val="006005BB"/>
    <w:rsid w:val="006007B9"/>
    <w:rsid w:val="00600DFE"/>
    <w:rsid w:val="006018C1"/>
    <w:rsid w:val="006019F9"/>
    <w:rsid w:val="00602180"/>
    <w:rsid w:val="00602804"/>
    <w:rsid w:val="006028D3"/>
    <w:rsid w:val="00602968"/>
    <w:rsid w:val="00602BA4"/>
    <w:rsid w:val="006032EE"/>
    <w:rsid w:val="006034D0"/>
    <w:rsid w:val="006035ED"/>
    <w:rsid w:val="00603688"/>
    <w:rsid w:val="00603A30"/>
    <w:rsid w:val="00603DB9"/>
    <w:rsid w:val="00603E81"/>
    <w:rsid w:val="00605824"/>
    <w:rsid w:val="0060598C"/>
    <w:rsid w:val="00605A6C"/>
    <w:rsid w:val="00605C3F"/>
    <w:rsid w:val="00605E80"/>
    <w:rsid w:val="0060643A"/>
    <w:rsid w:val="006064E9"/>
    <w:rsid w:val="006067A9"/>
    <w:rsid w:val="0060693A"/>
    <w:rsid w:val="00606CE6"/>
    <w:rsid w:val="00606F02"/>
    <w:rsid w:val="00606FBA"/>
    <w:rsid w:val="00607239"/>
    <w:rsid w:val="00607669"/>
    <w:rsid w:val="006076F4"/>
    <w:rsid w:val="00607AFD"/>
    <w:rsid w:val="00610214"/>
    <w:rsid w:val="006102E1"/>
    <w:rsid w:val="00610942"/>
    <w:rsid w:val="00610D4D"/>
    <w:rsid w:val="00610D69"/>
    <w:rsid w:val="006113E5"/>
    <w:rsid w:val="006114C7"/>
    <w:rsid w:val="0061185E"/>
    <w:rsid w:val="006119C8"/>
    <w:rsid w:val="00611B12"/>
    <w:rsid w:val="00611D31"/>
    <w:rsid w:val="00612071"/>
    <w:rsid w:val="00612286"/>
    <w:rsid w:val="0061291D"/>
    <w:rsid w:val="006129B0"/>
    <w:rsid w:val="00612F97"/>
    <w:rsid w:val="006133F6"/>
    <w:rsid w:val="0061345D"/>
    <w:rsid w:val="006136B5"/>
    <w:rsid w:val="00614E5A"/>
    <w:rsid w:val="00615001"/>
    <w:rsid w:val="00615198"/>
    <w:rsid w:val="00615343"/>
    <w:rsid w:val="0061549B"/>
    <w:rsid w:val="006154A4"/>
    <w:rsid w:val="00615752"/>
    <w:rsid w:val="00615770"/>
    <w:rsid w:val="00615AB4"/>
    <w:rsid w:val="00615AE5"/>
    <w:rsid w:val="00615E9A"/>
    <w:rsid w:val="00616762"/>
    <w:rsid w:val="00616802"/>
    <w:rsid w:val="00616B70"/>
    <w:rsid w:val="00616C38"/>
    <w:rsid w:val="00616D5A"/>
    <w:rsid w:val="006170BC"/>
    <w:rsid w:val="00617957"/>
    <w:rsid w:val="00617993"/>
    <w:rsid w:val="00617A36"/>
    <w:rsid w:val="00617AC3"/>
    <w:rsid w:val="00617B2F"/>
    <w:rsid w:val="00617E12"/>
    <w:rsid w:val="006201AF"/>
    <w:rsid w:val="00620783"/>
    <w:rsid w:val="00620897"/>
    <w:rsid w:val="00620ADA"/>
    <w:rsid w:val="00620C25"/>
    <w:rsid w:val="00620FBB"/>
    <w:rsid w:val="006211AA"/>
    <w:rsid w:val="00621245"/>
    <w:rsid w:val="00621477"/>
    <w:rsid w:val="006214AE"/>
    <w:rsid w:val="006218CB"/>
    <w:rsid w:val="00621A75"/>
    <w:rsid w:val="00621ADA"/>
    <w:rsid w:val="00622716"/>
    <w:rsid w:val="00622D12"/>
    <w:rsid w:val="00623212"/>
    <w:rsid w:val="006232F9"/>
    <w:rsid w:val="006237C9"/>
    <w:rsid w:val="00623DCF"/>
    <w:rsid w:val="00623F7B"/>
    <w:rsid w:val="006242A3"/>
    <w:rsid w:val="00624A78"/>
    <w:rsid w:val="00624B6F"/>
    <w:rsid w:val="00624BD4"/>
    <w:rsid w:val="0062546B"/>
    <w:rsid w:val="006256AE"/>
    <w:rsid w:val="0062580A"/>
    <w:rsid w:val="00625B35"/>
    <w:rsid w:val="00625D7C"/>
    <w:rsid w:val="00625F3A"/>
    <w:rsid w:val="00626675"/>
    <w:rsid w:val="00626ABE"/>
    <w:rsid w:val="00627049"/>
    <w:rsid w:val="00627624"/>
    <w:rsid w:val="006277E5"/>
    <w:rsid w:val="0062782D"/>
    <w:rsid w:val="00627A96"/>
    <w:rsid w:val="00627E41"/>
    <w:rsid w:val="006306BF"/>
    <w:rsid w:val="0063114B"/>
    <w:rsid w:val="006314A0"/>
    <w:rsid w:val="0063151B"/>
    <w:rsid w:val="0063158F"/>
    <w:rsid w:val="00631C9D"/>
    <w:rsid w:val="00631D6B"/>
    <w:rsid w:val="00631FCC"/>
    <w:rsid w:val="006320D4"/>
    <w:rsid w:val="00632183"/>
    <w:rsid w:val="006327EB"/>
    <w:rsid w:val="006330A1"/>
    <w:rsid w:val="006337EB"/>
    <w:rsid w:val="006337EF"/>
    <w:rsid w:val="00633D37"/>
    <w:rsid w:val="00634320"/>
    <w:rsid w:val="006344B6"/>
    <w:rsid w:val="0063479F"/>
    <w:rsid w:val="00634E94"/>
    <w:rsid w:val="006353F0"/>
    <w:rsid w:val="006357B5"/>
    <w:rsid w:val="006358EF"/>
    <w:rsid w:val="00635A89"/>
    <w:rsid w:val="00635FAC"/>
    <w:rsid w:val="006364A1"/>
    <w:rsid w:val="0063678E"/>
    <w:rsid w:val="00636F75"/>
    <w:rsid w:val="006371F5"/>
    <w:rsid w:val="00637B1A"/>
    <w:rsid w:val="00637BFD"/>
    <w:rsid w:val="00637C5C"/>
    <w:rsid w:val="00640673"/>
    <w:rsid w:val="0064074E"/>
    <w:rsid w:val="00640800"/>
    <w:rsid w:val="00640852"/>
    <w:rsid w:val="00640BF1"/>
    <w:rsid w:val="0064133F"/>
    <w:rsid w:val="006418E8"/>
    <w:rsid w:val="00641AE5"/>
    <w:rsid w:val="00641C4E"/>
    <w:rsid w:val="00641CC5"/>
    <w:rsid w:val="00641E2B"/>
    <w:rsid w:val="00641FB3"/>
    <w:rsid w:val="006420B3"/>
    <w:rsid w:val="00642237"/>
    <w:rsid w:val="006423FD"/>
    <w:rsid w:val="00642442"/>
    <w:rsid w:val="006424A3"/>
    <w:rsid w:val="006433A5"/>
    <w:rsid w:val="006435F8"/>
    <w:rsid w:val="00643810"/>
    <w:rsid w:val="00643D37"/>
    <w:rsid w:val="0064434C"/>
    <w:rsid w:val="00644A04"/>
    <w:rsid w:val="00644CA8"/>
    <w:rsid w:val="00645100"/>
    <w:rsid w:val="00645279"/>
    <w:rsid w:val="00645997"/>
    <w:rsid w:val="00645D5F"/>
    <w:rsid w:val="00645F12"/>
    <w:rsid w:val="006464F2"/>
    <w:rsid w:val="00646995"/>
    <w:rsid w:val="006471CC"/>
    <w:rsid w:val="006472FE"/>
    <w:rsid w:val="006476ED"/>
    <w:rsid w:val="00647A29"/>
    <w:rsid w:val="00647D97"/>
    <w:rsid w:val="0065061B"/>
    <w:rsid w:val="00650657"/>
    <w:rsid w:val="00650766"/>
    <w:rsid w:val="0065079F"/>
    <w:rsid w:val="00650ECF"/>
    <w:rsid w:val="006510F3"/>
    <w:rsid w:val="00651185"/>
    <w:rsid w:val="006519CF"/>
    <w:rsid w:val="00651A50"/>
    <w:rsid w:val="006522CD"/>
    <w:rsid w:val="006527BE"/>
    <w:rsid w:val="006528D1"/>
    <w:rsid w:val="00652A28"/>
    <w:rsid w:val="0065379F"/>
    <w:rsid w:val="00653AFB"/>
    <w:rsid w:val="00653BE3"/>
    <w:rsid w:val="00653C74"/>
    <w:rsid w:val="00653D81"/>
    <w:rsid w:val="00653F48"/>
    <w:rsid w:val="00654355"/>
    <w:rsid w:val="006547C7"/>
    <w:rsid w:val="00654B04"/>
    <w:rsid w:val="00654E28"/>
    <w:rsid w:val="006552A4"/>
    <w:rsid w:val="006558DA"/>
    <w:rsid w:val="00656188"/>
    <w:rsid w:val="00656291"/>
    <w:rsid w:val="00656424"/>
    <w:rsid w:val="0065705B"/>
    <w:rsid w:val="0065715A"/>
    <w:rsid w:val="006578C9"/>
    <w:rsid w:val="00657C1F"/>
    <w:rsid w:val="00660414"/>
    <w:rsid w:val="00660997"/>
    <w:rsid w:val="00660EE4"/>
    <w:rsid w:val="006610F1"/>
    <w:rsid w:val="00661118"/>
    <w:rsid w:val="00661179"/>
    <w:rsid w:val="006611B5"/>
    <w:rsid w:val="00661B1E"/>
    <w:rsid w:val="00661BE5"/>
    <w:rsid w:val="00661C6B"/>
    <w:rsid w:val="00662505"/>
    <w:rsid w:val="006626AC"/>
    <w:rsid w:val="00662D3E"/>
    <w:rsid w:val="00662F67"/>
    <w:rsid w:val="00663577"/>
    <w:rsid w:val="006637F8"/>
    <w:rsid w:val="006648C8"/>
    <w:rsid w:val="006650C6"/>
    <w:rsid w:val="00665546"/>
    <w:rsid w:val="00665651"/>
    <w:rsid w:val="00665656"/>
    <w:rsid w:val="006656CD"/>
    <w:rsid w:val="00665D60"/>
    <w:rsid w:val="006662F7"/>
    <w:rsid w:val="006663E9"/>
    <w:rsid w:val="006668EE"/>
    <w:rsid w:val="00666A0E"/>
    <w:rsid w:val="00666A65"/>
    <w:rsid w:val="00666AC3"/>
    <w:rsid w:val="00666B65"/>
    <w:rsid w:val="00666B75"/>
    <w:rsid w:val="00666B80"/>
    <w:rsid w:val="00667197"/>
    <w:rsid w:val="006675F3"/>
    <w:rsid w:val="00667BDD"/>
    <w:rsid w:val="00667BE3"/>
    <w:rsid w:val="00670232"/>
    <w:rsid w:val="006706E7"/>
    <w:rsid w:val="00670999"/>
    <w:rsid w:val="00670B4E"/>
    <w:rsid w:val="00670CCB"/>
    <w:rsid w:val="00670F06"/>
    <w:rsid w:val="00671004"/>
    <w:rsid w:val="006712CF"/>
    <w:rsid w:val="006713A5"/>
    <w:rsid w:val="00671FFD"/>
    <w:rsid w:val="006720C1"/>
    <w:rsid w:val="006720D5"/>
    <w:rsid w:val="0067252D"/>
    <w:rsid w:val="00672646"/>
    <w:rsid w:val="00672754"/>
    <w:rsid w:val="00672846"/>
    <w:rsid w:val="00672B22"/>
    <w:rsid w:val="00672BEB"/>
    <w:rsid w:val="0067334B"/>
    <w:rsid w:val="00673415"/>
    <w:rsid w:val="006734E3"/>
    <w:rsid w:val="006738E3"/>
    <w:rsid w:val="006747F5"/>
    <w:rsid w:val="00674E42"/>
    <w:rsid w:val="006750A4"/>
    <w:rsid w:val="006750E0"/>
    <w:rsid w:val="0067561C"/>
    <w:rsid w:val="00675BCB"/>
    <w:rsid w:val="00675C0C"/>
    <w:rsid w:val="006760F9"/>
    <w:rsid w:val="00676244"/>
    <w:rsid w:val="0067649F"/>
    <w:rsid w:val="00676563"/>
    <w:rsid w:val="0067661A"/>
    <w:rsid w:val="00676C19"/>
    <w:rsid w:val="00676C48"/>
    <w:rsid w:val="00676C6D"/>
    <w:rsid w:val="00677239"/>
    <w:rsid w:val="00677636"/>
    <w:rsid w:val="00677A9D"/>
    <w:rsid w:val="00677F18"/>
    <w:rsid w:val="00677F8E"/>
    <w:rsid w:val="00680386"/>
    <w:rsid w:val="006808A3"/>
    <w:rsid w:val="00680C59"/>
    <w:rsid w:val="0068101E"/>
    <w:rsid w:val="006810BB"/>
    <w:rsid w:val="0068112A"/>
    <w:rsid w:val="006813F8"/>
    <w:rsid w:val="00681597"/>
    <w:rsid w:val="00681ADB"/>
    <w:rsid w:val="00681ED5"/>
    <w:rsid w:val="00682112"/>
    <w:rsid w:val="0068269C"/>
    <w:rsid w:val="006828F8"/>
    <w:rsid w:val="006829CB"/>
    <w:rsid w:val="00682B98"/>
    <w:rsid w:val="00682BA6"/>
    <w:rsid w:val="00682D96"/>
    <w:rsid w:val="00682DAA"/>
    <w:rsid w:val="00682EA7"/>
    <w:rsid w:val="0068364F"/>
    <w:rsid w:val="0068367B"/>
    <w:rsid w:val="00683D6B"/>
    <w:rsid w:val="00684267"/>
    <w:rsid w:val="00684AB9"/>
    <w:rsid w:val="00684E2A"/>
    <w:rsid w:val="006856CD"/>
    <w:rsid w:val="00685706"/>
    <w:rsid w:val="00685B4F"/>
    <w:rsid w:val="00685C7C"/>
    <w:rsid w:val="00685E5A"/>
    <w:rsid w:val="00685F36"/>
    <w:rsid w:val="0068618B"/>
    <w:rsid w:val="0068658A"/>
    <w:rsid w:val="00686816"/>
    <w:rsid w:val="00686957"/>
    <w:rsid w:val="00687083"/>
    <w:rsid w:val="0068727F"/>
    <w:rsid w:val="006872BA"/>
    <w:rsid w:val="006877A4"/>
    <w:rsid w:val="00687D01"/>
    <w:rsid w:val="00687DD3"/>
    <w:rsid w:val="00687EAE"/>
    <w:rsid w:val="00690795"/>
    <w:rsid w:val="00690F4B"/>
    <w:rsid w:val="00690FA6"/>
    <w:rsid w:val="0069115D"/>
    <w:rsid w:val="006912A9"/>
    <w:rsid w:val="00691648"/>
    <w:rsid w:val="006917D7"/>
    <w:rsid w:val="0069183D"/>
    <w:rsid w:val="0069298E"/>
    <w:rsid w:val="006933AE"/>
    <w:rsid w:val="00693F54"/>
    <w:rsid w:val="0069434C"/>
    <w:rsid w:val="0069441C"/>
    <w:rsid w:val="0069448A"/>
    <w:rsid w:val="00694553"/>
    <w:rsid w:val="00694806"/>
    <w:rsid w:val="0069483E"/>
    <w:rsid w:val="00694D19"/>
    <w:rsid w:val="00694F44"/>
    <w:rsid w:val="006951F2"/>
    <w:rsid w:val="0069548C"/>
    <w:rsid w:val="00695595"/>
    <w:rsid w:val="0069578B"/>
    <w:rsid w:val="00695901"/>
    <w:rsid w:val="00695AAB"/>
    <w:rsid w:val="00696E67"/>
    <w:rsid w:val="00696EF9"/>
    <w:rsid w:val="00696F51"/>
    <w:rsid w:val="00697281"/>
    <w:rsid w:val="0069753C"/>
    <w:rsid w:val="006979A5"/>
    <w:rsid w:val="00697D66"/>
    <w:rsid w:val="00697D6D"/>
    <w:rsid w:val="006A00B0"/>
    <w:rsid w:val="006A016F"/>
    <w:rsid w:val="006A0425"/>
    <w:rsid w:val="006A05A8"/>
    <w:rsid w:val="006A075C"/>
    <w:rsid w:val="006A07AE"/>
    <w:rsid w:val="006A07F4"/>
    <w:rsid w:val="006A0B55"/>
    <w:rsid w:val="006A0D20"/>
    <w:rsid w:val="006A0DF7"/>
    <w:rsid w:val="006A1150"/>
    <w:rsid w:val="006A1B44"/>
    <w:rsid w:val="006A1C51"/>
    <w:rsid w:val="006A1F32"/>
    <w:rsid w:val="006A2081"/>
    <w:rsid w:val="006A2CFA"/>
    <w:rsid w:val="006A2D18"/>
    <w:rsid w:val="006A2F0D"/>
    <w:rsid w:val="006A2F51"/>
    <w:rsid w:val="006A36D0"/>
    <w:rsid w:val="006A39B7"/>
    <w:rsid w:val="006A4183"/>
    <w:rsid w:val="006A431D"/>
    <w:rsid w:val="006A4321"/>
    <w:rsid w:val="006A43D9"/>
    <w:rsid w:val="006A49C0"/>
    <w:rsid w:val="006A4AAD"/>
    <w:rsid w:val="006A4EC9"/>
    <w:rsid w:val="006A4F77"/>
    <w:rsid w:val="006A5414"/>
    <w:rsid w:val="006A5D0F"/>
    <w:rsid w:val="006A6B99"/>
    <w:rsid w:val="006A7E5F"/>
    <w:rsid w:val="006B05AA"/>
    <w:rsid w:val="006B06FA"/>
    <w:rsid w:val="006B07D0"/>
    <w:rsid w:val="006B0B34"/>
    <w:rsid w:val="006B12C8"/>
    <w:rsid w:val="006B182B"/>
    <w:rsid w:val="006B1B8F"/>
    <w:rsid w:val="006B2205"/>
    <w:rsid w:val="006B2402"/>
    <w:rsid w:val="006B261B"/>
    <w:rsid w:val="006B2C90"/>
    <w:rsid w:val="006B2D7A"/>
    <w:rsid w:val="006B2D9D"/>
    <w:rsid w:val="006B2F3D"/>
    <w:rsid w:val="006B35DD"/>
    <w:rsid w:val="006B35E6"/>
    <w:rsid w:val="006B3CA4"/>
    <w:rsid w:val="006B3E27"/>
    <w:rsid w:val="006B430F"/>
    <w:rsid w:val="006B465A"/>
    <w:rsid w:val="006B4C1A"/>
    <w:rsid w:val="006B4E6A"/>
    <w:rsid w:val="006B521C"/>
    <w:rsid w:val="006B5410"/>
    <w:rsid w:val="006B5BAC"/>
    <w:rsid w:val="006B5C1F"/>
    <w:rsid w:val="006B60F0"/>
    <w:rsid w:val="006B6DD0"/>
    <w:rsid w:val="006B7B99"/>
    <w:rsid w:val="006B7C5E"/>
    <w:rsid w:val="006B7EDB"/>
    <w:rsid w:val="006C0399"/>
    <w:rsid w:val="006C0CAA"/>
    <w:rsid w:val="006C0CDC"/>
    <w:rsid w:val="006C15C2"/>
    <w:rsid w:val="006C163F"/>
    <w:rsid w:val="006C164D"/>
    <w:rsid w:val="006C1B11"/>
    <w:rsid w:val="006C2153"/>
    <w:rsid w:val="006C290D"/>
    <w:rsid w:val="006C2A8E"/>
    <w:rsid w:val="006C2C55"/>
    <w:rsid w:val="006C3255"/>
    <w:rsid w:val="006C32E7"/>
    <w:rsid w:val="006C34BD"/>
    <w:rsid w:val="006C34F0"/>
    <w:rsid w:val="006C3930"/>
    <w:rsid w:val="006C3A0A"/>
    <w:rsid w:val="006C3DC8"/>
    <w:rsid w:val="006C3E72"/>
    <w:rsid w:val="006C3F26"/>
    <w:rsid w:val="006C47CB"/>
    <w:rsid w:val="006C488F"/>
    <w:rsid w:val="006C4BD9"/>
    <w:rsid w:val="006C4C42"/>
    <w:rsid w:val="006C4DC0"/>
    <w:rsid w:val="006C4E6C"/>
    <w:rsid w:val="006C513A"/>
    <w:rsid w:val="006C5603"/>
    <w:rsid w:val="006C581E"/>
    <w:rsid w:val="006C6136"/>
    <w:rsid w:val="006C638A"/>
    <w:rsid w:val="006C6B17"/>
    <w:rsid w:val="006C6D67"/>
    <w:rsid w:val="006D013B"/>
    <w:rsid w:val="006D02F3"/>
    <w:rsid w:val="006D0CC6"/>
    <w:rsid w:val="006D0D17"/>
    <w:rsid w:val="006D1101"/>
    <w:rsid w:val="006D1C8D"/>
    <w:rsid w:val="006D217A"/>
    <w:rsid w:val="006D26D1"/>
    <w:rsid w:val="006D2842"/>
    <w:rsid w:val="006D2E86"/>
    <w:rsid w:val="006D2F92"/>
    <w:rsid w:val="006D3453"/>
    <w:rsid w:val="006D3A28"/>
    <w:rsid w:val="006D3C43"/>
    <w:rsid w:val="006D3C7D"/>
    <w:rsid w:val="006D3CED"/>
    <w:rsid w:val="006D3D94"/>
    <w:rsid w:val="006D41D8"/>
    <w:rsid w:val="006D4382"/>
    <w:rsid w:val="006D4659"/>
    <w:rsid w:val="006D497C"/>
    <w:rsid w:val="006D4ABC"/>
    <w:rsid w:val="006D4CBF"/>
    <w:rsid w:val="006D4D05"/>
    <w:rsid w:val="006D4F36"/>
    <w:rsid w:val="006D54B2"/>
    <w:rsid w:val="006D5D5F"/>
    <w:rsid w:val="006D5D70"/>
    <w:rsid w:val="006D615D"/>
    <w:rsid w:val="006D61F8"/>
    <w:rsid w:val="006D633F"/>
    <w:rsid w:val="006D67FB"/>
    <w:rsid w:val="006D68FB"/>
    <w:rsid w:val="006D723A"/>
    <w:rsid w:val="006D72A9"/>
    <w:rsid w:val="006D795A"/>
    <w:rsid w:val="006E04B1"/>
    <w:rsid w:val="006E0B75"/>
    <w:rsid w:val="006E0C88"/>
    <w:rsid w:val="006E11ED"/>
    <w:rsid w:val="006E19B5"/>
    <w:rsid w:val="006E1A0A"/>
    <w:rsid w:val="006E1BF8"/>
    <w:rsid w:val="006E26F4"/>
    <w:rsid w:val="006E2868"/>
    <w:rsid w:val="006E2CFB"/>
    <w:rsid w:val="006E2F53"/>
    <w:rsid w:val="006E3209"/>
    <w:rsid w:val="006E38BF"/>
    <w:rsid w:val="006E38EF"/>
    <w:rsid w:val="006E3DAC"/>
    <w:rsid w:val="006E3EEA"/>
    <w:rsid w:val="006E4034"/>
    <w:rsid w:val="006E4396"/>
    <w:rsid w:val="006E490D"/>
    <w:rsid w:val="006E4CB7"/>
    <w:rsid w:val="006E5901"/>
    <w:rsid w:val="006E5A3D"/>
    <w:rsid w:val="006E5E34"/>
    <w:rsid w:val="006E6221"/>
    <w:rsid w:val="006E6290"/>
    <w:rsid w:val="006E6633"/>
    <w:rsid w:val="006E6708"/>
    <w:rsid w:val="006E6D94"/>
    <w:rsid w:val="006E7DEA"/>
    <w:rsid w:val="006F004C"/>
    <w:rsid w:val="006F021E"/>
    <w:rsid w:val="006F0374"/>
    <w:rsid w:val="006F09E6"/>
    <w:rsid w:val="006F09E9"/>
    <w:rsid w:val="006F0D09"/>
    <w:rsid w:val="006F13CE"/>
    <w:rsid w:val="006F1446"/>
    <w:rsid w:val="006F22AA"/>
    <w:rsid w:val="006F236D"/>
    <w:rsid w:val="006F2420"/>
    <w:rsid w:val="006F2516"/>
    <w:rsid w:val="006F26D4"/>
    <w:rsid w:val="006F306C"/>
    <w:rsid w:val="006F385C"/>
    <w:rsid w:val="006F388E"/>
    <w:rsid w:val="006F3DC2"/>
    <w:rsid w:val="006F3DF7"/>
    <w:rsid w:val="006F4071"/>
    <w:rsid w:val="006F5774"/>
    <w:rsid w:val="006F5C06"/>
    <w:rsid w:val="006F5FC4"/>
    <w:rsid w:val="006F62EA"/>
    <w:rsid w:val="006F63A5"/>
    <w:rsid w:val="006F72BD"/>
    <w:rsid w:val="006F7456"/>
    <w:rsid w:val="0070001F"/>
    <w:rsid w:val="00700B24"/>
    <w:rsid w:val="0070142B"/>
    <w:rsid w:val="0070191E"/>
    <w:rsid w:val="00701AB0"/>
    <w:rsid w:val="00701AD0"/>
    <w:rsid w:val="0070276E"/>
    <w:rsid w:val="007028F2"/>
    <w:rsid w:val="00702CC8"/>
    <w:rsid w:val="00702F8F"/>
    <w:rsid w:val="0070372D"/>
    <w:rsid w:val="00703C35"/>
    <w:rsid w:val="00703D8B"/>
    <w:rsid w:val="00704510"/>
    <w:rsid w:val="00704611"/>
    <w:rsid w:val="0070476A"/>
    <w:rsid w:val="00704CCD"/>
    <w:rsid w:val="00704EEB"/>
    <w:rsid w:val="00705483"/>
    <w:rsid w:val="00705486"/>
    <w:rsid w:val="00705507"/>
    <w:rsid w:val="00705594"/>
    <w:rsid w:val="0070569D"/>
    <w:rsid w:val="00705BB6"/>
    <w:rsid w:val="007065F9"/>
    <w:rsid w:val="00706AD3"/>
    <w:rsid w:val="00706FB0"/>
    <w:rsid w:val="007071A2"/>
    <w:rsid w:val="00707237"/>
    <w:rsid w:val="00707414"/>
    <w:rsid w:val="00707993"/>
    <w:rsid w:val="007079DA"/>
    <w:rsid w:val="007079FC"/>
    <w:rsid w:val="00707A1F"/>
    <w:rsid w:val="00707AB7"/>
    <w:rsid w:val="00707E22"/>
    <w:rsid w:val="00710257"/>
    <w:rsid w:val="00710323"/>
    <w:rsid w:val="00710360"/>
    <w:rsid w:val="00710384"/>
    <w:rsid w:val="00710716"/>
    <w:rsid w:val="00710C61"/>
    <w:rsid w:val="00710CDF"/>
    <w:rsid w:val="00711A36"/>
    <w:rsid w:val="00711E8D"/>
    <w:rsid w:val="00711F45"/>
    <w:rsid w:val="00711FA4"/>
    <w:rsid w:val="007125D3"/>
    <w:rsid w:val="00712813"/>
    <w:rsid w:val="00712E9B"/>
    <w:rsid w:val="007130B9"/>
    <w:rsid w:val="00713F4E"/>
    <w:rsid w:val="0071457A"/>
    <w:rsid w:val="00714C26"/>
    <w:rsid w:val="00714D04"/>
    <w:rsid w:val="007151BF"/>
    <w:rsid w:val="0071529C"/>
    <w:rsid w:val="00715995"/>
    <w:rsid w:val="00715A52"/>
    <w:rsid w:val="00715CB4"/>
    <w:rsid w:val="00715E04"/>
    <w:rsid w:val="00715E25"/>
    <w:rsid w:val="00715EE9"/>
    <w:rsid w:val="00716242"/>
    <w:rsid w:val="00716980"/>
    <w:rsid w:val="00716A38"/>
    <w:rsid w:val="00716D52"/>
    <w:rsid w:val="00717035"/>
    <w:rsid w:val="007170DA"/>
    <w:rsid w:val="0071716E"/>
    <w:rsid w:val="007172AD"/>
    <w:rsid w:val="00717474"/>
    <w:rsid w:val="00717546"/>
    <w:rsid w:val="00717576"/>
    <w:rsid w:val="0071785F"/>
    <w:rsid w:val="0071791F"/>
    <w:rsid w:val="007179E0"/>
    <w:rsid w:val="00720801"/>
    <w:rsid w:val="00720945"/>
    <w:rsid w:val="007212DA"/>
    <w:rsid w:val="00721A7E"/>
    <w:rsid w:val="007224BE"/>
    <w:rsid w:val="007224C9"/>
    <w:rsid w:val="0072272A"/>
    <w:rsid w:val="0072289C"/>
    <w:rsid w:val="00722955"/>
    <w:rsid w:val="00722B1B"/>
    <w:rsid w:val="00722D46"/>
    <w:rsid w:val="00723696"/>
    <w:rsid w:val="00723843"/>
    <w:rsid w:val="0072416F"/>
    <w:rsid w:val="0072430A"/>
    <w:rsid w:val="0072430F"/>
    <w:rsid w:val="00724CB7"/>
    <w:rsid w:val="00724D4B"/>
    <w:rsid w:val="00724F61"/>
    <w:rsid w:val="00725396"/>
    <w:rsid w:val="00725918"/>
    <w:rsid w:val="00725964"/>
    <w:rsid w:val="00726380"/>
    <w:rsid w:val="0072638F"/>
    <w:rsid w:val="007269E0"/>
    <w:rsid w:val="007272BF"/>
    <w:rsid w:val="00727344"/>
    <w:rsid w:val="00727C81"/>
    <w:rsid w:val="00727C94"/>
    <w:rsid w:val="00730017"/>
    <w:rsid w:val="00730B1B"/>
    <w:rsid w:val="00730B48"/>
    <w:rsid w:val="00730F4C"/>
    <w:rsid w:val="00731B0A"/>
    <w:rsid w:val="00731BD5"/>
    <w:rsid w:val="00731C82"/>
    <w:rsid w:val="00731EAE"/>
    <w:rsid w:val="00731F78"/>
    <w:rsid w:val="0073287A"/>
    <w:rsid w:val="00732A7D"/>
    <w:rsid w:val="00732F2B"/>
    <w:rsid w:val="00733073"/>
    <w:rsid w:val="0073339D"/>
    <w:rsid w:val="00733529"/>
    <w:rsid w:val="00733B86"/>
    <w:rsid w:val="00733D35"/>
    <w:rsid w:val="00734000"/>
    <w:rsid w:val="00734478"/>
    <w:rsid w:val="00734E65"/>
    <w:rsid w:val="00735033"/>
    <w:rsid w:val="00735328"/>
    <w:rsid w:val="0073685B"/>
    <w:rsid w:val="00736881"/>
    <w:rsid w:val="007378C2"/>
    <w:rsid w:val="00737A61"/>
    <w:rsid w:val="00737F7F"/>
    <w:rsid w:val="00740076"/>
    <w:rsid w:val="0074024F"/>
    <w:rsid w:val="00740602"/>
    <w:rsid w:val="00740906"/>
    <w:rsid w:val="0074137B"/>
    <w:rsid w:val="00741434"/>
    <w:rsid w:val="007418E3"/>
    <w:rsid w:val="00741AC7"/>
    <w:rsid w:val="0074319D"/>
    <w:rsid w:val="0074339E"/>
    <w:rsid w:val="00743E46"/>
    <w:rsid w:val="00743E8E"/>
    <w:rsid w:val="00744176"/>
    <w:rsid w:val="00744637"/>
    <w:rsid w:val="007449BF"/>
    <w:rsid w:val="00744A3E"/>
    <w:rsid w:val="007458A0"/>
    <w:rsid w:val="00745B09"/>
    <w:rsid w:val="00745D58"/>
    <w:rsid w:val="007463FE"/>
    <w:rsid w:val="007464FC"/>
    <w:rsid w:val="00746566"/>
    <w:rsid w:val="00746844"/>
    <w:rsid w:val="007469FB"/>
    <w:rsid w:val="00746BC0"/>
    <w:rsid w:val="007473EE"/>
    <w:rsid w:val="00747D3B"/>
    <w:rsid w:val="00750058"/>
    <w:rsid w:val="00750880"/>
    <w:rsid w:val="00750BB4"/>
    <w:rsid w:val="007510B4"/>
    <w:rsid w:val="00751653"/>
    <w:rsid w:val="00751C1B"/>
    <w:rsid w:val="00752142"/>
    <w:rsid w:val="007523F9"/>
    <w:rsid w:val="007529E7"/>
    <w:rsid w:val="00752E5B"/>
    <w:rsid w:val="00753306"/>
    <w:rsid w:val="0075357E"/>
    <w:rsid w:val="007536DA"/>
    <w:rsid w:val="00753842"/>
    <w:rsid w:val="007538F7"/>
    <w:rsid w:val="00753B29"/>
    <w:rsid w:val="00753CD1"/>
    <w:rsid w:val="00754123"/>
    <w:rsid w:val="00754367"/>
    <w:rsid w:val="0075448E"/>
    <w:rsid w:val="007545A8"/>
    <w:rsid w:val="007548D3"/>
    <w:rsid w:val="007549B7"/>
    <w:rsid w:val="00754A0B"/>
    <w:rsid w:val="00754D4E"/>
    <w:rsid w:val="00754EDF"/>
    <w:rsid w:val="0075514B"/>
    <w:rsid w:val="0075518F"/>
    <w:rsid w:val="00755587"/>
    <w:rsid w:val="007558A1"/>
    <w:rsid w:val="00755C43"/>
    <w:rsid w:val="00755FBE"/>
    <w:rsid w:val="0075670D"/>
    <w:rsid w:val="00756992"/>
    <w:rsid w:val="007569A6"/>
    <w:rsid w:val="007573E8"/>
    <w:rsid w:val="00757715"/>
    <w:rsid w:val="00757B6D"/>
    <w:rsid w:val="007602A3"/>
    <w:rsid w:val="007605C7"/>
    <w:rsid w:val="007605FD"/>
    <w:rsid w:val="00760C4E"/>
    <w:rsid w:val="00760F9E"/>
    <w:rsid w:val="00761635"/>
    <w:rsid w:val="007616E6"/>
    <w:rsid w:val="00761F30"/>
    <w:rsid w:val="00762150"/>
    <w:rsid w:val="0076242C"/>
    <w:rsid w:val="007627BE"/>
    <w:rsid w:val="0076289B"/>
    <w:rsid w:val="00764096"/>
    <w:rsid w:val="00764588"/>
    <w:rsid w:val="007647B8"/>
    <w:rsid w:val="00764AB5"/>
    <w:rsid w:val="00764D0E"/>
    <w:rsid w:val="00764F03"/>
    <w:rsid w:val="00764F56"/>
    <w:rsid w:val="007650BC"/>
    <w:rsid w:val="007650FF"/>
    <w:rsid w:val="007656B7"/>
    <w:rsid w:val="0076581A"/>
    <w:rsid w:val="0076584B"/>
    <w:rsid w:val="00765AA6"/>
    <w:rsid w:val="00765B1A"/>
    <w:rsid w:val="00765DC1"/>
    <w:rsid w:val="00765ED4"/>
    <w:rsid w:val="007664F1"/>
    <w:rsid w:val="00766601"/>
    <w:rsid w:val="00766ABB"/>
    <w:rsid w:val="00766FD1"/>
    <w:rsid w:val="00767409"/>
    <w:rsid w:val="00767468"/>
    <w:rsid w:val="0076783C"/>
    <w:rsid w:val="00767C54"/>
    <w:rsid w:val="00767D06"/>
    <w:rsid w:val="00767E7D"/>
    <w:rsid w:val="00770534"/>
    <w:rsid w:val="00770596"/>
    <w:rsid w:val="007707BE"/>
    <w:rsid w:val="00770956"/>
    <w:rsid w:val="00770DA1"/>
    <w:rsid w:val="00771FD4"/>
    <w:rsid w:val="00772362"/>
    <w:rsid w:val="0077246C"/>
    <w:rsid w:val="007724AE"/>
    <w:rsid w:val="007725A7"/>
    <w:rsid w:val="007726BE"/>
    <w:rsid w:val="0077288B"/>
    <w:rsid w:val="00773D11"/>
    <w:rsid w:val="00773E05"/>
    <w:rsid w:val="00773FFF"/>
    <w:rsid w:val="0077404A"/>
    <w:rsid w:val="00774D31"/>
    <w:rsid w:val="00775341"/>
    <w:rsid w:val="00775759"/>
    <w:rsid w:val="007758E4"/>
    <w:rsid w:val="00775925"/>
    <w:rsid w:val="00775A44"/>
    <w:rsid w:val="00775B45"/>
    <w:rsid w:val="00775E06"/>
    <w:rsid w:val="007762E5"/>
    <w:rsid w:val="00776404"/>
    <w:rsid w:val="00776A29"/>
    <w:rsid w:val="00776D5E"/>
    <w:rsid w:val="00776F08"/>
    <w:rsid w:val="0077708C"/>
    <w:rsid w:val="00777335"/>
    <w:rsid w:val="007774DD"/>
    <w:rsid w:val="00777526"/>
    <w:rsid w:val="0077752F"/>
    <w:rsid w:val="00777F90"/>
    <w:rsid w:val="00777FFA"/>
    <w:rsid w:val="00780254"/>
    <w:rsid w:val="00780424"/>
    <w:rsid w:val="007807CC"/>
    <w:rsid w:val="007809C8"/>
    <w:rsid w:val="007813BC"/>
    <w:rsid w:val="007821EB"/>
    <w:rsid w:val="00782716"/>
    <w:rsid w:val="00782C64"/>
    <w:rsid w:val="007836D0"/>
    <w:rsid w:val="00783DE4"/>
    <w:rsid w:val="00783E41"/>
    <w:rsid w:val="0078419A"/>
    <w:rsid w:val="007843F2"/>
    <w:rsid w:val="007846FA"/>
    <w:rsid w:val="007848A1"/>
    <w:rsid w:val="00784BD0"/>
    <w:rsid w:val="00784DA7"/>
    <w:rsid w:val="007859AC"/>
    <w:rsid w:val="00785A9F"/>
    <w:rsid w:val="00786223"/>
    <w:rsid w:val="00786430"/>
    <w:rsid w:val="00786945"/>
    <w:rsid w:val="00786982"/>
    <w:rsid w:val="00786D07"/>
    <w:rsid w:val="00786F51"/>
    <w:rsid w:val="0078703F"/>
    <w:rsid w:val="0078740D"/>
    <w:rsid w:val="007876DA"/>
    <w:rsid w:val="00787948"/>
    <w:rsid w:val="007900F3"/>
    <w:rsid w:val="007903B5"/>
    <w:rsid w:val="007907BA"/>
    <w:rsid w:val="00790945"/>
    <w:rsid w:val="00790998"/>
    <w:rsid w:val="00790C13"/>
    <w:rsid w:val="00790CB9"/>
    <w:rsid w:val="00790E53"/>
    <w:rsid w:val="00790F3F"/>
    <w:rsid w:val="007916DF"/>
    <w:rsid w:val="00791AE7"/>
    <w:rsid w:val="007925DF"/>
    <w:rsid w:val="007927E7"/>
    <w:rsid w:val="0079399A"/>
    <w:rsid w:val="00793A4E"/>
    <w:rsid w:val="00793E96"/>
    <w:rsid w:val="0079427C"/>
    <w:rsid w:val="007949AA"/>
    <w:rsid w:val="00794C5C"/>
    <w:rsid w:val="00794DC6"/>
    <w:rsid w:val="00795B49"/>
    <w:rsid w:val="00795BC6"/>
    <w:rsid w:val="007965AA"/>
    <w:rsid w:val="0079679C"/>
    <w:rsid w:val="00796BFF"/>
    <w:rsid w:val="00797054"/>
    <w:rsid w:val="00797244"/>
    <w:rsid w:val="00797353"/>
    <w:rsid w:val="00797662"/>
    <w:rsid w:val="007977C4"/>
    <w:rsid w:val="00797963"/>
    <w:rsid w:val="00797BE8"/>
    <w:rsid w:val="007A003C"/>
    <w:rsid w:val="007A0415"/>
    <w:rsid w:val="007A08AA"/>
    <w:rsid w:val="007A0A12"/>
    <w:rsid w:val="007A132D"/>
    <w:rsid w:val="007A1345"/>
    <w:rsid w:val="007A135F"/>
    <w:rsid w:val="007A13AE"/>
    <w:rsid w:val="007A170B"/>
    <w:rsid w:val="007A1CD6"/>
    <w:rsid w:val="007A207C"/>
    <w:rsid w:val="007A238D"/>
    <w:rsid w:val="007A25C9"/>
    <w:rsid w:val="007A2DDB"/>
    <w:rsid w:val="007A2E4B"/>
    <w:rsid w:val="007A3218"/>
    <w:rsid w:val="007A32C6"/>
    <w:rsid w:val="007A3903"/>
    <w:rsid w:val="007A3F33"/>
    <w:rsid w:val="007A4103"/>
    <w:rsid w:val="007A44E0"/>
    <w:rsid w:val="007A50A1"/>
    <w:rsid w:val="007A5158"/>
    <w:rsid w:val="007A5234"/>
    <w:rsid w:val="007A5CE7"/>
    <w:rsid w:val="007A606F"/>
    <w:rsid w:val="007A60B4"/>
    <w:rsid w:val="007A63B2"/>
    <w:rsid w:val="007A6BD1"/>
    <w:rsid w:val="007A70BA"/>
    <w:rsid w:val="007A7339"/>
    <w:rsid w:val="007A78EE"/>
    <w:rsid w:val="007A7A62"/>
    <w:rsid w:val="007B02C3"/>
    <w:rsid w:val="007B043C"/>
    <w:rsid w:val="007B0A43"/>
    <w:rsid w:val="007B0C68"/>
    <w:rsid w:val="007B0D68"/>
    <w:rsid w:val="007B0E3C"/>
    <w:rsid w:val="007B11AF"/>
    <w:rsid w:val="007B1B00"/>
    <w:rsid w:val="007B251D"/>
    <w:rsid w:val="007B3267"/>
    <w:rsid w:val="007B34FB"/>
    <w:rsid w:val="007B3533"/>
    <w:rsid w:val="007B3955"/>
    <w:rsid w:val="007B3DF9"/>
    <w:rsid w:val="007B4F58"/>
    <w:rsid w:val="007B51B3"/>
    <w:rsid w:val="007B528D"/>
    <w:rsid w:val="007B60AD"/>
    <w:rsid w:val="007B63CA"/>
    <w:rsid w:val="007B67DE"/>
    <w:rsid w:val="007B6BB1"/>
    <w:rsid w:val="007B6CD6"/>
    <w:rsid w:val="007B72E6"/>
    <w:rsid w:val="007B75CD"/>
    <w:rsid w:val="007B7718"/>
    <w:rsid w:val="007B77D1"/>
    <w:rsid w:val="007B7E35"/>
    <w:rsid w:val="007C07C7"/>
    <w:rsid w:val="007C07CA"/>
    <w:rsid w:val="007C148C"/>
    <w:rsid w:val="007C14F3"/>
    <w:rsid w:val="007C183F"/>
    <w:rsid w:val="007C1CD9"/>
    <w:rsid w:val="007C1D33"/>
    <w:rsid w:val="007C227D"/>
    <w:rsid w:val="007C2418"/>
    <w:rsid w:val="007C25CA"/>
    <w:rsid w:val="007C2A3D"/>
    <w:rsid w:val="007C2F60"/>
    <w:rsid w:val="007C32EF"/>
    <w:rsid w:val="007C34CF"/>
    <w:rsid w:val="007C361D"/>
    <w:rsid w:val="007C3F23"/>
    <w:rsid w:val="007C3F97"/>
    <w:rsid w:val="007C42AE"/>
    <w:rsid w:val="007C4B84"/>
    <w:rsid w:val="007C4D8A"/>
    <w:rsid w:val="007C4F1D"/>
    <w:rsid w:val="007C5AF0"/>
    <w:rsid w:val="007C5DC1"/>
    <w:rsid w:val="007C5F9C"/>
    <w:rsid w:val="007C6430"/>
    <w:rsid w:val="007C64EA"/>
    <w:rsid w:val="007C65FA"/>
    <w:rsid w:val="007C66F7"/>
    <w:rsid w:val="007C6AB5"/>
    <w:rsid w:val="007C6E7D"/>
    <w:rsid w:val="007C70FF"/>
    <w:rsid w:val="007C77DF"/>
    <w:rsid w:val="007C7830"/>
    <w:rsid w:val="007C7C25"/>
    <w:rsid w:val="007C7C2D"/>
    <w:rsid w:val="007D004F"/>
    <w:rsid w:val="007D02F2"/>
    <w:rsid w:val="007D035F"/>
    <w:rsid w:val="007D06B2"/>
    <w:rsid w:val="007D09FD"/>
    <w:rsid w:val="007D0B38"/>
    <w:rsid w:val="007D11F7"/>
    <w:rsid w:val="007D1435"/>
    <w:rsid w:val="007D143E"/>
    <w:rsid w:val="007D1574"/>
    <w:rsid w:val="007D18BF"/>
    <w:rsid w:val="007D1BB9"/>
    <w:rsid w:val="007D1E0D"/>
    <w:rsid w:val="007D22CD"/>
    <w:rsid w:val="007D2522"/>
    <w:rsid w:val="007D2EFD"/>
    <w:rsid w:val="007D36B2"/>
    <w:rsid w:val="007D38A3"/>
    <w:rsid w:val="007D3AF5"/>
    <w:rsid w:val="007D4361"/>
    <w:rsid w:val="007D4CE9"/>
    <w:rsid w:val="007D4DC7"/>
    <w:rsid w:val="007D536F"/>
    <w:rsid w:val="007D5440"/>
    <w:rsid w:val="007D5549"/>
    <w:rsid w:val="007D561C"/>
    <w:rsid w:val="007D5731"/>
    <w:rsid w:val="007D5854"/>
    <w:rsid w:val="007D5B76"/>
    <w:rsid w:val="007D5FD4"/>
    <w:rsid w:val="007D649B"/>
    <w:rsid w:val="007D6573"/>
    <w:rsid w:val="007D6778"/>
    <w:rsid w:val="007D69EB"/>
    <w:rsid w:val="007D6E73"/>
    <w:rsid w:val="007D7A26"/>
    <w:rsid w:val="007D7F26"/>
    <w:rsid w:val="007D7F5B"/>
    <w:rsid w:val="007E125F"/>
    <w:rsid w:val="007E128F"/>
    <w:rsid w:val="007E1634"/>
    <w:rsid w:val="007E190C"/>
    <w:rsid w:val="007E1B2D"/>
    <w:rsid w:val="007E2549"/>
    <w:rsid w:val="007E3346"/>
    <w:rsid w:val="007E3AB0"/>
    <w:rsid w:val="007E4893"/>
    <w:rsid w:val="007E49A9"/>
    <w:rsid w:val="007E49D2"/>
    <w:rsid w:val="007E4B32"/>
    <w:rsid w:val="007E52FB"/>
    <w:rsid w:val="007E53C1"/>
    <w:rsid w:val="007E54A8"/>
    <w:rsid w:val="007E5782"/>
    <w:rsid w:val="007E690D"/>
    <w:rsid w:val="007E77FF"/>
    <w:rsid w:val="007E7B80"/>
    <w:rsid w:val="007E7C0E"/>
    <w:rsid w:val="007F02A6"/>
    <w:rsid w:val="007F0350"/>
    <w:rsid w:val="007F0A4B"/>
    <w:rsid w:val="007F0DF2"/>
    <w:rsid w:val="007F1017"/>
    <w:rsid w:val="007F1D5A"/>
    <w:rsid w:val="007F1FAA"/>
    <w:rsid w:val="007F260D"/>
    <w:rsid w:val="007F2612"/>
    <w:rsid w:val="007F2870"/>
    <w:rsid w:val="007F28E1"/>
    <w:rsid w:val="007F2A8F"/>
    <w:rsid w:val="007F2AFA"/>
    <w:rsid w:val="007F308B"/>
    <w:rsid w:val="007F378A"/>
    <w:rsid w:val="007F42A6"/>
    <w:rsid w:val="007F4372"/>
    <w:rsid w:val="007F47FD"/>
    <w:rsid w:val="007F4A3F"/>
    <w:rsid w:val="007F4A61"/>
    <w:rsid w:val="007F4F56"/>
    <w:rsid w:val="007F5255"/>
    <w:rsid w:val="007F56CC"/>
    <w:rsid w:val="007F5701"/>
    <w:rsid w:val="007F58C0"/>
    <w:rsid w:val="007F5E54"/>
    <w:rsid w:val="007F5FC5"/>
    <w:rsid w:val="007F61C2"/>
    <w:rsid w:val="007F65FD"/>
    <w:rsid w:val="007F6A09"/>
    <w:rsid w:val="007F6C37"/>
    <w:rsid w:val="007F7566"/>
    <w:rsid w:val="007F7BC4"/>
    <w:rsid w:val="007F7D50"/>
    <w:rsid w:val="008002C7"/>
    <w:rsid w:val="00800825"/>
    <w:rsid w:val="00800A94"/>
    <w:rsid w:val="00801166"/>
    <w:rsid w:val="008011F0"/>
    <w:rsid w:val="00801495"/>
    <w:rsid w:val="00801AE0"/>
    <w:rsid w:val="0080205F"/>
    <w:rsid w:val="00802476"/>
    <w:rsid w:val="008029C6"/>
    <w:rsid w:val="00802A1B"/>
    <w:rsid w:val="00802A88"/>
    <w:rsid w:val="00802EAC"/>
    <w:rsid w:val="00802F27"/>
    <w:rsid w:val="00803D55"/>
    <w:rsid w:val="00804160"/>
    <w:rsid w:val="008049CA"/>
    <w:rsid w:val="00804EE4"/>
    <w:rsid w:val="00805142"/>
    <w:rsid w:val="00805224"/>
    <w:rsid w:val="0080566B"/>
    <w:rsid w:val="00805F97"/>
    <w:rsid w:val="00805FCE"/>
    <w:rsid w:val="0080608A"/>
    <w:rsid w:val="008062D7"/>
    <w:rsid w:val="00806B1D"/>
    <w:rsid w:val="00806FA5"/>
    <w:rsid w:val="008071D3"/>
    <w:rsid w:val="008071E4"/>
    <w:rsid w:val="00807331"/>
    <w:rsid w:val="008073C2"/>
    <w:rsid w:val="00807593"/>
    <w:rsid w:val="00807607"/>
    <w:rsid w:val="008076B0"/>
    <w:rsid w:val="00807803"/>
    <w:rsid w:val="00807A8B"/>
    <w:rsid w:val="00807B2D"/>
    <w:rsid w:val="00807CB3"/>
    <w:rsid w:val="0081043F"/>
    <w:rsid w:val="008106B1"/>
    <w:rsid w:val="00810A4E"/>
    <w:rsid w:val="00811105"/>
    <w:rsid w:val="00811383"/>
    <w:rsid w:val="00811800"/>
    <w:rsid w:val="00811B2E"/>
    <w:rsid w:val="00811DA4"/>
    <w:rsid w:val="00811E7B"/>
    <w:rsid w:val="0081201B"/>
    <w:rsid w:val="00812149"/>
    <w:rsid w:val="008126A6"/>
    <w:rsid w:val="00812B51"/>
    <w:rsid w:val="00812CAC"/>
    <w:rsid w:val="00812D44"/>
    <w:rsid w:val="00813531"/>
    <w:rsid w:val="008137BB"/>
    <w:rsid w:val="00813932"/>
    <w:rsid w:val="00813CA4"/>
    <w:rsid w:val="00813E96"/>
    <w:rsid w:val="0081439D"/>
    <w:rsid w:val="008144EC"/>
    <w:rsid w:val="008145B4"/>
    <w:rsid w:val="00814B0C"/>
    <w:rsid w:val="00814B61"/>
    <w:rsid w:val="00814DBB"/>
    <w:rsid w:val="0081504C"/>
    <w:rsid w:val="008150C4"/>
    <w:rsid w:val="008153AA"/>
    <w:rsid w:val="00815CD5"/>
    <w:rsid w:val="00815CFB"/>
    <w:rsid w:val="00815D20"/>
    <w:rsid w:val="00815F8B"/>
    <w:rsid w:val="00816064"/>
    <w:rsid w:val="008162EB"/>
    <w:rsid w:val="00816361"/>
    <w:rsid w:val="008166EF"/>
    <w:rsid w:val="00816BEC"/>
    <w:rsid w:val="00816C3B"/>
    <w:rsid w:val="00816D6A"/>
    <w:rsid w:val="00816FEF"/>
    <w:rsid w:val="008174E2"/>
    <w:rsid w:val="008174F3"/>
    <w:rsid w:val="00817C69"/>
    <w:rsid w:val="00820082"/>
    <w:rsid w:val="008200B8"/>
    <w:rsid w:val="00820A81"/>
    <w:rsid w:val="00820A8C"/>
    <w:rsid w:val="00820DFE"/>
    <w:rsid w:val="008215FB"/>
    <w:rsid w:val="00821BA4"/>
    <w:rsid w:val="008220CC"/>
    <w:rsid w:val="00822F12"/>
    <w:rsid w:val="00823174"/>
    <w:rsid w:val="0082317D"/>
    <w:rsid w:val="00823348"/>
    <w:rsid w:val="00823DF9"/>
    <w:rsid w:val="00824378"/>
    <w:rsid w:val="008244EA"/>
    <w:rsid w:val="00824917"/>
    <w:rsid w:val="00824971"/>
    <w:rsid w:val="00824FE3"/>
    <w:rsid w:val="008253B6"/>
    <w:rsid w:val="00825471"/>
    <w:rsid w:val="00825565"/>
    <w:rsid w:val="0082569D"/>
    <w:rsid w:val="00825751"/>
    <w:rsid w:val="00825DBE"/>
    <w:rsid w:val="00825DEA"/>
    <w:rsid w:val="008262CC"/>
    <w:rsid w:val="008264EB"/>
    <w:rsid w:val="008268CE"/>
    <w:rsid w:val="00827776"/>
    <w:rsid w:val="00827C23"/>
    <w:rsid w:val="00830A49"/>
    <w:rsid w:val="00831283"/>
    <w:rsid w:val="008314DA"/>
    <w:rsid w:val="0083165A"/>
    <w:rsid w:val="0083222A"/>
    <w:rsid w:val="00832251"/>
    <w:rsid w:val="008324C4"/>
    <w:rsid w:val="00832599"/>
    <w:rsid w:val="00832AB0"/>
    <w:rsid w:val="00832BD6"/>
    <w:rsid w:val="008332BF"/>
    <w:rsid w:val="0083331D"/>
    <w:rsid w:val="0083347F"/>
    <w:rsid w:val="00833683"/>
    <w:rsid w:val="0083376B"/>
    <w:rsid w:val="00833B05"/>
    <w:rsid w:val="00833EA6"/>
    <w:rsid w:val="00834411"/>
    <w:rsid w:val="00834AE6"/>
    <w:rsid w:val="008351C3"/>
    <w:rsid w:val="0083528C"/>
    <w:rsid w:val="00835CBA"/>
    <w:rsid w:val="00835CF3"/>
    <w:rsid w:val="008360CB"/>
    <w:rsid w:val="00836114"/>
    <w:rsid w:val="008362B4"/>
    <w:rsid w:val="00836363"/>
    <w:rsid w:val="008364D5"/>
    <w:rsid w:val="00836853"/>
    <w:rsid w:val="00836963"/>
    <w:rsid w:val="008372C3"/>
    <w:rsid w:val="00837371"/>
    <w:rsid w:val="00837CC7"/>
    <w:rsid w:val="0084062E"/>
    <w:rsid w:val="00840910"/>
    <w:rsid w:val="008409FE"/>
    <w:rsid w:val="00840CA2"/>
    <w:rsid w:val="0084145C"/>
    <w:rsid w:val="008417D2"/>
    <w:rsid w:val="00842340"/>
    <w:rsid w:val="008425AD"/>
    <w:rsid w:val="00842CC3"/>
    <w:rsid w:val="00842F36"/>
    <w:rsid w:val="008431BD"/>
    <w:rsid w:val="0084374F"/>
    <w:rsid w:val="00843753"/>
    <w:rsid w:val="00843A12"/>
    <w:rsid w:val="0084433E"/>
    <w:rsid w:val="008447DF"/>
    <w:rsid w:val="00844A22"/>
    <w:rsid w:val="00845365"/>
    <w:rsid w:val="008454AC"/>
    <w:rsid w:val="00845A0F"/>
    <w:rsid w:val="00845E7D"/>
    <w:rsid w:val="0084638B"/>
    <w:rsid w:val="00846C52"/>
    <w:rsid w:val="00846D6C"/>
    <w:rsid w:val="0084704B"/>
    <w:rsid w:val="00847280"/>
    <w:rsid w:val="008473E7"/>
    <w:rsid w:val="00847703"/>
    <w:rsid w:val="00847C3F"/>
    <w:rsid w:val="00847DF5"/>
    <w:rsid w:val="00847E22"/>
    <w:rsid w:val="00847FB1"/>
    <w:rsid w:val="00850258"/>
    <w:rsid w:val="00850357"/>
    <w:rsid w:val="00850474"/>
    <w:rsid w:val="0085086C"/>
    <w:rsid w:val="008508FC"/>
    <w:rsid w:val="0085139C"/>
    <w:rsid w:val="00851A8F"/>
    <w:rsid w:val="008521C6"/>
    <w:rsid w:val="00852476"/>
    <w:rsid w:val="0085247A"/>
    <w:rsid w:val="00852687"/>
    <w:rsid w:val="00852839"/>
    <w:rsid w:val="00852E90"/>
    <w:rsid w:val="0085309D"/>
    <w:rsid w:val="0085356D"/>
    <w:rsid w:val="00853AD1"/>
    <w:rsid w:val="00854C73"/>
    <w:rsid w:val="00854E60"/>
    <w:rsid w:val="00854FC1"/>
    <w:rsid w:val="00855024"/>
    <w:rsid w:val="0085510A"/>
    <w:rsid w:val="0085560F"/>
    <w:rsid w:val="00855716"/>
    <w:rsid w:val="00855740"/>
    <w:rsid w:val="0085575A"/>
    <w:rsid w:val="0085588D"/>
    <w:rsid w:val="00855F30"/>
    <w:rsid w:val="00856347"/>
    <w:rsid w:val="008564AE"/>
    <w:rsid w:val="00856691"/>
    <w:rsid w:val="00856815"/>
    <w:rsid w:val="00856897"/>
    <w:rsid w:val="00856B68"/>
    <w:rsid w:val="00856DBD"/>
    <w:rsid w:val="00856E9A"/>
    <w:rsid w:val="00857E8D"/>
    <w:rsid w:val="008604E4"/>
    <w:rsid w:val="0086075D"/>
    <w:rsid w:val="00860806"/>
    <w:rsid w:val="00860D97"/>
    <w:rsid w:val="0086115B"/>
    <w:rsid w:val="00861785"/>
    <w:rsid w:val="008621F1"/>
    <w:rsid w:val="0086227E"/>
    <w:rsid w:val="008622D9"/>
    <w:rsid w:val="00862502"/>
    <w:rsid w:val="00862943"/>
    <w:rsid w:val="00862A2A"/>
    <w:rsid w:val="00862CC1"/>
    <w:rsid w:val="00863B0C"/>
    <w:rsid w:val="00863B7C"/>
    <w:rsid w:val="00863DFF"/>
    <w:rsid w:val="00863EAE"/>
    <w:rsid w:val="00864080"/>
    <w:rsid w:val="008642A7"/>
    <w:rsid w:val="008643E2"/>
    <w:rsid w:val="0086474D"/>
    <w:rsid w:val="008647A3"/>
    <w:rsid w:val="00864897"/>
    <w:rsid w:val="008650B0"/>
    <w:rsid w:val="0086542F"/>
    <w:rsid w:val="00865C45"/>
    <w:rsid w:val="008660D4"/>
    <w:rsid w:val="0086649D"/>
    <w:rsid w:val="00866606"/>
    <w:rsid w:val="008670F0"/>
    <w:rsid w:val="00867D13"/>
    <w:rsid w:val="008707D6"/>
    <w:rsid w:val="008708B4"/>
    <w:rsid w:val="00870E67"/>
    <w:rsid w:val="00870F0C"/>
    <w:rsid w:val="008711B8"/>
    <w:rsid w:val="008714CC"/>
    <w:rsid w:val="008715FF"/>
    <w:rsid w:val="00871DF6"/>
    <w:rsid w:val="00871FA9"/>
    <w:rsid w:val="0087202D"/>
    <w:rsid w:val="0087208C"/>
    <w:rsid w:val="008723DD"/>
    <w:rsid w:val="008728E9"/>
    <w:rsid w:val="00872B64"/>
    <w:rsid w:val="00873C69"/>
    <w:rsid w:val="0087500B"/>
    <w:rsid w:val="008757E7"/>
    <w:rsid w:val="00875841"/>
    <w:rsid w:val="00875CDA"/>
    <w:rsid w:val="00876047"/>
    <w:rsid w:val="00876508"/>
    <w:rsid w:val="00876646"/>
    <w:rsid w:val="0087670B"/>
    <w:rsid w:val="008768F7"/>
    <w:rsid w:val="00876D54"/>
    <w:rsid w:val="00876D7A"/>
    <w:rsid w:val="0087708D"/>
    <w:rsid w:val="008774E7"/>
    <w:rsid w:val="00877EFF"/>
    <w:rsid w:val="00880393"/>
    <w:rsid w:val="00880405"/>
    <w:rsid w:val="00880645"/>
    <w:rsid w:val="00880F1D"/>
    <w:rsid w:val="0088132F"/>
    <w:rsid w:val="008816AE"/>
    <w:rsid w:val="0088197A"/>
    <w:rsid w:val="0088282C"/>
    <w:rsid w:val="00882874"/>
    <w:rsid w:val="00882D56"/>
    <w:rsid w:val="00882E3C"/>
    <w:rsid w:val="0088308A"/>
    <w:rsid w:val="008830B6"/>
    <w:rsid w:val="00883787"/>
    <w:rsid w:val="008840FB"/>
    <w:rsid w:val="008844F8"/>
    <w:rsid w:val="00884517"/>
    <w:rsid w:val="00884633"/>
    <w:rsid w:val="008847C6"/>
    <w:rsid w:val="00884935"/>
    <w:rsid w:val="008850FF"/>
    <w:rsid w:val="008854BE"/>
    <w:rsid w:val="008854F1"/>
    <w:rsid w:val="008855E4"/>
    <w:rsid w:val="008857BC"/>
    <w:rsid w:val="008858B3"/>
    <w:rsid w:val="008859F5"/>
    <w:rsid w:val="00885B87"/>
    <w:rsid w:val="00885D56"/>
    <w:rsid w:val="00886172"/>
    <w:rsid w:val="008861C8"/>
    <w:rsid w:val="00886CD2"/>
    <w:rsid w:val="00887297"/>
    <w:rsid w:val="008878C2"/>
    <w:rsid w:val="00887C9E"/>
    <w:rsid w:val="00887D7E"/>
    <w:rsid w:val="008900ED"/>
    <w:rsid w:val="0089115C"/>
    <w:rsid w:val="008914C2"/>
    <w:rsid w:val="00891836"/>
    <w:rsid w:val="00891E6F"/>
    <w:rsid w:val="008922E8"/>
    <w:rsid w:val="0089257E"/>
    <w:rsid w:val="0089267B"/>
    <w:rsid w:val="0089275D"/>
    <w:rsid w:val="008928BA"/>
    <w:rsid w:val="00892A36"/>
    <w:rsid w:val="00892C24"/>
    <w:rsid w:val="00892E66"/>
    <w:rsid w:val="00893239"/>
    <w:rsid w:val="00893A40"/>
    <w:rsid w:val="00894072"/>
    <w:rsid w:val="0089420E"/>
    <w:rsid w:val="00894489"/>
    <w:rsid w:val="008944D3"/>
    <w:rsid w:val="00894580"/>
    <w:rsid w:val="00894CD6"/>
    <w:rsid w:val="00895306"/>
    <w:rsid w:val="008953FE"/>
    <w:rsid w:val="008954BC"/>
    <w:rsid w:val="00895AA1"/>
    <w:rsid w:val="00895ACC"/>
    <w:rsid w:val="00895AD3"/>
    <w:rsid w:val="00895DD4"/>
    <w:rsid w:val="00895F1D"/>
    <w:rsid w:val="008963A5"/>
    <w:rsid w:val="008964A0"/>
    <w:rsid w:val="0089660F"/>
    <w:rsid w:val="00896D5D"/>
    <w:rsid w:val="00896EEA"/>
    <w:rsid w:val="008971CE"/>
    <w:rsid w:val="008976A3"/>
    <w:rsid w:val="00897C08"/>
    <w:rsid w:val="00897CD9"/>
    <w:rsid w:val="008A000E"/>
    <w:rsid w:val="008A004A"/>
    <w:rsid w:val="008A0573"/>
    <w:rsid w:val="008A0B9A"/>
    <w:rsid w:val="008A1164"/>
    <w:rsid w:val="008A1C75"/>
    <w:rsid w:val="008A1E34"/>
    <w:rsid w:val="008A23F2"/>
    <w:rsid w:val="008A2579"/>
    <w:rsid w:val="008A2766"/>
    <w:rsid w:val="008A27E0"/>
    <w:rsid w:val="008A2A66"/>
    <w:rsid w:val="008A2BD1"/>
    <w:rsid w:val="008A2BD9"/>
    <w:rsid w:val="008A2D24"/>
    <w:rsid w:val="008A2D30"/>
    <w:rsid w:val="008A2D78"/>
    <w:rsid w:val="008A2EE3"/>
    <w:rsid w:val="008A3061"/>
    <w:rsid w:val="008A3158"/>
    <w:rsid w:val="008A3363"/>
    <w:rsid w:val="008A3371"/>
    <w:rsid w:val="008A3429"/>
    <w:rsid w:val="008A36BE"/>
    <w:rsid w:val="008A3707"/>
    <w:rsid w:val="008A3BA5"/>
    <w:rsid w:val="008A3C3E"/>
    <w:rsid w:val="008A3F37"/>
    <w:rsid w:val="008A4F7F"/>
    <w:rsid w:val="008A515A"/>
    <w:rsid w:val="008A51A9"/>
    <w:rsid w:val="008A543D"/>
    <w:rsid w:val="008A5528"/>
    <w:rsid w:val="008A5D5B"/>
    <w:rsid w:val="008A60F2"/>
    <w:rsid w:val="008A61A2"/>
    <w:rsid w:val="008A61CB"/>
    <w:rsid w:val="008A61F8"/>
    <w:rsid w:val="008A687F"/>
    <w:rsid w:val="008A6F99"/>
    <w:rsid w:val="008A70E7"/>
    <w:rsid w:val="008A79DE"/>
    <w:rsid w:val="008A7C82"/>
    <w:rsid w:val="008A7FC5"/>
    <w:rsid w:val="008B0452"/>
    <w:rsid w:val="008B07F5"/>
    <w:rsid w:val="008B0818"/>
    <w:rsid w:val="008B0A73"/>
    <w:rsid w:val="008B0C64"/>
    <w:rsid w:val="008B0CC8"/>
    <w:rsid w:val="008B10D9"/>
    <w:rsid w:val="008B1757"/>
    <w:rsid w:val="008B1C33"/>
    <w:rsid w:val="008B1EAB"/>
    <w:rsid w:val="008B21A4"/>
    <w:rsid w:val="008B21F9"/>
    <w:rsid w:val="008B305A"/>
    <w:rsid w:val="008B30A0"/>
    <w:rsid w:val="008B3947"/>
    <w:rsid w:val="008B3995"/>
    <w:rsid w:val="008B3B24"/>
    <w:rsid w:val="008B3CB0"/>
    <w:rsid w:val="008B4330"/>
    <w:rsid w:val="008B458A"/>
    <w:rsid w:val="008B49B8"/>
    <w:rsid w:val="008B4B6F"/>
    <w:rsid w:val="008B50EB"/>
    <w:rsid w:val="008B5732"/>
    <w:rsid w:val="008B576E"/>
    <w:rsid w:val="008B5C23"/>
    <w:rsid w:val="008B6354"/>
    <w:rsid w:val="008B63CB"/>
    <w:rsid w:val="008B65E9"/>
    <w:rsid w:val="008B6626"/>
    <w:rsid w:val="008B6718"/>
    <w:rsid w:val="008B6E9D"/>
    <w:rsid w:val="008B7174"/>
    <w:rsid w:val="008B7737"/>
    <w:rsid w:val="008B7992"/>
    <w:rsid w:val="008B7A27"/>
    <w:rsid w:val="008B7D7E"/>
    <w:rsid w:val="008B7DB6"/>
    <w:rsid w:val="008C059F"/>
    <w:rsid w:val="008C1047"/>
    <w:rsid w:val="008C10D9"/>
    <w:rsid w:val="008C16C0"/>
    <w:rsid w:val="008C1820"/>
    <w:rsid w:val="008C1B46"/>
    <w:rsid w:val="008C2184"/>
    <w:rsid w:val="008C26CB"/>
    <w:rsid w:val="008C2A8A"/>
    <w:rsid w:val="008C3C27"/>
    <w:rsid w:val="008C3EE8"/>
    <w:rsid w:val="008C4989"/>
    <w:rsid w:val="008C49E7"/>
    <w:rsid w:val="008C4A38"/>
    <w:rsid w:val="008C524F"/>
    <w:rsid w:val="008C5610"/>
    <w:rsid w:val="008C5739"/>
    <w:rsid w:val="008C5A66"/>
    <w:rsid w:val="008C5B56"/>
    <w:rsid w:val="008C5EC1"/>
    <w:rsid w:val="008C5ECF"/>
    <w:rsid w:val="008C601A"/>
    <w:rsid w:val="008C65C7"/>
    <w:rsid w:val="008C7145"/>
    <w:rsid w:val="008C7282"/>
    <w:rsid w:val="008C77D2"/>
    <w:rsid w:val="008C7AD0"/>
    <w:rsid w:val="008C7ECB"/>
    <w:rsid w:val="008C7F79"/>
    <w:rsid w:val="008D02EA"/>
    <w:rsid w:val="008D0551"/>
    <w:rsid w:val="008D0E13"/>
    <w:rsid w:val="008D1666"/>
    <w:rsid w:val="008D1FED"/>
    <w:rsid w:val="008D2085"/>
    <w:rsid w:val="008D25B3"/>
    <w:rsid w:val="008D2652"/>
    <w:rsid w:val="008D2672"/>
    <w:rsid w:val="008D2788"/>
    <w:rsid w:val="008D2831"/>
    <w:rsid w:val="008D2883"/>
    <w:rsid w:val="008D32FE"/>
    <w:rsid w:val="008D34F9"/>
    <w:rsid w:val="008D3B86"/>
    <w:rsid w:val="008D3C51"/>
    <w:rsid w:val="008D43FD"/>
    <w:rsid w:val="008D4755"/>
    <w:rsid w:val="008D498E"/>
    <w:rsid w:val="008D4C3D"/>
    <w:rsid w:val="008D4D0D"/>
    <w:rsid w:val="008D5370"/>
    <w:rsid w:val="008D5842"/>
    <w:rsid w:val="008D5F0F"/>
    <w:rsid w:val="008D6E38"/>
    <w:rsid w:val="008D743C"/>
    <w:rsid w:val="008D7B6C"/>
    <w:rsid w:val="008D7CCC"/>
    <w:rsid w:val="008E00D7"/>
    <w:rsid w:val="008E0162"/>
    <w:rsid w:val="008E0CA2"/>
    <w:rsid w:val="008E0D3C"/>
    <w:rsid w:val="008E1035"/>
    <w:rsid w:val="008E1761"/>
    <w:rsid w:val="008E1B9E"/>
    <w:rsid w:val="008E1C6F"/>
    <w:rsid w:val="008E28B8"/>
    <w:rsid w:val="008E28E8"/>
    <w:rsid w:val="008E29F7"/>
    <w:rsid w:val="008E2E13"/>
    <w:rsid w:val="008E46EB"/>
    <w:rsid w:val="008E4CD0"/>
    <w:rsid w:val="008E5539"/>
    <w:rsid w:val="008E55AB"/>
    <w:rsid w:val="008E5C8A"/>
    <w:rsid w:val="008E5D06"/>
    <w:rsid w:val="008E725A"/>
    <w:rsid w:val="008E74F0"/>
    <w:rsid w:val="008E7E6A"/>
    <w:rsid w:val="008F0819"/>
    <w:rsid w:val="008F10F1"/>
    <w:rsid w:val="008F11D7"/>
    <w:rsid w:val="008F120A"/>
    <w:rsid w:val="008F1809"/>
    <w:rsid w:val="008F2225"/>
    <w:rsid w:val="008F2308"/>
    <w:rsid w:val="008F2453"/>
    <w:rsid w:val="008F27E0"/>
    <w:rsid w:val="008F3766"/>
    <w:rsid w:val="008F3920"/>
    <w:rsid w:val="008F3BCD"/>
    <w:rsid w:val="008F3E1D"/>
    <w:rsid w:val="008F4045"/>
    <w:rsid w:val="008F405A"/>
    <w:rsid w:val="008F4108"/>
    <w:rsid w:val="008F48EB"/>
    <w:rsid w:val="008F4F0B"/>
    <w:rsid w:val="008F52A1"/>
    <w:rsid w:val="008F53C6"/>
    <w:rsid w:val="008F5939"/>
    <w:rsid w:val="008F5E3E"/>
    <w:rsid w:val="008F66CC"/>
    <w:rsid w:val="008F6B35"/>
    <w:rsid w:val="008F6C67"/>
    <w:rsid w:val="008F6FBF"/>
    <w:rsid w:val="008F7EC7"/>
    <w:rsid w:val="00900000"/>
    <w:rsid w:val="0090011A"/>
    <w:rsid w:val="009009D1"/>
    <w:rsid w:val="00900C6F"/>
    <w:rsid w:val="00900E1E"/>
    <w:rsid w:val="009019A9"/>
    <w:rsid w:val="00901FEA"/>
    <w:rsid w:val="009028AF"/>
    <w:rsid w:val="0090296F"/>
    <w:rsid w:val="00902C15"/>
    <w:rsid w:val="00902DFE"/>
    <w:rsid w:val="009032E9"/>
    <w:rsid w:val="009033DD"/>
    <w:rsid w:val="009034F4"/>
    <w:rsid w:val="0090361E"/>
    <w:rsid w:val="00903DF7"/>
    <w:rsid w:val="00903E4D"/>
    <w:rsid w:val="009046C4"/>
    <w:rsid w:val="009049B3"/>
    <w:rsid w:val="00904C2B"/>
    <w:rsid w:val="009050A1"/>
    <w:rsid w:val="009050E4"/>
    <w:rsid w:val="009051D9"/>
    <w:rsid w:val="009054BC"/>
    <w:rsid w:val="009056F1"/>
    <w:rsid w:val="00905A8F"/>
    <w:rsid w:val="009062A5"/>
    <w:rsid w:val="00906432"/>
    <w:rsid w:val="00906495"/>
    <w:rsid w:val="00906649"/>
    <w:rsid w:val="00906A12"/>
    <w:rsid w:val="00906D5A"/>
    <w:rsid w:val="00906EE5"/>
    <w:rsid w:val="0090708A"/>
    <w:rsid w:val="009070CD"/>
    <w:rsid w:val="00907699"/>
    <w:rsid w:val="0090785B"/>
    <w:rsid w:val="0091016C"/>
    <w:rsid w:val="00910948"/>
    <w:rsid w:val="00910DD8"/>
    <w:rsid w:val="00910FA7"/>
    <w:rsid w:val="00911051"/>
    <w:rsid w:val="00911257"/>
    <w:rsid w:val="00911272"/>
    <w:rsid w:val="00911339"/>
    <w:rsid w:val="009113E9"/>
    <w:rsid w:val="009116F4"/>
    <w:rsid w:val="0091194E"/>
    <w:rsid w:val="00912630"/>
    <w:rsid w:val="009126A4"/>
    <w:rsid w:val="00912C40"/>
    <w:rsid w:val="009133F1"/>
    <w:rsid w:val="009135D6"/>
    <w:rsid w:val="0091379B"/>
    <w:rsid w:val="009140A2"/>
    <w:rsid w:val="009147F0"/>
    <w:rsid w:val="009148E4"/>
    <w:rsid w:val="009148EC"/>
    <w:rsid w:val="00914B14"/>
    <w:rsid w:val="00914C77"/>
    <w:rsid w:val="00914F87"/>
    <w:rsid w:val="0091512A"/>
    <w:rsid w:val="00915951"/>
    <w:rsid w:val="00915C27"/>
    <w:rsid w:val="00915D1E"/>
    <w:rsid w:val="009164E2"/>
    <w:rsid w:val="009165AB"/>
    <w:rsid w:val="00916A79"/>
    <w:rsid w:val="00917275"/>
    <w:rsid w:val="00917342"/>
    <w:rsid w:val="0091785E"/>
    <w:rsid w:val="00917D5A"/>
    <w:rsid w:val="00920E4C"/>
    <w:rsid w:val="009211C6"/>
    <w:rsid w:val="0092160F"/>
    <w:rsid w:val="00921819"/>
    <w:rsid w:val="00921A37"/>
    <w:rsid w:val="00921ACB"/>
    <w:rsid w:val="00921B36"/>
    <w:rsid w:val="00921E9D"/>
    <w:rsid w:val="00921EE5"/>
    <w:rsid w:val="0092215E"/>
    <w:rsid w:val="00922215"/>
    <w:rsid w:val="0092279E"/>
    <w:rsid w:val="0092321F"/>
    <w:rsid w:val="0092332A"/>
    <w:rsid w:val="0092339F"/>
    <w:rsid w:val="009235E2"/>
    <w:rsid w:val="0092369B"/>
    <w:rsid w:val="009237A5"/>
    <w:rsid w:val="00923B08"/>
    <w:rsid w:val="00924214"/>
    <w:rsid w:val="00924221"/>
    <w:rsid w:val="009246CE"/>
    <w:rsid w:val="009249BC"/>
    <w:rsid w:val="00925AC2"/>
    <w:rsid w:val="00925B59"/>
    <w:rsid w:val="009260B9"/>
    <w:rsid w:val="009262F7"/>
    <w:rsid w:val="00926642"/>
    <w:rsid w:val="0092668C"/>
    <w:rsid w:val="0092740A"/>
    <w:rsid w:val="0092744B"/>
    <w:rsid w:val="00927923"/>
    <w:rsid w:val="00927945"/>
    <w:rsid w:val="0092796A"/>
    <w:rsid w:val="0092797A"/>
    <w:rsid w:val="00927C9A"/>
    <w:rsid w:val="009305DC"/>
    <w:rsid w:val="00930609"/>
    <w:rsid w:val="00930A4D"/>
    <w:rsid w:val="00930DD6"/>
    <w:rsid w:val="00930E5A"/>
    <w:rsid w:val="009320C0"/>
    <w:rsid w:val="00932C4E"/>
    <w:rsid w:val="00932F50"/>
    <w:rsid w:val="0093315B"/>
    <w:rsid w:val="009332DE"/>
    <w:rsid w:val="0093360E"/>
    <w:rsid w:val="00933C03"/>
    <w:rsid w:val="00933FC0"/>
    <w:rsid w:val="009342B9"/>
    <w:rsid w:val="009348C0"/>
    <w:rsid w:val="00934988"/>
    <w:rsid w:val="009353D5"/>
    <w:rsid w:val="0093566E"/>
    <w:rsid w:val="00935B4F"/>
    <w:rsid w:val="009366B0"/>
    <w:rsid w:val="0093672C"/>
    <w:rsid w:val="00936B0C"/>
    <w:rsid w:val="00936D72"/>
    <w:rsid w:val="00937089"/>
    <w:rsid w:val="00937869"/>
    <w:rsid w:val="00937B35"/>
    <w:rsid w:val="00940621"/>
    <w:rsid w:val="00940920"/>
    <w:rsid w:val="0094096A"/>
    <w:rsid w:val="0094106C"/>
    <w:rsid w:val="009416FD"/>
    <w:rsid w:val="009418F7"/>
    <w:rsid w:val="0094197A"/>
    <w:rsid w:val="00941983"/>
    <w:rsid w:val="00941D84"/>
    <w:rsid w:val="00942181"/>
    <w:rsid w:val="0094241F"/>
    <w:rsid w:val="00942CD7"/>
    <w:rsid w:val="0094346F"/>
    <w:rsid w:val="009444CD"/>
    <w:rsid w:val="00944610"/>
    <w:rsid w:val="009447B1"/>
    <w:rsid w:val="00944E93"/>
    <w:rsid w:val="00944F8A"/>
    <w:rsid w:val="0094507C"/>
    <w:rsid w:val="0094559D"/>
    <w:rsid w:val="0094609D"/>
    <w:rsid w:val="00946285"/>
    <w:rsid w:val="00946A57"/>
    <w:rsid w:val="0094705F"/>
    <w:rsid w:val="00947195"/>
    <w:rsid w:val="00947637"/>
    <w:rsid w:val="009478B9"/>
    <w:rsid w:val="00947A21"/>
    <w:rsid w:val="00947FB8"/>
    <w:rsid w:val="009502F6"/>
    <w:rsid w:val="00950589"/>
    <w:rsid w:val="009509BC"/>
    <w:rsid w:val="00950C29"/>
    <w:rsid w:val="00950EE1"/>
    <w:rsid w:val="009510A2"/>
    <w:rsid w:val="00951628"/>
    <w:rsid w:val="0095172F"/>
    <w:rsid w:val="00951854"/>
    <w:rsid w:val="00951E49"/>
    <w:rsid w:val="00951FBC"/>
    <w:rsid w:val="009524AB"/>
    <w:rsid w:val="00952909"/>
    <w:rsid w:val="00952F76"/>
    <w:rsid w:val="00953257"/>
    <w:rsid w:val="009534C3"/>
    <w:rsid w:val="009535B3"/>
    <w:rsid w:val="00953D84"/>
    <w:rsid w:val="0095432D"/>
    <w:rsid w:val="0095474C"/>
    <w:rsid w:val="00954A01"/>
    <w:rsid w:val="00954E70"/>
    <w:rsid w:val="00954FAC"/>
    <w:rsid w:val="00954FEF"/>
    <w:rsid w:val="00955319"/>
    <w:rsid w:val="009557A3"/>
    <w:rsid w:val="00955850"/>
    <w:rsid w:val="00955B20"/>
    <w:rsid w:val="00956D8C"/>
    <w:rsid w:val="00957238"/>
    <w:rsid w:val="00957A74"/>
    <w:rsid w:val="00957D87"/>
    <w:rsid w:val="00957D92"/>
    <w:rsid w:val="00957DE6"/>
    <w:rsid w:val="009602D5"/>
    <w:rsid w:val="00960481"/>
    <w:rsid w:val="00960845"/>
    <w:rsid w:val="0096087A"/>
    <w:rsid w:val="00960EAA"/>
    <w:rsid w:val="00961004"/>
    <w:rsid w:val="009611F7"/>
    <w:rsid w:val="009615FE"/>
    <w:rsid w:val="009617E7"/>
    <w:rsid w:val="009618BC"/>
    <w:rsid w:val="0096195A"/>
    <w:rsid w:val="00961974"/>
    <w:rsid w:val="00961A13"/>
    <w:rsid w:val="00961FE5"/>
    <w:rsid w:val="009626F4"/>
    <w:rsid w:val="00962CB9"/>
    <w:rsid w:val="0096307A"/>
    <w:rsid w:val="009631E7"/>
    <w:rsid w:val="00963265"/>
    <w:rsid w:val="00963C84"/>
    <w:rsid w:val="00963F69"/>
    <w:rsid w:val="00964312"/>
    <w:rsid w:val="00964CDE"/>
    <w:rsid w:val="009650FF"/>
    <w:rsid w:val="00965135"/>
    <w:rsid w:val="0096567B"/>
    <w:rsid w:val="0096590F"/>
    <w:rsid w:val="00965B1A"/>
    <w:rsid w:val="00965B8A"/>
    <w:rsid w:val="00965D67"/>
    <w:rsid w:val="0096615D"/>
    <w:rsid w:val="0096640A"/>
    <w:rsid w:val="00966782"/>
    <w:rsid w:val="00966A4A"/>
    <w:rsid w:val="00967020"/>
    <w:rsid w:val="009671D9"/>
    <w:rsid w:val="0096797C"/>
    <w:rsid w:val="00967C4E"/>
    <w:rsid w:val="00967DC7"/>
    <w:rsid w:val="009706C8"/>
    <w:rsid w:val="0097071F"/>
    <w:rsid w:val="009707A8"/>
    <w:rsid w:val="0097092D"/>
    <w:rsid w:val="00970D13"/>
    <w:rsid w:val="00970DF7"/>
    <w:rsid w:val="00970F21"/>
    <w:rsid w:val="0097117D"/>
    <w:rsid w:val="00971593"/>
    <w:rsid w:val="00971733"/>
    <w:rsid w:val="009717AC"/>
    <w:rsid w:val="00971A87"/>
    <w:rsid w:val="009727B8"/>
    <w:rsid w:val="00972B67"/>
    <w:rsid w:val="00973167"/>
    <w:rsid w:val="009732BE"/>
    <w:rsid w:val="00973AD0"/>
    <w:rsid w:val="00973FAE"/>
    <w:rsid w:val="00974295"/>
    <w:rsid w:val="00974B6B"/>
    <w:rsid w:val="00974D23"/>
    <w:rsid w:val="00974D8F"/>
    <w:rsid w:val="009751C1"/>
    <w:rsid w:val="00975276"/>
    <w:rsid w:val="009757CB"/>
    <w:rsid w:val="00975C64"/>
    <w:rsid w:val="00975FE5"/>
    <w:rsid w:val="0097685A"/>
    <w:rsid w:val="00976AC6"/>
    <w:rsid w:val="00976C53"/>
    <w:rsid w:val="00977672"/>
    <w:rsid w:val="009779D7"/>
    <w:rsid w:val="00977B5E"/>
    <w:rsid w:val="00977C91"/>
    <w:rsid w:val="00977CDC"/>
    <w:rsid w:val="00977DEB"/>
    <w:rsid w:val="00977EB4"/>
    <w:rsid w:val="00980120"/>
    <w:rsid w:val="00980B3E"/>
    <w:rsid w:val="00980ECE"/>
    <w:rsid w:val="009811F1"/>
    <w:rsid w:val="0098146D"/>
    <w:rsid w:val="009819C1"/>
    <w:rsid w:val="009819CE"/>
    <w:rsid w:val="009819DF"/>
    <w:rsid w:val="009824A1"/>
    <w:rsid w:val="0098262F"/>
    <w:rsid w:val="00982924"/>
    <w:rsid w:val="00982C71"/>
    <w:rsid w:val="009833FD"/>
    <w:rsid w:val="00983991"/>
    <w:rsid w:val="00983E57"/>
    <w:rsid w:val="00984005"/>
    <w:rsid w:val="009842F2"/>
    <w:rsid w:val="009845C3"/>
    <w:rsid w:val="009845D7"/>
    <w:rsid w:val="00984BF8"/>
    <w:rsid w:val="00984FE1"/>
    <w:rsid w:val="00985371"/>
    <w:rsid w:val="009855C4"/>
    <w:rsid w:val="00985923"/>
    <w:rsid w:val="00985DE2"/>
    <w:rsid w:val="0098616C"/>
    <w:rsid w:val="0098656C"/>
    <w:rsid w:val="0098675D"/>
    <w:rsid w:val="00986816"/>
    <w:rsid w:val="00986B5B"/>
    <w:rsid w:val="00987110"/>
    <w:rsid w:val="009871C1"/>
    <w:rsid w:val="00987354"/>
    <w:rsid w:val="009873DB"/>
    <w:rsid w:val="00987493"/>
    <w:rsid w:val="00987774"/>
    <w:rsid w:val="009879C0"/>
    <w:rsid w:val="00987A62"/>
    <w:rsid w:val="00987BA4"/>
    <w:rsid w:val="00987D8C"/>
    <w:rsid w:val="00987F19"/>
    <w:rsid w:val="009901CF"/>
    <w:rsid w:val="009905D0"/>
    <w:rsid w:val="0099070E"/>
    <w:rsid w:val="00990859"/>
    <w:rsid w:val="00990AFD"/>
    <w:rsid w:val="00990C46"/>
    <w:rsid w:val="009912CE"/>
    <w:rsid w:val="00991B7C"/>
    <w:rsid w:val="00991FA1"/>
    <w:rsid w:val="009925D8"/>
    <w:rsid w:val="009926BE"/>
    <w:rsid w:val="009926E0"/>
    <w:rsid w:val="00992803"/>
    <w:rsid w:val="00992876"/>
    <w:rsid w:val="009929AC"/>
    <w:rsid w:val="00992F06"/>
    <w:rsid w:val="00993662"/>
    <w:rsid w:val="00993A0E"/>
    <w:rsid w:val="00993C43"/>
    <w:rsid w:val="0099451E"/>
    <w:rsid w:val="00994602"/>
    <w:rsid w:val="00994BF6"/>
    <w:rsid w:val="00994CE3"/>
    <w:rsid w:val="00994E18"/>
    <w:rsid w:val="00994F4A"/>
    <w:rsid w:val="0099512D"/>
    <w:rsid w:val="00995411"/>
    <w:rsid w:val="00995681"/>
    <w:rsid w:val="00995889"/>
    <w:rsid w:val="009958AD"/>
    <w:rsid w:val="00995CB7"/>
    <w:rsid w:val="00996042"/>
    <w:rsid w:val="0099688E"/>
    <w:rsid w:val="00996911"/>
    <w:rsid w:val="00996B1A"/>
    <w:rsid w:val="00996F97"/>
    <w:rsid w:val="009971DB"/>
    <w:rsid w:val="00997238"/>
    <w:rsid w:val="00997420"/>
    <w:rsid w:val="009979C9"/>
    <w:rsid w:val="00997A86"/>
    <w:rsid w:val="00997EAF"/>
    <w:rsid w:val="009A00E1"/>
    <w:rsid w:val="009A080B"/>
    <w:rsid w:val="009A0A01"/>
    <w:rsid w:val="009A0CFC"/>
    <w:rsid w:val="009A0DF3"/>
    <w:rsid w:val="009A0E00"/>
    <w:rsid w:val="009A13D7"/>
    <w:rsid w:val="009A1846"/>
    <w:rsid w:val="009A18F6"/>
    <w:rsid w:val="009A1B15"/>
    <w:rsid w:val="009A26DB"/>
    <w:rsid w:val="009A2A85"/>
    <w:rsid w:val="009A2DCC"/>
    <w:rsid w:val="009A5527"/>
    <w:rsid w:val="009A5699"/>
    <w:rsid w:val="009A5ABC"/>
    <w:rsid w:val="009A5AEA"/>
    <w:rsid w:val="009A5AF6"/>
    <w:rsid w:val="009A63DB"/>
    <w:rsid w:val="009A6432"/>
    <w:rsid w:val="009A68BE"/>
    <w:rsid w:val="009A69DC"/>
    <w:rsid w:val="009A6CCD"/>
    <w:rsid w:val="009A7F10"/>
    <w:rsid w:val="009A7F4C"/>
    <w:rsid w:val="009B0A74"/>
    <w:rsid w:val="009B11C2"/>
    <w:rsid w:val="009B1304"/>
    <w:rsid w:val="009B1F38"/>
    <w:rsid w:val="009B2114"/>
    <w:rsid w:val="009B2302"/>
    <w:rsid w:val="009B2371"/>
    <w:rsid w:val="009B2492"/>
    <w:rsid w:val="009B28CC"/>
    <w:rsid w:val="009B2F2D"/>
    <w:rsid w:val="009B3368"/>
    <w:rsid w:val="009B35D9"/>
    <w:rsid w:val="009B3B84"/>
    <w:rsid w:val="009B3B96"/>
    <w:rsid w:val="009B3E26"/>
    <w:rsid w:val="009B42D0"/>
    <w:rsid w:val="009B45C6"/>
    <w:rsid w:val="009B4865"/>
    <w:rsid w:val="009B4957"/>
    <w:rsid w:val="009B4ABB"/>
    <w:rsid w:val="009B4CEF"/>
    <w:rsid w:val="009B52FD"/>
    <w:rsid w:val="009B5328"/>
    <w:rsid w:val="009B5754"/>
    <w:rsid w:val="009B58CB"/>
    <w:rsid w:val="009B6783"/>
    <w:rsid w:val="009B77B7"/>
    <w:rsid w:val="009B77F2"/>
    <w:rsid w:val="009B7D19"/>
    <w:rsid w:val="009B7FCD"/>
    <w:rsid w:val="009C0C06"/>
    <w:rsid w:val="009C1052"/>
    <w:rsid w:val="009C1135"/>
    <w:rsid w:val="009C1271"/>
    <w:rsid w:val="009C1461"/>
    <w:rsid w:val="009C19C8"/>
    <w:rsid w:val="009C1F1A"/>
    <w:rsid w:val="009C24B7"/>
    <w:rsid w:val="009C25AF"/>
    <w:rsid w:val="009C2A8A"/>
    <w:rsid w:val="009C3174"/>
    <w:rsid w:val="009C34D1"/>
    <w:rsid w:val="009C3706"/>
    <w:rsid w:val="009C38E6"/>
    <w:rsid w:val="009C3A3A"/>
    <w:rsid w:val="009C426B"/>
    <w:rsid w:val="009C45A2"/>
    <w:rsid w:val="009C49E9"/>
    <w:rsid w:val="009C52AC"/>
    <w:rsid w:val="009C5B2B"/>
    <w:rsid w:val="009C5BB0"/>
    <w:rsid w:val="009C5C3C"/>
    <w:rsid w:val="009C60D6"/>
    <w:rsid w:val="009C62B8"/>
    <w:rsid w:val="009C63A1"/>
    <w:rsid w:val="009C63DF"/>
    <w:rsid w:val="009C667D"/>
    <w:rsid w:val="009C6B8C"/>
    <w:rsid w:val="009C6CEA"/>
    <w:rsid w:val="009C7490"/>
    <w:rsid w:val="009C79F7"/>
    <w:rsid w:val="009C7B85"/>
    <w:rsid w:val="009C7FC3"/>
    <w:rsid w:val="009D0254"/>
    <w:rsid w:val="009D0A75"/>
    <w:rsid w:val="009D18A3"/>
    <w:rsid w:val="009D1A64"/>
    <w:rsid w:val="009D2A4B"/>
    <w:rsid w:val="009D2ECD"/>
    <w:rsid w:val="009D2EFF"/>
    <w:rsid w:val="009D3291"/>
    <w:rsid w:val="009D3FBE"/>
    <w:rsid w:val="009D4208"/>
    <w:rsid w:val="009D464D"/>
    <w:rsid w:val="009D4D19"/>
    <w:rsid w:val="009D52AE"/>
    <w:rsid w:val="009D54CD"/>
    <w:rsid w:val="009D5B91"/>
    <w:rsid w:val="009D5C04"/>
    <w:rsid w:val="009D61A3"/>
    <w:rsid w:val="009D641E"/>
    <w:rsid w:val="009D6427"/>
    <w:rsid w:val="009D64DF"/>
    <w:rsid w:val="009D7625"/>
    <w:rsid w:val="009D7666"/>
    <w:rsid w:val="009D792E"/>
    <w:rsid w:val="009D7CDA"/>
    <w:rsid w:val="009E00A2"/>
    <w:rsid w:val="009E0DFE"/>
    <w:rsid w:val="009E1468"/>
    <w:rsid w:val="009E237A"/>
    <w:rsid w:val="009E250C"/>
    <w:rsid w:val="009E2674"/>
    <w:rsid w:val="009E271B"/>
    <w:rsid w:val="009E31F6"/>
    <w:rsid w:val="009E3456"/>
    <w:rsid w:val="009E354B"/>
    <w:rsid w:val="009E38AD"/>
    <w:rsid w:val="009E3DC0"/>
    <w:rsid w:val="009E3F67"/>
    <w:rsid w:val="009E41A9"/>
    <w:rsid w:val="009E43EE"/>
    <w:rsid w:val="009E47F7"/>
    <w:rsid w:val="009E482D"/>
    <w:rsid w:val="009E4A38"/>
    <w:rsid w:val="009E4AE3"/>
    <w:rsid w:val="009E4C07"/>
    <w:rsid w:val="009E5300"/>
    <w:rsid w:val="009E5FD0"/>
    <w:rsid w:val="009E66E8"/>
    <w:rsid w:val="009E6ACD"/>
    <w:rsid w:val="009E6C21"/>
    <w:rsid w:val="009E722E"/>
    <w:rsid w:val="009E777F"/>
    <w:rsid w:val="009E77A7"/>
    <w:rsid w:val="009E7B80"/>
    <w:rsid w:val="009E7E09"/>
    <w:rsid w:val="009E7E7F"/>
    <w:rsid w:val="009E7FD5"/>
    <w:rsid w:val="009F00CE"/>
    <w:rsid w:val="009F0233"/>
    <w:rsid w:val="009F054C"/>
    <w:rsid w:val="009F0846"/>
    <w:rsid w:val="009F0A40"/>
    <w:rsid w:val="009F10B4"/>
    <w:rsid w:val="009F1B64"/>
    <w:rsid w:val="009F223D"/>
    <w:rsid w:val="009F2D7B"/>
    <w:rsid w:val="009F3321"/>
    <w:rsid w:val="009F3B3B"/>
    <w:rsid w:val="009F3B76"/>
    <w:rsid w:val="009F43F4"/>
    <w:rsid w:val="009F4438"/>
    <w:rsid w:val="009F4554"/>
    <w:rsid w:val="009F45D2"/>
    <w:rsid w:val="009F4ECC"/>
    <w:rsid w:val="009F5901"/>
    <w:rsid w:val="009F5970"/>
    <w:rsid w:val="009F59C8"/>
    <w:rsid w:val="009F5A08"/>
    <w:rsid w:val="009F5FB9"/>
    <w:rsid w:val="009F60DB"/>
    <w:rsid w:val="009F6120"/>
    <w:rsid w:val="009F6360"/>
    <w:rsid w:val="009F6390"/>
    <w:rsid w:val="009F65F1"/>
    <w:rsid w:val="009F671E"/>
    <w:rsid w:val="009F6990"/>
    <w:rsid w:val="009F7832"/>
    <w:rsid w:val="00A003ED"/>
    <w:rsid w:val="00A00809"/>
    <w:rsid w:val="00A00D76"/>
    <w:rsid w:val="00A00F71"/>
    <w:rsid w:val="00A01184"/>
    <w:rsid w:val="00A01449"/>
    <w:rsid w:val="00A014B2"/>
    <w:rsid w:val="00A017D0"/>
    <w:rsid w:val="00A01E1A"/>
    <w:rsid w:val="00A025B7"/>
    <w:rsid w:val="00A030CB"/>
    <w:rsid w:val="00A03167"/>
    <w:rsid w:val="00A03301"/>
    <w:rsid w:val="00A03580"/>
    <w:rsid w:val="00A0377C"/>
    <w:rsid w:val="00A037C2"/>
    <w:rsid w:val="00A03D43"/>
    <w:rsid w:val="00A0427C"/>
    <w:rsid w:val="00A04292"/>
    <w:rsid w:val="00A04348"/>
    <w:rsid w:val="00A04380"/>
    <w:rsid w:val="00A04786"/>
    <w:rsid w:val="00A04F9C"/>
    <w:rsid w:val="00A05325"/>
    <w:rsid w:val="00A05472"/>
    <w:rsid w:val="00A05C0D"/>
    <w:rsid w:val="00A05C32"/>
    <w:rsid w:val="00A0653D"/>
    <w:rsid w:val="00A0653F"/>
    <w:rsid w:val="00A0656E"/>
    <w:rsid w:val="00A0669D"/>
    <w:rsid w:val="00A06775"/>
    <w:rsid w:val="00A068DE"/>
    <w:rsid w:val="00A0691B"/>
    <w:rsid w:val="00A06965"/>
    <w:rsid w:val="00A069B9"/>
    <w:rsid w:val="00A06CA4"/>
    <w:rsid w:val="00A071CD"/>
    <w:rsid w:val="00A075F0"/>
    <w:rsid w:val="00A07DCF"/>
    <w:rsid w:val="00A07DD5"/>
    <w:rsid w:val="00A10361"/>
    <w:rsid w:val="00A113F5"/>
    <w:rsid w:val="00A1144F"/>
    <w:rsid w:val="00A11996"/>
    <w:rsid w:val="00A11CD0"/>
    <w:rsid w:val="00A11E0E"/>
    <w:rsid w:val="00A11F81"/>
    <w:rsid w:val="00A120D2"/>
    <w:rsid w:val="00A126EF"/>
    <w:rsid w:val="00A137D4"/>
    <w:rsid w:val="00A13948"/>
    <w:rsid w:val="00A13EF0"/>
    <w:rsid w:val="00A1454D"/>
    <w:rsid w:val="00A14597"/>
    <w:rsid w:val="00A14660"/>
    <w:rsid w:val="00A146BB"/>
    <w:rsid w:val="00A14C68"/>
    <w:rsid w:val="00A15426"/>
    <w:rsid w:val="00A15549"/>
    <w:rsid w:val="00A1555B"/>
    <w:rsid w:val="00A155C5"/>
    <w:rsid w:val="00A15608"/>
    <w:rsid w:val="00A15EB2"/>
    <w:rsid w:val="00A161CD"/>
    <w:rsid w:val="00A16253"/>
    <w:rsid w:val="00A1628B"/>
    <w:rsid w:val="00A164B4"/>
    <w:rsid w:val="00A165BE"/>
    <w:rsid w:val="00A16AD8"/>
    <w:rsid w:val="00A16DC2"/>
    <w:rsid w:val="00A16E97"/>
    <w:rsid w:val="00A17145"/>
    <w:rsid w:val="00A17272"/>
    <w:rsid w:val="00A17650"/>
    <w:rsid w:val="00A17901"/>
    <w:rsid w:val="00A17AE6"/>
    <w:rsid w:val="00A17BB1"/>
    <w:rsid w:val="00A17E45"/>
    <w:rsid w:val="00A2021E"/>
    <w:rsid w:val="00A2056D"/>
    <w:rsid w:val="00A20AB6"/>
    <w:rsid w:val="00A21200"/>
    <w:rsid w:val="00A2127C"/>
    <w:rsid w:val="00A21292"/>
    <w:rsid w:val="00A2152C"/>
    <w:rsid w:val="00A217EE"/>
    <w:rsid w:val="00A21C95"/>
    <w:rsid w:val="00A21CF3"/>
    <w:rsid w:val="00A22087"/>
    <w:rsid w:val="00A220A2"/>
    <w:rsid w:val="00A2214E"/>
    <w:rsid w:val="00A226BE"/>
    <w:rsid w:val="00A22CBE"/>
    <w:rsid w:val="00A22E7E"/>
    <w:rsid w:val="00A2351F"/>
    <w:rsid w:val="00A23785"/>
    <w:rsid w:val="00A23923"/>
    <w:rsid w:val="00A23F2C"/>
    <w:rsid w:val="00A24813"/>
    <w:rsid w:val="00A253CE"/>
    <w:rsid w:val="00A2551A"/>
    <w:rsid w:val="00A2568C"/>
    <w:rsid w:val="00A2611C"/>
    <w:rsid w:val="00A2618C"/>
    <w:rsid w:val="00A26263"/>
    <w:rsid w:val="00A267A7"/>
    <w:rsid w:val="00A26D8A"/>
    <w:rsid w:val="00A26F13"/>
    <w:rsid w:val="00A2740F"/>
    <w:rsid w:val="00A2774C"/>
    <w:rsid w:val="00A279F0"/>
    <w:rsid w:val="00A27AEC"/>
    <w:rsid w:val="00A27D55"/>
    <w:rsid w:val="00A300E7"/>
    <w:rsid w:val="00A30C1C"/>
    <w:rsid w:val="00A30FB5"/>
    <w:rsid w:val="00A3130A"/>
    <w:rsid w:val="00A31F79"/>
    <w:rsid w:val="00A320DB"/>
    <w:rsid w:val="00A3215E"/>
    <w:rsid w:val="00A32229"/>
    <w:rsid w:val="00A32968"/>
    <w:rsid w:val="00A32BCD"/>
    <w:rsid w:val="00A33946"/>
    <w:rsid w:val="00A34038"/>
    <w:rsid w:val="00A3468B"/>
    <w:rsid w:val="00A348AB"/>
    <w:rsid w:val="00A348E6"/>
    <w:rsid w:val="00A348E9"/>
    <w:rsid w:val="00A34AA7"/>
    <w:rsid w:val="00A353A4"/>
    <w:rsid w:val="00A35CC8"/>
    <w:rsid w:val="00A35D0E"/>
    <w:rsid w:val="00A35D16"/>
    <w:rsid w:val="00A362C2"/>
    <w:rsid w:val="00A36F49"/>
    <w:rsid w:val="00A372E7"/>
    <w:rsid w:val="00A37447"/>
    <w:rsid w:val="00A377C9"/>
    <w:rsid w:val="00A37BCD"/>
    <w:rsid w:val="00A37C52"/>
    <w:rsid w:val="00A37DCA"/>
    <w:rsid w:val="00A37E6C"/>
    <w:rsid w:val="00A405CA"/>
    <w:rsid w:val="00A40E12"/>
    <w:rsid w:val="00A4104F"/>
    <w:rsid w:val="00A41064"/>
    <w:rsid w:val="00A410C4"/>
    <w:rsid w:val="00A410F1"/>
    <w:rsid w:val="00A412B5"/>
    <w:rsid w:val="00A41644"/>
    <w:rsid w:val="00A41689"/>
    <w:rsid w:val="00A41801"/>
    <w:rsid w:val="00A42592"/>
    <w:rsid w:val="00A426F8"/>
    <w:rsid w:val="00A42B02"/>
    <w:rsid w:val="00A42E2E"/>
    <w:rsid w:val="00A439D6"/>
    <w:rsid w:val="00A43A3D"/>
    <w:rsid w:val="00A43C59"/>
    <w:rsid w:val="00A43DEE"/>
    <w:rsid w:val="00A44073"/>
    <w:rsid w:val="00A444D2"/>
    <w:rsid w:val="00A447EB"/>
    <w:rsid w:val="00A4497F"/>
    <w:rsid w:val="00A452D0"/>
    <w:rsid w:val="00A4561B"/>
    <w:rsid w:val="00A458EA"/>
    <w:rsid w:val="00A460BC"/>
    <w:rsid w:val="00A47086"/>
    <w:rsid w:val="00A47096"/>
    <w:rsid w:val="00A472AA"/>
    <w:rsid w:val="00A479C6"/>
    <w:rsid w:val="00A47AA0"/>
    <w:rsid w:val="00A50001"/>
    <w:rsid w:val="00A50151"/>
    <w:rsid w:val="00A50473"/>
    <w:rsid w:val="00A50D5B"/>
    <w:rsid w:val="00A50ECD"/>
    <w:rsid w:val="00A51532"/>
    <w:rsid w:val="00A51895"/>
    <w:rsid w:val="00A518F3"/>
    <w:rsid w:val="00A51ACD"/>
    <w:rsid w:val="00A52260"/>
    <w:rsid w:val="00A524B2"/>
    <w:rsid w:val="00A52729"/>
    <w:rsid w:val="00A52B2D"/>
    <w:rsid w:val="00A52C3F"/>
    <w:rsid w:val="00A52E55"/>
    <w:rsid w:val="00A53675"/>
    <w:rsid w:val="00A536EA"/>
    <w:rsid w:val="00A536F3"/>
    <w:rsid w:val="00A5495F"/>
    <w:rsid w:val="00A54ECC"/>
    <w:rsid w:val="00A553C6"/>
    <w:rsid w:val="00A55E87"/>
    <w:rsid w:val="00A55FBD"/>
    <w:rsid w:val="00A564D7"/>
    <w:rsid w:val="00A566C4"/>
    <w:rsid w:val="00A56737"/>
    <w:rsid w:val="00A568D9"/>
    <w:rsid w:val="00A56AF2"/>
    <w:rsid w:val="00A56B6A"/>
    <w:rsid w:val="00A56DC6"/>
    <w:rsid w:val="00A56F8D"/>
    <w:rsid w:val="00A572FC"/>
    <w:rsid w:val="00A578DC"/>
    <w:rsid w:val="00A57BDD"/>
    <w:rsid w:val="00A60118"/>
    <w:rsid w:val="00A60183"/>
    <w:rsid w:val="00A60963"/>
    <w:rsid w:val="00A6125E"/>
    <w:rsid w:val="00A612A6"/>
    <w:rsid w:val="00A614FB"/>
    <w:rsid w:val="00A61AAD"/>
    <w:rsid w:val="00A61F19"/>
    <w:rsid w:val="00A61F9D"/>
    <w:rsid w:val="00A61FC3"/>
    <w:rsid w:val="00A620EF"/>
    <w:rsid w:val="00A627FA"/>
    <w:rsid w:val="00A63044"/>
    <w:rsid w:val="00A63090"/>
    <w:rsid w:val="00A63971"/>
    <w:rsid w:val="00A63AFD"/>
    <w:rsid w:val="00A640DF"/>
    <w:rsid w:val="00A640E2"/>
    <w:rsid w:val="00A649DE"/>
    <w:rsid w:val="00A64D65"/>
    <w:rsid w:val="00A6514F"/>
    <w:rsid w:val="00A6540D"/>
    <w:rsid w:val="00A656DB"/>
    <w:rsid w:val="00A65770"/>
    <w:rsid w:val="00A660BA"/>
    <w:rsid w:val="00A663C0"/>
    <w:rsid w:val="00A66BCE"/>
    <w:rsid w:val="00A66DF0"/>
    <w:rsid w:val="00A67127"/>
    <w:rsid w:val="00A6725B"/>
    <w:rsid w:val="00A6731D"/>
    <w:rsid w:val="00A674EB"/>
    <w:rsid w:val="00A675F0"/>
    <w:rsid w:val="00A67931"/>
    <w:rsid w:val="00A67939"/>
    <w:rsid w:val="00A67D00"/>
    <w:rsid w:val="00A67ED6"/>
    <w:rsid w:val="00A70516"/>
    <w:rsid w:val="00A70605"/>
    <w:rsid w:val="00A707BA"/>
    <w:rsid w:val="00A71124"/>
    <w:rsid w:val="00A711C9"/>
    <w:rsid w:val="00A71290"/>
    <w:rsid w:val="00A719B7"/>
    <w:rsid w:val="00A73134"/>
    <w:rsid w:val="00A732FF"/>
    <w:rsid w:val="00A7365A"/>
    <w:rsid w:val="00A736FB"/>
    <w:rsid w:val="00A737D6"/>
    <w:rsid w:val="00A7490F"/>
    <w:rsid w:val="00A751CA"/>
    <w:rsid w:val="00A752A2"/>
    <w:rsid w:val="00A752EF"/>
    <w:rsid w:val="00A75705"/>
    <w:rsid w:val="00A75719"/>
    <w:rsid w:val="00A7598C"/>
    <w:rsid w:val="00A75BA0"/>
    <w:rsid w:val="00A75F43"/>
    <w:rsid w:val="00A75FEE"/>
    <w:rsid w:val="00A76001"/>
    <w:rsid w:val="00A7628A"/>
    <w:rsid w:val="00A763D0"/>
    <w:rsid w:val="00A7663F"/>
    <w:rsid w:val="00A76948"/>
    <w:rsid w:val="00A76A9A"/>
    <w:rsid w:val="00A76CF3"/>
    <w:rsid w:val="00A772EA"/>
    <w:rsid w:val="00A77749"/>
    <w:rsid w:val="00A777B2"/>
    <w:rsid w:val="00A7780C"/>
    <w:rsid w:val="00A8023F"/>
    <w:rsid w:val="00A808A4"/>
    <w:rsid w:val="00A80D0E"/>
    <w:rsid w:val="00A80EF6"/>
    <w:rsid w:val="00A80FB7"/>
    <w:rsid w:val="00A81599"/>
    <w:rsid w:val="00A825D4"/>
    <w:rsid w:val="00A828F6"/>
    <w:rsid w:val="00A82B73"/>
    <w:rsid w:val="00A82BAB"/>
    <w:rsid w:val="00A82F4B"/>
    <w:rsid w:val="00A831B7"/>
    <w:rsid w:val="00A837E2"/>
    <w:rsid w:val="00A83E8F"/>
    <w:rsid w:val="00A84899"/>
    <w:rsid w:val="00A848CD"/>
    <w:rsid w:val="00A8531A"/>
    <w:rsid w:val="00A8536D"/>
    <w:rsid w:val="00A8547D"/>
    <w:rsid w:val="00A85564"/>
    <w:rsid w:val="00A85582"/>
    <w:rsid w:val="00A86227"/>
    <w:rsid w:val="00A8650E"/>
    <w:rsid w:val="00A86B2D"/>
    <w:rsid w:val="00A86E8B"/>
    <w:rsid w:val="00A86F62"/>
    <w:rsid w:val="00A87164"/>
    <w:rsid w:val="00A871A9"/>
    <w:rsid w:val="00A87549"/>
    <w:rsid w:val="00A87748"/>
    <w:rsid w:val="00A87938"/>
    <w:rsid w:val="00A8798A"/>
    <w:rsid w:val="00A87FD2"/>
    <w:rsid w:val="00A904C8"/>
    <w:rsid w:val="00A9068A"/>
    <w:rsid w:val="00A90FDA"/>
    <w:rsid w:val="00A915DC"/>
    <w:rsid w:val="00A916D9"/>
    <w:rsid w:val="00A918FA"/>
    <w:rsid w:val="00A91925"/>
    <w:rsid w:val="00A91BB9"/>
    <w:rsid w:val="00A92680"/>
    <w:rsid w:val="00A92A2C"/>
    <w:rsid w:val="00A93072"/>
    <w:rsid w:val="00A9314C"/>
    <w:rsid w:val="00A93453"/>
    <w:rsid w:val="00A9362E"/>
    <w:rsid w:val="00A938A9"/>
    <w:rsid w:val="00A938BD"/>
    <w:rsid w:val="00A93953"/>
    <w:rsid w:val="00A93B25"/>
    <w:rsid w:val="00A94C60"/>
    <w:rsid w:val="00A95487"/>
    <w:rsid w:val="00A959D8"/>
    <w:rsid w:val="00A95CE9"/>
    <w:rsid w:val="00A95D29"/>
    <w:rsid w:val="00A95ED9"/>
    <w:rsid w:val="00A96154"/>
    <w:rsid w:val="00A963B5"/>
    <w:rsid w:val="00A968EA"/>
    <w:rsid w:val="00A96914"/>
    <w:rsid w:val="00A96D42"/>
    <w:rsid w:val="00A970D3"/>
    <w:rsid w:val="00A9711B"/>
    <w:rsid w:val="00A975B1"/>
    <w:rsid w:val="00A97691"/>
    <w:rsid w:val="00AA0341"/>
    <w:rsid w:val="00AA0620"/>
    <w:rsid w:val="00AA0D7F"/>
    <w:rsid w:val="00AA1004"/>
    <w:rsid w:val="00AA113D"/>
    <w:rsid w:val="00AA13B2"/>
    <w:rsid w:val="00AA1A6C"/>
    <w:rsid w:val="00AA1D65"/>
    <w:rsid w:val="00AA2370"/>
    <w:rsid w:val="00AA2525"/>
    <w:rsid w:val="00AA263A"/>
    <w:rsid w:val="00AA2F77"/>
    <w:rsid w:val="00AA3F41"/>
    <w:rsid w:val="00AA4015"/>
    <w:rsid w:val="00AA4529"/>
    <w:rsid w:val="00AA4ADC"/>
    <w:rsid w:val="00AA4BC0"/>
    <w:rsid w:val="00AA58FF"/>
    <w:rsid w:val="00AA62B0"/>
    <w:rsid w:val="00AA6540"/>
    <w:rsid w:val="00AA65AF"/>
    <w:rsid w:val="00AA6AB1"/>
    <w:rsid w:val="00AA6BD5"/>
    <w:rsid w:val="00AA6BD8"/>
    <w:rsid w:val="00AA6C7D"/>
    <w:rsid w:val="00AA6D49"/>
    <w:rsid w:val="00AA6FB4"/>
    <w:rsid w:val="00AA78C7"/>
    <w:rsid w:val="00AA7C81"/>
    <w:rsid w:val="00AA7FD6"/>
    <w:rsid w:val="00AB0239"/>
    <w:rsid w:val="00AB042A"/>
    <w:rsid w:val="00AB089E"/>
    <w:rsid w:val="00AB11AD"/>
    <w:rsid w:val="00AB14C2"/>
    <w:rsid w:val="00AB17A4"/>
    <w:rsid w:val="00AB19EF"/>
    <w:rsid w:val="00AB1BB3"/>
    <w:rsid w:val="00AB20DB"/>
    <w:rsid w:val="00AB227B"/>
    <w:rsid w:val="00AB2495"/>
    <w:rsid w:val="00AB28C2"/>
    <w:rsid w:val="00AB2D34"/>
    <w:rsid w:val="00AB303F"/>
    <w:rsid w:val="00AB32ED"/>
    <w:rsid w:val="00AB3430"/>
    <w:rsid w:val="00AB34D1"/>
    <w:rsid w:val="00AB37B9"/>
    <w:rsid w:val="00AB3D5E"/>
    <w:rsid w:val="00AB4949"/>
    <w:rsid w:val="00AB49C1"/>
    <w:rsid w:val="00AB4AD1"/>
    <w:rsid w:val="00AB4BF8"/>
    <w:rsid w:val="00AB4DFD"/>
    <w:rsid w:val="00AB51BF"/>
    <w:rsid w:val="00AB593B"/>
    <w:rsid w:val="00AB5AF0"/>
    <w:rsid w:val="00AB5E07"/>
    <w:rsid w:val="00AB61BC"/>
    <w:rsid w:val="00AB62CF"/>
    <w:rsid w:val="00AB69E7"/>
    <w:rsid w:val="00AB6B49"/>
    <w:rsid w:val="00AB7401"/>
    <w:rsid w:val="00AB783C"/>
    <w:rsid w:val="00AB78AD"/>
    <w:rsid w:val="00AB78DE"/>
    <w:rsid w:val="00AB795E"/>
    <w:rsid w:val="00AB7C63"/>
    <w:rsid w:val="00AB7CFA"/>
    <w:rsid w:val="00AC0107"/>
    <w:rsid w:val="00AC0CA3"/>
    <w:rsid w:val="00AC0FFE"/>
    <w:rsid w:val="00AC1203"/>
    <w:rsid w:val="00AC164C"/>
    <w:rsid w:val="00AC1C6A"/>
    <w:rsid w:val="00AC1CCB"/>
    <w:rsid w:val="00AC1D0D"/>
    <w:rsid w:val="00AC2371"/>
    <w:rsid w:val="00AC23EC"/>
    <w:rsid w:val="00AC24E8"/>
    <w:rsid w:val="00AC354D"/>
    <w:rsid w:val="00AC38FD"/>
    <w:rsid w:val="00AC38FF"/>
    <w:rsid w:val="00AC3D27"/>
    <w:rsid w:val="00AC3F39"/>
    <w:rsid w:val="00AC43DF"/>
    <w:rsid w:val="00AC4488"/>
    <w:rsid w:val="00AC45DD"/>
    <w:rsid w:val="00AC4728"/>
    <w:rsid w:val="00AC4AE1"/>
    <w:rsid w:val="00AC4B14"/>
    <w:rsid w:val="00AC4DCE"/>
    <w:rsid w:val="00AC5448"/>
    <w:rsid w:val="00AC5530"/>
    <w:rsid w:val="00AC5B42"/>
    <w:rsid w:val="00AC5B48"/>
    <w:rsid w:val="00AC5BD6"/>
    <w:rsid w:val="00AC608D"/>
    <w:rsid w:val="00AC60AE"/>
    <w:rsid w:val="00AC6331"/>
    <w:rsid w:val="00AC7073"/>
    <w:rsid w:val="00AC72CB"/>
    <w:rsid w:val="00AC7739"/>
    <w:rsid w:val="00AC7B42"/>
    <w:rsid w:val="00AC7D06"/>
    <w:rsid w:val="00AD0547"/>
    <w:rsid w:val="00AD0AB7"/>
    <w:rsid w:val="00AD1450"/>
    <w:rsid w:val="00AD15E8"/>
    <w:rsid w:val="00AD1A31"/>
    <w:rsid w:val="00AD1AB5"/>
    <w:rsid w:val="00AD1B41"/>
    <w:rsid w:val="00AD1DD9"/>
    <w:rsid w:val="00AD1F87"/>
    <w:rsid w:val="00AD1FB8"/>
    <w:rsid w:val="00AD20C0"/>
    <w:rsid w:val="00AD2306"/>
    <w:rsid w:val="00AD30B1"/>
    <w:rsid w:val="00AD3154"/>
    <w:rsid w:val="00AD343D"/>
    <w:rsid w:val="00AD356D"/>
    <w:rsid w:val="00AD3714"/>
    <w:rsid w:val="00AD434D"/>
    <w:rsid w:val="00AD551B"/>
    <w:rsid w:val="00AD552D"/>
    <w:rsid w:val="00AD6502"/>
    <w:rsid w:val="00AD6819"/>
    <w:rsid w:val="00AD7014"/>
    <w:rsid w:val="00AD73D7"/>
    <w:rsid w:val="00AD7EC4"/>
    <w:rsid w:val="00AE016E"/>
    <w:rsid w:val="00AE032C"/>
    <w:rsid w:val="00AE0617"/>
    <w:rsid w:val="00AE065E"/>
    <w:rsid w:val="00AE0695"/>
    <w:rsid w:val="00AE0B3D"/>
    <w:rsid w:val="00AE0D07"/>
    <w:rsid w:val="00AE0DE7"/>
    <w:rsid w:val="00AE0E50"/>
    <w:rsid w:val="00AE1327"/>
    <w:rsid w:val="00AE1362"/>
    <w:rsid w:val="00AE17A8"/>
    <w:rsid w:val="00AE1A06"/>
    <w:rsid w:val="00AE27FA"/>
    <w:rsid w:val="00AE2CB4"/>
    <w:rsid w:val="00AE2DCF"/>
    <w:rsid w:val="00AE367F"/>
    <w:rsid w:val="00AE3CA5"/>
    <w:rsid w:val="00AE3CC5"/>
    <w:rsid w:val="00AE3E7E"/>
    <w:rsid w:val="00AE445A"/>
    <w:rsid w:val="00AE4C35"/>
    <w:rsid w:val="00AE4E3E"/>
    <w:rsid w:val="00AE4E68"/>
    <w:rsid w:val="00AE5293"/>
    <w:rsid w:val="00AE558C"/>
    <w:rsid w:val="00AE68DF"/>
    <w:rsid w:val="00AE6A3F"/>
    <w:rsid w:val="00AE6BAE"/>
    <w:rsid w:val="00AE75C7"/>
    <w:rsid w:val="00AE75E9"/>
    <w:rsid w:val="00AE7BA1"/>
    <w:rsid w:val="00AE7E53"/>
    <w:rsid w:val="00AE7FED"/>
    <w:rsid w:val="00AF096F"/>
    <w:rsid w:val="00AF0B99"/>
    <w:rsid w:val="00AF0E58"/>
    <w:rsid w:val="00AF1075"/>
    <w:rsid w:val="00AF1120"/>
    <w:rsid w:val="00AF1315"/>
    <w:rsid w:val="00AF1548"/>
    <w:rsid w:val="00AF19BF"/>
    <w:rsid w:val="00AF1E3D"/>
    <w:rsid w:val="00AF2763"/>
    <w:rsid w:val="00AF2779"/>
    <w:rsid w:val="00AF2DC3"/>
    <w:rsid w:val="00AF3DAB"/>
    <w:rsid w:val="00AF411B"/>
    <w:rsid w:val="00AF467D"/>
    <w:rsid w:val="00AF5154"/>
    <w:rsid w:val="00AF523D"/>
    <w:rsid w:val="00AF52C0"/>
    <w:rsid w:val="00AF544D"/>
    <w:rsid w:val="00AF5866"/>
    <w:rsid w:val="00AF5C19"/>
    <w:rsid w:val="00AF6201"/>
    <w:rsid w:val="00AF6B04"/>
    <w:rsid w:val="00AF6B8F"/>
    <w:rsid w:val="00AF70E8"/>
    <w:rsid w:val="00AF7228"/>
    <w:rsid w:val="00AF738A"/>
    <w:rsid w:val="00AF74CC"/>
    <w:rsid w:val="00AF754E"/>
    <w:rsid w:val="00AF7703"/>
    <w:rsid w:val="00AF7819"/>
    <w:rsid w:val="00AF7A45"/>
    <w:rsid w:val="00B0078B"/>
    <w:rsid w:val="00B00D52"/>
    <w:rsid w:val="00B00E39"/>
    <w:rsid w:val="00B0128B"/>
    <w:rsid w:val="00B01CED"/>
    <w:rsid w:val="00B01E6F"/>
    <w:rsid w:val="00B01EA2"/>
    <w:rsid w:val="00B02349"/>
    <w:rsid w:val="00B02430"/>
    <w:rsid w:val="00B0257C"/>
    <w:rsid w:val="00B026D7"/>
    <w:rsid w:val="00B02B89"/>
    <w:rsid w:val="00B02E14"/>
    <w:rsid w:val="00B02EFE"/>
    <w:rsid w:val="00B0306A"/>
    <w:rsid w:val="00B033E5"/>
    <w:rsid w:val="00B03505"/>
    <w:rsid w:val="00B036DC"/>
    <w:rsid w:val="00B03744"/>
    <w:rsid w:val="00B038A8"/>
    <w:rsid w:val="00B03A63"/>
    <w:rsid w:val="00B03B51"/>
    <w:rsid w:val="00B03DDE"/>
    <w:rsid w:val="00B04481"/>
    <w:rsid w:val="00B04842"/>
    <w:rsid w:val="00B04C1F"/>
    <w:rsid w:val="00B0541C"/>
    <w:rsid w:val="00B05ED2"/>
    <w:rsid w:val="00B05F3D"/>
    <w:rsid w:val="00B066F0"/>
    <w:rsid w:val="00B06A31"/>
    <w:rsid w:val="00B06B57"/>
    <w:rsid w:val="00B074C9"/>
    <w:rsid w:val="00B07A44"/>
    <w:rsid w:val="00B103FF"/>
    <w:rsid w:val="00B10E36"/>
    <w:rsid w:val="00B112D6"/>
    <w:rsid w:val="00B11BD0"/>
    <w:rsid w:val="00B11D61"/>
    <w:rsid w:val="00B1210F"/>
    <w:rsid w:val="00B121D7"/>
    <w:rsid w:val="00B124C1"/>
    <w:rsid w:val="00B12570"/>
    <w:rsid w:val="00B129A4"/>
    <w:rsid w:val="00B12D53"/>
    <w:rsid w:val="00B130BE"/>
    <w:rsid w:val="00B130C1"/>
    <w:rsid w:val="00B131D1"/>
    <w:rsid w:val="00B1349F"/>
    <w:rsid w:val="00B13622"/>
    <w:rsid w:val="00B139A6"/>
    <w:rsid w:val="00B1527C"/>
    <w:rsid w:val="00B15A0C"/>
    <w:rsid w:val="00B15B07"/>
    <w:rsid w:val="00B161BA"/>
    <w:rsid w:val="00B16DF2"/>
    <w:rsid w:val="00B170AB"/>
    <w:rsid w:val="00B17319"/>
    <w:rsid w:val="00B17689"/>
    <w:rsid w:val="00B176F6"/>
    <w:rsid w:val="00B17957"/>
    <w:rsid w:val="00B17A92"/>
    <w:rsid w:val="00B17B10"/>
    <w:rsid w:val="00B17B6E"/>
    <w:rsid w:val="00B17C8F"/>
    <w:rsid w:val="00B17CF3"/>
    <w:rsid w:val="00B17FEA"/>
    <w:rsid w:val="00B201A4"/>
    <w:rsid w:val="00B201D1"/>
    <w:rsid w:val="00B20474"/>
    <w:rsid w:val="00B20BFC"/>
    <w:rsid w:val="00B20D01"/>
    <w:rsid w:val="00B20DF3"/>
    <w:rsid w:val="00B20E88"/>
    <w:rsid w:val="00B21239"/>
    <w:rsid w:val="00B213A6"/>
    <w:rsid w:val="00B21A5C"/>
    <w:rsid w:val="00B21CE3"/>
    <w:rsid w:val="00B21ED8"/>
    <w:rsid w:val="00B21F72"/>
    <w:rsid w:val="00B22254"/>
    <w:rsid w:val="00B2276A"/>
    <w:rsid w:val="00B231F6"/>
    <w:rsid w:val="00B235B0"/>
    <w:rsid w:val="00B23734"/>
    <w:rsid w:val="00B23EE0"/>
    <w:rsid w:val="00B23F25"/>
    <w:rsid w:val="00B24542"/>
    <w:rsid w:val="00B2460C"/>
    <w:rsid w:val="00B24C27"/>
    <w:rsid w:val="00B24DF6"/>
    <w:rsid w:val="00B25287"/>
    <w:rsid w:val="00B25837"/>
    <w:rsid w:val="00B2625C"/>
    <w:rsid w:val="00B263A6"/>
    <w:rsid w:val="00B26818"/>
    <w:rsid w:val="00B2682C"/>
    <w:rsid w:val="00B26AE5"/>
    <w:rsid w:val="00B2762E"/>
    <w:rsid w:val="00B279A9"/>
    <w:rsid w:val="00B27A61"/>
    <w:rsid w:val="00B27BBC"/>
    <w:rsid w:val="00B301D5"/>
    <w:rsid w:val="00B30E9F"/>
    <w:rsid w:val="00B31208"/>
    <w:rsid w:val="00B312F1"/>
    <w:rsid w:val="00B3147A"/>
    <w:rsid w:val="00B316A3"/>
    <w:rsid w:val="00B31837"/>
    <w:rsid w:val="00B31CBD"/>
    <w:rsid w:val="00B31E5A"/>
    <w:rsid w:val="00B3284A"/>
    <w:rsid w:val="00B32D80"/>
    <w:rsid w:val="00B32FE7"/>
    <w:rsid w:val="00B33313"/>
    <w:rsid w:val="00B33D3C"/>
    <w:rsid w:val="00B342B0"/>
    <w:rsid w:val="00B34952"/>
    <w:rsid w:val="00B34DC5"/>
    <w:rsid w:val="00B34FE2"/>
    <w:rsid w:val="00B35166"/>
    <w:rsid w:val="00B352CE"/>
    <w:rsid w:val="00B357D8"/>
    <w:rsid w:val="00B35986"/>
    <w:rsid w:val="00B360F4"/>
    <w:rsid w:val="00B3615D"/>
    <w:rsid w:val="00B364C3"/>
    <w:rsid w:val="00B364E8"/>
    <w:rsid w:val="00B365AD"/>
    <w:rsid w:val="00B36845"/>
    <w:rsid w:val="00B36A00"/>
    <w:rsid w:val="00B370D0"/>
    <w:rsid w:val="00B373BB"/>
    <w:rsid w:val="00B3792B"/>
    <w:rsid w:val="00B37BFC"/>
    <w:rsid w:val="00B4000A"/>
    <w:rsid w:val="00B40022"/>
    <w:rsid w:val="00B402E7"/>
    <w:rsid w:val="00B40358"/>
    <w:rsid w:val="00B40744"/>
    <w:rsid w:val="00B410BE"/>
    <w:rsid w:val="00B41128"/>
    <w:rsid w:val="00B413CC"/>
    <w:rsid w:val="00B41614"/>
    <w:rsid w:val="00B41B44"/>
    <w:rsid w:val="00B41D57"/>
    <w:rsid w:val="00B42056"/>
    <w:rsid w:val="00B425F9"/>
    <w:rsid w:val="00B426B8"/>
    <w:rsid w:val="00B42851"/>
    <w:rsid w:val="00B429E7"/>
    <w:rsid w:val="00B42B13"/>
    <w:rsid w:val="00B42E54"/>
    <w:rsid w:val="00B42F80"/>
    <w:rsid w:val="00B43384"/>
    <w:rsid w:val="00B435CB"/>
    <w:rsid w:val="00B4378D"/>
    <w:rsid w:val="00B43D39"/>
    <w:rsid w:val="00B44080"/>
    <w:rsid w:val="00B44113"/>
    <w:rsid w:val="00B4420F"/>
    <w:rsid w:val="00B44756"/>
    <w:rsid w:val="00B44936"/>
    <w:rsid w:val="00B44C3A"/>
    <w:rsid w:val="00B4565C"/>
    <w:rsid w:val="00B45B85"/>
    <w:rsid w:val="00B45DA8"/>
    <w:rsid w:val="00B463D2"/>
    <w:rsid w:val="00B464B0"/>
    <w:rsid w:val="00B465EC"/>
    <w:rsid w:val="00B467AE"/>
    <w:rsid w:val="00B46BA0"/>
    <w:rsid w:val="00B46BF9"/>
    <w:rsid w:val="00B477FE"/>
    <w:rsid w:val="00B47833"/>
    <w:rsid w:val="00B4786C"/>
    <w:rsid w:val="00B505C8"/>
    <w:rsid w:val="00B5087B"/>
    <w:rsid w:val="00B509EC"/>
    <w:rsid w:val="00B50B28"/>
    <w:rsid w:val="00B50CEB"/>
    <w:rsid w:val="00B50DB8"/>
    <w:rsid w:val="00B51827"/>
    <w:rsid w:val="00B521E6"/>
    <w:rsid w:val="00B5278A"/>
    <w:rsid w:val="00B527D8"/>
    <w:rsid w:val="00B5330B"/>
    <w:rsid w:val="00B5352B"/>
    <w:rsid w:val="00B53654"/>
    <w:rsid w:val="00B53732"/>
    <w:rsid w:val="00B53875"/>
    <w:rsid w:val="00B53905"/>
    <w:rsid w:val="00B53C1D"/>
    <w:rsid w:val="00B53DF1"/>
    <w:rsid w:val="00B53E32"/>
    <w:rsid w:val="00B53E4E"/>
    <w:rsid w:val="00B546DB"/>
    <w:rsid w:val="00B54B5B"/>
    <w:rsid w:val="00B54D29"/>
    <w:rsid w:val="00B5562E"/>
    <w:rsid w:val="00B55862"/>
    <w:rsid w:val="00B55D65"/>
    <w:rsid w:val="00B56305"/>
    <w:rsid w:val="00B564DF"/>
    <w:rsid w:val="00B569D0"/>
    <w:rsid w:val="00B57000"/>
    <w:rsid w:val="00B5735A"/>
    <w:rsid w:val="00B575A8"/>
    <w:rsid w:val="00B575C4"/>
    <w:rsid w:val="00B5780B"/>
    <w:rsid w:val="00B60939"/>
    <w:rsid w:val="00B609F0"/>
    <w:rsid w:val="00B60AFD"/>
    <w:rsid w:val="00B621B6"/>
    <w:rsid w:val="00B6222F"/>
    <w:rsid w:val="00B6245A"/>
    <w:rsid w:val="00B624F6"/>
    <w:rsid w:val="00B625B9"/>
    <w:rsid w:val="00B62715"/>
    <w:rsid w:val="00B62CB0"/>
    <w:rsid w:val="00B62ED8"/>
    <w:rsid w:val="00B62FA5"/>
    <w:rsid w:val="00B63011"/>
    <w:rsid w:val="00B636F2"/>
    <w:rsid w:val="00B637B6"/>
    <w:rsid w:val="00B63CE3"/>
    <w:rsid w:val="00B63F29"/>
    <w:rsid w:val="00B640A3"/>
    <w:rsid w:val="00B64557"/>
    <w:rsid w:val="00B6544D"/>
    <w:rsid w:val="00B65611"/>
    <w:rsid w:val="00B65992"/>
    <w:rsid w:val="00B66229"/>
    <w:rsid w:val="00B662D5"/>
    <w:rsid w:val="00B667D9"/>
    <w:rsid w:val="00B66860"/>
    <w:rsid w:val="00B66A1F"/>
    <w:rsid w:val="00B66D61"/>
    <w:rsid w:val="00B66EC0"/>
    <w:rsid w:val="00B67588"/>
    <w:rsid w:val="00B67872"/>
    <w:rsid w:val="00B67929"/>
    <w:rsid w:val="00B67957"/>
    <w:rsid w:val="00B67B2C"/>
    <w:rsid w:val="00B67C4B"/>
    <w:rsid w:val="00B67F2D"/>
    <w:rsid w:val="00B703A6"/>
    <w:rsid w:val="00B70DCF"/>
    <w:rsid w:val="00B70E8E"/>
    <w:rsid w:val="00B7101E"/>
    <w:rsid w:val="00B71250"/>
    <w:rsid w:val="00B7137C"/>
    <w:rsid w:val="00B716C2"/>
    <w:rsid w:val="00B724FF"/>
    <w:rsid w:val="00B725DF"/>
    <w:rsid w:val="00B729CF"/>
    <w:rsid w:val="00B72F16"/>
    <w:rsid w:val="00B73B76"/>
    <w:rsid w:val="00B73C4E"/>
    <w:rsid w:val="00B73CB8"/>
    <w:rsid w:val="00B746F0"/>
    <w:rsid w:val="00B7509F"/>
    <w:rsid w:val="00B75AC6"/>
    <w:rsid w:val="00B75F0A"/>
    <w:rsid w:val="00B75FFB"/>
    <w:rsid w:val="00B76566"/>
    <w:rsid w:val="00B76C92"/>
    <w:rsid w:val="00B7726B"/>
    <w:rsid w:val="00B776E5"/>
    <w:rsid w:val="00B77C74"/>
    <w:rsid w:val="00B800E3"/>
    <w:rsid w:val="00B805A7"/>
    <w:rsid w:val="00B80A7B"/>
    <w:rsid w:val="00B80AD4"/>
    <w:rsid w:val="00B80EFD"/>
    <w:rsid w:val="00B80FCC"/>
    <w:rsid w:val="00B81055"/>
    <w:rsid w:val="00B81695"/>
    <w:rsid w:val="00B818A4"/>
    <w:rsid w:val="00B81FA1"/>
    <w:rsid w:val="00B820C8"/>
    <w:rsid w:val="00B82613"/>
    <w:rsid w:val="00B8261F"/>
    <w:rsid w:val="00B82644"/>
    <w:rsid w:val="00B82AFA"/>
    <w:rsid w:val="00B82C34"/>
    <w:rsid w:val="00B82D4B"/>
    <w:rsid w:val="00B82F60"/>
    <w:rsid w:val="00B833B0"/>
    <w:rsid w:val="00B83739"/>
    <w:rsid w:val="00B83FB4"/>
    <w:rsid w:val="00B84117"/>
    <w:rsid w:val="00B845AE"/>
    <w:rsid w:val="00B847EB"/>
    <w:rsid w:val="00B85014"/>
    <w:rsid w:val="00B85044"/>
    <w:rsid w:val="00B85236"/>
    <w:rsid w:val="00B855AA"/>
    <w:rsid w:val="00B858F0"/>
    <w:rsid w:val="00B85AA2"/>
    <w:rsid w:val="00B85DE4"/>
    <w:rsid w:val="00B85FDE"/>
    <w:rsid w:val="00B86180"/>
    <w:rsid w:val="00B86355"/>
    <w:rsid w:val="00B863DD"/>
    <w:rsid w:val="00B8649C"/>
    <w:rsid w:val="00B8684A"/>
    <w:rsid w:val="00B8693C"/>
    <w:rsid w:val="00B8695D"/>
    <w:rsid w:val="00B870EA"/>
    <w:rsid w:val="00B871D7"/>
    <w:rsid w:val="00B87458"/>
    <w:rsid w:val="00B87501"/>
    <w:rsid w:val="00B875F9"/>
    <w:rsid w:val="00B8767F"/>
    <w:rsid w:val="00B87B5E"/>
    <w:rsid w:val="00B87C16"/>
    <w:rsid w:val="00B87E4E"/>
    <w:rsid w:val="00B87F0A"/>
    <w:rsid w:val="00B90559"/>
    <w:rsid w:val="00B9065F"/>
    <w:rsid w:val="00B90E9A"/>
    <w:rsid w:val="00B911DD"/>
    <w:rsid w:val="00B918A8"/>
    <w:rsid w:val="00B918C5"/>
    <w:rsid w:val="00B91905"/>
    <w:rsid w:val="00B91D36"/>
    <w:rsid w:val="00B91F3A"/>
    <w:rsid w:val="00B91F71"/>
    <w:rsid w:val="00B91F87"/>
    <w:rsid w:val="00B921FC"/>
    <w:rsid w:val="00B9250C"/>
    <w:rsid w:val="00B92642"/>
    <w:rsid w:val="00B926D3"/>
    <w:rsid w:val="00B928AF"/>
    <w:rsid w:val="00B92AAD"/>
    <w:rsid w:val="00B92D0B"/>
    <w:rsid w:val="00B92D77"/>
    <w:rsid w:val="00B92EBE"/>
    <w:rsid w:val="00B931C4"/>
    <w:rsid w:val="00B93205"/>
    <w:rsid w:val="00B933D3"/>
    <w:rsid w:val="00B935E3"/>
    <w:rsid w:val="00B93D7C"/>
    <w:rsid w:val="00B93FD0"/>
    <w:rsid w:val="00B94344"/>
    <w:rsid w:val="00B9462B"/>
    <w:rsid w:val="00B94945"/>
    <w:rsid w:val="00B94DD6"/>
    <w:rsid w:val="00B94F0D"/>
    <w:rsid w:val="00B95804"/>
    <w:rsid w:val="00B95B15"/>
    <w:rsid w:val="00B96282"/>
    <w:rsid w:val="00B96E66"/>
    <w:rsid w:val="00B96F95"/>
    <w:rsid w:val="00B9771A"/>
    <w:rsid w:val="00B97E98"/>
    <w:rsid w:val="00BA02F4"/>
    <w:rsid w:val="00BA076F"/>
    <w:rsid w:val="00BA098D"/>
    <w:rsid w:val="00BA0CAD"/>
    <w:rsid w:val="00BA0F88"/>
    <w:rsid w:val="00BA0F96"/>
    <w:rsid w:val="00BA13FB"/>
    <w:rsid w:val="00BA1884"/>
    <w:rsid w:val="00BA1FC4"/>
    <w:rsid w:val="00BA23B7"/>
    <w:rsid w:val="00BA2442"/>
    <w:rsid w:val="00BA24AF"/>
    <w:rsid w:val="00BA2803"/>
    <w:rsid w:val="00BA2BD6"/>
    <w:rsid w:val="00BA2EC5"/>
    <w:rsid w:val="00BA2F8D"/>
    <w:rsid w:val="00BA322D"/>
    <w:rsid w:val="00BA33E8"/>
    <w:rsid w:val="00BA3563"/>
    <w:rsid w:val="00BA37FE"/>
    <w:rsid w:val="00BA4165"/>
    <w:rsid w:val="00BA4268"/>
    <w:rsid w:val="00BA4534"/>
    <w:rsid w:val="00BA46C3"/>
    <w:rsid w:val="00BA4AA9"/>
    <w:rsid w:val="00BA54B9"/>
    <w:rsid w:val="00BA55BB"/>
    <w:rsid w:val="00BA560D"/>
    <w:rsid w:val="00BA63FA"/>
    <w:rsid w:val="00BA647D"/>
    <w:rsid w:val="00BA6E62"/>
    <w:rsid w:val="00BA71BD"/>
    <w:rsid w:val="00BB00B3"/>
    <w:rsid w:val="00BB03A3"/>
    <w:rsid w:val="00BB04A3"/>
    <w:rsid w:val="00BB055E"/>
    <w:rsid w:val="00BB0BDD"/>
    <w:rsid w:val="00BB0F0F"/>
    <w:rsid w:val="00BB176C"/>
    <w:rsid w:val="00BB1984"/>
    <w:rsid w:val="00BB231B"/>
    <w:rsid w:val="00BB287E"/>
    <w:rsid w:val="00BB2A73"/>
    <w:rsid w:val="00BB2AC2"/>
    <w:rsid w:val="00BB2B33"/>
    <w:rsid w:val="00BB3290"/>
    <w:rsid w:val="00BB3806"/>
    <w:rsid w:val="00BB3A45"/>
    <w:rsid w:val="00BB3C97"/>
    <w:rsid w:val="00BB3CC0"/>
    <w:rsid w:val="00BB4493"/>
    <w:rsid w:val="00BB4498"/>
    <w:rsid w:val="00BB46EE"/>
    <w:rsid w:val="00BB47B2"/>
    <w:rsid w:val="00BB49DF"/>
    <w:rsid w:val="00BB4ACC"/>
    <w:rsid w:val="00BB4E1A"/>
    <w:rsid w:val="00BB4F8B"/>
    <w:rsid w:val="00BB53E8"/>
    <w:rsid w:val="00BB59DC"/>
    <w:rsid w:val="00BB6541"/>
    <w:rsid w:val="00BB6AAC"/>
    <w:rsid w:val="00BB6CFB"/>
    <w:rsid w:val="00BB703E"/>
    <w:rsid w:val="00BB72D5"/>
    <w:rsid w:val="00BB732D"/>
    <w:rsid w:val="00BB7405"/>
    <w:rsid w:val="00BB7F15"/>
    <w:rsid w:val="00BC0016"/>
    <w:rsid w:val="00BC02D3"/>
    <w:rsid w:val="00BC094F"/>
    <w:rsid w:val="00BC11B5"/>
    <w:rsid w:val="00BC138E"/>
    <w:rsid w:val="00BC1639"/>
    <w:rsid w:val="00BC18B2"/>
    <w:rsid w:val="00BC1A1E"/>
    <w:rsid w:val="00BC1C68"/>
    <w:rsid w:val="00BC1EA7"/>
    <w:rsid w:val="00BC23B8"/>
    <w:rsid w:val="00BC26FD"/>
    <w:rsid w:val="00BC290A"/>
    <w:rsid w:val="00BC2E6E"/>
    <w:rsid w:val="00BC3339"/>
    <w:rsid w:val="00BC33F2"/>
    <w:rsid w:val="00BC3631"/>
    <w:rsid w:val="00BC4312"/>
    <w:rsid w:val="00BC47A7"/>
    <w:rsid w:val="00BC4EE4"/>
    <w:rsid w:val="00BC5044"/>
    <w:rsid w:val="00BC5653"/>
    <w:rsid w:val="00BC56F9"/>
    <w:rsid w:val="00BC591F"/>
    <w:rsid w:val="00BC623C"/>
    <w:rsid w:val="00BC62E4"/>
    <w:rsid w:val="00BC6887"/>
    <w:rsid w:val="00BC6BF0"/>
    <w:rsid w:val="00BC6C3C"/>
    <w:rsid w:val="00BC6D33"/>
    <w:rsid w:val="00BC6D6F"/>
    <w:rsid w:val="00BC6F7C"/>
    <w:rsid w:val="00BC70DF"/>
    <w:rsid w:val="00BC74EC"/>
    <w:rsid w:val="00BC771A"/>
    <w:rsid w:val="00BC7D6D"/>
    <w:rsid w:val="00BD0256"/>
    <w:rsid w:val="00BD0313"/>
    <w:rsid w:val="00BD04FB"/>
    <w:rsid w:val="00BD146C"/>
    <w:rsid w:val="00BD149B"/>
    <w:rsid w:val="00BD166D"/>
    <w:rsid w:val="00BD1817"/>
    <w:rsid w:val="00BD1AEE"/>
    <w:rsid w:val="00BD1C2F"/>
    <w:rsid w:val="00BD2108"/>
    <w:rsid w:val="00BD260D"/>
    <w:rsid w:val="00BD2EA8"/>
    <w:rsid w:val="00BD308D"/>
    <w:rsid w:val="00BD32F6"/>
    <w:rsid w:val="00BD3539"/>
    <w:rsid w:val="00BD3953"/>
    <w:rsid w:val="00BD3A7E"/>
    <w:rsid w:val="00BD3FF9"/>
    <w:rsid w:val="00BD44DA"/>
    <w:rsid w:val="00BD5007"/>
    <w:rsid w:val="00BD54C4"/>
    <w:rsid w:val="00BD5DCF"/>
    <w:rsid w:val="00BD6223"/>
    <w:rsid w:val="00BD6625"/>
    <w:rsid w:val="00BD6664"/>
    <w:rsid w:val="00BD68A3"/>
    <w:rsid w:val="00BD6938"/>
    <w:rsid w:val="00BD6972"/>
    <w:rsid w:val="00BD6CF3"/>
    <w:rsid w:val="00BD7967"/>
    <w:rsid w:val="00BD7CAB"/>
    <w:rsid w:val="00BD7F72"/>
    <w:rsid w:val="00BE0328"/>
    <w:rsid w:val="00BE03AB"/>
    <w:rsid w:val="00BE0BF6"/>
    <w:rsid w:val="00BE0ECA"/>
    <w:rsid w:val="00BE10F0"/>
    <w:rsid w:val="00BE1440"/>
    <w:rsid w:val="00BE1A86"/>
    <w:rsid w:val="00BE1A91"/>
    <w:rsid w:val="00BE2180"/>
    <w:rsid w:val="00BE21F2"/>
    <w:rsid w:val="00BE22BB"/>
    <w:rsid w:val="00BE2F25"/>
    <w:rsid w:val="00BE2F76"/>
    <w:rsid w:val="00BE30C0"/>
    <w:rsid w:val="00BE37DE"/>
    <w:rsid w:val="00BE3BF7"/>
    <w:rsid w:val="00BE4167"/>
    <w:rsid w:val="00BE4275"/>
    <w:rsid w:val="00BE4486"/>
    <w:rsid w:val="00BE4FDF"/>
    <w:rsid w:val="00BE5626"/>
    <w:rsid w:val="00BE5925"/>
    <w:rsid w:val="00BE592D"/>
    <w:rsid w:val="00BE5AFB"/>
    <w:rsid w:val="00BE5D56"/>
    <w:rsid w:val="00BE5D96"/>
    <w:rsid w:val="00BE5E7D"/>
    <w:rsid w:val="00BE6314"/>
    <w:rsid w:val="00BE63EC"/>
    <w:rsid w:val="00BE6724"/>
    <w:rsid w:val="00BE67F2"/>
    <w:rsid w:val="00BE7B1D"/>
    <w:rsid w:val="00BF0455"/>
    <w:rsid w:val="00BF0615"/>
    <w:rsid w:val="00BF069B"/>
    <w:rsid w:val="00BF06AE"/>
    <w:rsid w:val="00BF0D2C"/>
    <w:rsid w:val="00BF0F95"/>
    <w:rsid w:val="00BF10C4"/>
    <w:rsid w:val="00BF1730"/>
    <w:rsid w:val="00BF1C22"/>
    <w:rsid w:val="00BF2041"/>
    <w:rsid w:val="00BF217C"/>
    <w:rsid w:val="00BF2433"/>
    <w:rsid w:val="00BF2816"/>
    <w:rsid w:val="00BF2E6E"/>
    <w:rsid w:val="00BF325E"/>
    <w:rsid w:val="00BF33E7"/>
    <w:rsid w:val="00BF33F7"/>
    <w:rsid w:val="00BF3819"/>
    <w:rsid w:val="00BF3F84"/>
    <w:rsid w:val="00BF3FBE"/>
    <w:rsid w:val="00BF4199"/>
    <w:rsid w:val="00BF44DC"/>
    <w:rsid w:val="00BF4A20"/>
    <w:rsid w:val="00BF4B4F"/>
    <w:rsid w:val="00BF4B72"/>
    <w:rsid w:val="00BF4BB6"/>
    <w:rsid w:val="00BF4FF8"/>
    <w:rsid w:val="00BF5477"/>
    <w:rsid w:val="00BF54E8"/>
    <w:rsid w:val="00BF5750"/>
    <w:rsid w:val="00BF5D10"/>
    <w:rsid w:val="00BF5EA0"/>
    <w:rsid w:val="00BF5EC4"/>
    <w:rsid w:val="00BF61C9"/>
    <w:rsid w:val="00BF6C94"/>
    <w:rsid w:val="00BF7C23"/>
    <w:rsid w:val="00C00270"/>
    <w:rsid w:val="00C00424"/>
    <w:rsid w:val="00C00747"/>
    <w:rsid w:val="00C00BB0"/>
    <w:rsid w:val="00C014CD"/>
    <w:rsid w:val="00C01823"/>
    <w:rsid w:val="00C01B37"/>
    <w:rsid w:val="00C01D83"/>
    <w:rsid w:val="00C02B3A"/>
    <w:rsid w:val="00C02CD2"/>
    <w:rsid w:val="00C02F57"/>
    <w:rsid w:val="00C031E9"/>
    <w:rsid w:val="00C034E8"/>
    <w:rsid w:val="00C036B8"/>
    <w:rsid w:val="00C03910"/>
    <w:rsid w:val="00C04527"/>
    <w:rsid w:val="00C04886"/>
    <w:rsid w:val="00C04F6B"/>
    <w:rsid w:val="00C054C6"/>
    <w:rsid w:val="00C056C4"/>
    <w:rsid w:val="00C05C01"/>
    <w:rsid w:val="00C06263"/>
    <w:rsid w:val="00C06359"/>
    <w:rsid w:val="00C0645E"/>
    <w:rsid w:val="00C065DF"/>
    <w:rsid w:val="00C069BF"/>
    <w:rsid w:val="00C079CA"/>
    <w:rsid w:val="00C079CF"/>
    <w:rsid w:val="00C07DBE"/>
    <w:rsid w:val="00C10568"/>
    <w:rsid w:val="00C10590"/>
    <w:rsid w:val="00C10A72"/>
    <w:rsid w:val="00C11350"/>
    <w:rsid w:val="00C11581"/>
    <w:rsid w:val="00C1179F"/>
    <w:rsid w:val="00C11854"/>
    <w:rsid w:val="00C123A0"/>
    <w:rsid w:val="00C127B9"/>
    <w:rsid w:val="00C128FA"/>
    <w:rsid w:val="00C12C14"/>
    <w:rsid w:val="00C137A1"/>
    <w:rsid w:val="00C13FB7"/>
    <w:rsid w:val="00C1470D"/>
    <w:rsid w:val="00C14958"/>
    <w:rsid w:val="00C14B54"/>
    <w:rsid w:val="00C14DB3"/>
    <w:rsid w:val="00C1541F"/>
    <w:rsid w:val="00C154E7"/>
    <w:rsid w:val="00C15F04"/>
    <w:rsid w:val="00C15F19"/>
    <w:rsid w:val="00C15F4A"/>
    <w:rsid w:val="00C160AC"/>
    <w:rsid w:val="00C16149"/>
    <w:rsid w:val="00C16DBF"/>
    <w:rsid w:val="00C17209"/>
    <w:rsid w:val="00C173AA"/>
    <w:rsid w:val="00C179B3"/>
    <w:rsid w:val="00C17E3F"/>
    <w:rsid w:val="00C200AA"/>
    <w:rsid w:val="00C203A1"/>
    <w:rsid w:val="00C20546"/>
    <w:rsid w:val="00C20885"/>
    <w:rsid w:val="00C20E1F"/>
    <w:rsid w:val="00C21926"/>
    <w:rsid w:val="00C2249A"/>
    <w:rsid w:val="00C224AB"/>
    <w:rsid w:val="00C225E3"/>
    <w:rsid w:val="00C2264B"/>
    <w:rsid w:val="00C22E17"/>
    <w:rsid w:val="00C22EED"/>
    <w:rsid w:val="00C22F58"/>
    <w:rsid w:val="00C234C6"/>
    <w:rsid w:val="00C2377E"/>
    <w:rsid w:val="00C237ED"/>
    <w:rsid w:val="00C23D31"/>
    <w:rsid w:val="00C24632"/>
    <w:rsid w:val="00C24859"/>
    <w:rsid w:val="00C24A50"/>
    <w:rsid w:val="00C25418"/>
    <w:rsid w:val="00C25D28"/>
    <w:rsid w:val="00C25D9C"/>
    <w:rsid w:val="00C25FBA"/>
    <w:rsid w:val="00C260B4"/>
    <w:rsid w:val="00C2698F"/>
    <w:rsid w:val="00C26B52"/>
    <w:rsid w:val="00C273D6"/>
    <w:rsid w:val="00C2755F"/>
    <w:rsid w:val="00C276A5"/>
    <w:rsid w:val="00C2778B"/>
    <w:rsid w:val="00C27B95"/>
    <w:rsid w:val="00C30593"/>
    <w:rsid w:val="00C309B0"/>
    <w:rsid w:val="00C30C96"/>
    <w:rsid w:val="00C30DD6"/>
    <w:rsid w:val="00C30FDC"/>
    <w:rsid w:val="00C314B4"/>
    <w:rsid w:val="00C31649"/>
    <w:rsid w:val="00C323F8"/>
    <w:rsid w:val="00C323FA"/>
    <w:rsid w:val="00C3262E"/>
    <w:rsid w:val="00C32634"/>
    <w:rsid w:val="00C326F0"/>
    <w:rsid w:val="00C327D2"/>
    <w:rsid w:val="00C32D3E"/>
    <w:rsid w:val="00C32D86"/>
    <w:rsid w:val="00C3336A"/>
    <w:rsid w:val="00C3340B"/>
    <w:rsid w:val="00C33658"/>
    <w:rsid w:val="00C3373E"/>
    <w:rsid w:val="00C337C9"/>
    <w:rsid w:val="00C339DF"/>
    <w:rsid w:val="00C33C28"/>
    <w:rsid w:val="00C33C6E"/>
    <w:rsid w:val="00C33E18"/>
    <w:rsid w:val="00C33ED1"/>
    <w:rsid w:val="00C33FED"/>
    <w:rsid w:val="00C3434C"/>
    <w:rsid w:val="00C3465D"/>
    <w:rsid w:val="00C34E44"/>
    <w:rsid w:val="00C34FA8"/>
    <w:rsid w:val="00C3637B"/>
    <w:rsid w:val="00C3678C"/>
    <w:rsid w:val="00C36F38"/>
    <w:rsid w:val="00C37465"/>
    <w:rsid w:val="00C378AC"/>
    <w:rsid w:val="00C37972"/>
    <w:rsid w:val="00C400EC"/>
    <w:rsid w:val="00C40385"/>
    <w:rsid w:val="00C40F30"/>
    <w:rsid w:val="00C41768"/>
    <w:rsid w:val="00C41FA4"/>
    <w:rsid w:val="00C425C1"/>
    <w:rsid w:val="00C42978"/>
    <w:rsid w:val="00C42AE8"/>
    <w:rsid w:val="00C42FBF"/>
    <w:rsid w:val="00C43163"/>
    <w:rsid w:val="00C43391"/>
    <w:rsid w:val="00C43922"/>
    <w:rsid w:val="00C43F52"/>
    <w:rsid w:val="00C441F0"/>
    <w:rsid w:val="00C44318"/>
    <w:rsid w:val="00C447EF"/>
    <w:rsid w:val="00C45131"/>
    <w:rsid w:val="00C45264"/>
    <w:rsid w:val="00C45F01"/>
    <w:rsid w:val="00C46418"/>
    <w:rsid w:val="00C4644E"/>
    <w:rsid w:val="00C46784"/>
    <w:rsid w:val="00C46DCD"/>
    <w:rsid w:val="00C47487"/>
    <w:rsid w:val="00C475AA"/>
    <w:rsid w:val="00C477B1"/>
    <w:rsid w:val="00C50632"/>
    <w:rsid w:val="00C50634"/>
    <w:rsid w:val="00C509A8"/>
    <w:rsid w:val="00C50AD7"/>
    <w:rsid w:val="00C51292"/>
    <w:rsid w:val="00C527C7"/>
    <w:rsid w:val="00C529BA"/>
    <w:rsid w:val="00C53592"/>
    <w:rsid w:val="00C53B1E"/>
    <w:rsid w:val="00C53B6C"/>
    <w:rsid w:val="00C53C98"/>
    <w:rsid w:val="00C54521"/>
    <w:rsid w:val="00C54B74"/>
    <w:rsid w:val="00C5506E"/>
    <w:rsid w:val="00C557FD"/>
    <w:rsid w:val="00C55A3B"/>
    <w:rsid w:val="00C55B32"/>
    <w:rsid w:val="00C5661B"/>
    <w:rsid w:val="00C5687B"/>
    <w:rsid w:val="00C56AD0"/>
    <w:rsid w:val="00C56ADC"/>
    <w:rsid w:val="00C56E97"/>
    <w:rsid w:val="00C56FCF"/>
    <w:rsid w:val="00C572F6"/>
    <w:rsid w:val="00C574D4"/>
    <w:rsid w:val="00C5774F"/>
    <w:rsid w:val="00C57903"/>
    <w:rsid w:val="00C57B6C"/>
    <w:rsid w:val="00C60332"/>
    <w:rsid w:val="00C6073B"/>
    <w:rsid w:val="00C607F1"/>
    <w:rsid w:val="00C608BF"/>
    <w:rsid w:val="00C60CF3"/>
    <w:rsid w:val="00C60D4E"/>
    <w:rsid w:val="00C616D2"/>
    <w:rsid w:val="00C61A59"/>
    <w:rsid w:val="00C61F59"/>
    <w:rsid w:val="00C62732"/>
    <w:rsid w:val="00C628A6"/>
    <w:rsid w:val="00C62911"/>
    <w:rsid w:val="00C633AD"/>
    <w:rsid w:val="00C634F4"/>
    <w:rsid w:val="00C6380D"/>
    <w:rsid w:val="00C63B2F"/>
    <w:rsid w:val="00C63C66"/>
    <w:rsid w:val="00C6432D"/>
    <w:rsid w:val="00C64344"/>
    <w:rsid w:val="00C64809"/>
    <w:rsid w:val="00C64812"/>
    <w:rsid w:val="00C64912"/>
    <w:rsid w:val="00C649D1"/>
    <w:rsid w:val="00C64DC0"/>
    <w:rsid w:val="00C65108"/>
    <w:rsid w:val="00C65172"/>
    <w:rsid w:val="00C65576"/>
    <w:rsid w:val="00C65761"/>
    <w:rsid w:val="00C658AB"/>
    <w:rsid w:val="00C65914"/>
    <w:rsid w:val="00C6595E"/>
    <w:rsid w:val="00C65E9F"/>
    <w:rsid w:val="00C65F20"/>
    <w:rsid w:val="00C65F36"/>
    <w:rsid w:val="00C66165"/>
    <w:rsid w:val="00C66A25"/>
    <w:rsid w:val="00C66AA6"/>
    <w:rsid w:val="00C67156"/>
    <w:rsid w:val="00C674C1"/>
    <w:rsid w:val="00C67806"/>
    <w:rsid w:val="00C6784E"/>
    <w:rsid w:val="00C67B56"/>
    <w:rsid w:val="00C70136"/>
    <w:rsid w:val="00C7019F"/>
    <w:rsid w:val="00C70230"/>
    <w:rsid w:val="00C7060A"/>
    <w:rsid w:val="00C70B93"/>
    <w:rsid w:val="00C70FE6"/>
    <w:rsid w:val="00C7151A"/>
    <w:rsid w:val="00C717E3"/>
    <w:rsid w:val="00C71F60"/>
    <w:rsid w:val="00C72241"/>
    <w:rsid w:val="00C724D3"/>
    <w:rsid w:val="00C72AA4"/>
    <w:rsid w:val="00C735A9"/>
    <w:rsid w:val="00C739FD"/>
    <w:rsid w:val="00C742EF"/>
    <w:rsid w:val="00C7453D"/>
    <w:rsid w:val="00C748F6"/>
    <w:rsid w:val="00C74BE0"/>
    <w:rsid w:val="00C750C8"/>
    <w:rsid w:val="00C75456"/>
    <w:rsid w:val="00C75553"/>
    <w:rsid w:val="00C7560F"/>
    <w:rsid w:val="00C7592C"/>
    <w:rsid w:val="00C763AD"/>
    <w:rsid w:val="00C76853"/>
    <w:rsid w:val="00C76871"/>
    <w:rsid w:val="00C76BF3"/>
    <w:rsid w:val="00C76D07"/>
    <w:rsid w:val="00C7703E"/>
    <w:rsid w:val="00C77431"/>
    <w:rsid w:val="00C778F1"/>
    <w:rsid w:val="00C805A1"/>
    <w:rsid w:val="00C80816"/>
    <w:rsid w:val="00C80A0E"/>
    <w:rsid w:val="00C80D58"/>
    <w:rsid w:val="00C80DCD"/>
    <w:rsid w:val="00C8111A"/>
    <w:rsid w:val="00C81F7A"/>
    <w:rsid w:val="00C8213F"/>
    <w:rsid w:val="00C8243C"/>
    <w:rsid w:val="00C828C0"/>
    <w:rsid w:val="00C82AC8"/>
    <w:rsid w:val="00C82F3A"/>
    <w:rsid w:val="00C8303F"/>
    <w:rsid w:val="00C83C01"/>
    <w:rsid w:val="00C84157"/>
    <w:rsid w:val="00C842FE"/>
    <w:rsid w:val="00C84A52"/>
    <w:rsid w:val="00C84D83"/>
    <w:rsid w:val="00C84DE1"/>
    <w:rsid w:val="00C85083"/>
    <w:rsid w:val="00C85154"/>
    <w:rsid w:val="00C85556"/>
    <w:rsid w:val="00C85A70"/>
    <w:rsid w:val="00C860E7"/>
    <w:rsid w:val="00C862AA"/>
    <w:rsid w:val="00C86A3A"/>
    <w:rsid w:val="00C86A50"/>
    <w:rsid w:val="00C86D0F"/>
    <w:rsid w:val="00C86DC2"/>
    <w:rsid w:val="00C870F2"/>
    <w:rsid w:val="00C873DF"/>
    <w:rsid w:val="00C873F6"/>
    <w:rsid w:val="00C87400"/>
    <w:rsid w:val="00C8797A"/>
    <w:rsid w:val="00C87B5E"/>
    <w:rsid w:val="00C900B8"/>
    <w:rsid w:val="00C90197"/>
    <w:rsid w:val="00C90506"/>
    <w:rsid w:val="00C9058E"/>
    <w:rsid w:val="00C90C71"/>
    <w:rsid w:val="00C90F3C"/>
    <w:rsid w:val="00C91231"/>
    <w:rsid w:val="00C9131B"/>
    <w:rsid w:val="00C91A12"/>
    <w:rsid w:val="00C91E07"/>
    <w:rsid w:val="00C91FD1"/>
    <w:rsid w:val="00C92211"/>
    <w:rsid w:val="00C92686"/>
    <w:rsid w:val="00C92E03"/>
    <w:rsid w:val="00C931CF"/>
    <w:rsid w:val="00C933A3"/>
    <w:rsid w:val="00C938CF"/>
    <w:rsid w:val="00C94053"/>
    <w:rsid w:val="00C94620"/>
    <w:rsid w:val="00C94B62"/>
    <w:rsid w:val="00C94F53"/>
    <w:rsid w:val="00C954D0"/>
    <w:rsid w:val="00C95BE2"/>
    <w:rsid w:val="00C95E8D"/>
    <w:rsid w:val="00C96007"/>
    <w:rsid w:val="00C9624D"/>
    <w:rsid w:val="00C969DA"/>
    <w:rsid w:val="00C96DBD"/>
    <w:rsid w:val="00C97515"/>
    <w:rsid w:val="00C97AA3"/>
    <w:rsid w:val="00C97BFC"/>
    <w:rsid w:val="00C97DE5"/>
    <w:rsid w:val="00CA00EE"/>
    <w:rsid w:val="00CA13DF"/>
    <w:rsid w:val="00CA1661"/>
    <w:rsid w:val="00CA2A27"/>
    <w:rsid w:val="00CA2BF3"/>
    <w:rsid w:val="00CA2C77"/>
    <w:rsid w:val="00CA2EFE"/>
    <w:rsid w:val="00CA3319"/>
    <w:rsid w:val="00CA350D"/>
    <w:rsid w:val="00CA37E3"/>
    <w:rsid w:val="00CA3BA2"/>
    <w:rsid w:val="00CA43C0"/>
    <w:rsid w:val="00CA444F"/>
    <w:rsid w:val="00CA45BC"/>
    <w:rsid w:val="00CA46F0"/>
    <w:rsid w:val="00CA48FD"/>
    <w:rsid w:val="00CA5113"/>
    <w:rsid w:val="00CA511F"/>
    <w:rsid w:val="00CA51A4"/>
    <w:rsid w:val="00CA5245"/>
    <w:rsid w:val="00CA62FC"/>
    <w:rsid w:val="00CA6525"/>
    <w:rsid w:val="00CA68C4"/>
    <w:rsid w:val="00CA70A1"/>
    <w:rsid w:val="00CA71F4"/>
    <w:rsid w:val="00CA7548"/>
    <w:rsid w:val="00CA7B09"/>
    <w:rsid w:val="00CA7DD6"/>
    <w:rsid w:val="00CB02F8"/>
    <w:rsid w:val="00CB1131"/>
    <w:rsid w:val="00CB113E"/>
    <w:rsid w:val="00CB12A5"/>
    <w:rsid w:val="00CB161B"/>
    <w:rsid w:val="00CB1AA2"/>
    <w:rsid w:val="00CB1CAC"/>
    <w:rsid w:val="00CB1EDB"/>
    <w:rsid w:val="00CB2401"/>
    <w:rsid w:val="00CB27BD"/>
    <w:rsid w:val="00CB2A31"/>
    <w:rsid w:val="00CB2A54"/>
    <w:rsid w:val="00CB2D48"/>
    <w:rsid w:val="00CB2F2A"/>
    <w:rsid w:val="00CB3CC6"/>
    <w:rsid w:val="00CB424D"/>
    <w:rsid w:val="00CB452F"/>
    <w:rsid w:val="00CB4C64"/>
    <w:rsid w:val="00CB4F79"/>
    <w:rsid w:val="00CB59FB"/>
    <w:rsid w:val="00CB5B1A"/>
    <w:rsid w:val="00CB5CF8"/>
    <w:rsid w:val="00CB69C2"/>
    <w:rsid w:val="00CB6B22"/>
    <w:rsid w:val="00CB6BB1"/>
    <w:rsid w:val="00CB70D0"/>
    <w:rsid w:val="00CB7F5F"/>
    <w:rsid w:val="00CC0F3A"/>
    <w:rsid w:val="00CC1152"/>
    <w:rsid w:val="00CC1295"/>
    <w:rsid w:val="00CC131E"/>
    <w:rsid w:val="00CC1B39"/>
    <w:rsid w:val="00CC1BFA"/>
    <w:rsid w:val="00CC1CB4"/>
    <w:rsid w:val="00CC25A9"/>
    <w:rsid w:val="00CC26CF"/>
    <w:rsid w:val="00CC2A27"/>
    <w:rsid w:val="00CC2A66"/>
    <w:rsid w:val="00CC2B51"/>
    <w:rsid w:val="00CC2E9F"/>
    <w:rsid w:val="00CC2FC8"/>
    <w:rsid w:val="00CC30CD"/>
    <w:rsid w:val="00CC30D7"/>
    <w:rsid w:val="00CC35EA"/>
    <w:rsid w:val="00CC37DD"/>
    <w:rsid w:val="00CC3848"/>
    <w:rsid w:val="00CC3C62"/>
    <w:rsid w:val="00CC46CC"/>
    <w:rsid w:val="00CC4E2A"/>
    <w:rsid w:val="00CC502B"/>
    <w:rsid w:val="00CC5385"/>
    <w:rsid w:val="00CC5574"/>
    <w:rsid w:val="00CC5958"/>
    <w:rsid w:val="00CC5964"/>
    <w:rsid w:val="00CC66F5"/>
    <w:rsid w:val="00CC6844"/>
    <w:rsid w:val="00CC6962"/>
    <w:rsid w:val="00CC6AEB"/>
    <w:rsid w:val="00CC6C1D"/>
    <w:rsid w:val="00CC6D5E"/>
    <w:rsid w:val="00CC7AAA"/>
    <w:rsid w:val="00CD0200"/>
    <w:rsid w:val="00CD0460"/>
    <w:rsid w:val="00CD06C2"/>
    <w:rsid w:val="00CD083F"/>
    <w:rsid w:val="00CD08D8"/>
    <w:rsid w:val="00CD0ECF"/>
    <w:rsid w:val="00CD1284"/>
    <w:rsid w:val="00CD20B7"/>
    <w:rsid w:val="00CD272A"/>
    <w:rsid w:val="00CD2D81"/>
    <w:rsid w:val="00CD3435"/>
    <w:rsid w:val="00CD34D4"/>
    <w:rsid w:val="00CD3618"/>
    <w:rsid w:val="00CD39A7"/>
    <w:rsid w:val="00CD39CD"/>
    <w:rsid w:val="00CD3CFC"/>
    <w:rsid w:val="00CD3F39"/>
    <w:rsid w:val="00CD3F77"/>
    <w:rsid w:val="00CD4194"/>
    <w:rsid w:val="00CD42F7"/>
    <w:rsid w:val="00CD4CD6"/>
    <w:rsid w:val="00CD4DCE"/>
    <w:rsid w:val="00CD59AB"/>
    <w:rsid w:val="00CD5BED"/>
    <w:rsid w:val="00CD6001"/>
    <w:rsid w:val="00CD6572"/>
    <w:rsid w:val="00CD6ADC"/>
    <w:rsid w:val="00CD7193"/>
    <w:rsid w:val="00CD764A"/>
    <w:rsid w:val="00CD7695"/>
    <w:rsid w:val="00CD77BA"/>
    <w:rsid w:val="00CD7931"/>
    <w:rsid w:val="00CD7D19"/>
    <w:rsid w:val="00CD7E0B"/>
    <w:rsid w:val="00CE082C"/>
    <w:rsid w:val="00CE0A18"/>
    <w:rsid w:val="00CE0F50"/>
    <w:rsid w:val="00CE10B8"/>
    <w:rsid w:val="00CE127E"/>
    <w:rsid w:val="00CE15D9"/>
    <w:rsid w:val="00CE1C59"/>
    <w:rsid w:val="00CE1EF4"/>
    <w:rsid w:val="00CE2A57"/>
    <w:rsid w:val="00CE331B"/>
    <w:rsid w:val="00CE3639"/>
    <w:rsid w:val="00CE38C8"/>
    <w:rsid w:val="00CE3ED4"/>
    <w:rsid w:val="00CE4550"/>
    <w:rsid w:val="00CE524F"/>
    <w:rsid w:val="00CE559F"/>
    <w:rsid w:val="00CE58CC"/>
    <w:rsid w:val="00CE59FE"/>
    <w:rsid w:val="00CE6274"/>
    <w:rsid w:val="00CE6C95"/>
    <w:rsid w:val="00CE6DA4"/>
    <w:rsid w:val="00CE71CD"/>
    <w:rsid w:val="00CE7345"/>
    <w:rsid w:val="00CE73FF"/>
    <w:rsid w:val="00CE77B6"/>
    <w:rsid w:val="00CE7ADE"/>
    <w:rsid w:val="00CF0095"/>
    <w:rsid w:val="00CF1788"/>
    <w:rsid w:val="00CF2140"/>
    <w:rsid w:val="00CF26E1"/>
    <w:rsid w:val="00CF27C7"/>
    <w:rsid w:val="00CF2B8D"/>
    <w:rsid w:val="00CF303F"/>
    <w:rsid w:val="00CF31DD"/>
    <w:rsid w:val="00CF35DA"/>
    <w:rsid w:val="00CF3A1B"/>
    <w:rsid w:val="00CF3AD8"/>
    <w:rsid w:val="00CF3C6A"/>
    <w:rsid w:val="00CF3DA2"/>
    <w:rsid w:val="00CF456B"/>
    <w:rsid w:val="00CF468F"/>
    <w:rsid w:val="00CF4C32"/>
    <w:rsid w:val="00CF4E02"/>
    <w:rsid w:val="00CF4E51"/>
    <w:rsid w:val="00CF50ED"/>
    <w:rsid w:val="00CF5A22"/>
    <w:rsid w:val="00CF61F2"/>
    <w:rsid w:val="00CF65B6"/>
    <w:rsid w:val="00CF6604"/>
    <w:rsid w:val="00CF725C"/>
    <w:rsid w:val="00CF7720"/>
    <w:rsid w:val="00CF7B7E"/>
    <w:rsid w:val="00CF7DAC"/>
    <w:rsid w:val="00CF7EAE"/>
    <w:rsid w:val="00D000BF"/>
    <w:rsid w:val="00D002A2"/>
    <w:rsid w:val="00D005E7"/>
    <w:rsid w:val="00D00D98"/>
    <w:rsid w:val="00D00DA0"/>
    <w:rsid w:val="00D00F15"/>
    <w:rsid w:val="00D017AC"/>
    <w:rsid w:val="00D01EB4"/>
    <w:rsid w:val="00D0262E"/>
    <w:rsid w:val="00D02748"/>
    <w:rsid w:val="00D03679"/>
    <w:rsid w:val="00D0374E"/>
    <w:rsid w:val="00D03A78"/>
    <w:rsid w:val="00D03D92"/>
    <w:rsid w:val="00D0411C"/>
    <w:rsid w:val="00D045FD"/>
    <w:rsid w:val="00D0473A"/>
    <w:rsid w:val="00D04E27"/>
    <w:rsid w:val="00D0517A"/>
    <w:rsid w:val="00D0520C"/>
    <w:rsid w:val="00D05507"/>
    <w:rsid w:val="00D05764"/>
    <w:rsid w:val="00D0581B"/>
    <w:rsid w:val="00D05E3D"/>
    <w:rsid w:val="00D06139"/>
    <w:rsid w:val="00D06A3D"/>
    <w:rsid w:val="00D06DC4"/>
    <w:rsid w:val="00D070B9"/>
    <w:rsid w:val="00D07656"/>
    <w:rsid w:val="00D07D6A"/>
    <w:rsid w:val="00D07DBD"/>
    <w:rsid w:val="00D100B0"/>
    <w:rsid w:val="00D1025B"/>
    <w:rsid w:val="00D102D7"/>
    <w:rsid w:val="00D1063F"/>
    <w:rsid w:val="00D1068E"/>
    <w:rsid w:val="00D110BD"/>
    <w:rsid w:val="00D11152"/>
    <w:rsid w:val="00D11714"/>
    <w:rsid w:val="00D117ED"/>
    <w:rsid w:val="00D11B9D"/>
    <w:rsid w:val="00D11C8F"/>
    <w:rsid w:val="00D11D76"/>
    <w:rsid w:val="00D120D1"/>
    <w:rsid w:val="00D13304"/>
    <w:rsid w:val="00D13675"/>
    <w:rsid w:val="00D13C4E"/>
    <w:rsid w:val="00D141E1"/>
    <w:rsid w:val="00D14205"/>
    <w:rsid w:val="00D149EB"/>
    <w:rsid w:val="00D14C2D"/>
    <w:rsid w:val="00D15072"/>
    <w:rsid w:val="00D15314"/>
    <w:rsid w:val="00D1596E"/>
    <w:rsid w:val="00D15B48"/>
    <w:rsid w:val="00D162AC"/>
    <w:rsid w:val="00D1633A"/>
    <w:rsid w:val="00D16E36"/>
    <w:rsid w:val="00D17BC9"/>
    <w:rsid w:val="00D17D6C"/>
    <w:rsid w:val="00D17F53"/>
    <w:rsid w:val="00D2072F"/>
    <w:rsid w:val="00D20849"/>
    <w:rsid w:val="00D20863"/>
    <w:rsid w:val="00D20E7D"/>
    <w:rsid w:val="00D20EE8"/>
    <w:rsid w:val="00D2155B"/>
    <w:rsid w:val="00D21ABF"/>
    <w:rsid w:val="00D2228E"/>
    <w:rsid w:val="00D227C3"/>
    <w:rsid w:val="00D238DC"/>
    <w:rsid w:val="00D23C0D"/>
    <w:rsid w:val="00D23C35"/>
    <w:rsid w:val="00D23D11"/>
    <w:rsid w:val="00D23E05"/>
    <w:rsid w:val="00D241A1"/>
    <w:rsid w:val="00D243AA"/>
    <w:rsid w:val="00D243AC"/>
    <w:rsid w:val="00D244B6"/>
    <w:rsid w:val="00D24563"/>
    <w:rsid w:val="00D24680"/>
    <w:rsid w:val="00D24F43"/>
    <w:rsid w:val="00D2507F"/>
    <w:rsid w:val="00D25360"/>
    <w:rsid w:val="00D25F0F"/>
    <w:rsid w:val="00D27247"/>
    <w:rsid w:val="00D2754D"/>
    <w:rsid w:val="00D27645"/>
    <w:rsid w:val="00D276ED"/>
    <w:rsid w:val="00D27B27"/>
    <w:rsid w:val="00D27BCF"/>
    <w:rsid w:val="00D27DC2"/>
    <w:rsid w:val="00D3081B"/>
    <w:rsid w:val="00D308FA"/>
    <w:rsid w:val="00D30906"/>
    <w:rsid w:val="00D30B51"/>
    <w:rsid w:val="00D30D5B"/>
    <w:rsid w:val="00D311D7"/>
    <w:rsid w:val="00D313AD"/>
    <w:rsid w:val="00D31B2B"/>
    <w:rsid w:val="00D321C8"/>
    <w:rsid w:val="00D32458"/>
    <w:rsid w:val="00D326A5"/>
    <w:rsid w:val="00D327BE"/>
    <w:rsid w:val="00D32852"/>
    <w:rsid w:val="00D32EE6"/>
    <w:rsid w:val="00D33783"/>
    <w:rsid w:val="00D33BE9"/>
    <w:rsid w:val="00D33F93"/>
    <w:rsid w:val="00D34C67"/>
    <w:rsid w:val="00D34F53"/>
    <w:rsid w:val="00D3518B"/>
    <w:rsid w:val="00D351B5"/>
    <w:rsid w:val="00D35301"/>
    <w:rsid w:val="00D354A0"/>
    <w:rsid w:val="00D357FF"/>
    <w:rsid w:val="00D35B33"/>
    <w:rsid w:val="00D36384"/>
    <w:rsid w:val="00D36E44"/>
    <w:rsid w:val="00D37A7F"/>
    <w:rsid w:val="00D37F6B"/>
    <w:rsid w:val="00D400CF"/>
    <w:rsid w:val="00D40649"/>
    <w:rsid w:val="00D40A47"/>
    <w:rsid w:val="00D40AB8"/>
    <w:rsid w:val="00D4108A"/>
    <w:rsid w:val="00D4114D"/>
    <w:rsid w:val="00D41E2B"/>
    <w:rsid w:val="00D41F5F"/>
    <w:rsid w:val="00D420DA"/>
    <w:rsid w:val="00D42378"/>
    <w:rsid w:val="00D424C7"/>
    <w:rsid w:val="00D42856"/>
    <w:rsid w:val="00D429D4"/>
    <w:rsid w:val="00D4306F"/>
    <w:rsid w:val="00D430A8"/>
    <w:rsid w:val="00D434B4"/>
    <w:rsid w:val="00D43681"/>
    <w:rsid w:val="00D43B2A"/>
    <w:rsid w:val="00D43BC2"/>
    <w:rsid w:val="00D43CF1"/>
    <w:rsid w:val="00D43D83"/>
    <w:rsid w:val="00D443FB"/>
    <w:rsid w:val="00D44494"/>
    <w:rsid w:val="00D44FC6"/>
    <w:rsid w:val="00D4539F"/>
    <w:rsid w:val="00D454B5"/>
    <w:rsid w:val="00D456EB"/>
    <w:rsid w:val="00D45E2D"/>
    <w:rsid w:val="00D46352"/>
    <w:rsid w:val="00D4678B"/>
    <w:rsid w:val="00D46AC4"/>
    <w:rsid w:val="00D46D33"/>
    <w:rsid w:val="00D46FA3"/>
    <w:rsid w:val="00D47113"/>
    <w:rsid w:val="00D4744A"/>
    <w:rsid w:val="00D474E4"/>
    <w:rsid w:val="00D47575"/>
    <w:rsid w:val="00D475B3"/>
    <w:rsid w:val="00D47B0A"/>
    <w:rsid w:val="00D47CF9"/>
    <w:rsid w:val="00D50161"/>
    <w:rsid w:val="00D50437"/>
    <w:rsid w:val="00D507F3"/>
    <w:rsid w:val="00D509D0"/>
    <w:rsid w:val="00D513D4"/>
    <w:rsid w:val="00D514DD"/>
    <w:rsid w:val="00D51B62"/>
    <w:rsid w:val="00D51C9D"/>
    <w:rsid w:val="00D51E10"/>
    <w:rsid w:val="00D51EFC"/>
    <w:rsid w:val="00D5220B"/>
    <w:rsid w:val="00D5243B"/>
    <w:rsid w:val="00D525A5"/>
    <w:rsid w:val="00D525E1"/>
    <w:rsid w:val="00D52899"/>
    <w:rsid w:val="00D533EC"/>
    <w:rsid w:val="00D5399A"/>
    <w:rsid w:val="00D53FED"/>
    <w:rsid w:val="00D542D1"/>
    <w:rsid w:val="00D54397"/>
    <w:rsid w:val="00D54757"/>
    <w:rsid w:val="00D54D85"/>
    <w:rsid w:val="00D54F78"/>
    <w:rsid w:val="00D551AA"/>
    <w:rsid w:val="00D5586B"/>
    <w:rsid w:val="00D56845"/>
    <w:rsid w:val="00D56A95"/>
    <w:rsid w:val="00D574B9"/>
    <w:rsid w:val="00D57A0B"/>
    <w:rsid w:val="00D57C1B"/>
    <w:rsid w:val="00D57C9B"/>
    <w:rsid w:val="00D57CC7"/>
    <w:rsid w:val="00D57EEB"/>
    <w:rsid w:val="00D57F60"/>
    <w:rsid w:val="00D57F97"/>
    <w:rsid w:val="00D60324"/>
    <w:rsid w:val="00D60378"/>
    <w:rsid w:val="00D6058E"/>
    <w:rsid w:val="00D6076E"/>
    <w:rsid w:val="00D60C28"/>
    <w:rsid w:val="00D60E7D"/>
    <w:rsid w:val="00D610B3"/>
    <w:rsid w:val="00D61337"/>
    <w:rsid w:val="00D6158F"/>
    <w:rsid w:val="00D61607"/>
    <w:rsid w:val="00D61C35"/>
    <w:rsid w:val="00D62183"/>
    <w:rsid w:val="00D629DE"/>
    <w:rsid w:val="00D63050"/>
    <w:rsid w:val="00D63D8A"/>
    <w:rsid w:val="00D647AF"/>
    <w:rsid w:val="00D648CE"/>
    <w:rsid w:val="00D65512"/>
    <w:rsid w:val="00D655B2"/>
    <w:rsid w:val="00D66152"/>
    <w:rsid w:val="00D666BE"/>
    <w:rsid w:val="00D66725"/>
    <w:rsid w:val="00D67541"/>
    <w:rsid w:val="00D676EA"/>
    <w:rsid w:val="00D67961"/>
    <w:rsid w:val="00D67C0B"/>
    <w:rsid w:val="00D703F1"/>
    <w:rsid w:val="00D7042B"/>
    <w:rsid w:val="00D70729"/>
    <w:rsid w:val="00D70F16"/>
    <w:rsid w:val="00D710FC"/>
    <w:rsid w:val="00D711BD"/>
    <w:rsid w:val="00D7142A"/>
    <w:rsid w:val="00D71878"/>
    <w:rsid w:val="00D71AA5"/>
    <w:rsid w:val="00D7259F"/>
    <w:rsid w:val="00D72617"/>
    <w:rsid w:val="00D726A2"/>
    <w:rsid w:val="00D72884"/>
    <w:rsid w:val="00D72BE8"/>
    <w:rsid w:val="00D72F57"/>
    <w:rsid w:val="00D733B8"/>
    <w:rsid w:val="00D737DB"/>
    <w:rsid w:val="00D73D97"/>
    <w:rsid w:val="00D74471"/>
    <w:rsid w:val="00D747DA"/>
    <w:rsid w:val="00D74E5E"/>
    <w:rsid w:val="00D74F23"/>
    <w:rsid w:val="00D755A5"/>
    <w:rsid w:val="00D7622D"/>
    <w:rsid w:val="00D76269"/>
    <w:rsid w:val="00D7626F"/>
    <w:rsid w:val="00D7670F"/>
    <w:rsid w:val="00D76A44"/>
    <w:rsid w:val="00D76B58"/>
    <w:rsid w:val="00D76F41"/>
    <w:rsid w:val="00D8037D"/>
    <w:rsid w:val="00D80D27"/>
    <w:rsid w:val="00D80D42"/>
    <w:rsid w:val="00D812D2"/>
    <w:rsid w:val="00D815EF"/>
    <w:rsid w:val="00D81949"/>
    <w:rsid w:val="00D81F26"/>
    <w:rsid w:val="00D820C4"/>
    <w:rsid w:val="00D82242"/>
    <w:rsid w:val="00D822E2"/>
    <w:rsid w:val="00D823C0"/>
    <w:rsid w:val="00D82F00"/>
    <w:rsid w:val="00D82F1E"/>
    <w:rsid w:val="00D83466"/>
    <w:rsid w:val="00D83939"/>
    <w:rsid w:val="00D83BE9"/>
    <w:rsid w:val="00D83D2B"/>
    <w:rsid w:val="00D843F2"/>
    <w:rsid w:val="00D845A9"/>
    <w:rsid w:val="00D84A77"/>
    <w:rsid w:val="00D850C6"/>
    <w:rsid w:val="00D85452"/>
    <w:rsid w:val="00D85572"/>
    <w:rsid w:val="00D857C4"/>
    <w:rsid w:val="00D85B70"/>
    <w:rsid w:val="00D86190"/>
    <w:rsid w:val="00D86231"/>
    <w:rsid w:val="00D864EA"/>
    <w:rsid w:val="00D869E0"/>
    <w:rsid w:val="00D86AA8"/>
    <w:rsid w:val="00D86D68"/>
    <w:rsid w:val="00D86D7B"/>
    <w:rsid w:val="00D8752E"/>
    <w:rsid w:val="00D90052"/>
    <w:rsid w:val="00D90130"/>
    <w:rsid w:val="00D9078F"/>
    <w:rsid w:val="00D912AB"/>
    <w:rsid w:val="00D91923"/>
    <w:rsid w:val="00D91AF3"/>
    <w:rsid w:val="00D9231B"/>
    <w:rsid w:val="00D92589"/>
    <w:rsid w:val="00D925FE"/>
    <w:rsid w:val="00D92D9D"/>
    <w:rsid w:val="00D93202"/>
    <w:rsid w:val="00D93472"/>
    <w:rsid w:val="00D93753"/>
    <w:rsid w:val="00D938C6"/>
    <w:rsid w:val="00D93A42"/>
    <w:rsid w:val="00D93B2D"/>
    <w:rsid w:val="00D93D2B"/>
    <w:rsid w:val="00D94418"/>
    <w:rsid w:val="00D94859"/>
    <w:rsid w:val="00D97485"/>
    <w:rsid w:val="00D978E4"/>
    <w:rsid w:val="00D97B38"/>
    <w:rsid w:val="00D97C2A"/>
    <w:rsid w:val="00D97D5A"/>
    <w:rsid w:val="00D97D8F"/>
    <w:rsid w:val="00DA02EC"/>
    <w:rsid w:val="00DA03DD"/>
    <w:rsid w:val="00DA0BCA"/>
    <w:rsid w:val="00DA0DA8"/>
    <w:rsid w:val="00DA0E04"/>
    <w:rsid w:val="00DA0F61"/>
    <w:rsid w:val="00DA1054"/>
    <w:rsid w:val="00DA128C"/>
    <w:rsid w:val="00DA19F8"/>
    <w:rsid w:val="00DA1E30"/>
    <w:rsid w:val="00DA2351"/>
    <w:rsid w:val="00DA2706"/>
    <w:rsid w:val="00DA2902"/>
    <w:rsid w:val="00DA3167"/>
    <w:rsid w:val="00DA32D5"/>
    <w:rsid w:val="00DA34DA"/>
    <w:rsid w:val="00DA4342"/>
    <w:rsid w:val="00DA46CD"/>
    <w:rsid w:val="00DA4761"/>
    <w:rsid w:val="00DA4D4C"/>
    <w:rsid w:val="00DA4DC3"/>
    <w:rsid w:val="00DA56CD"/>
    <w:rsid w:val="00DA5A15"/>
    <w:rsid w:val="00DA5EC9"/>
    <w:rsid w:val="00DA6A3A"/>
    <w:rsid w:val="00DA6FC5"/>
    <w:rsid w:val="00DA72CE"/>
    <w:rsid w:val="00DA77A5"/>
    <w:rsid w:val="00DA7DD2"/>
    <w:rsid w:val="00DB00FB"/>
    <w:rsid w:val="00DB0905"/>
    <w:rsid w:val="00DB0A19"/>
    <w:rsid w:val="00DB0E36"/>
    <w:rsid w:val="00DB1491"/>
    <w:rsid w:val="00DB16D7"/>
    <w:rsid w:val="00DB1840"/>
    <w:rsid w:val="00DB210F"/>
    <w:rsid w:val="00DB25B7"/>
    <w:rsid w:val="00DB2723"/>
    <w:rsid w:val="00DB2B56"/>
    <w:rsid w:val="00DB2BA5"/>
    <w:rsid w:val="00DB2FB7"/>
    <w:rsid w:val="00DB31F8"/>
    <w:rsid w:val="00DB3DBF"/>
    <w:rsid w:val="00DB3EC9"/>
    <w:rsid w:val="00DB4154"/>
    <w:rsid w:val="00DB4166"/>
    <w:rsid w:val="00DB484F"/>
    <w:rsid w:val="00DB4887"/>
    <w:rsid w:val="00DB49BA"/>
    <w:rsid w:val="00DB4C09"/>
    <w:rsid w:val="00DB6274"/>
    <w:rsid w:val="00DB63C2"/>
    <w:rsid w:val="00DB722F"/>
    <w:rsid w:val="00DB72A8"/>
    <w:rsid w:val="00DB7708"/>
    <w:rsid w:val="00DB7CDE"/>
    <w:rsid w:val="00DC04F6"/>
    <w:rsid w:val="00DC0690"/>
    <w:rsid w:val="00DC06AB"/>
    <w:rsid w:val="00DC0801"/>
    <w:rsid w:val="00DC0FFE"/>
    <w:rsid w:val="00DC1453"/>
    <w:rsid w:val="00DC1685"/>
    <w:rsid w:val="00DC16F4"/>
    <w:rsid w:val="00DC1A04"/>
    <w:rsid w:val="00DC1A1D"/>
    <w:rsid w:val="00DC1B1D"/>
    <w:rsid w:val="00DC1C74"/>
    <w:rsid w:val="00DC1D65"/>
    <w:rsid w:val="00DC321F"/>
    <w:rsid w:val="00DC323E"/>
    <w:rsid w:val="00DC3302"/>
    <w:rsid w:val="00DC33E4"/>
    <w:rsid w:val="00DC34CB"/>
    <w:rsid w:val="00DC3C57"/>
    <w:rsid w:val="00DC3F7E"/>
    <w:rsid w:val="00DC4BF5"/>
    <w:rsid w:val="00DC4EB7"/>
    <w:rsid w:val="00DC5433"/>
    <w:rsid w:val="00DC5501"/>
    <w:rsid w:val="00DC55FB"/>
    <w:rsid w:val="00DC5669"/>
    <w:rsid w:val="00DC56B1"/>
    <w:rsid w:val="00DC589E"/>
    <w:rsid w:val="00DC58A4"/>
    <w:rsid w:val="00DC5C9A"/>
    <w:rsid w:val="00DC5DE4"/>
    <w:rsid w:val="00DC5E41"/>
    <w:rsid w:val="00DC6828"/>
    <w:rsid w:val="00DC6EDE"/>
    <w:rsid w:val="00DC7154"/>
    <w:rsid w:val="00DC78CB"/>
    <w:rsid w:val="00DC7BB5"/>
    <w:rsid w:val="00DC7C9E"/>
    <w:rsid w:val="00DC7CC2"/>
    <w:rsid w:val="00DC7E8A"/>
    <w:rsid w:val="00DD0488"/>
    <w:rsid w:val="00DD07DF"/>
    <w:rsid w:val="00DD0B57"/>
    <w:rsid w:val="00DD0F64"/>
    <w:rsid w:val="00DD0F78"/>
    <w:rsid w:val="00DD1541"/>
    <w:rsid w:val="00DD1659"/>
    <w:rsid w:val="00DD1CF2"/>
    <w:rsid w:val="00DD2396"/>
    <w:rsid w:val="00DD273C"/>
    <w:rsid w:val="00DD27D3"/>
    <w:rsid w:val="00DD2A01"/>
    <w:rsid w:val="00DD2BBE"/>
    <w:rsid w:val="00DD2F9B"/>
    <w:rsid w:val="00DD3076"/>
    <w:rsid w:val="00DD326E"/>
    <w:rsid w:val="00DD3406"/>
    <w:rsid w:val="00DD37C6"/>
    <w:rsid w:val="00DD3F28"/>
    <w:rsid w:val="00DD4446"/>
    <w:rsid w:val="00DD4537"/>
    <w:rsid w:val="00DD4615"/>
    <w:rsid w:val="00DD47A7"/>
    <w:rsid w:val="00DD4CFC"/>
    <w:rsid w:val="00DD4E15"/>
    <w:rsid w:val="00DD5017"/>
    <w:rsid w:val="00DD50FA"/>
    <w:rsid w:val="00DD57F0"/>
    <w:rsid w:val="00DD63E0"/>
    <w:rsid w:val="00DD67BC"/>
    <w:rsid w:val="00DD736B"/>
    <w:rsid w:val="00DD776C"/>
    <w:rsid w:val="00DD7C7B"/>
    <w:rsid w:val="00DD7C7F"/>
    <w:rsid w:val="00DD7D26"/>
    <w:rsid w:val="00DE0326"/>
    <w:rsid w:val="00DE0357"/>
    <w:rsid w:val="00DE039C"/>
    <w:rsid w:val="00DE090C"/>
    <w:rsid w:val="00DE10A3"/>
    <w:rsid w:val="00DE12FC"/>
    <w:rsid w:val="00DE133E"/>
    <w:rsid w:val="00DE173B"/>
    <w:rsid w:val="00DE1A96"/>
    <w:rsid w:val="00DE1C7C"/>
    <w:rsid w:val="00DE1D41"/>
    <w:rsid w:val="00DE2304"/>
    <w:rsid w:val="00DE2785"/>
    <w:rsid w:val="00DE284D"/>
    <w:rsid w:val="00DE2AFD"/>
    <w:rsid w:val="00DE3138"/>
    <w:rsid w:val="00DE33B4"/>
    <w:rsid w:val="00DE3721"/>
    <w:rsid w:val="00DE37F8"/>
    <w:rsid w:val="00DE3CFB"/>
    <w:rsid w:val="00DE3F46"/>
    <w:rsid w:val="00DE4273"/>
    <w:rsid w:val="00DE4E80"/>
    <w:rsid w:val="00DE4FCB"/>
    <w:rsid w:val="00DE5B40"/>
    <w:rsid w:val="00DE5D07"/>
    <w:rsid w:val="00DE6F2D"/>
    <w:rsid w:val="00DE72A7"/>
    <w:rsid w:val="00DE732E"/>
    <w:rsid w:val="00DE7832"/>
    <w:rsid w:val="00DE7F66"/>
    <w:rsid w:val="00DF0673"/>
    <w:rsid w:val="00DF067A"/>
    <w:rsid w:val="00DF0768"/>
    <w:rsid w:val="00DF0A0A"/>
    <w:rsid w:val="00DF0F5E"/>
    <w:rsid w:val="00DF14F3"/>
    <w:rsid w:val="00DF17FE"/>
    <w:rsid w:val="00DF18FC"/>
    <w:rsid w:val="00DF1C16"/>
    <w:rsid w:val="00DF1DD2"/>
    <w:rsid w:val="00DF2301"/>
    <w:rsid w:val="00DF2FE6"/>
    <w:rsid w:val="00DF545B"/>
    <w:rsid w:val="00DF580E"/>
    <w:rsid w:val="00DF5B4C"/>
    <w:rsid w:val="00DF5B93"/>
    <w:rsid w:val="00DF5D2B"/>
    <w:rsid w:val="00DF6251"/>
    <w:rsid w:val="00DF6341"/>
    <w:rsid w:val="00DF6821"/>
    <w:rsid w:val="00DF6CF8"/>
    <w:rsid w:val="00DF767A"/>
    <w:rsid w:val="00DF776C"/>
    <w:rsid w:val="00DF78A4"/>
    <w:rsid w:val="00DF78C3"/>
    <w:rsid w:val="00DF7AEF"/>
    <w:rsid w:val="00DF7FD5"/>
    <w:rsid w:val="00E004D2"/>
    <w:rsid w:val="00E00A35"/>
    <w:rsid w:val="00E00E8E"/>
    <w:rsid w:val="00E00EA4"/>
    <w:rsid w:val="00E011A0"/>
    <w:rsid w:val="00E016B5"/>
    <w:rsid w:val="00E01DA2"/>
    <w:rsid w:val="00E020F3"/>
    <w:rsid w:val="00E025D9"/>
    <w:rsid w:val="00E02EAF"/>
    <w:rsid w:val="00E035BE"/>
    <w:rsid w:val="00E036DA"/>
    <w:rsid w:val="00E03940"/>
    <w:rsid w:val="00E03980"/>
    <w:rsid w:val="00E0432C"/>
    <w:rsid w:val="00E04354"/>
    <w:rsid w:val="00E04398"/>
    <w:rsid w:val="00E0447D"/>
    <w:rsid w:val="00E046FA"/>
    <w:rsid w:val="00E0493E"/>
    <w:rsid w:val="00E05630"/>
    <w:rsid w:val="00E056AC"/>
    <w:rsid w:val="00E0595A"/>
    <w:rsid w:val="00E05AB7"/>
    <w:rsid w:val="00E06657"/>
    <w:rsid w:val="00E0673F"/>
    <w:rsid w:val="00E06803"/>
    <w:rsid w:val="00E06B8B"/>
    <w:rsid w:val="00E06DBB"/>
    <w:rsid w:val="00E06E5C"/>
    <w:rsid w:val="00E07ED8"/>
    <w:rsid w:val="00E10149"/>
    <w:rsid w:val="00E102AC"/>
    <w:rsid w:val="00E10384"/>
    <w:rsid w:val="00E10CC4"/>
    <w:rsid w:val="00E10D8B"/>
    <w:rsid w:val="00E11340"/>
    <w:rsid w:val="00E11344"/>
    <w:rsid w:val="00E11951"/>
    <w:rsid w:val="00E122A1"/>
    <w:rsid w:val="00E127EF"/>
    <w:rsid w:val="00E12885"/>
    <w:rsid w:val="00E12E97"/>
    <w:rsid w:val="00E13033"/>
    <w:rsid w:val="00E13238"/>
    <w:rsid w:val="00E13499"/>
    <w:rsid w:val="00E139BD"/>
    <w:rsid w:val="00E139C0"/>
    <w:rsid w:val="00E13D8E"/>
    <w:rsid w:val="00E13F6C"/>
    <w:rsid w:val="00E14625"/>
    <w:rsid w:val="00E146F4"/>
    <w:rsid w:val="00E14849"/>
    <w:rsid w:val="00E14E17"/>
    <w:rsid w:val="00E15056"/>
    <w:rsid w:val="00E1578A"/>
    <w:rsid w:val="00E15B30"/>
    <w:rsid w:val="00E15D8E"/>
    <w:rsid w:val="00E15E4C"/>
    <w:rsid w:val="00E15EAC"/>
    <w:rsid w:val="00E16372"/>
    <w:rsid w:val="00E16AD8"/>
    <w:rsid w:val="00E16C41"/>
    <w:rsid w:val="00E16D61"/>
    <w:rsid w:val="00E1743A"/>
    <w:rsid w:val="00E17910"/>
    <w:rsid w:val="00E17ADE"/>
    <w:rsid w:val="00E17FFA"/>
    <w:rsid w:val="00E2021B"/>
    <w:rsid w:val="00E20898"/>
    <w:rsid w:val="00E20931"/>
    <w:rsid w:val="00E20E4D"/>
    <w:rsid w:val="00E20ED6"/>
    <w:rsid w:val="00E20F04"/>
    <w:rsid w:val="00E21358"/>
    <w:rsid w:val="00E21375"/>
    <w:rsid w:val="00E2170E"/>
    <w:rsid w:val="00E21938"/>
    <w:rsid w:val="00E21DAB"/>
    <w:rsid w:val="00E21E47"/>
    <w:rsid w:val="00E223AA"/>
    <w:rsid w:val="00E2249B"/>
    <w:rsid w:val="00E224AE"/>
    <w:rsid w:val="00E22620"/>
    <w:rsid w:val="00E228BF"/>
    <w:rsid w:val="00E228CA"/>
    <w:rsid w:val="00E22A0D"/>
    <w:rsid w:val="00E22A44"/>
    <w:rsid w:val="00E22B43"/>
    <w:rsid w:val="00E22E95"/>
    <w:rsid w:val="00E22F8D"/>
    <w:rsid w:val="00E2325E"/>
    <w:rsid w:val="00E237E0"/>
    <w:rsid w:val="00E23861"/>
    <w:rsid w:val="00E23CF1"/>
    <w:rsid w:val="00E23EC8"/>
    <w:rsid w:val="00E244F6"/>
    <w:rsid w:val="00E2464B"/>
    <w:rsid w:val="00E25501"/>
    <w:rsid w:val="00E258DB"/>
    <w:rsid w:val="00E25DD3"/>
    <w:rsid w:val="00E264D8"/>
    <w:rsid w:val="00E2659E"/>
    <w:rsid w:val="00E266DE"/>
    <w:rsid w:val="00E26EBF"/>
    <w:rsid w:val="00E26F0C"/>
    <w:rsid w:val="00E2771E"/>
    <w:rsid w:val="00E278F3"/>
    <w:rsid w:val="00E3060D"/>
    <w:rsid w:val="00E30823"/>
    <w:rsid w:val="00E30C61"/>
    <w:rsid w:val="00E3107C"/>
    <w:rsid w:val="00E311EF"/>
    <w:rsid w:val="00E315F3"/>
    <w:rsid w:val="00E31778"/>
    <w:rsid w:val="00E318BD"/>
    <w:rsid w:val="00E31AA9"/>
    <w:rsid w:val="00E32180"/>
    <w:rsid w:val="00E322EA"/>
    <w:rsid w:val="00E324EB"/>
    <w:rsid w:val="00E3272E"/>
    <w:rsid w:val="00E32826"/>
    <w:rsid w:val="00E32BD7"/>
    <w:rsid w:val="00E338BA"/>
    <w:rsid w:val="00E33B0E"/>
    <w:rsid w:val="00E33D14"/>
    <w:rsid w:val="00E33F18"/>
    <w:rsid w:val="00E33F62"/>
    <w:rsid w:val="00E33F6E"/>
    <w:rsid w:val="00E342FE"/>
    <w:rsid w:val="00E3442A"/>
    <w:rsid w:val="00E34948"/>
    <w:rsid w:val="00E34AA7"/>
    <w:rsid w:val="00E34CF2"/>
    <w:rsid w:val="00E35A16"/>
    <w:rsid w:val="00E35C1F"/>
    <w:rsid w:val="00E35F9E"/>
    <w:rsid w:val="00E3699B"/>
    <w:rsid w:val="00E37274"/>
    <w:rsid w:val="00E37569"/>
    <w:rsid w:val="00E37E4C"/>
    <w:rsid w:val="00E401B2"/>
    <w:rsid w:val="00E40358"/>
    <w:rsid w:val="00E409C7"/>
    <w:rsid w:val="00E40B1E"/>
    <w:rsid w:val="00E40B31"/>
    <w:rsid w:val="00E413B6"/>
    <w:rsid w:val="00E414F0"/>
    <w:rsid w:val="00E41E30"/>
    <w:rsid w:val="00E41ED1"/>
    <w:rsid w:val="00E425ED"/>
    <w:rsid w:val="00E42793"/>
    <w:rsid w:val="00E42F73"/>
    <w:rsid w:val="00E432BF"/>
    <w:rsid w:val="00E433FA"/>
    <w:rsid w:val="00E4350E"/>
    <w:rsid w:val="00E439F5"/>
    <w:rsid w:val="00E43D70"/>
    <w:rsid w:val="00E44267"/>
    <w:rsid w:val="00E44455"/>
    <w:rsid w:val="00E446CE"/>
    <w:rsid w:val="00E4485D"/>
    <w:rsid w:val="00E44C4C"/>
    <w:rsid w:val="00E44D71"/>
    <w:rsid w:val="00E4522C"/>
    <w:rsid w:val="00E4524D"/>
    <w:rsid w:val="00E4600C"/>
    <w:rsid w:val="00E460B7"/>
    <w:rsid w:val="00E466F3"/>
    <w:rsid w:val="00E467E7"/>
    <w:rsid w:val="00E46F2D"/>
    <w:rsid w:val="00E473B6"/>
    <w:rsid w:val="00E475F1"/>
    <w:rsid w:val="00E47B2C"/>
    <w:rsid w:val="00E47DE3"/>
    <w:rsid w:val="00E50350"/>
    <w:rsid w:val="00E50547"/>
    <w:rsid w:val="00E508A5"/>
    <w:rsid w:val="00E50A74"/>
    <w:rsid w:val="00E50C0F"/>
    <w:rsid w:val="00E51560"/>
    <w:rsid w:val="00E515BC"/>
    <w:rsid w:val="00E51821"/>
    <w:rsid w:val="00E51DB4"/>
    <w:rsid w:val="00E51FB1"/>
    <w:rsid w:val="00E529E3"/>
    <w:rsid w:val="00E52BB7"/>
    <w:rsid w:val="00E52F74"/>
    <w:rsid w:val="00E53EEF"/>
    <w:rsid w:val="00E53FC8"/>
    <w:rsid w:val="00E54347"/>
    <w:rsid w:val="00E545C6"/>
    <w:rsid w:val="00E55424"/>
    <w:rsid w:val="00E554D8"/>
    <w:rsid w:val="00E55872"/>
    <w:rsid w:val="00E55915"/>
    <w:rsid w:val="00E55BB5"/>
    <w:rsid w:val="00E55C38"/>
    <w:rsid w:val="00E56205"/>
    <w:rsid w:val="00E5681B"/>
    <w:rsid w:val="00E56960"/>
    <w:rsid w:val="00E56D24"/>
    <w:rsid w:val="00E57570"/>
    <w:rsid w:val="00E57B5B"/>
    <w:rsid w:val="00E57DCE"/>
    <w:rsid w:val="00E57F3D"/>
    <w:rsid w:val="00E6019C"/>
    <w:rsid w:val="00E601F8"/>
    <w:rsid w:val="00E60224"/>
    <w:rsid w:val="00E60989"/>
    <w:rsid w:val="00E611DF"/>
    <w:rsid w:val="00E61310"/>
    <w:rsid w:val="00E616B5"/>
    <w:rsid w:val="00E62504"/>
    <w:rsid w:val="00E62E12"/>
    <w:rsid w:val="00E63960"/>
    <w:rsid w:val="00E63FB4"/>
    <w:rsid w:val="00E64441"/>
    <w:rsid w:val="00E64C40"/>
    <w:rsid w:val="00E64ECE"/>
    <w:rsid w:val="00E6553A"/>
    <w:rsid w:val="00E65E79"/>
    <w:rsid w:val="00E66177"/>
    <w:rsid w:val="00E66810"/>
    <w:rsid w:val="00E66961"/>
    <w:rsid w:val="00E66BA2"/>
    <w:rsid w:val="00E66E14"/>
    <w:rsid w:val="00E66F44"/>
    <w:rsid w:val="00E67416"/>
    <w:rsid w:val="00E677A0"/>
    <w:rsid w:val="00E67F58"/>
    <w:rsid w:val="00E70112"/>
    <w:rsid w:val="00E7030F"/>
    <w:rsid w:val="00E7056F"/>
    <w:rsid w:val="00E70579"/>
    <w:rsid w:val="00E706CB"/>
    <w:rsid w:val="00E7088C"/>
    <w:rsid w:val="00E70A35"/>
    <w:rsid w:val="00E70E91"/>
    <w:rsid w:val="00E70FFB"/>
    <w:rsid w:val="00E710DC"/>
    <w:rsid w:val="00E718B6"/>
    <w:rsid w:val="00E71998"/>
    <w:rsid w:val="00E71BCB"/>
    <w:rsid w:val="00E71EB3"/>
    <w:rsid w:val="00E71FC8"/>
    <w:rsid w:val="00E7239E"/>
    <w:rsid w:val="00E723BA"/>
    <w:rsid w:val="00E72B9F"/>
    <w:rsid w:val="00E72C67"/>
    <w:rsid w:val="00E7302B"/>
    <w:rsid w:val="00E73581"/>
    <w:rsid w:val="00E739DD"/>
    <w:rsid w:val="00E73A25"/>
    <w:rsid w:val="00E73A56"/>
    <w:rsid w:val="00E74098"/>
    <w:rsid w:val="00E746DB"/>
    <w:rsid w:val="00E749C3"/>
    <w:rsid w:val="00E74A9C"/>
    <w:rsid w:val="00E74B2D"/>
    <w:rsid w:val="00E74CA8"/>
    <w:rsid w:val="00E74D2F"/>
    <w:rsid w:val="00E74EAA"/>
    <w:rsid w:val="00E7504E"/>
    <w:rsid w:val="00E750C7"/>
    <w:rsid w:val="00E75235"/>
    <w:rsid w:val="00E7545F"/>
    <w:rsid w:val="00E756F5"/>
    <w:rsid w:val="00E75EDD"/>
    <w:rsid w:val="00E75F25"/>
    <w:rsid w:val="00E76010"/>
    <w:rsid w:val="00E76BE3"/>
    <w:rsid w:val="00E76F33"/>
    <w:rsid w:val="00E7794D"/>
    <w:rsid w:val="00E8003D"/>
    <w:rsid w:val="00E80157"/>
    <w:rsid w:val="00E801FB"/>
    <w:rsid w:val="00E807C6"/>
    <w:rsid w:val="00E81B17"/>
    <w:rsid w:val="00E81C22"/>
    <w:rsid w:val="00E81C4B"/>
    <w:rsid w:val="00E81DBB"/>
    <w:rsid w:val="00E82426"/>
    <w:rsid w:val="00E82717"/>
    <w:rsid w:val="00E82CA6"/>
    <w:rsid w:val="00E832B9"/>
    <w:rsid w:val="00E833F7"/>
    <w:rsid w:val="00E837F2"/>
    <w:rsid w:val="00E83A7F"/>
    <w:rsid w:val="00E83BDF"/>
    <w:rsid w:val="00E8443F"/>
    <w:rsid w:val="00E84759"/>
    <w:rsid w:val="00E84CA5"/>
    <w:rsid w:val="00E84E41"/>
    <w:rsid w:val="00E853F5"/>
    <w:rsid w:val="00E85491"/>
    <w:rsid w:val="00E85597"/>
    <w:rsid w:val="00E85706"/>
    <w:rsid w:val="00E85918"/>
    <w:rsid w:val="00E85BFD"/>
    <w:rsid w:val="00E85F88"/>
    <w:rsid w:val="00E8606A"/>
    <w:rsid w:val="00E862CE"/>
    <w:rsid w:val="00E869E7"/>
    <w:rsid w:val="00E86A98"/>
    <w:rsid w:val="00E86FCC"/>
    <w:rsid w:val="00E8703B"/>
    <w:rsid w:val="00E87770"/>
    <w:rsid w:val="00E87A1D"/>
    <w:rsid w:val="00E90152"/>
    <w:rsid w:val="00E902ED"/>
    <w:rsid w:val="00E906D0"/>
    <w:rsid w:val="00E9094A"/>
    <w:rsid w:val="00E9099B"/>
    <w:rsid w:val="00E9122B"/>
    <w:rsid w:val="00E916F4"/>
    <w:rsid w:val="00E91D35"/>
    <w:rsid w:val="00E91EBF"/>
    <w:rsid w:val="00E920CD"/>
    <w:rsid w:val="00E921AB"/>
    <w:rsid w:val="00E92295"/>
    <w:rsid w:val="00E924A0"/>
    <w:rsid w:val="00E925FB"/>
    <w:rsid w:val="00E926A5"/>
    <w:rsid w:val="00E92817"/>
    <w:rsid w:val="00E92F74"/>
    <w:rsid w:val="00E93B28"/>
    <w:rsid w:val="00E93DB1"/>
    <w:rsid w:val="00E93E03"/>
    <w:rsid w:val="00E93E50"/>
    <w:rsid w:val="00E93FA2"/>
    <w:rsid w:val="00E940BE"/>
    <w:rsid w:val="00E940F0"/>
    <w:rsid w:val="00E94526"/>
    <w:rsid w:val="00E94DB9"/>
    <w:rsid w:val="00E94ED7"/>
    <w:rsid w:val="00E95495"/>
    <w:rsid w:val="00E95B13"/>
    <w:rsid w:val="00E95C83"/>
    <w:rsid w:val="00E95D82"/>
    <w:rsid w:val="00E962CC"/>
    <w:rsid w:val="00E96602"/>
    <w:rsid w:val="00E96F3C"/>
    <w:rsid w:val="00E976AF"/>
    <w:rsid w:val="00E97B18"/>
    <w:rsid w:val="00EA002C"/>
    <w:rsid w:val="00EA01FC"/>
    <w:rsid w:val="00EA02EA"/>
    <w:rsid w:val="00EA03F8"/>
    <w:rsid w:val="00EA0794"/>
    <w:rsid w:val="00EA09C4"/>
    <w:rsid w:val="00EA0F4C"/>
    <w:rsid w:val="00EA0FC0"/>
    <w:rsid w:val="00EA1351"/>
    <w:rsid w:val="00EA1638"/>
    <w:rsid w:val="00EA17C3"/>
    <w:rsid w:val="00EA1B51"/>
    <w:rsid w:val="00EA201C"/>
    <w:rsid w:val="00EA240F"/>
    <w:rsid w:val="00EA2AC7"/>
    <w:rsid w:val="00EA2B3B"/>
    <w:rsid w:val="00EA2BC9"/>
    <w:rsid w:val="00EA2CAA"/>
    <w:rsid w:val="00EA2D60"/>
    <w:rsid w:val="00EA2DB1"/>
    <w:rsid w:val="00EA34B0"/>
    <w:rsid w:val="00EA3864"/>
    <w:rsid w:val="00EA3C49"/>
    <w:rsid w:val="00EA416D"/>
    <w:rsid w:val="00EA4505"/>
    <w:rsid w:val="00EA4839"/>
    <w:rsid w:val="00EA4B7B"/>
    <w:rsid w:val="00EA4CFE"/>
    <w:rsid w:val="00EA4D80"/>
    <w:rsid w:val="00EA5650"/>
    <w:rsid w:val="00EA5996"/>
    <w:rsid w:val="00EA5C8A"/>
    <w:rsid w:val="00EA5E47"/>
    <w:rsid w:val="00EA6570"/>
    <w:rsid w:val="00EA65FA"/>
    <w:rsid w:val="00EA671B"/>
    <w:rsid w:val="00EA6B96"/>
    <w:rsid w:val="00EA7138"/>
    <w:rsid w:val="00EA732E"/>
    <w:rsid w:val="00EA738B"/>
    <w:rsid w:val="00EA7B0B"/>
    <w:rsid w:val="00EA7BBF"/>
    <w:rsid w:val="00EA7C0C"/>
    <w:rsid w:val="00EA7E45"/>
    <w:rsid w:val="00EA7F1C"/>
    <w:rsid w:val="00EB00D9"/>
    <w:rsid w:val="00EB01C1"/>
    <w:rsid w:val="00EB15B6"/>
    <w:rsid w:val="00EB2116"/>
    <w:rsid w:val="00EB26B6"/>
    <w:rsid w:val="00EB3401"/>
    <w:rsid w:val="00EB3568"/>
    <w:rsid w:val="00EB3AF8"/>
    <w:rsid w:val="00EB3C64"/>
    <w:rsid w:val="00EB3D06"/>
    <w:rsid w:val="00EB3D2D"/>
    <w:rsid w:val="00EB4033"/>
    <w:rsid w:val="00EB4580"/>
    <w:rsid w:val="00EB45A2"/>
    <w:rsid w:val="00EB4916"/>
    <w:rsid w:val="00EB50B1"/>
    <w:rsid w:val="00EB510F"/>
    <w:rsid w:val="00EB5191"/>
    <w:rsid w:val="00EB52DF"/>
    <w:rsid w:val="00EB5325"/>
    <w:rsid w:val="00EB53FB"/>
    <w:rsid w:val="00EB55A2"/>
    <w:rsid w:val="00EB5C14"/>
    <w:rsid w:val="00EB60C5"/>
    <w:rsid w:val="00EB6305"/>
    <w:rsid w:val="00EB6D65"/>
    <w:rsid w:val="00EB72BC"/>
    <w:rsid w:val="00EC00C9"/>
    <w:rsid w:val="00EC0216"/>
    <w:rsid w:val="00EC02F7"/>
    <w:rsid w:val="00EC0347"/>
    <w:rsid w:val="00EC0381"/>
    <w:rsid w:val="00EC07BD"/>
    <w:rsid w:val="00EC0878"/>
    <w:rsid w:val="00EC0DD9"/>
    <w:rsid w:val="00EC0F30"/>
    <w:rsid w:val="00EC1AEF"/>
    <w:rsid w:val="00EC1CCC"/>
    <w:rsid w:val="00EC1F46"/>
    <w:rsid w:val="00EC2649"/>
    <w:rsid w:val="00EC27EC"/>
    <w:rsid w:val="00EC28D7"/>
    <w:rsid w:val="00EC30E4"/>
    <w:rsid w:val="00EC31ED"/>
    <w:rsid w:val="00EC3360"/>
    <w:rsid w:val="00EC368B"/>
    <w:rsid w:val="00EC39CD"/>
    <w:rsid w:val="00EC3DF6"/>
    <w:rsid w:val="00EC40E7"/>
    <w:rsid w:val="00EC41E4"/>
    <w:rsid w:val="00EC4D00"/>
    <w:rsid w:val="00EC55F4"/>
    <w:rsid w:val="00EC56E6"/>
    <w:rsid w:val="00EC5761"/>
    <w:rsid w:val="00EC5836"/>
    <w:rsid w:val="00EC5DC9"/>
    <w:rsid w:val="00EC5EB6"/>
    <w:rsid w:val="00EC5ECF"/>
    <w:rsid w:val="00EC6221"/>
    <w:rsid w:val="00EC65A3"/>
    <w:rsid w:val="00EC688C"/>
    <w:rsid w:val="00EC6ACF"/>
    <w:rsid w:val="00EC6D17"/>
    <w:rsid w:val="00EC784D"/>
    <w:rsid w:val="00ED0CBB"/>
    <w:rsid w:val="00ED0D99"/>
    <w:rsid w:val="00ED0DD8"/>
    <w:rsid w:val="00ED12E3"/>
    <w:rsid w:val="00ED19DF"/>
    <w:rsid w:val="00ED1B19"/>
    <w:rsid w:val="00ED1CB3"/>
    <w:rsid w:val="00ED1F0B"/>
    <w:rsid w:val="00ED2215"/>
    <w:rsid w:val="00ED2400"/>
    <w:rsid w:val="00ED25E6"/>
    <w:rsid w:val="00ED2A6C"/>
    <w:rsid w:val="00ED2AB1"/>
    <w:rsid w:val="00ED2EA7"/>
    <w:rsid w:val="00ED3BCA"/>
    <w:rsid w:val="00ED3D28"/>
    <w:rsid w:val="00ED3F94"/>
    <w:rsid w:val="00ED401E"/>
    <w:rsid w:val="00ED4432"/>
    <w:rsid w:val="00ED4B04"/>
    <w:rsid w:val="00ED5472"/>
    <w:rsid w:val="00ED5519"/>
    <w:rsid w:val="00ED57EA"/>
    <w:rsid w:val="00ED58AC"/>
    <w:rsid w:val="00ED5BD4"/>
    <w:rsid w:val="00ED60EC"/>
    <w:rsid w:val="00ED61C7"/>
    <w:rsid w:val="00ED62E8"/>
    <w:rsid w:val="00ED6400"/>
    <w:rsid w:val="00ED67CB"/>
    <w:rsid w:val="00ED70C5"/>
    <w:rsid w:val="00EE0506"/>
    <w:rsid w:val="00EE054A"/>
    <w:rsid w:val="00EE059B"/>
    <w:rsid w:val="00EE07D3"/>
    <w:rsid w:val="00EE1625"/>
    <w:rsid w:val="00EE1996"/>
    <w:rsid w:val="00EE1AF7"/>
    <w:rsid w:val="00EE1B8D"/>
    <w:rsid w:val="00EE1C01"/>
    <w:rsid w:val="00EE1CC5"/>
    <w:rsid w:val="00EE1F89"/>
    <w:rsid w:val="00EE21D3"/>
    <w:rsid w:val="00EE22AF"/>
    <w:rsid w:val="00EE2CAA"/>
    <w:rsid w:val="00EE312F"/>
    <w:rsid w:val="00EE490F"/>
    <w:rsid w:val="00EE49F3"/>
    <w:rsid w:val="00EE4BE0"/>
    <w:rsid w:val="00EE4EFE"/>
    <w:rsid w:val="00EE55B7"/>
    <w:rsid w:val="00EE560C"/>
    <w:rsid w:val="00EE5FC5"/>
    <w:rsid w:val="00EE60BA"/>
    <w:rsid w:val="00EE6D3F"/>
    <w:rsid w:val="00EE704E"/>
    <w:rsid w:val="00EE7E06"/>
    <w:rsid w:val="00EF0068"/>
    <w:rsid w:val="00EF0171"/>
    <w:rsid w:val="00EF01D3"/>
    <w:rsid w:val="00EF0363"/>
    <w:rsid w:val="00EF09D8"/>
    <w:rsid w:val="00EF15A3"/>
    <w:rsid w:val="00EF1834"/>
    <w:rsid w:val="00EF1B25"/>
    <w:rsid w:val="00EF1DA0"/>
    <w:rsid w:val="00EF20C6"/>
    <w:rsid w:val="00EF2CBD"/>
    <w:rsid w:val="00EF2D05"/>
    <w:rsid w:val="00EF2F23"/>
    <w:rsid w:val="00EF3114"/>
    <w:rsid w:val="00EF3480"/>
    <w:rsid w:val="00EF390D"/>
    <w:rsid w:val="00EF3DDD"/>
    <w:rsid w:val="00EF3F6F"/>
    <w:rsid w:val="00EF431C"/>
    <w:rsid w:val="00EF446E"/>
    <w:rsid w:val="00EF4747"/>
    <w:rsid w:val="00EF481C"/>
    <w:rsid w:val="00EF4844"/>
    <w:rsid w:val="00EF4BF8"/>
    <w:rsid w:val="00EF5137"/>
    <w:rsid w:val="00EF5269"/>
    <w:rsid w:val="00EF5557"/>
    <w:rsid w:val="00EF583E"/>
    <w:rsid w:val="00EF6ADE"/>
    <w:rsid w:val="00EF70D2"/>
    <w:rsid w:val="00EF714A"/>
    <w:rsid w:val="00EF79B7"/>
    <w:rsid w:val="00EF7CEB"/>
    <w:rsid w:val="00EF7DA8"/>
    <w:rsid w:val="00EF7E21"/>
    <w:rsid w:val="00EF7E85"/>
    <w:rsid w:val="00F0077F"/>
    <w:rsid w:val="00F00BEB"/>
    <w:rsid w:val="00F00DDF"/>
    <w:rsid w:val="00F013CB"/>
    <w:rsid w:val="00F019FE"/>
    <w:rsid w:val="00F01E06"/>
    <w:rsid w:val="00F01E6F"/>
    <w:rsid w:val="00F01F2D"/>
    <w:rsid w:val="00F020A1"/>
    <w:rsid w:val="00F02253"/>
    <w:rsid w:val="00F0230C"/>
    <w:rsid w:val="00F0277A"/>
    <w:rsid w:val="00F02C23"/>
    <w:rsid w:val="00F03714"/>
    <w:rsid w:val="00F037DF"/>
    <w:rsid w:val="00F039DD"/>
    <w:rsid w:val="00F03C2E"/>
    <w:rsid w:val="00F0400E"/>
    <w:rsid w:val="00F045BD"/>
    <w:rsid w:val="00F046D1"/>
    <w:rsid w:val="00F04A66"/>
    <w:rsid w:val="00F04B4B"/>
    <w:rsid w:val="00F0516C"/>
    <w:rsid w:val="00F05635"/>
    <w:rsid w:val="00F05844"/>
    <w:rsid w:val="00F05ADA"/>
    <w:rsid w:val="00F05BAB"/>
    <w:rsid w:val="00F067A2"/>
    <w:rsid w:val="00F06DD9"/>
    <w:rsid w:val="00F07693"/>
    <w:rsid w:val="00F079B6"/>
    <w:rsid w:val="00F07B9E"/>
    <w:rsid w:val="00F10000"/>
    <w:rsid w:val="00F1007D"/>
    <w:rsid w:val="00F10266"/>
    <w:rsid w:val="00F102FF"/>
    <w:rsid w:val="00F104E4"/>
    <w:rsid w:val="00F1096D"/>
    <w:rsid w:val="00F10BE2"/>
    <w:rsid w:val="00F1116F"/>
    <w:rsid w:val="00F116FD"/>
    <w:rsid w:val="00F11C79"/>
    <w:rsid w:val="00F12083"/>
    <w:rsid w:val="00F121CF"/>
    <w:rsid w:val="00F1246F"/>
    <w:rsid w:val="00F1263A"/>
    <w:rsid w:val="00F1281F"/>
    <w:rsid w:val="00F128C7"/>
    <w:rsid w:val="00F1299B"/>
    <w:rsid w:val="00F12AF1"/>
    <w:rsid w:val="00F12BC1"/>
    <w:rsid w:val="00F12EAD"/>
    <w:rsid w:val="00F130F8"/>
    <w:rsid w:val="00F139C5"/>
    <w:rsid w:val="00F13BD9"/>
    <w:rsid w:val="00F13FB8"/>
    <w:rsid w:val="00F14A98"/>
    <w:rsid w:val="00F14D92"/>
    <w:rsid w:val="00F15404"/>
    <w:rsid w:val="00F15B77"/>
    <w:rsid w:val="00F167DE"/>
    <w:rsid w:val="00F17104"/>
    <w:rsid w:val="00F17ABA"/>
    <w:rsid w:val="00F20443"/>
    <w:rsid w:val="00F20772"/>
    <w:rsid w:val="00F20814"/>
    <w:rsid w:val="00F208DE"/>
    <w:rsid w:val="00F20E74"/>
    <w:rsid w:val="00F21236"/>
    <w:rsid w:val="00F212A7"/>
    <w:rsid w:val="00F212F5"/>
    <w:rsid w:val="00F21A91"/>
    <w:rsid w:val="00F21B55"/>
    <w:rsid w:val="00F22593"/>
    <w:rsid w:val="00F229C5"/>
    <w:rsid w:val="00F22BE3"/>
    <w:rsid w:val="00F22D70"/>
    <w:rsid w:val="00F235F7"/>
    <w:rsid w:val="00F23653"/>
    <w:rsid w:val="00F239DF"/>
    <w:rsid w:val="00F23A6D"/>
    <w:rsid w:val="00F23DE9"/>
    <w:rsid w:val="00F244FB"/>
    <w:rsid w:val="00F2476A"/>
    <w:rsid w:val="00F24837"/>
    <w:rsid w:val="00F2500F"/>
    <w:rsid w:val="00F25451"/>
    <w:rsid w:val="00F2569C"/>
    <w:rsid w:val="00F2575F"/>
    <w:rsid w:val="00F25F05"/>
    <w:rsid w:val="00F26626"/>
    <w:rsid w:val="00F266BC"/>
    <w:rsid w:val="00F26B74"/>
    <w:rsid w:val="00F26D59"/>
    <w:rsid w:val="00F27330"/>
    <w:rsid w:val="00F27565"/>
    <w:rsid w:val="00F27612"/>
    <w:rsid w:val="00F27880"/>
    <w:rsid w:val="00F279BF"/>
    <w:rsid w:val="00F27C33"/>
    <w:rsid w:val="00F27F98"/>
    <w:rsid w:val="00F30BE6"/>
    <w:rsid w:val="00F310D4"/>
    <w:rsid w:val="00F31315"/>
    <w:rsid w:val="00F316F7"/>
    <w:rsid w:val="00F31D28"/>
    <w:rsid w:val="00F31D5A"/>
    <w:rsid w:val="00F31DCC"/>
    <w:rsid w:val="00F31FF2"/>
    <w:rsid w:val="00F3253C"/>
    <w:rsid w:val="00F32C39"/>
    <w:rsid w:val="00F3323F"/>
    <w:rsid w:val="00F338C3"/>
    <w:rsid w:val="00F33975"/>
    <w:rsid w:val="00F33DE9"/>
    <w:rsid w:val="00F34ACC"/>
    <w:rsid w:val="00F34DE0"/>
    <w:rsid w:val="00F34FF2"/>
    <w:rsid w:val="00F35001"/>
    <w:rsid w:val="00F35317"/>
    <w:rsid w:val="00F359A9"/>
    <w:rsid w:val="00F35E6D"/>
    <w:rsid w:val="00F3619A"/>
    <w:rsid w:val="00F36634"/>
    <w:rsid w:val="00F367F2"/>
    <w:rsid w:val="00F36925"/>
    <w:rsid w:val="00F36F5B"/>
    <w:rsid w:val="00F37B9A"/>
    <w:rsid w:val="00F37C98"/>
    <w:rsid w:val="00F40237"/>
    <w:rsid w:val="00F4027F"/>
    <w:rsid w:val="00F40AAA"/>
    <w:rsid w:val="00F40BA7"/>
    <w:rsid w:val="00F40F9D"/>
    <w:rsid w:val="00F41147"/>
    <w:rsid w:val="00F41401"/>
    <w:rsid w:val="00F41947"/>
    <w:rsid w:val="00F41ACD"/>
    <w:rsid w:val="00F41C41"/>
    <w:rsid w:val="00F42087"/>
    <w:rsid w:val="00F42328"/>
    <w:rsid w:val="00F42826"/>
    <w:rsid w:val="00F42B4D"/>
    <w:rsid w:val="00F43343"/>
    <w:rsid w:val="00F43846"/>
    <w:rsid w:val="00F43A39"/>
    <w:rsid w:val="00F43B66"/>
    <w:rsid w:val="00F43D30"/>
    <w:rsid w:val="00F43F9C"/>
    <w:rsid w:val="00F441DE"/>
    <w:rsid w:val="00F442A4"/>
    <w:rsid w:val="00F44B9A"/>
    <w:rsid w:val="00F44F5D"/>
    <w:rsid w:val="00F45520"/>
    <w:rsid w:val="00F45661"/>
    <w:rsid w:val="00F45722"/>
    <w:rsid w:val="00F45915"/>
    <w:rsid w:val="00F45BD1"/>
    <w:rsid w:val="00F45C33"/>
    <w:rsid w:val="00F46877"/>
    <w:rsid w:val="00F46889"/>
    <w:rsid w:val="00F46CB6"/>
    <w:rsid w:val="00F46EDE"/>
    <w:rsid w:val="00F473B8"/>
    <w:rsid w:val="00F4756D"/>
    <w:rsid w:val="00F475B6"/>
    <w:rsid w:val="00F476B9"/>
    <w:rsid w:val="00F47AE2"/>
    <w:rsid w:val="00F47AE9"/>
    <w:rsid w:val="00F47DE8"/>
    <w:rsid w:val="00F502A9"/>
    <w:rsid w:val="00F50513"/>
    <w:rsid w:val="00F507A3"/>
    <w:rsid w:val="00F518ED"/>
    <w:rsid w:val="00F51A74"/>
    <w:rsid w:val="00F52054"/>
    <w:rsid w:val="00F5221B"/>
    <w:rsid w:val="00F5233D"/>
    <w:rsid w:val="00F5267E"/>
    <w:rsid w:val="00F52AC4"/>
    <w:rsid w:val="00F52C8C"/>
    <w:rsid w:val="00F54135"/>
    <w:rsid w:val="00F541B7"/>
    <w:rsid w:val="00F5429F"/>
    <w:rsid w:val="00F542C1"/>
    <w:rsid w:val="00F545FB"/>
    <w:rsid w:val="00F550E3"/>
    <w:rsid w:val="00F554A6"/>
    <w:rsid w:val="00F55996"/>
    <w:rsid w:val="00F55E73"/>
    <w:rsid w:val="00F55EDA"/>
    <w:rsid w:val="00F56C80"/>
    <w:rsid w:val="00F5722F"/>
    <w:rsid w:val="00F579EA"/>
    <w:rsid w:val="00F57EFB"/>
    <w:rsid w:val="00F60092"/>
    <w:rsid w:val="00F60563"/>
    <w:rsid w:val="00F605EB"/>
    <w:rsid w:val="00F60901"/>
    <w:rsid w:val="00F60A4A"/>
    <w:rsid w:val="00F60A9F"/>
    <w:rsid w:val="00F614CE"/>
    <w:rsid w:val="00F6164E"/>
    <w:rsid w:val="00F6189D"/>
    <w:rsid w:val="00F61C18"/>
    <w:rsid w:val="00F6209E"/>
    <w:rsid w:val="00F62278"/>
    <w:rsid w:val="00F629E2"/>
    <w:rsid w:val="00F62A26"/>
    <w:rsid w:val="00F62E22"/>
    <w:rsid w:val="00F639B5"/>
    <w:rsid w:val="00F63F84"/>
    <w:rsid w:val="00F64603"/>
    <w:rsid w:val="00F64916"/>
    <w:rsid w:val="00F64AE3"/>
    <w:rsid w:val="00F64B6E"/>
    <w:rsid w:val="00F64DE1"/>
    <w:rsid w:val="00F65705"/>
    <w:rsid w:val="00F659E7"/>
    <w:rsid w:val="00F65F4B"/>
    <w:rsid w:val="00F65F5C"/>
    <w:rsid w:val="00F66155"/>
    <w:rsid w:val="00F670FF"/>
    <w:rsid w:val="00F67610"/>
    <w:rsid w:val="00F67820"/>
    <w:rsid w:val="00F67A69"/>
    <w:rsid w:val="00F70A56"/>
    <w:rsid w:val="00F70BFF"/>
    <w:rsid w:val="00F70C9D"/>
    <w:rsid w:val="00F70CCF"/>
    <w:rsid w:val="00F7126B"/>
    <w:rsid w:val="00F71409"/>
    <w:rsid w:val="00F71911"/>
    <w:rsid w:val="00F71E61"/>
    <w:rsid w:val="00F71E84"/>
    <w:rsid w:val="00F72B81"/>
    <w:rsid w:val="00F73133"/>
    <w:rsid w:val="00F738B5"/>
    <w:rsid w:val="00F7390A"/>
    <w:rsid w:val="00F7396C"/>
    <w:rsid w:val="00F73AD8"/>
    <w:rsid w:val="00F73D3A"/>
    <w:rsid w:val="00F73E08"/>
    <w:rsid w:val="00F73EDD"/>
    <w:rsid w:val="00F73F26"/>
    <w:rsid w:val="00F74343"/>
    <w:rsid w:val="00F7445D"/>
    <w:rsid w:val="00F744AF"/>
    <w:rsid w:val="00F747AF"/>
    <w:rsid w:val="00F74CD9"/>
    <w:rsid w:val="00F74D07"/>
    <w:rsid w:val="00F74DEE"/>
    <w:rsid w:val="00F7502B"/>
    <w:rsid w:val="00F751FB"/>
    <w:rsid w:val="00F752C8"/>
    <w:rsid w:val="00F754EA"/>
    <w:rsid w:val="00F756AD"/>
    <w:rsid w:val="00F757E0"/>
    <w:rsid w:val="00F759B0"/>
    <w:rsid w:val="00F768E7"/>
    <w:rsid w:val="00F7690B"/>
    <w:rsid w:val="00F76AF0"/>
    <w:rsid w:val="00F7709E"/>
    <w:rsid w:val="00F77198"/>
    <w:rsid w:val="00F77997"/>
    <w:rsid w:val="00F77B64"/>
    <w:rsid w:val="00F77D60"/>
    <w:rsid w:val="00F80128"/>
    <w:rsid w:val="00F804D4"/>
    <w:rsid w:val="00F80795"/>
    <w:rsid w:val="00F80A7B"/>
    <w:rsid w:val="00F80E5D"/>
    <w:rsid w:val="00F81133"/>
    <w:rsid w:val="00F815B0"/>
    <w:rsid w:val="00F81CCA"/>
    <w:rsid w:val="00F81E78"/>
    <w:rsid w:val="00F82422"/>
    <w:rsid w:val="00F82551"/>
    <w:rsid w:val="00F825F6"/>
    <w:rsid w:val="00F835F0"/>
    <w:rsid w:val="00F837DE"/>
    <w:rsid w:val="00F83916"/>
    <w:rsid w:val="00F83B1B"/>
    <w:rsid w:val="00F83C01"/>
    <w:rsid w:val="00F83E01"/>
    <w:rsid w:val="00F84264"/>
    <w:rsid w:val="00F84AB3"/>
    <w:rsid w:val="00F84C1A"/>
    <w:rsid w:val="00F84C8D"/>
    <w:rsid w:val="00F84CF1"/>
    <w:rsid w:val="00F84F4F"/>
    <w:rsid w:val="00F8500B"/>
    <w:rsid w:val="00F851CE"/>
    <w:rsid w:val="00F85993"/>
    <w:rsid w:val="00F85A43"/>
    <w:rsid w:val="00F85E88"/>
    <w:rsid w:val="00F863C6"/>
    <w:rsid w:val="00F86CAA"/>
    <w:rsid w:val="00F86D83"/>
    <w:rsid w:val="00F86E6B"/>
    <w:rsid w:val="00F87262"/>
    <w:rsid w:val="00F878AF"/>
    <w:rsid w:val="00F9022A"/>
    <w:rsid w:val="00F90A44"/>
    <w:rsid w:val="00F90AA7"/>
    <w:rsid w:val="00F9107D"/>
    <w:rsid w:val="00F910D6"/>
    <w:rsid w:val="00F91219"/>
    <w:rsid w:val="00F9149C"/>
    <w:rsid w:val="00F92444"/>
    <w:rsid w:val="00F929A3"/>
    <w:rsid w:val="00F935C8"/>
    <w:rsid w:val="00F9367B"/>
    <w:rsid w:val="00F9393E"/>
    <w:rsid w:val="00F93BF1"/>
    <w:rsid w:val="00F93E7C"/>
    <w:rsid w:val="00F94127"/>
    <w:rsid w:val="00F9429F"/>
    <w:rsid w:val="00F94334"/>
    <w:rsid w:val="00F94CB8"/>
    <w:rsid w:val="00F94CEE"/>
    <w:rsid w:val="00F94E00"/>
    <w:rsid w:val="00F953AF"/>
    <w:rsid w:val="00F95529"/>
    <w:rsid w:val="00F96029"/>
    <w:rsid w:val="00F965CB"/>
    <w:rsid w:val="00F9682C"/>
    <w:rsid w:val="00F96B4B"/>
    <w:rsid w:val="00F96DFE"/>
    <w:rsid w:val="00F96EC3"/>
    <w:rsid w:val="00F96FD0"/>
    <w:rsid w:val="00F97A78"/>
    <w:rsid w:val="00F97B00"/>
    <w:rsid w:val="00F97C59"/>
    <w:rsid w:val="00FA00B9"/>
    <w:rsid w:val="00FA01D0"/>
    <w:rsid w:val="00FA029B"/>
    <w:rsid w:val="00FA03AB"/>
    <w:rsid w:val="00FA0746"/>
    <w:rsid w:val="00FA0918"/>
    <w:rsid w:val="00FA0B20"/>
    <w:rsid w:val="00FA1123"/>
    <w:rsid w:val="00FA195C"/>
    <w:rsid w:val="00FA1EA9"/>
    <w:rsid w:val="00FA20BF"/>
    <w:rsid w:val="00FA24E7"/>
    <w:rsid w:val="00FA3704"/>
    <w:rsid w:val="00FA3AC6"/>
    <w:rsid w:val="00FA3E27"/>
    <w:rsid w:val="00FA42E1"/>
    <w:rsid w:val="00FA4914"/>
    <w:rsid w:val="00FA4CE2"/>
    <w:rsid w:val="00FA4E50"/>
    <w:rsid w:val="00FA4EB2"/>
    <w:rsid w:val="00FA5039"/>
    <w:rsid w:val="00FA50D6"/>
    <w:rsid w:val="00FA52DE"/>
    <w:rsid w:val="00FA54C4"/>
    <w:rsid w:val="00FA556E"/>
    <w:rsid w:val="00FA5CC5"/>
    <w:rsid w:val="00FA5D5D"/>
    <w:rsid w:val="00FA5EE6"/>
    <w:rsid w:val="00FA63CC"/>
    <w:rsid w:val="00FA6953"/>
    <w:rsid w:val="00FA6C0C"/>
    <w:rsid w:val="00FA7956"/>
    <w:rsid w:val="00FA7CF3"/>
    <w:rsid w:val="00FB0205"/>
    <w:rsid w:val="00FB0495"/>
    <w:rsid w:val="00FB06A6"/>
    <w:rsid w:val="00FB0824"/>
    <w:rsid w:val="00FB1268"/>
    <w:rsid w:val="00FB1712"/>
    <w:rsid w:val="00FB203A"/>
    <w:rsid w:val="00FB25FA"/>
    <w:rsid w:val="00FB2A0D"/>
    <w:rsid w:val="00FB2DE3"/>
    <w:rsid w:val="00FB2FCB"/>
    <w:rsid w:val="00FB3666"/>
    <w:rsid w:val="00FB3AA3"/>
    <w:rsid w:val="00FB3F12"/>
    <w:rsid w:val="00FB458E"/>
    <w:rsid w:val="00FB462C"/>
    <w:rsid w:val="00FB4883"/>
    <w:rsid w:val="00FB4AFF"/>
    <w:rsid w:val="00FB4C9C"/>
    <w:rsid w:val="00FB4F41"/>
    <w:rsid w:val="00FB56A2"/>
    <w:rsid w:val="00FB580A"/>
    <w:rsid w:val="00FB662C"/>
    <w:rsid w:val="00FB6D4E"/>
    <w:rsid w:val="00FB7065"/>
    <w:rsid w:val="00FB7187"/>
    <w:rsid w:val="00FB7224"/>
    <w:rsid w:val="00FB7523"/>
    <w:rsid w:val="00FB7C55"/>
    <w:rsid w:val="00FC056D"/>
    <w:rsid w:val="00FC0969"/>
    <w:rsid w:val="00FC096C"/>
    <w:rsid w:val="00FC0E7A"/>
    <w:rsid w:val="00FC0F36"/>
    <w:rsid w:val="00FC1074"/>
    <w:rsid w:val="00FC10A1"/>
    <w:rsid w:val="00FC12E8"/>
    <w:rsid w:val="00FC1884"/>
    <w:rsid w:val="00FC1D9C"/>
    <w:rsid w:val="00FC1F6B"/>
    <w:rsid w:val="00FC2B3C"/>
    <w:rsid w:val="00FC2DAE"/>
    <w:rsid w:val="00FC371D"/>
    <w:rsid w:val="00FC398B"/>
    <w:rsid w:val="00FC3A2D"/>
    <w:rsid w:val="00FC45C4"/>
    <w:rsid w:val="00FC4891"/>
    <w:rsid w:val="00FC490D"/>
    <w:rsid w:val="00FC4B5B"/>
    <w:rsid w:val="00FC5CCA"/>
    <w:rsid w:val="00FC5F0B"/>
    <w:rsid w:val="00FC6ACA"/>
    <w:rsid w:val="00FC730E"/>
    <w:rsid w:val="00FC7414"/>
    <w:rsid w:val="00FC78CC"/>
    <w:rsid w:val="00FC7A46"/>
    <w:rsid w:val="00FD08F7"/>
    <w:rsid w:val="00FD09EB"/>
    <w:rsid w:val="00FD1206"/>
    <w:rsid w:val="00FD1638"/>
    <w:rsid w:val="00FD1B3C"/>
    <w:rsid w:val="00FD1CFE"/>
    <w:rsid w:val="00FD2100"/>
    <w:rsid w:val="00FD2523"/>
    <w:rsid w:val="00FD27AB"/>
    <w:rsid w:val="00FD2842"/>
    <w:rsid w:val="00FD2AD3"/>
    <w:rsid w:val="00FD300B"/>
    <w:rsid w:val="00FD3125"/>
    <w:rsid w:val="00FD3647"/>
    <w:rsid w:val="00FD3A08"/>
    <w:rsid w:val="00FD3A96"/>
    <w:rsid w:val="00FD436C"/>
    <w:rsid w:val="00FD4399"/>
    <w:rsid w:val="00FD445D"/>
    <w:rsid w:val="00FD446D"/>
    <w:rsid w:val="00FD488A"/>
    <w:rsid w:val="00FD4F2C"/>
    <w:rsid w:val="00FD5370"/>
    <w:rsid w:val="00FD55F7"/>
    <w:rsid w:val="00FD5659"/>
    <w:rsid w:val="00FD56F9"/>
    <w:rsid w:val="00FD6394"/>
    <w:rsid w:val="00FD6582"/>
    <w:rsid w:val="00FD6618"/>
    <w:rsid w:val="00FD6A1A"/>
    <w:rsid w:val="00FD6D8A"/>
    <w:rsid w:val="00FD70DC"/>
    <w:rsid w:val="00FD759E"/>
    <w:rsid w:val="00FD7748"/>
    <w:rsid w:val="00FE02D5"/>
    <w:rsid w:val="00FE0434"/>
    <w:rsid w:val="00FE06D4"/>
    <w:rsid w:val="00FE0E6C"/>
    <w:rsid w:val="00FE1220"/>
    <w:rsid w:val="00FE1765"/>
    <w:rsid w:val="00FE191A"/>
    <w:rsid w:val="00FE1CDC"/>
    <w:rsid w:val="00FE1ED2"/>
    <w:rsid w:val="00FE1F1C"/>
    <w:rsid w:val="00FE217A"/>
    <w:rsid w:val="00FE261E"/>
    <w:rsid w:val="00FE2E1B"/>
    <w:rsid w:val="00FE2F21"/>
    <w:rsid w:val="00FE3322"/>
    <w:rsid w:val="00FE3815"/>
    <w:rsid w:val="00FE3968"/>
    <w:rsid w:val="00FE3B6D"/>
    <w:rsid w:val="00FE3D2F"/>
    <w:rsid w:val="00FE3F6B"/>
    <w:rsid w:val="00FE4790"/>
    <w:rsid w:val="00FE4E4F"/>
    <w:rsid w:val="00FE5D93"/>
    <w:rsid w:val="00FE5D95"/>
    <w:rsid w:val="00FE6509"/>
    <w:rsid w:val="00FE664A"/>
    <w:rsid w:val="00FE6718"/>
    <w:rsid w:val="00FE6AE6"/>
    <w:rsid w:val="00FE6C6F"/>
    <w:rsid w:val="00FE6FF4"/>
    <w:rsid w:val="00FE70C3"/>
    <w:rsid w:val="00FE71BF"/>
    <w:rsid w:val="00FE7D74"/>
    <w:rsid w:val="00FE7E5D"/>
    <w:rsid w:val="00FF0AC9"/>
    <w:rsid w:val="00FF0E61"/>
    <w:rsid w:val="00FF0EAD"/>
    <w:rsid w:val="00FF14B9"/>
    <w:rsid w:val="00FF17B7"/>
    <w:rsid w:val="00FF1A8B"/>
    <w:rsid w:val="00FF1E81"/>
    <w:rsid w:val="00FF24C0"/>
    <w:rsid w:val="00FF266C"/>
    <w:rsid w:val="00FF29AF"/>
    <w:rsid w:val="00FF2AD9"/>
    <w:rsid w:val="00FF359F"/>
    <w:rsid w:val="00FF3B0D"/>
    <w:rsid w:val="00FF3CB1"/>
    <w:rsid w:val="00FF3DCF"/>
    <w:rsid w:val="00FF3EF7"/>
    <w:rsid w:val="00FF408E"/>
    <w:rsid w:val="00FF42FA"/>
    <w:rsid w:val="00FF4805"/>
    <w:rsid w:val="00FF492C"/>
    <w:rsid w:val="00FF4A21"/>
    <w:rsid w:val="00FF5177"/>
    <w:rsid w:val="00FF5AA3"/>
    <w:rsid w:val="00FF5AD8"/>
    <w:rsid w:val="00FF634D"/>
    <w:rsid w:val="00FF65F2"/>
    <w:rsid w:val="00FF674C"/>
    <w:rsid w:val="00FF6DA3"/>
    <w:rsid w:val="00FF7046"/>
    <w:rsid w:val="00FF77D7"/>
    <w:rsid w:val="00FF797D"/>
    <w:rsid w:val="00FF7B93"/>
    <w:rsid w:val="00FF7C14"/>
    <w:rsid w:val="01281BB7"/>
    <w:rsid w:val="017CA5D4"/>
    <w:rsid w:val="0212C5D0"/>
    <w:rsid w:val="02668B6E"/>
    <w:rsid w:val="0323F96E"/>
    <w:rsid w:val="0342A5AB"/>
    <w:rsid w:val="03C19A2B"/>
    <w:rsid w:val="06DC6CB5"/>
    <w:rsid w:val="0802D7C9"/>
    <w:rsid w:val="08FAF125"/>
    <w:rsid w:val="09DF1927"/>
    <w:rsid w:val="0A87F3DA"/>
    <w:rsid w:val="0C1833AD"/>
    <w:rsid w:val="0C6F9B60"/>
    <w:rsid w:val="0D10CBE3"/>
    <w:rsid w:val="0D25873A"/>
    <w:rsid w:val="0D5C9285"/>
    <w:rsid w:val="0E2C14B1"/>
    <w:rsid w:val="0E45B0AA"/>
    <w:rsid w:val="0F2557B6"/>
    <w:rsid w:val="0FD8FE54"/>
    <w:rsid w:val="107894F1"/>
    <w:rsid w:val="10BB198C"/>
    <w:rsid w:val="10DB3157"/>
    <w:rsid w:val="111B002B"/>
    <w:rsid w:val="1152A5CF"/>
    <w:rsid w:val="115B76E1"/>
    <w:rsid w:val="1248A117"/>
    <w:rsid w:val="126BDC9E"/>
    <w:rsid w:val="12D77E83"/>
    <w:rsid w:val="133D3E99"/>
    <w:rsid w:val="1393B6AE"/>
    <w:rsid w:val="1548D025"/>
    <w:rsid w:val="1663956B"/>
    <w:rsid w:val="16F994AF"/>
    <w:rsid w:val="171BBA54"/>
    <w:rsid w:val="17925F92"/>
    <w:rsid w:val="184324D2"/>
    <w:rsid w:val="1A6E7497"/>
    <w:rsid w:val="1AB7EED0"/>
    <w:rsid w:val="1AC0452B"/>
    <w:rsid w:val="1C6E153F"/>
    <w:rsid w:val="1D12B108"/>
    <w:rsid w:val="1D44CAA0"/>
    <w:rsid w:val="1D7F25BC"/>
    <w:rsid w:val="1DFA4655"/>
    <w:rsid w:val="1E263714"/>
    <w:rsid w:val="1EE34B7B"/>
    <w:rsid w:val="1F773E8B"/>
    <w:rsid w:val="20CFB4FC"/>
    <w:rsid w:val="21009D7B"/>
    <w:rsid w:val="218B4A4E"/>
    <w:rsid w:val="21BBFFEB"/>
    <w:rsid w:val="21F17413"/>
    <w:rsid w:val="2249E3E5"/>
    <w:rsid w:val="22DE391C"/>
    <w:rsid w:val="2305A6DE"/>
    <w:rsid w:val="23550858"/>
    <w:rsid w:val="23EFF1E7"/>
    <w:rsid w:val="243EE292"/>
    <w:rsid w:val="250E53B0"/>
    <w:rsid w:val="2568801B"/>
    <w:rsid w:val="263EF16F"/>
    <w:rsid w:val="2810EB0B"/>
    <w:rsid w:val="28181856"/>
    <w:rsid w:val="2877B872"/>
    <w:rsid w:val="298FCE55"/>
    <w:rsid w:val="2ADC0E43"/>
    <w:rsid w:val="2B5796E3"/>
    <w:rsid w:val="2B6B0A10"/>
    <w:rsid w:val="2C2802B8"/>
    <w:rsid w:val="2C2AB3BE"/>
    <w:rsid w:val="2C9AFE35"/>
    <w:rsid w:val="2DFB58C0"/>
    <w:rsid w:val="2EBBA46D"/>
    <w:rsid w:val="2FE87C0B"/>
    <w:rsid w:val="300899D8"/>
    <w:rsid w:val="30D5D36F"/>
    <w:rsid w:val="31714658"/>
    <w:rsid w:val="31BA9940"/>
    <w:rsid w:val="31E0396C"/>
    <w:rsid w:val="320C1829"/>
    <w:rsid w:val="3358EC82"/>
    <w:rsid w:val="346198DB"/>
    <w:rsid w:val="34944C24"/>
    <w:rsid w:val="34F9C60C"/>
    <w:rsid w:val="35835270"/>
    <w:rsid w:val="3609C9BF"/>
    <w:rsid w:val="361A430E"/>
    <w:rsid w:val="371C3497"/>
    <w:rsid w:val="37E2E89F"/>
    <w:rsid w:val="38555AD2"/>
    <w:rsid w:val="390D890E"/>
    <w:rsid w:val="39328836"/>
    <w:rsid w:val="3997F94F"/>
    <w:rsid w:val="3A3001B1"/>
    <w:rsid w:val="3B6F83CC"/>
    <w:rsid w:val="3C73506C"/>
    <w:rsid w:val="3DE59A01"/>
    <w:rsid w:val="3DFD9414"/>
    <w:rsid w:val="3E7E625F"/>
    <w:rsid w:val="3EFBCD6F"/>
    <w:rsid w:val="3F94E766"/>
    <w:rsid w:val="3FFF33D8"/>
    <w:rsid w:val="40845DB7"/>
    <w:rsid w:val="41AA81CB"/>
    <w:rsid w:val="42B1822E"/>
    <w:rsid w:val="42C048B5"/>
    <w:rsid w:val="42E03264"/>
    <w:rsid w:val="43632725"/>
    <w:rsid w:val="43DCD847"/>
    <w:rsid w:val="442FA82D"/>
    <w:rsid w:val="448C0405"/>
    <w:rsid w:val="44C5E335"/>
    <w:rsid w:val="44CE63F8"/>
    <w:rsid w:val="458F8ABE"/>
    <w:rsid w:val="461F5CA2"/>
    <w:rsid w:val="46FE1371"/>
    <w:rsid w:val="48B00381"/>
    <w:rsid w:val="4A10608C"/>
    <w:rsid w:val="4A4789D9"/>
    <w:rsid w:val="4B354A5F"/>
    <w:rsid w:val="4B4F9911"/>
    <w:rsid w:val="4BE3F7B4"/>
    <w:rsid w:val="4CE28447"/>
    <w:rsid w:val="4CF22F26"/>
    <w:rsid w:val="4D3AB413"/>
    <w:rsid w:val="4E15FC0F"/>
    <w:rsid w:val="4E5829CF"/>
    <w:rsid w:val="4E6B8AFC"/>
    <w:rsid w:val="4E77A206"/>
    <w:rsid w:val="4E803979"/>
    <w:rsid w:val="4EE6A441"/>
    <w:rsid w:val="503F3717"/>
    <w:rsid w:val="50554429"/>
    <w:rsid w:val="50C8BD9B"/>
    <w:rsid w:val="5103CB91"/>
    <w:rsid w:val="529B316B"/>
    <w:rsid w:val="52DDA963"/>
    <w:rsid w:val="53DF3135"/>
    <w:rsid w:val="5422871A"/>
    <w:rsid w:val="5593E507"/>
    <w:rsid w:val="55B8FB4D"/>
    <w:rsid w:val="560A9AB7"/>
    <w:rsid w:val="5739B426"/>
    <w:rsid w:val="5805C75A"/>
    <w:rsid w:val="59C618EF"/>
    <w:rsid w:val="59FC67A4"/>
    <w:rsid w:val="5A45739F"/>
    <w:rsid w:val="5B6AB575"/>
    <w:rsid w:val="5FBC6C49"/>
    <w:rsid w:val="60BA63AB"/>
    <w:rsid w:val="60D3271D"/>
    <w:rsid w:val="6182CFD2"/>
    <w:rsid w:val="63632556"/>
    <w:rsid w:val="6631623C"/>
    <w:rsid w:val="66465549"/>
    <w:rsid w:val="67222429"/>
    <w:rsid w:val="690EF75C"/>
    <w:rsid w:val="69193A8D"/>
    <w:rsid w:val="6A70F1DF"/>
    <w:rsid w:val="6AB1AB80"/>
    <w:rsid w:val="6B00959B"/>
    <w:rsid w:val="6B17DA90"/>
    <w:rsid w:val="6B5B696C"/>
    <w:rsid w:val="6B6EC5F4"/>
    <w:rsid w:val="6BFC406B"/>
    <w:rsid w:val="6D1F648B"/>
    <w:rsid w:val="6D41CE11"/>
    <w:rsid w:val="6D5799B6"/>
    <w:rsid w:val="6EA5E977"/>
    <w:rsid w:val="702AA63D"/>
    <w:rsid w:val="70B2A424"/>
    <w:rsid w:val="711E98B0"/>
    <w:rsid w:val="72F3E98E"/>
    <w:rsid w:val="730A1EE3"/>
    <w:rsid w:val="736D7A73"/>
    <w:rsid w:val="73F57D60"/>
    <w:rsid w:val="74BEDB36"/>
    <w:rsid w:val="74CE3A50"/>
    <w:rsid w:val="75388543"/>
    <w:rsid w:val="755BCBEB"/>
    <w:rsid w:val="75B1857C"/>
    <w:rsid w:val="769F09A7"/>
    <w:rsid w:val="76D566EB"/>
    <w:rsid w:val="778FC6C8"/>
    <w:rsid w:val="77B8A315"/>
    <w:rsid w:val="7822A5BD"/>
    <w:rsid w:val="7848D6F8"/>
    <w:rsid w:val="78FC0D85"/>
    <w:rsid w:val="79174808"/>
    <w:rsid w:val="7931458F"/>
    <w:rsid w:val="796CA7A2"/>
    <w:rsid w:val="79F6B6FC"/>
    <w:rsid w:val="7AE4D508"/>
    <w:rsid w:val="7BDF155A"/>
    <w:rsid w:val="7C61B4C1"/>
    <w:rsid w:val="7CA447D9"/>
    <w:rsid w:val="7D7D256C"/>
    <w:rsid w:val="7E33B367"/>
    <w:rsid w:val="7EB6BEC6"/>
    <w:rsid w:val="7ED8A5CD"/>
    <w:rsid w:val="7F79B2AF"/>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aliases w:val="3.7.1"/>
    <w:basedOn w:val="Normal"/>
    <w:next w:val="Normal"/>
    <w:qFormat/>
    <w:rsid w:val="001F7361"/>
    <w:pPr>
      <w:outlineLvl w:val="2"/>
    </w:pPr>
    <w:rPr>
      <w:u w:val="single"/>
    </w:rPr>
  </w:style>
  <w:style w:type="paragraph" w:styleId="Heading4">
    <w:name w:val="heading 4"/>
    <w:basedOn w:val="Normal"/>
    <w:next w:val="Normal"/>
    <w:qFormat/>
    <w:rsid w:val="00124A51"/>
    <w:pPr>
      <w:keepNext/>
      <w:spacing w:before="240" w:after="60"/>
      <w:outlineLvl w:val="3"/>
    </w:pPr>
    <w:rPr>
      <w:b/>
      <w:bCs/>
      <w:i/>
      <w:sz w:val="26"/>
      <w:szCs w:val="28"/>
    </w:rPr>
  </w:style>
  <w:style w:type="paragraph" w:styleId="Heading5">
    <w:name w:val="heading 5"/>
    <w:aliases w:val="Prior adj osi headings"/>
    <w:basedOn w:val="Normal"/>
    <w:next w:val="Normal"/>
    <w:qFormat/>
    <w:rsid w:val="00124A51"/>
    <w:pPr>
      <w:spacing w:before="240" w:after="60"/>
      <w:outlineLvl w:val="4"/>
    </w:pPr>
    <w:rPr>
      <w:b/>
      <w:bCs/>
      <w:iCs/>
      <w:sz w:val="26"/>
      <w:szCs w:val="26"/>
    </w:rPr>
  </w:style>
  <w:style w:type="paragraph" w:styleId="Heading6">
    <w:name w:val="heading 6"/>
    <w:aliases w:val="Heading 6 - DO NOT USE"/>
    <w:basedOn w:val="Normal"/>
    <w:next w:val="Normal"/>
    <w:qFormat/>
    <w:rsid w:val="00124A51"/>
    <w:pPr>
      <w:spacing w:before="240" w:after="60"/>
      <w:outlineLvl w:val="5"/>
    </w:pPr>
    <w:rPr>
      <w:b/>
      <w:bCs/>
      <w:i/>
    </w:rPr>
  </w:style>
  <w:style w:type="paragraph" w:styleId="Heading7">
    <w:name w:val="heading 7"/>
    <w:aliases w:val="Heading 7 - DO NOT USE"/>
    <w:basedOn w:val="Normal"/>
    <w:next w:val="Normal"/>
    <w:link w:val="Heading7Char"/>
    <w:qFormat/>
    <w:rsid w:val="00124A51"/>
    <w:pPr>
      <w:keepNext/>
      <w:jc w:val="center"/>
      <w:outlineLvl w:val="6"/>
    </w:pPr>
    <w:rPr>
      <w:b/>
      <w:sz w:val="20"/>
    </w:rPr>
  </w:style>
  <w:style w:type="paragraph" w:styleId="Heading8">
    <w:name w:val="heading 8"/>
    <w:aliases w:val="Heading 8 - Appendix 2,Heading 8 - - DO NOT USE"/>
    <w:basedOn w:val="Normal"/>
    <w:next w:val="Normal"/>
    <w:link w:val="Heading8Char"/>
    <w:uiPriority w:val="7"/>
    <w:qFormat/>
    <w:rsid w:val="00124A51"/>
    <w:pPr>
      <w:keepNext/>
      <w:jc w:val="right"/>
      <w:outlineLvl w:val="7"/>
    </w:pPr>
    <w:rPr>
      <w:b/>
    </w:rPr>
  </w:style>
  <w:style w:type="paragraph" w:styleId="Heading9">
    <w:name w:val="heading 9"/>
    <w:aliases w:val="Heading 9 - Appendix 3,Heading 9 - DO NOT USE"/>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aliases w:val="Heading 7 - DO NOT USE Char"/>
    <w:basedOn w:val="DefaultParagraphFont"/>
    <w:link w:val="Heading7"/>
    <w:rsid w:val="00124A51"/>
    <w:rPr>
      <w:rFonts w:ascii="Arial" w:hAnsi="Arial"/>
      <w:b/>
      <w:snapToGrid w:val="0"/>
      <w:lang w:eastAsia="en-US"/>
    </w:rPr>
  </w:style>
  <w:style w:type="character" w:customStyle="1" w:styleId="Heading8Char">
    <w:name w:val="Heading 8 Char"/>
    <w:aliases w:val="Heading 8 - Appendix 2 Char,Heading 8 - - DO NOT USE Char"/>
    <w:basedOn w:val="DefaultParagraphFont"/>
    <w:link w:val="Heading8"/>
    <w:rsid w:val="00124A51"/>
    <w:rPr>
      <w:b/>
      <w:snapToGrid w:val="0"/>
      <w:sz w:val="24"/>
      <w:lang w:eastAsia="en-US"/>
    </w:rPr>
  </w:style>
  <w:style w:type="character" w:customStyle="1" w:styleId="Heading9Char">
    <w:name w:val="Heading 9 Char"/>
    <w:aliases w:val="Heading 9 - Appendix 3 Char,Heading 9 - DO NOT USE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4.1,Caption Char1 Char,Caption Char Char Char,Caption Char1 Char Char Char,Caption Char Char Char Char Char,Caption Char Char1 Char,Caption Char1 Char1,Caption Char Char Char1,Caption Char1,Caption Char Char,Bayer Caption,IB Caption,c,Char"/>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Table 4.1 Char,Caption Char1 Char Char,Caption Char Char Char Char,Caption Char1 Char Char Char Char,Caption Char Char Char Char Char Char,Caption Char Char1 Char Char,Caption Char1 Char1 Char,Caption Char Char Char1 Char,Bayer Caption Char"/>
    <w:link w:val="Caption"/>
    <w:uiPriority w:val="35"/>
    <w:rsid w:val="00E16AD8"/>
    <w:rPr>
      <w:rFonts w:ascii="Arial Narrow" w:hAnsi="Arial Narrow" w:cs="Arial"/>
      <w:b/>
      <w:bCs/>
      <w:szCs w:val="18"/>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Bullet Point,Bulletr List Paragraph,L,l"/>
    <w:link w:val="ListParagraphChar"/>
    <w:uiPriority w:val="34"/>
    <w:qFormat/>
    <w:rsid w:val="004C3B02"/>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4C3B02"/>
    <w:rPr>
      <w:rFonts w:asciiTheme="minorHAnsi" w:hAnsiTheme="minorHAnsi" w:cs="Arial"/>
      <w:snapToGrid w:val="0"/>
      <w:sz w:val="24"/>
      <w:szCs w:val="24"/>
    </w:rPr>
  </w:style>
  <w:style w:type="paragraph" w:styleId="NoSpacing">
    <w:name w:val="No Spacing"/>
    <w:uiPriority w:val="1"/>
    <w:rsid w:val="00124A51"/>
    <w:pPr>
      <w:widowControl w:val="0"/>
      <w:jc w:val="both"/>
    </w:pPr>
    <w:rPr>
      <w:rFonts w:ascii="Arial" w:hAnsi="Arial" w:cs="Arial"/>
      <w:snapToGrid w:val="0"/>
      <w:sz w:val="22"/>
      <w:lang w:eastAsia="en-US"/>
    </w:rPr>
  </w:style>
  <w:style w:type="table" w:styleId="TableGrid">
    <w:name w:val="Table Grid"/>
    <w:aliases w:val="Summary box,Table Gridbeth,CMA Table Template,ASD Table,new style,PBAC table,Header Table,NICE instructions,Source table_,MSD Table Grid,HTAtableplain,HealthConsult,RTI AMCP Table,Dossier table,Summary Table,PHE Table Grid,Lash Style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DC16F4"/>
    <w:pPr>
      <w:keepNext/>
      <w:keepLines/>
      <w:jc w:val="left"/>
    </w:pPr>
    <w:rPr>
      <w:rFonts w:ascii="Arial Narrow" w:hAnsi="Arial Narrow" w:cs="Times New Roman"/>
      <w:snapToGrid w:val="0"/>
      <w:sz w:val="20"/>
    </w:rPr>
  </w:style>
  <w:style w:type="character" w:customStyle="1" w:styleId="TabletextChar">
    <w:name w:val="Table text Char"/>
    <w:link w:val="Tabletext"/>
    <w:rsid w:val="00DC16F4"/>
    <w:rPr>
      <w:rFonts w:ascii="Arial Narrow" w:hAnsi="Arial Narrow"/>
      <w:snapToGrid w:val="0"/>
      <w:szCs w:val="24"/>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ListParagraph"/>
    <w:rsid w:val="00B70E8E"/>
    <w:pPr>
      <w:numPr>
        <w:numId w:val="2"/>
      </w:numPr>
      <w:contextualSpacing/>
    </w:pPr>
  </w:style>
  <w:style w:type="paragraph" w:styleId="CommentSubject">
    <w:name w:val="annotation subject"/>
    <w:basedOn w:val="Normal"/>
    <w:next w:val="Normal"/>
    <w:link w:val="CommentSubjectChar"/>
    <w:rsid w:val="00BA2F8D"/>
    <w:rPr>
      <w:rFonts w:ascii="Arial" w:hAnsi="Arial"/>
      <w:b/>
      <w:bCs/>
      <w:sz w:val="20"/>
    </w:rPr>
  </w:style>
  <w:style w:type="character" w:customStyle="1" w:styleId="CommentSubjectChar">
    <w:name w:val="Comment Subject Char"/>
    <w:basedOn w:val="DefaultParagraphFont"/>
    <w:link w:val="CommentSubject"/>
    <w:rsid w:val="00BA2F8D"/>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6"/>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C572F6"/>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C572F6"/>
    <w:rPr>
      <w:rFonts w:ascii="Arial Narrow" w:hAnsi="Arial Narrow" w:cs="Arial"/>
      <w:snapToGrid w:val="0"/>
      <w:sz w:val="18"/>
      <w:szCs w:val="22"/>
    </w:rPr>
  </w:style>
  <w:style w:type="paragraph" w:styleId="Header">
    <w:name w:val="header"/>
    <w:basedOn w:val="Normal"/>
    <w:link w:val="HeaderChar"/>
    <w:unhideWhenUsed/>
    <w:qFormat/>
    <w:rsid w:val="00F81CCA"/>
    <w:pPr>
      <w:tabs>
        <w:tab w:val="center" w:pos="4513"/>
        <w:tab w:val="right" w:pos="9026"/>
      </w:tabs>
    </w:pPr>
  </w:style>
  <w:style w:type="character" w:customStyle="1" w:styleId="HeaderChar">
    <w:name w:val="Header Char"/>
    <w:basedOn w:val="DefaultParagraphFont"/>
    <w:link w:val="Header"/>
    <w:rsid w:val="00F81CCA"/>
    <w:rPr>
      <w:rFonts w:ascii="Calibri" w:hAnsi="Calibri" w:cs="Arial"/>
      <w:sz w:val="24"/>
      <w:szCs w:val="24"/>
    </w:rPr>
  </w:style>
  <w:style w:type="paragraph" w:styleId="Footer">
    <w:name w:val="footer"/>
    <w:basedOn w:val="Normal"/>
    <w:link w:val="FooterChar"/>
    <w:uiPriority w:val="99"/>
    <w:unhideWhenUsed/>
    <w:rsid w:val="00F81CCA"/>
    <w:pPr>
      <w:tabs>
        <w:tab w:val="center" w:pos="4513"/>
        <w:tab w:val="right" w:pos="9026"/>
      </w:tabs>
    </w:pPr>
  </w:style>
  <w:style w:type="character" w:customStyle="1" w:styleId="FooterChar">
    <w:name w:val="Footer Char"/>
    <w:basedOn w:val="DefaultParagraphFont"/>
    <w:link w:val="Footer"/>
    <w:uiPriority w:val="99"/>
    <w:rsid w:val="00F81CCA"/>
    <w:rPr>
      <w:rFonts w:ascii="Calibri" w:hAnsi="Calibri" w:cs="Arial"/>
      <w:sz w:val="24"/>
      <w:szCs w:val="24"/>
    </w:rPr>
  </w:style>
  <w:style w:type="character" w:customStyle="1" w:styleId="Heading1Char">
    <w:name w:val="Heading 1 Char"/>
    <w:basedOn w:val="DefaultParagraphFont"/>
    <w:link w:val="Heading1"/>
    <w:uiPriority w:val="1"/>
    <w:rsid w:val="00E976AF"/>
    <w:rPr>
      <w:rFonts w:ascii="Calibri" w:hAnsi="Calibri" w:cs="Arial"/>
      <w:b/>
      <w:caps/>
      <w:sz w:val="32"/>
      <w:szCs w:val="24"/>
    </w:rPr>
  </w:style>
  <w:style w:type="paragraph" w:styleId="FootnoteText">
    <w:name w:val="footnote text"/>
    <w:basedOn w:val="Normal"/>
    <w:link w:val="FootnoteTextChar"/>
    <w:semiHidden/>
    <w:unhideWhenUsed/>
    <w:rsid w:val="00BF0615"/>
    <w:rPr>
      <w:sz w:val="20"/>
      <w:szCs w:val="20"/>
    </w:rPr>
  </w:style>
  <w:style w:type="character" w:customStyle="1" w:styleId="FootnoteTextChar">
    <w:name w:val="Footnote Text Char"/>
    <w:basedOn w:val="DefaultParagraphFont"/>
    <w:link w:val="FootnoteText"/>
    <w:semiHidden/>
    <w:rsid w:val="00BF0615"/>
    <w:rPr>
      <w:rFonts w:ascii="Calibri" w:hAnsi="Calibri" w:cs="Arial"/>
    </w:rPr>
  </w:style>
  <w:style w:type="character" w:styleId="FootnoteReference">
    <w:name w:val="footnote reference"/>
    <w:basedOn w:val="DefaultParagraphFont"/>
    <w:semiHidden/>
    <w:unhideWhenUsed/>
    <w:rsid w:val="00BF0615"/>
    <w:rPr>
      <w:vertAlign w:val="superscript"/>
    </w:rPr>
  </w:style>
  <w:style w:type="paragraph" w:styleId="CommentText">
    <w:name w:val="annotation text"/>
    <w:basedOn w:val="Normal"/>
    <w:link w:val="CommentTextChar"/>
    <w:unhideWhenUsed/>
    <w:rsid w:val="00EF20C6"/>
    <w:rPr>
      <w:sz w:val="20"/>
      <w:szCs w:val="20"/>
    </w:rPr>
  </w:style>
  <w:style w:type="character" w:customStyle="1" w:styleId="CommentTextChar">
    <w:name w:val="Comment Text Char"/>
    <w:basedOn w:val="DefaultParagraphFont"/>
    <w:link w:val="CommentText"/>
    <w:rsid w:val="00EF20C6"/>
    <w:rPr>
      <w:rFonts w:ascii="Calibri" w:hAnsi="Calibri" w:cs="Arial"/>
    </w:rPr>
  </w:style>
  <w:style w:type="character" w:styleId="Mention">
    <w:name w:val="Mention"/>
    <w:basedOn w:val="DefaultParagraphFont"/>
    <w:uiPriority w:val="99"/>
    <w:unhideWhenUsed/>
    <w:rsid w:val="00FC056D"/>
    <w:rPr>
      <w:color w:val="2B579A"/>
      <w:shd w:val="clear" w:color="auto" w:fill="E1DFDD"/>
    </w:rPr>
  </w:style>
  <w:style w:type="character" w:styleId="UnresolvedMention">
    <w:name w:val="Unresolved Mention"/>
    <w:basedOn w:val="DefaultParagraphFont"/>
    <w:uiPriority w:val="99"/>
    <w:semiHidden/>
    <w:unhideWhenUsed/>
    <w:rsid w:val="004A4967"/>
    <w:rPr>
      <w:color w:val="605E5C"/>
      <w:shd w:val="clear" w:color="auto" w:fill="E1DFDD"/>
    </w:rPr>
  </w:style>
  <w:style w:type="paragraph" w:customStyle="1" w:styleId="TableText1">
    <w:name w:val="TableText"/>
    <w:basedOn w:val="Normal"/>
    <w:link w:val="TableTextChar1"/>
    <w:qFormat/>
    <w:rsid w:val="00DE133E"/>
    <w:pPr>
      <w:keepNext/>
      <w:spacing w:before="40" w:after="40"/>
    </w:pPr>
    <w:rPr>
      <w:rFonts w:ascii="Arial" w:hAnsi="Arial" w:cs="Times New Roman"/>
      <w:sz w:val="18"/>
      <w:szCs w:val="20"/>
      <w:lang w:eastAsia="en-US"/>
    </w:rPr>
  </w:style>
  <w:style w:type="character" w:customStyle="1" w:styleId="TableTextChar1">
    <w:name w:val="TableText Char"/>
    <w:link w:val="TableText1"/>
    <w:rsid w:val="00DE133E"/>
    <w:rPr>
      <w:rFonts w:ascii="Arial" w:hAnsi="Arial"/>
      <w:sz w:val="18"/>
      <w:lang w:eastAsia="en-US"/>
    </w:rPr>
  </w:style>
  <w:style w:type="table" w:customStyle="1" w:styleId="newstyle1">
    <w:name w:val="new style1"/>
    <w:basedOn w:val="TableNormal"/>
    <w:next w:val="TableGrid"/>
    <w:uiPriority w:val="59"/>
    <w:rsid w:val="00DE133E"/>
    <w:rPr>
      <w:rFonts w:ascii="Calibri" w:eastAsia="Calibri" w:hAnsi="Calibri" w:cs="Arial"/>
      <w:sz w:val="22"/>
      <w:szCs w:val="22"/>
      <w:lang w:eastAsia="en-US"/>
    </w:rPr>
    <w:tblPr/>
  </w:style>
  <w:style w:type="paragraph" w:customStyle="1" w:styleId="Tablebullet">
    <w:name w:val="Table bullet"/>
    <w:basedOn w:val="Normal"/>
    <w:link w:val="TablebulletChar"/>
    <w:qFormat/>
    <w:rsid w:val="00DE133E"/>
    <w:pPr>
      <w:numPr>
        <w:numId w:val="8"/>
      </w:numPr>
      <w:spacing w:before="40" w:after="40"/>
      <w:jc w:val="left"/>
    </w:pPr>
    <w:rPr>
      <w:rFonts w:asciiTheme="minorHAnsi" w:hAnsiTheme="minorHAnsi" w:cs="Times New Roman"/>
      <w:sz w:val="18"/>
      <w:szCs w:val="20"/>
      <w:lang w:val="en-GB" w:eastAsia="en-US"/>
    </w:rPr>
  </w:style>
  <w:style w:type="character" w:customStyle="1" w:styleId="TablebulletChar">
    <w:name w:val="Table bullet Char"/>
    <w:basedOn w:val="DefaultParagraphFont"/>
    <w:link w:val="Tablebullet"/>
    <w:rsid w:val="00DE133E"/>
    <w:rPr>
      <w:rFonts w:asciiTheme="minorHAnsi" w:hAnsiTheme="minorHAnsi"/>
      <w:sz w:val="18"/>
      <w:lang w:val="en-GB" w:eastAsia="en-US"/>
    </w:rPr>
  </w:style>
  <w:style w:type="paragraph" w:customStyle="1" w:styleId="TablebulletL2">
    <w:name w:val="Table bullet L2"/>
    <w:basedOn w:val="Tablebullet"/>
    <w:qFormat/>
    <w:rsid w:val="00DE133E"/>
    <w:pPr>
      <w:numPr>
        <w:ilvl w:val="1"/>
      </w:numPr>
      <w:tabs>
        <w:tab w:val="num" w:pos="360"/>
        <w:tab w:val="num" w:pos="1440"/>
      </w:tabs>
      <w:ind w:left="1440" w:hanging="576"/>
    </w:pPr>
  </w:style>
  <w:style w:type="table" w:customStyle="1" w:styleId="TableGrid11">
    <w:name w:val="Table Grid11"/>
    <w:basedOn w:val="TableNormal"/>
    <w:next w:val="TableGrid"/>
    <w:uiPriority w:val="59"/>
    <w:rsid w:val="00DE133E"/>
    <w:rPr>
      <w:rFonts w:ascii="Calibri" w:eastAsia="Calibri" w:hAnsi="Calibri"/>
      <w:sz w:val="22"/>
      <w:szCs w:val="22"/>
      <w:lang w:eastAsia="en-US"/>
    </w:rPr>
    <w:tblPr/>
  </w:style>
  <w:style w:type="table" w:customStyle="1" w:styleId="TableGrid12">
    <w:name w:val="Table Grid12"/>
    <w:basedOn w:val="TableNormal"/>
    <w:next w:val="TableGrid"/>
    <w:uiPriority w:val="59"/>
    <w:rsid w:val="00DE133E"/>
    <w:rPr>
      <w:rFonts w:ascii="Calibri" w:eastAsia="Calibri" w:hAnsi="Calibri"/>
      <w:sz w:val="22"/>
      <w:szCs w:val="22"/>
      <w:lang w:eastAsia="en-US"/>
    </w:rPr>
    <w:tblPr/>
  </w:style>
  <w:style w:type="paragraph" w:customStyle="1" w:styleId="Figure">
    <w:name w:val="Figure"/>
    <w:basedOn w:val="Normal"/>
    <w:qFormat/>
    <w:rsid w:val="00DE133E"/>
    <w:pPr>
      <w:numPr>
        <w:numId w:val="9"/>
      </w:numPr>
      <w:spacing w:after="160"/>
      <w:mirrorIndents/>
      <w:jc w:val="left"/>
    </w:pPr>
    <w:rPr>
      <w:rFonts w:ascii="Arial" w:eastAsiaTheme="minorHAnsi" w:hAnsi="Arial" w:cstheme="minorBidi"/>
      <w:b/>
      <w:sz w:val="20"/>
      <w:szCs w:val="22"/>
      <w:lang w:val="en-US" w:eastAsia="en-US"/>
    </w:rPr>
  </w:style>
  <w:style w:type="table" w:customStyle="1" w:styleId="newstyle2">
    <w:name w:val="new style2"/>
    <w:basedOn w:val="TableNormal"/>
    <w:next w:val="TableGrid"/>
    <w:uiPriority w:val="59"/>
    <w:rsid w:val="00DE133E"/>
    <w:rPr>
      <w:rFonts w:ascii="Calibri" w:eastAsia="Calibri" w:hAnsi="Calibri" w:cs="Arial"/>
      <w:sz w:val="22"/>
      <w:szCs w:val="22"/>
      <w:lang w:eastAsia="en-US"/>
    </w:rPr>
    <w:tblPr/>
  </w:style>
  <w:style w:type="table" w:customStyle="1" w:styleId="newstyle3">
    <w:name w:val="new style3"/>
    <w:basedOn w:val="TableNormal"/>
    <w:next w:val="TableGrid"/>
    <w:uiPriority w:val="59"/>
    <w:rsid w:val="00DE133E"/>
    <w:rPr>
      <w:rFonts w:ascii="Calibri" w:eastAsia="Calibri" w:hAnsi="Calibri" w:cs="Arial"/>
      <w:sz w:val="22"/>
      <w:szCs w:val="22"/>
      <w:lang w:eastAsia="en-US"/>
    </w:rPr>
    <w:tblPr/>
  </w:style>
  <w:style w:type="table" w:customStyle="1" w:styleId="newstyle4">
    <w:name w:val="new style4"/>
    <w:basedOn w:val="TableNormal"/>
    <w:next w:val="TableGrid"/>
    <w:uiPriority w:val="59"/>
    <w:rsid w:val="00DE133E"/>
    <w:rPr>
      <w:rFonts w:ascii="Calibri" w:eastAsia="Calibri" w:hAnsi="Calibri" w:cs="Arial"/>
      <w:sz w:val="22"/>
      <w:szCs w:val="22"/>
      <w:lang w:eastAsia="en-US"/>
    </w:rPr>
    <w:tblPr/>
  </w:style>
  <w:style w:type="table" w:customStyle="1" w:styleId="TableGrid15">
    <w:name w:val="Table Grid15"/>
    <w:basedOn w:val="TableNormal"/>
    <w:next w:val="TableGrid"/>
    <w:uiPriority w:val="59"/>
    <w:rsid w:val="00DE133E"/>
    <w:rPr>
      <w:rFonts w:ascii="Calibri" w:eastAsia="Calibri" w:hAnsi="Calibri"/>
      <w:sz w:val="22"/>
      <w:szCs w:val="22"/>
      <w:lang w:eastAsia="en-US"/>
    </w:rPr>
    <w:tblPr/>
  </w:style>
  <w:style w:type="table" w:customStyle="1" w:styleId="TableGrid2">
    <w:name w:val="Table Grid2"/>
    <w:basedOn w:val="TableNormal"/>
    <w:next w:val="TableGrid"/>
    <w:uiPriority w:val="59"/>
    <w:rsid w:val="00DE133E"/>
    <w:rPr>
      <w:rFonts w:ascii="Aptos" w:eastAsia="Calibri" w:hAnsi="Aptos"/>
      <w:sz w:val="22"/>
      <w:szCs w:val="22"/>
      <w:lang w:eastAsia="en-US"/>
    </w:rPr>
    <w:tblPr/>
  </w:style>
  <w:style w:type="paragraph" w:customStyle="1" w:styleId="CaptionFootnote">
    <w:name w:val="Caption Footnote"/>
    <w:basedOn w:val="Caption"/>
    <w:link w:val="CaptionFootnoteChar"/>
    <w:qFormat/>
    <w:rsid w:val="00DE133E"/>
    <w:pPr>
      <w:keepNext w:val="0"/>
      <w:keepLines w:val="0"/>
      <w:widowControl w:val="0"/>
      <w:spacing w:after="240"/>
      <w:contextualSpacing/>
      <w:jc w:val="left"/>
    </w:pPr>
    <w:rPr>
      <w:rFonts w:eastAsia="SimSun" w:cs="Times New Roman"/>
      <w:b w:val="0"/>
      <w:sz w:val="18"/>
      <w:lang w:eastAsia="en-US" w:bidi="en-US"/>
    </w:rPr>
  </w:style>
  <w:style w:type="character" w:customStyle="1" w:styleId="CaptionFootnoteChar">
    <w:name w:val="Caption Footnote Char"/>
    <w:link w:val="CaptionFootnote"/>
    <w:rsid w:val="00DE133E"/>
    <w:rPr>
      <w:rFonts w:ascii="Arial Narrow" w:eastAsia="SimSun" w:hAnsi="Arial Narrow"/>
      <w:bCs/>
      <w:sz w:val="18"/>
      <w:szCs w:val="18"/>
      <w:lang w:eastAsia="en-US" w:bidi="en-US"/>
    </w:rPr>
  </w:style>
  <w:style w:type="table" w:customStyle="1" w:styleId="Summarybox5">
    <w:name w:val="Summary box5"/>
    <w:basedOn w:val="TableNormal"/>
    <w:next w:val="TableGrid"/>
    <w:uiPriority w:val="59"/>
    <w:rsid w:val="0037368F"/>
    <w:rPr>
      <w:rFonts w:asciiTheme="minorHAnsi" w:eastAsiaTheme="minorHAnsi" w:hAnsiTheme="minorHAnsi" w:cstheme="minorBidi"/>
      <w:sz w:val="22"/>
      <w:szCs w:val="22"/>
      <w:lang w:val="en-US" w:eastAsia="en-US"/>
    </w:rPr>
    <w:tblPr/>
  </w:style>
  <w:style w:type="paragraph" w:customStyle="1" w:styleId="TableHeading">
    <w:name w:val="Table Heading"/>
    <w:basedOn w:val="TableText0"/>
    <w:link w:val="TableHeadingChar"/>
    <w:uiPriority w:val="3"/>
    <w:qFormat/>
    <w:rsid w:val="0037368F"/>
    <w:pPr>
      <w:spacing w:before="20" w:after="20" w:line="276" w:lineRule="auto"/>
    </w:pPr>
    <w:rPr>
      <w:rFonts w:cs="Arial"/>
      <w:b/>
      <w:bCs w:val="0"/>
      <w:szCs w:val="20"/>
      <w:lang w:bidi="en-US"/>
    </w:rPr>
  </w:style>
  <w:style w:type="character" w:customStyle="1" w:styleId="TableHeadingChar">
    <w:name w:val="Table Heading Char"/>
    <w:basedOn w:val="DefaultParagraphFont"/>
    <w:link w:val="TableHeading"/>
    <w:uiPriority w:val="3"/>
    <w:locked/>
    <w:rsid w:val="0037368F"/>
    <w:rPr>
      <w:rFonts w:ascii="Arial Narrow" w:eastAsiaTheme="majorEastAsia" w:hAnsi="Arial Narrow" w:cs="Arial"/>
      <w:b/>
      <w:lang w:bidi="en-US"/>
    </w:rPr>
  </w:style>
  <w:style w:type="paragraph" w:customStyle="1" w:styleId="PBACTabletext">
    <w:name w:val="PBAC Table text"/>
    <w:qFormat/>
    <w:rsid w:val="0037368F"/>
    <w:pPr>
      <w:keepNext/>
      <w:keepLines/>
      <w:suppressLineNumbers/>
      <w:spacing w:after="20"/>
      <w:textboxTightWrap w:val="allLines"/>
    </w:pPr>
    <w:rPr>
      <w:rFonts w:ascii="Arial Narrow" w:hAnsi="Arial Narrow" w:cs="Arial"/>
      <w:szCs w:val="24"/>
      <w:lang w:eastAsia="en-GB"/>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T Char Char,BT,Body text"/>
    <w:basedOn w:val="Normal"/>
    <w:link w:val="BodyTextChar"/>
    <w:uiPriority w:val="99"/>
    <w:unhideWhenUsed/>
    <w:rsid w:val="008332BF"/>
    <w:pPr>
      <w:spacing w:after="120" w:line="360" w:lineRule="auto"/>
    </w:pPr>
    <w:rPr>
      <w:rFonts w:ascii="Arial" w:eastAsiaTheme="minorHAnsi" w:hAnsi="Arial" w:cstheme="minorBidi"/>
      <w:sz w:val="20"/>
      <w:szCs w:val="22"/>
      <w:lang w:eastAsia="en-US"/>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T Char Char Char,BT Char,Body text Char"/>
    <w:basedOn w:val="DefaultParagraphFont"/>
    <w:link w:val="BodyText"/>
    <w:uiPriority w:val="99"/>
    <w:rsid w:val="008332BF"/>
    <w:rPr>
      <w:rFonts w:ascii="Arial" w:eastAsiaTheme="minorHAnsi" w:hAnsi="Arial" w:cstheme="minorBidi"/>
      <w:szCs w:val="22"/>
      <w:lang w:eastAsia="en-US"/>
    </w:rPr>
  </w:style>
  <w:style w:type="table" w:customStyle="1" w:styleId="ASDTable1">
    <w:name w:val="ASD Table1"/>
    <w:basedOn w:val="TableNormal"/>
    <w:next w:val="TableGrid"/>
    <w:uiPriority w:val="59"/>
    <w:rsid w:val="003B265C"/>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qFormat/>
    <w:rsid w:val="006A431D"/>
    <w:pPr>
      <w:keepNext/>
      <w:spacing w:before="120" w:after="120"/>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6A431D"/>
    <w:rPr>
      <w:rFonts w:asciiTheme="minorHAnsi" w:eastAsiaTheme="majorEastAsia" w:hAnsiTheme="minorHAnsi" w:cstheme="majorBidi"/>
      <w:b/>
      <w:i/>
      <w:snapToGrid/>
      <w:color w:val="365F91" w:themeColor="accent1" w:themeShade="BF"/>
      <w:spacing w:val="5"/>
      <w:kern w:val="28"/>
      <w:sz w:val="28"/>
      <w:szCs w:val="36"/>
      <w:lang w:eastAsia="en-US"/>
    </w:rPr>
  </w:style>
  <w:style w:type="paragraph" w:customStyle="1" w:styleId="PBACHeading1">
    <w:name w:val="PBAC Heading 1"/>
    <w:qFormat/>
    <w:rsid w:val="005214A1"/>
    <w:pPr>
      <w:keepNext/>
      <w:keepLines/>
      <w:spacing w:after="120"/>
      <w:ind w:left="720" w:hanging="720"/>
      <w:outlineLvl w:val="0"/>
    </w:pPr>
    <w:rPr>
      <w:rFonts w:asciiTheme="minorHAnsi" w:hAnsiTheme="minorHAnsi" w:cstheme="minorHAnsi"/>
      <w:b/>
      <w:snapToGrid w:val="0"/>
      <w:sz w:val="3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cid:image001.png@01DC967A.9301FDB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sv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cancervic.org.au/about-cancer/types/statistics/lung-cancer.html" TargetMode="External"/><Relationship Id="rId2" Type="http://schemas.openxmlformats.org/officeDocument/2006/relationships/hyperlink" Target="https://www.esmo.org/guidelines/living-guidelines/esmo-living-guideline-oncogene-addicted-metastatic-non-small-cell-lung-cancer/management-of-advanced-and-metastatic-disease/egfr-mutation/stage-iv-mnsclc-with-egfr-activating-mutation-after-systemic-progression/egfr-activating-mutation-after-systemic-progression-if-prior-third-generation-tki" TargetMode="External"/><Relationship Id="rId1" Type="http://schemas.openxmlformats.org/officeDocument/2006/relationships/hyperlink" Target="https://www.aihw.gov.au/reports/cancer/cancer-data-in-australia/contents/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f95629-adac-4ec1-8738-e1cec852b92b" xsi:nil="true"/>
    <lcf76f155ced4ddcb4097134ff3c332f xmlns="7f856f8d-13b3-495a-9a4b-41f8182eda4c">
      <Terms xmlns="http://schemas.microsoft.com/office/infopath/2007/PartnerControls"/>
    </lcf76f155ced4ddcb4097134ff3c332f>
    <Datecreated xmlns="7f856f8d-13b3-495a-9a4b-41f8182eda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F7770-6497-41C6-B199-3A4EB73B4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A8F4A-A288-4470-B37C-0E5915E5D9C8}">
  <ds:schemaRefs>
    <ds:schemaRef ds:uri="http://schemas.microsoft.com/office/2006/metadata/properties"/>
    <ds:schemaRef ds:uri="http://schemas.microsoft.com/office/infopath/2007/PartnerControls"/>
    <ds:schemaRef ds:uri="72f95629-adac-4ec1-8738-e1cec852b92b"/>
    <ds:schemaRef ds:uri="7f856f8d-13b3-495a-9a4b-41f8182eda4c"/>
  </ds:schemaRefs>
</ds:datastoreItem>
</file>

<file path=customXml/itemProps3.xml><?xml version="1.0" encoding="utf-8"?>
<ds:datastoreItem xmlns:ds="http://schemas.openxmlformats.org/officeDocument/2006/customXml" ds:itemID="{C61759F9-A8CF-450F-B8B1-058656669B5C}">
  <ds:schemaRefs>
    <ds:schemaRef ds:uri="http://schemas.microsoft.com/sharepoint/v3/contenttype/forms"/>
  </ds:schemaRefs>
</ds:datastoreItem>
</file>

<file path=customXml/itemProps4.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42</Pages>
  <Words>15023</Words>
  <Characters>84886</Characters>
  <Application>Microsoft Office Word</Application>
  <DocSecurity>0</DocSecurity>
  <Lines>2425</Lines>
  <Paragraphs>1637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98272</CharactersWithSpaces>
  <SharedDoc>false</SharedDoc>
  <HLinks>
    <vt:vector size="18" baseType="variant">
      <vt:variant>
        <vt:i4>7012389</vt:i4>
      </vt:variant>
      <vt:variant>
        <vt:i4>6</vt:i4>
      </vt:variant>
      <vt:variant>
        <vt:i4>0</vt:i4>
      </vt:variant>
      <vt:variant>
        <vt:i4>5</vt:i4>
      </vt:variant>
      <vt:variant>
        <vt:lpwstr>https://www.cancervic.org.au/about-cancer/types/statistics/lung-cancer.html</vt:lpwstr>
      </vt:variant>
      <vt:variant>
        <vt:lpwstr/>
      </vt:variant>
      <vt:variant>
        <vt:i4>2424928</vt:i4>
      </vt:variant>
      <vt:variant>
        <vt:i4>3</vt:i4>
      </vt:variant>
      <vt:variant>
        <vt:i4>0</vt:i4>
      </vt:variant>
      <vt:variant>
        <vt:i4>5</vt:i4>
      </vt:variant>
      <vt:variant>
        <vt:lpwstr>https://www.esmo.org/guidelines/living-guidelines/esmo-living-guideline-oncogene-addicted-metastatic-non-small-cell-lung-cancer/management-of-advanced-and-metastatic-disease/egfr-mutation/stage-iv-mnsclc-with-egfr-activating-mutation-after-systemic-progression/egfr-activating-mutation-after-systemic-progression-if-prior-third-generation-tki</vt:lpwstr>
      </vt:variant>
      <vt:variant>
        <vt:lpwstr/>
      </vt:variant>
      <vt:variant>
        <vt:i4>131077</vt:i4>
      </vt:variant>
      <vt:variant>
        <vt:i4>0</vt:i4>
      </vt:variant>
      <vt:variant>
        <vt:i4>0</vt:i4>
      </vt:variant>
      <vt:variant>
        <vt:i4>5</vt:i4>
      </vt:variant>
      <vt:variant>
        <vt:lpwstr>https://www.aihw.gov.au/reports/cancer/cancer-data-in-australia/contents/overview</vt:lpwstr>
      </vt:variant>
      <vt:variant>
        <vt:lpwstr>lung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2026-07-07T02:02:00Z</dcterms:created>
  <dcterms:modified xsi:type="dcterms:W3CDTF">2026-07-07T02:02:00Z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SiteId">
    <vt:lpwstr>34a3929c-73cf-4954-abfe-147dc3517892</vt:lpwstr>
  </property>
  <property fmtid="{D5CDD505-2E9C-101B-9397-08002B2CF9AE}" pid="3" name="ClassificationContentMarkingFooterText">
    <vt:lpwstr>OFFICIAL</vt:lpwstr>
  </property>
  <property fmtid="{D5CDD505-2E9C-101B-9397-08002B2CF9AE}" pid="4" name="MSIP_Label_7cd3e8b9-ffed-43a8-b7f4-cc2fa0382d36_Removed">
    <vt:lpwstr>False</vt:lpwstr>
  </property>
  <property fmtid="{D5CDD505-2E9C-101B-9397-08002B2CF9AE}" pid="5" name="MSIP_Label_7cd3e8b9-ffed-43a8-b7f4-cc2fa0382d36_Method">
    <vt:lpwstr>Privileged</vt:lpwstr>
  </property>
  <property fmtid="{D5CDD505-2E9C-101B-9397-08002B2CF9AE}" pid="6" name="MSIP_Label_7cd3e8b9-ffed-43a8-b7f4-cc2fa0382d36_Tag">
    <vt:lpwstr>10, 0, 1, 1</vt:lpwstr>
  </property>
  <property fmtid="{D5CDD505-2E9C-101B-9397-08002B2CF9AE}" pid="7" name="Order">
    <vt:r8>3950000</vt:r8>
  </property>
  <property fmtid="{D5CDD505-2E9C-101B-9397-08002B2CF9AE}" pid="8" name="ClassificationContentMarkingHeaderText">
    <vt:lpwstr>OFFICIAL</vt:lpwstr>
  </property>
  <property fmtid="{D5CDD505-2E9C-101B-9397-08002B2CF9AE}" pid="9" name="MSIP_Label_7cd3e8b9-ffed-43a8-b7f4-cc2fa0382d36_ActionId">
    <vt:lpwstr>643e363f-c0f2-42a1-865b-f02923d20449</vt:lpwstr>
  </property>
  <property fmtid="{D5CDD505-2E9C-101B-9397-08002B2CF9AE}" pid="10" name="xd_ProgID">
    <vt:lpwstr/>
  </property>
  <property fmtid="{D5CDD505-2E9C-101B-9397-08002B2CF9AE}" pid="11" name="MediaServiceImageTags">
    <vt:lpwstr/>
  </property>
  <property fmtid="{D5CDD505-2E9C-101B-9397-08002B2CF9AE}" pid="12" name="ContentTypeId">
    <vt:lpwstr>0x0101007FED174C5281F747A8037A05221D6DBD</vt:lpwstr>
  </property>
  <property fmtid="{D5CDD505-2E9C-101B-9397-08002B2CF9AE}" pid="13" name="ComplianceAssetId">
    <vt:lpwstr/>
  </property>
  <property fmtid="{D5CDD505-2E9C-101B-9397-08002B2CF9AE}" pid="14" name="ClassificationContentMarkingHeaderFontProps">
    <vt:lpwstr>#ff0000,12,Aptos</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SIP_Label_7cd3e8b9-ffed-43a8-b7f4-cc2fa0382d36_ContentBits">
    <vt:lpwstr>3</vt:lpwstr>
  </property>
  <property fmtid="{D5CDD505-2E9C-101B-9397-08002B2CF9AE}" pid="19" name="docLang">
    <vt:lpwstr>en</vt:lpwstr>
  </property>
  <property fmtid="{D5CDD505-2E9C-101B-9397-08002B2CF9AE}" pid="20" name="MSIP_Label_7cd3e8b9-ffed-43a8-b7f4-cc2fa0382d36_Name">
    <vt:lpwstr>O</vt:lpwstr>
  </property>
  <property fmtid="{D5CDD505-2E9C-101B-9397-08002B2CF9AE}" pid="21" name="MSIP_Label_7cd3e8b9-ffed-43a8-b7f4-cc2fa0382d36_Extended_MSFT_Method">
    <vt:lpwstr>Standard</vt:lpwstr>
  </property>
  <property fmtid="{D5CDD505-2E9C-101B-9397-08002B2CF9AE}" pid="22" name="ClassificationContentMarkingFooterShapeIds">
    <vt:lpwstr>357c8b1b,2c46f2fc,1166e73c</vt:lpwstr>
  </property>
  <property fmtid="{D5CDD505-2E9C-101B-9397-08002B2CF9AE}" pid="23" name="MSIP_Label_7cd3e8b9-ffed-43a8-b7f4-cc2fa0382d36_Enabled">
    <vt:lpwstr>true</vt:lpwstr>
  </property>
  <property fmtid="{D5CDD505-2E9C-101B-9397-08002B2CF9AE}" pid="24" name="Sensitivity">
    <vt:lpwstr>OFFICIAL</vt:lpwstr>
  </property>
  <property fmtid="{D5CDD505-2E9C-101B-9397-08002B2CF9AE}" pid="25" name="xd_Signature">
    <vt:bool>false</vt:bool>
  </property>
  <property fmtid="{D5CDD505-2E9C-101B-9397-08002B2CF9AE}" pid="26" name="ClassificationContentMarkingHeaderShapeIds">
    <vt:lpwstr>6507744c,1e498e,61c0907d</vt:lpwstr>
  </property>
  <property fmtid="{D5CDD505-2E9C-101B-9397-08002B2CF9AE}" pid="27" name="ClassificationContentMarkingFooterFontProps">
    <vt:lpwstr>#ff0000,12,Aptos</vt:lpwstr>
  </property>
  <property fmtid="{D5CDD505-2E9C-101B-9397-08002B2CF9AE}" pid="28" name="MSIP_Label_7cd3e8b9-ffed-43a8-b7f4-cc2fa0382d36_SetDate">
    <vt:lpwstr>2026-04-08T01:25:34Z</vt:lpwstr>
  </property>
</Properties>
</file>