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B0B4" w14:textId="2117A2A7" w:rsidR="00347896" w:rsidRPr="005A5BB7" w:rsidRDefault="00045045" w:rsidP="00CC3290">
      <w:pPr>
        <w:pStyle w:val="1-MainHeading"/>
      </w:pPr>
      <w:bookmarkStart w:id="0" w:name="_Toc219882171"/>
      <w:r w:rsidRPr="005A5BB7">
        <w:t>7</w:t>
      </w:r>
      <w:r w:rsidR="00433044" w:rsidRPr="005A5BB7">
        <w:t>.</w:t>
      </w:r>
      <w:r w:rsidRPr="005A5BB7">
        <w:t>04</w:t>
      </w:r>
      <w:r w:rsidR="00163F66" w:rsidRPr="005A5BB7">
        <w:tab/>
      </w:r>
      <w:r w:rsidR="00347896" w:rsidRPr="005A5BB7">
        <w:t>RESPIRATORY SYNCYTIAL VIRUS VACCINE,</w:t>
      </w:r>
      <w:r w:rsidR="00347896" w:rsidRPr="005A5BB7">
        <w:br/>
        <w:t>Powder and suspension for injection (0.5 mL),</w:t>
      </w:r>
      <w:r w:rsidR="00347896" w:rsidRPr="005A5BB7">
        <w:br/>
        <w:t>Arexvy®,</w:t>
      </w:r>
      <w:r w:rsidR="00347896" w:rsidRPr="005A5BB7">
        <w:br/>
      </w:r>
      <w:r w:rsidR="008D6099">
        <w:t>G</w:t>
      </w:r>
      <w:r w:rsidR="00332B59" w:rsidRPr="005A5BB7">
        <w:t>laxo</w:t>
      </w:r>
      <w:r w:rsidR="008D6099">
        <w:t>S</w:t>
      </w:r>
      <w:r w:rsidR="00332B59" w:rsidRPr="005A5BB7">
        <w:t>mith</w:t>
      </w:r>
      <w:r w:rsidR="008D6099">
        <w:t>Kl</w:t>
      </w:r>
      <w:r w:rsidR="00332B59" w:rsidRPr="005A5BB7">
        <w:t xml:space="preserve">ine </w:t>
      </w:r>
      <w:r w:rsidR="008D6099">
        <w:t>A</w:t>
      </w:r>
      <w:r w:rsidR="00332B59" w:rsidRPr="005A5BB7">
        <w:t xml:space="preserve">ustralia </w:t>
      </w:r>
      <w:r w:rsidR="008D6099">
        <w:t>P</w:t>
      </w:r>
      <w:r w:rsidR="00332B59" w:rsidRPr="005A5BB7">
        <w:t xml:space="preserve">ty </w:t>
      </w:r>
      <w:r w:rsidR="008D6099">
        <w:t>L</w:t>
      </w:r>
      <w:r w:rsidR="00332B59" w:rsidRPr="005A5BB7">
        <w:t>td.</w:t>
      </w:r>
      <w:bookmarkEnd w:id="0"/>
      <w:r w:rsidR="00332B59" w:rsidRPr="005A5BB7">
        <w:t xml:space="preserve"> </w:t>
      </w:r>
    </w:p>
    <w:p w14:paraId="11C00795" w14:textId="08CA7539" w:rsidR="00B50DB8" w:rsidRPr="005A5BB7" w:rsidRDefault="66FE01EE" w:rsidP="00E113F2">
      <w:pPr>
        <w:pStyle w:val="2-SectionHeading"/>
        <w:numPr>
          <w:ilvl w:val="0"/>
          <w:numId w:val="37"/>
        </w:numPr>
      </w:pPr>
      <w:bookmarkStart w:id="1" w:name="_Toc219882173"/>
      <w:r w:rsidRPr="005A5BB7">
        <w:t xml:space="preserve">Purpose of </w:t>
      </w:r>
      <w:r w:rsidR="05D8BF67" w:rsidRPr="005A5BB7">
        <w:t>s</w:t>
      </w:r>
      <w:r w:rsidR="60DB5DFD" w:rsidRPr="005A5BB7">
        <w:t>ubmission</w:t>
      </w:r>
      <w:bookmarkEnd w:id="1"/>
    </w:p>
    <w:p w14:paraId="798A15F7" w14:textId="18370F7D" w:rsidR="008F33EC" w:rsidRPr="005A5BB7" w:rsidRDefault="6A39F144">
      <w:pPr>
        <w:pStyle w:val="3-BodyText"/>
      </w:pPr>
      <w:r w:rsidRPr="005A5BB7">
        <w:t xml:space="preserve">The </w:t>
      </w:r>
      <w:r w:rsidR="0062273A" w:rsidRPr="005A5BB7">
        <w:t>standard re</w:t>
      </w:r>
      <w:r w:rsidR="000E4816">
        <w:noBreakHyphen/>
      </w:r>
      <w:r w:rsidR="0062273A" w:rsidRPr="005A5BB7">
        <w:t xml:space="preserve">entry </w:t>
      </w:r>
      <w:r w:rsidR="00AD15BA" w:rsidRPr="005A5BB7">
        <w:t>re</w:t>
      </w:r>
      <w:r w:rsidR="0041523D" w:rsidRPr="005A5BB7">
        <w:t>s</w:t>
      </w:r>
      <w:r w:rsidR="00AD15BA" w:rsidRPr="005A5BB7">
        <w:t xml:space="preserve">ubmission </w:t>
      </w:r>
      <w:r w:rsidRPr="005A5BB7">
        <w:t>requested National Immunisation Program (NIP) listing of a recombinant respiratory syncytial virus (RSV) pre</w:t>
      </w:r>
      <w:r w:rsidR="000E4816">
        <w:noBreakHyphen/>
      </w:r>
      <w:r w:rsidRPr="005A5BB7">
        <w:t>fusion F protein 3 older adult (RSVPreF3 OA</w:t>
      </w:r>
      <w:r w:rsidR="00E564DC" w:rsidRPr="005A5BB7">
        <w:t>; Arexvy®</w:t>
      </w:r>
      <w:r w:rsidRPr="005A5BB7">
        <w:t>) vaccine for the prevention of RSV</w:t>
      </w:r>
      <w:r w:rsidR="000E4816">
        <w:noBreakHyphen/>
      </w:r>
      <w:r w:rsidRPr="005A5BB7">
        <w:t xml:space="preserve">confirmed lower respiratory tract disease (LRTD) among </w:t>
      </w:r>
      <w:r w:rsidR="00E5006E" w:rsidRPr="005A5BB7">
        <w:t>three</w:t>
      </w:r>
      <w:r w:rsidR="00E564DC" w:rsidRPr="005A5BB7">
        <w:t xml:space="preserve"> adult</w:t>
      </w:r>
      <w:r w:rsidR="00E5006E" w:rsidRPr="005A5BB7">
        <w:t xml:space="preserve"> populations</w:t>
      </w:r>
      <w:r w:rsidR="00D77D04" w:rsidRPr="005A5BB7">
        <w:t xml:space="preserve">. </w:t>
      </w:r>
      <w:r w:rsidR="00732C83" w:rsidRPr="005A5BB7">
        <w:t xml:space="preserve">The </w:t>
      </w:r>
      <w:r w:rsidR="00E564DC" w:rsidRPr="005A5BB7">
        <w:t xml:space="preserve">resubmission noted that RSVPreF3 OA was recommended </w:t>
      </w:r>
      <w:r w:rsidR="00E5006E" w:rsidRPr="005A5BB7">
        <w:t xml:space="preserve">for NIP listing </w:t>
      </w:r>
      <w:r w:rsidR="00E564DC" w:rsidRPr="005A5BB7">
        <w:t xml:space="preserve">by the PBAC at the July 2025 meeting in two </w:t>
      </w:r>
      <w:r w:rsidR="003A1A9B" w:rsidRPr="005A5BB7">
        <w:t xml:space="preserve">of these </w:t>
      </w:r>
      <w:r w:rsidR="00E564DC" w:rsidRPr="005A5BB7">
        <w:t xml:space="preserve">populations, </w:t>
      </w:r>
      <w:r w:rsidR="006966A6" w:rsidRPr="005A5BB7">
        <w:t xml:space="preserve">i.e., </w:t>
      </w:r>
      <w:r w:rsidR="00E564DC" w:rsidRPr="005A5BB7">
        <w:t>those aged at least 75 years of age (YOA) and First Nations adults 60</w:t>
      </w:r>
      <w:r w:rsidR="000E4816">
        <w:noBreakHyphen/>
      </w:r>
      <w:r w:rsidR="00E564DC" w:rsidRPr="005A5BB7">
        <w:t>74 YOA</w:t>
      </w:r>
      <w:r w:rsidR="00E5006E" w:rsidRPr="005A5BB7">
        <w:t>.</w:t>
      </w:r>
      <w:r w:rsidR="000E4816">
        <w:t xml:space="preserve"> </w:t>
      </w:r>
      <w:r w:rsidR="0084689A" w:rsidRPr="005A5BB7">
        <w:t>The resubmission requested further consideration of the PBAC’s July 2025 positive recommendation for these two populations.</w:t>
      </w:r>
      <w:r w:rsidR="000E4816">
        <w:t xml:space="preserve"> </w:t>
      </w:r>
      <w:r w:rsidR="00D77D04" w:rsidRPr="005A5BB7">
        <w:t xml:space="preserve">The resubmission </w:t>
      </w:r>
      <w:r w:rsidR="002B5BE2" w:rsidRPr="005A5BB7">
        <w:t xml:space="preserve">also </w:t>
      </w:r>
      <w:r w:rsidR="00D77D04" w:rsidRPr="005A5BB7">
        <w:t xml:space="preserve">requested expansion of the PBAC recommendation to </w:t>
      </w:r>
      <w:r w:rsidR="08054476" w:rsidRPr="005A5BB7">
        <w:t>include a</w:t>
      </w:r>
      <w:r w:rsidR="00D77D04" w:rsidRPr="005A5BB7">
        <w:t xml:space="preserve"> third population described as adults 60</w:t>
      </w:r>
      <w:r w:rsidR="000E4816">
        <w:noBreakHyphen/>
      </w:r>
      <w:r w:rsidR="00D77D04" w:rsidRPr="005A5BB7">
        <w:t>74 YOA with medical conditions associated with increased risk of severe RSV disease.</w:t>
      </w:r>
      <w:r w:rsidR="000E4816">
        <w:t xml:space="preserve"> </w:t>
      </w:r>
      <w:r w:rsidR="008F33EC" w:rsidRPr="005A5BB7">
        <w:t>The sponsor has now requested NIP listing for all three populations previously recommended by the Australian Technical Advisory Group on Immunisation (ATAGI) as previously discussed at the July PBAC 2024 consideration of RSVPreF3 OA and as described in the Australian Immunisation Handbook (AIH) (ATAGI pre</w:t>
      </w:r>
      <w:r w:rsidR="000E4816">
        <w:noBreakHyphen/>
      </w:r>
      <w:r w:rsidR="008F33EC" w:rsidRPr="005A5BB7">
        <w:t xml:space="preserve">submission advice, December 2023, p7). The three populations are listed in </w:t>
      </w:r>
      <w:r w:rsidR="008F33EC" w:rsidRPr="005A5BB7">
        <w:fldChar w:fldCharType="begin"/>
      </w:r>
      <w:r w:rsidR="008F33EC" w:rsidRPr="005A5BB7">
        <w:instrText xml:space="preserve"> REF _Ref217273595 \h  \* MERGEFORMAT </w:instrText>
      </w:r>
      <w:r w:rsidR="008F33EC" w:rsidRPr="005A5BB7">
        <w:fldChar w:fldCharType="separate"/>
      </w:r>
      <w:r w:rsidR="0043658C" w:rsidRPr="005A5BB7">
        <w:t xml:space="preserve">Table </w:t>
      </w:r>
      <w:r w:rsidR="0043658C">
        <w:t>1</w:t>
      </w:r>
      <w:r w:rsidR="008F33EC" w:rsidRPr="005A5BB7">
        <w:fldChar w:fldCharType="end"/>
      </w:r>
      <w:r w:rsidR="008F33EC" w:rsidRPr="005A5BB7">
        <w:t xml:space="preserve"> as the ‘Target NIP Populations.’</w:t>
      </w:r>
    </w:p>
    <w:p w14:paraId="0B634F3D" w14:textId="3EA932B0" w:rsidR="00E212DB" w:rsidRPr="005A5BB7" w:rsidRDefault="00E212DB" w:rsidP="00E212DB">
      <w:pPr>
        <w:pStyle w:val="3-BodyText"/>
      </w:pPr>
      <w:r w:rsidRPr="005A5BB7">
        <w:t xml:space="preserve">The resubmission did not provide a definitive list of eligible medical conditions within this population that would place patients at increased risk of severe RSV disease. Instead, the resubmission referenced the AIH, a resource which lists ‘risk categories’ with ‘example medical conditions’. </w:t>
      </w:r>
    </w:p>
    <w:p w14:paraId="6BC8BD89" w14:textId="7E3DD008" w:rsidR="008F33EC" w:rsidRPr="005A5BB7" w:rsidRDefault="00E5006E">
      <w:pPr>
        <w:pStyle w:val="3-BodyText"/>
      </w:pPr>
      <w:r w:rsidRPr="005A5BB7">
        <w:t xml:space="preserve">The resubmission indicated that the sponsor had not accepted the PBAC’s </w:t>
      </w:r>
      <w:r w:rsidR="00D77D04" w:rsidRPr="005A5BB7">
        <w:t xml:space="preserve">July 2025 </w:t>
      </w:r>
      <w:r w:rsidRPr="005A5BB7">
        <w:t xml:space="preserve">advice </w:t>
      </w:r>
      <w:proofErr w:type="gramStart"/>
      <w:r w:rsidRPr="005A5BB7">
        <w:t>with regard to</w:t>
      </w:r>
      <w:proofErr w:type="gramEnd"/>
      <w:r w:rsidRPr="005A5BB7">
        <w:t xml:space="preserve"> the cost</w:t>
      </w:r>
      <w:r w:rsidR="000E4816">
        <w:noBreakHyphen/>
      </w:r>
      <w:r w:rsidRPr="005A5BB7">
        <w:t xml:space="preserve">effectiveness evaluation that was necessary to move forward with implementation of the </w:t>
      </w:r>
      <w:r w:rsidR="00D77D04" w:rsidRPr="005A5BB7">
        <w:t xml:space="preserve">recommended NIP </w:t>
      </w:r>
      <w:r w:rsidRPr="005A5BB7">
        <w:t>listing.</w:t>
      </w:r>
      <w:r w:rsidR="000E4816">
        <w:t xml:space="preserve"> </w:t>
      </w:r>
      <w:r w:rsidRPr="005A5BB7">
        <w:t xml:space="preserve">The resubmission proposed </w:t>
      </w:r>
      <w:r w:rsidR="00D77D04" w:rsidRPr="005A5BB7">
        <w:t xml:space="preserve">some </w:t>
      </w:r>
      <w:r w:rsidRPr="005A5BB7">
        <w:t xml:space="preserve">alternative values </w:t>
      </w:r>
      <w:r w:rsidR="00D77D04" w:rsidRPr="005A5BB7">
        <w:t>for use in the cost</w:t>
      </w:r>
      <w:r w:rsidR="000E4816">
        <w:noBreakHyphen/>
      </w:r>
      <w:r w:rsidR="00D77D04" w:rsidRPr="005A5BB7">
        <w:t xml:space="preserve">effectiveness evaluation, focused </w:t>
      </w:r>
      <w:proofErr w:type="gramStart"/>
      <w:r w:rsidR="00D77D04" w:rsidRPr="005A5BB7">
        <w:t>on:</w:t>
      </w:r>
      <w:proofErr w:type="gramEnd"/>
      <w:r w:rsidR="00D77D04" w:rsidRPr="005A5BB7">
        <w:t xml:space="preserve"> 1) duration of protection of the vaccine; 2) RSV hospitalisation rate; and 3) RSV hospitalisation costs.</w:t>
      </w:r>
      <w:r w:rsidR="000E4816">
        <w:t xml:space="preserve"> </w:t>
      </w:r>
      <w:r w:rsidR="00D77D04" w:rsidRPr="005A5BB7">
        <w:t>The resubmission proposed these alternative values be applied for all three requested populations.</w:t>
      </w:r>
      <w:r w:rsidR="000E4816">
        <w:t xml:space="preserve"> </w:t>
      </w:r>
      <w:bookmarkStart w:id="2" w:name="_Ref218786293"/>
      <w:r w:rsidR="006A5EAC" w:rsidRPr="005A5BB7">
        <w:t xml:space="preserve">However, it should be noted that in parallel, the sponsor submitted a pricing proposal for RSVPreF3 OA in relation to the two </w:t>
      </w:r>
      <w:r w:rsidR="002B5BE2" w:rsidRPr="005A5BB7">
        <w:t xml:space="preserve">previously </w:t>
      </w:r>
      <w:r w:rsidR="006A5EAC" w:rsidRPr="005A5BB7">
        <w:t>recommended populations (adults aged at least 75 YOA and First Nations adults 60</w:t>
      </w:r>
      <w:r w:rsidR="000E4816">
        <w:noBreakHyphen/>
      </w:r>
      <w:r w:rsidR="006A5EAC" w:rsidRPr="005A5BB7">
        <w:t>74 YOA).</w:t>
      </w:r>
      <w:r w:rsidR="000E4816">
        <w:t xml:space="preserve"> </w:t>
      </w:r>
      <w:r w:rsidR="006A5EAC" w:rsidRPr="005A5BB7">
        <w:t>T</w:t>
      </w:r>
      <w:r w:rsidR="00D77D04" w:rsidRPr="005A5BB7">
        <w:t xml:space="preserve">he </w:t>
      </w:r>
      <w:r w:rsidR="006A5EAC" w:rsidRPr="005A5BB7">
        <w:t xml:space="preserve">proposal for RSVPreF3 OA was considered by the PBAC at the December 2025 Intracycle </w:t>
      </w:r>
      <w:r w:rsidR="00036843" w:rsidRPr="005A5BB7">
        <w:t>meeting and</w:t>
      </w:r>
      <w:r w:rsidR="006A5EAC" w:rsidRPr="005A5BB7">
        <w:t xml:space="preserve"> </w:t>
      </w:r>
      <w:r w:rsidR="002B5BE2" w:rsidRPr="005A5BB7">
        <w:t xml:space="preserve">is discussed further in paragraph </w:t>
      </w:r>
      <w:r w:rsidR="002B5BE2" w:rsidRPr="005A5BB7">
        <w:fldChar w:fldCharType="begin"/>
      </w:r>
      <w:r w:rsidR="002B5BE2" w:rsidRPr="005A5BB7">
        <w:instrText xml:space="preserve"> REF _Ref224830339 \r \h </w:instrText>
      </w:r>
      <w:r w:rsidR="002B5BE2" w:rsidRPr="005A5BB7">
        <w:fldChar w:fldCharType="separate"/>
      </w:r>
      <w:r w:rsidR="0018341D">
        <w:t>2.6</w:t>
      </w:r>
      <w:r w:rsidR="002B5BE2" w:rsidRPr="005A5BB7">
        <w:fldChar w:fldCharType="end"/>
      </w:r>
      <w:r w:rsidR="002B5BE2" w:rsidRPr="005A5BB7">
        <w:t>.</w:t>
      </w:r>
      <w:bookmarkEnd w:id="2"/>
    </w:p>
    <w:p w14:paraId="44590F96" w14:textId="08B076B7" w:rsidR="00956DD4" w:rsidRPr="005A5BB7" w:rsidRDefault="6A39F144" w:rsidP="3FF051E5">
      <w:pPr>
        <w:pStyle w:val="3-BodyText"/>
      </w:pPr>
      <w:r w:rsidRPr="005A5BB7">
        <w:lastRenderedPageBreak/>
        <w:t xml:space="preserve">Listing was requested </w:t>
      </w:r>
      <w:r w:rsidR="00245BB8" w:rsidRPr="005A5BB7">
        <w:t>based on</w:t>
      </w:r>
      <w:r w:rsidRPr="005A5BB7">
        <w:t xml:space="preserve"> a cost</w:t>
      </w:r>
      <w:r w:rsidR="000E4816">
        <w:noBreakHyphen/>
      </w:r>
      <w:r w:rsidRPr="005A5BB7">
        <w:t xml:space="preserve">utility analysis versus no vaccine. The key components of the clinical issues addressed by the </w:t>
      </w:r>
      <w:r w:rsidR="00295F7A" w:rsidRPr="005A5BB7">
        <w:t>resub</w:t>
      </w:r>
      <w:r w:rsidR="00295F7A" w:rsidRPr="005A5BB7">
        <w:rPr>
          <w:rStyle w:val="CommentReference"/>
          <w:rFonts w:asciiTheme="minorHAnsi" w:hAnsiTheme="minorHAnsi"/>
          <w:b w:val="0"/>
          <w:sz w:val="24"/>
          <w:szCs w:val="22"/>
        </w:rPr>
        <w:t>m</w:t>
      </w:r>
      <w:r w:rsidR="00295F7A" w:rsidRPr="005A5BB7">
        <w:t>ission</w:t>
      </w:r>
      <w:r w:rsidRPr="005A5BB7">
        <w:t xml:space="preserve"> are presented in </w:t>
      </w:r>
      <w:r w:rsidR="00854EEA" w:rsidRPr="005A5BB7">
        <w:fldChar w:fldCharType="begin"/>
      </w:r>
      <w:r w:rsidR="00854EEA" w:rsidRPr="005A5BB7">
        <w:instrText xml:space="preserve"> REF _Ref217273595 \h </w:instrText>
      </w:r>
      <w:r w:rsidR="007E4465" w:rsidRPr="005A5BB7">
        <w:instrText xml:space="preserve"> \* MERGEFORMAT </w:instrText>
      </w:r>
      <w:r w:rsidR="00854EEA" w:rsidRPr="005A5BB7">
        <w:fldChar w:fldCharType="separate"/>
      </w:r>
      <w:r w:rsidR="0043658C" w:rsidRPr="005A5BB7">
        <w:t xml:space="preserve">Table </w:t>
      </w:r>
      <w:r w:rsidR="0043658C">
        <w:t>1</w:t>
      </w:r>
      <w:r w:rsidR="00854EEA" w:rsidRPr="005A5BB7">
        <w:fldChar w:fldCharType="end"/>
      </w:r>
      <w:r w:rsidRPr="005A5BB7">
        <w:t>.</w:t>
      </w:r>
    </w:p>
    <w:p w14:paraId="4B52F870" w14:textId="24BFD079" w:rsidR="00956DD4" w:rsidRPr="005A5BB7" w:rsidRDefault="00956DD4" w:rsidP="00761B5C">
      <w:pPr>
        <w:pStyle w:val="Caption"/>
      </w:pPr>
      <w:bookmarkStart w:id="3" w:name="_Ref217273595"/>
      <w:r w:rsidRPr="005A5BB7">
        <w:t xml:space="preserve">Table </w:t>
      </w:r>
      <w:fldSimple w:instr=" SEQ Table \* ARABIC ">
        <w:r w:rsidR="0043658C">
          <w:rPr>
            <w:noProof/>
          </w:rPr>
          <w:t>1</w:t>
        </w:r>
      </w:fldSimple>
      <w:bookmarkEnd w:id="3"/>
      <w:r w:rsidRPr="005A5BB7">
        <w:t>:</w:t>
      </w:r>
      <w:r w:rsidRPr="005A5BB7">
        <w:rPr>
          <w:rFonts w:eastAsia="Arial Narrow" w:cs="Arial Narrow"/>
          <w:color w:val="000000" w:themeColor="text1"/>
          <w:szCs w:val="20"/>
        </w:rPr>
        <w:t xml:space="preserve"> Key components of the clinical issue addressed by the submission (as stated in the submission)</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1: Key components of the clinical issue addressed by the submission (as stated in the submission)"/>
      </w:tblPr>
      <w:tblGrid>
        <w:gridCol w:w="1173"/>
        <w:gridCol w:w="7830"/>
      </w:tblGrid>
      <w:tr w:rsidR="3FF051E5" w:rsidRPr="005A5BB7" w14:paraId="105D5BB8" w14:textId="77777777" w:rsidTr="310F0368">
        <w:trPr>
          <w:trHeight w:val="285"/>
        </w:trPr>
        <w:tc>
          <w:tcPr>
            <w:tcW w:w="1173" w:type="dxa"/>
            <w:tcBorders>
              <w:top w:val="single" w:sz="6" w:space="0" w:color="auto"/>
              <w:left w:val="single" w:sz="6" w:space="0" w:color="auto"/>
              <w:bottom w:val="single" w:sz="4" w:space="0" w:color="auto"/>
              <w:right w:val="single" w:sz="6" w:space="0" w:color="auto"/>
            </w:tcBorders>
            <w:vAlign w:val="center"/>
          </w:tcPr>
          <w:p w14:paraId="30E86678" w14:textId="626AA0A3" w:rsidR="3FF051E5" w:rsidRPr="005A5BB7" w:rsidRDefault="3FF051E5" w:rsidP="00761B5C">
            <w:pPr>
              <w:keepNext/>
              <w:jc w:val="left"/>
              <w:rPr>
                <w:rStyle w:val="TableBold"/>
                <w:rFonts w:eastAsia="Arial Narrow"/>
              </w:rPr>
            </w:pPr>
            <w:r w:rsidRPr="005A5BB7">
              <w:rPr>
                <w:rStyle w:val="TableBold"/>
                <w:rFonts w:eastAsia="Arial Narrow"/>
              </w:rPr>
              <w:t>Component </w:t>
            </w:r>
          </w:p>
        </w:tc>
        <w:tc>
          <w:tcPr>
            <w:tcW w:w="7830" w:type="dxa"/>
            <w:tcBorders>
              <w:top w:val="single" w:sz="6" w:space="0" w:color="auto"/>
              <w:left w:val="single" w:sz="6" w:space="0" w:color="auto"/>
              <w:bottom w:val="single" w:sz="6" w:space="0" w:color="auto"/>
              <w:right w:val="single" w:sz="6" w:space="0" w:color="auto"/>
            </w:tcBorders>
            <w:vAlign w:val="center"/>
          </w:tcPr>
          <w:p w14:paraId="28FAD7BD" w14:textId="256623C0" w:rsidR="3FF051E5" w:rsidRPr="005A5BB7" w:rsidRDefault="3FF051E5" w:rsidP="00761B5C">
            <w:pPr>
              <w:keepNext/>
              <w:jc w:val="left"/>
              <w:rPr>
                <w:rStyle w:val="TableBold"/>
                <w:rFonts w:eastAsia="Arial Narrow"/>
              </w:rPr>
            </w:pPr>
            <w:r w:rsidRPr="005A5BB7">
              <w:rPr>
                <w:rStyle w:val="TableBold"/>
                <w:rFonts w:eastAsia="Arial Narrow"/>
              </w:rPr>
              <w:t>Description </w:t>
            </w:r>
          </w:p>
        </w:tc>
      </w:tr>
      <w:tr w:rsidR="00390976" w:rsidRPr="005A5BB7" w14:paraId="07878B5C" w14:textId="77777777" w:rsidTr="310F0368">
        <w:trPr>
          <w:trHeight w:val="382"/>
        </w:trPr>
        <w:tc>
          <w:tcPr>
            <w:tcW w:w="1173" w:type="dxa"/>
            <w:tcBorders>
              <w:top w:val="single" w:sz="4" w:space="0" w:color="auto"/>
              <w:left w:val="single" w:sz="4" w:space="0" w:color="auto"/>
              <w:bottom w:val="single" w:sz="4" w:space="0" w:color="auto"/>
              <w:right w:val="single" w:sz="4" w:space="0" w:color="auto"/>
            </w:tcBorders>
            <w:vAlign w:val="center"/>
          </w:tcPr>
          <w:p w14:paraId="04FDAEC6" w14:textId="501EA328" w:rsidR="00390976" w:rsidRPr="005A5BB7" w:rsidRDefault="00390976" w:rsidP="00384563">
            <w:pPr>
              <w:pStyle w:val="Tabletext"/>
              <w:rPr>
                <w:rFonts w:eastAsia="Arial Narrow" w:cs="Arial Narrow"/>
                <w:szCs w:val="20"/>
              </w:rPr>
            </w:pPr>
            <w:r w:rsidRPr="005A5BB7">
              <w:rPr>
                <w:rFonts w:eastAsia="Arial Narrow"/>
              </w:rPr>
              <w:t>Target NIP Populations</w:t>
            </w:r>
            <w:r w:rsidRPr="005A5BB7">
              <w:rPr>
                <w:rFonts w:eastAsia="Arial Narrow" w:cs="Arial Narrow"/>
                <w:szCs w:val="20"/>
              </w:rPr>
              <w:t> </w:t>
            </w:r>
          </w:p>
        </w:tc>
        <w:tc>
          <w:tcPr>
            <w:tcW w:w="7830" w:type="dxa"/>
            <w:tcBorders>
              <w:top w:val="single" w:sz="6" w:space="0" w:color="auto"/>
              <w:left w:val="single" w:sz="4" w:space="0" w:color="auto"/>
              <w:bottom w:val="nil"/>
              <w:right w:val="single" w:sz="6" w:space="0" w:color="auto"/>
            </w:tcBorders>
            <w:shd w:val="clear" w:color="auto" w:fill="FFFFFF" w:themeFill="background1"/>
            <w:vAlign w:val="center"/>
          </w:tcPr>
          <w:p w14:paraId="0070C3E5" w14:textId="185F862C" w:rsidR="00390976" w:rsidRPr="005A5BB7" w:rsidRDefault="00390976" w:rsidP="00E62A6B">
            <w:pPr>
              <w:pStyle w:val="Tabletext"/>
              <w:shd w:val="clear" w:color="auto" w:fill="B8CCE4" w:themeFill="accent1" w:themeFillTint="66"/>
              <w:rPr>
                <w:rFonts w:eastAsia="Arial Narrow" w:cs="Arial Narrow"/>
                <w:szCs w:val="20"/>
              </w:rPr>
            </w:pPr>
            <w:r w:rsidRPr="005A5BB7">
              <w:rPr>
                <w:rFonts w:eastAsia="Arial Narrow"/>
              </w:rPr>
              <w:t>Adults ≥75 YOA (recommended by the PBAC in July 2025 and December 2025);</w:t>
            </w:r>
            <w:r w:rsidRPr="005A5BB7">
              <w:br/>
            </w:r>
            <w:r w:rsidRPr="005A5BB7">
              <w:rPr>
                <w:rFonts w:eastAsia="Arial Narrow" w:cs="Arial Narrow"/>
                <w:szCs w:val="20"/>
              </w:rPr>
              <w:t>Aboriginal and Torres Strait Islander adults 60</w:t>
            </w:r>
            <w:r w:rsidR="000E4816">
              <w:rPr>
                <w:rFonts w:eastAsia="Arial Narrow" w:cs="Arial Narrow"/>
                <w:szCs w:val="20"/>
              </w:rPr>
              <w:noBreakHyphen/>
            </w:r>
            <w:r w:rsidRPr="005A5BB7">
              <w:rPr>
                <w:rFonts w:eastAsia="Arial Narrow" w:cs="Arial Narrow"/>
                <w:szCs w:val="20"/>
              </w:rPr>
              <w:t xml:space="preserve">74 YOA </w:t>
            </w:r>
            <w:r w:rsidRPr="005A5BB7">
              <w:rPr>
                <w:rFonts w:eastAsia="Arial Narrow"/>
              </w:rPr>
              <w:t>(recommended by the PBAC in July 2025 and December 2025)</w:t>
            </w:r>
            <w:r w:rsidRPr="005A5BB7">
              <w:rPr>
                <w:rFonts w:eastAsia="Arial Narrow" w:cs="Arial Narrow"/>
                <w:szCs w:val="20"/>
              </w:rPr>
              <w:t>. </w:t>
            </w:r>
          </w:p>
          <w:p w14:paraId="421C5BCA" w14:textId="20E1BD8D" w:rsidR="00390976" w:rsidRPr="005A5BB7" w:rsidRDefault="00264ED6" w:rsidP="00264ED6">
            <w:pPr>
              <w:pStyle w:val="Tabletext"/>
              <w:shd w:val="clear" w:color="auto" w:fill="B8CCE4" w:themeFill="accent1" w:themeFillTint="66"/>
              <w:rPr>
                <w:rFonts w:eastAsia="Arial Narrow" w:cs="Arial Narrow"/>
                <w:szCs w:val="20"/>
              </w:rPr>
            </w:pPr>
            <w:r w:rsidRPr="005A5BB7">
              <w:rPr>
                <w:rFonts w:eastAsia="Arial Narrow"/>
                <w:shd w:val="clear" w:color="auto" w:fill="FFFFFF" w:themeFill="background1"/>
              </w:rPr>
              <w:t>Adults 60</w:t>
            </w:r>
            <w:r w:rsidR="000E4816">
              <w:rPr>
                <w:rFonts w:eastAsia="Arial Narrow"/>
                <w:shd w:val="clear" w:color="auto" w:fill="FFFFFF" w:themeFill="background1"/>
              </w:rPr>
              <w:noBreakHyphen/>
            </w:r>
            <w:r w:rsidRPr="005A5BB7">
              <w:rPr>
                <w:rFonts w:eastAsia="Arial Narrow"/>
                <w:shd w:val="clear" w:color="auto" w:fill="FFFFFF" w:themeFill="background1"/>
              </w:rPr>
              <w:t>74 YOA with medical conditions associated with increased risk of severe RSV disease</w:t>
            </w:r>
          </w:p>
        </w:tc>
      </w:tr>
      <w:tr w:rsidR="3FF051E5" w:rsidRPr="005A5BB7" w14:paraId="4D99A5B4" w14:textId="77777777" w:rsidTr="310F0368">
        <w:trPr>
          <w:trHeight w:val="45"/>
        </w:trPr>
        <w:tc>
          <w:tcPr>
            <w:tcW w:w="1173" w:type="dxa"/>
            <w:tcBorders>
              <w:top w:val="single" w:sz="4" w:space="0" w:color="auto"/>
              <w:left w:val="single" w:sz="6" w:space="0" w:color="auto"/>
              <w:bottom w:val="single" w:sz="6" w:space="0" w:color="auto"/>
              <w:right w:val="single" w:sz="4" w:space="0" w:color="auto"/>
            </w:tcBorders>
            <w:vAlign w:val="center"/>
          </w:tcPr>
          <w:p w14:paraId="6A927017" w14:textId="7BC55887" w:rsidR="3FF051E5" w:rsidRPr="005A5BB7" w:rsidRDefault="3FF051E5" w:rsidP="00384563">
            <w:pPr>
              <w:pStyle w:val="Tabletext"/>
              <w:rPr>
                <w:rFonts w:eastAsia="Arial Narrow" w:cs="Arial Narrow"/>
                <w:szCs w:val="20"/>
              </w:rPr>
            </w:pPr>
            <w:r w:rsidRPr="005A5BB7">
              <w:rPr>
                <w:rFonts w:eastAsia="Arial Narrow"/>
              </w:rPr>
              <w:t>Intervention</w:t>
            </w:r>
            <w:r w:rsidRPr="005A5BB7">
              <w:rPr>
                <w:rFonts w:eastAsia="Arial Narrow" w:cs="Arial Narrow"/>
                <w:szCs w:val="20"/>
              </w:rPr>
              <w:t> </w:t>
            </w:r>
          </w:p>
        </w:tc>
        <w:tc>
          <w:tcPr>
            <w:tcW w:w="78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673879" w14:textId="586F1B6B" w:rsidR="3FF051E5" w:rsidRPr="005A5BB7" w:rsidRDefault="3FF051E5" w:rsidP="00384563">
            <w:pPr>
              <w:pStyle w:val="Tabletext"/>
              <w:rPr>
                <w:rFonts w:eastAsia="Arial Narrow" w:cs="Arial Narrow"/>
                <w:szCs w:val="20"/>
              </w:rPr>
            </w:pPr>
            <w:r w:rsidRPr="005A5BB7">
              <w:rPr>
                <w:rFonts w:eastAsia="Arial Narrow"/>
              </w:rPr>
              <w:t>Arexvy</w:t>
            </w:r>
            <w:r w:rsidRPr="005A5BB7">
              <w:rPr>
                <w:rFonts w:eastAsia="Arial Narrow" w:cs="Arial Narrow"/>
                <w:szCs w:val="20"/>
              </w:rPr>
              <w:t xml:space="preserve"> (RSVPreF3 OA vaccine), single dose </w:t>
            </w:r>
          </w:p>
        </w:tc>
      </w:tr>
      <w:tr w:rsidR="3FF051E5" w:rsidRPr="005A5BB7" w14:paraId="0FE83D8C" w14:textId="77777777" w:rsidTr="310F0368">
        <w:trPr>
          <w:trHeight w:val="285"/>
        </w:trPr>
        <w:tc>
          <w:tcPr>
            <w:tcW w:w="1173" w:type="dxa"/>
            <w:tcBorders>
              <w:top w:val="single" w:sz="6" w:space="0" w:color="auto"/>
              <w:left w:val="single" w:sz="6" w:space="0" w:color="auto"/>
              <w:bottom w:val="single" w:sz="6" w:space="0" w:color="auto"/>
              <w:right w:val="single" w:sz="6" w:space="0" w:color="auto"/>
            </w:tcBorders>
            <w:vAlign w:val="center"/>
          </w:tcPr>
          <w:p w14:paraId="0116D411" w14:textId="1BABA7FD" w:rsidR="3FF051E5" w:rsidRPr="005A5BB7" w:rsidRDefault="3FF051E5" w:rsidP="00384563">
            <w:pPr>
              <w:pStyle w:val="Tabletext"/>
              <w:rPr>
                <w:rFonts w:eastAsia="Arial Narrow" w:cs="Arial Narrow"/>
                <w:szCs w:val="20"/>
              </w:rPr>
            </w:pPr>
            <w:r w:rsidRPr="005A5BB7">
              <w:rPr>
                <w:rFonts w:eastAsia="Arial Narrow"/>
              </w:rPr>
              <w:t>Comparator</w:t>
            </w:r>
            <w:r w:rsidRPr="005A5BB7">
              <w:rPr>
                <w:rFonts w:eastAsia="Arial Narrow" w:cs="Arial Narrow"/>
                <w:szCs w:val="20"/>
              </w:rPr>
              <w:t> </w:t>
            </w:r>
          </w:p>
        </w:tc>
        <w:tc>
          <w:tcPr>
            <w:tcW w:w="7830" w:type="dxa"/>
            <w:tcBorders>
              <w:top w:val="single" w:sz="4" w:space="0" w:color="auto"/>
              <w:left w:val="single" w:sz="6" w:space="0" w:color="auto"/>
              <w:bottom w:val="single" w:sz="6" w:space="0" w:color="auto"/>
              <w:right w:val="single" w:sz="6" w:space="0" w:color="auto"/>
            </w:tcBorders>
            <w:shd w:val="clear" w:color="auto" w:fill="B8CCE4" w:themeFill="accent1" w:themeFillTint="66"/>
            <w:vAlign w:val="center"/>
          </w:tcPr>
          <w:p w14:paraId="599CAD91" w14:textId="75B1A1AD" w:rsidR="3FF051E5" w:rsidRPr="005A5BB7" w:rsidRDefault="3FF051E5" w:rsidP="00384563">
            <w:pPr>
              <w:pStyle w:val="Tabletext"/>
              <w:rPr>
                <w:rFonts w:eastAsia="Arial Narrow" w:cs="Arial Narrow"/>
                <w:szCs w:val="20"/>
              </w:rPr>
            </w:pPr>
            <w:r w:rsidRPr="005A5BB7">
              <w:rPr>
                <w:rFonts w:eastAsia="Arial Narrow"/>
              </w:rPr>
              <w:t>Main comparator: No vaccine</w:t>
            </w:r>
          </w:p>
          <w:p w14:paraId="5811EB59" w14:textId="44207350" w:rsidR="3FF051E5" w:rsidRPr="005A5BB7" w:rsidRDefault="3FF051E5" w:rsidP="00384563">
            <w:pPr>
              <w:pStyle w:val="Tabletext"/>
              <w:rPr>
                <w:rFonts w:eastAsia="Arial Narrow" w:cs="Arial Narrow"/>
                <w:szCs w:val="20"/>
              </w:rPr>
            </w:pPr>
            <w:r w:rsidRPr="005A5BB7">
              <w:rPr>
                <w:rFonts w:eastAsia="Arial Narrow"/>
              </w:rPr>
              <w:t>Near market: Pfizer RSV</w:t>
            </w:r>
            <w:r w:rsidR="008C00D9" w:rsidRPr="005A5BB7">
              <w:rPr>
                <w:rFonts w:eastAsia="Arial Narrow"/>
              </w:rPr>
              <w:t>p</w:t>
            </w:r>
            <w:r w:rsidRPr="005A5BB7">
              <w:rPr>
                <w:rFonts w:eastAsia="Arial Narrow"/>
              </w:rPr>
              <w:t>reF</w:t>
            </w:r>
            <w:r w:rsidRPr="005A5BB7">
              <w:rPr>
                <w:rFonts w:eastAsia="Arial Narrow" w:cs="Arial Narrow"/>
                <w:szCs w:val="20"/>
              </w:rPr>
              <w:t> </w:t>
            </w:r>
          </w:p>
        </w:tc>
      </w:tr>
      <w:tr w:rsidR="3FF051E5" w:rsidRPr="005A5BB7" w14:paraId="774F576A" w14:textId="77777777" w:rsidTr="310F0368">
        <w:trPr>
          <w:trHeight w:val="435"/>
        </w:trPr>
        <w:tc>
          <w:tcPr>
            <w:tcW w:w="1173" w:type="dxa"/>
            <w:vMerge w:val="restart"/>
            <w:tcBorders>
              <w:top w:val="single" w:sz="6" w:space="0" w:color="auto"/>
              <w:left w:val="single" w:sz="6" w:space="0" w:color="auto"/>
              <w:bottom w:val="single" w:sz="6" w:space="0" w:color="auto"/>
              <w:right w:val="single" w:sz="6" w:space="0" w:color="auto"/>
            </w:tcBorders>
            <w:vAlign w:val="center"/>
          </w:tcPr>
          <w:p w14:paraId="3A3A393D" w14:textId="336C55F2" w:rsidR="3FF051E5" w:rsidRPr="005A5BB7" w:rsidRDefault="3FF051E5" w:rsidP="00384563">
            <w:pPr>
              <w:pStyle w:val="Tabletext"/>
              <w:rPr>
                <w:rFonts w:eastAsia="Arial Narrow" w:cs="Arial Narrow"/>
                <w:szCs w:val="20"/>
              </w:rPr>
            </w:pPr>
            <w:r w:rsidRPr="005A5BB7">
              <w:rPr>
                <w:rFonts w:eastAsia="Arial Narrow"/>
              </w:rPr>
              <w:t>Outcomes</w:t>
            </w:r>
            <w:r w:rsidRPr="005A5BB7">
              <w:rPr>
                <w:rFonts w:eastAsia="Arial Narrow" w:cs="Arial Narrow"/>
                <w:szCs w:val="20"/>
              </w:rPr>
              <w:t> </w:t>
            </w:r>
          </w:p>
        </w:tc>
        <w:tc>
          <w:tcPr>
            <w:tcW w:w="783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7356EA4B" w14:textId="7DE011F2" w:rsidR="3FF051E5" w:rsidRPr="005A5BB7" w:rsidRDefault="00416495" w:rsidP="00384563">
            <w:pPr>
              <w:pStyle w:val="Tabletext"/>
              <w:rPr>
                <w:rFonts w:eastAsia="Arial Narrow" w:cs="Arial Narrow"/>
                <w:szCs w:val="20"/>
              </w:rPr>
            </w:pPr>
            <w:r w:rsidRPr="005A5BB7">
              <w:rPr>
                <w:rFonts w:eastAsia="Arial Narrow"/>
              </w:rPr>
              <w:t>AReSVi</w:t>
            </w:r>
            <w:r w:rsidR="000E4816">
              <w:rPr>
                <w:rFonts w:eastAsia="Arial Narrow"/>
              </w:rPr>
              <w:noBreakHyphen/>
            </w:r>
            <w:r w:rsidRPr="005A5BB7">
              <w:rPr>
                <w:rFonts w:eastAsia="Arial Narrow"/>
              </w:rPr>
              <w:t>006</w:t>
            </w:r>
            <w:r w:rsidR="3FF051E5" w:rsidRPr="005A5BB7">
              <w:rPr>
                <w:rFonts w:eastAsia="Arial Narrow"/>
              </w:rPr>
              <w:t xml:space="preserve"> (pivotal efficacy and safety trial; NCT04886596)</w:t>
            </w:r>
            <w:r w:rsidR="3FF051E5" w:rsidRPr="005A5BB7">
              <w:rPr>
                <w:rFonts w:eastAsia="Arial Narrow" w:cs="Arial Narrow"/>
                <w:szCs w:val="20"/>
              </w:rPr>
              <w:t> </w:t>
            </w:r>
          </w:p>
          <w:p w14:paraId="629442C3" w14:textId="6A33EC5D" w:rsidR="3FF051E5" w:rsidRPr="005A5BB7" w:rsidRDefault="3FF051E5" w:rsidP="00384563">
            <w:pPr>
              <w:pStyle w:val="Tabletext"/>
              <w:rPr>
                <w:rFonts w:eastAsia="Arial Narrow" w:cs="Arial Narrow"/>
                <w:szCs w:val="20"/>
              </w:rPr>
            </w:pPr>
            <w:r w:rsidRPr="005A5BB7">
              <w:rPr>
                <w:rFonts w:eastAsia="Arial Narrow"/>
              </w:rPr>
              <w:t>Primary efficacy: Single dose during first season – prevention of RSV</w:t>
            </w:r>
            <w:r w:rsidR="000E4816">
              <w:rPr>
                <w:rFonts w:eastAsia="Arial Narrow"/>
              </w:rPr>
              <w:noBreakHyphen/>
            </w:r>
            <w:r w:rsidRPr="005A5BB7">
              <w:rPr>
                <w:rFonts w:eastAsia="Arial Narrow"/>
              </w:rPr>
              <w:t>confirmed LRTD</w:t>
            </w:r>
          </w:p>
          <w:p w14:paraId="3DD1EF1D" w14:textId="6034A3EE" w:rsidR="3FF051E5" w:rsidRPr="005A5BB7" w:rsidRDefault="3FF051E5" w:rsidP="00384563">
            <w:pPr>
              <w:pStyle w:val="Tabletext"/>
              <w:rPr>
                <w:rFonts w:eastAsia="Arial Narrow" w:cs="Arial Narrow"/>
                <w:szCs w:val="20"/>
              </w:rPr>
            </w:pPr>
            <w:r w:rsidRPr="005A5BB7">
              <w:rPr>
                <w:rFonts w:eastAsia="Arial Narrow"/>
              </w:rPr>
              <w:t xml:space="preserve">Secondary efficacy: Cumulative efficacy of a single dose over 3 RSV seasons </w:t>
            </w:r>
            <w:r w:rsidR="000E4816">
              <w:rPr>
                <w:rFonts w:eastAsia="Arial Narrow"/>
              </w:rPr>
              <w:noBreakHyphen/>
            </w:r>
            <w:r w:rsidRPr="005A5BB7">
              <w:rPr>
                <w:rFonts w:eastAsia="Arial Narrow"/>
              </w:rPr>
              <w:t xml:space="preserve"> prevention of RSV</w:t>
            </w:r>
            <w:r w:rsidR="000E4816">
              <w:rPr>
                <w:rFonts w:eastAsia="Arial Narrow"/>
              </w:rPr>
              <w:noBreakHyphen/>
            </w:r>
            <w:r w:rsidRPr="005A5BB7">
              <w:rPr>
                <w:rFonts w:eastAsia="Arial Narrow"/>
              </w:rPr>
              <w:t>confirmed LRTD</w:t>
            </w:r>
            <w:r w:rsidRPr="005A5BB7">
              <w:rPr>
                <w:rFonts w:eastAsia="Arial Narrow" w:cs="Arial Narrow"/>
                <w:szCs w:val="20"/>
              </w:rPr>
              <w:t> </w:t>
            </w:r>
          </w:p>
          <w:p w14:paraId="4E076AAC" w14:textId="245DEF00" w:rsidR="3FF051E5" w:rsidRPr="005A5BB7" w:rsidRDefault="3FF051E5" w:rsidP="00384563">
            <w:pPr>
              <w:pStyle w:val="Tabletext"/>
              <w:rPr>
                <w:rFonts w:eastAsia="Arial Narrow" w:cs="Arial Narrow"/>
                <w:szCs w:val="20"/>
              </w:rPr>
            </w:pPr>
            <w:r w:rsidRPr="005A5BB7">
              <w:rPr>
                <w:rFonts w:eastAsia="Arial Narrow"/>
              </w:rPr>
              <w:t>Secondary safety: Solicited (subset) and Unsolicited AEs, All SAEs and pIMDs</w:t>
            </w:r>
            <w:r w:rsidRPr="005A5BB7">
              <w:rPr>
                <w:rFonts w:eastAsia="Arial Narrow" w:cs="Arial Narrow"/>
                <w:szCs w:val="20"/>
              </w:rPr>
              <w:t> </w:t>
            </w:r>
          </w:p>
        </w:tc>
      </w:tr>
      <w:tr w:rsidR="3FF051E5" w:rsidRPr="005A5BB7" w14:paraId="2FAE6FAE" w14:textId="77777777" w:rsidTr="310F0368">
        <w:trPr>
          <w:trHeight w:val="435"/>
        </w:trPr>
        <w:tc>
          <w:tcPr>
            <w:tcW w:w="1173" w:type="dxa"/>
            <w:vMerge/>
            <w:vAlign w:val="center"/>
          </w:tcPr>
          <w:p w14:paraId="591F7CB0" w14:textId="77777777" w:rsidR="00E92D26" w:rsidRPr="005A5BB7" w:rsidRDefault="00E92D26" w:rsidP="00384563">
            <w:pPr>
              <w:pStyle w:val="Tabletext"/>
            </w:pPr>
          </w:p>
        </w:tc>
        <w:tc>
          <w:tcPr>
            <w:tcW w:w="7830" w:type="dxa"/>
            <w:tcBorders>
              <w:top w:val="single" w:sz="6" w:space="0" w:color="auto"/>
              <w:left w:val="single" w:sz="6" w:space="0" w:color="auto"/>
              <w:bottom w:val="single" w:sz="6" w:space="0" w:color="auto"/>
              <w:right w:val="single" w:sz="6" w:space="0" w:color="auto"/>
            </w:tcBorders>
            <w:vAlign w:val="center"/>
          </w:tcPr>
          <w:p w14:paraId="393C446A" w14:textId="359EA0BE" w:rsidR="3FF051E5" w:rsidRPr="005A5BB7" w:rsidRDefault="3FF051E5" w:rsidP="00384563">
            <w:pPr>
              <w:pStyle w:val="Tabletext"/>
              <w:rPr>
                <w:rFonts w:eastAsia="Arial Narrow" w:cs="Arial Narrow"/>
                <w:szCs w:val="20"/>
              </w:rPr>
            </w:pPr>
            <w:r w:rsidRPr="005A5BB7">
              <w:rPr>
                <w:rFonts w:eastAsia="Arial Narrow"/>
              </w:rPr>
              <w:t>AReSVi</w:t>
            </w:r>
            <w:r w:rsidR="000E4816">
              <w:rPr>
                <w:rFonts w:eastAsia="Arial Narrow"/>
              </w:rPr>
              <w:noBreakHyphen/>
            </w:r>
            <w:r w:rsidRPr="005A5BB7">
              <w:rPr>
                <w:rFonts w:eastAsia="Arial Narrow"/>
              </w:rPr>
              <w:t>004 (pivotal immunogenicity trial; NCT04732871)</w:t>
            </w:r>
            <w:r w:rsidRPr="005A5BB7">
              <w:rPr>
                <w:rFonts w:eastAsia="Arial Narrow" w:cs="Arial Narrow"/>
                <w:szCs w:val="20"/>
              </w:rPr>
              <w:t> </w:t>
            </w:r>
          </w:p>
          <w:p w14:paraId="1937ED3A" w14:textId="63FD0932" w:rsidR="3FF051E5" w:rsidRPr="005A5BB7" w:rsidRDefault="2037E53E" w:rsidP="310F0368">
            <w:pPr>
              <w:pStyle w:val="Tabletext"/>
              <w:rPr>
                <w:rFonts w:eastAsia="Arial Narrow" w:cs="Arial Narrow"/>
              </w:rPr>
            </w:pPr>
            <w:r w:rsidRPr="310F0368">
              <w:rPr>
                <w:rFonts w:eastAsia="Arial Narrow"/>
              </w:rPr>
              <w:t xml:space="preserve">Secondary immunogenicity: Single dose humoral immune persistence </w:t>
            </w:r>
            <w:r w:rsidR="00F15B97" w:rsidRPr="00F15B97">
              <w:rPr>
                <w:rFonts w:eastAsia="Arial Narrow"/>
                <w:sz w:val="2"/>
                <w:highlight w:val="black"/>
              </w:rPr>
              <w:t>redacted content</w:t>
            </w:r>
            <w:r w:rsidR="00E75DE1" w:rsidRPr="00E75DE1">
              <w:rPr>
                <w:rFonts w:eastAsia="Arial Narrow"/>
              </w:rPr>
              <w:t xml:space="preserve"> </w:t>
            </w:r>
            <w:r w:rsidR="00F15B97" w:rsidRPr="00F15B97">
              <w:rPr>
                <w:rFonts w:eastAsia="Arial Narrow"/>
                <w:sz w:val="2"/>
                <w:highlight w:val="black"/>
              </w:rPr>
              <w:t>redacted content</w:t>
            </w:r>
            <w:r w:rsidR="00E75DE1" w:rsidRPr="00E75DE1">
              <w:rPr>
                <w:rFonts w:eastAsia="Arial Narrow"/>
              </w:rPr>
              <w:t xml:space="preserve"> </w:t>
            </w:r>
            <w:r w:rsidR="00F15B97" w:rsidRPr="00F15B97">
              <w:rPr>
                <w:rFonts w:eastAsia="Arial Narrow"/>
                <w:sz w:val="2"/>
                <w:highlight w:val="black"/>
              </w:rPr>
              <w:t>Redacted content</w:t>
            </w:r>
            <w:r w:rsidR="00E75DE1" w:rsidRPr="00E75DE1">
              <w:rPr>
                <w:rFonts w:eastAsia="Arial Narrow"/>
              </w:rPr>
              <w:t xml:space="preserve"> </w:t>
            </w:r>
            <w:r w:rsidR="00F15B97" w:rsidRPr="00F15B97">
              <w:rPr>
                <w:rFonts w:eastAsia="Arial Narrow"/>
                <w:sz w:val="2"/>
                <w:highlight w:val="black"/>
              </w:rPr>
              <w:t>redacted content</w:t>
            </w:r>
            <w:r w:rsidRPr="0021309A">
              <w:rPr>
                <w:rFonts w:eastAsia="Arial Narrow"/>
              </w:rPr>
              <w:t>.</w:t>
            </w:r>
            <w:r w:rsidRPr="310F0368">
              <w:rPr>
                <w:rFonts w:eastAsia="Arial Narrow" w:cs="Arial Narrow"/>
              </w:rPr>
              <w:t> </w:t>
            </w:r>
          </w:p>
        </w:tc>
      </w:tr>
      <w:tr w:rsidR="3FF051E5" w:rsidRPr="005A5BB7" w14:paraId="2BAF01E7" w14:textId="77777777" w:rsidTr="310F0368">
        <w:trPr>
          <w:trHeight w:val="240"/>
        </w:trPr>
        <w:tc>
          <w:tcPr>
            <w:tcW w:w="1173" w:type="dxa"/>
            <w:tcBorders>
              <w:top w:val="single" w:sz="6" w:space="0" w:color="auto"/>
              <w:left w:val="single" w:sz="6" w:space="0" w:color="auto"/>
              <w:bottom w:val="single" w:sz="6" w:space="0" w:color="auto"/>
              <w:right w:val="single" w:sz="6" w:space="0" w:color="auto"/>
            </w:tcBorders>
            <w:vAlign w:val="center"/>
          </w:tcPr>
          <w:p w14:paraId="670C8D7E" w14:textId="6D0AEB73" w:rsidR="3FF051E5" w:rsidRPr="005A5BB7" w:rsidRDefault="3FF051E5" w:rsidP="00384563">
            <w:pPr>
              <w:pStyle w:val="Tabletext"/>
              <w:rPr>
                <w:rFonts w:eastAsia="Arial Narrow" w:cs="Arial Narrow"/>
                <w:szCs w:val="20"/>
              </w:rPr>
            </w:pPr>
            <w:r w:rsidRPr="005A5BB7">
              <w:rPr>
                <w:rFonts w:eastAsia="Arial Narrow"/>
              </w:rPr>
              <w:t>Clinical claim</w:t>
            </w:r>
            <w:r w:rsidRPr="005A5BB7">
              <w:rPr>
                <w:rFonts w:eastAsia="Arial Narrow" w:cs="Arial Narrow"/>
                <w:szCs w:val="20"/>
              </w:rPr>
              <w:t> </w:t>
            </w:r>
          </w:p>
        </w:tc>
        <w:tc>
          <w:tcPr>
            <w:tcW w:w="783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6D112B35" w14:textId="3AC73083" w:rsidR="3FF051E5" w:rsidRPr="005A5BB7" w:rsidRDefault="3FF051E5" w:rsidP="00384563">
            <w:pPr>
              <w:pStyle w:val="Tabletext"/>
              <w:rPr>
                <w:rFonts w:eastAsia="Arial Narrow" w:cs="Arial Narrow"/>
                <w:szCs w:val="20"/>
              </w:rPr>
            </w:pPr>
            <w:r w:rsidRPr="005A5BB7">
              <w:rPr>
                <w:rFonts w:eastAsia="Arial Narrow"/>
              </w:rPr>
              <w:t>Arexvy (RSVPreF3 OA vaccine),</w:t>
            </w:r>
            <w:r w:rsidRPr="005A5BB7">
              <w:rPr>
                <w:rFonts w:eastAsia="Arial Narrow" w:cs="Arial Narrow"/>
                <w:szCs w:val="20"/>
              </w:rPr>
              <w:t xml:space="preserve"> vs No vaccine (Direct comparison):</w:t>
            </w:r>
          </w:p>
          <w:p w14:paraId="73BB2303" w14:textId="4BC19AFD" w:rsidR="3FF051E5" w:rsidRPr="005A5BB7" w:rsidRDefault="3FF051E5" w:rsidP="00384563">
            <w:pPr>
              <w:pStyle w:val="Tabletext"/>
              <w:rPr>
                <w:rFonts w:eastAsia="Arial Narrow" w:cs="Arial Narrow"/>
                <w:szCs w:val="20"/>
              </w:rPr>
            </w:pPr>
            <w:r w:rsidRPr="005A5BB7">
              <w:rPr>
                <w:rFonts w:eastAsia="Arial Narrow"/>
              </w:rPr>
              <w:t xml:space="preserve">Superior efficacy and </w:t>
            </w:r>
            <w:r w:rsidR="00A0275C" w:rsidRPr="005A5BB7">
              <w:rPr>
                <w:rFonts w:eastAsia="Arial Narrow"/>
              </w:rPr>
              <w:t xml:space="preserve">acceptable </w:t>
            </w:r>
            <w:r w:rsidRPr="005A5BB7">
              <w:rPr>
                <w:rFonts w:eastAsia="Arial Narrow"/>
              </w:rPr>
              <w:t>safety profile, despite being more reactogenic than placebo.</w:t>
            </w:r>
          </w:p>
        </w:tc>
      </w:tr>
    </w:tbl>
    <w:p w14:paraId="7DF853D3" w14:textId="32168DCD" w:rsidR="126AD45B" w:rsidRPr="005A5BB7" w:rsidRDefault="126AD45B" w:rsidP="3FF051E5">
      <w:pPr>
        <w:pStyle w:val="FooterTableFigure"/>
        <w:rPr>
          <w:rFonts w:eastAsia="Arial Narrow" w:cs="Arial Narrow"/>
          <w:color w:val="000000" w:themeColor="text1"/>
          <w:szCs w:val="18"/>
        </w:rPr>
      </w:pPr>
      <w:r w:rsidRPr="005A5BB7">
        <w:t>Source: Table 1</w:t>
      </w:r>
      <w:r w:rsidR="000E4816">
        <w:noBreakHyphen/>
      </w:r>
      <w:r w:rsidRPr="005A5BB7">
        <w:t xml:space="preserve">2, p20 </w:t>
      </w:r>
      <w:r w:rsidR="00A0275C" w:rsidRPr="005A5BB7">
        <w:t xml:space="preserve">text on p 109 </w:t>
      </w:r>
      <w:r w:rsidRPr="005A5BB7">
        <w:t xml:space="preserve">of the </w:t>
      </w:r>
      <w:r w:rsidR="00A0275C" w:rsidRPr="005A5BB7">
        <w:t>s</w:t>
      </w:r>
      <w:r w:rsidRPr="005A5BB7">
        <w:t>ubmission. </w:t>
      </w:r>
    </w:p>
    <w:p w14:paraId="700D884B" w14:textId="54BEFE3E" w:rsidR="126AD45B" w:rsidRPr="005A5BB7" w:rsidRDefault="126AD45B" w:rsidP="005008FE">
      <w:pPr>
        <w:pStyle w:val="FooterTableFigure"/>
        <w:jc w:val="left"/>
        <w:rPr>
          <w:rFonts w:eastAsia="Arial Narrow" w:cs="Arial Narrow"/>
          <w:color w:val="000000" w:themeColor="text1"/>
          <w:szCs w:val="18"/>
        </w:rPr>
      </w:pPr>
      <w:r w:rsidRPr="005A5BB7">
        <w:t>AE = adverse event; AIH = Australian Immunisation Handbook; LRTD = lower respiratory tract disease; pIMD = potential immune mediated disorder; RSV = respiratory syncytial virus; SAE = serious adverse event; YOA = years of age.</w:t>
      </w:r>
      <w:r w:rsidRPr="005A5BB7">
        <w:br/>
        <w:t>Blue shading indicates data previously seen by the PBAC. </w:t>
      </w:r>
    </w:p>
    <w:p w14:paraId="6B4AB6C2" w14:textId="7F01D731" w:rsidR="005C25FF" w:rsidRPr="005A5BB7" w:rsidRDefault="005C25FF" w:rsidP="004A6040">
      <w:pPr>
        <w:pStyle w:val="2-SectionHeading"/>
      </w:pPr>
      <w:bookmarkStart w:id="4" w:name="_Toc219882174"/>
      <w:r w:rsidRPr="005A5BB7">
        <w:t>Background</w:t>
      </w:r>
      <w:bookmarkEnd w:id="4"/>
    </w:p>
    <w:p w14:paraId="5C5D1636" w14:textId="5AA69D8E" w:rsidR="3F447CE5" w:rsidRPr="005A5BB7" w:rsidRDefault="3F447CE5" w:rsidP="00E64E39">
      <w:pPr>
        <w:pStyle w:val="4-SubsectionHeading"/>
      </w:pPr>
      <w:bookmarkStart w:id="5" w:name="_Toc22897638"/>
      <w:bookmarkStart w:id="6" w:name="_Toc219882175"/>
      <w:r w:rsidRPr="005A5BB7">
        <w:t>Registration status</w:t>
      </w:r>
      <w:bookmarkEnd w:id="5"/>
      <w:bookmarkEnd w:id="6"/>
      <w:r w:rsidR="3A96BE4B" w:rsidRPr="005A5BB7">
        <w:rPr>
          <w:color w:val="0066FF"/>
        </w:rPr>
        <w:t xml:space="preserve"> </w:t>
      </w:r>
    </w:p>
    <w:p w14:paraId="46841272" w14:textId="47F3AF3A" w:rsidR="3A96BE4B" w:rsidRPr="005A5BB7" w:rsidRDefault="3A96BE4B" w:rsidP="3FF051E5">
      <w:pPr>
        <w:pStyle w:val="3-BodyText"/>
      </w:pPr>
      <w:bookmarkStart w:id="7" w:name="_Ref224832388"/>
      <w:r w:rsidRPr="005A5BB7">
        <w:t xml:space="preserve">RSVPreF3 OA was approved by the Therapeutic Goods Administration (TGA) on 14 January 2024 for the active immunisation of individuals 60 years and older for the prevention of </w:t>
      </w:r>
      <w:r w:rsidR="00095329" w:rsidRPr="005A5BB7">
        <w:t>lower respiratory tract disease (</w:t>
      </w:r>
      <w:r w:rsidRPr="005A5BB7">
        <w:t>LRTD</w:t>
      </w:r>
      <w:r w:rsidR="00095329" w:rsidRPr="005A5BB7">
        <w:t>)</w:t>
      </w:r>
      <w:r w:rsidRPr="005A5BB7">
        <w:t xml:space="preserve"> caused by RSV.</w:t>
      </w:r>
      <w:r w:rsidR="000E4816">
        <w:t xml:space="preserve"> </w:t>
      </w:r>
      <w:r w:rsidR="00841698" w:rsidRPr="005A5BB7">
        <w:t xml:space="preserve">The TGA </w:t>
      </w:r>
      <w:r w:rsidR="00841698" w:rsidRPr="005A5BB7">
        <w:rPr>
          <w:rFonts w:ascii="Calibri" w:eastAsia="Calibri" w:hAnsi="Calibri" w:cs="Calibri"/>
          <w:color w:val="000000" w:themeColor="text1"/>
          <w:szCs w:val="24"/>
        </w:rPr>
        <w:t>granted approval for the use of RSVPreF3 OA in individuals aged 50</w:t>
      </w:r>
      <w:r w:rsidR="000E4816">
        <w:rPr>
          <w:rFonts w:ascii="Calibri" w:eastAsia="Calibri" w:hAnsi="Calibri" w:cs="Calibri"/>
          <w:color w:val="000000" w:themeColor="text1"/>
          <w:szCs w:val="24"/>
        </w:rPr>
        <w:noBreakHyphen/>
      </w:r>
      <w:r w:rsidR="00841698" w:rsidRPr="005A5BB7">
        <w:rPr>
          <w:rFonts w:ascii="Calibri" w:eastAsia="Calibri" w:hAnsi="Calibri" w:cs="Calibri"/>
          <w:color w:val="000000" w:themeColor="text1"/>
          <w:szCs w:val="24"/>
        </w:rPr>
        <w:t xml:space="preserve">59 who are at increased risk of RSV disease in </w:t>
      </w:r>
      <w:r w:rsidR="008B73DB" w:rsidRPr="005A5BB7">
        <w:rPr>
          <w:rFonts w:ascii="Calibri" w:eastAsia="Calibri" w:hAnsi="Calibri" w:cs="Calibri"/>
          <w:color w:val="000000" w:themeColor="text1"/>
          <w:szCs w:val="24"/>
        </w:rPr>
        <w:t>March 2025</w:t>
      </w:r>
      <w:r w:rsidR="008F33EC" w:rsidRPr="005A5BB7">
        <w:rPr>
          <w:rFonts w:ascii="Calibri" w:eastAsia="Calibri" w:hAnsi="Calibri" w:cs="Calibri"/>
          <w:color w:val="000000" w:themeColor="text1"/>
          <w:szCs w:val="24"/>
        </w:rPr>
        <w:t>.</w:t>
      </w:r>
      <w:r w:rsidR="007F2084" w:rsidRPr="005A5BB7">
        <w:rPr>
          <w:rStyle w:val="FootnoteReference"/>
          <w:rFonts w:ascii="Calibri" w:eastAsia="Calibri" w:hAnsi="Calibri" w:cs="Calibri"/>
          <w:color w:val="000000" w:themeColor="text1"/>
          <w:szCs w:val="24"/>
        </w:rPr>
        <w:footnoteReference w:id="2"/>
      </w:r>
      <w:bookmarkEnd w:id="7"/>
      <w:r w:rsidR="008B73DB" w:rsidRPr="005A5BB7" w:rsidDel="008B73DB">
        <w:rPr>
          <w:rFonts w:ascii="Calibri" w:eastAsia="Calibri" w:hAnsi="Calibri" w:cs="Calibri"/>
          <w:color w:val="000000" w:themeColor="text1"/>
          <w:szCs w:val="24"/>
        </w:rPr>
        <w:t xml:space="preserve"> </w:t>
      </w:r>
    </w:p>
    <w:p w14:paraId="593C132A" w14:textId="1AAA74F8" w:rsidR="009121A5" w:rsidRPr="005A5BB7" w:rsidRDefault="188D4CDB" w:rsidP="005F3349">
      <w:pPr>
        <w:pStyle w:val="3-BodyText"/>
      </w:pPr>
      <w:r w:rsidRPr="005A5BB7">
        <w:rPr>
          <w:rFonts w:ascii="Calibri" w:eastAsia="Calibri" w:hAnsi="Calibri" w:cs="Calibri"/>
          <w:color w:val="000000" w:themeColor="text1"/>
          <w:szCs w:val="24"/>
        </w:rPr>
        <w:t>The approved TGA indication for RSVPreF3 OA is consistent with the indications approved by the Food and Drug Administration (FDA; United States), European Medicines Agency (EMA), Canada and Japan.</w:t>
      </w:r>
    </w:p>
    <w:p w14:paraId="70210750" w14:textId="7A03D070" w:rsidR="009A7CA2" w:rsidRPr="005A5BB7" w:rsidRDefault="009A7CA2">
      <w:pPr>
        <w:pStyle w:val="3-BodyText"/>
      </w:pPr>
      <w:bookmarkStart w:id="8" w:name="_Ref224832324"/>
      <w:r w:rsidRPr="005A5BB7">
        <w:t>The resubmission did not provide an estimated date for a submission to the TGA for revaccination.</w:t>
      </w:r>
      <w:r w:rsidRPr="005A5BB7">
        <w:rPr>
          <w:iCs/>
        </w:rPr>
        <w:t xml:space="preserve"> </w:t>
      </w:r>
      <w:r w:rsidR="002B5BE2" w:rsidRPr="005A5BB7">
        <w:t>The pre</w:t>
      </w:r>
      <w:r w:rsidR="000E4816">
        <w:noBreakHyphen/>
      </w:r>
      <w:r w:rsidR="002B5BE2" w:rsidRPr="005A5BB7">
        <w:t xml:space="preserve">PBAC response reiterated that efficacy data were available over 3 RSV seasons and immunogenicity data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2B5BE2" w:rsidRPr="005A5BB7">
        <w:t xml:space="preserve">, and that the need for revaccination is yet to be established. It stated that any future regulatory filings for revaccination updates to the Product Information would be informed by longer term </w:t>
      </w:r>
      <w:r w:rsidR="002B5BE2" w:rsidRPr="005A5BB7">
        <w:lastRenderedPageBreak/>
        <w:t>clinical and real</w:t>
      </w:r>
      <w:r w:rsidR="000E4816">
        <w:noBreakHyphen/>
      </w:r>
      <w:r w:rsidR="002B5BE2" w:rsidRPr="005A5BB7">
        <w:t>world effectiveness data, and National Immunisation Technical Advisory Group (NITAG) recommendations.</w:t>
      </w:r>
      <w:r w:rsidR="002E057C">
        <w:t xml:space="preserve"> </w:t>
      </w:r>
      <w:r w:rsidR="002B5BE2" w:rsidRPr="005A5BB7">
        <w:t>The pre</w:t>
      </w:r>
      <w:r w:rsidR="000E4816">
        <w:noBreakHyphen/>
      </w:r>
      <w:r w:rsidR="002B5BE2" w:rsidRPr="005A5BB7">
        <w:t>PBAC response stated tha</w:t>
      </w:r>
      <w:r w:rsidR="002B5BE2" w:rsidRPr="00865647">
        <w:t>t “based on available data and long</w:t>
      </w:r>
      <w:r w:rsidR="000E4816" w:rsidRPr="00865647">
        <w:noBreakHyphen/>
      </w:r>
      <w:r w:rsidR="002B5BE2" w:rsidRPr="00865647">
        <w:t xml:space="preserve">term efficacy modelling,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2B5BE2" w:rsidRPr="00865647">
        <w:t>”.</w:t>
      </w:r>
      <w:r w:rsidR="002E057C" w:rsidRPr="00865647">
        <w:t xml:space="preserve"> </w:t>
      </w:r>
      <w:r w:rsidRPr="00865647">
        <w:t>Revaccination is discussed further</w:t>
      </w:r>
      <w:r w:rsidRPr="310F0368">
        <w:t xml:space="preserve"> in paragraph </w:t>
      </w:r>
      <w:r w:rsidR="00095329" w:rsidRPr="005A5BB7">
        <w:rPr>
          <w:iCs/>
        </w:rPr>
        <w:fldChar w:fldCharType="begin"/>
      </w:r>
      <w:r w:rsidR="00095329" w:rsidRPr="005A5BB7">
        <w:rPr>
          <w:iCs/>
        </w:rPr>
        <w:instrText xml:space="preserve"> REF _Ref222739244 \r \h </w:instrText>
      </w:r>
      <w:r w:rsidR="00095329" w:rsidRPr="005A5BB7">
        <w:rPr>
          <w:iCs/>
        </w:rPr>
      </w:r>
      <w:r w:rsidR="00095329" w:rsidRPr="005A5BB7">
        <w:rPr>
          <w:iCs/>
        </w:rPr>
        <w:fldChar w:fldCharType="separate"/>
      </w:r>
      <w:r w:rsidR="0018341D">
        <w:rPr>
          <w:iCs/>
        </w:rPr>
        <w:t>3.7</w:t>
      </w:r>
      <w:r w:rsidR="00095329" w:rsidRPr="005A5BB7">
        <w:rPr>
          <w:iCs/>
        </w:rPr>
        <w:fldChar w:fldCharType="end"/>
      </w:r>
      <w:r w:rsidR="00095329" w:rsidRPr="005A5BB7">
        <w:rPr>
          <w:iCs/>
        </w:rPr>
        <w:t>.</w:t>
      </w:r>
      <w:bookmarkEnd w:id="8"/>
    </w:p>
    <w:p w14:paraId="3E2A6EAB" w14:textId="094234CD" w:rsidR="005C25FF" w:rsidRPr="005A5BB7" w:rsidRDefault="3F447CE5" w:rsidP="00E64E39">
      <w:pPr>
        <w:pStyle w:val="4-SubsectionHeading"/>
      </w:pPr>
      <w:bookmarkStart w:id="9" w:name="_Toc22897639"/>
      <w:bookmarkStart w:id="10" w:name="_Toc219882176"/>
      <w:r w:rsidRPr="005A5BB7">
        <w:t>Previous PBAC consideration</w:t>
      </w:r>
      <w:bookmarkEnd w:id="9"/>
      <w:bookmarkEnd w:id="10"/>
    </w:p>
    <w:p w14:paraId="2CD1A8F0" w14:textId="0170AABA" w:rsidR="00E7648B" w:rsidRPr="005A5BB7" w:rsidRDefault="4A3BCEEC" w:rsidP="00F44398">
      <w:pPr>
        <w:pStyle w:val="3-BodyText"/>
      </w:pPr>
      <w:r w:rsidRPr="005A5BB7">
        <w:t>RSVPreF3 OA was initially considered and not recommended by the PBAC at the July 2024 meeting. While the PBAC acknowledged that RSVPreF3 OA was superior in effectiveness against no vaccine, the incremental cost</w:t>
      </w:r>
      <w:r w:rsidR="000E4816">
        <w:noBreakHyphen/>
      </w:r>
      <w:r w:rsidRPr="005A5BB7">
        <w:t xml:space="preserve">effectiveness ratio (ICER) was considered </w:t>
      </w:r>
      <w:r w:rsidR="003A4FDA" w:rsidRPr="005A5BB7">
        <w:t xml:space="preserve">(i) </w:t>
      </w:r>
      <w:r w:rsidRPr="005A5BB7">
        <w:t xml:space="preserve">unacceptably high and uncertain for </w:t>
      </w:r>
      <w:r w:rsidR="00D665A4" w:rsidRPr="005A5BB7">
        <w:t xml:space="preserve">the </w:t>
      </w:r>
      <w:r w:rsidR="005717FF" w:rsidRPr="005A5BB7">
        <w:t xml:space="preserve">proposed </w:t>
      </w:r>
      <w:r w:rsidR="00D665A4" w:rsidRPr="005A5BB7">
        <w:t>population</w:t>
      </w:r>
      <w:r w:rsidR="0002021F" w:rsidRPr="005A5BB7">
        <w:t xml:space="preserve"> of</w:t>
      </w:r>
      <w:r w:rsidR="00D665A4" w:rsidRPr="005A5BB7">
        <w:t xml:space="preserve"> </w:t>
      </w:r>
      <w:r w:rsidRPr="005A5BB7">
        <w:t xml:space="preserve">adults aged ≥60 YOA </w:t>
      </w:r>
      <w:r w:rsidR="00ED3DA2" w:rsidRPr="005A5BB7">
        <w:t>(</w:t>
      </w:r>
      <w:r w:rsidRPr="005A5BB7">
        <w:t>and</w:t>
      </w:r>
      <w:r w:rsidR="00ED3DA2" w:rsidRPr="005A5BB7">
        <w:t xml:space="preserve"> the</w:t>
      </w:r>
      <w:r w:rsidR="00D665A4" w:rsidRPr="005A5BB7">
        <w:t xml:space="preserve"> </w:t>
      </w:r>
      <w:r w:rsidR="005717FF" w:rsidRPr="005A5BB7">
        <w:t xml:space="preserve">proposed </w:t>
      </w:r>
      <w:r w:rsidR="00D665A4" w:rsidRPr="005A5BB7">
        <w:t xml:space="preserve">alternative </w:t>
      </w:r>
      <w:r w:rsidR="00ED3DA2" w:rsidRPr="005A5BB7">
        <w:t>population of</w:t>
      </w:r>
      <w:r w:rsidR="00D665A4" w:rsidRPr="005A5BB7">
        <w:t xml:space="preserve"> </w:t>
      </w:r>
      <w:r w:rsidRPr="005A5BB7">
        <w:t>adults aged ≥75 YOA</w:t>
      </w:r>
      <w:r w:rsidR="00ED3DA2" w:rsidRPr="005A5BB7">
        <w:t>)</w:t>
      </w:r>
      <w:r w:rsidR="003A4FDA" w:rsidRPr="005A5BB7">
        <w:t xml:space="preserve"> and (ii)</w:t>
      </w:r>
      <w:r w:rsidR="00136170" w:rsidRPr="005A5BB7">
        <w:t xml:space="preserve"> unknown</w:t>
      </w:r>
      <w:r w:rsidRPr="005A5BB7">
        <w:t xml:space="preserve"> in Aboriginal and Torres Strait Islander people aged 60</w:t>
      </w:r>
      <w:r w:rsidR="000E4816">
        <w:noBreakHyphen/>
      </w:r>
      <w:r w:rsidRPr="005A5BB7">
        <w:t>74 years, and high</w:t>
      </w:r>
      <w:r w:rsidR="000E4816">
        <w:noBreakHyphen/>
      </w:r>
      <w:r w:rsidRPr="005A5BB7">
        <w:t>risk people aged 60</w:t>
      </w:r>
      <w:r w:rsidR="000E4816">
        <w:noBreakHyphen/>
      </w:r>
      <w:r w:rsidRPr="005A5BB7">
        <w:t xml:space="preserve">74 years, as </w:t>
      </w:r>
      <w:r w:rsidR="000F76DD" w:rsidRPr="005A5BB7">
        <w:t xml:space="preserve">these populations were </w:t>
      </w:r>
      <w:r w:rsidRPr="005A5BB7">
        <w:t>not addressed by the submission (para</w:t>
      </w:r>
      <w:r w:rsidR="00EC5D46" w:rsidRPr="005A5BB7">
        <w:t>graph</w:t>
      </w:r>
      <w:r w:rsidRPr="005A5BB7">
        <w:t xml:space="preserve"> 7.1, RSVPreF3 OA </w:t>
      </w:r>
      <w:r w:rsidR="00E73252">
        <w:t>Public Summary Document [</w:t>
      </w:r>
      <w:r w:rsidRPr="005A5BB7">
        <w:t>PSD</w:t>
      </w:r>
      <w:r w:rsidR="00E73252">
        <w:t>]</w:t>
      </w:r>
      <w:r w:rsidRPr="005A5BB7">
        <w:t>, July 2024).</w:t>
      </w:r>
      <w:r w:rsidR="002E057C">
        <w:t xml:space="preserve"> </w:t>
      </w:r>
      <w:r w:rsidR="00C93932" w:rsidRPr="005A5BB7">
        <w:t xml:space="preserve">The PBAC noted that lowering the age threshold from 75 to 60 YOA increased the ICER substantially. </w:t>
      </w:r>
      <w:r w:rsidR="0092685B" w:rsidRPr="005A5BB7">
        <w:t>Further, t</w:t>
      </w:r>
      <w:r w:rsidR="00C93932" w:rsidRPr="005A5BB7">
        <w:t>he PBAC did not agree with the submission’s claim that the cost</w:t>
      </w:r>
      <w:r w:rsidR="000E4816">
        <w:noBreakHyphen/>
      </w:r>
      <w:r w:rsidR="00C93932" w:rsidRPr="005A5BB7">
        <w:t>effectiveness for RSVPreF3 OA demonstrated in adults aged ≥75 years would be applicable to high risk 60</w:t>
      </w:r>
      <w:r w:rsidR="000E4816">
        <w:noBreakHyphen/>
      </w:r>
      <w:r w:rsidR="00C93932" w:rsidRPr="005A5BB7">
        <w:t xml:space="preserve">74 year old </w:t>
      </w:r>
      <w:r w:rsidR="00790029" w:rsidRPr="005A5BB7">
        <w:t>patients</w:t>
      </w:r>
      <w:r w:rsidR="00F61D21" w:rsidRPr="005A5BB7">
        <w:t xml:space="preserve"> (paragraph 7.18, RSVPreF3 OA PSD, July 2024)</w:t>
      </w:r>
      <w:r w:rsidR="00E7648B" w:rsidRPr="005A5BB7">
        <w:t xml:space="preserve">. </w:t>
      </w:r>
      <w:r w:rsidR="00D67115" w:rsidRPr="005A5BB7">
        <w:t xml:space="preserve">The submission requested a price </w:t>
      </w:r>
      <w:r w:rsidR="00D67115" w:rsidRPr="004D35D9">
        <w:t>of $</w:t>
      </w:r>
      <w:r w:rsidR="00F15B97" w:rsidRPr="00F15B97">
        <w:rPr>
          <w:sz w:val="2"/>
          <w:highlight w:val="black"/>
        </w:rPr>
        <w:t>redacted content</w:t>
      </w:r>
      <w:r w:rsidR="00D67115" w:rsidRPr="004D35D9">
        <w:t xml:space="preserve"> per dose</w:t>
      </w:r>
      <w:r w:rsidR="00D67115" w:rsidRPr="005A5BB7">
        <w:t>.</w:t>
      </w:r>
    </w:p>
    <w:p w14:paraId="40A9C3E3" w14:textId="6ADEC4E8" w:rsidR="4A3BCEEC" w:rsidRPr="005A5BB7" w:rsidRDefault="4A3BCEEC">
      <w:pPr>
        <w:pStyle w:val="ExecSumBodyText"/>
        <w:numPr>
          <w:ilvl w:val="1"/>
          <w:numId w:val="1"/>
        </w:numPr>
        <w:ind w:left="720"/>
      </w:pPr>
      <w:r w:rsidRPr="005A5BB7">
        <w:t xml:space="preserve">A </w:t>
      </w:r>
      <w:r w:rsidR="00C3093F" w:rsidRPr="005A5BB7">
        <w:t>resubmission</w:t>
      </w:r>
      <w:r w:rsidRPr="005A5BB7">
        <w:t xml:space="preserve"> was considered at the July 2025 PBAC meeting</w:t>
      </w:r>
      <w:r w:rsidR="00C8757D" w:rsidRPr="005A5BB7">
        <w:t>,</w:t>
      </w:r>
      <w:r w:rsidRPr="005A5BB7">
        <w:t xml:space="preserve"> with a </w:t>
      </w:r>
      <w:r w:rsidR="002A060A" w:rsidRPr="005A5BB7">
        <w:t xml:space="preserve">positive </w:t>
      </w:r>
      <w:r w:rsidRPr="005A5BB7">
        <w:t>recommendation made for the use of RSVPre</w:t>
      </w:r>
      <w:r w:rsidR="00700CA9" w:rsidRPr="005A5BB7">
        <w:t>F3</w:t>
      </w:r>
      <w:r w:rsidRPr="005A5BB7">
        <w:t xml:space="preserve"> OA in two of the three populations recommended by the ATAGI</w:t>
      </w:r>
      <w:r w:rsidR="00C8757D" w:rsidRPr="005A5BB7">
        <w:t>:</w:t>
      </w:r>
      <w:r w:rsidRPr="005A5BB7">
        <w:t xml:space="preserve"> </w:t>
      </w:r>
      <w:r w:rsidR="000F76DD" w:rsidRPr="005A5BB7">
        <w:t xml:space="preserve">adults </w:t>
      </w:r>
      <w:r w:rsidRPr="005A5BB7">
        <w:t>≥75 YOA and First Nations adults 60</w:t>
      </w:r>
      <w:r w:rsidR="000E4816">
        <w:noBreakHyphen/>
      </w:r>
      <w:r w:rsidRPr="005A5BB7">
        <w:t>74 YOA. (paragraph 7.1, RSVPreF3 OA PSD, July 2025).</w:t>
      </w:r>
      <w:r w:rsidR="00DA1339">
        <w:t xml:space="preserve"> </w:t>
      </w:r>
      <w:r w:rsidR="00D67115" w:rsidRPr="005A5BB7">
        <w:t xml:space="preserve">The resubmission proposed a price of </w:t>
      </w:r>
      <w:r w:rsidR="00D67115" w:rsidRPr="002D1035">
        <w:t>$</w:t>
      </w:r>
      <w:r w:rsidR="00F15B97" w:rsidRPr="00F15B97">
        <w:rPr>
          <w:sz w:val="2"/>
          <w:highlight w:val="black"/>
        </w:rPr>
        <w:t>redacted content</w:t>
      </w:r>
      <w:r w:rsidR="00D67115" w:rsidRPr="002D1035">
        <w:t>.</w:t>
      </w:r>
      <w:r w:rsidR="002E057C" w:rsidRPr="002D1035">
        <w:t xml:space="preserve"> </w:t>
      </w:r>
      <w:r w:rsidR="00D67115" w:rsidRPr="002D1035">
        <w:t xml:space="preserve">The </w:t>
      </w:r>
      <w:r w:rsidR="000D0AE8" w:rsidRPr="002D1035">
        <w:t>Pre-Sub-Committee Response (</w:t>
      </w:r>
      <w:r w:rsidR="00D67115" w:rsidRPr="002D1035">
        <w:t>PSCR</w:t>
      </w:r>
      <w:r w:rsidR="000D0AE8" w:rsidRPr="002D1035">
        <w:t>)</w:t>
      </w:r>
      <w:r w:rsidR="00D67115" w:rsidRPr="002D1035">
        <w:t xml:space="preserve"> and pre</w:t>
      </w:r>
      <w:r w:rsidR="000E4816" w:rsidRPr="002D1035">
        <w:noBreakHyphen/>
      </w:r>
      <w:r w:rsidR="00D67115" w:rsidRPr="002D1035">
        <w:t>PBAC response offered prices of $</w:t>
      </w:r>
      <w:r w:rsidR="00F15B97" w:rsidRPr="00F15B97">
        <w:rPr>
          <w:sz w:val="2"/>
          <w:highlight w:val="black"/>
        </w:rPr>
        <w:t>redacted content</w:t>
      </w:r>
      <w:r w:rsidR="00D67115" w:rsidRPr="002D1035">
        <w:t xml:space="preserve"> per vial, and $</w:t>
      </w:r>
      <w:r w:rsidR="00F15B97" w:rsidRPr="00F15B97">
        <w:rPr>
          <w:sz w:val="2"/>
          <w:highlight w:val="black"/>
        </w:rPr>
        <w:t>redacted content</w:t>
      </w:r>
      <w:r w:rsidR="00D67115" w:rsidRPr="002D1035">
        <w:t xml:space="preserve"> per vial, respectively</w:t>
      </w:r>
      <w:r w:rsidR="00D67115" w:rsidRPr="005A5BB7">
        <w:t xml:space="preserve">. </w:t>
      </w:r>
      <w:r w:rsidR="008E0D79" w:rsidRPr="005A5BB7">
        <w:t>The submission did not apply for</w:t>
      </w:r>
      <w:r w:rsidR="00266BF7" w:rsidRPr="005A5BB7">
        <w:t xml:space="preserve"> NIP</w:t>
      </w:r>
      <w:r w:rsidR="008E0D79" w:rsidRPr="005A5BB7">
        <w:t xml:space="preserve"> listing</w:t>
      </w:r>
      <w:r w:rsidR="000B42F9" w:rsidRPr="005A5BB7">
        <w:t xml:space="preserve"> in </w:t>
      </w:r>
      <w:r w:rsidR="00075BFB" w:rsidRPr="005A5BB7">
        <w:t>adults aged 60</w:t>
      </w:r>
      <w:r w:rsidR="000E4816">
        <w:noBreakHyphen/>
      </w:r>
      <w:r w:rsidR="00075BFB" w:rsidRPr="005A5BB7">
        <w:t>74 years with at least one risk factor for severe RSV disease.</w:t>
      </w:r>
    </w:p>
    <w:p w14:paraId="4A7D580E" w14:textId="29AFB287" w:rsidR="0078340A" w:rsidRPr="005A5BB7" w:rsidRDefault="00381465">
      <w:pPr>
        <w:pStyle w:val="3-BodyText"/>
      </w:pPr>
      <w:bookmarkStart w:id="11" w:name="_Ref224830339"/>
      <w:r w:rsidRPr="005A5BB7">
        <w:t>T</w:t>
      </w:r>
      <w:r w:rsidR="005F48AB" w:rsidRPr="005A5BB7">
        <w:t xml:space="preserve">he PBAC </w:t>
      </w:r>
      <w:r w:rsidR="0082376E" w:rsidRPr="005A5BB7">
        <w:t>re</w:t>
      </w:r>
      <w:r w:rsidR="005F48AB" w:rsidRPr="005A5BB7">
        <w:t xml:space="preserve">considered RSVPreF3 OA at the December 2025 intracycle meeting. The PBAC considered that the revised cost inputs </w:t>
      </w:r>
      <w:r w:rsidR="00FD6E83" w:rsidRPr="005A5BB7">
        <w:t xml:space="preserve">for the economic evaluation </w:t>
      </w:r>
      <w:r w:rsidR="005F48AB" w:rsidRPr="005A5BB7">
        <w:t xml:space="preserve">were </w:t>
      </w:r>
      <w:r w:rsidR="00FD6E83" w:rsidRPr="005A5BB7">
        <w:t>reasonable</w:t>
      </w:r>
      <w:r w:rsidR="005F48AB" w:rsidRPr="005A5BB7">
        <w:t xml:space="preserve">, and that the vaccine was cost effective at the price proposed </w:t>
      </w:r>
      <w:r w:rsidR="00BA4AFB" w:rsidRPr="005A5BB7">
        <w:t>($</w:t>
      </w:r>
      <w:r w:rsidR="00F15B97" w:rsidRPr="00F15B97">
        <w:rPr>
          <w:sz w:val="2"/>
          <w:highlight w:val="black"/>
        </w:rPr>
        <w:t>redacted content</w:t>
      </w:r>
      <w:r w:rsidR="00BA4AFB" w:rsidRPr="005A5BB7">
        <w:t>)</w:t>
      </w:r>
      <w:r w:rsidR="006C5DFE" w:rsidRPr="005A5BB7">
        <w:t xml:space="preserve"> </w:t>
      </w:r>
      <w:r w:rsidR="005F48AB" w:rsidRPr="005A5BB7">
        <w:t>for adults aged at least 75 YOA and First Nations adults 60</w:t>
      </w:r>
      <w:r w:rsidR="000E4816">
        <w:noBreakHyphen/>
      </w:r>
      <w:r w:rsidR="005F48AB" w:rsidRPr="005A5BB7">
        <w:t>74 YOA.</w:t>
      </w:r>
      <w:r w:rsidR="002E057C">
        <w:t xml:space="preserve"> </w:t>
      </w:r>
      <w:r w:rsidR="009716EE" w:rsidRPr="005A5BB7">
        <w:t>A</w:t>
      </w:r>
      <w:r w:rsidR="007B3273" w:rsidRPr="005A5BB7">
        <w:t xml:space="preserve"> </w:t>
      </w:r>
      <w:r w:rsidR="00B41477" w:rsidRPr="005A5BB7">
        <w:t>NIP listing in adults aged 60</w:t>
      </w:r>
      <w:r w:rsidR="000E4816">
        <w:noBreakHyphen/>
      </w:r>
      <w:r w:rsidR="00B41477" w:rsidRPr="005A5BB7">
        <w:t>74 years with at least one risk factor for severe RSV disease</w:t>
      </w:r>
      <w:r w:rsidR="009716EE" w:rsidRPr="005A5BB7">
        <w:t xml:space="preserve"> was not requested</w:t>
      </w:r>
      <w:r w:rsidR="00B41477" w:rsidRPr="005A5BB7">
        <w:t>.</w:t>
      </w:r>
      <w:bookmarkEnd w:id="11"/>
      <w:r w:rsidR="00E83216" w:rsidRPr="005A5BB7">
        <w:t xml:space="preserve"> </w:t>
      </w:r>
    </w:p>
    <w:p w14:paraId="240C5137" w14:textId="1BA8892C" w:rsidR="009F5E32" w:rsidRPr="005A5BB7" w:rsidRDefault="00FD501B" w:rsidP="007E4465">
      <w:pPr>
        <w:pStyle w:val="3-BodyText"/>
      </w:pPr>
      <w:r w:rsidRPr="005A5BB7">
        <w:t>Additionall</w:t>
      </w:r>
      <w:r w:rsidR="00A260F0" w:rsidRPr="005A5BB7">
        <w:t>y, t</w:t>
      </w:r>
      <w:r w:rsidR="00BE6BC4" w:rsidRPr="005A5BB7">
        <w:t>he PBAC considered an application for RSV</w:t>
      </w:r>
      <w:r w:rsidR="008C00D9" w:rsidRPr="005A5BB7">
        <w:t>p</w:t>
      </w:r>
      <w:r w:rsidR="00BE6BC4" w:rsidRPr="005A5BB7">
        <w:t>reF</w:t>
      </w:r>
      <w:r w:rsidR="004B7965" w:rsidRPr="005A5BB7">
        <w:t xml:space="preserve"> (Abrysvo®</w:t>
      </w:r>
      <w:r w:rsidR="0049711D" w:rsidRPr="005A5BB7">
        <w:t>)</w:t>
      </w:r>
      <w:r w:rsidR="00BE6BC4" w:rsidRPr="005A5BB7">
        <w:t xml:space="preserve"> in older adults, the proposed near market comparator, at its November 2024 PBAC meeting. </w:t>
      </w:r>
      <w:r w:rsidR="001E26F8" w:rsidRPr="005A5BB7">
        <w:t xml:space="preserve">RSVpreF </w:t>
      </w:r>
      <w:r w:rsidR="00BE6BC4" w:rsidRPr="005A5BB7">
        <w:t xml:space="preserve">was recommended for NIP listing for adults aged ≥ 75 years and for Aboriginal and Torres Strait Islander people aged 60–74 years. However, the PBAC did not support a listing for adults aged 60–74 </w:t>
      </w:r>
      <w:r w:rsidR="00E22EF1" w:rsidRPr="005A5BB7">
        <w:t xml:space="preserve">years </w:t>
      </w:r>
      <w:r w:rsidR="00BE6BC4" w:rsidRPr="005A5BB7">
        <w:t>at high risk of severe RSV disease due to concerns that the economic evaluation lacked a robust estimate of cost</w:t>
      </w:r>
      <w:r w:rsidR="000E4816">
        <w:noBreakHyphen/>
      </w:r>
      <w:r w:rsidR="00BE6BC4" w:rsidRPr="005A5BB7">
        <w:t xml:space="preserve">effectiveness, with baseline risks and benefits unclear and likely overestimated </w:t>
      </w:r>
      <w:bookmarkStart w:id="12" w:name="_Hlk218787408"/>
      <w:r w:rsidR="00BE6BC4" w:rsidRPr="005A5BB7">
        <w:t xml:space="preserve">(paragraph 7.1, </w:t>
      </w:r>
      <w:r w:rsidR="00B45CF9" w:rsidRPr="005A5BB7">
        <w:t xml:space="preserve">RSVpreF </w:t>
      </w:r>
      <w:r w:rsidR="00BE6BC4" w:rsidRPr="005A5BB7">
        <w:t>PSD, November 2024).</w:t>
      </w:r>
      <w:bookmarkEnd w:id="12"/>
      <w:r w:rsidR="002E057C">
        <w:t xml:space="preserve"> </w:t>
      </w:r>
      <w:r w:rsidR="00123B10" w:rsidRPr="005A5BB7">
        <w:t xml:space="preserve">At the July 2025 meeting, the PBAC </w:t>
      </w:r>
      <w:r w:rsidR="001E65C3" w:rsidRPr="005A5BB7">
        <w:t xml:space="preserve">reconsidered and </w:t>
      </w:r>
      <w:r w:rsidR="00123B10" w:rsidRPr="005A5BB7">
        <w:t xml:space="preserve">recommended RSVpreF for NIP listing for adults aged ≥ 75 years and for Aboriginal and Torres Strait Islander people aged 60–74 years (paragraph 15.1, RSVpreF PSD, July </w:t>
      </w:r>
      <w:r w:rsidR="00123B10" w:rsidRPr="005A5BB7">
        <w:lastRenderedPageBreak/>
        <w:t>2025).</w:t>
      </w:r>
      <w:r w:rsidR="002E057C">
        <w:t xml:space="preserve"> </w:t>
      </w:r>
      <w:r w:rsidR="005F4C46" w:rsidRPr="005A5BB7">
        <w:t>A</w:t>
      </w:r>
      <w:r w:rsidR="00360C3D" w:rsidRPr="005A5BB7">
        <w:t xml:space="preserve"> NIP listing in adults aged 60</w:t>
      </w:r>
      <w:r w:rsidR="000E4816">
        <w:noBreakHyphen/>
      </w:r>
      <w:r w:rsidR="00360C3D" w:rsidRPr="005A5BB7">
        <w:t>74 years with at least one risk factor for severe RSV disease</w:t>
      </w:r>
      <w:r w:rsidR="005F4C46" w:rsidRPr="005A5BB7">
        <w:t xml:space="preserve"> was not requested</w:t>
      </w:r>
      <w:r w:rsidR="00360C3D" w:rsidRPr="005A5BB7">
        <w:t>.</w:t>
      </w:r>
    </w:p>
    <w:p w14:paraId="5C908459" w14:textId="139676C9" w:rsidR="00E93B11" w:rsidRPr="005A5BB7" w:rsidRDefault="00E93B11" w:rsidP="00E93B11">
      <w:pPr>
        <w:pStyle w:val="4-SubsectionHeading"/>
      </w:pPr>
      <w:r w:rsidRPr="005A5BB7">
        <w:t>ATAGI advice</w:t>
      </w:r>
    </w:p>
    <w:p w14:paraId="68201A14" w14:textId="29D24F82" w:rsidR="00E93B11" w:rsidRPr="005A5BB7" w:rsidRDefault="004B63A3" w:rsidP="004B63A3">
      <w:pPr>
        <w:pStyle w:val="3-BodyText"/>
        <w:rPr>
          <w:lang w:eastAsia="en-US"/>
        </w:rPr>
      </w:pPr>
      <w:bookmarkStart w:id="13" w:name="_Ref204205841"/>
      <w:r w:rsidRPr="005A5BB7">
        <w:rPr>
          <w:lang w:eastAsia="en-US"/>
        </w:rPr>
        <w:t>The ATAGI provided pre</w:t>
      </w:r>
      <w:r w:rsidR="000E4816">
        <w:rPr>
          <w:lang w:eastAsia="en-US"/>
        </w:rPr>
        <w:noBreakHyphen/>
      </w:r>
      <w:r w:rsidRPr="005A5BB7">
        <w:rPr>
          <w:lang w:eastAsia="en-US"/>
        </w:rPr>
        <w:t>submission advice for the PBAC to consider for this resubmission, dated 7 March 2025. The ATAGI provided a response to GSK regarding hospitalisation rates and duration of protection, dated 29 October 2025.</w:t>
      </w:r>
      <w:r w:rsidR="002E057C">
        <w:rPr>
          <w:lang w:eastAsia="en-US"/>
        </w:rPr>
        <w:t xml:space="preserve"> </w:t>
      </w:r>
      <w:r w:rsidRPr="005A5BB7">
        <w:rPr>
          <w:lang w:eastAsia="en-US"/>
        </w:rPr>
        <w:t>The ATAGI previously provided advice for the RSVPreF3 OA submission considered at the July 2024 PBAC meeting, including pre</w:t>
      </w:r>
      <w:r w:rsidR="000E4816">
        <w:rPr>
          <w:lang w:eastAsia="en-US"/>
        </w:rPr>
        <w:noBreakHyphen/>
      </w:r>
      <w:r w:rsidRPr="005A5BB7">
        <w:rPr>
          <w:lang w:eastAsia="en-US"/>
        </w:rPr>
        <w:t>submission advice dated 21 December 2023, and post</w:t>
      </w:r>
      <w:r w:rsidR="000E4816">
        <w:rPr>
          <w:lang w:eastAsia="en-US"/>
        </w:rPr>
        <w:noBreakHyphen/>
      </w:r>
      <w:r w:rsidRPr="005A5BB7">
        <w:rPr>
          <w:lang w:eastAsia="en-US"/>
        </w:rPr>
        <w:t xml:space="preserve">submission advice dated </w:t>
      </w:r>
      <w:r w:rsidRPr="005A5BB7">
        <w:t>2 May</w:t>
      </w:r>
      <w:r w:rsidRPr="005A5BB7">
        <w:rPr>
          <w:lang w:eastAsia="en-US"/>
        </w:rPr>
        <w:t xml:space="preserve"> 2024.</w:t>
      </w:r>
      <w:bookmarkEnd w:id="13"/>
    </w:p>
    <w:p w14:paraId="76284DCD" w14:textId="48DD3F87" w:rsidR="008E4E7D" w:rsidRPr="005A5BB7" w:rsidRDefault="006D6988" w:rsidP="008E4E7D">
      <w:pPr>
        <w:pStyle w:val="3-BodyText"/>
        <w:rPr>
          <w:iCs/>
          <w:lang w:eastAsia="en-US"/>
        </w:rPr>
      </w:pPr>
      <w:bookmarkStart w:id="14" w:name="_Ref224744882"/>
      <w:r w:rsidRPr="005A5BB7">
        <w:rPr>
          <w:iCs/>
          <w:lang w:eastAsia="en-US"/>
        </w:rPr>
        <w:t>S</w:t>
      </w:r>
      <w:r w:rsidR="009129F1" w:rsidRPr="005A5BB7">
        <w:rPr>
          <w:iCs/>
          <w:lang w:eastAsia="en-US"/>
        </w:rPr>
        <w:t>ince 2023, ATAGI has recommended</w:t>
      </w:r>
      <w:r w:rsidR="00F841C2" w:rsidRPr="005A5BB7">
        <w:rPr>
          <w:iCs/>
          <w:lang w:eastAsia="en-US"/>
        </w:rPr>
        <w:t xml:space="preserve"> RSV vaccination for all people aged ≥75 years; Aboriginal and Torres Strait Islander people aged ≥60 years; and people with medical risk factors for severe RSV disease aged ≥60 years.</w:t>
      </w:r>
      <w:r w:rsidR="002E057C">
        <w:rPr>
          <w:iCs/>
          <w:lang w:eastAsia="en-US"/>
        </w:rPr>
        <w:t xml:space="preserve"> </w:t>
      </w:r>
      <w:r w:rsidR="009129F1" w:rsidRPr="005A5BB7">
        <w:rPr>
          <w:iCs/>
          <w:lang w:eastAsia="en-US"/>
        </w:rPr>
        <w:t xml:space="preserve">First Nations individuals and those with risk factors for severe RSV disease within this age group have increased RSV disease burden and are recommended for vaccination at an earlier age than the general population, i.e., ≥60 years. </w:t>
      </w:r>
      <w:r w:rsidR="00E44F97" w:rsidRPr="005A5BB7">
        <w:rPr>
          <w:iCs/>
          <w:lang w:eastAsia="en-US"/>
        </w:rPr>
        <w:t>ATAGI advises that n</w:t>
      </w:r>
      <w:r w:rsidR="008E4E7D" w:rsidRPr="005A5BB7">
        <w:rPr>
          <w:iCs/>
          <w:lang w:eastAsia="en-US"/>
        </w:rPr>
        <w:t>on</w:t>
      </w:r>
      <w:r w:rsidR="000E4816">
        <w:rPr>
          <w:iCs/>
          <w:lang w:eastAsia="en-US"/>
        </w:rPr>
        <w:noBreakHyphen/>
      </w:r>
      <w:r w:rsidR="008E4E7D" w:rsidRPr="005A5BB7">
        <w:rPr>
          <w:iCs/>
          <w:lang w:eastAsia="en-US"/>
        </w:rPr>
        <w:t>Indigenous adults aged 60–74 years who do not have a medical risk factor for severe RSV disease may also consider vaccination. There are benefits of vaccination in this age group, but the benefits may be less than for those aged ≥75 years, because of a comparatively lower risk of severe RSV disease</w:t>
      </w:r>
      <w:r w:rsidR="00D57A14" w:rsidRPr="005A5BB7">
        <w:rPr>
          <w:rStyle w:val="FootnoteReference"/>
          <w:iCs/>
          <w:lang w:eastAsia="en-US"/>
        </w:rPr>
        <w:footnoteReference w:id="3"/>
      </w:r>
      <w:r w:rsidR="008E4E7D" w:rsidRPr="005A5BB7">
        <w:rPr>
          <w:iCs/>
          <w:lang w:eastAsia="en-US"/>
        </w:rPr>
        <w:t>.</w:t>
      </w:r>
      <w:bookmarkEnd w:id="14"/>
    </w:p>
    <w:p w14:paraId="28F20C80" w14:textId="54C6D881" w:rsidR="00FF1785" w:rsidRPr="005A5BB7" w:rsidRDefault="00FF1785" w:rsidP="00FF1785">
      <w:pPr>
        <w:ind w:firstLine="720"/>
        <w:rPr>
          <w:iCs/>
          <w:lang w:eastAsia="en-US"/>
        </w:rPr>
      </w:pPr>
      <w:r w:rsidRPr="005A5BB7">
        <w:rPr>
          <w:rFonts w:asciiTheme="minorHAnsi" w:hAnsiTheme="minorHAnsi"/>
          <w:i/>
        </w:rPr>
        <w:t>For more detail on PBAC’s view, see section 7 PBAC outcome.</w:t>
      </w:r>
    </w:p>
    <w:p w14:paraId="76E4EF3C" w14:textId="13040F70" w:rsidR="00B60939" w:rsidRPr="005A5BB7" w:rsidRDefault="66FE01EE" w:rsidP="004E18E9">
      <w:pPr>
        <w:pStyle w:val="2-SectionHeading"/>
      </w:pPr>
      <w:bookmarkStart w:id="15" w:name="_Toc107902078"/>
      <w:bookmarkStart w:id="16" w:name="_Toc219882177"/>
      <w:bookmarkEnd w:id="15"/>
      <w:r w:rsidRPr="005A5BB7">
        <w:t>Requested listing</w:t>
      </w:r>
      <w:bookmarkEnd w:id="16"/>
    </w:p>
    <w:p w14:paraId="324EFDB8" w14:textId="4CF09060" w:rsidR="009121A5" w:rsidRPr="005A5BB7" w:rsidRDefault="009121A5" w:rsidP="009121A5">
      <w:pPr>
        <w:pStyle w:val="Caption"/>
      </w:pPr>
      <w:bookmarkStart w:id="17" w:name="_Hlk104809082"/>
      <w:bookmarkStart w:id="18" w:name="_Hlk104809470"/>
      <w:bookmarkStart w:id="19" w:name="_Ref217278118"/>
      <w:bookmarkEnd w:id="17"/>
      <w:bookmarkEnd w:id="18"/>
      <w:r w:rsidRPr="005A5BB7">
        <w:t xml:space="preserve">Table </w:t>
      </w:r>
      <w:fldSimple w:instr=" SEQ Table \* ARABIC ">
        <w:r w:rsidR="0043658C">
          <w:rPr>
            <w:noProof/>
          </w:rPr>
          <w:t>2</w:t>
        </w:r>
      </w:fldSimple>
      <w:bookmarkEnd w:id="19"/>
      <w:r w:rsidRPr="005A5BB7">
        <w:t>:</w:t>
      </w:r>
      <w:r w:rsidRPr="005A5BB7">
        <w:rPr>
          <w:rFonts w:eastAsia="Arial Narrow" w:cs="Arial Narrow"/>
          <w:color w:val="000000" w:themeColor="text1"/>
          <w:szCs w:val="20"/>
        </w:rPr>
        <w:t xml:space="preserve"> Essential elements of the requested listing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2: Essential elements of the requested listing"/>
      </w:tblPr>
      <w:tblGrid>
        <w:gridCol w:w="2940"/>
        <w:gridCol w:w="4200"/>
        <w:gridCol w:w="1860"/>
      </w:tblGrid>
      <w:tr w:rsidR="00162E78" w:rsidRPr="005A5BB7" w14:paraId="69855052" w14:textId="77777777">
        <w:trPr>
          <w:trHeight w:val="15"/>
        </w:trPr>
        <w:tc>
          <w:tcPr>
            <w:tcW w:w="2940" w:type="dxa"/>
            <w:tcBorders>
              <w:top w:val="single" w:sz="6" w:space="0" w:color="auto"/>
              <w:left w:val="single" w:sz="6" w:space="0" w:color="auto"/>
              <w:bottom w:val="single" w:sz="6" w:space="0" w:color="auto"/>
              <w:right w:val="single" w:sz="6" w:space="0" w:color="auto"/>
            </w:tcBorders>
            <w:vAlign w:val="center"/>
          </w:tcPr>
          <w:p w14:paraId="054C62CA" w14:textId="0F122E9B" w:rsidR="00162E78" w:rsidRPr="005A5BB7" w:rsidRDefault="00162E78" w:rsidP="3FF051E5">
            <w:pPr>
              <w:keepNext/>
              <w:keepLines/>
              <w:jc w:val="left"/>
              <w:rPr>
                <w:rFonts w:ascii="Arial Narrow" w:eastAsia="Arial Narrow" w:hAnsi="Arial Narrow" w:cs="Arial Narrow"/>
                <w:sz w:val="20"/>
                <w:szCs w:val="20"/>
              </w:rPr>
            </w:pPr>
            <w:r w:rsidRPr="005A5BB7">
              <w:rPr>
                <w:rFonts w:ascii="Arial Narrow" w:eastAsia="Arial Narrow" w:hAnsi="Arial Narrow" w:cs="Arial Narrow"/>
                <w:b/>
                <w:bCs/>
                <w:sz w:val="20"/>
                <w:szCs w:val="20"/>
              </w:rPr>
              <w:t>MEDICINAL PRODUCT </w:t>
            </w:r>
          </w:p>
        </w:tc>
        <w:tc>
          <w:tcPr>
            <w:tcW w:w="4200" w:type="dxa"/>
            <w:tcBorders>
              <w:top w:val="single" w:sz="6" w:space="0" w:color="auto"/>
              <w:left w:val="single" w:sz="6" w:space="0" w:color="auto"/>
              <w:bottom w:val="single" w:sz="6" w:space="0" w:color="auto"/>
              <w:right w:val="single" w:sz="6" w:space="0" w:color="auto"/>
            </w:tcBorders>
            <w:vAlign w:val="center"/>
          </w:tcPr>
          <w:p w14:paraId="70B4B5C7" w14:textId="455D77E5" w:rsidR="00162E78" w:rsidRPr="005A5BB7" w:rsidRDefault="00162E78" w:rsidP="3FF051E5">
            <w:pPr>
              <w:keepNext/>
              <w:keepLines/>
              <w:jc w:val="center"/>
              <w:rPr>
                <w:rFonts w:ascii="Arial Narrow" w:eastAsia="Arial Narrow" w:hAnsi="Arial Narrow" w:cs="Arial Narrow"/>
                <w:sz w:val="20"/>
                <w:szCs w:val="20"/>
              </w:rPr>
            </w:pPr>
            <w:r w:rsidRPr="005A5BB7">
              <w:rPr>
                <w:rFonts w:ascii="Arial Narrow" w:eastAsia="Arial Narrow" w:hAnsi="Arial Narrow" w:cs="Arial Narrow"/>
                <w:b/>
                <w:bCs/>
                <w:sz w:val="20"/>
                <w:szCs w:val="20"/>
              </w:rPr>
              <w:t>Requested price per dose</w:t>
            </w:r>
          </w:p>
        </w:tc>
        <w:tc>
          <w:tcPr>
            <w:tcW w:w="1860" w:type="dxa"/>
            <w:tcBorders>
              <w:top w:val="single" w:sz="6" w:space="0" w:color="auto"/>
              <w:left w:val="single" w:sz="6" w:space="0" w:color="auto"/>
              <w:bottom w:val="single" w:sz="6" w:space="0" w:color="auto"/>
              <w:right w:val="single" w:sz="6" w:space="0" w:color="auto"/>
            </w:tcBorders>
            <w:vAlign w:val="center"/>
          </w:tcPr>
          <w:p w14:paraId="0CCD8350" w14:textId="6D6AA888" w:rsidR="00162E78" w:rsidRPr="005A5BB7" w:rsidRDefault="00162E78" w:rsidP="3FF051E5">
            <w:pPr>
              <w:keepNext/>
              <w:keepLines/>
              <w:jc w:val="center"/>
              <w:rPr>
                <w:rFonts w:ascii="Arial Narrow" w:eastAsia="Arial Narrow" w:hAnsi="Arial Narrow" w:cs="Arial Narrow"/>
                <w:sz w:val="20"/>
                <w:szCs w:val="20"/>
              </w:rPr>
            </w:pPr>
            <w:r w:rsidRPr="005A5BB7">
              <w:rPr>
                <w:rFonts w:ascii="Arial Narrow" w:eastAsia="Arial Narrow" w:hAnsi="Arial Narrow" w:cs="Arial Narrow"/>
                <w:b/>
                <w:bCs/>
                <w:sz w:val="20"/>
                <w:szCs w:val="20"/>
              </w:rPr>
              <w:t>Available brands </w:t>
            </w:r>
          </w:p>
        </w:tc>
      </w:tr>
      <w:tr w:rsidR="00162E78" w:rsidRPr="005A5BB7" w14:paraId="096C1D32" w14:textId="77777777" w:rsidTr="00162E78">
        <w:trPr>
          <w:trHeight w:val="15"/>
        </w:trPr>
        <w:tc>
          <w:tcPr>
            <w:tcW w:w="294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0B6665AF" w14:textId="5A138527" w:rsidR="00162E78" w:rsidRPr="005A5BB7" w:rsidRDefault="00162E78" w:rsidP="3FF051E5">
            <w:pPr>
              <w:keepNext/>
              <w:keepLines/>
              <w:jc w:val="left"/>
              <w:rPr>
                <w:rFonts w:ascii="Arial Narrow" w:eastAsia="Arial Narrow" w:hAnsi="Arial Narrow" w:cs="Arial Narrow"/>
                <w:sz w:val="20"/>
                <w:szCs w:val="20"/>
              </w:rPr>
            </w:pPr>
            <w:r w:rsidRPr="005A5BB7">
              <w:rPr>
                <w:rFonts w:ascii="Arial Narrow" w:eastAsia="Arial Narrow" w:hAnsi="Arial Narrow" w:cs="Arial Narrow"/>
                <w:sz w:val="20"/>
                <w:szCs w:val="20"/>
              </w:rPr>
              <w:t>Recombinant Respiratory Syncytial Virus (RSV) pre</w:t>
            </w:r>
            <w:r w:rsidR="000E4816">
              <w:rPr>
                <w:rFonts w:ascii="Arial Narrow" w:eastAsia="Arial Narrow" w:hAnsi="Arial Narrow" w:cs="Arial Narrow"/>
                <w:sz w:val="20"/>
                <w:szCs w:val="20"/>
              </w:rPr>
              <w:noBreakHyphen/>
            </w:r>
            <w:r w:rsidRPr="005A5BB7">
              <w:rPr>
                <w:rFonts w:ascii="Arial Narrow" w:eastAsia="Arial Narrow" w:hAnsi="Arial Narrow" w:cs="Arial Narrow"/>
                <w:sz w:val="20"/>
                <w:szCs w:val="20"/>
              </w:rPr>
              <w:t>fusion F protein 3 older adult vaccine, 120 mcg powder vial and suspension vial</w:t>
            </w:r>
          </w:p>
        </w:tc>
        <w:tc>
          <w:tcPr>
            <w:tcW w:w="4200" w:type="dxa"/>
            <w:tcBorders>
              <w:top w:val="single" w:sz="6" w:space="0" w:color="auto"/>
              <w:left w:val="single" w:sz="6" w:space="0" w:color="auto"/>
              <w:bottom w:val="single" w:sz="6" w:space="0" w:color="auto"/>
              <w:right w:val="single" w:sz="6" w:space="0" w:color="auto"/>
            </w:tcBorders>
            <w:vAlign w:val="center"/>
          </w:tcPr>
          <w:p w14:paraId="1B95F59A" w14:textId="1996EEAE" w:rsidR="00162E78" w:rsidRPr="005A5BB7" w:rsidRDefault="00162E78" w:rsidP="3FF051E5">
            <w:pPr>
              <w:keepNext/>
              <w:keepLines/>
              <w:jc w:val="center"/>
              <w:rPr>
                <w:rFonts w:ascii="Arial Narrow" w:eastAsia="Arial Narrow" w:hAnsi="Arial Narrow" w:cs="Arial Narrow"/>
                <w:sz w:val="20"/>
                <w:szCs w:val="20"/>
              </w:rPr>
            </w:pPr>
            <w:r w:rsidRPr="005A5BB7">
              <w:rPr>
                <w:rFonts w:ascii="Arial Narrow" w:eastAsia="Arial Narrow" w:hAnsi="Arial Narrow" w:cs="Arial Narrow"/>
                <w:sz w:val="20"/>
                <w:szCs w:val="20"/>
              </w:rPr>
              <w:t>$</w:t>
            </w:r>
            <w:r w:rsidR="00F15B97" w:rsidRPr="00F15B97">
              <w:rPr>
                <w:rFonts w:ascii="Arial Narrow" w:eastAsia="Arial Narrow" w:hAnsi="Arial Narrow" w:cs="Arial Narrow"/>
                <w:sz w:val="2"/>
                <w:szCs w:val="20"/>
                <w:highlight w:val="black"/>
              </w:rPr>
              <w:t>redacted content</w:t>
            </w:r>
            <w:r w:rsidRPr="005A5BB7">
              <w:rPr>
                <w:rFonts w:ascii="Arial Narrow" w:eastAsia="Arial Narrow" w:hAnsi="Arial Narrow" w:cs="Arial Narrow"/>
                <w:sz w:val="20"/>
                <w:szCs w:val="20"/>
              </w:rPr>
              <w:t xml:space="preserve"> (resubmission)</w:t>
            </w:r>
          </w:p>
          <w:p w14:paraId="67CA728E" w14:textId="524DACCC" w:rsidR="00162E78" w:rsidRPr="005A5BB7" w:rsidRDefault="00162E78" w:rsidP="00162E78">
            <w:pPr>
              <w:keepNext/>
              <w:keepLines/>
              <w:jc w:val="center"/>
              <w:rPr>
                <w:rFonts w:ascii="Arial Narrow" w:eastAsia="Arial Narrow" w:hAnsi="Arial Narrow" w:cs="Arial Narrow"/>
                <w:iCs/>
                <w:sz w:val="20"/>
                <w:szCs w:val="20"/>
              </w:rPr>
            </w:pPr>
            <w:r w:rsidRPr="005A5BB7">
              <w:rPr>
                <w:rFonts w:ascii="Arial Narrow" w:eastAsia="Arial Narrow" w:hAnsi="Arial Narrow" w:cs="Arial Narrow"/>
                <w:iCs/>
                <w:sz w:val="20"/>
                <w:szCs w:val="20"/>
              </w:rPr>
              <w:t>$</w:t>
            </w:r>
            <w:r w:rsidR="00F15B97" w:rsidRPr="00F15B97">
              <w:rPr>
                <w:rFonts w:ascii="Arial Narrow" w:eastAsia="Arial Narrow" w:hAnsi="Arial Narrow" w:cs="Arial Narrow"/>
                <w:iCs/>
                <w:sz w:val="2"/>
                <w:szCs w:val="20"/>
                <w:highlight w:val="black"/>
              </w:rPr>
              <w:t>redacted content</w:t>
            </w:r>
            <w:r w:rsidRPr="005A5BB7">
              <w:rPr>
                <w:rFonts w:ascii="Arial Narrow" w:eastAsia="Arial Narrow" w:hAnsi="Arial Narrow" w:cs="Arial Narrow"/>
                <w:iCs/>
                <w:sz w:val="20"/>
                <w:szCs w:val="20"/>
              </w:rPr>
              <w:t xml:space="preserve"> (PSCR)</w:t>
            </w:r>
          </w:p>
        </w:tc>
        <w:tc>
          <w:tcPr>
            <w:tcW w:w="1860" w:type="dxa"/>
            <w:tcBorders>
              <w:top w:val="single" w:sz="6" w:space="0" w:color="auto"/>
              <w:left w:val="single" w:sz="6" w:space="0" w:color="auto"/>
              <w:bottom w:val="single" w:sz="6" w:space="0" w:color="auto"/>
              <w:right w:val="single" w:sz="6" w:space="0" w:color="auto"/>
            </w:tcBorders>
            <w:vAlign w:val="center"/>
          </w:tcPr>
          <w:p w14:paraId="66CEA5E7" w14:textId="5CD91EEA" w:rsidR="00162E78" w:rsidRPr="005A5BB7" w:rsidRDefault="00162E78" w:rsidP="3FF051E5">
            <w:pPr>
              <w:keepNext/>
              <w:keepLines/>
              <w:jc w:val="center"/>
              <w:rPr>
                <w:rFonts w:ascii="Arial Narrow" w:eastAsia="Arial Narrow" w:hAnsi="Arial Narrow" w:cs="Arial Narrow"/>
                <w:sz w:val="20"/>
                <w:szCs w:val="20"/>
              </w:rPr>
            </w:pPr>
            <w:r w:rsidRPr="005A5BB7">
              <w:rPr>
                <w:rFonts w:ascii="Arial Narrow" w:eastAsia="Arial Narrow" w:hAnsi="Arial Narrow" w:cs="Arial Narrow"/>
                <w:sz w:val="20"/>
                <w:szCs w:val="20"/>
              </w:rPr>
              <w:t>Arexvy </w:t>
            </w:r>
          </w:p>
        </w:tc>
      </w:tr>
      <w:tr w:rsidR="3FF051E5" w:rsidRPr="005A5BB7" w14:paraId="00A26BC1" w14:textId="77777777" w:rsidTr="3FF051E5">
        <w:trPr>
          <w:trHeight w:val="15"/>
        </w:trPr>
        <w:tc>
          <w:tcPr>
            <w:tcW w:w="9000" w:type="dxa"/>
            <w:gridSpan w:val="3"/>
            <w:tcBorders>
              <w:top w:val="single" w:sz="6" w:space="0" w:color="auto"/>
              <w:left w:val="single" w:sz="6" w:space="0" w:color="auto"/>
              <w:bottom w:val="single" w:sz="6" w:space="0" w:color="auto"/>
              <w:right w:val="single" w:sz="6" w:space="0" w:color="auto"/>
            </w:tcBorders>
            <w:vAlign w:val="center"/>
          </w:tcPr>
          <w:p w14:paraId="14B528DE" w14:textId="4A57C514" w:rsidR="3FF051E5" w:rsidRPr="005A5BB7" w:rsidRDefault="3FF051E5" w:rsidP="3FF051E5">
            <w:pPr>
              <w:keepNext/>
              <w:keepLines/>
              <w:jc w:val="left"/>
              <w:rPr>
                <w:rFonts w:ascii="Arial Narrow" w:eastAsia="Arial Narrow" w:hAnsi="Arial Narrow" w:cs="Arial Narrow"/>
                <w:sz w:val="20"/>
                <w:szCs w:val="20"/>
              </w:rPr>
            </w:pPr>
            <w:r w:rsidRPr="005A5BB7">
              <w:rPr>
                <w:rFonts w:ascii="Arial Narrow" w:eastAsia="Arial Narrow" w:hAnsi="Arial Narrow" w:cs="Arial Narrow"/>
                <w:sz w:val="20"/>
                <w:szCs w:val="20"/>
              </w:rPr>
              <w:t>National immunisation program </w:t>
            </w:r>
          </w:p>
          <w:p w14:paraId="46F1ABCE" w14:textId="6DD123F8" w:rsidR="3FF051E5" w:rsidRPr="005A5BB7" w:rsidRDefault="3FF051E5" w:rsidP="3FF051E5">
            <w:pPr>
              <w:pStyle w:val="ListParagraph"/>
              <w:keepNext/>
              <w:keepLines/>
              <w:shd w:val="clear" w:color="auto" w:fill="B8CCE4" w:themeFill="accent1" w:themeFillTint="66"/>
              <w:ind w:left="1080" w:firstLine="0"/>
              <w:rPr>
                <w:rFonts w:ascii="Arial Narrow" w:eastAsia="Arial Narrow" w:hAnsi="Arial Narrow" w:cs="Arial Narrow"/>
                <w:sz w:val="20"/>
                <w:szCs w:val="20"/>
              </w:rPr>
            </w:pPr>
            <w:r w:rsidRPr="005A5BB7">
              <w:rPr>
                <w:rFonts w:ascii="Arial Narrow" w:eastAsia="Arial Narrow" w:hAnsi="Arial Narrow" w:cs="Arial Narrow"/>
                <w:sz w:val="20"/>
                <w:szCs w:val="20"/>
              </w:rPr>
              <w:t>Adults ≥ 75 YOA </w:t>
            </w:r>
          </w:p>
          <w:p w14:paraId="17E8189B" w14:textId="17F890AC" w:rsidR="3FF051E5" w:rsidRPr="005A5BB7" w:rsidRDefault="3FF051E5" w:rsidP="3FF051E5">
            <w:pPr>
              <w:pStyle w:val="ListParagraph"/>
              <w:keepNext/>
              <w:keepLines/>
              <w:shd w:val="clear" w:color="auto" w:fill="B8CCE4" w:themeFill="accent1" w:themeFillTint="66"/>
              <w:ind w:left="1080" w:firstLine="0"/>
              <w:rPr>
                <w:rFonts w:ascii="Arial Narrow" w:eastAsia="Arial Narrow" w:hAnsi="Arial Narrow" w:cs="Arial Narrow"/>
                <w:sz w:val="20"/>
                <w:szCs w:val="20"/>
              </w:rPr>
            </w:pPr>
            <w:r w:rsidRPr="005A5BB7">
              <w:rPr>
                <w:rFonts w:ascii="Arial Narrow" w:eastAsia="Arial Narrow" w:hAnsi="Arial Narrow" w:cs="Arial Narrow"/>
                <w:sz w:val="20"/>
                <w:szCs w:val="20"/>
              </w:rPr>
              <w:t>60</w:t>
            </w:r>
            <w:r w:rsidR="000E4816">
              <w:rPr>
                <w:rFonts w:ascii="Arial Narrow" w:eastAsia="Arial Narrow" w:hAnsi="Arial Narrow" w:cs="Arial Narrow"/>
                <w:sz w:val="20"/>
                <w:szCs w:val="20"/>
              </w:rPr>
              <w:noBreakHyphen/>
            </w:r>
            <w:r w:rsidRPr="005A5BB7">
              <w:rPr>
                <w:rFonts w:ascii="Arial Narrow" w:eastAsia="Arial Narrow" w:hAnsi="Arial Narrow" w:cs="Arial Narrow"/>
                <w:sz w:val="20"/>
                <w:szCs w:val="20"/>
              </w:rPr>
              <w:t>74 YOA First Nations people</w:t>
            </w:r>
          </w:p>
          <w:p w14:paraId="1FBEC0FB" w14:textId="41B8DD7C" w:rsidR="3FF051E5" w:rsidRPr="005A5BB7" w:rsidRDefault="3FF051E5" w:rsidP="0077309E">
            <w:pPr>
              <w:pStyle w:val="ListParagraph"/>
              <w:keepNext/>
              <w:keepLines/>
              <w:ind w:left="1080" w:firstLine="0"/>
              <w:rPr>
                <w:rFonts w:ascii="Arial Narrow" w:eastAsia="Arial Narrow" w:hAnsi="Arial Narrow" w:cs="Arial Narrow"/>
                <w:sz w:val="20"/>
                <w:szCs w:val="20"/>
              </w:rPr>
            </w:pPr>
            <w:r w:rsidRPr="005A5BB7">
              <w:rPr>
                <w:rFonts w:ascii="Arial Narrow" w:eastAsia="Arial Narrow" w:hAnsi="Arial Narrow" w:cs="Arial Narrow"/>
                <w:sz w:val="20"/>
                <w:szCs w:val="20"/>
              </w:rPr>
              <w:t>Adults 60</w:t>
            </w:r>
            <w:r w:rsidR="000E4816">
              <w:rPr>
                <w:rFonts w:ascii="Arial Narrow" w:eastAsia="Arial Narrow" w:hAnsi="Arial Narrow" w:cs="Arial Narrow"/>
                <w:sz w:val="20"/>
                <w:szCs w:val="20"/>
              </w:rPr>
              <w:noBreakHyphen/>
            </w:r>
            <w:r w:rsidRPr="005A5BB7">
              <w:rPr>
                <w:rFonts w:ascii="Arial Narrow" w:eastAsia="Arial Narrow" w:hAnsi="Arial Narrow" w:cs="Arial Narrow"/>
                <w:sz w:val="20"/>
                <w:szCs w:val="20"/>
              </w:rPr>
              <w:t xml:space="preserve">74 YOA at increased risk of severe RSV </w:t>
            </w:r>
            <w:r w:rsidR="007B05BC" w:rsidRPr="005A5BB7">
              <w:rPr>
                <w:rFonts w:ascii="Arial Narrow" w:eastAsia="Arial Narrow" w:hAnsi="Arial Narrow" w:cs="Arial Narrow"/>
                <w:sz w:val="20"/>
                <w:szCs w:val="20"/>
              </w:rPr>
              <w:t>disease (</w:t>
            </w:r>
            <w:r w:rsidR="00992403" w:rsidRPr="005A5BB7">
              <w:rPr>
                <w:rFonts w:ascii="Arial Narrow" w:eastAsia="Arial Narrow" w:hAnsi="Arial Narrow" w:cs="Arial Narrow"/>
                <w:sz w:val="20"/>
                <w:szCs w:val="20"/>
              </w:rPr>
              <w:t>Defined as having</w:t>
            </w:r>
            <w:r w:rsidR="0077309E" w:rsidRPr="005A5BB7">
              <w:rPr>
                <w:rFonts w:ascii="Arial Narrow" w:eastAsia="Arial Narrow" w:hAnsi="Arial Narrow" w:cs="Arial Narrow"/>
                <w:sz w:val="20"/>
                <w:szCs w:val="20"/>
              </w:rPr>
              <w:t xml:space="preserve"> at least one condition associated with increased risk of severe RSV disease in adults as defined in the AIH)</w:t>
            </w:r>
          </w:p>
        </w:tc>
      </w:tr>
    </w:tbl>
    <w:p w14:paraId="2501F180" w14:textId="164547C6" w:rsidR="7CFF0641" w:rsidRPr="005A5BB7" w:rsidRDefault="7CFF0641" w:rsidP="3FF051E5">
      <w:pPr>
        <w:keepNext/>
        <w:keepLines/>
        <w:rPr>
          <w:rFonts w:ascii="Arial Narrow" w:eastAsia="Arial Narrow" w:hAnsi="Arial Narrow" w:cs="Arial Narrow"/>
          <w:color w:val="000000" w:themeColor="text1"/>
          <w:sz w:val="18"/>
          <w:szCs w:val="18"/>
        </w:rPr>
      </w:pPr>
      <w:r w:rsidRPr="005A5BB7">
        <w:rPr>
          <w:rFonts w:ascii="Arial Narrow" w:eastAsia="Arial Narrow" w:hAnsi="Arial Narrow" w:cs="Arial Narrow"/>
          <w:color w:val="000000" w:themeColor="text1"/>
          <w:sz w:val="18"/>
          <w:szCs w:val="18"/>
        </w:rPr>
        <w:t>Source: Table 1</w:t>
      </w:r>
      <w:r w:rsidR="000E4816">
        <w:rPr>
          <w:rFonts w:ascii="Arial Narrow" w:eastAsia="Arial Narrow" w:hAnsi="Arial Narrow" w:cs="Arial Narrow"/>
          <w:color w:val="000000" w:themeColor="text1"/>
          <w:sz w:val="18"/>
          <w:szCs w:val="18"/>
        </w:rPr>
        <w:noBreakHyphen/>
      </w:r>
      <w:r w:rsidRPr="005A5BB7">
        <w:rPr>
          <w:rFonts w:ascii="Arial Narrow" w:eastAsia="Arial Narrow" w:hAnsi="Arial Narrow" w:cs="Arial Narrow"/>
          <w:color w:val="000000" w:themeColor="text1"/>
          <w:sz w:val="18"/>
          <w:szCs w:val="18"/>
        </w:rPr>
        <w:t>10, p35 of the Submission </w:t>
      </w:r>
    </w:p>
    <w:p w14:paraId="1F4340EB" w14:textId="308BF2DD" w:rsidR="7CFF0641" w:rsidRPr="005A5BB7" w:rsidRDefault="7CFF0641" w:rsidP="3FF051E5">
      <w:pPr>
        <w:keepNext/>
        <w:keepLines/>
        <w:jc w:val="left"/>
        <w:rPr>
          <w:rFonts w:ascii="Arial Narrow" w:eastAsia="Arial Narrow" w:hAnsi="Arial Narrow" w:cs="Arial Narrow"/>
          <w:color w:val="000000" w:themeColor="text1"/>
          <w:sz w:val="18"/>
          <w:szCs w:val="18"/>
        </w:rPr>
      </w:pPr>
      <w:r w:rsidRPr="005A5BB7">
        <w:rPr>
          <w:rFonts w:ascii="Arial Narrow" w:eastAsia="Arial Narrow" w:hAnsi="Arial Narrow" w:cs="Arial Narrow"/>
          <w:color w:val="000000" w:themeColor="text1"/>
          <w:sz w:val="18"/>
          <w:szCs w:val="18"/>
        </w:rPr>
        <w:t>NIP = national immunisation program; RSV = respiratory syncytial virus; YOA = years of age. </w:t>
      </w:r>
      <w:r w:rsidRPr="005A5BB7">
        <w:br/>
      </w:r>
      <w:r w:rsidRPr="005A5BB7">
        <w:rPr>
          <w:rFonts w:ascii="Arial Narrow" w:eastAsia="Arial Narrow" w:hAnsi="Arial Narrow" w:cs="Arial Narrow"/>
          <w:color w:val="000000" w:themeColor="text1"/>
          <w:sz w:val="18"/>
          <w:szCs w:val="18"/>
        </w:rPr>
        <w:t>Blue shading indicates data information seen by the PBAC </w:t>
      </w:r>
    </w:p>
    <w:p w14:paraId="25619CC6" w14:textId="2D5F59A1" w:rsidR="3FF051E5" w:rsidRPr="005A5BB7" w:rsidRDefault="3FF051E5" w:rsidP="3FF051E5">
      <w:pPr>
        <w:jc w:val="left"/>
        <w:rPr>
          <w:rFonts w:ascii="Arial Narrow" w:eastAsia="Arial Narrow" w:hAnsi="Arial Narrow" w:cs="Arial Narrow"/>
          <w:color w:val="000000" w:themeColor="text1"/>
          <w:sz w:val="18"/>
          <w:szCs w:val="18"/>
        </w:rPr>
      </w:pPr>
    </w:p>
    <w:p w14:paraId="6C1E864E" w14:textId="602047D8" w:rsidR="00AB7266" w:rsidRPr="005A5BB7" w:rsidRDefault="6AEE7548">
      <w:pPr>
        <w:pStyle w:val="3-BodyText"/>
        <w:rPr>
          <w:iCs/>
          <w:szCs w:val="24"/>
        </w:rPr>
      </w:pPr>
      <w:r w:rsidRPr="005A5BB7">
        <w:lastRenderedPageBreak/>
        <w:t xml:space="preserve">The </w:t>
      </w:r>
      <w:r w:rsidR="00D4617A" w:rsidRPr="005A5BB7">
        <w:t>re</w:t>
      </w:r>
      <w:r w:rsidRPr="005A5BB7">
        <w:t>submission proposed a price of $</w:t>
      </w:r>
      <w:r w:rsidR="00F15B97" w:rsidRPr="00F15B97">
        <w:rPr>
          <w:sz w:val="2"/>
          <w:highlight w:val="black"/>
        </w:rPr>
        <w:t>redacted content</w:t>
      </w:r>
      <w:r w:rsidRPr="005A5BB7">
        <w:t xml:space="preserve">, reduced from the July 2024 submission price of </w:t>
      </w:r>
      <w:r w:rsidR="00102EDC" w:rsidRPr="005A5BB7">
        <w:t>$</w:t>
      </w:r>
      <w:r w:rsidR="00F15B97" w:rsidRPr="00F15B97">
        <w:rPr>
          <w:sz w:val="2"/>
          <w:highlight w:val="black"/>
        </w:rPr>
        <w:t>redacted content</w:t>
      </w:r>
      <w:r w:rsidRPr="005A5BB7">
        <w:t xml:space="preserve"> per vial. </w:t>
      </w:r>
      <w:r w:rsidR="002356FE" w:rsidRPr="005A5BB7">
        <w:rPr>
          <w:iCs/>
        </w:rPr>
        <w:t>A price of $</w:t>
      </w:r>
      <w:r w:rsidR="00F15B97" w:rsidRPr="00F15B97">
        <w:rPr>
          <w:iCs/>
          <w:sz w:val="2"/>
          <w:highlight w:val="black"/>
        </w:rPr>
        <w:t>redacted content</w:t>
      </w:r>
      <w:r w:rsidR="002356FE" w:rsidRPr="005A5BB7">
        <w:rPr>
          <w:iCs/>
        </w:rPr>
        <w:t xml:space="preserve"> was requested by the </w:t>
      </w:r>
      <w:r w:rsidR="00582745" w:rsidRPr="005A5BB7">
        <w:rPr>
          <w:iCs/>
        </w:rPr>
        <w:t>Pre</w:t>
      </w:r>
      <w:r w:rsidR="000E4816">
        <w:rPr>
          <w:iCs/>
        </w:rPr>
        <w:noBreakHyphen/>
      </w:r>
      <w:r w:rsidR="00582745" w:rsidRPr="005A5BB7">
        <w:rPr>
          <w:iCs/>
        </w:rPr>
        <w:t>Sub</w:t>
      </w:r>
      <w:r w:rsidR="000E4816">
        <w:rPr>
          <w:iCs/>
        </w:rPr>
        <w:noBreakHyphen/>
      </w:r>
      <w:r w:rsidR="00582745" w:rsidRPr="005A5BB7">
        <w:rPr>
          <w:iCs/>
        </w:rPr>
        <w:t>Committee Response (</w:t>
      </w:r>
      <w:r w:rsidR="002356FE" w:rsidRPr="005A5BB7">
        <w:rPr>
          <w:iCs/>
        </w:rPr>
        <w:t>PSCR</w:t>
      </w:r>
      <w:r w:rsidR="00582745" w:rsidRPr="005A5BB7">
        <w:rPr>
          <w:iCs/>
        </w:rPr>
        <w:t>)</w:t>
      </w:r>
      <w:r w:rsidR="002356FE" w:rsidRPr="005A5BB7">
        <w:rPr>
          <w:iCs/>
        </w:rPr>
        <w:t>.</w:t>
      </w:r>
    </w:p>
    <w:p w14:paraId="7A0F018D" w14:textId="373EFDCC" w:rsidR="005930EA" w:rsidRPr="005A5BB7" w:rsidRDefault="00C10BA3" w:rsidP="3FF051E5">
      <w:pPr>
        <w:pStyle w:val="3-BodyText"/>
        <w:rPr>
          <w:szCs w:val="24"/>
        </w:rPr>
      </w:pPr>
      <w:r w:rsidRPr="005A5BB7">
        <w:t>The resubmission stated the</w:t>
      </w:r>
      <w:r w:rsidR="00966AFB" w:rsidRPr="005A5BB7">
        <w:t xml:space="preserve"> proposed</w:t>
      </w:r>
      <w:r w:rsidR="6AEE7548" w:rsidRPr="005A5BB7">
        <w:t xml:space="preserve"> NIP listing </w:t>
      </w:r>
      <w:r w:rsidR="00966AFB" w:rsidRPr="005A5BB7">
        <w:t>for</w:t>
      </w:r>
      <w:r w:rsidR="6AEE7548" w:rsidRPr="005A5BB7">
        <w:t xml:space="preserve"> adults 60</w:t>
      </w:r>
      <w:r w:rsidR="000E4816">
        <w:noBreakHyphen/>
      </w:r>
      <w:r w:rsidR="6AEE7548" w:rsidRPr="005A5BB7">
        <w:t>74 YOA at increased risk of severe RSV disease</w:t>
      </w:r>
      <w:r w:rsidR="00966AFB" w:rsidRPr="005A5BB7">
        <w:t xml:space="preserve"> was</w:t>
      </w:r>
      <w:r w:rsidR="6AEE7548" w:rsidRPr="005A5BB7">
        <w:t xml:space="preserve"> consistent with the ATAGI advice (Dec</w:t>
      </w:r>
      <w:r w:rsidR="00A90898" w:rsidRPr="005A5BB7">
        <w:t>ember 20</w:t>
      </w:r>
      <w:r w:rsidR="6AEE7548" w:rsidRPr="005A5BB7">
        <w:t xml:space="preserve">23), and the AIH recommendations for the use of vaccines for prophylaxis of RSV disease in OA. </w:t>
      </w:r>
      <w:r w:rsidR="00343ADD" w:rsidRPr="005A5BB7">
        <w:t xml:space="preserve">Consistent with ATAGI advice, a definitive list of </w:t>
      </w:r>
      <w:r w:rsidR="000C6496" w:rsidRPr="005A5BB7">
        <w:t>medical conditions associated with increased risk of RSV disease was not included in the</w:t>
      </w:r>
      <w:r w:rsidR="004B0D67" w:rsidRPr="005A5BB7">
        <w:t xml:space="preserve"> requested</w:t>
      </w:r>
      <w:r w:rsidR="000C6496" w:rsidRPr="005A5BB7">
        <w:t xml:space="preserve"> listing.</w:t>
      </w:r>
      <w:r w:rsidR="6AEE7548" w:rsidRPr="005A5BB7">
        <w:t xml:space="preserve"> </w:t>
      </w:r>
    </w:p>
    <w:p w14:paraId="12AC5023" w14:textId="32478716" w:rsidR="0070040C" w:rsidRPr="005A5BB7" w:rsidRDefault="005930EA">
      <w:pPr>
        <w:pStyle w:val="3-BodyText"/>
        <w:rPr>
          <w:szCs w:val="24"/>
        </w:rPr>
      </w:pPr>
      <w:r w:rsidRPr="005A5BB7">
        <w:t>The c</w:t>
      </w:r>
      <w:r w:rsidRPr="005A5BB7">
        <w:rPr>
          <w:rFonts w:eastAsia="Arial Narrow" w:cs="Arial Narrow"/>
          <w:color w:val="000000" w:themeColor="text1"/>
          <w:szCs w:val="20"/>
        </w:rPr>
        <w:t>onditions associated with increased risk of severe RSV disease in adults as described by the AIH are shown in</w:t>
      </w:r>
      <w:r w:rsidR="0070040C" w:rsidRPr="005A5BB7">
        <w:rPr>
          <w:rFonts w:eastAsia="Arial Narrow" w:cs="Arial Narrow"/>
          <w:color w:val="000000" w:themeColor="text1"/>
          <w:szCs w:val="20"/>
        </w:rPr>
        <w:t xml:space="preserve"> </w:t>
      </w:r>
      <w:r w:rsidR="0070040C" w:rsidRPr="005A5BB7">
        <w:rPr>
          <w:rFonts w:eastAsia="Arial Narrow" w:cs="Arial Narrow"/>
          <w:color w:val="000000" w:themeColor="text1"/>
          <w:szCs w:val="20"/>
        </w:rPr>
        <w:fldChar w:fldCharType="begin"/>
      </w:r>
      <w:r w:rsidR="0070040C" w:rsidRPr="005A5BB7">
        <w:rPr>
          <w:rFonts w:eastAsia="Arial Narrow" w:cs="Arial Narrow"/>
          <w:color w:val="000000" w:themeColor="text1"/>
          <w:szCs w:val="20"/>
        </w:rPr>
        <w:instrText xml:space="preserve"> REF _Ref225431080 \h </w:instrText>
      </w:r>
      <w:r w:rsidR="0070040C" w:rsidRPr="005A5BB7">
        <w:rPr>
          <w:rFonts w:eastAsia="Arial Narrow" w:cs="Arial Narrow"/>
          <w:color w:val="000000" w:themeColor="text1"/>
          <w:szCs w:val="20"/>
        </w:rPr>
      </w:r>
      <w:r w:rsidR="0070040C" w:rsidRPr="005A5BB7">
        <w:rPr>
          <w:rFonts w:eastAsia="Arial Narrow" w:cs="Arial Narrow"/>
          <w:color w:val="000000" w:themeColor="text1"/>
          <w:szCs w:val="20"/>
        </w:rPr>
        <w:fldChar w:fldCharType="separate"/>
      </w:r>
      <w:r w:rsidR="0043658C" w:rsidRPr="005A5BB7">
        <w:t xml:space="preserve">Table </w:t>
      </w:r>
      <w:r w:rsidR="0043658C">
        <w:rPr>
          <w:noProof/>
        </w:rPr>
        <w:t>3</w:t>
      </w:r>
      <w:r w:rsidR="0070040C" w:rsidRPr="005A5BB7">
        <w:rPr>
          <w:rFonts w:eastAsia="Arial Narrow" w:cs="Arial Narrow"/>
          <w:color w:val="000000" w:themeColor="text1"/>
          <w:szCs w:val="20"/>
        </w:rPr>
        <w:fldChar w:fldCharType="end"/>
      </w:r>
      <w:r w:rsidR="0070040C" w:rsidRPr="005A5BB7">
        <w:rPr>
          <w:rFonts w:eastAsia="Arial Narrow" w:cs="Arial Narrow"/>
          <w:color w:val="000000" w:themeColor="text1"/>
          <w:szCs w:val="20"/>
        </w:rPr>
        <w:t>.</w:t>
      </w:r>
    </w:p>
    <w:p w14:paraId="2806840C" w14:textId="56C65B60" w:rsidR="005930EA" w:rsidRPr="005A5BB7" w:rsidRDefault="005930EA">
      <w:pPr>
        <w:pStyle w:val="3-BodyText"/>
        <w:rPr>
          <w:szCs w:val="24"/>
        </w:rPr>
      </w:pPr>
      <w:r w:rsidRPr="005A5BB7">
        <w:rPr>
          <w:rFonts w:eastAsia="Arial Narrow" w:cs="Arial Narrow"/>
          <w:color w:val="000000" w:themeColor="text1"/>
          <w:szCs w:val="20"/>
        </w:rPr>
        <w:t>The AIH states that a</w:t>
      </w:r>
      <w:r w:rsidRPr="005A5BB7">
        <w:rPr>
          <w:szCs w:val="24"/>
        </w:rPr>
        <w:t xml:space="preserve">dults aged ≥50 years with the medical conditions listed below are at increased risk of severe RSV disease. These examples are not exhaustive, and providers may include people with conditions </w:t>
      </w:r>
      <w:proofErr w:type="gramStart"/>
      <w:r w:rsidRPr="005A5BB7">
        <w:rPr>
          <w:szCs w:val="24"/>
        </w:rPr>
        <w:t>similar to</w:t>
      </w:r>
      <w:proofErr w:type="gramEnd"/>
      <w:r w:rsidRPr="005A5BB7">
        <w:rPr>
          <w:szCs w:val="24"/>
        </w:rPr>
        <w:t xml:space="preserve"> those listed below based on clinical judgement.</w:t>
      </w:r>
    </w:p>
    <w:p w14:paraId="1D1C4BAD" w14:textId="01EBAE25" w:rsidR="007F1F4D" w:rsidRPr="005A5BB7" w:rsidRDefault="007F1F4D" w:rsidP="0090073B">
      <w:pPr>
        <w:pStyle w:val="3-BodyText"/>
        <w:rPr>
          <w:iCs/>
          <w:szCs w:val="24"/>
        </w:rPr>
      </w:pPr>
      <w:r w:rsidRPr="005A5BB7">
        <w:rPr>
          <w:iCs/>
          <w:szCs w:val="24"/>
        </w:rPr>
        <w:t>The ESC noted that the AIH provides a similar list of medical conditions associated with increased risk of severe outcomes due to influenza, and that obesity defined as body mass index (BMI) ≥30 kg per m</w:t>
      </w:r>
      <w:r w:rsidRPr="005A5BB7">
        <w:rPr>
          <w:iCs/>
          <w:szCs w:val="24"/>
          <w:vertAlign w:val="superscript"/>
        </w:rPr>
        <w:t>2</w:t>
      </w:r>
      <w:r w:rsidRPr="005A5BB7">
        <w:rPr>
          <w:iCs/>
          <w:szCs w:val="24"/>
        </w:rPr>
        <w:t xml:space="preserve"> is included in the list</w:t>
      </w:r>
      <w:r w:rsidR="002356FE" w:rsidRPr="005A5BB7">
        <w:rPr>
          <w:iCs/>
          <w:szCs w:val="24"/>
        </w:rPr>
        <w:t xml:space="preserve"> for influenza</w:t>
      </w:r>
      <w:r w:rsidRPr="005A5BB7">
        <w:rPr>
          <w:iCs/>
          <w:szCs w:val="24"/>
        </w:rPr>
        <w:t>, however is not NIP funded.</w:t>
      </w:r>
      <w:r w:rsidRPr="005A5BB7">
        <w:rPr>
          <w:rStyle w:val="FootnoteReference"/>
          <w:iCs/>
          <w:szCs w:val="24"/>
        </w:rPr>
        <w:footnoteReference w:id="4"/>
      </w:r>
      <w:r w:rsidR="00DA1339">
        <w:rPr>
          <w:iCs/>
          <w:szCs w:val="24"/>
        </w:rPr>
        <w:t xml:space="preserve"> </w:t>
      </w:r>
      <w:r w:rsidRPr="005A5BB7">
        <w:rPr>
          <w:iCs/>
          <w:szCs w:val="24"/>
        </w:rPr>
        <w:t xml:space="preserve">The ESC </w:t>
      </w:r>
      <w:r w:rsidR="008506D2" w:rsidRPr="005A5BB7">
        <w:rPr>
          <w:iCs/>
          <w:szCs w:val="24"/>
        </w:rPr>
        <w:t>noted</w:t>
      </w:r>
      <w:r w:rsidRPr="005A5BB7">
        <w:rPr>
          <w:iCs/>
          <w:szCs w:val="24"/>
        </w:rPr>
        <w:t xml:space="preserve"> the PBAC </w:t>
      </w:r>
      <w:r w:rsidR="00A11B14" w:rsidRPr="005A5BB7">
        <w:rPr>
          <w:iCs/>
          <w:szCs w:val="24"/>
        </w:rPr>
        <w:t xml:space="preserve">may wish </w:t>
      </w:r>
      <w:r w:rsidRPr="005A5BB7">
        <w:rPr>
          <w:iCs/>
          <w:szCs w:val="24"/>
        </w:rPr>
        <w:t xml:space="preserve">to consider </w:t>
      </w:r>
      <w:r w:rsidR="008E1CD2" w:rsidRPr="005A5BB7">
        <w:rPr>
          <w:iCs/>
          <w:szCs w:val="24"/>
        </w:rPr>
        <w:t xml:space="preserve">a similar approach </w:t>
      </w:r>
      <w:r w:rsidRPr="005A5BB7">
        <w:rPr>
          <w:iCs/>
          <w:szCs w:val="24"/>
        </w:rPr>
        <w:t>for the proposed NIP listing</w:t>
      </w:r>
      <w:r w:rsidR="008E1CD2" w:rsidRPr="005A5BB7">
        <w:rPr>
          <w:iCs/>
          <w:szCs w:val="24"/>
        </w:rPr>
        <w:t xml:space="preserve">, i.e. that the BMI criteria </w:t>
      </w:r>
      <w:r w:rsidRPr="005A5BB7">
        <w:rPr>
          <w:iCs/>
          <w:szCs w:val="24"/>
        </w:rPr>
        <w:t xml:space="preserve">would not </w:t>
      </w:r>
      <w:r w:rsidR="00753EBA" w:rsidRPr="005A5BB7">
        <w:rPr>
          <w:iCs/>
          <w:szCs w:val="24"/>
        </w:rPr>
        <w:t xml:space="preserve">separately </w:t>
      </w:r>
      <w:r w:rsidRPr="005A5BB7">
        <w:rPr>
          <w:iCs/>
          <w:szCs w:val="24"/>
        </w:rPr>
        <w:t xml:space="preserve">be </w:t>
      </w:r>
      <w:r w:rsidR="008E1CD2" w:rsidRPr="005A5BB7">
        <w:rPr>
          <w:iCs/>
          <w:szCs w:val="24"/>
        </w:rPr>
        <w:t xml:space="preserve">used to determine eligibility for the vaccine, but </w:t>
      </w:r>
      <w:r w:rsidR="0025777B" w:rsidRPr="005A5BB7">
        <w:rPr>
          <w:iCs/>
          <w:szCs w:val="24"/>
        </w:rPr>
        <w:t xml:space="preserve">many </w:t>
      </w:r>
      <w:r w:rsidR="008E1CD2" w:rsidRPr="005A5BB7">
        <w:rPr>
          <w:iCs/>
          <w:szCs w:val="24"/>
        </w:rPr>
        <w:t xml:space="preserve">patients in this cohort would qualify for the vaccine </w:t>
      </w:r>
      <w:r w:rsidR="0025777B" w:rsidRPr="005A5BB7">
        <w:rPr>
          <w:iCs/>
          <w:szCs w:val="24"/>
        </w:rPr>
        <w:t>due to fulfilling</w:t>
      </w:r>
      <w:r w:rsidR="008E1CD2" w:rsidRPr="005A5BB7">
        <w:rPr>
          <w:iCs/>
          <w:szCs w:val="24"/>
        </w:rPr>
        <w:t xml:space="preserve"> </w:t>
      </w:r>
      <w:r w:rsidR="0025777B" w:rsidRPr="005A5BB7">
        <w:rPr>
          <w:iCs/>
          <w:szCs w:val="24"/>
        </w:rPr>
        <w:t xml:space="preserve">one or more </w:t>
      </w:r>
      <w:r w:rsidR="008E1CD2" w:rsidRPr="005A5BB7">
        <w:rPr>
          <w:iCs/>
          <w:szCs w:val="24"/>
        </w:rPr>
        <w:t>other criteria.</w:t>
      </w:r>
      <w:r w:rsidR="00966F83" w:rsidRPr="005A5BB7">
        <w:rPr>
          <w:iCs/>
          <w:szCs w:val="24"/>
        </w:rPr>
        <w:t xml:space="preserve"> </w:t>
      </w:r>
    </w:p>
    <w:p w14:paraId="0FB381BE" w14:textId="2DD49970" w:rsidR="009D7FDD" w:rsidRPr="005A5BB7" w:rsidRDefault="004C0767">
      <w:pPr>
        <w:pStyle w:val="3-BodyText"/>
        <w:rPr>
          <w:iCs/>
          <w:szCs w:val="24"/>
        </w:rPr>
      </w:pPr>
      <w:bookmarkStart w:id="20" w:name="_Ref224825255"/>
      <w:r w:rsidRPr="005A5BB7">
        <w:t>The pre</w:t>
      </w:r>
      <w:r w:rsidR="000E4816">
        <w:noBreakHyphen/>
      </w:r>
      <w:r w:rsidRPr="005A5BB7">
        <w:t>PBAC response proposed a revised population for NIP listing, applying an age threshold of 65 years (instead of 60) and excluding obesity as a standalone criterion for NIP eligibility.</w:t>
      </w:r>
      <w:r w:rsidR="00DA1339">
        <w:t xml:space="preserve"> </w:t>
      </w:r>
      <w:r w:rsidRPr="005A5BB7">
        <w:t>The PBAC did not support this population, see paragraph</w:t>
      </w:r>
      <w:r w:rsidR="00064781" w:rsidRPr="005A5BB7">
        <w:t xml:space="preserve"> </w:t>
      </w:r>
      <w:r w:rsidR="00064781" w:rsidRPr="005A5BB7">
        <w:fldChar w:fldCharType="begin"/>
      </w:r>
      <w:r w:rsidR="00064781" w:rsidRPr="005A5BB7">
        <w:instrText xml:space="preserve"> REF _Ref225518523 \r \h </w:instrText>
      </w:r>
      <w:r w:rsidR="00064781" w:rsidRPr="005A5BB7">
        <w:fldChar w:fldCharType="separate"/>
      </w:r>
      <w:r w:rsidR="0018341D">
        <w:t>7.7</w:t>
      </w:r>
      <w:r w:rsidR="00064781" w:rsidRPr="005A5BB7">
        <w:fldChar w:fldCharType="end"/>
      </w:r>
      <w:r w:rsidR="009D7FDD" w:rsidRPr="005A5BB7">
        <w:t>.</w:t>
      </w:r>
    </w:p>
    <w:p w14:paraId="3E8FB863" w14:textId="75616D3B" w:rsidR="001C4904" w:rsidRPr="005A5BB7" w:rsidRDefault="001C4904" w:rsidP="00C05430">
      <w:bookmarkStart w:id="21" w:name="_Ref219133000"/>
      <w:bookmarkEnd w:id="20"/>
    </w:p>
    <w:p w14:paraId="01F41B02" w14:textId="036B019E" w:rsidR="005930EA" w:rsidRPr="005A5BB7" w:rsidRDefault="005930EA" w:rsidP="00415F4B">
      <w:pPr>
        <w:pStyle w:val="Caption"/>
        <w:rPr>
          <w:rFonts w:eastAsia="Arial Narrow" w:cs="Arial Narrow"/>
          <w:color w:val="000000" w:themeColor="text1"/>
          <w:szCs w:val="20"/>
        </w:rPr>
      </w:pPr>
      <w:bookmarkStart w:id="22" w:name="_Ref225431080"/>
      <w:r w:rsidRPr="005A5BB7">
        <w:lastRenderedPageBreak/>
        <w:t xml:space="preserve">Table </w:t>
      </w:r>
      <w:fldSimple w:instr=" SEQ Table \* ARABIC ">
        <w:r w:rsidR="0043658C">
          <w:rPr>
            <w:noProof/>
          </w:rPr>
          <w:t>3</w:t>
        </w:r>
      </w:fldSimple>
      <w:bookmarkEnd w:id="21"/>
      <w:bookmarkEnd w:id="22"/>
      <w:r w:rsidRPr="005A5BB7">
        <w:t>:</w:t>
      </w:r>
      <w:r w:rsidRPr="005A5BB7">
        <w:rPr>
          <w:rFonts w:eastAsia="Arial Narrow" w:cs="Arial Narrow"/>
          <w:color w:val="000000" w:themeColor="text1"/>
          <w:szCs w:val="20"/>
        </w:rPr>
        <w:t xml:space="preserve"> Conditions associated with increased risk of severe RSV disease in adults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3: Conditions associated with increased risk of severe RSV disease in adults"/>
      </w:tblPr>
      <w:tblGrid>
        <w:gridCol w:w="1644"/>
        <w:gridCol w:w="7367"/>
      </w:tblGrid>
      <w:tr w:rsidR="005930EA" w:rsidRPr="005A5BB7" w14:paraId="2BE91854" w14:textId="77777777" w:rsidTr="00C05430">
        <w:trPr>
          <w:trHeight w:val="300"/>
        </w:trPr>
        <w:tc>
          <w:tcPr>
            <w:tcW w:w="1410" w:type="dxa"/>
            <w:shd w:val="clear" w:color="auto" w:fill="D9D9D9" w:themeFill="background1" w:themeFillShade="D9"/>
            <w:tcMar>
              <w:left w:w="15" w:type="dxa"/>
              <w:right w:w="15" w:type="dxa"/>
            </w:tcMar>
          </w:tcPr>
          <w:p w14:paraId="0CBCBFB2" w14:textId="77777777" w:rsidR="005930EA" w:rsidRPr="005A5BB7" w:rsidRDefault="005930EA" w:rsidP="00C05430">
            <w:pPr>
              <w:pStyle w:val="PBACTabletext"/>
              <w:spacing w:after="0"/>
              <w:rPr>
                <w:rFonts w:ascii="Arial Narrow" w:eastAsia="Arial Narrow" w:hAnsi="Arial Narrow" w:cs="Arial Narrow"/>
                <w:szCs w:val="20"/>
              </w:rPr>
            </w:pPr>
            <w:r w:rsidRPr="005A5BB7">
              <w:rPr>
                <w:rFonts w:ascii="Arial Narrow" w:eastAsia="Arial Narrow" w:hAnsi="Arial Narrow" w:cs="Arial Narrow"/>
                <w:b/>
                <w:bCs/>
                <w:szCs w:val="20"/>
              </w:rPr>
              <w:t xml:space="preserve">Risk category </w:t>
            </w:r>
          </w:p>
        </w:tc>
        <w:tc>
          <w:tcPr>
            <w:tcW w:w="0" w:type="auto"/>
            <w:shd w:val="clear" w:color="auto" w:fill="D9D9D9" w:themeFill="background1" w:themeFillShade="D9"/>
            <w:tcMar>
              <w:left w:w="15" w:type="dxa"/>
              <w:right w:w="15" w:type="dxa"/>
            </w:tcMar>
          </w:tcPr>
          <w:p w14:paraId="4012CA56" w14:textId="7D3F2992" w:rsidR="005930EA" w:rsidRPr="005A5BB7" w:rsidRDefault="005930EA" w:rsidP="00C05430">
            <w:pPr>
              <w:pStyle w:val="PBACTabletext"/>
              <w:spacing w:after="0"/>
              <w:rPr>
                <w:rFonts w:ascii="Arial Narrow" w:eastAsia="Arial Narrow" w:hAnsi="Arial Narrow" w:cs="Arial Narrow"/>
                <w:szCs w:val="20"/>
              </w:rPr>
            </w:pPr>
            <w:r w:rsidRPr="005A5BB7">
              <w:rPr>
                <w:rFonts w:ascii="Arial Narrow" w:eastAsia="Arial Narrow" w:hAnsi="Arial Narrow" w:cs="Arial Narrow"/>
                <w:b/>
                <w:bCs/>
                <w:szCs w:val="20"/>
              </w:rPr>
              <w:t>Example medical conditions</w:t>
            </w:r>
          </w:p>
        </w:tc>
      </w:tr>
      <w:tr w:rsidR="005930EA" w:rsidRPr="005A5BB7" w14:paraId="6CCA88BD" w14:textId="77777777" w:rsidTr="00C05430">
        <w:trPr>
          <w:trHeight w:val="300"/>
        </w:trPr>
        <w:tc>
          <w:tcPr>
            <w:tcW w:w="1410" w:type="dxa"/>
            <w:tcMar>
              <w:left w:w="15" w:type="dxa"/>
              <w:right w:w="15" w:type="dxa"/>
            </w:tcMar>
          </w:tcPr>
          <w:p w14:paraId="285729EE"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Cardiac disease</w:t>
            </w:r>
          </w:p>
        </w:tc>
        <w:tc>
          <w:tcPr>
            <w:tcW w:w="0" w:type="auto"/>
            <w:tcMar>
              <w:left w:w="15" w:type="dxa"/>
              <w:right w:w="15" w:type="dxa"/>
            </w:tcMar>
          </w:tcPr>
          <w:p w14:paraId="32F05A04" w14:textId="77777777" w:rsidR="005930EA" w:rsidRPr="005A5BB7" w:rsidRDefault="005930EA" w:rsidP="00C05430">
            <w:pPr>
              <w:pStyle w:val="ListParagraph"/>
              <w:keepNext/>
              <w:keepLines/>
              <w:shd w:val="clear" w:color="auto" w:fill="FFFFFF" w:themeFill="background1"/>
              <w:spacing w:after="0"/>
              <w:ind w:left="556" w:hanging="283"/>
              <w:contextualSpacing/>
              <w:jc w:val="both"/>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Congenital heart disease</w:t>
            </w:r>
          </w:p>
          <w:p w14:paraId="49BA1B07" w14:textId="77777777" w:rsidR="005930EA" w:rsidRPr="005A5BB7" w:rsidRDefault="005930EA" w:rsidP="00C05430">
            <w:pPr>
              <w:pStyle w:val="ListParagraph"/>
              <w:keepNext/>
              <w:keepLines/>
              <w:shd w:val="clear" w:color="auto" w:fill="FFFFFF" w:themeFill="background1"/>
              <w:spacing w:after="0"/>
              <w:ind w:left="556" w:hanging="283"/>
              <w:contextualSpacing/>
              <w:jc w:val="both"/>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Congestive heart failure</w:t>
            </w:r>
          </w:p>
          <w:p w14:paraId="03ABB1A4" w14:textId="77777777" w:rsidR="005930EA" w:rsidRPr="005A5BB7" w:rsidRDefault="005930EA" w:rsidP="00C05430">
            <w:pPr>
              <w:pStyle w:val="ListParagraph"/>
              <w:keepNext/>
              <w:keepLines/>
              <w:shd w:val="clear" w:color="auto" w:fill="FFFFFF" w:themeFill="background1"/>
              <w:spacing w:after="0"/>
              <w:ind w:left="556" w:hanging="283"/>
              <w:contextualSpacing/>
              <w:jc w:val="both"/>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Coronary artery disease</w:t>
            </w:r>
          </w:p>
        </w:tc>
      </w:tr>
      <w:tr w:rsidR="005930EA" w:rsidRPr="005A5BB7" w14:paraId="0CB97558" w14:textId="77777777" w:rsidTr="00C05430">
        <w:trPr>
          <w:trHeight w:val="300"/>
        </w:trPr>
        <w:tc>
          <w:tcPr>
            <w:tcW w:w="1410" w:type="dxa"/>
            <w:tcMar>
              <w:left w:w="15" w:type="dxa"/>
              <w:right w:w="15" w:type="dxa"/>
            </w:tcMar>
          </w:tcPr>
          <w:p w14:paraId="30ECA24A"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respiratory conditions</w:t>
            </w:r>
          </w:p>
        </w:tc>
        <w:tc>
          <w:tcPr>
            <w:tcW w:w="0" w:type="auto"/>
            <w:tcMar>
              <w:left w:w="15" w:type="dxa"/>
              <w:right w:w="15" w:type="dxa"/>
            </w:tcMar>
          </w:tcPr>
          <w:p w14:paraId="011AAC74"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Suppurative lung disease</w:t>
            </w:r>
          </w:p>
          <w:p w14:paraId="7756A120"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Bronchiectasis</w:t>
            </w:r>
          </w:p>
          <w:p w14:paraId="5170314D"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Cystic fibrosis</w:t>
            </w:r>
          </w:p>
          <w:p w14:paraId="582032E9"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obstructive pulmonary disease</w:t>
            </w:r>
          </w:p>
          <w:p w14:paraId="664DE99C"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emphysema</w:t>
            </w:r>
          </w:p>
          <w:p w14:paraId="56080520"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Severe asthma (requiring frequent medical consultations or the use of multiple medications)</w:t>
            </w:r>
          </w:p>
        </w:tc>
      </w:tr>
      <w:tr w:rsidR="005930EA" w:rsidRPr="005A5BB7" w14:paraId="1CCE5BC9" w14:textId="77777777" w:rsidTr="00C05430">
        <w:trPr>
          <w:trHeight w:val="300"/>
        </w:trPr>
        <w:tc>
          <w:tcPr>
            <w:tcW w:w="1410" w:type="dxa"/>
            <w:tcMar>
              <w:left w:w="15" w:type="dxa"/>
              <w:right w:w="15" w:type="dxa"/>
            </w:tcMar>
          </w:tcPr>
          <w:p w14:paraId="41D766D8"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Immunocompromising conditions</w:t>
            </w:r>
          </w:p>
        </w:tc>
        <w:tc>
          <w:tcPr>
            <w:tcW w:w="0" w:type="auto"/>
            <w:tcMar>
              <w:left w:w="15" w:type="dxa"/>
              <w:right w:w="15" w:type="dxa"/>
            </w:tcMar>
          </w:tcPr>
          <w:p w14:paraId="7F9136F2"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HIV infection</w:t>
            </w:r>
          </w:p>
          <w:p w14:paraId="00F5D0E3"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Malignancy</w:t>
            </w:r>
          </w:p>
          <w:p w14:paraId="715B4863"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Immunocompromise due to disease or treatment</w:t>
            </w:r>
          </w:p>
          <w:p w14:paraId="55F4F972"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Asplenia or splenic dysfunction</w:t>
            </w:r>
          </w:p>
          <w:p w14:paraId="32127CFB"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Solid organ transplant</w:t>
            </w:r>
          </w:p>
          <w:p w14:paraId="0A51789C"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Haematopoietic stem cell transplant</w:t>
            </w:r>
          </w:p>
          <w:p w14:paraId="728CC0D3" w14:textId="3A469A0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CAR T</w:t>
            </w:r>
            <w:r w:rsidR="000E4816">
              <w:rPr>
                <w:rFonts w:ascii="Arial Narrow" w:eastAsia="Arial Narrow" w:hAnsi="Arial Narrow" w:cs="Arial Narrow"/>
                <w:color w:val="313131"/>
                <w:sz w:val="20"/>
                <w:szCs w:val="20"/>
              </w:rPr>
              <w:noBreakHyphen/>
            </w:r>
            <w:r w:rsidRPr="005A5BB7">
              <w:rPr>
                <w:rFonts w:ascii="Arial Narrow" w:eastAsia="Arial Narrow" w:hAnsi="Arial Narrow" w:cs="Arial Narrow"/>
                <w:color w:val="313131"/>
                <w:sz w:val="20"/>
                <w:szCs w:val="20"/>
              </w:rPr>
              <w:t>cell therapy </w:t>
            </w:r>
          </w:p>
        </w:tc>
      </w:tr>
      <w:tr w:rsidR="005930EA" w:rsidRPr="005A5BB7" w14:paraId="33EC65AE" w14:textId="77777777" w:rsidTr="00C05430">
        <w:trPr>
          <w:trHeight w:val="300"/>
        </w:trPr>
        <w:tc>
          <w:tcPr>
            <w:tcW w:w="1410" w:type="dxa"/>
            <w:tcMar>
              <w:left w:w="15" w:type="dxa"/>
              <w:right w:w="15" w:type="dxa"/>
            </w:tcMar>
          </w:tcPr>
          <w:p w14:paraId="33A3EEAF"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metabolic disorders</w:t>
            </w:r>
          </w:p>
        </w:tc>
        <w:tc>
          <w:tcPr>
            <w:tcW w:w="0" w:type="auto"/>
            <w:tcMar>
              <w:left w:w="15" w:type="dxa"/>
              <w:right w:w="15" w:type="dxa"/>
            </w:tcMar>
          </w:tcPr>
          <w:p w14:paraId="3308800C"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Type 1 or 2 diabetes</w:t>
            </w:r>
          </w:p>
          <w:p w14:paraId="68252958"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Amino acid disorders</w:t>
            </w:r>
          </w:p>
          <w:p w14:paraId="74AFFEC4"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Carbohydrate disorders</w:t>
            </w:r>
          </w:p>
          <w:p w14:paraId="1ECD9154"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Cholesterol biosynthesis disorders</w:t>
            </w:r>
          </w:p>
          <w:p w14:paraId="4F4CFB30"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Fatty acid oxidation defects</w:t>
            </w:r>
          </w:p>
          <w:p w14:paraId="574D38B4"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Lactic acidosis</w:t>
            </w:r>
          </w:p>
          <w:p w14:paraId="48852A2E"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Mitochondrial disorders</w:t>
            </w:r>
          </w:p>
          <w:p w14:paraId="37B009EB"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Organic acid disorders</w:t>
            </w:r>
          </w:p>
          <w:p w14:paraId="777942BA"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Urea cycle disorders</w:t>
            </w:r>
          </w:p>
          <w:p w14:paraId="0201C8EB"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Vitamin/cofactor disorders</w:t>
            </w:r>
          </w:p>
          <w:p w14:paraId="19858FDA"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Porphyrias</w:t>
            </w:r>
          </w:p>
        </w:tc>
      </w:tr>
      <w:tr w:rsidR="005930EA" w:rsidRPr="005A5BB7" w14:paraId="0965D689" w14:textId="77777777" w:rsidTr="00C05430">
        <w:trPr>
          <w:trHeight w:val="300"/>
        </w:trPr>
        <w:tc>
          <w:tcPr>
            <w:tcW w:w="1410" w:type="dxa"/>
            <w:tcMar>
              <w:left w:w="15" w:type="dxa"/>
              <w:right w:w="15" w:type="dxa"/>
            </w:tcMar>
          </w:tcPr>
          <w:p w14:paraId="0F0599A2"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kidney disease</w:t>
            </w:r>
          </w:p>
        </w:tc>
        <w:tc>
          <w:tcPr>
            <w:tcW w:w="0" w:type="auto"/>
            <w:tcMar>
              <w:left w:w="15" w:type="dxa"/>
              <w:right w:w="15" w:type="dxa"/>
            </w:tcMar>
          </w:tcPr>
          <w:p w14:paraId="64E39206"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renal impairment – eGFR &lt; 30mL/min (stage 4 or 5)</w:t>
            </w:r>
          </w:p>
        </w:tc>
      </w:tr>
      <w:tr w:rsidR="005930EA" w:rsidRPr="005A5BB7" w14:paraId="2BE7ECC2" w14:textId="77777777" w:rsidTr="00C05430">
        <w:trPr>
          <w:trHeight w:val="300"/>
        </w:trPr>
        <w:tc>
          <w:tcPr>
            <w:tcW w:w="1410" w:type="dxa"/>
            <w:tcMar>
              <w:left w:w="15" w:type="dxa"/>
              <w:right w:w="15" w:type="dxa"/>
            </w:tcMar>
          </w:tcPr>
          <w:p w14:paraId="22E3FDE5"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neurological conditions</w:t>
            </w:r>
          </w:p>
        </w:tc>
        <w:tc>
          <w:tcPr>
            <w:tcW w:w="0" w:type="auto"/>
            <w:tcMar>
              <w:left w:w="15" w:type="dxa"/>
              <w:right w:w="15" w:type="dxa"/>
            </w:tcMar>
          </w:tcPr>
          <w:p w14:paraId="1F8FEF8B"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Hereditary and degenerative central nervous system diseases</w:t>
            </w:r>
          </w:p>
          <w:p w14:paraId="6FE5678F"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Seizure disorders</w:t>
            </w:r>
          </w:p>
          <w:p w14:paraId="4EC2BE67"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Spinal cord injuries</w:t>
            </w:r>
          </w:p>
          <w:p w14:paraId="200F4D29"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Neuromuscular disorders</w:t>
            </w:r>
          </w:p>
          <w:p w14:paraId="060FEC46"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Other conditions that increase the risk of severe outcomes from respiratory infection</w:t>
            </w:r>
          </w:p>
        </w:tc>
      </w:tr>
      <w:tr w:rsidR="005930EA" w:rsidRPr="005A5BB7" w14:paraId="7F697BCC" w14:textId="77777777" w:rsidTr="00C05430">
        <w:trPr>
          <w:trHeight w:val="300"/>
        </w:trPr>
        <w:tc>
          <w:tcPr>
            <w:tcW w:w="1410" w:type="dxa"/>
            <w:tcMar>
              <w:left w:w="15" w:type="dxa"/>
              <w:right w:w="15" w:type="dxa"/>
            </w:tcMar>
          </w:tcPr>
          <w:p w14:paraId="7B729235"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Chronic liver disease</w:t>
            </w:r>
          </w:p>
        </w:tc>
        <w:tc>
          <w:tcPr>
            <w:tcW w:w="0" w:type="auto"/>
            <w:tcMar>
              <w:left w:w="15" w:type="dxa"/>
              <w:right w:w="15" w:type="dxa"/>
            </w:tcMar>
          </w:tcPr>
          <w:p w14:paraId="7560033F"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Conditions with progressive deterioration of liver function for more than 6 months, including cirrhosis and other advanced liver diseases</w:t>
            </w:r>
          </w:p>
        </w:tc>
      </w:tr>
      <w:tr w:rsidR="005930EA" w:rsidRPr="005A5BB7" w14:paraId="55E9C48E" w14:textId="77777777" w:rsidTr="00C05430">
        <w:trPr>
          <w:trHeight w:val="300"/>
        </w:trPr>
        <w:tc>
          <w:tcPr>
            <w:tcW w:w="1410" w:type="dxa"/>
            <w:tcMar>
              <w:left w:w="15" w:type="dxa"/>
              <w:right w:w="15" w:type="dxa"/>
            </w:tcMar>
          </w:tcPr>
          <w:p w14:paraId="0CBF4151" w14:textId="77777777" w:rsidR="005930EA" w:rsidRPr="005A5BB7" w:rsidRDefault="005930EA" w:rsidP="00C05430">
            <w:pPr>
              <w:keepNext/>
              <w:keepLines/>
              <w:jc w:val="left"/>
              <w:rPr>
                <w:rFonts w:ascii="Arial Narrow" w:eastAsia="Arial Narrow" w:hAnsi="Arial Narrow" w:cs="Arial Narrow"/>
                <w:color w:val="313131"/>
                <w:sz w:val="20"/>
                <w:szCs w:val="20"/>
              </w:rPr>
            </w:pPr>
            <w:r w:rsidRPr="005A5BB7">
              <w:rPr>
                <w:rFonts w:ascii="Arial Narrow" w:eastAsia="Arial Narrow" w:hAnsi="Arial Narrow" w:cs="Arial Narrow"/>
                <w:color w:val="313131"/>
                <w:sz w:val="20"/>
                <w:szCs w:val="20"/>
              </w:rPr>
              <w:t>Obesity</w:t>
            </w:r>
          </w:p>
        </w:tc>
        <w:tc>
          <w:tcPr>
            <w:tcW w:w="0" w:type="auto"/>
            <w:tcMar>
              <w:left w:w="15" w:type="dxa"/>
              <w:right w:w="15" w:type="dxa"/>
            </w:tcMar>
          </w:tcPr>
          <w:p w14:paraId="20396BD0" w14:textId="77777777" w:rsidR="005930EA" w:rsidRPr="005A5BB7" w:rsidRDefault="005930EA" w:rsidP="00C05430">
            <w:pPr>
              <w:pStyle w:val="ListParagraph"/>
              <w:keepNext/>
              <w:keepLines/>
              <w:shd w:val="clear" w:color="auto" w:fill="FFFFFF" w:themeFill="background1"/>
              <w:spacing w:after="0"/>
              <w:ind w:left="556" w:hanging="283"/>
              <w:contextualSpacing/>
              <w:rPr>
                <w:rFonts w:ascii="Arial Narrow" w:eastAsia="Arial Narrow" w:hAnsi="Arial Narrow" w:cs="Arial Narrow"/>
                <w:color w:val="313131"/>
                <w:sz w:val="16"/>
                <w:szCs w:val="16"/>
              </w:rPr>
            </w:pPr>
            <w:r w:rsidRPr="005A5BB7">
              <w:rPr>
                <w:rFonts w:ascii="Arial Narrow" w:eastAsia="Arial Narrow" w:hAnsi="Arial Narrow" w:cs="Arial Narrow"/>
                <w:color w:val="313131"/>
                <w:sz w:val="20"/>
                <w:szCs w:val="20"/>
              </w:rPr>
              <w:t>Body mass index ≥30 kg per m</w:t>
            </w:r>
            <w:r w:rsidRPr="005A5BB7">
              <w:rPr>
                <w:rFonts w:ascii="Arial Narrow" w:eastAsia="Arial Narrow" w:hAnsi="Arial Narrow" w:cs="Arial Narrow"/>
                <w:color w:val="313131"/>
                <w:sz w:val="20"/>
                <w:szCs w:val="20"/>
                <w:vertAlign w:val="superscript"/>
              </w:rPr>
              <w:t>2</w:t>
            </w:r>
          </w:p>
        </w:tc>
      </w:tr>
    </w:tbl>
    <w:p w14:paraId="04266C0F" w14:textId="33A50307" w:rsidR="005930EA" w:rsidRPr="005A5BB7" w:rsidRDefault="005930EA" w:rsidP="005E26D0">
      <w:pPr>
        <w:jc w:val="left"/>
        <w:rPr>
          <w:rFonts w:ascii="Arial Narrow" w:eastAsia="Arial Narrow" w:hAnsi="Arial Narrow" w:cs="Arial Narrow"/>
          <w:color w:val="313131"/>
          <w:sz w:val="18"/>
          <w:szCs w:val="18"/>
        </w:rPr>
      </w:pPr>
      <w:r w:rsidRPr="005A5BB7">
        <w:rPr>
          <w:rFonts w:ascii="Arial Narrow" w:eastAsia="Arial Narrow" w:hAnsi="Arial Narrow" w:cs="Arial Narrow"/>
          <w:color w:val="313131"/>
          <w:sz w:val="18"/>
          <w:szCs w:val="18"/>
        </w:rPr>
        <w:t>Source: Table 1</w:t>
      </w:r>
      <w:r w:rsidR="000E4816">
        <w:rPr>
          <w:rFonts w:ascii="Arial Narrow" w:eastAsia="Arial Narrow" w:hAnsi="Arial Narrow" w:cs="Arial Narrow"/>
          <w:color w:val="313131"/>
          <w:sz w:val="18"/>
          <w:szCs w:val="18"/>
        </w:rPr>
        <w:noBreakHyphen/>
      </w:r>
      <w:r w:rsidRPr="005A5BB7">
        <w:rPr>
          <w:rFonts w:ascii="Arial Narrow" w:eastAsia="Arial Narrow" w:hAnsi="Arial Narrow" w:cs="Arial Narrow"/>
          <w:color w:val="313131"/>
          <w:sz w:val="18"/>
          <w:szCs w:val="18"/>
        </w:rPr>
        <w:t>5, pp25</w:t>
      </w:r>
      <w:r w:rsidR="000E4816">
        <w:rPr>
          <w:rFonts w:ascii="Arial Narrow" w:eastAsia="Arial Narrow" w:hAnsi="Arial Narrow" w:cs="Arial Narrow"/>
          <w:color w:val="313131"/>
          <w:sz w:val="18"/>
          <w:szCs w:val="18"/>
        </w:rPr>
        <w:noBreakHyphen/>
      </w:r>
      <w:r w:rsidRPr="005A5BB7">
        <w:rPr>
          <w:rFonts w:ascii="Arial Narrow" w:eastAsia="Arial Narrow" w:hAnsi="Arial Narrow" w:cs="Arial Narrow"/>
          <w:color w:val="313131"/>
          <w:sz w:val="18"/>
          <w:szCs w:val="18"/>
        </w:rPr>
        <w:t>26 of the Submission</w:t>
      </w:r>
      <w:r w:rsidR="00DA1339">
        <w:rPr>
          <w:rFonts w:ascii="Arial Narrow" w:eastAsia="Arial Narrow" w:hAnsi="Arial Narrow" w:cs="Arial Narrow"/>
          <w:color w:val="313131"/>
          <w:sz w:val="18"/>
          <w:szCs w:val="18"/>
        </w:rPr>
        <w:t xml:space="preserve"> </w:t>
      </w:r>
      <w:r w:rsidR="00A60650" w:rsidRPr="005A5BB7">
        <w:rPr>
          <w:rFonts w:ascii="Arial Narrow" w:eastAsia="Arial Narrow" w:hAnsi="Arial Narrow" w:cs="Arial Narrow"/>
          <w:color w:val="313131"/>
          <w:sz w:val="18"/>
          <w:szCs w:val="18"/>
        </w:rPr>
        <w:t>based on AIH</w:t>
      </w:r>
      <w:r w:rsidR="00A60650" w:rsidRPr="005A5BB7">
        <w:rPr>
          <w:rStyle w:val="FootnoteReference"/>
          <w:rFonts w:ascii="Arial Narrow" w:eastAsia="Arial Narrow" w:hAnsi="Arial Narrow" w:cs="Arial Narrow"/>
          <w:color w:val="313131"/>
          <w:sz w:val="18"/>
          <w:szCs w:val="18"/>
        </w:rPr>
        <w:footnoteReference w:id="5"/>
      </w:r>
    </w:p>
    <w:p w14:paraId="3F2188EE" w14:textId="240AC3F9" w:rsidR="005930EA" w:rsidRPr="005A5BB7" w:rsidRDefault="005930EA" w:rsidP="005E26D0">
      <w:pPr>
        <w:jc w:val="left"/>
        <w:rPr>
          <w:rFonts w:eastAsia="Calibri" w:cs="Calibri"/>
          <w:color w:val="000000" w:themeColor="text1"/>
        </w:rPr>
      </w:pPr>
      <w:r w:rsidRPr="005A5BB7">
        <w:rPr>
          <w:rFonts w:ascii="Arial Narrow" w:eastAsia="Arial Narrow" w:hAnsi="Arial Narrow" w:cs="Arial Narrow"/>
          <w:color w:val="313131"/>
          <w:sz w:val="18"/>
          <w:szCs w:val="18"/>
        </w:rPr>
        <w:t>CAR</w:t>
      </w:r>
      <w:r w:rsidR="000E4816">
        <w:rPr>
          <w:rFonts w:ascii="Arial Narrow" w:eastAsia="Arial Narrow" w:hAnsi="Arial Narrow" w:cs="Arial Narrow"/>
          <w:color w:val="313131"/>
          <w:sz w:val="18"/>
          <w:szCs w:val="18"/>
        </w:rPr>
        <w:noBreakHyphen/>
      </w:r>
      <w:r w:rsidRPr="005A5BB7">
        <w:rPr>
          <w:rFonts w:ascii="Arial Narrow" w:eastAsia="Arial Narrow" w:hAnsi="Arial Narrow" w:cs="Arial Narrow"/>
          <w:color w:val="313131"/>
          <w:sz w:val="18"/>
          <w:szCs w:val="18"/>
        </w:rPr>
        <w:t>T = Chimeric Antigen Receptor T</w:t>
      </w:r>
      <w:r w:rsidR="000E4816">
        <w:rPr>
          <w:rFonts w:ascii="Arial Narrow" w:eastAsia="Arial Narrow" w:hAnsi="Arial Narrow" w:cs="Arial Narrow"/>
          <w:color w:val="313131"/>
          <w:sz w:val="18"/>
          <w:szCs w:val="18"/>
        </w:rPr>
        <w:noBreakHyphen/>
      </w:r>
      <w:r w:rsidRPr="005A5BB7">
        <w:rPr>
          <w:rFonts w:ascii="Arial Narrow" w:eastAsia="Arial Narrow" w:hAnsi="Arial Narrow" w:cs="Arial Narrow"/>
          <w:color w:val="313131"/>
          <w:sz w:val="18"/>
          <w:szCs w:val="18"/>
        </w:rPr>
        <w:t xml:space="preserve">cell therapy; eGFR = estimated Glomerular Filtration Rate; HIV = human </w:t>
      </w:r>
      <w:r w:rsidRPr="005A5BB7">
        <w:rPr>
          <w:rStyle w:val="TableFigureFooterChar"/>
          <w:rFonts w:eastAsia="Arial Narrow" w:cs="Arial Narrow"/>
          <w:color w:val="000000" w:themeColor="text1"/>
          <w:szCs w:val="18"/>
        </w:rPr>
        <w:t>immunodeficiency virus; kg = kilogram; m2 = metre squared.</w:t>
      </w:r>
      <w:r w:rsidRPr="005A5BB7">
        <w:rPr>
          <w:rFonts w:eastAsia="Calibri" w:cs="Calibri"/>
          <w:color w:val="000000" w:themeColor="text1"/>
        </w:rPr>
        <w:t xml:space="preserve"> </w:t>
      </w:r>
    </w:p>
    <w:p w14:paraId="13517638" w14:textId="77777777" w:rsidR="00C05430" w:rsidRPr="005A5BB7" w:rsidRDefault="00C05430" w:rsidP="00C05430">
      <w:pPr>
        <w:rPr>
          <w:rFonts w:eastAsia="Calibri"/>
        </w:rPr>
      </w:pPr>
    </w:p>
    <w:p w14:paraId="626CFC98" w14:textId="6EF53433" w:rsidR="6AEE7548" w:rsidRPr="005A5BB7" w:rsidRDefault="6AEE7548">
      <w:pPr>
        <w:pStyle w:val="3-BodyText"/>
        <w:spacing w:before="160"/>
      </w:pPr>
      <w:bookmarkStart w:id="23" w:name="_Ref222739244"/>
      <w:r w:rsidRPr="005A5BB7">
        <w:t xml:space="preserve">The </w:t>
      </w:r>
      <w:r w:rsidR="00D4617A" w:rsidRPr="005A5BB7">
        <w:t>res</w:t>
      </w:r>
      <w:r w:rsidRPr="005A5BB7">
        <w:t>ubmission requested NIP listing of a single dose of RSVPreF3 OA</w:t>
      </w:r>
      <w:r w:rsidR="00C05118" w:rsidRPr="005A5BB7">
        <w:t>, which was unchanged from previous requests</w:t>
      </w:r>
      <w:r w:rsidRPr="005A5BB7">
        <w:t xml:space="preserve">. </w:t>
      </w:r>
      <w:r w:rsidR="006E2C9B" w:rsidRPr="005A5BB7">
        <w:t xml:space="preserve">The submission stated that </w:t>
      </w:r>
      <w:r w:rsidR="004110AC" w:rsidRPr="005A5BB7">
        <w:t xml:space="preserve">currently there </w:t>
      </w:r>
      <w:r w:rsidR="00CE6DB3" w:rsidRPr="005A5BB7">
        <w:t>i</w:t>
      </w:r>
      <w:r w:rsidR="004110AC" w:rsidRPr="005A5BB7">
        <w:t xml:space="preserve">s not </w:t>
      </w:r>
      <w:r w:rsidR="004110AC" w:rsidRPr="005A5BB7">
        <w:lastRenderedPageBreak/>
        <w:t xml:space="preserve">enough evidence to determine the need for revaccination. </w:t>
      </w:r>
      <w:r w:rsidRPr="005A5BB7">
        <w:t>Optimal timing for potential revaccination will be informed by two trials that are ongoing: the pivotal immunogenicity trial, RSV OA=ADJ</w:t>
      </w:r>
      <w:r w:rsidR="000E4816">
        <w:noBreakHyphen/>
      </w:r>
      <w:r w:rsidRPr="005A5BB7">
        <w:t xml:space="preserve">004 and a new crossover and revaccination extension </w:t>
      </w:r>
      <w:r w:rsidR="00761041" w:rsidRPr="005A5BB7">
        <w:t xml:space="preserve">study </w:t>
      </w:r>
      <w:r w:rsidRPr="005A5BB7">
        <w:t xml:space="preserve">of </w:t>
      </w:r>
      <w:r w:rsidR="00416495" w:rsidRPr="005A5BB7">
        <w:t>AReSVi</w:t>
      </w:r>
      <w:r w:rsidR="000E4816">
        <w:noBreakHyphen/>
      </w:r>
      <w:r w:rsidR="00416495" w:rsidRPr="005A5BB7">
        <w:t>006</w:t>
      </w:r>
      <w:r w:rsidRPr="005A5BB7">
        <w:t xml:space="preserve"> (RSV OA=ADJ</w:t>
      </w:r>
      <w:r w:rsidR="000E4816">
        <w:noBreakHyphen/>
      </w:r>
      <w:r w:rsidRPr="005A5BB7">
        <w:t xml:space="preserve">012, NCT06534892). Immune persistence of a single dose of RSVPreF3 OA and alternate revaccination schedules will be assessed up to Month 60 after initial vaccination. As such, a request for NIP listing of a revaccination dose of RSVPreF3 OA </w:t>
      </w:r>
      <w:r w:rsidR="00410FFD" w:rsidRPr="005A5BB7">
        <w:t xml:space="preserve">is likely </w:t>
      </w:r>
      <w:r w:rsidRPr="005A5BB7">
        <w:t xml:space="preserve">should the </w:t>
      </w:r>
      <w:proofErr w:type="gramStart"/>
      <w:r w:rsidRPr="005A5BB7">
        <w:t>final results</w:t>
      </w:r>
      <w:proofErr w:type="gramEnd"/>
      <w:r w:rsidRPr="005A5BB7">
        <w:t xml:space="preserve"> of the RSV OA=ADJ</w:t>
      </w:r>
      <w:r w:rsidR="000E4816">
        <w:noBreakHyphen/>
      </w:r>
      <w:r w:rsidRPr="005A5BB7">
        <w:t>004 trial and RSV OA=ADJ</w:t>
      </w:r>
      <w:r w:rsidR="000E4816">
        <w:noBreakHyphen/>
      </w:r>
      <w:r w:rsidRPr="005A5BB7">
        <w:t xml:space="preserve">012 support the case for revaccination. It is anticipated that if revaccination is required, it will have </w:t>
      </w:r>
      <w:r w:rsidR="00476009" w:rsidRPr="005A5BB7">
        <w:t>an impact</w:t>
      </w:r>
      <w:r w:rsidRPr="005A5BB7">
        <w:t xml:space="preserve"> on the </w:t>
      </w:r>
      <w:r w:rsidR="004E5AE9" w:rsidRPr="005A5BB7">
        <w:t>estimated cost</w:t>
      </w:r>
      <w:r w:rsidR="000E4816">
        <w:noBreakHyphen/>
      </w:r>
      <w:r w:rsidR="004E5AE9" w:rsidRPr="005A5BB7">
        <w:t xml:space="preserve">effectiveness and </w:t>
      </w:r>
      <w:r w:rsidRPr="005A5BB7">
        <w:t>financial estimates.</w:t>
      </w:r>
      <w:r w:rsidR="00171282" w:rsidRPr="005A5BB7">
        <w:t xml:space="preserve"> The submission provided</w:t>
      </w:r>
      <w:r w:rsidR="00842646" w:rsidRPr="005A5BB7">
        <w:t xml:space="preserve"> updated </w:t>
      </w:r>
      <w:r w:rsidR="00F41622" w:rsidRPr="005A5BB7">
        <w:t xml:space="preserve">immunogenicity </w:t>
      </w:r>
      <w:r w:rsidR="00842646" w:rsidRPr="005A5BB7">
        <w:t>data from</w:t>
      </w:r>
      <w:r w:rsidR="00AE3090" w:rsidRPr="005A5BB7">
        <w:t xml:space="preserve"> the</w:t>
      </w:r>
      <w:r w:rsidR="00842646" w:rsidRPr="005A5BB7">
        <w:t xml:space="preserve"> RSV OA=ADJ</w:t>
      </w:r>
      <w:r w:rsidR="000E4816">
        <w:noBreakHyphen/>
      </w:r>
      <w:r w:rsidR="00842646" w:rsidRPr="005A5BB7">
        <w:t>004 trial</w:t>
      </w:r>
      <w:r w:rsidR="00F41622" w:rsidRPr="005A5BB7">
        <w:t xml:space="preserve"> </w:t>
      </w:r>
      <w:r w:rsidR="002356FE" w:rsidRPr="005A5BB7">
        <w:t>including data</w:t>
      </w:r>
      <w:r w:rsidR="00F41622" w:rsidRPr="005A5BB7">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F41622" w:rsidRPr="005A5BB7">
        <w:t xml:space="preserve"> post vaccination.</w:t>
      </w:r>
      <w:r w:rsidR="00DA1339">
        <w:t xml:space="preserve"> </w:t>
      </w:r>
      <w:r w:rsidR="00876F10" w:rsidRPr="310F0368">
        <w:t>The ESC noted that optimal timing for potential revaccination, and the VE associated with revaccination remains unknown.</w:t>
      </w:r>
      <w:bookmarkEnd w:id="23"/>
      <w:r w:rsidR="002B1DE2" w:rsidRPr="310F0368">
        <w:t xml:space="preserve"> The </w:t>
      </w:r>
      <w:r w:rsidR="002B1DE2" w:rsidRPr="005A5BB7">
        <w:t xml:space="preserve">estimated date for a submission to the TGA for revaccination is not yet available, as discussed in paragraph </w:t>
      </w:r>
      <w:r w:rsidR="002B1DE2" w:rsidRPr="005A5BB7">
        <w:rPr>
          <w:iCs/>
        </w:rPr>
        <w:fldChar w:fldCharType="begin"/>
      </w:r>
      <w:r w:rsidR="002B1DE2" w:rsidRPr="005A5BB7">
        <w:rPr>
          <w:iCs/>
        </w:rPr>
        <w:instrText xml:space="preserve"> REF _Ref224832324 \r \h </w:instrText>
      </w:r>
      <w:r w:rsidR="002B1DE2" w:rsidRPr="005A5BB7">
        <w:rPr>
          <w:iCs/>
        </w:rPr>
      </w:r>
      <w:r w:rsidR="002B1DE2" w:rsidRPr="005A5BB7">
        <w:rPr>
          <w:iCs/>
        </w:rPr>
        <w:fldChar w:fldCharType="separate"/>
      </w:r>
      <w:r w:rsidR="0018341D">
        <w:rPr>
          <w:iCs/>
        </w:rPr>
        <w:t>2.3</w:t>
      </w:r>
      <w:r w:rsidR="002B1DE2" w:rsidRPr="005A5BB7">
        <w:rPr>
          <w:iCs/>
        </w:rPr>
        <w:fldChar w:fldCharType="end"/>
      </w:r>
      <w:r w:rsidR="002B1DE2" w:rsidRPr="005A5BB7">
        <w:rPr>
          <w:iCs/>
        </w:rPr>
        <w:t>.</w:t>
      </w:r>
    </w:p>
    <w:p w14:paraId="0C5102C5" w14:textId="286E4B7D" w:rsidR="00334144" w:rsidRPr="005A5BB7" w:rsidRDefault="00334144" w:rsidP="00334144">
      <w:pPr>
        <w:ind w:firstLine="720"/>
      </w:pPr>
      <w:r w:rsidRPr="005A5BB7">
        <w:rPr>
          <w:rFonts w:asciiTheme="minorHAnsi" w:hAnsiTheme="minorHAnsi"/>
          <w:i/>
        </w:rPr>
        <w:t>For more detail on PBAC’s view, see section 7 PBAC outcome.</w:t>
      </w:r>
    </w:p>
    <w:p w14:paraId="7075B85C" w14:textId="62A47B7B" w:rsidR="00B50DB8" w:rsidRPr="005A5BB7" w:rsidDel="00195452" w:rsidRDefault="4F7E48D0" w:rsidP="004E18E9">
      <w:pPr>
        <w:pStyle w:val="2-SectionHeading"/>
      </w:pPr>
      <w:bookmarkStart w:id="24" w:name="_Toc219882178"/>
      <w:r w:rsidRPr="005A5BB7">
        <w:t xml:space="preserve">Population and </w:t>
      </w:r>
      <w:r w:rsidR="0DD32ACE" w:rsidRPr="005A5BB7">
        <w:t>d</w:t>
      </w:r>
      <w:r w:rsidRPr="005A5BB7">
        <w:t>isease</w:t>
      </w:r>
      <w:bookmarkEnd w:id="24"/>
    </w:p>
    <w:p w14:paraId="7A4B2881" w14:textId="02645A8C" w:rsidR="23CF6AD1" w:rsidRPr="005A5BB7" w:rsidRDefault="23CF6AD1" w:rsidP="001271CD">
      <w:pPr>
        <w:pStyle w:val="3-BodyText"/>
        <w:rPr>
          <w:szCs w:val="24"/>
        </w:rPr>
      </w:pPr>
      <w:r w:rsidRPr="005A5BB7">
        <w:t>RSV is highly infectious and spreads via respiratory droplets. Most patients develop signs of upper respiratory tract disease (URTD)</w:t>
      </w:r>
      <w:r w:rsidR="00765DA9" w:rsidRPr="005A5BB7">
        <w:t>,</w:t>
      </w:r>
      <w:r w:rsidRPr="005A5BB7">
        <w:t xml:space="preserve"> which in some patients progresses to the lower respiratory tract leading to symptoms such as cough, wheezing, and shortness of breath. Severe RSV may require hospitalisation, including admission into intensive care units (ICU), and/or mechanical ventilation. Aboriginal and Torres Strait Islander people have a greater risk of RSV hospitalisation compared with non</w:t>
      </w:r>
      <w:r w:rsidR="000E4816">
        <w:noBreakHyphen/>
      </w:r>
      <w:r w:rsidRPr="005A5BB7">
        <w:t>Indigenous Australians. There is growing recognition that the RSV infection can trigger clinically consequential deterioration of underlying co</w:t>
      </w:r>
      <w:r w:rsidR="000E4816">
        <w:noBreakHyphen/>
      </w:r>
      <w:r w:rsidRPr="005A5BB7">
        <w:t xml:space="preserve">morbid conditions, particularly cardiopulmonary diseases. </w:t>
      </w:r>
    </w:p>
    <w:p w14:paraId="194E8BE7" w14:textId="74613E4A" w:rsidR="00371251" w:rsidRPr="005A5BB7" w:rsidRDefault="00371251" w:rsidP="0090073B">
      <w:pPr>
        <w:pStyle w:val="3-BodyText"/>
        <w:rPr>
          <w:szCs w:val="24"/>
        </w:rPr>
      </w:pPr>
      <w:r w:rsidRPr="005A5BB7">
        <w:t xml:space="preserve">This resubmission requested the listing of RSVPreF3 OA for adults aged 60–74 years with medical conditions that increase the risk of severe RSV disease. </w:t>
      </w:r>
      <w:r w:rsidR="00BE76D4" w:rsidRPr="005A5BB7">
        <w:t xml:space="preserve">The request for this population was supported by previous ATAGI and PBAC advice (paragraph 7.4, </w:t>
      </w:r>
      <w:r w:rsidR="0019117D" w:rsidRPr="005A5BB7">
        <w:t xml:space="preserve">RSVPreF3 </w:t>
      </w:r>
      <w:r w:rsidR="00BE76D4" w:rsidRPr="005A5BB7">
        <w:t>OA PSD, July 2025). In July 2024 and July 2025, t</w:t>
      </w:r>
      <w:r w:rsidR="00BE76D4" w:rsidRPr="005A5BB7">
        <w:rPr>
          <w:rFonts w:eastAsia="Calibri"/>
        </w:rPr>
        <w:t>he PBAC considered there was a high clinical need for an effective vaccine for this population.</w:t>
      </w:r>
      <w:r w:rsidR="00DA1339">
        <w:rPr>
          <w:rFonts w:eastAsia="Calibri"/>
        </w:rPr>
        <w:t xml:space="preserve"> </w:t>
      </w:r>
      <w:r w:rsidRPr="005A5BB7">
        <w:t xml:space="preserve">While the resubmission </w:t>
      </w:r>
      <w:r w:rsidR="0019117D" w:rsidRPr="005A5BB7">
        <w:t xml:space="preserve">referred </w:t>
      </w:r>
      <w:r w:rsidRPr="005A5BB7">
        <w:t>to the AIH list of risk conditions</w:t>
      </w:r>
      <w:r w:rsidR="00033E3F" w:rsidRPr="005A5BB7">
        <w:t>,</w:t>
      </w:r>
      <w:r w:rsidRPr="005A5BB7">
        <w:t xml:space="preserve"> this resource provides ‘risk categories’ with ‘example medical conditions’</w:t>
      </w:r>
      <w:r w:rsidR="00033E3F" w:rsidRPr="005A5BB7">
        <w:t>,</w:t>
      </w:r>
      <w:r w:rsidRPr="005A5BB7">
        <w:t xml:space="preserve"> which may be open to interpretation with</w:t>
      </w:r>
      <w:r w:rsidR="00D77F48" w:rsidRPr="005A5BB7">
        <w:t>out</w:t>
      </w:r>
      <w:r w:rsidRPr="005A5BB7">
        <w:t xml:space="preserve"> a definitive list of eligible conditions </w:t>
      </w:r>
      <w:r w:rsidR="00D77F48" w:rsidRPr="005A5BB7">
        <w:t xml:space="preserve">being </w:t>
      </w:r>
      <w:r w:rsidRPr="005A5BB7">
        <w:t xml:space="preserve">available. This was noted by the </w:t>
      </w:r>
      <w:r w:rsidR="00086BA4" w:rsidRPr="005A5BB7">
        <w:t xml:space="preserve">sponsor </w:t>
      </w:r>
      <w:r w:rsidRPr="005A5BB7">
        <w:t>in their request to the ATAGI to provide advice on the completeness of the list provided in the AIH for the purpose of defining NIP</w:t>
      </w:r>
      <w:r w:rsidR="000E4816">
        <w:noBreakHyphen/>
      </w:r>
      <w:r w:rsidRPr="005A5BB7">
        <w:t>funded cohorts (</w:t>
      </w:r>
      <w:r w:rsidR="007D2F29" w:rsidRPr="005A5BB7">
        <w:t>ATAGI Pre</w:t>
      </w:r>
      <w:r w:rsidR="000E4816">
        <w:noBreakHyphen/>
      </w:r>
      <w:r w:rsidR="007D2F29" w:rsidRPr="005A5BB7">
        <w:t>Submission Advice, December 2023 p14, Sponsor Question 3</w:t>
      </w:r>
      <w:r w:rsidRPr="005A5BB7">
        <w:t xml:space="preserve">). In its </w:t>
      </w:r>
      <w:r w:rsidR="004E5E5C" w:rsidRPr="005A5BB7">
        <w:t xml:space="preserve">advice </w:t>
      </w:r>
      <w:r w:rsidRPr="005A5BB7">
        <w:t>to the PBAC</w:t>
      </w:r>
      <w:r w:rsidR="008D7936" w:rsidRPr="005A5BB7">
        <w:t>,</w:t>
      </w:r>
      <w:r w:rsidRPr="005A5BB7">
        <w:t xml:space="preserve"> the ATAGI stated that the risk factors outlined in the AIH </w:t>
      </w:r>
      <w:r w:rsidR="00A56978" w:rsidRPr="005A5BB7">
        <w:t>are</w:t>
      </w:r>
      <w:r w:rsidRPr="005A5BB7">
        <w:t xml:space="preserve"> complete</w:t>
      </w:r>
      <w:r w:rsidR="004E5E5C" w:rsidRPr="005A5BB7">
        <w:t xml:space="preserve"> in that they specify all relevant risk factor categories</w:t>
      </w:r>
      <w:r w:rsidR="008D7936" w:rsidRPr="005A5BB7">
        <w:t>;</w:t>
      </w:r>
      <w:r w:rsidRPr="005A5BB7">
        <w:t xml:space="preserve"> however</w:t>
      </w:r>
      <w:r w:rsidR="008D7936" w:rsidRPr="005A5BB7">
        <w:t>,</w:t>
      </w:r>
      <w:r w:rsidRPr="005A5BB7">
        <w:t xml:space="preserve"> </w:t>
      </w:r>
      <w:r w:rsidR="007F0C7F" w:rsidRPr="005A5BB7">
        <w:t xml:space="preserve">the ATAGI also stated </w:t>
      </w:r>
      <w:r w:rsidRPr="005A5BB7">
        <w:t xml:space="preserve">that an exhaustive list of </w:t>
      </w:r>
      <w:r w:rsidR="004E5E5C" w:rsidRPr="005A5BB7">
        <w:t xml:space="preserve">specific </w:t>
      </w:r>
      <w:r w:rsidRPr="005A5BB7">
        <w:t>at</w:t>
      </w:r>
      <w:r w:rsidR="000E4816">
        <w:noBreakHyphen/>
      </w:r>
      <w:r w:rsidRPr="005A5BB7">
        <w:t>risk medical conditions is not available and that</w:t>
      </w:r>
      <w:r w:rsidR="004E5E5C" w:rsidRPr="005A5BB7">
        <w:t xml:space="preserve"> the list of example conditions in the AIH </w:t>
      </w:r>
      <w:r w:rsidRPr="005A5BB7">
        <w:t>is intentionally non</w:t>
      </w:r>
      <w:r w:rsidR="000E4816">
        <w:noBreakHyphen/>
      </w:r>
      <w:r w:rsidRPr="005A5BB7">
        <w:t>exhaustive to allow clinical discretion</w:t>
      </w:r>
      <w:r w:rsidR="004E5E5C" w:rsidRPr="005A5BB7">
        <w:t>.</w:t>
      </w:r>
      <w:r w:rsidR="00DA1339">
        <w:t xml:space="preserve"> </w:t>
      </w:r>
      <w:r w:rsidR="004E5E5C" w:rsidRPr="005A5BB7">
        <w:t xml:space="preserve">The ATAGI considers that this allows providers flexibility in using their </w:t>
      </w:r>
      <w:r w:rsidR="004E5E5C" w:rsidRPr="005A5BB7">
        <w:lastRenderedPageBreak/>
        <w:t>clinical judgement, to identify the presence of risk factors and advise individuals whether they may benefit from an RSV vaccination.</w:t>
      </w:r>
      <w:r w:rsidR="00DA1339">
        <w:t xml:space="preserve"> </w:t>
      </w:r>
      <w:r w:rsidR="004E5E5C" w:rsidRPr="005A5BB7">
        <w:t xml:space="preserve">It was noted that ATAGI appreciates that providers may include people with conditions </w:t>
      </w:r>
      <w:proofErr w:type="gramStart"/>
      <w:r w:rsidR="004E5E5C" w:rsidRPr="005A5BB7">
        <w:t>similar to</w:t>
      </w:r>
      <w:proofErr w:type="gramEnd"/>
      <w:r w:rsidR="004E5E5C" w:rsidRPr="005A5BB7">
        <w:t xml:space="preserve"> the examples of medical conditions listed under each of the specific risk factor categories</w:t>
      </w:r>
      <w:r w:rsidR="00F4720C" w:rsidRPr="005A5BB7">
        <w:t>.</w:t>
      </w:r>
      <w:r w:rsidRPr="005A5BB7">
        <w:t xml:space="preserve"> </w:t>
      </w:r>
    </w:p>
    <w:p w14:paraId="16F10DDF" w14:textId="2C3EA4AF" w:rsidR="23CF6AD1" w:rsidRPr="005A5BB7" w:rsidRDefault="23CF6AD1" w:rsidP="3FF051E5">
      <w:pPr>
        <w:pStyle w:val="3-BodyText"/>
        <w:rPr>
          <w:szCs w:val="24"/>
        </w:rPr>
      </w:pPr>
      <w:r w:rsidRPr="005A5BB7">
        <w:t xml:space="preserve">RSVPreF3 OA is a combination of the RSVPreF3 antigen and the AS01E adjuvant system. </w:t>
      </w:r>
      <w:r w:rsidR="00DE7AF9" w:rsidRPr="005A5BB7">
        <w:t>RSVPreF3 OA was designed to induce a humoral and cellular immune response, to help protect older adults from RSV infection, including those with underlying co</w:t>
      </w:r>
      <w:r w:rsidR="000E4816">
        <w:noBreakHyphen/>
      </w:r>
      <w:r w:rsidR="00DE7AF9" w:rsidRPr="005A5BB7">
        <w:t>morbidities.</w:t>
      </w:r>
    </w:p>
    <w:p w14:paraId="5CD1DBD9" w14:textId="2DE7A459" w:rsidR="00334144" w:rsidRPr="005A5BB7" w:rsidRDefault="00334144" w:rsidP="00334144">
      <w:pPr>
        <w:ind w:firstLine="720"/>
      </w:pPr>
      <w:r w:rsidRPr="005A5BB7">
        <w:rPr>
          <w:rFonts w:asciiTheme="minorHAnsi" w:hAnsiTheme="minorHAnsi"/>
          <w:i/>
        </w:rPr>
        <w:t>For more detail on PBAC’s view, see section 7 PBAC outcome.</w:t>
      </w:r>
    </w:p>
    <w:p w14:paraId="51E5AE96" w14:textId="136A63B1" w:rsidR="00B50DB8" w:rsidRPr="005A5BB7" w:rsidRDefault="66FE01EE" w:rsidP="004E18E9">
      <w:pPr>
        <w:pStyle w:val="2-SectionHeading"/>
      </w:pPr>
      <w:bookmarkStart w:id="25" w:name="_Toc219882179"/>
      <w:r w:rsidRPr="005A5BB7">
        <w:t>Comparator</w:t>
      </w:r>
      <w:bookmarkEnd w:id="25"/>
    </w:p>
    <w:p w14:paraId="2A365499" w14:textId="739F3A8F" w:rsidR="3E9FE9DC" w:rsidRPr="005A5BB7" w:rsidRDefault="3E9FE9DC" w:rsidP="3FF051E5">
      <w:pPr>
        <w:pStyle w:val="3-BodyText"/>
      </w:pPr>
      <w:r w:rsidRPr="005A5BB7">
        <w:t xml:space="preserve">The </w:t>
      </w:r>
      <w:r w:rsidR="00D4617A" w:rsidRPr="005A5BB7">
        <w:t>resubmission</w:t>
      </w:r>
      <w:r w:rsidRPr="005A5BB7">
        <w:t xml:space="preserve"> nominated ‘no vaccine’ as the main comparator. The PBAC previously considered that </w:t>
      </w:r>
      <w:r w:rsidR="0019117D" w:rsidRPr="005A5BB7">
        <w:t>‘</w:t>
      </w:r>
      <w:r w:rsidRPr="005A5BB7">
        <w:t>no vaccine</w:t>
      </w:r>
      <w:r w:rsidR="0019117D" w:rsidRPr="005A5BB7">
        <w:t>’</w:t>
      </w:r>
      <w:r w:rsidRPr="005A5BB7">
        <w:t xml:space="preserve"> was appropriate as the main comparator (paragraph 7.11, RSVPreF3 OA PSD, July 2024).</w:t>
      </w:r>
      <w:r w:rsidR="00DA1339">
        <w:t xml:space="preserve"> </w:t>
      </w:r>
      <w:r w:rsidR="00EF0B48" w:rsidRPr="005A5BB7">
        <w:rPr>
          <w:iCs/>
        </w:rPr>
        <w:t>The ESC advised that ‘no vaccine’ is the appropriate comparator for the proposed population of adults 60</w:t>
      </w:r>
      <w:r w:rsidR="000E4816">
        <w:rPr>
          <w:iCs/>
        </w:rPr>
        <w:noBreakHyphen/>
      </w:r>
      <w:r w:rsidR="00EF0B48" w:rsidRPr="005A5BB7">
        <w:rPr>
          <w:iCs/>
        </w:rPr>
        <w:t>74 YOA with medical conditions associated with increased risk of severe RSV disease.</w:t>
      </w:r>
    </w:p>
    <w:p w14:paraId="0FA209B3" w14:textId="2FBEFE55" w:rsidR="00EF0B48" w:rsidRPr="005A5BB7" w:rsidRDefault="3E9FE9DC" w:rsidP="0090073B">
      <w:pPr>
        <w:pStyle w:val="3-BodyText"/>
        <w:rPr>
          <w:szCs w:val="24"/>
        </w:rPr>
      </w:pPr>
      <w:r w:rsidRPr="005A5BB7">
        <w:t xml:space="preserve">The </w:t>
      </w:r>
      <w:r w:rsidR="00D4617A" w:rsidRPr="005A5BB7">
        <w:t>resubmission</w:t>
      </w:r>
      <w:r w:rsidRPr="005A5BB7">
        <w:t xml:space="preserve"> nominated </w:t>
      </w:r>
      <w:r w:rsidR="00B45CF9" w:rsidRPr="005A5BB7">
        <w:t xml:space="preserve">RSVpreF </w:t>
      </w:r>
      <w:r w:rsidR="00535503" w:rsidRPr="005A5BB7">
        <w:t>(Abrysvo)</w:t>
      </w:r>
      <w:r w:rsidRPr="005A5BB7">
        <w:t xml:space="preserve"> as a near market comparator. This was appropriate. </w:t>
      </w:r>
      <w:r w:rsidR="00B45CF9" w:rsidRPr="005A5BB7">
        <w:t xml:space="preserve">RSVpreF </w:t>
      </w:r>
      <w:r w:rsidRPr="005A5BB7">
        <w:t xml:space="preserve">is TGA approved for the </w:t>
      </w:r>
      <w:r w:rsidR="00832E1C" w:rsidRPr="005A5BB7">
        <w:t xml:space="preserve">three </w:t>
      </w:r>
      <w:r w:rsidRPr="005A5BB7">
        <w:t>target population</w:t>
      </w:r>
      <w:r w:rsidR="00832E1C" w:rsidRPr="005A5BB7">
        <w:t>s</w:t>
      </w:r>
      <w:r w:rsidRPr="005A5BB7">
        <w:t xml:space="preserve"> for which RSVPreF3 OA listing is being sought.</w:t>
      </w:r>
      <w:r w:rsidR="00DA1339">
        <w:t xml:space="preserve"> </w:t>
      </w:r>
      <w:r w:rsidR="00EF0B48" w:rsidRPr="005A5BB7">
        <w:rPr>
          <w:iCs/>
        </w:rPr>
        <w:t>The ESC noted that RSVpreF was recommended for NIP listing for two populations at the July 2025 PBAC meeting including adults aged at least 75 years and First Nations adults aged 60</w:t>
      </w:r>
      <w:r w:rsidR="000E4816">
        <w:rPr>
          <w:iCs/>
        </w:rPr>
        <w:noBreakHyphen/>
      </w:r>
      <w:r w:rsidR="00EF0B48" w:rsidRPr="005A5BB7">
        <w:rPr>
          <w:iCs/>
        </w:rPr>
        <w:t>74 years</w:t>
      </w:r>
      <w:r w:rsidR="0053733A" w:rsidRPr="005A5BB7">
        <w:rPr>
          <w:iCs/>
        </w:rPr>
        <w:t>, and it has not received a positive recommendation for the proposed population of adults 60</w:t>
      </w:r>
      <w:r w:rsidR="000E4816">
        <w:rPr>
          <w:iCs/>
        </w:rPr>
        <w:noBreakHyphen/>
      </w:r>
      <w:r w:rsidR="0053733A" w:rsidRPr="005A5BB7">
        <w:rPr>
          <w:iCs/>
        </w:rPr>
        <w:t>74 YOA with medical conditions associated with increased risk of severe RSV disease</w:t>
      </w:r>
      <w:r w:rsidR="00EF0B48" w:rsidRPr="005A5BB7">
        <w:rPr>
          <w:iCs/>
        </w:rPr>
        <w:t>.</w:t>
      </w:r>
      <w:r w:rsidR="0053733A" w:rsidRPr="005A5BB7">
        <w:rPr>
          <w:iCs/>
        </w:rPr>
        <w:t xml:space="preserve"> </w:t>
      </w:r>
    </w:p>
    <w:p w14:paraId="71B51E67" w14:textId="18C2D12F" w:rsidR="00334144" w:rsidRPr="005A5BB7" w:rsidRDefault="00334144" w:rsidP="00334144">
      <w:pPr>
        <w:ind w:firstLine="720"/>
      </w:pPr>
      <w:r w:rsidRPr="005A5BB7">
        <w:rPr>
          <w:rFonts w:asciiTheme="minorHAnsi" w:hAnsiTheme="minorHAnsi"/>
          <w:i/>
        </w:rPr>
        <w:t>For more detail on PBAC’s view, see section 7 PBAC outcome.</w:t>
      </w:r>
    </w:p>
    <w:p w14:paraId="7F9C27C8" w14:textId="77777777" w:rsidR="00223D5A" w:rsidRPr="005A5BB7" w:rsidRDefault="00223D5A" w:rsidP="00B32DD0">
      <w:pPr>
        <w:pStyle w:val="2-SectionHeading"/>
        <w:numPr>
          <w:ilvl w:val="0"/>
          <w:numId w:val="1"/>
        </w:numPr>
      </w:pPr>
      <w:bookmarkStart w:id="26" w:name="_Toc219882180"/>
      <w:bookmarkStart w:id="27" w:name="_Toc22897640"/>
      <w:r w:rsidRPr="005A5BB7">
        <w:t>Consideration of the evidence</w:t>
      </w:r>
      <w:bookmarkEnd w:id="26"/>
    </w:p>
    <w:p w14:paraId="1CD03D36" w14:textId="77777777" w:rsidR="009B51FD" w:rsidRPr="005A5BB7" w:rsidRDefault="009B51FD" w:rsidP="009B51FD">
      <w:pPr>
        <w:pStyle w:val="4-SubsectionHeading"/>
      </w:pPr>
      <w:bookmarkStart w:id="28" w:name="_Hlk76375935"/>
      <w:bookmarkStart w:id="29" w:name="_Toc219882181"/>
      <w:r w:rsidRPr="005A5BB7">
        <w:t>Sponsor hearing</w:t>
      </w:r>
    </w:p>
    <w:p w14:paraId="619FD09D" w14:textId="627B7052" w:rsidR="000B7E21" w:rsidRPr="005A5BB7" w:rsidRDefault="000B7E21">
      <w:pPr>
        <w:widowControl w:val="0"/>
        <w:numPr>
          <w:ilvl w:val="1"/>
          <w:numId w:val="1"/>
        </w:numPr>
        <w:ind w:left="720"/>
        <w:rPr>
          <w:bCs/>
          <w:snapToGrid w:val="0"/>
        </w:rPr>
      </w:pPr>
      <w:bookmarkStart w:id="30" w:name="_Hlk76382586"/>
      <w:r w:rsidRPr="005A5BB7">
        <w:rPr>
          <w:bCs/>
          <w:snapToGrid w:val="0"/>
        </w:rPr>
        <w:t>The sponsor requested a hearing for this item. A clinician presented preliminary findings from an observational study of RSV burden in Queensland adults based on cases notified to the Queensland Notifiable Conditions Register (1 March 2024–28 February 2025).</w:t>
      </w:r>
      <w:r w:rsidR="00DA1339">
        <w:rPr>
          <w:bCs/>
          <w:snapToGrid w:val="0"/>
        </w:rPr>
        <w:t xml:space="preserve"> </w:t>
      </w:r>
      <w:r w:rsidR="00F16692" w:rsidRPr="005A5BB7">
        <w:rPr>
          <w:bCs/>
          <w:snapToGrid w:val="0"/>
        </w:rPr>
        <w:t>It was noted that the presentation was based on a draft manuscript, which has not yet been published.</w:t>
      </w:r>
      <w:r w:rsidR="00DA1339">
        <w:rPr>
          <w:bCs/>
          <w:snapToGrid w:val="0"/>
        </w:rPr>
        <w:t xml:space="preserve"> </w:t>
      </w:r>
      <w:r w:rsidRPr="005A5BB7">
        <w:rPr>
          <w:bCs/>
          <w:snapToGrid w:val="0"/>
        </w:rPr>
        <w:t xml:space="preserve">The draft analysis reported hospitalisation rates and costs, </w:t>
      </w:r>
      <w:r w:rsidR="003D2201" w:rsidRPr="005A5BB7">
        <w:rPr>
          <w:bCs/>
          <w:snapToGrid w:val="0"/>
        </w:rPr>
        <w:t xml:space="preserve">and found that </w:t>
      </w:r>
      <w:r w:rsidR="0050087B" w:rsidRPr="005A5BB7">
        <w:rPr>
          <w:bCs/>
          <w:snapToGrid w:val="0"/>
        </w:rPr>
        <w:t xml:space="preserve">as well as being driven by age, health system costs are </w:t>
      </w:r>
      <w:r w:rsidRPr="005A5BB7">
        <w:rPr>
          <w:bCs/>
          <w:snapToGrid w:val="0"/>
        </w:rPr>
        <w:t>driven by comorbidities</w:t>
      </w:r>
      <w:r w:rsidR="003D2201" w:rsidRPr="005A5BB7">
        <w:rPr>
          <w:bCs/>
          <w:snapToGrid w:val="0"/>
        </w:rPr>
        <w:t xml:space="preserve">, </w:t>
      </w:r>
      <w:r w:rsidRPr="005A5BB7">
        <w:rPr>
          <w:bCs/>
          <w:snapToGrid w:val="0"/>
        </w:rPr>
        <w:t>such as cardiac disease, immune compromise, chronic kidney disease and chronic lung disease.</w:t>
      </w:r>
      <w:r w:rsidR="00DA1339">
        <w:rPr>
          <w:bCs/>
          <w:snapToGrid w:val="0"/>
        </w:rPr>
        <w:t xml:space="preserve"> </w:t>
      </w:r>
      <w:r w:rsidRPr="005A5BB7">
        <w:rPr>
          <w:bCs/>
          <w:snapToGrid w:val="0"/>
        </w:rPr>
        <w:t xml:space="preserve">The PBAC found the hearing informative, </w:t>
      </w:r>
      <w:r w:rsidR="003D2201" w:rsidRPr="005A5BB7">
        <w:rPr>
          <w:bCs/>
          <w:snapToGrid w:val="0"/>
        </w:rPr>
        <w:t xml:space="preserve">as it </w:t>
      </w:r>
      <w:r w:rsidRPr="005A5BB7">
        <w:rPr>
          <w:bCs/>
          <w:snapToGrid w:val="0"/>
        </w:rPr>
        <w:t>provid</w:t>
      </w:r>
      <w:r w:rsidR="003D2201" w:rsidRPr="005A5BB7">
        <w:rPr>
          <w:bCs/>
          <w:snapToGrid w:val="0"/>
        </w:rPr>
        <w:t>ed</w:t>
      </w:r>
      <w:r w:rsidRPr="005A5BB7">
        <w:rPr>
          <w:bCs/>
          <w:snapToGrid w:val="0"/>
        </w:rPr>
        <w:t xml:space="preserve"> </w:t>
      </w:r>
      <w:r w:rsidR="003D2201" w:rsidRPr="005A5BB7">
        <w:rPr>
          <w:bCs/>
          <w:snapToGrid w:val="0"/>
        </w:rPr>
        <w:t>a</w:t>
      </w:r>
      <w:r w:rsidR="00A7799F" w:rsidRPr="005A5BB7">
        <w:rPr>
          <w:bCs/>
          <w:snapToGrid w:val="0"/>
        </w:rPr>
        <w:t xml:space="preserve">n </w:t>
      </w:r>
      <w:r w:rsidR="003D2201" w:rsidRPr="005A5BB7">
        <w:rPr>
          <w:bCs/>
          <w:snapToGrid w:val="0"/>
        </w:rPr>
        <w:t>Australian perspective on health system burden associated with RSV in older adults</w:t>
      </w:r>
      <w:r w:rsidR="00A7799F" w:rsidRPr="005A5BB7">
        <w:rPr>
          <w:bCs/>
          <w:snapToGrid w:val="0"/>
        </w:rPr>
        <w:t>, particularly those with underlying health conditions</w:t>
      </w:r>
      <w:r w:rsidRPr="005A5BB7">
        <w:rPr>
          <w:bCs/>
          <w:snapToGrid w:val="0"/>
        </w:rPr>
        <w:t>.</w:t>
      </w:r>
    </w:p>
    <w:bookmarkEnd w:id="30"/>
    <w:p w14:paraId="63C3C403" w14:textId="77777777" w:rsidR="009B51FD" w:rsidRPr="005A5BB7" w:rsidRDefault="009B51FD" w:rsidP="009B51FD">
      <w:pPr>
        <w:pStyle w:val="4-SubsectionHeading"/>
      </w:pPr>
      <w:r w:rsidRPr="005A5BB7">
        <w:t>Consumer inputs</w:t>
      </w:r>
    </w:p>
    <w:p w14:paraId="43167746" w14:textId="22323FB3" w:rsidR="00352A30" w:rsidRPr="005A5BB7" w:rsidRDefault="00E82F7F">
      <w:pPr>
        <w:pStyle w:val="3-BodyText"/>
        <w:widowControl w:val="0"/>
        <w:numPr>
          <w:ilvl w:val="1"/>
          <w:numId w:val="1"/>
        </w:numPr>
        <w:ind w:left="720"/>
        <w:rPr>
          <w:snapToGrid w:val="0"/>
        </w:rPr>
      </w:pPr>
      <w:bookmarkStart w:id="31" w:name="_Hlk76382618"/>
      <w:r w:rsidRPr="005A5BB7">
        <w:rPr>
          <w:snapToGrid w:val="0"/>
        </w:rPr>
        <w:t xml:space="preserve">The PBAC noted and welcomed the input from </w:t>
      </w:r>
      <w:r w:rsidR="008976EA" w:rsidRPr="005A5BB7">
        <w:rPr>
          <w:snapToGrid w:val="0"/>
        </w:rPr>
        <w:t xml:space="preserve">health care professionals (10) and </w:t>
      </w:r>
      <w:r w:rsidR="008976EA" w:rsidRPr="005A5BB7">
        <w:rPr>
          <w:snapToGrid w:val="0"/>
        </w:rPr>
        <w:lastRenderedPageBreak/>
        <w:t xml:space="preserve">organisations (16) via </w:t>
      </w:r>
      <w:r w:rsidR="008976EA" w:rsidRPr="005A5BB7">
        <w:rPr>
          <w:rFonts w:cs="Arial"/>
          <w:bCs/>
          <w:snapToGrid w:val="0"/>
        </w:rPr>
        <w:t>the Office of Health Technology Assessment Consultation Hub.</w:t>
      </w:r>
      <w:r w:rsidR="00DA1339">
        <w:rPr>
          <w:rFonts w:cs="Arial"/>
          <w:bCs/>
          <w:snapToGrid w:val="0"/>
        </w:rPr>
        <w:t xml:space="preserve"> </w:t>
      </w:r>
      <w:r w:rsidR="008976EA" w:rsidRPr="005A5BB7">
        <w:rPr>
          <w:rFonts w:cs="Arial"/>
          <w:bCs/>
          <w:snapToGrid w:val="0"/>
        </w:rPr>
        <w:t xml:space="preserve">The input consistently supported the proposed </w:t>
      </w:r>
      <w:r w:rsidR="008976EA" w:rsidRPr="005A5BB7">
        <w:rPr>
          <w:snapToGrid w:val="0"/>
        </w:rPr>
        <w:t xml:space="preserve">NIP listing of RSVPreF3 OA for </w:t>
      </w:r>
      <w:r w:rsidR="008976EA" w:rsidRPr="005A5BB7">
        <w:rPr>
          <w:bCs/>
          <w:snapToGrid w:val="0"/>
        </w:rPr>
        <w:t>high</w:t>
      </w:r>
      <w:r w:rsidR="000E4816">
        <w:rPr>
          <w:bCs/>
          <w:snapToGrid w:val="0"/>
        </w:rPr>
        <w:noBreakHyphen/>
      </w:r>
      <w:r w:rsidR="008976EA" w:rsidRPr="005A5BB7">
        <w:rPr>
          <w:bCs/>
          <w:snapToGrid w:val="0"/>
        </w:rPr>
        <w:t>risk adults aged 60–74 years</w:t>
      </w:r>
      <w:r w:rsidR="008976EA" w:rsidRPr="005A5BB7">
        <w:rPr>
          <w:snapToGrid w:val="0"/>
        </w:rPr>
        <w:t>.</w:t>
      </w:r>
      <w:r w:rsidR="00DA1339">
        <w:rPr>
          <w:snapToGrid w:val="0"/>
        </w:rPr>
        <w:t xml:space="preserve"> </w:t>
      </w:r>
      <w:r w:rsidR="00352A30" w:rsidRPr="005A5BB7">
        <w:rPr>
          <w:bCs/>
          <w:snapToGrid w:val="0"/>
        </w:rPr>
        <w:t>The input stated that the vaccine would be easily delivered through a GP or pharmacist, often alongside other routine immunisations.</w:t>
      </w:r>
    </w:p>
    <w:p w14:paraId="2F89038B" w14:textId="4E699114" w:rsidR="00362892" w:rsidRPr="005A5BB7" w:rsidRDefault="00362892" w:rsidP="00362892">
      <w:pPr>
        <w:pStyle w:val="3-BodyText"/>
        <w:widowControl w:val="0"/>
        <w:numPr>
          <w:ilvl w:val="1"/>
          <w:numId w:val="1"/>
        </w:numPr>
        <w:ind w:left="720"/>
        <w:rPr>
          <w:snapToGrid w:val="0"/>
        </w:rPr>
      </w:pPr>
      <w:r w:rsidRPr="005A5BB7">
        <w:rPr>
          <w:snapToGrid w:val="0"/>
        </w:rPr>
        <w:t>The input from health care professionals emphasised the benefits of vaccination for older adults with chronic health conditions and was reinforced by a wide range of inputs from medical and consumer groups advocating for patient groups with high clinical needs, and potential to benefit significantly from RSV vaccination.</w:t>
      </w:r>
      <w:r w:rsidR="00DA1339">
        <w:rPr>
          <w:snapToGrid w:val="0"/>
        </w:rPr>
        <w:t xml:space="preserve"> </w:t>
      </w:r>
      <w:r w:rsidRPr="005A5BB7">
        <w:rPr>
          <w:snapToGrid w:val="0"/>
        </w:rPr>
        <w:t xml:space="preserve">The </w:t>
      </w:r>
      <w:r w:rsidR="00711531" w:rsidRPr="005A5BB7">
        <w:rPr>
          <w:snapToGrid w:val="0"/>
        </w:rPr>
        <w:t xml:space="preserve">following </w:t>
      </w:r>
      <w:r w:rsidRPr="005A5BB7">
        <w:rPr>
          <w:snapToGrid w:val="0"/>
        </w:rPr>
        <w:t>groups contributed input:</w:t>
      </w:r>
    </w:p>
    <w:p w14:paraId="3659C1F7" w14:textId="77777777" w:rsidR="00362892" w:rsidRPr="005A5BB7" w:rsidRDefault="00362892" w:rsidP="00362892">
      <w:pPr>
        <w:ind w:left="1843" w:hanging="850"/>
      </w:pPr>
      <w:r w:rsidRPr="005A5BB7">
        <w:t>•</w:t>
      </w:r>
      <w:r w:rsidRPr="005A5BB7">
        <w:tab/>
        <w:t>Asthma Australia</w:t>
      </w:r>
    </w:p>
    <w:p w14:paraId="2C72EBBC" w14:textId="77777777" w:rsidR="00362892" w:rsidRPr="005A5BB7" w:rsidRDefault="00362892" w:rsidP="00362892">
      <w:pPr>
        <w:ind w:left="1843" w:hanging="850"/>
      </w:pPr>
      <w:r w:rsidRPr="005A5BB7">
        <w:t>•</w:t>
      </w:r>
      <w:r w:rsidRPr="005A5BB7">
        <w:tab/>
        <w:t>Australasian Society of Clinical Immunology and Allergy (ASCIA)</w:t>
      </w:r>
    </w:p>
    <w:p w14:paraId="4FCA5E51" w14:textId="77777777" w:rsidR="00362892" w:rsidRPr="005A5BB7" w:rsidRDefault="00362892" w:rsidP="00362892">
      <w:pPr>
        <w:ind w:left="1843" w:hanging="850"/>
      </w:pPr>
      <w:r w:rsidRPr="005A5BB7">
        <w:t>•</w:t>
      </w:r>
      <w:r w:rsidRPr="005A5BB7">
        <w:tab/>
        <w:t>Australian Diabetes Society</w:t>
      </w:r>
    </w:p>
    <w:p w14:paraId="21912D28" w14:textId="77777777" w:rsidR="00362892" w:rsidRPr="005A5BB7" w:rsidRDefault="00362892" w:rsidP="00362892">
      <w:pPr>
        <w:ind w:left="1843" w:hanging="850"/>
      </w:pPr>
      <w:r w:rsidRPr="005A5BB7">
        <w:t>•</w:t>
      </w:r>
      <w:r w:rsidRPr="005A5BB7">
        <w:tab/>
        <w:t>Cystic Fibrosis Australia (X2)</w:t>
      </w:r>
    </w:p>
    <w:p w14:paraId="597E284D" w14:textId="77777777" w:rsidR="00362892" w:rsidRPr="005A5BB7" w:rsidRDefault="00362892" w:rsidP="00362892">
      <w:pPr>
        <w:ind w:left="1843" w:hanging="850"/>
      </w:pPr>
      <w:r w:rsidRPr="005A5BB7">
        <w:t>•</w:t>
      </w:r>
      <w:r w:rsidRPr="005A5BB7">
        <w:tab/>
        <w:t>Cystic Fibrosis Queensland Limited</w:t>
      </w:r>
    </w:p>
    <w:p w14:paraId="57DD0AD5" w14:textId="77777777" w:rsidR="00362892" w:rsidRPr="005A5BB7" w:rsidRDefault="00362892" w:rsidP="00362892">
      <w:pPr>
        <w:ind w:left="1843" w:hanging="850"/>
      </w:pPr>
      <w:r w:rsidRPr="005A5BB7">
        <w:t>•</w:t>
      </w:r>
      <w:r w:rsidRPr="005A5BB7">
        <w:tab/>
        <w:t xml:space="preserve">Derbarl Yerrigan East Perth </w:t>
      </w:r>
    </w:p>
    <w:p w14:paraId="55F566B1" w14:textId="77777777" w:rsidR="00362892" w:rsidRPr="005A5BB7" w:rsidRDefault="00362892" w:rsidP="00362892">
      <w:pPr>
        <w:ind w:left="1843" w:hanging="850"/>
      </w:pPr>
      <w:r w:rsidRPr="005A5BB7">
        <w:t>•</w:t>
      </w:r>
      <w:r w:rsidRPr="005A5BB7">
        <w:tab/>
        <w:t>Heart Support Australia</w:t>
      </w:r>
    </w:p>
    <w:p w14:paraId="427181EC" w14:textId="77777777" w:rsidR="00362892" w:rsidRPr="005A5BB7" w:rsidRDefault="00362892" w:rsidP="00362892">
      <w:pPr>
        <w:ind w:left="1843" w:hanging="850"/>
      </w:pPr>
      <w:r w:rsidRPr="005A5BB7">
        <w:t>•</w:t>
      </w:r>
      <w:r w:rsidRPr="005A5BB7">
        <w:tab/>
        <w:t>Hearts4Heart</w:t>
      </w:r>
    </w:p>
    <w:p w14:paraId="17920A9C" w14:textId="77777777" w:rsidR="00362892" w:rsidRPr="005A5BB7" w:rsidRDefault="00362892" w:rsidP="00362892">
      <w:pPr>
        <w:ind w:left="1843" w:hanging="850"/>
      </w:pPr>
      <w:r w:rsidRPr="005A5BB7">
        <w:t>•</w:t>
      </w:r>
      <w:r w:rsidRPr="005A5BB7">
        <w:tab/>
        <w:t>Her Heart</w:t>
      </w:r>
    </w:p>
    <w:p w14:paraId="58ADCE46" w14:textId="77777777" w:rsidR="00362892" w:rsidRPr="005A5BB7" w:rsidRDefault="00362892" w:rsidP="00362892">
      <w:pPr>
        <w:ind w:left="1843" w:hanging="850"/>
      </w:pPr>
      <w:r w:rsidRPr="005A5BB7">
        <w:t>•</w:t>
      </w:r>
      <w:r w:rsidRPr="005A5BB7">
        <w:tab/>
        <w:t>Immunisation Coalition</w:t>
      </w:r>
    </w:p>
    <w:p w14:paraId="1ECF37D6" w14:textId="77777777" w:rsidR="00362892" w:rsidRPr="005A5BB7" w:rsidRDefault="00362892" w:rsidP="00362892">
      <w:pPr>
        <w:ind w:left="1843" w:hanging="850"/>
      </w:pPr>
      <w:r w:rsidRPr="005A5BB7">
        <w:t>•</w:t>
      </w:r>
      <w:r w:rsidRPr="005A5BB7">
        <w:tab/>
        <w:t>Immunisation Foundation of Australia</w:t>
      </w:r>
    </w:p>
    <w:p w14:paraId="0E9DCF82" w14:textId="77777777" w:rsidR="00362892" w:rsidRPr="005A5BB7" w:rsidRDefault="00362892" w:rsidP="00362892">
      <w:pPr>
        <w:ind w:left="1843" w:hanging="850"/>
      </w:pPr>
      <w:r w:rsidRPr="005A5BB7">
        <w:t>•</w:t>
      </w:r>
      <w:r w:rsidRPr="005A5BB7">
        <w:tab/>
        <w:t>Kidney Health Australia</w:t>
      </w:r>
    </w:p>
    <w:p w14:paraId="572E5BA2" w14:textId="77777777" w:rsidR="00362892" w:rsidRPr="005A5BB7" w:rsidRDefault="00362892" w:rsidP="00362892">
      <w:pPr>
        <w:ind w:left="1843" w:hanging="850"/>
      </w:pPr>
      <w:r w:rsidRPr="005A5BB7">
        <w:t>•</w:t>
      </w:r>
      <w:r w:rsidRPr="005A5BB7">
        <w:tab/>
        <w:t>Lung Foundation Australia</w:t>
      </w:r>
    </w:p>
    <w:p w14:paraId="287E328A" w14:textId="77777777" w:rsidR="00362892" w:rsidRPr="005A5BB7" w:rsidRDefault="00362892" w:rsidP="00362892">
      <w:pPr>
        <w:ind w:left="1843" w:hanging="850"/>
      </w:pPr>
      <w:r w:rsidRPr="005A5BB7">
        <w:t>•</w:t>
      </w:r>
      <w:r w:rsidRPr="005A5BB7">
        <w:tab/>
        <w:t>Spleen Australia</w:t>
      </w:r>
    </w:p>
    <w:p w14:paraId="0C65A610" w14:textId="77777777" w:rsidR="00362892" w:rsidRPr="005A5BB7" w:rsidRDefault="00362892" w:rsidP="00362892">
      <w:pPr>
        <w:ind w:left="1843" w:hanging="850"/>
      </w:pPr>
      <w:r w:rsidRPr="005A5BB7">
        <w:t>•</w:t>
      </w:r>
      <w:r w:rsidRPr="005A5BB7">
        <w:tab/>
        <w:t>Transplant Society of Australia and New Zealand</w:t>
      </w:r>
    </w:p>
    <w:p w14:paraId="7F1013AC" w14:textId="54C01747" w:rsidR="00352A30" w:rsidRPr="005A5BB7" w:rsidRDefault="00352A30">
      <w:pPr>
        <w:pStyle w:val="3-BodyText"/>
        <w:widowControl w:val="0"/>
        <w:numPr>
          <w:ilvl w:val="1"/>
          <w:numId w:val="1"/>
        </w:numPr>
        <w:ind w:left="720"/>
        <w:rPr>
          <w:snapToGrid w:val="0"/>
        </w:rPr>
      </w:pPr>
      <w:r w:rsidRPr="005A5BB7">
        <w:rPr>
          <w:snapToGrid w:val="0"/>
        </w:rPr>
        <w:t>A key theme was the need to protect high</w:t>
      </w:r>
      <w:r w:rsidRPr="005A5BB7">
        <w:rPr>
          <w:rFonts w:ascii="Cambria Math" w:hAnsi="Cambria Math" w:cs="Cambria Math"/>
          <w:snapToGrid w:val="0"/>
        </w:rPr>
        <w:t>‑</w:t>
      </w:r>
      <w:r w:rsidRPr="005A5BB7">
        <w:rPr>
          <w:snapToGrid w:val="0"/>
        </w:rPr>
        <w:t xml:space="preserve">risk, vulnerable Australians from preventable infectious diseases. </w:t>
      </w:r>
      <w:r w:rsidR="004A664E" w:rsidRPr="005A5BB7">
        <w:rPr>
          <w:snapToGrid w:val="0"/>
        </w:rPr>
        <w:t>It was stated that a</w:t>
      </w:r>
      <w:r w:rsidRPr="005A5BB7">
        <w:rPr>
          <w:snapToGrid w:val="0"/>
        </w:rPr>
        <w:t>dults aged 60</w:t>
      </w:r>
      <w:r w:rsidRPr="005A5BB7">
        <w:rPr>
          <w:rFonts w:ascii="Calibri" w:hAnsi="Calibri" w:cs="Calibri"/>
          <w:snapToGrid w:val="0"/>
        </w:rPr>
        <w:t>–</w:t>
      </w:r>
      <w:r w:rsidRPr="005A5BB7">
        <w:rPr>
          <w:snapToGrid w:val="0"/>
        </w:rPr>
        <w:t>74 with conditions such as cardiopulmonary disease, immunocompromise, diabetes, chronic kidney disease and other comorbidities experience a disproportionate burden of RSV, with hospitalisation, complications, and mortality rates comparable to</w:t>
      </w:r>
      <w:r w:rsidR="009D0E4F" w:rsidRPr="005A5BB7">
        <w:rPr>
          <w:snapToGrid w:val="0"/>
        </w:rPr>
        <w:t>,</w:t>
      </w:r>
      <w:r w:rsidR="009D0E4F" w:rsidRPr="005A5BB7">
        <w:rPr>
          <w:rFonts w:ascii="Calibri" w:hAnsi="Calibri" w:cs="Calibri"/>
          <w:snapToGrid w:val="0"/>
        </w:rPr>
        <w:t xml:space="preserve"> </w:t>
      </w:r>
      <w:r w:rsidRPr="005A5BB7">
        <w:rPr>
          <w:snapToGrid w:val="0"/>
        </w:rPr>
        <w:t>or exceeding</w:t>
      </w:r>
      <w:r w:rsidR="009D0E4F" w:rsidRPr="005A5BB7">
        <w:rPr>
          <w:snapToGrid w:val="0"/>
        </w:rPr>
        <w:t>,</w:t>
      </w:r>
      <w:r w:rsidR="00C7219E" w:rsidRPr="005A5BB7">
        <w:rPr>
          <w:snapToGrid w:val="0"/>
        </w:rPr>
        <w:t xml:space="preserve"> </w:t>
      </w:r>
      <w:r w:rsidRPr="005A5BB7">
        <w:rPr>
          <w:snapToGrid w:val="0"/>
        </w:rPr>
        <w:t>those of older adults. Listing RSV vaccination on the NIP for high</w:t>
      </w:r>
      <w:r w:rsidRPr="005A5BB7">
        <w:rPr>
          <w:rFonts w:ascii="Cambria Math" w:hAnsi="Cambria Math" w:cs="Cambria Math"/>
          <w:snapToGrid w:val="0"/>
        </w:rPr>
        <w:t>‑</w:t>
      </w:r>
      <w:r w:rsidRPr="005A5BB7">
        <w:rPr>
          <w:snapToGrid w:val="0"/>
        </w:rPr>
        <w:t xml:space="preserve">risk adults in this age group would improve equity by aligning access with clinical need, reduce preventable hospitalisations, and ease pressure on the health system. </w:t>
      </w:r>
      <w:r w:rsidR="00352DFA" w:rsidRPr="005A5BB7">
        <w:rPr>
          <w:snapToGrid w:val="0"/>
        </w:rPr>
        <w:t>It was considered that e</w:t>
      </w:r>
      <w:r w:rsidRPr="005A5BB7">
        <w:rPr>
          <w:snapToGrid w:val="0"/>
        </w:rPr>
        <w:t>xtending eligibility to medically at</w:t>
      </w:r>
      <w:r w:rsidRPr="005A5BB7">
        <w:rPr>
          <w:rFonts w:ascii="Cambria Math" w:hAnsi="Cambria Math" w:cs="Cambria Math"/>
          <w:snapToGrid w:val="0"/>
        </w:rPr>
        <w:t>‑</w:t>
      </w:r>
      <w:r w:rsidRPr="005A5BB7">
        <w:rPr>
          <w:snapToGrid w:val="0"/>
        </w:rPr>
        <w:t>risk adults represents a logical, evidence</w:t>
      </w:r>
      <w:r w:rsidRPr="005A5BB7">
        <w:rPr>
          <w:rFonts w:ascii="Cambria Math" w:hAnsi="Cambria Math" w:cs="Cambria Math"/>
          <w:snapToGrid w:val="0"/>
        </w:rPr>
        <w:t>‑</w:t>
      </w:r>
      <w:r w:rsidRPr="005A5BB7">
        <w:rPr>
          <w:snapToGrid w:val="0"/>
        </w:rPr>
        <w:t>based enhancement to the NIP.</w:t>
      </w:r>
    </w:p>
    <w:p w14:paraId="501DCD15" w14:textId="34D9B76D" w:rsidR="005F495D" w:rsidRPr="005A5BB7" w:rsidRDefault="00352A30">
      <w:pPr>
        <w:pStyle w:val="3-BodyText"/>
        <w:widowControl w:val="0"/>
        <w:numPr>
          <w:ilvl w:val="1"/>
          <w:numId w:val="1"/>
        </w:numPr>
        <w:ind w:left="720"/>
        <w:rPr>
          <w:snapToGrid w:val="0"/>
        </w:rPr>
      </w:pPr>
      <w:r w:rsidRPr="005A5BB7">
        <w:rPr>
          <w:snapToGrid w:val="0"/>
        </w:rPr>
        <w:t>A second key theme focused on the consequences of severe RSV infection and the value of preventing it. While most healthy adults manage RSV at home with rest, hydration, and over</w:t>
      </w:r>
      <w:r w:rsidRPr="005A5BB7">
        <w:rPr>
          <w:rFonts w:ascii="Cambria Math" w:hAnsi="Cambria Math" w:cs="Cambria Math"/>
          <w:snapToGrid w:val="0"/>
        </w:rPr>
        <w:t>‑</w:t>
      </w:r>
      <w:r w:rsidRPr="005A5BB7">
        <w:rPr>
          <w:snapToGrid w:val="0"/>
        </w:rPr>
        <w:t>the</w:t>
      </w:r>
      <w:r w:rsidRPr="005A5BB7">
        <w:rPr>
          <w:rFonts w:ascii="Cambria Math" w:hAnsi="Cambria Math" w:cs="Cambria Math"/>
          <w:snapToGrid w:val="0"/>
        </w:rPr>
        <w:t>‑</w:t>
      </w:r>
      <w:r w:rsidRPr="005A5BB7">
        <w:rPr>
          <w:snapToGrid w:val="0"/>
        </w:rPr>
        <w:t>counter pain relief, these measures are often inadequate for people aged 60</w:t>
      </w:r>
      <w:r w:rsidRPr="005A5BB7">
        <w:rPr>
          <w:rFonts w:ascii="Calibri" w:hAnsi="Calibri" w:cs="Calibri"/>
          <w:snapToGrid w:val="0"/>
        </w:rPr>
        <w:t>–</w:t>
      </w:r>
      <w:r w:rsidRPr="005A5BB7">
        <w:rPr>
          <w:snapToGrid w:val="0"/>
        </w:rPr>
        <w:t>74 with chronic health conditions. Distressing symptoms such as breathlessness, wheezing, and a persistent cough may require hospital care, and RSV can trigger flare</w:t>
      </w:r>
      <w:r w:rsidRPr="005A5BB7">
        <w:rPr>
          <w:rFonts w:ascii="Cambria Math" w:hAnsi="Cambria Math" w:cs="Cambria Math"/>
          <w:snapToGrid w:val="0"/>
        </w:rPr>
        <w:t>‑</w:t>
      </w:r>
      <w:r w:rsidRPr="005A5BB7">
        <w:rPr>
          <w:snapToGrid w:val="0"/>
        </w:rPr>
        <w:t>ups of existing heart or lung disease. Hospital treatment typically centres on stabilisation with oxygen and intravenous fluids, and some individuals may experience a lasting decline in health and independence.</w:t>
      </w:r>
      <w:r w:rsidR="00DF1271" w:rsidRPr="005A5BB7">
        <w:rPr>
          <w:snapToGrid w:val="0"/>
        </w:rPr>
        <w:t xml:space="preserve"> </w:t>
      </w:r>
    </w:p>
    <w:p w14:paraId="580D5D41" w14:textId="77777777" w:rsidR="00362892" w:rsidRPr="005A5BB7" w:rsidRDefault="00352A30" w:rsidP="009B51FD">
      <w:pPr>
        <w:pStyle w:val="3-BodyText"/>
        <w:rPr>
          <w:bCs/>
          <w:snapToGrid w:val="0"/>
        </w:rPr>
      </w:pPr>
      <w:r w:rsidRPr="005A5BB7">
        <w:rPr>
          <w:bCs/>
          <w:snapToGrid w:val="0"/>
        </w:rPr>
        <w:lastRenderedPageBreak/>
        <w:t>A third key theme was the need for RSV vaccination to be provided free of charge through NIP listing, as the private cost was inequitable and a significant barrier for many Australians.</w:t>
      </w:r>
      <w:bookmarkEnd w:id="28"/>
      <w:bookmarkEnd w:id="31"/>
    </w:p>
    <w:p w14:paraId="5865362D" w14:textId="7C7C6E82" w:rsidR="00040B66" w:rsidRPr="005A5BB7" w:rsidRDefault="00040B66">
      <w:pPr>
        <w:pStyle w:val="3-BodyText"/>
        <w:rPr>
          <w:bCs/>
          <w:snapToGrid w:val="0"/>
        </w:rPr>
      </w:pPr>
      <w:r w:rsidRPr="005A5BB7">
        <w:rPr>
          <w:bCs/>
          <w:snapToGrid w:val="0"/>
        </w:rPr>
        <w:t>Some respondents highlighted the importance of RSV vaccination for transplant recipients, and other immunocompromising conditions.</w:t>
      </w:r>
      <w:r w:rsidR="00DA1339">
        <w:rPr>
          <w:bCs/>
          <w:snapToGrid w:val="0"/>
        </w:rPr>
        <w:t xml:space="preserve"> </w:t>
      </w:r>
      <w:r w:rsidRPr="005A5BB7">
        <w:rPr>
          <w:bCs/>
          <w:snapToGrid w:val="0"/>
        </w:rPr>
        <w:t>The PBAC considered that these conditions were adequately captured in the AIH definition of conditions associated with increased risk of severe RSV disease in adults, noting that</w:t>
      </w:r>
      <w:r w:rsidR="00A45E97" w:rsidRPr="005A5BB7">
        <w:rPr>
          <w:bCs/>
          <w:snapToGrid w:val="0"/>
        </w:rPr>
        <w:t xml:space="preserve"> the </w:t>
      </w:r>
      <w:r w:rsidRPr="005A5BB7">
        <w:rPr>
          <w:bCs/>
          <w:snapToGrid w:val="0"/>
        </w:rPr>
        <w:t>example</w:t>
      </w:r>
      <w:r w:rsidR="00A45E97" w:rsidRPr="005A5BB7">
        <w:rPr>
          <w:bCs/>
          <w:snapToGrid w:val="0"/>
        </w:rPr>
        <w:t xml:space="preserve"> conditions in the AIH</w:t>
      </w:r>
      <w:r w:rsidRPr="005A5BB7">
        <w:rPr>
          <w:bCs/>
          <w:snapToGrid w:val="0"/>
        </w:rPr>
        <w:t xml:space="preserve"> are not exhaustive, and </w:t>
      </w:r>
      <w:r w:rsidR="00A45E97" w:rsidRPr="005A5BB7">
        <w:rPr>
          <w:bCs/>
          <w:snapToGrid w:val="0"/>
        </w:rPr>
        <w:t xml:space="preserve">immunisation </w:t>
      </w:r>
      <w:r w:rsidRPr="005A5BB7">
        <w:rPr>
          <w:bCs/>
          <w:snapToGrid w:val="0"/>
        </w:rPr>
        <w:t>providers may include people with conditions similar to those listed below based on clinical judgement</w:t>
      </w:r>
      <w:r w:rsidR="00A45E97" w:rsidRPr="005A5BB7">
        <w:rPr>
          <w:bCs/>
          <w:snapToGrid w:val="0"/>
        </w:rPr>
        <w:t>, e.g. in some cases, vaccination may be clinically appropriate prior to initiation of immunocompromising treatment.</w:t>
      </w:r>
    </w:p>
    <w:p w14:paraId="25A4A3E8" w14:textId="6E321907" w:rsidR="009B51FD" w:rsidRPr="005A5BB7" w:rsidRDefault="008976EA" w:rsidP="009B51FD">
      <w:pPr>
        <w:pStyle w:val="3-BodyText"/>
        <w:rPr>
          <w:bCs/>
          <w:snapToGrid w:val="0"/>
        </w:rPr>
      </w:pPr>
      <w:r w:rsidRPr="005A5BB7">
        <w:rPr>
          <w:snapToGrid w:val="0"/>
        </w:rPr>
        <w:t xml:space="preserve">The PBAC recalled it had previously received input supporting </w:t>
      </w:r>
      <w:r w:rsidRPr="005A5BB7">
        <w:rPr>
          <w:rFonts w:cs="Arial"/>
          <w:bCs/>
          <w:snapToGrid w:val="0"/>
        </w:rPr>
        <w:t xml:space="preserve">NIP listing </w:t>
      </w:r>
      <w:r w:rsidRPr="005A5BB7">
        <w:t>in adults aged ≥75 years of age and Aboriginal and Torres Strait Islander people aged 60</w:t>
      </w:r>
      <w:r w:rsidR="000E4816">
        <w:noBreakHyphen/>
      </w:r>
      <w:r w:rsidRPr="005A5BB7">
        <w:t>74 at the July 2025 meeting including i</w:t>
      </w:r>
      <w:r w:rsidRPr="005A5BB7">
        <w:rPr>
          <w:snapToGrid w:val="0"/>
        </w:rPr>
        <w:t xml:space="preserve">ndividuals (12), health care professionals (17) and organisations (8), and that some of the consumer input at that time also </w:t>
      </w:r>
      <w:r w:rsidRPr="005A5BB7">
        <w:t xml:space="preserve">asked the PBAC to consider extending the NIP populations to adults ≥60 years with medical conditions that increase their risk of severe disease (paragraphs 6.4 to 6.10, </w:t>
      </w:r>
      <w:r w:rsidR="009D7FDD" w:rsidRPr="005A5BB7">
        <w:t xml:space="preserve">RSVPreF3 OA PSD </w:t>
      </w:r>
      <w:r w:rsidRPr="005A5BB7">
        <w:t>July 2025</w:t>
      </w:r>
      <w:r w:rsidR="009D7FDD" w:rsidRPr="005A5BB7">
        <w:t>)</w:t>
      </w:r>
      <w:r w:rsidRPr="005A5BB7">
        <w:rPr>
          <w:snapToGrid w:val="0"/>
        </w:rPr>
        <w:t>.</w:t>
      </w:r>
    </w:p>
    <w:p w14:paraId="609C0765" w14:textId="561705F3" w:rsidR="00B60939" w:rsidRPr="005A5BB7" w:rsidRDefault="0005307E" w:rsidP="00E64E39">
      <w:pPr>
        <w:pStyle w:val="4-SubsectionHeading"/>
      </w:pPr>
      <w:r w:rsidRPr="005A5BB7">
        <w:t>Clinical trials</w:t>
      </w:r>
      <w:bookmarkEnd w:id="27"/>
      <w:bookmarkEnd w:id="29"/>
    </w:p>
    <w:p w14:paraId="193F74E0" w14:textId="41169F71" w:rsidR="276790AE" w:rsidRPr="005A5BB7" w:rsidRDefault="276790AE" w:rsidP="3FF051E5">
      <w:pPr>
        <w:pStyle w:val="3-BodyText"/>
      </w:pPr>
      <w:r>
        <w:t xml:space="preserve">The </w:t>
      </w:r>
      <w:r w:rsidR="002D7CD5">
        <w:t>re</w:t>
      </w:r>
      <w:r>
        <w:t xml:space="preserve">submission was based on the same trial for RSVPreF3 </w:t>
      </w:r>
      <w:r w:rsidR="005E7EC6">
        <w:t xml:space="preserve">OA </w:t>
      </w:r>
      <w:r>
        <w:t>as presented</w:t>
      </w:r>
      <w:r w:rsidR="00DD121D">
        <w:t xml:space="preserve"> for</w:t>
      </w:r>
      <w:r>
        <w:t xml:space="preserve"> the </w:t>
      </w:r>
      <w:r w:rsidR="009E25A3">
        <w:t xml:space="preserve">previous </w:t>
      </w:r>
      <w:r w:rsidR="00DD121D">
        <w:t>PBAC considerations</w:t>
      </w:r>
      <w:r w:rsidR="005622AA">
        <w:t xml:space="preserve">, </w:t>
      </w:r>
      <w:r w:rsidR="00416495">
        <w:t>AReSVi</w:t>
      </w:r>
      <w:r>
        <w:noBreakHyphen/>
      </w:r>
      <w:r w:rsidR="00416495">
        <w:t>006</w:t>
      </w:r>
      <w:r>
        <w:t>. This head</w:t>
      </w:r>
      <w:r>
        <w:noBreakHyphen/>
        <w:t>to</w:t>
      </w:r>
      <w:r>
        <w:noBreakHyphen/>
        <w:t>head randomised trial compared RSVPreF3 OA (N = 12,469) to placebo (N = 12,503). Th</w:t>
      </w:r>
      <w:r w:rsidR="007E5BFF">
        <w:t>e</w:t>
      </w:r>
      <w:r>
        <w:t xml:space="preserve"> </w:t>
      </w:r>
      <w:r w:rsidR="002D7CD5">
        <w:t>re</w:t>
      </w:r>
      <w:r>
        <w:t xml:space="preserve">submission </w:t>
      </w:r>
      <w:r w:rsidR="00EF53D2">
        <w:t xml:space="preserve">did </w:t>
      </w:r>
      <w:r>
        <w:t>not present an updated data</w:t>
      </w:r>
      <w:r>
        <w:noBreakHyphen/>
        <w:t xml:space="preserve">cut. The </w:t>
      </w:r>
      <w:r w:rsidR="00EF53D2">
        <w:t>July 2025</w:t>
      </w:r>
      <w:r>
        <w:t xml:space="preserve"> </w:t>
      </w:r>
      <w:r w:rsidR="002D7CD5">
        <w:t>re</w:t>
      </w:r>
      <w:r>
        <w:t>submission presented results up to 30.6 months of follow</w:t>
      </w:r>
      <w:r>
        <w:noBreakHyphen/>
        <w:t xml:space="preserve">up (from 17.8 months at the end of Season 2 presented in the July 2024 </w:t>
      </w:r>
      <w:r w:rsidR="002D7CD5">
        <w:t>re</w:t>
      </w:r>
      <w:r>
        <w:t>submission)</w:t>
      </w:r>
      <w:r w:rsidR="005850EB">
        <w:t>,</w:t>
      </w:r>
      <w:r>
        <w:t xml:space="preserve"> corresponding to 3 complete RSV seasons in the northern hemisphere (NH) in adults ≥ 60 YOA, across different RSV subtypes, age groups and comorbidity categories. </w:t>
      </w:r>
    </w:p>
    <w:p w14:paraId="0726DE2A" w14:textId="15C40707" w:rsidR="276790AE" w:rsidRPr="005A5BB7" w:rsidRDefault="276790AE" w:rsidP="3FF051E5">
      <w:pPr>
        <w:pStyle w:val="3-BodyText"/>
        <w:rPr>
          <w:szCs w:val="24"/>
        </w:rPr>
      </w:pPr>
      <w:r w:rsidRPr="005A5BB7">
        <w:t xml:space="preserve">A claim of superiority was </w:t>
      </w:r>
      <w:r w:rsidR="00452EBB" w:rsidRPr="005A5BB7">
        <w:t>based on</w:t>
      </w:r>
      <w:r w:rsidRPr="005A5BB7">
        <w:t xml:space="preserve"> VE </w:t>
      </w:r>
      <w:r w:rsidR="00452EBB" w:rsidRPr="005A5BB7">
        <w:t>using</w:t>
      </w:r>
      <w:r w:rsidRPr="005A5BB7">
        <w:t xml:space="preserve"> the results from </w:t>
      </w:r>
      <w:r w:rsidR="00416495" w:rsidRPr="005A5BB7">
        <w:t>AReSVi</w:t>
      </w:r>
      <w:r w:rsidR="000E4816">
        <w:noBreakHyphen/>
      </w:r>
      <w:r w:rsidR="00416495" w:rsidRPr="005A5BB7">
        <w:t>006</w:t>
      </w:r>
      <w:r w:rsidRPr="005A5BB7">
        <w:t xml:space="preserve"> </w:t>
      </w:r>
      <w:r w:rsidR="00D905CF" w:rsidRPr="005A5BB7">
        <w:t>for</w:t>
      </w:r>
      <w:r w:rsidRPr="005A5BB7">
        <w:t xml:space="preserve"> prevention of first occurrence of reverse transcription</w:t>
      </w:r>
      <w:r w:rsidR="000E4816">
        <w:noBreakHyphen/>
      </w:r>
      <w:r w:rsidRPr="005A5BB7">
        <w:t>polymerase chain reaction (RT</w:t>
      </w:r>
      <w:r w:rsidR="000E4816">
        <w:noBreakHyphen/>
      </w:r>
      <w:r w:rsidRPr="005A5BB7">
        <w:t>PCR) confirmed RSV</w:t>
      </w:r>
      <w:r w:rsidR="000E4816">
        <w:noBreakHyphen/>
      </w:r>
      <w:r w:rsidRPr="005A5BB7">
        <w:t>associated LRTD in adults ≥ 60 YOA. At its July 2024 meeting, the PBAC stated that a claim of superior comparative effectiveness was reasonable for the main comparison between RSVPre</w:t>
      </w:r>
      <w:r w:rsidR="000B36A8" w:rsidRPr="005A5BB7">
        <w:t>F</w:t>
      </w:r>
      <w:r w:rsidRPr="005A5BB7">
        <w:t>3 OA and no vaccination, supported by the estimates of VE in RT</w:t>
      </w:r>
      <w:r w:rsidR="000E4816">
        <w:noBreakHyphen/>
      </w:r>
      <w:r w:rsidRPr="005A5BB7">
        <w:t>PCR confirmed RSV</w:t>
      </w:r>
      <w:r w:rsidR="000E4816">
        <w:noBreakHyphen/>
      </w:r>
      <w:r w:rsidRPr="005A5BB7">
        <w:t xml:space="preserve">LRTD </w:t>
      </w:r>
      <w:r w:rsidR="00356C88" w:rsidRPr="005A5BB7">
        <w:t>(paragraph 7.1</w:t>
      </w:r>
      <w:r w:rsidR="00670705" w:rsidRPr="005A5BB7">
        <w:t>3</w:t>
      </w:r>
      <w:r w:rsidR="00356C88" w:rsidRPr="005A5BB7">
        <w:t>, RSVPreF3 OA PSD, July 2024)</w:t>
      </w:r>
      <w:r w:rsidRPr="005A5BB7">
        <w:t>.</w:t>
      </w:r>
    </w:p>
    <w:p w14:paraId="38FFBD9E" w14:textId="719B10B6" w:rsidR="276790AE" w:rsidRPr="005A5BB7" w:rsidRDefault="276790AE">
      <w:pPr>
        <w:pStyle w:val="3-BodyText"/>
        <w:rPr>
          <w:szCs w:val="24"/>
        </w:rPr>
      </w:pPr>
      <w:bookmarkStart w:id="32" w:name="_Ref224729541"/>
      <w:r w:rsidRPr="005A5BB7">
        <w:t xml:space="preserve">The </w:t>
      </w:r>
      <w:r w:rsidR="002D7CD5" w:rsidRPr="005A5BB7">
        <w:t>re</w:t>
      </w:r>
      <w:r w:rsidRPr="005A5BB7">
        <w:t xml:space="preserve">submission </w:t>
      </w:r>
      <w:r w:rsidR="00C44BA2" w:rsidRPr="005A5BB7">
        <w:t xml:space="preserve">did </w:t>
      </w:r>
      <w:r w:rsidRPr="005A5BB7">
        <w:t>not present VE evidence across all at</w:t>
      </w:r>
      <w:r w:rsidR="000E4816">
        <w:noBreakHyphen/>
      </w:r>
      <w:r w:rsidRPr="005A5BB7">
        <w:t>risk groups included in the AIH list, with no data specifically available for people with obesity, neurological disease, or immunocompromised patients</w:t>
      </w:r>
      <w:r w:rsidR="00064D37" w:rsidRPr="005A5BB7">
        <w:t xml:space="preserve"> (IC)</w:t>
      </w:r>
      <w:r w:rsidR="00AE2602" w:rsidRPr="005A5BB7">
        <w:t xml:space="preserve">. </w:t>
      </w:r>
      <w:r w:rsidR="007E5BFF" w:rsidRPr="005A5BB7">
        <w:rPr>
          <w:iCs/>
        </w:rPr>
        <w:t>Data for obesity was provided in the PSCR</w:t>
      </w:r>
      <w:r w:rsidR="00E35AE7" w:rsidRPr="005A5BB7">
        <w:rPr>
          <w:iCs/>
        </w:rPr>
        <w:t xml:space="preserve"> (</w:t>
      </w:r>
      <w:r w:rsidR="00697218" w:rsidRPr="005A5BB7">
        <w:rPr>
          <w:iCs/>
        </w:rPr>
        <w:t xml:space="preserve">presented below in </w:t>
      </w:r>
      <w:r w:rsidR="00112836" w:rsidRPr="005A5BB7">
        <w:fldChar w:fldCharType="begin"/>
      </w:r>
      <w:r w:rsidR="00112836" w:rsidRPr="005A5BB7">
        <w:instrText xml:space="preserve"> REF _Ref224836511 \h </w:instrText>
      </w:r>
      <w:r w:rsidR="00112836" w:rsidRPr="005A5BB7">
        <w:fldChar w:fldCharType="separate"/>
      </w:r>
      <w:r w:rsidR="0043658C" w:rsidRPr="005A5BB7">
        <w:t xml:space="preserve">Table </w:t>
      </w:r>
      <w:r w:rsidR="0043658C">
        <w:rPr>
          <w:noProof/>
        </w:rPr>
        <w:t>7</w:t>
      </w:r>
      <w:r w:rsidR="00112836" w:rsidRPr="005A5BB7">
        <w:fldChar w:fldCharType="end"/>
      </w:r>
      <w:r w:rsidR="00E35AE7" w:rsidRPr="005A5BB7">
        <w:rPr>
          <w:iCs/>
          <w:szCs w:val="24"/>
        </w:rPr>
        <w:t xml:space="preserve"> and </w:t>
      </w:r>
      <w:r w:rsidR="00E35AE7" w:rsidRPr="005A5BB7">
        <w:rPr>
          <w:iCs/>
          <w:szCs w:val="24"/>
        </w:rPr>
        <w:fldChar w:fldCharType="begin"/>
      </w:r>
      <w:r w:rsidR="00E35AE7" w:rsidRPr="005A5BB7">
        <w:rPr>
          <w:iCs/>
          <w:szCs w:val="24"/>
        </w:rPr>
        <w:instrText xml:space="preserve"> REF _Ref219770554 \h  \* MERGEFORMAT </w:instrText>
      </w:r>
      <w:r w:rsidR="00E35AE7" w:rsidRPr="005A5BB7">
        <w:rPr>
          <w:iCs/>
          <w:szCs w:val="24"/>
        </w:rPr>
      </w:r>
      <w:r w:rsidR="00E35AE7" w:rsidRPr="005A5BB7">
        <w:rPr>
          <w:iCs/>
          <w:szCs w:val="24"/>
        </w:rPr>
        <w:fldChar w:fldCharType="separate"/>
      </w:r>
      <w:r w:rsidR="0043658C" w:rsidRPr="0043658C">
        <w:rPr>
          <w:iCs/>
        </w:rPr>
        <w:t>Table 9</w:t>
      </w:r>
      <w:r w:rsidR="00E35AE7" w:rsidRPr="005A5BB7">
        <w:rPr>
          <w:iCs/>
          <w:szCs w:val="24"/>
        </w:rPr>
        <w:fldChar w:fldCharType="end"/>
      </w:r>
      <w:r w:rsidR="00E35AE7" w:rsidRPr="005A5BB7">
        <w:rPr>
          <w:iCs/>
          <w:szCs w:val="24"/>
        </w:rPr>
        <w:t xml:space="preserve">). </w:t>
      </w:r>
      <w:r w:rsidR="008C7B11" w:rsidRPr="005A5BB7">
        <w:t>The PBAC</w:t>
      </w:r>
      <w:r w:rsidR="00F5451B" w:rsidRPr="005A5BB7">
        <w:t xml:space="preserve">, in their evaluation of Abrysvo, noted a concern around the potential </w:t>
      </w:r>
      <w:r w:rsidR="004308BD" w:rsidRPr="005A5BB7">
        <w:t xml:space="preserve">for usage of the </w:t>
      </w:r>
      <w:r w:rsidR="00B45CF9" w:rsidRPr="005A5BB7">
        <w:rPr>
          <w:rFonts w:eastAsia="Calibri" w:cs="Calibri"/>
          <w:color w:val="000000" w:themeColor="text1"/>
        </w:rPr>
        <w:t xml:space="preserve">RSVpreF </w:t>
      </w:r>
      <w:r w:rsidR="004308BD" w:rsidRPr="005A5BB7">
        <w:t>vaccine in</w:t>
      </w:r>
      <w:r w:rsidR="0067518E" w:rsidRPr="005A5BB7">
        <w:t xml:space="preserve"> </w:t>
      </w:r>
      <w:r w:rsidR="00697218" w:rsidRPr="005A5BB7">
        <w:t xml:space="preserve">the </w:t>
      </w:r>
      <w:r w:rsidR="0067518E" w:rsidRPr="005A5BB7">
        <w:t>60</w:t>
      </w:r>
      <w:r w:rsidR="000E4816">
        <w:noBreakHyphen/>
      </w:r>
      <w:r w:rsidR="0067518E" w:rsidRPr="005A5BB7">
        <w:t xml:space="preserve">74 year age group outside of the intended high risk population, due to the number </w:t>
      </w:r>
      <w:r w:rsidR="0067518E" w:rsidRPr="005A5BB7">
        <w:lastRenderedPageBreak/>
        <w:t>and nature of some of the listed conditions</w:t>
      </w:r>
      <w:r w:rsidR="005F324A" w:rsidRPr="005A5BB7">
        <w:t xml:space="preserve"> (para</w:t>
      </w:r>
      <w:r w:rsidR="00BD795D">
        <w:t>graph</w:t>
      </w:r>
      <w:r w:rsidR="00A73C0C" w:rsidRPr="005A5BB7">
        <w:t xml:space="preserve"> </w:t>
      </w:r>
      <w:r w:rsidR="005F324A" w:rsidRPr="005A5BB7">
        <w:t xml:space="preserve">7.23, </w:t>
      </w:r>
      <w:r w:rsidR="00B45CF9" w:rsidRPr="005A5BB7">
        <w:rPr>
          <w:rFonts w:eastAsia="Calibri" w:cs="Calibri"/>
          <w:color w:val="000000" w:themeColor="text1"/>
        </w:rPr>
        <w:t xml:space="preserve">RSVpreF </w:t>
      </w:r>
      <w:r w:rsidR="000618F0" w:rsidRPr="005A5BB7">
        <w:rPr>
          <w:rFonts w:eastAsia="Calibri" w:cs="Calibri"/>
          <w:color w:val="000000" w:themeColor="text1"/>
        </w:rPr>
        <w:t>PSD</w:t>
      </w:r>
      <w:r w:rsidR="00A73C0C" w:rsidRPr="005A5BB7">
        <w:t>, November 2025)</w:t>
      </w:r>
      <w:r w:rsidR="0067518E" w:rsidRPr="005A5BB7">
        <w:t>.</w:t>
      </w:r>
      <w:bookmarkEnd w:id="32"/>
      <w:r w:rsidR="004308BD" w:rsidRPr="005A5BB7">
        <w:t xml:space="preserve"> </w:t>
      </w:r>
    </w:p>
    <w:p w14:paraId="6EE34E1A" w14:textId="32327B36" w:rsidR="00611525" w:rsidRPr="005A5BB7" w:rsidRDefault="00611525" w:rsidP="00611525">
      <w:pPr>
        <w:pStyle w:val="3-BodyText"/>
      </w:pPr>
      <w:bookmarkStart w:id="33" w:name="_Ref219364714"/>
      <w:bookmarkStart w:id="34" w:name="_Ref224836324"/>
      <w:r w:rsidRPr="005A5BB7">
        <w:t>The subgroup analys</w:t>
      </w:r>
      <w:r w:rsidR="00776013" w:rsidRPr="005A5BB7">
        <w:t>e</w:t>
      </w:r>
      <w:r w:rsidRPr="005A5BB7">
        <w:t xml:space="preserve">s </w:t>
      </w:r>
      <w:r w:rsidR="00697D4E" w:rsidRPr="005A5BB7">
        <w:t xml:space="preserve">presented in the </w:t>
      </w:r>
      <w:r w:rsidR="00DA4AA9" w:rsidRPr="005A5BB7">
        <w:t>re</w:t>
      </w:r>
      <w:r w:rsidR="00697D4E" w:rsidRPr="005A5BB7">
        <w:t xml:space="preserve">submission </w:t>
      </w:r>
      <w:r w:rsidR="00365D24" w:rsidRPr="005A5BB7">
        <w:t>from</w:t>
      </w:r>
      <w:r w:rsidRPr="005A5BB7">
        <w:t xml:space="preserve"> the </w:t>
      </w:r>
      <w:r w:rsidR="00416495" w:rsidRPr="005A5BB7">
        <w:t>AReSVi</w:t>
      </w:r>
      <w:r w:rsidR="000E4816">
        <w:noBreakHyphen/>
      </w:r>
      <w:r w:rsidR="00416495" w:rsidRPr="005A5BB7">
        <w:t>006</w:t>
      </w:r>
      <w:r w:rsidR="00776013" w:rsidRPr="005A5BB7">
        <w:t xml:space="preserve"> </w:t>
      </w:r>
      <w:r w:rsidR="006E5E8E" w:rsidRPr="005A5BB7">
        <w:t xml:space="preserve">trial </w:t>
      </w:r>
      <w:r w:rsidRPr="005A5BB7">
        <w:t>grouped participants with comorbidities</w:t>
      </w:r>
      <w:r w:rsidR="006921FE" w:rsidRPr="005A5BB7">
        <w:t xml:space="preserve"> of interest</w:t>
      </w:r>
      <w:r w:rsidRPr="005A5BB7">
        <w:t xml:space="preserve"> into broad categories of ≥1 or ≥2</w:t>
      </w:r>
      <w:r w:rsidR="00EB63A2" w:rsidRPr="005A5BB7">
        <w:t xml:space="preserve"> comorbidities of interest</w:t>
      </w:r>
      <w:r w:rsidRPr="005A5BB7">
        <w:t xml:space="preserve">. </w:t>
      </w:r>
      <w:r w:rsidR="00213A81" w:rsidRPr="005A5BB7">
        <w:t xml:space="preserve">Approximately </w:t>
      </w:r>
      <w:r w:rsidR="001A4979" w:rsidRPr="005A5BB7">
        <w:t>49</w:t>
      </w:r>
      <w:r w:rsidR="00213A81" w:rsidRPr="005A5BB7">
        <w:t>% of the trial participants</w:t>
      </w:r>
      <w:r w:rsidR="002C7023" w:rsidRPr="005A5BB7">
        <w:t xml:space="preserve"> with a </w:t>
      </w:r>
      <w:r w:rsidR="00605AEA" w:rsidRPr="005A5BB7">
        <w:t>comorbidity</w:t>
      </w:r>
      <w:r w:rsidR="0020244D" w:rsidRPr="005A5BB7">
        <w:t xml:space="preserve"> of interest</w:t>
      </w:r>
      <w:r w:rsidR="00213A81" w:rsidRPr="005A5BB7">
        <w:t xml:space="preserve"> had </w:t>
      </w:r>
      <w:r w:rsidR="00FA5BDE" w:rsidRPr="005A5BB7">
        <w:t xml:space="preserve">only </w:t>
      </w:r>
      <w:r w:rsidR="00213A81" w:rsidRPr="005A5BB7">
        <w:t xml:space="preserve">1 comorbidity of interest, and </w:t>
      </w:r>
      <w:r w:rsidR="001A4979" w:rsidRPr="005A5BB7">
        <w:t>51</w:t>
      </w:r>
      <w:r w:rsidR="00213A81" w:rsidRPr="005A5BB7">
        <w:t xml:space="preserve">% had ≥2 comorbidities of interest, however the </w:t>
      </w:r>
      <w:r w:rsidR="00126E90" w:rsidRPr="005A5BB7">
        <w:t>re</w:t>
      </w:r>
      <w:r w:rsidR="00213A81" w:rsidRPr="005A5BB7">
        <w:t xml:space="preserve">submission did not provide any efficacy data on the subgroup with only 1 comorbidity of interest. </w:t>
      </w:r>
      <w:r w:rsidR="00302FAE" w:rsidRPr="005A5BB7">
        <w:t xml:space="preserve">The </w:t>
      </w:r>
      <w:r w:rsidR="00126E90" w:rsidRPr="005A5BB7">
        <w:t>re</w:t>
      </w:r>
      <w:r w:rsidR="00302FAE" w:rsidRPr="005A5BB7">
        <w:t xml:space="preserve">submission </w:t>
      </w:r>
      <w:r w:rsidR="0058298D" w:rsidRPr="005A5BB7">
        <w:t>also</w:t>
      </w:r>
      <w:r w:rsidR="00302FAE" w:rsidRPr="005A5BB7">
        <w:t xml:space="preserve"> presented LRT</w:t>
      </w:r>
      <w:r w:rsidR="00CA3142" w:rsidRPr="005A5BB7">
        <w:t>D</w:t>
      </w:r>
      <w:r w:rsidR="00302FAE" w:rsidRPr="005A5BB7">
        <w:t xml:space="preserve"> data on the ≥2 comorbidities of interest group </w:t>
      </w:r>
      <w:r w:rsidR="00CA3142" w:rsidRPr="005A5BB7">
        <w:t>at the first interim analysis; these data were too immature to be interpretable. However, additional data on the ≥2 comorbidities of interest</w:t>
      </w:r>
      <w:r w:rsidR="007A2CAC" w:rsidRPr="005A5BB7">
        <w:t xml:space="preserve"> group</w:t>
      </w:r>
      <w:r w:rsidR="00CA3142" w:rsidRPr="005A5BB7">
        <w:t xml:space="preserve"> </w:t>
      </w:r>
      <w:r w:rsidR="009E3572" w:rsidRPr="005A5BB7">
        <w:t xml:space="preserve">with </w:t>
      </w:r>
      <w:r w:rsidR="008F2729" w:rsidRPr="005A5BB7">
        <w:t>acute respiratory illness (</w:t>
      </w:r>
      <w:r w:rsidR="009E3572" w:rsidRPr="005A5BB7">
        <w:t>ARI</w:t>
      </w:r>
      <w:r w:rsidR="008F2729" w:rsidRPr="005A5BB7">
        <w:t>)</w:t>
      </w:r>
      <w:r w:rsidR="00231EA6" w:rsidRPr="005A5BB7">
        <w:t xml:space="preserve"> at the first interim analysis</w:t>
      </w:r>
      <w:r w:rsidR="009E3572" w:rsidRPr="005A5BB7">
        <w:t xml:space="preserve"> </w:t>
      </w:r>
      <w:r w:rsidR="00CA3142" w:rsidRPr="005A5BB7">
        <w:t>were identified in a publication,</w:t>
      </w:r>
      <w:r w:rsidR="00296EA9" w:rsidRPr="005A5BB7">
        <w:rPr>
          <w:rStyle w:val="FootnoteReference"/>
        </w:rPr>
        <w:footnoteReference w:id="6"/>
      </w:r>
      <w:r w:rsidR="00CA3142" w:rsidRPr="005A5BB7">
        <w:t xml:space="preserve"> and </w:t>
      </w:r>
      <w:r w:rsidR="002E50DD" w:rsidRPr="005A5BB7">
        <w:t xml:space="preserve">calculations performed by the evaluation suggested efficacy in the </w:t>
      </w:r>
      <w:r w:rsidR="00AA767E" w:rsidRPr="005A5BB7">
        <w:t xml:space="preserve">subgroup with 1 </w:t>
      </w:r>
      <w:r w:rsidR="00231EA6" w:rsidRPr="005A5BB7">
        <w:t>comorbidity of interest</w:t>
      </w:r>
      <w:r w:rsidR="00AA767E" w:rsidRPr="005A5BB7">
        <w:t xml:space="preserve"> may no</w:t>
      </w:r>
      <w:r w:rsidR="00E3360E" w:rsidRPr="005A5BB7">
        <w:t>t</w:t>
      </w:r>
      <w:r w:rsidR="00AA767E" w:rsidRPr="005A5BB7">
        <w:t xml:space="preserve"> be equivalent to efficacy in the subgroup with </w:t>
      </w:r>
      <w:r w:rsidR="00231EA6" w:rsidRPr="005A5BB7">
        <w:t>≥</w:t>
      </w:r>
      <w:r w:rsidR="00445CFE" w:rsidRPr="005A5BB7">
        <w:t>2</w:t>
      </w:r>
      <w:r w:rsidR="00231EA6" w:rsidRPr="005A5BB7">
        <w:t xml:space="preserve"> comorbidities of interest</w:t>
      </w:r>
      <w:r w:rsidR="001571E1" w:rsidRPr="005A5BB7">
        <w:t xml:space="preserve"> (VE point estimates of 70.</w:t>
      </w:r>
      <w:r w:rsidR="008020EB" w:rsidRPr="005A5BB7">
        <w:t>62</w:t>
      </w:r>
      <w:r w:rsidR="001571E1" w:rsidRPr="005A5BB7">
        <w:t xml:space="preserve"> versus 88.0 respectively)</w:t>
      </w:r>
      <w:r w:rsidR="00231EA6" w:rsidRPr="005A5BB7">
        <w:t xml:space="preserve">, suggesting the </w:t>
      </w:r>
      <w:r w:rsidR="00302EF1" w:rsidRPr="005A5BB7">
        <w:t>efficacy</w:t>
      </w:r>
      <w:r w:rsidR="00231EA6" w:rsidRPr="005A5BB7">
        <w:t xml:space="preserve"> </w:t>
      </w:r>
      <w:r w:rsidR="00E3360E" w:rsidRPr="005A5BB7">
        <w:t>demonstrated in</w:t>
      </w:r>
      <w:r w:rsidR="00231EA6" w:rsidRPr="005A5BB7">
        <w:t xml:space="preserve"> </w:t>
      </w:r>
      <w:r w:rsidR="00445CFE" w:rsidRPr="005A5BB7">
        <w:t>the ≥1 comorbidities of interest group</w:t>
      </w:r>
      <w:r w:rsidR="003478CF" w:rsidRPr="005A5BB7">
        <w:t xml:space="preserve"> </w:t>
      </w:r>
      <w:r w:rsidR="00E3360E" w:rsidRPr="005A5BB7">
        <w:t>may be</w:t>
      </w:r>
      <w:r w:rsidR="00231EA6" w:rsidRPr="005A5BB7">
        <w:t xml:space="preserve"> primarily driven by participants with ≥2 comorbidities of interest</w:t>
      </w:r>
      <w:r w:rsidR="00AD7606" w:rsidRPr="005A5BB7">
        <w:t xml:space="preserve"> (</w:t>
      </w:r>
      <w:r w:rsidR="00C423EE" w:rsidRPr="005A5BB7">
        <w:t>shown in</w:t>
      </w:r>
      <w:r w:rsidR="00AD7606" w:rsidRPr="005A5BB7">
        <w:t xml:space="preserve"> </w:t>
      </w:r>
      <w:r w:rsidR="00D219BA" w:rsidRPr="005A5BB7">
        <w:fldChar w:fldCharType="begin"/>
      </w:r>
      <w:r w:rsidR="00D219BA" w:rsidRPr="005A5BB7">
        <w:instrText xml:space="preserve"> REF _Ref219770554 \h  \* MERGEFORMAT </w:instrText>
      </w:r>
      <w:r w:rsidR="00D219BA" w:rsidRPr="005A5BB7">
        <w:fldChar w:fldCharType="separate"/>
      </w:r>
      <w:r w:rsidR="0043658C" w:rsidRPr="005A5BB7">
        <w:t xml:space="preserve">Table </w:t>
      </w:r>
      <w:r w:rsidR="0043658C">
        <w:t>9</w:t>
      </w:r>
      <w:r w:rsidR="00D219BA" w:rsidRPr="005A5BB7">
        <w:fldChar w:fldCharType="end"/>
      </w:r>
      <w:r w:rsidR="00DA1339">
        <w:t xml:space="preserve"> </w:t>
      </w:r>
      <w:r w:rsidR="00AD7606" w:rsidRPr="005A5BB7">
        <w:t>below)</w:t>
      </w:r>
      <w:r w:rsidR="00231EA6" w:rsidRPr="005A5BB7">
        <w:t>. A request was made for the sponsor to provide</w:t>
      </w:r>
      <w:r w:rsidR="00220DA3" w:rsidRPr="005A5BB7">
        <w:t xml:space="preserve"> efficacy data in the ‘1 comorbidity of interest’ subgroup across the more mature data cuts of</w:t>
      </w:r>
      <w:r w:rsidR="00C93457" w:rsidRPr="005A5BB7">
        <w:t xml:space="preserve"> </w:t>
      </w:r>
      <w:r w:rsidR="00457F05" w:rsidRPr="005A5BB7">
        <w:t>the key trial</w:t>
      </w:r>
      <w:r w:rsidR="00EA0270" w:rsidRPr="005A5BB7">
        <w:t xml:space="preserve"> (for both LRTD and ARI</w:t>
      </w:r>
      <w:r w:rsidR="00587E48" w:rsidRPr="005A5BB7">
        <w:t>).</w:t>
      </w:r>
      <w:r w:rsidR="00DA1339">
        <w:t xml:space="preserve"> </w:t>
      </w:r>
      <w:r w:rsidR="00587E48" w:rsidRPr="005A5BB7">
        <w:t xml:space="preserve">Some </w:t>
      </w:r>
      <w:r w:rsidR="008B270C" w:rsidRPr="310F0368">
        <w:t xml:space="preserve">analyses </w:t>
      </w:r>
      <w:r w:rsidR="000902A0" w:rsidRPr="310F0368">
        <w:t>of VE against RSV</w:t>
      </w:r>
      <w:r w:rsidR="000E4816">
        <w:rPr>
          <w:iCs/>
        </w:rPr>
        <w:noBreakHyphen/>
      </w:r>
      <w:r w:rsidR="000902A0" w:rsidRPr="310F0368">
        <w:t>LRTD and RSV</w:t>
      </w:r>
      <w:r w:rsidR="000E4816">
        <w:rPr>
          <w:iCs/>
        </w:rPr>
        <w:noBreakHyphen/>
      </w:r>
      <w:r w:rsidR="000902A0" w:rsidRPr="310F0368">
        <w:t xml:space="preserve">ARI by 0, 1 or ≥2 baseline comorbidities </w:t>
      </w:r>
      <w:r w:rsidR="008B270C" w:rsidRPr="310F0368">
        <w:t xml:space="preserve">were provided with </w:t>
      </w:r>
      <w:r w:rsidR="00587E48" w:rsidRPr="310F0368">
        <w:t>in the pre</w:t>
      </w:r>
      <w:r w:rsidR="000E4816">
        <w:rPr>
          <w:iCs/>
        </w:rPr>
        <w:noBreakHyphen/>
      </w:r>
      <w:r w:rsidR="00587E48" w:rsidRPr="310F0368">
        <w:t>PBAC response</w:t>
      </w:r>
      <w:r w:rsidR="000902A0" w:rsidRPr="005A5BB7">
        <w:rPr>
          <w:iCs/>
        </w:rPr>
        <w:t>,</w:t>
      </w:r>
      <w:r w:rsidR="00587E48" w:rsidRPr="310F0368">
        <w:t xml:space="preserve"> which stated that </w:t>
      </w:r>
      <w:bookmarkEnd w:id="33"/>
      <w:r w:rsidR="00587E48" w:rsidRPr="310F0368">
        <w:t>given the post hoc nature of the analyses, the results should be interpreted with caution.</w:t>
      </w:r>
      <w:r w:rsidR="00DA1339">
        <w:rPr>
          <w:iCs/>
        </w:rPr>
        <w:t xml:space="preserve"> </w:t>
      </w:r>
      <w:r w:rsidR="00587E48" w:rsidRPr="310F0368">
        <w:t>Small numbers of events were observed in some analyses, resulting in wide confidence intervals (data not shown).</w:t>
      </w:r>
      <w:bookmarkEnd w:id="34"/>
    </w:p>
    <w:p w14:paraId="6BEEF8D8" w14:textId="45D900B4" w:rsidR="00C74E14" w:rsidRPr="005A5BB7" w:rsidRDefault="00C74E14" w:rsidP="00C74E14">
      <w:pPr>
        <w:pStyle w:val="3-BodyText"/>
      </w:pPr>
      <w:r w:rsidRPr="005A5BB7">
        <w:t>The resubmission described the comorbidities of interest in the AReSVi</w:t>
      </w:r>
      <w:r w:rsidR="000E4816">
        <w:noBreakHyphen/>
      </w:r>
      <w:r w:rsidRPr="005A5BB7">
        <w:t xml:space="preserve">006 trial as being ‘broadly aligned’ with the risk categories and example medical conditions outlined in the AIH, except for ‘immunocompromising conditions, chronic neurological conditions and obesity’, </w:t>
      </w:r>
      <w:r w:rsidR="00864695" w:rsidRPr="005A5BB7">
        <w:t>as they</w:t>
      </w:r>
      <w:r w:rsidRPr="005A5BB7">
        <w:t xml:space="preserve"> were either excluded or not specified as comorbid conditions of interest in AReSVi</w:t>
      </w:r>
      <w:r w:rsidR="000E4816">
        <w:noBreakHyphen/>
      </w:r>
      <w:r w:rsidRPr="005A5BB7">
        <w:t>006. Patients with obesity (BMI ≥30 kg/m</w:t>
      </w:r>
      <w:r w:rsidRPr="005A5BB7">
        <w:rPr>
          <w:vertAlign w:val="superscript"/>
        </w:rPr>
        <w:t>2</w:t>
      </w:r>
      <w:r w:rsidRPr="005A5BB7">
        <w:t>) and patients with stable chronic neurological conditions were represented in AReSVi</w:t>
      </w:r>
      <w:r w:rsidR="000E4816">
        <w:noBreakHyphen/>
      </w:r>
      <w:r w:rsidRPr="005A5BB7">
        <w:t>006</w:t>
      </w:r>
      <w:r w:rsidR="00773010" w:rsidRPr="005A5BB7">
        <w:t>.</w:t>
      </w:r>
      <w:r w:rsidRPr="005A5BB7">
        <w:t xml:space="preserve"> </w:t>
      </w:r>
      <w:r w:rsidR="00773010" w:rsidRPr="005A5BB7">
        <w:t>A</w:t>
      </w:r>
      <w:r w:rsidRPr="005A5BB7">
        <w:t>dults with immunocompromising medical conditions, or who were receiving immunosuppressant or immunomodulatory medications, were excluded from the trial. To support the use of RSVPreF3 OA in immunocompromised patients the resubmission presented evidence from the RSV OA=ADJ</w:t>
      </w:r>
      <w:r w:rsidR="000E4816">
        <w:noBreakHyphen/>
      </w:r>
      <w:r w:rsidRPr="005A5BB7">
        <w:t xml:space="preserve">023 immunogenicity study. </w:t>
      </w:r>
    </w:p>
    <w:p w14:paraId="2AC79F37" w14:textId="6F48C434" w:rsidR="00C74E14" w:rsidRPr="005A5BB7" w:rsidRDefault="00C74E14" w:rsidP="009B28B0">
      <w:pPr>
        <w:pStyle w:val="3-BodyText"/>
      </w:pPr>
      <w:r w:rsidRPr="005A5BB7">
        <w:t xml:space="preserve">The resubmission </w:t>
      </w:r>
      <w:r w:rsidR="001C2B99" w:rsidRPr="005A5BB7">
        <w:t>argued</w:t>
      </w:r>
      <w:r w:rsidRPr="005A5BB7">
        <w:t xml:space="preserve"> that although the list of medical conditions </w:t>
      </w:r>
      <w:r w:rsidR="00762F46" w:rsidRPr="005A5BB7">
        <w:t xml:space="preserve">with </w:t>
      </w:r>
      <w:r w:rsidRPr="005A5BB7">
        <w:t>an increased risk of severe RSV disease in the AIH is broader than the comorbid conditions of interest in the</w:t>
      </w:r>
      <w:r w:rsidR="001C2B99" w:rsidRPr="005A5BB7">
        <w:t xml:space="preserve"> AReSVi</w:t>
      </w:r>
      <w:r w:rsidR="000E4816">
        <w:noBreakHyphen/>
      </w:r>
      <w:r w:rsidR="001C2B99" w:rsidRPr="005A5BB7">
        <w:t>006 trial</w:t>
      </w:r>
      <w:r w:rsidRPr="005A5BB7">
        <w:t xml:space="preserve">, the VE demonstrated in the trial was consistent, irrespective of the presence or absence of baseline comorbidities. </w:t>
      </w:r>
    </w:p>
    <w:p w14:paraId="4733BB33" w14:textId="62AB4BE8" w:rsidR="00C74E14" w:rsidRPr="005A5BB7" w:rsidRDefault="001C2B99" w:rsidP="001C2B99">
      <w:pPr>
        <w:pStyle w:val="3-BodyText"/>
      </w:pPr>
      <w:r w:rsidRPr="005A5BB7">
        <w:lastRenderedPageBreak/>
        <w:t>A</w:t>
      </w:r>
      <w:r w:rsidR="00C74E14" w:rsidRPr="005A5BB7">
        <w:t xml:space="preserve"> comparison of the listed AIH at</w:t>
      </w:r>
      <w:r w:rsidR="000E4816">
        <w:noBreakHyphen/>
      </w:r>
      <w:r w:rsidR="00C74E14" w:rsidRPr="005A5BB7">
        <w:t xml:space="preserve">risk conditions </w:t>
      </w:r>
      <w:r w:rsidRPr="005A5BB7">
        <w:t>and</w:t>
      </w:r>
      <w:r w:rsidR="00C74E14" w:rsidRPr="005A5BB7">
        <w:t xml:space="preserve"> the </w:t>
      </w:r>
      <w:r w:rsidRPr="005A5BB7">
        <w:t xml:space="preserve">participants in the </w:t>
      </w:r>
      <w:r w:rsidR="00C74E14" w:rsidRPr="005A5BB7">
        <w:t>AReSVi</w:t>
      </w:r>
      <w:r w:rsidR="000E4816">
        <w:noBreakHyphen/>
      </w:r>
      <w:r w:rsidR="00C74E14" w:rsidRPr="005A5BB7">
        <w:t>006 study</w:t>
      </w:r>
      <w:r w:rsidRPr="005A5BB7">
        <w:t xml:space="preserve"> is shown </w:t>
      </w:r>
      <w:r w:rsidR="00C74E14" w:rsidRPr="005A5BB7">
        <w:t>in</w:t>
      </w:r>
      <w:r w:rsidRPr="005A5BB7">
        <w:t xml:space="preserve"> </w:t>
      </w:r>
      <w:r w:rsidRPr="005A5BB7">
        <w:fldChar w:fldCharType="begin"/>
      </w:r>
      <w:r w:rsidRPr="005A5BB7">
        <w:instrText xml:space="preserve"> REF _Ref219837136 \h </w:instrText>
      </w:r>
      <w:r w:rsidR="005E26D0" w:rsidRPr="005A5BB7">
        <w:instrText xml:space="preserve"> \* MERGEFORMAT </w:instrText>
      </w:r>
      <w:r w:rsidRPr="005A5BB7">
        <w:fldChar w:fldCharType="separate"/>
      </w:r>
      <w:r w:rsidR="0043658C" w:rsidRPr="005A5BB7">
        <w:t xml:space="preserve">Table </w:t>
      </w:r>
      <w:r w:rsidR="0043658C">
        <w:t>4</w:t>
      </w:r>
      <w:r w:rsidRPr="005A5BB7">
        <w:fldChar w:fldCharType="end"/>
      </w:r>
      <w:r w:rsidR="00C74E14" w:rsidRPr="005A5BB7">
        <w:t>.</w:t>
      </w:r>
    </w:p>
    <w:p w14:paraId="26A1728A" w14:textId="749FB28A" w:rsidR="00C74E14" w:rsidRPr="005A5BB7" w:rsidRDefault="001C2B99" w:rsidP="00C74E14">
      <w:pPr>
        <w:pStyle w:val="Caption"/>
        <w:rPr>
          <w:rFonts w:eastAsia="Arial Narrow" w:cs="Arial Narrow"/>
          <w:color w:val="000000" w:themeColor="text1"/>
          <w:szCs w:val="20"/>
        </w:rPr>
      </w:pPr>
      <w:bookmarkStart w:id="35" w:name="_Ref219837136"/>
      <w:r w:rsidRPr="005A5BB7">
        <w:t xml:space="preserve">Table </w:t>
      </w:r>
      <w:fldSimple w:instr=" SEQ Table \* ARABIC ">
        <w:r w:rsidR="0043658C">
          <w:rPr>
            <w:noProof/>
          </w:rPr>
          <w:t>4</w:t>
        </w:r>
      </w:fldSimple>
      <w:bookmarkEnd w:id="35"/>
      <w:r w:rsidRPr="005A5BB7">
        <w:t xml:space="preserve">: </w:t>
      </w:r>
      <w:r w:rsidR="00C74E14" w:rsidRPr="005A5BB7">
        <w:rPr>
          <w:rFonts w:eastAsia="Arial Narrow" w:cs="Arial Narrow"/>
          <w:color w:val="000000" w:themeColor="text1"/>
          <w:szCs w:val="20"/>
        </w:rPr>
        <w:t>Comparison of the comorbidities at increased risk of severe RSV disease identified in the Australian Immunisation Handbook and the AReSVi</w:t>
      </w:r>
      <w:r w:rsidR="000E4816">
        <w:rPr>
          <w:rFonts w:eastAsia="Arial Narrow" w:cs="Arial Narrow"/>
          <w:color w:val="000000" w:themeColor="text1"/>
          <w:szCs w:val="20"/>
        </w:rPr>
        <w:noBreakHyphen/>
      </w:r>
      <w:r w:rsidR="00C74E14" w:rsidRPr="005A5BB7">
        <w:rPr>
          <w:rFonts w:eastAsia="Arial Narrow" w:cs="Arial Narrow"/>
          <w:color w:val="000000" w:themeColor="text1"/>
          <w:szCs w:val="20"/>
        </w:rPr>
        <w:t>006 trial</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4: Comparison of the comorbidities at increased risk of severe RSV disease identified in the Australian Immunisation Handbook and the AReSVi 006 trial"/>
      </w:tblPr>
      <w:tblGrid>
        <w:gridCol w:w="3961"/>
        <w:gridCol w:w="5050"/>
      </w:tblGrid>
      <w:tr w:rsidR="00C74E14" w:rsidRPr="005A5BB7" w14:paraId="24D16C6E" w14:textId="77777777" w:rsidTr="00762F46">
        <w:trPr>
          <w:trHeight w:val="300"/>
        </w:trPr>
        <w:tc>
          <w:tcPr>
            <w:tcW w:w="3961" w:type="dxa"/>
            <w:tcMar>
              <w:left w:w="105" w:type="dxa"/>
              <w:right w:w="105" w:type="dxa"/>
            </w:tcMar>
          </w:tcPr>
          <w:p w14:paraId="6FA235C9" w14:textId="77777777" w:rsidR="00715959" w:rsidRPr="005A5BB7" w:rsidRDefault="00C74E14" w:rsidP="00C578B4">
            <w:pPr>
              <w:pStyle w:val="TableText0"/>
              <w:rPr>
                <w:b/>
                <w:bCs w:val="0"/>
                <w:u w:val="single"/>
              </w:rPr>
            </w:pPr>
            <w:r w:rsidRPr="005A5BB7">
              <w:rPr>
                <w:b/>
                <w:bCs w:val="0"/>
                <w:u w:val="single"/>
              </w:rPr>
              <w:t xml:space="preserve">AIH Risk Category </w:t>
            </w:r>
          </w:p>
          <w:p w14:paraId="1AB3D7E6" w14:textId="03C31FA9" w:rsidR="00C74E14" w:rsidRPr="005A5BB7" w:rsidRDefault="00C74E14" w:rsidP="00C578B4">
            <w:pPr>
              <w:pStyle w:val="TableText0"/>
              <w:rPr>
                <w:b/>
                <w:bCs w:val="0"/>
              </w:rPr>
            </w:pPr>
            <w:r w:rsidRPr="005A5BB7">
              <w:rPr>
                <w:b/>
                <w:bCs w:val="0"/>
              </w:rPr>
              <w:t>and example medical conditions</w:t>
            </w:r>
          </w:p>
        </w:tc>
        <w:tc>
          <w:tcPr>
            <w:tcW w:w="5050" w:type="dxa"/>
            <w:tcMar>
              <w:left w:w="105" w:type="dxa"/>
              <w:right w:w="105" w:type="dxa"/>
            </w:tcMar>
          </w:tcPr>
          <w:p w14:paraId="006E5C23" w14:textId="37D7BC61" w:rsidR="00C74E14" w:rsidRPr="005A5BB7" w:rsidRDefault="00C74E14" w:rsidP="00C578B4">
            <w:pPr>
              <w:pStyle w:val="TableText0"/>
              <w:rPr>
                <w:b/>
                <w:bCs w:val="0"/>
              </w:rPr>
            </w:pPr>
            <w:r w:rsidRPr="005A5BB7">
              <w:rPr>
                <w:b/>
                <w:bCs w:val="0"/>
              </w:rPr>
              <w:t>AReSVi</w:t>
            </w:r>
            <w:r w:rsidR="000E4816">
              <w:rPr>
                <w:b/>
                <w:bCs w:val="0"/>
              </w:rPr>
              <w:noBreakHyphen/>
            </w:r>
            <w:r w:rsidRPr="005A5BB7">
              <w:rPr>
                <w:b/>
                <w:bCs w:val="0"/>
              </w:rPr>
              <w:t>006</w:t>
            </w:r>
          </w:p>
        </w:tc>
      </w:tr>
      <w:tr w:rsidR="00C74E14" w:rsidRPr="005A5BB7" w14:paraId="77F6AD93" w14:textId="77777777" w:rsidTr="00762F46">
        <w:trPr>
          <w:trHeight w:val="300"/>
        </w:trPr>
        <w:tc>
          <w:tcPr>
            <w:tcW w:w="3961" w:type="dxa"/>
            <w:tcMar>
              <w:left w:w="105" w:type="dxa"/>
              <w:right w:w="105" w:type="dxa"/>
            </w:tcMar>
          </w:tcPr>
          <w:p w14:paraId="113976E8" w14:textId="77777777" w:rsidR="00C74E14" w:rsidRPr="005A5BB7" w:rsidRDefault="00C74E14" w:rsidP="00C578B4">
            <w:pPr>
              <w:pStyle w:val="TableText0"/>
              <w:rPr>
                <w:u w:val="single"/>
              </w:rPr>
            </w:pPr>
            <w:r w:rsidRPr="005A5BB7">
              <w:rPr>
                <w:u w:val="single"/>
              </w:rPr>
              <w:t xml:space="preserve">Cardiac disease </w:t>
            </w:r>
          </w:p>
          <w:p w14:paraId="64935112" w14:textId="77777777" w:rsidR="00C74E14" w:rsidRPr="005A5BB7" w:rsidRDefault="00C74E14" w:rsidP="00C578B4">
            <w:pPr>
              <w:pStyle w:val="TableText0"/>
            </w:pPr>
            <w:r w:rsidRPr="005A5BB7">
              <w:t>Congenital heart disease</w:t>
            </w:r>
          </w:p>
          <w:p w14:paraId="029A1D3C" w14:textId="77777777" w:rsidR="00C74E14" w:rsidRPr="005A5BB7" w:rsidRDefault="00C74E14" w:rsidP="00C578B4">
            <w:pPr>
              <w:pStyle w:val="TableText0"/>
            </w:pPr>
            <w:r w:rsidRPr="005A5BB7">
              <w:t>Congestive heart failure</w:t>
            </w:r>
          </w:p>
          <w:p w14:paraId="6D6041FD" w14:textId="77777777" w:rsidR="00C74E14" w:rsidRPr="005A5BB7" w:rsidRDefault="00C74E14" w:rsidP="00C578B4">
            <w:pPr>
              <w:pStyle w:val="TableText0"/>
            </w:pPr>
            <w:r w:rsidRPr="005A5BB7">
              <w:t>Coronary artery disease</w:t>
            </w:r>
          </w:p>
        </w:tc>
        <w:tc>
          <w:tcPr>
            <w:tcW w:w="5050" w:type="dxa"/>
            <w:tcMar>
              <w:left w:w="105" w:type="dxa"/>
              <w:right w:w="105" w:type="dxa"/>
            </w:tcMar>
          </w:tcPr>
          <w:p w14:paraId="20D073C9" w14:textId="63822ADD" w:rsidR="00C74E14" w:rsidRPr="005A5BB7" w:rsidRDefault="00C74E14" w:rsidP="00C578B4">
            <w:pPr>
              <w:pStyle w:val="TableText0"/>
            </w:pPr>
            <w:r w:rsidRPr="005A5BB7">
              <w:t>Participants with medically stable cardiac conditions were eligible for enrolment in AReSVi</w:t>
            </w:r>
            <w:r w:rsidR="000E4816">
              <w:noBreakHyphen/>
            </w:r>
            <w:r w:rsidRPr="005A5BB7">
              <w:t>006. Chronic heart failure was a comorbid condition of interest. Congestive heart failure (weight = 2) was included in the CCI.</w:t>
            </w:r>
          </w:p>
        </w:tc>
      </w:tr>
      <w:tr w:rsidR="00C74E14" w:rsidRPr="005A5BB7" w14:paraId="4B9918F1" w14:textId="77777777" w:rsidTr="00762F46">
        <w:trPr>
          <w:trHeight w:val="300"/>
        </w:trPr>
        <w:tc>
          <w:tcPr>
            <w:tcW w:w="3961" w:type="dxa"/>
            <w:tcMar>
              <w:left w:w="105" w:type="dxa"/>
              <w:right w:w="105" w:type="dxa"/>
            </w:tcMar>
          </w:tcPr>
          <w:p w14:paraId="4D6DCC26" w14:textId="77777777" w:rsidR="00C74E14" w:rsidRPr="005A5BB7" w:rsidRDefault="00C74E14" w:rsidP="00C578B4">
            <w:pPr>
              <w:pStyle w:val="TableText0"/>
              <w:rPr>
                <w:u w:val="single"/>
              </w:rPr>
            </w:pPr>
            <w:r w:rsidRPr="005A5BB7">
              <w:rPr>
                <w:u w:val="single"/>
              </w:rPr>
              <w:t xml:space="preserve">Chronic respiratory conditions </w:t>
            </w:r>
          </w:p>
          <w:p w14:paraId="083DAF71" w14:textId="77777777" w:rsidR="00C74E14" w:rsidRPr="005A5BB7" w:rsidRDefault="00C74E14" w:rsidP="00C578B4">
            <w:pPr>
              <w:pStyle w:val="TableText0"/>
            </w:pPr>
            <w:r w:rsidRPr="005A5BB7">
              <w:t xml:space="preserve">Suppurative lung disease </w:t>
            </w:r>
          </w:p>
          <w:p w14:paraId="4180292A" w14:textId="77777777" w:rsidR="00C74E14" w:rsidRPr="005A5BB7" w:rsidRDefault="00C74E14" w:rsidP="00C578B4">
            <w:pPr>
              <w:pStyle w:val="TableText0"/>
            </w:pPr>
            <w:r w:rsidRPr="005A5BB7">
              <w:t>Bronchiectasis</w:t>
            </w:r>
          </w:p>
          <w:p w14:paraId="6CB8030D" w14:textId="77777777" w:rsidR="00C74E14" w:rsidRPr="005A5BB7" w:rsidRDefault="00C74E14" w:rsidP="00C578B4">
            <w:pPr>
              <w:pStyle w:val="TableText0"/>
            </w:pPr>
            <w:r w:rsidRPr="005A5BB7">
              <w:t>Cystic fibrosis</w:t>
            </w:r>
          </w:p>
          <w:p w14:paraId="6A59FEE9" w14:textId="77777777" w:rsidR="00C74E14" w:rsidRPr="005A5BB7" w:rsidRDefault="00C74E14" w:rsidP="00C578B4">
            <w:pPr>
              <w:pStyle w:val="TableText0"/>
            </w:pPr>
            <w:r w:rsidRPr="005A5BB7">
              <w:t>COPD</w:t>
            </w:r>
          </w:p>
          <w:p w14:paraId="19950DC8" w14:textId="77777777" w:rsidR="00C74E14" w:rsidRPr="005A5BB7" w:rsidRDefault="00C74E14" w:rsidP="00C578B4">
            <w:pPr>
              <w:pStyle w:val="TableText0"/>
            </w:pPr>
            <w:r w:rsidRPr="005A5BB7">
              <w:t>Chronic emphysema</w:t>
            </w:r>
          </w:p>
          <w:p w14:paraId="063E8308" w14:textId="77777777" w:rsidR="00C74E14" w:rsidRPr="005A5BB7" w:rsidRDefault="00C74E14" w:rsidP="00C578B4">
            <w:pPr>
              <w:pStyle w:val="TableText0"/>
            </w:pPr>
            <w:r w:rsidRPr="005A5BB7">
              <w:t>Severe asthma</w:t>
            </w:r>
          </w:p>
        </w:tc>
        <w:tc>
          <w:tcPr>
            <w:tcW w:w="5050" w:type="dxa"/>
            <w:tcMar>
              <w:left w:w="105" w:type="dxa"/>
              <w:right w:w="105" w:type="dxa"/>
            </w:tcMar>
          </w:tcPr>
          <w:p w14:paraId="2735876D" w14:textId="46A60FAE" w:rsidR="00C74E14" w:rsidRPr="005A5BB7" w:rsidRDefault="00C74E14" w:rsidP="00C578B4">
            <w:pPr>
              <w:pStyle w:val="TableText0"/>
            </w:pPr>
            <w:r w:rsidRPr="005A5BB7">
              <w:t>Participants with medically stable chronic respiratory conditions were eligible for enrolment in AReSVi</w:t>
            </w:r>
            <w:r w:rsidR="000E4816">
              <w:noBreakHyphen/>
            </w:r>
            <w:r w:rsidRPr="005A5BB7">
              <w:t>006, unless receiving chronic administration (&gt;14 days) of immunosuppressants or immune</w:t>
            </w:r>
            <w:r w:rsidR="000E4816">
              <w:noBreakHyphen/>
            </w:r>
            <w:r w:rsidRPr="005A5BB7">
              <w:t xml:space="preserve">modifying drugs during the 90 days prior to vaccine </w:t>
            </w:r>
            <w:r w:rsidR="00033641" w:rsidRPr="005A5BB7">
              <w:t>administration</w:t>
            </w:r>
            <w:r w:rsidR="00033641" w:rsidRPr="005A5BB7">
              <w:rPr>
                <w:vertAlign w:val="superscript"/>
              </w:rPr>
              <w:t>a</w:t>
            </w:r>
            <w:r w:rsidRPr="005A5BB7">
              <w:t>. COPD, asthma and chronic respiratory/pulmonary disease were comorbid conditions of interest. Chronic pulmonary disease (weight = 1) was included in the CCI.</w:t>
            </w:r>
          </w:p>
        </w:tc>
      </w:tr>
      <w:tr w:rsidR="00C74E14" w:rsidRPr="005A5BB7" w14:paraId="276FE045" w14:textId="77777777" w:rsidTr="00762F46">
        <w:trPr>
          <w:trHeight w:val="300"/>
        </w:trPr>
        <w:tc>
          <w:tcPr>
            <w:tcW w:w="3961" w:type="dxa"/>
            <w:tcMar>
              <w:left w:w="105" w:type="dxa"/>
              <w:right w:w="105" w:type="dxa"/>
            </w:tcMar>
          </w:tcPr>
          <w:p w14:paraId="4B5EC62B" w14:textId="77777777" w:rsidR="00C74E14" w:rsidRPr="005A5BB7" w:rsidRDefault="00C74E14" w:rsidP="00C578B4">
            <w:pPr>
              <w:pStyle w:val="TableText0"/>
              <w:rPr>
                <w:u w:val="single"/>
              </w:rPr>
            </w:pPr>
            <w:r w:rsidRPr="005A5BB7">
              <w:rPr>
                <w:u w:val="single"/>
              </w:rPr>
              <w:t>Immunocompromising conditions</w:t>
            </w:r>
          </w:p>
          <w:p w14:paraId="0DE539B0" w14:textId="77777777" w:rsidR="00C74E14" w:rsidRPr="005A5BB7" w:rsidRDefault="00C74E14" w:rsidP="00C578B4">
            <w:pPr>
              <w:pStyle w:val="TableText0"/>
            </w:pPr>
            <w:r w:rsidRPr="005A5BB7">
              <w:t>HIV infection</w:t>
            </w:r>
          </w:p>
          <w:p w14:paraId="2DE2D527" w14:textId="77777777" w:rsidR="00C74E14" w:rsidRPr="005A5BB7" w:rsidRDefault="00C74E14" w:rsidP="00C578B4">
            <w:pPr>
              <w:pStyle w:val="TableText0"/>
            </w:pPr>
            <w:r w:rsidRPr="005A5BB7">
              <w:t>Malignancy</w:t>
            </w:r>
          </w:p>
          <w:p w14:paraId="72180631" w14:textId="77777777" w:rsidR="00C74E14" w:rsidRPr="005A5BB7" w:rsidRDefault="00C74E14" w:rsidP="00C578B4">
            <w:pPr>
              <w:pStyle w:val="TableText0"/>
            </w:pPr>
            <w:r w:rsidRPr="005A5BB7">
              <w:t>Immunocompromise due to disease or treatment</w:t>
            </w:r>
          </w:p>
          <w:p w14:paraId="1EB27B84" w14:textId="77777777" w:rsidR="00C74E14" w:rsidRPr="005A5BB7" w:rsidRDefault="00C74E14" w:rsidP="00C578B4">
            <w:pPr>
              <w:pStyle w:val="TableText0"/>
            </w:pPr>
            <w:r w:rsidRPr="005A5BB7">
              <w:t>Asplenia or splenic dysfunction</w:t>
            </w:r>
          </w:p>
          <w:p w14:paraId="40393837" w14:textId="77777777" w:rsidR="00C74E14" w:rsidRPr="005A5BB7" w:rsidRDefault="00C74E14" w:rsidP="00C578B4">
            <w:pPr>
              <w:pStyle w:val="TableText0"/>
            </w:pPr>
            <w:r w:rsidRPr="005A5BB7">
              <w:t>Solid organ transplant</w:t>
            </w:r>
          </w:p>
          <w:p w14:paraId="6E2E77D6" w14:textId="77777777" w:rsidR="00C74E14" w:rsidRPr="005A5BB7" w:rsidRDefault="00C74E14" w:rsidP="00C578B4">
            <w:pPr>
              <w:pStyle w:val="TableText0"/>
            </w:pPr>
            <w:r w:rsidRPr="005A5BB7">
              <w:t>Haematopoietic stem cell transplant</w:t>
            </w:r>
          </w:p>
          <w:p w14:paraId="07B82F20" w14:textId="04A16432" w:rsidR="00C74E14" w:rsidRPr="005A5BB7" w:rsidRDefault="00C74E14" w:rsidP="00C578B4">
            <w:pPr>
              <w:pStyle w:val="TableText0"/>
            </w:pPr>
            <w:r w:rsidRPr="005A5BB7">
              <w:t>CAR T</w:t>
            </w:r>
            <w:r w:rsidR="000E4816">
              <w:noBreakHyphen/>
            </w:r>
            <w:r w:rsidRPr="005A5BB7">
              <w:t>cell therapy</w:t>
            </w:r>
          </w:p>
        </w:tc>
        <w:tc>
          <w:tcPr>
            <w:tcW w:w="5050" w:type="dxa"/>
            <w:tcMar>
              <w:left w:w="105" w:type="dxa"/>
              <w:right w:w="105" w:type="dxa"/>
            </w:tcMar>
          </w:tcPr>
          <w:p w14:paraId="3FF4A522" w14:textId="57B12636" w:rsidR="00C74E14" w:rsidRPr="005A5BB7" w:rsidRDefault="00C74E14" w:rsidP="00C578B4">
            <w:pPr>
              <w:pStyle w:val="TableText0"/>
            </w:pPr>
            <w:r w:rsidRPr="005A5BB7">
              <w:t>Patients with any confirmed or suspected immunosuppressive or immunodeficient disease resulting from disease or immunosuppressive/cytotoxic therapy were excluded from AReSVi</w:t>
            </w:r>
            <w:r w:rsidR="000E4816">
              <w:noBreakHyphen/>
            </w:r>
            <w:r w:rsidRPr="005A5BB7">
              <w:t xml:space="preserve">006. </w:t>
            </w:r>
          </w:p>
        </w:tc>
      </w:tr>
      <w:tr w:rsidR="00C74E14" w:rsidRPr="005A5BB7" w14:paraId="5F831404" w14:textId="77777777" w:rsidTr="00762F46">
        <w:trPr>
          <w:trHeight w:val="300"/>
        </w:trPr>
        <w:tc>
          <w:tcPr>
            <w:tcW w:w="3961" w:type="dxa"/>
            <w:tcMar>
              <w:left w:w="105" w:type="dxa"/>
              <w:right w:w="105" w:type="dxa"/>
            </w:tcMar>
          </w:tcPr>
          <w:p w14:paraId="09FB8585" w14:textId="77777777" w:rsidR="00C74E14" w:rsidRPr="005A5BB7" w:rsidRDefault="00C74E14" w:rsidP="00C578B4">
            <w:pPr>
              <w:pStyle w:val="TableText0"/>
              <w:rPr>
                <w:u w:val="single"/>
              </w:rPr>
            </w:pPr>
            <w:r w:rsidRPr="005A5BB7">
              <w:rPr>
                <w:u w:val="single"/>
              </w:rPr>
              <w:t>Chronic metabolic disorders</w:t>
            </w:r>
          </w:p>
          <w:p w14:paraId="113DF99D" w14:textId="77777777" w:rsidR="00C74E14" w:rsidRPr="005A5BB7" w:rsidRDefault="00C74E14" w:rsidP="00C578B4">
            <w:pPr>
              <w:pStyle w:val="TableText0"/>
            </w:pPr>
            <w:r w:rsidRPr="005A5BB7">
              <w:t>Type 1 or 2 diabetes</w:t>
            </w:r>
          </w:p>
          <w:p w14:paraId="119DBBA7" w14:textId="77777777" w:rsidR="00C74E14" w:rsidRPr="005A5BB7" w:rsidRDefault="00C74E14" w:rsidP="00C578B4">
            <w:pPr>
              <w:pStyle w:val="TableText0"/>
            </w:pPr>
            <w:r w:rsidRPr="005A5BB7">
              <w:t>Other metabolic disorders</w:t>
            </w:r>
          </w:p>
        </w:tc>
        <w:tc>
          <w:tcPr>
            <w:tcW w:w="5050" w:type="dxa"/>
            <w:tcMar>
              <w:left w:w="105" w:type="dxa"/>
              <w:right w:w="105" w:type="dxa"/>
            </w:tcMar>
          </w:tcPr>
          <w:p w14:paraId="6B34B14F" w14:textId="7EF1D131" w:rsidR="00C74E14" w:rsidRPr="005A5BB7" w:rsidRDefault="00C74E14" w:rsidP="00C578B4">
            <w:pPr>
              <w:pStyle w:val="TableText0"/>
            </w:pPr>
            <w:r w:rsidRPr="005A5BB7">
              <w:t>Participants with stable metabolic disorders were eligible for enrolment. Diabetes (type 1 and type 2) was a comorbid condition of interest. Diabetes with (weight = 1) or without (weight = 0) chronic complications was included in the CCI.</w:t>
            </w:r>
          </w:p>
        </w:tc>
      </w:tr>
      <w:tr w:rsidR="00C74E14" w:rsidRPr="005A5BB7" w14:paraId="7C508543" w14:textId="77777777" w:rsidTr="00762F46">
        <w:trPr>
          <w:trHeight w:val="300"/>
        </w:trPr>
        <w:tc>
          <w:tcPr>
            <w:tcW w:w="3961" w:type="dxa"/>
            <w:tcMar>
              <w:left w:w="105" w:type="dxa"/>
              <w:right w:w="105" w:type="dxa"/>
            </w:tcMar>
          </w:tcPr>
          <w:p w14:paraId="42A3C215" w14:textId="77777777" w:rsidR="00C74E14" w:rsidRPr="005A5BB7" w:rsidRDefault="00C74E14" w:rsidP="00C578B4">
            <w:pPr>
              <w:pStyle w:val="TableText0"/>
              <w:rPr>
                <w:u w:val="single"/>
              </w:rPr>
            </w:pPr>
            <w:r w:rsidRPr="005A5BB7">
              <w:rPr>
                <w:u w:val="single"/>
              </w:rPr>
              <w:t>Chronic kidney disease</w:t>
            </w:r>
          </w:p>
          <w:p w14:paraId="1F59774C" w14:textId="77777777" w:rsidR="00C74E14" w:rsidRPr="005A5BB7" w:rsidRDefault="00C74E14" w:rsidP="00C578B4">
            <w:pPr>
              <w:pStyle w:val="TableText0"/>
            </w:pPr>
            <w:r w:rsidRPr="005A5BB7">
              <w:t>Chronic renal impairment (stage 4 or 5) – eGFR &lt;30 mL/min</w:t>
            </w:r>
          </w:p>
        </w:tc>
        <w:tc>
          <w:tcPr>
            <w:tcW w:w="5050" w:type="dxa"/>
            <w:tcMar>
              <w:left w:w="105" w:type="dxa"/>
              <w:right w:w="105" w:type="dxa"/>
            </w:tcMar>
          </w:tcPr>
          <w:p w14:paraId="46426604" w14:textId="194C01DF" w:rsidR="00C74E14" w:rsidRPr="005A5BB7" w:rsidRDefault="00C74E14" w:rsidP="00C578B4">
            <w:pPr>
              <w:pStyle w:val="TableText0"/>
            </w:pPr>
            <w:r w:rsidRPr="005A5BB7">
              <w:t>Participants with stable chronic kidney disease were eligible for enrolment. Advanced renal disease was a comorbid condition of interest. Renal disease (weight = 1) was included in the CCI.</w:t>
            </w:r>
          </w:p>
        </w:tc>
      </w:tr>
      <w:tr w:rsidR="00C74E14" w:rsidRPr="005A5BB7" w14:paraId="4DDC6747" w14:textId="77777777" w:rsidTr="00762F46">
        <w:trPr>
          <w:trHeight w:val="300"/>
        </w:trPr>
        <w:tc>
          <w:tcPr>
            <w:tcW w:w="3961" w:type="dxa"/>
            <w:tcMar>
              <w:left w:w="105" w:type="dxa"/>
              <w:right w:w="105" w:type="dxa"/>
            </w:tcMar>
          </w:tcPr>
          <w:p w14:paraId="38154511" w14:textId="77777777" w:rsidR="00C74E14" w:rsidRPr="005A5BB7" w:rsidRDefault="00C74E14" w:rsidP="00C578B4">
            <w:pPr>
              <w:pStyle w:val="TableText0"/>
              <w:rPr>
                <w:u w:val="single"/>
              </w:rPr>
            </w:pPr>
            <w:r w:rsidRPr="005A5BB7">
              <w:rPr>
                <w:u w:val="single"/>
              </w:rPr>
              <w:t>Chronic neurological conditions</w:t>
            </w:r>
          </w:p>
          <w:p w14:paraId="23075C0B" w14:textId="77777777" w:rsidR="00C74E14" w:rsidRPr="005A5BB7" w:rsidRDefault="00C74E14" w:rsidP="00C578B4">
            <w:pPr>
              <w:pStyle w:val="TableText0"/>
            </w:pPr>
            <w:r w:rsidRPr="005A5BB7">
              <w:t>Hereditary and degenerative CNS disorders</w:t>
            </w:r>
          </w:p>
          <w:p w14:paraId="6C62D4AE" w14:textId="77777777" w:rsidR="00C74E14" w:rsidRPr="005A5BB7" w:rsidRDefault="00C74E14" w:rsidP="00C578B4">
            <w:pPr>
              <w:pStyle w:val="TableText0"/>
            </w:pPr>
            <w:r w:rsidRPr="005A5BB7">
              <w:t>Seizure disorders</w:t>
            </w:r>
          </w:p>
          <w:p w14:paraId="26860A61" w14:textId="77777777" w:rsidR="00C74E14" w:rsidRPr="005A5BB7" w:rsidRDefault="00C74E14" w:rsidP="00C578B4">
            <w:pPr>
              <w:pStyle w:val="TableText0"/>
            </w:pPr>
            <w:r w:rsidRPr="005A5BB7">
              <w:t>Spinal cord injuries</w:t>
            </w:r>
          </w:p>
          <w:p w14:paraId="7F48E5C1" w14:textId="77777777" w:rsidR="00C74E14" w:rsidRPr="005A5BB7" w:rsidRDefault="00C74E14" w:rsidP="00C578B4">
            <w:pPr>
              <w:pStyle w:val="TableText0"/>
            </w:pPr>
            <w:r w:rsidRPr="005A5BB7">
              <w:t>Neuromuscular disorders</w:t>
            </w:r>
          </w:p>
        </w:tc>
        <w:tc>
          <w:tcPr>
            <w:tcW w:w="5050" w:type="dxa"/>
            <w:tcMar>
              <w:left w:w="105" w:type="dxa"/>
              <w:right w:w="105" w:type="dxa"/>
            </w:tcMar>
          </w:tcPr>
          <w:p w14:paraId="2AA317FF" w14:textId="77777777" w:rsidR="00C74E14" w:rsidRPr="005A5BB7" w:rsidRDefault="00C74E14" w:rsidP="00C578B4">
            <w:pPr>
              <w:pStyle w:val="TableText0"/>
            </w:pPr>
            <w:r w:rsidRPr="005A5BB7">
              <w:t xml:space="preserve">Participants with medically controlled active or chronic neurological diseases, except conditions that moderately or severely impaired cognition, could be enrolled in the study, provided that their condition would allow them to comply with the requirements of the protocol. No neurological conditions were included in the comorbid conditions of interest. </w:t>
            </w:r>
          </w:p>
        </w:tc>
      </w:tr>
      <w:tr w:rsidR="00C74E14" w:rsidRPr="005A5BB7" w14:paraId="099706A4" w14:textId="77777777" w:rsidTr="00762F46">
        <w:trPr>
          <w:trHeight w:val="300"/>
        </w:trPr>
        <w:tc>
          <w:tcPr>
            <w:tcW w:w="3961" w:type="dxa"/>
            <w:tcMar>
              <w:left w:w="105" w:type="dxa"/>
              <w:right w:w="105" w:type="dxa"/>
            </w:tcMar>
          </w:tcPr>
          <w:p w14:paraId="1B73003D" w14:textId="77777777" w:rsidR="00C74E14" w:rsidRPr="005A5BB7" w:rsidRDefault="00C74E14" w:rsidP="00C578B4">
            <w:pPr>
              <w:pStyle w:val="TableText0"/>
              <w:rPr>
                <w:u w:val="single"/>
              </w:rPr>
            </w:pPr>
            <w:r w:rsidRPr="005A5BB7">
              <w:rPr>
                <w:u w:val="single"/>
              </w:rPr>
              <w:t>Chronic liver disease</w:t>
            </w:r>
          </w:p>
          <w:p w14:paraId="25DCD7CA" w14:textId="77777777" w:rsidR="00C74E14" w:rsidRPr="005A5BB7" w:rsidRDefault="00C74E14" w:rsidP="00C578B4">
            <w:pPr>
              <w:pStyle w:val="TableText0"/>
            </w:pPr>
            <w:r w:rsidRPr="005A5BB7">
              <w:t>Conditions with progressive deterioration of liver function for &gt;6 months</w:t>
            </w:r>
          </w:p>
        </w:tc>
        <w:tc>
          <w:tcPr>
            <w:tcW w:w="5050" w:type="dxa"/>
            <w:tcMar>
              <w:left w:w="105" w:type="dxa"/>
              <w:right w:w="105" w:type="dxa"/>
            </w:tcMar>
          </w:tcPr>
          <w:p w14:paraId="244F19A1" w14:textId="0CA151DE" w:rsidR="00C74E14" w:rsidRPr="005A5BB7" w:rsidRDefault="00C74E14" w:rsidP="00C578B4">
            <w:pPr>
              <w:pStyle w:val="TableText0"/>
            </w:pPr>
            <w:r w:rsidRPr="005A5BB7">
              <w:t>Participants with stable chronic liver disease were eligible for enrolment, except patients with a history of drug abuse or chronic alcohol consumption who would be unable or unlikely to provide accurate safety reports or comply with study procedures. Advanced liver disease was a comorbid condition of interest. Mild (weight = 2) and moderate to severe (weight = 4) liver disease was included in the CCI.</w:t>
            </w:r>
          </w:p>
        </w:tc>
      </w:tr>
      <w:tr w:rsidR="00C74E14" w:rsidRPr="005A5BB7" w14:paraId="2F711E8D" w14:textId="77777777" w:rsidTr="00762F46">
        <w:trPr>
          <w:trHeight w:val="300"/>
        </w:trPr>
        <w:tc>
          <w:tcPr>
            <w:tcW w:w="3961" w:type="dxa"/>
            <w:tcMar>
              <w:left w:w="105" w:type="dxa"/>
              <w:right w:w="105" w:type="dxa"/>
            </w:tcMar>
          </w:tcPr>
          <w:p w14:paraId="01E66A32" w14:textId="77777777" w:rsidR="00C74E14" w:rsidRPr="005A5BB7" w:rsidRDefault="00C74E14" w:rsidP="00C578B4">
            <w:pPr>
              <w:pStyle w:val="TableText0"/>
              <w:rPr>
                <w:u w:val="single"/>
              </w:rPr>
            </w:pPr>
            <w:r w:rsidRPr="005A5BB7">
              <w:rPr>
                <w:u w:val="single"/>
              </w:rPr>
              <w:t>Obesity</w:t>
            </w:r>
          </w:p>
          <w:p w14:paraId="7F849E82" w14:textId="77777777" w:rsidR="00C74E14" w:rsidRPr="005A5BB7" w:rsidRDefault="00C74E14" w:rsidP="00C578B4">
            <w:pPr>
              <w:pStyle w:val="TableText0"/>
              <w:rPr>
                <w:sz w:val="16"/>
                <w:szCs w:val="16"/>
              </w:rPr>
            </w:pPr>
            <w:r w:rsidRPr="005A5BB7">
              <w:t>BMI ≥30 kg per m</w:t>
            </w:r>
            <w:r w:rsidRPr="005A5BB7">
              <w:rPr>
                <w:vertAlign w:val="superscript"/>
              </w:rPr>
              <w:t>2</w:t>
            </w:r>
          </w:p>
        </w:tc>
        <w:tc>
          <w:tcPr>
            <w:tcW w:w="5050" w:type="dxa"/>
            <w:tcMar>
              <w:left w:w="105" w:type="dxa"/>
              <w:right w:w="105" w:type="dxa"/>
            </w:tcMar>
          </w:tcPr>
          <w:p w14:paraId="1DC1D0BA" w14:textId="3F85863B" w:rsidR="00C74E14" w:rsidRPr="005A5BB7" w:rsidRDefault="00C74E14" w:rsidP="00C578B4">
            <w:pPr>
              <w:pStyle w:val="TableText0"/>
            </w:pPr>
            <w:r w:rsidRPr="005A5BB7">
              <w:t>Obesity was not included in the comorbid conditions of interest in AReSVi</w:t>
            </w:r>
            <w:r w:rsidR="000E4816">
              <w:noBreakHyphen/>
            </w:r>
            <w:r w:rsidRPr="005A5BB7">
              <w:t>006 and was not assigned a risk score in the CCI. The median BMI of participants in the E</w:t>
            </w:r>
            <w:r w:rsidR="00033641" w:rsidRPr="005A5BB7">
              <w:t xml:space="preserve">xposed </w:t>
            </w:r>
            <w:r w:rsidRPr="005A5BB7">
              <w:t>S</w:t>
            </w:r>
            <w:r w:rsidR="00033641" w:rsidRPr="005A5BB7">
              <w:t>et</w:t>
            </w:r>
            <w:r w:rsidRPr="005A5BB7">
              <w:t xml:space="preserve"> was 28.3 (Range: 12.6 </w:t>
            </w:r>
            <w:r w:rsidR="000E4816">
              <w:noBreakHyphen/>
            </w:r>
            <w:r w:rsidRPr="005A5BB7">
              <w:t xml:space="preserve"> 95.6). </w:t>
            </w:r>
          </w:p>
        </w:tc>
      </w:tr>
    </w:tbl>
    <w:p w14:paraId="21ADDCCB" w14:textId="1C150C35" w:rsidR="00C74E14" w:rsidRPr="005A5BB7" w:rsidRDefault="00C74E14" w:rsidP="00C74E14">
      <w:pPr>
        <w:pStyle w:val="FooterTableFigure"/>
        <w:rPr>
          <w:rFonts w:eastAsia="Arial Narrow" w:cs="Arial Narrow"/>
          <w:color w:val="000000" w:themeColor="text1"/>
          <w:szCs w:val="18"/>
        </w:rPr>
      </w:pPr>
      <w:r w:rsidRPr="005A5BB7">
        <w:rPr>
          <w:rFonts w:eastAsia="Arial Narrow" w:cs="Arial Narrow"/>
          <w:color w:val="000000" w:themeColor="text1"/>
          <w:szCs w:val="18"/>
        </w:rPr>
        <w:t>Source: Table 2</w:t>
      </w:r>
      <w:r w:rsidR="000E4816">
        <w:rPr>
          <w:rFonts w:eastAsia="Arial Narrow" w:cs="Arial Narrow"/>
          <w:color w:val="000000" w:themeColor="text1"/>
          <w:szCs w:val="18"/>
        </w:rPr>
        <w:noBreakHyphen/>
      </w:r>
      <w:r w:rsidRPr="005A5BB7">
        <w:rPr>
          <w:rFonts w:eastAsia="Arial Narrow" w:cs="Arial Narrow"/>
          <w:color w:val="000000" w:themeColor="text1"/>
          <w:szCs w:val="18"/>
        </w:rPr>
        <w:t>7, pp50</w:t>
      </w:r>
      <w:r w:rsidR="000E4816">
        <w:rPr>
          <w:rFonts w:eastAsia="Arial Narrow" w:cs="Arial Narrow"/>
          <w:color w:val="000000" w:themeColor="text1"/>
          <w:szCs w:val="18"/>
        </w:rPr>
        <w:noBreakHyphen/>
      </w:r>
      <w:r w:rsidRPr="005A5BB7">
        <w:rPr>
          <w:rFonts w:eastAsia="Arial Narrow" w:cs="Arial Narrow"/>
          <w:color w:val="000000" w:themeColor="text1"/>
          <w:szCs w:val="18"/>
        </w:rPr>
        <w:t>51 of the Submission</w:t>
      </w:r>
    </w:p>
    <w:p w14:paraId="25FC1BDC" w14:textId="6296E3F9" w:rsidR="00C74E14" w:rsidRPr="005A5BB7" w:rsidRDefault="00C74E14" w:rsidP="00C74E14">
      <w:pPr>
        <w:pStyle w:val="FooterTableFigure"/>
        <w:rPr>
          <w:rFonts w:eastAsia="Arial Narrow" w:cs="Arial Narrow"/>
          <w:color w:val="000000" w:themeColor="text1"/>
          <w:szCs w:val="18"/>
        </w:rPr>
      </w:pPr>
      <w:r w:rsidRPr="005A5BB7">
        <w:rPr>
          <w:rFonts w:eastAsia="Arial Narrow" w:cs="Arial Narrow"/>
          <w:color w:val="000000" w:themeColor="text1"/>
          <w:szCs w:val="18"/>
        </w:rPr>
        <w:t>AIH = Australian Immunisation Handbook; BMI = body mass index; CAR = chimeric antigen receptor; CCI = Charlson comorbidity index; CNS = central nervous system; COPD = chronic obstructive pulmonary disease; eGFR = estimated glomerular filtration rate</w:t>
      </w:r>
      <w:r w:rsidR="00033641" w:rsidRPr="005A5BB7">
        <w:rPr>
          <w:rFonts w:eastAsia="Arial Narrow" w:cs="Arial Narrow"/>
          <w:color w:val="000000" w:themeColor="text1"/>
          <w:szCs w:val="18"/>
        </w:rPr>
        <w:t>.</w:t>
      </w:r>
    </w:p>
    <w:p w14:paraId="53C57EAB" w14:textId="202ED3CB" w:rsidR="00C74E14" w:rsidRPr="005A5BB7" w:rsidRDefault="00033641" w:rsidP="00C74E14">
      <w:pPr>
        <w:pStyle w:val="FooterTableFigure"/>
        <w:rPr>
          <w:rFonts w:eastAsia="Arial Narrow" w:cs="Arial Narrow"/>
          <w:color w:val="000000" w:themeColor="text1"/>
          <w:szCs w:val="18"/>
        </w:rPr>
      </w:pPr>
      <w:r w:rsidRPr="005A5BB7">
        <w:rPr>
          <w:rFonts w:eastAsia="Arial Narrow" w:cs="Arial Narrow"/>
          <w:color w:val="000000" w:themeColor="text1"/>
          <w:szCs w:val="18"/>
        </w:rPr>
        <w:t xml:space="preserve">a. </w:t>
      </w:r>
      <w:r w:rsidR="00C74E14" w:rsidRPr="005A5BB7">
        <w:rPr>
          <w:rFonts w:eastAsia="Arial Narrow" w:cs="Arial Narrow"/>
          <w:color w:val="000000" w:themeColor="text1"/>
          <w:szCs w:val="18"/>
        </w:rPr>
        <w:t xml:space="preserve">Prednisone &lt;20 mg/day and inhaled and topical steroids were permitted. </w:t>
      </w:r>
    </w:p>
    <w:p w14:paraId="4C6F4835" w14:textId="77777777" w:rsidR="001C2B99" w:rsidRPr="005A5BB7" w:rsidRDefault="001C2B99" w:rsidP="001C2B99">
      <w:pPr>
        <w:rPr>
          <w:rFonts w:eastAsia="Arial Narrow"/>
        </w:rPr>
      </w:pPr>
    </w:p>
    <w:p w14:paraId="4AAE1A5E" w14:textId="03BB8ED2" w:rsidR="276790AE" w:rsidRPr="005A5BB7" w:rsidRDefault="276790AE" w:rsidP="3FF051E5">
      <w:pPr>
        <w:pStyle w:val="3-BodyText"/>
      </w:pPr>
      <w:r>
        <w:t xml:space="preserve">The </w:t>
      </w:r>
      <w:r w:rsidR="002D7CD5">
        <w:t>res</w:t>
      </w:r>
      <w:r>
        <w:t xml:space="preserve">ubmission presented updated immunogenicity and safety results </w:t>
      </w:r>
      <w:r w:rsidR="002D787C">
        <w:t xml:space="preserve">for </w:t>
      </w:r>
      <w:r w:rsidR="00F15B97" w:rsidRPr="00F15B97">
        <w:rPr>
          <w:sz w:val="2"/>
          <w:highlight w:val="black"/>
        </w:rPr>
        <w:t>Redacted content</w:t>
      </w:r>
      <w:r w:rsidR="00E75DE1" w:rsidRPr="00E75DE1">
        <w:t xml:space="preserve"> </w:t>
      </w:r>
      <w:r w:rsidR="00F15B97" w:rsidRPr="00F15B97">
        <w:rPr>
          <w:sz w:val="2"/>
          <w:highlight w:val="black"/>
        </w:rPr>
        <w:t>redacted content</w:t>
      </w:r>
      <w:r>
        <w:t xml:space="preserve"> in adults ≥ 60 YOA from one supportive trial, RSV OA=ADJ</w:t>
      </w:r>
      <w:r>
        <w:noBreakHyphen/>
        <w:t xml:space="preserve">004. In its July 2025 consideration, the PBAC had considered immunogenicity data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t xml:space="preserve"> post </w:t>
      </w:r>
      <w:r w:rsidRPr="00E0320F">
        <w:t>Dose 1 (paragraph 6.</w:t>
      </w:r>
      <w:r w:rsidR="00C448A3" w:rsidRPr="00E0320F">
        <w:t>41</w:t>
      </w:r>
      <w:r w:rsidRPr="00E0320F">
        <w:t>, RSVPre</w:t>
      </w:r>
      <w:r w:rsidR="000B36A8" w:rsidRPr="00E0320F">
        <w:t>F</w:t>
      </w:r>
      <w:r w:rsidRPr="00E0320F">
        <w:t>3 OA PSD, July 202</w:t>
      </w:r>
      <w:r w:rsidR="00F90B21" w:rsidRPr="00E0320F">
        <w:t>5</w:t>
      </w:r>
      <w:r w:rsidRPr="00E0320F">
        <w:t>).</w:t>
      </w:r>
    </w:p>
    <w:p w14:paraId="48E2C457" w14:textId="10394251" w:rsidR="276790AE" w:rsidRPr="005A5BB7" w:rsidRDefault="276790AE" w:rsidP="3FF051E5">
      <w:pPr>
        <w:pStyle w:val="3-BodyText"/>
        <w:rPr>
          <w:szCs w:val="24"/>
        </w:rPr>
      </w:pPr>
      <w:r w:rsidRPr="005A5BB7">
        <w:t xml:space="preserve">The </w:t>
      </w:r>
      <w:r w:rsidR="002D7CD5" w:rsidRPr="005A5BB7">
        <w:t>re</w:t>
      </w:r>
      <w:r w:rsidRPr="005A5BB7">
        <w:t>submission additionally provided 12</w:t>
      </w:r>
      <w:r w:rsidR="000E4816">
        <w:noBreakHyphen/>
      </w:r>
      <w:r w:rsidRPr="005A5BB7">
        <w:t>month data from the RSV OA=ADJ</w:t>
      </w:r>
      <w:r w:rsidR="000E4816">
        <w:noBreakHyphen/>
      </w:r>
      <w:r w:rsidRPr="005A5BB7">
        <w:t>023 study to show immune response and safety of RSVPreF3 OA when administered to lung and renal transplant recipients (≥18 YOA; IC adults). The immune response of IC adults receiving 1 or 2 doses of RSVPreF3 OA was also compared to healthy controls (≥50 YOA) receiving 1 dose.</w:t>
      </w:r>
    </w:p>
    <w:p w14:paraId="4C41D352" w14:textId="1B1AE0E7" w:rsidR="39112AAB" w:rsidRPr="005A5BB7" w:rsidRDefault="39112AAB" w:rsidP="3FF051E5">
      <w:pPr>
        <w:pStyle w:val="3-BodyText"/>
      </w:pPr>
      <w:r w:rsidRPr="005A5BB7">
        <w:rPr>
          <w:rFonts w:ascii="Calibri" w:eastAsia="Calibri" w:hAnsi="Calibri" w:cs="Calibri"/>
          <w:color w:val="000000" w:themeColor="text1"/>
          <w:szCs w:val="24"/>
        </w:rPr>
        <w:t xml:space="preserve">Details of the trials presented in the </w:t>
      </w:r>
      <w:r w:rsidR="002D7CD5" w:rsidRPr="005A5BB7">
        <w:rPr>
          <w:rFonts w:ascii="Calibri" w:eastAsia="Calibri" w:hAnsi="Calibri" w:cs="Calibri"/>
          <w:color w:val="000000" w:themeColor="text1"/>
          <w:szCs w:val="24"/>
        </w:rPr>
        <w:t>re</w:t>
      </w:r>
      <w:r w:rsidRPr="005A5BB7">
        <w:rPr>
          <w:rFonts w:ascii="Calibri" w:eastAsia="Calibri" w:hAnsi="Calibri" w:cs="Calibri"/>
          <w:color w:val="000000" w:themeColor="text1"/>
          <w:szCs w:val="24"/>
        </w:rPr>
        <w:t xml:space="preserve">submission are provided in </w:t>
      </w:r>
      <w:r w:rsidR="00DC7E02" w:rsidRPr="005A5BB7">
        <w:rPr>
          <w:rFonts w:ascii="Calibri" w:eastAsia="Calibri" w:hAnsi="Calibri" w:cs="Calibri"/>
          <w:color w:val="000000" w:themeColor="text1"/>
          <w:szCs w:val="24"/>
        </w:rPr>
        <w:fldChar w:fldCharType="begin"/>
      </w:r>
      <w:r w:rsidR="00DC7E02" w:rsidRPr="005A5BB7">
        <w:rPr>
          <w:rFonts w:ascii="Calibri" w:eastAsia="Calibri" w:hAnsi="Calibri" w:cs="Calibri"/>
          <w:color w:val="000000" w:themeColor="text1"/>
          <w:szCs w:val="24"/>
        </w:rPr>
        <w:instrText xml:space="preserve"> REF _Ref216943045 \h </w:instrText>
      </w:r>
      <w:r w:rsidR="005E26D0" w:rsidRPr="005A5BB7">
        <w:rPr>
          <w:rFonts w:ascii="Calibri" w:eastAsia="Calibri" w:hAnsi="Calibri" w:cs="Calibri"/>
          <w:color w:val="000000" w:themeColor="text1"/>
          <w:szCs w:val="24"/>
        </w:rPr>
        <w:instrText xml:space="preserve"> \* MERGEFORMAT </w:instrText>
      </w:r>
      <w:r w:rsidR="00DC7E02" w:rsidRPr="005A5BB7">
        <w:rPr>
          <w:rFonts w:ascii="Calibri" w:eastAsia="Calibri" w:hAnsi="Calibri" w:cs="Calibri"/>
          <w:color w:val="000000" w:themeColor="text1"/>
          <w:szCs w:val="24"/>
        </w:rPr>
      </w:r>
      <w:r w:rsidR="00DC7E02" w:rsidRPr="005A5BB7">
        <w:rPr>
          <w:rFonts w:ascii="Calibri" w:eastAsia="Calibri" w:hAnsi="Calibri" w:cs="Calibri"/>
          <w:color w:val="000000" w:themeColor="text1"/>
          <w:szCs w:val="24"/>
        </w:rPr>
        <w:fldChar w:fldCharType="separate"/>
      </w:r>
      <w:r w:rsidR="0043658C" w:rsidRPr="005A5BB7">
        <w:t xml:space="preserve">Table </w:t>
      </w:r>
      <w:r w:rsidR="0043658C">
        <w:t>5</w:t>
      </w:r>
      <w:r w:rsidR="00DC7E02" w:rsidRPr="005A5BB7">
        <w:rPr>
          <w:rFonts w:ascii="Calibri" w:eastAsia="Calibri" w:hAnsi="Calibri" w:cs="Calibri"/>
          <w:color w:val="000000" w:themeColor="text1"/>
          <w:szCs w:val="24"/>
        </w:rPr>
        <w:fldChar w:fldCharType="end"/>
      </w:r>
      <w:r w:rsidRPr="005A5BB7">
        <w:rPr>
          <w:rFonts w:ascii="Calibri" w:eastAsia="Calibri" w:hAnsi="Calibri" w:cs="Calibri"/>
          <w:color w:val="000000" w:themeColor="text1"/>
          <w:szCs w:val="24"/>
        </w:rPr>
        <w:t>.</w:t>
      </w:r>
    </w:p>
    <w:p w14:paraId="7F0879FB" w14:textId="314186F4" w:rsidR="39112AAB" w:rsidRPr="005A5BB7" w:rsidRDefault="00DC7E02" w:rsidP="3FF051E5">
      <w:pPr>
        <w:pStyle w:val="Caption"/>
        <w:rPr>
          <w:rFonts w:eastAsia="Arial Narrow" w:cs="Arial Narrow"/>
          <w:color w:val="000000" w:themeColor="text1"/>
          <w:szCs w:val="20"/>
        </w:rPr>
      </w:pPr>
      <w:bookmarkStart w:id="36" w:name="_Ref216943045"/>
      <w:r w:rsidRPr="005A5BB7">
        <w:t xml:space="preserve">Table </w:t>
      </w:r>
      <w:fldSimple w:instr=" SEQ Table \* ARABIC ">
        <w:r w:rsidR="0043658C">
          <w:rPr>
            <w:noProof/>
          </w:rPr>
          <w:t>5</w:t>
        </w:r>
      </w:fldSimple>
      <w:bookmarkEnd w:id="36"/>
      <w:r w:rsidRPr="005A5BB7">
        <w:t xml:space="preserve">: </w:t>
      </w:r>
      <w:r w:rsidRPr="005A5BB7">
        <w:rPr>
          <w:rFonts w:eastAsia="Arial Narrow" w:cs="Arial Narrow"/>
          <w:color w:val="000000" w:themeColor="text1"/>
          <w:szCs w:val="20"/>
        </w:rPr>
        <w:t>Trials and associated reports presented in the resubmission</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Caption w:val="Table 5: Trials and associated reports presented in the resubmission"/>
      </w:tblPr>
      <w:tblGrid>
        <w:gridCol w:w="1389"/>
        <w:gridCol w:w="4668"/>
        <w:gridCol w:w="2954"/>
      </w:tblGrid>
      <w:tr w:rsidR="3FF051E5" w:rsidRPr="005A5BB7" w14:paraId="636CA5DF" w14:textId="77777777" w:rsidTr="310F0368">
        <w:trPr>
          <w:trHeight w:val="300"/>
          <w:tblHeader/>
        </w:trPr>
        <w:tc>
          <w:tcPr>
            <w:tcW w:w="0" w:type="auto"/>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6A8C1F2" w14:textId="5569BA43" w:rsidR="3FF051E5" w:rsidRPr="005A5BB7" w:rsidRDefault="3FF051E5" w:rsidP="3FF051E5">
            <w:pPr>
              <w:pStyle w:val="In-tableHeading"/>
              <w:keepNext/>
              <w:keepLines/>
              <w:jc w:val="center"/>
              <w:rPr>
                <w:rFonts w:eastAsia="Arial Narrow" w:cs="Arial Narrow"/>
                <w:bCs/>
                <w:szCs w:val="20"/>
                <w:lang w:val="en-AU"/>
              </w:rPr>
            </w:pPr>
            <w:r w:rsidRPr="005A5BB7">
              <w:rPr>
                <w:rFonts w:eastAsia="Arial Narrow" w:cs="Arial Narrow"/>
                <w:bCs/>
                <w:szCs w:val="20"/>
                <w:lang w:val="en-AU"/>
              </w:rPr>
              <w:t>Trial ID</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214B350E" w14:textId="747A415D"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Protocol title/ Publication title</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4A88D52" w14:textId="016D261A"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Publication citation</w:t>
            </w:r>
          </w:p>
        </w:tc>
      </w:tr>
      <w:tr w:rsidR="3FF051E5" w:rsidRPr="005A5BB7" w14:paraId="7ED34A73" w14:textId="77777777" w:rsidTr="310F0368">
        <w:trPr>
          <w:trHeight w:val="300"/>
        </w:trPr>
        <w:tc>
          <w:tcPr>
            <w:tcW w:w="0" w:type="auto"/>
            <w:gridSpan w:val="3"/>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B2318C5" w14:textId="09C46A2C" w:rsidR="3FF051E5" w:rsidRPr="005A5BB7" w:rsidRDefault="3FF051E5" w:rsidP="3FF051E5">
            <w:pPr>
              <w:pStyle w:val="In-tableHeading"/>
              <w:keepNext/>
              <w:keepLines/>
              <w:rPr>
                <w:rFonts w:eastAsia="Arial Narrow" w:cs="Arial Narrow"/>
                <w:b w:val="0"/>
                <w:szCs w:val="20"/>
                <w:lang w:val="en-AU"/>
              </w:rPr>
            </w:pPr>
            <w:r w:rsidRPr="005A5BB7">
              <w:rPr>
                <w:rFonts w:eastAsia="Arial Narrow" w:cs="Arial Narrow"/>
                <w:b w:val="0"/>
                <w:szCs w:val="20"/>
                <w:lang w:val="en-AU"/>
              </w:rPr>
              <w:t>Pivotal efficacy trial</w:t>
            </w:r>
          </w:p>
        </w:tc>
      </w:tr>
      <w:tr w:rsidR="3FF051E5" w:rsidRPr="005A5BB7" w14:paraId="2088BC7B" w14:textId="77777777" w:rsidTr="310F0368">
        <w:trPr>
          <w:trHeight w:val="300"/>
        </w:trPr>
        <w:tc>
          <w:tcPr>
            <w:tcW w:w="0" w:type="auto"/>
            <w:vMerge w:val="restart"/>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11634409" w14:textId="6642E196" w:rsidR="3FF051E5" w:rsidRPr="005A5BB7" w:rsidRDefault="00416495" w:rsidP="00C578B4">
            <w:pPr>
              <w:pStyle w:val="TableText0"/>
            </w:pPr>
            <w:r w:rsidRPr="005A5BB7">
              <w:t>AReSVi</w:t>
            </w:r>
            <w:r w:rsidR="000E4816">
              <w:noBreakHyphen/>
            </w:r>
            <w:r w:rsidRPr="005A5BB7">
              <w:t>006</w:t>
            </w:r>
            <w:r w:rsidR="3FF051E5" w:rsidRPr="005A5BB7">
              <w:t xml:space="preserve"> </w:t>
            </w:r>
          </w:p>
          <w:p w14:paraId="665381C5" w14:textId="7D4B1725" w:rsidR="3FF051E5" w:rsidRPr="005A5BB7" w:rsidRDefault="3FF051E5" w:rsidP="00C578B4">
            <w:pPr>
              <w:pStyle w:val="TableText0"/>
            </w:pPr>
            <w:r w:rsidRPr="005A5BB7">
              <w:t>(NCT04886596)</w:t>
            </w:r>
          </w:p>
          <w:p w14:paraId="0FCBDF04" w14:textId="72C62DF9" w:rsidR="3FF051E5" w:rsidRPr="005A5BB7" w:rsidRDefault="3FF051E5" w:rsidP="00C578B4">
            <w:pPr>
              <w:pStyle w:val="TableText0"/>
            </w:pPr>
          </w:p>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6E699F7F" w14:textId="3C7EEC55" w:rsidR="3FF051E5" w:rsidRPr="005A5BB7" w:rsidRDefault="3FF051E5" w:rsidP="00C578B4">
            <w:pPr>
              <w:pStyle w:val="TableText0"/>
            </w:pPr>
            <w:r w:rsidRPr="005A5BB7">
              <w:t>A phase 3, randomized, placebo</w:t>
            </w:r>
            <w:r w:rsidR="000E4816">
              <w:noBreakHyphen/>
            </w:r>
            <w:r w:rsidRPr="005A5BB7">
              <w:t>controlled, observer</w:t>
            </w:r>
            <w:r w:rsidR="000E4816">
              <w:noBreakHyphen/>
            </w:r>
            <w:r w:rsidRPr="005A5BB7">
              <w:t>blind, multi</w:t>
            </w:r>
            <w:r w:rsidR="000E4816">
              <w:noBreakHyphen/>
            </w:r>
            <w:r w:rsidRPr="005A5BB7">
              <w:t>country study to demonstrate the efficacy of a single dose and annual revaccination doses of GSK’s RSVPreF3 OA investigational vaccine in adults aged 60 years and above</w:t>
            </w:r>
          </w:p>
          <w:p w14:paraId="5597D01B" w14:textId="09C5D09D" w:rsidR="3FF051E5" w:rsidRPr="005A5BB7" w:rsidRDefault="3FF051E5" w:rsidP="00C578B4">
            <w:pPr>
              <w:pStyle w:val="TableText0"/>
            </w:pPr>
            <w:r w:rsidRPr="005A5BB7">
              <w:t>Analysis: VE Analysis 1 (Interim Season 1 Analysis)</w:t>
            </w:r>
          </w:p>
          <w:p w14:paraId="1E3C5C72" w14:textId="05598F0C" w:rsidR="3FF051E5" w:rsidRPr="005A5BB7" w:rsidRDefault="3FF051E5" w:rsidP="00C578B4">
            <w:pPr>
              <w:pStyle w:val="TableText0"/>
            </w:pPr>
            <w:r w:rsidRPr="005A5BB7">
              <w:t>Study report number: 212494 (Attachment 5c)</w:t>
            </w:r>
          </w:p>
          <w:p w14:paraId="4DA84F7F" w14:textId="63E3E212" w:rsidR="3FF051E5" w:rsidRPr="005A5BB7" w:rsidRDefault="3FF051E5" w:rsidP="3FF051E5">
            <w:pPr>
              <w:keepNext/>
              <w:keepLines/>
              <w:rPr>
                <w:rFonts w:ascii="Arial Narrow" w:eastAsia="Arial Narrow" w:hAnsi="Arial Narrow" w:cs="Arial Narrow"/>
                <w:sz w:val="20"/>
                <w:szCs w:val="20"/>
              </w:rPr>
            </w:pPr>
          </w:p>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478C583D" w14:textId="71FA69C6" w:rsidR="3FF051E5" w:rsidRPr="005A5BB7" w:rsidRDefault="3FF051E5" w:rsidP="00C578B4">
            <w:pPr>
              <w:pStyle w:val="TableText0"/>
            </w:pPr>
            <w:r w:rsidRPr="005A5BB7">
              <w:t>Clinical Study Report</w:t>
            </w:r>
          </w:p>
          <w:p w14:paraId="4EDE9CF1" w14:textId="61B0BAB8" w:rsidR="3FF051E5" w:rsidRPr="005A5BB7" w:rsidRDefault="3FF051E5" w:rsidP="3FF051E5">
            <w:pPr>
              <w:keepNext/>
              <w:keepLines/>
              <w:rPr>
                <w:rFonts w:ascii="Arial Narrow" w:eastAsia="Arial Narrow" w:hAnsi="Arial Narrow" w:cs="Arial Narrow"/>
                <w:sz w:val="20"/>
                <w:szCs w:val="20"/>
              </w:rPr>
            </w:pPr>
          </w:p>
          <w:p w14:paraId="114FC120" w14:textId="734B37B1" w:rsidR="3FF051E5" w:rsidRPr="005A5BB7" w:rsidRDefault="3FF051E5" w:rsidP="3FF051E5">
            <w:pPr>
              <w:keepNext/>
              <w:keepLines/>
              <w:rPr>
                <w:rFonts w:ascii="Arial Narrow" w:eastAsia="Arial Narrow" w:hAnsi="Arial Narrow" w:cs="Arial Narrow"/>
                <w:sz w:val="20"/>
                <w:szCs w:val="20"/>
              </w:rPr>
            </w:pPr>
          </w:p>
          <w:p w14:paraId="274B8381" w14:textId="1E4A7739" w:rsidR="3FF051E5" w:rsidRPr="005A5BB7" w:rsidRDefault="3FF051E5" w:rsidP="3FF051E5">
            <w:pPr>
              <w:keepNext/>
              <w:keepLines/>
              <w:rPr>
                <w:rFonts w:ascii="Arial Narrow" w:eastAsia="Arial Narrow" w:hAnsi="Arial Narrow" w:cs="Arial Narrow"/>
                <w:sz w:val="20"/>
                <w:szCs w:val="20"/>
              </w:rPr>
            </w:pPr>
          </w:p>
          <w:p w14:paraId="3A9973CD" w14:textId="04FAD25C" w:rsidR="3FF051E5" w:rsidRPr="005A5BB7" w:rsidRDefault="3FF051E5" w:rsidP="3FF051E5">
            <w:pPr>
              <w:keepNext/>
              <w:keepLines/>
              <w:rPr>
                <w:rFonts w:ascii="Arial Narrow" w:eastAsia="Arial Narrow" w:hAnsi="Arial Narrow" w:cs="Arial Narrow"/>
                <w:sz w:val="20"/>
                <w:szCs w:val="20"/>
              </w:rPr>
            </w:pPr>
          </w:p>
          <w:p w14:paraId="4BA42C3F" w14:textId="791E906C" w:rsidR="3FF051E5" w:rsidRPr="005A5BB7" w:rsidRDefault="3FF051E5" w:rsidP="3FF051E5">
            <w:pPr>
              <w:keepNext/>
              <w:keepLines/>
              <w:rPr>
                <w:rFonts w:ascii="Arial Narrow" w:eastAsia="Arial Narrow" w:hAnsi="Arial Narrow" w:cs="Arial Narrow"/>
                <w:sz w:val="20"/>
                <w:szCs w:val="20"/>
              </w:rPr>
            </w:pPr>
          </w:p>
          <w:p w14:paraId="3B93C785" w14:textId="6B98B39F" w:rsidR="3FF051E5" w:rsidRPr="005A5BB7" w:rsidRDefault="3FF051E5" w:rsidP="3FF051E5">
            <w:pPr>
              <w:keepNext/>
              <w:keepLines/>
              <w:rPr>
                <w:rFonts w:ascii="Times" w:eastAsia="Times" w:hAnsi="Times" w:cs="Times"/>
                <w:sz w:val="20"/>
                <w:szCs w:val="20"/>
              </w:rPr>
            </w:pPr>
          </w:p>
        </w:tc>
      </w:tr>
      <w:tr w:rsidR="3FF051E5" w:rsidRPr="005A5BB7" w14:paraId="18730F8D" w14:textId="77777777" w:rsidTr="310F0368">
        <w:trPr>
          <w:trHeight w:val="300"/>
        </w:trPr>
        <w:tc>
          <w:tcPr>
            <w:tcW w:w="0" w:type="auto"/>
            <w:vMerge/>
            <w:vAlign w:val="center"/>
          </w:tcPr>
          <w:p w14:paraId="0823194C" w14:textId="77777777" w:rsidR="00E92D26" w:rsidRPr="005A5BB7" w:rsidRDefault="00E92D26"/>
        </w:tc>
        <w:tc>
          <w:tcPr>
            <w:tcW w:w="0" w:type="auto"/>
            <w:tcBorders>
              <w:top w:val="nil"/>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0B375898" w14:textId="39148328" w:rsidR="3FF051E5" w:rsidRPr="005A5BB7" w:rsidRDefault="3FF051E5" w:rsidP="00C578B4">
            <w:pPr>
              <w:pStyle w:val="TableText0"/>
            </w:pPr>
            <w:r w:rsidRPr="005A5BB7">
              <w:t>Papi A, Ison, MG, Langley, JM et al. Respiratory Syncytial Virus Prefusion F Protein Vaccine in Older Adults.</w:t>
            </w:r>
          </w:p>
        </w:tc>
        <w:tc>
          <w:tcPr>
            <w:tcW w:w="0" w:type="auto"/>
            <w:tcBorders>
              <w:top w:val="nil"/>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59347BF4" w14:textId="05E9220C" w:rsidR="3FF051E5" w:rsidRPr="005A5BB7" w:rsidRDefault="3FF051E5" w:rsidP="00C578B4">
            <w:pPr>
              <w:pStyle w:val="TableText0"/>
            </w:pPr>
            <w:r w:rsidRPr="005A5BB7">
              <w:t>NEJM 2023, 388: 595</w:t>
            </w:r>
            <w:r w:rsidR="000E4816">
              <w:noBreakHyphen/>
            </w:r>
            <w:r w:rsidRPr="005A5BB7">
              <w:t>608. DOI: 10.1056/NEJMoa2209604</w:t>
            </w:r>
          </w:p>
        </w:tc>
      </w:tr>
      <w:tr w:rsidR="3FF051E5" w:rsidRPr="005A5BB7" w14:paraId="6321A6B7" w14:textId="77777777" w:rsidTr="310F0368">
        <w:trPr>
          <w:trHeight w:val="930"/>
        </w:trPr>
        <w:tc>
          <w:tcPr>
            <w:tcW w:w="0" w:type="auto"/>
            <w:vMerge/>
            <w:vAlign w:val="center"/>
          </w:tcPr>
          <w:p w14:paraId="3253864F" w14:textId="77777777" w:rsidR="00E92D26" w:rsidRPr="005A5BB7" w:rsidRDefault="00E92D26"/>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5339B6DC" w14:textId="7DA60204" w:rsidR="3FF051E5" w:rsidRPr="005A5BB7" w:rsidRDefault="3FF051E5" w:rsidP="00C578B4">
            <w:pPr>
              <w:pStyle w:val="TableText0"/>
            </w:pPr>
            <w:r w:rsidRPr="005A5BB7">
              <w:t>A phase 3, randomized, placebo</w:t>
            </w:r>
            <w:r w:rsidR="000E4816">
              <w:noBreakHyphen/>
            </w:r>
            <w:r w:rsidRPr="005A5BB7">
              <w:t>controlled, observer</w:t>
            </w:r>
            <w:r w:rsidR="000E4816">
              <w:noBreakHyphen/>
            </w:r>
            <w:r w:rsidRPr="005A5BB7">
              <w:t>blind, multi</w:t>
            </w:r>
            <w:r w:rsidR="000E4816">
              <w:noBreakHyphen/>
            </w:r>
            <w:r w:rsidRPr="005A5BB7">
              <w:t>country study to demonstrate the efficacy of a single dose and annual revaccination doses of GSK’s RSVPreF3 OA investigational vaccine in adults aged 60 years and above</w:t>
            </w:r>
          </w:p>
          <w:p w14:paraId="5CF0D0CD" w14:textId="7CC1F4D0" w:rsidR="3FF051E5" w:rsidRPr="005A5BB7" w:rsidRDefault="3FF051E5" w:rsidP="00C578B4">
            <w:pPr>
              <w:pStyle w:val="TableText0"/>
            </w:pPr>
            <w:r w:rsidRPr="005A5BB7">
              <w:t>Analysis: VE Analysis 3 (End of Season 2 Analysis)</w:t>
            </w:r>
          </w:p>
          <w:p w14:paraId="52C2BB83" w14:textId="59E41C15" w:rsidR="3FF051E5" w:rsidRPr="005A5BB7" w:rsidRDefault="3FF051E5" w:rsidP="00C578B4">
            <w:pPr>
              <w:pStyle w:val="TableText0"/>
            </w:pPr>
            <w:r w:rsidRPr="005A5BB7">
              <w:t>Study report number: 212494</w:t>
            </w:r>
          </w:p>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0D4E13A4" w14:textId="1D5F3462" w:rsidR="3FF051E5" w:rsidRPr="005A5BB7" w:rsidRDefault="3FF051E5" w:rsidP="00C578B4">
            <w:pPr>
              <w:pStyle w:val="TableText0"/>
            </w:pPr>
            <w:r w:rsidRPr="005A5BB7">
              <w:t>Clinical Study Report</w:t>
            </w:r>
          </w:p>
          <w:p w14:paraId="7A7C64BE" w14:textId="104BC3D4" w:rsidR="3FF051E5" w:rsidRPr="005A5BB7" w:rsidRDefault="3FF051E5" w:rsidP="3FF051E5">
            <w:pPr>
              <w:keepNext/>
              <w:keepLines/>
              <w:rPr>
                <w:rFonts w:ascii="Arial Narrow" w:eastAsia="Arial Narrow" w:hAnsi="Arial Narrow" w:cs="Arial Narrow"/>
                <w:sz w:val="20"/>
                <w:szCs w:val="20"/>
              </w:rPr>
            </w:pPr>
          </w:p>
          <w:p w14:paraId="6DE79E90" w14:textId="2F00D76C" w:rsidR="3FF051E5" w:rsidRPr="005A5BB7" w:rsidRDefault="3FF051E5" w:rsidP="3FF051E5">
            <w:pPr>
              <w:keepNext/>
              <w:keepLines/>
              <w:rPr>
                <w:rFonts w:ascii="Arial Narrow" w:eastAsia="Arial Narrow" w:hAnsi="Arial Narrow" w:cs="Arial Narrow"/>
                <w:sz w:val="20"/>
                <w:szCs w:val="20"/>
              </w:rPr>
            </w:pPr>
          </w:p>
          <w:p w14:paraId="35E27A0E" w14:textId="77777777" w:rsidR="00131D5E" w:rsidRPr="005A5BB7" w:rsidRDefault="00131D5E" w:rsidP="3FF051E5">
            <w:pPr>
              <w:keepNext/>
              <w:keepLines/>
              <w:rPr>
                <w:rFonts w:ascii="Arial Narrow" w:eastAsia="Arial Narrow" w:hAnsi="Arial Narrow" w:cs="Arial Narrow"/>
                <w:sz w:val="20"/>
                <w:szCs w:val="20"/>
              </w:rPr>
            </w:pPr>
          </w:p>
          <w:p w14:paraId="3F3B73DD" w14:textId="692F0D7F" w:rsidR="3FF051E5" w:rsidRPr="005A5BB7" w:rsidRDefault="3FF051E5" w:rsidP="3FF051E5">
            <w:pPr>
              <w:keepNext/>
              <w:keepLines/>
              <w:rPr>
                <w:rFonts w:ascii="Arial Narrow" w:eastAsia="Arial Narrow" w:hAnsi="Arial Narrow" w:cs="Arial Narrow"/>
                <w:sz w:val="20"/>
                <w:szCs w:val="20"/>
              </w:rPr>
            </w:pPr>
          </w:p>
          <w:p w14:paraId="0AB8867E" w14:textId="4016B8AA" w:rsidR="3FF051E5" w:rsidRPr="005A5BB7" w:rsidRDefault="3FF051E5" w:rsidP="3FF051E5">
            <w:pPr>
              <w:keepNext/>
              <w:keepLines/>
              <w:rPr>
                <w:rFonts w:ascii="Arial Narrow" w:eastAsia="Arial Narrow" w:hAnsi="Arial Narrow" w:cs="Arial Narrow"/>
                <w:sz w:val="20"/>
                <w:szCs w:val="20"/>
              </w:rPr>
            </w:pPr>
          </w:p>
          <w:p w14:paraId="72233A5E" w14:textId="20EEBF29" w:rsidR="3FF051E5" w:rsidRPr="005A5BB7" w:rsidRDefault="3FF051E5" w:rsidP="3FF051E5">
            <w:pPr>
              <w:keepNext/>
              <w:keepLines/>
              <w:rPr>
                <w:rFonts w:ascii="Arial Narrow" w:eastAsia="Arial Narrow" w:hAnsi="Arial Narrow" w:cs="Arial Narrow"/>
                <w:sz w:val="20"/>
                <w:szCs w:val="20"/>
              </w:rPr>
            </w:pPr>
          </w:p>
        </w:tc>
      </w:tr>
      <w:tr w:rsidR="3FF051E5" w:rsidRPr="005A5BB7" w14:paraId="54DF1D5F" w14:textId="77777777" w:rsidTr="310F0368">
        <w:trPr>
          <w:trHeight w:val="525"/>
        </w:trPr>
        <w:tc>
          <w:tcPr>
            <w:tcW w:w="0" w:type="auto"/>
            <w:vMerge/>
            <w:vAlign w:val="center"/>
          </w:tcPr>
          <w:p w14:paraId="6EA6EAF7" w14:textId="77777777" w:rsidR="00E92D26" w:rsidRPr="005A5BB7" w:rsidRDefault="00E92D26"/>
        </w:tc>
        <w:tc>
          <w:tcPr>
            <w:tcW w:w="0" w:type="auto"/>
            <w:tcBorders>
              <w:top w:val="nil"/>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316D5683" w14:textId="79E27B97" w:rsidR="3FF051E5" w:rsidRPr="005A5BB7" w:rsidRDefault="3FF051E5" w:rsidP="00C578B4">
            <w:pPr>
              <w:pStyle w:val="TableText0"/>
            </w:pPr>
            <w:r w:rsidRPr="005A5BB7">
              <w:t>Ison MG, Papi A, Athan, E et al. Efficacy and safety of respiratory syncytial virus prefusion F protein vaccine (REVPreF3 OA) in older adults over 2 RSV seasons</w:t>
            </w:r>
          </w:p>
        </w:tc>
        <w:tc>
          <w:tcPr>
            <w:tcW w:w="0" w:type="auto"/>
            <w:tcBorders>
              <w:top w:val="nil"/>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334C52E0" w14:textId="270E382E" w:rsidR="3FF051E5" w:rsidRPr="005A5BB7" w:rsidRDefault="3FF051E5" w:rsidP="00C578B4">
            <w:pPr>
              <w:pStyle w:val="TableText0"/>
            </w:pPr>
            <w:r w:rsidRPr="005A5BB7">
              <w:t>Clinical Infectious Diseases 2024, ciae010 (Attachment 5f)</w:t>
            </w:r>
          </w:p>
        </w:tc>
      </w:tr>
      <w:tr w:rsidR="3FF051E5" w:rsidRPr="005A5BB7" w14:paraId="4DEDC3F4" w14:textId="77777777" w:rsidTr="310F0368">
        <w:trPr>
          <w:trHeight w:val="300"/>
        </w:trPr>
        <w:tc>
          <w:tcPr>
            <w:tcW w:w="0" w:type="auto"/>
            <w:vMerge/>
            <w:vAlign w:val="center"/>
          </w:tcPr>
          <w:p w14:paraId="0948CFA0" w14:textId="77777777" w:rsidR="00E92D26" w:rsidRPr="005A5BB7" w:rsidRDefault="00E92D26"/>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5A1DC41E" w14:textId="257F09BC" w:rsidR="3FF051E5" w:rsidRPr="005A5BB7" w:rsidRDefault="3FF051E5" w:rsidP="00C578B4">
            <w:pPr>
              <w:pStyle w:val="TableText0"/>
            </w:pPr>
            <w:r w:rsidRPr="005A5BB7">
              <w:t>A Phase 3, randomized, placebo</w:t>
            </w:r>
            <w:r w:rsidR="000E4816">
              <w:noBreakHyphen/>
            </w:r>
            <w:r w:rsidRPr="005A5BB7">
              <w:t>controlled, observer blind,</w:t>
            </w:r>
          </w:p>
          <w:p w14:paraId="69555438" w14:textId="7BB16F66" w:rsidR="3FF051E5" w:rsidRPr="005A5BB7" w:rsidRDefault="3FF051E5" w:rsidP="00C578B4">
            <w:pPr>
              <w:pStyle w:val="TableText0"/>
            </w:pPr>
            <w:r w:rsidRPr="005A5BB7">
              <w:t>multi</w:t>
            </w:r>
            <w:r w:rsidR="000E4816">
              <w:noBreakHyphen/>
            </w:r>
            <w:r w:rsidRPr="005A5BB7">
              <w:t>country study to demonstrate the efficacy of a single</w:t>
            </w:r>
          </w:p>
          <w:p w14:paraId="47D2C597" w14:textId="5CB43BB4" w:rsidR="3FF051E5" w:rsidRPr="005A5BB7" w:rsidRDefault="3FF051E5" w:rsidP="00C578B4">
            <w:pPr>
              <w:pStyle w:val="TableText0"/>
            </w:pPr>
            <w:r w:rsidRPr="005A5BB7">
              <w:t>dose and annual revaccination of GSK’s RSVPreF3 OA</w:t>
            </w:r>
          </w:p>
          <w:p w14:paraId="12FABCEB" w14:textId="57E31880" w:rsidR="3FF051E5" w:rsidRPr="005A5BB7" w:rsidRDefault="3FF051E5" w:rsidP="00C578B4">
            <w:pPr>
              <w:pStyle w:val="TableText0"/>
            </w:pPr>
            <w:r w:rsidRPr="005A5BB7">
              <w:t>investigational vaccine in adults aged 60 years and above</w:t>
            </w:r>
          </w:p>
          <w:p w14:paraId="0BD96BF8" w14:textId="06B16CA0" w:rsidR="3FF051E5" w:rsidRPr="005A5BB7" w:rsidRDefault="3FF051E5" w:rsidP="00C578B4">
            <w:pPr>
              <w:pStyle w:val="TableText0"/>
            </w:pPr>
            <w:r w:rsidRPr="005A5BB7">
              <w:t>Analysis: End of Study Analysis (End of Season 3 NH)</w:t>
            </w:r>
          </w:p>
          <w:p w14:paraId="21333A84" w14:textId="1BAD948D" w:rsidR="3FF051E5" w:rsidRPr="005A5BB7" w:rsidRDefault="3FF051E5" w:rsidP="00C578B4">
            <w:pPr>
              <w:pStyle w:val="TableText0"/>
            </w:pPr>
            <w:r w:rsidRPr="005A5BB7">
              <w:t>Study report number: 212494</w:t>
            </w:r>
          </w:p>
          <w:p w14:paraId="74335898" w14:textId="34D4C65E" w:rsidR="3FF051E5" w:rsidRPr="005A5BB7" w:rsidRDefault="3FF051E5" w:rsidP="3FF051E5">
            <w:pPr>
              <w:keepNext/>
              <w:keepLines/>
              <w:rPr>
                <w:rFonts w:ascii="Times" w:eastAsia="Times" w:hAnsi="Times" w:cs="Times"/>
                <w:sz w:val="20"/>
                <w:szCs w:val="20"/>
              </w:rPr>
            </w:pPr>
          </w:p>
        </w:tc>
        <w:tc>
          <w:tcPr>
            <w:tcW w:w="0" w:type="auto"/>
            <w:tcBorders>
              <w:top w:val="single" w:sz="6" w:space="0" w:color="auto"/>
              <w:left w:val="single" w:sz="6" w:space="0" w:color="auto"/>
              <w:bottom w:val="nil"/>
              <w:right w:val="single" w:sz="6" w:space="0" w:color="auto"/>
            </w:tcBorders>
            <w:shd w:val="clear" w:color="auto" w:fill="B8CCE4" w:themeFill="accent1" w:themeFillTint="66"/>
            <w:tcMar>
              <w:left w:w="15" w:type="dxa"/>
              <w:right w:w="15" w:type="dxa"/>
            </w:tcMar>
          </w:tcPr>
          <w:p w14:paraId="21B41E76" w14:textId="14B06DB8" w:rsidR="3FF051E5" w:rsidRPr="005A5BB7" w:rsidRDefault="3FF051E5" w:rsidP="00C578B4">
            <w:pPr>
              <w:pStyle w:val="TableText0"/>
            </w:pPr>
            <w:r w:rsidRPr="005A5BB7">
              <w:t>Clinical Study Report</w:t>
            </w:r>
          </w:p>
          <w:p w14:paraId="310886C2" w14:textId="061247B0" w:rsidR="3FF051E5" w:rsidRPr="005A5BB7" w:rsidRDefault="3FF051E5" w:rsidP="3FF051E5">
            <w:pPr>
              <w:keepNext/>
              <w:keepLines/>
              <w:rPr>
                <w:rFonts w:ascii="Arial Narrow" w:eastAsia="Arial Narrow" w:hAnsi="Arial Narrow" w:cs="Arial Narrow"/>
                <w:sz w:val="20"/>
                <w:szCs w:val="20"/>
              </w:rPr>
            </w:pPr>
          </w:p>
          <w:p w14:paraId="679B6C47" w14:textId="2B967F72" w:rsidR="3FF051E5" w:rsidRPr="005A5BB7" w:rsidRDefault="3FF051E5" w:rsidP="3FF051E5">
            <w:pPr>
              <w:keepNext/>
              <w:keepLines/>
              <w:rPr>
                <w:rFonts w:ascii="Arial Narrow" w:eastAsia="Arial Narrow" w:hAnsi="Arial Narrow" w:cs="Arial Narrow"/>
                <w:sz w:val="20"/>
                <w:szCs w:val="20"/>
              </w:rPr>
            </w:pPr>
          </w:p>
          <w:p w14:paraId="73B8274D" w14:textId="2DA1D183" w:rsidR="3FF051E5" w:rsidRPr="005A5BB7" w:rsidRDefault="3FF051E5" w:rsidP="3FF051E5">
            <w:pPr>
              <w:keepNext/>
              <w:keepLines/>
              <w:rPr>
                <w:rFonts w:ascii="Arial Narrow" w:eastAsia="Arial Narrow" w:hAnsi="Arial Narrow" w:cs="Arial Narrow"/>
                <w:sz w:val="20"/>
                <w:szCs w:val="20"/>
              </w:rPr>
            </w:pPr>
          </w:p>
          <w:p w14:paraId="3540A825" w14:textId="47DE689E" w:rsidR="3FF051E5" w:rsidRPr="005A5BB7" w:rsidRDefault="3FF051E5" w:rsidP="3FF051E5">
            <w:pPr>
              <w:keepNext/>
              <w:keepLines/>
              <w:rPr>
                <w:rFonts w:ascii="Arial Narrow" w:eastAsia="Arial Narrow" w:hAnsi="Arial Narrow" w:cs="Arial Narrow"/>
                <w:sz w:val="20"/>
                <w:szCs w:val="20"/>
              </w:rPr>
            </w:pPr>
          </w:p>
          <w:p w14:paraId="6FD064F6" w14:textId="0864066A" w:rsidR="3FF051E5" w:rsidRPr="005A5BB7" w:rsidRDefault="3FF051E5" w:rsidP="3FF051E5">
            <w:pPr>
              <w:keepNext/>
              <w:keepLines/>
              <w:rPr>
                <w:rFonts w:ascii="Arial Narrow" w:eastAsia="Arial Narrow" w:hAnsi="Arial Narrow" w:cs="Arial Narrow"/>
                <w:sz w:val="20"/>
                <w:szCs w:val="20"/>
              </w:rPr>
            </w:pPr>
          </w:p>
          <w:p w14:paraId="07AC1994" w14:textId="6C80F76C" w:rsidR="3FF051E5" w:rsidRPr="005A5BB7" w:rsidRDefault="3FF051E5" w:rsidP="3FF051E5">
            <w:pPr>
              <w:keepNext/>
              <w:keepLines/>
              <w:rPr>
                <w:rFonts w:ascii="Arial Narrow" w:eastAsia="Arial Narrow" w:hAnsi="Arial Narrow" w:cs="Arial Narrow"/>
                <w:sz w:val="20"/>
                <w:szCs w:val="20"/>
              </w:rPr>
            </w:pPr>
          </w:p>
        </w:tc>
      </w:tr>
      <w:tr w:rsidR="3FF051E5" w:rsidRPr="005A5BB7" w14:paraId="02D8A838" w14:textId="77777777" w:rsidTr="310F0368">
        <w:trPr>
          <w:trHeight w:val="300"/>
        </w:trPr>
        <w:tc>
          <w:tcPr>
            <w:tcW w:w="0" w:type="auto"/>
            <w:vMerge/>
            <w:vAlign w:val="center"/>
          </w:tcPr>
          <w:p w14:paraId="2142AF36" w14:textId="77777777" w:rsidR="00E92D26" w:rsidRPr="005A5BB7" w:rsidRDefault="00E92D26"/>
        </w:tc>
        <w:tc>
          <w:tcPr>
            <w:tcW w:w="0" w:type="auto"/>
            <w:tcBorders>
              <w:top w:val="nil"/>
              <w:left w:val="single" w:sz="6" w:space="0" w:color="auto"/>
              <w:bottom w:val="single" w:sz="4" w:space="0" w:color="auto"/>
              <w:right w:val="single" w:sz="6" w:space="0" w:color="auto"/>
            </w:tcBorders>
            <w:shd w:val="clear" w:color="auto" w:fill="B8CCE4" w:themeFill="accent1" w:themeFillTint="66"/>
            <w:tcMar>
              <w:left w:w="15" w:type="dxa"/>
              <w:right w:w="15" w:type="dxa"/>
            </w:tcMar>
          </w:tcPr>
          <w:p w14:paraId="07AB4EEA" w14:textId="1E2BAD81" w:rsidR="3FF051E5" w:rsidRPr="005A5BB7" w:rsidRDefault="3FF051E5" w:rsidP="00C578B4">
            <w:pPr>
              <w:pStyle w:val="TableText0"/>
            </w:pPr>
            <w:r w:rsidRPr="005A5BB7">
              <w:t>Ison MG, Papi A, Athan E et al. Efficacy, safety, and immunogenicity of the AS01</w:t>
            </w:r>
            <w:r w:rsidRPr="005A5BB7">
              <w:rPr>
                <w:vertAlign w:val="subscript"/>
              </w:rPr>
              <w:t>E</w:t>
            </w:r>
            <w:r w:rsidR="000E4816">
              <w:noBreakHyphen/>
            </w:r>
            <w:r w:rsidRPr="005A5BB7">
              <w:t>adjuvanted respiratory syncytial virus prefusion F protein vaccine (RSVPreF3 OA) in older adults over three RSV seasons: a multicenter, randomized, observer</w:t>
            </w:r>
            <w:r w:rsidR="000E4816">
              <w:noBreakHyphen/>
            </w:r>
            <w:r w:rsidRPr="005A5BB7">
              <w:t>blind trial.</w:t>
            </w:r>
          </w:p>
        </w:tc>
        <w:tc>
          <w:tcPr>
            <w:tcW w:w="0" w:type="auto"/>
            <w:tcBorders>
              <w:top w:val="nil"/>
              <w:left w:val="single" w:sz="6" w:space="0" w:color="auto"/>
              <w:bottom w:val="single" w:sz="4" w:space="0" w:color="auto"/>
              <w:right w:val="single" w:sz="6" w:space="0" w:color="auto"/>
            </w:tcBorders>
            <w:shd w:val="clear" w:color="auto" w:fill="B8CCE4" w:themeFill="accent1" w:themeFillTint="66"/>
            <w:tcMar>
              <w:left w:w="15" w:type="dxa"/>
              <w:right w:w="15" w:type="dxa"/>
            </w:tcMar>
          </w:tcPr>
          <w:p w14:paraId="0B90A7B3" w14:textId="645AEDBF" w:rsidR="3FF051E5" w:rsidRPr="005A5BB7" w:rsidRDefault="3FF051E5" w:rsidP="00C578B4">
            <w:pPr>
              <w:pStyle w:val="TableText0"/>
            </w:pPr>
            <w:r w:rsidRPr="005A5BB7">
              <w:t>Lancet Respiratory 2025. DOI: 10.1016/S2213</w:t>
            </w:r>
            <w:r w:rsidR="000E4816">
              <w:noBreakHyphen/>
            </w:r>
            <w:r w:rsidRPr="005A5BB7">
              <w:t>2600(25)00048</w:t>
            </w:r>
            <w:r w:rsidR="000E4816">
              <w:noBreakHyphen/>
            </w:r>
            <w:r w:rsidRPr="005A5BB7">
              <w:t>7</w:t>
            </w:r>
          </w:p>
        </w:tc>
      </w:tr>
      <w:tr w:rsidR="3FF051E5" w:rsidRPr="005A5BB7" w14:paraId="2CF516C8" w14:textId="77777777" w:rsidTr="310F0368">
        <w:trPr>
          <w:trHeight w:val="300"/>
        </w:trPr>
        <w:tc>
          <w:tcPr>
            <w:tcW w:w="0" w:type="auto"/>
            <w:gridSpan w:val="3"/>
            <w:tcBorders>
              <w:top w:val="single" w:sz="4" w:space="0" w:color="auto"/>
              <w:left w:val="single" w:sz="6" w:space="0" w:color="auto"/>
              <w:bottom w:val="single" w:sz="6" w:space="0" w:color="auto"/>
              <w:right w:val="single" w:sz="6" w:space="0" w:color="auto"/>
            </w:tcBorders>
            <w:tcMar>
              <w:left w:w="15" w:type="dxa"/>
              <w:right w:w="15" w:type="dxa"/>
            </w:tcMar>
            <w:vAlign w:val="center"/>
          </w:tcPr>
          <w:p w14:paraId="06AA17D7" w14:textId="60E3E7F5" w:rsidR="3FF051E5" w:rsidRPr="005A5BB7" w:rsidRDefault="3FF051E5" w:rsidP="00C578B4">
            <w:pPr>
              <w:pStyle w:val="TableText0"/>
            </w:pPr>
            <w:r w:rsidRPr="005A5BB7">
              <w:lastRenderedPageBreak/>
              <w:t xml:space="preserve">Additional analyses of pivotal </w:t>
            </w:r>
            <w:r w:rsidR="00416495" w:rsidRPr="005A5BB7">
              <w:t>AReSVi</w:t>
            </w:r>
            <w:r w:rsidR="000E4816">
              <w:noBreakHyphen/>
            </w:r>
            <w:r w:rsidR="00416495" w:rsidRPr="005A5BB7">
              <w:t>006</w:t>
            </w:r>
            <w:r w:rsidRPr="005A5BB7">
              <w:t xml:space="preserve"> vaccine efficacy trial</w:t>
            </w:r>
          </w:p>
        </w:tc>
      </w:tr>
      <w:tr w:rsidR="3FF051E5" w:rsidRPr="005A5BB7" w14:paraId="4779F0D3" w14:textId="77777777" w:rsidTr="310F0368">
        <w:trPr>
          <w:trHeight w:val="300"/>
        </w:trPr>
        <w:tc>
          <w:tcPr>
            <w:tcW w:w="0" w:type="auto"/>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BA80689" w14:textId="051DFE3D" w:rsidR="3FF051E5" w:rsidRPr="005A5BB7" w:rsidRDefault="00416495" w:rsidP="00C578B4">
            <w:pPr>
              <w:pStyle w:val="TableText0"/>
            </w:pPr>
            <w:r w:rsidRPr="005A5BB7">
              <w:t>AReSVi</w:t>
            </w:r>
            <w:r w:rsidR="000E4816">
              <w:noBreakHyphen/>
            </w:r>
            <w:r w:rsidRPr="005A5BB7">
              <w:t>006</w:t>
            </w:r>
            <w:r w:rsidR="3FF051E5" w:rsidRPr="005A5BB7">
              <w:t xml:space="preserve"> </w:t>
            </w:r>
          </w:p>
          <w:p w14:paraId="356FA4D2" w14:textId="732DF456" w:rsidR="3FF051E5" w:rsidRPr="005A5BB7" w:rsidRDefault="3FF051E5" w:rsidP="00C578B4">
            <w:pPr>
              <w:pStyle w:val="TableText0"/>
            </w:pPr>
            <w:r w:rsidRPr="005A5BB7">
              <w:t>(NCT04886596)</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5066C050" w14:textId="5C6C983D" w:rsidR="3FF051E5" w:rsidRPr="005A5BB7" w:rsidRDefault="3FF051E5" w:rsidP="00C578B4">
            <w:pPr>
              <w:pStyle w:val="TableText0"/>
            </w:pPr>
            <w:r w:rsidRPr="005A5BB7">
              <w:t>Feldman, RG, Antonelli</w:t>
            </w:r>
            <w:r w:rsidR="000E4816">
              <w:noBreakHyphen/>
            </w:r>
            <w:r w:rsidRPr="005A5BB7">
              <w:t xml:space="preserve">Incalzi, R, Steenackers, K. et al. Respiratory syncytial virus prefusion F protein vaccine is efficacious in older adults with underlying medical conditions. CID 2024; ciad471. DOI: 10.1093/cid/ciad471 </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4EA44A4F" w14:textId="690DF5B4" w:rsidR="3FF051E5" w:rsidRPr="005A5BB7" w:rsidRDefault="3FF051E5" w:rsidP="00C578B4">
            <w:pPr>
              <w:pStyle w:val="TableText0"/>
            </w:pPr>
            <w:r w:rsidRPr="005A5BB7">
              <w:t>Secondary publication</w:t>
            </w:r>
          </w:p>
        </w:tc>
      </w:tr>
      <w:tr w:rsidR="3FF051E5" w:rsidRPr="005A5BB7" w14:paraId="04A13EDF" w14:textId="77777777" w:rsidTr="310F0368">
        <w:trPr>
          <w:trHeight w:val="300"/>
        </w:trPr>
        <w:tc>
          <w:tcPr>
            <w:tcW w:w="0" w:type="auto"/>
            <w:vMerge/>
            <w:vAlign w:val="center"/>
          </w:tcPr>
          <w:p w14:paraId="2079D4C4" w14:textId="77777777" w:rsidR="00E92D26" w:rsidRPr="005A5BB7" w:rsidRDefault="00E92D26"/>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222899FA" w14:textId="5B2B1051" w:rsidR="3FF051E5" w:rsidRPr="005A5BB7" w:rsidRDefault="3FF051E5" w:rsidP="00C578B4">
            <w:pPr>
              <w:pStyle w:val="TableText0"/>
            </w:pPr>
            <w:r w:rsidRPr="005A5BB7">
              <w:t>Curran D., Matthews S., Cabrera E.S. et al. The respiratory syncytial virus prefusion F protein vaccine attenuates the severity of respiratory syncytial virus</w:t>
            </w:r>
            <w:r w:rsidR="000E4816">
              <w:noBreakHyphen/>
            </w:r>
            <w:r w:rsidRPr="005A5BB7">
              <w:t>associated disease in breakthrough infections in adults ≥60 years of age.</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5CF0F56D" w14:textId="4C713531" w:rsidR="3FF051E5" w:rsidRPr="005A5BB7" w:rsidRDefault="3FF051E5" w:rsidP="00C578B4">
            <w:pPr>
              <w:pStyle w:val="TableText0"/>
            </w:pPr>
            <w:r w:rsidRPr="005A5BB7">
              <w:t xml:space="preserve">Secondary publication </w:t>
            </w:r>
            <w:r w:rsidRPr="005A5BB7">
              <w:br/>
              <w:t>Influenza and Other Respiratory Viruses 2024; 18(2): e13236. DOI: 10.1111/irv.13236</w:t>
            </w:r>
          </w:p>
        </w:tc>
      </w:tr>
      <w:tr w:rsidR="3FF051E5" w:rsidRPr="005A5BB7" w14:paraId="7A994472" w14:textId="77777777" w:rsidTr="310F0368">
        <w:trPr>
          <w:trHeight w:val="300"/>
        </w:trPr>
        <w:tc>
          <w:tcPr>
            <w:tcW w:w="0" w:type="auto"/>
            <w:tcBorders>
              <w:left w:val="single" w:sz="0" w:space="0" w:color="auto"/>
              <w:bottom w:val="single" w:sz="0" w:space="0" w:color="auto"/>
              <w:right w:val="single" w:sz="0" w:space="0" w:color="auto"/>
            </w:tcBorders>
            <w:vAlign w:val="center"/>
          </w:tcPr>
          <w:p w14:paraId="59F398F6" w14:textId="77777777" w:rsidR="00E92D26" w:rsidRPr="005A5BB7" w:rsidRDefault="00E92D26"/>
        </w:tc>
        <w:tc>
          <w:tcPr>
            <w:tcW w:w="0" w:type="auto"/>
            <w:tcBorders>
              <w:top w:val="single" w:sz="6" w:space="0" w:color="auto"/>
              <w:left w:val="single" w:sz="6" w:space="0" w:color="auto"/>
              <w:bottom w:val="single" w:sz="4" w:space="0" w:color="auto"/>
              <w:right w:val="single" w:sz="6" w:space="0" w:color="auto"/>
            </w:tcBorders>
            <w:tcMar>
              <w:left w:w="15" w:type="dxa"/>
              <w:right w:w="15" w:type="dxa"/>
            </w:tcMar>
          </w:tcPr>
          <w:p w14:paraId="74E9DDE0" w14:textId="0B5BA4A0" w:rsidR="3FF051E5" w:rsidRPr="005A5BB7" w:rsidRDefault="3FF051E5" w:rsidP="00C578B4">
            <w:pPr>
              <w:pStyle w:val="TableText0"/>
            </w:pPr>
            <w:r w:rsidRPr="005A5BB7">
              <w:t>Leroux</w:t>
            </w:r>
            <w:r w:rsidR="000E4816">
              <w:noBreakHyphen/>
            </w:r>
            <w:r w:rsidRPr="005A5BB7">
              <w:t>Roels I, Feldman RG, Antonelli</w:t>
            </w:r>
            <w:r w:rsidR="000E4816">
              <w:noBreakHyphen/>
            </w:r>
            <w:r w:rsidRPr="005A5BB7">
              <w:t>Incalzi R et al. Robust and Consistent Immune Response of the Adjuvanted Respiratory Syncytial Virus (RSV) Prefusion F Protein Vaccine (RSVPreF3 OA) Across Different Age Ranges and Frailty Status in Older Adults.</w:t>
            </w:r>
          </w:p>
          <w:p w14:paraId="2E8B7B01" w14:textId="5E5D094A" w:rsidR="3FF051E5" w:rsidRPr="005A5BB7" w:rsidRDefault="3FF051E5" w:rsidP="3FF051E5">
            <w:pPr>
              <w:keepNext/>
              <w:keepLines/>
              <w:rPr>
                <w:rFonts w:ascii="Arial Narrow" w:eastAsia="Arial Narrow" w:hAnsi="Arial Narrow" w:cs="Arial Narrow"/>
                <w:sz w:val="20"/>
                <w:szCs w:val="20"/>
              </w:rPr>
            </w:pPr>
          </w:p>
        </w:tc>
        <w:tc>
          <w:tcPr>
            <w:tcW w:w="0" w:type="auto"/>
            <w:tcBorders>
              <w:top w:val="single" w:sz="6" w:space="0" w:color="auto"/>
              <w:left w:val="single" w:sz="6" w:space="0" w:color="auto"/>
              <w:bottom w:val="single" w:sz="4" w:space="0" w:color="auto"/>
              <w:right w:val="single" w:sz="6" w:space="0" w:color="auto"/>
            </w:tcBorders>
            <w:tcMar>
              <w:left w:w="15" w:type="dxa"/>
              <w:right w:w="15" w:type="dxa"/>
            </w:tcMar>
          </w:tcPr>
          <w:p w14:paraId="0194D964" w14:textId="13157136" w:rsidR="3FF051E5" w:rsidRPr="005A5BB7" w:rsidRDefault="3FF051E5" w:rsidP="00C578B4">
            <w:pPr>
              <w:pStyle w:val="TableText0"/>
            </w:pPr>
            <w:r w:rsidRPr="005A5BB7">
              <w:t>Conference Abstract</w:t>
            </w:r>
          </w:p>
          <w:p w14:paraId="53B72829" w14:textId="5E6A9F35" w:rsidR="3FF051E5" w:rsidRPr="005A5BB7" w:rsidRDefault="3FF051E5" w:rsidP="3FF051E5">
            <w:pPr>
              <w:keepNext/>
              <w:keepLines/>
              <w:rPr>
                <w:rFonts w:ascii="Arial Narrow" w:eastAsia="Arial Narrow" w:hAnsi="Arial Narrow" w:cs="Arial Narrow"/>
                <w:sz w:val="20"/>
                <w:szCs w:val="20"/>
              </w:rPr>
            </w:pPr>
          </w:p>
          <w:p w14:paraId="1F54845A" w14:textId="59EA0E92" w:rsidR="3FF051E5" w:rsidRPr="005A5BB7" w:rsidRDefault="3FF051E5" w:rsidP="00C578B4">
            <w:pPr>
              <w:pStyle w:val="TableText0"/>
            </w:pPr>
            <w:r w:rsidRPr="005A5BB7">
              <w:t>Open Forum Infectious Diseases, Volume 12, S50</w:t>
            </w:r>
            <w:r w:rsidR="000E4816">
              <w:noBreakHyphen/>
            </w:r>
            <w:r w:rsidRPr="005A5BB7">
              <w:t>51. DOI: 10.1093/ofid/ofae631.077</w:t>
            </w:r>
          </w:p>
        </w:tc>
      </w:tr>
      <w:tr w:rsidR="3FF051E5" w:rsidRPr="005A5BB7" w14:paraId="624AE039" w14:textId="77777777" w:rsidTr="310F0368">
        <w:trPr>
          <w:trHeight w:val="300"/>
        </w:trPr>
        <w:tc>
          <w:tcPr>
            <w:tcW w:w="0" w:type="auto"/>
            <w:gridSpan w:val="3"/>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EE4FD03" w14:textId="422C25D0" w:rsidR="3FF051E5" w:rsidRPr="005A5BB7" w:rsidRDefault="3FF051E5" w:rsidP="00C578B4">
            <w:pPr>
              <w:pStyle w:val="TableText0"/>
            </w:pPr>
            <w:r w:rsidRPr="005A5BB7">
              <w:t>Immunogenicity and persistence of immune response trials</w:t>
            </w:r>
          </w:p>
        </w:tc>
      </w:tr>
      <w:tr w:rsidR="3FF051E5" w:rsidRPr="005A5BB7" w14:paraId="6011F4F1" w14:textId="77777777" w:rsidTr="310F0368">
        <w:trPr>
          <w:trHeight w:val="300"/>
        </w:trPr>
        <w:tc>
          <w:tcPr>
            <w:tcW w:w="0" w:type="auto"/>
            <w:vMerge w:val="restart"/>
            <w:tcBorders>
              <w:top w:val="single" w:sz="6" w:space="0" w:color="auto"/>
              <w:left w:val="single" w:sz="6" w:space="0" w:color="auto"/>
              <w:bottom w:val="single" w:sz="6" w:space="0" w:color="auto"/>
              <w:right w:val="single" w:sz="6" w:space="0" w:color="auto"/>
            </w:tcBorders>
            <w:tcMar>
              <w:left w:w="15" w:type="dxa"/>
              <w:right w:w="15" w:type="dxa"/>
            </w:tcMar>
          </w:tcPr>
          <w:p w14:paraId="06DA4958" w14:textId="77746309" w:rsidR="3FF051E5" w:rsidRPr="005A5BB7" w:rsidRDefault="3FF051E5" w:rsidP="00C578B4">
            <w:pPr>
              <w:pStyle w:val="TableText0"/>
            </w:pPr>
            <w:r w:rsidRPr="005A5BB7">
              <w:t>RSV OA=ADJ</w:t>
            </w:r>
            <w:r w:rsidR="000E4816">
              <w:noBreakHyphen/>
            </w:r>
            <w:r w:rsidRPr="005A5BB7">
              <w:t xml:space="preserve">004 </w:t>
            </w:r>
          </w:p>
          <w:p w14:paraId="01CD728F" w14:textId="20AB305D" w:rsidR="3FF051E5" w:rsidRPr="005A5BB7" w:rsidRDefault="3FF051E5" w:rsidP="3FF051E5">
            <w:pPr>
              <w:pStyle w:val="Tabletext"/>
              <w:keepNext/>
              <w:keepLines/>
              <w:rPr>
                <w:rFonts w:eastAsia="Arial Narrow" w:cs="Arial Narrow"/>
                <w:szCs w:val="20"/>
              </w:rPr>
            </w:pPr>
            <w:r w:rsidRPr="005A5BB7">
              <w:rPr>
                <w:rFonts w:eastAsia="Arial Narrow" w:cs="Arial Narrow"/>
                <w:szCs w:val="20"/>
              </w:rPr>
              <w:t>(NCT04732871)</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1048709" w14:textId="76BC2E71" w:rsidR="3FF051E5" w:rsidRPr="005A5BB7" w:rsidRDefault="3FF051E5" w:rsidP="00C578B4">
            <w:pPr>
              <w:pStyle w:val="TableText0"/>
            </w:pPr>
            <w:r w:rsidRPr="005A5BB7">
              <w:rPr>
                <w:shd w:val="clear" w:color="auto" w:fill="FFFFFF" w:themeFill="background1"/>
              </w:rPr>
              <w:t>A phase 3, randomized, open</w:t>
            </w:r>
            <w:r w:rsidR="000E4816">
              <w:rPr>
                <w:shd w:val="clear" w:color="auto" w:fill="FFFFFF" w:themeFill="background1"/>
              </w:rPr>
              <w:noBreakHyphen/>
            </w:r>
            <w:r w:rsidRPr="005A5BB7">
              <w:rPr>
                <w:shd w:val="clear" w:color="auto" w:fill="FFFFFF" w:themeFill="background1"/>
              </w:rPr>
              <w:t>label, multi</w:t>
            </w:r>
            <w:r w:rsidR="000E4816">
              <w:rPr>
                <w:shd w:val="clear" w:color="auto" w:fill="FFFFFF" w:themeFill="background1"/>
              </w:rPr>
              <w:noBreakHyphen/>
            </w:r>
            <w:r w:rsidRPr="005A5BB7">
              <w:rPr>
                <w:shd w:val="clear" w:color="auto" w:fill="FFFFFF" w:themeFill="background1"/>
              </w:rPr>
              <w:t>country study to evaluate the immunogenicity, safety, reactogenicity and persistence of a single dose of the RSVPreF3 OA investigational vaccine and different revaccination schedules in adults aged 60 years and abov</w:t>
            </w:r>
            <w:r w:rsidRPr="005A5BB7">
              <w:t>e</w:t>
            </w:r>
          </w:p>
          <w:p w14:paraId="32584F6F" w14:textId="64186A55" w:rsidR="3FF051E5" w:rsidRPr="005A5BB7" w:rsidRDefault="2037E53E" w:rsidP="00C578B4">
            <w:pPr>
              <w:pStyle w:val="TableText0"/>
            </w:pPr>
            <w:r>
              <w:t xml:space="preserve">Analysis: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p>
        </w:tc>
        <w:tc>
          <w:tcPr>
            <w:tcW w:w="0" w:type="auto"/>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497BE351" w14:textId="4230FC81" w:rsidR="3FF051E5" w:rsidRPr="00564C09" w:rsidRDefault="2037E53E" w:rsidP="310F0368">
            <w:pPr>
              <w:pStyle w:val="TableText0"/>
              <w:rPr>
                <w:highlight w:val="yellow"/>
              </w:rPr>
            </w:pPr>
            <w:r w:rsidRPr="00F25489">
              <w:t>Data on file</w:t>
            </w:r>
          </w:p>
        </w:tc>
      </w:tr>
      <w:tr w:rsidR="3FF051E5" w:rsidRPr="005A5BB7" w14:paraId="00D46D06" w14:textId="77777777" w:rsidTr="310F0368">
        <w:trPr>
          <w:trHeight w:val="300"/>
        </w:trPr>
        <w:tc>
          <w:tcPr>
            <w:tcW w:w="0" w:type="auto"/>
            <w:vMerge/>
            <w:vAlign w:val="center"/>
          </w:tcPr>
          <w:p w14:paraId="185C3BDD" w14:textId="77777777" w:rsidR="00E92D26" w:rsidRPr="005A5BB7" w:rsidRDefault="00E92D26"/>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0BBCEE8B" w14:textId="5FCB1C23" w:rsidR="3FF051E5" w:rsidRPr="005A5BB7" w:rsidRDefault="3FF051E5" w:rsidP="00C578B4">
            <w:pPr>
              <w:pStyle w:val="TableText0"/>
            </w:pPr>
            <w:r w:rsidRPr="005A5BB7">
              <w:t>A phase 3, randomized, open</w:t>
            </w:r>
            <w:r w:rsidR="000E4816">
              <w:noBreakHyphen/>
            </w:r>
            <w:r w:rsidRPr="005A5BB7">
              <w:t>label, multi</w:t>
            </w:r>
            <w:r w:rsidR="000E4816">
              <w:noBreakHyphen/>
            </w:r>
            <w:r w:rsidRPr="005A5BB7">
              <w:t>country study to evaluate the immunogenicity, safety, reactogenicity and persistence of a single dose of the RSVPreF3 OA investigational vaccine and different revaccination schedules in adults aged 60 years and above</w:t>
            </w:r>
          </w:p>
          <w:p w14:paraId="5C154709" w14:textId="79FF8967" w:rsidR="3FF051E5" w:rsidRPr="005A5BB7" w:rsidRDefault="3FF051E5" w:rsidP="3FF051E5">
            <w:pPr>
              <w:keepNext/>
              <w:keepLines/>
              <w:rPr>
                <w:rFonts w:ascii="Arial Narrow" w:eastAsia="Arial Narrow" w:hAnsi="Arial Narrow" w:cs="Arial Narrow"/>
                <w:sz w:val="20"/>
                <w:szCs w:val="20"/>
              </w:rPr>
            </w:pP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205317F1" w14:textId="7A099904" w:rsidR="3FF051E5" w:rsidRPr="005A5BB7" w:rsidRDefault="3FF051E5" w:rsidP="00C578B4">
            <w:pPr>
              <w:pStyle w:val="TableText0"/>
            </w:pPr>
            <w:r w:rsidRPr="005A5BB7">
              <w:t>Clinical Study Report</w:t>
            </w:r>
          </w:p>
        </w:tc>
      </w:tr>
      <w:tr w:rsidR="3FF051E5" w:rsidRPr="005A5BB7" w14:paraId="2D70459C" w14:textId="77777777" w:rsidTr="310F0368">
        <w:trPr>
          <w:trHeight w:val="300"/>
        </w:trPr>
        <w:tc>
          <w:tcPr>
            <w:tcW w:w="0" w:type="auto"/>
            <w:vMerge/>
            <w:vAlign w:val="center"/>
          </w:tcPr>
          <w:p w14:paraId="75B895AC" w14:textId="77777777" w:rsidR="00E92D26" w:rsidRPr="005A5BB7" w:rsidRDefault="00E92D26"/>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792E1F48" w14:textId="3210033A" w:rsidR="3FF051E5" w:rsidRPr="005A5BB7" w:rsidRDefault="3FF051E5" w:rsidP="00C578B4">
            <w:pPr>
              <w:pStyle w:val="TableText0"/>
            </w:pPr>
            <w:r w:rsidRPr="005A5BB7">
              <w:t>Schwarz, TF, Hwang, SJ, Ylisastigui, P. et al. Immunogenicity and safety following one dose of AS01</w:t>
            </w:r>
            <w:r w:rsidRPr="005A5BB7">
              <w:rPr>
                <w:vertAlign w:val="subscript"/>
              </w:rPr>
              <w:t>E</w:t>
            </w:r>
            <w:r w:rsidR="000E4816">
              <w:noBreakHyphen/>
            </w:r>
            <w:r w:rsidRPr="005A5BB7">
              <w:t>adjuvanted respiratory syncytial virus prefusion F protein vaccine in older adults: a phase 3 trial.</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tcPr>
          <w:p w14:paraId="4B2BFC99" w14:textId="7F0EADAD" w:rsidR="3FF051E5" w:rsidRPr="005A5BB7" w:rsidRDefault="3FF051E5" w:rsidP="00C578B4">
            <w:pPr>
              <w:pStyle w:val="TableText0"/>
            </w:pPr>
            <w:r w:rsidRPr="005A5BB7">
              <w:t>Secondary publication</w:t>
            </w:r>
          </w:p>
          <w:p w14:paraId="7AB88E74" w14:textId="71818F69" w:rsidR="3FF051E5" w:rsidRPr="005A5BB7" w:rsidRDefault="3FF051E5" w:rsidP="3FF051E5">
            <w:pPr>
              <w:keepNext/>
              <w:keepLines/>
              <w:rPr>
                <w:rFonts w:ascii="Arial Narrow" w:eastAsia="Arial Narrow" w:hAnsi="Arial Narrow" w:cs="Arial Narrow"/>
                <w:sz w:val="20"/>
                <w:szCs w:val="20"/>
              </w:rPr>
            </w:pPr>
          </w:p>
          <w:p w14:paraId="79B35F44" w14:textId="02B85447" w:rsidR="3FF051E5" w:rsidRPr="005A5BB7" w:rsidRDefault="3FF051E5" w:rsidP="00C578B4">
            <w:pPr>
              <w:pStyle w:val="TableText0"/>
            </w:pPr>
            <w:r w:rsidRPr="005A5BB7">
              <w:t>Journal of Infectious Diseases 2024; 230(1):e102</w:t>
            </w:r>
            <w:r w:rsidR="000E4816">
              <w:noBreakHyphen/>
            </w:r>
            <w:r w:rsidRPr="005A5BB7">
              <w:t>e110. DOI: 10.1093/infdis/jiad546</w:t>
            </w:r>
          </w:p>
        </w:tc>
      </w:tr>
      <w:tr w:rsidR="3FF051E5" w:rsidRPr="005A5BB7" w14:paraId="4B3A13CD" w14:textId="77777777" w:rsidTr="310F0368">
        <w:trPr>
          <w:trHeight w:val="300"/>
        </w:trPr>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5A4AE0A2" w14:textId="4D11A510" w:rsidR="3FF051E5" w:rsidRPr="005A5BB7" w:rsidRDefault="3FF051E5" w:rsidP="3FF051E5">
            <w:pPr>
              <w:pStyle w:val="Tabletext"/>
              <w:keepNext/>
              <w:keepLines/>
              <w:rPr>
                <w:rFonts w:eastAsia="Arial Narrow" w:cs="Arial Narrow"/>
                <w:szCs w:val="20"/>
              </w:rPr>
            </w:pPr>
            <w:r w:rsidRPr="005A5BB7">
              <w:rPr>
                <w:rFonts w:eastAsia="Arial Narrow" w:cs="Arial Narrow"/>
                <w:szCs w:val="20"/>
              </w:rPr>
              <w:t>RSV OA=ADJ</w:t>
            </w:r>
            <w:r w:rsidR="000E4816">
              <w:rPr>
                <w:rFonts w:eastAsia="Arial Narrow" w:cs="Arial Narrow"/>
                <w:szCs w:val="20"/>
              </w:rPr>
              <w:noBreakHyphen/>
            </w:r>
            <w:r w:rsidRPr="005A5BB7">
              <w:rPr>
                <w:rFonts w:eastAsia="Arial Narrow" w:cs="Arial Narrow"/>
                <w:szCs w:val="20"/>
              </w:rPr>
              <w:t>023 (NCT05921903)</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558B06FB" w14:textId="55B59F5C" w:rsidR="3FF051E5" w:rsidRPr="005A5BB7" w:rsidRDefault="3FF051E5" w:rsidP="00131D5E">
            <w:pPr>
              <w:pStyle w:val="TableText0"/>
            </w:pPr>
            <w:r w:rsidRPr="005A5BB7">
              <w:t>A Phase 2b, randomized, controlled, open</w:t>
            </w:r>
            <w:r w:rsidR="000E4816">
              <w:noBreakHyphen/>
            </w:r>
            <w:r w:rsidRPr="005A5BB7">
              <w:t>label study to evaluate the immune response and safety of the RSVPreF3 OA investigational vaccine in adults (≥18 years of age) when administered to lung and renal transplant recipients comparing 1 versus 2 doses and compared to healthy controls (≥50 years of age) receiving 1 dose</w:t>
            </w:r>
            <w:r w:rsidR="00131D5E" w:rsidRPr="005A5BB7">
              <w:t xml:space="preserve">. </w:t>
            </w:r>
            <w:r w:rsidRPr="005A5BB7">
              <w:t>Analysis: Final analysis</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65C884C2" w14:textId="5A1BDC62" w:rsidR="3FF051E5" w:rsidRPr="005A5BB7" w:rsidRDefault="3FF051E5" w:rsidP="00C578B4">
            <w:pPr>
              <w:pStyle w:val="TableText0"/>
            </w:pPr>
            <w:r w:rsidRPr="005A5BB7">
              <w:t>Clinical Study Report</w:t>
            </w:r>
          </w:p>
        </w:tc>
      </w:tr>
      <w:tr w:rsidR="3F5686D1" w:rsidRPr="005A5BB7" w14:paraId="10DE09C8" w14:textId="77777777" w:rsidTr="310F0368">
        <w:trPr>
          <w:trHeight w:val="300"/>
        </w:trPr>
        <w:tc>
          <w:tcPr>
            <w:tcW w:w="0" w:type="auto"/>
            <w:gridSpan w:val="3"/>
            <w:tcBorders>
              <w:top w:val="single" w:sz="6" w:space="0" w:color="auto"/>
              <w:left w:val="single" w:sz="6" w:space="0" w:color="auto"/>
              <w:bottom w:val="single" w:sz="6" w:space="0" w:color="auto"/>
              <w:right w:val="single" w:sz="6" w:space="0" w:color="auto"/>
            </w:tcBorders>
            <w:tcMar>
              <w:left w:w="15" w:type="dxa"/>
              <w:right w:w="15" w:type="dxa"/>
            </w:tcMar>
          </w:tcPr>
          <w:p w14:paraId="5CC19C21" w14:textId="64DF81F7" w:rsidR="72754DFD" w:rsidRPr="005A5BB7" w:rsidRDefault="72754DFD" w:rsidP="004C2701">
            <w:pPr>
              <w:pStyle w:val="Tabletext"/>
              <w:rPr>
                <w:rFonts w:eastAsia="Arial Narrow" w:cs="Arial Narrow"/>
              </w:rPr>
            </w:pPr>
            <w:r w:rsidRPr="005A5BB7">
              <w:rPr>
                <w:rFonts w:eastAsia="Arial Narrow" w:cs="Arial Narrow"/>
              </w:rPr>
              <w:t>Near market comparator trials</w:t>
            </w:r>
          </w:p>
        </w:tc>
      </w:tr>
      <w:tr w:rsidR="00AB387C" w:rsidRPr="005A5BB7" w14:paraId="6C0AB7BB" w14:textId="77777777" w:rsidTr="310F0368">
        <w:trPr>
          <w:trHeight w:val="300"/>
        </w:trPr>
        <w:tc>
          <w:tcPr>
            <w:tcW w:w="0" w:type="auto"/>
            <w:vMerge w:val="restart"/>
            <w:tcBorders>
              <w:top w:val="single" w:sz="6" w:space="0" w:color="auto"/>
              <w:left w:val="single" w:sz="6" w:space="0" w:color="auto"/>
              <w:bottom w:val="single" w:sz="6" w:space="0" w:color="auto"/>
              <w:right w:val="single" w:sz="6" w:space="0" w:color="auto"/>
            </w:tcBorders>
            <w:tcMar>
              <w:left w:w="15" w:type="dxa"/>
              <w:right w:w="15" w:type="dxa"/>
            </w:tcMar>
          </w:tcPr>
          <w:p w14:paraId="0E75062B" w14:textId="71338E19" w:rsidR="72754DFD" w:rsidRPr="005A5BB7" w:rsidRDefault="72754DFD" w:rsidP="004C2701">
            <w:pPr>
              <w:pStyle w:val="Tabletext"/>
            </w:pPr>
            <w:r w:rsidRPr="005A5BB7">
              <w:rPr>
                <w:rFonts w:eastAsia="Arial Narrow" w:cs="Arial Narrow"/>
              </w:rPr>
              <w:t>RENOIR (NCT05035212)</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5C582874" w14:textId="7B7FC3E7" w:rsidR="72754DFD" w:rsidRPr="005A5BB7" w:rsidRDefault="00BB3CD0" w:rsidP="00C578B4">
            <w:pPr>
              <w:pStyle w:val="TableText0"/>
            </w:pPr>
            <w:r w:rsidRPr="005A5BB7">
              <w:t>Walsh EE, Pérez Marc G, Zareba AM, Falsey AR, Jiang Q, Patton M, Polack FP, Llapur C, Doreski PA, Ilangovan K, Rämet M. Efficacy and safety of a bivalent RSV prefusion F vaccine in older adults.</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49A6FA11" w14:textId="6B93E2C4" w:rsidR="72754DFD" w:rsidRPr="005A5BB7" w:rsidRDefault="00BB3CD0" w:rsidP="00C578B4">
            <w:pPr>
              <w:pStyle w:val="TableText0"/>
            </w:pPr>
            <w:r w:rsidRPr="005A5BB7">
              <w:t>New England Journal of Medicine. 2023 Apr 20;388(16):1465</w:t>
            </w:r>
            <w:r w:rsidR="000E4816">
              <w:noBreakHyphen/>
            </w:r>
            <w:r w:rsidRPr="005A5BB7">
              <w:t>77</w:t>
            </w:r>
          </w:p>
        </w:tc>
      </w:tr>
      <w:tr w:rsidR="3F5686D1" w:rsidRPr="005A5BB7" w14:paraId="2BAEBD38" w14:textId="77777777" w:rsidTr="310F0368">
        <w:trPr>
          <w:trHeight w:val="300"/>
        </w:trPr>
        <w:tc>
          <w:tcPr>
            <w:tcW w:w="0" w:type="auto"/>
            <w:vMerge/>
            <w:tcMar>
              <w:left w:w="15" w:type="dxa"/>
              <w:right w:w="15" w:type="dxa"/>
            </w:tcMar>
          </w:tcPr>
          <w:p w14:paraId="501EB102" w14:textId="77777777" w:rsidR="00D83992" w:rsidRPr="005A5BB7" w:rsidRDefault="00D83992"/>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6302F857" w14:textId="11CA2BE1" w:rsidR="72754DFD" w:rsidRPr="005A5BB7" w:rsidRDefault="004C2701" w:rsidP="00C578B4">
            <w:pPr>
              <w:pStyle w:val="TableText0"/>
            </w:pPr>
            <w:r w:rsidRPr="005A5BB7">
              <w:t xml:space="preserve">RSVpreF PBAC Public Summary Document </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50F244CB" w14:textId="4FAEBB2C" w:rsidR="72754DFD" w:rsidRPr="005A5BB7" w:rsidRDefault="004C2701" w:rsidP="00C578B4">
            <w:pPr>
              <w:pStyle w:val="TableText0"/>
            </w:pPr>
            <w:r w:rsidRPr="005A5BB7">
              <w:t>November 2024 and July 2025.</w:t>
            </w:r>
          </w:p>
        </w:tc>
      </w:tr>
      <w:tr w:rsidR="004C2701" w:rsidRPr="005A5BB7" w14:paraId="77F7D612" w14:textId="77777777" w:rsidTr="310F0368">
        <w:trPr>
          <w:trHeight w:val="300"/>
        </w:trPr>
        <w:tc>
          <w:tcPr>
            <w:tcW w:w="0" w:type="auto"/>
            <w:vMerge w:val="restart"/>
            <w:tcBorders>
              <w:top w:val="single" w:sz="6" w:space="0" w:color="auto"/>
              <w:left w:val="single" w:sz="6" w:space="0" w:color="auto"/>
              <w:bottom w:val="single" w:sz="6" w:space="0" w:color="auto"/>
              <w:right w:val="single" w:sz="6" w:space="0" w:color="auto"/>
            </w:tcBorders>
            <w:tcMar>
              <w:left w:w="15" w:type="dxa"/>
              <w:right w:w="15" w:type="dxa"/>
            </w:tcMar>
          </w:tcPr>
          <w:p w14:paraId="53FE0A92" w14:textId="09436D1E" w:rsidR="004C2701" w:rsidRPr="005A5BB7" w:rsidRDefault="004C2701" w:rsidP="004C2701">
            <w:pPr>
              <w:pStyle w:val="Tabletext"/>
            </w:pPr>
            <w:r w:rsidRPr="005A5BB7">
              <w:rPr>
                <w:rFonts w:eastAsia="Arial Narrow" w:cs="Arial Narrow"/>
              </w:rPr>
              <w:t>Study 1006 (NCT05301322)</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00F7A553" w14:textId="20718BF1" w:rsidR="004C2701" w:rsidRPr="005A5BB7" w:rsidRDefault="004C2701" w:rsidP="00C578B4">
            <w:pPr>
              <w:pStyle w:val="TableText0"/>
            </w:pPr>
            <w:r w:rsidRPr="005A5BB7">
              <w:t>Athan E, Baber J, Quan K, Scott RJ, Jaques A, Jiang Q, Li W, Cooper D, Cutler MW, Kalinina EV, Anderson AS. Safety and immunogenicity of bivalent RSVpreF vaccine coadministered with seasonal inactivated influenza vaccine in older adults.</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6B10BF42" w14:textId="06691E58" w:rsidR="004C2701" w:rsidRPr="005A5BB7" w:rsidRDefault="004C2701" w:rsidP="00C578B4">
            <w:pPr>
              <w:pStyle w:val="TableText0"/>
            </w:pPr>
            <w:r w:rsidRPr="005A5BB7">
              <w:t>Clinical Infectious Diseases. 2024 May 15;78(5):1360</w:t>
            </w:r>
            <w:r w:rsidR="000E4816">
              <w:noBreakHyphen/>
            </w:r>
            <w:r w:rsidRPr="005A5BB7">
              <w:t>8.</w:t>
            </w:r>
          </w:p>
        </w:tc>
      </w:tr>
      <w:tr w:rsidR="004C2701" w:rsidRPr="005A5BB7" w14:paraId="7CF63F8D" w14:textId="77777777" w:rsidTr="310F0368">
        <w:trPr>
          <w:trHeight w:val="300"/>
        </w:trPr>
        <w:tc>
          <w:tcPr>
            <w:tcW w:w="0" w:type="auto"/>
            <w:vMerge/>
            <w:tcMar>
              <w:left w:w="15" w:type="dxa"/>
              <w:right w:w="15" w:type="dxa"/>
            </w:tcMar>
          </w:tcPr>
          <w:p w14:paraId="61671B9D" w14:textId="77777777" w:rsidR="004C2701" w:rsidRPr="005A5BB7" w:rsidRDefault="004C2701" w:rsidP="004C2701"/>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54423C32" w14:textId="313D4114" w:rsidR="004C2701" w:rsidRPr="005A5BB7" w:rsidRDefault="004C2701" w:rsidP="00C578B4">
            <w:pPr>
              <w:pStyle w:val="TableText0"/>
            </w:pPr>
            <w:r w:rsidRPr="005A5BB7">
              <w:t xml:space="preserve">RSVpreF PBAC Public Summary Document </w:t>
            </w:r>
          </w:p>
        </w:tc>
        <w:tc>
          <w:tcPr>
            <w:tcW w:w="0" w:type="auto"/>
            <w:tcBorders>
              <w:top w:val="single" w:sz="6" w:space="0" w:color="auto"/>
              <w:left w:val="single" w:sz="6" w:space="0" w:color="auto"/>
              <w:bottom w:val="single" w:sz="6" w:space="0" w:color="auto"/>
              <w:right w:val="single" w:sz="6" w:space="0" w:color="auto"/>
            </w:tcBorders>
            <w:tcMar>
              <w:left w:w="15" w:type="dxa"/>
              <w:right w:w="15" w:type="dxa"/>
            </w:tcMar>
          </w:tcPr>
          <w:p w14:paraId="63D636D6" w14:textId="15F6724A" w:rsidR="004C2701" w:rsidRPr="005A5BB7" w:rsidRDefault="004C2701" w:rsidP="00C578B4">
            <w:pPr>
              <w:pStyle w:val="TableText0"/>
            </w:pPr>
            <w:r w:rsidRPr="005A5BB7">
              <w:t>November 2024 and July 2025.</w:t>
            </w:r>
          </w:p>
        </w:tc>
      </w:tr>
    </w:tbl>
    <w:p w14:paraId="339CC08E" w14:textId="0670E8F8" w:rsidR="586ECD4B" w:rsidRPr="005A5BB7" w:rsidRDefault="586ECD4B" w:rsidP="3FF051E5">
      <w:pPr>
        <w:pStyle w:val="FooterTableFigure"/>
        <w:rPr>
          <w:rFonts w:eastAsia="Arial Narrow" w:cs="Arial Narrow"/>
          <w:color w:val="000000" w:themeColor="text1"/>
        </w:rPr>
      </w:pPr>
      <w:r w:rsidRPr="005A5BB7">
        <w:rPr>
          <w:rFonts w:eastAsia="Arial Narrow" w:cs="Arial Narrow"/>
          <w:color w:val="000000" w:themeColor="text1"/>
        </w:rPr>
        <w:t>Source: Table 2</w:t>
      </w:r>
      <w:r w:rsidR="000E4816">
        <w:rPr>
          <w:rFonts w:eastAsia="Arial Narrow" w:cs="Arial Narrow"/>
          <w:color w:val="000000" w:themeColor="text1"/>
        </w:rPr>
        <w:noBreakHyphen/>
      </w:r>
      <w:r w:rsidRPr="005A5BB7">
        <w:rPr>
          <w:rFonts w:eastAsia="Arial Narrow" w:cs="Arial Narrow"/>
          <w:color w:val="000000" w:themeColor="text1"/>
        </w:rPr>
        <w:t>4, pp45</w:t>
      </w:r>
      <w:r w:rsidR="000E4816">
        <w:rPr>
          <w:rFonts w:eastAsia="Arial Narrow" w:cs="Arial Narrow"/>
          <w:color w:val="000000" w:themeColor="text1"/>
        </w:rPr>
        <w:noBreakHyphen/>
      </w:r>
      <w:r w:rsidRPr="005A5BB7">
        <w:rPr>
          <w:rFonts w:eastAsia="Arial Narrow" w:cs="Arial Narrow"/>
          <w:color w:val="000000" w:themeColor="text1"/>
        </w:rPr>
        <w:t xml:space="preserve">48 of the </w:t>
      </w:r>
      <w:r w:rsidR="00126E90" w:rsidRPr="005A5BB7">
        <w:rPr>
          <w:rFonts w:eastAsia="Arial Narrow" w:cs="Arial Narrow"/>
          <w:color w:val="000000" w:themeColor="text1"/>
        </w:rPr>
        <w:t>res</w:t>
      </w:r>
      <w:r w:rsidRPr="005A5BB7">
        <w:rPr>
          <w:rFonts w:eastAsia="Arial Narrow" w:cs="Arial Narrow"/>
          <w:color w:val="000000" w:themeColor="text1"/>
        </w:rPr>
        <w:t>ubmission</w:t>
      </w:r>
      <w:r w:rsidR="79217B93" w:rsidRPr="005A5BB7">
        <w:rPr>
          <w:rFonts w:eastAsia="Arial Narrow" w:cs="Arial Narrow"/>
          <w:color w:val="000000" w:themeColor="text1"/>
        </w:rPr>
        <w:t xml:space="preserve"> and Table 2, p9 of Abrysvo PSD, November 2024</w:t>
      </w:r>
      <w:r w:rsidR="00DD7133" w:rsidRPr="005A5BB7">
        <w:rPr>
          <w:rFonts w:eastAsia="Arial Narrow" w:cs="Arial Narrow"/>
          <w:color w:val="000000" w:themeColor="text1"/>
        </w:rPr>
        <w:t xml:space="preserve"> and July 2025</w:t>
      </w:r>
    </w:p>
    <w:p w14:paraId="007A62A0" w14:textId="785E0BB6" w:rsidR="586ECD4B" w:rsidRPr="005A5BB7" w:rsidRDefault="586ECD4B"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 xml:space="preserve">CSR = clinical study report; NIP = National Immunisation Program; RSVPreF3 OA = Arexvy; VE = vaccine efficacy; QoL = quality of life. </w:t>
      </w:r>
    </w:p>
    <w:p w14:paraId="1412655F" w14:textId="31F53C7B" w:rsidR="3FF051E5" w:rsidRPr="005A5BB7" w:rsidRDefault="586ECD4B" w:rsidP="005E26D0">
      <w:pPr>
        <w:pStyle w:val="FooterTableFigure"/>
        <w:rPr>
          <w:rFonts w:eastAsia="Arial Narrow" w:cs="Arial Narrow"/>
          <w:color w:val="000000" w:themeColor="text1"/>
          <w:szCs w:val="18"/>
        </w:rPr>
      </w:pPr>
      <w:r w:rsidRPr="005A5BB7">
        <w:rPr>
          <w:rFonts w:eastAsia="Arial Narrow" w:cs="Arial Narrow"/>
          <w:color w:val="000000" w:themeColor="text1"/>
          <w:szCs w:val="18"/>
        </w:rPr>
        <w:lastRenderedPageBreak/>
        <w:t>Note: References in blue shaded cells have not previously been reviewed by the PBAC</w:t>
      </w:r>
    </w:p>
    <w:p w14:paraId="66E4A90B" w14:textId="41FCF3A8" w:rsidR="586ECD4B" w:rsidRPr="005A5BB7" w:rsidRDefault="586ECD4B" w:rsidP="3FF051E5">
      <w:pPr>
        <w:pStyle w:val="3-BodyText"/>
      </w:pPr>
      <w:r w:rsidRPr="005A5BB7">
        <w:t xml:space="preserve">The key features of the direct randomised trial are summarised in </w:t>
      </w:r>
      <w:r w:rsidR="009B28B0" w:rsidRPr="005A5BB7">
        <w:fldChar w:fldCharType="begin"/>
      </w:r>
      <w:r w:rsidR="009B28B0" w:rsidRPr="005A5BB7">
        <w:instrText xml:space="preserve"> REF _Ref219881280 \h </w:instrText>
      </w:r>
      <w:r w:rsidR="005E26D0" w:rsidRPr="005A5BB7">
        <w:instrText xml:space="preserve"> \* MERGEFORMAT </w:instrText>
      </w:r>
      <w:r w:rsidR="009B28B0" w:rsidRPr="005A5BB7">
        <w:fldChar w:fldCharType="separate"/>
      </w:r>
      <w:r w:rsidR="0043658C" w:rsidRPr="005A5BB7">
        <w:t xml:space="preserve">Table </w:t>
      </w:r>
      <w:r w:rsidR="0043658C">
        <w:t>6</w:t>
      </w:r>
      <w:r w:rsidR="009B28B0" w:rsidRPr="005A5BB7">
        <w:fldChar w:fldCharType="end"/>
      </w:r>
      <w:r w:rsidRPr="005A5BB7">
        <w:t xml:space="preserve">. </w:t>
      </w:r>
      <w:r w:rsidR="00161A23" w:rsidRPr="005A5BB7">
        <w:t>AReSVi</w:t>
      </w:r>
      <w:r w:rsidR="000E4816">
        <w:noBreakHyphen/>
      </w:r>
      <w:r w:rsidR="00161A23" w:rsidRPr="005A5BB7">
        <w:t xml:space="preserve">006 recruited adults ≥ 60 YOA at the time of first vaccination. Participants aged </w:t>
      </w:r>
      <w:r w:rsidR="00161A23" w:rsidRPr="005A5BB7">
        <w:rPr>
          <w:rFonts w:cstheme="minorHAnsi"/>
        </w:rPr>
        <w:t>≥</w:t>
      </w:r>
      <w:r w:rsidR="00161A23" w:rsidRPr="005A5BB7">
        <w:t xml:space="preserve"> 70 YOA formed 44.2% of the full study population (the number of participants ≥ 75 YOA was not reported). The baseline characteristics by age subgroup compared with the full study population were not provided in the resubmission. AReSVi</w:t>
      </w:r>
      <w:r w:rsidR="000E4816">
        <w:noBreakHyphen/>
      </w:r>
      <w:r w:rsidR="00161A23" w:rsidRPr="005A5BB7">
        <w:t>006 was previously considered to have a low risk of bias (Table 4, RSVPreF3 OA PSD, July 2024).</w:t>
      </w:r>
      <w:r w:rsidR="00DA1339">
        <w:t xml:space="preserve"> </w:t>
      </w:r>
      <w:r w:rsidR="00161A23" w:rsidRPr="005A5BB7">
        <w:t>However, t</w:t>
      </w:r>
      <w:r w:rsidR="00161A23" w:rsidRPr="005A5BB7">
        <w:rPr>
          <w:color w:val="000000"/>
        </w:rPr>
        <w:t>he risk of bias in the additional analyses presented by the resubmission is unclear.</w:t>
      </w:r>
    </w:p>
    <w:p w14:paraId="631E6A7E" w14:textId="05323FF8" w:rsidR="586ECD4B" w:rsidRPr="005A5BB7" w:rsidRDefault="00BA1E78" w:rsidP="3FF051E5">
      <w:pPr>
        <w:pStyle w:val="3-BodyText"/>
        <w:rPr>
          <w:rFonts w:ascii="Arial Narrow" w:eastAsia="Arial Narrow" w:hAnsi="Arial Narrow" w:cs="Arial Narrow"/>
          <w:b/>
          <w:bCs/>
          <w:color w:val="000000" w:themeColor="text1"/>
          <w:sz w:val="20"/>
          <w:szCs w:val="20"/>
        </w:rPr>
      </w:pPr>
      <w:r>
        <w:t>AReSVi</w:t>
      </w:r>
      <w:r>
        <w:noBreakHyphen/>
        <w:t>006</w:t>
      </w:r>
      <w:r w:rsidR="586ECD4B">
        <w:t xml:space="preserve"> was initially designed to assess the efficacy of RSVPreF3 OA against RSV</w:t>
      </w:r>
      <w:r>
        <w:noBreakHyphen/>
      </w:r>
      <w:r w:rsidR="586ECD4B">
        <w:t>related LRTD following different dosing schedules; a single dose of vaccine up to the end of Season 3 in the NH or following an annual revaccination schedule at 12</w:t>
      </w:r>
      <w:r>
        <w:noBreakHyphen/>
      </w:r>
      <w:r w:rsidR="586ECD4B">
        <w:t xml:space="preserve"> and 24</w:t>
      </w:r>
      <w:r>
        <w:noBreakHyphen/>
      </w:r>
      <w:r w:rsidR="586ECD4B">
        <w:t>months post Dose 1 administration. However, the trial protocol was amended on 31 October 2023 to remove the Month 24 revaccination dose schedule because initial analysis of efficacy for the 12</w:t>
      </w:r>
      <w:r>
        <w:noBreakHyphen/>
      </w:r>
      <w:r w:rsidR="586ECD4B">
        <w:t xml:space="preserve">month revaccination dose demonstrated no additional efficacy benefit for the trial population. The </w:t>
      </w:r>
      <w:r w:rsidR="005B650A">
        <w:t xml:space="preserve">July 2025 </w:t>
      </w:r>
      <w:r w:rsidR="002D7CD5">
        <w:t>res</w:t>
      </w:r>
      <w:r w:rsidR="586ECD4B">
        <w:t xml:space="preserve">ubmission noted that 5,742 participants (RSVPreF3 OA: 1,406 participants; placebo: 4,333 participants) from the NH received their second annual revaccination dose at Month 24 (Dose 3) as this occurred before the approval of the protocol amendment. These participants were censored from the VE analysis and included in the updated safety results. </w:t>
      </w:r>
      <w:r w:rsidR="00E45CDC">
        <w:t>T</w:t>
      </w:r>
      <w:r w:rsidR="586ECD4B">
        <w:t xml:space="preserve">he comparative effectiveness results presented below </w:t>
      </w:r>
      <w:r w:rsidR="00E45CDC">
        <w:t>reflect</w:t>
      </w:r>
      <w:r w:rsidR="586ECD4B">
        <w:t xml:space="preserve"> participants who received a single dose of RSVPreF3 OA.</w:t>
      </w:r>
    </w:p>
    <w:p w14:paraId="2FA16A10" w14:textId="0CD520DE" w:rsidR="009121A5" w:rsidRPr="005A5BB7" w:rsidRDefault="009121A5" w:rsidP="009121A5">
      <w:pPr>
        <w:pStyle w:val="Caption"/>
      </w:pPr>
      <w:bookmarkStart w:id="37" w:name="_Ref219881280"/>
      <w:r w:rsidRPr="005A5BB7">
        <w:t xml:space="preserve">Table </w:t>
      </w:r>
      <w:fldSimple w:instr=" SEQ Table \* ARABIC ">
        <w:r w:rsidR="0043658C">
          <w:rPr>
            <w:noProof/>
          </w:rPr>
          <w:t>6</w:t>
        </w:r>
      </w:fldSimple>
      <w:bookmarkEnd w:id="37"/>
      <w:r w:rsidRPr="005A5BB7">
        <w:t>: Key features of the included evidence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6: Key features of the included evidence"/>
      </w:tblPr>
      <w:tblGrid>
        <w:gridCol w:w="975"/>
        <w:gridCol w:w="705"/>
        <w:gridCol w:w="1431"/>
        <w:gridCol w:w="850"/>
        <w:gridCol w:w="869"/>
        <w:gridCol w:w="2448"/>
        <w:gridCol w:w="1695"/>
      </w:tblGrid>
      <w:tr w:rsidR="3FF051E5" w:rsidRPr="005A5BB7" w14:paraId="7FF4B187" w14:textId="77777777" w:rsidTr="00D24759">
        <w:trPr>
          <w:trHeight w:val="300"/>
        </w:trPr>
        <w:tc>
          <w:tcPr>
            <w:tcW w:w="97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A768DD6" w14:textId="46FC7056"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Trial</w:t>
            </w:r>
          </w:p>
        </w:tc>
        <w:tc>
          <w:tcPr>
            <w:tcW w:w="70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79637A6" w14:textId="4D178D0F"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N</w:t>
            </w:r>
          </w:p>
        </w:tc>
        <w:tc>
          <w:tcPr>
            <w:tcW w:w="143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3BCD3D9" w14:textId="254F2211"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Design/ duration</w:t>
            </w:r>
          </w:p>
        </w:tc>
        <w:tc>
          <w:tcPr>
            <w:tcW w:w="85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3FAA27B" w14:textId="7EC48435"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Risk of bias</w:t>
            </w:r>
          </w:p>
        </w:tc>
        <w:tc>
          <w:tcPr>
            <w:tcW w:w="85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222C957" w14:textId="21C30A9F"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Patient population</w:t>
            </w:r>
          </w:p>
        </w:tc>
        <w:tc>
          <w:tcPr>
            <w:tcW w:w="2448"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C8A53F5" w14:textId="50D2C542"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Outcomes</w:t>
            </w:r>
          </w:p>
        </w:tc>
        <w:tc>
          <w:tcPr>
            <w:tcW w:w="169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67BF9CC" w14:textId="3045988B"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Use in modelled evaluation</w:t>
            </w:r>
          </w:p>
        </w:tc>
      </w:tr>
      <w:tr w:rsidR="3FF051E5" w:rsidRPr="005A5BB7" w14:paraId="0075623C" w14:textId="77777777" w:rsidTr="3FF051E5">
        <w:trPr>
          <w:trHeight w:val="300"/>
        </w:trPr>
        <w:tc>
          <w:tcPr>
            <w:tcW w:w="8955" w:type="dxa"/>
            <w:gridSpan w:val="7"/>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565B5CF" w14:textId="35EA7969" w:rsidR="3FF051E5" w:rsidRPr="005A5BB7" w:rsidRDefault="3FF051E5" w:rsidP="3FF051E5">
            <w:pPr>
              <w:pStyle w:val="In-tableHeading"/>
              <w:keepNext/>
              <w:keepLines/>
              <w:rPr>
                <w:rFonts w:eastAsia="Arial Narrow" w:cs="Arial Narrow"/>
                <w:bCs/>
                <w:szCs w:val="20"/>
                <w:lang w:val="en-AU"/>
              </w:rPr>
            </w:pPr>
            <w:r w:rsidRPr="005A5BB7">
              <w:rPr>
                <w:rFonts w:eastAsia="Arial Narrow" w:cs="Arial Narrow"/>
                <w:bCs/>
                <w:szCs w:val="20"/>
                <w:lang w:val="en-AU"/>
              </w:rPr>
              <w:t>RSVPreF3 OA versus placebo</w:t>
            </w:r>
          </w:p>
        </w:tc>
      </w:tr>
      <w:tr w:rsidR="3FF051E5" w:rsidRPr="005A5BB7" w14:paraId="4F937460" w14:textId="77777777" w:rsidTr="00D2475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F8B4F00" w14:textId="70129549" w:rsidR="3FF051E5" w:rsidRPr="005A5BB7" w:rsidRDefault="00B67851" w:rsidP="00C578B4">
            <w:pPr>
              <w:pStyle w:val="TableText0"/>
            </w:pPr>
            <w:r w:rsidRPr="005A5BB7">
              <w:t>AReSVi</w:t>
            </w:r>
            <w:r w:rsidR="000E4816">
              <w:noBreakHyphen/>
            </w:r>
            <w:r w:rsidRPr="005A5BB7">
              <w:t>006</w:t>
            </w:r>
          </w:p>
        </w:tc>
        <w:tc>
          <w:tcPr>
            <w:tcW w:w="70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62D78CA" w14:textId="198977CA" w:rsidR="3FF051E5" w:rsidRPr="005A5BB7" w:rsidRDefault="3FF051E5" w:rsidP="00C578B4">
            <w:pPr>
              <w:pStyle w:val="TableText0"/>
              <w:rPr>
                <w:sz w:val="16"/>
                <w:szCs w:val="16"/>
              </w:rPr>
            </w:pPr>
            <w:r w:rsidRPr="005A5BB7">
              <w:t>24,966</w:t>
            </w:r>
            <w:r w:rsidRPr="005A5BB7">
              <w:rPr>
                <w:vertAlign w:val="superscript"/>
              </w:rPr>
              <w:t>a</w:t>
            </w:r>
          </w:p>
        </w:tc>
        <w:tc>
          <w:tcPr>
            <w:tcW w:w="143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EB4F751" w14:textId="6E74EE94" w:rsidR="3FF051E5" w:rsidRPr="005A5BB7" w:rsidRDefault="3FF051E5" w:rsidP="00C578B4">
            <w:pPr>
              <w:pStyle w:val="TableText0"/>
            </w:pPr>
            <w:r w:rsidRPr="005A5BB7">
              <w:t>Phase 3 R, OB, PC, MC</w:t>
            </w:r>
          </w:p>
          <w:p w14:paraId="45C90A34" w14:textId="678AAB71" w:rsidR="3FF051E5" w:rsidRPr="005A5BB7" w:rsidRDefault="3FF051E5" w:rsidP="00C578B4">
            <w:pPr>
              <w:pStyle w:val="TableText0"/>
            </w:pPr>
            <w:r w:rsidRPr="005A5BB7">
              <w:t>Completed</w:t>
            </w:r>
          </w:p>
        </w:tc>
        <w:tc>
          <w:tcPr>
            <w:tcW w:w="85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D57C280" w14:textId="36DE7ADF" w:rsidR="3FF051E5" w:rsidRPr="005A5BB7" w:rsidRDefault="3FF051E5" w:rsidP="00C578B4">
            <w:pPr>
              <w:pStyle w:val="TableText0"/>
            </w:pPr>
            <w:r w:rsidRPr="005A5BB7">
              <w:t>Low</w:t>
            </w:r>
          </w:p>
        </w:tc>
        <w:tc>
          <w:tcPr>
            <w:tcW w:w="85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443CC81" w14:textId="58BBADA1" w:rsidR="3FF051E5" w:rsidRPr="005A5BB7" w:rsidRDefault="3FF051E5" w:rsidP="00C578B4">
            <w:pPr>
              <w:pStyle w:val="TableText0"/>
              <w:rPr>
                <w:sz w:val="16"/>
                <w:szCs w:val="16"/>
              </w:rPr>
            </w:pPr>
            <w:r w:rsidRPr="005A5BB7">
              <w:t>Adults ≥ 60 YOA</w:t>
            </w:r>
            <w:r w:rsidRPr="005A5BB7">
              <w:rPr>
                <w:vertAlign w:val="superscript"/>
              </w:rPr>
              <w:t>b</w:t>
            </w:r>
          </w:p>
        </w:tc>
        <w:tc>
          <w:tcPr>
            <w:tcW w:w="244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2594901" w14:textId="680D95FC" w:rsidR="3FF051E5" w:rsidRPr="005A5BB7" w:rsidRDefault="3FF051E5" w:rsidP="00C578B4">
            <w:pPr>
              <w:pStyle w:val="TableText0"/>
            </w:pPr>
            <w:r w:rsidRPr="005A5BB7">
              <w:t>Primary outcome: reduction of the risk of the first occurrence of RT</w:t>
            </w:r>
            <w:r w:rsidR="000E4816">
              <w:noBreakHyphen/>
            </w:r>
            <w:r w:rsidRPr="005A5BB7">
              <w:t>PCR confirmed RSV</w:t>
            </w:r>
            <w:r w:rsidR="000E4816">
              <w:noBreakHyphen/>
            </w:r>
            <w:r w:rsidRPr="005A5BB7">
              <w:t>LRTD</w:t>
            </w:r>
          </w:p>
          <w:p w14:paraId="72196634" w14:textId="752B7E6C" w:rsidR="3FF051E5" w:rsidRPr="005A5BB7" w:rsidRDefault="3FF051E5" w:rsidP="00C578B4">
            <w:pPr>
              <w:pStyle w:val="TableText0"/>
            </w:pPr>
            <w:r w:rsidRPr="005A5BB7">
              <w:t>Key secondary outcomes: safety, PROs</w:t>
            </w:r>
          </w:p>
        </w:tc>
        <w:tc>
          <w:tcPr>
            <w:tcW w:w="1695"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D813CFE" w14:textId="5AEA8BD4" w:rsidR="3FF051E5" w:rsidRPr="005A5BB7" w:rsidRDefault="3FF051E5" w:rsidP="00C578B4">
            <w:pPr>
              <w:pStyle w:val="TableText0"/>
            </w:pPr>
            <w:r w:rsidRPr="005A5BB7">
              <w:t>Reduction of the risk of the first occurrence of RT</w:t>
            </w:r>
            <w:r w:rsidR="000E4816">
              <w:noBreakHyphen/>
            </w:r>
            <w:r w:rsidRPr="005A5BB7">
              <w:t>PCR confirmed RSV</w:t>
            </w:r>
            <w:r w:rsidR="000E4816">
              <w:noBreakHyphen/>
            </w:r>
            <w:r w:rsidRPr="005A5BB7">
              <w:t>LRTD, safety</w:t>
            </w:r>
          </w:p>
        </w:tc>
      </w:tr>
    </w:tbl>
    <w:p w14:paraId="7F523A80" w14:textId="5A216648" w:rsidR="3F90AAA7" w:rsidRPr="005A5BB7" w:rsidRDefault="3F90AAA7" w:rsidP="3FF051E5">
      <w:pPr>
        <w:pStyle w:val="FooterTableFigure"/>
        <w:rPr>
          <w:rFonts w:eastAsia="Arial Narrow" w:cs="Arial Narrow"/>
          <w:color w:val="000000" w:themeColor="text1"/>
          <w:szCs w:val="18"/>
        </w:rPr>
      </w:pPr>
      <w:r w:rsidRPr="005A5BB7">
        <w:t>Source: Table 26, pp 59</w:t>
      </w:r>
      <w:r w:rsidR="000E4816">
        <w:noBreakHyphen/>
      </w:r>
      <w:r w:rsidRPr="005A5BB7">
        <w:t xml:space="preserve">60 of the </w:t>
      </w:r>
      <w:r w:rsidR="00126E90" w:rsidRPr="005A5BB7">
        <w:t>res</w:t>
      </w:r>
      <w:r w:rsidRPr="005A5BB7">
        <w:t>ubmission.</w:t>
      </w:r>
    </w:p>
    <w:p w14:paraId="010BFB5C" w14:textId="577291C0" w:rsidR="3F90AAA7" w:rsidRPr="005A5BB7" w:rsidRDefault="3F90AAA7" w:rsidP="3FF051E5">
      <w:pPr>
        <w:pStyle w:val="FooterTableFigure"/>
        <w:rPr>
          <w:rFonts w:eastAsia="Arial Narrow" w:cs="Arial Narrow"/>
          <w:color w:val="000000" w:themeColor="text1"/>
          <w:szCs w:val="18"/>
        </w:rPr>
      </w:pPr>
      <w:r w:rsidRPr="005A5BB7">
        <w:t>MC = multi</w:t>
      </w:r>
      <w:r w:rsidR="000E4816">
        <w:noBreakHyphen/>
      </w:r>
      <w:r w:rsidRPr="005A5BB7">
        <w:t>centre; OB = observer blinded; PC = placebo</w:t>
      </w:r>
      <w:r w:rsidR="000E4816">
        <w:noBreakHyphen/>
      </w:r>
      <w:r w:rsidRPr="005A5BB7">
        <w:t>controlled; PRO = patient reported outcome; R = randomised; RSV</w:t>
      </w:r>
      <w:r w:rsidR="000E4816">
        <w:noBreakHyphen/>
      </w:r>
      <w:r w:rsidRPr="005A5BB7">
        <w:t>LRTD = lower respiratory tract disease respiratory syncytial virus; RT</w:t>
      </w:r>
      <w:r w:rsidR="000E4816">
        <w:noBreakHyphen/>
      </w:r>
      <w:r w:rsidRPr="005A5BB7">
        <w:t>PCR = reverse transcription</w:t>
      </w:r>
      <w:r w:rsidR="000E4816">
        <w:noBreakHyphen/>
      </w:r>
      <w:r w:rsidRPr="005A5BB7">
        <w:t>polymerase chain reaction.</w:t>
      </w:r>
    </w:p>
    <w:p w14:paraId="0068406C" w14:textId="168C0F9F" w:rsidR="3F90AAA7" w:rsidRPr="005A5BB7" w:rsidRDefault="3F90AAA7" w:rsidP="3FF051E5">
      <w:pPr>
        <w:pStyle w:val="FooterTableFigure"/>
        <w:rPr>
          <w:rFonts w:eastAsia="Arial Narrow" w:cs="Arial Narrow"/>
          <w:color w:val="000000" w:themeColor="text1"/>
          <w:szCs w:val="18"/>
        </w:rPr>
      </w:pPr>
      <w:r w:rsidRPr="005A5BB7">
        <w:t>a Population corresponds to the modified exposed set (mES) which excludes individuals who develop RSV</w:t>
      </w:r>
      <w:r w:rsidR="000E4816">
        <w:noBreakHyphen/>
      </w:r>
      <w:r w:rsidRPr="005A5BB7">
        <w:t xml:space="preserve">ARI before Day 15 post first dose (1 in the RSVPreF3 OA arm and 5 in the placebo arm). </w:t>
      </w:r>
    </w:p>
    <w:p w14:paraId="508050FB" w14:textId="313E9303" w:rsidR="3F90AAA7" w:rsidRPr="005A5BB7" w:rsidRDefault="3F90AAA7" w:rsidP="3FF051E5">
      <w:pPr>
        <w:pStyle w:val="FooterTableFigure"/>
        <w:rPr>
          <w:rFonts w:eastAsia="Arial Narrow" w:cs="Arial Narrow"/>
          <w:color w:val="000000" w:themeColor="text1"/>
          <w:szCs w:val="18"/>
        </w:rPr>
      </w:pPr>
      <w:r w:rsidRPr="005A5BB7">
        <w:t>b Overall patient population is inclusive of adults 60</w:t>
      </w:r>
      <w:r w:rsidR="000E4816">
        <w:noBreakHyphen/>
      </w:r>
      <w:r w:rsidRPr="005A5BB7">
        <w:t>74 YOA with medical conditions associated with increased risk of severe RSV disease.</w:t>
      </w:r>
    </w:p>
    <w:p w14:paraId="40DE17D0" w14:textId="7C68A502" w:rsidR="3F90AAA7" w:rsidRPr="005A5BB7" w:rsidRDefault="3F90AAA7" w:rsidP="3FF051E5">
      <w:pPr>
        <w:pStyle w:val="FooterTableFigure"/>
        <w:rPr>
          <w:rFonts w:eastAsia="Arial Narrow" w:cs="Arial Narrow"/>
          <w:color w:val="000000" w:themeColor="text1"/>
          <w:szCs w:val="18"/>
        </w:rPr>
      </w:pPr>
      <w:r w:rsidRPr="005A5BB7">
        <w:t>Blue shading indicates information previously seen by the PBAC.</w:t>
      </w:r>
    </w:p>
    <w:p w14:paraId="3FF9B8CE" w14:textId="32AD557D" w:rsidR="00415512" w:rsidRPr="005A5BB7" w:rsidRDefault="301BFBF0" w:rsidP="3FF051E5">
      <w:pPr>
        <w:pStyle w:val="3-BodyText"/>
        <w:rPr>
          <w:szCs w:val="24"/>
        </w:rPr>
      </w:pPr>
      <w:r w:rsidRPr="005A5BB7">
        <w:t xml:space="preserve">The </w:t>
      </w:r>
      <w:r w:rsidR="002D7CD5" w:rsidRPr="005A5BB7">
        <w:t>re</w:t>
      </w:r>
      <w:r w:rsidRPr="005A5BB7">
        <w:t xml:space="preserve">submission presented an unmatched unanchored ITC of RSVPreF3 OA (pivotal trial; </w:t>
      </w:r>
      <w:r w:rsidR="00B67851" w:rsidRPr="005A5BB7">
        <w:t>AReSVi</w:t>
      </w:r>
      <w:r w:rsidR="000E4816">
        <w:noBreakHyphen/>
      </w:r>
      <w:r w:rsidR="00B67851" w:rsidRPr="005A5BB7">
        <w:t>006</w:t>
      </w:r>
      <w:r w:rsidRPr="005A5BB7">
        <w:t xml:space="preserve">) with </w:t>
      </w:r>
      <w:r w:rsidR="00B45CF9" w:rsidRPr="005A5BB7">
        <w:t xml:space="preserve">RSVpreF </w:t>
      </w:r>
      <w:r w:rsidRPr="005A5BB7">
        <w:t>(pivotal trial; RENOIR).</w:t>
      </w:r>
      <w:r w:rsidR="00DA1339">
        <w:t xml:space="preserve"> </w:t>
      </w:r>
      <w:r w:rsidR="00415512" w:rsidRPr="005A5BB7">
        <w:rPr>
          <w:iCs/>
        </w:rPr>
        <w:t xml:space="preserve">This comparison is not discussed further </w:t>
      </w:r>
      <w:r w:rsidR="00FB65BE">
        <w:rPr>
          <w:iCs/>
        </w:rPr>
        <w:t>in this document</w:t>
      </w:r>
      <w:r w:rsidR="00100054" w:rsidRPr="005A5BB7">
        <w:rPr>
          <w:iCs/>
        </w:rPr>
        <w:t xml:space="preserve"> </w:t>
      </w:r>
      <w:r w:rsidR="00415512" w:rsidRPr="005A5BB7">
        <w:rPr>
          <w:iCs/>
        </w:rPr>
        <w:t>as it does not refer to the main comparator.</w:t>
      </w:r>
      <w:r w:rsidR="00415512" w:rsidRPr="005A5BB7">
        <w:t xml:space="preserve"> </w:t>
      </w:r>
    </w:p>
    <w:p w14:paraId="4A4FE085" w14:textId="05333174" w:rsidR="00B60939" w:rsidRPr="005A5BB7" w:rsidRDefault="31CDB5B0" w:rsidP="00E64E39">
      <w:pPr>
        <w:pStyle w:val="4-SubsectionHeading"/>
        <w:rPr>
          <w:iCs/>
        </w:rPr>
      </w:pPr>
      <w:bookmarkStart w:id="38" w:name="_Toc22897641"/>
      <w:bookmarkStart w:id="39" w:name="_Toc219882182"/>
      <w:r w:rsidRPr="005A5BB7">
        <w:t>Comparative effectiveness</w:t>
      </w:r>
      <w:bookmarkEnd w:id="38"/>
      <w:bookmarkEnd w:id="39"/>
    </w:p>
    <w:p w14:paraId="0C9F2F17" w14:textId="158E0FAB" w:rsidR="005D26B4" w:rsidRPr="005A5BB7" w:rsidRDefault="63F85E90" w:rsidP="3FF051E5">
      <w:pPr>
        <w:pStyle w:val="3-BodyText"/>
      </w:pPr>
      <w:r w:rsidRPr="005A5BB7">
        <w:t xml:space="preserve">Efficacy data for the overall trial population of </w:t>
      </w:r>
      <w:r w:rsidR="00B67851" w:rsidRPr="005A5BB7">
        <w:t>AReSVi</w:t>
      </w:r>
      <w:r w:rsidR="000E4816">
        <w:noBreakHyphen/>
      </w:r>
      <w:r w:rsidR="00B67851" w:rsidRPr="005A5BB7">
        <w:t xml:space="preserve">006 </w:t>
      </w:r>
      <w:r w:rsidRPr="005A5BB7">
        <w:t xml:space="preserve">over 3 RSV seasons (End of Study Analysis) was presented </w:t>
      </w:r>
      <w:r w:rsidR="00E84083" w:rsidRPr="005A5BB7">
        <w:t>for</w:t>
      </w:r>
      <w:r w:rsidRPr="005A5BB7">
        <w:t xml:space="preserve"> the </w:t>
      </w:r>
      <w:r w:rsidR="004F6DF2" w:rsidRPr="005A5BB7">
        <w:t xml:space="preserve">July </w:t>
      </w:r>
      <w:r w:rsidRPr="005A5BB7">
        <w:t xml:space="preserve">2025 PBAC </w:t>
      </w:r>
      <w:r w:rsidR="006E6318" w:rsidRPr="005A5BB7">
        <w:t>consideration</w:t>
      </w:r>
      <w:r w:rsidRPr="005A5BB7">
        <w:t xml:space="preserve">. </w:t>
      </w:r>
      <w:r w:rsidR="00570B04" w:rsidRPr="005A5BB7">
        <w:t>B</w:t>
      </w:r>
      <w:r w:rsidRPr="005A5BB7">
        <w:t xml:space="preserve">oth the primary and confirmatory secondary objectives of </w:t>
      </w:r>
      <w:r w:rsidR="00B67851" w:rsidRPr="005A5BB7">
        <w:t>AReSVi</w:t>
      </w:r>
      <w:r w:rsidR="000E4816">
        <w:noBreakHyphen/>
      </w:r>
      <w:r w:rsidR="00B67851" w:rsidRPr="005A5BB7">
        <w:t xml:space="preserve">006 </w:t>
      </w:r>
      <w:r w:rsidRPr="005A5BB7">
        <w:t xml:space="preserve">were met, demonstrating that </w:t>
      </w:r>
      <w:r w:rsidRPr="005A5BB7">
        <w:lastRenderedPageBreak/>
        <w:t>a single dose of RSVPre</w:t>
      </w:r>
      <w:r w:rsidR="001A3BAF" w:rsidRPr="005A5BB7">
        <w:t>F</w:t>
      </w:r>
      <w:r w:rsidRPr="005A5BB7">
        <w:t>3 OA was efficacious in preventing RSV</w:t>
      </w:r>
      <w:r w:rsidR="000E4816">
        <w:noBreakHyphen/>
      </w:r>
      <w:r w:rsidRPr="005A5BB7">
        <w:t>LRTD in Season 1 (VE 82.6%; 96.95% CI 57.9, 94.1; LL CI &gt;20%; primary endpoint) and over three complete RSV seasons in adults ≥60 YOA (VE 62</w:t>
      </w:r>
      <w:r w:rsidR="00BB67A8" w:rsidRPr="005A5BB7">
        <w:t>.</w:t>
      </w:r>
      <w:r w:rsidRPr="005A5BB7">
        <w:t>9%; 97</w:t>
      </w:r>
      <w:r w:rsidR="00BB67A8" w:rsidRPr="005A5BB7">
        <w:t>.</w:t>
      </w:r>
      <w:r w:rsidRPr="005A5BB7">
        <w:t>5% CI 46.7, 74.8; LL CI &gt;20%; confirmatory secondary endpoint), with efficacy demonstrated for both RSV</w:t>
      </w:r>
      <w:r w:rsidR="000E4816">
        <w:noBreakHyphen/>
      </w:r>
      <w:r w:rsidRPr="005A5BB7">
        <w:t>A (69</w:t>
      </w:r>
      <w:r w:rsidR="00F410E2" w:rsidRPr="005A5BB7">
        <w:t>.</w:t>
      </w:r>
      <w:r w:rsidRPr="005A5BB7">
        <w:t>8%, 97</w:t>
      </w:r>
      <w:r w:rsidR="00F410E2" w:rsidRPr="005A5BB7">
        <w:t>.</w:t>
      </w:r>
      <w:r w:rsidRPr="005A5BB7">
        <w:t>5% CI lower limit &gt;0%) and RSV</w:t>
      </w:r>
      <w:r w:rsidR="000E4816">
        <w:noBreakHyphen/>
      </w:r>
      <w:r w:rsidRPr="005A5BB7">
        <w:t>B (58</w:t>
      </w:r>
      <w:r w:rsidR="00BB67A8" w:rsidRPr="005A5BB7">
        <w:t>.</w:t>
      </w:r>
      <w:r w:rsidRPr="005A5BB7">
        <w:t>6%, 97</w:t>
      </w:r>
      <w:r w:rsidR="00BB67A8" w:rsidRPr="005A5BB7">
        <w:t>.</w:t>
      </w:r>
      <w:r w:rsidRPr="005A5BB7">
        <w:t xml:space="preserve">5% CI lower limit &gt;0%; confirmatory secondary endpoints). </w:t>
      </w:r>
      <w:r w:rsidR="00161A23" w:rsidRPr="005A5BB7">
        <w:t>C</w:t>
      </w:r>
      <w:r w:rsidR="009147F9" w:rsidRPr="005A5BB7">
        <w:t>umulative e</w:t>
      </w:r>
      <w:r w:rsidRPr="005A5BB7">
        <w:t>fficacy of a single dose of RSVPre</w:t>
      </w:r>
      <w:r w:rsidR="000B36A8" w:rsidRPr="005A5BB7">
        <w:t>F</w:t>
      </w:r>
      <w:r w:rsidRPr="005A5BB7">
        <w:t xml:space="preserve">3 OA over 3 RSV seasons was also observed across </w:t>
      </w:r>
      <w:r w:rsidR="00B95FD1" w:rsidRPr="005A5BB7">
        <w:t>endpoints</w:t>
      </w:r>
      <w:r w:rsidRPr="005A5BB7">
        <w:t>, including RSV</w:t>
      </w:r>
      <w:r w:rsidR="000E4816">
        <w:noBreakHyphen/>
      </w:r>
      <w:r w:rsidRPr="005A5BB7">
        <w:t>ARI (51.1%) and severe RSV</w:t>
      </w:r>
      <w:r w:rsidR="000E4816">
        <w:noBreakHyphen/>
      </w:r>
      <w:r w:rsidRPr="005A5BB7">
        <w:t>LRTD (67.4%) (descriptive secondary endpoints).</w:t>
      </w:r>
      <w:r w:rsidR="00DA1339">
        <w:t xml:space="preserve"> </w:t>
      </w:r>
      <w:r w:rsidR="00EE363A" w:rsidRPr="005A5BB7">
        <w:t xml:space="preserve">These results </w:t>
      </w:r>
      <w:r w:rsidR="00161A23" w:rsidRPr="005A5BB7">
        <w:t xml:space="preserve">show </w:t>
      </w:r>
      <w:r w:rsidR="00EE363A" w:rsidRPr="005A5BB7">
        <w:t>that, while VE thresholds for both RSV</w:t>
      </w:r>
      <w:r w:rsidR="000E4816">
        <w:noBreakHyphen/>
      </w:r>
      <w:r w:rsidR="00EE363A" w:rsidRPr="005A5BB7">
        <w:t>LRTD and RSV</w:t>
      </w:r>
      <w:r w:rsidR="000E4816">
        <w:noBreakHyphen/>
      </w:r>
      <w:r w:rsidR="00EE363A" w:rsidRPr="005A5BB7">
        <w:t xml:space="preserve">ARI were met </w:t>
      </w:r>
      <w:r w:rsidR="00EE5CBC" w:rsidRPr="005A5BB7">
        <w:t xml:space="preserve">based on cumulative VE results </w:t>
      </w:r>
      <w:r w:rsidR="00EE363A" w:rsidRPr="005A5BB7">
        <w:t xml:space="preserve">across three seasons, a reduction in efficacy was evident over the </w:t>
      </w:r>
      <w:r w:rsidR="00EF5302" w:rsidRPr="005A5BB7">
        <w:t xml:space="preserve">period </w:t>
      </w:r>
      <w:r w:rsidR="00EE363A" w:rsidRPr="005A5BB7">
        <w:t>of follow</w:t>
      </w:r>
      <w:r w:rsidR="000E4816">
        <w:noBreakHyphen/>
      </w:r>
      <w:r w:rsidR="00EE363A" w:rsidRPr="005A5BB7">
        <w:t>up.</w:t>
      </w:r>
    </w:p>
    <w:p w14:paraId="312F0965" w14:textId="2A1AE96F" w:rsidR="005D26B4" w:rsidRPr="005A5BB7" w:rsidRDefault="63F85E90" w:rsidP="3FF051E5">
      <w:pPr>
        <w:pStyle w:val="3-BodyText"/>
        <w:rPr>
          <w:szCs w:val="24"/>
        </w:rPr>
      </w:pPr>
      <w:r w:rsidRPr="005A5BB7">
        <w:t xml:space="preserve">The </w:t>
      </w:r>
      <w:r w:rsidR="002D7CD5" w:rsidRPr="005A5BB7">
        <w:t>re</w:t>
      </w:r>
      <w:r w:rsidRPr="005A5BB7">
        <w:t xml:space="preserve">submission did not include patient reported outcomes (PRO) for the </w:t>
      </w:r>
      <w:r w:rsidR="00B67851" w:rsidRPr="005A5BB7">
        <w:t>AReSVi</w:t>
      </w:r>
      <w:r w:rsidR="000E4816">
        <w:noBreakHyphen/>
      </w:r>
      <w:r w:rsidR="00B67851" w:rsidRPr="005A5BB7">
        <w:t>006</w:t>
      </w:r>
      <w:r w:rsidR="00E9331B" w:rsidRPr="005A5BB7">
        <w:t xml:space="preserve"> trial</w:t>
      </w:r>
      <w:r w:rsidRPr="005A5BB7">
        <w:t>. Previously</w:t>
      </w:r>
      <w:r w:rsidR="009F0520" w:rsidRPr="005A5BB7">
        <w:t>,</w:t>
      </w:r>
      <w:r w:rsidRPr="005A5BB7">
        <w:t xml:space="preserve"> </w:t>
      </w:r>
      <w:r w:rsidR="001E7069" w:rsidRPr="005A5BB7">
        <w:t>for the</w:t>
      </w:r>
      <w:r w:rsidRPr="005A5BB7">
        <w:t xml:space="preserve"> July 2025</w:t>
      </w:r>
      <w:r w:rsidR="00DA1339">
        <w:t xml:space="preserve"> </w:t>
      </w:r>
      <w:r w:rsidR="00167C2D" w:rsidRPr="005A5BB7">
        <w:t xml:space="preserve">PBAC </w:t>
      </w:r>
      <w:r w:rsidR="001E7069" w:rsidRPr="005A5BB7">
        <w:t>consideration</w:t>
      </w:r>
      <w:r w:rsidR="00E9331B" w:rsidRPr="005A5BB7">
        <w:t>,</w:t>
      </w:r>
      <w:r w:rsidRPr="005A5BB7">
        <w:t xml:space="preserve"> the</w:t>
      </w:r>
      <w:r w:rsidR="00B4544B" w:rsidRPr="005A5BB7">
        <w:t>re were</w:t>
      </w:r>
      <w:r w:rsidRPr="005A5BB7">
        <w:t xml:space="preserve"> no statistically significant differences</w:t>
      </w:r>
      <w:r w:rsidR="00B4544B" w:rsidRPr="005A5BB7">
        <w:t xml:space="preserve"> </w:t>
      </w:r>
      <w:r w:rsidR="00DC79F0" w:rsidRPr="005A5BB7">
        <w:t>observed</w:t>
      </w:r>
      <w:r w:rsidRPr="005A5BB7">
        <w:t xml:space="preserve"> between the RSVPreF3 OA and placebo group</w:t>
      </w:r>
      <w:r w:rsidR="00DC79F0" w:rsidRPr="005A5BB7">
        <w:t>s</w:t>
      </w:r>
      <w:r w:rsidRPr="005A5BB7">
        <w:t xml:space="preserve"> in terms of physical functioning (SF</w:t>
      </w:r>
      <w:r w:rsidR="000E4816">
        <w:noBreakHyphen/>
      </w:r>
      <w:r w:rsidRPr="005A5BB7">
        <w:t>12) or health related quality of life (EQ</w:t>
      </w:r>
      <w:r w:rsidR="000E4816">
        <w:noBreakHyphen/>
      </w:r>
      <w:r w:rsidRPr="005A5BB7">
        <w:t>5D) in participants who developed RSV</w:t>
      </w:r>
      <w:r w:rsidR="000E4816">
        <w:noBreakHyphen/>
      </w:r>
      <w:r w:rsidRPr="005A5BB7">
        <w:t>ARI.</w:t>
      </w:r>
      <w:r w:rsidR="001638CD" w:rsidRPr="005A5BB7">
        <w:t xml:space="preserve"> </w:t>
      </w:r>
      <w:r w:rsidR="00242EF6" w:rsidRPr="005A5BB7">
        <w:t>Analysis of the FLU</w:t>
      </w:r>
      <w:r w:rsidR="000E4816">
        <w:noBreakHyphen/>
      </w:r>
      <w:r w:rsidR="00242EF6" w:rsidRPr="005A5BB7">
        <w:t xml:space="preserve">PRO chest/respiratory item </w:t>
      </w:r>
      <w:r w:rsidR="00242EF6" w:rsidRPr="00394515">
        <w:t>showed no clinically meaningful differences</w:t>
      </w:r>
      <w:r w:rsidR="00C36575" w:rsidRPr="00394515">
        <w:t>, defined as a difference in i</w:t>
      </w:r>
      <w:r w:rsidRPr="00394515">
        <w:t>tem scores of</w:t>
      </w:r>
      <w:r w:rsidR="00650B0A" w:rsidRPr="00394515">
        <w:t> </w:t>
      </w:r>
      <w:r w:rsidRPr="00394515">
        <w:t>&lt;0.5</w:t>
      </w:r>
      <w:r w:rsidR="001F70B3" w:rsidRPr="00394515">
        <w:rPr>
          <w:rStyle w:val="FootnoteReference"/>
        </w:rPr>
        <w:footnoteReference w:id="7"/>
      </w:r>
      <w:r w:rsidR="00431361" w:rsidRPr="00394515">
        <w:t xml:space="preserve"> (</w:t>
      </w:r>
      <w:r w:rsidR="00852381" w:rsidRPr="00394515">
        <w:t>RSVPreF3 OA PSD, July 2025 PBAC meeting).</w:t>
      </w:r>
    </w:p>
    <w:p w14:paraId="7351B2D9" w14:textId="5233D366" w:rsidR="463E359B" w:rsidRPr="005A5BB7" w:rsidRDefault="463E359B" w:rsidP="3FF051E5">
      <w:pPr>
        <w:pStyle w:val="3-BodyText"/>
        <w:numPr>
          <w:ilvl w:val="0"/>
          <w:numId w:val="0"/>
        </w:numPr>
        <w:rPr>
          <w:b/>
          <w:bCs/>
          <w:szCs w:val="24"/>
        </w:rPr>
      </w:pPr>
      <w:r w:rsidRPr="005A5BB7">
        <w:rPr>
          <w:b/>
          <w:bCs/>
          <w:szCs w:val="24"/>
        </w:rPr>
        <w:t xml:space="preserve">VE in OA at increased risk of severe RSV disease due to comorbid conditions vs placebo </w:t>
      </w:r>
    </w:p>
    <w:p w14:paraId="1F5EB164" w14:textId="2DC738DF" w:rsidR="463E359B" w:rsidRPr="005A5BB7" w:rsidRDefault="463E359B" w:rsidP="3FF051E5">
      <w:pPr>
        <w:pStyle w:val="3-BodyText"/>
      </w:pPr>
      <w:r>
        <w:t>To support the request for NIP listing for the RSVPre</w:t>
      </w:r>
      <w:r w:rsidR="000B36A8">
        <w:t>F</w:t>
      </w:r>
      <w:r>
        <w:t>3 OA vaccine in adults 60</w:t>
      </w:r>
      <w:r>
        <w:noBreakHyphen/>
        <w:t xml:space="preserve">74 YOA with medical conditions that increase the risk of severe RSV disease, the </w:t>
      </w:r>
      <w:r w:rsidR="002D7CD5">
        <w:t>re</w:t>
      </w:r>
      <w:r>
        <w:t>submission reported VE against RSV</w:t>
      </w:r>
      <w:r>
        <w:noBreakHyphen/>
        <w:t>LRTD</w:t>
      </w:r>
      <w:r w:rsidR="00662A89">
        <w:t xml:space="preserve">, </w:t>
      </w:r>
      <w:r w:rsidR="005013B2">
        <w:t xml:space="preserve">from study </w:t>
      </w:r>
      <w:r w:rsidR="00B67851">
        <w:t>AReSVi</w:t>
      </w:r>
      <w:r>
        <w:noBreakHyphen/>
      </w:r>
      <w:r w:rsidR="00B67851">
        <w:t>006</w:t>
      </w:r>
      <w:r w:rsidR="00662A89">
        <w:t xml:space="preserve">, </w:t>
      </w:r>
      <w:r>
        <w:t xml:space="preserve">by baseline comorbidities via 2 different methods: </w:t>
      </w:r>
      <w:r w:rsidR="00255FAC">
        <w:t>t</w:t>
      </w:r>
      <w:r>
        <w:t xml:space="preserve">he updated Charlson Comorbidity Index (uCCI) and by baseline comorbidities of interest. </w:t>
      </w:r>
    </w:p>
    <w:p w14:paraId="613C8F52" w14:textId="054B7757" w:rsidR="463E359B" w:rsidRPr="005A5BB7" w:rsidRDefault="463E359B" w:rsidP="004E37B0">
      <w:pPr>
        <w:pStyle w:val="3-BodyText"/>
      </w:pPr>
      <w:r w:rsidRPr="005A5BB7">
        <w:t xml:space="preserve">The uCCI </w:t>
      </w:r>
      <w:r w:rsidR="00CF0588" w:rsidRPr="005A5BB7">
        <w:t>is</w:t>
      </w:r>
      <w:r w:rsidRPr="005A5BB7">
        <w:t xml:space="preserve"> a method for measuring patient comorbidity with each comorbidity category having an associated weight, based on the adjusted risk of one</w:t>
      </w:r>
      <w:r w:rsidR="000E4816">
        <w:noBreakHyphen/>
      </w:r>
      <w:r w:rsidRPr="005A5BB7">
        <w:t xml:space="preserve">year mortality, and the sum of all the weights results in a single comorbidity score for a patient. In addition to comorbidity, the index considers patient age with higher ages being associated with a higher relative risk weighting. </w:t>
      </w:r>
      <w:r w:rsidR="008D3608" w:rsidRPr="005A5BB7">
        <w:t>The proposed</w:t>
      </w:r>
      <w:r w:rsidR="00E90484" w:rsidRPr="005A5BB7">
        <w:t xml:space="preserve"> uCCI method</w:t>
      </w:r>
      <w:r w:rsidR="008A010F" w:rsidRPr="005A5BB7">
        <w:t xml:space="preserve"> applie</w:t>
      </w:r>
      <w:r w:rsidR="00EB25BC" w:rsidRPr="005A5BB7">
        <w:t>d</w:t>
      </w:r>
      <w:r w:rsidR="008A010F" w:rsidRPr="005A5BB7">
        <w:t xml:space="preserve"> relative risk weightings </w:t>
      </w:r>
      <w:r w:rsidR="002B418E" w:rsidRPr="005A5BB7">
        <w:t xml:space="preserve">to </w:t>
      </w:r>
      <w:r w:rsidR="004F2055" w:rsidRPr="005A5BB7">
        <w:t xml:space="preserve">predetermined </w:t>
      </w:r>
      <w:r w:rsidR="00D6383A" w:rsidRPr="005A5BB7">
        <w:t>comorbidities</w:t>
      </w:r>
      <w:r w:rsidR="00823143" w:rsidRPr="005A5BB7">
        <w:t xml:space="preserve"> in the context of mortality</w:t>
      </w:r>
      <w:r w:rsidR="004E37B0" w:rsidRPr="005A5BB7">
        <w:t xml:space="preserve">. The comorbidities </w:t>
      </w:r>
      <w:r w:rsidR="006A48A4" w:rsidRPr="005A5BB7">
        <w:t xml:space="preserve">used in the uCCI do not directly correlate with </w:t>
      </w:r>
      <w:r w:rsidR="002A6AE4" w:rsidRPr="005A5BB7">
        <w:t xml:space="preserve">the AIH identified </w:t>
      </w:r>
      <w:r w:rsidR="00B51566" w:rsidRPr="005A5BB7">
        <w:t xml:space="preserve">comorbidities </w:t>
      </w:r>
      <w:r w:rsidR="002B418E" w:rsidRPr="005A5BB7">
        <w:t xml:space="preserve">that are </w:t>
      </w:r>
      <w:r w:rsidR="00D26092" w:rsidRPr="005A5BB7">
        <w:t>associated with increased risk</w:t>
      </w:r>
      <w:r w:rsidR="00855B99" w:rsidRPr="005A5BB7">
        <w:t xml:space="preserve"> </w:t>
      </w:r>
      <w:r w:rsidR="00CA5591" w:rsidRPr="005A5BB7">
        <w:t>for</w:t>
      </w:r>
      <w:r w:rsidR="002A6AE4" w:rsidRPr="005A5BB7">
        <w:t xml:space="preserve"> </w:t>
      </w:r>
      <w:r w:rsidR="00D64431" w:rsidRPr="005A5BB7">
        <w:t>developing severe</w:t>
      </w:r>
      <w:r w:rsidR="00E90484" w:rsidRPr="005A5BB7">
        <w:t xml:space="preserve"> RSV </w:t>
      </w:r>
      <w:r w:rsidR="00D64431" w:rsidRPr="005A5BB7">
        <w:t>disease</w:t>
      </w:r>
      <w:r w:rsidR="00E90484" w:rsidRPr="005A5BB7">
        <w:t>,</w:t>
      </w:r>
      <w:r w:rsidR="00B51566" w:rsidRPr="005A5BB7">
        <w:t xml:space="preserve"> and </w:t>
      </w:r>
      <w:r w:rsidR="009E066C" w:rsidRPr="005A5BB7">
        <w:t xml:space="preserve">the uCCI </w:t>
      </w:r>
      <w:r w:rsidR="00E90484" w:rsidRPr="005A5BB7">
        <w:t xml:space="preserve">was therefore not </w:t>
      </w:r>
      <w:r w:rsidR="007B163B" w:rsidRPr="005A5BB7">
        <w:t>representative of</w:t>
      </w:r>
      <w:r w:rsidR="00E90484" w:rsidRPr="005A5BB7">
        <w:t xml:space="preserve"> the proposed </w:t>
      </w:r>
      <w:r w:rsidR="00EE5CBC" w:rsidRPr="005A5BB7">
        <w:t xml:space="preserve">NIP </w:t>
      </w:r>
      <w:r w:rsidR="00E90484" w:rsidRPr="005A5BB7">
        <w:t>population</w:t>
      </w:r>
      <w:r w:rsidR="00B51566" w:rsidRPr="005A5BB7">
        <w:t>.</w:t>
      </w:r>
      <w:r w:rsidR="003B465C" w:rsidRPr="005A5BB7">
        <w:t xml:space="preserve"> </w:t>
      </w:r>
    </w:p>
    <w:p w14:paraId="3B853F62" w14:textId="76FBC635" w:rsidR="00F14513" w:rsidRPr="005A5BB7" w:rsidRDefault="004C29EE" w:rsidP="004E37B0">
      <w:pPr>
        <w:pStyle w:val="3-BodyText"/>
      </w:pPr>
      <w:r>
        <w:t>Analysis of</w:t>
      </w:r>
      <w:r w:rsidR="000B687D">
        <w:t xml:space="preserve"> VE against first occurrence of RSV</w:t>
      </w:r>
      <w:r>
        <w:noBreakHyphen/>
      </w:r>
      <w:r w:rsidR="000B687D">
        <w:t xml:space="preserve">LRTD by baseline comorbidities of interest </w:t>
      </w:r>
      <w:r>
        <w:t>according to the age</w:t>
      </w:r>
      <w:r>
        <w:noBreakHyphen/>
        <w:t xml:space="preserve">adjusted uCCI </w:t>
      </w:r>
      <w:r w:rsidR="000B687D">
        <w:t xml:space="preserve">in Season 1 was reported to be </w:t>
      </w:r>
      <w:r>
        <w:t>82.4</w:t>
      </w:r>
      <w:r w:rsidR="000B687D">
        <w:t>%</w:t>
      </w:r>
      <w:r w:rsidR="007F3724">
        <w:t xml:space="preserve"> (</w:t>
      </w:r>
      <w:r w:rsidR="0066076A">
        <w:t xml:space="preserve">95% CI: </w:t>
      </w:r>
      <w:r w:rsidR="007F3724">
        <w:t>48.5, 95.6)</w:t>
      </w:r>
      <w:r w:rsidR="000B687D">
        <w:t xml:space="preserve"> for participants with </w:t>
      </w:r>
      <w:r w:rsidR="0066076A">
        <w:t xml:space="preserve">low/medium </w:t>
      </w:r>
      <w:r w:rsidR="00656FC1">
        <w:t xml:space="preserve">mortality </w:t>
      </w:r>
      <w:r w:rsidR="0066076A">
        <w:t>risk</w:t>
      </w:r>
      <w:r w:rsidR="000B687D">
        <w:t xml:space="preserve">, </w:t>
      </w:r>
      <w:r w:rsidR="00D906A1">
        <w:t xml:space="preserve">82.9% (95% CI: 40.8, </w:t>
      </w:r>
      <w:r w:rsidR="00D906A1">
        <w:lastRenderedPageBreak/>
        <w:t>9</w:t>
      </w:r>
      <w:r w:rsidR="00D15101">
        <w:t>6</w:t>
      </w:r>
      <w:r w:rsidR="00D906A1">
        <w:t>.</w:t>
      </w:r>
      <w:r w:rsidR="00D15101">
        <w:t>8</w:t>
      </w:r>
      <w:r w:rsidR="00D906A1">
        <w:t>)</w:t>
      </w:r>
      <w:r w:rsidR="00D15101">
        <w:t xml:space="preserve"> </w:t>
      </w:r>
      <w:r w:rsidR="000B687D">
        <w:t xml:space="preserve">for participants with </w:t>
      </w:r>
      <w:r w:rsidR="00D15101">
        <w:t xml:space="preserve">high </w:t>
      </w:r>
      <w:r w:rsidR="00656FC1">
        <w:t xml:space="preserve">mortality </w:t>
      </w:r>
      <w:r w:rsidR="00D15101">
        <w:t xml:space="preserve">risk. </w:t>
      </w:r>
      <w:r w:rsidR="009C6A2F">
        <w:t xml:space="preserve">For </w:t>
      </w:r>
      <w:r w:rsidR="000B687D">
        <w:t>the end of the study analysis (End of Season 3) in the northern hemisphere, the observed cumulative VE of single</w:t>
      </w:r>
      <w:r>
        <w:noBreakHyphen/>
      </w:r>
      <w:r w:rsidR="000B687D">
        <w:t xml:space="preserve">dose RSVPreF3 OA was </w:t>
      </w:r>
      <w:r w:rsidR="004F6786">
        <w:t>66.5</w:t>
      </w:r>
      <w:r w:rsidR="006E1AB2">
        <w:t>% (95% CI: 4</w:t>
      </w:r>
      <w:r w:rsidR="004F6786">
        <w:t>7.5</w:t>
      </w:r>
      <w:r w:rsidR="006E1AB2">
        <w:t>,</w:t>
      </w:r>
      <w:r w:rsidR="009776F3">
        <w:t xml:space="preserve"> </w:t>
      </w:r>
      <w:r w:rsidR="004F6786">
        <w:t>79.4</w:t>
      </w:r>
      <w:r w:rsidR="006E1AB2">
        <w:t xml:space="preserve">) </w:t>
      </w:r>
      <w:r w:rsidR="000B687D">
        <w:t xml:space="preserve">for participants </w:t>
      </w:r>
      <w:r w:rsidR="006E1AB2">
        <w:t>deemed to have a low/medium</w:t>
      </w:r>
      <w:r w:rsidR="00AF0FB1">
        <w:t xml:space="preserve"> </w:t>
      </w:r>
      <w:r w:rsidR="00656FC1">
        <w:t xml:space="preserve">mortality </w:t>
      </w:r>
      <w:r w:rsidR="00AF0FB1">
        <w:t>risk</w:t>
      </w:r>
      <w:r w:rsidR="000B687D">
        <w:t xml:space="preserve">, </w:t>
      </w:r>
      <w:r w:rsidR="004F6786">
        <w:t>58.9</w:t>
      </w:r>
      <w:r w:rsidR="00D95E33">
        <w:t xml:space="preserve">% (95% CI: </w:t>
      </w:r>
      <w:r w:rsidR="009776F3">
        <w:t>34.8</w:t>
      </w:r>
      <w:r w:rsidR="00D95E33">
        <w:t>,</w:t>
      </w:r>
      <w:r w:rsidR="009776F3">
        <w:t xml:space="preserve"> 75.0</w:t>
      </w:r>
      <w:r w:rsidR="00D95E33">
        <w:t xml:space="preserve">) </w:t>
      </w:r>
      <w:r w:rsidR="000B687D">
        <w:t xml:space="preserve">for participants </w:t>
      </w:r>
      <w:r w:rsidR="009776F3">
        <w:t>deemed</w:t>
      </w:r>
      <w:r w:rsidR="000B687D">
        <w:t xml:space="preserve"> </w:t>
      </w:r>
      <w:r w:rsidR="00D95E33">
        <w:t>high risk.</w:t>
      </w:r>
      <w:r w:rsidR="008D2C05" w:rsidRPr="008D2C05">
        <w:t xml:space="preserve"> The evaluation noted that the lower limit of the 95% confidence interval was &gt;20%, which was the VE threshold defined for the primary VE objective</w:t>
      </w:r>
      <w:r>
        <w:t>.</w:t>
      </w:r>
      <w:r w:rsidR="000B687D">
        <w:t xml:space="preserve"> </w:t>
      </w:r>
      <w:r w:rsidR="0021495F">
        <w:t>T</w:t>
      </w:r>
      <w:r w:rsidR="000B687D">
        <w:t xml:space="preserve">he VE observed in </w:t>
      </w:r>
      <w:proofErr w:type="gramStart"/>
      <w:r w:rsidR="000B687D">
        <w:t>all of</w:t>
      </w:r>
      <w:proofErr w:type="gramEnd"/>
      <w:r w:rsidR="000B687D">
        <w:t xml:space="preserve"> the </w:t>
      </w:r>
      <w:r w:rsidR="00860ECE">
        <w:t>risk</w:t>
      </w:r>
      <w:r w:rsidR="000B687D">
        <w:t xml:space="preserve"> groups was similar (point estimates within </w:t>
      </w:r>
      <w:r w:rsidR="001D0D53">
        <w:t>7</w:t>
      </w:r>
      <w:r w:rsidR="000B687D">
        <w:t xml:space="preserve"> percentage points) </w:t>
      </w:r>
      <w:r w:rsidR="00FE623D">
        <w:t>for</w:t>
      </w:r>
      <w:r w:rsidR="000B687D">
        <w:t xml:space="preserve"> the </w:t>
      </w:r>
      <w:r w:rsidR="001D0D53">
        <w:t>low/medium</w:t>
      </w:r>
      <w:r w:rsidR="00050087">
        <w:t xml:space="preserve"> and high</w:t>
      </w:r>
      <w:r w:rsidR="001D0D53">
        <w:t xml:space="preserve"> mortality risk group</w:t>
      </w:r>
      <w:r w:rsidR="00050087">
        <w:t>s</w:t>
      </w:r>
      <w:r w:rsidR="001D0D53">
        <w:t>.</w:t>
      </w:r>
    </w:p>
    <w:p w14:paraId="69793533" w14:textId="51D8030F" w:rsidR="004F6DC0" w:rsidRPr="005A5BB7" w:rsidRDefault="463E359B" w:rsidP="3FF051E5">
      <w:pPr>
        <w:pStyle w:val="3-BodyText"/>
      </w:pPr>
      <w:r w:rsidRPr="005A5BB7">
        <w:t xml:space="preserve">The </w:t>
      </w:r>
      <w:r w:rsidR="002D7CD5" w:rsidRPr="005A5BB7">
        <w:t>re</w:t>
      </w:r>
      <w:r w:rsidRPr="005A5BB7">
        <w:t xml:space="preserve">submission reported a subgroup analysis </w:t>
      </w:r>
      <w:r w:rsidR="006661A5" w:rsidRPr="005A5BB7">
        <w:t xml:space="preserve">of </w:t>
      </w:r>
      <w:r w:rsidR="00B67851" w:rsidRPr="005A5BB7">
        <w:t>AReSVi</w:t>
      </w:r>
      <w:r w:rsidR="000E4816">
        <w:noBreakHyphen/>
      </w:r>
      <w:r w:rsidR="00B67851" w:rsidRPr="005A5BB7">
        <w:t xml:space="preserve">006 </w:t>
      </w:r>
      <w:r w:rsidRPr="005A5BB7">
        <w:t>assessing VE against first occurrence of RSV</w:t>
      </w:r>
      <w:r w:rsidR="000E4816">
        <w:noBreakHyphen/>
      </w:r>
      <w:r w:rsidRPr="005A5BB7">
        <w:t>LRTD</w:t>
      </w:r>
      <w:r w:rsidR="0081150F" w:rsidRPr="005A5BB7">
        <w:t xml:space="preserve"> as discussed in paragraph </w:t>
      </w:r>
      <w:r w:rsidR="0081150F" w:rsidRPr="005A5BB7">
        <w:fldChar w:fldCharType="begin"/>
      </w:r>
      <w:r w:rsidR="0081150F" w:rsidRPr="005A5BB7">
        <w:instrText xml:space="preserve"> REF _Ref224836324 \r \h </w:instrText>
      </w:r>
      <w:r w:rsidR="0081150F" w:rsidRPr="005A5BB7">
        <w:fldChar w:fldCharType="separate"/>
      </w:r>
      <w:r w:rsidR="0018341D">
        <w:t>6.12</w:t>
      </w:r>
      <w:r w:rsidR="0081150F" w:rsidRPr="005A5BB7">
        <w:fldChar w:fldCharType="end"/>
      </w:r>
      <w:r w:rsidR="004A6F2F" w:rsidRPr="005A5BB7">
        <w:t>.</w:t>
      </w:r>
      <w:r w:rsidRPr="005A5BB7">
        <w:t xml:space="preserve"> </w:t>
      </w:r>
      <w:r w:rsidR="004A6F2F" w:rsidRPr="005A5BB7">
        <w:t xml:space="preserve">This was </w:t>
      </w:r>
      <w:r w:rsidRPr="005A5BB7">
        <w:t xml:space="preserve">based on the presence or absence of selected coexisting medical conditions that are known to increase the risk of severe RSV disease, complemented with relevant risk factors for influenza complications, </w:t>
      </w:r>
      <w:r w:rsidR="004A6F2F" w:rsidRPr="005A5BB7">
        <w:t xml:space="preserve">and </w:t>
      </w:r>
      <w:r w:rsidR="007403AC" w:rsidRPr="005A5BB7">
        <w:t>were</w:t>
      </w:r>
      <w:r w:rsidR="004A6F2F" w:rsidRPr="005A5BB7">
        <w:t xml:space="preserve"> </w:t>
      </w:r>
      <w:r w:rsidRPr="005A5BB7">
        <w:t>collectively referred to as “conditions of interest”</w:t>
      </w:r>
      <w:r w:rsidR="008A756C" w:rsidRPr="005A5BB7">
        <w:t xml:space="preserve"> by the </w:t>
      </w:r>
      <w:r w:rsidR="007C1E52" w:rsidRPr="005A5BB7">
        <w:t>re</w:t>
      </w:r>
      <w:r w:rsidR="008A756C" w:rsidRPr="005A5BB7">
        <w:t>submission</w:t>
      </w:r>
      <w:r w:rsidRPr="005A5BB7">
        <w:t xml:space="preserve"> (Feldman et al., 202</w:t>
      </w:r>
      <w:r w:rsidR="00855813" w:rsidRPr="005A5BB7">
        <w:t>4</w:t>
      </w:r>
      <w:r w:rsidR="00B51BE3" w:rsidRPr="005A5BB7">
        <w:rPr>
          <w:rStyle w:val="FootnoteReference"/>
        </w:rPr>
        <w:footnoteReference w:id="8"/>
      </w:r>
      <w:r w:rsidR="00B46470" w:rsidRPr="005A5BB7">
        <w:t>)</w:t>
      </w:r>
      <w:r w:rsidRPr="005A5BB7">
        <w:t xml:space="preserve">. </w:t>
      </w:r>
      <w:r w:rsidR="00056F4A" w:rsidRPr="005A5BB7">
        <w:t>These</w:t>
      </w:r>
      <w:r w:rsidR="00793401" w:rsidRPr="005A5BB7">
        <w:t xml:space="preserve"> conditions</w:t>
      </w:r>
      <w:r w:rsidR="00A02122" w:rsidRPr="005A5BB7">
        <w:t xml:space="preserve"> of interest</w:t>
      </w:r>
      <w:r w:rsidR="00793401" w:rsidRPr="005A5BB7">
        <w:t xml:space="preserve"> </w:t>
      </w:r>
      <w:r w:rsidR="00223D78" w:rsidRPr="005A5BB7">
        <w:t>are</w:t>
      </w:r>
      <w:r w:rsidR="00EC73F6" w:rsidRPr="005A5BB7">
        <w:t xml:space="preserve"> broad</w:t>
      </w:r>
      <w:r w:rsidR="00A02122" w:rsidRPr="005A5BB7">
        <w:t>ly similar</w:t>
      </w:r>
      <w:r w:rsidR="00EC73F6" w:rsidRPr="005A5BB7">
        <w:t xml:space="preserve"> </w:t>
      </w:r>
      <w:r w:rsidR="00A02122" w:rsidRPr="005A5BB7">
        <w:t>to the</w:t>
      </w:r>
      <w:r w:rsidR="00EC73F6" w:rsidRPr="005A5BB7">
        <w:t xml:space="preserve"> AIH </w:t>
      </w:r>
      <w:r w:rsidR="00DA65D1" w:rsidRPr="005A5BB7">
        <w:t xml:space="preserve">list </w:t>
      </w:r>
      <w:r w:rsidR="00A02122" w:rsidRPr="005A5BB7">
        <w:t>with the exception of</w:t>
      </w:r>
      <w:r w:rsidR="00A40A4F" w:rsidRPr="005A5BB7">
        <w:t xml:space="preserve"> individuals with obesity, neurological disease, or immunocompromising conditions</w:t>
      </w:r>
      <w:r w:rsidR="00D047DA" w:rsidRPr="005A5BB7">
        <w:t xml:space="preserve"> which are listed as conditions </w:t>
      </w:r>
      <w:r w:rsidR="00240B12" w:rsidRPr="005A5BB7">
        <w:t>associated with increased risk of severe RSV disease by the AIH but were not included in the submission’s classification of ‘conditions of interest’</w:t>
      </w:r>
      <w:r w:rsidR="00026CB9" w:rsidRPr="005A5BB7">
        <w:t xml:space="preserve"> (</w:t>
      </w:r>
      <w:r w:rsidR="00026CB9" w:rsidRPr="005A5BB7">
        <w:rPr>
          <w:iCs/>
        </w:rPr>
        <w:t xml:space="preserve">the PSCR provided VE analyses for participants with obesity, see paragraph </w:t>
      </w:r>
      <w:r w:rsidR="00787F29" w:rsidRPr="005A5BB7">
        <w:rPr>
          <w:iCs/>
        </w:rPr>
        <w:fldChar w:fldCharType="begin"/>
      </w:r>
      <w:r w:rsidR="00787F29" w:rsidRPr="005A5BB7">
        <w:rPr>
          <w:iCs/>
        </w:rPr>
        <w:instrText xml:space="preserve"> REF _Ref225499250 \r \h </w:instrText>
      </w:r>
      <w:r w:rsidR="00787F29" w:rsidRPr="005A5BB7">
        <w:rPr>
          <w:iCs/>
        </w:rPr>
      </w:r>
      <w:r w:rsidR="00787F29" w:rsidRPr="005A5BB7">
        <w:rPr>
          <w:iCs/>
        </w:rPr>
        <w:fldChar w:fldCharType="separate"/>
      </w:r>
      <w:r w:rsidR="0018341D">
        <w:rPr>
          <w:iCs/>
        </w:rPr>
        <w:t>6.33</w:t>
      </w:r>
      <w:r w:rsidR="00787F29" w:rsidRPr="005A5BB7">
        <w:rPr>
          <w:iCs/>
        </w:rPr>
        <w:fldChar w:fldCharType="end"/>
      </w:r>
      <w:r w:rsidR="00787F29" w:rsidRPr="005A5BB7">
        <w:rPr>
          <w:iCs/>
        </w:rPr>
        <w:t xml:space="preserve"> </w:t>
      </w:r>
      <w:r w:rsidR="00026CB9" w:rsidRPr="005A5BB7">
        <w:rPr>
          <w:iCs/>
        </w:rPr>
        <w:t>below)</w:t>
      </w:r>
      <w:r w:rsidR="00A40A4F" w:rsidRPr="005A5BB7">
        <w:rPr>
          <w:iCs/>
        </w:rPr>
        <w:t>.</w:t>
      </w:r>
      <w:r w:rsidR="0070408F" w:rsidRPr="005A5BB7">
        <w:t xml:space="preserve"> </w:t>
      </w:r>
    </w:p>
    <w:p w14:paraId="63D264B4" w14:textId="723E8530" w:rsidR="001D7319" w:rsidRPr="005A5BB7" w:rsidRDefault="463E359B" w:rsidP="0090073B">
      <w:pPr>
        <w:pStyle w:val="3-BodyText"/>
      </w:pPr>
      <w:r>
        <w:t xml:space="preserve">The analysis did not include presentation of VE results for individual comorbidities. Instead, VE </w:t>
      </w:r>
      <w:r w:rsidR="00EE5CBC">
        <w:t xml:space="preserve">was </w:t>
      </w:r>
      <w:r>
        <w:t xml:space="preserve">presented </w:t>
      </w:r>
      <w:r w:rsidR="00EE5CBC">
        <w:t xml:space="preserve">for the following </w:t>
      </w:r>
      <w:r w:rsidR="6ACEF969">
        <w:t xml:space="preserve">pre-specified </w:t>
      </w:r>
      <w:r w:rsidR="00EE5CBC">
        <w:t xml:space="preserve">subgroups: </w:t>
      </w:r>
      <w:r>
        <w:t>≥1 pre</w:t>
      </w:r>
      <w:r>
        <w:noBreakHyphen/>
        <w:t>existing comorbidity of interest, ≥1 pre</w:t>
      </w:r>
      <w:r>
        <w:noBreakHyphen/>
        <w:t>existing cardiorespiratory condition, ≥1 pre</w:t>
      </w:r>
      <w:r>
        <w:noBreakHyphen/>
        <w:t>existing endocrinometabolic condition, ≥2 pre</w:t>
      </w:r>
      <w:r>
        <w:noBreakHyphen/>
        <w:t xml:space="preserve">existing comorbidities of interest. </w:t>
      </w:r>
      <w:r w:rsidR="00634837">
        <w:t>The analyses were conducted in the overall study population which included participants aged at least 60 years.</w:t>
      </w:r>
      <w:r w:rsidR="00DA1339">
        <w:t xml:space="preserve"> </w:t>
      </w:r>
      <w:r w:rsidR="001D7319">
        <w:t>As such, the analyses were not limited to the age of the proposed population of 60 to 74 years</w:t>
      </w:r>
      <w:r w:rsidR="00E64E39">
        <w:t>, h</w:t>
      </w:r>
      <w:r w:rsidR="001D7319">
        <w:t>owever t</w:t>
      </w:r>
      <w:r w:rsidR="00634837">
        <w:t xml:space="preserve">he average age of participants </w:t>
      </w:r>
      <w:r w:rsidR="001D7319">
        <w:t>in AReSVi</w:t>
      </w:r>
      <w:r>
        <w:noBreakHyphen/>
      </w:r>
      <w:r w:rsidR="001D7319">
        <w:t xml:space="preserve">006 </w:t>
      </w:r>
      <w:r w:rsidR="00634837">
        <w:t xml:space="preserve">was </w:t>
      </w:r>
      <w:r w:rsidR="001D7319">
        <w:t>69.5</w:t>
      </w:r>
      <w:r w:rsidR="00634837">
        <w:t xml:space="preserve"> years</w:t>
      </w:r>
      <w:r w:rsidR="001D7319">
        <w:t>.</w:t>
      </w:r>
    </w:p>
    <w:p w14:paraId="2A371186" w14:textId="7DF2B267" w:rsidR="463E359B" w:rsidRPr="005A5BB7" w:rsidRDefault="463E359B" w:rsidP="3FF051E5">
      <w:pPr>
        <w:pStyle w:val="3-BodyText"/>
        <w:rPr>
          <w:szCs w:val="24"/>
        </w:rPr>
      </w:pPr>
      <w:r w:rsidRPr="005A5BB7">
        <w:t>The assessment of VE against RSV</w:t>
      </w:r>
      <w:r w:rsidR="000E4816">
        <w:noBreakHyphen/>
      </w:r>
      <w:r w:rsidRPr="005A5BB7">
        <w:t xml:space="preserve">LRTD </w:t>
      </w:r>
      <w:r w:rsidR="00EE5CBC" w:rsidRPr="005A5BB7">
        <w:t xml:space="preserve">for participants who reported none or at least one of the </w:t>
      </w:r>
      <w:r w:rsidRPr="005A5BB7">
        <w:t xml:space="preserve">comorbidities of interest </w:t>
      </w:r>
      <w:r w:rsidR="00EE5CBC" w:rsidRPr="005A5BB7">
        <w:t xml:space="preserve">at baseline </w:t>
      </w:r>
      <w:r w:rsidRPr="005A5BB7">
        <w:t xml:space="preserve">was a descriptive secondary </w:t>
      </w:r>
      <w:r w:rsidR="00DE4CE2" w:rsidRPr="005A5BB7">
        <w:t>outcome</w:t>
      </w:r>
      <w:r w:rsidR="00EE5CBC" w:rsidRPr="005A5BB7">
        <w:t>.</w:t>
      </w:r>
      <w:r w:rsidR="00DA1339">
        <w:t xml:space="preserve"> </w:t>
      </w:r>
      <w:r w:rsidR="00EE5CBC" w:rsidRPr="005A5BB7">
        <w:t xml:space="preserve">There was </w:t>
      </w:r>
      <w:r w:rsidRPr="005A5BB7">
        <w:t>no pre</w:t>
      </w:r>
      <w:r w:rsidR="000E4816">
        <w:noBreakHyphen/>
      </w:r>
      <w:r w:rsidRPr="005A5BB7">
        <w:t xml:space="preserve">specified efficacy criterion or adjustment for </w:t>
      </w:r>
      <w:proofErr w:type="gramStart"/>
      <w:r w:rsidRPr="005A5BB7">
        <w:t>multiplicity</w:t>
      </w:r>
      <w:proofErr w:type="gramEnd"/>
      <w:r w:rsidRPr="005A5BB7">
        <w:t xml:space="preserve"> and </w:t>
      </w:r>
      <w:r w:rsidR="00EE5CBC" w:rsidRPr="005A5BB7">
        <w:t xml:space="preserve">the analysis </w:t>
      </w:r>
      <w:r w:rsidRPr="005A5BB7">
        <w:t>was not powered for statistical significance.</w:t>
      </w:r>
      <w:r w:rsidR="00242295" w:rsidRPr="005A5BB7">
        <w:t xml:space="preserve"> </w:t>
      </w:r>
      <w:r w:rsidR="00EE5CBC" w:rsidRPr="005A5BB7">
        <w:t>Additional analyses were conducted post</w:t>
      </w:r>
      <w:r w:rsidR="000E4816">
        <w:noBreakHyphen/>
      </w:r>
      <w:r w:rsidR="00EE5CBC" w:rsidRPr="005A5BB7">
        <w:t xml:space="preserve">hoc as reported by </w:t>
      </w:r>
      <w:r w:rsidR="006A191E" w:rsidRPr="005A5BB7">
        <w:t>Feldman</w:t>
      </w:r>
      <w:r w:rsidR="00C04313" w:rsidRPr="005A5BB7">
        <w:t xml:space="preserve"> (2024)</w:t>
      </w:r>
      <w:r w:rsidR="006A191E" w:rsidRPr="005A5BB7">
        <w:t>.</w:t>
      </w:r>
    </w:p>
    <w:p w14:paraId="316C20AF" w14:textId="71FCC999" w:rsidR="463E359B" w:rsidRPr="005A5BB7" w:rsidRDefault="463E359B">
      <w:pPr>
        <w:pStyle w:val="3-BodyText"/>
      </w:pPr>
      <w:r>
        <w:t>The VE against first occurrence of RSV</w:t>
      </w:r>
      <w:r>
        <w:noBreakHyphen/>
        <w:t xml:space="preserve">LRTD by baseline comorbidities of interest </w:t>
      </w:r>
      <w:r w:rsidR="00C737B1">
        <w:t xml:space="preserve">in </w:t>
      </w:r>
      <w:r>
        <w:t xml:space="preserve">Season 1 was </w:t>
      </w:r>
      <w:r w:rsidR="002D113B">
        <w:t xml:space="preserve">reported to be </w:t>
      </w:r>
      <w:r>
        <w:t>72.5%</w:t>
      </w:r>
      <w:r w:rsidR="00E60295">
        <w:t xml:space="preserve"> (95% CI: 30.0, 9</w:t>
      </w:r>
      <w:r w:rsidR="009D55D4">
        <w:t>0.9</w:t>
      </w:r>
      <w:r w:rsidR="00E60295">
        <w:t>)</w:t>
      </w:r>
      <w:r w:rsidR="00DA1339">
        <w:t xml:space="preserve"> </w:t>
      </w:r>
      <w:r>
        <w:t>for participants with no pre</w:t>
      </w:r>
      <w:r>
        <w:noBreakHyphen/>
        <w:t>existing comorbidity of interest, 94.6%</w:t>
      </w:r>
      <w:r w:rsidR="009D55D4">
        <w:t xml:space="preserve"> (95% CI: 6</w:t>
      </w:r>
      <w:r w:rsidR="00515472">
        <w:t>5.9</w:t>
      </w:r>
      <w:r w:rsidR="009D55D4">
        <w:t xml:space="preserve">, </w:t>
      </w:r>
      <w:r w:rsidR="00515472">
        <w:t>99.9</w:t>
      </w:r>
      <w:r w:rsidR="009D55D4">
        <w:t>)</w:t>
      </w:r>
      <w:r w:rsidR="00DA1339">
        <w:t xml:space="preserve"> </w:t>
      </w:r>
      <w:r>
        <w:t xml:space="preserve">for participants with at </w:t>
      </w:r>
      <w:r w:rsidR="00D7774D">
        <w:t>≥</w:t>
      </w:r>
      <w:r w:rsidR="004806A9">
        <w:t>1</w:t>
      </w:r>
      <w:r>
        <w:t xml:space="preserve"> pre</w:t>
      </w:r>
      <w:r>
        <w:noBreakHyphen/>
        <w:t>existing comorbidity of interest and 92.0%</w:t>
      </w:r>
      <w:r w:rsidR="00515472">
        <w:t xml:space="preserve"> (95% CI: 4</w:t>
      </w:r>
      <w:r w:rsidR="00C36CF0">
        <w:t>6.1</w:t>
      </w:r>
      <w:r w:rsidR="00515472">
        <w:t>, 9</w:t>
      </w:r>
      <w:r w:rsidR="00C36CF0">
        <w:t>9.8</w:t>
      </w:r>
      <w:r w:rsidR="00515472">
        <w:t xml:space="preserve">) </w:t>
      </w:r>
      <w:r>
        <w:t>for participants with 2 or more pre</w:t>
      </w:r>
      <w:r>
        <w:noBreakHyphen/>
        <w:t xml:space="preserve">existing comorbidities of interest. </w:t>
      </w:r>
      <w:r w:rsidR="00267813">
        <w:t>The</w:t>
      </w:r>
      <w:r w:rsidR="0063302F">
        <w:t xml:space="preserve"> point estimates for</w:t>
      </w:r>
      <w:r w:rsidR="00267813">
        <w:t xml:space="preserve"> VEs at </w:t>
      </w:r>
      <w:r w:rsidR="0081150F">
        <w:lastRenderedPageBreak/>
        <w:t xml:space="preserve">the </w:t>
      </w:r>
      <w:r w:rsidR="00267813">
        <w:t xml:space="preserve">first data cut were higher </w:t>
      </w:r>
      <w:r w:rsidR="00A03E46">
        <w:t>in participants with comorbidities of interest compared to those without</w:t>
      </w:r>
      <w:r w:rsidR="00146CE3">
        <w:t>, however confidence intervals were wide</w:t>
      </w:r>
      <w:r w:rsidR="00A03E46">
        <w:t xml:space="preserve">. </w:t>
      </w:r>
      <w:bookmarkStart w:id="40" w:name="_Hlk222223723"/>
      <w:r w:rsidR="00E3185F">
        <w:t>For</w:t>
      </w:r>
      <w:r>
        <w:t xml:space="preserve"> the end of the study analysis (End of Season 3) in the northern hemisphere, the observed cumulative VE of single</w:t>
      </w:r>
      <w:r>
        <w:noBreakHyphen/>
        <w:t>dose RSVPre</w:t>
      </w:r>
      <w:r w:rsidR="000B36A8">
        <w:t>F</w:t>
      </w:r>
      <w:r>
        <w:t xml:space="preserve">3 OA was </w:t>
      </w:r>
      <w:r w:rsidR="0022290B">
        <w:t>61.5</w:t>
      </w:r>
      <w:r w:rsidR="0060042F">
        <w:t>%</w:t>
      </w:r>
      <w:r w:rsidR="0022290B">
        <w:t xml:space="preserve"> (</w:t>
      </w:r>
      <w:r w:rsidR="0060042F">
        <w:t xml:space="preserve">95% CI: </w:t>
      </w:r>
      <w:r w:rsidR="0022290B">
        <w:t>38.6, 76.7</w:t>
      </w:r>
      <w:r w:rsidR="0060042F">
        <w:t xml:space="preserve">) for participants with no </w:t>
      </w:r>
      <w:r w:rsidR="000672F2">
        <w:t xml:space="preserve">baseline </w:t>
      </w:r>
      <w:r w:rsidR="0060042F">
        <w:t>comorbidity of interest,</w:t>
      </w:r>
      <w:r w:rsidR="0022290B">
        <w:t xml:space="preserve"> </w:t>
      </w:r>
      <w:r>
        <w:t>64.7%</w:t>
      </w:r>
      <w:r w:rsidR="00112AB3">
        <w:t xml:space="preserve"> (95% CI: </w:t>
      </w:r>
      <w:r w:rsidR="00AF000C">
        <w:t>45.1</w:t>
      </w:r>
      <w:r w:rsidR="00112AB3">
        <w:t xml:space="preserve">, </w:t>
      </w:r>
      <w:r w:rsidR="00AF000C">
        <w:t>78.1</w:t>
      </w:r>
      <w:r w:rsidR="00112AB3">
        <w:t>)</w:t>
      </w:r>
      <w:r w:rsidR="00DA1339">
        <w:t xml:space="preserve"> </w:t>
      </w:r>
      <w:r>
        <w:t>for participants with at least 1 pre</w:t>
      </w:r>
      <w:r>
        <w:noBreakHyphen/>
        <w:t>existing comorbidity of interest, 68.1%</w:t>
      </w:r>
      <w:r w:rsidR="00AF000C">
        <w:t xml:space="preserve"> (95% CI: 45.7, 82.3) </w:t>
      </w:r>
      <w:r>
        <w:t>for participants with cardiorespiratory baseline comorbidities, 63.9%</w:t>
      </w:r>
      <w:r w:rsidR="00337F4A">
        <w:t xml:space="preserve"> (95% CI: 31.4, 82.5)</w:t>
      </w:r>
      <w:r>
        <w:t xml:space="preserve"> for participants with baseline endocrinometabolic comorbidities.</w:t>
      </w:r>
      <w:bookmarkEnd w:id="40"/>
      <w:r w:rsidR="00344910">
        <w:t xml:space="preserve"> </w:t>
      </w:r>
      <w:r w:rsidR="00344910" w:rsidRPr="00344910">
        <w:t>The evaluation noted that in these analyses, the lower limit of the 95% confidence interval was &gt;20%, which was the VE threshold defined for the primary VE objective.</w:t>
      </w:r>
      <w:r w:rsidR="000D3B9C">
        <w:t xml:space="preserve"> </w:t>
      </w:r>
      <w:r w:rsidR="00D742D3">
        <w:t xml:space="preserve">Assessment of VE at the end of </w:t>
      </w:r>
      <w:r w:rsidR="00A7140E">
        <w:t>the S</w:t>
      </w:r>
      <w:r w:rsidR="00D742D3">
        <w:t>eason 3</w:t>
      </w:r>
      <w:r w:rsidR="00A7140E">
        <w:t xml:space="preserve"> analysis</w:t>
      </w:r>
      <w:r w:rsidR="00D742D3">
        <w:t xml:space="preserve"> showed that all groups </w:t>
      </w:r>
      <w:r w:rsidR="00A7140E">
        <w:t>observed a</w:t>
      </w:r>
      <w:r w:rsidR="00D742D3">
        <w:t xml:space="preserve"> drop in VE of between</w:t>
      </w:r>
      <w:r w:rsidR="00407221">
        <w:t xml:space="preserve"> approximately</w:t>
      </w:r>
      <w:r w:rsidR="00D742D3">
        <w:t xml:space="preserve"> 10</w:t>
      </w:r>
      <w:r>
        <w:noBreakHyphen/>
      </w:r>
      <w:r w:rsidR="00D742D3">
        <w:t>30%</w:t>
      </w:r>
      <w:r w:rsidR="00A7140E">
        <w:t>.</w:t>
      </w:r>
      <w:r w:rsidR="00D742D3">
        <w:t xml:space="preserve"> </w:t>
      </w:r>
      <w:r w:rsidR="00A7140E">
        <w:t>H</w:t>
      </w:r>
      <w:r w:rsidR="000D3B9C">
        <w:t xml:space="preserve">owever apart from </w:t>
      </w:r>
      <w:r w:rsidR="007A7898">
        <w:t xml:space="preserve">the interim Season 1 analysis, the VE observed in </w:t>
      </w:r>
      <w:proofErr w:type="gramStart"/>
      <w:r w:rsidR="007A7898">
        <w:t>all of</w:t>
      </w:r>
      <w:proofErr w:type="gramEnd"/>
      <w:r w:rsidR="007A7898">
        <w:t xml:space="preserve"> the </w:t>
      </w:r>
      <w:r w:rsidR="00E321C8">
        <w:t>‘</w:t>
      </w:r>
      <w:r w:rsidR="007A7898">
        <w:t>comorbidity of interest</w:t>
      </w:r>
      <w:r w:rsidR="00E321C8">
        <w:t>’</w:t>
      </w:r>
      <w:r w:rsidR="007A7898">
        <w:t xml:space="preserve"> groups w</w:t>
      </w:r>
      <w:r w:rsidR="00D15AB4">
        <w:t>ere</w:t>
      </w:r>
      <w:r w:rsidR="00DA1339">
        <w:t xml:space="preserve"> </w:t>
      </w:r>
      <w:r w:rsidR="007A7898">
        <w:t xml:space="preserve">similar </w:t>
      </w:r>
      <w:r w:rsidR="008812BF">
        <w:t>(</w:t>
      </w:r>
      <w:r w:rsidR="0034443D">
        <w:t xml:space="preserve">point estimates </w:t>
      </w:r>
      <w:r w:rsidR="008812BF">
        <w:t>within 7 percentage points)</w:t>
      </w:r>
      <w:r w:rsidR="00E321C8">
        <w:t xml:space="preserve"> </w:t>
      </w:r>
      <w:r w:rsidR="007A7898">
        <w:t xml:space="preserve">to the VE </w:t>
      </w:r>
      <w:r w:rsidR="00E321C8">
        <w:t xml:space="preserve">observed </w:t>
      </w:r>
      <w:r w:rsidR="007A7898">
        <w:t xml:space="preserve">in </w:t>
      </w:r>
      <w:r w:rsidR="00E321C8">
        <w:t>the ‘no comorbidities of interest’ subgroup</w:t>
      </w:r>
      <w:r w:rsidR="00D213FE">
        <w:t xml:space="preserve"> </w:t>
      </w:r>
      <w:r w:rsidR="007C1E52">
        <w:t>(</w:t>
      </w:r>
      <w:r>
        <w:fldChar w:fldCharType="begin"/>
      </w:r>
      <w:r>
        <w:instrText xml:space="preserve"> REF _Ref224836511 \h </w:instrText>
      </w:r>
      <w:r>
        <w:fldChar w:fldCharType="separate"/>
      </w:r>
      <w:r w:rsidR="0043658C">
        <w:t xml:space="preserve">Table </w:t>
      </w:r>
      <w:r w:rsidR="0043658C" w:rsidRPr="310F0368">
        <w:rPr>
          <w:noProof/>
        </w:rPr>
        <w:t>7</w:t>
      </w:r>
      <w:r>
        <w:fldChar w:fldCharType="end"/>
      </w:r>
      <w:r w:rsidR="007C1E52">
        <w:t>)</w:t>
      </w:r>
      <w:r w:rsidR="005C1533">
        <w:t>.</w:t>
      </w:r>
      <w:r w:rsidR="00C61466">
        <w:t xml:space="preserve"> </w:t>
      </w:r>
    </w:p>
    <w:p w14:paraId="58155BD6" w14:textId="2B0DC82E" w:rsidR="00161A23" w:rsidRPr="005A5BB7" w:rsidRDefault="007E03EC" w:rsidP="3FF051E5">
      <w:pPr>
        <w:pStyle w:val="3-BodyText"/>
      </w:pPr>
      <w:r>
        <w:t>RSV</w:t>
      </w:r>
      <w:r>
        <w:noBreakHyphen/>
        <w:t>LRTD events in the ≥1 pre</w:t>
      </w:r>
      <w:r>
        <w:noBreakHyphen/>
        <w:t>existing cardiorespiratory and ≥1 pre</w:t>
      </w:r>
      <w:r>
        <w:noBreakHyphen/>
        <w:t xml:space="preserve">existing endocrinometabolic condition subgroups </w:t>
      </w:r>
      <w:r w:rsidR="00D87011">
        <w:t>had overlapping patients</w:t>
      </w:r>
      <w:r>
        <w:t>; the sum of patients and events in these subgroups exceeds t</w:t>
      </w:r>
      <w:r w:rsidR="0068123B">
        <w:t>he</w:t>
      </w:r>
      <w:r>
        <w:t xml:space="preserve"> total patients and events recorded in the ≥1 pre</w:t>
      </w:r>
      <w:r>
        <w:noBreakHyphen/>
        <w:t xml:space="preserve">existing comorbidity of interest umbrella group. The </w:t>
      </w:r>
      <w:r w:rsidR="005730FF">
        <w:t>overlapping patients</w:t>
      </w:r>
      <w:r>
        <w:t xml:space="preserve"> disproportionately affected the placebo arm, potentially biasing results in favour of apparent efficacy of RSVPreF3 OA. For instance, at VE analysis 1</w:t>
      </w:r>
      <w:r w:rsidR="00EB5650">
        <w:t>,</w:t>
      </w:r>
      <w:r>
        <w:t xml:space="preserve"> the sum of events in the ≥1 pre</w:t>
      </w:r>
      <w:r>
        <w:noBreakHyphen/>
        <w:t>existing cardiorespiratory and ≥1 pre</w:t>
      </w:r>
      <w:r>
        <w:noBreakHyphen/>
        <w:t xml:space="preserve">existing endocrinometabolic condition placebo groups was 12+13 = 25, however the total number of events recorded in the placebo arm in this </w:t>
      </w:r>
      <w:proofErr w:type="gramStart"/>
      <w:r>
        <w:t>time period</w:t>
      </w:r>
      <w:proofErr w:type="gramEnd"/>
      <w:r>
        <w:t xml:space="preserve"> was only 18 events. This compares to the RSVPreF3 OA group which had no </w:t>
      </w:r>
      <w:r w:rsidR="004F58A6">
        <w:t>overlapped patients</w:t>
      </w:r>
      <w:r>
        <w:t>, with only a single event recorded at this time.</w:t>
      </w:r>
    </w:p>
    <w:p w14:paraId="1BFF14AA" w14:textId="10B72F83" w:rsidR="007E03EC" w:rsidRPr="005A5BB7" w:rsidRDefault="00161A23" w:rsidP="0090073B">
      <w:pPr>
        <w:pStyle w:val="3-BodyText"/>
        <w:rPr>
          <w:szCs w:val="24"/>
        </w:rPr>
      </w:pPr>
      <w:r w:rsidRPr="005A5BB7">
        <w:rPr>
          <w:iCs/>
        </w:rPr>
        <w:t>The PSCR commented that subgroup analyses in participants with pre</w:t>
      </w:r>
      <w:r w:rsidR="000E4816">
        <w:rPr>
          <w:iCs/>
        </w:rPr>
        <w:noBreakHyphen/>
      </w:r>
      <w:r w:rsidRPr="005A5BB7">
        <w:rPr>
          <w:iCs/>
        </w:rPr>
        <w:t>existing cardiorespiratory or endocrinometabolic conditions were descriptive secondary endpoints, and agreed with the evaluation’s observation that these subgroups were not mutually exclusive.</w:t>
      </w:r>
    </w:p>
    <w:p w14:paraId="3DDB68F6" w14:textId="40B9D5E7" w:rsidR="00E35AE7" w:rsidRPr="005A5BB7" w:rsidRDefault="00E35AE7">
      <w:pPr>
        <w:pStyle w:val="3-BodyText"/>
        <w:rPr>
          <w:szCs w:val="24"/>
        </w:rPr>
      </w:pPr>
      <w:bookmarkStart w:id="41" w:name="_Ref225499250"/>
      <w:bookmarkStart w:id="42" w:name="_Ref222403963"/>
      <w:r w:rsidRPr="005A5BB7">
        <w:t>The PSCR stated that adults with obesity (BMI ≥30 kg/m</w:t>
      </w:r>
      <w:r w:rsidRPr="005A5BB7">
        <w:rPr>
          <w:vertAlign w:val="superscript"/>
        </w:rPr>
        <w:t>2</w:t>
      </w:r>
      <w:r w:rsidRPr="005A5BB7">
        <w:t>) and stable neurological conditions comprised approximately 38% and 22%, respectively, of participants in AReSVi</w:t>
      </w:r>
      <w:r w:rsidR="000E4816">
        <w:noBreakHyphen/>
      </w:r>
      <w:r w:rsidRPr="005A5BB7">
        <w:t>006 and were captured in the overall trial population VE analyses, despite not being included in the comorbid conditions of interest subgroup. The PSCR provided results from a post</w:t>
      </w:r>
      <w:r w:rsidR="000E4816">
        <w:noBreakHyphen/>
      </w:r>
      <w:r w:rsidRPr="005A5BB7">
        <w:t>hoc analysis for obesity (Hulstrom et al 2025).</w:t>
      </w:r>
      <w:r w:rsidR="00DA1339">
        <w:t xml:space="preserve"> </w:t>
      </w:r>
      <w:r w:rsidRPr="005A5BB7">
        <w:t>The VE in the obese population was comparable to the overall trial population and participants with ≥1 baseline comorbidity of interest for RSV</w:t>
      </w:r>
      <w:r w:rsidR="000E4816">
        <w:noBreakHyphen/>
      </w:r>
      <w:r w:rsidRPr="005A5BB7">
        <w:t>LRTD and RSV</w:t>
      </w:r>
      <w:r w:rsidR="000E4816">
        <w:noBreakHyphen/>
      </w:r>
      <w:r w:rsidRPr="005A5BB7">
        <w:t>ARI (</w:t>
      </w:r>
      <w:bookmarkEnd w:id="41"/>
      <w:r w:rsidR="00C7382D" w:rsidRPr="005A5BB7">
        <w:fldChar w:fldCharType="begin"/>
      </w:r>
      <w:r w:rsidR="00C7382D" w:rsidRPr="005A5BB7">
        <w:instrText xml:space="preserve"> REF _Ref224836511 \h </w:instrText>
      </w:r>
      <w:r w:rsidR="00C7382D" w:rsidRPr="005A5BB7">
        <w:fldChar w:fldCharType="separate"/>
      </w:r>
      <w:r w:rsidR="0043658C" w:rsidRPr="005A5BB7">
        <w:t xml:space="preserve">Table </w:t>
      </w:r>
      <w:r w:rsidR="0043658C">
        <w:rPr>
          <w:noProof/>
        </w:rPr>
        <w:t>7</w:t>
      </w:r>
      <w:r w:rsidR="00C7382D" w:rsidRPr="005A5BB7">
        <w:fldChar w:fldCharType="end"/>
      </w:r>
      <w:r w:rsidR="00C7382D" w:rsidRPr="005A5BB7">
        <w:t xml:space="preserve"> </w:t>
      </w:r>
      <w:r w:rsidRPr="005A5BB7">
        <w:rPr>
          <w:iCs/>
          <w:szCs w:val="24"/>
        </w:rPr>
        <w:t xml:space="preserve">and </w:t>
      </w:r>
      <w:r w:rsidRPr="005A5BB7">
        <w:rPr>
          <w:iCs/>
          <w:szCs w:val="24"/>
        </w:rPr>
        <w:fldChar w:fldCharType="begin"/>
      </w:r>
      <w:r w:rsidRPr="005A5BB7">
        <w:rPr>
          <w:iCs/>
          <w:szCs w:val="24"/>
        </w:rPr>
        <w:instrText xml:space="preserve"> REF _Ref219770554 \h  \* MERGEFORMAT </w:instrText>
      </w:r>
      <w:r w:rsidRPr="005A5BB7">
        <w:rPr>
          <w:iCs/>
          <w:szCs w:val="24"/>
        </w:rPr>
      </w:r>
      <w:r w:rsidRPr="005A5BB7">
        <w:rPr>
          <w:iCs/>
          <w:szCs w:val="24"/>
        </w:rPr>
        <w:fldChar w:fldCharType="separate"/>
      </w:r>
      <w:r w:rsidR="0043658C" w:rsidRPr="0043658C">
        <w:rPr>
          <w:iCs/>
        </w:rPr>
        <w:t>Table 9</w:t>
      </w:r>
      <w:r w:rsidRPr="005A5BB7">
        <w:rPr>
          <w:iCs/>
          <w:szCs w:val="24"/>
        </w:rPr>
        <w:fldChar w:fldCharType="end"/>
      </w:r>
      <w:r w:rsidRPr="005A5BB7">
        <w:rPr>
          <w:iCs/>
          <w:szCs w:val="24"/>
        </w:rPr>
        <w:t>).</w:t>
      </w:r>
      <w:bookmarkEnd w:id="42"/>
      <w:r w:rsidR="00DA1339">
        <w:rPr>
          <w:iCs/>
          <w:szCs w:val="24"/>
        </w:rPr>
        <w:t xml:space="preserve"> </w:t>
      </w:r>
      <w:r w:rsidRPr="005A5BB7">
        <w:rPr>
          <w:iCs/>
          <w:szCs w:val="24"/>
        </w:rPr>
        <w:t>The ESC considered it may be plausible to assume similar efficacy across these populations based on the available data, acknowledging the VE data reported is cumulative and not provided for individual season. Further, ESC noted it is unclear how many patients in the ‘Obesity (BMI ≥30 kg/m</w:t>
      </w:r>
      <w:r w:rsidRPr="005A5BB7">
        <w:rPr>
          <w:iCs/>
          <w:szCs w:val="24"/>
          <w:vertAlign w:val="superscript"/>
        </w:rPr>
        <w:t>2</w:t>
      </w:r>
      <w:r w:rsidRPr="005A5BB7">
        <w:rPr>
          <w:iCs/>
          <w:szCs w:val="24"/>
        </w:rPr>
        <w:t>)’ subgroup had multimorbidity, and to what extent additional comorbidities of interest may confound these results.</w:t>
      </w:r>
    </w:p>
    <w:p w14:paraId="34560437" w14:textId="152864E4" w:rsidR="006C339F" w:rsidRPr="005A5BB7" w:rsidRDefault="006C339F">
      <w:pPr>
        <w:jc w:val="left"/>
        <w:rPr>
          <w:rFonts w:ascii="Arial Narrow" w:hAnsi="Arial Narrow"/>
          <w:b/>
          <w:bCs/>
          <w:sz w:val="20"/>
          <w:szCs w:val="18"/>
        </w:rPr>
      </w:pPr>
      <w:bookmarkStart w:id="43" w:name="_Ref219564020"/>
    </w:p>
    <w:p w14:paraId="40ECA60C" w14:textId="703BEF9F" w:rsidR="007B6960" w:rsidRPr="005A5BB7" w:rsidRDefault="00CF66F9" w:rsidP="003754EF">
      <w:pPr>
        <w:pStyle w:val="Caption"/>
      </w:pPr>
      <w:bookmarkStart w:id="44" w:name="_Ref224836511"/>
      <w:r w:rsidRPr="005A5BB7">
        <w:t xml:space="preserve">Table </w:t>
      </w:r>
      <w:fldSimple w:instr=" SEQ Table \* ARABIC ">
        <w:r w:rsidR="0043658C">
          <w:rPr>
            <w:noProof/>
          </w:rPr>
          <w:t>7</w:t>
        </w:r>
      </w:fldSimple>
      <w:bookmarkEnd w:id="43"/>
      <w:bookmarkEnd w:id="44"/>
      <w:r w:rsidRPr="005A5BB7">
        <w:t>: Cumulative vaccine efficacy of a single dose of RSVPreF3 OA against first occurrence of RSV</w:t>
      </w:r>
      <w:r w:rsidR="000E4816">
        <w:noBreakHyphen/>
      </w:r>
      <w:r w:rsidRPr="005A5BB7">
        <w:t>LRTD by baseline comorbidities of interest using Poisson Method (mES)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Cumulative vaccine efficacy of a single dose of RSVPreF3 OA against first occurrence of RSV LRTD by baseline comorbidities of interest using Poisson Method (mES)"/>
      </w:tblPr>
      <w:tblGrid>
        <w:gridCol w:w="1951"/>
        <w:gridCol w:w="559"/>
        <w:gridCol w:w="507"/>
        <w:gridCol w:w="696"/>
        <w:gridCol w:w="702"/>
        <w:gridCol w:w="703"/>
        <w:gridCol w:w="563"/>
        <w:gridCol w:w="703"/>
        <w:gridCol w:w="707"/>
        <w:gridCol w:w="1926"/>
      </w:tblGrid>
      <w:tr w:rsidR="007152EE" w:rsidRPr="005A5BB7" w14:paraId="33B775B5" w14:textId="77777777" w:rsidTr="00876F10">
        <w:trPr>
          <w:trHeight w:val="170"/>
          <w:tblHeader/>
        </w:trPr>
        <w:tc>
          <w:tcPr>
            <w:tcW w:w="1082" w:type="pct"/>
            <w:vMerge w:val="restart"/>
            <w:vAlign w:val="center"/>
          </w:tcPr>
          <w:p w14:paraId="0455D8C7" w14:textId="77777777" w:rsidR="007152EE" w:rsidRPr="005A5BB7" w:rsidRDefault="007152EE" w:rsidP="003754EF">
            <w:pPr>
              <w:keepNext/>
              <w:jc w:val="left"/>
              <w:rPr>
                <w:rFonts w:ascii="Arial Narrow" w:hAnsi="Arial Narrow" w:cs="Calibri"/>
                <w:b/>
                <w:bCs/>
                <w:sz w:val="20"/>
                <w:szCs w:val="20"/>
              </w:rPr>
            </w:pPr>
            <w:r w:rsidRPr="005A5BB7">
              <w:rPr>
                <w:rFonts w:ascii="Arial Narrow" w:hAnsi="Arial Narrow" w:cs="Calibri"/>
                <w:b/>
                <w:bCs/>
                <w:color w:val="000000"/>
                <w:sz w:val="20"/>
                <w:szCs w:val="20"/>
              </w:rPr>
              <w:t>Endpoint</w:t>
            </w:r>
          </w:p>
        </w:tc>
        <w:tc>
          <w:tcPr>
            <w:tcW w:w="1366" w:type="pct"/>
            <w:gridSpan w:val="4"/>
            <w:vAlign w:val="center"/>
            <w:hideMark/>
          </w:tcPr>
          <w:p w14:paraId="6C69EC28" w14:textId="4CC42F7C" w:rsidR="007152EE" w:rsidRPr="005A5BB7" w:rsidRDefault="007152EE" w:rsidP="003754EF">
            <w:pPr>
              <w:keepNext/>
              <w:jc w:val="center"/>
              <w:rPr>
                <w:rFonts w:ascii="Arial Narrow" w:hAnsi="Arial Narrow" w:cs="Calibri"/>
                <w:b/>
                <w:bCs/>
                <w:sz w:val="20"/>
                <w:szCs w:val="20"/>
              </w:rPr>
            </w:pPr>
            <w:r w:rsidRPr="005A5BB7">
              <w:rPr>
                <w:rFonts w:ascii="Arial Narrow" w:hAnsi="Arial Narrow" w:cs="Calibri"/>
                <w:b/>
                <w:bCs/>
                <w:sz w:val="20"/>
                <w:szCs w:val="20"/>
              </w:rPr>
              <w:t>RSVPreF3</w:t>
            </w:r>
            <w:r w:rsidR="00206F26" w:rsidRPr="005A5BB7">
              <w:rPr>
                <w:rFonts w:ascii="Arial Narrow" w:hAnsi="Arial Narrow" w:cs="Calibri"/>
                <w:b/>
                <w:bCs/>
                <w:sz w:val="20"/>
                <w:szCs w:val="20"/>
              </w:rPr>
              <w:t xml:space="preserve"> OA</w:t>
            </w:r>
          </w:p>
        </w:tc>
        <w:tc>
          <w:tcPr>
            <w:tcW w:w="1484" w:type="pct"/>
            <w:gridSpan w:val="4"/>
            <w:vAlign w:val="center"/>
          </w:tcPr>
          <w:p w14:paraId="3695BEA1"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Placebo</w:t>
            </w:r>
          </w:p>
        </w:tc>
        <w:tc>
          <w:tcPr>
            <w:tcW w:w="1068" w:type="pct"/>
            <w:vMerge w:val="restart"/>
            <w:vAlign w:val="center"/>
            <w:hideMark/>
          </w:tcPr>
          <w:p w14:paraId="29BF0952" w14:textId="77777777" w:rsidR="007152EE" w:rsidRPr="005A5BB7" w:rsidRDefault="007152EE" w:rsidP="003754EF">
            <w:pPr>
              <w:keepNext/>
              <w:jc w:val="center"/>
              <w:rPr>
                <w:rFonts w:ascii="Arial Narrow" w:hAnsi="Arial Narrow" w:cs="Calibri"/>
                <w:b/>
                <w:bCs/>
                <w:sz w:val="20"/>
                <w:szCs w:val="20"/>
              </w:rPr>
            </w:pPr>
            <w:r w:rsidRPr="005A5BB7">
              <w:rPr>
                <w:rFonts w:ascii="Arial Narrow" w:hAnsi="Arial Narrow" w:cs="Calibri"/>
                <w:b/>
                <w:bCs/>
                <w:sz w:val="20"/>
                <w:szCs w:val="20"/>
              </w:rPr>
              <w:t>VE %</w:t>
            </w:r>
          </w:p>
          <w:p w14:paraId="20D558AC" w14:textId="1B47076F"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(95% CI); p</w:t>
            </w:r>
            <w:r w:rsidR="000E4816">
              <w:rPr>
                <w:rFonts w:ascii="Arial Narrow" w:hAnsi="Arial Narrow" w:cs="Calibri"/>
                <w:b/>
                <w:bCs/>
                <w:sz w:val="20"/>
                <w:szCs w:val="20"/>
              </w:rPr>
              <w:noBreakHyphen/>
            </w:r>
            <w:r w:rsidRPr="005A5BB7">
              <w:rPr>
                <w:rFonts w:ascii="Arial Narrow" w:hAnsi="Arial Narrow" w:cs="Calibri"/>
                <w:b/>
                <w:bCs/>
                <w:sz w:val="20"/>
                <w:szCs w:val="20"/>
              </w:rPr>
              <w:t>value</w:t>
            </w:r>
          </w:p>
        </w:tc>
      </w:tr>
      <w:tr w:rsidR="007152EE" w:rsidRPr="005A5BB7" w14:paraId="03A68FD9" w14:textId="77777777" w:rsidTr="00876F10">
        <w:trPr>
          <w:trHeight w:val="170"/>
          <w:tblHeader/>
        </w:trPr>
        <w:tc>
          <w:tcPr>
            <w:tcW w:w="1082" w:type="pct"/>
            <w:vMerge/>
            <w:vAlign w:val="center"/>
          </w:tcPr>
          <w:p w14:paraId="202B7593" w14:textId="77777777" w:rsidR="007152EE" w:rsidRPr="005A5BB7" w:rsidRDefault="007152EE" w:rsidP="003754EF">
            <w:pPr>
              <w:keepNext/>
              <w:jc w:val="left"/>
              <w:rPr>
                <w:rFonts w:ascii="Arial Narrow" w:hAnsi="Arial Narrow" w:cs="Calibri"/>
                <w:b/>
                <w:bCs/>
                <w:sz w:val="20"/>
                <w:szCs w:val="20"/>
              </w:rPr>
            </w:pPr>
          </w:p>
        </w:tc>
        <w:tc>
          <w:tcPr>
            <w:tcW w:w="310" w:type="pct"/>
            <w:vAlign w:val="center"/>
            <w:hideMark/>
          </w:tcPr>
          <w:p w14:paraId="3E4A538E"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281" w:type="pct"/>
            <w:vAlign w:val="center"/>
            <w:hideMark/>
          </w:tcPr>
          <w:p w14:paraId="44744F8B"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86" w:type="pct"/>
            <w:vAlign w:val="center"/>
            <w:hideMark/>
          </w:tcPr>
          <w:p w14:paraId="3D1C62FC"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T (year)</w:t>
            </w:r>
          </w:p>
        </w:tc>
        <w:tc>
          <w:tcPr>
            <w:tcW w:w="389" w:type="pct"/>
            <w:vAlign w:val="center"/>
          </w:tcPr>
          <w:p w14:paraId="050E2F13" w14:textId="77777777" w:rsidR="007152EE" w:rsidRPr="005A5BB7" w:rsidRDefault="007152EE" w:rsidP="003754EF">
            <w:pPr>
              <w:keepNext/>
              <w:jc w:val="center"/>
              <w:rPr>
                <w:rFonts w:ascii="Arial Narrow" w:hAnsi="Arial Narrow" w:cs="Calibri"/>
                <w:b/>
                <w:bCs/>
                <w:sz w:val="20"/>
                <w:szCs w:val="20"/>
              </w:rPr>
            </w:pPr>
            <w:r w:rsidRPr="005A5BB7">
              <w:rPr>
                <w:rFonts w:ascii="Arial Narrow" w:hAnsi="Arial Narrow" w:cs="Calibri"/>
                <w:b/>
                <w:bCs/>
                <w:sz w:val="20"/>
                <w:szCs w:val="20"/>
              </w:rPr>
              <w:t>n/T (per 1000)</w:t>
            </w:r>
          </w:p>
        </w:tc>
        <w:tc>
          <w:tcPr>
            <w:tcW w:w="390" w:type="pct"/>
            <w:vAlign w:val="center"/>
            <w:hideMark/>
          </w:tcPr>
          <w:p w14:paraId="0C3090FF"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12" w:type="pct"/>
            <w:vAlign w:val="center"/>
            <w:hideMark/>
          </w:tcPr>
          <w:p w14:paraId="3E3736BE"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90" w:type="pct"/>
            <w:vAlign w:val="center"/>
          </w:tcPr>
          <w:p w14:paraId="673BE206" w14:textId="77777777" w:rsidR="007152EE" w:rsidRPr="005A5BB7" w:rsidRDefault="007152EE" w:rsidP="003754EF">
            <w:pPr>
              <w:keepNext/>
              <w:jc w:val="center"/>
              <w:rPr>
                <w:rFonts w:ascii="Arial Narrow" w:hAnsi="Arial Narrow" w:cs="Calibri"/>
                <w:b/>
                <w:bCs/>
                <w:sz w:val="20"/>
                <w:szCs w:val="20"/>
              </w:rPr>
            </w:pPr>
            <w:r w:rsidRPr="005A5BB7">
              <w:rPr>
                <w:rFonts w:ascii="Arial Narrow" w:hAnsi="Arial Narrow" w:cs="Calibri"/>
                <w:b/>
                <w:bCs/>
                <w:sz w:val="20"/>
                <w:szCs w:val="20"/>
              </w:rPr>
              <w:t>T (year)</w:t>
            </w:r>
          </w:p>
        </w:tc>
        <w:tc>
          <w:tcPr>
            <w:tcW w:w="392" w:type="pct"/>
            <w:vAlign w:val="center"/>
            <w:hideMark/>
          </w:tcPr>
          <w:p w14:paraId="7F5AF98F" w14:textId="77777777" w:rsidR="007152EE" w:rsidRPr="005A5BB7" w:rsidRDefault="007152EE" w:rsidP="003754EF">
            <w:pPr>
              <w:keepNext/>
              <w:jc w:val="center"/>
              <w:rPr>
                <w:rFonts w:ascii="Arial Narrow" w:hAnsi="Arial Narrow" w:cs="Calibri"/>
                <w:b/>
                <w:bCs/>
                <w:color w:val="000000"/>
                <w:sz w:val="20"/>
                <w:szCs w:val="20"/>
              </w:rPr>
            </w:pPr>
            <w:r w:rsidRPr="005A5BB7">
              <w:rPr>
                <w:rFonts w:ascii="Arial Narrow" w:hAnsi="Arial Narrow" w:cs="Calibri"/>
                <w:b/>
                <w:bCs/>
                <w:sz w:val="20"/>
                <w:szCs w:val="20"/>
              </w:rPr>
              <w:t>n/T (per 1000)</w:t>
            </w:r>
          </w:p>
        </w:tc>
        <w:tc>
          <w:tcPr>
            <w:tcW w:w="1068" w:type="pct"/>
            <w:vMerge/>
            <w:vAlign w:val="center"/>
            <w:hideMark/>
          </w:tcPr>
          <w:p w14:paraId="6024ED0A" w14:textId="77777777" w:rsidR="007152EE" w:rsidRPr="005A5BB7" w:rsidRDefault="007152EE" w:rsidP="003754EF">
            <w:pPr>
              <w:keepNext/>
              <w:jc w:val="center"/>
              <w:rPr>
                <w:rFonts w:ascii="Arial Narrow" w:hAnsi="Arial Narrow" w:cs="Calibri"/>
                <w:b/>
                <w:bCs/>
                <w:color w:val="000000"/>
                <w:sz w:val="20"/>
                <w:szCs w:val="20"/>
              </w:rPr>
            </w:pPr>
          </w:p>
        </w:tc>
      </w:tr>
      <w:tr w:rsidR="007152EE" w:rsidRPr="005A5BB7" w14:paraId="3720E805" w14:textId="77777777" w:rsidTr="00876F10">
        <w:trPr>
          <w:trHeight w:val="170"/>
        </w:trPr>
        <w:tc>
          <w:tcPr>
            <w:tcW w:w="5000" w:type="pct"/>
            <w:gridSpan w:val="10"/>
            <w:tcBorders>
              <w:top w:val="single" w:sz="4" w:space="0" w:color="auto"/>
              <w:left w:val="single" w:sz="4" w:space="0" w:color="auto"/>
              <w:right w:val="single" w:sz="4" w:space="0" w:color="auto"/>
            </w:tcBorders>
            <w:vAlign w:val="center"/>
          </w:tcPr>
          <w:p w14:paraId="27E92AEF" w14:textId="6391C7F2" w:rsidR="007152EE" w:rsidRPr="005A5BB7" w:rsidRDefault="007152EE" w:rsidP="003754EF">
            <w:pPr>
              <w:keepNext/>
              <w:jc w:val="left"/>
              <w:rPr>
                <w:rFonts w:ascii="Arial Narrow" w:hAnsi="Arial Narrow" w:cs="Times New Roman"/>
                <w:b/>
                <w:bCs/>
                <w:sz w:val="20"/>
              </w:rPr>
            </w:pPr>
            <w:r w:rsidRPr="005A5BB7">
              <w:rPr>
                <w:rFonts w:ascii="Arial Narrow" w:hAnsi="Arial Narrow" w:cs="Times New Roman"/>
                <w:b/>
                <w:bCs/>
                <w:sz w:val="20"/>
              </w:rPr>
              <w:t xml:space="preserve">Descriptive secondary endpoints: </w:t>
            </w:r>
            <w:r w:rsidRPr="005A5BB7">
              <w:rPr>
                <w:rFonts w:ascii="Arial Narrow" w:hAnsi="Arial Narrow" w:cs="Calibri"/>
                <w:b/>
                <w:bCs/>
                <w:color w:val="000000" w:themeColor="text1"/>
                <w:sz w:val="20"/>
                <w:szCs w:val="20"/>
              </w:rPr>
              <w:t>RSV</w:t>
            </w:r>
            <w:r w:rsidR="000E4816">
              <w:rPr>
                <w:rFonts w:ascii="Arial Narrow" w:hAnsi="Arial Narrow" w:cs="Calibri"/>
                <w:b/>
                <w:bCs/>
                <w:color w:val="000000" w:themeColor="text1"/>
                <w:sz w:val="20"/>
                <w:szCs w:val="20"/>
              </w:rPr>
              <w:noBreakHyphen/>
            </w:r>
            <w:r w:rsidRPr="005A5BB7">
              <w:rPr>
                <w:rFonts w:ascii="Arial Narrow" w:hAnsi="Arial Narrow" w:cs="Calibri"/>
                <w:b/>
                <w:bCs/>
                <w:color w:val="000000" w:themeColor="text1"/>
                <w:sz w:val="20"/>
                <w:szCs w:val="20"/>
              </w:rPr>
              <w:t>LRTD by baseline comorbidities of interest</w:t>
            </w:r>
          </w:p>
        </w:tc>
      </w:tr>
      <w:tr w:rsidR="007152EE" w:rsidRPr="005A5BB7" w14:paraId="1D303B22" w14:textId="77777777" w:rsidTr="00876F10">
        <w:trPr>
          <w:trHeight w:val="170"/>
        </w:trPr>
        <w:tc>
          <w:tcPr>
            <w:tcW w:w="5000" w:type="pct"/>
            <w:gridSpan w:val="10"/>
            <w:tcBorders>
              <w:top w:val="single" w:sz="4" w:space="0" w:color="auto"/>
              <w:left w:val="single" w:sz="4" w:space="0" w:color="auto"/>
              <w:right w:val="single" w:sz="4" w:space="0" w:color="auto"/>
            </w:tcBorders>
            <w:vAlign w:val="center"/>
          </w:tcPr>
          <w:p w14:paraId="0471CF74" w14:textId="32471033" w:rsidR="007152EE" w:rsidRPr="005A5BB7" w:rsidRDefault="007152EE" w:rsidP="003754EF">
            <w:pPr>
              <w:keepNext/>
              <w:jc w:val="left"/>
              <w:rPr>
                <w:rFonts w:ascii="Arial Narrow" w:hAnsi="Arial Narrow" w:cs="Times New Roman"/>
                <w:b/>
                <w:bCs/>
                <w:sz w:val="20"/>
              </w:rPr>
            </w:pPr>
            <w:r w:rsidRPr="005A5BB7">
              <w:rPr>
                <w:rFonts w:ascii="Arial Narrow" w:hAnsi="Arial Narrow" w:cs="Times New Roman"/>
                <w:b/>
                <w:bCs/>
                <w:sz w:val="20"/>
              </w:rPr>
              <w:t>VE Analysis 1: Interim</w:t>
            </w:r>
            <w:r w:rsidRPr="005A5BB7">
              <w:rPr>
                <w:rFonts w:ascii="Arial Narrow" w:hAnsi="Arial Narrow" w:cs="Times New Roman"/>
                <w:sz w:val="20"/>
              </w:rPr>
              <w:t xml:space="preserve"> </w:t>
            </w:r>
            <w:r w:rsidRPr="005A5BB7">
              <w:rPr>
                <w:rFonts w:ascii="Arial Narrow" w:hAnsi="Arial Narrow" w:cs="Times New Roman"/>
                <w:b/>
                <w:bCs/>
                <w:sz w:val="20"/>
              </w:rPr>
              <w:t>S1 (event</w:t>
            </w:r>
            <w:r w:rsidR="000E4816">
              <w:rPr>
                <w:rFonts w:ascii="Arial Narrow" w:hAnsi="Arial Narrow" w:cs="Times New Roman"/>
                <w:b/>
                <w:bCs/>
                <w:sz w:val="20"/>
              </w:rPr>
              <w:noBreakHyphen/>
            </w:r>
            <w:r w:rsidRPr="005A5BB7">
              <w:rPr>
                <w:rFonts w:ascii="Arial Narrow" w:hAnsi="Arial Narrow" w:cs="Times New Roman"/>
                <w:b/>
                <w:bCs/>
                <w:sz w:val="20"/>
              </w:rPr>
              <w:t>driven;</w:t>
            </w:r>
            <w:r w:rsidRPr="005A5BB7">
              <w:rPr>
                <w:rFonts w:ascii="Arial Narrow" w:hAnsi="Arial Narrow" w:cs="Times New Roman"/>
                <w:sz w:val="20"/>
              </w:rPr>
              <w:t xml:space="preserve"> </w:t>
            </w:r>
            <w:r w:rsidRPr="005A5BB7">
              <w:rPr>
                <w:rFonts w:ascii="Arial Narrow" w:hAnsi="Arial Narrow" w:cs="Times New Roman"/>
                <w:b/>
                <w:bCs/>
                <w:sz w:val="20"/>
              </w:rPr>
              <w:t>median follow</w:t>
            </w:r>
            <w:r w:rsidR="000E4816">
              <w:rPr>
                <w:rFonts w:ascii="Arial Narrow" w:hAnsi="Arial Narrow" w:cs="Times New Roman"/>
                <w:b/>
                <w:bCs/>
                <w:sz w:val="20"/>
              </w:rPr>
              <w:noBreakHyphen/>
            </w:r>
            <w:r w:rsidRPr="005A5BB7">
              <w:rPr>
                <w:rFonts w:ascii="Arial Narrow" w:hAnsi="Arial Narrow" w:cs="Times New Roman"/>
                <w:b/>
                <w:bCs/>
                <w:sz w:val="20"/>
              </w:rPr>
              <w:t>up = 6.7 months)</w:t>
            </w:r>
          </w:p>
        </w:tc>
      </w:tr>
      <w:tr w:rsidR="007152EE" w:rsidRPr="005A5BB7" w14:paraId="6D73EEC8" w14:textId="77777777" w:rsidTr="00876F10">
        <w:trPr>
          <w:trHeight w:val="170"/>
        </w:trPr>
        <w:tc>
          <w:tcPr>
            <w:tcW w:w="1082" w:type="pct"/>
            <w:tcBorders>
              <w:left w:val="single" w:sz="4" w:space="0" w:color="auto"/>
              <w:right w:val="single" w:sz="4" w:space="0" w:color="auto"/>
            </w:tcBorders>
            <w:shd w:val="clear" w:color="auto" w:fill="DBE5F1" w:themeFill="accent1" w:themeFillTint="33"/>
            <w:vAlign w:val="center"/>
          </w:tcPr>
          <w:p w14:paraId="5E593E59" w14:textId="77777777" w:rsidR="007152EE" w:rsidRPr="005A5BB7" w:rsidRDefault="007152EE" w:rsidP="003754EF">
            <w:pPr>
              <w:keepNext/>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1</w:t>
            </w:r>
          </w:p>
        </w:tc>
        <w:tc>
          <w:tcPr>
            <w:tcW w:w="310" w:type="pct"/>
            <w:tcBorders>
              <w:left w:val="single" w:sz="4" w:space="0" w:color="auto"/>
            </w:tcBorders>
            <w:shd w:val="clear" w:color="auto" w:fill="DBE5F1" w:themeFill="accent1" w:themeFillTint="33"/>
            <w:vAlign w:val="center"/>
          </w:tcPr>
          <w:p w14:paraId="20B9C29D"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12,466</w:t>
            </w:r>
          </w:p>
        </w:tc>
        <w:tc>
          <w:tcPr>
            <w:tcW w:w="281" w:type="pct"/>
            <w:shd w:val="clear" w:color="auto" w:fill="DBE5F1" w:themeFill="accent1" w:themeFillTint="33"/>
            <w:vAlign w:val="center"/>
          </w:tcPr>
          <w:p w14:paraId="116BB231"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7</w:t>
            </w:r>
          </w:p>
        </w:tc>
        <w:tc>
          <w:tcPr>
            <w:tcW w:w="386" w:type="pct"/>
            <w:shd w:val="clear" w:color="auto" w:fill="DBE5F1" w:themeFill="accent1" w:themeFillTint="33"/>
            <w:vAlign w:val="center"/>
          </w:tcPr>
          <w:p w14:paraId="6B9FBB45"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6,865.9</w:t>
            </w:r>
          </w:p>
        </w:tc>
        <w:tc>
          <w:tcPr>
            <w:tcW w:w="389" w:type="pct"/>
            <w:shd w:val="clear" w:color="auto" w:fill="DBE5F1" w:themeFill="accent1" w:themeFillTint="33"/>
            <w:vAlign w:val="center"/>
          </w:tcPr>
          <w:p w14:paraId="69E02C1E"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1.0</w:t>
            </w:r>
          </w:p>
        </w:tc>
        <w:tc>
          <w:tcPr>
            <w:tcW w:w="390" w:type="pct"/>
            <w:shd w:val="clear" w:color="auto" w:fill="DBE5F1" w:themeFill="accent1" w:themeFillTint="33"/>
            <w:vAlign w:val="center"/>
          </w:tcPr>
          <w:p w14:paraId="58096406"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12,494</w:t>
            </w:r>
          </w:p>
        </w:tc>
        <w:tc>
          <w:tcPr>
            <w:tcW w:w="312" w:type="pct"/>
            <w:shd w:val="clear" w:color="auto" w:fill="DBE5F1" w:themeFill="accent1" w:themeFillTint="33"/>
            <w:vAlign w:val="center"/>
          </w:tcPr>
          <w:p w14:paraId="7B4F0DF2"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40</w:t>
            </w:r>
          </w:p>
        </w:tc>
        <w:tc>
          <w:tcPr>
            <w:tcW w:w="390" w:type="pct"/>
            <w:shd w:val="clear" w:color="auto" w:fill="DBE5F1" w:themeFill="accent1" w:themeFillTint="33"/>
            <w:vAlign w:val="center"/>
          </w:tcPr>
          <w:p w14:paraId="22D6FFF7"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6,857.3</w:t>
            </w:r>
          </w:p>
        </w:tc>
        <w:tc>
          <w:tcPr>
            <w:tcW w:w="392" w:type="pct"/>
            <w:shd w:val="clear" w:color="auto" w:fill="DBE5F1" w:themeFill="accent1" w:themeFillTint="33"/>
            <w:vAlign w:val="center"/>
          </w:tcPr>
          <w:p w14:paraId="2D2674BB" w14:textId="77777777" w:rsidR="007152EE" w:rsidRPr="005A5BB7" w:rsidRDefault="007152EE" w:rsidP="003754EF">
            <w:pPr>
              <w:keepNext/>
              <w:jc w:val="center"/>
              <w:rPr>
                <w:rFonts w:ascii="Arial Narrow" w:hAnsi="Arial Narrow" w:cs="Times New Roman"/>
                <w:sz w:val="20"/>
              </w:rPr>
            </w:pPr>
            <w:r w:rsidRPr="005A5BB7">
              <w:rPr>
                <w:rFonts w:ascii="Arial Narrow" w:hAnsi="Arial Narrow" w:cs="Calibri"/>
                <w:color w:val="000000"/>
                <w:sz w:val="20"/>
                <w:szCs w:val="20"/>
              </w:rPr>
              <w:t>5.8</w:t>
            </w:r>
          </w:p>
        </w:tc>
        <w:tc>
          <w:tcPr>
            <w:tcW w:w="1068" w:type="pct"/>
            <w:shd w:val="clear" w:color="auto" w:fill="DBE5F1" w:themeFill="accent1" w:themeFillTint="33"/>
            <w:vAlign w:val="center"/>
          </w:tcPr>
          <w:p w14:paraId="37590725" w14:textId="77777777" w:rsidR="007152EE" w:rsidRPr="005A5BB7" w:rsidRDefault="007152EE" w:rsidP="003754EF">
            <w:pPr>
              <w:keepNext/>
              <w:jc w:val="center"/>
              <w:rPr>
                <w:rFonts w:ascii="Arial Narrow" w:hAnsi="Arial Narrow" w:cs="Times New Roman"/>
                <w:b/>
                <w:bCs/>
                <w:sz w:val="20"/>
              </w:rPr>
            </w:pPr>
            <w:r w:rsidRPr="005A5BB7">
              <w:rPr>
                <w:rFonts w:ascii="Arial Narrow" w:hAnsi="Arial Narrow" w:cs="Calibri"/>
                <w:b/>
                <w:bCs/>
                <w:color w:val="000000"/>
                <w:sz w:val="20"/>
                <w:szCs w:val="20"/>
              </w:rPr>
              <w:t>82.6 (57.9, 94.1); &lt;0.0001</w:t>
            </w:r>
          </w:p>
        </w:tc>
      </w:tr>
      <w:tr w:rsidR="007152EE" w:rsidRPr="005A5BB7" w14:paraId="0F1A5661" w14:textId="77777777" w:rsidTr="00876F10">
        <w:trPr>
          <w:trHeight w:val="170"/>
        </w:trPr>
        <w:tc>
          <w:tcPr>
            <w:tcW w:w="1082" w:type="pct"/>
            <w:tcBorders>
              <w:left w:val="single" w:sz="4" w:space="0" w:color="auto"/>
              <w:right w:val="single" w:sz="4" w:space="0" w:color="auto"/>
            </w:tcBorders>
          </w:tcPr>
          <w:p w14:paraId="139C4E6B" w14:textId="5CF05CEA"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6E7917BD" w14:textId="7B5C1655"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w:t>
            </w:r>
            <w:r w:rsidR="00FC6A0B" w:rsidRPr="005A5BB7">
              <w:rPr>
                <w:rFonts w:ascii="Arial Narrow" w:hAnsi="Arial Narrow" w:cs="Times New Roman"/>
                <w:sz w:val="20"/>
              </w:rPr>
              <w:t>,</w:t>
            </w:r>
            <w:r w:rsidRPr="005A5BB7">
              <w:rPr>
                <w:rFonts w:ascii="Arial Narrow" w:hAnsi="Arial Narrow" w:cs="Times New Roman"/>
                <w:sz w:val="20"/>
              </w:rPr>
              <w:t>529</w:t>
            </w:r>
          </w:p>
        </w:tc>
        <w:tc>
          <w:tcPr>
            <w:tcW w:w="281" w:type="pct"/>
            <w:vAlign w:val="center"/>
          </w:tcPr>
          <w:p w14:paraId="3690A8B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w:t>
            </w:r>
          </w:p>
        </w:tc>
        <w:tc>
          <w:tcPr>
            <w:tcW w:w="386" w:type="pct"/>
            <w:vAlign w:val="center"/>
          </w:tcPr>
          <w:p w14:paraId="66A47207"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4094.1</w:t>
            </w:r>
          </w:p>
        </w:tc>
        <w:tc>
          <w:tcPr>
            <w:tcW w:w="389" w:type="pct"/>
            <w:vAlign w:val="center"/>
          </w:tcPr>
          <w:p w14:paraId="4DB76DAE"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1.5</w:t>
            </w:r>
          </w:p>
        </w:tc>
        <w:tc>
          <w:tcPr>
            <w:tcW w:w="390" w:type="pct"/>
            <w:vAlign w:val="center"/>
          </w:tcPr>
          <w:p w14:paraId="10F77EB6"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7633</w:t>
            </w:r>
          </w:p>
        </w:tc>
        <w:tc>
          <w:tcPr>
            <w:tcW w:w="312" w:type="pct"/>
            <w:vAlign w:val="center"/>
          </w:tcPr>
          <w:p w14:paraId="01C4BF1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22</w:t>
            </w:r>
          </w:p>
        </w:tc>
        <w:tc>
          <w:tcPr>
            <w:tcW w:w="390" w:type="pct"/>
            <w:vAlign w:val="center"/>
          </w:tcPr>
          <w:p w14:paraId="73E2DCC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4148.1</w:t>
            </w:r>
          </w:p>
        </w:tc>
        <w:tc>
          <w:tcPr>
            <w:tcW w:w="392" w:type="pct"/>
            <w:vAlign w:val="center"/>
          </w:tcPr>
          <w:p w14:paraId="613D4DF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5.3</w:t>
            </w:r>
          </w:p>
        </w:tc>
        <w:tc>
          <w:tcPr>
            <w:tcW w:w="1068" w:type="pct"/>
            <w:vAlign w:val="center"/>
          </w:tcPr>
          <w:p w14:paraId="07E59F3B"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72.5 (30.0, 90.9); 0.0040</w:t>
            </w:r>
          </w:p>
        </w:tc>
      </w:tr>
      <w:tr w:rsidR="007152EE" w:rsidRPr="005A5BB7" w14:paraId="659F606A" w14:textId="77777777" w:rsidTr="00876F10">
        <w:trPr>
          <w:trHeight w:val="170"/>
        </w:trPr>
        <w:tc>
          <w:tcPr>
            <w:tcW w:w="1082" w:type="pct"/>
            <w:tcBorders>
              <w:left w:val="single" w:sz="4" w:space="0" w:color="auto"/>
              <w:right w:val="single" w:sz="4" w:space="0" w:color="auto"/>
            </w:tcBorders>
          </w:tcPr>
          <w:p w14:paraId="007086B5" w14:textId="2A5444BA"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77EC7B75" w14:textId="16D1C38D"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w:t>
            </w:r>
            <w:r w:rsidR="00FC6A0B" w:rsidRPr="005A5BB7">
              <w:rPr>
                <w:rFonts w:ascii="Arial Narrow" w:hAnsi="Arial Narrow" w:cs="Times New Roman"/>
                <w:sz w:val="20"/>
              </w:rPr>
              <w:t>,</w:t>
            </w:r>
            <w:r w:rsidRPr="005A5BB7">
              <w:rPr>
                <w:rFonts w:ascii="Arial Narrow" w:hAnsi="Arial Narrow" w:cs="Times New Roman"/>
                <w:sz w:val="20"/>
              </w:rPr>
              <w:t>937</w:t>
            </w:r>
          </w:p>
        </w:tc>
        <w:tc>
          <w:tcPr>
            <w:tcW w:w="281" w:type="pct"/>
            <w:vAlign w:val="center"/>
          </w:tcPr>
          <w:p w14:paraId="4649301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w:t>
            </w:r>
          </w:p>
        </w:tc>
        <w:tc>
          <w:tcPr>
            <w:tcW w:w="386" w:type="pct"/>
            <w:vAlign w:val="center"/>
          </w:tcPr>
          <w:p w14:paraId="00C5C53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2771.8</w:t>
            </w:r>
          </w:p>
        </w:tc>
        <w:tc>
          <w:tcPr>
            <w:tcW w:w="389" w:type="pct"/>
            <w:vAlign w:val="center"/>
          </w:tcPr>
          <w:p w14:paraId="3E2C4618"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0.4</w:t>
            </w:r>
          </w:p>
        </w:tc>
        <w:tc>
          <w:tcPr>
            <w:tcW w:w="390" w:type="pct"/>
            <w:vAlign w:val="center"/>
          </w:tcPr>
          <w:p w14:paraId="4389E28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4861</w:t>
            </w:r>
          </w:p>
        </w:tc>
        <w:tc>
          <w:tcPr>
            <w:tcW w:w="312" w:type="pct"/>
            <w:vAlign w:val="center"/>
          </w:tcPr>
          <w:p w14:paraId="1BC367BA"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18</w:t>
            </w:r>
          </w:p>
        </w:tc>
        <w:tc>
          <w:tcPr>
            <w:tcW w:w="390" w:type="pct"/>
            <w:vAlign w:val="center"/>
          </w:tcPr>
          <w:p w14:paraId="326EFD86"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2709.1</w:t>
            </w:r>
          </w:p>
        </w:tc>
        <w:tc>
          <w:tcPr>
            <w:tcW w:w="392" w:type="pct"/>
            <w:vAlign w:val="center"/>
          </w:tcPr>
          <w:p w14:paraId="6700C4E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6.6</w:t>
            </w:r>
          </w:p>
        </w:tc>
        <w:tc>
          <w:tcPr>
            <w:tcW w:w="1068" w:type="pct"/>
            <w:vAlign w:val="center"/>
          </w:tcPr>
          <w:p w14:paraId="238FFB10"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94.6 (65.9, 99.9); &lt;0.0001</w:t>
            </w:r>
          </w:p>
        </w:tc>
      </w:tr>
      <w:tr w:rsidR="007152EE" w:rsidRPr="005A5BB7" w14:paraId="16958C3C" w14:textId="77777777" w:rsidTr="00876F10">
        <w:trPr>
          <w:trHeight w:val="170"/>
        </w:trPr>
        <w:tc>
          <w:tcPr>
            <w:tcW w:w="1082" w:type="pct"/>
            <w:tcBorders>
              <w:left w:val="single" w:sz="4" w:space="0" w:color="auto"/>
              <w:right w:val="single" w:sz="4" w:space="0" w:color="auto"/>
            </w:tcBorders>
          </w:tcPr>
          <w:p w14:paraId="2E42A6EA" w14:textId="320EAE94"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4E0A21C5" w14:textId="0847B7B1"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w:t>
            </w:r>
            <w:r w:rsidR="00FC6A0B" w:rsidRPr="005A5BB7">
              <w:rPr>
                <w:rFonts w:ascii="Arial Narrow" w:hAnsi="Arial Narrow" w:cs="Times New Roman"/>
                <w:sz w:val="20"/>
              </w:rPr>
              <w:t>,</w:t>
            </w:r>
            <w:r w:rsidRPr="005A5BB7">
              <w:rPr>
                <w:rFonts w:ascii="Arial Narrow" w:hAnsi="Arial Narrow" w:cs="Times New Roman"/>
                <w:sz w:val="20"/>
              </w:rPr>
              <w:t>496</w:t>
            </w:r>
          </w:p>
        </w:tc>
        <w:tc>
          <w:tcPr>
            <w:tcW w:w="281" w:type="pct"/>
            <w:vAlign w:val="center"/>
          </w:tcPr>
          <w:p w14:paraId="75BE565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w:t>
            </w:r>
          </w:p>
        </w:tc>
        <w:tc>
          <w:tcPr>
            <w:tcW w:w="386" w:type="pct"/>
            <w:vAlign w:val="center"/>
          </w:tcPr>
          <w:p w14:paraId="2202FDEE"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1409.5</w:t>
            </w:r>
          </w:p>
        </w:tc>
        <w:tc>
          <w:tcPr>
            <w:tcW w:w="389" w:type="pct"/>
            <w:vAlign w:val="center"/>
          </w:tcPr>
          <w:p w14:paraId="67D46176"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0.7</w:t>
            </w:r>
          </w:p>
        </w:tc>
        <w:tc>
          <w:tcPr>
            <w:tcW w:w="390" w:type="pct"/>
            <w:vAlign w:val="center"/>
          </w:tcPr>
          <w:p w14:paraId="59ABC914"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2421</w:t>
            </w:r>
          </w:p>
        </w:tc>
        <w:tc>
          <w:tcPr>
            <w:tcW w:w="312" w:type="pct"/>
            <w:vAlign w:val="center"/>
          </w:tcPr>
          <w:p w14:paraId="2E4DDC9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12</w:t>
            </w:r>
          </w:p>
        </w:tc>
        <w:tc>
          <w:tcPr>
            <w:tcW w:w="390" w:type="pct"/>
            <w:vAlign w:val="center"/>
          </w:tcPr>
          <w:p w14:paraId="7C15061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1352.9</w:t>
            </w:r>
          </w:p>
        </w:tc>
        <w:tc>
          <w:tcPr>
            <w:tcW w:w="392" w:type="pct"/>
            <w:vAlign w:val="center"/>
          </w:tcPr>
          <w:p w14:paraId="4D96994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8.9</w:t>
            </w:r>
          </w:p>
        </w:tc>
        <w:tc>
          <w:tcPr>
            <w:tcW w:w="1068" w:type="pct"/>
            <w:vAlign w:val="center"/>
          </w:tcPr>
          <w:p w14:paraId="25826626"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92.1 (46.7, 99.8); 0.0025</w:t>
            </w:r>
          </w:p>
        </w:tc>
      </w:tr>
      <w:tr w:rsidR="007152EE" w:rsidRPr="005A5BB7" w14:paraId="2B80BACD" w14:textId="77777777" w:rsidTr="00876F10">
        <w:trPr>
          <w:trHeight w:val="170"/>
        </w:trPr>
        <w:tc>
          <w:tcPr>
            <w:tcW w:w="1082" w:type="pct"/>
            <w:tcBorders>
              <w:left w:val="single" w:sz="4" w:space="0" w:color="auto"/>
              <w:right w:val="single" w:sz="4" w:space="0" w:color="auto"/>
            </w:tcBorders>
          </w:tcPr>
          <w:p w14:paraId="023197C4" w14:textId="1CA85A3B"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4397F5FF" w14:textId="425EAF02"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w:t>
            </w:r>
            <w:r w:rsidR="00FC6A0B" w:rsidRPr="005A5BB7">
              <w:rPr>
                <w:rFonts w:ascii="Arial Narrow" w:hAnsi="Arial Narrow" w:cs="Times New Roman"/>
                <w:sz w:val="20"/>
              </w:rPr>
              <w:t>,</w:t>
            </w:r>
            <w:r w:rsidRPr="005A5BB7">
              <w:rPr>
                <w:rFonts w:ascii="Arial Narrow" w:hAnsi="Arial Narrow" w:cs="Times New Roman"/>
                <w:sz w:val="20"/>
              </w:rPr>
              <w:t>200</w:t>
            </w:r>
          </w:p>
        </w:tc>
        <w:tc>
          <w:tcPr>
            <w:tcW w:w="281" w:type="pct"/>
            <w:vAlign w:val="center"/>
          </w:tcPr>
          <w:p w14:paraId="37C50F88"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0</w:t>
            </w:r>
          </w:p>
        </w:tc>
        <w:tc>
          <w:tcPr>
            <w:tcW w:w="386" w:type="pct"/>
            <w:vAlign w:val="center"/>
          </w:tcPr>
          <w:p w14:paraId="1DF1A15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1795.7</w:t>
            </w:r>
          </w:p>
        </w:tc>
        <w:tc>
          <w:tcPr>
            <w:tcW w:w="389" w:type="pct"/>
            <w:vAlign w:val="center"/>
          </w:tcPr>
          <w:p w14:paraId="59C80ECD"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0.0</w:t>
            </w:r>
          </w:p>
        </w:tc>
        <w:tc>
          <w:tcPr>
            <w:tcW w:w="390" w:type="pct"/>
            <w:vAlign w:val="center"/>
          </w:tcPr>
          <w:p w14:paraId="6AECBA24"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3234</w:t>
            </w:r>
          </w:p>
        </w:tc>
        <w:tc>
          <w:tcPr>
            <w:tcW w:w="312" w:type="pct"/>
            <w:vAlign w:val="center"/>
          </w:tcPr>
          <w:p w14:paraId="16ADF7F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13</w:t>
            </w:r>
          </w:p>
        </w:tc>
        <w:tc>
          <w:tcPr>
            <w:tcW w:w="390" w:type="pct"/>
            <w:vAlign w:val="center"/>
          </w:tcPr>
          <w:p w14:paraId="2B0E35AA"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1805.3</w:t>
            </w:r>
          </w:p>
        </w:tc>
        <w:tc>
          <w:tcPr>
            <w:tcW w:w="392" w:type="pct"/>
            <w:vAlign w:val="center"/>
          </w:tcPr>
          <w:p w14:paraId="5B2D956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7.2</w:t>
            </w:r>
          </w:p>
        </w:tc>
        <w:tc>
          <w:tcPr>
            <w:tcW w:w="1068" w:type="pct"/>
            <w:vAlign w:val="center"/>
          </w:tcPr>
          <w:p w14:paraId="7ECA21D4"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100.0 (74.0, 100.0); 0.0001</w:t>
            </w:r>
          </w:p>
        </w:tc>
      </w:tr>
      <w:tr w:rsidR="007152EE" w:rsidRPr="005A5BB7" w14:paraId="4D2C59FA" w14:textId="77777777" w:rsidTr="00876F10">
        <w:trPr>
          <w:trHeight w:val="170"/>
        </w:trPr>
        <w:tc>
          <w:tcPr>
            <w:tcW w:w="1082" w:type="pct"/>
            <w:tcBorders>
              <w:left w:val="single" w:sz="4" w:space="0" w:color="auto"/>
              <w:right w:val="single" w:sz="4" w:space="0" w:color="auto"/>
            </w:tcBorders>
          </w:tcPr>
          <w:p w14:paraId="048B1CD3" w14:textId="14B80CFA"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≥2 pre</w:t>
            </w:r>
            <w:r w:rsidR="000E4816">
              <w:rPr>
                <w:rFonts w:ascii="Arial Narrow" w:hAnsi="Arial Narrow" w:cs="Times New Roman"/>
                <w:sz w:val="20"/>
              </w:rPr>
              <w:noBreakHyphen/>
            </w:r>
            <w:r w:rsidRPr="005A5BB7">
              <w:rPr>
                <w:rFonts w:ascii="Arial Narrow" w:hAnsi="Arial Narrow" w:cs="Times New Roman"/>
                <w:sz w:val="20"/>
              </w:rPr>
              <w:t>existing comorbidities of interest</w:t>
            </w:r>
            <w:r w:rsidR="00F704F3" w:rsidRPr="005A5BB7">
              <w:rPr>
                <w:rFonts w:ascii="Arial Narrow" w:hAnsi="Arial Narrow" w:cs="Times New Roman"/>
                <w:sz w:val="20"/>
                <w:vertAlign w:val="superscript"/>
              </w:rPr>
              <w:t>3</w:t>
            </w:r>
          </w:p>
        </w:tc>
        <w:tc>
          <w:tcPr>
            <w:tcW w:w="310" w:type="pct"/>
            <w:tcBorders>
              <w:left w:val="single" w:sz="4" w:space="0" w:color="auto"/>
            </w:tcBorders>
            <w:vAlign w:val="center"/>
          </w:tcPr>
          <w:p w14:paraId="67DD6FAA" w14:textId="456CB1EC"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w:t>
            </w:r>
            <w:r w:rsidR="00FC6A0B" w:rsidRPr="005A5BB7">
              <w:rPr>
                <w:rFonts w:ascii="Arial Narrow" w:hAnsi="Arial Narrow" w:cs="Times New Roman"/>
                <w:sz w:val="20"/>
              </w:rPr>
              <w:t>,</w:t>
            </w:r>
            <w:r w:rsidRPr="005A5BB7">
              <w:rPr>
                <w:rFonts w:ascii="Arial Narrow" w:hAnsi="Arial Narrow" w:cs="Times New Roman"/>
                <w:sz w:val="20"/>
              </w:rPr>
              <w:t>504</w:t>
            </w:r>
          </w:p>
        </w:tc>
        <w:tc>
          <w:tcPr>
            <w:tcW w:w="281" w:type="pct"/>
            <w:vAlign w:val="center"/>
          </w:tcPr>
          <w:p w14:paraId="3511C29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w:t>
            </w:r>
          </w:p>
        </w:tc>
        <w:tc>
          <w:tcPr>
            <w:tcW w:w="386" w:type="pct"/>
            <w:vAlign w:val="center"/>
          </w:tcPr>
          <w:p w14:paraId="05641CE4"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1418.2</w:t>
            </w:r>
          </w:p>
        </w:tc>
        <w:tc>
          <w:tcPr>
            <w:tcW w:w="389" w:type="pct"/>
            <w:vAlign w:val="center"/>
          </w:tcPr>
          <w:p w14:paraId="6CB5031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0.7</w:t>
            </w:r>
          </w:p>
        </w:tc>
        <w:tc>
          <w:tcPr>
            <w:tcW w:w="390" w:type="pct"/>
            <w:vAlign w:val="center"/>
          </w:tcPr>
          <w:p w14:paraId="7745306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2431</w:t>
            </w:r>
          </w:p>
        </w:tc>
        <w:tc>
          <w:tcPr>
            <w:tcW w:w="312" w:type="pct"/>
            <w:vAlign w:val="center"/>
          </w:tcPr>
          <w:p w14:paraId="345F84C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12</w:t>
            </w:r>
          </w:p>
        </w:tc>
        <w:tc>
          <w:tcPr>
            <w:tcW w:w="390" w:type="pct"/>
            <w:vAlign w:val="center"/>
          </w:tcPr>
          <w:p w14:paraId="4F750B79"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1362.8</w:t>
            </w:r>
          </w:p>
        </w:tc>
        <w:tc>
          <w:tcPr>
            <w:tcW w:w="392" w:type="pct"/>
            <w:vAlign w:val="center"/>
          </w:tcPr>
          <w:p w14:paraId="58460A9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8.8</w:t>
            </w:r>
          </w:p>
        </w:tc>
        <w:tc>
          <w:tcPr>
            <w:tcW w:w="1068" w:type="pct"/>
            <w:vAlign w:val="center"/>
          </w:tcPr>
          <w:p w14:paraId="1211BA7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92.0 (46.1, 99.8)</w:t>
            </w:r>
          </w:p>
        </w:tc>
      </w:tr>
      <w:tr w:rsidR="007152EE" w:rsidRPr="005A5BB7" w14:paraId="2F6FA61B" w14:textId="77777777" w:rsidTr="00876F10">
        <w:trPr>
          <w:trHeight w:val="170"/>
        </w:trPr>
        <w:tc>
          <w:tcPr>
            <w:tcW w:w="5000" w:type="pct"/>
            <w:gridSpan w:val="10"/>
            <w:tcBorders>
              <w:left w:val="single" w:sz="4" w:space="0" w:color="auto"/>
              <w:right w:val="single" w:sz="4" w:space="0" w:color="auto"/>
            </w:tcBorders>
            <w:vAlign w:val="center"/>
          </w:tcPr>
          <w:p w14:paraId="39849C5E" w14:textId="0716385B" w:rsidR="007152EE" w:rsidRPr="005A5BB7" w:rsidRDefault="007152EE" w:rsidP="00D35904">
            <w:pPr>
              <w:jc w:val="left"/>
              <w:rPr>
                <w:rFonts w:ascii="Arial Narrow" w:hAnsi="Arial Narrow" w:cs="Calibri"/>
                <w:b/>
                <w:bCs/>
                <w:color w:val="000000"/>
                <w:sz w:val="20"/>
                <w:szCs w:val="20"/>
              </w:rPr>
            </w:pPr>
            <w:r w:rsidRPr="005A5BB7">
              <w:rPr>
                <w:rFonts w:ascii="Arial Narrow" w:hAnsi="Arial Narrow" w:cs="Times New Roman"/>
                <w:b/>
                <w:bCs/>
                <w:sz w:val="20"/>
              </w:rPr>
              <w:t>VE Analysis 3: End of S2 NH (median follow</w:t>
            </w:r>
            <w:r w:rsidR="000E4816">
              <w:rPr>
                <w:rFonts w:ascii="Arial Narrow" w:hAnsi="Arial Narrow" w:cs="Times New Roman"/>
                <w:b/>
                <w:bCs/>
                <w:sz w:val="20"/>
              </w:rPr>
              <w:noBreakHyphen/>
            </w:r>
            <w:r w:rsidRPr="005A5BB7">
              <w:rPr>
                <w:rFonts w:ascii="Arial Narrow" w:hAnsi="Arial Narrow" w:cs="Times New Roman"/>
                <w:b/>
                <w:bCs/>
                <w:sz w:val="20"/>
              </w:rPr>
              <w:t>up = 17.8 months)</w:t>
            </w:r>
          </w:p>
        </w:tc>
      </w:tr>
      <w:tr w:rsidR="007152EE" w:rsidRPr="005A5BB7" w14:paraId="48A6CAE4" w14:textId="77777777" w:rsidTr="00876F10">
        <w:trPr>
          <w:trHeight w:val="170"/>
        </w:trPr>
        <w:tc>
          <w:tcPr>
            <w:tcW w:w="1082" w:type="pct"/>
            <w:tcBorders>
              <w:left w:val="single" w:sz="4" w:space="0" w:color="auto"/>
              <w:right w:val="single" w:sz="4" w:space="0" w:color="auto"/>
            </w:tcBorders>
            <w:shd w:val="clear" w:color="auto" w:fill="DBE5F1" w:themeFill="accent1" w:themeFillTint="33"/>
            <w:vAlign w:val="center"/>
          </w:tcPr>
          <w:p w14:paraId="6944191F" w14:textId="77777777"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2</w:t>
            </w:r>
          </w:p>
        </w:tc>
        <w:tc>
          <w:tcPr>
            <w:tcW w:w="310" w:type="pct"/>
            <w:tcBorders>
              <w:left w:val="single" w:sz="4" w:space="0" w:color="auto"/>
            </w:tcBorders>
            <w:shd w:val="clear" w:color="auto" w:fill="DBE5F1" w:themeFill="accent1" w:themeFillTint="33"/>
            <w:vAlign w:val="center"/>
          </w:tcPr>
          <w:p w14:paraId="7484A6C1"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12,469</w:t>
            </w:r>
          </w:p>
        </w:tc>
        <w:tc>
          <w:tcPr>
            <w:tcW w:w="281" w:type="pct"/>
            <w:shd w:val="clear" w:color="auto" w:fill="DBE5F1" w:themeFill="accent1" w:themeFillTint="33"/>
            <w:vAlign w:val="center"/>
          </w:tcPr>
          <w:p w14:paraId="1FFE3AEB"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30</w:t>
            </w:r>
          </w:p>
        </w:tc>
        <w:tc>
          <w:tcPr>
            <w:tcW w:w="386" w:type="pct"/>
            <w:shd w:val="clear" w:color="auto" w:fill="DBE5F1" w:themeFill="accent1" w:themeFillTint="33"/>
            <w:vAlign w:val="center"/>
          </w:tcPr>
          <w:p w14:paraId="77270623"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14,662.6</w:t>
            </w:r>
          </w:p>
        </w:tc>
        <w:tc>
          <w:tcPr>
            <w:tcW w:w="389" w:type="pct"/>
            <w:shd w:val="clear" w:color="auto" w:fill="DBE5F1" w:themeFill="accent1" w:themeFillTint="33"/>
            <w:vAlign w:val="center"/>
          </w:tcPr>
          <w:p w14:paraId="2F235278"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2.0</w:t>
            </w:r>
          </w:p>
        </w:tc>
        <w:tc>
          <w:tcPr>
            <w:tcW w:w="390" w:type="pct"/>
            <w:shd w:val="clear" w:color="auto" w:fill="DBE5F1" w:themeFill="accent1" w:themeFillTint="33"/>
            <w:vAlign w:val="center"/>
          </w:tcPr>
          <w:p w14:paraId="791F92D7"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12,498</w:t>
            </w:r>
          </w:p>
        </w:tc>
        <w:tc>
          <w:tcPr>
            <w:tcW w:w="312" w:type="pct"/>
            <w:shd w:val="clear" w:color="auto" w:fill="DBE5F1" w:themeFill="accent1" w:themeFillTint="33"/>
            <w:vAlign w:val="center"/>
          </w:tcPr>
          <w:p w14:paraId="4B514CB9"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139</w:t>
            </w:r>
          </w:p>
        </w:tc>
        <w:tc>
          <w:tcPr>
            <w:tcW w:w="390" w:type="pct"/>
            <w:shd w:val="clear" w:color="auto" w:fill="DBE5F1" w:themeFill="accent1" w:themeFillTint="33"/>
            <w:vAlign w:val="center"/>
          </w:tcPr>
          <w:p w14:paraId="08F9308C"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17,269.0</w:t>
            </w:r>
          </w:p>
        </w:tc>
        <w:tc>
          <w:tcPr>
            <w:tcW w:w="392" w:type="pct"/>
            <w:shd w:val="clear" w:color="auto" w:fill="DBE5F1" w:themeFill="accent1" w:themeFillTint="33"/>
            <w:vAlign w:val="center"/>
          </w:tcPr>
          <w:p w14:paraId="5AC82E72"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8.0</w:t>
            </w:r>
          </w:p>
        </w:tc>
        <w:tc>
          <w:tcPr>
            <w:tcW w:w="1068" w:type="pct"/>
            <w:shd w:val="clear" w:color="auto" w:fill="DBE5F1" w:themeFill="accent1" w:themeFillTint="33"/>
            <w:vAlign w:val="center"/>
          </w:tcPr>
          <w:p w14:paraId="4CAA9F1C"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Calibri"/>
                <w:b/>
                <w:bCs/>
                <w:color w:val="000000"/>
                <w:sz w:val="20"/>
                <w:szCs w:val="20"/>
              </w:rPr>
              <w:t>67.2 (48.2, 80.0); &lt;0.0001</w:t>
            </w:r>
          </w:p>
        </w:tc>
      </w:tr>
      <w:tr w:rsidR="007152EE" w:rsidRPr="005A5BB7" w14:paraId="22826F35" w14:textId="77777777" w:rsidTr="00876F10">
        <w:trPr>
          <w:trHeight w:val="170"/>
        </w:trPr>
        <w:tc>
          <w:tcPr>
            <w:tcW w:w="1082" w:type="pct"/>
            <w:tcBorders>
              <w:left w:val="single" w:sz="4" w:space="0" w:color="auto"/>
              <w:right w:val="single" w:sz="4" w:space="0" w:color="auto"/>
            </w:tcBorders>
          </w:tcPr>
          <w:p w14:paraId="41C25EE0" w14:textId="1E17FA3C"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58BE8D3E" w14:textId="75F28E89"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w:t>
            </w:r>
            <w:r w:rsidR="00FC6A0B" w:rsidRPr="005A5BB7">
              <w:rPr>
                <w:rFonts w:ascii="Arial Narrow" w:hAnsi="Arial Narrow" w:cs="Times New Roman"/>
                <w:sz w:val="20"/>
              </w:rPr>
              <w:t>,</w:t>
            </w:r>
            <w:r w:rsidRPr="005A5BB7">
              <w:rPr>
                <w:rFonts w:ascii="Arial Narrow" w:hAnsi="Arial Narrow" w:cs="Times New Roman"/>
                <w:sz w:val="20"/>
              </w:rPr>
              <w:t>486</w:t>
            </w:r>
          </w:p>
        </w:tc>
        <w:tc>
          <w:tcPr>
            <w:tcW w:w="281" w:type="pct"/>
            <w:vAlign w:val="center"/>
          </w:tcPr>
          <w:p w14:paraId="213D638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14</w:t>
            </w:r>
          </w:p>
        </w:tc>
        <w:tc>
          <w:tcPr>
            <w:tcW w:w="386" w:type="pct"/>
            <w:vAlign w:val="center"/>
          </w:tcPr>
          <w:p w14:paraId="4B1F3FDA"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8779.7</w:t>
            </w:r>
          </w:p>
        </w:tc>
        <w:tc>
          <w:tcPr>
            <w:tcW w:w="389" w:type="pct"/>
            <w:vAlign w:val="center"/>
          </w:tcPr>
          <w:p w14:paraId="08E16EEE"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1.6</w:t>
            </w:r>
          </w:p>
        </w:tc>
        <w:tc>
          <w:tcPr>
            <w:tcW w:w="390" w:type="pct"/>
            <w:vAlign w:val="center"/>
          </w:tcPr>
          <w:p w14:paraId="4B69670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7579</w:t>
            </w:r>
          </w:p>
        </w:tc>
        <w:tc>
          <w:tcPr>
            <w:tcW w:w="312" w:type="pct"/>
            <w:vAlign w:val="center"/>
          </w:tcPr>
          <w:p w14:paraId="25A2EEE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67</w:t>
            </w:r>
          </w:p>
        </w:tc>
        <w:tc>
          <w:tcPr>
            <w:tcW w:w="390" w:type="pct"/>
            <w:vAlign w:val="center"/>
          </w:tcPr>
          <w:p w14:paraId="76B31E6D"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10478.1</w:t>
            </w:r>
          </w:p>
        </w:tc>
        <w:tc>
          <w:tcPr>
            <w:tcW w:w="392" w:type="pct"/>
            <w:vAlign w:val="center"/>
          </w:tcPr>
          <w:p w14:paraId="50A342FE"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6.4</w:t>
            </w:r>
          </w:p>
        </w:tc>
        <w:tc>
          <w:tcPr>
            <w:tcW w:w="1068" w:type="pct"/>
            <w:vAlign w:val="center"/>
          </w:tcPr>
          <w:p w14:paraId="224DECCE" w14:textId="19DAD374" w:rsidR="007152EE" w:rsidRPr="005A5BB7" w:rsidRDefault="007152EE" w:rsidP="00D35904">
            <w:pPr>
              <w:jc w:val="center"/>
              <w:rPr>
                <w:rFonts w:ascii="Arial Narrow" w:hAnsi="Arial Narrow" w:cs="Times New Roman"/>
                <w:b/>
                <w:bCs/>
                <w:sz w:val="20"/>
                <w:szCs w:val="20"/>
              </w:rPr>
            </w:pPr>
            <w:r w:rsidRPr="005A5BB7">
              <w:rPr>
                <w:rFonts w:ascii="Arial Narrow" w:hAnsi="Arial Narrow" w:cs="Times New Roman"/>
                <w:b/>
                <w:bCs/>
                <w:sz w:val="20"/>
                <w:szCs w:val="20"/>
              </w:rPr>
              <w:t>68.3 (42.7, 83.6); &lt;0.0001</w:t>
            </w:r>
          </w:p>
        </w:tc>
      </w:tr>
      <w:tr w:rsidR="007152EE" w:rsidRPr="005A5BB7" w14:paraId="732DA06D" w14:textId="77777777" w:rsidTr="00876F10">
        <w:trPr>
          <w:trHeight w:val="170"/>
        </w:trPr>
        <w:tc>
          <w:tcPr>
            <w:tcW w:w="1082" w:type="pct"/>
            <w:tcBorders>
              <w:left w:val="single" w:sz="4" w:space="0" w:color="auto"/>
              <w:right w:val="single" w:sz="4" w:space="0" w:color="auto"/>
            </w:tcBorders>
          </w:tcPr>
          <w:p w14:paraId="00F10BF7" w14:textId="06CBCD46"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3A64AFB0" w14:textId="75531BDF"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w:t>
            </w:r>
            <w:r w:rsidR="00FC6A0B" w:rsidRPr="005A5BB7">
              <w:rPr>
                <w:rFonts w:ascii="Arial Narrow" w:hAnsi="Arial Narrow" w:cs="Times New Roman"/>
                <w:sz w:val="20"/>
              </w:rPr>
              <w:t>,</w:t>
            </w:r>
            <w:r w:rsidRPr="005A5BB7">
              <w:rPr>
                <w:rFonts w:ascii="Arial Narrow" w:hAnsi="Arial Narrow" w:cs="Times New Roman"/>
                <w:sz w:val="20"/>
              </w:rPr>
              <w:t>983</w:t>
            </w:r>
          </w:p>
        </w:tc>
        <w:tc>
          <w:tcPr>
            <w:tcW w:w="281" w:type="pct"/>
            <w:vAlign w:val="center"/>
          </w:tcPr>
          <w:p w14:paraId="43B4CC2E"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16</w:t>
            </w:r>
          </w:p>
        </w:tc>
        <w:tc>
          <w:tcPr>
            <w:tcW w:w="386" w:type="pct"/>
            <w:vAlign w:val="center"/>
          </w:tcPr>
          <w:p w14:paraId="0A09CC78"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5882.9</w:t>
            </w:r>
          </w:p>
        </w:tc>
        <w:tc>
          <w:tcPr>
            <w:tcW w:w="389" w:type="pct"/>
            <w:vAlign w:val="center"/>
          </w:tcPr>
          <w:p w14:paraId="34F5BD3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2.7</w:t>
            </w:r>
          </w:p>
        </w:tc>
        <w:tc>
          <w:tcPr>
            <w:tcW w:w="390" w:type="pct"/>
            <w:vAlign w:val="center"/>
          </w:tcPr>
          <w:p w14:paraId="52687B2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4919</w:t>
            </w:r>
          </w:p>
        </w:tc>
        <w:tc>
          <w:tcPr>
            <w:tcW w:w="312" w:type="pct"/>
            <w:vAlign w:val="center"/>
          </w:tcPr>
          <w:p w14:paraId="0D48C23D"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72</w:t>
            </w:r>
          </w:p>
        </w:tc>
        <w:tc>
          <w:tcPr>
            <w:tcW w:w="390" w:type="pct"/>
            <w:vAlign w:val="center"/>
          </w:tcPr>
          <w:p w14:paraId="3B504D7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6790.9</w:t>
            </w:r>
          </w:p>
        </w:tc>
        <w:tc>
          <w:tcPr>
            <w:tcW w:w="392" w:type="pct"/>
            <w:vAlign w:val="center"/>
          </w:tcPr>
          <w:p w14:paraId="12B7B32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10.6</w:t>
            </w:r>
          </w:p>
        </w:tc>
        <w:tc>
          <w:tcPr>
            <w:tcW w:w="1068" w:type="pct"/>
            <w:vAlign w:val="center"/>
          </w:tcPr>
          <w:p w14:paraId="2C5FD2FB"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66.7 (41.8, 82.0); &lt;0.0001</w:t>
            </w:r>
          </w:p>
        </w:tc>
      </w:tr>
      <w:tr w:rsidR="007152EE" w:rsidRPr="005A5BB7" w14:paraId="1FE4AAAF" w14:textId="77777777" w:rsidTr="00876F10">
        <w:trPr>
          <w:trHeight w:val="170"/>
        </w:trPr>
        <w:tc>
          <w:tcPr>
            <w:tcW w:w="1082" w:type="pct"/>
            <w:tcBorders>
              <w:left w:val="single" w:sz="4" w:space="0" w:color="auto"/>
              <w:right w:val="single" w:sz="4" w:space="0" w:color="auto"/>
            </w:tcBorders>
          </w:tcPr>
          <w:p w14:paraId="38706D1C" w14:textId="252FA2E7"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4C169A39" w14:textId="10612ED4"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w:t>
            </w:r>
            <w:r w:rsidR="00FC6A0B" w:rsidRPr="005A5BB7">
              <w:rPr>
                <w:rFonts w:ascii="Arial Narrow" w:hAnsi="Arial Narrow" w:cs="Times New Roman"/>
                <w:sz w:val="20"/>
              </w:rPr>
              <w:t>,</w:t>
            </w:r>
            <w:r w:rsidRPr="005A5BB7">
              <w:rPr>
                <w:rFonts w:ascii="Arial Narrow" w:hAnsi="Arial Narrow" w:cs="Times New Roman"/>
                <w:sz w:val="20"/>
              </w:rPr>
              <w:t>546</w:t>
            </w:r>
          </w:p>
        </w:tc>
        <w:tc>
          <w:tcPr>
            <w:tcW w:w="281" w:type="pct"/>
            <w:vAlign w:val="center"/>
          </w:tcPr>
          <w:p w14:paraId="1A27486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10</w:t>
            </w:r>
          </w:p>
        </w:tc>
        <w:tc>
          <w:tcPr>
            <w:tcW w:w="386" w:type="pct"/>
            <w:vAlign w:val="center"/>
          </w:tcPr>
          <w:p w14:paraId="7010C2F9"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2997.5</w:t>
            </w:r>
          </w:p>
        </w:tc>
        <w:tc>
          <w:tcPr>
            <w:tcW w:w="389" w:type="pct"/>
            <w:vAlign w:val="center"/>
          </w:tcPr>
          <w:p w14:paraId="4E14AF76"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3.3</w:t>
            </w:r>
          </w:p>
        </w:tc>
        <w:tc>
          <w:tcPr>
            <w:tcW w:w="390" w:type="pct"/>
            <w:vAlign w:val="center"/>
          </w:tcPr>
          <w:p w14:paraId="0A9C1604"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2479</w:t>
            </w:r>
          </w:p>
        </w:tc>
        <w:tc>
          <w:tcPr>
            <w:tcW w:w="312" w:type="pct"/>
            <w:vAlign w:val="center"/>
          </w:tcPr>
          <w:p w14:paraId="21054A4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56</w:t>
            </w:r>
          </w:p>
        </w:tc>
        <w:tc>
          <w:tcPr>
            <w:tcW w:w="390" w:type="pct"/>
            <w:vAlign w:val="center"/>
          </w:tcPr>
          <w:p w14:paraId="62FE7F4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3411.6</w:t>
            </w:r>
          </w:p>
        </w:tc>
        <w:tc>
          <w:tcPr>
            <w:tcW w:w="392" w:type="pct"/>
            <w:vAlign w:val="center"/>
          </w:tcPr>
          <w:p w14:paraId="58665EB9"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16.4</w:t>
            </w:r>
          </w:p>
        </w:tc>
        <w:tc>
          <w:tcPr>
            <w:tcW w:w="1068" w:type="pct"/>
            <w:vAlign w:val="center"/>
          </w:tcPr>
          <w:p w14:paraId="6A4CD06C"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73.8 (47.9, 88.2); &lt;0.0001</w:t>
            </w:r>
          </w:p>
        </w:tc>
      </w:tr>
      <w:tr w:rsidR="007152EE" w:rsidRPr="005A5BB7" w14:paraId="586CB6E0" w14:textId="77777777" w:rsidTr="00876F10">
        <w:trPr>
          <w:trHeight w:val="170"/>
        </w:trPr>
        <w:tc>
          <w:tcPr>
            <w:tcW w:w="1082" w:type="pct"/>
            <w:tcBorders>
              <w:left w:val="single" w:sz="4" w:space="0" w:color="auto"/>
              <w:right w:val="single" w:sz="4" w:space="0" w:color="auto"/>
            </w:tcBorders>
          </w:tcPr>
          <w:p w14:paraId="2274C12F" w14:textId="3C5E12D9"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7423F818" w14:textId="7B4E3562"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w:t>
            </w:r>
            <w:r w:rsidR="00FC6A0B" w:rsidRPr="005A5BB7">
              <w:rPr>
                <w:rFonts w:ascii="Arial Narrow" w:hAnsi="Arial Narrow" w:cs="Times New Roman"/>
                <w:sz w:val="20"/>
              </w:rPr>
              <w:t>,</w:t>
            </w:r>
            <w:r w:rsidRPr="005A5BB7">
              <w:rPr>
                <w:rFonts w:ascii="Arial Narrow" w:hAnsi="Arial Narrow" w:cs="Times New Roman"/>
                <w:sz w:val="20"/>
              </w:rPr>
              <w:t>229</w:t>
            </w:r>
          </w:p>
        </w:tc>
        <w:tc>
          <w:tcPr>
            <w:tcW w:w="281" w:type="pct"/>
            <w:vAlign w:val="center"/>
          </w:tcPr>
          <w:p w14:paraId="22F1B0A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8</w:t>
            </w:r>
          </w:p>
        </w:tc>
        <w:tc>
          <w:tcPr>
            <w:tcW w:w="386" w:type="pct"/>
            <w:vAlign w:val="center"/>
          </w:tcPr>
          <w:p w14:paraId="2D11A00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3822.6</w:t>
            </w:r>
          </w:p>
        </w:tc>
        <w:tc>
          <w:tcPr>
            <w:tcW w:w="389" w:type="pct"/>
            <w:vAlign w:val="center"/>
          </w:tcPr>
          <w:p w14:paraId="1833EA7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2.1</w:t>
            </w:r>
          </w:p>
        </w:tc>
        <w:tc>
          <w:tcPr>
            <w:tcW w:w="390" w:type="pct"/>
            <w:vAlign w:val="center"/>
          </w:tcPr>
          <w:p w14:paraId="1AB7394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3255</w:t>
            </w:r>
          </w:p>
        </w:tc>
        <w:tc>
          <w:tcPr>
            <w:tcW w:w="312" w:type="pct"/>
            <w:vAlign w:val="center"/>
          </w:tcPr>
          <w:p w14:paraId="021DA61A"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w:t>
            </w:r>
          </w:p>
        </w:tc>
        <w:tc>
          <w:tcPr>
            <w:tcW w:w="390" w:type="pct"/>
            <w:vAlign w:val="center"/>
          </w:tcPr>
          <w:p w14:paraId="4679DB3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4509.4</w:t>
            </w:r>
          </w:p>
        </w:tc>
        <w:tc>
          <w:tcPr>
            <w:tcW w:w="392" w:type="pct"/>
            <w:vAlign w:val="center"/>
          </w:tcPr>
          <w:p w14:paraId="4BDC519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7.1</w:t>
            </w:r>
          </w:p>
        </w:tc>
        <w:tc>
          <w:tcPr>
            <w:tcW w:w="1068" w:type="pct"/>
            <w:vAlign w:val="center"/>
          </w:tcPr>
          <w:p w14:paraId="5E32A83B"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63.1 (17.4, 85.4); 0.0117</w:t>
            </w:r>
          </w:p>
        </w:tc>
      </w:tr>
      <w:tr w:rsidR="007152EE" w:rsidRPr="005A5BB7" w14:paraId="58677655" w14:textId="77777777" w:rsidTr="00876F10">
        <w:trPr>
          <w:trHeight w:val="170"/>
        </w:trPr>
        <w:tc>
          <w:tcPr>
            <w:tcW w:w="5000" w:type="pct"/>
            <w:gridSpan w:val="10"/>
            <w:tcBorders>
              <w:left w:val="single" w:sz="4" w:space="0" w:color="auto"/>
            </w:tcBorders>
            <w:vAlign w:val="center"/>
          </w:tcPr>
          <w:p w14:paraId="5DB0883D" w14:textId="7B323D61" w:rsidR="007152EE" w:rsidRPr="005A5BB7" w:rsidRDefault="007152EE" w:rsidP="00D35904">
            <w:pPr>
              <w:jc w:val="left"/>
              <w:rPr>
                <w:rFonts w:ascii="Arial Narrow" w:hAnsi="Arial Narrow" w:cs="Calibri"/>
                <w:b/>
                <w:bCs/>
                <w:sz w:val="20"/>
                <w:szCs w:val="20"/>
              </w:rPr>
            </w:pPr>
            <w:bookmarkStart w:id="45" w:name="_Hlk222223860"/>
            <w:r w:rsidRPr="005A5BB7">
              <w:rPr>
                <w:rFonts w:ascii="Arial Narrow" w:hAnsi="Arial Narrow" w:cs="Calibri"/>
                <w:b/>
                <w:color w:val="000000" w:themeColor="text1"/>
                <w:sz w:val="20"/>
                <w:szCs w:val="20"/>
              </w:rPr>
              <w:t>End of Study Analysis: End of S3 NH (median follow</w:t>
            </w:r>
            <w:r w:rsidR="000E4816">
              <w:rPr>
                <w:rFonts w:ascii="Arial Narrow" w:hAnsi="Arial Narrow" w:cs="Calibri"/>
                <w:b/>
                <w:color w:val="000000" w:themeColor="text1"/>
                <w:sz w:val="20"/>
                <w:szCs w:val="20"/>
              </w:rPr>
              <w:noBreakHyphen/>
            </w:r>
            <w:r w:rsidRPr="005A5BB7">
              <w:rPr>
                <w:rFonts w:ascii="Arial Narrow" w:hAnsi="Arial Narrow" w:cs="Calibri"/>
                <w:b/>
                <w:color w:val="000000" w:themeColor="text1"/>
                <w:sz w:val="20"/>
                <w:szCs w:val="20"/>
              </w:rPr>
              <w:t>up = 30.6 months)</w:t>
            </w:r>
          </w:p>
        </w:tc>
      </w:tr>
      <w:tr w:rsidR="007152EE" w:rsidRPr="005A5BB7" w14:paraId="6B959A46" w14:textId="77777777" w:rsidTr="00876F10">
        <w:trPr>
          <w:trHeight w:val="170"/>
        </w:trPr>
        <w:tc>
          <w:tcPr>
            <w:tcW w:w="1082" w:type="pct"/>
            <w:tcBorders>
              <w:left w:val="single" w:sz="4" w:space="0" w:color="auto"/>
              <w:right w:val="single" w:sz="4" w:space="0" w:color="auto"/>
            </w:tcBorders>
            <w:shd w:val="clear" w:color="auto" w:fill="DBE5F1" w:themeFill="accent1" w:themeFillTint="33"/>
            <w:vAlign w:val="center"/>
          </w:tcPr>
          <w:p w14:paraId="1433837B" w14:textId="77777777"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2</w:t>
            </w:r>
          </w:p>
        </w:tc>
        <w:tc>
          <w:tcPr>
            <w:tcW w:w="310" w:type="pct"/>
            <w:tcBorders>
              <w:left w:val="single" w:sz="4" w:space="0" w:color="auto"/>
            </w:tcBorders>
            <w:shd w:val="clear" w:color="auto" w:fill="DBE5F1" w:themeFill="accent1" w:themeFillTint="33"/>
            <w:vAlign w:val="center"/>
          </w:tcPr>
          <w:p w14:paraId="1747CF0B"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12,468</w:t>
            </w:r>
          </w:p>
        </w:tc>
        <w:tc>
          <w:tcPr>
            <w:tcW w:w="281" w:type="pct"/>
            <w:shd w:val="clear" w:color="auto" w:fill="DBE5F1" w:themeFill="accent1" w:themeFillTint="33"/>
            <w:vAlign w:val="center"/>
          </w:tcPr>
          <w:p w14:paraId="38DE85CE"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48</w:t>
            </w:r>
          </w:p>
        </w:tc>
        <w:tc>
          <w:tcPr>
            <w:tcW w:w="386" w:type="pct"/>
            <w:shd w:val="clear" w:color="auto" w:fill="DBE5F1" w:themeFill="accent1" w:themeFillTint="33"/>
            <w:vAlign w:val="center"/>
          </w:tcPr>
          <w:p w14:paraId="4BBFFB23"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19,748.8</w:t>
            </w:r>
          </w:p>
        </w:tc>
        <w:tc>
          <w:tcPr>
            <w:tcW w:w="389" w:type="pct"/>
            <w:shd w:val="clear" w:color="auto" w:fill="DBE5F1" w:themeFill="accent1" w:themeFillTint="33"/>
            <w:vAlign w:val="center"/>
          </w:tcPr>
          <w:p w14:paraId="1F125C9C"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2.4</w:t>
            </w:r>
          </w:p>
        </w:tc>
        <w:tc>
          <w:tcPr>
            <w:tcW w:w="390" w:type="pct"/>
            <w:shd w:val="clear" w:color="auto" w:fill="DBE5F1" w:themeFill="accent1" w:themeFillTint="33"/>
            <w:vAlign w:val="center"/>
          </w:tcPr>
          <w:p w14:paraId="1E779FEB"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12,498</w:t>
            </w:r>
          </w:p>
        </w:tc>
        <w:tc>
          <w:tcPr>
            <w:tcW w:w="312" w:type="pct"/>
            <w:shd w:val="clear" w:color="auto" w:fill="DBE5F1" w:themeFill="accent1" w:themeFillTint="33"/>
            <w:vAlign w:val="center"/>
          </w:tcPr>
          <w:p w14:paraId="6E3ECCA4"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215</w:t>
            </w:r>
          </w:p>
        </w:tc>
        <w:tc>
          <w:tcPr>
            <w:tcW w:w="390" w:type="pct"/>
            <w:shd w:val="clear" w:color="auto" w:fill="DBE5F1" w:themeFill="accent1" w:themeFillTint="33"/>
            <w:vAlign w:val="center"/>
          </w:tcPr>
          <w:p w14:paraId="7A3D9A59"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27,363.6</w:t>
            </w:r>
          </w:p>
        </w:tc>
        <w:tc>
          <w:tcPr>
            <w:tcW w:w="392" w:type="pct"/>
            <w:shd w:val="clear" w:color="auto" w:fill="DBE5F1" w:themeFill="accent1" w:themeFillTint="33"/>
            <w:vAlign w:val="center"/>
          </w:tcPr>
          <w:p w14:paraId="28574264" w14:textId="77777777" w:rsidR="007152EE" w:rsidRPr="005A5BB7" w:rsidRDefault="007152EE" w:rsidP="00D35904">
            <w:pPr>
              <w:jc w:val="center"/>
              <w:rPr>
                <w:rFonts w:ascii="Arial Narrow" w:hAnsi="Arial Narrow" w:cs="Times New Roman"/>
                <w:sz w:val="20"/>
              </w:rPr>
            </w:pPr>
            <w:r w:rsidRPr="005A5BB7">
              <w:rPr>
                <w:rFonts w:ascii="Arial Narrow" w:hAnsi="Arial Narrow" w:cs="Calibri"/>
                <w:color w:val="000000"/>
                <w:sz w:val="20"/>
                <w:szCs w:val="20"/>
              </w:rPr>
              <w:t>7.9</w:t>
            </w:r>
          </w:p>
        </w:tc>
        <w:tc>
          <w:tcPr>
            <w:tcW w:w="1068" w:type="pct"/>
            <w:shd w:val="clear" w:color="auto" w:fill="DBE5F1" w:themeFill="accent1" w:themeFillTint="33"/>
            <w:vAlign w:val="center"/>
          </w:tcPr>
          <w:p w14:paraId="369ACC1F"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Calibri"/>
                <w:b/>
                <w:bCs/>
                <w:color w:val="000000"/>
                <w:sz w:val="20"/>
                <w:szCs w:val="20"/>
              </w:rPr>
              <w:t>62.9 (46.7, 74.8); &lt;0.0001</w:t>
            </w:r>
          </w:p>
        </w:tc>
      </w:tr>
      <w:tr w:rsidR="007152EE" w:rsidRPr="005A5BB7" w14:paraId="27561A19" w14:textId="77777777" w:rsidTr="00876F10">
        <w:trPr>
          <w:trHeight w:val="170"/>
        </w:trPr>
        <w:tc>
          <w:tcPr>
            <w:tcW w:w="1082" w:type="pct"/>
            <w:tcBorders>
              <w:left w:val="single" w:sz="4" w:space="0" w:color="auto"/>
              <w:right w:val="single" w:sz="4" w:space="0" w:color="auto"/>
            </w:tcBorders>
            <w:shd w:val="clear" w:color="auto" w:fill="DBE5F1" w:themeFill="accent1" w:themeFillTint="33"/>
          </w:tcPr>
          <w:p w14:paraId="654C678A" w14:textId="607666FF"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shd w:val="clear" w:color="auto" w:fill="DBE5F1" w:themeFill="accent1" w:themeFillTint="33"/>
            <w:vAlign w:val="center"/>
          </w:tcPr>
          <w:p w14:paraId="3F2CF99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7454</w:t>
            </w:r>
          </w:p>
        </w:tc>
        <w:tc>
          <w:tcPr>
            <w:tcW w:w="281" w:type="pct"/>
            <w:shd w:val="clear" w:color="auto" w:fill="DBE5F1" w:themeFill="accent1" w:themeFillTint="33"/>
            <w:vAlign w:val="center"/>
          </w:tcPr>
          <w:p w14:paraId="3B6F00C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23</w:t>
            </w:r>
          </w:p>
        </w:tc>
        <w:tc>
          <w:tcPr>
            <w:tcW w:w="386" w:type="pct"/>
            <w:shd w:val="clear" w:color="auto" w:fill="DBE5F1" w:themeFill="accent1" w:themeFillTint="33"/>
            <w:vAlign w:val="center"/>
          </w:tcPr>
          <w:p w14:paraId="2C7C8DC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11814.3</w:t>
            </w:r>
          </w:p>
        </w:tc>
        <w:tc>
          <w:tcPr>
            <w:tcW w:w="389" w:type="pct"/>
            <w:shd w:val="clear" w:color="auto" w:fill="DBE5F1" w:themeFill="accent1" w:themeFillTint="33"/>
            <w:vAlign w:val="center"/>
          </w:tcPr>
          <w:p w14:paraId="4157144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1.9</w:t>
            </w:r>
          </w:p>
        </w:tc>
        <w:tc>
          <w:tcPr>
            <w:tcW w:w="390" w:type="pct"/>
            <w:shd w:val="clear" w:color="auto" w:fill="DBE5F1" w:themeFill="accent1" w:themeFillTint="33"/>
            <w:vAlign w:val="center"/>
          </w:tcPr>
          <w:p w14:paraId="44B2E374"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7547</w:t>
            </w:r>
          </w:p>
        </w:tc>
        <w:tc>
          <w:tcPr>
            <w:tcW w:w="312" w:type="pct"/>
            <w:shd w:val="clear" w:color="auto" w:fill="DBE5F1" w:themeFill="accent1" w:themeFillTint="33"/>
            <w:vAlign w:val="center"/>
          </w:tcPr>
          <w:p w14:paraId="1DCCC14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99</w:t>
            </w:r>
          </w:p>
        </w:tc>
        <w:tc>
          <w:tcPr>
            <w:tcW w:w="390" w:type="pct"/>
            <w:shd w:val="clear" w:color="auto" w:fill="DBE5F1" w:themeFill="accent1" w:themeFillTint="33"/>
            <w:vAlign w:val="center"/>
          </w:tcPr>
          <w:p w14:paraId="53202027"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16629.0</w:t>
            </w:r>
          </w:p>
        </w:tc>
        <w:tc>
          <w:tcPr>
            <w:tcW w:w="392" w:type="pct"/>
            <w:shd w:val="clear" w:color="auto" w:fill="DBE5F1" w:themeFill="accent1" w:themeFillTint="33"/>
            <w:vAlign w:val="center"/>
          </w:tcPr>
          <w:p w14:paraId="127E641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6.0</w:t>
            </w:r>
          </w:p>
        </w:tc>
        <w:tc>
          <w:tcPr>
            <w:tcW w:w="1068" w:type="pct"/>
            <w:shd w:val="clear" w:color="auto" w:fill="DBE5F1" w:themeFill="accent1" w:themeFillTint="33"/>
            <w:vAlign w:val="center"/>
          </w:tcPr>
          <w:p w14:paraId="15D1A93C"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61.5 (38.6, 76.7); &lt;0.0001</w:t>
            </w:r>
          </w:p>
        </w:tc>
      </w:tr>
      <w:tr w:rsidR="007152EE" w:rsidRPr="005A5BB7" w14:paraId="6E8BA46D" w14:textId="77777777" w:rsidTr="00876F10">
        <w:trPr>
          <w:trHeight w:val="170"/>
        </w:trPr>
        <w:tc>
          <w:tcPr>
            <w:tcW w:w="1082" w:type="pct"/>
            <w:tcBorders>
              <w:left w:val="single" w:sz="4" w:space="0" w:color="auto"/>
              <w:right w:val="single" w:sz="4" w:space="0" w:color="auto"/>
            </w:tcBorders>
            <w:shd w:val="clear" w:color="auto" w:fill="DBE5F1" w:themeFill="accent1" w:themeFillTint="33"/>
          </w:tcPr>
          <w:p w14:paraId="2D33E682" w14:textId="51362128" w:rsidR="007152EE" w:rsidRPr="005A5BB7" w:rsidRDefault="007152EE" w:rsidP="00D35904">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shd w:val="clear" w:color="auto" w:fill="DBE5F1" w:themeFill="accent1" w:themeFillTint="33"/>
            <w:vAlign w:val="center"/>
          </w:tcPr>
          <w:p w14:paraId="3B1ED042"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5014</w:t>
            </w:r>
          </w:p>
        </w:tc>
        <w:tc>
          <w:tcPr>
            <w:tcW w:w="281" w:type="pct"/>
            <w:shd w:val="clear" w:color="auto" w:fill="DBE5F1" w:themeFill="accent1" w:themeFillTint="33"/>
            <w:vAlign w:val="center"/>
          </w:tcPr>
          <w:p w14:paraId="2828554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25</w:t>
            </w:r>
          </w:p>
        </w:tc>
        <w:tc>
          <w:tcPr>
            <w:tcW w:w="386" w:type="pct"/>
            <w:shd w:val="clear" w:color="auto" w:fill="DBE5F1" w:themeFill="accent1" w:themeFillTint="33"/>
            <w:vAlign w:val="center"/>
          </w:tcPr>
          <w:p w14:paraId="2E5D8FA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7934.5</w:t>
            </w:r>
          </w:p>
        </w:tc>
        <w:tc>
          <w:tcPr>
            <w:tcW w:w="389" w:type="pct"/>
            <w:shd w:val="clear" w:color="auto" w:fill="DBE5F1" w:themeFill="accent1" w:themeFillTint="33"/>
            <w:vAlign w:val="center"/>
          </w:tcPr>
          <w:p w14:paraId="565D5009"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w:t>
            </w:r>
          </w:p>
        </w:tc>
        <w:tc>
          <w:tcPr>
            <w:tcW w:w="390" w:type="pct"/>
            <w:shd w:val="clear" w:color="auto" w:fill="DBE5F1" w:themeFill="accent1" w:themeFillTint="33"/>
            <w:vAlign w:val="center"/>
          </w:tcPr>
          <w:p w14:paraId="54D45CF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4951</w:t>
            </w:r>
          </w:p>
        </w:tc>
        <w:tc>
          <w:tcPr>
            <w:tcW w:w="312" w:type="pct"/>
            <w:shd w:val="clear" w:color="auto" w:fill="DBE5F1" w:themeFill="accent1" w:themeFillTint="33"/>
            <w:vAlign w:val="center"/>
          </w:tcPr>
          <w:p w14:paraId="71FF0E39"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116</w:t>
            </w:r>
          </w:p>
        </w:tc>
        <w:tc>
          <w:tcPr>
            <w:tcW w:w="390" w:type="pct"/>
            <w:shd w:val="clear" w:color="auto" w:fill="DBE5F1" w:themeFill="accent1" w:themeFillTint="33"/>
            <w:vAlign w:val="center"/>
          </w:tcPr>
          <w:p w14:paraId="60D19E2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10734.6</w:t>
            </w:r>
          </w:p>
        </w:tc>
        <w:tc>
          <w:tcPr>
            <w:tcW w:w="392" w:type="pct"/>
            <w:shd w:val="clear" w:color="auto" w:fill="DBE5F1" w:themeFill="accent1" w:themeFillTint="33"/>
            <w:vAlign w:val="center"/>
          </w:tcPr>
          <w:p w14:paraId="64AC814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10.8</w:t>
            </w:r>
          </w:p>
        </w:tc>
        <w:tc>
          <w:tcPr>
            <w:tcW w:w="1068" w:type="pct"/>
            <w:shd w:val="clear" w:color="auto" w:fill="DBE5F1" w:themeFill="accent1" w:themeFillTint="33"/>
            <w:vAlign w:val="center"/>
          </w:tcPr>
          <w:p w14:paraId="48E75A9A"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64.7 (45.1, 78.1); &lt;0.0001</w:t>
            </w:r>
          </w:p>
        </w:tc>
      </w:tr>
      <w:tr w:rsidR="007152EE" w:rsidRPr="005A5BB7" w14:paraId="5BC62E61" w14:textId="77777777" w:rsidTr="00876F10">
        <w:trPr>
          <w:trHeight w:val="170"/>
        </w:trPr>
        <w:tc>
          <w:tcPr>
            <w:tcW w:w="1082" w:type="pct"/>
            <w:tcBorders>
              <w:left w:val="single" w:sz="4" w:space="0" w:color="auto"/>
              <w:right w:val="single" w:sz="4" w:space="0" w:color="auto"/>
            </w:tcBorders>
            <w:shd w:val="clear" w:color="auto" w:fill="DBE5F1" w:themeFill="accent1" w:themeFillTint="33"/>
          </w:tcPr>
          <w:p w14:paraId="7E2FEBAB" w14:textId="159E5229"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shd w:val="clear" w:color="auto" w:fill="DBE5F1" w:themeFill="accent1" w:themeFillTint="33"/>
            <w:vAlign w:val="center"/>
          </w:tcPr>
          <w:p w14:paraId="0F710BEA"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2577</w:t>
            </w:r>
          </w:p>
        </w:tc>
        <w:tc>
          <w:tcPr>
            <w:tcW w:w="281" w:type="pct"/>
            <w:shd w:val="clear" w:color="auto" w:fill="DBE5F1" w:themeFill="accent1" w:themeFillTint="33"/>
            <w:vAlign w:val="center"/>
          </w:tcPr>
          <w:p w14:paraId="7EE2CF2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17</w:t>
            </w:r>
          </w:p>
        </w:tc>
        <w:tc>
          <w:tcPr>
            <w:tcW w:w="386" w:type="pct"/>
            <w:shd w:val="clear" w:color="auto" w:fill="DBE5F1" w:themeFill="accent1" w:themeFillTint="33"/>
            <w:vAlign w:val="center"/>
          </w:tcPr>
          <w:p w14:paraId="5E32A98B"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4048.7</w:t>
            </w:r>
          </w:p>
        </w:tc>
        <w:tc>
          <w:tcPr>
            <w:tcW w:w="389" w:type="pct"/>
            <w:shd w:val="clear" w:color="auto" w:fill="DBE5F1" w:themeFill="accent1" w:themeFillTint="33"/>
            <w:vAlign w:val="center"/>
          </w:tcPr>
          <w:p w14:paraId="589F1C5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4.2</w:t>
            </w:r>
          </w:p>
        </w:tc>
        <w:tc>
          <w:tcPr>
            <w:tcW w:w="390" w:type="pct"/>
            <w:shd w:val="clear" w:color="auto" w:fill="DBE5F1" w:themeFill="accent1" w:themeFillTint="33"/>
            <w:vAlign w:val="center"/>
          </w:tcPr>
          <w:p w14:paraId="6B0E8C6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2504</w:t>
            </w:r>
          </w:p>
        </w:tc>
        <w:tc>
          <w:tcPr>
            <w:tcW w:w="312" w:type="pct"/>
            <w:shd w:val="clear" w:color="auto" w:fill="DBE5F1" w:themeFill="accent1" w:themeFillTint="33"/>
            <w:vAlign w:val="center"/>
          </w:tcPr>
          <w:p w14:paraId="282CDC47"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85</w:t>
            </w:r>
          </w:p>
        </w:tc>
        <w:tc>
          <w:tcPr>
            <w:tcW w:w="390" w:type="pct"/>
            <w:shd w:val="clear" w:color="auto" w:fill="DBE5F1" w:themeFill="accent1" w:themeFillTint="33"/>
            <w:vAlign w:val="center"/>
          </w:tcPr>
          <w:p w14:paraId="5C0B64A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5384.8</w:t>
            </w:r>
          </w:p>
        </w:tc>
        <w:tc>
          <w:tcPr>
            <w:tcW w:w="392" w:type="pct"/>
            <w:shd w:val="clear" w:color="auto" w:fill="DBE5F1" w:themeFill="accent1" w:themeFillTint="33"/>
            <w:vAlign w:val="center"/>
          </w:tcPr>
          <w:p w14:paraId="3C22860F"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15.8</w:t>
            </w:r>
          </w:p>
        </w:tc>
        <w:tc>
          <w:tcPr>
            <w:tcW w:w="1068" w:type="pct"/>
            <w:shd w:val="clear" w:color="auto" w:fill="DBE5F1" w:themeFill="accent1" w:themeFillTint="33"/>
            <w:vAlign w:val="center"/>
          </w:tcPr>
          <w:p w14:paraId="137DCA4A"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68.1 (45.7, 82.3); &lt;0.0001</w:t>
            </w:r>
          </w:p>
        </w:tc>
      </w:tr>
      <w:tr w:rsidR="007152EE" w:rsidRPr="005A5BB7" w14:paraId="7D5CE7D5" w14:textId="77777777" w:rsidTr="00876F10">
        <w:trPr>
          <w:trHeight w:val="170"/>
        </w:trPr>
        <w:tc>
          <w:tcPr>
            <w:tcW w:w="1082" w:type="pct"/>
            <w:tcBorders>
              <w:left w:val="single" w:sz="4" w:space="0" w:color="auto"/>
              <w:right w:val="single" w:sz="4" w:space="0" w:color="auto"/>
            </w:tcBorders>
            <w:shd w:val="clear" w:color="auto" w:fill="DBE5F1" w:themeFill="accent1" w:themeFillTint="33"/>
          </w:tcPr>
          <w:p w14:paraId="5CEE339A" w14:textId="497F69CB" w:rsidR="007152EE" w:rsidRPr="005A5BB7" w:rsidRDefault="007152EE" w:rsidP="00D35904">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shd w:val="clear" w:color="auto" w:fill="DBE5F1" w:themeFill="accent1" w:themeFillTint="33"/>
            <w:vAlign w:val="center"/>
          </w:tcPr>
          <w:p w14:paraId="393E7828"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3243</w:t>
            </w:r>
          </w:p>
        </w:tc>
        <w:tc>
          <w:tcPr>
            <w:tcW w:w="281" w:type="pct"/>
            <w:shd w:val="clear" w:color="auto" w:fill="DBE5F1" w:themeFill="accent1" w:themeFillTint="33"/>
            <w:vAlign w:val="center"/>
          </w:tcPr>
          <w:p w14:paraId="2C946EE0"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12</w:t>
            </w:r>
          </w:p>
        </w:tc>
        <w:tc>
          <w:tcPr>
            <w:tcW w:w="386" w:type="pct"/>
            <w:shd w:val="clear" w:color="auto" w:fill="DBE5F1" w:themeFill="accent1" w:themeFillTint="33"/>
            <w:vAlign w:val="center"/>
          </w:tcPr>
          <w:p w14:paraId="556E40C5"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5152.9</w:t>
            </w:r>
          </w:p>
        </w:tc>
        <w:tc>
          <w:tcPr>
            <w:tcW w:w="389" w:type="pct"/>
            <w:shd w:val="clear" w:color="auto" w:fill="DBE5F1" w:themeFill="accent1" w:themeFillTint="33"/>
            <w:vAlign w:val="center"/>
          </w:tcPr>
          <w:p w14:paraId="01B7A4A8"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2.3</w:t>
            </w:r>
          </w:p>
        </w:tc>
        <w:tc>
          <w:tcPr>
            <w:tcW w:w="390" w:type="pct"/>
            <w:shd w:val="clear" w:color="auto" w:fill="DBE5F1" w:themeFill="accent1" w:themeFillTint="33"/>
            <w:vAlign w:val="center"/>
          </w:tcPr>
          <w:p w14:paraId="7D346166"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3274</w:t>
            </w:r>
          </w:p>
        </w:tc>
        <w:tc>
          <w:tcPr>
            <w:tcW w:w="312" w:type="pct"/>
            <w:shd w:val="clear" w:color="auto" w:fill="DBE5F1" w:themeFill="accent1" w:themeFillTint="33"/>
            <w:vAlign w:val="center"/>
          </w:tcPr>
          <w:p w14:paraId="5D8971E1"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55</w:t>
            </w:r>
          </w:p>
        </w:tc>
        <w:tc>
          <w:tcPr>
            <w:tcW w:w="390" w:type="pct"/>
            <w:shd w:val="clear" w:color="auto" w:fill="DBE5F1" w:themeFill="accent1" w:themeFillTint="33"/>
            <w:vAlign w:val="center"/>
          </w:tcPr>
          <w:p w14:paraId="7CE29DD3"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7143.5</w:t>
            </w:r>
          </w:p>
        </w:tc>
        <w:tc>
          <w:tcPr>
            <w:tcW w:w="392" w:type="pct"/>
            <w:shd w:val="clear" w:color="auto" w:fill="DBE5F1" w:themeFill="accent1" w:themeFillTint="33"/>
            <w:vAlign w:val="center"/>
          </w:tcPr>
          <w:p w14:paraId="1CCDA6BC" w14:textId="77777777" w:rsidR="007152EE" w:rsidRPr="005A5BB7" w:rsidRDefault="007152EE" w:rsidP="00D35904">
            <w:pPr>
              <w:jc w:val="center"/>
              <w:rPr>
                <w:rFonts w:ascii="Arial Narrow" w:hAnsi="Arial Narrow" w:cs="Times New Roman"/>
                <w:sz w:val="20"/>
              </w:rPr>
            </w:pPr>
            <w:r w:rsidRPr="005A5BB7">
              <w:rPr>
                <w:rFonts w:ascii="Arial Narrow" w:hAnsi="Arial Narrow" w:cs="Times New Roman"/>
                <w:sz w:val="20"/>
              </w:rPr>
              <w:t>7.7</w:t>
            </w:r>
          </w:p>
        </w:tc>
        <w:tc>
          <w:tcPr>
            <w:tcW w:w="1068" w:type="pct"/>
            <w:shd w:val="clear" w:color="auto" w:fill="DBE5F1" w:themeFill="accent1" w:themeFillTint="33"/>
            <w:vAlign w:val="center"/>
          </w:tcPr>
          <w:p w14:paraId="1882302C"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 xml:space="preserve">63.9 (31.4, 82.5); </w:t>
            </w:r>
          </w:p>
          <w:p w14:paraId="557ED276" w14:textId="77777777" w:rsidR="007152EE" w:rsidRPr="005A5BB7" w:rsidRDefault="007152EE" w:rsidP="00D35904">
            <w:pPr>
              <w:jc w:val="center"/>
              <w:rPr>
                <w:rFonts w:ascii="Arial Narrow" w:hAnsi="Arial Narrow" w:cs="Times New Roman"/>
                <w:b/>
                <w:bCs/>
                <w:sz w:val="20"/>
              </w:rPr>
            </w:pPr>
            <w:r w:rsidRPr="005A5BB7">
              <w:rPr>
                <w:rFonts w:ascii="Arial Narrow" w:hAnsi="Arial Narrow" w:cs="Times New Roman"/>
                <w:b/>
                <w:bCs/>
                <w:sz w:val="20"/>
              </w:rPr>
              <w:t>0.0009</w:t>
            </w:r>
          </w:p>
        </w:tc>
      </w:tr>
      <w:tr w:rsidR="00876F10" w:rsidRPr="005A5BB7" w14:paraId="5A4E39C2" w14:textId="77777777" w:rsidTr="004E41F4">
        <w:trPr>
          <w:trHeight w:val="170"/>
        </w:trPr>
        <w:tc>
          <w:tcPr>
            <w:tcW w:w="5000" w:type="pct"/>
            <w:gridSpan w:val="10"/>
            <w:tcBorders>
              <w:left w:val="single" w:sz="4" w:space="0" w:color="auto"/>
            </w:tcBorders>
          </w:tcPr>
          <w:p w14:paraId="4EC7993B" w14:textId="01321EFB" w:rsidR="00876F10" w:rsidRPr="005A5BB7" w:rsidRDefault="00876F10" w:rsidP="00876F10">
            <w:pPr>
              <w:jc w:val="left"/>
              <w:rPr>
                <w:rFonts w:ascii="Arial Narrow" w:hAnsi="Arial Narrow" w:cs="Times New Roman"/>
                <w:b/>
                <w:bCs/>
                <w:iCs/>
                <w:sz w:val="20"/>
              </w:rPr>
            </w:pPr>
            <w:r w:rsidRPr="005A5BB7">
              <w:rPr>
                <w:rFonts w:ascii="Arial Narrow" w:hAnsi="Arial Narrow" w:cs="Times New Roman"/>
                <w:b/>
                <w:bCs/>
                <w:iCs/>
                <w:sz w:val="20"/>
              </w:rPr>
              <w:t>Post</w:t>
            </w:r>
            <w:r w:rsidR="000E4816">
              <w:rPr>
                <w:rFonts w:ascii="Arial Narrow" w:hAnsi="Arial Narrow" w:cs="Times New Roman"/>
                <w:b/>
                <w:bCs/>
                <w:iCs/>
                <w:sz w:val="20"/>
              </w:rPr>
              <w:noBreakHyphen/>
            </w:r>
            <w:r w:rsidRPr="005A5BB7">
              <w:rPr>
                <w:rFonts w:ascii="Arial Narrow" w:hAnsi="Arial Narrow" w:cs="Times New Roman"/>
                <w:b/>
                <w:bCs/>
                <w:iCs/>
                <w:sz w:val="20"/>
              </w:rPr>
              <w:t>hoc analysis reported in PSCR</w:t>
            </w:r>
            <w:r w:rsidR="00991B71" w:rsidRPr="005A5BB7">
              <w:rPr>
                <w:rFonts w:ascii="Arial Narrow" w:hAnsi="Arial Narrow" w:cs="Times New Roman"/>
                <w:b/>
                <w:bCs/>
                <w:iCs/>
                <w:sz w:val="20"/>
              </w:rPr>
              <w:t xml:space="preserve"> (across 3 seasons)</w:t>
            </w:r>
          </w:p>
        </w:tc>
      </w:tr>
      <w:tr w:rsidR="00505BA4" w:rsidRPr="005A5BB7" w14:paraId="196B4566" w14:textId="77777777" w:rsidTr="004E41F4">
        <w:trPr>
          <w:trHeight w:val="170"/>
        </w:trPr>
        <w:tc>
          <w:tcPr>
            <w:tcW w:w="1082" w:type="pct"/>
            <w:tcBorders>
              <w:left w:val="single" w:sz="4" w:space="0" w:color="auto"/>
              <w:right w:val="single" w:sz="4" w:space="0" w:color="auto"/>
            </w:tcBorders>
          </w:tcPr>
          <w:p w14:paraId="440D71C1" w14:textId="4913F08F" w:rsidR="00876F10" w:rsidRPr="005A5BB7" w:rsidRDefault="00876F10" w:rsidP="00876F10">
            <w:pPr>
              <w:jc w:val="left"/>
              <w:rPr>
                <w:rFonts w:ascii="Arial Narrow" w:hAnsi="Arial Narrow" w:cs="Times New Roman"/>
                <w:iCs/>
                <w:sz w:val="20"/>
              </w:rPr>
            </w:pPr>
            <w:r w:rsidRPr="005A5BB7">
              <w:rPr>
                <w:rFonts w:ascii="Arial Narrow" w:hAnsi="Arial Narrow" w:cs="Calibri"/>
                <w:iCs/>
                <w:color w:val="000000" w:themeColor="text1"/>
                <w:sz w:val="20"/>
                <w:szCs w:val="20"/>
              </w:rPr>
              <w:t>Obesity (BMI ≥30 kg/m</w:t>
            </w:r>
            <w:r w:rsidRPr="005A5BB7">
              <w:rPr>
                <w:rFonts w:ascii="Arial Narrow" w:hAnsi="Arial Narrow" w:cs="Calibri"/>
                <w:iCs/>
                <w:color w:val="000000" w:themeColor="text1"/>
                <w:sz w:val="20"/>
                <w:szCs w:val="20"/>
                <w:vertAlign w:val="superscript"/>
              </w:rPr>
              <w:t>2</w:t>
            </w:r>
            <w:r w:rsidRPr="005A5BB7">
              <w:rPr>
                <w:rFonts w:ascii="Arial Narrow" w:hAnsi="Arial Narrow" w:cs="Calibri"/>
                <w:iCs/>
                <w:color w:val="000000" w:themeColor="text1"/>
                <w:sz w:val="20"/>
                <w:szCs w:val="20"/>
              </w:rPr>
              <w:t>)</w:t>
            </w:r>
          </w:p>
        </w:tc>
        <w:tc>
          <w:tcPr>
            <w:tcW w:w="310" w:type="pct"/>
            <w:tcBorders>
              <w:left w:val="single" w:sz="4" w:space="0" w:color="auto"/>
            </w:tcBorders>
            <w:vAlign w:val="center"/>
          </w:tcPr>
          <w:p w14:paraId="52D1C34B" w14:textId="260B95DB"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4716</w:t>
            </w:r>
          </w:p>
        </w:tc>
        <w:tc>
          <w:tcPr>
            <w:tcW w:w="281" w:type="pct"/>
            <w:vAlign w:val="center"/>
          </w:tcPr>
          <w:p w14:paraId="543DE757" w14:textId="521DD000"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17</w:t>
            </w:r>
          </w:p>
        </w:tc>
        <w:tc>
          <w:tcPr>
            <w:tcW w:w="386" w:type="pct"/>
            <w:vAlign w:val="center"/>
          </w:tcPr>
          <w:p w14:paraId="65E0DF4D" w14:textId="72F9300C"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7526.6</w:t>
            </w:r>
          </w:p>
        </w:tc>
        <w:tc>
          <w:tcPr>
            <w:tcW w:w="389" w:type="pct"/>
            <w:vAlign w:val="center"/>
          </w:tcPr>
          <w:p w14:paraId="7EE37FFC" w14:textId="06E3024B"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2.3</w:t>
            </w:r>
          </w:p>
        </w:tc>
        <w:tc>
          <w:tcPr>
            <w:tcW w:w="390" w:type="pct"/>
            <w:vAlign w:val="center"/>
          </w:tcPr>
          <w:p w14:paraId="78B1DFC7" w14:textId="5D166950"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4745</w:t>
            </w:r>
          </w:p>
        </w:tc>
        <w:tc>
          <w:tcPr>
            <w:tcW w:w="312" w:type="pct"/>
            <w:vAlign w:val="center"/>
          </w:tcPr>
          <w:p w14:paraId="5AE2D199" w14:textId="7F650A8C"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107</w:t>
            </w:r>
          </w:p>
        </w:tc>
        <w:tc>
          <w:tcPr>
            <w:tcW w:w="390" w:type="pct"/>
            <w:vAlign w:val="center"/>
          </w:tcPr>
          <w:p w14:paraId="4A8FC19C" w14:textId="04571AD1"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10403.0</w:t>
            </w:r>
          </w:p>
        </w:tc>
        <w:tc>
          <w:tcPr>
            <w:tcW w:w="392" w:type="pct"/>
            <w:vAlign w:val="center"/>
          </w:tcPr>
          <w:p w14:paraId="08034E26" w14:textId="16B0BCF1" w:rsidR="00876F10" w:rsidRPr="005A5BB7" w:rsidRDefault="00876F10" w:rsidP="00876F10">
            <w:pPr>
              <w:jc w:val="center"/>
              <w:rPr>
                <w:rFonts w:ascii="Arial Narrow" w:hAnsi="Arial Narrow" w:cs="Times New Roman"/>
                <w:iCs/>
                <w:sz w:val="20"/>
              </w:rPr>
            </w:pPr>
            <w:r w:rsidRPr="005A5BB7">
              <w:rPr>
                <w:rFonts w:ascii="Arial Narrow" w:hAnsi="Arial Narrow" w:cs="Calibri"/>
                <w:iCs/>
                <w:color w:val="000000" w:themeColor="text1"/>
                <w:sz w:val="20"/>
                <w:szCs w:val="20"/>
              </w:rPr>
              <w:t>10.3</w:t>
            </w:r>
          </w:p>
        </w:tc>
        <w:tc>
          <w:tcPr>
            <w:tcW w:w="1068" w:type="pct"/>
            <w:vAlign w:val="center"/>
          </w:tcPr>
          <w:p w14:paraId="01D9BE6E" w14:textId="154D2340" w:rsidR="00876F10" w:rsidRPr="005A5BB7" w:rsidRDefault="00876F10" w:rsidP="00876F10">
            <w:pPr>
              <w:jc w:val="center"/>
              <w:rPr>
                <w:rFonts w:ascii="Arial Narrow" w:hAnsi="Arial Narrow" w:cs="Times New Roman"/>
                <w:b/>
                <w:bCs/>
                <w:iCs/>
                <w:sz w:val="20"/>
              </w:rPr>
            </w:pPr>
            <w:r w:rsidRPr="005A5BB7">
              <w:rPr>
                <w:rFonts w:ascii="Arial Narrow" w:hAnsi="Arial Narrow" w:cs="Calibri"/>
                <w:iCs/>
                <w:color w:val="000000" w:themeColor="text1"/>
                <w:sz w:val="20"/>
                <w:szCs w:val="20"/>
              </w:rPr>
              <w:t>74.1 (56.4, 85.5)</w:t>
            </w:r>
          </w:p>
        </w:tc>
      </w:tr>
    </w:tbl>
    <w:bookmarkEnd w:id="45"/>
    <w:p w14:paraId="6A0821C8" w14:textId="23E8B9DD"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Source: Table 2</w:t>
      </w:r>
      <w:r w:rsidR="000E4816">
        <w:rPr>
          <w:rFonts w:eastAsia="Arial Narrow" w:cs="Arial Narrow"/>
          <w:color w:val="000000" w:themeColor="text1"/>
          <w:szCs w:val="18"/>
        </w:rPr>
        <w:noBreakHyphen/>
      </w:r>
      <w:r w:rsidRPr="005A5BB7">
        <w:rPr>
          <w:rFonts w:eastAsia="Arial Narrow" w:cs="Arial Narrow"/>
          <w:color w:val="000000" w:themeColor="text1"/>
          <w:szCs w:val="18"/>
        </w:rPr>
        <w:t>11, pp 60</w:t>
      </w:r>
      <w:r w:rsidR="000E4816">
        <w:rPr>
          <w:rFonts w:eastAsia="Arial Narrow" w:cs="Arial Narrow"/>
          <w:color w:val="000000" w:themeColor="text1"/>
          <w:szCs w:val="18"/>
        </w:rPr>
        <w:noBreakHyphen/>
      </w:r>
      <w:r w:rsidRPr="005A5BB7">
        <w:rPr>
          <w:rFonts w:eastAsia="Arial Narrow" w:cs="Arial Narrow"/>
          <w:color w:val="000000" w:themeColor="text1"/>
          <w:szCs w:val="18"/>
        </w:rPr>
        <w:t xml:space="preserve">61 of the </w:t>
      </w:r>
      <w:r w:rsidR="00126E90" w:rsidRPr="005A5BB7">
        <w:rPr>
          <w:rFonts w:eastAsia="Arial Narrow" w:cs="Arial Narrow"/>
          <w:color w:val="000000" w:themeColor="text1"/>
          <w:szCs w:val="18"/>
        </w:rPr>
        <w:t>res</w:t>
      </w:r>
      <w:r w:rsidRPr="005A5BB7">
        <w:rPr>
          <w:rFonts w:eastAsia="Arial Narrow" w:cs="Arial Narrow"/>
          <w:color w:val="000000" w:themeColor="text1"/>
          <w:szCs w:val="18"/>
        </w:rPr>
        <w:t>ubmission</w:t>
      </w:r>
      <w:r w:rsidR="00876F10" w:rsidRPr="005A5BB7">
        <w:rPr>
          <w:rFonts w:eastAsia="Arial Narrow" w:cs="Arial Narrow"/>
          <w:color w:val="000000" w:themeColor="text1"/>
          <w:szCs w:val="18"/>
        </w:rPr>
        <w:t xml:space="preserve">, </w:t>
      </w:r>
      <w:r w:rsidR="00876F10" w:rsidRPr="005A5BB7">
        <w:rPr>
          <w:rFonts w:eastAsia="Arial Narrow" w:cs="Arial Narrow"/>
          <w:iCs/>
          <w:color w:val="000000" w:themeColor="text1"/>
          <w:szCs w:val="18"/>
        </w:rPr>
        <w:t>Table 2 of PSCR (extracted from Hulstrom et al. Presentation at the European Association for the Study of Diabetes 61st Annual Conference, 15</w:t>
      </w:r>
      <w:r w:rsidR="000E4816">
        <w:rPr>
          <w:rFonts w:eastAsia="Arial Narrow" w:cs="Arial Narrow"/>
          <w:iCs/>
          <w:color w:val="000000" w:themeColor="text1"/>
          <w:szCs w:val="18"/>
        </w:rPr>
        <w:noBreakHyphen/>
      </w:r>
      <w:r w:rsidR="00876F10" w:rsidRPr="005A5BB7">
        <w:rPr>
          <w:rFonts w:eastAsia="Arial Narrow" w:cs="Arial Narrow"/>
          <w:iCs/>
          <w:color w:val="000000" w:themeColor="text1"/>
          <w:szCs w:val="18"/>
        </w:rPr>
        <w:t>19 September 2025).</w:t>
      </w:r>
    </w:p>
    <w:p w14:paraId="60B87C7E" w14:textId="0B6CC907"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CI = confidence interval; mES = modified exposed set; N = number of participants; n = number of participants with at least one RT</w:t>
      </w:r>
      <w:r w:rsidR="000E4816">
        <w:rPr>
          <w:rFonts w:eastAsia="Arial Narrow" w:cs="Arial Narrow"/>
          <w:color w:val="000000" w:themeColor="text1"/>
          <w:szCs w:val="18"/>
        </w:rPr>
        <w:noBreakHyphen/>
      </w:r>
      <w:r w:rsidRPr="005A5BB7">
        <w:rPr>
          <w:rFonts w:eastAsia="Arial Narrow" w:cs="Arial Narrow"/>
          <w:color w:val="000000" w:themeColor="text1"/>
          <w:szCs w:val="18"/>
        </w:rPr>
        <w:t>PCR confirmed RSV LRTD; n/T (per 1000) = incidence rate of participants reporting at least one event; NH = northern hemisphere; RSVPreF3 = participants receiving RSVPre</w:t>
      </w:r>
      <w:r w:rsidR="000B36A8" w:rsidRPr="005A5BB7">
        <w:rPr>
          <w:rFonts w:eastAsia="Arial Narrow" w:cs="Arial Narrow"/>
          <w:color w:val="000000" w:themeColor="text1"/>
          <w:szCs w:val="18"/>
        </w:rPr>
        <w:t>F</w:t>
      </w:r>
      <w:r w:rsidRPr="005A5BB7">
        <w:rPr>
          <w:rFonts w:eastAsia="Arial Narrow" w:cs="Arial Narrow"/>
          <w:color w:val="000000" w:themeColor="text1"/>
          <w:szCs w:val="18"/>
        </w:rPr>
        <w:t>3 OA investigational vaccine (pooled lots); T (year) = sum of follow</w:t>
      </w:r>
      <w:r w:rsidR="000E4816">
        <w:rPr>
          <w:rFonts w:eastAsia="Arial Narrow" w:cs="Arial Narrow"/>
          <w:color w:val="000000" w:themeColor="text1"/>
          <w:szCs w:val="18"/>
        </w:rPr>
        <w:noBreakHyphen/>
      </w:r>
      <w:r w:rsidRPr="005A5BB7">
        <w:rPr>
          <w:rFonts w:eastAsia="Arial Narrow" w:cs="Arial Narrow"/>
          <w:color w:val="000000" w:themeColor="text1"/>
          <w:szCs w:val="18"/>
        </w:rPr>
        <w:t>up time (from Day 15 post</w:t>
      </w:r>
      <w:r w:rsidR="000E4816">
        <w:rPr>
          <w:rFonts w:eastAsia="Arial Narrow" w:cs="Arial Narrow"/>
          <w:color w:val="000000" w:themeColor="text1"/>
          <w:szCs w:val="18"/>
        </w:rPr>
        <w:noBreakHyphen/>
      </w:r>
      <w:r w:rsidRPr="005A5BB7">
        <w:rPr>
          <w:rFonts w:eastAsia="Arial Narrow" w:cs="Arial Narrow"/>
          <w:color w:val="000000" w:themeColor="text1"/>
          <w:szCs w:val="18"/>
        </w:rPr>
        <w:t xml:space="preserve">vaccination </w:t>
      </w:r>
      <w:r w:rsidRPr="005A5BB7">
        <w:rPr>
          <w:rFonts w:eastAsia="Arial Narrow" w:cs="Arial Narrow"/>
          <w:color w:val="000000" w:themeColor="text1"/>
          <w:szCs w:val="18"/>
        </w:rPr>
        <w:lastRenderedPageBreak/>
        <w:t>till first occurrence of the event or till the efficacy data lock point or till drop</w:t>
      </w:r>
      <w:r w:rsidR="000E4816">
        <w:rPr>
          <w:rFonts w:eastAsia="Arial Narrow" w:cs="Arial Narrow"/>
          <w:color w:val="000000" w:themeColor="text1"/>
          <w:szCs w:val="18"/>
        </w:rPr>
        <w:noBreakHyphen/>
      </w:r>
      <w:r w:rsidRPr="005A5BB7">
        <w:rPr>
          <w:rFonts w:eastAsia="Arial Narrow" w:cs="Arial Narrow"/>
          <w:color w:val="000000" w:themeColor="text1"/>
          <w:szCs w:val="18"/>
        </w:rPr>
        <w:t>out date) expressed in years; VE = Vaccine Efficacy (Poisson method – adjusted by age, region and season).</w:t>
      </w:r>
    </w:p>
    <w:p w14:paraId="3C7F46F3" w14:textId="77777777" w:rsidR="007A3B82"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vertAlign w:val="superscript"/>
        </w:rPr>
        <w:t>1</w:t>
      </w:r>
      <w:r w:rsidRPr="005A5BB7">
        <w:rPr>
          <w:rFonts w:eastAsia="Arial Narrow" w:cs="Arial Narrow"/>
          <w:color w:val="000000" w:themeColor="text1"/>
          <w:szCs w:val="18"/>
        </w:rPr>
        <w:t xml:space="preserve"> Primary endpoint.</w:t>
      </w:r>
    </w:p>
    <w:p w14:paraId="42F6699F" w14:textId="44E3A963" w:rsidR="007A3B82"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vertAlign w:val="superscript"/>
        </w:rPr>
        <w:t>2</w:t>
      </w:r>
      <w:r w:rsidRPr="005A5BB7">
        <w:rPr>
          <w:rFonts w:eastAsia="Arial Narrow" w:cs="Arial Narrow"/>
          <w:color w:val="000000" w:themeColor="text1"/>
          <w:szCs w:val="18"/>
        </w:rPr>
        <w:t xml:space="preserve"> Confirmatory secondary endpoints. All other analyses were descriptive.</w:t>
      </w:r>
      <w:r w:rsidR="00D65AFA" w:rsidRPr="005A5BB7">
        <w:rPr>
          <w:rFonts w:eastAsia="Arial Narrow" w:cs="Arial Narrow"/>
          <w:color w:val="000000" w:themeColor="text1"/>
          <w:szCs w:val="18"/>
        </w:rPr>
        <w:t xml:space="preserve"> </w:t>
      </w:r>
    </w:p>
    <w:p w14:paraId="76142C74" w14:textId="389A8B27" w:rsidR="041D5A85" w:rsidRPr="005A5BB7" w:rsidRDefault="00D65AFA"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vertAlign w:val="superscript"/>
        </w:rPr>
        <w:t>3</w:t>
      </w:r>
      <w:r w:rsidR="007A3B82" w:rsidRPr="005A5BB7">
        <w:rPr>
          <w:rFonts w:eastAsia="Arial Narrow" w:cs="Arial Narrow"/>
          <w:color w:val="000000" w:themeColor="text1"/>
          <w:szCs w:val="18"/>
          <w:vertAlign w:val="superscript"/>
        </w:rPr>
        <w:t xml:space="preserve"> </w:t>
      </w:r>
      <w:r w:rsidR="007A3B82" w:rsidRPr="005A5BB7">
        <w:rPr>
          <w:rFonts w:eastAsia="Arial Narrow" w:cs="Arial Narrow"/>
          <w:color w:val="000000" w:themeColor="text1"/>
          <w:szCs w:val="18"/>
        </w:rPr>
        <w:t>Vaccine efficacy was analysed post</w:t>
      </w:r>
      <w:r w:rsidR="000E4816">
        <w:rPr>
          <w:rFonts w:eastAsia="Arial Narrow" w:cs="Arial Narrow"/>
          <w:color w:val="000000" w:themeColor="text1"/>
          <w:szCs w:val="18"/>
        </w:rPr>
        <w:noBreakHyphen/>
      </w:r>
      <w:r w:rsidR="007A3B82" w:rsidRPr="005A5BB7">
        <w:rPr>
          <w:rFonts w:eastAsia="Arial Narrow" w:cs="Arial Narrow"/>
          <w:color w:val="000000" w:themeColor="text1"/>
          <w:szCs w:val="18"/>
        </w:rPr>
        <w:t>hoc in participants with at least 2 conditions of interest.</w:t>
      </w:r>
    </w:p>
    <w:p w14:paraId="0B612E83" w14:textId="03475F05"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Notes: For single dose evaluation, participants who received RSVPre</w:t>
      </w:r>
      <w:r w:rsidR="000B36A8" w:rsidRPr="005A5BB7">
        <w:rPr>
          <w:rFonts w:eastAsia="Arial Narrow" w:cs="Arial Narrow"/>
          <w:color w:val="000000" w:themeColor="text1"/>
          <w:szCs w:val="18"/>
        </w:rPr>
        <w:t>F</w:t>
      </w:r>
      <w:r w:rsidRPr="005A5BB7">
        <w:rPr>
          <w:rFonts w:eastAsia="Arial Narrow" w:cs="Arial Narrow"/>
          <w:color w:val="000000" w:themeColor="text1"/>
          <w:szCs w:val="18"/>
        </w:rPr>
        <w:t xml:space="preserve">3 OA at Dose 2 (RSV_annual group) are censored at Dose 2 </w:t>
      </w:r>
    </w:p>
    <w:p w14:paraId="09829FDD" w14:textId="54BA9FF8"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P</w:t>
      </w:r>
      <w:r w:rsidR="000E4816">
        <w:rPr>
          <w:rFonts w:eastAsia="Arial Narrow" w:cs="Arial Narrow"/>
          <w:color w:val="000000" w:themeColor="text1"/>
          <w:szCs w:val="18"/>
        </w:rPr>
        <w:noBreakHyphen/>
      </w:r>
      <w:r w:rsidRPr="005A5BB7">
        <w:rPr>
          <w:rFonts w:eastAsia="Arial Narrow" w:cs="Arial Narrow"/>
          <w:color w:val="000000" w:themeColor="text1"/>
          <w:szCs w:val="18"/>
        </w:rPr>
        <w:t xml:space="preserve">value = </w:t>
      </w:r>
      <w:r w:rsidR="00F23EA9" w:rsidRPr="005A5BB7">
        <w:rPr>
          <w:rFonts w:eastAsia="Arial Narrow" w:cs="Arial Narrow"/>
          <w:color w:val="000000" w:themeColor="text1"/>
          <w:szCs w:val="18"/>
        </w:rPr>
        <w:t>Two</w:t>
      </w:r>
      <w:r w:rsidR="000E4816">
        <w:rPr>
          <w:rFonts w:eastAsia="Arial Narrow" w:cs="Arial Narrow"/>
          <w:color w:val="000000" w:themeColor="text1"/>
          <w:szCs w:val="18"/>
        </w:rPr>
        <w:noBreakHyphen/>
      </w:r>
      <w:r w:rsidR="00F23EA9" w:rsidRPr="005A5BB7">
        <w:rPr>
          <w:rFonts w:eastAsia="Arial Narrow" w:cs="Arial Narrow"/>
          <w:color w:val="000000" w:themeColor="text1"/>
          <w:szCs w:val="18"/>
        </w:rPr>
        <w:t>sided</w:t>
      </w:r>
      <w:r w:rsidRPr="005A5BB7">
        <w:rPr>
          <w:rFonts w:eastAsia="Arial Narrow" w:cs="Arial Narrow"/>
          <w:color w:val="000000" w:themeColor="text1"/>
          <w:szCs w:val="18"/>
        </w:rPr>
        <w:t xml:space="preserve"> Exact P</w:t>
      </w:r>
      <w:r w:rsidR="000E4816">
        <w:rPr>
          <w:rFonts w:eastAsia="Arial Narrow" w:cs="Arial Narrow"/>
          <w:color w:val="000000" w:themeColor="text1"/>
          <w:szCs w:val="18"/>
        </w:rPr>
        <w:noBreakHyphen/>
      </w:r>
      <w:r w:rsidRPr="005A5BB7">
        <w:rPr>
          <w:rFonts w:eastAsia="Arial Narrow" w:cs="Arial Narrow"/>
          <w:color w:val="000000" w:themeColor="text1"/>
          <w:szCs w:val="18"/>
        </w:rPr>
        <w:t xml:space="preserve">value conditional to number of cases comparing incidence rates and testing the null hypothesis VE&lt;=0%; </w:t>
      </w:r>
    </w:p>
    <w:p w14:paraId="1C8C2CD5" w14:textId="2E46F806"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 xml:space="preserve">Comorbidities of interest included COPD, Asthma, Any chronic respiratory/pulmonary disease, Chronic heart failure, Diabetes mellitus Type 1 or Type 2, Advanced liver or renal disease </w:t>
      </w:r>
    </w:p>
    <w:p w14:paraId="2924608F" w14:textId="76E8B583"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 xml:space="preserve">Cardiorespiratory conditions = COPD, Asthma, Any chronic respiratory/pulmonary disease, Chronic heart failure </w:t>
      </w:r>
    </w:p>
    <w:p w14:paraId="41E3F71A" w14:textId="17D80814"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 xml:space="preserve">Endocrinometabolic conditions = Diabetes mellitus Type 1 or Type 2, Advanced liver or renal disease </w:t>
      </w:r>
    </w:p>
    <w:p w14:paraId="001A3B6C" w14:textId="56B1FC43"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VE Analysis 1: Cases reported from Day 15 post</w:t>
      </w:r>
      <w:r w:rsidR="000E4816">
        <w:rPr>
          <w:rFonts w:eastAsia="Arial Narrow" w:cs="Arial Narrow"/>
          <w:color w:val="000000" w:themeColor="text1"/>
          <w:szCs w:val="18"/>
        </w:rPr>
        <w:noBreakHyphen/>
      </w:r>
      <w:r w:rsidRPr="005A5BB7">
        <w:rPr>
          <w:rFonts w:eastAsia="Arial Narrow" w:cs="Arial Narrow"/>
          <w:color w:val="000000" w:themeColor="text1"/>
          <w:szCs w:val="18"/>
        </w:rPr>
        <w:t>vaccination up to efficacy data lock point = 11APR2022</w:t>
      </w:r>
    </w:p>
    <w:p w14:paraId="6FA19026" w14:textId="596B53D1"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VE Analysis 3: Cases reported from Day 15 post</w:t>
      </w:r>
      <w:r w:rsidR="000E4816">
        <w:rPr>
          <w:rFonts w:eastAsia="Arial Narrow" w:cs="Arial Narrow"/>
          <w:color w:val="000000" w:themeColor="text1"/>
          <w:szCs w:val="18"/>
        </w:rPr>
        <w:noBreakHyphen/>
      </w:r>
      <w:r w:rsidRPr="005A5BB7">
        <w:rPr>
          <w:rFonts w:eastAsia="Arial Narrow" w:cs="Arial Narrow"/>
          <w:color w:val="000000" w:themeColor="text1"/>
          <w:szCs w:val="18"/>
        </w:rPr>
        <w:t>Dose 1 up to efficacy data lock point 31 March 2023 if Dose 2 administration or up to efficacy data lock point 30 September 2022 if no Dose 2 administration.</w:t>
      </w:r>
    </w:p>
    <w:p w14:paraId="5ECDDEBB" w14:textId="670EDBC7" w:rsidR="041D5A85" w:rsidRPr="005A5BB7" w:rsidRDefault="041D5A85" w:rsidP="3FF051E5">
      <w:pPr>
        <w:pStyle w:val="FooterTableFigure"/>
        <w:rPr>
          <w:rFonts w:eastAsia="Arial Narrow" w:cs="Arial Narrow"/>
          <w:color w:val="000000" w:themeColor="text1"/>
          <w:szCs w:val="18"/>
        </w:rPr>
      </w:pPr>
      <w:r w:rsidRPr="005A5BB7">
        <w:rPr>
          <w:rFonts w:eastAsia="Arial Narrow" w:cs="Arial Narrow"/>
          <w:color w:val="000000" w:themeColor="text1"/>
          <w:szCs w:val="18"/>
        </w:rPr>
        <w:t>End of Study VE Analysis: Cases reported from Day 15 post</w:t>
      </w:r>
      <w:r w:rsidR="000E4816">
        <w:rPr>
          <w:rFonts w:eastAsia="Arial Narrow" w:cs="Arial Narrow"/>
          <w:color w:val="000000" w:themeColor="text1"/>
          <w:szCs w:val="18"/>
        </w:rPr>
        <w:noBreakHyphen/>
      </w:r>
      <w:r w:rsidRPr="005A5BB7">
        <w:rPr>
          <w:rFonts w:eastAsia="Arial Narrow" w:cs="Arial Narrow"/>
          <w:color w:val="000000" w:themeColor="text1"/>
          <w:szCs w:val="18"/>
        </w:rPr>
        <w:t>Dose 1 up to efficacy data lock point 30 April 2024, or up to efficacy data lock point 30 September 2022 if no Dose 2 administration.</w:t>
      </w:r>
    </w:p>
    <w:p w14:paraId="1016C9BC" w14:textId="77777777" w:rsidR="00B228CF" w:rsidRPr="005A5BB7" w:rsidRDefault="00B228CF" w:rsidP="00B228CF">
      <w:pPr>
        <w:pStyle w:val="FooterTableFigure"/>
        <w:rPr>
          <w:rFonts w:eastAsia="Arial Narrow"/>
        </w:rPr>
      </w:pPr>
      <w:r w:rsidRPr="005A5BB7">
        <w:rPr>
          <w:rFonts w:eastAsia="Arial Narrow"/>
        </w:rPr>
        <w:t xml:space="preserve">Blue shading shows results previously seen by the PBAC. </w:t>
      </w:r>
    </w:p>
    <w:p w14:paraId="5E52BCE8" w14:textId="77777777" w:rsidR="00586723" w:rsidRPr="005A5BB7" w:rsidRDefault="00586723" w:rsidP="3FF051E5">
      <w:pPr>
        <w:pStyle w:val="FooterTableFigure"/>
        <w:rPr>
          <w:rFonts w:eastAsia="Arial Narrow" w:cs="Arial Narrow"/>
          <w:color w:val="000000" w:themeColor="text1"/>
          <w:szCs w:val="18"/>
        </w:rPr>
      </w:pPr>
    </w:p>
    <w:p w14:paraId="20CD96D1" w14:textId="73558121" w:rsidR="007149E2" w:rsidRPr="005A5BB7" w:rsidRDefault="3AF94912" w:rsidP="70F2D04B">
      <w:pPr>
        <w:pStyle w:val="3-BodyText"/>
      </w:pPr>
      <w:r>
        <w:t xml:space="preserve">The resubmission did not present analysis of VE </w:t>
      </w:r>
      <w:r w:rsidR="6ABA3DAC">
        <w:t xml:space="preserve">by individual </w:t>
      </w:r>
      <w:proofErr w:type="gramStart"/>
      <w:r w:rsidR="6ABA3DAC">
        <w:t>season</w:t>
      </w:r>
      <w:r w:rsidR="004D14A4">
        <w:t>,</w:t>
      </w:r>
      <w:proofErr w:type="gramEnd"/>
      <w:r w:rsidR="004D14A4">
        <w:t xml:space="preserve"> however results were extracted from the CSR where possible during the evaluation</w:t>
      </w:r>
      <w:r w:rsidR="6EC497AF">
        <w:t xml:space="preserve">. </w:t>
      </w:r>
      <w:r w:rsidR="25691F65">
        <w:t xml:space="preserve">ATAGI previously noted in the </w:t>
      </w:r>
      <w:r w:rsidR="32E8ACE0">
        <w:t xml:space="preserve">March 2025 </w:t>
      </w:r>
      <w:r w:rsidR="25691F65">
        <w:t>pre</w:t>
      </w:r>
      <w:r>
        <w:noBreakHyphen/>
      </w:r>
      <w:r w:rsidR="25691F65">
        <w:t xml:space="preserve">submission advice that </w:t>
      </w:r>
      <w:r w:rsidR="1EB19A67">
        <w:t>VE</w:t>
      </w:r>
      <w:r w:rsidR="25691F65">
        <w:t xml:space="preserve"> </w:t>
      </w:r>
      <w:r w:rsidR="186BC4C4">
        <w:t>estimates for</w:t>
      </w:r>
      <w:r w:rsidR="324B454D">
        <w:t xml:space="preserve"> </w:t>
      </w:r>
      <w:r w:rsidR="25691F65">
        <w:t>the overall population for Season 3 were lower than those measured for Season 1 and Season 2</w:t>
      </w:r>
      <w:r w:rsidR="00B92574">
        <w:t>,</w:t>
      </w:r>
      <w:r w:rsidR="25691F65">
        <w:t xml:space="preserve"> demonstrating that VE decreases over time</w:t>
      </w:r>
      <w:r w:rsidR="00F94920">
        <w:t xml:space="preserve"> (ATAGI pre</w:t>
      </w:r>
      <w:r>
        <w:noBreakHyphen/>
      </w:r>
      <w:r w:rsidR="00F94920">
        <w:t xml:space="preserve">submission advice, </w:t>
      </w:r>
      <w:r w:rsidR="00DF2C5B">
        <w:t>March 2025, p33)</w:t>
      </w:r>
      <w:r w:rsidR="25691F65">
        <w:t xml:space="preserve">. The </w:t>
      </w:r>
      <w:r w:rsidR="7F9B567D">
        <w:t>resubmission</w:t>
      </w:r>
      <w:r w:rsidR="00E52AC8">
        <w:t>’s claims</w:t>
      </w:r>
      <w:r w:rsidR="25691F65">
        <w:t xml:space="preserve"> for VE are based on results for the cumulative effectiveness across the seasons, which was a secondary confirmatory endpoint</w:t>
      </w:r>
      <w:r w:rsidR="459E6DCC">
        <w:t xml:space="preserve">, </w:t>
      </w:r>
      <w:r w:rsidR="387CA616">
        <w:t>with</w:t>
      </w:r>
      <w:r w:rsidR="459E6DCC">
        <w:t xml:space="preserve"> t</w:t>
      </w:r>
      <w:r w:rsidR="4F5B7EE9">
        <w:t>he</w:t>
      </w:r>
      <w:r w:rsidR="459E6DCC">
        <w:t xml:space="preserve"> AReSVi</w:t>
      </w:r>
      <w:r>
        <w:noBreakHyphen/>
      </w:r>
      <w:r w:rsidR="459E6DCC">
        <w:t xml:space="preserve">006 </w:t>
      </w:r>
      <w:r w:rsidR="60AD6F4C">
        <w:t xml:space="preserve">trial </w:t>
      </w:r>
      <w:r w:rsidR="459E6DCC">
        <w:t xml:space="preserve">not powered to evaluate season specific efficacy. </w:t>
      </w:r>
      <w:r w:rsidR="003754EF">
        <w:t>T</w:t>
      </w:r>
      <w:r w:rsidR="6383DAEF">
        <w:t xml:space="preserve">he overall population </w:t>
      </w:r>
      <w:r w:rsidR="459E6DCC">
        <w:t>VE estimates in each season demonstrate lower efficacy in each season compared with the cumulative results for across the seasons.</w:t>
      </w:r>
      <w:r w:rsidR="00791E7A">
        <w:t xml:space="preserve"> </w:t>
      </w:r>
      <w:r w:rsidR="00791E7A" w:rsidRPr="00791E7A">
        <w:t>The evaluation noted that for season 3, the lower limit of the 95% confidence interval was &gt;20% (the VE threshold defined for the primary VE objective) for RSV-ARI but not for RSV-LRTD and severe RSV-LRTD.</w:t>
      </w:r>
    </w:p>
    <w:p w14:paraId="1C667670" w14:textId="0348C485" w:rsidR="004520BB" w:rsidRPr="005A5BB7" w:rsidRDefault="3B5AABC7">
      <w:pPr>
        <w:pStyle w:val="3-BodyText"/>
      </w:pPr>
      <w:r>
        <w:t xml:space="preserve">Analysis of VE </w:t>
      </w:r>
      <w:r w:rsidR="3C402D8B">
        <w:t>by baseline comorbidities of interest by individual season</w:t>
      </w:r>
      <w:r>
        <w:t xml:space="preserve"> is provided </w:t>
      </w:r>
      <w:r w:rsidR="00E47FF6">
        <w:t>in</w:t>
      </w:r>
      <w:r w:rsidR="002A42B9">
        <w:t xml:space="preserve"> </w:t>
      </w:r>
      <w:r>
        <w:fldChar w:fldCharType="begin"/>
      </w:r>
      <w:r>
        <w:instrText xml:space="preserve"> REF _Ref224836824 \h </w:instrText>
      </w:r>
      <w:r>
        <w:fldChar w:fldCharType="separate"/>
      </w:r>
      <w:r w:rsidR="0043658C">
        <w:t xml:space="preserve">Table </w:t>
      </w:r>
      <w:r w:rsidR="0043658C" w:rsidRPr="310F0368">
        <w:rPr>
          <w:noProof/>
        </w:rPr>
        <w:t>8</w:t>
      </w:r>
      <w:r>
        <w:fldChar w:fldCharType="end"/>
      </w:r>
      <w:r w:rsidR="002A42B9">
        <w:t>.</w:t>
      </w:r>
      <w:r w:rsidR="00DA1339">
        <w:t xml:space="preserve"> </w:t>
      </w:r>
      <w:r w:rsidR="002A42B9">
        <w:t>C</w:t>
      </w:r>
      <w:r w:rsidR="7D385159">
        <w:t>omparison o</w:t>
      </w:r>
      <w:r w:rsidR="2B53EDBD">
        <w:t>f</w:t>
      </w:r>
      <w:r w:rsidR="7D385159">
        <w:t xml:space="preserve"> VE </w:t>
      </w:r>
      <w:r w:rsidR="4A0DE844">
        <w:t xml:space="preserve">for </w:t>
      </w:r>
      <w:r w:rsidR="7D385159">
        <w:t>baseline comorbidities of interest</w:t>
      </w:r>
      <w:r w:rsidR="52323199">
        <w:t xml:space="preserve"> subgroups</w:t>
      </w:r>
      <w:r w:rsidR="7D385159">
        <w:t xml:space="preserve"> show </w:t>
      </w:r>
      <w:r w:rsidR="506A8EBD">
        <w:t xml:space="preserve">lower values </w:t>
      </w:r>
      <w:r w:rsidR="00F71303">
        <w:t>in Season</w:t>
      </w:r>
      <w:r w:rsidR="003754EF">
        <w:t xml:space="preserve"> </w:t>
      </w:r>
      <w:r w:rsidR="00F71303">
        <w:t xml:space="preserve">2 </w:t>
      </w:r>
      <w:r w:rsidR="00AF46FF">
        <w:t xml:space="preserve">(54.35%) </w:t>
      </w:r>
      <w:r w:rsidR="00F71303">
        <w:t xml:space="preserve">and Season 3 </w:t>
      </w:r>
      <w:r w:rsidR="00AF46FF">
        <w:t xml:space="preserve">(57.82%) </w:t>
      </w:r>
      <w:r w:rsidR="00F71303">
        <w:t xml:space="preserve">analysis </w:t>
      </w:r>
      <w:r w:rsidR="6EFB0A13">
        <w:t>when compared to cumulative values</w:t>
      </w:r>
      <w:r w:rsidR="00F71303">
        <w:t xml:space="preserve"> at the end of Season 3</w:t>
      </w:r>
      <w:r w:rsidR="6EFB0A13">
        <w:t xml:space="preserve"> </w:t>
      </w:r>
      <w:r w:rsidR="00AF46FF">
        <w:t>(</w:t>
      </w:r>
      <w:r w:rsidR="00B871E7">
        <w:t xml:space="preserve">64.7%) </w:t>
      </w:r>
      <w:r w:rsidR="6EFB0A13">
        <w:t>in the</w:t>
      </w:r>
      <w:r w:rsidR="506A8EBD">
        <w:t xml:space="preserve"> </w:t>
      </w:r>
      <w:r w:rsidR="49E5B2E0">
        <w:t>≥1 pre</w:t>
      </w:r>
      <w:r>
        <w:noBreakHyphen/>
      </w:r>
      <w:r w:rsidR="49E5B2E0">
        <w:t>existing comorbidity of interest group</w:t>
      </w:r>
      <w:r w:rsidR="00AF46FF">
        <w:t xml:space="preserve">. </w:t>
      </w:r>
      <w:r w:rsidR="00DE6116">
        <w:t>Similarly,</w:t>
      </w:r>
      <w:r w:rsidR="00B871E7">
        <w:t xml:space="preserve"> the </w:t>
      </w:r>
      <w:r w:rsidR="4BC473A5">
        <w:t>≥1 pre</w:t>
      </w:r>
      <w:r>
        <w:noBreakHyphen/>
      </w:r>
      <w:r w:rsidR="4BC473A5">
        <w:t xml:space="preserve">existing cardiorespiratory condition </w:t>
      </w:r>
      <w:r w:rsidR="00DE6116">
        <w:t>had lower values in Season 2 (61.97%) and Season 3 (59.64%) than the cumulative value at the end of Season 3 (68.1%). The</w:t>
      </w:r>
      <w:r w:rsidR="005B6332">
        <w:t xml:space="preserve"> CSR reported that the</w:t>
      </w:r>
      <w:r w:rsidR="00DE6116">
        <w:t xml:space="preserve"> </w:t>
      </w:r>
      <w:r w:rsidR="4AADB011">
        <w:t>≥1 pre</w:t>
      </w:r>
      <w:r>
        <w:noBreakHyphen/>
      </w:r>
      <w:r w:rsidR="4AADB011">
        <w:t xml:space="preserve">existing endocrinometabolic </w:t>
      </w:r>
      <w:r w:rsidR="0D2913F7">
        <w:t>condition</w:t>
      </w:r>
      <w:r w:rsidR="005B6332">
        <w:t xml:space="preserve"> group</w:t>
      </w:r>
      <w:r w:rsidR="0D2913F7">
        <w:t xml:space="preserve"> </w:t>
      </w:r>
      <w:r w:rsidR="005B6332">
        <w:t>could not be reliably estimated for participants by individual season</w:t>
      </w:r>
      <w:r w:rsidR="00F81392">
        <w:t>, which</w:t>
      </w:r>
      <w:r w:rsidR="000021B9">
        <w:t xml:space="preserve"> had small numbers per season and wide 95% confidence intervals</w:t>
      </w:r>
      <w:r w:rsidR="00FB204C">
        <w:t>.</w:t>
      </w:r>
      <w:r w:rsidR="004C720F">
        <w:t xml:space="preserve"> </w:t>
      </w:r>
      <w:r w:rsidR="004C720F" w:rsidRPr="004C720F">
        <w:t xml:space="preserve">The evaluation noted that </w:t>
      </w:r>
      <w:proofErr w:type="gramStart"/>
      <w:r w:rsidR="004C720F" w:rsidRPr="004C720F">
        <w:t>all of</w:t>
      </w:r>
      <w:proofErr w:type="gramEnd"/>
      <w:r w:rsidR="004C720F" w:rsidRPr="004C720F">
        <w:t xml:space="preserve"> the comorbidity groups demonstrated 95% confidence intervals with lower limits below 20% by Season 3.</w:t>
      </w:r>
    </w:p>
    <w:p w14:paraId="260D9C5D" w14:textId="00F1E014" w:rsidR="006C339F" w:rsidRPr="005A5BB7" w:rsidRDefault="006C339F">
      <w:pPr>
        <w:jc w:val="left"/>
        <w:rPr>
          <w:rFonts w:ascii="Arial Narrow" w:hAnsi="Arial Narrow"/>
          <w:b/>
          <w:bCs/>
          <w:sz w:val="20"/>
          <w:szCs w:val="18"/>
        </w:rPr>
      </w:pPr>
      <w:bookmarkStart w:id="46" w:name="_Ref219642968"/>
    </w:p>
    <w:p w14:paraId="0DCA53AC" w14:textId="67820AA0" w:rsidR="00E47FF6" w:rsidRPr="005A5BB7" w:rsidRDefault="00E47FF6" w:rsidP="002A42B9">
      <w:pPr>
        <w:pStyle w:val="Caption"/>
      </w:pPr>
      <w:bookmarkStart w:id="47" w:name="_Ref224836824"/>
      <w:r w:rsidRPr="005A5BB7">
        <w:lastRenderedPageBreak/>
        <w:t xml:space="preserve">Table </w:t>
      </w:r>
      <w:fldSimple w:instr=" SEQ Table \* ARABIC ">
        <w:r w:rsidR="0043658C">
          <w:rPr>
            <w:noProof/>
          </w:rPr>
          <w:t>8</w:t>
        </w:r>
      </w:fldSimple>
      <w:bookmarkEnd w:id="46"/>
      <w:bookmarkEnd w:id="47"/>
      <w:r w:rsidRPr="005A5BB7">
        <w:t>: Season specific vaccine efficacy of a single dose of RSVPreF3 OA against first occurrence of RSV</w:t>
      </w:r>
      <w:r w:rsidR="000E4816">
        <w:noBreakHyphen/>
      </w:r>
      <w:r w:rsidRPr="005A5BB7">
        <w:t>LRTD by baseline comorbidities of interest using Poisson Method (mES)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Season specific vaccine efficacy of a single dose of RSVPreF3 OA against first occurrence of RSV LRTD by baseline comorbidities of interest using Poisson Method (mES)"/>
      </w:tblPr>
      <w:tblGrid>
        <w:gridCol w:w="1951"/>
        <w:gridCol w:w="559"/>
        <w:gridCol w:w="507"/>
        <w:gridCol w:w="696"/>
        <w:gridCol w:w="702"/>
        <w:gridCol w:w="703"/>
        <w:gridCol w:w="563"/>
        <w:gridCol w:w="703"/>
        <w:gridCol w:w="707"/>
        <w:gridCol w:w="1926"/>
      </w:tblGrid>
      <w:tr w:rsidR="00DE5805" w:rsidRPr="005A5BB7" w14:paraId="16A34F09" w14:textId="77777777">
        <w:trPr>
          <w:trHeight w:val="170"/>
        </w:trPr>
        <w:tc>
          <w:tcPr>
            <w:tcW w:w="1082" w:type="pct"/>
            <w:vMerge w:val="restart"/>
            <w:vAlign w:val="center"/>
          </w:tcPr>
          <w:p w14:paraId="703CFB79" w14:textId="77777777" w:rsidR="007149E2" w:rsidRPr="005A5BB7" w:rsidRDefault="007149E2" w:rsidP="002A42B9">
            <w:pPr>
              <w:keepNext/>
              <w:jc w:val="left"/>
              <w:rPr>
                <w:rFonts w:ascii="Arial Narrow" w:hAnsi="Arial Narrow" w:cs="Calibri"/>
                <w:b/>
                <w:bCs/>
                <w:sz w:val="20"/>
                <w:szCs w:val="20"/>
              </w:rPr>
            </w:pPr>
            <w:r w:rsidRPr="005A5BB7">
              <w:rPr>
                <w:rFonts w:ascii="Arial Narrow" w:hAnsi="Arial Narrow" w:cs="Calibri"/>
                <w:b/>
                <w:bCs/>
                <w:color w:val="000000"/>
                <w:sz w:val="20"/>
                <w:szCs w:val="20"/>
              </w:rPr>
              <w:t>Endpoint</w:t>
            </w:r>
          </w:p>
        </w:tc>
        <w:tc>
          <w:tcPr>
            <w:tcW w:w="1366" w:type="pct"/>
            <w:gridSpan w:val="4"/>
            <w:vAlign w:val="center"/>
            <w:hideMark/>
          </w:tcPr>
          <w:p w14:paraId="6E88397B" w14:textId="77777777" w:rsidR="007149E2" w:rsidRPr="005A5BB7" w:rsidRDefault="007149E2" w:rsidP="002A42B9">
            <w:pPr>
              <w:keepNext/>
              <w:jc w:val="center"/>
              <w:rPr>
                <w:rFonts w:ascii="Arial Narrow" w:hAnsi="Arial Narrow" w:cs="Calibri"/>
                <w:b/>
                <w:bCs/>
                <w:sz w:val="20"/>
                <w:szCs w:val="20"/>
              </w:rPr>
            </w:pPr>
            <w:r w:rsidRPr="005A5BB7">
              <w:rPr>
                <w:rFonts w:ascii="Arial Narrow" w:hAnsi="Arial Narrow" w:cs="Calibri"/>
                <w:b/>
                <w:bCs/>
                <w:sz w:val="20"/>
                <w:szCs w:val="20"/>
              </w:rPr>
              <w:t>RSVPreF3 OA</w:t>
            </w:r>
          </w:p>
        </w:tc>
        <w:tc>
          <w:tcPr>
            <w:tcW w:w="1484" w:type="pct"/>
            <w:gridSpan w:val="4"/>
            <w:vAlign w:val="center"/>
          </w:tcPr>
          <w:p w14:paraId="7B120C81"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Placebo</w:t>
            </w:r>
          </w:p>
        </w:tc>
        <w:tc>
          <w:tcPr>
            <w:tcW w:w="1068" w:type="pct"/>
            <w:vAlign w:val="center"/>
            <w:hideMark/>
          </w:tcPr>
          <w:p w14:paraId="7E76B58F" w14:textId="77777777" w:rsidR="007149E2" w:rsidRPr="005A5BB7" w:rsidRDefault="007149E2" w:rsidP="002A42B9">
            <w:pPr>
              <w:keepNext/>
              <w:jc w:val="center"/>
              <w:rPr>
                <w:rFonts w:ascii="Arial Narrow" w:hAnsi="Arial Narrow" w:cs="Calibri"/>
                <w:b/>
                <w:bCs/>
                <w:sz w:val="20"/>
                <w:szCs w:val="20"/>
              </w:rPr>
            </w:pPr>
            <w:r w:rsidRPr="005A5BB7">
              <w:rPr>
                <w:rFonts w:ascii="Arial Narrow" w:hAnsi="Arial Narrow" w:cs="Calibri"/>
                <w:b/>
                <w:bCs/>
                <w:sz w:val="20"/>
                <w:szCs w:val="20"/>
              </w:rPr>
              <w:t>VE %</w:t>
            </w:r>
          </w:p>
          <w:p w14:paraId="2B20232A" w14:textId="2F4B8945"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(95% CI); p</w:t>
            </w:r>
            <w:r w:rsidR="000E4816">
              <w:rPr>
                <w:rFonts w:ascii="Arial Narrow" w:hAnsi="Arial Narrow" w:cs="Calibri"/>
                <w:b/>
                <w:bCs/>
                <w:sz w:val="20"/>
                <w:szCs w:val="20"/>
              </w:rPr>
              <w:noBreakHyphen/>
            </w:r>
            <w:r w:rsidRPr="005A5BB7">
              <w:rPr>
                <w:rFonts w:ascii="Arial Narrow" w:hAnsi="Arial Narrow" w:cs="Calibri"/>
                <w:b/>
                <w:bCs/>
                <w:sz w:val="20"/>
                <w:szCs w:val="20"/>
              </w:rPr>
              <w:t>value</w:t>
            </w:r>
          </w:p>
        </w:tc>
      </w:tr>
      <w:tr w:rsidR="00DE5805" w:rsidRPr="005A5BB7" w14:paraId="1C9FC8EE" w14:textId="77777777">
        <w:trPr>
          <w:trHeight w:val="170"/>
        </w:trPr>
        <w:tc>
          <w:tcPr>
            <w:tcW w:w="1082" w:type="pct"/>
            <w:vMerge/>
            <w:vAlign w:val="center"/>
          </w:tcPr>
          <w:p w14:paraId="7A030EDB" w14:textId="77777777" w:rsidR="007149E2" w:rsidRPr="005A5BB7" w:rsidRDefault="007149E2" w:rsidP="002A42B9">
            <w:pPr>
              <w:keepNext/>
              <w:jc w:val="left"/>
              <w:rPr>
                <w:rFonts w:ascii="Arial Narrow" w:hAnsi="Arial Narrow" w:cs="Calibri"/>
                <w:b/>
                <w:bCs/>
                <w:sz w:val="20"/>
                <w:szCs w:val="20"/>
              </w:rPr>
            </w:pPr>
          </w:p>
        </w:tc>
        <w:tc>
          <w:tcPr>
            <w:tcW w:w="310" w:type="pct"/>
            <w:vAlign w:val="center"/>
            <w:hideMark/>
          </w:tcPr>
          <w:p w14:paraId="625DE8CF"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281" w:type="pct"/>
            <w:vAlign w:val="center"/>
            <w:hideMark/>
          </w:tcPr>
          <w:p w14:paraId="47B933C7"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86" w:type="pct"/>
            <w:vAlign w:val="center"/>
            <w:hideMark/>
          </w:tcPr>
          <w:p w14:paraId="27042652"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T (year)</w:t>
            </w:r>
          </w:p>
        </w:tc>
        <w:tc>
          <w:tcPr>
            <w:tcW w:w="389" w:type="pct"/>
            <w:vAlign w:val="center"/>
          </w:tcPr>
          <w:p w14:paraId="653EE723" w14:textId="77777777" w:rsidR="007149E2" w:rsidRPr="005A5BB7" w:rsidRDefault="007149E2" w:rsidP="002A42B9">
            <w:pPr>
              <w:keepNext/>
              <w:jc w:val="center"/>
              <w:rPr>
                <w:rFonts w:ascii="Arial Narrow" w:hAnsi="Arial Narrow" w:cs="Calibri"/>
                <w:b/>
                <w:bCs/>
                <w:sz w:val="20"/>
                <w:szCs w:val="20"/>
              </w:rPr>
            </w:pPr>
            <w:r w:rsidRPr="005A5BB7">
              <w:rPr>
                <w:rFonts w:ascii="Arial Narrow" w:hAnsi="Arial Narrow" w:cs="Calibri"/>
                <w:b/>
                <w:bCs/>
                <w:sz w:val="20"/>
                <w:szCs w:val="20"/>
              </w:rPr>
              <w:t>n/T (per 1000)</w:t>
            </w:r>
          </w:p>
        </w:tc>
        <w:tc>
          <w:tcPr>
            <w:tcW w:w="390" w:type="pct"/>
            <w:vAlign w:val="center"/>
            <w:hideMark/>
          </w:tcPr>
          <w:p w14:paraId="39361144"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12" w:type="pct"/>
            <w:vAlign w:val="center"/>
            <w:hideMark/>
          </w:tcPr>
          <w:p w14:paraId="6A413897"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90" w:type="pct"/>
            <w:vAlign w:val="center"/>
          </w:tcPr>
          <w:p w14:paraId="6324DF5B" w14:textId="77777777" w:rsidR="007149E2" w:rsidRPr="005A5BB7" w:rsidRDefault="007149E2" w:rsidP="002A42B9">
            <w:pPr>
              <w:keepNext/>
              <w:jc w:val="center"/>
              <w:rPr>
                <w:rFonts w:ascii="Arial Narrow" w:hAnsi="Arial Narrow" w:cs="Calibri"/>
                <w:b/>
                <w:bCs/>
                <w:sz w:val="20"/>
                <w:szCs w:val="20"/>
              </w:rPr>
            </w:pPr>
            <w:r w:rsidRPr="005A5BB7">
              <w:rPr>
                <w:rFonts w:ascii="Arial Narrow" w:hAnsi="Arial Narrow" w:cs="Calibri"/>
                <w:b/>
                <w:bCs/>
                <w:sz w:val="20"/>
                <w:szCs w:val="20"/>
              </w:rPr>
              <w:t>T (year)</w:t>
            </w:r>
          </w:p>
        </w:tc>
        <w:tc>
          <w:tcPr>
            <w:tcW w:w="392" w:type="pct"/>
            <w:vAlign w:val="center"/>
            <w:hideMark/>
          </w:tcPr>
          <w:p w14:paraId="1899927C" w14:textId="77777777" w:rsidR="007149E2" w:rsidRPr="005A5BB7" w:rsidRDefault="007149E2" w:rsidP="002A42B9">
            <w:pPr>
              <w:keepNext/>
              <w:jc w:val="center"/>
              <w:rPr>
                <w:rFonts w:ascii="Arial Narrow" w:hAnsi="Arial Narrow" w:cs="Calibri"/>
                <w:b/>
                <w:bCs/>
                <w:color w:val="000000"/>
                <w:sz w:val="20"/>
                <w:szCs w:val="20"/>
              </w:rPr>
            </w:pPr>
            <w:r w:rsidRPr="005A5BB7">
              <w:rPr>
                <w:rFonts w:ascii="Arial Narrow" w:hAnsi="Arial Narrow" w:cs="Calibri"/>
                <w:b/>
                <w:bCs/>
                <w:sz w:val="20"/>
                <w:szCs w:val="20"/>
              </w:rPr>
              <w:t>n/T (per 1000)</w:t>
            </w:r>
          </w:p>
        </w:tc>
        <w:tc>
          <w:tcPr>
            <w:tcW w:w="1068" w:type="pct"/>
            <w:vAlign w:val="center"/>
            <w:hideMark/>
          </w:tcPr>
          <w:p w14:paraId="56954C27" w14:textId="77777777" w:rsidR="007149E2" w:rsidRPr="005A5BB7" w:rsidRDefault="007149E2" w:rsidP="002A42B9">
            <w:pPr>
              <w:keepNext/>
              <w:jc w:val="center"/>
              <w:rPr>
                <w:rFonts w:ascii="Arial Narrow" w:hAnsi="Arial Narrow" w:cs="Calibri"/>
                <w:b/>
                <w:bCs/>
                <w:color w:val="000000"/>
                <w:sz w:val="20"/>
                <w:szCs w:val="20"/>
              </w:rPr>
            </w:pPr>
          </w:p>
        </w:tc>
      </w:tr>
      <w:tr w:rsidR="00905D2F" w:rsidRPr="005A5BB7" w14:paraId="63ABE6FB" w14:textId="77777777">
        <w:trPr>
          <w:trHeight w:val="170"/>
        </w:trPr>
        <w:tc>
          <w:tcPr>
            <w:tcW w:w="5000" w:type="pct"/>
            <w:gridSpan w:val="10"/>
            <w:tcBorders>
              <w:top w:val="single" w:sz="4" w:space="0" w:color="auto"/>
              <w:left w:val="single" w:sz="4" w:space="0" w:color="auto"/>
              <w:right w:val="single" w:sz="4" w:space="0" w:color="auto"/>
            </w:tcBorders>
            <w:vAlign w:val="center"/>
          </w:tcPr>
          <w:p w14:paraId="21981D61" w14:textId="7E4CEF30" w:rsidR="007149E2" w:rsidRPr="005A5BB7" w:rsidRDefault="007149E2" w:rsidP="002A42B9">
            <w:pPr>
              <w:keepNext/>
              <w:jc w:val="left"/>
              <w:rPr>
                <w:rFonts w:ascii="Arial Narrow" w:hAnsi="Arial Narrow" w:cs="Times New Roman"/>
                <w:b/>
                <w:bCs/>
                <w:sz w:val="20"/>
              </w:rPr>
            </w:pPr>
            <w:r w:rsidRPr="005A5BB7">
              <w:rPr>
                <w:rFonts w:ascii="Arial Narrow" w:hAnsi="Arial Narrow" w:cs="Times New Roman"/>
                <w:b/>
                <w:bCs/>
                <w:sz w:val="20"/>
              </w:rPr>
              <w:t xml:space="preserve">Descriptive secondary endpoints: </w:t>
            </w:r>
            <w:r w:rsidRPr="005A5BB7">
              <w:rPr>
                <w:rFonts w:ascii="Arial Narrow" w:hAnsi="Arial Narrow" w:cs="Calibri"/>
                <w:b/>
                <w:bCs/>
                <w:color w:val="000000" w:themeColor="text1"/>
                <w:sz w:val="20"/>
                <w:szCs w:val="20"/>
              </w:rPr>
              <w:t>RSV</w:t>
            </w:r>
            <w:r w:rsidR="000E4816">
              <w:rPr>
                <w:rFonts w:ascii="Arial Narrow" w:hAnsi="Arial Narrow" w:cs="Calibri"/>
                <w:b/>
                <w:bCs/>
                <w:color w:val="000000" w:themeColor="text1"/>
                <w:sz w:val="20"/>
                <w:szCs w:val="20"/>
              </w:rPr>
              <w:noBreakHyphen/>
            </w:r>
            <w:r w:rsidRPr="005A5BB7">
              <w:rPr>
                <w:rFonts w:ascii="Arial Narrow" w:hAnsi="Arial Narrow" w:cs="Calibri"/>
                <w:b/>
                <w:bCs/>
                <w:color w:val="000000" w:themeColor="text1"/>
                <w:sz w:val="20"/>
                <w:szCs w:val="20"/>
              </w:rPr>
              <w:t>LRTD by baseline comorbidities of interest</w:t>
            </w:r>
          </w:p>
        </w:tc>
      </w:tr>
      <w:tr w:rsidR="00905D2F" w:rsidRPr="005A5BB7" w14:paraId="41538C03" w14:textId="77777777">
        <w:trPr>
          <w:trHeight w:val="170"/>
        </w:trPr>
        <w:tc>
          <w:tcPr>
            <w:tcW w:w="5000" w:type="pct"/>
            <w:gridSpan w:val="10"/>
            <w:tcBorders>
              <w:top w:val="single" w:sz="4" w:space="0" w:color="auto"/>
              <w:left w:val="single" w:sz="4" w:space="0" w:color="auto"/>
              <w:right w:val="single" w:sz="4" w:space="0" w:color="auto"/>
            </w:tcBorders>
            <w:vAlign w:val="center"/>
          </w:tcPr>
          <w:p w14:paraId="54C915BB" w14:textId="5F7C6B9E" w:rsidR="007149E2" w:rsidRPr="005A5BB7" w:rsidRDefault="007149E2" w:rsidP="002A42B9">
            <w:pPr>
              <w:keepNext/>
              <w:jc w:val="left"/>
              <w:rPr>
                <w:rFonts w:ascii="Arial Narrow" w:hAnsi="Arial Narrow" w:cs="Times New Roman"/>
                <w:b/>
                <w:sz w:val="20"/>
                <w:szCs w:val="20"/>
              </w:rPr>
            </w:pPr>
            <w:r w:rsidRPr="005A5BB7">
              <w:rPr>
                <w:rFonts w:ascii="Arial Narrow" w:hAnsi="Arial Narrow" w:cs="Times New Roman"/>
                <w:b/>
                <w:bCs/>
                <w:sz w:val="20"/>
                <w:szCs w:val="20"/>
              </w:rPr>
              <w:t xml:space="preserve">VE Analysis S1 </w:t>
            </w:r>
            <w:r w:rsidR="259BE2D7" w:rsidRPr="005A5BB7">
              <w:rPr>
                <w:rFonts w:ascii="Arial Narrow" w:hAnsi="Arial Narrow" w:cs="Times New Roman"/>
                <w:b/>
                <w:bCs/>
                <w:sz w:val="20"/>
                <w:szCs w:val="20"/>
              </w:rPr>
              <w:t>(</w:t>
            </w:r>
            <w:r w:rsidR="35A41A7F" w:rsidRPr="005A5BB7">
              <w:rPr>
                <w:rFonts w:ascii="Arial Narrow" w:hAnsi="Arial Narrow" w:cs="Times New Roman"/>
                <w:b/>
                <w:bCs/>
                <w:sz w:val="20"/>
                <w:szCs w:val="20"/>
              </w:rPr>
              <w:t>Southern Hemisphere</w:t>
            </w:r>
            <w:r w:rsidR="0B992A39" w:rsidRPr="005A5BB7">
              <w:rPr>
                <w:rFonts w:ascii="Arial Narrow" w:hAnsi="Arial Narrow" w:cs="Times New Roman"/>
                <w:b/>
                <w:bCs/>
                <w:sz w:val="20"/>
                <w:szCs w:val="20"/>
              </w:rPr>
              <w:t>)</w:t>
            </w:r>
          </w:p>
        </w:tc>
      </w:tr>
      <w:tr w:rsidR="00DE5805" w:rsidRPr="005A5BB7" w14:paraId="7C1B10DC" w14:textId="77777777">
        <w:trPr>
          <w:trHeight w:val="170"/>
        </w:trPr>
        <w:tc>
          <w:tcPr>
            <w:tcW w:w="1082" w:type="pct"/>
            <w:tcBorders>
              <w:left w:val="single" w:sz="4" w:space="0" w:color="auto"/>
              <w:right w:val="single" w:sz="4" w:space="0" w:color="auto"/>
            </w:tcBorders>
            <w:shd w:val="clear" w:color="auto" w:fill="DBE5F1" w:themeFill="accent1" w:themeFillTint="33"/>
            <w:vAlign w:val="center"/>
          </w:tcPr>
          <w:p w14:paraId="3D2F2A34" w14:textId="77777777" w:rsidR="007149E2" w:rsidRPr="005A5BB7" w:rsidRDefault="007149E2" w:rsidP="002A42B9">
            <w:pPr>
              <w:keepNext/>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1</w:t>
            </w:r>
          </w:p>
        </w:tc>
        <w:tc>
          <w:tcPr>
            <w:tcW w:w="310" w:type="pct"/>
            <w:tcBorders>
              <w:left w:val="single" w:sz="4" w:space="0" w:color="auto"/>
            </w:tcBorders>
            <w:shd w:val="clear" w:color="auto" w:fill="DBE5F1" w:themeFill="accent1" w:themeFillTint="33"/>
            <w:vAlign w:val="center"/>
          </w:tcPr>
          <w:p w14:paraId="5572E1EF" w14:textId="3215661A"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12468</w:t>
            </w:r>
          </w:p>
        </w:tc>
        <w:tc>
          <w:tcPr>
            <w:tcW w:w="281" w:type="pct"/>
            <w:shd w:val="clear" w:color="auto" w:fill="DBE5F1" w:themeFill="accent1" w:themeFillTint="33"/>
            <w:vAlign w:val="center"/>
          </w:tcPr>
          <w:p w14:paraId="33526DE2" w14:textId="70330501" w:rsidR="007149E2" w:rsidRPr="005A5BB7" w:rsidRDefault="008D74F8" w:rsidP="002A42B9">
            <w:pPr>
              <w:keepNext/>
              <w:jc w:val="center"/>
              <w:rPr>
                <w:rFonts w:ascii="Arial Narrow" w:hAnsi="Arial Narrow" w:cs="Times New Roman"/>
                <w:sz w:val="20"/>
              </w:rPr>
            </w:pPr>
            <w:r w:rsidRPr="005A5BB7">
              <w:rPr>
                <w:rFonts w:ascii="Arial Narrow" w:hAnsi="Arial Narrow" w:cs="Times New Roman"/>
                <w:sz w:val="20"/>
              </w:rPr>
              <w:t>15</w:t>
            </w:r>
          </w:p>
        </w:tc>
        <w:tc>
          <w:tcPr>
            <w:tcW w:w="386" w:type="pct"/>
            <w:shd w:val="clear" w:color="auto" w:fill="DBE5F1" w:themeFill="accent1" w:themeFillTint="33"/>
            <w:vAlign w:val="center"/>
          </w:tcPr>
          <w:p w14:paraId="7C4E4BB1" w14:textId="015B0E13"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11688.4</w:t>
            </w:r>
          </w:p>
        </w:tc>
        <w:tc>
          <w:tcPr>
            <w:tcW w:w="389" w:type="pct"/>
            <w:shd w:val="clear" w:color="auto" w:fill="DBE5F1" w:themeFill="accent1" w:themeFillTint="33"/>
            <w:vAlign w:val="center"/>
          </w:tcPr>
          <w:p w14:paraId="62BAC846" w14:textId="6E8EA11D" w:rsidR="007149E2" w:rsidRPr="005A5BB7" w:rsidRDefault="008D74F8" w:rsidP="002A42B9">
            <w:pPr>
              <w:keepNext/>
              <w:jc w:val="center"/>
              <w:rPr>
                <w:rFonts w:ascii="Arial Narrow" w:hAnsi="Arial Narrow" w:cs="Times New Roman"/>
                <w:sz w:val="20"/>
              </w:rPr>
            </w:pPr>
            <w:r w:rsidRPr="005A5BB7">
              <w:rPr>
                <w:rFonts w:ascii="Arial Narrow" w:hAnsi="Arial Narrow" w:cs="Times New Roman"/>
                <w:sz w:val="20"/>
              </w:rPr>
              <w:t>1.3</w:t>
            </w:r>
          </w:p>
        </w:tc>
        <w:tc>
          <w:tcPr>
            <w:tcW w:w="390" w:type="pct"/>
            <w:shd w:val="clear" w:color="auto" w:fill="DBE5F1" w:themeFill="accent1" w:themeFillTint="33"/>
            <w:vAlign w:val="center"/>
          </w:tcPr>
          <w:p w14:paraId="32A212C0" w14:textId="12F54A72"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12498</w:t>
            </w:r>
          </w:p>
        </w:tc>
        <w:tc>
          <w:tcPr>
            <w:tcW w:w="312" w:type="pct"/>
            <w:shd w:val="clear" w:color="auto" w:fill="DBE5F1" w:themeFill="accent1" w:themeFillTint="33"/>
            <w:vAlign w:val="center"/>
          </w:tcPr>
          <w:p w14:paraId="0EB62A1E" w14:textId="7A3BC1F2"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58</w:t>
            </w:r>
          </w:p>
        </w:tc>
        <w:tc>
          <w:tcPr>
            <w:tcW w:w="390" w:type="pct"/>
            <w:shd w:val="clear" w:color="auto" w:fill="DBE5F1" w:themeFill="accent1" w:themeFillTint="33"/>
            <w:vAlign w:val="center"/>
          </w:tcPr>
          <w:p w14:paraId="7D7A769E" w14:textId="16EE8A0B"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11649.8</w:t>
            </w:r>
          </w:p>
        </w:tc>
        <w:tc>
          <w:tcPr>
            <w:tcW w:w="392" w:type="pct"/>
            <w:shd w:val="clear" w:color="auto" w:fill="DBE5F1" w:themeFill="accent1" w:themeFillTint="33"/>
            <w:vAlign w:val="center"/>
          </w:tcPr>
          <w:p w14:paraId="5E2594AA" w14:textId="04B88E00" w:rsidR="007149E2" w:rsidRPr="005A5BB7" w:rsidRDefault="008D74F8"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5.0</w:t>
            </w:r>
          </w:p>
        </w:tc>
        <w:tc>
          <w:tcPr>
            <w:tcW w:w="1068" w:type="pct"/>
            <w:shd w:val="clear" w:color="auto" w:fill="DBE5F1" w:themeFill="accent1" w:themeFillTint="33"/>
            <w:vAlign w:val="center"/>
          </w:tcPr>
          <w:p w14:paraId="62C534F8" w14:textId="4DA2735A" w:rsidR="007149E2" w:rsidRPr="005A5BB7" w:rsidRDefault="008D74F8" w:rsidP="002A42B9">
            <w:pPr>
              <w:keepNext/>
              <w:jc w:val="center"/>
              <w:rPr>
                <w:rFonts w:ascii="Arial Narrow" w:hAnsi="Arial Narrow" w:cs="Times New Roman"/>
                <w:sz w:val="20"/>
                <w:szCs w:val="20"/>
              </w:rPr>
            </w:pPr>
            <w:r w:rsidRPr="005A5BB7">
              <w:rPr>
                <w:rFonts w:ascii="Arial Narrow" w:hAnsi="Arial Narrow" w:cs="Times New Roman"/>
                <w:b/>
                <w:sz w:val="20"/>
                <w:szCs w:val="20"/>
              </w:rPr>
              <w:t>74.29 (54.03, 86.47);</w:t>
            </w:r>
            <w:r w:rsidR="00F119DD" w:rsidRPr="005A5BB7">
              <w:rPr>
                <w:rFonts w:ascii="Arial Narrow" w:hAnsi="Arial Narrow" w:cs="Times New Roman"/>
                <w:b/>
                <w:sz w:val="20"/>
                <w:szCs w:val="20"/>
              </w:rPr>
              <w:t xml:space="preserve"> &lt;0.0001</w:t>
            </w:r>
          </w:p>
        </w:tc>
      </w:tr>
      <w:tr w:rsidR="00DE5805" w:rsidRPr="005A5BB7" w14:paraId="0E3600C5" w14:textId="77777777">
        <w:trPr>
          <w:trHeight w:val="170"/>
        </w:trPr>
        <w:tc>
          <w:tcPr>
            <w:tcW w:w="1082" w:type="pct"/>
            <w:tcBorders>
              <w:left w:val="single" w:sz="4" w:space="0" w:color="auto"/>
              <w:right w:val="single" w:sz="4" w:space="0" w:color="auto"/>
            </w:tcBorders>
          </w:tcPr>
          <w:p w14:paraId="58F92E24" w14:textId="3AACC188" w:rsidR="007149E2" w:rsidRPr="005A5BB7" w:rsidRDefault="007149E2" w:rsidP="002A42B9">
            <w:pPr>
              <w:keepNext/>
              <w:spacing w:line="259" w:lineRule="auto"/>
              <w:jc w:val="left"/>
              <w:rPr>
                <w:rFonts w:ascii="Arial Narrow" w:hAnsi="Arial Narrow" w:cs="Times New Roman"/>
                <w:sz w:val="20"/>
                <w:szCs w:val="20"/>
              </w:rPr>
            </w:pPr>
            <w:r w:rsidRPr="005A5BB7">
              <w:rPr>
                <w:rFonts w:ascii="Arial Narrow" w:hAnsi="Arial Narrow" w:cs="Times New Roman"/>
                <w:sz w:val="20"/>
                <w:szCs w:val="20"/>
              </w:rPr>
              <w:t>No pre</w:t>
            </w:r>
            <w:r w:rsidR="000E4816">
              <w:rPr>
                <w:rFonts w:ascii="Arial Narrow" w:hAnsi="Arial Narrow" w:cs="Times New Roman"/>
                <w:sz w:val="20"/>
                <w:szCs w:val="20"/>
              </w:rPr>
              <w:noBreakHyphen/>
            </w:r>
            <w:r w:rsidRPr="005A5BB7">
              <w:rPr>
                <w:rFonts w:ascii="Arial Narrow" w:hAnsi="Arial Narrow" w:cs="Times New Roman"/>
                <w:sz w:val="20"/>
                <w:szCs w:val="20"/>
              </w:rPr>
              <w:t>existing comorbidity of interest</w:t>
            </w:r>
          </w:p>
        </w:tc>
        <w:tc>
          <w:tcPr>
            <w:tcW w:w="310" w:type="pct"/>
            <w:tcBorders>
              <w:left w:val="single" w:sz="4" w:space="0" w:color="auto"/>
            </w:tcBorders>
            <w:vAlign w:val="center"/>
          </w:tcPr>
          <w:p w14:paraId="6A6C0912" w14:textId="739407D7"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7454</w:t>
            </w:r>
          </w:p>
        </w:tc>
        <w:tc>
          <w:tcPr>
            <w:tcW w:w="281" w:type="pct"/>
            <w:vAlign w:val="center"/>
          </w:tcPr>
          <w:p w14:paraId="4DA4EA41" w14:textId="0F2F7591" w:rsidR="007149E2" w:rsidRPr="005A5BB7" w:rsidRDefault="007149E2" w:rsidP="002A42B9">
            <w:pPr>
              <w:keepNext/>
              <w:jc w:val="center"/>
              <w:rPr>
                <w:rFonts w:ascii="Arial Narrow" w:hAnsi="Arial Narrow" w:cs="Times New Roman"/>
                <w:sz w:val="20"/>
                <w:szCs w:val="20"/>
              </w:rPr>
            </w:pPr>
            <w:r w:rsidRPr="005A5BB7">
              <w:rPr>
                <w:rFonts w:ascii="Arial Narrow" w:hAnsi="Arial Narrow" w:cs="Times New Roman"/>
                <w:sz w:val="20"/>
                <w:szCs w:val="20"/>
              </w:rPr>
              <w:t>6</w:t>
            </w:r>
          </w:p>
        </w:tc>
        <w:tc>
          <w:tcPr>
            <w:tcW w:w="386" w:type="pct"/>
            <w:vAlign w:val="center"/>
          </w:tcPr>
          <w:p w14:paraId="4ABB9CF9" w14:textId="0C46D3A5"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6936.2</w:t>
            </w:r>
          </w:p>
        </w:tc>
        <w:tc>
          <w:tcPr>
            <w:tcW w:w="389" w:type="pct"/>
            <w:vAlign w:val="center"/>
          </w:tcPr>
          <w:p w14:paraId="1A81E2BD" w14:textId="2013BEDE"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0.9</w:t>
            </w:r>
          </w:p>
        </w:tc>
        <w:tc>
          <w:tcPr>
            <w:tcW w:w="390" w:type="pct"/>
            <w:vAlign w:val="center"/>
          </w:tcPr>
          <w:p w14:paraId="03E41DD1" w14:textId="777C3804"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7547</w:t>
            </w:r>
          </w:p>
        </w:tc>
        <w:tc>
          <w:tcPr>
            <w:tcW w:w="312" w:type="pct"/>
            <w:vAlign w:val="center"/>
          </w:tcPr>
          <w:p w14:paraId="61589465" w14:textId="3F014278"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23</w:t>
            </w:r>
          </w:p>
        </w:tc>
        <w:tc>
          <w:tcPr>
            <w:tcW w:w="390" w:type="pct"/>
            <w:vAlign w:val="center"/>
          </w:tcPr>
          <w:p w14:paraId="1E41CCBF" w14:textId="0AA1524A"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7009.6</w:t>
            </w:r>
          </w:p>
        </w:tc>
        <w:tc>
          <w:tcPr>
            <w:tcW w:w="392" w:type="pct"/>
            <w:vAlign w:val="center"/>
          </w:tcPr>
          <w:p w14:paraId="5D587DFF" w14:textId="697D022F" w:rsidR="007149E2" w:rsidRPr="005A5BB7" w:rsidRDefault="4998EA65" w:rsidP="002A42B9">
            <w:pPr>
              <w:keepNext/>
              <w:jc w:val="center"/>
              <w:rPr>
                <w:rFonts w:ascii="Arial Narrow" w:hAnsi="Arial Narrow" w:cs="Times New Roman"/>
                <w:sz w:val="20"/>
                <w:szCs w:val="20"/>
              </w:rPr>
            </w:pPr>
            <w:r w:rsidRPr="005A5BB7">
              <w:rPr>
                <w:rFonts w:ascii="Arial Narrow" w:hAnsi="Arial Narrow" w:cs="Times New Roman"/>
                <w:sz w:val="20"/>
                <w:szCs w:val="20"/>
              </w:rPr>
              <w:t>3</w:t>
            </w:r>
            <w:r w:rsidR="007149E2" w:rsidRPr="005A5BB7">
              <w:rPr>
                <w:rFonts w:ascii="Arial Narrow" w:hAnsi="Arial Narrow" w:cs="Times New Roman"/>
                <w:sz w:val="20"/>
                <w:szCs w:val="20"/>
              </w:rPr>
              <w:t>.3</w:t>
            </w:r>
          </w:p>
        </w:tc>
        <w:tc>
          <w:tcPr>
            <w:tcW w:w="1068" w:type="pct"/>
            <w:vAlign w:val="center"/>
          </w:tcPr>
          <w:p w14:paraId="26E68BD6" w14:textId="32A5C139" w:rsidR="007149E2" w:rsidRPr="005A5BB7" w:rsidRDefault="00F77836"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73.75 (33.68, 91.26)</w:t>
            </w:r>
            <w:r w:rsidR="47B89A1E" w:rsidRPr="005A5BB7">
              <w:rPr>
                <w:rFonts w:ascii="Arial Narrow" w:hAnsi="Arial Narrow" w:cs="Times New Roman"/>
                <w:b/>
                <w:bCs/>
                <w:sz w:val="20"/>
                <w:szCs w:val="20"/>
              </w:rPr>
              <w:t xml:space="preserve">; 0.0024 </w:t>
            </w:r>
          </w:p>
        </w:tc>
      </w:tr>
      <w:tr w:rsidR="00DE5805" w:rsidRPr="005A5BB7" w14:paraId="52D17FA4" w14:textId="77777777">
        <w:trPr>
          <w:trHeight w:val="170"/>
        </w:trPr>
        <w:tc>
          <w:tcPr>
            <w:tcW w:w="1082" w:type="pct"/>
            <w:tcBorders>
              <w:left w:val="single" w:sz="4" w:space="0" w:color="auto"/>
              <w:right w:val="single" w:sz="4" w:space="0" w:color="auto"/>
            </w:tcBorders>
          </w:tcPr>
          <w:p w14:paraId="15E256E1" w14:textId="7C9E8200" w:rsidR="007149E2" w:rsidRPr="005A5BB7" w:rsidRDefault="007149E2" w:rsidP="002A42B9">
            <w:pPr>
              <w:keepNext/>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272BACD0" w14:textId="7FD1F232"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5014</w:t>
            </w:r>
          </w:p>
        </w:tc>
        <w:tc>
          <w:tcPr>
            <w:tcW w:w="281" w:type="pct"/>
            <w:vAlign w:val="center"/>
          </w:tcPr>
          <w:p w14:paraId="51916E72" w14:textId="785314EA"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4</w:t>
            </w:r>
          </w:p>
        </w:tc>
        <w:tc>
          <w:tcPr>
            <w:tcW w:w="386" w:type="pct"/>
            <w:vAlign w:val="center"/>
          </w:tcPr>
          <w:p w14:paraId="5346DECF" w14:textId="6EA2C83F"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4754</w:t>
            </w:r>
            <w:r w:rsidR="007149E2" w:rsidRPr="005A5BB7">
              <w:rPr>
                <w:rFonts w:ascii="Arial Narrow" w:hAnsi="Arial Narrow" w:cs="Times New Roman"/>
                <w:sz w:val="20"/>
                <w:szCs w:val="20"/>
              </w:rPr>
              <w:t>.8</w:t>
            </w:r>
          </w:p>
        </w:tc>
        <w:tc>
          <w:tcPr>
            <w:tcW w:w="389" w:type="pct"/>
            <w:vAlign w:val="center"/>
          </w:tcPr>
          <w:p w14:paraId="60DE8B68" w14:textId="04F02108" w:rsidR="007149E2" w:rsidRPr="005A5BB7" w:rsidRDefault="007149E2" w:rsidP="002A42B9">
            <w:pPr>
              <w:keepNext/>
              <w:jc w:val="center"/>
              <w:rPr>
                <w:rFonts w:ascii="Arial Narrow" w:hAnsi="Arial Narrow" w:cs="Times New Roman"/>
                <w:sz w:val="20"/>
                <w:szCs w:val="20"/>
              </w:rPr>
            </w:pPr>
            <w:r w:rsidRPr="005A5BB7">
              <w:rPr>
                <w:rFonts w:ascii="Arial Narrow" w:hAnsi="Arial Narrow" w:cs="Times New Roman"/>
                <w:sz w:val="20"/>
                <w:szCs w:val="20"/>
              </w:rPr>
              <w:t>0.</w:t>
            </w:r>
            <w:r w:rsidR="61EEAD4F" w:rsidRPr="005A5BB7">
              <w:rPr>
                <w:rFonts w:ascii="Arial Narrow" w:hAnsi="Arial Narrow" w:cs="Times New Roman"/>
                <w:sz w:val="20"/>
                <w:szCs w:val="20"/>
              </w:rPr>
              <w:t>8</w:t>
            </w:r>
          </w:p>
        </w:tc>
        <w:tc>
          <w:tcPr>
            <w:tcW w:w="390" w:type="pct"/>
            <w:vAlign w:val="center"/>
          </w:tcPr>
          <w:p w14:paraId="5496F750" w14:textId="7ADF279F"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4951</w:t>
            </w:r>
          </w:p>
        </w:tc>
        <w:tc>
          <w:tcPr>
            <w:tcW w:w="312" w:type="pct"/>
            <w:vAlign w:val="center"/>
          </w:tcPr>
          <w:p w14:paraId="3E9A8C6F" w14:textId="6426ACAE"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24</w:t>
            </w:r>
          </w:p>
        </w:tc>
        <w:tc>
          <w:tcPr>
            <w:tcW w:w="390" w:type="pct"/>
            <w:vAlign w:val="center"/>
          </w:tcPr>
          <w:p w14:paraId="4A0A4608" w14:textId="3494F653"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4648.7</w:t>
            </w:r>
          </w:p>
        </w:tc>
        <w:tc>
          <w:tcPr>
            <w:tcW w:w="392" w:type="pct"/>
            <w:vAlign w:val="center"/>
          </w:tcPr>
          <w:p w14:paraId="072D743B" w14:textId="638221BF" w:rsidR="007149E2" w:rsidRPr="005A5BB7" w:rsidRDefault="61EEAD4F" w:rsidP="002A42B9">
            <w:pPr>
              <w:keepNext/>
              <w:jc w:val="center"/>
              <w:rPr>
                <w:rFonts w:ascii="Arial Narrow" w:hAnsi="Arial Narrow" w:cs="Times New Roman"/>
                <w:sz w:val="20"/>
                <w:szCs w:val="20"/>
              </w:rPr>
            </w:pPr>
            <w:r w:rsidRPr="005A5BB7">
              <w:rPr>
                <w:rFonts w:ascii="Arial Narrow" w:hAnsi="Arial Narrow" w:cs="Times New Roman"/>
                <w:sz w:val="20"/>
                <w:szCs w:val="20"/>
              </w:rPr>
              <w:t>5.2</w:t>
            </w:r>
          </w:p>
        </w:tc>
        <w:tc>
          <w:tcPr>
            <w:tcW w:w="1068" w:type="pct"/>
            <w:vAlign w:val="center"/>
          </w:tcPr>
          <w:p w14:paraId="75D0AE4F" w14:textId="30925CB4" w:rsidR="007149E2" w:rsidRPr="005A5BB7" w:rsidRDefault="00F77836"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83.78 (52.80, 95.91)</w:t>
            </w:r>
            <w:r w:rsidR="576BFC36" w:rsidRPr="005A5BB7">
              <w:rPr>
                <w:rFonts w:ascii="Arial Narrow" w:hAnsi="Arial Narrow" w:cs="Times New Roman"/>
                <w:b/>
                <w:bCs/>
                <w:sz w:val="20"/>
                <w:szCs w:val="20"/>
              </w:rPr>
              <w:t>; 0.0001</w:t>
            </w:r>
          </w:p>
        </w:tc>
      </w:tr>
      <w:tr w:rsidR="00DE5805" w:rsidRPr="005A5BB7" w14:paraId="0EA84727" w14:textId="77777777">
        <w:trPr>
          <w:trHeight w:val="170"/>
        </w:trPr>
        <w:tc>
          <w:tcPr>
            <w:tcW w:w="1082" w:type="pct"/>
            <w:tcBorders>
              <w:left w:val="single" w:sz="4" w:space="0" w:color="auto"/>
              <w:right w:val="single" w:sz="4" w:space="0" w:color="auto"/>
            </w:tcBorders>
          </w:tcPr>
          <w:p w14:paraId="027397D8" w14:textId="37CE9EFD" w:rsidR="007149E2" w:rsidRPr="005A5BB7" w:rsidRDefault="007149E2" w:rsidP="002A42B9">
            <w:pPr>
              <w:keepNext/>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2794EC46" w14:textId="2D061B3B"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2577</w:t>
            </w:r>
          </w:p>
        </w:tc>
        <w:tc>
          <w:tcPr>
            <w:tcW w:w="281" w:type="pct"/>
            <w:vAlign w:val="center"/>
          </w:tcPr>
          <w:p w14:paraId="1738F2C1" w14:textId="15D52897"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3</w:t>
            </w:r>
          </w:p>
        </w:tc>
        <w:tc>
          <w:tcPr>
            <w:tcW w:w="386" w:type="pct"/>
            <w:vAlign w:val="center"/>
          </w:tcPr>
          <w:p w14:paraId="7EC59EDD" w14:textId="1BE49A50"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2448.3</w:t>
            </w:r>
          </w:p>
        </w:tc>
        <w:tc>
          <w:tcPr>
            <w:tcW w:w="389" w:type="pct"/>
            <w:vAlign w:val="center"/>
          </w:tcPr>
          <w:p w14:paraId="7E6C92CC" w14:textId="67A1F895"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1.2</w:t>
            </w:r>
          </w:p>
        </w:tc>
        <w:tc>
          <w:tcPr>
            <w:tcW w:w="390" w:type="pct"/>
            <w:vAlign w:val="center"/>
          </w:tcPr>
          <w:p w14:paraId="26488888" w14:textId="167B7680"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2504</w:t>
            </w:r>
          </w:p>
        </w:tc>
        <w:tc>
          <w:tcPr>
            <w:tcW w:w="312" w:type="pct"/>
            <w:vAlign w:val="center"/>
          </w:tcPr>
          <w:p w14:paraId="47AA9CF3" w14:textId="7D0018C1"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17</w:t>
            </w:r>
          </w:p>
        </w:tc>
        <w:tc>
          <w:tcPr>
            <w:tcW w:w="390" w:type="pct"/>
            <w:vAlign w:val="center"/>
          </w:tcPr>
          <w:p w14:paraId="7754046B" w14:textId="1D261588"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2353.1</w:t>
            </w:r>
          </w:p>
        </w:tc>
        <w:tc>
          <w:tcPr>
            <w:tcW w:w="392" w:type="pct"/>
            <w:vAlign w:val="center"/>
          </w:tcPr>
          <w:p w14:paraId="6D3A7D85" w14:textId="4ED11775" w:rsidR="007149E2" w:rsidRPr="005A5BB7" w:rsidRDefault="18537D23" w:rsidP="002A42B9">
            <w:pPr>
              <w:keepNext/>
              <w:jc w:val="center"/>
              <w:rPr>
                <w:rFonts w:ascii="Arial Narrow" w:hAnsi="Arial Narrow" w:cs="Times New Roman"/>
                <w:sz w:val="20"/>
                <w:szCs w:val="20"/>
              </w:rPr>
            </w:pPr>
            <w:r w:rsidRPr="005A5BB7">
              <w:rPr>
                <w:rFonts w:ascii="Arial Narrow" w:hAnsi="Arial Narrow" w:cs="Times New Roman"/>
                <w:sz w:val="20"/>
                <w:szCs w:val="20"/>
              </w:rPr>
              <w:t>7.2</w:t>
            </w:r>
          </w:p>
        </w:tc>
        <w:tc>
          <w:tcPr>
            <w:tcW w:w="1068" w:type="pct"/>
            <w:vAlign w:val="center"/>
          </w:tcPr>
          <w:p w14:paraId="77EE52DF" w14:textId="7916F98C" w:rsidR="007149E2" w:rsidRPr="005A5BB7" w:rsidRDefault="00381295"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83.11 (41.59, 96.83)</w:t>
            </w:r>
            <w:r w:rsidR="237B2EDD" w:rsidRPr="005A5BB7">
              <w:rPr>
                <w:rFonts w:ascii="Arial Narrow" w:hAnsi="Arial Narrow" w:cs="Times New Roman"/>
                <w:b/>
                <w:bCs/>
                <w:sz w:val="20"/>
                <w:szCs w:val="20"/>
              </w:rPr>
              <w:t>; 0.0019</w:t>
            </w:r>
          </w:p>
        </w:tc>
      </w:tr>
      <w:tr w:rsidR="00DE5805" w:rsidRPr="005A5BB7" w14:paraId="4F18A9AA" w14:textId="77777777">
        <w:trPr>
          <w:trHeight w:val="170"/>
        </w:trPr>
        <w:tc>
          <w:tcPr>
            <w:tcW w:w="1082" w:type="pct"/>
            <w:tcBorders>
              <w:left w:val="single" w:sz="4" w:space="0" w:color="auto"/>
              <w:right w:val="single" w:sz="4" w:space="0" w:color="auto"/>
            </w:tcBorders>
          </w:tcPr>
          <w:p w14:paraId="26C4B007" w14:textId="414D34DD" w:rsidR="007149E2" w:rsidRPr="005A5BB7" w:rsidRDefault="007149E2" w:rsidP="002A42B9">
            <w:pPr>
              <w:keepNext/>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62A1B663" w14:textId="18A72096"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3243</w:t>
            </w:r>
          </w:p>
        </w:tc>
        <w:tc>
          <w:tcPr>
            <w:tcW w:w="281" w:type="pct"/>
            <w:vAlign w:val="center"/>
          </w:tcPr>
          <w:p w14:paraId="70DED67E" w14:textId="281887BD"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1</w:t>
            </w:r>
          </w:p>
        </w:tc>
        <w:tc>
          <w:tcPr>
            <w:tcW w:w="386" w:type="pct"/>
            <w:vAlign w:val="center"/>
          </w:tcPr>
          <w:p w14:paraId="2FD79A82" w14:textId="08282227"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3076.4</w:t>
            </w:r>
          </w:p>
        </w:tc>
        <w:tc>
          <w:tcPr>
            <w:tcW w:w="389" w:type="pct"/>
            <w:vAlign w:val="center"/>
          </w:tcPr>
          <w:p w14:paraId="7D4F3514" w14:textId="4A49FE47" w:rsidR="007149E2" w:rsidRPr="005A5BB7" w:rsidRDefault="007149E2" w:rsidP="002A42B9">
            <w:pPr>
              <w:keepNext/>
              <w:jc w:val="center"/>
              <w:rPr>
                <w:rFonts w:ascii="Arial Narrow" w:hAnsi="Arial Narrow" w:cs="Times New Roman"/>
                <w:sz w:val="20"/>
                <w:szCs w:val="20"/>
              </w:rPr>
            </w:pPr>
            <w:r w:rsidRPr="005A5BB7">
              <w:rPr>
                <w:rFonts w:ascii="Arial Narrow" w:hAnsi="Arial Narrow" w:cs="Times New Roman"/>
                <w:sz w:val="20"/>
                <w:szCs w:val="20"/>
              </w:rPr>
              <w:t>0.</w:t>
            </w:r>
            <w:r w:rsidR="7ABD2FE2" w:rsidRPr="005A5BB7">
              <w:rPr>
                <w:rFonts w:ascii="Arial Narrow" w:hAnsi="Arial Narrow" w:cs="Times New Roman"/>
                <w:sz w:val="20"/>
                <w:szCs w:val="20"/>
              </w:rPr>
              <w:t>3</w:t>
            </w:r>
          </w:p>
        </w:tc>
        <w:tc>
          <w:tcPr>
            <w:tcW w:w="390" w:type="pct"/>
            <w:vAlign w:val="center"/>
          </w:tcPr>
          <w:p w14:paraId="62B447E2" w14:textId="5F7BC01C"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3274</w:t>
            </w:r>
          </w:p>
        </w:tc>
        <w:tc>
          <w:tcPr>
            <w:tcW w:w="312" w:type="pct"/>
            <w:vAlign w:val="center"/>
          </w:tcPr>
          <w:p w14:paraId="3936A09D" w14:textId="359BAC16"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14</w:t>
            </w:r>
          </w:p>
        </w:tc>
        <w:tc>
          <w:tcPr>
            <w:tcW w:w="390" w:type="pct"/>
            <w:vAlign w:val="center"/>
          </w:tcPr>
          <w:p w14:paraId="7FBC7602" w14:textId="2DE35B6B"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3076.7</w:t>
            </w:r>
          </w:p>
        </w:tc>
        <w:tc>
          <w:tcPr>
            <w:tcW w:w="392" w:type="pct"/>
            <w:vAlign w:val="center"/>
          </w:tcPr>
          <w:p w14:paraId="7C0815CC" w14:textId="2CF4E815" w:rsidR="007149E2" w:rsidRPr="005A5BB7" w:rsidRDefault="7ABD2FE2" w:rsidP="002A42B9">
            <w:pPr>
              <w:keepNext/>
              <w:jc w:val="center"/>
              <w:rPr>
                <w:rFonts w:ascii="Arial Narrow" w:hAnsi="Arial Narrow" w:cs="Times New Roman"/>
                <w:sz w:val="20"/>
                <w:szCs w:val="20"/>
              </w:rPr>
            </w:pPr>
            <w:r w:rsidRPr="005A5BB7">
              <w:rPr>
                <w:rFonts w:ascii="Arial Narrow" w:hAnsi="Arial Narrow" w:cs="Times New Roman"/>
                <w:sz w:val="20"/>
                <w:szCs w:val="20"/>
              </w:rPr>
              <w:t>4.6</w:t>
            </w:r>
          </w:p>
        </w:tc>
        <w:tc>
          <w:tcPr>
            <w:tcW w:w="1068" w:type="pct"/>
            <w:vAlign w:val="center"/>
          </w:tcPr>
          <w:p w14:paraId="5D3922AD" w14:textId="38EA5600" w:rsidR="007149E2" w:rsidRPr="005A5BB7" w:rsidRDefault="00381295"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92.84 (52.92, 99.83)</w:t>
            </w:r>
            <w:r w:rsidR="750931E6" w:rsidRPr="005A5BB7">
              <w:rPr>
                <w:rFonts w:ascii="Arial Narrow" w:hAnsi="Arial Narrow" w:cs="Times New Roman"/>
                <w:b/>
                <w:bCs/>
                <w:sz w:val="20"/>
                <w:szCs w:val="20"/>
              </w:rPr>
              <w:t>; 0.0010</w:t>
            </w:r>
          </w:p>
        </w:tc>
      </w:tr>
      <w:tr w:rsidR="00905D2F" w:rsidRPr="005A5BB7" w14:paraId="3CA1F850" w14:textId="77777777">
        <w:trPr>
          <w:trHeight w:val="170"/>
        </w:trPr>
        <w:tc>
          <w:tcPr>
            <w:tcW w:w="5000" w:type="pct"/>
            <w:gridSpan w:val="10"/>
            <w:tcBorders>
              <w:left w:val="single" w:sz="4" w:space="0" w:color="auto"/>
              <w:right w:val="single" w:sz="4" w:space="0" w:color="auto"/>
            </w:tcBorders>
            <w:vAlign w:val="center"/>
          </w:tcPr>
          <w:p w14:paraId="2060CCEA" w14:textId="3586A39B" w:rsidR="007149E2" w:rsidRPr="005A5BB7" w:rsidRDefault="007149E2" w:rsidP="002A42B9">
            <w:pPr>
              <w:keepNext/>
              <w:jc w:val="left"/>
              <w:rPr>
                <w:rFonts w:ascii="Arial Narrow" w:hAnsi="Arial Narrow" w:cs="Times New Roman"/>
                <w:b/>
                <w:sz w:val="20"/>
                <w:szCs w:val="20"/>
              </w:rPr>
            </w:pPr>
            <w:r w:rsidRPr="005A5BB7">
              <w:rPr>
                <w:rFonts w:ascii="Arial Narrow" w:hAnsi="Arial Narrow" w:cs="Times New Roman"/>
                <w:b/>
                <w:bCs/>
                <w:sz w:val="20"/>
                <w:szCs w:val="20"/>
              </w:rPr>
              <w:t xml:space="preserve">VE Analysis </w:t>
            </w:r>
            <w:r w:rsidR="5B7519BF" w:rsidRPr="005A5BB7">
              <w:rPr>
                <w:rFonts w:ascii="Arial Narrow" w:hAnsi="Arial Narrow" w:cs="Times New Roman"/>
                <w:b/>
                <w:bCs/>
                <w:sz w:val="20"/>
                <w:szCs w:val="20"/>
              </w:rPr>
              <w:t>S2</w:t>
            </w:r>
            <w:r w:rsidRPr="005A5BB7">
              <w:rPr>
                <w:rFonts w:ascii="Arial Narrow" w:hAnsi="Arial Narrow" w:cs="Times New Roman"/>
                <w:b/>
                <w:bCs/>
                <w:sz w:val="20"/>
                <w:szCs w:val="20"/>
              </w:rPr>
              <w:t xml:space="preserve"> </w:t>
            </w:r>
            <w:r w:rsidR="5936EC5D" w:rsidRPr="005A5BB7">
              <w:rPr>
                <w:rFonts w:ascii="Arial Narrow" w:hAnsi="Arial Narrow" w:cs="Times New Roman"/>
                <w:b/>
                <w:bCs/>
                <w:sz w:val="20"/>
                <w:szCs w:val="20"/>
              </w:rPr>
              <w:t>(Southern Hemisphere)</w:t>
            </w:r>
          </w:p>
        </w:tc>
      </w:tr>
      <w:tr w:rsidR="00DE5805" w:rsidRPr="005A5BB7" w14:paraId="1801B2E1" w14:textId="77777777" w:rsidTr="5FB62976">
        <w:trPr>
          <w:trHeight w:val="435"/>
        </w:trPr>
        <w:tc>
          <w:tcPr>
            <w:tcW w:w="10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BFDD98" w14:textId="77777777" w:rsidR="007149E2" w:rsidRPr="005A5BB7" w:rsidRDefault="007149E2" w:rsidP="002A42B9">
            <w:pPr>
              <w:keepNext/>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2</w:t>
            </w:r>
          </w:p>
        </w:tc>
        <w:tc>
          <w:tcPr>
            <w:tcW w:w="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4E377" w14:textId="65975768" w:rsidR="007149E2" w:rsidRPr="005A5BB7" w:rsidRDefault="00432EF7"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12468</w:t>
            </w:r>
          </w:p>
        </w:tc>
        <w:tc>
          <w:tcPr>
            <w:tcW w:w="2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71E80" w14:textId="41862747" w:rsidR="007149E2" w:rsidRPr="005A5BB7" w:rsidRDefault="00432EF7" w:rsidP="002A42B9">
            <w:pPr>
              <w:keepNext/>
              <w:jc w:val="center"/>
              <w:rPr>
                <w:rFonts w:ascii="Arial Narrow" w:hAnsi="Arial Narrow" w:cs="Times New Roman"/>
                <w:sz w:val="20"/>
                <w:szCs w:val="20"/>
              </w:rPr>
            </w:pPr>
            <w:r w:rsidRPr="005A5BB7">
              <w:rPr>
                <w:rFonts w:ascii="Arial Narrow" w:hAnsi="Arial Narrow" w:cs="Times New Roman"/>
                <w:sz w:val="20"/>
                <w:szCs w:val="20"/>
              </w:rPr>
              <w:t>32</w:t>
            </w:r>
          </w:p>
        </w:tc>
        <w:tc>
          <w:tcPr>
            <w:tcW w:w="3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19FF45" w14:textId="758C22A3" w:rsidR="007149E2" w:rsidRPr="005A5BB7" w:rsidRDefault="00432EF7"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16879.2</w:t>
            </w:r>
          </w:p>
        </w:tc>
        <w:tc>
          <w:tcPr>
            <w:tcW w:w="3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2F41F" w14:textId="0FECCF2A" w:rsidR="007149E2" w:rsidRPr="005A5BB7" w:rsidRDefault="00115220"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1.9</w:t>
            </w:r>
          </w:p>
        </w:tc>
        <w:tc>
          <w:tcPr>
            <w:tcW w:w="3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C456A" w14:textId="799D876C" w:rsidR="007149E2" w:rsidRPr="005A5BB7" w:rsidRDefault="00115220"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12498</w:t>
            </w:r>
          </w:p>
        </w:tc>
        <w:tc>
          <w:tcPr>
            <w:tcW w:w="3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FF2E4" w14:textId="171ADCCD" w:rsidR="007149E2" w:rsidRPr="005A5BB7" w:rsidRDefault="00115220" w:rsidP="002A42B9">
            <w:pPr>
              <w:keepNext/>
              <w:jc w:val="center"/>
              <w:rPr>
                <w:rFonts w:ascii="Arial Narrow" w:hAnsi="Arial Narrow" w:cs="Times New Roman"/>
                <w:sz w:val="20"/>
                <w:szCs w:val="20"/>
              </w:rPr>
            </w:pPr>
            <w:r w:rsidRPr="005A5BB7">
              <w:rPr>
                <w:rFonts w:ascii="Arial Narrow" w:hAnsi="Arial Narrow" w:cs="Times New Roman"/>
                <w:sz w:val="20"/>
                <w:szCs w:val="20"/>
              </w:rPr>
              <w:t>154</w:t>
            </w:r>
          </w:p>
        </w:tc>
        <w:tc>
          <w:tcPr>
            <w:tcW w:w="3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5C036" w14:textId="4563FCD5" w:rsidR="007149E2" w:rsidRPr="005A5BB7" w:rsidRDefault="00115220" w:rsidP="002A42B9">
            <w:pPr>
              <w:keepNext/>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21720.6</w:t>
            </w:r>
          </w:p>
        </w:tc>
        <w:tc>
          <w:tcPr>
            <w:tcW w:w="3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BB7FA" w14:textId="4BDAB71E" w:rsidR="007149E2" w:rsidRPr="005A5BB7" w:rsidRDefault="00115220" w:rsidP="002A42B9">
            <w:pPr>
              <w:keepNext/>
              <w:jc w:val="center"/>
              <w:rPr>
                <w:rFonts w:ascii="Arial Narrow" w:hAnsi="Arial Narrow" w:cs="Times New Roman"/>
                <w:sz w:val="20"/>
                <w:szCs w:val="20"/>
              </w:rPr>
            </w:pPr>
            <w:r w:rsidRPr="005A5BB7">
              <w:rPr>
                <w:rFonts w:ascii="Arial Narrow" w:hAnsi="Arial Narrow" w:cs="Times New Roman"/>
                <w:sz w:val="20"/>
                <w:szCs w:val="20"/>
              </w:rPr>
              <w:t>7.1</w:t>
            </w:r>
          </w:p>
        </w:tc>
        <w:tc>
          <w:tcPr>
            <w:tcW w:w="10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8DBBEC" w14:textId="513DDE5C" w:rsidR="007149E2" w:rsidRPr="005A5BB7" w:rsidRDefault="00115220" w:rsidP="002A42B9">
            <w:pPr>
              <w:keepNext/>
              <w:jc w:val="center"/>
              <w:rPr>
                <w:rFonts w:ascii="Arial Narrow" w:hAnsi="Arial Narrow" w:cs="Times New Roman"/>
                <w:b/>
                <w:sz w:val="20"/>
                <w:szCs w:val="20"/>
              </w:rPr>
            </w:pPr>
            <w:r w:rsidRPr="005A5BB7">
              <w:rPr>
                <w:rFonts w:ascii="Arial Narrow" w:hAnsi="Arial Narrow" w:cs="Times New Roman"/>
                <w:b/>
                <w:sz w:val="20"/>
                <w:szCs w:val="20"/>
              </w:rPr>
              <w:t>67.67 (52.26, 78.70); &lt;0.0001</w:t>
            </w:r>
          </w:p>
        </w:tc>
      </w:tr>
      <w:tr w:rsidR="00DE5805" w:rsidRPr="005A5BB7" w14:paraId="698EE9BB" w14:textId="77777777">
        <w:trPr>
          <w:trHeight w:val="170"/>
        </w:trPr>
        <w:tc>
          <w:tcPr>
            <w:tcW w:w="1082" w:type="pct"/>
            <w:tcBorders>
              <w:left w:val="single" w:sz="4" w:space="0" w:color="auto"/>
              <w:right w:val="single" w:sz="4" w:space="0" w:color="auto"/>
            </w:tcBorders>
          </w:tcPr>
          <w:p w14:paraId="57D95C86" w14:textId="6042D607" w:rsidR="007149E2" w:rsidRPr="005A5BB7" w:rsidRDefault="007149E2" w:rsidP="002A42B9">
            <w:pPr>
              <w:keepNext/>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48BF7352" w14:textId="757161D6"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2988</w:t>
            </w:r>
          </w:p>
        </w:tc>
        <w:tc>
          <w:tcPr>
            <w:tcW w:w="281" w:type="pct"/>
            <w:vAlign w:val="center"/>
          </w:tcPr>
          <w:p w14:paraId="73B7E72E" w14:textId="4188C450"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9</w:t>
            </w:r>
          </w:p>
        </w:tc>
        <w:tc>
          <w:tcPr>
            <w:tcW w:w="386" w:type="pct"/>
            <w:vAlign w:val="center"/>
          </w:tcPr>
          <w:p w14:paraId="712CBA1B" w14:textId="79CA8E53"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2816.0</w:t>
            </w:r>
          </w:p>
        </w:tc>
        <w:tc>
          <w:tcPr>
            <w:tcW w:w="389" w:type="pct"/>
            <w:vAlign w:val="center"/>
          </w:tcPr>
          <w:p w14:paraId="5BEC9B50" w14:textId="683675A9"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3.2</w:t>
            </w:r>
          </w:p>
        </w:tc>
        <w:tc>
          <w:tcPr>
            <w:tcW w:w="390" w:type="pct"/>
            <w:vAlign w:val="center"/>
          </w:tcPr>
          <w:p w14:paraId="1F0F2F7F" w14:textId="199D3A0D"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6107</w:t>
            </w:r>
          </w:p>
        </w:tc>
        <w:tc>
          <w:tcPr>
            <w:tcW w:w="312" w:type="pct"/>
            <w:vAlign w:val="center"/>
          </w:tcPr>
          <w:p w14:paraId="249DD00A" w14:textId="3EB73D27"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51</w:t>
            </w:r>
          </w:p>
        </w:tc>
        <w:tc>
          <w:tcPr>
            <w:tcW w:w="390" w:type="pct"/>
            <w:vAlign w:val="center"/>
          </w:tcPr>
          <w:p w14:paraId="5542CC40" w14:textId="22D12C26"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5726.3</w:t>
            </w:r>
          </w:p>
        </w:tc>
        <w:tc>
          <w:tcPr>
            <w:tcW w:w="392" w:type="pct"/>
            <w:vAlign w:val="center"/>
          </w:tcPr>
          <w:p w14:paraId="7EA28B10" w14:textId="271C5A53" w:rsidR="007149E2" w:rsidRPr="005A5BB7" w:rsidRDefault="6960546E" w:rsidP="002A42B9">
            <w:pPr>
              <w:keepNext/>
              <w:jc w:val="center"/>
              <w:rPr>
                <w:rFonts w:ascii="Arial Narrow" w:hAnsi="Arial Narrow" w:cs="Times New Roman"/>
                <w:sz w:val="20"/>
                <w:szCs w:val="20"/>
              </w:rPr>
            </w:pPr>
            <w:r w:rsidRPr="005A5BB7">
              <w:rPr>
                <w:rFonts w:ascii="Arial Narrow" w:hAnsi="Arial Narrow" w:cs="Times New Roman"/>
                <w:sz w:val="20"/>
                <w:szCs w:val="20"/>
              </w:rPr>
              <w:t>8.9</w:t>
            </w:r>
          </w:p>
        </w:tc>
        <w:tc>
          <w:tcPr>
            <w:tcW w:w="1068" w:type="pct"/>
            <w:vAlign w:val="center"/>
          </w:tcPr>
          <w:p w14:paraId="3CBDE085" w14:textId="6D364B4D" w:rsidR="007149E2" w:rsidRPr="005A5BB7" w:rsidRDefault="7F4C3A92"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64.29 (26.75, 84.54)</w:t>
            </w:r>
            <w:r w:rsidR="7A7F5B07" w:rsidRPr="005A5BB7">
              <w:rPr>
                <w:rFonts w:ascii="Arial Narrow" w:hAnsi="Arial Narrow" w:cs="Times New Roman"/>
                <w:b/>
                <w:bCs/>
                <w:sz w:val="20"/>
                <w:szCs w:val="20"/>
              </w:rPr>
              <w:t>; 0.0027</w:t>
            </w:r>
          </w:p>
        </w:tc>
      </w:tr>
      <w:tr w:rsidR="00DE5805" w:rsidRPr="005A5BB7" w14:paraId="57A6BB36" w14:textId="77777777">
        <w:trPr>
          <w:trHeight w:val="170"/>
        </w:trPr>
        <w:tc>
          <w:tcPr>
            <w:tcW w:w="1082" w:type="pct"/>
            <w:tcBorders>
              <w:left w:val="single" w:sz="4" w:space="0" w:color="auto"/>
              <w:right w:val="single" w:sz="4" w:space="0" w:color="auto"/>
            </w:tcBorders>
          </w:tcPr>
          <w:p w14:paraId="527F5F72" w14:textId="15AA3671" w:rsidR="007149E2" w:rsidRPr="005A5BB7" w:rsidRDefault="007149E2" w:rsidP="002A42B9">
            <w:pPr>
              <w:keepNext/>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7B7D7266" w14:textId="6F703BC0"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2000</w:t>
            </w:r>
          </w:p>
        </w:tc>
        <w:tc>
          <w:tcPr>
            <w:tcW w:w="281" w:type="pct"/>
            <w:vAlign w:val="center"/>
          </w:tcPr>
          <w:p w14:paraId="169AB908" w14:textId="50FB7071"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13</w:t>
            </w:r>
          </w:p>
        </w:tc>
        <w:tc>
          <w:tcPr>
            <w:tcW w:w="386" w:type="pct"/>
            <w:vAlign w:val="center"/>
          </w:tcPr>
          <w:p w14:paraId="48B912B1" w14:textId="5EF35201"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1879.5</w:t>
            </w:r>
          </w:p>
        </w:tc>
        <w:tc>
          <w:tcPr>
            <w:tcW w:w="389" w:type="pct"/>
            <w:vAlign w:val="center"/>
          </w:tcPr>
          <w:p w14:paraId="7F0EDF46" w14:textId="689E0AD6"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6.9</w:t>
            </w:r>
          </w:p>
        </w:tc>
        <w:tc>
          <w:tcPr>
            <w:tcW w:w="390" w:type="pct"/>
            <w:vAlign w:val="center"/>
          </w:tcPr>
          <w:p w14:paraId="78986B80" w14:textId="67BCE1DF"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3924</w:t>
            </w:r>
          </w:p>
        </w:tc>
        <w:tc>
          <w:tcPr>
            <w:tcW w:w="312" w:type="pct"/>
            <w:vAlign w:val="center"/>
          </w:tcPr>
          <w:p w14:paraId="0A60FD12" w14:textId="63588E7B"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55</w:t>
            </w:r>
          </w:p>
        </w:tc>
        <w:tc>
          <w:tcPr>
            <w:tcW w:w="390" w:type="pct"/>
            <w:vAlign w:val="center"/>
          </w:tcPr>
          <w:p w14:paraId="45D960D9" w14:textId="672BAB2A"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3687.2</w:t>
            </w:r>
          </w:p>
        </w:tc>
        <w:tc>
          <w:tcPr>
            <w:tcW w:w="392" w:type="pct"/>
            <w:vAlign w:val="center"/>
          </w:tcPr>
          <w:p w14:paraId="3F653F59" w14:textId="2DED9AD2" w:rsidR="007149E2" w:rsidRPr="005A5BB7" w:rsidRDefault="71DEDDCF" w:rsidP="002A42B9">
            <w:pPr>
              <w:keepNext/>
              <w:jc w:val="center"/>
              <w:rPr>
                <w:rFonts w:ascii="Arial Narrow" w:hAnsi="Arial Narrow" w:cs="Times New Roman"/>
                <w:sz w:val="20"/>
                <w:szCs w:val="20"/>
              </w:rPr>
            </w:pPr>
            <w:r w:rsidRPr="005A5BB7">
              <w:rPr>
                <w:rFonts w:ascii="Arial Narrow" w:hAnsi="Arial Narrow" w:cs="Times New Roman"/>
                <w:sz w:val="20"/>
                <w:szCs w:val="20"/>
              </w:rPr>
              <w:t>14.9</w:t>
            </w:r>
          </w:p>
        </w:tc>
        <w:tc>
          <w:tcPr>
            <w:tcW w:w="1068" w:type="pct"/>
            <w:vAlign w:val="center"/>
          </w:tcPr>
          <w:p w14:paraId="2A3BFCFE" w14:textId="03421791" w:rsidR="007149E2" w:rsidRPr="005A5BB7" w:rsidRDefault="00B36882"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54.35 (15.35, 77.12)</w:t>
            </w:r>
            <w:r w:rsidR="1C9E807B" w:rsidRPr="005A5BB7">
              <w:rPr>
                <w:rFonts w:ascii="Arial Narrow" w:hAnsi="Arial Narrow" w:cs="Times New Roman"/>
                <w:b/>
                <w:bCs/>
                <w:sz w:val="20"/>
                <w:szCs w:val="20"/>
              </w:rPr>
              <w:t>; 0.0099</w:t>
            </w:r>
          </w:p>
        </w:tc>
      </w:tr>
      <w:tr w:rsidR="00DE5805" w:rsidRPr="005A5BB7" w14:paraId="1FB97865" w14:textId="77777777">
        <w:trPr>
          <w:trHeight w:val="170"/>
        </w:trPr>
        <w:tc>
          <w:tcPr>
            <w:tcW w:w="1082" w:type="pct"/>
            <w:tcBorders>
              <w:left w:val="single" w:sz="4" w:space="0" w:color="auto"/>
              <w:right w:val="single" w:sz="4" w:space="0" w:color="auto"/>
            </w:tcBorders>
          </w:tcPr>
          <w:p w14:paraId="0190A6CA" w14:textId="51340F8F" w:rsidR="007149E2" w:rsidRPr="005A5BB7" w:rsidRDefault="007149E2" w:rsidP="002A42B9">
            <w:pPr>
              <w:keepNext/>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255B3F71" w14:textId="7CEB38CE"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1013</w:t>
            </w:r>
          </w:p>
        </w:tc>
        <w:tc>
          <w:tcPr>
            <w:tcW w:w="281" w:type="pct"/>
            <w:vAlign w:val="center"/>
          </w:tcPr>
          <w:p w14:paraId="389DA466" w14:textId="1D93483A"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9</w:t>
            </w:r>
          </w:p>
        </w:tc>
        <w:tc>
          <w:tcPr>
            <w:tcW w:w="386" w:type="pct"/>
            <w:vAlign w:val="center"/>
          </w:tcPr>
          <w:p w14:paraId="12B8B3F0" w14:textId="66DED1DD"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947.7</w:t>
            </w:r>
          </w:p>
        </w:tc>
        <w:tc>
          <w:tcPr>
            <w:tcW w:w="389" w:type="pct"/>
            <w:vAlign w:val="center"/>
          </w:tcPr>
          <w:p w14:paraId="52DBB5EF" w14:textId="57778E6A"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9.5</w:t>
            </w:r>
          </w:p>
        </w:tc>
        <w:tc>
          <w:tcPr>
            <w:tcW w:w="390" w:type="pct"/>
            <w:vAlign w:val="center"/>
          </w:tcPr>
          <w:p w14:paraId="51DF710F" w14:textId="45C99112"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1976</w:t>
            </w:r>
          </w:p>
        </w:tc>
        <w:tc>
          <w:tcPr>
            <w:tcW w:w="312" w:type="pct"/>
            <w:vAlign w:val="center"/>
          </w:tcPr>
          <w:p w14:paraId="0401211F" w14:textId="104434E4"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44</w:t>
            </w:r>
          </w:p>
        </w:tc>
        <w:tc>
          <w:tcPr>
            <w:tcW w:w="390" w:type="pct"/>
            <w:vAlign w:val="center"/>
          </w:tcPr>
          <w:p w14:paraId="3A605F7B" w14:textId="039B6D92"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1844.1</w:t>
            </w:r>
          </w:p>
        </w:tc>
        <w:tc>
          <w:tcPr>
            <w:tcW w:w="392" w:type="pct"/>
            <w:vAlign w:val="center"/>
          </w:tcPr>
          <w:p w14:paraId="1E3BB486" w14:textId="009DDA83" w:rsidR="007149E2" w:rsidRPr="005A5BB7" w:rsidRDefault="6F903494" w:rsidP="002A42B9">
            <w:pPr>
              <w:keepNext/>
              <w:jc w:val="center"/>
              <w:rPr>
                <w:rFonts w:ascii="Arial Narrow" w:hAnsi="Arial Narrow" w:cs="Times New Roman"/>
                <w:sz w:val="20"/>
                <w:szCs w:val="20"/>
              </w:rPr>
            </w:pPr>
            <w:r w:rsidRPr="005A5BB7">
              <w:rPr>
                <w:rFonts w:ascii="Arial Narrow" w:hAnsi="Arial Narrow" w:cs="Times New Roman"/>
                <w:sz w:val="20"/>
                <w:szCs w:val="20"/>
              </w:rPr>
              <w:t>23.9</w:t>
            </w:r>
          </w:p>
        </w:tc>
        <w:tc>
          <w:tcPr>
            <w:tcW w:w="1068" w:type="pct"/>
            <w:vAlign w:val="center"/>
          </w:tcPr>
          <w:p w14:paraId="73892D0D" w14:textId="5CAC9E30" w:rsidR="007149E2" w:rsidRPr="005A5BB7" w:rsidRDefault="00B36882" w:rsidP="002A42B9">
            <w:pPr>
              <w:keepNext/>
              <w:jc w:val="center"/>
              <w:rPr>
                <w:rFonts w:ascii="Arial Narrow" w:hAnsi="Arial Narrow" w:cs="Times New Roman"/>
                <w:b/>
                <w:bCs/>
                <w:sz w:val="20"/>
                <w:szCs w:val="20"/>
              </w:rPr>
            </w:pPr>
            <w:r w:rsidRPr="005A5BB7">
              <w:rPr>
                <w:rFonts w:ascii="Arial Narrow" w:hAnsi="Arial Narrow" w:cs="Times New Roman"/>
                <w:b/>
                <w:bCs/>
                <w:sz w:val="20"/>
                <w:szCs w:val="20"/>
              </w:rPr>
              <w:t>61.97 (20.96, 83.69)</w:t>
            </w:r>
            <w:r w:rsidR="1125EA51" w:rsidRPr="005A5BB7">
              <w:rPr>
                <w:rFonts w:ascii="Arial Narrow" w:hAnsi="Arial Narrow" w:cs="Times New Roman"/>
                <w:b/>
                <w:bCs/>
                <w:sz w:val="20"/>
                <w:szCs w:val="20"/>
              </w:rPr>
              <w:t>; 0.0065</w:t>
            </w:r>
          </w:p>
        </w:tc>
      </w:tr>
      <w:tr w:rsidR="00DE5805" w:rsidRPr="005A5BB7" w14:paraId="2E7A471B" w14:textId="77777777">
        <w:trPr>
          <w:trHeight w:val="170"/>
        </w:trPr>
        <w:tc>
          <w:tcPr>
            <w:tcW w:w="1082" w:type="pct"/>
            <w:tcBorders>
              <w:left w:val="single" w:sz="4" w:space="0" w:color="auto"/>
              <w:right w:val="single" w:sz="4" w:space="0" w:color="auto"/>
            </w:tcBorders>
          </w:tcPr>
          <w:p w14:paraId="3746B71E" w14:textId="712111C6" w:rsidR="007149E2" w:rsidRPr="005A5BB7" w:rsidRDefault="007149E2" w:rsidP="002A42B9">
            <w:pPr>
              <w:keepNext/>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2EEBDAA2" w14:textId="3DFEB9CC"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1303</w:t>
            </w:r>
          </w:p>
        </w:tc>
        <w:tc>
          <w:tcPr>
            <w:tcW w:w="281" w:type="pct"/>
            <w:vAlign w:val="center"/>
          </w:tcPr>
          <w:p w14:paraId="292F3F70" w14:textId="149634BB"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7</w:t>
            </w:r>
          </w:p>
        </w:tc>
        <w:tc>
          <w:tcPr>
            <w:tcW w:w="386" w:type="pct"/>
            <w:vAlign w:val="center"/>
          </w:tcPr>
          <w:p w14:paraId="14A16336" w14:textId="2B01EF61"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1231.2</w:t>
            </w:r>
          </w:p>
        </w:tc>
        <w:tc>
          <w:tcPr>
            <w:tcW w:w="389" w:type="pct"/>
            <w:vAlign w:val="center"/>
          </w:tcPr>
          <w:p w14:paraId="0E67D8F3" w14:textId="6A2280FB"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5.7</w:t>
            </w:r>
          </w:p>
        </w:tc>
        <w:tc>
          <w:tcPr>
            <w:tcW w:w="390" w:type="pct"/>
            <w:vAlign w:val="center"/>
          </w:tcPr>
          <w:p w14:paraId="40FA9CF2" w14:textId="5CD0DC4C"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2606</w:t>
            </w:r>
          </w:p>
        </w:tc>
        <w:tc>
          <w:tcPr>
            <w:tcW w:w="312" w:type="pct"/>
            <w:vAlign w:val="center"/>
          </w:tcPr>
          <w:p w14:paraId="6963D25E" w14:textId="5760C4CD"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22</w:t>
            </w:r>
          </w:p>
        </w:tc>
        <w:tc>
          <w:tcPr>
            <w:tcW w:w="390" w:type="pct"/>
            <w:vAlign w:val="center"/>
          </w:tcPr>
          <w:p w14:paraId="358A53EA" w14:textId="4E41541A"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2462.8</w:t>
            </w:r>
          </w:p>
        </w:tc>
        <w:tc>
          <w:tcPr>
            <w:tcW w:w="392" w:type="pct"/>
            <w:vAlign w:val="center"/>
          </w:tcPr>
          <w:p w14:paraId="16C203D7" w14:textId="5F6B51A0" w:rsidR="007149E2" w:rsidRPr="005A5BB7" w:rsidRDefault="6046F450" w:rsidP="002A42B9">
            <w:pPr>
              <w:keepNext/>
              <w:jc w:val="center"/>
              <w:rPr>
                <w:rFonts w:ascii="Arial Narrow" w:hAnsi="Arial Narrow" w:cs="Times New Roman"/>
                <w:sz w:val="20"/>
                <w:szCs w:val="20"/>
              </w:rPr>
            </w:pPr>
            <w:r w:rsidRPr="005A5BB7">
              <w:rPr>
                <w:rFonts w:ascii="Arial Narrow" w:hAnsi="Arial Narrow" w:cs="Times New Roman"/>
                <w:sz w:val="20"/>
                <w:szCs w:val="20"/>
              </w:rPr>
              <w:t>8.9</w:t>
            </w:r>
          </w:p>
        </w:tc>
        <w:tc>
          <w:tcPr>
            <w:tcW w:w="1068" w:type="pct"/>
            <w:vAlign w:val="center"/>
          </w:tcPr>
          <w:p w14:paraId="2C19FBB0" w14:textId="389E161E" w:rsidR="007149E2" w:rsidRPr="005A5BB7" w:rsidRDefault="553656A7" w:rsidP="002A42B9">
            <w:pPr>
              <w:keepNext/>
              <w:jc w:val="center"/>
              <w:rPr>
                <w:rFonts w:ascii="Arial Narrow" w:hAnsi="Arial Narrow" w:cs="Times New Roman"/>
                <w:sz w:val="20"/>
                <w:szCs w:val="20"/>
              </w:rPr>
            </w:pPr>
            <w:r w:rsidRPr="005A5BB7">
              <w:rPr>
                <w:rFonts w:ascii="Arial Narrow" w:hAnsi="Arial Narrow" w:cs="Times New Roman"/>
                <w:sz w:val="20"/>
                <w:szCs w:val="20"/>
              </w:rPr>
              <w:t xml:space="preserve">36.62 </w:t>
            </w:r>
            <w:r w:rsidR="1971A15F" w:rsidRPr="005A5BB7">
              <w:rPr>
                <w:rFonts w:ascii="Arial Narrow" w:hAnsi="Arial Narrow" w:cs="Times New Roman"/>
                <w:sz w:val="20"/>
                <w:szCs w:val="20"/>
              </w:rPr>
              <w:t>(</w:t>
            </w:r>
            <w:r w:rsidR="000E4816">
              <w:rPr>
                <w:rFonts w:ascii="Arial Narrow" w:hAnsi="Arial Narrow" w:cs="Times New Roman"/>
                <w:sz w:val="20"/>
                <w:szCs w:val="20"/>
              </w:rPr>
              <w:noBreakHyphen/>
            </w:r>
            <w:r w:rsidRPr="005A5BB7">
              <w:rPr>
                <w:rFonts w:ascii="Arial Narrow" w:hAnsi="Arial Narrow" w:cs="Times New Roman"/>
                <w:sz w:val="20"/>
                <w:szCs w:val="20"/>
              </w:rPr>
              <w:t>53.66, 77.14</w:t>
            </w:r>
            <w:r w:rsidR="455ECDFA" w:rsidRPr="005A5BB7">
              <w:rPr>
                <w:rFonts w:ascii="Arial Narrow" w:hAnsi="Arial Narrow" w:cs="Times New Roman"/>
                <w:sz w:val="20"/>
                <w:szCs w:val="20"/>
              </w:rPr>
              <w:t>); 0.3918</w:t>
            </w:r>
          </w:p>
        </w:tc>
      </w:tr>
      <w:tr w:rsidR="00905D2F" w:rsidRPr="005A5BB7" w14:paraId="7215DDEE" w14:textId="77777777">
        <w:trPr>
          <w:trHeight w:val="170"/>
        </w:trPr>
        <w:tc>
          <w:tcPr>
            <w:tcW w:w="5000" w:type="pct"/>
            <w:gridSpan w:val="10"/>
            <w:tcBorders>
              <w:left w:val="single" w:sz="4" w:space="0" w:color="auto"/>
            </w:tcBorders>
            <w:vAlign w:val="center"/>
          </w:tcPr>
          <w:p w14:paraId="5F0586EB" w14:textId="0BE86450" w:rsidR="007149E2" w:rsidRPr="005A5BB7" w:rsidRDefault="67BD8992">
            <w:pPr>
              <w:jc w:val="left"/>
              <w:rPr>
                <w:rFonts w:ascii="Arial Narrow" w:hAnsi="Arial Narrow" w:cs="Times New Roman"/>
                <w:b/>
                <w:sz w:val="20"/>
                <w:szCs w:val="20"/>
              </w:rPr>
            </w:pPr>
            <w:r w:rsidRPr="005A5BB7">
              <w:rPr>
                <w:rFonts w:ascii="Arial Narrow" w:hAnsi="Arial Narrow" w:cs="Times New Roman"/>
                <w:b/>
                <w:bCs/>
                <w:sz w:val="20"/>
                <w:szCs w:val="20"/>
              </w:rPr>
              <w:t>VE Analysis S</w:t>
            </w:r>
            <w:r w:rsidR="4F27F275" w:rsidRPr="005A5BB7">
              <w:rPr>
                <w:rFonts w:ascii="Arial Narrow" w:hAnsi="Arial Narrow" w:cs="Times New Roman"/>
                <w:b/>
                <w:bCs/>
                <w:sz w:val="20"/>
                <w:szCs w:val="20"/>
              </w:rPr>
              <w:t>3</w:t>
            </w:r>
            <w:r w:rsidRPr="005A5BB7">
              <w:rPr>
                <w:rFonts w:ascii="Arial Narrow" w:hAnsi="Arial Narrow" w:cs="Times New Roman"/>
                <w:b/>
                <w:bCs/>
                <w:sz w:val="20"/>
                <w:szCs w:val="20"/>
              </w:rPr>
              <w:t xml:space="preserve"> (Northern Hemisphere)</w:t>
            </w:r>
          </w:p>
        </w:tc>
      </w:tr>
      <w:tr w:rsidR="00DE5805" w:rsidRPr="005A5BB7" w14:paraId="014E2290" w14:textId="77777777" w:rsidTr="5FB62976">
        <w:trPr>
          <w:trHeight w:val="170"/>
        </w:trPr>
        <w:tc>
          <w:tcPr>
            <w:tcW w:w="1082" w:type="pct"/>
            <w:tcBorders>
              <w:left w:val="single" w:sz="4" w:space="0" w:color="auto"/>
              <w:right w:val="single" w:sz="4" w:space="0" w:color="auto"/>
            </w:tcBorders>
            <w:shd w:val="clear" w:color="auto" w:fill="DBE5F1" w:themeFill="accent1" w:themeFillTint="33"/>
            <w:vAlign w:val="center"/>
          </w:tcPr>
          <w:p w14:paraId="4BEFD744" w14:textId="77777777" w:rsidR="007149E2" w:rsidRPr="005A5BB7" w:rsidRDefault="007149E2">
            <w:pPr>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2</w:t>
            </w:r>
          </w:p>
        </w:tc>
        <w:tc>
          <w:tcPr>
            <w:tcW w:w="310" w:type="pct"/>
            <w:tcBorders>
              <w:left w:val="single" w:sz="4" w:space="0" w:color="auto"/>
            </w:tcBorders>
            <w:shd w:val="clear" w:color="auto" w:fill="DBE5F1" w:themeFill="accent1" w:themeFillTint="33"/>
            <w:vAlign w:val="center"/>
          </w:tcPr>
          <w:p w14:paraId="4B222372" w14:textId="23A13347" w:rsidR="007149E2" w:rsidRPr="005A5BB7" w:rsidRDefault="32728193" w:rsidP="00DE5805">
            <w:pPr>
              <w:spacing w:line="259" w:lineRule="auto"/>
              <w:jc w:val="center"/>
              <w:rPr>
                <w:rFonts w:ascii="Arial Narrow" w:eastAsia="Arial Narrow" w:hAnsi="Arial Narrow" w:cs="Arial Narrow"/>
                <w:sz w:val="20"/>
                <w:szCs w:val="20"/>
              </w:rPr>
            </w:pPr>
            <w:r w:rsidRPr="005A5BB7">
              <w:rPr>
                <w:rFonts w:ascii="Arial Narrow" w:hAnsi="Arial Narrow" w:cs="Calibri"/>
                <w:color w:val="000000" w:themeColor="text1"/>
                <w:sz w:val="20"/>
                <w:szCs w:val="20"/>
              </w:rPr>
              <w:t>4988</w:t>
            </w:r>
          </w:p>
        </w:tc>
        <w:tc>
          <w:tcPr>
            <w:tcW w:w="281" w:type="pct"/>
            <w:shd w:val="clear" w:color="auto" w:fill="DBE5F1" w:themeFill="accent1" w:themeFillTint="33"/>
            <w:vAlign w:val="center"/>
          </w:tcPr>
          <w:p w14:paraId="77B69AC9" w14:textId="4EA16313" w:rsidR="007149E2" w:rsidRPr="005A5BB7" w:rsidRDefault="32728193">
            <w:pPr>
              <w:jc w:val="center"/>
              <w:rPr>
                <w:rFonts w:ascii="Arial Narrow" w:hAnsi="Arial Narrow" w:cs="Times New Roman"/>
                <w:sz w:val="20"/>
                <w:szCs w:val="20"/>
              </w:rPr>
            </w:pPr>
            <w:r w:rsidRPr="005A5BB7">
              <w:rPr>
                <w:rFonts w:ascii="Arial Narrow" w:hAnsi="Arial Narrow" w:cs="Times New Roman"/>
                <w:sz w:val="20"/>
                <w:szCs w:val="20"/>
              </w:rPr>
              <w:t>16</w:t>
            </w:r>
          </w:p>
        </w:tc>
        <w:tc>
          <w:tcPr>
            <w:tcW w:w="386" w:type="pct"/>
            <w:shd w:val="clear" w:color="auto" w:fill="DBE5F1" w:themeFill="accent1" w:themeFillTint="33"/>
            <w:vAlign w:val="center"/>
          </w:tcPr>
          <w:p w14:paraId="335D1113" w14:textId="1549CAF3" w:rsidR="007149E2" w:rsidRPr="005A5BB7" w:rsidRDefault="75400628">
            <w:pPr>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2552.9</w:t>
            </w:r>
          </w:p>
        </w:tc>
        <w:tc>
          <w:tcPr>
            <w:tcW w:w="389" w:type="pct"/>
            <w:shd w:val="clear" w:color="auto" w:fill="DBE5F1" w:themeFill="accent1" w:themeFillTint="33"/>
            <w:vAlign w:val="center"/>
          </w:tcPr>
          <w:p w14:paraId="1464C9B7" w14:textId="02AB35DE" w:rsidR="007149E2" w:rsidRPr="005A5BB7" w:rsidRDefault="75400628">
            <w:pPr>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6.3</w:t>
            </w:r>
          </w:p>
        </w:tc>
        <w:tc>
          <w:tcPr>
            <w:tcW w:w="390" w:type="pct"/>
            <w:shd w:val="clear" w:color="auto" w:fill="DBE5F1" w:themeFill="accent1" w:themeFillTint="33"/>
            <w:vAlign w:val="center"/>
          </w:tcPr>
          <w:p w14:paraId="799B33B7" w14:textId="17BEDDCC" w:rsidR="007149E2" w:rsidRPr="005A5BB7" w:rsidRDefault="75400628">
            <w:pPr>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10031</w:t>
            </w:r>
          </w:p>
        </w:tc>
        <w:tc>
          <w:tcPr>
            <w:tcW w:w="312" w:type="pct"/>
            <w:shd w:val="clear" w:color="auto" w:fill="DBE5F1" w:themeFill="accent1" w:themeFillTint="33"/>
            <w:vAlign w:val="center"/>
          </w:tcPr>
          <w:p w14:paraId="521BE333" w14:textId="53D4F8D2" w:rsidR="007149E2" w:rsidRPr="005A5BB7" w:rsidRDefault="75400628" w:rsidP="00DE5805">
            <w:pPr>
              <w:spacing w:line="259" w:lineRule="auto"/>
              <w:jc w:val="center"/>
              <w:rPr>
                <w:rFonts w:ascii="Arial Narrow" w:hAnsi="Arial Narrow" w:cs="Times New Roman"/>
                <w:sz w:val="20"/>
                <w:szCs w:val="20"/>
              </w:rPr>
            </w:pPr>
            <w:r w:rsidRPr="005A5BB7">
              <w:rPr>
                <w:rFonts w:ascii="Arial Narrow" w:hAnsi="Arial Narrow" w:cs="Times New Roman"/>
                <w:sz w:val="20"/>
                <w:szCs w:val="20"/>
              </w:rPr>
              <w:t>60</w:t>
            </w:r>
          </w:p>
        </w:tc>
        <w:tc>
          <w:tcPr>
            <w:tcW w:w="390" w:type="pct"/>
            <w:shd w:val="clear" w:color="auto" w:fill="DBE5F1" w:themeFill="accent1" w:themeFillTint="33"/>
            <w:vAlign w:val="center"/>
          </w:tcPr>
          <w:p w14:paraId="12E7EEC7" w14:textId="671E4272" w:rsidR="007149E2" w:rsidRPr="005A5BB7" w:rsidRDefault="75400628">
            <w:pPr>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5081.3</w:t>
            </w:r>
          </w:p>
        </w:tc>
        <w:tc>
          <w:tcPr>
            <w:tcW w:w="392" w:type="pct"/>
            <w:shd w:val="clear" w:color="auto" w:fill="DBE5F1" w:themeFill="accent1" w:themeFillTint="33"/>
            <w:vAlign w:val="center"/>
          </w:tcPr>
          <w:p w14:paraId="66BFF433" w14:textId="101F9E66" w:rsidR="007149E2" w:rsidRPr="005A5BB7" w:rsidRDefault="75400628">
            <w:pPr>
              <w:jc w:val="center"/>
              <w:rPr>
                <w:rFonts w:ascii="Arial Narrow" w:hAnsi="Arial Narrow" w:cs="Calibri"/>
                <w:color w:val="000000" w:themeColor="text1"/>
                <w:sz w:val="20"/>
                <w:szCs w:val="20"/>
              </w:rPr>
            </w:pPr>
            <w:r w:rsidRPr="005A5BB7">
              <w:rPr>
                <w:rFonts w:ascii="Arial Narrow" w:hAnsi="Arial Narrow" w:cs="Calibri"/>
                <w:color w:val="000000" w:themeColor="text1"/>
                <w:sz w:val="20"/>
                <w:szCs w:val="20"/>
              </w:rPr>
              <w:t>11.8</w:t>
            </w:r>
          </w:p>
        </w:tc>
        <w:tc>
          <w:tcPr>
            <w:tcW w:w="1068" w:type="pct"/>
            <w:shd w:val="clear" w:color="auto" w:fill="DBE5F1" w:themeFill="accent1" w:themeFillTint="33"/>
            <w:vAlign w:val="center"/>
          </w:tcPr>
          <w:p w14:paraId="6D08334C" w14:textId="5EDF028A" w:rsidR="007149E2" w:rsidRPr="005A5BB7" w:rsidRDefault="475E8F97">
            <w:pPr>
              <w:jc w:val="center"/>
              <w:rPr>
                <w:rFonts w:ascii="Arial Narrow" w:hAnsi="Arial Narrow" w:cs="Times New Roman"/>
                <w:b/>
                <w:sz w:val="20"/>
                <w:szCs w:val="20"/>
              </w:rPr>
            </w:pPr>
            <w:r w:rsidRPr="005A5BB7">
              <w:rPr>
                <w:rFonts w:ascii="Arial Narrow" w:hAnsi="Arial Narrow" w:cs="Times New Roman"/>
                <w:b/>
                <w:sz w:val="20"/>
                <w:szCs w:val="20"/>
              </w:rPr>
              <w:t>47.2 (7.1, 71.6)</w:t>
            </w:r>
          </w:p>
        </w:tc>
      </w:tr>
      <w:tr w:rsidR="00DE5805" w:rsidRPr="005A5BB7" w14:paraId="1ED08DE2" w14:textId="77777777" w:rsidTr="5FB62976">
        <w:trPr>
          <w:trHeight w:val="170"/>
        </w:trPr>
        <w:tc>
          <w:tcPr>
            <w:tcW w:w="1082" w:type="pct"/>
            <w:tcBorders>
              <w:left w:val="single" w:sz="4" w:space="0" w:color="auto"/>
              <w:right w:val="single" w:sz="4" w:space="0" w:color="auto"/>
            </w:tcBorders>
            <w:shd w:val="clear" w:color="auto" w:fill="DBE5F1" w:themeFill="accent1" w:themeFillTint="33"/>
          </w:tcPr>
          <w:p w14:paraId="46E269F8" w14:textId="198FAF11" w:rsidR="007149E2" w:rsidRPr="005A5BB7" w:rsidRDefault="007149E2">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shd w:val="clear" w:color="auto" w:fill="DBE5F1" w:themeFill="accent1" w:themeFillTint="33"/>
            <w:vAlign w:val="center"/>
          </w:tcPr>
          <w:p w14:paraId="77082555" w14:textId="6F6FC2CB"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2988</w:t>
            </w:r>
          </w:p>
        </w:tc>
        <w:tc>
          <w:tcPr>
            <w:tcW w:w="281" w:type="pct"/>
            <w:shd w:val="clear" w:color="auto" w:fill="DBE5F1" w:themeFill="accent1" w:themeFillTint="33"/>
            <w:vAlign w:val="center"/>
          </w:tcPr>
          <w:p w14:paraId="0E8D30B5" w14:textId="0F279AE3"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8</w:t>
            </w:r>
          </w:p>
        </w:tc>
        <w:tc>
          <w:tcPr>
            <w:tcW w:w="386" w:type="pct"/>
            <w:shd w:val="clear" w:color="auto" w:fill="DBE5F1" w:themeFill="accent1" w:themeFillTint="33"/>
            <w:vAlign w:val="center"/>
          </w:tcPr>
          <w:p w14:paraId="599248EC" w14:textId="4DE9AFCD"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1647.8</w:t>
            </w:r>
          </w:p>
        </w:tc>
        <w:tc>
          <w:tcPr>
            <w:tcW w:w="389" w:type="pct"/>
            <w:shd w:val="clear" w:color="auto" w:fill="DBE5F1" w:themeFill="accent1" w:themeFillTint="33"/>
            <w:vAlign w:val="center"/>
          </w:tcPr>
          <w:p w14:paraId="5C047646" w14:textId="19905FD1"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4</w:t>
            </w:r>
            <w:r w:rsidR="007149E2" w:rsidRPr="005A5BB7">
              <w:rPr>
                <w:rFonts w:ascii="Arial Narrow" w:hAnsi="Arial Narrow" w:cs="Times New Roman"/>
                <w:sz w:val="20"/>
                <w:szCs w:val="20"/>
              </w:rPr>
              <w:t>.9</w:t>
            </w:r>
          </w:p>
        </w:tc>
        <w:tc>
          <w:tcPr>
            <w:tcW w:w="390" w:type="pct"/>
            <w:shd w:val="clear" w:color="auto" w:fill="DBE5F1" w:themeFill="accent1" w:themeFillTint="33"/>
            <w:vAlign w:val="center"/>
          </w:tcPr>
          <w:p w14:paraId="323A54E4" w14:textId="7DC83F3A"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6107</w:t>
            </w:r>
          </w:p>
        </w:tc>
        <w:tc>
          <w:tcPr>
            <w:tcW w:w="312" w:type="pct"/>
            <w:shd w:val="clear" w:color="auto" w:fill="DBE5F1" w:themeFill="accent1" w:themeFillTint="33"/>
            <w:vAlign w:val="center"/>
          </w:tcPr>
          <w:p w14:paraId="02D7732B" w14:textId="49BA7081"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24</w:t>
            </w:r>
          </w:p>
        </w:tc>
        <w:tc>
          <w:tcPr>
            <w:tcW w:w="390" w:type="pct"/>
            <w:shd w:val="clear" w:color="auto" w:fill="DBE5F1" w:themeFill="accent1" w:themeFillTint="33"/>
            <w:vAlign w:val="center"/>
          </w:tcPr>
          <w:p w14:paraId="1E69DEE9" w14:textId="046BF5A5"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3322.3</w:t>
            </w:r>
          </w:p>
        </w:tc>
        <w:tc>
          <w:tcPr>
            <w:tcW w:w="392" w:type="pct"/>
            <w:shd w:val="clear" w:color="auto" w:fill="DBE5F1" w:themeFill="accent1" w:themeFillTint="33"/>
            <w:vAlign w:val="center"/>
          </w:tcPr>
          <w:p w14:paraId="5E996384" w14:textId="2BE8313F" w:rsidR="007149E2" w:rsidRPr="005A5BB7" w:rsidRDefault="36663AC0">
            <w:pPr>
              <w:jc w:val="center"/>
              <w:rPr>
                <w:rFonts w:ascii="Arial Narrow" w:hAnsi="Arial Narrow" w:cs="Times New Roman"/>
                <w:sz w:val="20"/>
                <w:szCs w:val="20"/>
              </w:rPr>
            </w:pPr>
            <w:r w:rsidRPr="005A5BB7">
              <w:rPr>
                <w:rFonts w:ascii="Arial Narrow" w:hAnsi="Arial Narrow" w:cs="Times New Roman"/>
                <w:sz w:val="20"/>
                <w:szCs w:val="20"/>
              </w:rPr>
              <w:t>7.2</w:t>
            </w:r>
          </w:p>
        </w:tc>
        <w:tc>
          <w:tcPr>
            <w:tcW w:w="1068" w:type="pct"/>
            <w:shd w:val="clear" w:color="auto" w:fill="DBE5F1" w:themeFill="accent1" w:themeFillTint="33"/>
            <w:vAlign w:val="center"/>
          </w:tcPr>
          <w:p w14:paraId="3D8BABC0" w14:textId="69F34380" w:rsidR="007149E2" w:rsidRPr="005A5BB7" w:rsidRDefault="25C9F192">
            <w:pPr>
              <w:jc w:val="center"/>
              <w:rPr>
                <w:rFonts w:ascii="Arial Narrow" w:hAnsi="Arial Narrow" w:cs="Times New Roman"/>
                <w:sz w:val="20"/>
                <w:szCs w:val="20"/>
              </w:rPr>
            </w:pPr>
            <w:r w:rsidRPr="005A5BB7">
              <w:rPr>
                <w:rFonts w:ascii="Arial Narrow" w:hAnsi="Arial Narrow" w:cs="Times New Roman"/>
                <w:sz w:val="20"/>
                <w:szCs w:val="20"/>
              </w:rPr>
              <w:t xml:space="preserve">33.22 </w:t>
            </w:r>
            <w:r w:rsidR="67CD1082" w:rsidRPr="005A5BB7">
              <w:rPr>
                <w:rFonts w:ascii="Arial Narrow" w:hAnsi="Arial Narrow" w:cs="Times New Roman"/>
                <w:sz w:val="20"/>
                <w:szCs w:val="20"/>
              </w:rPr>
              <w:t>(</w:t>
            </w:r>
            <w:r w:rsidR="000E4816">
              <w:rPr>
                <w:rFonts w:ascii="Arial Narrow" w:hAnsi="Arial Narrow" w:cs="Times New Roman"/>
                <w:sz w:val="20"/>
                <w:szCs w:val="20"/>
              </w:rPr>
              <w:noBreakHyphen/>
            </w:r>
            <w:r w:rsidRPr="005A5BB7">
              <w:rPr>
                <w:rFonts w:ascii="Arial Narrow" w:hAnsi="Arial Narrow" w:cs="Times New Roman"/>
                <w:sz w:val="20"/>
                <w:szCs w:val="20"/>
              </w:rPr>
              <w:t>53.64, 74.07)</w:t>
            </w:r>
            <w:r w:rsidR="45CD32DC" w:rsidRPr="005A5BB7">
              <w:rPr>
                <w:rFonts w:ascii="Arial Narrow" w:hAnsi="Arial Narrow" w:cs="Times New Roman"/>
                <w:sz w:val="20"/>
                <w:szCs w:val="20"/>
              </w:rPr>
              <w:t>; 0.4236</w:t>
            </w:r>
          </w:p>
        </w:tc>
      </w:tr>
      <w:tr w:rsidR="00DE5805" w:rsidRPr="005A5BB7" w14:paraId="7EC639F7" w14:textId="77777777" w:rsidTr="5FB62976">
        <w:trPr>
          <w:trHeight w:val="170"/>
        </w:trPr>
        <w:tc>
          <w:tcPr>
            <w:tcW w:w="1082" w:type="pct"/>
            <w:tcBorders>
              <w:left w:val="single" w:sz="4" w:space="0" w:color="auto"/>
              <w:right w:val="single" w:sz="4" w:space="0" w:color="auto"/>
            </w:tcBorders>
            <w:shd w:val="clear" w:color="auto" w:fill="DBE5F1" w:themeFill="accent1" w:themeFillTint="33"/>
          </w:tcPr>
          <w:p w14:paraId="2A49099A" w14:textId="01E0FF0B" w:rsidR="007149E2" w:rsidRPr="005A5BB7" w:rsidRDefault="007149E2">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shd w:val="clear" w:color="auto" w:fill="DBE5F1" w:themeFill="accent1" w:themeFillTint="33"/>
            <w:vAlign w:val="center"/>
          </w:tcPr>
          <w:p w14:paraId="4F0212DD" w14:textId="47A24E19"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2000</w:t>
            </w:r>
          </w:p>
        </w:tc>
        <w:tc>
          <w:tcPr>
            <w:tcW w:w="281" w:type="pct"/>
            <w:shd w:val="clear" w:color="auto" w:fill="DBE5F1" w:themeFill="accent1" w:themeFillTint="33"/>
            <w:vAlign w:val="center"/>
          </w:tcPr>
          <w:p w14:paraId="1D9A91C9" w14:textId="600417AD"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8</w:t>
            </w:r>
          </w:p>
        </w:tc>
        <w:tc>
          <w:tcPr>
            <w:tcW w:w="386" w:type="pct"/>
            <w:shd w:val="clear" w:color="auto" w:fill="DBE5F1" w:themeFill="accent1" w:themeFillTint="33"/>
            <w:vAlign w:val="center"/>
          </w:tcPr>
          <w:p w14:paraId="4DD79C44" w14:textId="5C918D36"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1069.4</w:t>
            </w:r>
          </w:p>
        </w:tc>
        <w:tc>
          <w:tcPr>
            <w:tcW w:w="389" w:type="pct"/>
            <w:shd w:val="clear" w:color="auto" w:fill="DBE5F1" w:themeFill="accent1" w:themeFillTint="33"/>
            <w:vAlign w:val="center"/>
          </w:tcPr>
          <w:p w14:paraId="6392CB25" w14:textId="4E570854"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7.5</w:t>
            </w:r>
          </w:p>
        </w:tc>
        <w:tc>
          <w:tcPr>
            <w:tcW w:w="390" w:type="pct"/>
            <w:shd w:val="clear" w:color="auto" w:fill="DBE5F1" w:themeFill="accent1" w:themeFillTint="33"/>
            <w:vAlign w:val="center"/>
          </w:tcPr>
          <w:p w14:paraId="1188409B" w14:textId="09617ADD"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3924</w:t>
            </w:r>
          </w:p>
        </w:tc>
        <w:tc>
          <w:tcPr>
            <w:tcW w:w="312" w:type="pct"/>
            <w:shd w:val="clear" w:color="auto" w:fill="DBE5F1" w:themeFill="accent1" w:themeFillTint="33"/>
            <w:vAlign w:val="center"/>
          </w:tcPr>
          <w:p w14:paraId="33233EF2" w14:textId="366C67C3"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37</w:t>
            </w:r>
          </w:p>
        </w:tc>
        <w:tc>
          <w:tcPr>
            <w:tcW w:w="390" w:type="pct"/>
            <w:shd w:val="clear" w:color="auto" w:fill="DBE5F1" w:themeFill="accent1" w:themeFillTint="33"/>
            <w:vAlign w:val="center"/>
          </w:tcPr>
          <w:p w14:paraId="6A328C13" w14:textId="0346EC09"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2085.1</w:t>
            </w:r>
          </w:p>
        </w:tc>
        <w:tc>
          <w:tcPr>
            <w:tcW w:w="392" w:type="pct"/>
            <w:shd w:val="clear" w:color="auto" w:fill="DBE5F1" w:themeFill="accent1" w:themeFillTint="33"/>
            <w:vAlign w:val="center"/>
          </w:tcPr>
          <w:p w14:paraId="30349DA7" w14:textId="6A56E26B" w:rsidR="007149E2" w:rsidRPr="005A5BB7" w:rsidRDefault="6EFAD641">
            <w:pPr>
              <w:jc w:val="center"/>
              <w:rPr>
                <w:rFonts w:ascii="Arial Narrow" w:hAnsi="Arial Narrow" w:cs="Times New Roman"/>
                <w:sz w:val="20"/>
                <w:szCs w:val="20"/>
              </w:rPr>
            </w:pPr>
            <w:r w:rsidRPr="005A5BB7">
              <w:rPr>
                <w:rFonts w:ascii="Arial Narrow" w:hAnsi="Arial Narrow" w:cs="Times New Roman"/>
                <w:sz w:val="20"/>
                <w:szCs w:val="20"/>
              </w:rPr>
              <w:t>17.7</w:t>
            </w:r>
          </w:p>
        </w:tc>
        <w:tc>
          <w:tcPr>
            <w:tcW w:w="1068" w:type="pct"/>
            <w:shd w:val="clear" w:color="auto" w:fill="DBE5F1" w:themeFill="accent1" w:themeFillTint="33"/>
            <w:vAlign w:val="center"/>
          </w:tcPr>
          <w:p w14:paraId="6D90E6F5" w14:textId="0D1E29E5" w:rsidR="007149E2" w:rsidRPr="005A5BB7" w:rsidRDefault="2926F16F">
            <w:pPr>
              <w:jc w:val="center"/>
              <w:rPr>
                <w:rFonts w:ascii="Arial Narrow" w:hAnsi="Arial Narrow" w:cs="Times New Roman"/>
                <w:b/>
                <w:sz w:val="20"/>
                <w:szCs w:val="20"/>
              </w:rPr>
            </w:pPr>
            <w:r w:rsidRPr="005A5BB7">
              <w:rPr>
                <w:rFonts w:ascii="Arial Narrow" w:hAnsi="Arial Narrow" w:cs="Times New Roman"/>
                <w:b/>
                <w:sz w:val="20"/>
                <w:szCs w:val="20"/>
              </w:rPr>
              <w:t>57.82 (7.96, 83.03)</w:t>
            </w:r>
            <w:r w:rsidR="03902994" w:rsidRPr="005A5BB7">
              <w:rPr>
                <w:rFonts w:ascii="Arial Narrow" w:hAnsi="Arial Narrow" w:cs="Times New Roman"/>
                <w:b/>
                <w:sz w:val="20"/>
                <w:szCs w:val="20"/>
              </w:rPr>
              <w:t>; 0.0270</w:t>
            </w:r>
          </w:p>
        </w:tc>
      </w:tr>
      <w:tr w:rsidR="00DE5805" w:rsidRPr="005A5BB7" w14:paraId="49A8BD4F" w14:textId="77777777" w:rsidTr="5FB62976">
        <w:trPr>
          <w:trHeight w:val="170"/>
        </w:trPr>
        <w:tc>
          <w:tcPr>
            <w:tcW w:w="1082" w:type="pct"/>
            <w:tcBorders>
              <w:left w:val="single" w:sz="4" w:space="0" w:color="auto"/>
              <w:right w:val="single" w:sz="4" w:space="0" w:color="auto"/>
            </w:tcBorders>
            <w:shd w:val="clear" w:color="auto" w:fill="DBE5F1" w:themeFill="accent1" w:themeFillTint="33"/>
          </w:tcPr>
          <w:p w14:paraId="75A4CDA9" w14:textId="645A4374" w:rsidR="007149E2" w:rsidRPr="005A5BB7" w:rsidRDefault="007149E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shd w:val="clear" w:color="auto" w:fill="DBE5F1" w:themeFill="accent1" w:themeFillTint="33"/>
            <w:vAlign w:val="center"/>
          </w:tcPr>
          <w:p w14:paraId="4E72B452" w14:textId="57D63D60"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1013</w:t>
            </w:r>
          </w:p>
        </w:tc>
        <w:tc>
          <w:tcPr>
            <w:tcW w:w="281" w:type="pct"/>
            <w:shd w:val="clear" w:color="auto" w:fill="DBE5F1" w:themeFill="accent1" w:themeFillTint="33"/>
            <w:vAlign w:val="center"/>
          </w:tcPr>
          <w:p w14:paraId="217C853C" w14:textId="4DBC49FA"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5</w:t>
            </w:r>
          </w:p>
        </w:tc>
        <w:tc>
          <w:tcPr>
            <w:tcW w:w="386" w:type="pct"/>
            <w:shd w:val="clear" w:color="auto" w:fill="DBE5F1" w:themeFill="accent1" w:themeFillTint="33"/>
            <w:vAlign w:val="center"/>
          </w:tcPr>
          <w:p w14:paraId="4110014C" w14:textId="0A587F5B"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538.6</w:t>
            </w:r>
          </w:p>
        </w:tc>
        <w:tc>
          <w:tcPr>
            <w:tcW w:w="389" w:type="pct"/>
            <w:shd w:val="clear" w:color="auto" w:fill="DBE5F1" w:themeFill="accent1" w:themeFillTint="33"/>
            <w:vAlign w:val="center"/>
          </w:tcPr>
          <w:p w14:paraId="1E0EAAC9" w14:textId="0213F18A"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9.3</w:t>
            </w:r>
          </w:p>
        </w:tc>
        <w:tc>
          <w:tcPr>
            <w:tcW w:w="390" w:type="pct"/>
            <w:shd w:val="clear" w:color="auto" w:fill="DBE5F1" w:themeFill="accent1" w:themeFillTint="33"/>
            <w:vAlign w:val="center"/>
          </w:tcPr>
          <w:p w14:paraId="33BAA342" w14:textId="20DFF5EA"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1976</w:t>
            </w:r>
          </w:p>
        </w:tc>
        <w:tc>
          <w:tcPr>
            <w:tcW w:w="312" w:type="pct"/>
            <w:shd w:val="clear" w:color="auto" w:fill="DBE5F1" w:themeFill="accent1" w:themeFillTint="33"/>
            <w:vAlign w:val="center"/>
          </w:tcPr>
          <w:p w14:paraId="1A15E456" w14:textId="09A4148C"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24</w:t>
            </w:r>
          </w:p>
        </w:tc>
        <w:tc>
          <w:tcPr>
            <w:tcW w:w="390" w:type="pct"/>
            <w:shd w:val="clear" w:color="auto" w:fill="DBE5F1" w:themeFill="accent1" w:themeFillTint="33"/>
            <w:vAlign w:val="center"/>
          </w:tcPr>
          <w:p w14:paraId="54E5640C" w14:textId="57CAF851"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1043.0</w:t>
            </w:r>
          </w:p>
        </w:tc>
        <w:tc>
          <w:tcPr>
            <w:tcW w:w="392" w:type="pct"/>
            <w:shd w:val="clear" w:color="auto" w:fill="DBE5F1" w:themeFill="accent1" w:themeFillTint="33"/>
            <w:vAlign w:val="center"/>
          </w:tcPr>
          <w:p w14:paraId="7F3C1206" w14:textId="03FF3F4A" w:rsidR="007149E2" w:rsidRPr="005A5BB7" w:rsidRDefault="24032F69">
            <w:pPr>
              <w:jc w:val="center"/>
              <w:rPr>
                <w:rFonts w:ascii="Arial Narrow" w:hAnsi="Arial Narrow" w:cs="Times New Roman"/>
                <w:sz w:val="20"/>
                <w:szCs w:val="20"/>
              </w:rPr>
            </w:pPr>
            <w:r w:rsidRPr="005A5BB7">
              <w:rPr>
                <w:rFonts w:ascii="Arial Narrow" w:hAnsi="Arial Narrow" w:cs="Times New Roman"/>
                <w:sz w:val="20"/>
                <w:szCs w:val="20"/>
              </w:rPr>
              <w:t>23.0</w:t>
            </w:r>
          </w:p>
        </w:tc>
        <w:tc>
          <w:tcPr>
            <w:tcW w:w="1068" w:type="pct"/>
            <w:shd w:val="clear" w:color="auto" w:fill="DBE5F1" w:themeFill="accent1" w:themeFillTint="33"/>
            <w:vAlign w:val="center"/>
          </w:tcPr>
          <w:p w14:paraId="3E8C5F13" w14:textId="5F3F6218" w:rsidR="007149E2" w:rsidRPr="005A5BB7" w:rsidRDefault="7240F69E">
            <w:pPr>
              <w:jc w:val="center"/>
              <w:rPr>
                <w:rFonts w:ascii="Arial Narrow" w:hAnsi="Arial Narrow" w:cs="Times New Roman"/>
                <w:sz w:val="20"/>
                <w:szCs w:val="20"/>
              </w:rPr>
            </w:pPr>
            <w:r w:rsidRPr="005A5BB7">
              <w:rPr>
                <w:rFonts w:ascii="Arial Narrow" w:hAnsi="Arial Narrow" w:cs="Times New Roman"/>
                <w:sz w:val="20"/>
                <w:szCs w:val="20"/>
              </w:rPr>
              <w:t xml:space="preserve">59.64 </w:t>
            </w:r>
            <w:r w:rsidR="42FC05D9" w:rsidRPr="005A5BB7">
              <w:rPr>
                <w:rFonts w:ascii="Arial Narrow" w:hAnsi="Arial Narrow" w:cs="Times New Roman"/>
                <w:sz w:val="20"/>
                <w:szCs w:val="20"/>
              </w:rPr>
              <w:t>(</w:t>
            </w:r>
            <w:r w:rsidR="000E4816">
              <w:rPr>
                <w:rFonts w:ascii="Arial Narrow" w:hAnsi="Arial Narrow" w:cs="Times New Roman"/>
                <w:sz w:val="20"/>
                <w:szCs w:val="20"/>
              </w:rPr>
              <w:noBreakHyphen/>
            </w:r>
            <w:r w:rsidRPr="005A5BB7">
              <w:rPr>
                <w:rFonts w:ascii="Arial Narrow" w:hAnsi="Arial Narrow" w:cs="Times New Roman"/>
                <w:sz w:val="20"/>
                <w:szCs w:val="20"/>
              </w:rPr>
              <w:t>8.03, 87.98</w:t>
            </w:r>
            <w:r w:rsidR="7F418FE4" w:rsidRPr="005A5BB7">
              <w:rPr>
                <w:rFonts w:ascii="Arial Narrow" w:hAnsi="Arial Narrow" w:cs="Times New Roman"/>
                <w:sz w:val="20"/>
                <w:szCs w:val="20"/>
              </w:rPr>
              <w:t>)</w:t>
            </w:r>
            <w:r w:rsidR="7B2EBCC1" w:rsidRPr="005A5BB7">
              <w:rPr>
                <w:rFonts w:ascii="Arial Narrow" w:hAnsi="Arial Narrow" w:cs="Times New Roman"/>
                <w:sz w:val="20"/>
                <w:szCs w:val="20"/>
              </w:rPr>
              <w:t>; 0.0768</w:t>
            </w:r>
          </w:p>
        </w:tc>
      </w:tr>
      <w:tr w:rsidR="00DE5805" w:rsidRPr="005A5BB7" w14:paraId="5AF5AF4C" w14:textId="77777777" w:rsidTr="5FB62976">
        <w:trPr>
          <w:trHeight w:val="170"/>
        </w:trPr>
        <w:tc>
          <w:tcPr>
            <w:tcW w:w="1082" w:type="pct"/>
            <w:tcBorders>
              <w:left w:val="single" w:sz="4" w:space="0" w:color="auto"/>
              <w:right w:val="single" w:sz="4" w:space="0" w:color="auto"/>
            </w:tcBorders>
            <w:shd w:val="clear" w:color="auto" w:fill="DBE5F1" w:themeFill="accent1" w:themeFillTint="33"/>
          </w:tcPr>
          <w:p w14:paraId="62A59713" w14:textId="13A415EF" w:rsidR="007149E2" w:rsidRPr="005A5BB7" w:rsidRDefault="007149E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shd w:val="clear" w:color="auto" w:fill="DBE5F1" w:themeFill="accent1" w:themeFillTint="33"/>
            <w:vAlign w:val="center"/>
          </w:tcPr>
          <w:p w14:paraId="05A19EAE" w14:textId="4306298C"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1303</w:t>
            </w:r>
          </w:p>
        </w:tc>
        <w:tc>
          <w:tcPr>
            <w:tcW w:w="281" w:type="pct"/>
            <w:shd w:val="clear" w:color="auto" w:fill="DBE5F1" w:themeFill="accent1" w:themeFillTint="33"/>
            <w:vAlign w:val="center"/>
          </w:tcPr>
          <w:p w14:paraId="24512678" w14:textId="38010AFA"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4</w:t>
            </w:r>
          </w:p>
        </w:tc>
        <w:tc>
          <w:tcPr>
            <w:tcW w:w="386" w:type="pct"/>
            <w:shd w:val="clear" w:color="auto" w:fill="DBE5F1" w:themeFill="accent1" w:themeFillTint="33"/>
            <w:vAlign w:val="center"/>
          </w:tcPr>
          <w:p w14:paraId="583D9858" w14:textId="1F832633"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697.1</w:t>
            </w:r>
          </w:p>
        </w:tc>
        <w:tc>
          <w:tcPr>
            <w:tcW w:w="389" w:type="pct"/>
            <w:shd w:val="clear" w:color="auto" w:fill="DBE5F1" w:themeFill="accent1" w:themeFillTint="33"/>
            <w:vAlign w:val="center"/>
          </w:tcPr>
          <w:p w14:paraId="4E0A3E23" w14:textId="39D634DC"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5.7</w:t>
            </w:r>
          </w:p>
        </w:tc>
        <w:tc>
          <w:tcPr>
            <w:tcW w:w="390" w:type="pct"/>
            <w:shd w:val="clear" w:color="auto" w:fill="DBE5F1" w:themeFill="accent1" w:themeFillTint="33"/>
            <w:vAlign w:val="center"/>
          </w:tcPr>
          <w:p w14:paraId="79FE9A34" w14:textId="4F370631"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2606</w:t>
            </w:r>
          </w:p>
        </w:tc>
        <w:tc>
          <w:tcPr>
            <w:tcW w:w="312" w:type="pct"/>
            <w:shd w:val="clear" w:color="auto" w:fill="DBE5F1" w:themeFill="accent1" w:themeFillTint="33"/>
            <w:vAlign w:val="center"/>
          </w:tcPr>
          <w:p w14:paraId="376EC6C2" w14:textId="2D6A78C2"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19</w:t>
            </w:r>
          </w:p>
        </w:tc>
        <w:tc>
          <w:tcPr>
            <w:tcW w:w="390" w:type="pct"/>
            <w:shd w:val="clear" w:color="auto" w:fill="DBE5F1" w:themeFill="accent1" w:themeFillTint="33"/>
            <w:vAlign w:val="center"/>
          </w:tcPr>
          <w:p w14:paraId="2FCBE2B5" w14:textId="27ABAE17"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1386.8</w:t>
            </w:r>
          </w:p>
        </w:tc>
        <w:tc>
          <w:tcPr>
            <w:tcW w:w="392" w:type="pct"/>
            <w:shd w:val="clear" w:color="auto" w:fill="DBE5F1" w:themeFill="accent1" w:themeFillTint="33"/>
            <w:vAlign w:val="center"/>
          </w:tcPr>
          <w:p w14:paraId="3BC5189D" w14:textId="15CAB1C9" w:rsidR="007149E2" w:rsidRPr="005A5BB7" w:rsidRDefault="23CCE2C1">
            <w:pPr>
              <w:jc w:val="center"/>
              <w:rPr>
                <w:rFonts w:ascii="Arial Narrow" w:hAnsi="Arial Narrow" w:cs="Times New Roman"/>
                <w:sz w:val="20"/>
                <w:szCs w:val="20"/>
              </w:rPr>
            </w:pPr>
            <w:r w:rsidRPr="005A5BB7">
              <w:rPr>
                <w:rFonts w:ascii="Arial Narrow" w:hAnsi="Arial Narrow" w:cs="Times New Roman"/>
                <w:sz w:val="20"/>
                <w:szCs w:val="20"/>
              </w:rPr>
              <w:t>13</w:t>
            </w:r>
            <w:r w:rsidR="007149E2" w:rsidRPr="005A5BB7">
              <w:rPr>
                <w:rFonts w:ascii="Arial Narrow" w:hAnsi="Arial Narrow" w:cs="Times New Roman"/>
                <w:sz w:val="20"/>
                <w:szCs w:val="20"/>
              </w:rPr>
              <w:t>.7</w:t>
            </w:r>
          </w:p>
        </w:tc>
        <w:tc>
          <w:tcPr>
            <w:tcW w:w="1068" w:type="pct"/>
            <w:shd w:val="clear" w:color="auto" w:fill="DBE5F1" w:themeFill="accent1" w:themeFillTint="33"/>
            <w:vAlign w:val="center"/>
          </w:tcPr>
          <w:p w14:paraId="35DDDDE5" w14:textId="6B26FB50" w:rsidR="007149E2" w:rsidRPr="005A5BB7" w:rsidRDefault="77D6F508">
            <w:pPr>
              <w:jc w:val="center"/>
              <w:rPr>
                <w:rFonts w:ascii="Arial Narrow" w:hAnsi="Arial Narrow" w:cs="Times New Roman"/>
                <w:sz w:val="20"/>
                <w:szCs w:val="20"/>
              </w:rPr>
            </w:pPr>
            <w:r w:rsidRPr="005A5BB7">
              <w:rPr>
                <w:rFonts w:ascii="Arial Narrow" w:hAnsi="Arial Narrow" w:cs="Times New Roman"/>
                <w:sz w:val="20"/>
                <w:szCs w:val="20"/>
              </w:rPr>
              <w:t xml:space="preserve">57.98 </w:t>
            </w:r>
            <w:r w:rsidR="3CA087E2" w:rsidRPr="005A5BB7">
              <w:rPr>
                <w:rFonts w:ascii="Arial Narrow" w:hAnsi="Arial Narrow" w:cs="Times New Roman"/>
                <w:sz w:val="20"/>
                <w:szCs w:val="20"/>
              </w:rPr>
              <w:t>(</w:t>
            </w:r>
            <w:r w:rsidR="000E4816">
              <w:rPr>
                <w:rFonts w:ascii="Arial Narrow" w:hAnsi="Arial Narrow" w:cs="Times New Roman"/>
                <w:sz w:val="20"/>
                <w:szCs w:val="20"/>
              </w:rPr>
              <w:noBreakHyphen/>
            </w:r>
            <w:r w:rsidRPr="005A5BB7">
              <w:rPr>
                <w:rFonts w:ascii="Arial Narrow" w:hAnsi="Arial Narrow" w:cs="Times New Roman"/>
                <w:sz w:val="20"/>
                <w:szCs w:val="20"/>
              </w:rPr>
              <w:t>26.48, 89.61)</w:t>
            </w:r>
            <w:r w:rsidR="7C893BEE" w:rsidRPr="005A5BB7">
              <w:rPr>
                <w:rFonts w:ascii="Arial Narrow" w:hAnsi="Arial Narrow" w:cs="Times New Roman"/>
                <w:sz w:val="20"/>
                <w:szCs w:val="20"/>
              </w:rPr>
              <w:t>; 0.1504</w:t>
            </w:r>
          </w:p>
        </w:tc>
      </w:tr>
    </w:tbl>
    <w:p w14:paraId="7233D383" w14:textId="1CA878A5" w:rsidR="007149E2" w:rsidRPr="005A5BB7" w:rsidRDefault="007149E2" w:rsidP="007149E2">
      <w:pPr>
        <w:pStyle w:val="FooterTableFigure"/>
        <w:rPr>
          <w:rFonts w:eastAsia="Arial Narrow"/>
        </w:rPr>
      </w:pPr>
      <w:r w:rsidRPr="005A5BB7">
        <w:rPr>
          <w:rFonts w:eastAsia="Arial Narrow"/>
        </w:rPr>
        <w:t xml:space="preserve">Source: Table </w:t>
      </w:r>
      <w:r w:rsidR="04AB6436" w:rsidRPr="005A5BB7">
        <w:rPr>
          <w:rFonts w:eastAsia="Arial Narrow"/>
        </w:rPr>
        <w:t xml:space="preserve">8.2.1.19, p983 of the CSR, </w:t>
      </w:r>
      <w:r w:rsidR="27F778BE" w:rsidRPr="005A5BB7">
        <w:rPr>
          <w:rFonts w:eastAsia="Arial Narrow"/>
        </w:rPr>
        <w:t>Table 8.2.1.181, pp1209</w:t>
      </w:r>
      <w:r w:rsidR="000E4816">
        <w:rPr>
          <w:rFonts w:eastAsia="Arial Narrow"/>
        </w:rPr>
        <w:noBreakHyphen/>
      </w:r>
      <w:r w:rsidR="27F778BE" w:rsidRPr="005A5BB7">
        <w:rPr>
          <w:rFonts w:eastAsia="Arial Narrow"/>
        </w:rPr>
        <w:t>1210 of the CSR</w:t>
      </w:r>
      <w:r w:rsidR="5CE7F812" w:rsidRPr="005A5BB7">
        <w:rPr>
          <w:rFonts w:eastAsia="Arial Narrow"/>
        </w:rPr>
        <w:t>, Table 8.2.1.300, pp2036, 2038 of the CSR</w:t>
      </w:r>
      <w:r w:rsidR="61027174" w:rsidRPr="005A5BB7">
        <w:rPr>
          <w:rFonts w:eastAsia="Arial Narrow"/>
        </w:rPr>
        <w:t xml:space="preserve"> and Table 18 p34 of ATAGI pre</w:t>
      </w:r>
      <w:r w:rsidR="000E4816">
        <w:rPr>
          <w:rFonts w:eastAsia="Arial Narrow"/>
        </w:rPr>
        <w:noBreakHyphen/>
      </w:r>
      <w:r w:rsidR="61027174" w:rsidRPr="005A5BB7">
        <w:rPr>
          <w:rFonts w:eastAsia="Arial Narrow"/>
        </w:rPr>
        <w:t>submission advice, March 2025</w:t>
      </w:r>
      <w:r w:rsidR="5CE7F812" w:rsidRPr="005A5BB7">
        <w:rPr>
          <w:rFonts w:eastAsia="Arial Narrow"/>
        </w:rPr>
        <w:t>.</w:t>
      </w:r>
    </w:p>
    <w:p w14:paraId="49463B74" w14:textId="771D4B21" w:rsidR="007149E2" w:rsidRPr="005A5BB7" w:rsidRDefault="007149E2" w:rsidP="007149E2">
      <w:pPr>
        <w:pStyle w:val="FooterTableFigure"/>
        <w:rPr>
          <w:rFonts w:eastAsia="Arial Narrow"/>
        </w:rPr>
      </w:pPr>
      <w:r w:rsidRPr="005A5BB7">
        <w:rPr>
          <w:rFonts w:eastAsia="Arial Narrow"/>
        </w:rPr>
        <w:t>CI = confidence interval; mES = modified exposed set; N = number of participants; n = number of participants with at least one RT</w:t>
      </w:r>
      <w:r w:rsidR="000E4816">
        <w:rPr>
          <w:rFonts w:eastAsia="Arial Narrow"/>
        </w:rPr>
        <w:noBreakHyphen/>
      </w:r>
      <w:r w:rsidRPr="005A5BB7">
        <w:rPr>
          <w:rFonts w:eastAsia="Arial Narrow"/>
        </w:rPr>
        <w:t>PCR confirmed RSV LRTD; n/T (per 1000) = incidence rate of participants reporting at least one event; NH = northern hemisphere; RSVPreF3 = participants receiving RSVPreF3 OA investigational vaccine (pooled lots); T (year) = sum of follow</w:t>
      </w:r>
      <w:r w:rsidR="000E4816">
        <w:rPr>
          <w:rFonts w:eastAsia="Arial Narrow"/>
        </w:rPr>
        <w:noBreakHyphen/>
      </w:r>
      <w:r w:rsidRPr="005A5BB7">
        <w:rPr>
          <w:rFonts w:eastAsia="Arial Narrow"/>
        </w:rPr>
        <w:t>up time (from Day 15 post</w:t>
      </w:r>
      <w:r w:rsidR="000E4816">
        <w:rPr>
          <w:rFonts w:eastAsia="Arial Narrow"/>
        </w:rPr>
        <w:noBreakHyphen/>
      </w:r>
      <w:r w:rsidRPr="005A5BB7">
        <w:rPr>
          <w:rFonts w:eastAsia="Arial Narrow"/>
        </w:rPr>
        <w:t>vaccination till first occurrence of the event or till the efficacy data lock point or till drop</w:t>
      </w:r>
      <w:r w:rsidR="000E4816">
        <w:rPr>
          <w:rFonts w:eastAsia="Arial Narrow"/>
        </w:rPr>
        <w:noBreakHyphen/>
      </w:r>
      <w:r w:rsidRPr="005A5BB7">
        <w:rPr>
          <w:rFonts w:eastAsia="Arial Narrow"/>
        </w:rPr>
        <w:t>out date) expressed in years; VE = Vaccine Efficacy (Poisson method – adjusted by age, region and season).</w:t>
      </w:r>
    </w:p>
    <w:p w14:paraId="2663BC84" w14:textId="77777777" w:rsidR="007149E2" w:rsidRPr="005A5BB7" w:rsidRDefault="007149E2" w:rsidP="007149E2">
      <w:pPr>
        <w:pStyle w:val="FooterTableFigure"/>
        <w:rPr>
          <w:rFonts w:eastAsia="Arial Narrow"/>
        </w:rPr>
      </w:pPr>
      <w:r w:rsidRPr="005A5BB7">
        <w:rPr>
          <w:rFonts w:eastAsia="Arial Narrow"/>
          <w:vertAlign w:val="superscript"/>
        </w:rPr>
        <w:t>1</w:t>
      </w:r>
      <w:r w:rsidRPr="005A5BB7">
        <w:rPr>
          <w:rFonts w:eastAsia="Arial Narrow"/>
        </w:rPr>
        <w:t xml:space="preserve"> Primary endpoint.</w:t>
      </w:r>
    </w:p>
    <w:p w14:paraId="5B43D298" w14:textId="77777777" w:rsidR="007149E2" w:rsidRPr="005A5BB7" w:rsidRDefault="007149E2" w:rsidP="007149E2">
      <w:pPr>
        <w:pStyle w:val="FooterTableFigure"/>
        <w:rPr>
          <w:rFonts w:eastAsia="Arial Narrow"/>
        </w:rPr>
      </w:pPr>
      <w:r w:rsidRPr="005A5BB7">
        <w:rPr>
          <w:rFonts w:eastAsia="Arial Narrow"/>
          <w:vertAlign w:val="superscript"/>
        </w:rPr>
        <w:t>2</w:t>
      </w:r>
      <w:r w:rsidRPr="005A5BB7">
        <w:rPr>
          <w:rFonts w:eastAsia="Arial Narrow"/>
        </w:rPr>
        <w:t xml:space="preserve"> Confirmatory secondary endpoints. All other analyses were descriptive. </w:t>
      </w:r>
    </w:p>
    <w:p w14:paraId="7CE2E83C" w14:textId="77777777" w:rsidR="00D72B8B" w:rsidRPr="005A5BB7" w:rsidRDefault="007149E2" w:rsidP="007149E2">
      <w:pPr>
        <w:pStyle w:val="FooterTableFigure"/>
        <w:rPr>
          <w:rFonts w:eastAsia="Arial Narrow"/>
        </w:rPr>
      </w:pPr>
      <w:r w:rsidRPr="005A5BB7">
        <w:rPr>
          <w:rFonts w:eastAsia="Arial Narrow"/>
        </w:rPr>
        <w:t>Notes: For single dose evaluation, participants who received RSVPreF3 OA at Dose 2 (RSV_annual group) are censored at Dose 2</w:t>
      </w:r>
      <w:r w:rsidR="00D72B8B" w:rsidRPr="005A5BB7">
        <w:rPr>
          <w:rFonts w:eastAsia="Arial Narrow"/>
        </w:rPr>
        <w:t>.</w:t>
      </w:r>
    </w:p>
    <w:p w14:paraId="2855F9F4" w14:textId="769F8CBB" w:rsidR="007149E2" w:rsidRPr="005A5BB7" w:rsidRDefault="00CF4B64" w:rsidP="007149E2">
      <w:pPr>
        <w:pStyle w:val="FooterTableFigure"/>
        <w:rPr>
          <w:rFonts w:eastAsia="Arial Narrow"/>
        </w:rPr>
      </w:pPr>
      <w:r w:rsidRPr="005A5BB7">
        <w:rPr>
          <w:rFonts w:eastAsia="Arial Narrow"/>
        </w:rPr>
        <w:lastRenderedPageBreak/>
        <w:t xml:space="preserve">VE for S3 was for Northern Hemisphere </w:t>
      </w:r>
      <w:r w:rsidR="00935C2B" w:rsidRPr="005A5BB7">
        <w:rPr>
          <w:rFonts w:eastAsia="Arial Narrow"/>
        </w:rPr>
        <w:t>for both the overall trial population and comorbidities analyses</w:t>
      </w:r>
      <w:r w:rsidRPr="005A5BB7">
        <w:rPr>
          <w:rFonts w:eastAsia="Arial Narrow"/>
        </w:rPr>
        <w:t>.</w:t>
      </w:r>
    </w:p>
    <w:p w14:paraId="0562BEF7" w14:textId="2D7CE9A4" w:rsidR="007149E2" w:rsidRPr="005A5BB7" w:rsidRDefault="007149E2" w:rsidP="007149E2">
      <w:pPr>
        <w:pStyle w:val="FooterTableFigure"/>
        <w:rPr>
          <w:rFonts w:eastAsia="Arial Narrow"/>
        </w:rPr>
      </w:pPr>
      <w:r w:rsidRPr="005A5BB7">
        <w:rPr>
          <w:rFonts w:eastAsia="Arial Narrow"/>
        </w:rPr>
        <w:t>P</w:t>
      </w:r>
      <w:r w:rsidR="000E4816">
        <w:rPr>
          <w:rFonts w:eastAsia="Arial Narrow"/>
        </w:rPr>
        <w:noBreakHyphen/>
      </w:r>
      <w:r w:rsidRPr="005A5BB7">
        <w:rPr>
          <w:rFonts w:eastAsia="Arial Narrow"/>
        </w:rPr>
        <w:t>value = Two</w:t>
      </w:r>
      <w:r w:rsidR="000E4816">
        <w:rPr>
          <w:rFonts w:eastAsia="Arial Narrow"/>
        </w:rPr>
        <w:noBreakHyphen/>
      </w:r>
      <w:r w:rsidRPr="005A5BB7">
        <w:rPr>
          <w:rFonts w:eastAsia="Arial Narrow"/>
        </w:rPr>
        <w:t>sided Exact P</w:t>
      </w:r>
      <w:r w:rsidR="000E4816">
        <w:rPr>
          <w:rFonts w:eastAsia="Arial Narrow"/>
        </w:rPr>
        <w:noBreakHyphen/>
      </w:r>
      <w:r w:rsidRPr="005A5BB7">
        <w:rPr>
          <w:rFonts w:eastAsia="Arial Narrow"/>
        </w:rPr>
        <w:t xml:space="preserve">value conditional to number of cases comparing incidence rates and testing the null hypothesis VE&lt;=0%; </w:t>
      </w:r>
    </w:p>
    <w:p w14:paraId="09D3A806" w14:textId="106FE8DC" w:rsidR="6322ED96" w:rsidRPr="005A5BB7" w:rsidRDefault="6322ED96" w:rsidP="70F2D04B">
      <w:pPr>
        <w:pStyle w:val="FooterTableFigure"/>
      </w:pPr>
      <w:r w:rsidRPr="005A5BB7">
        <w:rPr>
          <w:rFonts w:eastAsia="Arial Narrow"/>
        </w:rPr>
        <w:t>* = denotes lower limit for 95% CI &gt; 20%</w:t>
      </w:r>
    </w:p>
    <w:p w14:paraId="6C148026" w14:textId="4B9AB189" w:rsidR="3413E581" w:rsidRPr="005A5BB7" w:rsidRDefault="3413E581" w:rsidP="70F2D04B">
      <w:pPr>
        <w:pStyle w:val="FooterTableFigure"/>
        <w:rPr>
          <w:rFonts w:eastAsia="Arial Narrow"/>
        </w:rPr>
      </w:pPr>
      <w:r w:rsidRPr="005A5BB7">
        <w:rPr>
          <w:rFonts w:eastAsia="Arial Narrow"/>
          <w:b/>
          <w:bCs/>
        </w:rPr>
        <w:t>Bold</w:t>
      </w:r>
      <w:r w:rsidRPr="005A5BB7">
        <w:rPr>
          <w:rFonts w:eastAsia="Arial Narrow"/>
        </w:rPr>
        <w:t xml:space="preserve"> = indicates statistically significant results</w:t>
      </w:r>
    </w:p>
    <w:p w14:paraId="3844BB7C" w14:textId="77777777" w:rsidR="007149E2" w:rsidRPr="005A5BB7" w:rsidRDefault="007149E2" w:rsidP="007149E2">
      <w:pPr>
        <w:pStyle w:val="FooterTableFigure"/>
        <w:rPr>
          <w:rFonts w:eastAsia="Arial Narrow"/>
        </w:rPr>
      </w:pPr>
      <w:r w:rsidRPr="005A5BB7">
        <w:rPr>
          <w:rFonts w:eastAsia="Arial Narrow"/>
        </w:rPr>
        <w:t xml:space="preserve">Comorbidities of interest included COPD, Asthma, Any chronic respiratory/pulmonary disease, Chronic heart failure, Diabetes mellitus Type 1 or Type 2, Advanced liver or renal disease </w:t>
      </w:r>
    </w:p>
    <w:p w14:paraId="3FD94EE7" w14:textId="77777777" w:rsidR="007149E2" w:rsidRPr="005A5BB7" w:rsidRDefault="007149E2" w:rsidP="007149E2">
      <w:pPr>
        <w:pStyle w:val="FooterTableFigure"/>
        <w:rPr>
          <w:rFonts w:eastAsia="Arial Narrow"/>
        </w:rPr>
      </w:pPr>
      <w:r w:rsidRPr="005A5BB7">
        <w:rPr>
          <w:rFonts w:eastAsia="Arial Narrow"/>
        </w:rPr>
        <w:t xml:space="preserve">Cardiorespiratory conditions = COPD, Asthma, Any chronic respiratory/pulmonary disease, Chronic heart failure </w:t>
      </w:r>
    </w:p>
    <w:p w14:paraId="0EB4B901" w14:textId="77777777" w:rsidR="007149E2" w:rsidRPr="005A5BB7" w:rsidRDefault="007149E2" w:rsidP="007149E2">
      <w:pPr>
        <w:pStyle w:val="FooterTableFigure"/>
        <w:rPr>
          <w:rFonts w:eastAsia="Arial Narrow"/>
        </w:rPr>
      </w:pPr>
      <w:r w:rsidRPr="005A5BB7">
        <w:rPr>
          <w:rFonts w:eastAsia="Arial Narrow"/>
        </w:rPr>
        <w:t xml:space="preserve">Endocrinometabolic conditions = Diabetes mellitus Type 1 or Type 2, Advanced liver or renal disease </w:t>
      </w:r>
    </w:p>
    <w:p w14:paraId="25367DD0" w14:textId="290B9AD9" w:rsidR="007149E2" w:rsidRPr="005A5BB7" w:rsidRDefault="007149E2" w:rsidP="007149E2">
      <w:pPr>
        <w:pStyle w:val="FooterTableFigure"/>
        <w:rPr>
          <w:rFonts w:eastAsia="Arial Narrow"/>
        </w:rPr>
      </w:pPr>
    </w:p>
    <w:p w14:paraId="24DBDA7B" w14:textId="27DED2A7" w:rsidR="00586723" w:rsidRPr="005A5BB7" w:rsidRDefault="0041034A" w:rsidP="004C1EA2">
      <w:pPr>
        <w:pStyle w:val="3-BodyText"/>
        <w:rPr>
          <w:rFonts w:eastAsia="Arial Narrow" w:cs="Arial Narrow"/>
          <w:color w:val="000000" w:themeColor="text1"/>
        </w:rPr>
      </w:pPr>
      <w:r>
        <w:t xml:space="preserve">Outcomes for the exploratory endpoint of </w:t>
      </w:r>
      <w:r w:rsidR="2C92CF90">
        <w:t>RSV-</w:t>
      </w:r>
      <w:r>
        <w:t xml:space="preserve">ARI are summarised below. </w:t>
      </w:r>
      <w:r w:rsidR="00E41CAA" w:rsidRPr="00E41CAA">
        <w:t>The evaluation noted that in these analyses, the lower limit of the 95% confidence interval was &gt;20%, which was the VE threshold defined for the primary VE objective</w:t>
      </w:r>
      <w:r w:rsidR="00656AB6">
        <w:t xml:space="preserve">. </w:t>
      </w:r>
      <w:r w:rsidR="00A3031C">
        <w:t xml:space="preserve">As with the LRTD outcomes, there was </w:t>
      </w:r>
      <w:r w:rsidR="004F58A6">
        <w:t>overlapping</w:t>
      </w:r>
      <w:r w:rsidR="00A3031C">
        <w:t xml:space="preserve"> of patients with ≥1 pre</w:t>
      </w:r>
      <w:r>
        <w:noBreakHyphen/>
      </w:r>
      <w:r w:rsidR="00A3031C">
        <w:t>existing cardiorespiratory and ≥1 pre</w:t>
      </w:r>
      <w:r>
        <w:noBreakHyphen/>
      </w:r>
      <w:r w:rsidR="00A3031C">
        <w:t>existing endocrinometabolic condition.</w:t>
      </w:r>
      <w:r w:rsidR="0039018A">
        <w:t xml:space="preserve"> As with LRTD, apart from the interim S1 analysis, VE in the comorbidity groups was approximately similar (point estimate within </w:t>
      </w:r>
      <w:r w:rsidR="008F1CAB">
        <w:t xml:space="preserve">7 percentage points, </w:t>
      </w:r>
      <w:proofErr w:type="gramStart"/>
      <w:r w:rsidR="008F1CAB">
        <w:t>with the exception of</w:t>
      </w:r>
      <w:proofErr w:type="gramEnd"/>
      <w:r w:rsidR="008F1CAB">
        <w:t xml:space="preserve"> ≥1 pre</w:t>
      </w:r>
      <w:r>
        <w:noBreakHyphen/>
      </w:r>
      <w:r w:rsidR="008F1CAB">
        <w:t>existing cardiorespiratory condition at VE analysis 3</w:t>
      </w:r>
      <w:r w:rsidR="006A5B60">
        <w:t xml:space="preserve"> which had a point estimate 12.5 points higher</w:t>
      </w:r>
      <w:r w:rsidR="00150D56">
        <w:t xml:space="preserve">) </w:t>
      </w:r>
      <w:r w:rsidR="0039096F">
        <w:t>compared</w:t>
      </w:r>
      <w:r w:rsidR="00150D56">
        <w:t xml:space="preserve"> to the ‘no comorbidity of interest’ group.</w:t>
      </w:r>
    </w:p>
    <w:p w14:paraId="7FB4B5B4" w14:textId="4732B490" w:rsidR="009D63A9" w:rsidRPr="005A5BB7" w:rsidRDefault="009D63A9" w:rsidP="009D63A9">
      <w:pPr>
        <w:pStyle w:val="Caption"/>
      </w:pPr>
      <w:bookmarkStart w:id="48" w:name="_Ref219770554"/>
      <w:r w:rsidRPr="005A5BB7">
        <w:t xml:space="preserve">Table </w:t>
      </w:r>
      <w:fldSimple w:instr=" SEQ Table \* ARABIC ">
        <w:r w:rsidR="0043658C">
          <w:rPr>
            <w:noProof/>
          </w:rPr>
          <w:t>9</w:t>
        </w:r>
      </w:fldSimple>
      <w:bookmarkEnd w:id="48"/>
      <w:r w:rsidRPr="005A5BB7">
        <w:t xml:space="preserve">: </w:t>
      </w:r>
      <w:r w:rsidR="00F20B41" w:rsidRPr="005A5BB7">
        <w:t>Cumulative VE of a single dose of Arexvy against first occurrence of RSV</w:t>
      </w:r>
      <w:r w:rsidR="000E4816">
        <w:noBreakHyphen/>
      </w:r>
      <w:r w:rsidR="00F20B41" w:rsidRPr="005A5BB7">
        <w:t>ARI by baseline comorbidities of interest using Poisson Method (mES)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Cumulative VE of a single dose of Arexvy against first occurrence of RSV ARI by baseline comorbidities of interest using Poisson Method (mES)"/>
      </w:tblPr>
      <w:tblGrid>
        <w:gridCol w:w="1944"/>
        <w:gridCol w:w="559"/>
        <w:gridCol w:w="494"/>
        <w:gridCol w:w="725"/>
        <w:gridCol w:w="694"/>
        <w:gridCol w:w="698"/>
        <w:gridCol w:w="557"/>
        <w:gridCol w:w="725"/>
        <w:gridCol w:w="700"/>
        <w:gridCol w:w="1921"/>
      </w:tblGrid>
      <w:tr w:rsidR="009D63A9" w:rsidRPr="005A5BB7" w14:paraId="7DFBFB81" w14:textId="77777777" w:rsidTr="008D0D23">
        <w:trPr>
          <w:trHeight w:val="170"/>
          <w:tblHeader/>
        </w:trPr>
        <w:tc>
          <w:tcPr>
            <w:tcW w:w="1078" w:type="pct"/>
            <w:vMerge w:val="restart"/>
            <w:vAlign w:val="center"/>
          </w:tcPr>
          <w:p w14:paraId="7C4CBAF3" w14:textId="77777777" w:rsidR="009D63A9" w:rsidRPr="005A5BB7" w:rsidRDefault="009D63A9" w:rsidP="004C1EA2">
            <w:pPr>
              <w:jc w:val="left"/>
              <w:rPr>
                <w:rFonts w:ascii="Arial Narrow" w:hAnsi="Arial Narrow" w:cs="Calibri"/>
                <w:b/>
                <w:bCs/>
                <w:sz w:val="20"/>
                <w:szCs w:val="20"/>
              </w:rPr>
            </w:pPr>
            <w:r w:rsidRPr="005A5BB7">
              <w:rPr>
                <w:rFonts w:ascii="Arial Narrow" w:hAnsi="Arial Narrow" w:cs="Calibri"/>
                <w:b/>
                <w:bCs/>
                <w:color w:val="000000"/>
                <w:sz w:val="20"/>
                <w:szCs w:val="20"/>
              </w:rPr>
              <w:t>Endpoint</w:t>
            </w:r>
          </w:p>
        </w:tc>
        <w:tc>
          <w:tcPr>
            <w:tcW w:w="1371" w:type="pct"/>
            <w:gridSpan w:val="4"/>
            <w:vAlign w:val="center"/>
            <w:hideMark/>
          </w:tcPr>
          <w:p w14:paraId="26AD0061" w14:textId="03C51F14" w:rsidR="009D63A9" w:rsidRPr="005A5BB7" w:rsidRDefault="009D63A9" w:rsidP="004C1EA2">
            <w:pPr>
              <w:jc w:val="center"/>
              <w:rPr>
                <w:rFonts w:ascii="Arial Narrow" w:hAnsi="Arial Narrow" w:cs="Calibri"/>
                <w:b/>
                <w:bCs/>
                <w:sz w:val="20"/>
                <w:szCs w:val="20"/>
              </w:rPr>
            </w:pPr>
            <w:r w:rsidRPr="005A5BB7">
              <w:rPr>
                <w:rFonts w:ascii="Arial Narrow" w:hAnsi="Arial Narrow" w:cs="Calibri"/>
                <w:b/>
                <w:bCs/>
                <w:sz w:val="20"/>
                <w:szCs w:val="20"/>
              </w:rPr>
              <w:t>RSVPreF3</w:t>
            </w:r>
            <w:r w:rsidR="00D120F9" w:rsidRPr="005A5BB7">
              <w:rPr>
                <w:rFonts w:ascii="Arial Narrow" w:hAnsi="Arial Narrow" w:cs="Calibri"/>
                <w:b/>
                <w:bCs/>
                <w:sz w:val="20"/>
                <w:szCs w:val="20"/>
              </w:rPr>
              <w:t xml:space="preserve"> OA</w:t>
            </w:r>
          </w:p>
        </w:tc>
        <w:tc>
          <w:tcPr>
            <w:tcW w:w="1486" w:type="pct"/>
            <w:gridSpan w:val="4"/>
            <w:vAlign w:val="center"/>
          </w:tcPr>
          <w:p w14:paraId="55F445B4"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Placebo</w:t>
            </w:r>
          </w:p>
        </w:tc>
        <w:tc>
          <w:tcPr>
            <w:tcW w:w="1065" w:type="pct"/>
            <w:vMerge w:val="restart"/>
            <w:vAlign w:val="center"/>
            <w:hideMark/>
          </w:tcPr>
          <w:p w14:paraId="1722FAA3" w14:textId="77777777" w:rsidR="009D63A9" w:rsidRPr="005A5BB7" w:rsidRDefault="009D63A9" w:rsidP="004C1EA2">
            <w:pPr>
              <w:jc w:val="center"/>
              <w:rPr>
                <w:rFonts w:ascii="Arial Narrow" w:hAnsi="Arial Narrow" w:cs="Calibri"/>
                <w:b/>
                <w:bCs/>
                <w:sz w:val="20"/>
                <w:szCs w:val="20"/>
              </w:rPr>
            </w:pPr>
            <w:r w:rsidRPr="005A5BB7">
              <w:rPr>
                <w:rFonts w:ascii="Arial Narrow" w:hAnsi="Arial Narrow" w:cs="Calibri"/>
                <w:b/>
                <w:bCs/>
                <w:sz w:val="20"/>
                <w:szCs w:val="20"/>
              </w:rPr>
              <w:t>VE %</w:t>
            </w:r>
          </w:p>
          <w:p w14:paraId="33F5F670" w14:textId="321530F0"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(95% CI); p</w:t>
            </w:r>
            <w:r w:rsidR="000E4816">
              <w:rPr>
                <w:rFonts w:ascii="Arial Narrow" w:hAnsi="Arial Narrow" w:cs="Calibri"/>
                <w:b/>
                <w:bCs/>
                <w:sz w:val="20"/>
                <w:szCs w:val="20"/>
              </w:rPr>
              <w:noBreakHyphen/>
            </w:r>
            <w:r w:rsidRPr="005A5BB7">
              <w:rPr>
                <w:rFonts w:ascii="Arial Narrow" w:hAnsi="Arial Narrow" w:cs="Calibri"/>
                <w:b/>
                <w:bCs/>
                <w:sz w:val="20"/>
                <w:szCs w:val="20"/>
              </w:rPr>
              <w:t>value</w:t>
            </w:r>
          </w:p>
        </w:tc>
      </w:tr>
      <w:tr w:rsidR="00E80885" w:rsidRPr="005A5BB7" w14:paraId="3EEC8119" w14:textId="77777777" w:rsidTr="008D0D23">
        <w:trPr>
          <w:trHeight w:val="170"/>
          <w:tblHeader/>
        </w:trPr>
        <w:tc>
          <w:tcPr>
            <w:tcW w:w="1078" w:type="pct"/>
            <w:vMerge/>
            <w:vAlign w:val="center"/>
          </w:tcPr>
          <w:p w14:paraId="46EC7561" w14:textId="77777777" w:rsidR="009D63A9" w:rsidRPr="005A5BB7" w:rsidRDefault="009D63A9" w:rsidP="004C1EA2">
            <w:pPr>
              <w:jc w:val="left"/>
              <w:rPr>
                <w:rFonts w:ascii="Arial Narrow" w:hAnsi="Arial Narrow" w:cs="Calibri"/>
                <w:b/>
                <w:bCs/>
                <w:sz w:val="20"/>
                <w:szCs w:val="20"/>
              </w:rPr>
            </w:pPr>
          </w:p>
        </w:tc>
        <w:tc>
          <w:tcPr>
            <w:tcW w:w="310" w:type="pct"/>
            <w:vAlign w:val="center"/>
            <w:hideMark/>
          </w:tcPr>
          <w:p w14:paraId="785FEB44"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274" w:type="pct"/>
            <w:vAlign w:val="center"/>
            <w:hideMark/>
          </w:tcPr>
          <w:p w14:paraId="12D19886"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402" w:type="pct"/>
            <w:vAlign w:val="center"/>
            <w:hideMark/>
          </w:tcPr>
          <w:p w14:paraId="0DD51A3C"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T (year)</w:t>
            </w:r>
          </w:p>
        </w:tc>
        <w:tc>
          <w:tcPr>
            <w:tcW w:w="385" w:type="pct"/>
            <w:vAlign w:val="center"/>
          </w:tcPr>
          <w:p w14:paraId="435C2333" w14:textId="77777777" w:rsidR="009D63A9" w:rsidRPr="005A5BB7" w:rsidRDefault="009D63A9" w:rsidP="004C1EA2">
            <w:pPr>
              <w:jc w:val="center"/>
              <w:rPr>
                <w:rFonts w:ascii="Arial Narrow" w:hAnsi="Arial Narrow" w:cs="Calibri"/>
                <w:b/>
                <w:bCs/>
                <w:sz w:val="20"/>
                <w:szCs w:val="20"/>
              </w:rPr>
            </w:pPr>
            <w:r w:rsidRPr="005A5BB7">
              <w:rPr>
                <w:rFonts w:ascii="Arial Narrow" w:hAnsi="Arial Narrow" w:cs="Calibri"/>
                <w:b/>
                <w:bCs/>
                <w:sz w:val="20"/>
                <w:szCs w:val="20"/>
              </w:rPr>
              <w:t>n/T (per 1000)</w:t>
            </w:r>
          </w:p>
        </w:tc>
        <w:tc>
          <w:tcPr>
            <w:tcW w:w="387" w:type="pct"/>
            <w:vAlign w:val="center"/>
            <w:hideMark/>
          </w:tcPr>
          <w:p w14:paraId="40BF263B"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309" w:type="pct"/>
            <w:vAlign w:val="center"/>
            <w:hideMark/>
          </w:tcPr>
          <w:p w14:paraId="002A82F3"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n</w:t>
            </w:r>
          </w:p>
        </w:tc>
        <w:tc>
          <w:tcPr>
            <w:tcW w:w="402" w:type="pct"/>
            <w:vAlign w:val="center"/>
          </w:tcPr>
          <w:p w14:paraId="79EE4BC3" w14:textId="77777777" w:rsidR="009D63A9" w:rsidRPr="005A5BB7" w:rsidRDefault="009D63A9" w:rsidP="004C1EA2">
            <w:pPr>
              <w:jc w:val="center"/>
              <w:rPr>
                <w:rFonts w:ascii="Arial Narrow" w:hAnsi="Arial Narrow" w:cs="Calibri"/>
                <w:b/>
                <w:bCs/>
                <w:sz w:val="20"/>
                <w:szCs w:val="20"/>
              </w:rPr>
            </w:pPr>
            <w:r w:rsidRPr="005A5BB7">
              <w:rPr>
                <w:rFonts w:ascii="Arial Narrow" w:hAnsi="Arial Narrow" w:cs="Calibri"/>
                <w:b/>
                <w:bCs/>
                <w:sz w:val="20"/>
                <w:szCs w:val="20"/>
              </w:rPr>
              <w:t>T (year)</w:t>
            </w:r>
          </w:p>
        </w:tc>
        <w:tc>
          <w:tcPr>
            <w:tcW w:w="388" w:type="pct"/>
            <w:vAlign w:val="center"/>
            <w:hideMark/>
          </w:tcPr>
          <w:p w14:paraId="45DD6D7B" w14:textId="77777777" w:rsidR="009D63A9" w:rsidRPr="005A5BB7" w:rsidRDefault="009D63A9" w:rsidP="004C1EA2">
            <w:pPr>
              <w:jc w:val="center"/>
              <w:rPr>
                <w:rFonts w:ascii="Arial Narrow" w:hAnsi="Arial Narrow" w:cs="Calibri"/>
                <w:b/>
                <w:bCs/>
                <w:color w:val="000000"/>
                <w:sz w:val="20"/>
                <w:szCs w:val="20"/>
              </w:rPr>
            </w:pPr>
            <w:r w:rsidRPr="005A5BB7">
              <w:rPr>
                <w:rFonts w:ascii="Arial Narrow" w:hAnsi="Arial Narrow" w:cs="Calibri"/>
                <w:b/>
                <w:bCs/>
                <w:sz w:val="20"/>
                <w:szCs w:val="20"/>
              </w:rPr>
              <w:t>n/T (per 1000)</w:t>
            </w:r>
          </w:p>
        </w:tc>
        <w:tc>
          <w:tcPr>
            <w:tcW w:w="1065" w:type="pct"/>
            <w:vMerge/>
            <w:vAlign w:val="center"/>
            <w:hideMark/>
          </w:tcPr>
          <w:p w14:paraId="5ABDD04A" w14:textId="77777777" w:rsidR="009D63A9" w:rsidRPr="005A5BB7" w:rsidRDefault="009D63A9" w:rsidP="004C1EA2">
            <w:pPr>
              <w:jc w:val="center"/>
              <w:rPr>
                <w:rFonts w:ascii="Arial Narrow" w:hAnsi="Arial Narrow" w:cs="Calibri"/>
                <w:b/>
                <w:bCs/>
                <w:color w:val="000000"/>
                <w:sz w:val="20"/>
                <w:szCs w:val="20"/>
              </w:rPr>
            </w:pPr>
          </w:p>
        </w:tc>
      </w:tr>
      <w:tr w:rsidR="009D63A9" w:rsidRPr="005A5BB7" w14:paraId="26F54495" w14:textId="77777777" w:rsidTr="007239DF">
        <w:trPr>
          <w:trHeight w:val="170"/>
        </w:trPr>
        <w:tc>
          <w:tcPr>
            <w:tcW w:w="5000" w:type="pct"/>
            <w:gridSpan w:val="10"/>
            <w:tcBorders>
              <w:top w:val="single" w:sz="4" w:space="0" w:color="auto"/>
              <w:left w:val="single" w:sz="4" w:space="0" w:color="auto"/>
              <w:right w:val="single" w:sz="4" w:space="0" w:color="auto"/>
            </w:tcBorders>
            <w:vAlign w:val="center"/>
          </w:tcPr>
          <w:p w14:paraId="12216A3C" w14:textId="02CE309D" w:rsidR="009D63A9" w:rsidRPr="005A5BB7" w:rsidRDefault="009D63A9" w:rsidP="004C1EA2">
            <w:pPr>
              <w:jc w:val="left"/>
              <w:rPr>
                <w:rFonts w:ascii="Arial Narrow" w:hAnsi="Arial Narrow" w:cs="Times New Roman"/>
                <w:b/>
                <w:bCs/>
                <w:sz w:val="20"/>
              </w:rPr>
            </w:pPr>
            <w:r w:rsidRPr="005A5BB7">
              <w:rPr>
                <w:rFonts w:ascii="Arial Narrow" w:hAnsi="Arial Narrow" w:cs="Times New Roman"/>
                <w:b/>
                <w:bCs/>
                <w:sz w:val="20"/>
              </w:rPr>
              <w:t xml:space="preserve">Exploratory endpoint: </w:t>
            </w:r>
            <w:r w:rsidRPr="005A5BB7">
              <w:rPr>
                <w:rFonts w:ascii="Arial Narrow" w:hAnsi="Arial Narrow" w:cs="Calibri"/>
                <w:b/>
                <w:bCs/>
                <w:color w:val="000000" w:themeColor="text1"/>
                <w:sz w:val="20"/>
                <w:szCs w:val="20"/>
              </w:rPr>
              <w:t>RSV</w:t>
            </w:r>
            <w:r w:rsidR="000E4816">
              <w:rPr>
                <w:rFonts w:ascii="Arial Narrow" w:hAnsi="Arial Narrow" w:cs="Calibri"/>
                <w:b/>
                <w:bCs/>
                <w:color w:val="000000" w:themeColor="text1"/>
                <w:sz w:val="20"/>
                <w:szCs w:val="20"/>
              </w:rPr>
              <w:noBreakHyphen/>
            </w:r>
            <w:r w:rsidRPr="005A5BB7">
              <w:rPr>
                <w:rFonts w:ascii="Arial Narrow" w:hAnsi="Arial Narrow" w:cs="Calibri"/>
                <w:b/>
                <w:bCs/>
                <w:color w:val="000000" w:themeColor="text1"/>
                <w:sz w:val="20"/>
                <w:szCs w:val="20"/>
              </w:rPr>
              <w:t>ARI by baseline comorbidities of interest</w:t>
            </w:r>
          </w:p>
        </w:tc>
      </w:tr>
      <w:tr w:rsidR="009D63A9" w:rsidRPr="005A5BB7" w14:paraId="13F80995" w14:textId="77777777" w:rsidTr="007239DF">
        <w:trPr>
          <w:trHeight w:val="170"/>
        </w:trPr>
        <w:tc>
          <w:tcPr>
            <w:tcW w:w="5000" w:type="pct"/>
            <w:gridSpan w:val="10"/>
            <w:tcBorders>
              <w:top w:val="single" w:sz="4" w:space="0" w:color="auto"/>
              <w:left w:val="single" w:sz="4" w:space="0" w:color="auto"/>
              <w:right w:val="single" w:sz="4" w:space="0" w:color="auto"/>
            </w:tcBorders>
            <w:vAlign w:val="center"/>
          </w:tcPr>
          <w:p w14:paraId="2A54D83B" w14:textId="1641A95E" w:rsidR="009D63A9" w:rsidRPr="005A5BB7" w:rsidRDefault="009D63A9" w:rsidP="004C1EA2">
            <w:pPr>
              <w:jc w:val="left"/>
              <w:rPr>
                <w:rFonts w:ascii="Arial Narrow" w:hAnsi="Arial Narrow" w:cs="Times New Roman"/>
                <w:b/>
                <w:bCs/>
                <w:sz w:val="20"/>
              </w:rPr>
            </w:pPr>
            <w:r w:rsidRPr="005A5BB7">
              <w:rPr>
                <w:rFonts w:ascii="Arial Narrow" w:hAnsi="Arial Narrow" w:cs="Times New Roman"/>
                <w:b/>
                <w:bCs/>
                <w:sz w:val="20"/>
              </w:rPr>
              <w:t>VE Analysis 1: Interim S1 (event driven; median follow</w:t>
            </w:r>
            <w:r w:rsidR="000E4816">
              <w:rPr>
                <w:rFonts w:ascii="Arial Narrow" w:hAnsi="Arial Narrow" w:cs="Times New Roman"/>
                <w:b/>
                <w:bCs/>
                <w:sz w:val="20"/>
              </w:rPr>
              <w:noBreakHyphen/>
            </w:r>
            <w:r w:rsidRPr="005A5BB7">
              <w:rPr>
                <w:rFonts w:ascii="Arial Narrow" w:hAnsi="Arial Narrow" w:cs="Times New Roman"/>
                <w:b/>
                <w:bCs/>
                <w:sz w:val="20"/>
              </w:rPr>
              <w:t>up = 6.7 months)</w:t>
            </w:r>
          </w:p>
        </w:tc>
      </w:tr>
      <w:tr w:rsidR="00E80885" w:rsidRPr="005A5BB7" w14:paraId="6F685F22" w14:textId="77777777" w:rsidTr="008D0D23">
        <w:trPr>
          <w:trHeight w:val="170"/>
        </w:trPr>
        <w:tc>
          <w:tcPr>
            <w:tcW w:w="1078" w:type="pct"/>
            <w:tcBorders>
              <w:left w:val="single" w:sz="4" w:space="0" w:color="auto"/>
              <w:right w:val="single" w:sz="4" w:space="0" w:color="auto"/>
            </w:tcBorders>
            <w:shd w:val="clear" w:color="auto" w:fill="DBE5F1" w:themeFill="accent1" w:themeFillTint="33"/>
            <w:vAlign w:val="center"/>
          </w:tcPr>
          <w:p w14:paraId="2D944ACF" w14:textId="07D42C3C"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Overall trial population</w:t>
            </w:r>
            <w:r w:rsidR="00A73731" w:rsidRPr="005A5BB7">
              <w:rPr>
                <w:rFonts w:ascii="Arial Narrow" w:hAnsi="Arial Narrow" w:cs="Times New Roman"/>
                <w:sz w:val="20"/>
                <w:vertAlign w:val="superscript"/>
              </w:rPr>
              <w:t>a</w:t>
            </w:r>
          </w:p>
        </w:tc>
        <w:tc>
          <w:tcPr>
            <w:tcW w:w="310" w:type="pct"/>
            <w:tcBorders>
              <w:left w:val="single" w:sz="4" w:space="0" w:color="auto"/>
            </w:tcBorders>
            <w:shd w:val="clear" w:color="auto" w:fill="DBE5F1" w:themeFill="accent1" w:themeFillTint="33"/>
            <w:vAlign w:val="center"/>
          </w:tcPr>
          <w:p w14:paraId="2D06AB1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12,466</w:t>
            </w:r>
          </w:p>
        </w:tc>
        <w:tc>
          <w:tcPr>
            <w:tcW w:w="274" w:type="pct"/>
            <w:shd w:val="clear" w:color="auto" w:fill="DBE5F1" w:themeFill="accent1" w:themeFillTint="33"/>
            <w:vAlign w:val="center"/>
          </w:tcPr>
          <w:p w14:paraId="73DE343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27</w:t>
            </w:r>
          </w:p>
        </w:tc>
        <w:tc>
          <w:tcPr>
            <w:tcW w:w="402" w:type="pct"/>
            <w:shd w:val="clear" w:color="auto" w:fill="DBE5F1" w:themeFill="accent1" w:themeFillTint="33"/>
            <w:vAlign w:val="center"/>
          </w:tcPr>
          <w:p w14:paraId="2E854DC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6858.7</w:t>
            </w:r>
          </w:p>
        </w:tc>
        <w:tc>
          <w:tcPr>
            <w:tcW w:w="385" w:type="pct"/>
            <w:shd w:val="clear" w:color="auto" w:fill="DBE5F1" w:themeFill="accent1" w:themeFillTint="33"/>
            <w:vAlign w:val="center"/>
          </w:tcPr>
          <w:p w14:paraId="4B05056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3.9</w:t>
            </w:r>
          </w:p>
        </w:tc>
        <w:tc>
          <w:tcPr>
            <w:tcW w:w="387" w:type="pct"/>
            <w:shd w:val="clear" w:color="auto" w:fill="DBE5F1" w:themeFill="accent1" w:themeFillTint="33"/>
            <w:vAlign w:val="center"/>
          </w:tcPr>
          <w:p w14:paraId="1AAC6EC0"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12,494</w:t>
            </w:r>
          </w:p>
        </w:tc>
        <w:tc>
          <w:tcPr>
            <w:tcW w:w="309" w:type="pct"/>
            <w:shd w:val="clear" w:color="auto" w:fill="DBE5F1" w:themeFill="accent1" w:themeFillTint="33"/>
            <w:vAlign w:val="center"/>
          </w:tcPr>
          <w:p w14:paraId="64216FA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95</w:t>
            </w:r>
          </w:p>
        </w:tc>
        <w:tc>
          <w:tcPr>
            <w:tcW w:w="402" w:type="pct"/>
            <w:shd w:val="clear" w:color="auto" w:fill="DBE5F1" w:themeFill="accent1" w:themeFillTint="33"/>
            <w:vAlign w:val="center"/>
          </w:tcPr>
          <w:p w14:paraId="71C614F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6837.8</w:t>
            </w:r>
          </w:p>
        </w:tc>
        <w:tc>
          <w:tcPr>
            <w:tcW w:w="388" w:type="pct"/>
            <w:shd w:val="clear" w:color="auto" w:fill="DBE5F1" w:themeFill="accent1" w:themeFillTint="33"/>
            <w:vAlign w:val="center"/>
          </w:tcPr>
          <w:p w14:paraId="571F2EC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13.9</w:t>
            </w:r>
          </w:p>
        </w:tc>
        <w:tc>
          <w:tcPr>
            <w:tcW w:w="1065" w:type="pct"/>
            <w:shd w:val="clear" w:color="auto" w:fill="DBE5F1" w:themeFill="accent1" w:themeFillTint="33"/>
            <w:vAlign w:val="center"/>
          </w:tcPr>
          <w:p w14:paraId="62519906"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 xml:space="preserve">71.7 (56.2, 82.3); &lt;0.0001 </w:t>
            </w:r>
          </w:p>
        </w:tc>
      </w:tr>
      <w:tr w:rsidR="00E80885" w:rsidRPr="005A5BB7" w14:paraId="0ABB9A62" w14:textId="77777777" w:rsidTr="008D0D23">
        <w:trPr>
          <w:trHeight w:val="170"/>
        </w:trPr>
        <w:tc>
          <w:tcPr>
            <w:tcW w:w="1078" w:type="pct"/>
            <w:tcBorders>
              <w:left w:val="single" w:sz="4" w:space="0" w:color="auto"/>
              <w:right w:val="single" w:sz="4" w:space="0" w:color="auto"/>
            </w:tcBorders>
          </w:tcPr>
          <w:p w14:paraId="12168108" w14:textId="7C16331B"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0460D61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7529</w:t>
            </w:r>
          </w:p>
        </w:tc>
        <w:tc>
          <w:tcPr>
            <w:tcW w:w="274" w:type="pct"/>
            <w:vAlign w:val="center"/>
          </w:tcPr>
          <w:p w14:paraId="1202F7F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19</w:t>
            </w:r>
          </w:p>
        </w:tc>
        <w:tc>
          <w:tcPr>
            <w:tcW w:w="402" w:type="pct"/>
            <w:vAlign w:val="center"/>
          </w:tcPr>
          <w:p w14:paraId="16EEB77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4089.9</w:t>
            </w:r>
          </w:p>
        </w:tc>
        <w:tc>
          <w:tcPr>
            <w:tcW w:w="385" w:type="pct"/>
            <w:vAlign w:val="center"/>
          </w:tcPr>
          <w:p w14:paraId="5F01EF3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4.6</w:t>
            </w:r>
          </w:p>
        </w:tc>
        <w:tc>
          <w:tcPr>
            <w:tcW w:w="387" w:type="pct"/>
            <w:vAlign w:val="center"/>
          </w:tcPr>
          <w:p w14:paraId="684291F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7633</w:t>
            </w:r>
          </w:p>
        </w:tc>
        <w:tc>
          <w:tcPr>
            <w:tcW w:w="309" w:type="pct"/>
            <w:vAlign w:val="center"/>
          </w:tcPr>
          <w:p w14:paraId="5CE6255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54</w:t>
            </w:r>
          </w:p>
        </w:tc>
        <w:tc>
          <w:tcPr>
            <w:tcW w:w="402" w:type="pct"/>
            <w:vAlign w:val="center"/>
          </w:tcPr>
          <w:p w14:paraId="0433636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4136.4</w:t>
            </w:r>
          </w:p>
        </w:tc>
        <w:tc>
          <w:tcPr>
            <w:tcW w:w="388" w:type="pct"/>
            <w:vAlign w:val="center"/>
          </w:tcPr>
          <w:p w14:paraId="427A513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13.1</w:t>
            </w:r>
          </w:p>
        </w:tc>
        <w:tc>
          <w:tcPr>
            <w:tcW w:w="1065" w:type="pct"/>
            <w:vAlign w:val="center"/>
          </w:tcPr>
          <w:p w14:paraId="698ABE83"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64.4 (39.0, 80.1); &lt;0.0001</w:t>
            </w:r>
          </w:p>
        </w:tc>
      </w:tr>
      <w:tr w:rsidR="008020EB" w:rsidRPr="005A5BB7" w14:paraId="7822C28E" w14:textId="77777777" w:rsidTr="008D0D23">
        <w:trPr>
          <w:trHeight w:val="170"/>
        </w:trPr>
        <w:tc>
          <w:tcPr>
            <w:tcW w:w="1078" w:type="pct"/>
            <w:tcBorders>
              <w:left w:val="single" w:sz="4" w:space="0" w:color="auto"/>
              <w:right w:val="single" w:sz="4" w:space="0" w:color="auto"/>
            </w:tcBorders>
          </w:tcPr>
          <w:p w14:paraId="65EC6232" w14:textId="57521DDE" w:rsidR="008D0D23" w:rsidRPr="005A5BB7" w:rsidRDefault="008D0D23" w:rsidP="00C578B4">
            <w:pPr>
              <w:pStyle w:val="TableText0"/>
              <w:rPr>
                <w:rFonts w:cs="Times New Roman"/>
              </w:rPr>
            </w:pPr>
            <w:r w:rsidRPr="005A5BB7">
              <w:t>1 pre</w:t>
            </w:r>
            <w:r w:rsidR="000E4816">
              <w:noBreakHyphen/>
            </w:r>
            <w:r w:rsidRPr="005A5BB7">
              <w:t>existing comorbidity of interest</w:t>
            </w:r>
            <w:r w:rsidR="00934D1C" w:rsidRPr="005A5BB7">
              <w:t xml:space="preserve"> calculated during evaluation</w:t>
            </w:r>
            <w:r w:rsidR="00A73731" w:rsidRPr="005A5BB7">
              <w:rPr>
                <w:vertAlign w:val="superscript"/>
              </w:rPr>
              <w:t>b</w:t>
            </w:r>
          </w:p>
        </w:tc>
        <w:tc>
          <w:tcPr>
            <w:tcW w:w="310" w:type="pct"/>
            <w:tcBorders>
              <w:left w:val="single" w:sz="4" w:space="0" w:color="auto"/>
            </w:tcBorders>
          </w:tcPr>
          <w:p w14:paraId="38801213" w14:textId="510C231B"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2433</w:t>
            </w:r>
          </w:p>
        </w:tc>
        <w:tc>
          <w:tcPr>
            <w:tcW w:w="274" w:type="pct"/>
          </w:tcPr>
          <w:p w14:paraId="24422AB0" w14:textId="59ABA603"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5</w:t>
            </w:r>
          </w:p>
        </w:tc>
        <w:tc>
          <w:tcPr>
            <w:tcW w:w="402" w:type="pct"/>
          </w:tcPr>
          <w:p w14:paraId="196C55DE" w14:textId="290CADD0"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1351.5</w:t>
            </w:r>
          </w:p>
        </w:tc>
        <w:tc>
          <w:tcPr>
            <w:tcW w:w="385" w:type="pct"/>
          </w:tcPr>
          <w:p w14:paraId="6C26D467" w14:textId="6674CD8A"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0.8</w:t>
            </w:r>
          </w:p>
        </w:tc>
        <w:tc>
          <w:tcPr>
            <w:tcW w:w="387" w:type="pct"/>
          </w:tcPr>
          <w:p w14:paraId="28AF5A72" w14:textId="29FE2431"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2430</w:t>
            </w:r>
          </w:p>
        </w:tc>
        <w:tc>
          <w:tcPr>
            <w:tcW w:w="309" w:type="pct"/>
          </w:tcPr>
          <w:p w14:paraId="6A2D97F6" w14:textId="15BF2559"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17</w:t>
            </w:r>
          </w:p>
        </w:tc>
        <w:tc>
          <w:tcPr>
            <w:tcW w:w="402" w:type="pct"/>
          </w:tcPr>
          <w:p w14:paraId="722B9C52" w14:textId="61088DFD"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1342.6</w:t>
            </w:r>
          </w:p>
        </w:tc>
        <w:tc>
          <w:tcPr>
            <w:tcW w:w="388" w:type="pct"/>
          </w:tcPr>
          <w:p w14:paraId="0E18DB78" w14:textId="203C07C4" w:rsidR="008D0D23" w:rsidRPr="005A5BB7" w:rsidRDefault="008D0D23" w:rsidP="001A2BEF">
            <w:pPr>
              <w:jc w:val="center"/>
              <w:rPr>
                <w:rFonts w:ascii="Arial Narrow" w:hAnsi="Arial Narrow" w:cs="Times New Roman"/>
                <w:sz w:val="20"/>
              </w:rPr>
            </w:pPr>
            <w:r w:rsidRPr="005A5BB7">
              <w:rPr>
                <w:rFonts w:ascii="Arial Narrow" w:hAnsi="Arial Narrow" w:cs="Times New Roman"/>
                <w:sz w:val="20"/>
              </w:rPr>
              <w:t>2.5</w:t>
            </w:r>
          </w:p>
        </w:tc>
        <w:tc>
          <w:tcPr>
            <w:tcW w:w="1065" w:type="pct"/>
          </w:tcPr>
          <w:p w14:paraId="6AA850CD" w14:textId="0489141A" w:rsidR="008D0D23" w:rsidRPr="005A5BB7" w:rsidRDefault="008D0D23" w:rsidP="00C578B4">
            <w:pPr>
              <w:pStyle w:val="TableText0"/>
              <w:rPr>
                <w:rFonts w:cs="Times New Roman"/>
                <w:b/>
              </w:rPr>
            </w:pPr>
            <w:r w:rsidRPr="005A5BB7">
              <w:t>70.</w:t>
            </w:r>
            <w:r w:rsidR="00F34313" w:rsidRPr="005A5BB7">
              <w:t>62</w:t>
            </w:r>
            <w:r w:rsidRPr="005A5BB7">
              <w:t xml:space="preserve"> (20.</w:t>
            </w:r>
            <w:r w:rsidR="00B658DB" w:rsidRPr="005A5BB7">
              <w:t>50</w:t>
            </w:r>
            <w:r w:rsidRPr="005A5BB7">
              <w:t>, 89.</w:t>
            </w:r>
            <w:r w:rsidR="00B658DB" w:rsidRPr="005A5BB7">
              <w:t>15</w:t>
            </w:r>
            <w:r w:rsidRPr="005A5BB7">
              <w:t>)</w:t>
            </w:r>
          </w:p>
        </w:tc>
      </w:tr>
      <w:tr w:rsidR="00E80885" w:rsidRPr="005A5BB7" w14:paraId="5DCAD8E6" w14:textId="77777777" w:rsidTr="008D0D23">
        <w:trPr>
          <w:trHeight w:val="170"/>
        </w:trPr>
        <w:tc>
          <w:tcPr>
            <w:tcW w:w="1078" w:type="pct"/>
            <w:tcBorders>
              <w:left w:val="single" w:sz="4" w:space="0" w:color="auto"/>
              <w:right w:val="single" w:sz="4" w:space="0" w:color="auto"/>
            </w:tcBorders>
          </w:tcPr>
          <w:p w14:paraId="5A1E5F91" w14:textId="287D9252"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5A451FD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4937</w:t>
            </w:r>
          </w:p>
        </w:tc>
        <w:tc>
          <w:tcPr>
            <w:tcW w:w="274" w:type="pct"/>
            <w:vAlign w:val="center"/>
          </w:tcPr>
          <w:p w14:paraId="28E3064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8</w:t>
            </w:r>
          </w:p>
        </w:tc>
        <w:tc>
          <w:tcPr>
            <w:tcW w:w="402" w:type="pct"/>
            <w:vAlign w:val="center"/>
          </w:tcPr>
          <w:p w14:paraId="2874616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2768.8</w:t>
            </w:r>
          </w:p>
        </w:tc>
        <w:tc>
          <w:tcPr>
            <w:tcW w:w="385" w:type="pct"/>
            <w:vAlign w:val="center"/>
          </w:tcPr>
          <w:p w14:paraId="13C897B0"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2.9</w:t>
            </w:r>
          </w:p>
        </w:tc>
        <w:tc>
          <w:tcPr>
            <w:tcW w:w="387" w:type="pct"/>
            <w:vAlign w:val="center"/>
          </w:tcPr>
          <w:p w14:paraId="116FFF6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4861</w:t>
            </w:r>
          </w:p>
        </w:tc>
        <w:tc>
          <w:tcPr>
            <w:tcW w:w="309" w:type="pct"/>
            <w:vAlign w:val="center"/>
          </w:tcPr>
          <w:p w14:paraId="10A6ACD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41</w:t>
            </w:r>
          </w:p>
        </w:tc>
        <w:tc>
          <w:tcPr>
            <w:tcW w:w="402" w:type="pct"/>
            <w:vAlign w:val="center"/>
          </w:tcPr>
          <w:p w14:paraId="6540E54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2701.4</w:t>
            </w:r>
          </w:p>
        </w:tc>
        <w:tc>
          <w:tcPr>
            <w:tcW w:w="388" w:type="pct"/>
            <w:vAlign w:val="center"/>
          </w:tcPr>
          <w:p w14:paraId="05A8D1B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15.2</w:t>
            </w:r>
          </w:p>
        </w:tc>
        <w:tc>
          <w:tcPr>
            <w:tcW w:w="1065" w:type="pct"/>
            <w:vAlign w:val="center"/>
          </w:tcPr>
          <w:p w14:paraId="38819200"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81.0 (58.9, 92.3); &lt;0.0001</w:t>
            </w:r>
          </w:p>
        </w:tc>
      </w:tr>
      <w:tr w:rsidR="00E80885" w:rsidRPr="005A5BB7" w14:paraId="0D9A661B" w14:textId="77777777" w:rsidTr="008D0D23">
        <w:trPr>
          <w:trHeight w:val="170"/>
        </w:trPr>
        <w:tc>
          <w:tcPr>
            <w:tcW w:w="1078" w:type="pct"/>
            <w:tcBorders>
              <w:left w:val="single" w:sz="4" w:space="0" w:color="auto"/>
              <w:right w:val="single" w:sz="4" w:space="0" w:color="auto"/>
            </w:tcBorders>
          </w:tcPr>
          <w:p w14:paraId="49EFD3A9" w14:textId="19ACA441"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1097C7A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2496</w:t>
            </w:r>
          </w:p>
        </w:tc>
        <w:tc>
          <w:tcPr>
            <w:tcW w:w="274" w:type="pct"/>
            <w:vAlign w:val="center"/>
          </w:tcPr>
          <w:p w14:paraId="29D2E93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w:t>
            </w:r>
          </w:p>
        </w:tc>
        <w:tc>
          <w:tcPr>
            <w:tcW w:w="402" w:type="pct"/>
            <w:vAlign w:val="center"/>
          </w:tcPr>
          <w:p w14:paraId="1B48FE5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1408.5</w:t>
            </w:r>
          </w:p>
        </w:tc>
        <w:tc>
          <w:tcPr>
            <w:tcW w:w="385" w:type="pct"/>
            <w:vAlign w:val="center"/>
          </w:tcPr>
          <w:p w14:paraId="5A529EB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2.1</w:t>
            </w:r>
          </w:p>
        </w:tc>
        <w:tc>
          <w:tcPr>
            <w:tcW w:w="387" w:type="pct"/>
            <w:vAlign w:val="center"/>
          </w:tcPr>
          <w:p w14:paraId="2E9F61B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2421</w:t>
            </w:r>
          </w:p>
        </w:tc>
        <w:tc>
          <w:tcPr>
            <w:tcW w:w="309" w:type="pct"/>
            <w:vAlign w:val="center"/>
          </w:tcPr>
          <w:p w14:paraId="3373984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24</w:t>
            </w:r>
          </w:p>
        </w:tc>
        <w:tc>
          <w:tcPr>
            <w:tcW w:w="402" w:type="pct"/>
            <w:vAlign w:val="center"/>
          </w:tcPr>
          <w:p w14:paraId="74A5682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1349.0</w:t>
            </w:r>
          </w:p>
        </w:tc>
        <w:tc>
          <w:tcPr>
            <w:tcW w:w="388" w:type="pct"/>
            <w:vAlign w:val="center"/>
          </w:tcPr>
          <w:p w14:paraId="08999F40"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17.8</w:t>
            </w:r>
          </w:p>
        </w:tc>
        <w:tc>
          <w:tcPr>
            <w:tcW w:w="1065" w:type="pct"/>
            <w:vAlign w:val="center"/>
          </w:tcPr>
          <w:p w14:paraId="087F1021"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88.1 (60.9, 97.7); &lt;0.0001</w:t>
            </w:r>
          </w:p>
        </w:tc>
      </w:tr>
      <w:tr w:rsidR="00E80885" w:rsidRPr="005A5BB7" w14:paraId="7F7ED482" w14:textId="77777777" w:rsidTr="008D0D23">
        <w:trPr>
          <w:trHeight w:val="170"/>
        </w:trPr>
        <w:tc>
          <w:tcPr>
            <w:tcW w:w="1078" w:type="pct"/>
            <w:tcBorders>
              <w:left w:val="single" w:sz="4" w:space="0" w:color="auto"/>
              <w:right w:val="single" w:sz="4" w:space="0" w:color="auto"/>
            </w:tcBorders>
          </w:tcPr>
          <w:p w14:paraId="774BE269" w14:textId="3FA12069"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3539D6B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3200</w:t>
            </w:r>
          </w:p>
        </w:tc>
        <w:tc>
          <w:tcPr>
            <w:tcW w:w="274" w:type="pct"/>
            <w:vAlign w:val="center"/>
          </w:tcPr>
          <w:p w14:paraId="06EF455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w:t>
            </w:r>
          </w:p>
        </w:tc>
        <w:tc>
          <w:tcPr>
            <w:tcW w:w="402" w:type="pct"/>
            <w:vAlign w:val="center"/>
          </w:tcPr>
          <w:p w14:paraId="24449F3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1793.2</w:t>
            </w:r>
          </w:p>
        </w:tc>
        <w:tc>
          <w:tcPr>
            <w:tcW w:w="385" w:type="pct"/>
            <w:vAlign w:val="center"/>
          </w:tcPr>
          <w:p w14:paraId="779C845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3.3</w:t>
            </w:r>
          </w:p>
        </w:tc>
        <w:tc>
          <w:tcPr>
            <w:tcW w:w="387" w:type="pct"/>
            <w:vAlign w:val="center"/>
          </w:tcPr>
          <w:p w14:paraId="4A8E513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3234</w:t>
            </w:r>
          </w:p>
        </w:tc>
        <w:tc>
          <w:tcPr>
            <w:tcW w:w="309" w:type="pct"/>
            <w:vAlign w:val="center"/>
          </w:tcPr>
          <w:p w14:paraId="50CE0FE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29</w:t>
            </w:r>
          </w:p>
        </w:tc>
        <w:tc>
          <w:tcPr>
            <w:tcW w:w="402" w:type="pct"/>
            <w:vAlign w:val="center"/>
          </w:tcPr>
          <w:p w14:paraId="0C4607B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1800.0</w:t>
            </w:r>
          </w:p>
        </w:tc>
        <w:tc>
          <w:tcPr>
            <w:tcW w:w="388" w:type="pct"/>
            <w:vAlign w:val="center"/>
          </w:tcPr>
          <w:p w14:paraId="75A29A5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16.1</w:t>
            </w:r>
          </w:p>
        </w:tc>
        <w:tc>
          <w:tcPr>
            <w:tcW w:w="1065" w:type="pct"/>
            <w:vAlign w:val="center"/>
          </w:tcPr>
          <w:p w14:paraId="21BEE9EE" w14:textId="77777777" w:rsidR="00E8617E"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 xml:space="preserve">79.4 (49.4, 93.0); </w:t>
            </w:r>
          </w:p>
          <w:p w14:paraId="7A072762" w14:textId="207ACAB3"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0.0001</w:t>
            </w:r>
          </w:p>
        </w:tc>
      </w:tr>
      <w:tr w:rsidR="008020EB" w:rsidRPr="005A5BB7" w14:paraId="5A4D642D" w14:textId="77777777" w:rsidTr="008D0D23">
        <w:trPr>
          <w:trHeight w:val="170"/>
        </w:trPr>
        <w:tc>
          <w:tcPr>
            <w:tcW w:w="1078" w:type="pct"/>
            <w:tcBorders>
              <w:left w:val="single" w:sz="4" w:space="0" w:color="auto"/>
              <w:right w:val="single" w:sz="4" w:space="0" w:color="auto"/>
            </w:tcBorders>
          </w:tcPr>
          <w:p w14:paraId="4350B5F4" w14:textId="799EBB34" w:rsidR="008D0D23" w:rsidRPr="005A5BB7" w:rsidRDefault="008D0D23" w:rsidP="00C578B4">
            <w:pPr>
              <w:pStyle w:val="TableText0"/>
              <w:rPr>
                <w:rFonts w:cs="Times New Roman"/>
              </w:rPr>
            </w:pPr>
            <w:r w:rsidRPr="005A5BB7">
              <w:t>≥2 pre</w:t>
            </w:r>
            <w:r w:rsidR="000E4816">
              <w:noBreakHyphen/>
            </w:r>
            <w:r w:rsidRPr="005A5BB7">
              <w:t>existing comorbidities of interest</w:t>
            </w:r>
          </w:p>
        </w:tc>
        <w:tc>
          <w:tcPr>
            <w:tcW w:w="310" w:type="pct"/>
            <w:tcBorders>
              <w:left w:val="single" w:sz="4" w:space="0" w:color="auto"/>
            </w:tcBorders>
            <w:vAlign w:val="center"/>
          </w:tcPr>
          <w:p w14:paraId="0A6136D6" w14:textId="662B9B10" w:rsidR="008D0D23" w:rsidRPr="005A5BB7" w:rsidRDefault="008D0D23" w:rsidP="00C578B4">
            <w:pPr>
              <w:pStyle w:val="TableText0"/>
              <w:rPr>
                <w:rFonts w:cs="Times New Roman"/>
              </w:rPr>
            </w:pPr>
            <w:r w:rsidRPr="005A5BB7">
              <w:t>2504</w:t>
            </w:r>
          </w:p>
        </w:tc>
        <w:tc>
          <w:tcPr>
            <w:tcW w:w="274" w:type="pct"/>
            <w:vAlign w:val="center"/>
          </w:tcPr>
          <w:p w14:paraId="4E815BCD" w14:textId="31E89625" w:rsidR="008D0D23" w:rsidRPr="005A5BB7" w:rsidRDefault="008D0D23" w:rsidP="00C578B4">
            <w:pPr>
              <w:pStyle w:val="TableText0"/>
              <w:rPr>
                <w:rFonts w:cs="Times New Roman"/>
              </w:rPr>
            </w:pPr>
            <w:r w:rsidRPr="005A5BB7">
              <w:t>3</w:t>
            </w:r>
          </w:p>
        </w:tc>
        <w:tc>
          <w:tcPr>
            <w:tcW w:w="402" w:type="pct"/>
            <w:vAlign w:val="center"/>
          </w:tcPr>
          <w:p w14:paraId="53AB99D1" w14:textId="42D4E168" w:rsidR="008D0D23" w:rsidRPr="005A5BB7" w:rsidRDefault="008D0D23" w:rsidP="00C578B4">
            <w:pPr>
              <w:pStyle w:val="TableText0"/>
              <w:rPr>
                <w:rFonts w:cs="Times New Roman"/>
              </w:rPr>
            </w:pPr>
            <w:r w:rsidRPr="005A5BB7">
              <w:t>1417.3</w:t>
            </w:r>
          </w:p>
        </w:tc>
        <w:tc>
          <w:tcPr>
            <w:tcW w:w="385" w:type="pct"/>
            <w:vAlign w:val="center"/>
          </w:tcPr>
          <w:p w14:paraId="7938D8AA" w14:textId="7BD8360F" w:rsidR="008D0D23" w:rsidRPr="005A5BB7" w:rsidRDefault="008D0D23" w:rsidP="00C578B4">
            <w:pPr>
              <w:pStyle w:val="TableText0"/>
              <w:rPr>
                <w:rFonts w:cs="Times New Roman"/>
              </w:rPr>
            </w:pPr>
            <w:r w:rsidRPr="005A5BB7">
              <w:t>2.1</w:t>
            </w:r>
          </w:p>
        </w:tc>
        <w:tc>
          <w:tcPr>
            <w:tcW w:w="387" w:type="pct"/>
            <w:vAlign w:val="center"/>
          </w:tcPr>
          <w:p w14:paraId="14DCE79F" w14:textId="309ED124" w:rsidR="008D0D23" w:rsidRPr="005A5BB7" w:rsidRDefault="008D0D23" w:rsidP="00C578B4">
            <w:pPr>
              <w:pStyle w:val="TableText0"/>
              <w:rPr>
                <w:rFonts w:cs="Times New Roman"/>
              </w:rPr>
            </w:pPr>
            <w:r w:rsidRPr="005A5BB7">
              <w:t>2431</w:t>
            </w:r>
          </w:p>
        </w:tc>
        <w:tc>
          <w:tcPr>
            <w:tcW w:w="309" w:type="pct"/>
            <w:vAlign w:val="center"/>
          </w:tcPr>
          <w:p w14:paraId="79AE8DF5" w14:textId="57CA16F0" w:rsidR="008D0D23" w:rsidRPr="005A5BB7" w:rsidRDefault="008D0D23" w:rsidP="00C578B4">
            <w:pPr>
              <w:pStyle w:val="TableText0"/>
              <w:rPr>
                <w:rFonts w:cs="Times New Roman"/>
              </w:rPr>
            </w:pPr>
            <w:r w:rsidRPr="005A5BB7">
              <w:t>24</w:t>
            </w:r>
          </w:p>
        </w:tc>
        <w:tc>
          <w:tcPr>
            <w:tcW w:w="402" w:type="pct"/>
            <w:vAlign w:val="center"/>
          </w:tcPr>
          <w:p w14:paraId="3888EFFB" w14:textId="7EDECC40" w:rsidR="008D0D23" w:rsidRPr="005A5BB7" w:rsidRDefault="008D0D23" w:rsidP="00C578B4">
            <w:pPr>
              <w:pStyle w:val="TableText0"/>
              <w:rPr>
                <w:rFonts w:cs="Times New Roman"/>
              </w:rPr>
            </w:pPr>
            <w:r w:rsidRPr="005A5BB7">
              <w:t>1358.8</w:t>
            </w:r>
          </w:p>
        </w:tc>
        <w:tc>
          <w:tcPr>
            <w:tcW w:w="388" w:type="pct"/>
            <w:vAlign w:val="center"/>
          </w:tcPr>
          <w:p w14:paraId="786B5350" w14:textId="444EB600" w:rsidR="008D0D23" w:rsidRPr="005A5BB7" w:rsidRDefault="008D0D23" w:rsidP="00C578B4">
            <w:pPr>
              <w:pStyle w:val="TableText0"/>
              <w:rPr>
                <w:rFonts w:cs="Times New Roman"/>
              </w:rPr>
            </w:pPr>
            <w:r w:rsidRPr="005A5BB7">
              <w:t>17.7</w:t>
            </w:r>
          </w:p>
        </w:tc>
        <w:tc>
          <w:tcPr>
            <w:tcW w:w="1065" w:type="pct"/>
            <w:vAlign w:val="center"/>
          </w:tcPr>
          <w:p w14:paraId="486809D1" w14:textId="1AA8F67E" w:rsidR="008D0D23" w:rsidRPr="005A5BB7" w:rsidRDefault="008D0D23" w:rsidP="00C578B4">
            <w:pPr>
              <w:pStyle w:val="TableText0"/>
              <w:rPr>
                <w:rFonts w:cs="Times New Roman"/>
                <w:b/>
              </w:rPr>
            </w:pPr>
            <w:r w:rsidRPr="005A5BB7">
              <w:t>88.0 (60.5, 97.7)</w:t>
            </w:r>
          </w:p>
        </w:tc>
      </w:tr>
      <w:tr w:rsidR="009D63A9" w:rsidRPr="005A5BB7" w14:paraId="2E928FBF" w14:textId="77777777" w:rsidTr="007239DF">
        <w:trPr>
          <w:trHeight w:val="170"/>
        </w:trPr>
        <w:tc>
          <w:tcPr>
            <w:tcW w:w="5000" w:type="pct"/>
            <w:gridSpan w:val="10"/>
            <w:tcBorders>
              <w:left w:val="single" w:sz="4" w:space="0" w:color="auto"/>
              <w:right w:val="single" w:sz="4" w:space="0" w:color="auto"/>
            </w:tcBorders>
            <w:vAlign w:val="center"/>
          </w:tcPr>
          <w:p w14:paraId="3FAB6D72" w14:textId="38C68F9B" w:rsidR="009D63A9" w:rsidRPr="005A5BB7" w:rsidRDefault="009D63A9" w:rsidP="004C1EA2">
            <w:pPr>
              <w:jc w:val="left"/>
              <w:rPr>
                <w:rFonts w:ascii="Arial Narrow" w:hAnsi="Arial Narrow" w:cs="Calibri"/>
                <w:b/>
                <w:bCs/>
                <w:color w:val="000000"/>
                <w:sz w:val="20"/>
                <w:szCs w:val="20"/>
              </w:rPr>
            </w:pPr>
            <w:r w:rsidRPr="005A5BB7">
              <w:rPr>
                <w:rFonts w:ascii="Arial Narrow" w:hAnsi="Arial Narrow" w:cs="Times New Roman"/>
                <w:b/>
                <w:bCs/>
                <w:sz w:val="20"/>
              </w:rPr>
              <w:t>VE Analysis 3: End of S2 NH (median follow</w:t>
            </w:r>
            <w:r w:rsidR="000E4816">
              <w:rPr>
                <w:rFonts w:ascii="Arial Narrow" w:hAnsi="Arial Narrow" w:cs="Times New Roman"/>
                <w:b/>
                <w:bCs/>
                <w:sz w:val="20"/>
              </w:rPr>
              <w:noBreakHyphen/>
            </w:r>
            <w:r w:rsidRPr="005A5BB7">
              <w:rPr>
                <w:rFonts w:ascii="Arial Narrow" w:hAnsi="Arial Narrow" w:cs="Times New Roman"/>
                <w:b/>
                <w:bCs/>
                <w:sz w:val="20"/>
              </w:rPr>
              <w:t>up = 17.8 months)</w:t>
            </w:r>
          </w:p>
        </w:tc>
      </w:tr>
      <w:tr w:rsidR="00E80885" w:rsidRPr="005A5BB7" w14:paraId="76BF7898" w14:textId="77777777" w:rsidTr="008D0D23">
        <w:trPr>
          <w:trHeight w:val="170"/>
        </w:trPr>
        <w:tc>
          <w:tcPr>
            <w:tcW w:w="1078" w:type="pct"/>
            <w:tcBorders>
              <w:left w:val="single" w:sz="4" w:space="0" w:color="auto"/>
              <w:right w:val="single" w:sz="4" w:space="0" w:color="auto"/>
            </w:tcBorders>
            <w:shd w:val="clear" w:color="auto" w:fill="DBE5F1" w:themeFill="accent1" w:themeFillTint="33"/>
            <w:vAlign w:val="center"/>
          </w:tcPr>
          <w:p w14:paraId="47A16A5A" w14:textId="77777777"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1</w:t>
            </w:r>
          </w:p>
        </w:tc>
        <w:tc>
          <w:tcPr>
            <w:tcW w:w="310" w:type="pct"/>
            <w:tcBorders>
              <w:left w:val="single" w:sz="4" w:space="0" w:color="auto"/>
            </w:tcBorders>
            <w:shd w:val="clear" w:color="auto" w:fill="DBE5F1" w:themeFill="accent1" w:themeFillTint="33"/>
            <w:vAlign w:val="center"/>
          </w:tcPr>
          <w:p w14:paraId="1679E1FA"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12469</w:t>
            </w:r>
          </w:p>
        </w:tc>
        <w:tc>
          <w:tcPr>
            <w:tcW w:w="274" w:type="pct"/>
            <w:shd w:val="clear" w:color="auto" w:fill="DBE5F1" w:themeFill="accent1" w:themeFillTint="33"/>
            <w:vAlign w:val="center"/>
          </w:tcPr>
          <w:p w14:paraId="5CDF012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94</w:t>
            </w:r>
          </w:p>
        </w:tc>
        <w:tc>
          <w:tcPr>
            <w:tcW w:w="402" w:type="pct"/>
            <w:shd w:val="clear" w:color="auto" w:fill="DBE5F1" w:themeFill="accent1" w:themeFillTint="33"/>
            <w:vAlign w:val="center"/>
          </w:tcPr>
          <w:p w14:paraId="723BD3A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14626.4</w:t>
            </w:r>
          </w:p>
        </w:tc>
        <w:tc>
          <w:tcPr>
            <w:tcW w:w="385" w:type="pct"/>
            <w:shd w:val="clear" w:color="auto" w:fill="DBE5F1" w:themeFill="accent1" w:themeFillTint="33"/>
            <w:vAlign w:val="center"/>
          </w:tcPr>
          <w:p w14:paraId="7C33F7D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6.4</w:t>
            </w:r>
          </w:p>
        </w:tc>
        <w:tc>
          <w:tcPr>
            <w:tcW w:w="387" w:type="pct"/>
            <w:shd w:val="clear" w:color="auto" w:fill="DBE5F1" w:themeFill="accent1" w:themeFillTint="33"/>
            <w:vAlign w:val="center"/>
          </w:tcPr>
          <w:p w14:paraId="70B73630"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12498</w:t>
            </w:r>
          </w:p>
        </w:tc>
        <w:tc>
          <w:tcPr>
            <w:tcW w:w="309" w:type="pct"/>
            <w:shd w:val="clear" w:color="auto" w:fill="DBE5F1" w:themeFill="accent1" w:themeFillTint="33"/>
            <w:vAlign w:val="center"/>
          </w:tcPr>
          <w:p w14:paraId="3FA6B5D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292</w:t>
            </w:r>
          </w:p>
        </w:tc>
        <w:tc>
          <w:tcPr>
            <w:tcW w:w="402" w:type="pct"/>
            <w:shd w:val="clear" w:color="auto" w:fill="DBE5F1" w:themeFill="accent1" w:themeFillTint="33"/>
            <w:vAlign w:val="center"/>
          </w:tcPr>
          <w:p w14:paraId="799BC4C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17167.0</w:t>
            </w:r>
          </w:p>
        </w:tc>
        <w:tc>
          <w:tcPr>
            <w:tcW w:w="388" w:type="pct"/>
            <w:shd w:val="clear" w:color="auto" w:fill="DBE5F1" w:themeFill="accent1" w:themeFillTint="33"/>
            <w:vAlign w:val="center"/>
          </w:tcPr>
          <w:p w14:paraId="67DA3E1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17.0</w:t>
            </w:r>
          </w:p>
        </w:tc>
        <w:tc>
          <w:tcPr>
            <w:tcW w:w="1065" w:type="pct"/>
            <w:shd w:val="clear" w:color="auto" w:fill="DBE5F1" w:themeFill="accent1" w:themeFillTint="33"/>
            <w:vAlign w:val="center"/>
          </w:tcPr>
          <w:p w14:paraId="3A8E0E18"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52.7 (40.0, 63.0); &lt;0.0001</w:t>
            </w:r>
          </w:p>
        </w:tc>
      </w:tr>
      <w:tr w:rsidR="00E80885" w:rsidRPr="005A5BB7" w14:paraId="34B320FE" w14:textId="77777777" w:rsidTr="008D0D23">
        <w:trPr>
          <w:trHeight w:val="170"/>
        </w:trPr>
        <w:tc>
          <w:tcPr>
            <w:tcW w:w="1078" w:type="pct"/>
            <w:tcBorders>
              <w:left w:val="single" w:sz="4" w:space="0" w:color="auto"/>
              <w:right w:val="single" w:sz="4" w:space="0" w:color="auto"/>
            </w:tcBorders>
          </w:tcPr>
          <w:p w14:paraId="2A82632B" w14:textId="2F03A9F4"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67233D8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7486</w:t>
            </w:r>
          </w:p>
        </w:tc>
        <w:tc>
          <w:tcPr>
            <w:tcW w:w="274" w:type="pct"/>
            <w:vAlign w:val="center"/>
          </w:tcPr>
          <w:p w14:paraId="4DFBC31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55</w:t>
            </w:r>
          </w:p>
        </w:tc>
        <w:tc>
          <w:tcPr>
            <w:tcW w:w="402" w:type="pct"/>
            <w:vAlign w:val="center"/>
          </w:tcPr>
          <w:p w14:paraId="4E778CB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8758.4</w:t>
            </w:r>
          </w:p>
        </w:tc>
        <w:tc>
          <w:tcPr>
            <w:tcW w:w="385" w:type="pct"/>
            <w:vAlign w:val="center"/>
          </w:tcPr>
          <w:p w14:paraId="5B5F0A8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6.3</w:t>
            </w:r>
          </w:p>
        </w:tc>
        <w:tc>
          <w:tcPr>
            <w:tcW w:w="387" w:type="pct"/>
            <w:vAlign w:val="center"/>
          </w:tcPr>
          <w:p w14:paraId="682384A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7579</w:t>
            </w:r>
          </w:p>
        </w:tc>
        <w:tc>
          <w:tcPr>
            <w:tcW w:w="309" w:type="pct"/>
            <w:vAlign w:val="center"/>
          </w:tcPr>
          <w:p w14:paraId="35A5E46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166</w:t>
            </w:r>
          </w:p>
        </w:tc>
        <w:tc>
          <w:tcPr>
            <w:tcW w:w="402" w:type="pct"/>
            <w:vAlign w:val="center"/>
          </w:tcPr>
          <w:p w14:paraId="3838DB9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10415.2</w:t>
            </w:r>
          </w:p>
        </w:tc>
        <w:tc>
          <w:tcPr>
            <w:tcW w:w="388" w:type="pct"/>
            <w:vAlign w:val="center"/>
          </w:tcPr>
          <w:p w14:paraId="784C7628"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15.9</w:t>
            </w:r>
          </w:p>
        </w:tc>
        <w:tc>
          <w:tcPr>
            <w:tcW w:w="1065" w:type="pct"/>
            <w:vAlign w:val="center"/>
          </w:tcPr>
          <w:p w14:paraId="285DE1FB"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50.5 (32.2, 64.3); &lt;0.0001</w:t>
            </w:r>
          </w:p>
        </w:tc>
      </w:tr>
      <w:tr w:rsidR="00E80885" w:rsidRPr="005A5BB7" w14:paraId="1199A587" w14:textId="77777777" w:rsidTr="008D0D23">
        <w:trPr>
          <w:trHeight w:val="170"/>
        </w:trPr>
        <w:tc>
          <w:tcPr>
            <w:tcW w:w="1078" w:type="pct"/>
            <w:tcBorders>
              <w:left w:val="single" w:sz="4" w:space="0" w:color="auto"/>
              <w:right w:val="single" w:sz="4" w:space="0" w:color="auto"/>
            </w:tcBorders>
          </w:tcPr>
          <w:p w14:paraId="57057CB3" w14:textId="02040671"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088DC35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4983</w:t>
            </w:r>
          </w:p>
        </w:tc>
        <w:tc>
          <w:tcPr>
            <w:tcW w:w="274" w:type="pct"/>
            <w:vAlign w:val="center"/>
          </w:tcPr>
          <w:p w14:paraId="418C5C3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39</w:t>
            </w:r>
          </w:p>
        </w:tc>
        <w:tc>
          <w:tcPr>
            <w:tcW w:w="402" w:type="pct"/>
            <w:vAlign w:val="center"/>
          </w:tcPr>
          <w:p w14:paraId="40BA81D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5868.1</w:t>
            </w:r>
          </w:p>
        </w:tc>
        <w:tc>
          <w:tcPr>
            <w:tcW w:w="385" w:type="pct"/>
            <w:vAlign w:val="center"/>
          </w:tcPr>
          <w:p w14:paraId="4E15245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6.6</w:t>
            </w:r>
          </w:p>
        </w:tc>
        <w:tc>
          <w:tcPr>
            <w:tcW w:w="387" w:type="pct"/>
            <w:vAlign w:val="center"/>
          </w:tcPr>
          <w:p w14:paraId="1C1F559A"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4919</w:t>
            </w:r>
          </w:p>
        </w:tc>
        <w:tc>
          <w:tcPr>
            <w:tcW w:w="309" w:type="pct"/>
            <w:vAlign w:val="center"/>
          </w:tcPr>
          <w:p w14:paraId="7923B96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126</w:t>
            </w:r>
          </w:p>
        </w:tc>
        <w:tc>
          <w:tcPr>
            <w:tcW w:w="402" w:type="pct"/>
            <w:vAlign w:val="center"/>
          </w:tcPr>
          <w:p w14:paraId="6A8D8B8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6751.8</w:t>
            </w:r>
          </w:p>
        </w:tc>
        <w:tc>
          <w:tcPr>
            <w:tcW w:w="388" w:type="pct"/>
            <w:vAlign w:val="center"/>
          </w:tcPr>
          <w:p w14:paraId="532F6AE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18.7</w:t>
            </w:r>
          </w:p>
        </w:tc>
        <w:tc>
          <w:tcPr>
            <w:tcW w:w="1065" w:type="pct"/>
            <w:vAlign w:val="center"/>
          </w:tcPr>
          <w:p w14:paraId="5D25E39B"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55.7 (35.9, 70.0); &lt;0.0001</w:t>
            </w:r>
          </w:p>
        </w:tc>
      </w:tr>
      <w:tr w:rsidR="00E80885" w:rsidRPr="005A5BB7" w14:paraId="6C613185" w14:textId="77777777" w:rsidTr="008D0D23">
        <w:trPr>
          <w:trHeight w:val="170"/>
        </w:trPr>
        <w:tc>
          <w:tcPr>
            <w:tcW w:w="1078" w:type="pct"/>
            <w:tcBorders>
              <w:left w:val="single" w:sz="4" w:space="0" w:color="auto"/>
              <w:right w:val="single" w:sz="4" w:space="0" w:color="auto"/>
            </w:tcBorders>
          </w:tcPr>
          <w:p w14:paraId="4E6FD4F4" w14:textId="64F1A0E9"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3349753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2546</w:t>
            </w:r>
          </w:p>
        </w:tc>
        <w:tc>
          <w:tcPr>
            <w:tcW w:w="274" w:type="pct"/>
            <w:vAlign w:val="center"/>
          </w:tcPr>
          <w:p w14:paraId="2422EAB8"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21</w:t>
            </w:r>
          </w:p>
        </w:tc>
        <w:tc>
          <w:tcPr>
            <w:tcW w:w="402" w:type="pct"/>
            <w:vAlign w:val="center"/>
          </w:tcPr>
          <w:p w14:paraId="6A93549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2991.1</w:t>
            </w:r>
          </w:p>
        </w:tc>
        <w:tc>
          <w:tcPr>
            <w:tcW w:w="385" w:type="pct"/>
            <w:vAlign w:val="center"/>
          </w:tcPr>
          <w:p w14:paraId="3121AE4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7.0</w:t>
            </w:r>
          </w:p>
        </w:tc>
        <w:tc>
          <w:tcPr>
            <w:tcW w:w="387" w:type="pct"/>
            <w:vAlign w:val="center"/>
          </w:tcPr>
          <w:p w14:paraId="7426B55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2479</w:t>
            </w:r>
          </w:p>
        </w:tc>
        <w:tc>
          <w:tcPr>
            <w:tcW w:w="309" w:type="pct"/>
            <w:vAlign w:val="center"/>
          </w:tcPr>
          <w:p w14:paraId="0C07167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81</w:t>
            </w:r>
          </w:p>
        </w:tc>
        <w:tc>
          <w:tcPr>
            <w:tcW w:w="402" w:type="pct"/>
            <w:vAlign w:val="center"/>
          </w:tcPr>
          <w:p w14:paraId="06F5502A"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3393.2</w:t>
            </w:r>
          </w:p>
        </w:tc>
        <w:tc>
          <w:tcPr>
            <w:tcW w:w="388" w:type="pct"/>
            <w:vAlign w:val="center"/>
          </w:tcPr>
          <w:p w14:paraId="0C10FD9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23.9</w:t>
            </w:r>
          </w:p>
        </w:tc>
        <w:tc>
          <w:tcPr>
            <w:tcW w:w="1065" w:type="pct"/>
            <w:vAlign w:val="center"/>
          </w:tcPr>
          <w:p w14:paraId="02DCD197"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63.0 (39.3; 78.4); &lt;0.0001</w:t>
            </w:r>
          </w:p>
        </w:tc>
      </w:tr>
      <w:tr w:rsidR="00E80885" w:rsidRPr="005A5BB7" w14:paraId="7CA51D88" w14:textId="77777777" w:rsidTr="008D0D23">
        <w:trPr>
          <w:trHeight w:val="170"/>
        </w:trPr>
        <w:tc>
          <w:tcPr>
            <w:tcW w:w="1078" w:type="pct"/>
            <w:tcBorders>
              <w:left w:val="single" w:sz="4" w:space="0" w:color="auto"/>
              <w:right w:val="single" w:sz="4" w:space="0" w:color="auto"/>
            </w:tcBorders>
          </w:tcPr>
          <w:p w14:paraId="67B5A6D7" w14:textId="1A3C9A22"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lastRenderedPageBreak/>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3ECE69B0"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3229</w:t>
            </w:r>
          </w:p>
        </w:tc>
        <w:tc>
          <w:tcPr>
            <w:tcW w:w="274" w:type="pct"/>
            <w:vAlign w:val="center"/>
          </w:tcPr>
          <w:p w14:paraId="0FB947C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24</w:t>
            </w:r>
          </w:p>
        </w:tc>
        <w:tc>
          <w:tcPr>
            <w:tcW w:w="402" w:type="pct"/>
            <w:vAlign w:val="center"/>
          </w:tcPr>
          <w:p w14:paraId="520351A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3811.1</w:t>
            </w:r>
          </w:p>
        </w:tc>
        <w:tc>
          <w:tcPr>
            <w:tcW w:w="385" w:type="pct"/>
            <w:vAlign w:val="center"/>
          </w:tcPr>
          <w:p w14:paraId="6460E5A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6.3</w:t>
            </w:r>
          </w:p>
        </w:tc>
        <w:tc>
          <w:tcPr>
            <w:tcW w:w="387" w:type="pct"/>
            <w:vAlign w:val="center"/>
          </w:tcPr>
          <w:p w14:paraId="74585F3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3255</w:t>
            </w:r>
          </w:p>
        </w:tc>
        <w:tc>
          <w:tcPr>
            <w:tcW w:w="309" w:type="pct"/>
            <w:vAlign w:val="center"/>
          </w:tcPr>
          <w:p w14:paraId="7D4A79E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70</w:t>
            </w:r>
          </w:p>
        </w:tc>
        <w:tc>
          <w:tcPr>
            <w:tcW w:w="402" w:type="pct"/>
            <w:vAlign w:val="center"/>
          </w:tcPr>
          <w:p w14:paraId="2D329AF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4482.1</w:t>
            </w:r>
          </w:p>
        </w:tc>
        <w:tc>
          <w:tcPr>
            <w:tcW w:w="388" w:type="pct"/>
            <w:vAlign w:val="center"/>
          </w:tcPr>
          <w:p w14:paraId="096F8A5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15.6</w:t>
            </w:r>
          </w:p>
        </w:tc>
        <w:tc>
          <w:tcPr>
            <w:tcW w:w="1065" w:type="pct"/>
            <w:vAlign w:val="center"/>
          </w:tcPr>
          <w:p w14:paraId="171ADD36"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51.7 (21.7, 71.1); 0.0021</w:t>
            </w:r>
          </w:p>
        </w:tc>
      </w:tr>
      <w:tr w:rsidR="009D63A9" w:rsidRPr="005A5BB7" w14:paraId="4FD729F1" w14:textId="77777777" w:rsidTr="007239DF">
        <w:trPr>
          <w:trHeight w:val="170"/>
        </w:trPr>
        <w:tc>
          <w:tcPr>
            <w:tcW w:w="5000" w:type="pct"/>
            <w:gridSpan w:val="10"/>
            <w:tcBorders>
              <w:left w:val="single" w:sz="4" w:space="0" w:color="auto"/>
            </w:tcBorders>
            <w:vAlign w:val="center"/>
          </w:tcPr>
          <w:p w14:paraId="656ADE18" w14:textId="5193851E" w:rsidR="009D63A9" w:rsidRPr="005A5BB7" w:rsidRDefault="009D63A9" w:rsidP="004C1EA2">
            <w:pPr>
              <w:jc w:val="left"/>
              <w:rPr>
                <w:rFonts w:ascii="Arial Narrow" w:hAnsi="Arial Narrow" w:cs="Calibri"/>
                <w:b/>
                <w:bCs/>
                <w:sz w:val="20"/>
                <w:szCs w:val="20"/>
              </w:rPr>
            </w:pPr>
            <w:r w:rsidRPr="005A5BB7">
              <w:rPr>
                <w:rFonts w:ascii="Arial Narrow" w:hAnsi="Arial Narrow" w:cs="Calibri"/>
                <w:b/>
                <w:bCs/>
                <w:color w:val="000000"/>
                <w:sz w:val="20"/>
                <w:szCs w:val="20"/>
              </w:rPr>
              <w:t>End of Study Analysis: End of S3 NH (median follow</w:t>
            </w:r>
            <w:r w:rsidR="000E4816">
              <w:rPr>
                <w:rFonts w:ascii="Arial Narrow" w:hAnsi="Arial Narrow" w:cs="Calibri"/>
                <w:b/>
                <w:bCs/>
                <w:color w:val="000000"/>
                <w:sz w:val="20"/>
                <w:szCs w:val="20"/>
              </w:rPr>
              <w:noBreakHyphen/>
            </w:r>
            <w:r w:rsidRPr="005A5BB7">
              <w:rPr>
                <w:rFonts w:ascii="Arial Narrow" w:hAnsi="Arial Narrow" w:cs="Calibri"/>
                <w:b/>
                <w:bCs/>
                <w:color w:val="000000"/>
                <w:sz w:val="20"/>
                <w:szCs w:val="20"/>
              </w:rPr>
              <w:t>up = 30.6 months)</w:t>
            </w:r>
          </w:p>
        </w:tc>
      </w:tr>
      <w:tr w:rsidR="00E80885" w:rsidRPr="005A5BB7" w14:paraId="335B2884" w14:textId="77777777" w:rsidTr="008D0D23">
        <w:trPr>
          <w:trHeight w:val="170"/>
        </w:trPr>
        <w:tc>
          <w:tcPr>
            <w:tcW w:w="1078" w:type="pct"/>
            <w:tcBorders>
              <w:left w:val="single" w:sz="4" w:space="0" w:color="auto"/>
              <w:right w:val="single" w:sz="4" w:space="0" w:color="auto"/>
            </w:tcBorders>
            <w:shd w:val="clear" w:color="auto" w:fill="DBE5F1" w:themeFill="accent1" w:themeFillTint="33"/>
            <w:vAlign w:val="center"/>
          </w:tcPr>
          <w:p w14:paraId="0C70D99F" w14:textId="77777777"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Overall trial population</w:t>
            </w:r>
            <w:r w:rsidRPr="005A5BB7">
              <w:rPr>
                <w:rFonts w:ascii="Arial Narrow" w:hAnsi="Arial Narrow" w:cs="Times New Roman"/>
                <w:sz w:val="20"/>
                <w:vertAlign w:val="superscript"/>
              </w:rPr>
              <w:t>1</w:t>
            </w:r>
          </w:p>
        </w:tc>
        <w:tc>
          <w:tcPr>
            <w:tcW w:w="310" w:type="pct"/>
            <w:tcBorders>
              <w:left w:val="single" w:sz="4" w:space="0" w:color="auto"/>
            </w:tcBorders>
            <w:shd w:val="clear" w:color="auto" w:fill="DBE5F1" w:themeFill="accent1" w:themeFillTint="33"/>
            <w:vAlign w:val="center"/>
          </w:tcPr>
          <w:p w14:paraId="60595EC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12468</w:t>
            </w:r>
          </w:p>
        </w:tc>
        <w:tc>
          <w:tcPr>
            <w:tcW w:w="274" w:type="pct"/>
            <w:shd w:val="clear" w:color="auto" w:fill="DBE5F1" w:themeFill="accent1" w:themeFillTint="33"/>
            <w:vAlign w:val="center"/>
          </w:tcPr>
          <w:p w14:paraId="5F961D6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131</w:t>
            </w:r>
          </w:p>
        </w:tc>
        <w:tc>
          <w:tcPr>
            <w:tcW w:w="402" w:type="pct"/>
            <w:shd w:val="clear" w:color="auto" w:fill="DBE5F1" w:themeFill="accent1" w:themeFillTint="33"/>
            <w:vAlign w:val="center"/>
          </w:tcPr>
          <w:p w14:paraId="1CF4120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19654.5</w:t>
            </w:r>
          </w:p>
        </w:tc>
        <w:tc>
          <w:tcPr>
            <w:tcW w:w="385" w:type="pct"/>
            <w:shd w:val="clear" w:color="auto" w:fill="DBE5F1" w:themeFill="accent1" w:themeFillTint="33"/>
            <w:vAlign w:val="center"/>
          </w:tcPr>
          <w:p w14:paraId="5A6557A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6.7</w:t>
            </w:r>
          </w:p>
        </w:tc>
        <w:tc>
          <w:tcPr>
            <w:tcW w:w="387" w:type="pct"/>
            <w:shd w:val="clear" w:color="auto" w:fill="DBE5F1" w:themeFill="accent1" w:themeFillTint="33"/>
            <w:vAlign w:val="center"/>
          </w:tcPr>
          <w:p w14:paraId="7CE1C20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12498</w:t>
            </w:r>
          </w:p>
        </w:tc>
        <w:tc>
          <w:tcPr>
            <w:tcW w:w="309" w:type="pct"/>
            <w:shd w:val="clear" w:color="auto" w:fill="DBE5F1" w:themeFill="accent1" w:themeFillTint="33"/>
            <w:vAlign w:val="center"/>
          </w:tcPr>
          <w:p w14:paraId="7BDE084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428</w:t>
            </w:r>
          </w:p>
        </w:tc>
        <w:tc>
          <w:tcPr>
            <w:tcW w:w="402" w:type="pct"/>
            <w:shd w:val="clear" w:color="auto" w:fill="DBE5F1" w:themeFill="accent1" w:themeFillTint="33"/>
            <w:vAlign w:val="center"/>
          </w:tcPr>
          <w:p w14:paraId="0FF11F7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27086.0</w:t>
            </w:r>
          </w:p>
        </w:tc>
        <w:tc>
          <w:tcPr>
            <w:tcW w:w="388" w:type="pct"/>
            <w:shd w:val="clear" w:color="auto" w:fill="DBE5F1" w:themeFill="accent1" w:themeFillTint="33"/>
            <w:vAlign w:val="center"/>
          </w:tcPr>
          <w:p w14:paraId="305088D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15.8</w:t>
            </w:r>
          </w:p>
        </w:tc>
        <w:tc>
          <w:tcPr>
            <w:tcW w:w="1065" w:type="pct"/>
            <w:shd w:val="clear" w:color="auto" w:fill="DBE5F1" w:themeFill="accent1" w:themeFillTint="33"/>
            <w:vAlign w:val="center"/>
          </w:tcPr>
          <w:p w14:paraId="1C9FA3C9"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51.1 (40.3, 60.2); &lt;0.0001</w:t>
            </w:r>
          </w:p>
        </w:tc>
      </w:tr>
      <w:tr w:rsidR="00E80885" w:rsidRPr="005A5BB7" w14:paraId="5F5EB10E" w14:textId="77777777" w:rsidTr="008D0D23">
        <w:trPr>
          <w:trHeight w:val="170"/>
        </w:trPr>
        <w:tc>
          <w:tcPr>
            <w:tcW w:w="1078" w:type="pct"/>
            <w:tcBorders>
              <w:left w:val="single" w:sz="4" w:space="0" w:color="auto"/>
              <w:right w:val="single" w:sz="4" w:space="0" w:color="auto"/>
            </w:tcBorders>
          </w:tcPr>
          <w:p w14:paraId="4B2E2944" w14:textId="376A683A"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No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44F2035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7454</w:t>
            </w:r>
          </w:p>
        </w:tc>
        <w:tc>
          <w:tcPr>
            <w:tcW w:w="274" w:type="pct"/>
            <w:vAlign w:val="center"/>
          </w:tcPr>
          <w:p w14:paraId="1376570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76</w:t>
            </w:r>
          </w:p>
        </w:tc>
        <w:tc>
          <w:tcPr>
            <w:tcW w:w="402" w:type="pct"/>
            <w:vAlign w:val="center"/>
          </w:tcPr>
          <w:p w14:paraId="3DF5732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11756.4</w:t>
            </w:r>
          </w:p>
        </w:tc>
        <w:tc>
          <w:tcPr>
            <w:tcW w:w="385" w:type="pct"/>
            <w:vAlign w:val="center"/>
          </w:tcPr>
          <w:p w14:paraId="0C4F36D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6.5</w:t>
            </w:r>
          </w:p>
        </w:tc>
        <w:tc>
          <w:tcPr>
            <w:tcW w:w="387" w:type="pct"/>
            <w:vAlign w:val="center"/>
          </w:tcPr>
          <w:p w14:paraId="55F7E598"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7547</w:t>
            </w:r>
          </w:p>
        </w:tc>
        <w:tc>
          <w:tcPr>
            <w:tcW w:w="309" w:type="pct"/>
            <w:vAlign w:val="center"/>
          </w:tcPr>
          <w:p w14:paraId="222FCBF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237</w:t>
            </w:r>
          </w:p>
        </w:tc>
        <w:tc>
          <w:tcPr>
            <w:tcW w:w="402" w:type="pct"/>
            <w:vAlign w:val="center"/>
          </w:tcPr>
          <w:p w14:paraId="1EB1859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16451.4</w:t>
            </w:r>
          </w:p>
        </w:tc>
        <w:tc>
          <w:tcPr>
            <w:tcW w:w="388" w:type="pct"/>
            <w:vAlign w:val="center"/>
          </w:tcPr>
          <w:p w14:paraId="1B5F0C83"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14.4</w:t>
            </w:r>
          </w:p>
        </w:tc>
        <w:tc>
          <w:tcPr>
            <w:tcW w:w="1065" w:type="pct"/>
            <w:vAlign w:val="center"/>
          </w:tcPr>
          <w:p w14:paraId="286FAD79"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48.2 (32.5, 60.7); &lt;0.0001</w:t>
            </w:r>
          </w:p>
        </w:tc>
      </w:tr>
      <w:tr w:rsidR="00E80885" w:rsidRPr="005A5BB7" w14:paraId="0AD28DAA" w14:textId="77777777" w:rsidTr="008D0D23">
        <w:trPr>
          <w:trHeight w:val="170"/>
        </w:trPr>
        <w:tc>
          <w:tcPr>
            <w:tcW w:w="1078" w:type="pct"/>
            <w:tcBorders>
              <w:left w:val="single" w:sz="4" w:space="0" w:color="auto"/>
              <w:right w:val="single" w:sz="4" w:space="0" w:color="auto"/>
            </w:tcBorders>
          </w:tcPr>
          <w:p w14:paraId="4EBB4578" w14:textId="4AE16833" w:rsidR="009D63A9" w:rsidRPr="005A5BB7" w:rsidRDefault="009D63A9" w:rsidP="004C1EA2">
            <w:pPr>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comorbidity of interest</w:t>
            </w:r>
          </w:p>
        </w:tc>
        <w:tc>
          <w:tcPr>
            <w:tcW w:w="310" w:type="pct"/>
            <w:tcBorders>
              <w:left w:val="single" w:sz="4" w:space="0" w:color="auto"/>
            </w:tcBorders>
            <w:vAlign w:val="center"/>
          </w:tcPr>
          <w:p w14:paraId="0164EF34"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5014</w:t>
            </w:r>
          </w:p>
        </w:tc>
        <w:tc>
          <w:tcPr>
            <w:tcW w:w="274" w:type="pct"/>
            <w:vAlign w:val="center"/>
          </w:tcPr>
          <w:p w14:paraId="183952D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55</w:t>
            </w:r>
          </w:p>
        </w:tc>
        <w:tc>
          <w:tcPr>
            <w:tcW w:w="402" w:type="pct"/>
            <w:vAlign w:val="center"/>
          </w:tcPr>
          <w:p w14:paraId="6A2CD23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7898.0</w:t>
            </w:r>
          </w:p>
        </w:tc>
        <w:tc>
          <w:tcPr>
            <w:tcW w:w="385" w:type="pct"/>
            <w:vAlign w:val="center"/>
          </w:tcPr>
          <w:p w14:paraId="548A26F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7.0</w:t>
            </w:r>
          </w:p>
        </w:tc>
        <w:tc>
          <w:tcPr>
            <w:tcW w:w="387" w:type="pct"/>
            <w:vAlign w:val="center"/>
          </w:tcPr>
          <w:p w14:paraId="5306C2AD"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4951</w:t>
            </w:r>
          </w:p>
        </w:tc>
        <w:tc>
          <w:tcPr>
            <w:tcW w:w="309" w:type="pct"/>
            <w:vAlign w:val="center"/>
          </w:tcPr>
          <w:p w14:paraId="45674FF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191</w:t>
            </w:r>
          </w:p>
        </w:tc>
        <w:tc>
          <w:tcPr>
            <w:tcW w:w="402" w:type="pct"/>
            <w:vAlign w:val="center"/>
          </w:tcPr>
          <w:p w14:paraId="2773D73B"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10634.6</w:t>
            </w:r>
          </w:p>
        </w:tc>
        <w:tc>
          <w:tcPr>
            <w:tcW w:w="388" w:type="pct"/>
            <w:vAlign w:val="center"/>
          </w:tcPr>
          <w:p w14:paraId="2214A8C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18.0</w:t>
            </w:r>
          </w:p>
        </w:tc>
        <w:tc>
          <w:tcPr>
            <w:tcW w:w="1065" w:type="pct"/>
            <w:vAlign w:val="center"/>
          </w:tcPr>
          <w:p w14:paraId="0D9AE868"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54.9 (38.7, 67.3); &lt;0.0001</w:t>
            </w:r>
          </w:p>
        </w:tc>
      </w:tr>
      <w:tr w:rsidR="00E80885" w:rsidRPr="005A5BB7" w14:paraId="70973007" w14:textId="77777777" w:rsidTr="008D0D23">
        <w:trPr>
          <w:trHeight w:val="170"/>
        </w:trPr>
        <w:tc>
          <w:tcPr>
            <w:tcW w:w="1078" w:type="pct"/>
            <w:tcBorders>
              <w:left w:val="single" w:sz="4" w:space="0" w:color="auto"/>
              <w:right w:val="single" w:sz="4" w:space="0" w:color="auto"/>
            </w:tcBorders>
          </w:tcPr>
          <w:p w14:paraId="4A9168DB" w14:textId="49C6CD07"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cardiorespiratory condition</w:t>
            </w:r>
          </w:p>
        </w:tc>
        <w:tc>
          <w:tcPr>
            <w:tcW w:w="310" w:type="pct"/>
            <w:tcBorders>
              <w:left w:val="single" w:sz="4" w:space="0" w:color="auto"/>
            </w:tcBorders>
            <w:vAlign w:val="center"/>
          </w:tcPr>
          <w:p w14:paraId="477078F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2577</w:t>
            </w:r>
          </w:p>
        </w:tc>
        <w:tc>
          <w:tcPr>
            <w:tcW w:w="274" w:type="pct"/>
            <w:vAlign w:val="center"/>
          </w:tcPr>
          <w:p w14:paraId="40DC9828"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34</w:t>
            </w:r>
          </w:p>
        </w:tc>
        <w:tc>
          <w:tcPr>
            <w:tcW w:w="402" w:type="pct"/>
            <w:vAlign w:val="center"/>
          </w:tcPr>
          <w:p w14:paraId="69C611DE"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4029.5</w:t>
            </w:r>
          </w:p>
        </w:tc>
        <w:tc>
          <w:tcPr>
            <w:tcW w:w="385" w:type="pct"/>
            <w:vAlign w:val="center"/>
          </w:tcPr>
          <w:p w14:paraId="6EA85B98"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8.4</w:t>
            </w:r>
          </w:p>
        </w:tc>
        <w:tc>
          <w:tcPr>
            <w:tcW w:w="387" w:type="pct"/>
            <w:vAlign w:val="center"/>
          </w:tcPr>
          <w:p w14:paraId="4BCED04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2504</w:t>
            </w:r>
          </w:p>
        </w:tc>
        <w:tc>
          <w:tcPr>
            <w:tcW w:w="309" w:type="pct"/>
            <w:vAlign w:val="center"/>
          </w:tcPr>
          <w:p w14:paraId="58190996"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119</w:t>
            </w:r>
          </w:p>
        </w:tc>
        <w:tc>
          <w:tcPr>
            <w:tcW w:w="402" w:type="pct"/>
            <w:vAlign w:val="center"/>
          </w:tcPr>
          <w:p w14:paraId="53919882"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5338.8</w:t>
            </w:r>
          </w:p>
        </w:tc>
        <w:tc>
          <w:tcPr>
            <w:tcW w:w="388" w:type="pct"/>
            <w:vAlign w:val="center"/>
          </w:tcPr>
          <w:p w14:paraId="139484FA"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22.3</w:t>
            </w:r>
          </w:p>
        </w:tc>
        <w:tc>
          <w:tcPr>
            <w:tcW w:w="1065" w:type="pct"/>
            <w:vAlign w:val="center"/>
          </w:tcPr>
          <w:p w14:paraId="43BE24D1"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55.4 (34.0, 70.6); &lt;0.0001</w:t>
            </w:r>
          </w:p>
        </w:tc>
      </w:tr>
      <w:tr w:rsidR="00E80885" w:rsidRPr="005A5BB7" w14:paraId="558CC1F1" w14:textId="77777777" w:rsidTr="008D0D23">
        <w:trPr>
          <w:trHeight w:val="170"/>
        </w:trPr>
        <w:tc>
          <w:tcPr>
            <w:tcW w:w="1078" w:type="pct"/>
            <w:tcBorders>
              <w:left w:val="single" w:sz="4" w:space="0" w:color="auto"/>
              <w:right w:val="single" w:sz="4" w:space="0" w:color="auto"/>
            </w:tcBorders>
          </w:tcPr>
          <w:p w14:paraId="731A6F08" w14:textId="22EA593A" w:rsidR="009D63A9" w:rsidRPr="005A5BB7" w:rsidRDefault="009D63A9" w:rsidP="004C1EA2">
            <w:pPr>
              <w:ind w:left="284"/>
              <w:jc w:val="left"/>
              <w:rPr>
                <w:rFonts w:ascii="Arial Narrow" w:hAnsi="Arial Narrow" w:cs="Times New Roman"/>
                <w:sz w:val="20"/>
              </w:rPr>
            </w:pPr>
            <w:r w:rsidRPr="005A5BB7">
              <w:rPr>
                <w:rFonts w:ascii="Arial Narrow" w:hAnsi="Arial Narrow" w:cs="Times New Roman"/>
                <w:sz w:val="20"/>
              </w:rPr>
              <w:t>≥1 pre</w:t>
            </w:r>
            <w:r w:rsidR="000E4816">
              <w:rPr>
                <w:rFonts w:ascii="Arial Narrow" w:hAnsi="Arial Narrow" w:cs="Times New Roman"/>
                <w:sz w:val="20"/>
              </w:rPr>
              <w:noBreakHyphen/>
            </w:r>
            <w:r w:rsidRPr="005A5BB7">
              <w:rPr>
                <w:rFonts w:ascii="Arial Narrow" w:hAnsi="Arial Narrow" w:cs="Times New Roman"/>
                <w:sz w:val="20"/>
              </w:rPr>
              <w:t>existing endocrinometabolic condition</w:t>
            </w:r>
          </w:p>
        </w:tc>
        <w:tc>
          <w:tcPr>
            <w:tcW w:w="310" w:type="pct"/>
            <w:tcBorders>
              <w:left w:val="single" w:sz="4" w:space="0" w:color="auto"/>
            </w:tcBorders>
            <w:vAlign w:val="center"/>
          </w:tcPr>
          <w:p w14:paraId="582274B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3243</w:t>
            </w:r>
          </w:p>
        </w:tc>
        <w:tc>
          <w:tcPr>
            <w:tcW w:w="274" w:type="pct"/>
            <w:vAlign w:val="center"/>
          </w:tcPr>
          <w:p w14:paraId="3CE4CFEC"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31</w:t>
            </w:r>
          </w:p>
        </w:tc>
        <w:tc>
          <w:tcPr>
            <w:tcW w:w="402" w:type="pct"/>
            <w:vAlign w:val="center"/>
          </w:tcPr>
          <w:p w14:paraId="31096E19"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5126.9</w:t>
            </w:r>
          </w:p>
        </w:tc>
        <w:tc>
          <w:tcPr>
            <w:tcW w:w="385" w:type="pct"/>
            <w:vAlign w:val="center"/>
          </w:tcPr>
          <w:p w14:paraId="51D174F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6.0</w:t>
            </w:r>
          </w:p>
        </w:tc>
        <w:tc>
          <w:tcPr>
            <w:tcW w:w="387" w:type="pct"/>
            <w:vAlign w:val="center"/>
          </w:tcPr>
          <w:p w14:paraId="6B823227"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3274</w:t>
            </w:r>
          </w:p>
        </w:tc>
        <w:tc>
          <w:tcPr>
            <w:tcW w:w="309" w:type="pct"/>
            <w:vAlign w:val="center"/>
          </w:tcPr>
          <w:p w14:paraId="7CCAE1FF"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108</w:t>
            </w:r>
          </w:p>
        </w:tc>
        <w:tc>
          <w:tcPr>
            <w:tcW w:w="402" w:type="pct"/>
            <w:vAlign w:val="center"/>
          </w:tcPr>
          <w:p w14:paraId="0E4D0021"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7072.7</w:t>
            </w:r>
          </w:p>
        </w:tc>
        <w:tc>
          <w:tcPr>
            <w:tcW w:w="388" w:type="pct"/>
            <w:vAlign w:val="center"/>
          </w:tcPr>
          <w:p w14:paraId="3B0ABBA5" w14:textId="77777777" w:rsidR="009D63A9" w:rsidRPr="005A5BB7" w:rsidRDefault="009D63A9" w:rsidP="004C1EA2">
            <w:pPr>
              <w:jc w:val="center"/>
              <w:rPr>
                <w:rFonts w:ascii="Arial Narrow" w:hAnsi="Arial Narrow" w:cs="Times New Roman"/>
                <w:sz w:val="20"/>
              </w:rPr>
            </w:pPr>
            <w:r w:rsidRPr="005A5BB7">
              <w:rPr>
                <w:rFonts w:ascii="Arial Narrow" w:hAnsi="Arial Narrow" w:cs="Times New Roman"/>
                <w:sz w:val="20"/>
              </w:rPr>
              <w:t>15.3</w:t>
            </w:r>
          </w:p>
        </w:tc>
        <w:tc>
          <w:tcPr>
            <w:tcW w:w="1065" w:type="pct"/>
            <w:vAlign w:val="center"/>
          </w:tcPr>
          <w:p w14:paraId="25CD71A0" w14:textId="77777777" w:rsidR="009D63A9" w:rsidRPr="005A5BB7" w:rsidRDefault="009D63A9" w:rsidP="004C1EA2">
            <w:pPr>
              <w:jc w:val="center"/>
              <w:rPr>
                <w:rFonts w:ascii="Arial Narrow" w:hAnsi="Arial Narrow" w:cs="Times New Roman"/>
                <w:b/>
                <w:bCs/>
                <w:sz w:val="20"/>
              </w:rPr>
            </w:pPr>
            <w:r w:rsidRPr="005A5BB7">
              <w:rPr>
                <w:rFonts w:ascii="Arial Narrow" w:hAnsi="Arial Narrow" w:cs="Times New Roman"/>
                <w:b/>
                <w:bCs/>
                <w:sz w:val="20"/>
              </w:rPr>
              <w:t>55.2 (32.4, 71.1); &lt;0.0001</w:t>
            </w:r>
          </w:p>
        </w:tc>
      </w:tr>
      <w:tr w:rsidR="00314A07" w:rsidRPr="005A5BB7" w14:paraId="7B40CA49" w14:textId="77777777" w:rsidTr="00314A07">
        <w:trPr>
          <w:trHeight w:val="170"/>
        </w:trPr>
        <w:tc>
          <w:tcPr>
            <w:tcW w:w="5000" w:type="pct"/>
            <w:gridSpan w:val="10"/>
            <w:tcBorders>
              <w:left w:val="single" w:sz="4" w:space="0" w:color="auto"/>
            </w:tcBorders>
          </w:tcPr>
          <w:p w14:paraId="7DDBFB33" w14:textId="75B2E7AA" w:rsidR="00314A07" w:rsidRPr="005A5BB7" w:rsidRDefault="00314A07" w:rsidP="00314A07">
            <w:pPr>
              <w:jc w:val="left"/>
              <w:rPr>
                <w:rFonts w:ascii="Arial Narrow" w:hAnsi="Arial Narrow" w:cs="Times New Roman"/>
                <w:b/>
                <w:bCs/>
                <w:iCs/>
                <w:sz w:val="20"/>
              </w:rPr>
            </w:pPr>
            <w:r w:rsidRPr="005A5BB7">
              <w:rPr>
                <w:rFonts w:ascii="Arial Narrow" w:hAnsi="Arial Narrow" w:cs="Times New Roman"/>
                <w:b/>
                <w:bCs/>
                <w:iCs/>
                <w:sz w:val="20"/>
              </w:rPr>
              <w:t>Post</w:t>
            </w:r>
            <w:r w:rsidR="000E4816">
              <w:rPr>
                <w:rFonts w:ascii="Arial Narrow" w:hAnsi="Arial Narrow" w:cs="Times New Roman"/>
                <w:b/>
                <w:bCs/>
                <w:iCs/>
                <w:sz w:val="20"/>
              </w:rPr>
              <w:noBreakHyphen/>
            </w:r>
            <w:r w:rsidRPr="005A5BB7">
              <w:rPr>
                <w:rFonts w:ascii="Arial Narrow" w:hAnsi="Arial Narrow" w:cs="Times New Roman"/>
                <w:b/>
                <w:bCs/>
                <w:iCs/>
                <w:sz w:val="20"/>
              </w:rPr>
              <w:t>hoc analysis reported in PSCR</w:t>
            </w:r>
            <w:r w:rsidR="00991B71" w:rsidRPr="005A5BB7">
              <w:rPr>
                <w:rFonts w:ascii="Arial Narrow" w:hAnsi="Arial Narrow" w:cs="Times New Roman"/>
                <w:b/>
                <w:bCs/>
                <w:iCs/>
                <w:sz w:val="20"/>
              </w:rPr>
              <w:t xml:space="preserve"> (across 3 seasons)</w:t>
            </w:r>
          </w:p>
        </w:tc>
      </w:tr>
      <w:tr w:rsidR="00505BA4" w:rsidRPr="005A5BB7" w14:paraId="6C6E2D3A" w14:textId="77777777" w:rsidTr="008D0D23">
        <w:trPr>
          <w:trHeight w:val="170"/>
        </w:trPr>
        <w:tc>
          <w:tcPr>
            <w:tcW w:w="1078" w:type="pct"/>
            <w:tcBorders>
              <w:left w:val="single" w:sz="4" w:space="0" w:color="auto"/>
              <w:right w:val="single" w:sz="4" w:space="0" w:color="auto"/>
            </w:tcBorders>
          </w:tcPr>
          <w:p w14:paraId="4589564A" w14:textId="4C0007FB" w:rsidR="00314A07" w:rsidRPr="005A5BB7" w:rsidRDefault="00314A07" w:rsidP="00314A07">
            <w:pPr>
              <w:ind w:left="284"/>
              <w:jc w:val="left"/>
              <w:rPr>
                <w:rFonts w:ascii="Arial Narrow" w:hAnsi="Arial Narrow" w:cs="Times New Roman"/>
                <w:iCs/>
                <w:sz w:val="20"/>
              </w:rPr>
            </w:pPr>
            <w:r w:rsidRPr="005A5BB7">
              <w:rPr>
                <w:rFonts w:ascii="Arial Narrow" w:hAnsi="Arial Narrow" w:cs="Calibri"/>
                <w:iCs/>
                <w:color w:val="000000" w:themeColor="text1"/>
                <w:sz w:val="20"/>
                <w:szCs w:val="20"/>
              </w:rPr>
              <w:t>Obesity (BMI ≥30 kg/m</w:t>
            </w:r>
            <w:r w:rsidRPr="005A5BB7">
              <w:rPr>
                <w:rFonts w:ascii="Arial Narrow" w:hAnsi="Arial Narrow" w:cs="Calibri"/>
                <w:iCs/>
                <w:color w:val="000000" w:themeColor="text1"/>
                <w:sz w:val="20"/>
                <w:szCs w:val="20"/>
                <w:vertAlign w:val="superscript"/>
              </w:rPr>
              <w:t>2</w:t>
            </w:r>
            <w:r w:rsidRPr="005A5BB7">
              <w:rPr>
                <w:rFonts w:ascii="Arial Narrow" w:hAnsi="Arial Narrow" w:cs="Calibri"/>
                <w:iCs/>
                <w:color w:val="000000" w:themeColor="text1"/>
                <w:sz w:val="20"/>
                <w:szCs w:val="20"/>
              </w:rPr>
              <w:t>)</w:t>
            </w:r>
          </w:p>
        </w:tc>
        <w:tc>
          <w:tcPr>
            <w:tcW w:w="310" w:type="pct"/>
            <w:tcBorders>
              <w:left w:val="single" w:sz="4" w:space="0" w:color="auto"/>
            </w:tcBorders>
            <w:vAlign w:val="center"/>
          </w:tcPr>
          <w:p w14:paraId="40C02608" w14:textId="1ED91BB0"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4,716</w:t>
            </w:r>
          </w:p>
        </w:tc>
        <w:tc>
          <w:tcPr>
            <w:tcW w:w="274" w:type="pct"/>
            <w:vAlign w:val="center"/>
          </w:tcPr>
          <w:p w14:paraId="267FCFE2" w14:textId="0A07E5B7"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44</w:t>
            </w:r>
          </w:p>
        </w:tc>
        <w:tc>
          <w:tcPr>
            <w:tcW w:w="402" w:type="pct"/>
            <w:vAlign w:val="center"/>
          </w:tcPr>
          <w:p w14:paraId="1056D5D0" w14:textId="6C04487D"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7,494.1</w:t>
            </w:r>
          </w:p>
        </w:tc>
        <w:tc>
          <w:tcPr>
            <w:tcW w:w="385" w:type="pct"/>
            <w:vAlign w:val="center"/>
          </w:tcPr>
          <w:p w14:paraId="6E5555B1" w14:textId="7B5DC749"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5.9</w:t>
            </w:r>
          </w:p>
        </w:tc>
        <w:tc>
          <w:tcPr>
            <w:tcW w:w="387" w:type="pct"/>
            <w:vAlign w:val="center"/>
          </w:tcPr>
          <w:p w14:paraId="5AC54BEE" w14:textId="57B340AA"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4,745</w:t>
            </w:r>
          </w:p>
        </w:tc>
        <w:tc>
          <w:tcPr>
            <w:tcW w:w="309" w:type="pct"/>
            <w:vAlign w:val="center"/>
          </w:tcPr>
          <w:p w14:paraId="5DFEC133" w14:textId="12C4B16C"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183</w:t>
            </w:r>
          </w:p>
        </w:tc>
        <w:tc>
          <w:tcPr>
            <w:tcW w:w="402" w:type="pct"/>
            <w:vAlign w:val="center"/>
          </w:tcPr>
          <w:p w14:paraId="1146B645" w14:textId="1ED732C9"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10,291.9</w:t>
            </w:r>
          </w:p>
        </w:tc>
        <w:tc>
          <w:tcPr>
            <w:tcW w:w="388" w:type="pct"/>
            <w:vAlign w:val="center"/>
          </w:tcPr>
          <w:p w14:paraId="60CB2864" w14:textId="40C4057D" w:rsidR="00314A07" w:rsidRPr="005A5BB7" w:rsidRDefault="00314A07" w:rsidP="00314A07">
            <w:pPr>
              <w:jc w:val="center"/>
              <w:rPr>
                <w:rFonts w:ascii="Arial Narrow" w:hAnsi="Arial Narrow" w:cs="Times New Roman"/>
                <w:iCs/>
                <w:sz w:val="20"/>
              </w:rPr>
            </w:pPr>
            <w:r w:rsidRPr="005A5BB7">
              <w:rPr>
                <w:rFonts w:ascii="Arial Narrow" w:hAnsi="Arial Narrow" w:cs="Calibri"/>
                <w:iCs/>
                <w:color w:val="000000" w:themeColor="text1"/>
                <w:sz w:val="20"/>
                <w:szCs w:val="20"/>
              </w:rPr>
              <w:t>17.8</w:t>
            </w:r>
          </w:p>
        </w:tc>
        <w:tc>
          <w:tcPr>
            <w:tcW w:w="1065" w:type="pct"/>
            <w:vAlign w:val="center"/>
          </w:tcPr>
          <w:p w14:paraId="6CD96E6D" w14:textId="3B13564A" w:rsidR="00314A07" w:rsidRPr="005A5BB7" w:rsidRDefault="00314A07" w:rsidP="00314A07">
            <w:pPr>
              <w:jc w:val="center"/>
              <w:rPr>
                <w:rFonts w:ascii="Arial Narrow" w:hAnsi="Arial Narrow" w:cs="Times New Roman"/>
                <w:b/>
                <w:bCs/>
                <w:iCs/>
                <w:sz w:val="20"/>
              </w:rPr>
            </w:pPr>
            <w:r w:rsidRPr="005A5BB7">
              <w:rPr>
                <w:rFonts w:ascii="Arial Narrow" w:hAnsi="Arial Narrow" w:cs="Calibri"/>
                <w:iCs/>
                <w:color w:val="000000" w:themeColor="text1"/>
                <w:sz w:val="20"/>
                <w:szCs w:val="20"/>
              </w:rPr>
              <w:t>62.4 (47.4, 73.7)</w:t>
            </w:r>
          </w:p>
        </w:tc>
      </w:tr>
    </w:tbl>
    <w:p w14:paraId="3B7BBFE2" w14:textId="31D15261" w:rsidR="00125028" w:rsidRPr="005A5BB7" w:rsidRDefault="00125028" w:rsidP="00090ADF">
      <w:pPr>
        <w:pStyle w:val="FooterTableFigure"/>
        <w:rPr>
          <w:szCs w:val="18"/>
        </w:rPr>
      </w:pPr>
      <w:r w:rsidRPr="005A5BB7">
        <w:rPr>
          <w:szCs w:val="18"/>
        </w:rPr>
        <w:t xml:space="preserve">Source: </w:t>
      </w:r>
      <w:r w:rsidR="00755D43" w:rsidRPr="005A5BB7">
        <w:rPr>
          <w:szCs w:val="18"/>
        </w:rPr>
        <w:t>Table 2</w:t>
      </w:r>
      <w:r w:rsidR="000E4816">
        <w:rPr>
          <w:szCs w:val="18"/>
        </w:rPr>
        <w:noBreakHyphen/>
      </w:r>
      <w:r w:rsidR="00755D43" w:rsidRPr="005A5BB7">
        <w:rPr>
          <w:szCs w:val="18"/>
        </w:rPr>
        <w:t xml:space="preserve">12, pp </w:t>
      </w:r>
      <w:r w:rsidR="0041034A" w:rsidRPr="005A5BB7">
        <w:rPr>
          <w:szCs w:val="18"/>
        </w:rPr>
        <w:t>61</w:t>
      </w:r>
      <w:r w:rsidR="000E4816">
        <w:rPr>
          <w:szCs w:val="18"/>
        </w:rPr>
        <w:noBreakHyphen/>
      </w:r>
      <w:r w:rsidR="0041034A" w:rsidRPr="005A5BB7">
        <w:rPr>
          <w:szCs w:val="18"/>
        </w:rPr>
        <w:t xml:space="preserve">62 of the </w:t>
      </w:r>
      <w:r w:rsidR="00126E90" w:rsidRPr="005A5BB7">
        <w:rPr>
          <w:szCs w:val="18"/>
        </w:rPr>
        <w:t>re</w:t>
      </w:r>
      <w:r w:rsidR="0041034A" w:rsidRPr="005A5BB7">
        <w:rPr>
          <w:szCs w:val="18"/>
        </w:rPr>
        <w:t>submission</w:t>
      </w:r>
      <w:r w:rsidR="00090ADF" w:rsidRPr="005A5BB7">
        <w:rPr>
          <w:szCs w:val="18"/>
        </w:rPr>
        <w:t xml:space="preserve">, </w:t>
      </w:r>
      <w:r w:rsidR="00090ADF" w:rsidRPr="005A5BB7">
        <w:rPr>
          <w:rFonts w:eastAsia="Arial Narrow" w:cs="Arial Narrow"/>
          <w:iCs/>
          <w:color w:val="000000" w:themeColor="text1"/>
          <w:szCs w:val="18"/>
        </w:rPr>
        <w:t>Table 2 of PSCR (extracted from Hulstrom et al. Presentation at the European Association for the Study of Diabetes 61st Annual Conference, 15</w:t>
      </w:r>
      <w:r w:rsidR="000E4816">
        <w:rPr>
          <w:rFonts w:eastAsia="Arial Narrow" w:cs="Arial Narrow"/>
          <w:iCs/>
          <w:color w:val="000000" w:themeColor="text1"/>
          <w:szCs w:val="18"/>
        </w:rPr>
        <w:noBreakHyphen/>
      </w:r>
      <w:r w:rsidR="00090ADF" w:rsidRPr="005A5BB7">
        <w:rPr>
          <w:rFonts w:eastAsia="Arial Narrow" w:cs="Arial Narrow"/>
          <w:iCs/>
          <w:color w:val="000000" w:themeColor="text1"/>
          <w:szCs w:val="18"/>
        </w:rPr>
        <w:t>19 September 2025)</w:t>
      </w:r>
      <w:r w:rsidR="0041034A" w:rsidRPr="005A5BB7">
        <w:rPr>
          <w:szCs w:val="18"/>
        </w:rPr>
        <w:t>.</w:t>
      </w:r>
    </w:p>
    <w:p w14:paraId="6DC14A27" w14:textId="5A97FE6D" w:rsidR="00125028" w:rsidRPr="005A5BB7" w:rsidRDefault="00125028" w:rsidP="00125028">
      <w:pPr>
        <w:contextualSpacing/>
        <w:rPr>
          <w:rFonts w:ascii="Arial Narrow" w:hAnsi="Arial Narrow"/>
          <w:sz w:val="18"/>
          <w:szCs w:val="18"/>
        </w:rPr>
      </w:pPr>
      <w:r w:rsidRPr="005A5BB7">
        <w:rPr>
          <w:rFonts w:ascii="Arial Narrow" w:hAnsi="Arial Narrow"/>
          <w:sz w:val="18"/>
          <w:szCs w:val="18"/>
        </w:rPr>
        <w:t>ARI = acute respiratory illness; CI = confidence interval; N = number of participants; n = number of participants with at least 1 RT</w:t>
      </w:r>
      <w:r w:rsidR="000E4816">
        <w:rPr>
          <w:rFonts w:ascii="Arial Narrow" w:hAnsi="Arial Narrow"/>
          <w:sz w:val="18"/>
          <w:szCs w:val="18"/>
        </w:rPr>
        <w:noBreakHyphen/>
      </w:r>
      <w:r w:rsidRPr="005A5BB7">
        <w:rPr>
          <w:rFonts w:ascii="Arial Narrow" w:hAnsi="Arial Narrow"/>
          <w:sz w:val="18"/>
          <w:szCs w:val="18"/>
        </w:rPr>
        <w:t>PCR confirmed RSV ARI; n/T = incidence rate of participants reporting at least one event; NH = northern hemisphere; RSVPreF3 = Participants receiving RSVPreF3 OA vaccine (</w:t>
      </w:r>
      <w:r w:rsidRPr="005A5BB7">
        <w:rPr>
          <w:rFonts w:ascii="Arial Narrow" w:hAnsi="Arial Narrow"/>
          <w:iCs/>
          <w:sz w:val="18"/>
          <w:szCs w:val="18"/>
        </w:rPr>
        <w:t>Arexvy</w:t>
      </w:r>
      <w:r w:rsidRPr="005A5BB7">
        <w:rPr>
          <w:rFonts w:ascii="Arial Narrow" w:hAnsi="Arial Narrow"/>
          <w:sz w:val="18"/>
          <w:szCs w:val="18"/>
        </w:rPr>
        <w:t>); T (year) = sum of follow up time expressed in years; VE = vaccine efficacy</w:t>
      </w:r>
    </w:p>
    <w:p w14:paraId="2B46A697" w14:textId="33EFE813" w:rsidR="00125028" w:rsidRPr="005A5BB7" w:rsidRDefault="00A73731" w:rsidP="310F0368">
      <w:pPr>
        <w:spacing w:after="40"/>
        <w:contextualSpacing/>
        <w:rPr>
          <w:rFonts w:ascii="Arial Narrow" w:hAnsi="Arial Narrow"/>
          <w:sz w:val="18"/>
          <w:szCs w:val="18"/>
        </w:rPr>
      </w:pPr>
      <w:r w:rsidRPr="310F0368">
        <w:rPr>
          <w:rFonts w:ascii="Arial Narrow" w:hAnsi="Arial Narrow"/>
          <w:sz w:val="18"/>
          <w:szCs w:val="18"/>
          <w:vertAlign w:val="superscript"/>
        </w:rPr>
        <w:t>a</w:t>
      </w:r>
      <w:r w:rsidR="00125028" w:rsidRPr="310F0368">
        <w:rPr>
          <w:rFonts w:ascii="Arial Narrow" w:hAnsi="Arial Narrow"/>
          <w:sz w:val="18"/>
          <w:szCs w:val="18"/>
        </w:rPr>
        <w:t xml:space="preserve"> Descriptive secondary endpoints. All other analyses were </w:t>
      </w:r>
      <w:r w:rsidRPr="310F0368">
        <w:rPr>
          <w:rFonts w:ascii="Arial Narrow" w:hAnsi="Arial Narrow"/>
          <w:sz w:val="18"/>
          <w:szCs w:val="18"/>
        </w:rPr>
        <w:t>exploratory</w:t>
      </w:r>
      <w:r w:rsidR="00125028" w:rsidRPr="310F0368">
        <w:rPr>
          <w:rFonts w:ascii="Arial Narrow" w:hAnsi="Arial Narrow"/>
          <w:sz w:val="18"/>
          <w:szCs w:val="18"/>
        </w:rPr>
        <w:t>.</w:t>
      </w:r>
    </w:p>
    <w:p w14:paraId="5F87B30E" w14:textId="510D0A13" w:rsidR="00A73731" w:rsidRPr="005A5BB7" w:rsidRDefault="00A73731" w:rsidP="00125028">
      <w:pPr>
        <w:spacing w:after="40"/>
        <w:contextualSpacing/>
        <w:rPr>
          <w:rFonts w:ascii="Arial Narrow" w:hAnsi="Arial Narrow"/>
          <w:b/>
          <w:bCs/>
          <w:sz w:val="18"/>
        </w:rPr>
      </w:pPr>
      <w:r w:rsidRPr="005A5BB7">
        <w:rPr>
          <w:rFonts w:ascii="Arial Narrow" w:hAnsi="Arial Narrow"/>
          <w:sz w:val="18"/>
          <w:vertAlign w:val="superscript"/>
        </w:rPr>
        <w:t>b</w:t>
      </w:r>
      <w:r w:rsidRPr="005A5BB7">
        <w:rPr>
          <w:rFonts w:ascii="Arial Narrow" w:hAnsi="Arial Narrow"/>
          <w:sz w:val="18"/>
        </w:rPr>
        <w:t xml:space="preserve"> Independent (raw/unadjusted) calculation performed to estimate the VE in the subgroup of patients with only 1 comorbidity of interest, using data extracted data from Table 2</w:t>
      </w:r>
      <w:r w:rsidR="000E4816">
        <w:rPr>
          <w:rFonts w:ascii="Arial Narrow" w:hAnsi="Arial Narrow"/>
          <w:sz w:val="18"/>
        </w:rPr>
        <w:noBreakHyphen/>
      </w:r>
      <w:r w:rsidRPr="005A5BB7">
        <w:rPr>
          <w:rFonts w:ascii="Arial Narrow" w:hAnsi="Arial Narrow"/>
          <w:sz w:val="18"/>
        </w:rPr>
        <w:t>12, pp 61</w:t>
      </w:r>
      <w:r w:rsidR="000E4816">
        <w:rPr>
          <w:rFonts w:ascii="Arial Narrow" w:hAnsi="Arial Narrow"/>
          <w:sz w:val="18"/>
        </w:rPr>
        <w:noBreakHyphen/>
      </w:r>
      <w:r w:rsidRPr="005A5BB7">
        <w:rPr>
          <w:rFonts w:ascii="Arial Narrow" w:hAnsi="Arial Narrow"/>
          <w:sz w:val="18"/>
        </w:rPr>
        <w:t>62 of the Submission and Table 2, p. 207 of Feldman et. al. Respiratory Syncytial Virus Prefusion F Protein Vaccine Is Efficacious in Older Adults With Underlying Medical Conditions. Clin Infect Dis. 2024 Jan 25;78(1):202</w:t>
      </w:r>
      <w:r w:rsidR="000E4816">
        <w:rPr>
          <w:rFonts w:ascii="Arial Narrow" w:hAnsi="Arial Narrow"/>
          <w:sz w:val="18"/>
        </w:rPr>
        <w:noBreakHyphen/>
      </w:r>
      <w:r w:rsidRPr="005A5BB7">
        <w:rPr>
          <w:rFonts w:ascii="Arial Narrow" w:hAnsi="Arial Narrow"/>
          <w:sz w:val="18"/>
        </w:rPr>
        <w:t>209.</w:t>
      </w:r>
    </w:p>
    <w:p w14:paraId="5071C266" w14:textId="77777777" w:rsidR="00125028" w:rsidRPr="005A5BB7" w:rsidRDefault="00125028" w:rsidP="00125028">
      <w:pPr>
        <w:spacing w:after="40"/>
        <w:contextualSpacing/>
        <w:rPr>
          <w:rFonts w:ascii="Arial Narrow" w:hAnsi="Arial Narrow"/>
          <w:sz w:val="18"/>
        </w:rPr>
      </w:pPr>
      <w:r w:rsidRPr="005A5BB7">
        <w:rPr>
          <w:rFonts w:ascii="Arial Narrow" w:hAnsi="Arial Narrow"/>
          <w:sz w:val="18"/>
        </w:rPr>
        <w:t xml:space="preserve">Notes: For single dose evaluation, participants who received </w:t>
      </w:r>
      <w:r w:rsidRPr="005A5BB7">
        <w:rPr>
          <w:rFonts w:ascii="Arial Narrow" w:hAnsi="Arial Narrow"/>
          <w:iCs/>
          <w:sz w:val="18"/>
        </w:rPr>
        <w:t xml:space="preserve">Arexvy </w:t>
      </w:r>
      <w:r w:rsidRPr="005A5BB7">
        <w:rPr>
          <w:rFonts w:ascii="Arial Narrow" w:hAnsi="Arial Narrow"/>
          <w:sz w:val="18"/>
        </w:rPr>
        <w:t xml:space="preserve">at Dose 2 (RSV_annual group) are censored at Dose 2 </w:t>
      </w:r>
    </w:p>
    <w:p w14:paraId="373BB133" w14:textId="083AAA0E" w:rsidR="00125028" w:rsidRPr="005A5BB7" w:rsidRDefault="00125028" w:rsidP="00125028">
      <w:pPr>
        <w:spacing w:after="40"/>
        <w:contextualSpacing/>
        <w:rPr>
          <w:rFonts w:ascii="Arial Narrow" w:hAnsi="Arial Narrow"/>
          <w:sz w:val="18"/>
        </w:rPr>
      </w:pPr>
      <w:r w:rsidRPr="005A5BB7">
        <w:rPr>
          <w:rFonts w:ascii="Arial Narrow" w:hAnsi="Arial Narrow"/>
          <w:sz w:val="18"/>
        </w:rPr>
        <w:t>P</w:t>
      </w:r>
      <w:r w:rsidR="000E4816">
        <w:rPr>
          <w:rFonts w:ascii="Arial Narrow" w:hAnsi="Arial Narrow"/>
          <w:sz w:val="18"/>
        </w:rPr>
        <w:noBreakHyphen/>
      </w:r>
      <w:r w:rsidRPr="005A5BB7">
        <w:rPr>
          <w:rFonts w:ascii="Arial Narrow" w:hAnsi="Arial Narrow"/>
          <w:sz w:val="18"/>
        </w:rPr>
        <w:t xml:space="preserve">value = </w:t>
      </w:r>
      <w:r w:rsidR="00F23EA9" w:rsidRPr="005A5BB7">
        <w:rPr>
          <w:rFonts w:ascii="Arial Narrow" w:hAnsi="Arial Narrow"/>
          <w:sz w:val="18"/>
        </w:rPr>
        <w:t>Two</w:t>
      </w:r>
      <w:r w:rsidR="000E4816">
        <w:rPr>
          <w:rFonts w:ascii="Arial Narrow" w:hAnsi="Arial Narrow"/>
          <w:sz w:val="18"/>
        </w:rPr>
        <w:noBreakHyphen/>
      </w:r>
      <w:r w:rsidR="00F23EA9" w:rsidRPr="005A5BB7">
        <w:rPr>
          <w:rFonts w:ascii="Arial Narrow" w:hAnsi="Arial Narrow"/>
          <w:sz w:val="18"/>
        </w:rPr>
        <w:t>sided</w:t>
      </w:r>
      <w:r w:rsidRPr="005A5BB7">
        <w:rPr>
          <w:rFonts w:ascii="Arial Narrow" w:hAnsi="Arial Narrow"/>
          <w:sz w:val="18"/>
        </w:rPr>
        <w:t xml:space="preserve"> Exact P</w:t>
      </w:r>
      <w:r w:rsidR="000E4816">
        <w:rPr>
          <w:rFonts w:ascii="Arial Narrow" w:hAnsi="Arial Narrow"/>
          <w:sz w:val="18"/>
        </w:rPr>
        <w:noBreakHyphen/>
      </w:r>
      <w:r w:rsidRPr="005A5BB7">
        <w:rPr>
          <w:rFonts w:ascii="Arial Narrow" w:hAnsi="Arial Narrow"/>
          <w:sz w:val="18"/>
        </w:rPr>
        <w:t xml:space="preserve">value conditional to number of cases comparing incidence rates and testing the null hypothesis VE&lt;=0%; </w:t>
      </w:r>
    </w:p>
    <w:p w14:paraId="0809CBD2" w14:textId="77777777" w:rsidR="00125028" w:rsidRPr="005A5BB7" w:rsidRDefault="00125028" w:rsidP="00125028">
      <w:pPr>
        <w:spacing w:after="40"/>
        <w:contextualSpacing/>
        <w:rPr>
          <w:rFonts w:ascii="Arial Narrow" w:hAnsi="Arial Narrow"/>
          <w:sz w:val="18"/>
        </w:rPr>
      </w:pPr>
      <w:r w:rsidRPr="005A5BB7">
        <w:rPr>
          <w:rFonts w:ascii="Arial Narrow" w:hAnsi="Arial Narrow"/>
          <w:sz w:val="18"/>
        </w:rPr>
        <w:t xml:space="preserve">Comorbidities of interest included COPD, Asthma, Any chronic respiratory/pulmonary disease, Chronic heart failure, Diabetes mellitus Type 1 or Type 2, Advanced liver or renal disease </w:t>
      </w:r>
    </w:p>
    <w:p w14:paraId="7ADCE60B" w14:textId="77777777" w:rsidR="00125028" w:rsidRPr="005A5BB7" w:rsidRDefault="00125028" w:rsidP="00125028">
      <w:pPr>
        <w:spacing w:after="40"/>
        <w:contextualSpacing/>
        <w:rPr>
          <w:rFonts w:ascii="Arial Narrow" w:hAnsi="Arial Narrow"/>
          <w:sz w:val="18"/>
        </w:rPr>
      </w:pPr>
      <w:r w:rsidRPr="005A5BB7">
        <w:rPr>
          <w:rFonts w:ascii="Arial Narrow" w:hAnsi="Arial Narrow"/>
          <w:sz w:val="18"/>
        </w:rPr>
        <w:t xml:space="preserve">Cardiorespiratory conditions = COPD, Asthma, Any chronic respiratory/pulmonary disease, Chronic heart failure </w:t>
      </w:r>
    </w:p>
    <w:p w14:paraId="07721B07" w14:textId="77777777" w:rsidR="00125028" w:rsidRPr="005A5BB7" w:rsidRDefault="00125028" w:rsidP="00125028">
      <w:pPr>
        <w:spacing w:after="40"/>
        <w:contextualSpacing/>
        <w:rPr>
          <w:rFonts w:ascii="Arial Narrow" w:hAnsi="Arial Narrow"/>
          <w:sz w:val="18"/>
        </w:rPr>
      </w:pPr>
      <w:r w:rsidRPr="005A5BB7">
        <w:rPr>
          <w:rFonts w:ascii="Arial Narrow" w:hAnsi="Arial Narrow"/>
          <w:sz w:val="18"/>
        </w:rPr>
        <w:t xml:space="preserve">Endocrinometabolic conditions = Diabetes mellitus Type 1 or Type 2, Advanced liver or renal disease </w:t>
      </w:r>
    </w:p>
    <w:p w14:paraId="7F183A08" w14:textId="6137C844" w:rsidR="00285FE5" w:rsidRPr="005A5BB7" w:rsidRDefault="00285FE5" w:rsidP="00125028">
      <w:pPr>
        <w:spacing w:after="40"/>
        <w:contextualSpacing/>
        <w:rPr>
          <w:rFonts w:ascii="Arial Narrow" w:hAnsi="Arial Narrow"/>
          <w:sz w:val="18"/>
        </w:rPr>
      </w:pPr>
      <w:r w:rsidRPr="005A5BB7">
        <w:rPr>
          <w:rFonts w:ascii="Arial Narrow" w:hAnsi="Arial Narrow"/>
          <w:sz w:val="18"/>
        </w:rPr>
        <w:t>Bold = indicates statistically significant results</w:t>
      </w:r>
    </w:p>
    <w:p w14:paraId="3F8385BA" w14:textId="3F58C518" w:rsidR="00125028" w:rsidRPr="005A5BB7" w:rsidRDefault="00125028" w:rsidP="00125028">
      <w:pPr>
        <w:spacing w:after="40"/>
        <w:contextualSpacing/>
        <w:rPr>
          <w:rFonts w:ascii="Arial Narrow" w:hAnsi="Arial Narrow"/>
          <w:sz w:val="18"/>
        </w:rPr>
      </w:pPr>
      <w:r w:rsidRPr="005A5BB7">
        <w:rPr>
          <w:rFonts w:ascii="Arial Narrow" w:hAnsi="Arial Narrow"/>
          <w:sz w:val="18"/>
        </w:rPr>
        <w:t>VE Analysis 1: Cases reported from Day 15 post</w:t>
      </w:r>
      <w:r w:rsidR="000E4816">
        <w:rPr>
          <w:rFonts w:ascii="Arial Narrow" w:hAnsi="Arial Narrow"/>
          <w:sz w:val="18"/>
        </w:rPr>
        <w:noBreakHyphen/>
      </w:r>
      <w:r w:rsidRPr="005A5BB7">
        <w:rPr>
          <w:rFonts w:ascii="Arial Narrow" w:hAnsi="Arial Narrow"/>
          <w:sz w:val="18"/>
        </w:rPr>
        <w:t>vaccination up to efficacy data lock point = 11APR2022</w:t>
      </w:r>
    </w:p>
    <w:p w14:paraId="33AE1487" w14:textId="2205F84E" w:rsidR="00125028" w:rsidRPr="005A5BB7" w:rsidRDefault="00125028" w:rsidP="00125028">
      <w:pPr>
        <w:spacing w:after="40"/>
        <w:contextualSpacing/>
        <w:rPr>
          <w:rFonts w:ascii="Arial Narrow" w:hAnsi="Arial Narrow"/>
          <w:sz w:val="18"/>
        </w:rPr>
      </w:pPr>
      <w:r w:rsidRPr="005A5BB7">
        <w:rPr>
          <w:rFonts w:ascii="Arial Narrow" w:hAnsi="Arial Narrow"/>
          <w:sz w:val="18"/>
        </w:rPr>
        <w:t>VE Analysis 3: Cases reported from Day 15 post</w:t>
      </w:r>
      <w:r w:rsidR="000E4816">
        <w:rPr>
          <w:rFonts w:ascii="Arial Narrow" w:hAnsi="Arial Narrow"/>
          <w:sz w:val="18"/>
        </w:rPr>
        <w:noBreakHyphen/>
      </w:r>
      <w:r w:rsidRPr="005A5BB7">
        <w:rPr>
          <w:rFonts w:ascii="Arial Narrow" w:hAnsi="Arial Narrow"/>
          <w:sz w:val="18"/>
        </w:rPr>
        <w:t>Dose 1 up to efficacy data lock point 31 March 2023 if Dose 2 administration or up to efficacy data lock point 30 September 2022 if no Dose 2 administration.</w:t>
      </w:r>
    </w:p>
    <w:p w14:paraId="2DEB09E9" w14:textId="3AB7F2C2" w:rsidR="00780388" w:rsidRPr="005A5BB7" w:rsidRDefault="00125028" w:rsidP="00780388">
      <w:pPr>
        <w:rPr>
          <w:iCs/>
        </w:rPr>
      </w:pPr>
      <w:r w:rsidRPr="005A5BB7">
        <w:rPr>
          <w:rFonts w:ascii="Arial Narrow" w:hAnsi="Arial Narrow"/>
          <w:sz w:val="18"/>
        </w:rPr>
        <w:t>End of Study VE Analysis: Cases reported from Day 15 post</w:t>
      </w:r>
      <w:r w:rsidR="000E4816">
        <w:rPr>
          <w:rFonts w:ascii="Arial Narrow" w:hAnsi="Arial Narrow"/>
          <w:sz w:val="18"/>
        </w:rPr>
        <w:noBreakHyphen/>
      </w:r>
      <w:r w:rsidRPr="005A5BB7">
        <w:rPr>
          <w:rFonts w:ascii="Arial Narrow" w:hAnsi="Arial Narrow"/>
          <w:sz w:val="18"/>
        </w:rPr>
        <w:t>Dose 1 up to efficacy data lock point 30 April 2024, or up to efficacy data lock point 30 September 2022 if no Dose 2 administration.</w:t>
      </w:r>
    </w:p>
    <w:p w14:paraId="2116A4D2" w14:textId="77777777" w:rsidR="00314A07" w:rsidRPr="005A5BB7" w:rsidRDefault="00314A07" w:rsidP="00505BA4"/>
    <w:p w14:paraId="4A387CD1" w14:textId="01C2968F" w:rsidR="041D5A85" w:rsidRPr="005A5BB7" w:rsidRDefault="006E4FEB" w:rsidP="3FF051E5">
      <w:pPr>
        <w:pStyle w:val="3-BodyText"/>
        <w:numPr>
          <w:ilvl w:val="0"/>
          <w:numId w:val="0"/>
        </w:numPr>
        <w:rPr>
          <w:b/>
          <w:bCs/>
          <w:szCs w:val="24"/>
        </w:rPr>
      </w:pPr>
      <w:r w:rsidRPr="005A5BB7">
        <w:rPr>
          <w:b/>
          <w:bCs/>
          <w:szCs w:val="24"/>
        </w:rPr>
        <w:t>I</w:t>
      </w:r>
      <w:r w:rsidR="007E1988" w:rsidRPr="005A5BB7">
        <w:rPr>
          <w:b/>
          <w:bCs/>
          <w:szCs w:val="24"/>
        </w:rPr>
        <w:t>mmunogenicity</w:t>
      </w:r>
      <w:r w:rsidR="041D5A85" w:rsidRPr="005A5BB7">
        <w:rPr>
          <w:b/>
          <w:bCs/>
          <w:szCs w:val="24"/>
        </w:rPr>
        <w:t xml:space="preserve"> </w:t>
      </w:r>
      <w:r w:rsidR="00144FF1" w:rsidRPr="005A5BB7">
        <w:rPr>
          <w:b/>
          <w:bCs/>
          <w:szCs w:val="24"/>
        </w:rPr>
        <w:t>data</w:t>
      </w:r>
      <w:r w:rsidR="041D5A85" w:rsidRPr="005A5BB7">
        <w:rPr>
          <w:b/>
          <w:bCs/>
          <w:szCs w:val="24"/>
        </w:rPr>
        <w:t xml:space="preserve"> provided by </w:t>
      </w:r>
      <w:r w:rsidR="00144FF1" w:rsidRPr="005A5BB7">
        <w:rPr>
          <w:b/>
          <w:bCs/>
          <w:szCs w:val="24"/>
        </w:rPr>
        <w:t xml:space="preserve">the </w:t>
      </w:r>
      <w:r w:rsidR="002D7CD5" w:rsidRPr="005A5BB7">
        <w:rPr>
          <w:b/>
          <w:bCs/>
          <w:szCs w:val="24"/>
        </w:rPr>
        <w:t>res</w:t>
      </w:r>
      <w:r w:rsidR="041D5A85" w:rsidRPr="005A5BB7">
        <w:rPr>
          <w:b/>
          <w:bCs/>
          <w:szCs w:val="24"/>
        </w:rPr>
        <w:t xml:space="preserve">ubmission </w:t>
      </w:r>
    </w:p>
    <w:p w14:paraId="0318CE60" w14:textId="2332308A" w:rsidR="041D5A85" w:rsidRPr="00065632" w:rsidRDefault="041D5A85" w:rsidP="00D555F8">
      <w:pPr>
        <w:pStyle w:val="3-BodyText"/>
      </w:pPr>
      <w:r w:rsidRPr="005A5BB7">
        <w:t>Supportive evidence from immunogenicity study RSV OA=ADJ</w:t>
      </w:r>
      <w:r w:rsidR="000E4816">
        <w:noBreakHyphen/>
      </w:r>
      <w:r w:rsidRPr="005A5BB7">
        <w:t>004 showed an increase in RSV A and B neutralizing titres, measured as the geometric mean titres (GMT), following Dose 1 (initial vaccination). The mean GMT decreased by 6 months and continued to decrease, albeit less markedly by 12 months post vaccination. Beyond 12 months</w:t>
      </w:r>
      <w:r w:rsidR="0047240F" w:rsidRPr="005A5BB7">
        <w:t>,</w:t>
      </w:r>
      <w:r w:rsidRPr="005A5BB7">
        <w:t xml:space="preserve"> neutralising titres continue to decline at an apparent</w:t>
      </w:r>
      <w:r w:rsidR="005E6041" w:rsidRPr="005A5BB7">
        <w:t>ly</w:t>
      </w:r>
      <w:r w:rsidRPr="005A5BB7">
        <w:t xml:space="preserve"> slower rate from approximately Month 12, remaining above baseline levels at Month 36. A decline in both RSV</w:t>
      </w:r>
      <w:r w:rsidR="000E4816">
        <w:noBreakHyphen/>
      </w:r>
      <w:r w:rsidRPr="005A5BB7">
        <w:t>A and RSV</w:t>
      </w:r>
      <w:r w:rsidR="000E4816">
        <w:noBreakHyphen/>
      </w:r>
      <w:r w:rsidRPr="005A5BB7">
        <w:t xml:space="preserve">B neutralising titres was observed between Month 30 and Month </w:t>
      </w:r>
      <w:r w:rsidRPr="00BC4115">
        <w:t xml:space="preserve">36.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905D2F" w:rsidRPr="00065632">
        <w:t xml:space="preserve"> (</w:t>
      </w:r>
      <w:r w:rsidR="00905D2F" w:rsidRPr="00065632">
        <w:fldChar w:fldCharType="begin"/>
      </w:r>
      <w:r w:rsidR="00905D2F" w:rsidRPr="00065632">
        <w:instrText xml:space="preserve"> REF _Ref219369809 \h  \* MERGEFORMAT </w:instrText>
      </w:r>
      <w:r w:rsidR="00905D2F" w:rsidRPr="00065632">
        <w:fldChar w:fldCharType="separate"/>
      </w:r>
      <w:r w:rsidR="0043658C" w:rsidRPr="00065632">
        <w:t>Table 10</w:t>
      </w:r>
      <w:r w:rsidR="00905D2F" w:rsidRPr="00065632">
        <w:fldChar w:fldCharType="end"/>
      </w:r>
      <w:r w:rsidR="00905D2F" w:rsidRPr="00065632">
        <w:t>)</w:t>
      </w:r>
      <w:r w:rsidR="00DB2C4D" w:rsidRPr="00065632">
        <w:t xml:space="preserve">. </w:t>
      </w:r>
    </w:p>
    <w:p w14:paraId="2C67D6DB" w14:textId="6ACA33A3" w:rsidR="00BE3D99" w:rsidRPr="005A5BB7" w:rsidRDefault="006B4077" w:rsidP="0090073B">
      <w:pPr>
        <w:pStyle w:val="3-BodyText"/>
      </w:pPr>
      <w:r w:rsidRPr="005A2510">
        <w:lastRenderedPageBreak/>
        <w:t>T</w:t>
      </w:r>
      <w:r w:rsidR="041D5A85" w:rsidRPr="005A2510">
        <w:t xml:space="preserve">he </w:t>
      </w:r>
      <w:r w:rsidR="002D7CD5" w:rsidRPr="005A2510">
        <w:t>re</w:t>
      </w:r>
      <w:r w:rsidR="041D5A85" w:rsidRPr="005A2510">
        <w:t>submission argued that the updated evidence from RSV OA=ADJ</w:t>
      </w:r>
      <w:r w:rsidR="000E4816" w:rsidRPr="005A2510">
        <w:noBreakHyphen/>
      </w:r>
      <w:r w:rsidR="041D5A85" w:rsidRPr="005A2510">
        <w:t>004 demonstrated persistence of humoral immune responses against RSV</w:t>
      </w:r>
      <w:r w:rsidR="000E4816" w:rsidRPr="005A2510">
        <w:noBreakHyphen/>
      </w:r>
      <w:r w:rsidR="041D5A85" w:rsidRPr="005A2510">
        <w:t>A and RSV</w:t>
      </w:r>
      <w:r w:rsidR="000E4816" w:rsidRPr="005A2510">
        <w:noBreakHyphen/>
      </w:r>
      <w:r w:rsidR="041D5A85" w:rsidRPr="005A2510">
        <w:t xml:space="preserve">B, and that assuming no residual protection beyond the available </w:t>
      </w:r>
      <w:r w:rsidR="00F92083" w:rsidRPr="005A2510">
        <w:t>VE</w:t>
      </w:r>
      <w:r w:rsidR="041D5A85" w:rsidRPr="005A2510">
        <w:t xml:space="preserve"> evidence was ‘biologically implausible’</w:t>
      </w:r>
      <w:r w:rsidR="00196803" w:rsidRPr="005A2510">
        <w:t>.</w:t>
      </w:r>
      <w:r w:rsidR="041D5A85" w:rsidRPr="005A2510">
        <w:t xml:space="preserve"> </w:t>
      </w:r>
      <w:bookmarkStart w:id="49" w:name="_Hlk222233059"/>
      <w:r w:rsidR="002533A6" w:rsidRPr="005A2510">
        <w:t>However</w:t>
      </w:r>
      <w:r w:rsidR="002533A6" w:rsidRPr="005A5BB7">
        <w:t xml:space="preserve">, </w:t>
      </w:r>
      <w:r w:rsidR="041D5A85" w:rsidRPr="005A5BB7">
        <w:t>ATAGI</w:t>
      </w:r>
      <w:r w:rsidR="00DA1339">
        <w:t xml:space="preserve"> </w:t>
      </w:r>
      <w:r w:rsidR="041D5A85" w:rsidRPr="005A5BB7">
        <w:t>noted that uncertainty remains regarding clinical protection beyond three years due to a lack of efficacy data or a validated immunological correlate of protection</w:t>
      </w:r>
      <w:r w:rsidR="00EE6449" w:rsidRPr="005A5BB7">
        <w:t xml:space="preserve"> (</w:t>
      </w:r>
      <w:r w:rsidR="001570E6" w:rsidRPr="005A5BB7">
        <w:t>ATAGI Pre</w:t>
      </w:r>
      <w:r w:rsidR="000E4816">
        <w:noBreakHyphen/>
      </w:r>
      <w:r w:rsidR="001570E6" w:rsidRPr="005A5BB7">
        <w:t xml:space="preserve">Submission Advice, </w:t>
      </w:r>
      <w:r w:rsidR="00ED3ACA" w:rsidRPr="005A5BB7">
        <w:t>October 2025</w:t>
      </w:r>
      <w:r w:rsidR="009F3836" w:rsidRPr="005A5BB7">
        <w:t>,</w:t>
      </w:r>
      <w:r w:rsidR="001570E6" w:rsidRPr="005A5BB7">
        <w:t>)</w:t>
      </w:r>
      <w:r w:rsidR="041D5A85" w:rsidRPr="005A5BB7">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520994" w:rsidRPr="00CA00E3">
        <w:t xml:space="preserve"> </w:t>
      </w:r>
      <w:r w:rsidR="00053916" w:rsidRPr="00CA00E3">
        <w:t xml:space="preserve">ATAGI’s recommendations remains unchanged that protection for at least 3 seasons in adults aged ≥60 years (based on secondary endpoints) can be assumed until </w:t>
      </w:r>
      <w:r w:rsidR="00AC7B77" w:rsidRPr="00CA00E3">
        <w:t>confirmatory</w:t>
      </w:r>
      <w:r w:rsidR="00053916" w:rsidRPr="00CA00E3">
        <w:t xml:space="preserve"> </w:t>
      </w:r>
      <w:r w:rsidR="00AC7B77" w:rsidRPr="00CA00E3">
        <w:t>efficacy or effectiveness data is presented to support longer protection beyond 3 years</w:t>
      </w:r>
      <w:r w:rsidR="009D54E9" w:rsidRPr="00CA00E3">
        <w:t xml:space="preserve"> (ATAGI Pre</w:t>
      </w:r>
      <w:r w:rsidR="000E4816" w:rsidRPr="00CA00E3">
        <w:noBreakHyphen/>
      </w:r>
      <w:r w:rsidR="009D54E9" w:rsidRPr="00CA00E3">
        <w:t>Submission Advice, October 2025).</w:t>
      </w:r>
      <w:r w:rsidR="00A30B6E" w:rsidRPr="00CA00E3">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905D2F" w:rsidRPr="00CA00E3">
        <w:t xml:space="preserve"> (</w:t>
      </w:r>
      <w:r w:rsidR="00905D2F" w:rsidRPr="00CA00E3">
        <w:fldChar w:fldCharType="begin"/>
      </w:r>
      <w:r w:rsidR="00905D2F" w:rsidRPr="00CA00E3">
        <w:instrText xml:space="preserve"> REF _Ref219369809 \h  \* MERGEFORMAT </w:instrText>
      </w:r>
      <w:r w:rsidR="00905D2F" w:rsidRPr="00CA00E3">
        <w:fldChar w:fldCharType="separate"/>
      </w:r>
      <w:r w:rsidR="0043658C" w:rsidRPr="00CA00E3">
        <w:t>Table 10</w:t>
      </w:r>
      <w:r w:rsidR="00905D2F" w:rsidRPr="00CA00E3">
        <w:fldChar w:fldCharType="end"/>
      </w:r>
      <w:r w:rsidR="00905D2F" w:rsidRPr="00CA00E3">
        <w:t>)</w:t>
      </w:r>
      <w:r w:rsidR="00557C05" w:rsidRPr="00CA00E3">
        <w:t>.</w:t>
      </w:r>
      <w:r w:rsidR="00DA1339" w:rsidRPr="00CA00E3">
        <w:t xml:space="preserve"> </w:t>
      </w:r>
      <w:r w:rsidR="00A73731" w:rsidRPr="00CA00E3">
        <w:rPr>
          <w:iCs/>
        </w:rPr>
        <w:t>The PSCR provided a copy</w:t>
      </w:r>
      <w:r w:rsidR="00A73731" w:rsidRPr="005A5BB7">
        <w:rPr>
          <w:iCs/>
        </w:rPr>
        <w:t xml:space="preserve"> of a publication </w:t>
      </w:r>
      <w:r w:rsidR="00815239" w:rsidRPr="005A5BB7">
        <w:rPr>
          <w:iCs/>
        </w:rPr>
        <w:t>discussing correlates of protection (</w:t>
      </w:r>
      <w:r w:rsidR="00A73731" w:rsidRPr="005A5BB7">
        <w:rPr>
          <w:iCs/>
        </w:rPr>
        <w:t>Kashihara et al 2026)</w:t>
      </w:r>
      <w:r w:rsidR="00815239" w:rsidRPr="005A5BB7">
        <w:rPr>
          <w:iCs/>
        </w:rPr>
        <w:t>.</w:t>
      </w:r>
      <w:r w:rsidR="00DA1339">
        <w:rPr>
          <w:iCs/>
        </w:rPr>
        <w:t xml:space="preserve"> </w:t>
      </w:r>
      <w:r w:rsidR="00815239" w:rsidRPr="005A5BB7">
        <w:rPr>
          <w:iCs/>
        </w:rPr>
        <w:t>The study provides preliminary evidence for immune correlates of protection against RSV infection, and does not provide a threshold for assessment of vaccines.</w:t>
      </w:r>
    </w:p>
    <w:p w14:paraId="12003E1F" w14:textId="479EC8FE" w:rsidR="00CC476F" w:rsidRPr="00180425" w:rsidRDefault="00CC476F" w:rsidP="002E438F">
      <w:pPr>
        <w:pStyle w:val="Caption"/>
      </w:pPr>
      <w:bookmarkStart w:id="50" w:name="_Ref219369809"/>
      <w:bookmarkEnd w:id="49"/>
      <w:r w:rsidRPr="00180425">
        <w:t xml:space="preserve">Table </w:t>
      </w:r>
      <w:fldSimple w:instr=" SEQ Table \* ARABIC ">
        <w:r w:rsidR="0043658C" w:rsidRPr="00180425">
          <w:rPr>
            <w:noProof/>
          </w:rPr>
          <w:t>10</w:t>
        </w:r>
      </w:fldSimple>
      <w:bookmarkEnd w:id="50"/>
      <w:r w:rsidRPr="00180425">
        <w:t>: RSV</w:t>
      </w:r>
      <w:r w:rsidR="000E4816" w:rsidRPr="00180425">
        <w:noBreakHyphen/>
      </w:r>
      <w:r w:rsidRPr="00180425">
        <w:t>A and RSV</w:t>
      </w:r>
      <w:r w:rsidR="000E4816" w:rsidRPr="00180425">
        <w:noBreakHyphen/>
      </w:r>
      <w:r w:rsidRPr="00180425">
        <w:t xml:space="preserve">B neutralising titres up to </w:t>
      </w:r>
      <w:r w:rsidR="00F15B97" w:rsidRPr="00F15B97">
        <w:rPr>
          <w:sz w:val="2"/>
          <w:highlight w:val="black"/>
        </w:rPr>
        <w:t>Redacted content</w:t>
      </w:r>
      <w:r w:rsidR="00E75DE1" w:rsidRPr="00E75DE1">
        <w:t xml:space="preserve"> </w:t>
      </w:r>
      <w:r w:rsidR="00F15B97" w:rsidRPr="00F15B97">
        <w:rPr>
          <w:sz w:val="2"/>
          <w:highlight w:val="black"/>
        </w:rPr>
        <w:t>redacted content</w:t>
      </w:r>
      <w:r w:rsidRPr="00180425">
        <w:t xml:space="preserve"> following vaccination with single</w:t>
      </w:r>
      <w:r w:rsidR="000E4816" w:rsidRPr="00180425">
        <w:noBreakHyphen/>
      </w:r>
      <w:r w:rsidRPr="00180425">
        <w:t>dose RSVPreF3 OA (GMT (ED60) with 95% CI; PPS</w:t>
      </w:r>
      <w:r w:rsidR="00CC6D2A" w:rsidRPr="00180425">
        <w:t xml:space="preserve">, </w:t>
      </w:r>
      <w:r w:rsidR="00DF7FAA" w:rsidRPr="00180425">
        <w:t>RSV OA=ADJ</w:t>
      </w:r>
      <w:r w:rsidR="000E4816" w:rsidRPr="00180425">
        <w:noBreakHyphen/>
      </w:r>
      <w:r w:rsidR="00DF7FAA" w:rsidRPr="00180425">
        <w:t>004</w:t>
      </w:r>
      <w:r w:rsidRPr="00180425">
        <w: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10: RSV A and RSV B neutralising titres up to (redacted content) following vaccination with single dose RSVPreF3 OA (GMT (ED60) with 95% CI; PPS, RSV OA=ADJ 004)"/>
      </w:tblPr>
      <w:tblGrid>
        <w:gridCol w:w="2400"/>
        <w:gridCol w:w="840"/>
        <w:gridCol w:w="2865"/>
        <w:gridCol w:w="2865"/>
      </w:tblGrid>
      <w:tr w:rsidR="00BE3D99" w:rsidRPr="00955A27" w14:paraId="7233FC40" w14:textId="77777777" w:rsidTr="007F124A">
        <w:trPr>
          <w:trHeight w:val="300"/>
        </w:trPr>
        <w:tc>
          <w:tcPr>
            <w:tcW w:w="2400" w:type="dxa"/>
            <w:vMerge w:val="restart"/>
            <w:tcMar>
              <w:left w:w="105" w:type="dxa"/>
              <w:right w:w="105" w:type="dxa"/>
            </w:tcMar>
          </w:tcPr>
          <w:p w14:paraId="26AA5E29" w14:textId="77777777" w:rsidR="00BE3D99" w:rsidRPr="00180425" w:rsidRDefault="00BE3D99" w:rsidP="002E438F">
            <w:pPr>
              <w:pStyle w:val="TableText0"/>
              <w:rPr>
                <w:b/>
                <w:bCs w:val="0"/>
              </w:rPr>
            </w:pPr>
            <w:r w:rsidRPr="00180425">
              <w:rPr>
                <w:b/>
                <w:bCs w:val="0"/>
              </w:rPr>
              <w:t>Timepoint</w:t>
            </w:r>
          </w:p>
        </w:tc>
        <w:tc>
          <w:tcPr>
            <w:tcW w:w="840" w:type="dxa"/>
            <w:vMerge w:val="restart"/>
            <w:tcMar>
              <w:left w:w="105" w:type="dxa"/>
              <w:right w:w="105" w:type="dxa"/>
            </w:tcMar>
          </w:tcPr>
          <w:p w14:paraId="70EB131F" w14:textId="77777777" w:rsidR="00BE3D99" w:rsidRPr="00180425" w:rsidRDefault="00BE3D99" w:rsidP="002E438F">
            <w:pPr>
              <w:pStyle w:val="TableText0"/>
              <w:rPr>
                <w:b/>
                <w:bCs w:val="0"/>
              </w:rPr>
            </w:pPr>
            <w:r w:rsidRPr="00180425">
              <w:rPr>
                <w:b/>
                <w:bCs w:val="0"/>
              </w:rPr>
              <w:t>n</w:t>
            </w:r>
          </w:p>
        </w:tc>
        <w:tc>
          <w:tcPr>
            <w:tcW w:w="5730" w:type="dxa"/>
            <w:gridSpan w:val="2"/>
            <w:tcMar>
              <w:left w:w="105" w:type="dxa"/>
              <w:right w:w="105" w:type="dxa"/>
            </w:tcMar>
          </w:tcPr>
          <w:p w14:paraId="0549905D" w14:textId="77777777" w:rsidR="00BE3D99" w:rsidRPr="00180425" w:rsidRDefault="00BE3D99" w:rsidP="002E438F">
            <w:pPr>
              <w:pStyle w:val="TableText0"/>
              <w:rPr>
                <w:b/>
                <w:bCs w:val="0"/>
              </w:rPr>
            </w:pPr>
            <w:r w:rsidRPr="00180425">
              <w:rPr>
                <w:b/>
                <w:bCs w:val="0"/>
              </w:rPr>
              <w:t>Geometric Mean Titre (ED</w:t>
            </w:r>
            <w:r w:rsidRPr="00180425">
              <w:rPr>
                <w:b/>
                <w:bCs w:val="0"/>
                <w:vertAlign w:val="subscript"/>
              </w:rPr>
              <w:t>60</w:t>
            </w:r>
            <w:r w:rsidRPr="00180425">
              <w:rPr>
                <w:b/>
                <w:bCs w:val="0"/>
              </w:rPr>
              <w:t>) (95% CI)</w:t>
            </w:r>
          </w:p>
        </w:tc>
      </w:tr>
      <w:tr w:rsidR="00BE3D99" w:rsidRPr="00955A27" w14:paraId="0F2B5B37" w14:textId="77777777" w:rsidTr="007F124A">
        <w:trPr>
          <w:trHeight w:val="300"/>
        </w:trPr>
        <w:tc>
          <w:tcPr>
            <w:tcW w:w="2400" w:type="dxa"/>
            <w:vMerge/>
            <w:vAlign w:val="center"/>
          </w:tcPr>
          <w:p w14:paraId="4F61137E" w14:textId="77777777" w:rsidR="00BE3D99" w:rsidRPr="00180425" w:rsidRDefault="00BE3D99" w:rsidP="002E438F">
            <w:pPr>
              <w:pStyle w:val="TableText0"/>
              <w:rPr>
                <w:b/>
                <w:bCs w:val="0"/>
              </w:rPr>
            </w:pPr>
          </w:p>
        </w:tc>
        <w:tc>
          <w:tcPr>
            <w:tcW w:w="840" w:type="dxa"/>
            <w:vMerge/>
            <w:vAlign w:val="center"/>
          </w:tcPr>
          <w:p w14:paraId="5A35A682" w14:textId="77777777" w:rsidR="00BE3D99" w:rsidRPr="00180425" w:rsidRDefault="00BE3D99" w:rsidP="002E438F">
            <w:pPr>
              <w:pStyle w:val="TableText0"/>
              <w:rPr>
                <w:b/>
                <w:bCs w:val="0"/>
              </w:rPr>
            </w:pPr>
          </w:p>
        </w:tc>
        <w:tc>
          <w:tcPr>
            <w:tcW w:w="2865" w:type="dxa"/>
            <w:tcMar>
              <w:left w:w="105" w:type="dxa"/>
              <w:right w:w="105" w:type="dxa"/>
            </w:tcMar>
          </w:tcPr>
          <w:p w14:paraId="5741ABFB" w14:textId="25EF1E93" w:rsidR="00BE3D99" w:rsidRPr="00180425" w:rsidRDefault="00BE3D99" w:rsidP="002E438F">
            <w:pPr>
              <w:pStyle w:val="TableText0"/>
              <w:rPr>
                <w:b/>
                <w:bCs w:val="0"/>
              </w:rPr>
            </w:pPr>
            <w:r w:rsidRPr="00180425">
              <w:rPr>
                <w:b/>
                <w:bCs w:val="0"/>
              </w:rPr>
              <w:t>RSV</w:t>
            </w:r>
            <w:r w:rsidR="000E4816" w:rsidRPr="00180425">
              <w:rPr>
                <w:b/>
                <w:bCs w:val="0"/>
              </w:rPr>
              <w:noBreakHyphen/>
            </w:r>
            <w:r w:rsidRPr="00180425">
              <w:rPr>
                <w:b/>
                <w:bCs w:val="0"/>
              </w:rPr>
              <w:t>A Neutralising Titres</w:t>
            </w:r>
          </w:p>
        </w:tc>
        <w:tc>
          <w:tcPr>
            <w:tcW w:w="2865" w:type="dxa"/>
            <w:tcMar>
              <w:left w:w="105" w:type="dxa"/>
              <w:right w:w="105" w:type="dxa"/>
            </w:tcMar>
          </w:tcPr>
          <w:p w14:paraId="0D6FA576" w14:textId="53523DA4" w:rsidR="00BE3D99" w:rsidRPr="00180425" w:rsidRDefault="00BE3D99" w:rsidP="002E438F">
            <w:pPr>
              <w:pStyle w:val="TableText0"/>
              <w:rPr>
                <w:b/>
                <w:bCs w:val="0"/>
              </w:rPr>
            </w:pPr>
            <w:r w:rsidRPr="00180425">
              <w:rPr>
                <w:b/>
                <w:bCs w:val="0"/>
              </w:rPr>
              <w:t>RSV</w:t>
            </w:r>
            <w:r w:rsidR="000E4816" w:rsidRPr="00180425">
              <w:rPr>
                <w:b/>
                <w:bCs w:val="0"/>
              </w:rPr>
              <w:noBreakHyphen/>
            </w:r>
            <w:r w:rsidRPr="00180425">
              <w:rPr>
                <w:b/>
                <w:bCs w:val="0"/>
              </w:rPr>
              <w:t>B Neutralising Titres</w:t>
            </w:r>
          </w:p>
        </w:tc>
      </w:tr>
      <w:tr w:rsidR="00BE3D99" w:rsidRPr="00955A27" w14:paraId="696E2EA6" w14:textId="77777777" w:rsidTr="007F124A">
        <w:trPr>
          <w:trHeight w:val="300"/>
        </w:trPr>
        <w:tc>
          <w:tcPr>
            <w:tcW w:w="2400" w:type="dxa"/>
            <w:shd w:val="clear" w:color="auto" w:fill="B8CCE4" w:themeFill="accent1" w:themeFillTint="66"/>
            <w:tcMar>
              <w:left w:w="105" w:type="dxa"/>
              <w:right w:w="105" w:type="dxa"/>
            </w:tcMar>
          </w:tcPr>
          <w:p w14:paraId="0D56FB11" w14:textId="2CB7AA73" w:rsidR="00BE3D99" w:rsidRPr="00180425" w:rsidRDefault="00BE3D99" w:rsidP="002E438F">
            <w:pPr>
              <w:pStyle w:val="TableText0"/>
            </w:pPr>
            <w:r w:rsidRPr="00180425">
              <w:t>Baseline (pre</w:t>
            </w:r>
            <w:r w:rsidR="000E4816" w:rsidRPr="00180425">
              <w:noBreakHyphen/>
            </w:r>
            <w:r w:rsidRPr="00180425">
              <w:t>vaccination)</w:t>
            </w:r>
          </w:p>
        </w:tc>
        <w:tc>
          <w:tcPr>
            <w:tcW w:w="840" w:type="dxa"/>
            <w:shd w:val="clear" w:color="auto" w:fill="B8CCE4" w:themeFill="accent1" w:themeFillTint="66"/>
            <w:tcMar>
              <w:left w:w="105" w:type="dxa"/>
              <w:right w:w="105" w:type="dxa"/>
            </w:tcMar>
          </w:tcPr>
          <w:p w14:paraId="5CEA637C" w14:textId="77777777" w:rsidR="00BE3D99" w:rsidRPr="00180425" w:rsidRDefault="00BE3D99" w:rsidP="002E438F">
            <w:pPr>
              <w:pStyle w:val="TableText0"/>
            </w:pPr>
            <w:r w:rsidRPr="00180425">
              <w:t>121</w:t>
            </w:r>
          </w:p>
        </w:tc>
        <w:tc>
          <w:tcPr>
            <w:tcW w:w="2865" w:type="dxa"/>
            <w:shd w:val="clear" w:color="auto" w:fill="B8CCE4" w:themeFill="accent1" w:themeFillTint="66"/>
            <w:tcMar>
              <w:left w:w="105" w:type="dxa"/>
              <w:right w:w="105" w:type="dxa"/>
            </w:tcMar>
          </w:tcPr>
          <w:p w14:paraId="26F7819C" w14:textId="77777777" w:rsidR="00BE3D99" w:rsidRPr="00180425" w:rsidRDefault="00BE3D99" w:rsidP="002E438F">
            <w:pPr>
              <w:pStyle w:val="TableText0"/>
            </w:pPr>
            <w:r w:rsidRPr="00180425">
              <w:t>979.8 (827.8, 1159.9)</w:t>
            </w:r>
          </w:p>
        </w:tc>
        <w:tc>
          <w:tcPr>
            <w:tcW w:w="2865" w:type="dxa"/>
            <w:shd w:val="clear" w:color="auto" w:fill="B8CCE4" w:themeFill="accent1" w:themeFillTint="66"/>
            <w:tcMar>
              <w:left w:w="105" w:type="dxa"/>
              <w:right w:w="105" w:type="dxa"/>
            </w:tcMar>
            <w:vAlign w:val="center"/>
          </w:tcPr>
          <w:p w14:paraId="0034174A" w14:textId="77777777" w:rsidR="00BE3D99" w:rsidRPr="00180425" w:rsidRDefault="00BE3D99" w:rsidP="002E438F">
            <w:pPr>
              <w:pStyle w:val="TableText0"/>
            </w:pPr>
            <w:r w:rsidRPr="00180425">
              <w:t>1333.6 (1142.3, 1557.0)</w:t>
            </w:r>
          </w:p>
        </w:tc>
      </w:tr>
      <w:tr w:rsidR="00BE3D99" w:rsidRPr="00955A27" w14:paraId="2710AA82" w14:textId="77777777" w:rsidTr="007F124A">
        <w:trPr>
          <w:trHeight w:val="300"/>
        </w:trPr>
        <w:tc>
          <w:tcPr>
            <w:tcW w:w="2400" w:type="dxa"/>
            <w:shd w:val="clear" w:color="auto" w:fill="B8CCE4" w:themeFill="accent1" w:themeFillTint="66"/>
            <w:tcMar>
              <w:left w:w="105" w:type="dxa"/>
              <w:right w:w="105" w:type="dxa"/>
            </w:tcMar>
          </w:tcPr>
          <w:p w14:paraId="43007C0F" w14:textId="77777777" w:rsidR="00BE3D99" w:rsidRPr="00180425" w:rsidRDefault="00BE3D99" w:rsidP="002E438F">
            <w:pPr>
              <w:pStyle w:val="TableText0"/>
            </w:pPr>
            <w:r w:rsidRPr="00180425">
              <w:t>Day 31</w:t>
            </w:r>
          </w:p>
        </w:tc>
        <w:tc>
          <w:tcPr>
            <w:tcW w:w="840" w:type="dxa"/>
            <w:shd w:val="clear" w:color="auto" w:fill="B8CCE4" w:themeFill="accent1" w:themeFillTint="66"/>
            <w:tcMar>
              <w:left w:w="105" w:type="dxa"/>
              <w:right w:w="105" w:type="dxa"/>
            </w:tcMar>
          </w:tcPr>
          <w:p w14:paraId="04A426F1" w14:textId="77777777" w:rsidR="00BE3D99" w:rsidRPr="00180425" w:rsidRDefault="00BE3D99" w:rsidP="002E438F">
            <w:pPr>
              <w:pStyle w:val="TableText0"/>
            </w:pPr>
            <w:r w:rsidRPr="00180425">
              <w:t>117</w:t>
            </w:r>
          </w:p>
        </w:tc>
        <w:tc>
          <w:tcPr>
            <w:tcW w:w="2865" w:type="dxa"/>
            <w:shd w:val="clear" w:color="auto" w:fill="B8CCE4" w:themeFill="accent1" w:themeFillTint="66"/>
            <w:tcMar>
              <w:left w:w="105" w:type="dxa"/>
              <w:right w:w="105" w:type="dxa"/>
            </w:tcMar>
          </w:tcPr>
          <w:p w14:paraId="287696B6" w14:textId="77777777" w:rsidR="00BE3D99" w:rsidRPr="00180425" w:rsidRDefault="00BE3D99" w:rsidP="002E438F">
            <w:pPr>
              <w:pStyle w:val="TableText0"/>
            </w:pPr>
            <w:r w:rsidRPr="00180425">
              <w:t>10280.2 (8349.6, 12657.2)</w:t>
            </w:r>
          </w:p>
        </w:tc>
        <w:tc>
          <w:tcPr>
            <w:tcW w:w="2865" w:type="dxa"/>
            <w:shd w:val="clear" w:color="auto" w:fill="B8CCE4" w:themeFill="accent1" w:themeFillTint="66"/>
            <w:tcMar>
              <w:left w:w="105" w:type="dxa"/>
              <w:right w:w="105" w:type="dxa"/>
            </w:tcMar>
            <w:vAlign w:val="center"/>
          </w:tcPr>
          <w:p w14:paraId="68808F91" w14:textId="77777777" w:rsidR="00BE3D99" w:rsidRPr="00180425" w:rsidRDefault="00BE3D99" w:rsidP="002E438F">
            <w:pPr>
              <w:pStyle w:val="TableText0"/>
            </w:pPr>
            <w:r w:rsidRPr="00180425">
              <w:t>9396.6 (7903.6, 11171.6)</w:t>
            </w:r>
          </w:p>
        </w:tc>
      </w:tr>
      <w:tr w:rsidR="00BE3D99" w:rsidRPr="00955A27" w14:paraId="5D726784" w14:textId="77777777" w:rsidTr="007F124A">
        <w:trPr>
          <w:trHeight w:val="300"/>
        </w:trPr>
        <w:tc>
          <w:tcPr>
            <w:tcW w:w="2400" w:type="dxa"/>
            <w:shd w:val="clear" w:color="auto" w:fill="B8CCE4" w:themeFill="accent1" w:themeFillTint="66"/>
            <w:tcMar>
              <w:left w:w="105" w:type="dxa"/>
              <w:right w:w="105" w:type="dxa"/>
            </w:tcMar>
          </w:tcPr>
          <w:p w14:paraId="456A083B" w14:textId="77777777" w:rsidR="00BE3D99" w:rsidRPr="00BC7182" w:rsidRDefault="00BE3D99" w:rsidP="002E438F">
            <w:pPr>
              <w:pStyle w:val="TableText0"/>
            </w:pPr>
            <w:r w:rsidRPr="00BC7182">
              <w:t>Month 6</w:t>
            </w:r>
          </w:p>
        </w:tc>
        <w:tc>
          <w:tcPr>
            <w:tcW w:w="840" w:type="dxa"/>
            <w:shd w:val="clear" w:color="auto" w:fill="B8CCE4" w:themeFill="accent1" w:themeFillTint="66"/>
            <w:tcMar>
              <w:left w:w="105" w:type="dxa"/>
              <w:right w:w="105" w:type="dxa"/>
            </w:tcMar>
          </w:tcPr>
          <w:p w14:paraId="0FCA9275" w14:textId="77777777" w:rsidR="00BE3D99" w:rsidRPr="00BC7182" w:rsidRDefault="00BE3D99" w:rsidP="002E438F">
            <w:pPr>
              <w:pStyle w:val="TableText0"/>
            </w:pPr>
            <w:r w:rsidRPr="00BC7182">
              <w:t>119</w:t>
            </w:r>
          </w:p>
        </w:tc>
        <w:tc>
          <w:tcPr>
            <w:tcW w:w="2865" w:type="dxa"/>
            <w:shd w:val="clear" w:color="auto" w:fill="B8CCE4" w:themeFill="accent1" w:themeFillTint="66"/>
            <w:tcMar>
              <w:left w:w="105" w:type="dxa"/>
              <w:right w:w="105" w:type="dxa"/>
            </w:tcMar>
            <w:vAlign w:val="center"/>
          </w:tcPr>
          <w:p w14:paraId="69614FDE" w14:textId="77777777" w:rsidR="00BE3D99" w:rsidRPr="00BC7182" w:rsidRDefault="00BE3D99" w:rsidP="002E438F">
            <w:pPr>
              <w:pStyle w:val="TableText0"/>
            </w:pPr>
            <w:r w:rsidRPr="00BC7182">
              <w:t>4211.4 (3513.6, 5047.7)</w:t>
            </w:r>
          </w:p>
        </w:tc>
        <w:tc>
          <w:tcPr>
            <w:tcW w:w="2865" w:type="dxa"/>
            <w:shd w:val="clear" w:color="auto" w:fill="B8CCE4" w:themeFill="accent1" w:themeFillTint="66"/>
            <w:tcMar>
              <w:left w:w="105" w:type="dxa"/>
              <w:right w:w="105" w:type="dxa"/>
            </w:tcMar>
            <w:vAlign w:val="center"/>
          </w:tcPr>
          <w:p w14:paraId="5541EEC9" w14:textId="77777777" w:rsidR="00BE3D99" w:rsidRPr="00BC7182" w:rsidRDefault="00BE3D99" w:rsidP="002E438F">
            <w:pPr>
              <w:pStyle w:val="TableText0"/>
            </w:pPr>
            <w:r w:rsidRPr="00BC7182">
              <w:t>4682.4 (3958.9, 5538.1)</w:t>
            </w:r>
          </w:p>
        </w:tc>
      </w:tr>
      <w:tr w:rsidR="00BE3D99" w:rsidRPr="00955A27" w14:paraId="681E49A9" w14:textId="77777777" w:rsidTr="007F124A">
        <w:trPr>
          <w:trHeight w:val="300"/>
        </w:trPr>
        <w:tc>
          <w:tcPr>
            <w:tcW w:w="2400" w:type="dxa"/>
            <w:shd w:val="clear" w:color="auto" w:fill="B8CCE4" w:themeFill="accent1" w:themeFillTint="66"/>
            <w:tcMar>
              <w:left w:w="105" w:type="dxa"/>
              <w:right w:w="105" w:type="dxa"/>
            </w:tcMar>
          </w:tcPr>
          <w:p w14:paraId="08FA0C45" w14:textId="77777777" w:rsidR="00BE3D99" w:rsidRPr="00BC7182" w:rsidRDefault="00BE3D99" w:rsidP="002E438F">
            <w:pPr>
              <w:pStyle w:val="TableText0"/>
            </w:pPr>
            <w:r w:rsidRPr="00BC7182">
              <w:t>Month 12</w:t>
            </w:r>
          </w:p>
        </w:tc>
        <w:tc>
          <w:tcPr>
            <w:tcW w:w="840" w:type="dxa"/>
            <w:shd w:val="clear" w:color="auto" w:fill="B8CCE4" w:themeFill="accent1" w:themeFillTint="66"/>
            <w:tcMar>
              <w:left w:w="105" w:type="dxa"/>
              <w:right w:w="105" w:type="dxa"/>
            </w:tcMar>
          </w:tcPr>
          <w:p w14:paraId="7BB57A52" w14:textId="77777777" w:rsidR="00BE3D99" w:rsidRPr="00BC7182" w:rsidRDefault="00BE3D99" w:rsidP="002E438F">
            <w:pPr>
              <w:pStyle w:val="TableText0"/>
            </w:pPr>
            <w:r w:rsidRPr="00BC7182">
              <w:t>116</w:t>
            </w:r>
          </w:p>
        </w:tc>
        <w:tc>
          <w:tcPr>
            <w:tcW w:w="2865" w:type="dxa"/>
            <w:shd w:val="clear" w:color="auto" w:fill="B8CCE4" w:themeFill="accent1" w:themeFillTint="66"/>
            <w:tcMar>
              <w:left w:w="105" w:type="dxa"/>
              <w:right w:w="105" w:type="dxa"/>
            </w:tcMar>
            <w:vAlign w:val="center"/>
          </w:tcPr>
          <w:p w14:paraId="7C229206" w14:textId="77777777" w:rsidR="00BE3D99" w:rsidRPr="00BC7182" w:rsidRDefault="00BE3D99" w:rsidP="002E438F">
            <w:pPr>
              <w:pStyle w:val="TableText0"/>
            </w:pPr>
            <w:r w:rsidRPr="00BC7182">
              <w:t>2943.0 (2420.8, 3577.9)</w:t>
            </w:r>
          </w:p>
        </w:tc>
        <w:tc>
          <w:tcPr>
            <w:tcW w:w="2865" w:type="dxa"/>
            <w:shd w:val="clear" w:color="auto" w:fill="B8CCE4" w:themeFill="accent1" w:themeFillTint="66"/>
            <w:tcMar>
              <w:left w:w="105" w:type="dxa"/>
              <w:right w:w="105" w:type="dxa"/>
            </w:tcMar>
            <w:vAlign w:val="center"/>
          </w:tcPr>
          <w:p w14:paraId="5548E24B" w14:textId="77777777" w:rsidR="00BE3D99" w:rsidRPr="00BC7182" w:rsidRDefault="00BE3D99" w:rsidP="002E438F">
            <w:pPr>
              <w:pStyle w:val="TableText0"/>
            </w:pPr>
            <w:r w:rsidRPr="00BC7182">
              <w:t>2997.0 (2498.5, 3594.9)</w:t>
            </w:r>
          </w:p>
        </w:tc>
      </w:tr>
      <w:tr w:rsidR="00BE3D99" w:rsidRPr="00955A27" w14:paraId="119BB194" w14:textId="77777777" w:rsidTr="007F124A">
        <w:trPr>
          <w:trHeight w:val="300"/>
        </w:trPr>
        <w:tc>
          <w:tcPr>
            <w:tcW w:w="2400" w:type="dxa"/>
            <w:shd w:val="clear" w:color="auto" w:fill="B8CCE4" w:themeFill="accent1" w:themeFillTint="66"/>
            <w:tcMar>
              <w:left w:w="105" w:type="dxa"/>
              <w:right w:w="105" w:type="dxa"/>
            </w:tcMar>
          </w:tcPr>
          <w:p w14:paraId="6CFCC03E" w14:textId="77777777" w:rsidR="00BE3D99" w:rsidRPr="00BC7182" w:rsidRDefault="00BE3D99" w:rsidP="002E438F">
            <w:pPr>
              <w:pStyle w:val="TableText0"/>
            </w:pPr>
            <w:r w:rsidRPr="00BC7182">
              <w:t>Month 18</w:t>
            </w:r>
          </w:p>
        </w:tc>
        <w:tc>
          <w:tcPr>
            <w:tcW w:w="840" w:type="dxa"/>
            <w:shd w:val="clear" w:color="auto" w:fill="B8CCE4" w:themeFill="accent1" w:themeFillTint="66"/>
            <w:tcMar>
              <w:left w:w="105" w:type="dxa"/>
              <w:right w:w="105" w:type="dxa"/>
            </w:tcMar>
          </w:tcPr>
          <w:p w14:paraId="37680149" w14:textId="77777777" w:rsidR="00BE3D99" w:rsidRPr="00BC7182" w:rsidRDefault="00BE3D99" w:rsidP="002E438F">
            <w:pPr>
              <w:pStyle w:val="TableText0"/>
            </w:pPr>
            <w:r w:rsidRPr="00BC7182">
              <w:t>117</w:t>
            </w:r>
          </w:p>
        </w:tc>
        <w:tc>
          <w:tcPr>
            <w:tcW w:w="2865" w:type="dxa"/>
            <w:shd w:val="clear" w:color="auto" w:fill="B8CCE4" w:themeFill="accent1" w:themeFillTint="66"/>
            <w:tcMar>
              <w:left w:w="105" w:type="dxa"/>
              <w:right w:w="105" w:type="dxa"/>
            </w:tcMar>
            <w:vAlign w:val="center"/>
          </w:tcPr>
          <w:p w14:paraId="2C06239D" w14:textId="77777777" w:rsidR="00BE3D99" w:rsidRPr="00BC7182" w:rsidRDefault="00BE3D99" w:rsidP="002E438F">
            <w:pPr>
              <w:pStyle w:val="TableText0"/>
            </w:pPr>
            <w:r w:rsidRPr="00BC7182">
              <w:t>2423.1 (1989.4, 2951.3)</w:t>
            </w:r>
          </w:p>
        </w:tc>
        <w:tc>
          <w:tcPr>
            <w:tcW w:w="2865" w:type="dxa"/>
            <w:shd w:val="clear" w:color="auto" w:fill="B8CCE4" w:themeFill="accent1" w:themeFillTint="66"/>
            <w:tcMar>
              <w:left w:w="105" w:type="dxa"/>
              <w:right w:w="105" w:type="dxa"/>
            </w:tcMar>
            <w:vAlign w:val="center"/>
          </w:tcPr>
          <w:p w14:paraId="02910C90" w14:textId="77777777" w:rsidR="00BE3D99" w:rsidRPr="00BC7182" w:rsidRDefault="00BE3D99" w:rsidP="002E438F">
            <w:pPr>
              <w:pStyle w:val="TableText0"/>
            </w:pPr>
            <w:r w:rsidRPr="00BC7182">
              <w:t>2705.4 (2291.5, 3194.0)</w:t>
            </w:r>
          </w:p>
        </w:tc>
      </w:tr>
      <w:tr w:rsidR="00BE3D99" w:rsidRPr="00955A27" w14:paraId="120E13EC" w14:textId="77777777" w:rsidTr="007F124A">
        <w:trPr>
          <w:trHeight w:val="300"/>
        </w:trPr>
        <w:tc>
          <w:tcPr>
            <w:tcW w:w="2400" w:type="dxa"/>
            <w:shd w:val="clear" w:color="auto" w:fill="B8CCE4" w:themeFill="accent1" w:themeFillTint="66"/>
            <w:tcMar>
              <w:left w:w="105" w:type="dxa"/>
              <w:right w:w="105" w:type="dxa"/>
            </w:tcMar>
          </w:tcPr>
          <w:p w14:paraId="1CF83643" w14:textId="77777777" w:rsidR="00BE3D99" w:rsidRPr="00BC7182" w:rsidRDefault="00BE3D99" w:rsidP="002E438F">
            <w:pPr>
              <w:pStyle w:val="TableText0"/>
            </w:pPr>
            <w:r w:rsidRPr="00BC7182">
              <w:t>Month 24</w:t>
            </w:r>
          </w:p>
        </w:tc>
        <w:tc>
          <w:tcPr>
            <w:tcW w:w="840" w:type="dxa"/>
            <w:shd w:val="clear" w:color="auto" w:fill="B8CCE4" w:themeFill="accent1" w:themeFillTint="66"/>
            <w:tcMar>
              <w:left w:w="105" w:type="dxa"/>
              <w:right w:w="105" w:type="dxa"/>
            </w:tcMar>
          </w:tcPr>
          <w:p w14:paraId="79467B5B" w14:textId="77777777" w:rsidR="00BE3D99" w:rsidRPr="00BC7182" w:rsidRDefault="00BE3D99" w:rsidP="002E438F">
            <w:pPr>
              <w:pStyle w:val="TableText0"/>
              <w:rPr>
                <w:sz w:val="16"/>
                <w:szCs w:val="16"/>
              </w:rPr>
            </w:pPr>
            <w:r w:rsidRPr="00BC7182">
              <w:t>115</w:t>
            </w:r>
            <w:r w:rsidRPr="00BC7182">
              <w:rPr>
                <w:vertAlign w:val="superscript"/>
              </w:rPr>
              <w:t>a</w:t>
            </w:r>
          </w:p>
        </w:tc>
        <w:tc>
          <w:tcPr>
            <w:tcW w:w="2865" w:type="dxa"/>
            <w:shd w:val="clear" w:color="auto" w:fill="B8CCE4" w:themeFill="accent1" w:themeFillTint="66"/>
            <w:tcMar>
              <w:left w:w="105" w:type="dxa"/>
              <w:right w:w="105" w:type="dxa"/>
            </w:tcMar>
            <w:vAlign w:val="center"/>
          </w:tcPr>
          <w:p w14:paraId="1FF75C27" w14:textId="77777777" w:rsidR="00BE3D99" w:rsidRPr="00BC7182" w:rsidRDefault="00BE3D99" w:rsidP="002E438F">
            <w:pPr>
              <w:pStyle w:val="TableText0"/>
            </w:pPr>
            <w:r w:rsidRPr="00BC7182">
              <w:t>2400.6 (1951.9, 2952.6)</w:t>
            </w:r>
          </w:p>
        </w:tc>
        <w:tc>
          <w:tcPr>
            <w:tcW w:w="2865" w:type="dxa"/>
            <w:shd w:val="clear" w:color="auto" w:fill="B8CCE4" w:themeFill="accent1" w:themeFillTint="66"/>
            <w:tcMar>
              <w:left w:w="105" w:type="dxa"/>
              <w:right w:w="105" w:type="dxa"/>
            </w:tcMar>
            <w:vAlign w:val="center"/>
          </w:tcPr>
          <w:p w14:paraId="6F971503" w14:textId="77777777" w:rsidR="00BE3D99" w:rsidRPr="00BC7182" w:rsidRDefault="00BE3D99" w:rsidP="002E438F">
            <w:pPr>
              <w:pStyle w:val="TableText0"/>
            </w:pPr>
            <w:r w:rsidRPr="00BC7182">
              <w:t>2353.2 (1953.3, 2835.1)</w:t>
            </w:r>
          </w:p>
        </w:tc>
      </w:tr>
      <w:tr w:rsidR="00BE3D99" w:rsidRPr="00955A27" w14:paraId="648832A4" w14:textId="77777777" w:rsidTr="007F124A">
        <w:trPr>
          <w:trHeight w:val="300"/>
        </w:trPr>
        <w:tc>
          <w:tcPr>
            <w:tcW w:w="2400" w:type="dxa"/>
            <w:shd w:val="clear" w:color="auto" w:fill="B8CCE4" w:themeFill="accent1" w:themeFillTint="66"/>
            <w:tcMar>
              <w:left w:w="105" w:type="dxa"/>
              <w:right w:w="105" w:type="dxa"/>
            </w:tcMar>
          </w:tcPr>
          <w:p w14:paraId="411EF3B7" w14:textId="77777777" w:rsidR="00BE3D99" w:rsidRPr="00BC7182" w:rsidRDefault="00BE3D99" w:rsidP="002E438F">
            <w:pPr>
              <w:pStyle w:val="TableText0"/>
            </w:pPr>
            <w:r w:rsidRPr="00BC7182">
              <w:t>Month 30</w:t>
            </w:r>
          </w:p>
        </w:tc>
        <w:tc>
          <w:tcPr>
            <w:tcW w:w="840" w:type="dxa"/>
            <w:shd w:val="clear" w:color="auto" w:fill="B8CCE4" w:themeFill="accent1" w:themeFillTint="66"/>
            <w:tcMar>
              <w:left w:w="105" w:type="dxa"/>
              <w:right w:w="105" w:type="dxa"/>
            </w:tcMar>
          </w:tcPr>
          <w:p w14:paraId="5B78890C" w14:textId="77777777" w:rsidR="00BE3D99" w:rsidRPr="00BC7182" w:rsidRDefault="00BE3D99" w:rsidP="002E438F">
            <w:pPr>
              <w:pStyle w:val="TableText0"/>
            </w:pPr>
            <w:r w:rsidRPr="00BC7182">
              <w:t>114</w:t>
            </w:r>
          </w:p>
        </w:tc>
        <w:tc>
          <w:tcPr>
            <w:tcW w:w="2865" w:type="dxa"/>
            <w:shd w:val="clear" w:color="auto" w:fill="B8CCE4" w:themeFill="accent1" w:themeFillTint="66"/>
            <w:tcMar>
              <w:left w:w="105" w:type="dxa"/>
              <w:right w:w="105" w:type="dxa"/>
            </w:tcMar>
            <w:vAlign w:val="center"/>
          </w:tcPr>
          <w:p w14:paraId="3A2E7BD5" w14:textId="77777777" w:rsidR="00BE3D99" w:rsidRPr="00BC7182" w:rsidRDefault="00BE3D99" w:rsidP="002E438F">
            <w:pPr>
              <w:pStyle w:val="TableText0"/>
            </w:pPr>
            <w:r w:rsidRPr="00BC7182">
              <w:t>2407.8 (1988.7, 2915.2)</w:t>
            </w:r>
          </w:p>
        </w:tc>
        <w:tc>
          <w:tcPr>
            <w:tcW w:w="2865" w:type="dxa"/>
            <w:shd w:val="clear" w:color="auto" w:fill="B8CCE4" w:themeFill="accent1" w:themeFillTint="66"/>
            <w:tcMar>
              <w:left w:w="105" w:type="dxa"/>
              <w:right w:w="105" w:type="dxa"/>
            </w:tcMar>
            <w:vAlign w:val="center"/>
          </w:tcPr>
          <w:p w14:paraId="2451787E" w14:textId="77777777" w:rsidR="00BE3D99" w:rsidRPr="00BC7182" w:rsidRDefault="00BE3D99" w:rsidP="002E438F">
            <w:pPr>
              <w:pStyle w:val="TableText0"/>
            </w:pPr>
            <w:r w:rsidRPr="00BC7182">
              <w:t>2418.2 (2006.2, 2914.8)</w:t>
            </w:r>
          </w:p>
        </w:tc>
      </w:tr>
      <w:tr w:rsidR="00BE3D99" w:rsidRPr="00955A27" w14:paraId="4EEBAA85" w14:textId="77777777" w:rsidTr="007F124A">
        <w:trPr>
          <w:trHeight w:val="300"/>
        </w:trPr>
        <w:tc>
          <w:tcPr>
            <w:tcW w:w="2400" w:type="dxa"/>
            <w:shd w:val="clear" w:color="auto" w:fill="B8CCE4" w:themeFill="accent1" w:themeFillTint="66"/>
            <w:tcMar>
              <w:left w:w="105" w:type="dxa"/>
              <w:right w:w="105" w:type="dxa"/>
            </w:tcMar>
          </w:tcPr>
          <w:p w14:paraId="580BB89C" w14:textId="77777777" w:rsidR="00BE3D99" w:rsidRPr="00BC7182" w:rsidRDefault="00BE3D99" w:rsidP="002E438F">
            <w:pPr>
              <w:pStyle w:val="TableText0"/>
            </w:pPr>
            <w:r w:rsidRPr="00BC7182">
              <w:t>Month 36</w:t>
            </w:r>
          </w:p>
        </w:tc>
        <w:tc>
          <w:tcPr>
            <w:tcW w:w="840" w:type="dxa"/>
            <w:shd w:val="clear" w:color="auto" w:fill="B8CCE4" w:themeFill="accent1" w:themeFillTint="66"/>
            <w:tcMar>
              <w:left w:w="105" w:type="dxa"/>
              <w:right w:w="105" w:type="dxa"/>
            </w:tcMar>
          </w:tcPr>
          <w:p w14:paraId="54B61C40" w14:textId="77777777" w:rsidR="00BE3D99" w:rsidRPr="00BC7182" w:rsidRDefault="00BE3D99" w:rsidP="002E438F">
            <w:pPr>
              <w:pStyle w:val="TableText0"/>
            </w:pPr>
            <w:r w:rsidRPr="00BC7182">
              <w:t>112</w:t>
            </w:r>
          </w:p>
        </w:tc>
        <w:tc>
          <w:tcPr>
            <w:tcW w:w="2865" w:type="dxa"/>
            <w:shd w:val="clear" w:color="auto" w:fill="B8CCE4" w:themeFill="accent1" w:themeFillTint="66"/>
            <w:tcMar>
              <w:left w:w="105" w:type="dxa"/>
              <w:right w:w="105" w:type="dxa"/>
            </w:tcMar>
            <w:vAlign w:val="center"/>
          </w:tcPr>
          <w:p w14:paraId="6966AC72" w14:textId="77777777" w:rsidR="00BE3D99" w:rsidRPr="00BC7182" w:rsidRDefault="00BE3D99" w:rsidP="002E438F">
            <w:pPr>
              <w:pStyle w:val="TableText0"/>
            </w:pPr>
            <w:r w:rsidRPr="00BC7182">
              <w:t>1838.6 (1515.6, 2230.4)</w:t>
            </w:r>
          </w:p>
        </w:tc>
        <w:tc>
          <w:tcPr>
            <w:tcW w:w="2865" w:type="dxa"/>
            <w:shd w:val="clear" w:color="auto" w:fill="B8CCE4" w:themeFill="accent1" w:themeFillTint="66"/>
            <w:tcMar>
              <w:left w:w="105" w:type="dxa"/>
              <w:right w:w="105" w:type="dxa"/>
            </w:tcMar>
            <w:vAlign w:val="center"/>
          </w:tcPr>
          <w:p w14:paraId="22F29285" w14:textId="77777777" w:rsidR="00BE3D99" w:rsidRPr="00BC7182" w:rsidRDefault="00BE3D99" w:rsidP="002E438F">
            <w:pPr>
              <w:pStyle w:val="TableText0"/>
            </w:pPr>
            <w:r w:rsidRPr="00BC7182">
              <w:t>2150.3 (1779.5, 2598.2)</w:t>
            </w:r>
          </w:p>
        </w:tc>
      </w:tr>
      <w:tr w:rsidR="00BE3D99" w:rsidRPr="00955A27" w14:paraId="7FE2A286" w14:textId="77777777" w:rsidTr="007F124A">
        <w:trPr>
          <w:trHeight w:val="300"/>
        </w:trPr>
        <w:tc>
          <w:tcPr>
            <w:tcW w:w="2400" w:type="dxa"/>
            <w:shd w:val="clear" w:color="auto" w:fill="B8CCE4" w:themeFill="accent1" w:themeFillTint="66"/>
            <w:tcMar>
              <w:left w:w="105" w:type="dxa"/>
              <w:right w:w="105" w:type="dxa"/>
            </w:tcMar>
          </w:tcPr>
          <w:p w14:paraId="41F97E9E" w14:textId="51728642" w:rsidR="00BE3D99" w:rsidRPr="00683ABB" w:rsidRDefault="00F15B97" w:rsidP="002E438F">
            <w:pPr>
              <w:pStyle w:val="TableText0"/>
            </w:pPr>
            <w:r w:rsidRPr="00F15B97">
              <w:rPr>
                <w:sz w:val="2"/>
                <w:highlight w:val="black"/>
              </w:rPr>
              <w:t>Redacted content</w:t>
            </w:r>
            <w:r w:rsidR="00E75DE1" w:rsidRPr="00E75DE1">
              <w:t xml:space="preserve"> </w:t>
            </w:r>
            <w:r w:rsidRPr="00F15B97">
              <w:rPr>
                <w:sz w:val="2"/>
                <w:highlight w:val="black"/>
              </w:rPr>
              <w:t>redacted content</w:t>
            </w:r>
          </w:p>
        </w:tc>
        <w:tc>
          <w:tcPr>
            <w:tcW w:w="840" w:type="dxa"/>
            <w:shd w:val="clear" w:color="auto" w:fill="B8CCE4" w:themeFill="accent1" w:themeFillTint="66"/>
            <w:tcMar>
              <w:left w:w="105" w:type="dxa"/>
              <w:right w:w="105" w:type="dxa"/>
            </w:tcMar>
          </w:tcPr>
          <w:p w14:paraId="1B7B461F" w14:textId="4D8F6B81" w:rsidR="00BE3D99" w:rsidRPr="00683ABB" w:rsidRDefault="00F15B97" w:rsidP="002E438F">
            <w:pPr>
              <w:pStyle w:val="TableText0"/>
            </w:pPr>
            <w:r w:rsidRPr="00F15B97">
              <w:rPr>
                <w:sz w:val="2"/>
                <w:highlight w:val="black"/>
              </w:rPr>
              <w:t>redacted content</w:t>
            </w:r>
          </w:p>
        </w:tc>
        <w:tc>
          <w:tcPr>
            <w:tcW w:w="2865" w:type="dxa"/>
            <w:shd w:val="clear" w:color="auto" w:fill="B8CCE4" w:themeFill="accent1" w:themeFillTint="66"/>
            <w:tcMar>
              <w:left w:w="105" w:type="dxa"/>
              <w:right w:w="105" w:type="dxa"/>
            </w:tcMar>
            <w:vAlign w:val="center"/>
          </w:tcPr>
          <w:p w14:paraId="633DDB1E" w14:textId="0B7C36C4" w:rsidR="00BE3D99" w:rsidRPr="00955A27" w:rsidRDefault="00F15B97" w:rsidP="002E438F">
            <w:pPr>
              <w:pStyle w:val="TableText0"/>
              <w:rPr>
                <w:highlight w:val="yellow"/>
              </w:rPr>
            </w:pP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p>
        </w:tc>
        <w:tc>
          <w:tcPr>
            <w:tcW w:w="2865" w:type="dxa"/>
            <w:shd w:val="clear" w:color="auto" w:fill="B8CCE4" w:themeFill="accent1" w:themeFillTint="66"/>
            <w:tcMar>
              <w:left w:w="105" w:type="dxa"/>
              <w:right w:w="105" w:type="dxa"/>
            </w:tcMar>
            <w:vAlign w:val="center"/>
          </w:tcPr>
          <w:p w14:paraId="570BEF27" w14:textId="12257BF9" w:rsidR="00BE3D99" w:rsidRPr="00955A27" w:rsidRDefault="00F15B97" w:rsidP="002E438F">
            <w:pPr>
              <w:pStyle w:val="TableText0"/>
              <w:rPr>
                <w:highlight w:val="yellow"/>
              </w:rPr>
            </w:pP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p>
        </w:tc>
      </w:tr>
      <w:tr w:rsidR="00BE3D99" w:rsidRPr="005A5BB7" w14:paraId="728348BC" w14:textId="77777777" w:rsidTr="007F124A">
        <w:trPr>
          <w:trHeight w:val="300"/>
        </w:trPr>
        <w:tc>
          <w:tcPr>
            <w:tcW w:w="2400" w:type="dxa"/>
            <w:tcMar>
              <w:left w:w="105" w:type="dxa"/>
              <w:right w:w="105" w:type="dxa"/>
            </w:tcMar>
          </w:tcPr>
          <w:p w14:paraId="3481FC72" w14:textId="66F7661E" w:rsidR="00BE3D99" w:rsidRPr="00955A27" w:rsidRDefault="00F15B97" w:rsidP="002E438F">
            <w:pPr>
              <w:pStyle w:val="TableText0"/>
              <w:rPr>
                <w:highlight w:val="yellow"/>
              </w:rPr>
            </w:pPr>
            <w:r w:rsidRPr="00F15B97">
              <w:rPr>
                <w:sz w:val="2"/>
                <w:highlight w:val="black"/>
              </w:rPr>
              <w:t>Redacted content</w:t>
            </w:r>
            <w:r w:rsidR="00E75DE1" w:rsidRPr="00E75DE1">
              <w:t xml:space="preserve"> </w:t>
            </w:r>
            <w:r w:rsidRPr="00F15B97">
              <w:rPr>
                <w:sz w:val="2"/>
                <w:highlight w:val="black"/>
              </w:rPr>
              <w:t>redacted content</w:t>
            </w:r>
          </w:p>
        </w:tc>
        <w:tc>
          <w:tcPr>
            <w:tcW w:w="840" w:type="dxa"/>
            <w:tcMar>
              <w:left w:w="105" w:type="dxa"/>
              <w:right w:w="105" w:type="dxa"/>
            </w:tcMar>
          </w:tcPr>
          <w:p w14:paraId="79BE6E5D" w14:textId="212F177E" w:rsidR="00BE3D99" w:rsidRPr="00955A27" w:rsidRDefault="00F15B97" w:rsidP="002E438F">
            <w:pPr>
              <w:pStyle w:val="TableText0"/>
              <w:rPr>
                <w:highlight w:val="yellow"/>
              </w:rPr>
            </w:pPr>
            <w:r w:rsidRPr="00F15B97">
              <w:rPr>
                <w:sz w:val="2"/>
                <w:highlight w:val="black"/>
              </w:rPr>
              <w:t>redacted content</w:t>
            </w:r>
          </w:p>
        </w:tc>
        <w:tc>
          <w:tcPr>
            <w:tcW w:w="2865" w:type="dxa"/>
            <w:tcMar>
              <w:left w:w="105" w:type="dxa"/>
              <w:right w:w="105" w:type="dxa"/>
            </w:tcMar>
          </w:tcPr>
          <w:p w14:paraId="199CD488" w14:textId="6EC2544E" w:rsidR="00BE3D99" w:rsidRPr="00955A27" w:rsidRDefault="00F15B97" w:rsidP="002E438F">
            <w:pPr>
              <w:pStyle w:val="TableText0"/>
              <w:rPr>
                <w:highlight w:val="yellow"/>
              </w:rPr>
            </w:pP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p>
        </w:tc>
        <w:tc>
          <w:tcPr>
            <w:tcW w:w="2865" w:type="dxa"/>
            <w:tcMar>
              <w:left w:w="105" w:type="dxa"/>
              <w:right w:w="105" w:type="dxa"/>
            </w:tcMar>
          </w:tcPr>
          <w:p w14:paraId="30922ADE" w14:textId="1AC97415" w:rsidR="00BE3D99" w:rsidRPr="005A5BB7" w:rsidRDefault="00F15B97" w:rsidP="002E438F">
            <w:pPr>
              <w:pStyle w:val="TableText0"/>
            </w:pP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p>
        </w:tc>
      </w:tr>
    </w:tbl>
    <w:p w14:paraId="318A3614" w14:textId="72C1E9CA" w:rsidR="00BE3D99" w:rsidRPr="005A5BB7" w:rsidRDefault="00BE3D99" w:rsidP="002E438F">
      <w:pPr>
        <w:pStyle w:val="FooterTableFigure"/>
        <w:keepNext/>
        <w:rPr>
          <w:rFonts w:eastAsia="Arial Narrow"/>
        </w:rPr>
      </w:pPr>
      <w:r w:rsidRPr="005A5BB7">
        <w:rPr>
          <w:rFonts w:eastAsia="Arial Narrow"/>
        </w:rPr>
        <w:t>Source: Table 2</w:t>
      </w:r>
      <w:r w:rsidR="000E4816">
        <w:rPr>
          <w:rFonts w:eastAsia="Arial Narrow"/>
        </w:rPr>
        <w:noBreakHyphen/>
      </w:r>
      <w:r w:rsidRPr="005A5BB7">
        <w:rPr>
          <w:rFonts w:eastAsia="Arial Narrow"/>
        </w:rPr>
        <w:t xml:space="preserve">15, p67 of the </w:t>
      </w:r>
      <w:r w:rsidR="0053660E" w:rsidRPr="005A5BB7">
        <w:rPr>
          <w:rFonts w:eastAsia="Arial Narrow"/>
        </w:rPr>
        <w:t>s</w:t>
      </w:r>
      <w:r w:rsidRPr="005A5BB7">
        <w:rPr>
          <w:rFonts w:eastAsia="Arial Narrow"/>
        </w:rPr>
        <w:t>ubmission</w:t>
      </w:r>
    </w:p>
    <w:p w14:paraId="1E4978C1" w14:textId="7E3946DD" w:rsidR="00BE3D99" w:rsidRPr="005A5BB7" w:rsidRDefault="00BE3D99" w:rsidP="002E438F">
      <w:pPr>
        <w:pStyle w:val="FooterTableFigure"/>
        <w:keepNext/>
        <w:rPr>
          <w:rFonts w:eastAsia="Arial Narrow"/>
        </w:rPr>
      </w:pPr>
      <w:r w:rsidRPr="005A5BB7">
        <w:rPr>
          <w:rFonts w:eastAsia="Arial Narrow"/>
        </w:rPr>
        <w:t>CI = confidence interval; ED = estimated dilution; GMT = geometric mean titre; n = number of trial participants with evaluable neutralising titre results at each timepoint; PPS = per</w:t>
      </w:r>
      <w:r w:rsidR="000E4816">
        <w:rPr>
          <w:rFonts w:eastAsia="Arial Narrow"/>
        </w:rPr>
        <w:noBreakHyphen/>
      </w:r>
      <w:r w:rsidRPr="005A5BB7">
        <w:rPr>
          <w:rFonts w:eastAsia="Arial Narrow"/>
        </w:rPr>
        <w:t>protocol set</w:t>
      </w:r>
    </w:p>
    <w:p w14:paraId="03AA55A4" w14:textId="54FD1278" w:rsidR="00BE3D99" w:rsidRPr="005A5BB7" w:rsidRDefault="00BE3D99" w:rsidP="002E438F">
      <w:pPr>
        <w:pStyle w:val="FooterTableFigure"/>
        <w:keepNext/>
        <w:rPr>
          <w:rFonts w:eastAsia="Arial Narrow"/>
        </w:rPr>
      </w:pPr>
      <w:r w:rsidRPr="005A5BB7">
        <w:rPr>
          <w:rFonts w:eastAsia="Arial Narrow"/>
        </w:rPr>
        <w:t>a = n=115 or 116 for RSV</w:t>
      </w:r>
      <w:r w:rsidR="000E4816">
        <w:rPr>
          <w:rFonts w:eastAsia="Arial Narrow"/>
        </w:rPr>
        <w:noBreakHyphen/>
      </w:r>
      <w:r w:rsidRPr="005A5BB7">
        <w:rPr>
          <w:rFonts w:eastAsia="Arial Narrow"/>
        </w:rPr>
        <w:t>A or RSV</w:t>
      </w:r>
      <w:r w:rsidR="000E4816">
        <w:rPr>
          <w:rFonts w:eastAsia="Arial Narrow"/>
        </w:rPr>
        <w:noBreakHyphen/>
      </w:r>
      <w:r w:rsidRPr="005A5BB7">
        <w:rPr>
          <w:rFonts w:eastAsia="Arial Narrow"/>
        </w:rPr>
        <w:t>B neutralising titres, respectively, at Month 24 timepoint.</w:t>
      </w:r>
    </w:p>
    <w:p w14:paraId="46278865" w14:textId="188DEAA5" w:rsidR="00BE3D99" w:rsidRPr="005A5BB7" w:rsidRDefault="00BE3D99" w:rsidP="002E438F">
      <w:pPr>
        <w:pStyle w:val="FooterTableFigure"/>
        <w:keepNext/>
        <w:rPr>
          <w:rFonts w:eastAsia="Arial Narrow"/>
        </w:rPr>
      </w:pPr>
      <w:r w:rsidRPr="005A5BB7">
        <w:rPr>
          <w:rFonts w:eastAsia="Arial Narrow"/>
        </w:rPr>
        <w:t xml:space="preserve">Blue shading shows results previously seen by the PBAC. </w:t>
      </w:r>
    </w:p>
    <w:p w14:paraId="092E6554" w14:textId="7D421931" w:rsidR="00E62C03" w:rsidRPr="005A5BB7" w:rsidRDefault="041D5A85">
      <w:pPr>
        <w:pStyle w:val="3-BodyText"/>
      </w:pPr>
      <w:r>
        <w:t xml:space="preserve">The </w:t>
      </w:r>
      <w:r w:rsidR="002D7CD5">
        <w:t>re</w:t>
      </w:r>
      <w:r>
        <w:t>submission reported</w:t>
      </w:r>
      <w:r w:rsidR="00AD7938">
        <w:t xml:space="preserve"> an</w:t>
      </w:r>
      <w:r>
        <w:t xml:space="preserve"> analysis from study RSV OA=ADJ</w:t>
      </w:r>
      <w:r>
        <w:noBreakHyphen/>
        <w:t>023</w:t>
      </w:r>
      <w:r w:rsidR="00AD7938">
        <w:t>,</w:t>
      </w:r>
      <w:r>
        <w:t xml:space="preserve"> a Phase 2b, randomised, controlled, open</w:t>
      </w:r>
      <w:r>
        <w:noBreakHyphen/>
        <w:t>label study that evaluated the immunogenicity, safety, and reactogenicity of RSVPre</w:t>
      </w:r>
      <w:r w:rsidR="000B36A8">
        <w:t>F</w:t>
      </w:r>
      <w:r>
        <w:t xml:space="preserve">3 OA in an </w:t>
      </w:r>
      <w:r w:rsidR="00BA7380">
        <w:t>i</w:t>
      </w:r>
      <w:r>
        <w:t>mmunocompromised (IC) population (lung and renal transplant recipients, ≥ 18 YOA)</w:t>
      </w:r>
      <w:r w:rsidR="00D607A8">
        <w:t xml:space="preserve">; these data are presented in </w:t>
      </w:r>
      <w:r>
        <w:fldChar w:fldCharType="begin"/>
      </w:r>
      <w:r>
        <w:instrText xml:space="preserve"> REF _Ref224838301 \h </w:instrText>
      </w:r>
      <w:r>
        <w:fldChar w:fldCharType="separate"/>
      </w:r>
      <w:r w:rsidR="0043658C">
        <w:t xml:space="preserve">Table </w:t>
      </w:r>
      <w:r w:rsidR="0043658C" w:rsidRPr="310F0368">
        <w:rPr>
          <w:noProof/>
        </w:rPr>
        <w:t>11</w:t>
      </w:r>
      <w:r>
        <w:fldChar w:fldCharType="end"/>
      </w:r>
      <w:r w:rsidR="00FA71AC">
        <w:t xml:space="preserve"> </w:t>
      </w:r>
      <w:r w:rsidR="00D607A8">
        <w:t xml:space="preserve">below. </w:t>
      </w:r>
      <w:r w:rsidR="005B2502">
        <w:t>The RSV</w:t>
      </w:r>
      <w:r w:rsidR="00952C71">
        <w:rPr>
          <w:rFonts w:ascii="Cambria Math" w:hAnsi="Cambria Math" w:cs="Cambria Math"/>
        </w:rPr>
        <w:t>-</w:t>
      </w:r>
      <w:r w:rsidR="005B2502">
        <w:t>A and RSV</w:t>
      </w:r>
      <w:r w:rsidR="00952C71">
        <w:rPr>
          <w:rFonts w:ascii="Cambria Math" w:hAnsi="Cambria Math" w:cs="Cambria Math"/>
        </w:rPr>
        <w:t>-</w:t>
      </w:r>
      <w:r w:rsidR="005B2502">
        <w:t>B neutralising titres declined over time but remained above baseline up to 12 months post</w:t>
      </w:r>
      <w:r w:rsidR="00952C71">
        <w:rPr>
          <w:rFonts w:ascii="Cambria Math" w:hAnsi="Cambria Math" w:cs="Cambria Math"/>
        </w:rPr>
        <w:t>-</w:t>
      </w:r>
      <w:r w:rsidR="002639CE">
        <w:t>d</w:t>
      </w:r>
      <w:r w:rsidR="005B2502">
        <w:t>ose.</w:t>
      </w:r>
      <w:r w:rsidR="00DA1339">
        <w:t xml:space="preserve"> </w:t>
      </w:r>
      <w:r w:rsidR="003B2D51">
        <w:t>The GMT</w:t>
      </w:r>
      <w:r w:rsidR="6FB1F282">
        <w:t>s</w:t>
      </w:r>
      <w:r w:rsidR="0028259E">
        <w:t xml:space="preserve"> of the RSV</w:t>
      </w:r>
      <w:r>
        <w:noBreakHyphen/>
      </w:r>
      <w:r w:rsidR="0028259E">
        <w:t>A and RSV</w:t>
      </w:r>
      <w:r>
        <w:noBreakHyphen/>
      </w:r>
      <w:r w:rsidR="0028259E">
        <w:t xml:space="preserve">B neutralising titres in the immunocompromised cohort didn’t reach the same </w:t>
      </w:r>
      <w:r w:rsidR="00BA7380">
        <w:t>level</w:t>
      </w:r>
      <w:r w:rsidR="0028259E">
        <w:t xml:space="preserve"> observed in the ‘Healthy Adults’ comparator cohort</w:t>
      </w:r>
      <w:r w:rsidR="00EA0F56">
        <w:t>.</w:t>
      </w:r>
      <w:r w:rsidR="00DA1339">
        <w:t xml:space="preserve"> </w:t>
      </w:r>
      <w:r w:rsidR="00EA0F56">
        <w:t xml:space="preserve">Neutralising titres reached their peak later in the </w:t>
      </w:r>
      <w:r w:rsidR="00EA0F56">
        <w:lastRenderedPageBreak/>
        <w:t>immunocompromised group compared to the HA group, suggesting that the induction of the antibody response occurred more slowly in the IC group</w:t>
      </w:r>
      <w:r w:rsidR="0028259E">
        <w:t>.</w:t>
      </w:r>
      <w:r w:rsidR="00280D38">
        <w:t xml:space="preserve"> </w:t>
      </w:r>
    </w:p>
    <w:p w14:paraId="4BF5FDE8" w14:textId="52857501" w:rsidR="00751252" w:rsidRPr="005A5BB7" w:rsidRDefault="00751252" w:rsidP="002E438F">
      <w:pPr>
        <w:pStyle w:val="Caption"/>
      </w:pPr>
      <w:bookmarkStart w:id="51" w:name="_Ref219760228"/>
      <w:bookmarkStart w:id="52" w:name="_Ref222420704"/>
      <w:bookmarkStart w:id="53" w:name="_Ref224838301"/>
      <w:r w:rsidRPr="005A5BB7">
        <w:t xml:space="preserve">Table </w:t>
      </w:r>
      <w:fldSimple w:instr=" SEQ Table \* ARABIC ">
        <w:r w:rsidR="0043658C">
          <w:rPr>
            <w:noProof/>
          </w:rPr>
          <w:t>11</w:t>
        </w:r>
      </w:fldSimple>
      <w:bookmarkEnd w:id="51"/>
      <w:bookmarkEnd w:id="52"/>
      <w:bookmarkEnd w:id="53"/>
      <w:r w:rsidRPr="005A5BB7">
        <w:t xml:space="preserve">: </w:t>
      </w:r>
      <w:r w:rsidR="002C48FA" w:rsidRPr="005A5BB7">
        <w:t>GMT of RSV</w:t>
      </w:r>
      <w:r w:rsidR="000E4816">
        <w:noBreakHyphen/>
      </w:r>
      <w:r w:rsidR="002C48FA" w:rsidRPr="005A5BB7">
        <w:t>A and RSV</w:t>
      </w:r>
      <w:r w:rsidR="000E4816">
        <w:noBreakHyphen/>
      </w:r>
      <w:r w:rsidR="002C48FA" w:rsidRPr="005A5BB7">
        <w:t>B neutralising titres (ED</w:t>
      </w:r>
      <w:r w:rsidR="002C48FA" w:rsidRPr="005A5BB7">
        <w:rPr>
          <w:vertAlign w:val="subscript"/>
        </w:rPr>
        <w:t>60</w:t>
      </w:r>
      <w:r w:rsidR="002C48FA" w:rsidRPr="005A5BB7">
        <w:t>) until end of study for all participants (PPS for HI)</w:t>
      </w:r>
      <w:r w:rsidR="001B2350" w:rsidRPr="005A5BB7">
        <w:t>, RSV OA=ADJ</w:t>
      </w:r>
      <w:r w:rsidR="000E4816">
        <w:noBreakHyphen/>
      </w:r>
      <w:r w:rsidR="001B2350" w:rsidRPr="005A5BB7">
        <w:t>023</w:t>
      </w:r>
    </w:p>
    <w:tbl>
      <w:tblPr>
        <w:tblStyle w:val="TableGrid"/>
        <w:tblW w:w="4953" w:type="pct"/>
        <w:tblLook w:val="04A0" w:firstRow="1" w:lastRow="0" w:firstColumn="1" w:lastColumn="0" w:noHBand="0" w:noVBand="1"/>
        <w:tblCaption w:val="Table 11: GMT of RSV A and RSV B neutralising titres (ED60) until end of study for all participants (PPS for HI), RSV OA=ADJ 023"/>
      </w:tblPr>
      <w:tblGrid>
        <w:gridCol w:w="718"/>
        <w:gridCol w:w="1000"/>
        <w:gridCol w:w="718"/>
        <w:gridCol w:w="974"/>
        <w:gridCol w:w="2409"/>
        <w:gridCol w:w="848"/>
        <w:gridCol w:w="2265"/>
      </w:tblGrid>
      <w:tr w:rsidR="007C1E52" w:rsidRPr="005A5BB7" w14:paraId="548BDA7B" w14:textId="77777777" w:rsidTr="00E62C03">
        <w:tc>
          <w:tcPr>
            <w:tcW w:w="392" w:type="pct"/>
            <w:vMerge w:val="restart"/>
            <w:shd w:val="clear" w:color="auto" w:fill="BFBFBF" w:themeFill="background1" w:themeFillShade="BF"/>
            <w:vAlign w:val="center"/>
          </w:tcPr>
          <w:p w14:paraId="52626A31" w14:textId="77777777" w:rsidR="00E62C03" w:rsidRPr="005A5BB7" w:rsidRDefault="00E62C03" w:rsidP="002E438F">
            <w:pPr>
              <w:keepNext/>
              <w:jc w:val="left"/>
              <w:rPr>
                <w:rFonts w:ascii="Arial Narrow" w:hAnsi="Arial Narrow" w:cs="Times New Roman"/>
                <w:b/>
                <w:bCs/>
                <w:sz w:val="20"/>
              </w:rPr>
            </w:pPr>
            <w:r w:rsidRPr="005A5BB7">
              <w:rPr>
                <w:rFonts w:ascii="Arial Narrow" w:hAnsi="Arial Narrow" w:cs="Times New Roman"/>
                <w:b/>
                <w:bCs/>
                <w:sz w:val="20"/>
              </w:rPr>
              <w:t>Assay</w:t>
            </w:r>
          </w:p>
        </w:tc>
        <w:tc>
          <w:tcPr>
            <w:tcW w:w="560" w:type="pct"/>
            <w:vMerge w:val="restart"/>
            <w:shd w:val="clear" w:color="auto" w:fill="BFBFBF" w:themeFill="background1" w:themeFillShade="BF"/>
            <w:vAlign w:val="center"/>
          </w:tcPr>
          <w:p w14:paraId="2490B524"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Timepoint</w:t>
            </w:r>
          </w:p>
        </w:tc>
        <w:tc>
          <w:tcPr>
            <w:tcW w:w="402" w:type="pct"/>
            <w:vMerge w:val="restart"/>
            <w:shd w:val="clear" w:color="auto" w:fill="BFBFBF" w:themeFill="background1" w:themeFillShade="BF"/>
            <w:vAlign w:val="center"/>
          </w:tcPr>
          <w:p w14:paraId="5E81E9A9"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Result</w:t>
            </w:r>
          </w:p>
        </w:tc>
        <w:tc>
          <w:tcPr>
            <w:tcW w:w="1899" w:type="pct"/>
            <w:gridSpan w:val="2"/>
            <w:shd w:val="clear" w:color="auto" w:fill="BFBFBF" w:themeFill="background1" w:themeFillShade="BF"/>
            <w:vAlign w:val="center"/>
          </w:tcPr>
          <w:p w14:paraId="38EDF274"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RSV_IC_1</w:t>
            </w:r>
          </w:p>
        </w:tc>
        <w:tc>
          <w:tcPr>
            <w:tcW w:w="1747" w:type="pct"/>
            <w:gridSpan w:val="2"/>
            <w:shd w:val="clear" w:color="auto" w:fill="BFBFBF" w:themeFill="background1" w:themeFillShade="BF"/>
            <w:vAlign w:val="center"/>
          </w:tcPr>
          <w:p w14:paraId="60B3EDF6"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RSV_HA</w:t>
            </w:r>
          </w:p>
        </w:tc>
      </w:tr>
      <w:tr w:rsidR="00905D2F" w:rsidRPr="005A5BB7" w14:paraId="7CC7DD81" w14:textId="77777777" w:rsidTr="00E62C03">
        <w:tc>
          <w:tcPr>
            <w:tcW w:w="392" w:type="pct"/>
            <w:vMerge/>
            <w:vAlign w:val="center"/>
          </w:tcPr>
          <w:p w14:paraId="74780851" w14:textId="77777777" w:rsidR="00E62C03" w:rsidRPr="005A5BB7" w:rsidRDefault="00E62C03" w:rsidP="002E438F">
            <w:pPr>
              <w:keepNext/>
              <w:jc w:val="left"/>
              <w:rPr>
                <w:rFonts w:ascii="Arial Narrow" w:hAnsi="Arial Narrow" w:cs="Times New Roman"/>
                <w:sz w:val="20"/>
              </w:rPr>
            </w:pPr>
          </w:p>
        </w:tc>
        <w:tc>
          <w:tcPr>
            <w:tcW w:w="560" w:type="pct"/>
            <w:vMerge/>
            <w:vAlign w:val="center"/>
          </w:tcPr>
          <w:p w14:paraId="3BE41286" w14:textId="77777777" w:rsidR="00E62C03" w:rsidRPr="005A5BB7" w:rsidRDefault="00E62C03" w:rsidP="002E438F">
            <w:pPr>
              <w:keepNext/>
              <w:jc w:val="center"/>
              <w:rPr>
                <w:rFonts w:ascii="Arial Narrow" w:hAnsi="Arial Narrow" w:cs="Times New Roman"/>
                <w:sz w:val="20"/>
              </w:rPr>
            </w:pPr>
          </w:p>
        </w:tc>
        <w:tc>
          <w:tcPr>
            <w:tcW w:w="402" w:type="pct"/>
            <w:vMerge/>
            <w:vAlign w:val="center"/>
          </w:tcPr>
          <w:p w14:paraId="37A76557" w14:textId="77777777" w:rsidR="00E62C03" w:rsidRPr="005A5BB7" w:rsidRDefault="00E62C03" w:rsidP="002E438F">
            <w:pPr>
              <w:keepNext/>
              <w:jc w:val="center"/>
              <w:rPr>
                <w:rFonts w:ascii="Arial Narrow" w:hAnsi="Arial Narrow" w:cs="Times New Roman"/>
                <w:sz w:val="20"/>
              </w:rPr>
            </w:pPr>
          </w:p>
        </w:tc>
        <w:tc>
          <w:tcPr>
            <w:tcW w:w="548" w:type="pct"/>
            <w:shd w:val="clear" w:color="auto" w:fill="D9D9D9" w:themeFill="background1" w:themeFillShade="D9"/>
            <w:vAlign w:val="center"/>
          </w:tcPr>
          <w:p w14:paraId="2BE77919"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n</w:t>
            </w:r>
          </w:p>
        </w:tc>
        <w:tc>
          <w:tcPr>
            <w:tcW w:w="1350" w:type="pct"/>
            <w:shd w:val="clear" w:color="auto" w:fill="D9D9D9" w:themeFill="background1" w:themeFillShade="D9"/>
            <w:vAlign w:val="center"/>
          </w:tcPr>
          <w:p w14:paraId="6A1D7A4A"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 or value (95% CI)</w:t>
            </w:r>
          </w:p>
        </w:tc>
        <w:tc>
          <w:tcPr>
            <w:tcW w:w="477" w:type="pct"/>
            <w:shd w:val="clear" w:color="auto" w:fill="D9D9D9" w:themeFill="background1" w:themeFillShade="D9"/>
            <w:vAlign w:val="center"/>
          </w:tcPr>
          <w:p w14:paraId="18B12F01"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n</w:t>
            </w:r>
          </w:p>
        </w:tc>
        <w:tc>
          <w:tcPr>
            <w:tcW w:w="1270" w:type="pct"/>
            <w:shd w:val="clear" w:color="auto" w:fill="D9D9D9" w:themeFill="background1" w:themeFillShade="D9"/>
            <w:vAlign w:val="center"/>
          </w:tcPr>
          <w:p w14:paraId="6064FBD3" w14:textId="77777777" w:rsidR="00E62C03" w:rsidRPr="005A5BB7" w:rsidRDefault="00E62C03" w:rsidP="002E438F">
            <w:pPr>
              <w:keepNext/>
              <w:jc w:val="center"/>
              <w:rPr>
                <w:rFonts w:ascii="Arial Narrow" w:hAnsi="Arial Narrow" w:cs="Times New Roman"/>
                <w:b/>
                <w:bCs/>
                <w:sz w:val="20"/>
              </w:rPr>
            </w:pPr>
            <w:r w:rsidRPr="005A5BB7">
              <w:rPr>
                <w:rFonts w:ascii="Arial Narrow" w:hAnsi="Arial Narrow" w:cs="Times New Roman"/>
                <w:b/>
                <w:bCs/>
                <w:sz w:val="20"/>
              </w:rPr>
              <w:t>% or value (95% CI)</w:t>
            </w:r>
          </w:p>
        </w:tc>
      </w:tr>
      <w:tr w:rsidR="00905D2F" w:rsidRPr="005A5BB7" w14:paraId="69A88CC4" w14:textId="77777777" w:rsidTr="00E62C03">
        <w:tc>
          <w:tcPr>
            <w:tcW w:w="392" w:type="pct"/>
            <w:vMerge w:val="restart"/>
            <w:vAlign w:val="center"/>
          </w:tcPr>
          <w:p w14:paraId="1658F6D1" w14:textId="792B62BE" w:rsidR="00E62C03" w:rsidRPr="005A5BB7" w:rsidRDefault="00E62C03" w:rsidP="002E438F">
            <w:pPr>
              <w:keepNext/>
              <w:jc w:val="left"/>
              <w:rPr>
                <w:rFonts w:ascii="Arial Narrow" w:hAnsi="Arial Narrow" w:cs="Times New Roman"/>
                <w:sz w:val="20"/>
              </w:rPr>
            </w:pPr>
            <w:r w:rsidRPr="005A5BB7">
              <w:rPr>
                <w:rFonts w:ascii="Arial Narrow" w:hAnsi="Arial Narrow" w:cs="Times New Roman"/>
                <w:sz w:val="20"/>
              </w:rPr>
              <w:t>RSV</w:t>
            </w:r>
            <w:r w:rsidR="000E4816">
              <w:rPr>
                <w:rFonts w:ascii="Arial Narrow" w:hAnsi="Arial Narrow" w:cs="Times New Roman"/>
                <w:sz w:val="20"/>
              </w:rPr>
              <w:noBreakHyphen/>
            </w:r>
            <w:r w:rsidRPr="005A5BB7">
              <w:rPr>
                <w:rFonts w:ascii="Arial Narrow" w:hAnsi="Arial Narrow" w:cs="Times New Roman"/>
                <w:sz w:val="20"/>
              </w:rPr>
              <w:t>A NEUT (ED</w:t>
            </w:r>
            <w:r w:rsidRPr="005A5BB7">
              <w:rPr>
                <w:rFonts w:ascii="Arial Narrow" w:hAnsi="Arial Narrow" w:cs="Times New Roman"/>
                <w:sz w:val="20"/>
                <w:vertAlign w:val="subscript"/>
              </w:rPr>
              <w:t>60</w:t>
            </w:r>
            <w:r w:rsidRPr="005A5BB7">
              <w:rPr>
                <w:rFonts w:ascii="Arial Narrow" w:hAnsi="Arial Narrow" w:cs="Times New Roman"/>
                <w:sz w:val="20"/>
              </w:rPr>
              <w:t>)</w:t>
            </w:r>
          </w:p>
        </w:tc>
        <w:tc>
          <w:tcPr>
            <w:tcW w:w="560" w:type="pct"/>
            <w:vAlign w:val="center"/>
          </w:tcPr>
          <w:p w14:paraId="6E017C5A"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V1</w:t>
            </w:r>
          </w:p>
        </w:tc>
        <w:tc>
          <w:tcPr>
            <w:tcW w:w="402" w:type="pct"/>
            <w:vAlign w:val="center"/>
          </w:tcPr>
          <w:p w14:paraId="4A0C6D06"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59BF6169"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123</w:t>
            </w:r>
          </w:p>
        </w:tc>
        <w:tc>
          <w:tcPr>
            <w:tcW w:w="1350" w:type="pct"/>
            <w:vAlign w:val="center"/>
          </w:tcPr>
          <w:p w14:paraId="1E08D802"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807.0 (700.9, 929.2)</w:t>
            </w:r>
          </w:p>
        </w:tc>
        <w:tc>
          <w:tcPr>
            <w:tcW w:w="477" w:type="pct"/>
            <w:vAlign w:val="center"/>
          </w:tcPr>
          <w:p w14:paraId="7C83DB08"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125</w:t>
            </w:r>
          </w:p>
        </w:tc>
        <w:tc>
          <w:tcPr>
            <w:tcW w:w="1270" w:type="pct"/>
            <w:vAlign w:val="center"/>
          </w:tcPr>
          <w:p w14:paraId="6976AD47"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889.0 (781.9, 1010.6)</w:t>
            </w:r>
          </w:p>
        </w:tc>
      </w:tr>
      <w:tr w:rsidR="00905D2F" w:rsidRPr="005A5BB7" w14:paraId="6EEA7056" w14:textId="77777777" w:rsidTr="00E62C03">
        <w:tc>
          <w:tcPr>
            <w:tcW w:w="392" w:type="pct"/>
            <w:vMerge/>
            <w:vAlign w:val="center"/>
          </w:tcPr>
          <w:p w14:paraId="6FD1831F"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53A037AB"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V2</w:t>
            </w:r>
          </w:p>
        </w:tc>
        <w:tc>
          <w:tcPr>
            <w:tcW w:w="402" w:type="pct"/>
            <w:vAlign w:val="center"/>
          </w:tcPr>
          <w:p w14:paraId="2979482D" w14:textId="09982DF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2BF00570" w14:textId="759C7D33"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36</w:t>
            </w:r>
          </w:p>
        </w:tc>
        <w:tc>
          <w:tcPr>
            <w:tcW w:w="1350" w:type="pct"/>
            <w:vAlign w:val="center"/>
          </w:tcPr>
          <w:p w14:paraId="48A2D8E3" w14:textId="47E90042"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1775.8 (1201.0, 2625.6)</w:t>
            </w:r>
          </w:p>
        </w:tc>
        <w:tc>
          <w:tcPr>
            <w:tcW w:w="477" w:type="pct"/>
            <w:vAlign w:val="center"/>
          </w:tcPr>
          <w:p w14:paraId="7F0C25E9" w14:textId="1B7208F5"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34</w:t>
            </w:r>
          </w:p>
        </w:tc>
        <w:tc>
          <w:tcPr>
            <w:tcW w:w="1270" w:type="pct"/>
            <w:vAlign w:val="center"/>
          </w:tcPr>
          <w:p w14:paraId="699EB76C" w14:textId="54C504B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6716.8 (4907.6, 9193.0)</w:t>
            </w:r>
          </w:p>
        </w:tc>
      </w:tr>
      <w:tr w:rsidR="00905D2F" w:rsidRPr="005A5BB7" w14:paraId="56B1C73A" w14:textId="77777777" w:rsidTr="00E62C03">
        <w:tc>
          <w:tcPr>
            <w:tcW w:w="392" w:type="pct"/>
            <w:vMerge/>
            <w:vAlign w:val="center"/>
          </w:tcPr>
          <w:p w14:paraId="6D61BCBF"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5992D123"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V3</w:t>
            </w:r>
          </w:p>
        </w:tc>
        <w:tc>
          <w:tcPr>
            <w:tcW w:w="402" w:type="pct"/>
            <w:vAlign w:val="center"/>
          </w:tcPr>
          <w:p w14:paraId="4BB4BDC5" w14:textId="3480BBE5"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2745CCDE" w14:textId="016723D9"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123</w:t>
            </w:r>
          </w:p>
        </w:tc>
        <w:tc>
          <w:tcPr>
            <w:tcW w:w="1350" w:type="pct"/>
            <w:vAlign w:val="center"/>
          </w:tcPr>
          <w:p w14:paraId="63D7A96D" w14:textId="3D2C933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3990.8 (3219.4, 4947.0)</w:t>
            </w:r>
          </w:p>
        </w:tc>
        <w:tc>
          <w:tcPr>
            <w:tcW w:w="477" w:type="pct"/>
            <w:vAlign w:val="center"/>
          </w:tcPr>
          <w:p w14:paraId="58C68312" w14:textId="13035465"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117</w:t>
            </w:r>
          </w:p>
        </w:tc>
        <w:tc>
          <w:tcPr>
            <w:tcW w:w="1270" w:type="pct"/>
            <w:vAlign w:val="center"/>
          </w:tcPr>
          <w:p w14:paraId="40F17152" w14:textId="1ABA98BD"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6881.3 (5976.2, 7923.6)</w:t>
            </w:r>
          </w:p>
        </w:tc>
      </w:tr>
      <w:tr w:rsidR="00905D2F" w:rsidRPr="005A5BB7" w14:paraId="6D933431" w14:textId="77777777" w:rsidTr="00E62C03">
        <w:tc>
          <w:tcPr>
            <w:tcW w:w="392" w:type="pct"/>
            <w:vMerge/>
            <w:vAlign w:val="center"/>
          </w:tcPr>
          <w:p w14:paraId="3AFEA798"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567038E0"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V4</w:t>
            </w:r>
          </w:p>
        </w:tc>
        <w:tc>
          <w:tcPr>
            <w:tcW w:w="402" w:type="pct"/>
            <w:vAlign w:val="center"/>
          </w:tcPr>
          <w:p w14:paraId="5FEE73A4" w14:textId="29471DFE"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3125117B" w14:textId="3343227B"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116</w:t>
            </w:r>
          </w:p>
        </w:tc>
        <w:tc>
          <w:tcPr>
            <w:tcW w:w="1350" w:type="pct"/>
            <w:vAlign w:val="center"/>
          </w:tcPr>
          <w:p w14:paraId="3DA17E2B" w14:textId="67CE585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4184.7 (3360.1, 5211.7)</w:t>
            </w:r>
          </w:p>
        </w:tc>
        <w:tc>
          <w:tcPr>
            <w:tcW w:w="477" w:type="pct"/>
            <w:vAlign w:val="center"/>
          </w:tcPr>
          <w:p w14:paraId="0ED489B4" w14:textId="347FB71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110</w:t>
            </w:r>
          </w:p>
        </w:tc>
        <w:tc>
          <w:tcPr>
            <w:tcW w:w="1270" w:type="pct"/>
            <w:vAlign w:val="center"/>
          </w:tcPr>
          <w:p w14:paraId="236E88F1" w14:textId="3F0637E2"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5707.0 (4853.6, 6710.3)</w:t>
            </w:r>
          </w:p>
        </w:tc>
      </w:tr>
      <w:tr w:rsidR="00905D2F" w:rsidRPr="005A5BB7" w14:paraId="329FE5B0" w14:textId="77777777" w:rsidTr="00E62C03">
        <w:tc>
          <w:tcPr>
            <w:tcW w:w="392" w:type="pct"/>
            <w:vMerge/>
            <w:vAlign w:val="center"/>
          </w:tcPr>
          <w:p w14:paraId="1F6DCE4E"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52903637"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V5</w:t>
            </w:r>
          </w:p>
        </w:tc>
        <w:tc>
          <w:tcPr>
            <w:tcW w:w="402" w:type="pct"/>
            <w:vAlign w:val="center"/>
          </w:tcPr>
          <w:p w14:paraId="28BCA670" w14:textId="5F83667B"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732DDB4C" w14:textId="5AEB95B0"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119</w:t>
            </w:r>
          </w:p>
        </w:tc>
        <w:tc>
          <w:tcPr>
            <w:tcW w:w="1350" w:type="pct"/>
            <w:vAlign w:val="center"/>
          </w:tcPr>
          <w:p w14:paraId="3F479472" w14:textId="58B565B6"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3220.8 (2637.4, 3933.3)</w:t>
            </w:r>
          </w:p>
        </w:tc>
        <w:tc>
          <w:tcPr>
            <w:tcW w:w="477" w:type="pct"/>
            <w:vAlign w:val="center"/>
          </w:tcPr>
          <w:p w14:paraId="0D4021CD" w14:textId="20877A5D"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115</w:t>
            </w:r>
          </w:p>
        </w:tc>
        <w:tc>
          <w:tcPr>
            <w:tcW w:w="1270" w:type="pct"/>
            <w:vAlign w:val="center"/>
          </w:tcPr>
          <w:p w14:paraId="4E10DB99" w14:textId="2B202A3D"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3958.4 (3372.2, 4646.6)</w:t>
            </w:r>
          </w:p>
        </w:tc>
      </w:tr>
      <w:tr w:rsidR="00905D2F" w:rsidRPr="005A5BB7" w14:paraId="2F725F80" w14:textId="77777777" w:rsidTr="00E62C03">
        <w:tc>
          <w:tcPr>
            <w:tcW w:w="392" w:type="pct"/>
            <w:vMerge/>
            <w:vAlign w:val="center"/>
          </w:tcPr>
          <w:p w14:paraId="6B4E9F59"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42441124"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V6</w:t>
            </w:r>
          </w:p>
        </w:tc>
        <w:tc>
          <w:tcPr>
            <w:tcW w:w="402" w:type="pct"/>
            <w:vAlign w:val="center"/>
          </w:tcPr>
          <w:p w14:paraId="1F924A8F" w14:textId="25AB07A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0AC15D6D" w14:textId="6EAA9650"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116</w:t>
            </w:r>
          </w:p>
        </w:tc>
        <w:tc>
          <w:tcPr>
            <w:tcW w:w="1350" w:type="pct"/>
            <w:vAlign w:val="center"/>
          </w:tcPr>
          <w:p w14:paraId="58B8083B" w14:textId="60DA3E6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1773.4 (1486.2, 2116.2)</w:t>
            </w:r>
          </w:p>
        </w:tc>
        <w:tc>
          <w:tcPr>
            <w:tcW w:w="477" w:type="pct"/>
            <w:vAlign w:val="center"/>
          </w:tcPr>
          <w:p w14:paraId="470A791A" w14:textId="6AF3BE08"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114</w:t>
            </w:r>
          </w:p>
        </w:tc>
        <w:tc>
          <w:tcPr>
            <w:tcW w:w="1270" w:type="pct"/>
            <w:vAlign w:val="center"/>
          </w:tcPr>
          <w:p w14:paraId="38FDA4B2" w14:textId="619C138E"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2243.6 (1925.0, 2614.9)</w:t>
            </w:r>
          </w:p>
        </w:tc>
      </w:tr>
      <w:tr w:rsidR="00905D2F" w:rsidRPr="005A5BB7" w14:paraId="02850A15" w14:textId="77777777" w:rsidTr="00E62C03">
        <w:tc>
          <w:tcPr>
            <w:tcW w:w="392" w:type="pct"/>
            <w:vMerge w:val="restart"/>
            <w:vAlign w:val="center"/>
          </w:tcPr>
          <w:p w14:paraId="3490CD6A" w14:textId="6750235E" w:rsidR="00E62C03" w:rsidRPr="005A5BB7" w:rsidRDefault="00E62C03" w:rsidP="002E438F">
            <w:pPr>
              <w:keepNext/>
              <w:jc w:val="left"/>
              <w:rPr>
                <w:rFonts w:ascii="Arial Narrow" w:hAnsi="Arial Narrow" w:cs="Times New Roman"/>
                <w:sz w:val="20"/>
              </w:rPr>
            </w:pPr>
            <w:r w:rsidRPr="005A5BB7">
              <w:rPr>
                <w:rFonts w:ascii="Arial Narrow" w:hAnsi="Arial Narrow" w:cs="Times New Roman"/>
                <w:sz w:val="20"/>
              </w:rPr>
              <w:t>RSV</w:t>
            </w:r>
            <w:r w:rsidR="000E4816">
              <w:rPr>
                <w:rFonts w:ascii="Arial Narrow" w:hAnsi="Arial Narrow" w:cs="Times New Roman"/>
                <w:sz w:val="20"/>
              </w:rPr>
              <w:noBreakHyphen/>
            </w:r>
            <w:r w:rsidR="00DE37C4" w:rsidRPr="005A5BB7">
              <w:rPr>
                <w:rFonts w:ascii="Arial Narrow" w:hAnsi="Arial Narrow" w:cs="Times New Roman"/>
                <w:sz w:val="20"/>
              </w:rPr>
              <w:t>B</w:t>
            </w:r>
            <w:r w:rsidRPr="005A5BB7">
              <w:rPr>
                <w:rFonts w:ascii="Arial Narrow" w:hAnsi="Arial Narrow" w:cs="Times New Roman"/>
                <w:sz w:val="20"/>
              </w:rPr>
              <w:t xml:space="preserve"> NEUT (ED</w:t>
            </w:r>
            <w:r w:rsidRPr="005A5BB7">
              <w:rPr>
                <w:rFonts w:ascii="Arial Narrow" w:hAnsi="Arial Narrow" w:cs="Times New Roman"/>
                <w:sz w:val="20"/>
                <w:vertAlign w:val="subscript"/>
              </w:rPr>
              <w:t>60</w:t>
            </w:r>
            <w:r w:rsidRPr="005A5BB7">
              <w:rPr>
                <w:rFonts w:ascii="Arial Narrow" w:hAnsi="Arial Narrow" w:cs="Times New Roman"/>
                <w:sz w:val="20"/>
              </w:rPr>
              <w:t>)</w:t>
            </w:r>
          </w:p>
        </w:tc>
        <w:tc>
          <w:tcPr>
            <w:tcW w:w="560" w:type="pct"/>
            <w:vAlign w:val="center"/>
          </w:tcPr>
          <w:p w14:paraId="32252BC2"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V1</w:t>
            </w:r>
          </w:p>
        </w:tc>
        <w:tc>
          <w:tcPr>
            <w:tcW w:w="402" w:type="pct"/>
            <w:vAlign w:val="center"/>
          </w:tcPr>
          <w:p w14:paraId="570C798E"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14A032C0"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123</w:t>
            </w:r>
          </w:p>
        </w:tc>
        <w:tc>
          <w:tcPr>
            <w:tcW w:w="1350" w:type="pct"/>
            <w:vAlign w:val="center"/>
          </w:tcPr>
          <w:p w14:paraId="60C7B462"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864.2 (727.8, 1026.2)</w:t>
            </w:r>
          </w:p>
        </w:tc>
        <w:tc>
          <w:tcPr>
            <w:tcW w:w="477" w:type="pct"/>
            <w:vAlign w:val="center"/>
          </w:tcPr>
          <w:p w14:paraId="00F28347"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125</w:t>
            </w:r>
          </w:p>
        </w:tc>
        <w:tc>
          <w:tcPr>
            <w:tcW w:w="1270" w:type="pct"/>
            <w:vAlign w:val="center"/>
          </w:tcPr>
          <w:p w14:paraId="72A2FC47"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1027.3 (889.6, 1186.3)</w:t>
            </w:r>
          </w:p>
        </w:tc>
      </w:tr>
      <w:tr w:rsidR="00905D2F" w:rsidRPr="005A5BB7" w14:paraId="562FBFE2" w14:textId="77777777" w:rsidTr="00E62C03">
        <w:tc>
          <w:tcPr>
            <w:tcW w:w="392" w:type="pct"/>
            <w:vMerge/>
            <w:vAlign w:val="center"/>
          </w:tcPr>
          <w:p w14:paraId="4D94F738"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66DCECE4"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V2</w:t>
            </w:r>
          </w:p>
        </w:tc>
        <w:tc>
          <w:tcPr>
            <w:tcW w:w="402" w:type="pct"/>
            <w:vAlign w:val="center"/>
          </w:tcPr>
          <w:p w14:paraId="6D410FB4" w14:textId="46804363"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6953AE8D" w14:textId="18ADAC75"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36</w:t>
            </w:r>
          </w:p>
        </w:tc>
        <w:tc>
          <w:tcPr>
            <w:tcW w:w="1350" w:type="pct"/>
            <w:vAlign w:val="center"/>
          </w:tcPr>
          <w:p w14:paraId="52005460" w14:textId="21C12B66"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2325.3 (1592.9, 3394.5)</w:t>
            </w:r>
          </w:p>
        </w:tc>
        <w:tc>
          <w:tcPr>
            <w:tcW w:w="477" w:type="pct"/>
            <w:vAlign w:val="center"/>
          </w:tcPr>
          <w:p w14:paraId="427844B0" w14:textId="6EF7BD4E"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34</w:t>
            </w:r>
          </w:p>
        </w:tc>
        <w:tc>
          <w:tcPr>
            <w:tcW w:w="1270" w:type="pct"/>
            <w:vAlign w:val="center"/>
          </w:tcPr>
          <w:p w14:paraId="00C9C53F" w14:textId="25298FE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8113.6 (5699.9, 11549.5)</w:t>
            </w:r>
          </w:p>
        </w:tc>
      </w:tr>
      <w:tr w:rsidR="00905D2F" w:rsidRPr="005A5BB7" w14:paraId="7A3ECF2C" w14:textId="77777777" w:rsidTr="00E62C03">
        <w:tc>
          <w:tcPr>
            <w:tcW w:w="392" w:type="pct"/>
            <w:vMerge/>
            <w:vAlign w:val="center"/>
          </w:tcPr>
          <w:p w14:paraId="4A914B83"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430AB303"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V3</w:t>
            </w:r>
          </w:p>
        </w:tc>
        <w:tc>
          <w:tcPr>
            <w:tcW w:w="402" w:type="pct"/>
            <w:vAlign w:val="center"/>
          </w:tcPr>
          <w:p w14:paraId="7DBB3010" w14:textId="37E9E8CF"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71A57B0B" w14:textId="3D32C79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123</w:t>
            </w:r>
          </w:p>
        </w:tc>
        <w:tc>
          <w:tcPr>
            <w:tcW w:w="1350" w:type="pct"/>
            <w:vAlign w:val="center"/>
          </w:tcPr>
          <w:p w14:paraId="47BEB796" w14:textId="75E6AC00"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5002.9 (3901.7, 6414.8)</w:t>
            </w:r>
          </w:p>
        </w:tc>
        <w:tc>
          <w:tcPr>
            <w:tcW w:w="477" w:type="pct"/>
            <w:vAlign w:val="center"/>
          </w:tcPr>
          <w:p w14:paraId="6211B4FA" w14:textId="0319DC1F"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117</w:t>
            </w:r>
          </w:p>
        </w:tc>
        <w:tc>
          <w:tcPr>
            <w:tcW w:w="1270" w:type="pct"/>
            <w:vAlign w:val="center"/>
          </w:tcPr>
          <w:p w14:paraId="5641F916" w14:textId="1750A841"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9125.2 (7781.9, 10700.5)</w:t>
            </w:r>
          </w:p>
        </w:tc>
      </w:tr>
      <w:tr w:rsidR="00905D2F" w:rsidRPr="005A5BB7" w14:paraId="4BB2B4AD" w14:textId="77777777" w:rsidTr="00E62C03">
        <w:tc>
          <w:tcPr>
            <w:tcW w:w="392" w:type="pct"/>
            <w:vMerge/>
            <w:vAlign w:val="center"/>
          </w:tcPr>
          <w:p w14:paraId="0BF00621"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1227E992"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V4</w:t>
            </w:r>
          </w:p>
        </w:tc>
        <w:tc>
          <w:tcPr>
            <w:tcW w:w="402" w:type="pct"/>
            <w:vAlign w:val="center"/>
          </w:tcPr>
          <w:p w14:paraId="2A25760E" w14:textId="7F24E38A"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6EA501B4" w14:textId="58F3F67D"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116</w:t>
            </w:r>
          </w:p>
        </w:tc>
        <w:tc>
          <w:tcPr>
            <w:tcW w:w="1350" w:type="pct"/>
            <w:vAlign w:val="center"/>
          </w:tcPr>
          <w:p w14:paraId="53498C3F" w14:textId="7A8F2DC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4461.7 (3519.0, 5657.0)</w:t>
            </w:r>
          </w:p>
        </w:tc>
        <w:tc>
          <w:tcPr>
            <w:tcW w:w="477" w:type="pct"/>
            <w:vAlign w:val="center"/>
          </w:tcPr>
          <w:p w14:paraId="4A5C11FA" w14:textId="2A7ED104"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110</w:t>
            </w:r>
          </w:p>
        </w:tc>
        <w:tc>
          <w:tcPr>
            <w:tcW w:w="1270" w:type="pct"/>
            <w:vAlign w:val="center"/>
          </w:tcPr>
          <w:p w14:paraId="7EE14587" w14:textId="6A52DB4A"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6281.6 (5377.6, 7337.7)</w:t>
            </w:r>
          </w:p>
        </w:tc>
      </w:tr>
      <w:tr w:rsidR="00905D2F" w:rsidRPr="005A5BB7" w14:paraId="49CC8B63" w14:textId="77777777" w:rsidTr="00E62C03">
        <w:tc>
          <w:tcPr>
            <w:tcW w:w="392" w:type="pct"/>
            <w:vMerge/>
            <w:vAlign w:val="center"/>
          </w:tcPr>
          <w:p w14:paraId="4E25655C"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0BAE4AE6"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V5</w:t>
            </w:r>
          </w:p>
        </w:tc>
        <w:tc>
          <w:tcPr>
            <w:tcW w:w="402" w:type="pct"/>
            <w:vAlign w:val="center"/>
          </w:tcPr>
          <w:p w14:paraId="0A857826" w14:textId="266997CA"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02E4E547" w14:textId="7C754A3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120</w:t>
            </w:r>
          </w:p>
        </w:tc>
        <w:tc>
          <w:tcPr>
            <w:tcW w:w="1350" w:type="pct"/>
            <w:vAlign w:val="center"/>
          </w:tcPr>
          <w:p w14:paraId="05FCDF7D" w14:textId="463D1B4F"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2926.9 (2364.0, 3623.8)</w:t>
            </w:r>
          </w:p>
        </w:tc>
        <w:tc>
          <w:tcPr>
            <w:tcW w:w="477" w:type="pct"/>
            <w:vAlign w:val="center"/>
          </w:tcPr>
          <w:p w14:paraId="0497CA4A" w14:textId="1A9F65DB"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115</w:t>
            </w:r>
          </w:p>
        </w:tc>
        <w:tc>
          <w:tcPr>
            <w:tcW w:w="1270" w:type="pct"/>
            <w:vAlign w:val="center"/>
          </w:tcPr>
          <w:p w14:paraId="5B529F5F" w14:textId="454C086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3584.5 (3093.6, 4153.3)</w:t>
            </w:r>
          </w:p>
        </w:tc>
      </w:tr>
      <w:tr w:rsidR="00905D2F" w:rsidRPr="005A5BB7" w14:paraId="65231513" w14:textId="77777777" w:rsidTr="00E62C03">
        <w:tc>
          <w:tcPr>
            <w:tcW w:w="392" w:type="pct"/>
            <w:vMerge/>
            <w:vAlign w:val="center"/>
          </w:tcPr>
          <w:p w14:paraId="4CADEC6B" w14:textId="77777777" w:rsidR="00E62C03" w:rsidRPr="005A5BB7" w:rsidRDefault="00E62C03" w:rsidP="002E438F">
            <w:pPr>
              <w:keepNext/>
              <w:jc w:val="left"/>
              <w:rPr>
                <w:rFonts w:ascii="Arial Narrow" w:hAnsi="Arial Narrow" w:cs="Times New Roman"/>
                <w:sz w:val="20"/>
              </w:rPr>
            </w:pPr>
          </w:p>
        </w:tc>
        <w:tc>
          <w:tcPr>
            <w:tcW w:w="560" w:type="pct"/>
            <w:vAlign w:val="center"/>
          </w:tcPr>
          <w:p w14:paraId="4753B231" w14:textId="77777777"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V6</w:t>
            </w:r>
          </w:p>
        </w:tc>
        <w:tc>
          <w:tcPr>
            <w:tcW w:w="402" w:type="pct"/>
            <w:vAlign w:val="center"/>
          </w:tcPr>
          <w:p w14:paraId="09F61359" w14:textId="046A83CB"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GMT</w:t>
            </w:r>
          </w:p>
        </w:tc>
        <w:tc>
          <w:tcPr>
            <w:tcW w:w="548" w:type="pct"/>
            <w:vAlign w:val="center"/>
          </w:tcPr>
          <w:p w14:paraId="7D91B717" w14:textId="61A37209"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116</w:t>
            </w:r>
          </w:p>
        </w:tc>
        <w:tc>
          <w:tcPr>
            <w:tcW w:w="1350" w:type="pct"/>
            <w:vAlign w:val="center"/>
          </w:tcPr>
          <w:p w14:paraId="14DEE075" w14:textId="652DB85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2206.7 (1811.3, 2688.5)</w:t>
            </w:r>
          </w:p>
        </w:tc>
        <w:tc>
          <w:tcPr>
            <w:tcW w:w="477" w:type="pct"/>
            <w:vAlign w:val="center"/>
          </w:tcPr>
          <w:p w14:paraId="6E23EE2C" w14:textId="7BAA898C"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114</w:t>
            </w:r>
          </w:p>
        </w:tc>
        <w:tc>
          <w:tcPr>
            <w:tcW w:w="1270" w:type="pct"/>
            <w:vAlign w:val="center"/>
          </w:tcPr>
          <w:p w14:paraId="67FC8F3E" w14:textId="0F2A21BB" w:rsidR="00E62C03" w:rsidRPr="005A5BB7" w:rsidRDefault="00E62C03" w:rsidP="002E438F">
            <w:pPr>
              <w:keepNext/>
              <w:jc w:val="center"/>
              <w:rPr>
                <w:rFonts w:ascii="Arial Narrow" w:hAnsi="Arial Narrow" w:cs="Times New Roman"/>
                <w:sz w:val="20"/>
              </w:rPr>
            </w:pPr>
            <w:r w:rsidRPr="005A5BB7">
              <w:rPr>
                <w:rFonts w:ascii="Arial Narrow" w:hAnsi="Arial Narrow" w:cs="Times New Roman"/>
                <w:sz w:val="20"/>
              </w:rPr>
              <w:t>2665.1 (2310.9, 3073.5)</w:t>
            </w:r>
          </w:p>
        </w:tc>
      </w:tr>
    </w:tbl>
    <w:p w14:paraId="39B4C857" w14:textId="582E8A44" w:rsidR="00E62C03" w:rsidRPr="005A5BB7" w:rsidRDefault="00A1743F" w:rsidP="002E438F">
      <w:pPr>
        <w:pStyle w:val="TableFooter"/>
        <w:keepNext/>
        <w:jc w:val="left"/>
      </w:pPr>
      <w:r w:rsidRPr="005A5BB7">
        <w:t xml:space="preserve">Source: Data extracted from Table </w:t>
      </w:r>
      <w:r w:rsidR="00D767D4" w:rsidRPr="005A5BB7">
        <w:t>2</w:t>
      </w:r>
      <w:r w:rsidR="000E4816">
        <w:noBreakHyphen/>
      </w:r>
      <w:r w:rsidR="00D767D4" w:rsidRPr="005A5BB7">
        <w:t xml:space="preserve">20, p </w:t>
      </w:r>
      <w:r w:rsidR="005352FA" w:rsidRPr="005A5BB7">
        <w:t xml:space="preserve">77 of the submission. </w:t>
      </w:r>
      <w:r w:rsidR="002F46BD" w:rsidRPr="005A5BB7">
        <w:br/>
        <w:t>CI = confidence interval; GMT = geometric mean titre; n = number of participants with available results; PPS = per</w:t>
      </w:r>
      <w:r w:rsidR="000E4816">
        <w:noBreakHyphen/>
      </w:r>
      <w:r w:rsidR="002F46BD" w:rsidRPr="005A5BB7">
        <w:t xml:space="preserve">protocol set; RSV_IC_1 = immunocompromised participants receiving 1 dose of </w:t>
      </w:r>
      <w:r w:rsidR="00C00AE0" w:rsidRPr="005A5BB7">
        <w:t>RSVPreF3 OA</w:t>
      </w:r>
      <w:r w:rsidR="002F46BD" w:rsidRPr="005A5BB7">
        <w:t xml:space="preserve">; RSV_HA = healthy adults participants (≥50 YOA) receiving 1 dose of </w:t>
      </w:r>
      <w:r w:rsidR="00C050CD" w:rsidRPr="005A5BB7">
        <w:t>RSVPreF3 OA</w:t>
      </w:r>
      <w:r w:rsidR="00CB1932" w:rsidRPr="005A5BB7">
        <w:t>; V1 = Pre</w:t>
      </w:r>
      <w:r w:rsidR="000E4816">
        <w:noBreakHyphen/>
      </w:r>
      <w:r w:rsidR="00CB1932" w:rsidRPr="005A5BB7">
        <w:t>vaccination at Visit 1 (Day 1); V2 = Visit 2 (Visit 1 + 7</w:t>
      </w:r>
      <w:r w:rsidR="000E4816">
        <w:noBreakHyphen/>
      </w:r>
      <w:r w:rsidR="00CB1932" w:rsidRPr="005A5BB7">
        <w:t>14 days); V3 = Visit 3 (Visit 1 + 30</w:t>
      </w:r>
      <w:r w:rsidR="000E4816">
        <w:noBreakHyphen/>
      </w:r>
      <w:r w:rsidR="00CB1932" w:rsidRPr="005A5BB7">
        <w:t>60 days); Visit 4 = (Visit 3 + 30</w:t>
      </w:r>
      <w:r w:rsidR="000E4816">
        <w:noBreakHyphen/>
      </w:r>
      <w:r w:rsidR="00CB1932" w:rsidRPr="005A5BB7">
        <w:t>42 days); V5 = Visit 5 (last dose of RSVPreF3 OA + 180</w:t>
      </w:r>
      <w:r w:rsidR="000E4816">
        <w:noBreakHyphen/>
      </w:r>
      <w:r w:rsidR="00CB1932" w:rsidRPr="005A5BB7">
        <w:t>210 days); V6 = Visit 6 (last dose of RSVPreF3 OA + 350</w:t>
      </w:r>
      <w:r w:rsidR="000E4816">
        <w:noBreakHyphen/>
      </w:r>
      <w:r w:rsidR="00CB1932" w:rsidRPr="005A5BB7">
        <w:t>380 days)</w:t>
      </w:r>
    </w:p>
    <w:p w14:paraId="1EA918DA" w14:textId="5183227F" w:rsidR="00EF1D6A" w:rsidRPr="005A5BB7" w:rsidRDefault="00EF1D6A">
      <w:pPr>
        <w:jc w:val="left"/>
        <w:rPr>
          <w:rFonts w:ascii="Arial Narrow" w:hAnsi="Arial Narrow"/>
          <w:b/>
          <w:bCs/>
          <w:sz w:val="20"/>
          <w:szCs w:val="18"/>
        </w:rPr>
      </w:pPr>
      <w:bookmarkStart w:id="54" w:name="_Ref219380133"/>
    </w:p>
    <w:p w14:paraId="1452C351" w14:textId="0D19F1B0" w:rsidR="00B60939" w:rsidRPr="005A5BB7" w:rsidRDefault="31CDB5B0" w:rsidP="00E64E39">
      <w:pPr>
        <w:pStyle w:val="4-SubsectionHeading"/>
      </w:pPr>
      <w:bookmarkStart w:id="55" w:name="_Toc22897642"/>
      <w:bookmarkStart w:id="56" w:name="_Toc219882183"/>
      <w:bookmarkEnd w:id="54"/>
      <w:r w:rsidRPr="005A5BB7">
        <w:t>Comparative harms</w:t>
      </w:r>
      <w:bookmarkEnd w:id="55"/>
      <w:bookmarkEnd w:id="56"/>
    </w:p>
    <w:p w14:paraId="59504717" w14:textId="571D1D56" w:rsidR="74D8A25E" w:rsidRPr="005A5BB7" w:rsidRDefault="74D8A25E" w:rsidP="3FF051E5">
      <w:pPr>
        <w:pStyle w:val="3-BodyText"/>
      </w:pPr>
      <w:r w:rsidRPr="005A5BB7">
        <w:t>The safety data for single</w:t>
      </w:r>
      <w:r w:rsidR="000E4816">
        <w:noBreakHyphen/>
      </w:r>
      <w:r w:rsidRPr="005A5BB7">
        <w:t xml:space="preserve">dose </w:t>
      </w:r>
      <w:r w:rsidR="001A3BAF" w:rsidRPr="005A5BB7">
        <w:t>RSVPreF3</w:t>
      </w:r>
      <w:r w:rsidRPr="005A5BB7">
        <w:t xml:space="preserve"> OA for the overall trial population of </w:t>
      </w:r>
      <w:r w:rsidR="00B0398A" w:rsidRPr="005A5BB7">
        <w:t>AReSVi</w:t>
      </w:r>
      <w:r w:rsidR="000E4816">
        <w:noBreakHyphen/>
      </w:r>
      <w:r w:rsidR="00B0398A" w:rsidRPr="005A5BB7">
        <w:t xml:space="preserve">006 </w:t>
      </w:r>
      <w:r w:rsidRPr="005A5BB7">
        <w:t xml:space="preserve">over 1 (VE Analysis 1) or 3 RSV seasons (End of Study Analysis) were previously presented </w:t>
      </w:r>
      <w:r w:rsidR="004A2858" w:rsidRPr="005A5BB7">
        <w:t>for</w:t>
      </w:r>
      <w:r w:rsidRPr="005A5BB7">
        <w:t xml:space="preserve"> PBAC </w:t>
      </w:r>
      <w:r w:rsidR="00501900" w:rsidRPr="005A5BB7">
        <w:t>consideration</w:t>
      </w:r>
      <w:r w:rsidRPr="005A5BB7">
        <w:t xml:space="preserve">. No additional safety data for </w:t>
      </w:r>
      <w:r w:rsidR="00B0398A" w:rsidRPr="005A5BB7">
        <w:t>AReSVi</w:t>
      </w:r>
      <w:r w:rsidR="000E4816">
        <w:noBreakHyphen/>
      </w:r>
      <w:r w:rsidR="00B0398A" w:rsidRPr="005A5BB7">
        <w:t>006</w:t>
      </w:r>
      <w:r w:rsidRPr="005A5BB7">
        <w:t xml:space="preserve"> </w:t>
      </w:r>
      <w:r w:rsidR="00C54F2A" w:rsidRPr="005A5BB7">
        <w:t xml:space="preserve">was </w:t>
      </w:r>
      <w:r w:rsidRPr="005A5BB7">
        <w:t xml:space="preserve">presented within this </w:t>
      </w:r>
      <w:r w:rsidR="002D7CD5" w:rsidRPr="005A5BB7">
        <w:t>res</w:t>
      </w:r>
      <w:r w:rsidRPr="005A5BB7">
        <w:t xml:space="preserve">ubmission. </w:t>
      </w:r>
      <w:r w:rsidR="00345712" w:rsidRPr="005A5BB7">
        <w:t xml:space="preserve">The PBAC previously considered that the </w:t>
      </w:r>
      <w:r w:rsidR="00904D50" w:rsidRPr="005A5BB7">
        <w:t xml:space="preserve">RSVPreF3 OA </w:t>
      </w:r>
      <w:r w:rsidR="00345712" w:rsidRPr="005A5BB7">
        <w:t>vaccine had an</w:t>
      </w:r>
      <w:r w:rsidR="00EE7948" w:rsidRPr="005A5BB7">
        <w:t xml:space="preserve"> acceptable safety profile</w:t>
      </w:r>
      <w:r w:rsidR="00ED6D53" w:rsidRPr="005A5BB7">
        <w:t xml:space="preserve"> despite being more reactogenic compared to placebo</w:t>
      </w:r>
      <w:r w:rsidR="00CD3F23" w:rsidRPr="005A5BB7">
        <w:t xml:space="preserve"> (</w:t>
      </w:r>
      <w:r w:rsidR="001C4837" w:rsidRPr="005A5BB7">
        <w:t>para</w:t>
      </w:r>
      <w:r w:rsidR="00081182">
        <w:t>graph</w:t>
      </w:r>
      <w:r w:rsidR="001C4837" w:rsidRPr="005A5BB7">
        <w:t xml:space="preserve"> 6.42</w:t>
      </w:r>
      <w:r w:rsidR="00CD3F23" w:rsidRPr="005A5BB7">
        <w:t>, RSVPreF3 OA PSD, July 2025 PBAC meeting).</w:t>
      </w:r>
    </w:p>
    <w:p w14:paraId="1FD38DD8" w14:textId="0236E3FA" w:rsidR="74D8A25E" w:rsidRPr="005A5BB7" w:rsidRDefault="74D8A25E" w:rsidP="3FF051E5">
      <w:pPr>
        <w:pStyle w:val="3-BodyText"/>
        <w:rPr>
          <w:rFonts w:ascii="Arial Narrow" w:eastAsia="Arial Narrow" w:hAnsi="Arial Narrow" w:cs="Arial Narrow"/>
          <w:b/>
          <w:bCs/>
          <w:iCs/>
          <w:color w:val="D13438"/>
          <w:sz w:val="20"/>
          <w:szCs w:val="20"/>
        </w:rPr>
      </w:pPr>
      <w:r w:rsidRPr="005A5BB7">
        <w:t xml:space="preserve">The PBAC previously considered </w:t>
      </w:r>
      <w:r w:rsidR="009F6693" w:rsidRPr="005A5BB7">
        <w:t>for the ≥75 YOA and First Nations People 60</w:t>
      </w:r>
      <w:r w:rsidR="000E4816">
        <w:noBreakHyphen/>
      </w:r>
      <w:r w:rsidR="009F6693" w:rsidRPr="005A5BB7">
        <w:t>74 YOA population</w:t>
      </w:r>
      <w:r w:rsidR="001D148B" w:rsidRPr="005A5BB7">
        <w:t>s</w:t>
      </w:r>
      <w:r w:rsidRPr="005A5BB7">
        <w:t xml:space="preserve"> that the claim that </w:t>
      </w:r>
      <w:r w:rsidR="001A3BAF" w:rsidRPr="005A5BB7">
        <w:t>RSVPreF3</w:t>
      </w:r>
      <w:r w:rsidRPr="005A5BB7">
        <w:t xml:space="preserve"> OA vaccine had an acceptable safety profile was reasonable</w:t>
      </w:r>
      <w:r w:rsidR="002224D1" w:rsidRPr="005A5BB7">
        <w:t>.</w:t>
      </w:r>
      <w:r w:rsidRPr="005A5BB7">
        <w:t xml:space="preserve"> </w:t>
      </w:r>
      <w:r w:rsidR="002224D1" w:rsidRPr="005A5BB7">
        <w:t xml:space="preserve">The PBAC </w:t>
      </w:r>
      <w:r w:rsidRPr="005A5BB7">
        <w:t>not</w:t>
      </w:r>
      <w:r w:rsidR="002224D1" w:rsidRPr="005A5BB7">
        <w:t>ed</w:t>
      </w:r>
      <w:r w:rsidRPr="005A5BB7">
        <w:t xml:space="preserve"> there were higher rates of AEs compared with placebo, but overall, the safety was comparable to other adjuvanted vaccines (paragraph 7.14, </w:t>
      </w:r>
      <w:r w:rsidR="001A3BAF" w:rsidRPr="005A5BB7">
        <w:t>RSVPreF3</w:t>
      </w:r>
      <w:r w:rsidRPr="005A5BB7">
        <w:t xml:space="preserve"> OA PSD, July 2024).</w:t>
      </w:r>
      <w:r w:rsidR="00D50151" w:rsidRPr="005A5BB7">
        <w:t xml:space="preserve"> This </w:t>
      </w:r>
      <w:r w:rsidR="004037ED" w:rsidRPr="005A5BB7">
        <w:t>re</w:t>
      </w:r>
      <w:r w:rsidR="00D50151" w:rsidRPr="005A5BB7">
        <w:t xml:space="preserve">submission did not </w:t>
      </w:r>
      <w:r w:rsidR="00B128FE" w:rsidRPr="005A5BB7">
        <w:t xml:space="preserve">specifically </w:t>
      </w:r>
      <w:r w:rsidR="00D50151" w:rsidRPr="005A5BB7">
        <w:t xml:space="preserve">report </w:t>
      </w:r>
      <w:r w:rsidR="00B128FE" w:rsidRPr="005A5BB7">
        <w:t xml:space="preserve">safety of the </w:t>
      </w:r>
      <w:r w:rsidR="001A3BAF" w:rsidRPr="005A5BB7">
        <w:t>RSVPreF3</w:t>
      </w:r>
      <w:r w:rsidR="00B128FE" w:rsidRPr="005A5BB7">
        <w:t xml:space="preserve"> OA vaccine</w:t>
      </w:r>
      <w:r w:rsidR="00AA1CE2" w:rsidRPr="005A5BB7">
        <w:t xml:space="preserve"> within the population of interest </w:t>
      </w:r>
      <w:r w:rsidR="00FC0DD6" w:rsidRPr="005A5BB7">
        <w:t>(at</w:t>
      </w:r>
      <w:r w:rsidR="000E4816">
        <w:noBreakHyphen/>
      </w:r>
      <w:r w:rsidR="00FC0DD6" w:rsidRPr="005A5BB7">
        <w:t>risk individuals)</w:t>
      </w:r>
      <w:r w:rsidR="00C34D94" w:rsidRPr="005A5BB7">
        <w:t xml:space="preserve"> and</w:t>
      </w:r>
      <w:r w:rsidR="00FC0DD6" w:rsidRPr="005A5BB7">
        <w:t xml:space="preserve"> </w:t>
      </w:r>
      <w:r w:rsidR="006F3CDA" w:rsidRPr="005A5BB7">
        <w:t>instead provided a summary of safety for use within</w:t>
      </w:r>
      <w:r w:rsidR="00AA1CE2" w:rsidRPr="005A5BB7">
        <w:t xml:space="preserve"> the </w:t>
      </w:r>
      <w:r w:rsidR="006F3CDA" w:rsidRPr="005A5BB7">
        <w:t>overall population.</w:t>
      </w:r>
      <w:r w:rsidR="00DA1339">
        <w:t xml:space="preserve"> </w:t>
      </w:r>
      <w:r w:rsidR="00EA7704" w:rsidRPr="005A5BB7">
        <w:rPr>
          <w:iCs/>
        </w:rPr>
        <w:t>The ESC considered that the claim that RSVPreF3 OA vaccine had an acceptable safety profile was reasonable for the population of interest.</w:t>
      </w:r>
    </w:p>
    <w:p w14:paraId="15E088DE" w14:textId="592A642C" w:rsidR="519F5A28" w:rsidRPr="005A5BB7" w:rsidRDefault="519F5A28" w:rsidP="3FF051E5">
      <w:pPr>
        <w:pStyle w:val="3-BodyText"/>
        <w:keepLines/>
      </w:pPr>
      <w:r w:rsidRPr="005A5BB7">
        <w:lastRenderedPageBreak/>
        <w:t>The Periodic Benefit</w:t>
      </w:r>
      <w:r w:rsidR="000E4816">
        <w:noBreakHyphen/>
      </w:r>
      <w:r w:rsidRPr="005A5BB7">
        <w:t xml:space="preserve">Risk Evaluation Report (PBRER) reported that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Pr="005A5BB7">
        <w:t xml:space="preserve"> The sponsor has previously refuted a signal for GBS following notification from the Food and Drug Administration (FDA) at the end of season analysis of the study</w:t>
      </w:r>
      <w:r w:rsidR="00E82C05" w:rsidRPr="005A5BB7">
        <w:rPr>
          <w:rStyle w:val="FootnoteReference"/>
        </w:rPr>
        <w:footnoteReference w:id="9"/>
      </w:r>
      <w:r w:rsidR="00DA1339">
        <w:t xml:space="preserve"> </w:t>
      </w:r>
      <w:r w:rsidR="00F27C88" w:rsidRPr="005A5BB7">
        <w:t>The TGA advises that given the potential severity of RSV infection and the rarity of GBS, the benefit</w:t>
      </w:r>
      <w:r w:rsidR="000E4816">
        <w:noBreakHyphen/>
      </w:r>
      <w:r w:rsidR="00F27C88" w:rsidRPr="005A5BB7">
        <w:t>risk balance remains strongly in favour of vaccination in the target groups</w:t>
      </w:r>
      <w:r w:rsidR="00F27C88" w:rsidRPr="005A5BB7">
        <w:rPr>
          <w:rStyle w:val="FootnoteReference"/>
        </w:rPr>
        <w:footnoteReference w:id="10"/>
      </w:r>
      <w:r w:rsidR="00F27C88" w:rsidRPr="005A5BB7">
        <w:t>.</w:t>
      </w:r>
    </w:p>
    <w:p w14:paraId="18BEAE8B" w14:textId="1C9BBA88" w:rsidR="000F712C" w:rsidRPr="005A5BB7" w:rsidRDefault="519F5A28" w:rsidP="005A6EF9">
      <w:pPr>
        <w:pStyle w:val="3-BodyText"/>
        <w:keepLines/>
      </w:pPr>
      <w:r>
        <w:t>Atrial fibrillation (AF) is a specific AE of interest due to an observed numerical imbalance in serious adverse events (SAEs) within 30 days post dose 1 of RSVP</w:t>
      </w:r>
      <w:r w:rsidR="00710DD9">
        <w:t>P</w:t>
      </w:r>
      <w:r>
        <w:t>re</w:t>
      </w:r>
      <w:r w:rsidR="00E55E69">
        <w:t>F</w:t>
      </w:r>
      <w:r>
        <w:t xml:space="preserve">3 OA compared to placebo in study </w:t>
      </w:r>
      <w:r w:rsidR="00B0398A">
        <w:t>AReSVi</w:t>
      </w:r>
      <w:r>
        <w:noBreakHyphen/>
      </w:r>
      <w:r w:rsidR="00B0398A">
        <w:t>006</w:t>
      </w:r>
      <w:r>
        <w:t>.</w:t>
      </w:r>
      <w:r w:rsidR="00DA1339">
        <w:t xml:space="preserve"> </w:t>
      </w:r>
      <w:r w:rsidR="0039666C">
        <w:t>The FDA requested a post</w:t>
      </w:r>
      <w:r>
        <w:noBreakHyphen/>
      </w:r>
      <w:r w:rsidR="0039666C">
        <w:t xml:space="preserve">marketing safety study of AF (included as part of the GBS/ADEM safety study) and expedited reporting of AEs. </w:t>
      </w:r>
      <w:r w:rsidRPr="00AE1014">
        <w:t xml:space="preserve">The </w:t>
      </w:r>
      <w:r w:rsidR="004037ED" w:rsidRPr="00AE1014">
        <w:t>res</w:t>
      </w:r>
      <w:r w:rsidRPr="00AE1014">
        <w:t xml:space="preserve">ubmission </w:t>
      </w:r>
      <w:r w:rsidR="00F62B12" w:rsidRPr="00AE1014">
        <w:t xml:space="preserve">stated that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DA1339">
        <w:t xml:space="preserve"> </w:t>
      </w:r>
      <w:r w:rsidR="00BA0D1B">
        <w:t>The resubmission stated that the sponsor will continue to monitor atrial fibrillation following RSVPReF3 OA via routine pharmacovigilance surveillance activities.</w:t>
      </w:r>
    </w:p>
    <w:p w14:paraId="04908C7F" w14:textId="415B9B7D" w:rsidR="007F1017" w:rsidRPr="005A5BB7" w:rsidRDefault="58E48C67" w:rsidP="00E64E39">
      <w:pPr>
        <w:pStyle w:val="4-SubsectionHeading"/>
        <w:rPr>
          <w:iCs/>
        </w:rPr>
      </w:pPr>
      <w:bookmarkStart w:id="57" w:name="_Toc22897643"/>
      <w:bookmarkStart w:id="58" w:name="_Toc219882184"/>
      <w:r w:rsidRPr="005A5BB7">
        <w:t>Benefits/harms</w:t>
      </w:r>
      <w:bookmarkEnd w:id="57"/>
      <w:bookmarkEnd w:id="58"/>
    </w:p>
    <w:p w14:paraId="3E602107" w14:textId="602F9BAD" w:rsidR="004D0802" w:rsidRPr="005A5BB7" w:rsidRDefault="5D9E99E4" w:rsidP="00645CFE">
      <w:pPr>
        <w:pStyle w:val="3-BodyText"/>
      </w:pPr>
      <w:r w:rsidRPr="005A5BB7">
        <w:t xml:space="preserve">A summary of the comparative benefits and harms for RSVPreF3 OA versus placebo is presented in </w:t>
      </w:r>
      <w:bookmarkStart w:id="59" w:name="_Ref216945993"/>
      <w:bookmarkStart w:id="60" w:name="_Ref219881404"/>
      <w:r w:rsidR="00610FDF" w:rsidRPr="005A5BB7">
        <w:fldChar w:fldCharType="begin"/>
      </w:r>
      <w:r w:rsidR="00610FDF" w:rsidRPr="005A5BB7">
        <w:instrText xml:space="preserve"> REF _Ref224896118 \h </w:instrText>
      </w:r>
      <w:r w:rsidR="00610FDF" w:rsidRPr="005A5BB7">
        <w:fldChar w:fldCharType="separate"/>
      </w:r>
      <w:r w:rsidR="0043658C" w:rsidRPr="005A5BB7">
        <w:t xml:space="preserve">Table </w:t>
      </w:r>
      <w:r w:rsidR="0043658C">
        <w:rPr>
          <w:noProof/>
        </w:rPr>
        <w:t>12</w:t>
      </w:r>
      <w:r w:rsidR="00610FDF" w:rsidRPr="005A5BB7">
        <w:fldChar w:fldCharType="end"/>
      </w:r>
      <w:r w:rsidR="00610FDF" w:rsidRPr="005A5BB7">
        <w:t>.</w:t>
      </w:r>
    </w:p>
    <w:p w14:paraId="6434B791" w14:textId="2567F867" w:rsidR="001505D4" w:rsidRPr="005A5BB7" w:rsidRDefault="00A02FA2" w:rsidP="00196A13">
      <w:pPr>
        <w:pStyle w:val="Caption"/>
      </w:pPr>
      <w:bookmarkStart w:id="61" w:name="_Ref224896118"/>
      <w:r w:rsidRPr="005A5BB7">
        <w:lastRenderedPageBreak/>
        <w:t>Table</w:t>
      </w:r>
      <w:bookmarkEnd w:id="59"/>
      <w:r w:rsidRPr="005A5BB7">
        <w:t xml:space="preserve"> </w:t>
      </w:r>
      <w:fldSimple w:instr=" SEQ Table \* ARABIC ">
        <w:r w:rsidR="0043658C">
          <w:rPr>
            <w:noProof/>
          </w:rPr>
          <w:t>12</w:t>
        </w:r>
      </w:fldSimple>
      <w:bookmarkEnd w:id="60"/>
      <w:bookmarkEnd w:id="61"/>
      <w:r w:rsidRPr="005A5BB7">
        <w:t xml:space="preserve">: Summary of comparative benefits and harms for RSVPreF3 OA and placebo </w:t>
      </w:r>
    </w:p>
    <w:tbl>
      <w:tblPr>
        <w:tblStyle w:val="TableGrid"/>
        <w:tblW w:w="906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70"/>
        <w:gridCol w:w="1480"/>
        <w:gridCol w:w="1474"/>
        <w:gridCol w:w="1483"/>
        <w:gridCol w:w="2857"/>
      </w:tblGrid>
      <w:tr w:rsidR="0042696B" w:rsidRPr="005A5BB7" w14:paraId="18DAF4D0" w14:textId="72A08DA2" w:rsidTr="004D0802">
        <w:trPr>
          <w:trHeight w:val="15"/>
        </w:trPr>
        <w:tc>
          <w:tcPr>
            <w:tcW w:w="9064" w:type="dxa"/>
            <w:gridSpan w:val="5"/>
            <w:tcMar>
              <w:left w:w="15" w:type="dxa"/>
              <w:right w:w="15" w:type="dxa"/>
            </w:tcMar>
          </w:tcPr>
          <w:p w14:paraId="14667903" w14:textId="2F83E6F1" w:rsidR="0042696B" w:rsidRPr="005A5BB7" w:rsidRDefault="0042696B"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Benefits</w:t>
            </w:r>
          </w:p>
        </w:tc>
      </w:tr>
      <w:tr w:rsidR="0042696B" w:rsidRPr="005A5BB7" w14:paraId="630AA411" w14:textId="3C03A2B4" w:rsidTr="004D0802">
        <w:trPr>
          <w:trHeight w:val="15"/>
        </w:trPr>
        <w:tc>
          <w:tcPr>
            <w:tcW w:w="9064" w:type="dxa"/>
            <w:gridSpan w:val="5"/>
            <w:tcMar>
              <w:left w:w="15" w:type="dxa"/>
              <w:right w:w="15" w:type="dxa"/>
            </w:tcMar>
          </w:tcPr>
          <w:p w14:paraId="7285B7A4" w14:textId="1B340D1B" w:rsidR="0042696B" w:rsidRPr="005A5BB7" w:rsidRDefault="0042696B"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RT</w:t>
            </w:r>
            <w:r w:rsidR="000E4816">
              <w:rPr>
                <w:rFonts w:eastAsia="Arial Narrow" w:cs="Arial Narrow"/>
                <w:bCs/>
                <w:color w:val="000000" w:themeColor="text1"/>
                <w:szCs w:val="20"/>
                <w:lang w:val="en-AU"/>
              </w:rPr>
              <w:noBreakHyphen/>
            </w:r>
            <w:r w:rsidRPr="005A5BB7">
              <w:rPr>
                <w:rFonts w:eastAsia="Arial Narrow" w:cs="Arial Narrow"/>
                <w:bCs/>
                <w:color w:val="000000" w:themeColor="text1"/>
                <w:szCs w:val="20"/>
                <w:lang w:val="en-AU"/>
              </w:rPr>
              <w:t>PCR confirmed RSV</w:t>
            </w:r>
            <w:r w:rsidR="000E4816">
              <w:rPr>
                <w:rFonts w:eastAsia="Arial Narrow" w:cs="Arial Narrow"/>
                <w:bCs/>
                <w:color w:val="000000" w:themeColor="text1"/>
                <w:szCs w:val="20"/>
                <w:lang w:val="en-AU"/>
              </w:rPr>
              <w:noBreakHyphen/>
            </w:r>
            <w:r w:rsidRPr="005A5BB7">
              <w:rPr>
                <w:rFonts w:eastAsia="Arial Narrow" w:cs="Arial Narrow"/>
                <w:bCs/>
                <w:color w:val="000000" w:themeColor="text1"/>
                <w:szCs w:val="20"/>
                <w:lang w:val="en-AU"/>
              </w:rPr>
              <w:t>LRTD</w:t>
            </w:r>
          </w:p>
        </w:tc>
      </w:tr>
      <w:tr w:rsidR="00D11833" w:rsidRPr="005A5BB7" w14:paraId="6FEE1428" w14:textId="583321CE">
        <w:trPr>
          <w:trHeight w:val="15"/>
        </w:trPr>
        <w:tc>
          <w:tcPr>
            <w:tcW w:w="1770" w:type="dxa"/>
            <w:tcBorders>
              <w:bottom w:val="single" w:sz="6" w:space="0" w:color="auto"/>
            </w:tcBorders>
            <w:tcMar>
              <w:left w:w="15" w:type="dxa"/>
              <w:right w:w="15" w:type="dxa"/>
            </w:tcMar>
          </w:tcPr>
          <w:p w14:paraId="41D695DF" w14:textId="1B00634C" w:rsidR="00D11833" w:rsidRPr="005A5BB7" w:rsidRDefault="00D11833"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Event</w:t>
            </w:r>
          </w:p>
        </w:tc>
        <w:tc>
          <w:tcPr>
            <w:tcW w:w="1480" w:type="dxa"/>
            <w:tcBorders>
              <w:bottom w:val="single" w:sz="6" w:space="0" w:color="auto"/>
            </w:tcBorders>
            <w:tcMar>
              <w:left w:w="15" w:type="dxa"/>
              <w:right w:w="15" w:type="dxa"/>
            </w:tcMar>
            <w:vAlign w:val="center"/>
          </w:tcPr>
          <w:p w14:paraId="5A012E0E" w14:textId="330B3323" w:rsidR="00D11833" w:rsidRPr="005A5BB7" w:rsidRDefault="00D11833"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RSVPreF3 OA</w:t>
            </w:r>
          </w:p>
        </w:tc>
        <w:tc>
          <w:tcPr>
            <w:tcW w:w="1474" w:type="dxa"/>
            <w:tcBorders>
              <w:bottom w:val="single" w:sz="6" w:space="0" w:color="auto"/>
            </w:tcBorders>
            <w:tcMar>
              <w:left w:w="15" w:type="dxa"/>
              <w:right w:w="15" w:type="dxa"/>
            </w:tcMar>
            <w:vAlign w:val="center"/>
          </w:tcPr>
          <w:p w14:paraId="72AA0BDE" w14:textId="16FB1DB6" w:rsidR="00D11833" w:rsidRPr="005A5BB7" w:rsidRDefault="00D11833"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Placebo</w:t>
            </w:r>
          </w:p>
        </w:tc>
        <w:tc>
          <w:tcPr>
            <w:tcW w:w="1483" w:type="dxa"/>
            <w:tcBorders>
              <w:bottom w:val="single" w:sz="6" w:space="0" w:color="auto"/>
            </w:tcBorders>
            <w:tcMar>
              <w:left w:w="15" w:type="dxa"/>
              <w:right w:w="15" w:type="dxa"/>
            </w:tcMar>
            <w:vAlign w:val="center"/>
          </w:tcPr>
          <w:p w14:paraId="4D7076A2" w14:textId="658E4221" w:rsidR="00D11833" w:rsidRPr="005A5BB7" w:rsidRDefault="00D11833"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Absolute Difference</w:t>
            </w:r>
          </w:p>
        </w:tc>
        <w:tc>
          <w:tcPr>
            <w:tcW w:w="2857" w:type="dxa"/>
            <w:tcBorders>
              <w:bottom w:val="single" w:sz="6" w:space="0" w:color="auto"/>
            </w:tcBorders>
            <w:tcMar>
              <w:left w:w="15" w:type="dxa"/>
              <w:right w:w="15" w:type="dxa"/>
            </w:tcMar>
            <w:vAlign w:val="center"/>
          </w:tcPr>
          <w:p w14:paraId="7771A0BD" w14:textId="77777777" w:rsidR="00D11833" w:rsidRPr="005A5BB7" w:rsidRDefault="00D11833" w:rsidP="00645CFE">
            <w:pPr>
              <w:pStyle w:val="TableText0"/>
              <w:keepLines w:val="0"/>
              <w:rPr>
                <w:b/>
              </w:rPr>
            </w:pPr>
            <w:r w:rsidRPr="005A5BB7">
              <w:rPr>
                <w:b/>
              </w:rPr>
              <w:t xml:space="preserve">Cumulative VE% (CI </w:t>
            </w:r>
            <w:r w:rsidRPr="005A5BB7">
              <w:rPr>
                <w:b/>
                <w:vertAlign w:val="superscript"/>
              </w:rPr>
              <w:t>a</w:t>
            </w:r>
            <w:r w:rsidRPr="005A5BB7">
              <w:rPr>
                <w:b/>
              </w:rPr>
              <w:t>)</w:t>
            </w:r>
          </w:p>
          <w:p w14:paraId="616DC073" w14:textId="11474D6A" w:rsidR="00D11833" w:rsidRPr="005A5BB7" w:rsidRDefault="00D11833" w:rsidP="00D11833">
            <w:pPr>
              <w:pStyle w:val="In-tableHeading"/>
              <w:keepNext/>
              <w:jc w:val="center"/>
              <w:rPr>
                <w:rFonts w:eastAsia="Arial Narrow" w:cs="Arial Narrow"/>
                <w:b w:val="0"/>
                <w:color w:val="000000" w:themeColor="text1"/>
                <w:szCs w:val="20"/>
                <w:lang w:val="en-AU"/>
              </w:rPr>
            </w:pPr>
            <w:r w:rsidRPr="005A5BB7">
              <w:rPr>
                <w:rFonts w:eastAsia="Arial Narrow" w:cs="Arial Narrow"/>
                <w:bCs/>
                <w:color w:val="000000" w:themeColor="text1"/>
                <w:szCs w:val="20"/>
                <w:lang w:val="en-AU"/>
              </w:rPr>
              <w:t xml:space="preserve"> </w:t>
            </w:r>
          </w:p>
          <w:p w14:paraId="3CA4D30C" w14:textId="72C0FBB4" w:rsidR="00D11833" w:rsidRPr="005A5BB7" w:rsidRDefault="00D11833" w:rsidP="00645CFE">
            <w:pPr>
              <w:pStyle w:val="In-tableHeading"/>
              <w:keepNext/>
              <w:jc w:val="center"/>
              <w:rPr>
                <w:rFonts w:eastAsia="Arial Narrow" w:cs="Arial Narrow"/>
                <w:b w:val="0"/>
                <w:color w:val="000000" w:themeColor="text1"/>
                <w:szCs w:val="20"/>
                <w:lang w:val="en-AU"/>
              </w:rPr>
            </w:pPr>
          </w:p>
        </w:tc>
      </w:tr>
      <w:tr w:rsidR="0042696B" w:rsidRPr="005A5BB7" w14:paraId="4FA34B92" w14:textId="19C5BF77" w:rsidTr="004D0802">
        <w:trPr>
          <w:trHeight w:val="15"/>
        </w:trPr>
        <w:tc>
          <w:tcPr>
            <w:tcW w:w="9064" w:type="dxa"/>
            <w:gridSpan w:val="5"/>
            <w:tcBorders>
              <w:top w:val="single" w:sz="6" w:space="0" w:color="auto"/>
              <w:bottom w:val="single" w:sz="6" w:space="0" w:color="000000" w:themeColor="text1"/>
            </w:tcBorders>
            <w:tcMar>
              <w:left w:w="15" w:type="dxa"/>
              <w:right w:w="15" w:type="dxa"/>
            </w:tcMar>
            <w:vAlign w:val="center"/>
          </w:tcPr>
          <w:p w14:paraId="524F0495" w14:textId="6B0982A7" w:rsidR="0042696B" w:rsidRPr="005A5BB7" w:rsidRDefault="0042696B" w:rsidP="00645CFE">
            <w:pPr>
              <w:keepNext/>
              <w:jc w:val="left"/>
              <w:rPr>
                <w:rFonts w:ascii="Arial Narrow" w:eastAsia="Arial Narrow" w:hAnsi="Arial Narrow" w:cs="Arial Narrow"/>
                <w:b/>
                <w:bCs/>
                <w:color w:val="000000" w:themeColor="text1"/>
                <w:sz w:val="20"/>
                <w:szCs w:val="20"/>
              </w:rPr>
            </w:pPr>
            <w:r w:rsidRPr="005A5BB7">
              <w:rPr>
                <w:rFonts w:ascii="Arial Narrow" w:eastAsia="Arial Narrow" w:hAnsi="Arial Narrow" w:cs="Arial Narrow"/>
                <w:b/>
                <w:bCs/>
                <w:color w:val="000000" w:themeColor="text1"/>
                <w:sz w:val="20"/>
                <w:szCs w:val="20"/>
              </w:rPr>
              <w:t>End of Study Analysis: End of S3 NH (median follow</w:t>
            </w:r>
            <w:r w:rsidR="000E4816">
              <w:rPr>
                <w:rFonts w:ascii="Arial Narrow" w:eastAsia="Arial Narrow" w:hAnsi="Arial Narrow" w:cs="Arial Narrow"/>
                <w:b/>
                <w:bCs/>
                <w:color w:val="000000" w:themeColor="text1"/>
                <w:sz w:val="20"/>
                <w:szCs w:val="20"/>
              </w:rPr>
              <w:noBreakHyphen/>
            </w:r>
            <w:r w:rsidRPr="005A5BB7">
              <w:rPr>
                <w:rFonts w:ascii="Arial Narrow" w:eastAsia="Arial Narrow" w:hAnsi="Arial Narrow" w:cs="Arial Narrow"/>
                <w:b/>
                <w:bCs/>
                <w:color w:val="000000" w:themeColor="text1"/>
                <w:sz w:val="20"/>
                <w:szCs w:val="20"/>
              </w:rPr>
              <w:t>up = 30.6 months)</w:t>
            </w:r>
          </w:p>
        </w:tc>
      </w:tr>
      <w:tr w:rsidR="00D11833" w:rsidRPr="005A5BB7" w14:paraId="7352F960" w14:textId="23044175" w:rsidTr="005355F4">
        <w:trPr>
          <w:trHeight w:val="15"/>
        </w:trPr>
        <w:tc>
          <w:tcPr>
            <w:tcW w:w="1770" w:type="dxa"/>
            <w:tcBorders>
              <w:top w:val="single" w:sz="6" w:space="0" w:color="auto"/>
              <w:bottom w:val="single" w:sz="6" w:space="0" w:color="000000" w:themeColor="text1"/>
              <w:right w:val="single" w:sz="6" w:space="0" w:color="auto"/>
            </w:tcBorders>
            <w:shd w:val="clear" w:color="auto" w:fill="B8CCE4" w:themeFill="accent1" w:themeFillTint="66"/>
            <w:tcMar>
              <w:left w:w="15" w:type="dxa"/>
              <w:right w:w="15" w:type="dxa"/>
            </w:tcMar>
            <w:vAlign w:val="center"/>
          </w:tcPr>
          <w:p w14:paraId="2A29C8FC" w14:textId="0C89A9B9" w:rsidR="00D11833" w:rsidRPr="005A5BB7" w:rsidRDefault="00D11833" w:rsidP="00645CFE">
            <w:pPr>
              <w:keepNext/>
              <w:jc w:val="left"/>
              <w:rPr>
                <w:rFonts w:ascii="Arial Narrow" w:eastAsia="Arial Narrow" w:hAnsi="Arial Narrow" w:cs="Arial Narrow"/>
                <w:color w:val="000000" w:themeColor="text1"/>
                <w:sz w:val="16"/>
                <w:szCs w:val="16"/>
              </w:rPr>
            </w:pPr>
            <w:r w:rsidRPr="005A5BB7">
              <w:rPr>
                <w:rFonts w:ascii="Arial Narrow" w:eastAsia="Arial Narrow" w:hAnsi="Arial Narrow" w:cs="Arial Narrow"/>
                <w:color w:val="000000" w:themeColor="text1"/>
                <w:sz w:val="20"/>
                <w:szCs w:val="20"/>
              </w:rPr>
              <w:t>Overall trial population</w:t>
            </w:r>
          </w:p>
        </w:tc>
        <w:tc>
          <w:tcPr>
            <w:tcW w:w="1480" w:type="dxa"/>
            <w:tcBorders>
              <w:top w:val="single" w:sz="6" w:space="0" w:color="auto"/>
              <w:left w:val="single" w:sz="6" w:space="0" w:color="auto"/>
              <w:bottom w:val="single" w:sz="6" w:space="0" w:color="000000" w:themeColor="text1"/>
              <w:right w:val="single" w:sz="6" w:space="0" w:color="auto"/>
            </w:tcBorders>
            <w:shd w:val="clear" w:color="auto" w:fill="B8CCE4" w:themeFill="accent1" w:themeFillTint="66"/>
            <w:tcMar>
              <w:left w:w="15" w:type="dxa"/>
              <w:right w:w="15" w:type="dxa"/>
            </w:tcMar>
            <w:vAlign w:val="center"/>
          </w:tcPr>
          <w:p w14:paraId="2BB580C7" w14:textId="782A98F1" w:rsidR="00D11833" w:rsidRPr="005A5BB7" w:rsidRDefault="00D11833" w:rsidP="00645CFE">
            <w:pPr>
              <w:pStyle w:val="TableText0"/>
              <w:keepLines w:val="0"/>
            </w:pPr>
            <w:r w:rsidRPr="005A5BB7">
              <w:t>48/12468 (0.38%)</w:t>
            </w:r>
          </w:p>
        </w:tc>
        <w:tc>
          <w:tcPr>
            <w:tcW w:w="1474" w:type="dxa"/>
            <w:tcBorders>
              <w:top w:val="single" w:sz="6" w:space="0" w:color="auto"/>
              <w:left w:val="single" w:sz="6" w:space="0" w:color="auto"/>
              <w:bottom w:val="single" w:sz="6" w:space="0" w:color="000000" w:themeColor="text1"/>
              <w:right w:val="single" w:sz="6" w:space="0" w:color="auto"/>
            </w:tcBorders>
            <w:shd w:val="clear" w:color="auto" w:fill="B8CCE4" w:themeFill="accent1" w:themeFillTint="66"/>
            <w:tcMar>
              <w:left w:w="15" w:type="dxa"/>
              <w:right w:w="15" w:type="dxa"/>
            </w:tcMar>
            <w:vAlign w:val="center"/>
          </w:tcPr>
          <w:p w14:paraId="53BDF321" w14:textId="5996A312" w:rsidR="00D11833" w:rsidRPr="005A5BB7" w:rsidRDefault="00D11833" w:rsidP="00645CFE">
            <w:pPr>
              <w:pStyle w:val="TableText0"/>
              <w:keepLines w:val="0"/>
            </w:pPr>
            <w:r w:rsidRPr="005A5BB7">
              <w:t>215/12498 (1.72%)</w:t>
            </w:r>
          </w:p>
        </w:tc>
        <w:tc>
          <w:tcPr>
            <w:tcW w:w="1483" w:type="dxa"/>
            <w:tcBorders>
              <w:top w:val="single" w:sz="6" w:space="0" w:color="auto"/>
              <w:left w:val="single" w:sz="6" w:space="0" w:color="auto"/>
              <w:bottom w:val="single" w:sz="6" w:space="0" w:color="000000" w:themeColor="text1"/>
              <w:right w:val="single" w:sz="6" w:space="0" w:color="auto"/>
            </w:tcBorders>
            <w:shd w:val="clear" w:color="auto" w:fill="B8CCE4" w:themeFill="accent1" w:themeFillTint="66"/>
            <w:tcMar>
              <w:left w:w="15" w:type="dxa"/>
              <w:right w:w="15" w:type="dxa"/>
            </w:tcMar>
            <w:vAlign w:val="center"/>
          </w:tcPr>
          <w:p w14:paraId="5675D196" w14:textId="29299585" w:rsidR="00D11833" w:rsidRPr="005A5BB7" w:rsidRDefault="00D11833" w:rsidP="00645CFE">
            <w:pPr>
              <w:pStyle w:val="TableText0"/>
              <w:keepLines w:val="0"/>
              <w:rPr>
                <w:color w:val="000000" w:themeColor="text1"/>
              </w:rPr>
            </w:pPr>
            <w:r w:rsidRPr="005A5BB7">
              <w:t>167 (1.3%)</w:t>
            </w:r>
          </w:p>
        </w:tc>
        <w:tc>
          <w:tcPr>
            <w:tcW w:w="2857" w:type="dxa"/>
            <w:tcBorders>
              <w:top w:val="single" w:sz="6" w:space="0" w:color="auto"/>
              <w:left w:val="single" w:sz="6" w:space="0" w:color="auto"/>
              <w:bottom w:val="single" w:sz="6" w:space="0" w:color="000000" w:themeColor="text1"/>
            </w:tcBorders>
            <w:shd w:val="clear" w:color="auto" w:fill="B8CCE4" w:themeFill="accent1" w:themeFillTint="66"/>
            <w:tcMar>
              <w:left w:w="15" w:type="dxa"/>
              <w:right w:w="15" w:type="dxa"/>
            </w:tcMar>
            <w:vAlign w:val="center"/>
          </w:tcPr>
          <w:p w14:paraId="6221EAF5" w14:textId="420E4397" w:rsidR="005355F4" w:rsidRPr="005A5BB7" w:rsidRDefault="00D11833" w:rsidP="005355F4">
            <w:pPr>
              <w:pStyle w:val="TableText0"/>
              <w:keepLines w:val="0"/>
              <w:jc w:val="center"/>
            </w:pPr>
            <w:r w:rsidRPr="005A5BB7">
              <w:t>62.9 (46.7, 74.8);</w:t>
            </w:r>
          </w:p>
          <w:p w14:paraId="754FDEF9" w14:textId="466D1741" w:rsidR="00D11833" w:rsidRPr="005A5BB7" w:rsidRDefault="00D11833" w:rsidP="005355F4">
            <w:pPr>
              <w:pStyle w:val="TableText0"/>
              <w:keepLines w:val="0"/>
              <w:jc w:val="center"/>
            </w:pPr>
            <w:r w:rsidRPr="005A5BB7">
              <w:t>&lt;0.0001</w:t>
            </w:r>
          </w:p>
        </w:tc>
      </w:tr>
      <w:tr w:rsidR="00D11833" w:rsidRPr="005A5BB7" w14:paraId="06E15C75" w14:textId="25006078" w:rsidTr="003E731F">
        <w:trPr>
          <w:trHeight w:val="15"/>
        </w:trPr>
        <w:tc>
          <w:tcPr>
            <w:tcW w:w="1770" w:type="dxa"/>
            <w:tcBorders>
              <w:top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151CFB8" w14:textId="2717A202" w:rsidR="00D11833" w:rsidRPr="005A5BB7" w:rsidRDefault="00D11833" w:rsidP="00645CFE">
            <w:pPr>
              <w:keepNext/>
              <w:jc w:val="left"/>
              <w:rPr>
                <w:rFonts w:ascii="Arial Narrow" w:eastAsia="Arial Narrow" w:hAnsi="Arial Narrow" w:cs="Arial Narrow"/>
                <w:color w:val="000000" w:themeColor="text1"/>
                <w:sz w:val="20"/>
                <w:szCs w:val="20"/>
              </w:rPr>
            </w:pPr>
            <w:r w:rsidRPr="005A5BB7">
              <w:rPr>
                <w:rFonts w:ascii="Arial Narrow" w:eastAsia="Arial Narrow" w:hAnsi="Arial Narrow" w:cs="Arial Narrow"/>
                <w:color w:val="000000" w:themeColor="text1"/>
                <w:sz w:val="20"/>
                <w:szCs w:val="20"/>
              </w:rPr>
              <w:t>No pre</w:t>
            </w:r>
            <w:r w:rsidR="000E4816">
              <w:rPr>
                <w:rFonts w:ascii="Arial Narrow" w:eastAsia="Arial Narrow" w:hAnsi="Arial Narrow" w:cs="Arial Narrow"/>
                <w:color w:val="000000" w:themeColor="text1"/>
                <w:sz w:val="20"/>
                <w:szCs w:val="20"/>
              </w:rPr>
              <w:noBreakHyphen/>
            </w:r>
            <w:r w:rsidRPr="005A5BB7">
              <w:rPr>
                <w:rFonts w:ascii="Arial Narrow" w:eastAsia="Arial Narrow" w:hAnsi="Arial Narrow" w:cs="Arial Narrow"/>
                <w:color w:val="000000" w:themeColor="text1"/>
                <w:sz w:val="20"/>
                <w:szCs w:val="20"/>
              </w:rPr>
              <w:t>existing comorbidity of interest</w:t>
            </w:r>
          </w:p>
        </w:tc>
        <w:tc>
          <w:tcPr>
            <w:tcW w:w="14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4694E17" w14:textId="06198C90" w:rsidR="00D11833" w:rsidRPr="005A5BB7" w:rsidRDefault="00D11833" w:rsidP="00645CFE">
            <w:pPr>
              <w:pStyle w:val="TableText0"/>
              <w:keepLines w:val="0"/>
            </w:pPr>
            <w:r w:rsidRPr="005A5BB7">
              <w:t>23/7454 (0.31%)</w:t>
            </w:r>
          </w:p>
        </w:tc>
        <w:tc>
          <w:tcPr>
            <w:tcW w:w="1474"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CD14C13" w14:textId="6D982FD8" w:rsidR="00D11833" w:rsidRPr="005A5BB7" w:rsidRDefault="00D11833" w:rsidP="00645CFE">
            <w:pPr>
              <w:pStyle w:val="TableText0"/>
              <w:keepLines w:val="0"/>
            </w:pPr>
            <w:r w:rsidRPr="005A5BB7">
              <w:t>99/7547 (1.31%)</w:t>
            </w:r>
          </w:p>
        </w:tc>
        <w:tc>
          <w:tcPr>
            <w:tcW w:w="1483"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1EC56D3" w14:textId="55B5F155" w:rsidR="00D11833" w:rsidRPr="005A5BB7" w:rsidRDefault="00D11833" w:rsidP="00645CFE">
            <w:pPr>
              <w:pStyle w:val="TableText0"/>
              <w:keepLines w:val="0"/>
              <w:rPr>
                <w:color w:val="000000" w:themeColor="text1"/>
              </w:rPr>
            </w:pPr>
            <w:r w:rsidRPr="005A5BB7">
              <w:t>76 (1.0%)</w:t>
            </w:r>
          </w:p>
        </w:tc>
        <w:tc>
          <w:tcPr>
            <w:tcW w:w="2857" w:type="dxa"/>
            <w:tcBorders>
              <w:top w:val="single" w:sz="6" w:space="0" w:color="auto"/>
              <w:left w:val="single" w:sz="6" w:space="0" w:color="auto"/>
              <w:bottom w:val="single" w:sz="6" w:space="0" w:color="auto"/>
            </w:tcBorders>
            <w:shd w:val="clear" w:color="auto" w:fill="B8CCE4" w:themeFill="accent1" w:themeFillTint="66"/>
            <w:tcMar>
              <w:left w:w="15" w:type="dxa"/>
              <w:right w:w="15" w:type="dxa"/>
            </w:tcMar>
            <w:vAlign w:val="center"/>
          </w:tcPr>
          <w:p w14:paraId="62D63725" w14:textId="3843CA81"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61.5 (38.6, 76.7);</w:t>
            </w:r>
          </w:p>
          <w:p w14:paraId="1A8191EB" w14:textId="74E72729"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&lt;0.0001</w:t>
            </w:r>
          </w:p>
        </w:tc>
      </w:tr>
      <w:tr w:rsidR="00D11833" w:rsidRPr="005A5BB7" w14:paraId="41C4CF69" w14:textId="53A4FEBB" w:rsidTr="003E731F">
        <w:trPr>
          <w:trHeight w:val="15"/>
        </w:trPr>
        <w:tc>
          <w:tcPr>
            <w:tcW w:w="1770" w:type="dxa"/>
            <w:tcBorders>
              <w:top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FF524A1" w14:textId="5F93E773" w:rsidR="00D11833" w:rsidRPr="005A5BB7" w:rsidRDefault="00D11833" w:rsidP="00645CFE">
            <w:pPr>
              <w:keepNext/>
              <w:jc w:val="left"/>
              <w:rPr>
                <w:rFonts w:ascii="Arial Narrow" w:eastAsia="Arial Narrow" w:hAnsi="Arial Narrow" w:cs="Arial Narrow"/>
                <w:color w:val="000000" w:themeColor="text1"/>
                <w:sz w:val="20"/>
                <w:szCs w:val="20"/>
              </w:rPr>
            </w:pPr>
            <w:r w:rsidRPr="005A5BB7">
              <w:rPr>
                <w:rFonts w:ascii="Arial Narrow" w:eastAsia="Arial Narrow" w:hAnsi="Arial Narrow" w:cs="Arial Narrow"/>
                <w:color w:val="000000" w:themeColor="text1"/>
                <w:sz w:val="20"/>
                <w:szCs w:val="20"/>
              </w:rPr>
              <w:t>≥1 pre</w:t>
            </w:r>
            <w:r w:rsidR="000E4816">
              <w:rPr>
                <w:rFonts w:ascii="Arial Narrow" w:eastAsia="Arial Narrow" w:hAnsi="Arial Narrow" w:cs="Arial Narrow"/>
                <w:color w:val="000000" w:themeColor="text1"/>
                <w:sz w:val="20"/>
                <w:szCs w:val="20"/>
              </w:rPr>
              <w:noBreakHyphen/>
            </w:r>
            <w:r w:rsidRPr="005A5BB7">
              <w:rPr>
                <w:rFonts w:ascii="Arial Narrow" w:eastAsia="Arial Narrow" w:hAnsi="Arial Narrow" w:cs="Arial Narrow"/>
                <w:color w:val="000000" w:themeColor="text1"/>
                <w:sz w:val="20"/>
                <w:szCs w:val="20"/>
              </w:rPr>
              <w:t>existing comorbidity of interest</w:t>
            </w:r>
          </w:p>
        </w:tc>
        <w:tc>
          <w:tcPr>
            <w:tcW w:w="14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C9AABF8" w14:textId="645D723C" w:rsidR="00D11833" w:rsidRPr="005A5BB7" w:rsidRDefault="00D11833" w:rsidP="00645CFE">
            <w:pPr>
              <w:pStyle w:val="TableText0"/>
              <w:keepLines w:val="0"/>
            </w:pPr>
            <w:r w:rsidRPr="005A5BB7">
              <w:t>25/5014 (0.50%)</w:t>
            </w:r>
          </w:p>
        </w:tc>
        <w:tc>
          <w:tcPr>
            <w:tcW w:w="1474"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15E2A09" w14:textId="212F3AC4" w:rsidR="00D11833" w:rsidRPr="005A5BB7" w:rsidRDefault="00D11833" w:rsidP="00645CFE">
            <w:pPr>
              <w:pStyle w:val="TableText0"/>
              <w:keepLines w:val="0"/>
            </w:pPr>
            <w:r w:rsidRPr="005A5BB7">
              <w:t>116/4951 (2.34%)</w:t>
            </w:r>
          </w:p>
        </w:tc>
        <w:tc>
          <w:tcPr>
            <w:tcW w:w="1483"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7D5E746" w14:textId="72C4DA59" w:rsidR="00D11833" w:rsidRPr="005A5BB7" w:rsidRDefault="00D11833" w:rsidP="00645CFE">
            <w:pPr>
              <w:pStyle w:val="TableText0"/>
              <w:keepLines w:val="0"/>
              <w:rPr>
                <w:color w:val="000000" w:themeColor="text1"/>
              </w:rPr>
            </w:pPr>
            <w:r w:rsidRPr="005A5BB7">
              <w:t>91 (1.8%)</w:t>
            </w:r>
          </w:p>
        </w:tc>
        <w:tc>
          <w:tcPr>
            <w:tcW w:w="2857" w:type="dxa"/>
            <w:tcBorders>
              <w:top w:val="single" w:sz="6" w:space="0" w:color="auto"/>
              <w:left w:val="single" w:sz="6" w:space="0" w:color="auto"/>
              <w:bottom w:val="single" w:sz="6" w:space="0" w:color="auto"/>
            </w:tcBorders>
            <w:shd w:val="clear" w:color="auto" w:fill="B8CCE4" w:themeFill="accent1" w:themeFillTint="66"/>
            <w:tcMar>
              <w:left w:w="15" w:type="dxa"/>
              <w:right w:w="15" w:type="dxa"/>
            </w:tcMar>
            <w:vAlign w:val="center"/>
          </w:tcPr>
          <w:p w14:paraId="5A863CB6" w14:textId="77777777"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64.7 (45.1, 78.1);</w:t>
            </w:r>
          </w:p>
          <w:p w14:paraId="7BCD3248" w14:textId="1BBC77C1"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&lt;0.0001</w:t>
            </w:r>
          </w:p>
        </w:tc>
      </w:tr>
      <w:tr w:rsidR="00D11833" w:rsidRPr="005A5BB7" w14:paraId="112E4EAC" w14:textId="17AEDA34" w:rsidTr="003E731F">
        <w:trPr>
          <w:trHeight w:val="15"/>
        </w:trPr>
        <w:tc>
          <w:tcPr>
            <w:tcW w:w="1770" w:type="dxa"/>
            <w:tcBorders>
              <w:top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4CC1A9F" w14:textId="025159C6" w:rsidR="00D11833" w:rsidRPr="005A5BB7" w:rsidRDefault="00D11833" w:rsidP="00645CFE">
            <w:pPr>
              <w:keepNext/>
              <w:ind w:left="284"/>
              <w:jc w:val="left"/>
              <w:rPr>
                <w:rFonts w:ascii="Arial Narrow" w:eastAsia="Arial Narrow" w:hAnsi="Arial Narrow" w:cs="Arial Narrow"/>
                <w:color w:val="000000" w:themeColor="text1"/>
                <w:sz w:val="20"/>
                <w:szCs w:val="20"/>
              </w:rPr>
            </w:pPr>
            <w:r w:rsidRPr="005A5BB7">
              <w:rPr>
                <w:rFonts w:ascii="Arial Narrow" w:eastAsia="Arial Narrow" w:hAnsi="Arial Narrow" w:cs="Arial Narrow"/>
                <w:color w:val="000000" w:themeColor="text1"/>
                <w:sz w:val="20"/>
                <w:szCs w:val="20"/>
              </w:rPr>
              <w:t>≥1 pre</w:t>
            </w:r>
            <w:r w:rsidR="000E4816">
              <w:rPr>
                <w:rFonts w:ascii="Arial Narrow" w:eastAsia="Arial Narrow" w:hAnsi="Arial Narrow" w:cs="Arial Narrow"/>
                <w:color w:val="000000" w:themeColor="text1"/>
                <w:sz w:val="20"/>
                <w:szCs w:val="20"/>
              </w:rPr>
              <w:noBreakHyphen/>
            </w:r>
            <w:r w:rsidRPr="005A5BB7">
              <w:rPr>
                <w:rFonts w:ascii="Arial Narrow" w:eastAsia="Arial Narrow" w:hAnsi="Arial Narrow" w:cs="Arial Narrow"/>
                <w:color w:val="000000" w:themeColor="text1"/>
                <w:sz w:val="20"/>
                <w:szCs w:val="20"/>
              </w:rPr>
              <w:t>existing cardiorespiratory condition</w:t>
            </w:r>
          </w:p>
        </w:tc>
        <w:tc>
          <w:tcPr>
            <w:tcW w:w="14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A737387" w14:textId="3980C24A" w:rsidR="00D11833" w:rsidRPr="005A5BB7" w:rsidRDefault="00D11833" w:rsidP="00645CFE">
            <w:pPr>
              <w:pStyle w:val="TableText0"/>
              <w:keepLines w:val="0"/>
            </w:pPr>
            <w:r w:rsidRPr="005A5BB7">
              <w:t>17/2577 (0.66%)</w:t>
            </w:r>
          </w:p>
        </w:tc>
        <w:tc>
          <w:tcPr>
            <w:tcW w:w="1474"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28A6931" w14:textId="122D5510" w:rsidR="00D11833" w:rsidRPr="005A5BB7" w:rsidRDefault="00D11833" w:rsidP="00645CFE">
            <w:pPr>
              <w:pStyle w:val="TableText0"/>
              <w:keepLines w:val="0"/>
            </w:pPr>
            <w:r w:rsidRPr="005A5BB7">
              <w:t>85/2504 (3.39%)</w:t>
            </w:r>
          </w:p>
        </w:tc>
        <w:tc>
          <w:tcPr>
            <w:tcW w:w="1483"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8E4A5A3" w14:textId="53988844" w:rsidR="00D11833" w:rsidRPr="005A5BB7" w:rsidRDefault="00D11833" w:rsidP="00645CFE">
            <w:pPr>
              <w:pStyle w:val="TableText0"/>
              <w:keepLines w:val="0"/>
              <w:rPr>
                <w:color w:val="000000" w:themeColor="text1"/>
              </w:rPr>
            </w:pPr>
            <w:r w:rsidRPr="005A5BB7">
              <w:t>68 (2.7%)</w:t>
            </w:r>
          </w:p>
        </w:tc>
        <w:tc>
          <w:tcPr>
            <w:tcW w:w="2857" w:type="dxa"/>
            <w:tcBorders>
              <w:top w:val="single" w:sz="6" w:space="0" w:color="auto"/>
              <w:left w:val="single" w:sz="6" w:space="0" w:color="auto"/>
              <w:bottom w:val="single" w:sz="6" w:space="0" w:color="auto"/>
            </w:tcBorders>
            <w:shd w:val="clear" w:color="auto" w:fill="B8CCE4" w:themeFill="accent1" w:themeFillTint="66"/>
            <w:tcMar>
              <w:left w:w="15" w:type="dxa"/>
              <w:right w:w="15" w:type="dxa"/>
            </w:tcMar>
            <w:vAlign w:val="center"/>
          </w:tcPr>
          <w:p w14:paraId="394ED2E4" w14:textId="77777777"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68.1 (45.7, 82.3);</w:t>
            </w:r>
          </w:p>
          <w:p w14:paraId="29F5B7DC" w14:textId="284AE621"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&lt;0.0001</w:t>
            </w:r>
          </w:p>
        </w:tc>
      </w:tr>
      <w:tr w:rsidR="00D11833" w:rsidRPr="005A5BB7" w14:paraId="1711E390" w14:textId="290C71B7" w:rsidTr="003E731F">
        <w:trPr>
          <w:trHeight w:val="15"/>
        </w:trPr>
        <w:tc>
          <w:tcPr>
            <w:tcW w:w="1770" w:type="dxa"/>
            <w:tcBorders>
              <w:top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66E5CCE" w14:textId="08CA8701" w:rsidR="00D11833" w:rsidRPr="005A5BB7" w:rsidRDefault="00D11833" w:rsidP="00645CFE">
            <w:pPr>
              <w:keepNext/>
              <w:ind w:left="284"/>
              <w:jc w:val="left"/>
              <w:rPr>
                <w:rFonts w:ascii="Arial Narrow" w:eastAsia="Arial Narrow" w:hAnsi="Arial Narrow" w:cs="Arial Narrow"/>
                <w:color w:val="000000" w:themeColor="text1"/>
                <w:sz w:val="20"/>
                <w:szCs w:val="20"/>
              </w:rPr>
            </w:pPr>
            <w:r w:rsidRPr="005A5BB7">
              <w:rPr>
                <w:rFonts w:ascii="Arial Narrow" w:eastAsia="Arial Narrow" w:hAnsi="Arial Narrow" w:cs="Arial Narrow"/>
                <w:color w:val="000000" w:themeColor="text1"/>
                <w:sz w:val="20"/>
                <w:szCs w:val="20"/>
              </w:rPr>
              <w:t>≥1 pre</w:t>
            </w:r>
            <w:r w:rsidR="000E4816">
              <w:rPr>
                <w:rFonts w:ascii="Arial Narrow" w:eastAsia="Arial Narrow" w:hAnsi="Arial Narrow" w:cs="Arial Narrow"/>
                <w:color w:val="000000" w:themeColor="text1"/>
                <w:sz w:val="20"/>
                <w:szCs w:val="20"/>
              </w:rPr>
              <w:noBreakHyphen/>
            </w:r>
            <w:r w:rsidRPr="005A5BB7">
              <w:rPr>
                <w:rFonts w:ascii="Arial Narrow" w:eastAsia="Arial Narrow" w:hAnsi="Arial Narrow" w:cs="Arial Narrow"/>
                <w:color w:val="000000" w:themeColor="text1"/>
                <w:sz w:val="20"/>
                <w:szCs w:val="20"/>
              </w:rPr>
              <w:t>existing endocrinometabolic condition</w:t>
            </w:r>
          </w:p>
        </w:tc>
        <w:tc>
          <w:tcPr>
            <w:tcW w:w="1480"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390F380" w14:textId="6EAEC8F9" w:rsidR="00D11833" w:rsidRPr="005A5BB7" w:rsidRDefault="00D11833" w:rsidP="00645CFE">
            <w:pPr>
              <w:pStyle w:val="TableText0"/>
              <w:keepLines w:val="0"/>
            </w:pPr>
            <w:r w:rsidRPr="005A5BB7">
              <w:t>12/3243 (0.37%)</w:t>
            </w:r>
          </w:p>
        </w:tc>
        <w:tc>
          <w:tcPr>
            <w:tcW w:w="1474"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2C99372" w14:textId="415688EB" w:rsidR="00D11833" w:rsidRPr="005A5BB7" w:rsidRDefault="00D11833" w:rsidP="00645CFE">
            <w:pPr>
              <w:pStyle w:val="TableText0"/>
              <w:keepLines w:val="0"/>
            </w:pPr>
            <w:r w:rsidRPr="005A5BB7">
              <w:t>55/3274 (1.68%)</w:t>
            </w:r>
          </w:p>
        </w:tc>
        <w:tc>
          <w:tcPr>
            <w:tcW w:w="1483"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9B13796" w14:textId="49CFCB2D" w:rsidR="00D11833" w:rsidRPr="005A5BB7" w:rsidRDefault="00D11833" w:rsidP="00645CFE">
            <w:pPr>
              <w:pStyle w:val="TableText0"/>
              <w:keepLines w:val="0"/>
              <w:rPr>
                <w:color w:val="000000" w:themeColor="text1"/>
              </w:rPr>
            </w:pPr>
            <w:r w:rsidRPr="005A5BB7">
              <w:t>43 (1.3%)</w:t>
            </w:r>
          </w:p>
        </w:tc>
        <w:tc>
          <w:tcPr>
            <w:tcW w:w="2857" w:type="dxa"/>
            <w:tcBorders>
              <w:top w:val="single" w:sz="6" w:space="0" w:color="auto"/>
              <w:left w:val="single" w:sz="6" w:space="0" w:color="auto"/>
              <w:bottom w:val="single" w:sz="6" w:space="0" w:color="auto"/>
            </w:tcBorders>
            <w:shd w:val="clear" w:color="auto" w:fill="B8CCE4" w:themeFill="accent1" w:themeFillTint="66"/>
            <w:tcMar>
              <w:left w:w="15" w:type="dxa"/>
              <w:right w:w="15" w:type="dxa"/>
            </w:tcMar>
            <w:vAlign w:val="center"/>
          </w:tcPr>
          <w:p w14:paraId="0A2737BF" w14:textId="77777777"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63.9 (31.4, 82.5);</w:t>
            </w:r>
          </w:p>
          <w:p w14:paraId="5D733E57" w14:textId="566171F6" w:rsidR="00D11833" w:rsidRPr="005A5BB7" w:rsidRDefault="00D11833" w:rsidP="005355F4">
            <w:pPr>
              <w:keepNext/>
              <w:jc w:val="center"/>
              <w:rPr>
                <w:rFonts w:ascii="Arial Narrow" w:hAnsi="Arial Narrow" w:cs="Times New Roman"/>
                <w:sz w:val="20"/>
              </w:rPr>
            </w:pPr>
            <w:r w:rsidRPr="005A5BB7">
              <w:rPr>
                <w:rFonts w:ascii="Arial Narrow" w:hAnsi="Arial Narrow" w:cs="Times New Roman"/>
                <w:sz w:val="20"/>
              </w:rPr>
              <w:t>0.0009</w:t>
            </w:r>
          </w:p>
        </w:tc>
      </w:tr>
    </w:tbl>
    <w:tbl>
      <w:tblPr>
        <w:tblW w:w="906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Table 12: Summary of comparative benefits and harms for RSVPreF3 OA and placebo "/>
      </w:tblPr>
      <w:tblGrid>
        <w:gridCol w:w="1271"/>
        <w:gridCol w:w="1271"/>
        <w:gridCol w:w="1271"/>
        <w:gridCol w:w="1271"/>
        <w:gridCol w:w="1271"/>
        <w:gridCol w:w="1271"/>
        <w:gridCol w:w="1438"/>
      </w:tblGrid>
      <w:tr w:rsidR="3FF051E5" w:rsidRPr="005A5BB7" w14:paraId="219813DE" w14:textId="77777777" w:rsidTr="310F0368">
        <w:trPr>
          <w:trHeight w:val="285"/>
        </w:trPr>
        <w:tc>
          <w:tcPr>
            <w:tcW w:w="9064" w:type="dxa"/>
            <w:gridSpan w:val="7"/>
            <w:tcBorders>
              <w:top w:val="double" w:sz="6" w:space="0" w:color="auto"/>
              <w:left w:val="single" w:sz="6" w:space="0" w:color="auto"/>
              <w:bottom w:val="single" w:sz="6" w:space="0" w:color="auto"/>
              <w:right w:val="single" w:sz="6" w:space="0" w:color="auto"/>
            </w:tcBorders>
            <w:tcMar>
              <w:left w:w="15" w:type="dxa"/>
              <w:right w:w="15" w:type="dxa"/>
            </w:tcMar>
            <w:vAlign w:val="center"/>
          </w:tcPr>
          <w:p w14:paraId="0F466E42" w14:textId="4D9D8855"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Harms ≥ 60 YOA</w:t>
            </w:r>
          </w:p>
        </w:tc>
      </w:tr>
      <w:tr w:rsidR="3FF051E5" w:rsidRPr="005A5BB7" w14:paraId="516712AA" w14:textId="77777777" w:rsidTr="310F0368">
        <w:trPr>
          <w:trHeight w:val="60"/>
        </w:trPr>
        <w:tc>
          <w:tcPr>
            <w:tcW w:w="1271" w:type="dxa"/>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E076C7" w14:textId="7F6E62C0" w:rsidR="3FF051E5" w:rsidRPr="005A5BB7" w:rsidRDefault="00B0398A"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AReSVi</w:t>
            </w:r>
            <w:r w:rsidR="000E4816">
              <w:rPr>
                <w:rFonts w:eastAsia="Arial Narrow" w:cs="Arial Narrow"/>
                <w:bCs/>
                <w:color w:val="000000" w:themeColor="text1"/>
                <w:szCs w:val="20"/>
                <w:lang w:val="en-AU"/>
              </w:rPr>
              <w:noBreakHyphen/>
            </w:r>
            <w:r w:rsidRPr="005A5BB7">
              <w:rPr>
                <w:rFonts w:eastAsia="Arial Narrow" w:cs="Arial Narrow"/>
                <w:bCs/>
                <w:color w:val="000000" w:themeColor="text1"/>
                <w:szCs w:val="20"/>
                <w:lang w:val="en-AU"/>
              </w:rPr>
              <w:t>006</w:t>
            </w:r>
          </w:p>
        </w:tc>
        <w:tc>
          <w:tcPr>
            <w:tcW w:w="1271" w:type="dxa"/>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2EA7134D" w14:textId="068E3DDB"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RSVpreF3 OA</w:t>
            </w:r>
          </w:p>
          <w:p w14:paraId="76C5AD99" w14:textId="19BFB575"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n/N</w:t>
            </w:r>
          </w:p>
        </w:tc>
        <w:tc>
          <w:tcPr>
            <w:tcW w:w="1271" w:type="dxa"/>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B2BEDD2" w14:textId="35D86681"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Placebo</w:t>
            </w:r>
          </w:p>
          <w:p w14:paraId="23527BF1" w14:textId="7659A471"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n/N</w:t>
            </w:r>
          </w:p>
        </w:tc>
        <w:tc>
          <w:tcPr>
            <w:tcW w:w="1271" w:type="dxa"/>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01558B7" w14:textId="60B27722"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RR</w:t>
            </w:r>
          </w:p>
          <w:p w14:paraId="2CB4D867" w14:textId="504DBD8E"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(95% CI)</w:t>
            </w:r>
          </w:p>
        </w:tc>
        <w:tc>
          <w:tcPr>
            <w:tcW w:w="2542" w:type="dxa"/>
            <w:gridSpan w:val="2"/>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51E6DCF" w14:textId="6ABE6A6B"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Event rate/100 patients</w:t>
            </w:r>
          </w:p>
        </w:tc>
        <w:tc>
          <w:tcPr>
            <w:tcW w:w="1438" w:type="dxa"/>
            <w:vMerge w:val="restart"/>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291137B" w14:textId="67558B47"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RD</w:t>
            </w:r>
          </w:p>
          <w:p w14:paraId="3DAC8F02" w14:textId="7A3F7C58"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(95% CI)</w:t>
            </w:r>
          </w:p>
        </w:tc>
      </w:tr>
      <w:tr w:rsidR="3FF051E5" w:rsidRPr="005A5BB7" w14:paraId="403A0162" w14:textId="77777777" w:rsidTr="310F0368">
        <w:trPr>
          <w:trHeight w:val="390"/>
        </w:trPr>
        <w:tc>
          <w:tcPr>
            <w:tcW w:w="1271" w:type="dxa"/>
            <w:vMerge/>
            <w:vAlign w:val="center"/>
          </w:tcPr>
          <w:p w14:paraId="7ACB7AA7" w14:textId="77777777" w:rsidR="00E92D26" w:rsidRPr="005A5BB7" w:rsidRDefault="00E92D26" w:rsidP="00645CFE">
            <w:pPr>
              <w:keepNext/>
            </w:pPr>
          </w:p>
        </w:tc>
        <w:tc>
          <w:tcPr>
            <w:tcW w:w="1271" w:type="dxa"/>
            <w:vMerge/>
            <w:vAlign w:val="center"/>
          </w:tcPr>
          <w:p w14:paraId="625FE551" w14:textId="77777777" w:rsidR="00E92D26" w:rsidRPr="005A5BB7" w:rsidRDefault="00E92D26" w:rsidP="00645CFE">
            <w:pPr>
              <w:keepNext/>
            </w:pPr>
          </w:p>
        </w:tc>
        <w:tc>
          <w:tcPr>
            <w:tcW w:w="1271" w:type="dxa"/>
            <w:vMerge/>
            <w:vAlign w:val="center"/>
          </w:tcPr>
          <w:p w14:paraId="4F857B04" w14:textId="77777777" w:rsidR="00E92D26" w:rsidRPr="005A5BB7" w:rsidRDefault="00E92D26" w:rsidP="00645CFE">
            <w:pPr>
              <w:keepNext/>
            </w:pPr>
          </w:p>
        </w:tc>
        <w:tc>
          <w:tcPr>
            <w:tcW w:w="1271" w:type="dxa"/>
            <w:vMerge/>
            <w:vAlign w:val="center"/>
          </w:tcPr>
          <w:p w14:paraId="136F4DB0" w14:textId="77777777" w:rsidR="00E92D26" w:rsidRPr="005A5BB7" w:rsidRDefault="00E92D26" w:rsidP="00645CFE">
            <w:pPr>
              <w:keepNext/>
            </w:pPr>
          </w:p>
        </w:tc>
        <w:tc>
          <w:tcPr>
            <w:tcW w:w="127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76AE3AE" w14:textId="39FDD6C1"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RSVpreF3 OA</w:t>
            </w:r>
          </w:p>
        </w:tc>
        <w:tc>
          <w:tcPr>
            <w:tcW w:w="1271"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861BC69" w14:textId="6E0862E2"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Comparator/</w:t>
            </w:r>
          </w:p>
          <w:p w14:paraId="7DD0EF8D" w14:textId="40F662D6" w:rsidR="3FF051E5" w:rsidRPr="005A5BB7" w:rsidRDefault="3FF051E5" w:rsidP="00645CFE">
            <w:pPr>
              <w:pStyle w:val="In-tableHeading"/>
              <w:keepNext/>
              <w:jc w:val="center"/>
              <w:rPr>
                <w:rFonts w:eastAsia="Arial Narrow" w:cs="Arial Narrow"/>
                <w:bCs/>
                <w:color w:val="000000" w:themeColor="text1"/>
                <w:szCs w:val="20"/>
                <w:lang w:val="en-AU"/>
              </w:rPr>
            </w:pPr>
            <w:r w:rsidRPr="005A5BB7">
              <w:rPr>
                <w:rFonts w:eastAsia="Arial Narrow" w:cs="Arial Narrow"/>
                <w:bCs/>
                <w:color w:val="000000" w:themeColor="text1"/>
                <w:szCs w:val="20"/>
                <w:lang w:val="en-AU"/>
              </w:rPr>
              <w:t>Placebo</w:t>
            </w:r>
          </w:p>
        </w:tc>
        <w:tc>
          <w:tcPr>
            <w:tcW w:w="1438" w:type="dxa"/>
            <w:vMerge/>
            <w:vAlign w:val="center"/>
          </w:tcPr>
          <w:p w14:paraId="3B45AADF" w14:textId="77777777" w:rsidR="00E92D26" w:rsidRPr="005A5BB7" w:rsidRDefault="00E92D26" w:rsidP="00645CFE">
            <w:pPr>
              <w:keepNext/>
            </w:pPr>
          </w:p>
        </w:tc>
      </w:tr>
      <w:tr w:rsidR="3FF051E5" w:rsidRPr="005A5BB7" w14:paraId="689C3CF3" w14:textId="77777777" w:rsidTr="310F0368">
        <w:trPr>
          <w:trHeight w:val="285"/>
        </w:trPr>
        <w:tc>
          <w:tcPr>
            <w:tcW w:w="9064" w:type="dxa"/>
            <w:gridSpan w:val="7"/>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898E481" w14:textId="4C1C7DDF" w:rsidR="3FF051E5" w:rsidRPr="005A5BB7" w:rsidRDefault="2037E53E" w:rsidP="310F0368">
            <w:pPr>
              <w:pStyle w:val="In-tableHeading"/>
              <w:keepNext/>
              <w:rPr>
                <w:rFonts w:eastAsia="Arial Narrow" w:cs="Arial Narrow"/>
                <w:color w:val="000000" w:themeColor="text1"/>
                <w:lang w:val="en-AU"/>
              </w:rPr>
            </w:pPr>
            <w:r w:rsidRPr="310F0368">
              <w:rPr>
                <w:rFonts w:eastAsia="Arial Narrow" w:cs="Arial Narrow"/>
                <w:color w:val="000000" w:themeColor="text1"/>
                <w:lang w:val="en-AU"/>
              </w:rPr>
              <w:t>Solicited Grade 3 events within 4 days following dose 1</w:t>
            </w:r>
          </w:p>
        </w:tc>
      </w:tr>
      <w:tr w:rsidR="3FF051E5" w:rsidRPr="005A5BB7" w14:paraId="1117E774"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58E4612" w14:textId="3C1D344B" w:rsidR="3FF051E5" w:rsidRPr="005A5BB7" w:rsidRDefault="3FF051E5" w:rsidP="00645CFE">
            <w:pPr>
              <w:pStyle w:val="TableText0"/>
              <w:keepLines w:val="0"/>
            </w:pPr>
            <w:r w:rsidRPr="005A5BB7">
              <w:t>Any AE</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0D176E1" w14:textId="20F45261" w:rsidR="3FF051E5" w:rsidRPr="005A5BB7" w:rsidRDefault="3FF051E5" w:rsidP="00645CFE">
            <w:pPr>
              <w:pStyle w:val="TableText0"/>
              <w:keepLines w:val="0"/>
            </w:pPr>
            <w:r w:rsidRPr="005A5BB7">
              <w:t>36/879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18F6990" w14:textId="3E47241C" w:rsidR="3FF051E5" w:rsidRPr="005A5BB7" w:rsidRDefault="3FF051E5" w:rsidP="00645CFE">
            <w:pPr>
              <w:pStyle w:val="TableText0"/>
              <w:keepLines w:val="0"/>
            </w:pPr>
            <w:r w:rsidRPr="005A5BB7">
              <w:t>8/878</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363D0C4" w14:textId="222C45F1" w:rsidR="3FF051E5" w:rsidRPr="005A5BB7" w:rsidRDefault="3FF051E5" w:rsidP="00645CFE">
            <w:pPr>
              <w:pStyle w:val="TableText0"/>
              <w:keepLines w:val="0"/>
            </w:pPr>
            <w:r w:rsidRPr="005A5BB7">
              <w:t>4.49 (2.10, 9.62)</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BB7E1AD" w14:textId="4807F706" w:rsidR="3FF051E5" w:rsidRPr="005A5BB7" w:rsidRDefault="3FF051E5" w:rsidP="00645CFE">
            <w:pPr>
              <w:pStyle w:val="TableText0"/>
              <w:keepLines w:val="0"/>
            </w:pPr>
            <w:r w:rsidRPr="005A5BB7">
              <w:t>4.10</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FC0EBF6" w14:textId="3101D339" w:rsidR="3FF051E5" w:rsidRPr="005A5BB7" w:rsidRDefault="3FF051E5" w:rsidP="00645CFE">
            <w:pPr>
              <w:pStyle w:val="TableText0"/>
              <w:keepLines w:val="0"/>
            </w:pPr>
            <w:r w:rsidRPr="005A5BB7">
              <w:t>0.91</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A5FE3D1" w14:textId="4BE00954" w:rsidR="3FF051E5" w:rsidRPr="005A5BB7" w:rsidRDefault="3FF051E5" w:rsidP="00645CFE">
            <w:pPr>
              <w:pStyle w:val="TableText0"/>
              <w:keepLines w:val="0"/>
            </w:pPr>
            <w:r w:rsidRPr="005A5BB7">
              <w:t>0.032 (0.02, 0.05)</w:t>
            </w:r>
          </w:p>
        </w:tc>
      </w:tr>
      <w:tr w:rsidR="00196A13" w:rsidRPr="005A5BB7" w14:paraId="127062D8"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D87CC55" w14:textId="589DAE6C" w:rsidR="00196A13" w:rsidRPr="005A5BB7" w:rsidRDefault="00196A13" w:rsidP="00645CFE">
            <w:pPr>
              <w:pStyle w:val="TableText0"/>
              <w:keepLines w:val="0"/>
            </w:pPr>
            <w:r w:rsidRPr="005A5BB7">
              <w:t>Admin</w:t>
            </w:r>
            <w:r w:rsidR="000E4816">
              <w:noBreakHyphen/>
            </w:r>
            <w:r w:rsidRPr="005A5BB7">
              <w:t>site AE</w:t>
            </w:r>
          </w:p>
        </w:tc>
        <w:tc>
          <w:tcPr>
            <w:tcW w:w="25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8D7BD3E" w14:textId="3BE0537B" w:rsidR="00196A13" w:rsidRPr="005A5BB7" w:rsidRDefault="00196A13" w:rsidP="00645CFE">
            <w:pPr>
              <w:pStyle w:val="TableText0"/>
              <w:keepLines w:val="0"/>
              <w:jc w:val="center"/>
              <w:rPr>
                <w:sz w:val="16"/>
                <w:szCs w:val="16"/>
              </w:rPr>
            </w:pPr>
            <w:r w:rsidRPr="005A5BB7">
              <w:t xml:space="preserve">13 </w:t>
            </w:r>
            <w:r w:rsidRPr="005A5BB7">
              <w:rPr>
                <w:vertAlign w:val="superscript"/>
              </w:rPr>
              <w:t>b</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B244005" w14:textId="007CE890" w:rsidR="00196A13" w:rsidRPr="005A5BB7" w:rsidRDefault="00196A13" w:rsidP="00645CFE">
            <w:pPr>
              <w:pStyle w:val="TableText0"/>
              <w:keepLines w:val="0"/>
            </w:pPr>
            <w:r w:rsidRPr="005A5BB7">
              <w:t>NA</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3FA2D35" w14:textId="2E9FAEBA" w:rsidR="00196A13" w:rsidRPr="005A5BB7" w:rsidRDefault="00196A13" w:rsidP="00645CFE">
            <w:pPr>
              <w:pStyle w:val="TableText0"/>
              <w:keepLines w:val="0"/>
            </w:pPr>
            <w:r w:rsidRPr="005A5BB7">
              <w:t>NA</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64014A9" w14:textId="3FE90CDC" w:rsidR="00196A13" w:rsidRPr="005A5BB7" w:rsidRDefault="00196A13" w:rsidP="00645CFE">
            <w:pPr>
              <w:pStyle w:val="TableText0"/>
              <w:keepLines w:val="0"/>
            </w:pPr>
            <w:r w:rsidRPr="005A5BB7">
              <w:t>NA</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5FE4A3E" w14:textId="2608F776" w:rsidR="00196A13" w:rsidRPr="005A5BB7" w:rsidRDefault="00196A13" w:rsidP="00645CFE">
            <w:pPr>
              <w:pStyle w:val="TableText0"/>
              <w:keepLines w:val="0"/>
            </w:pPr>
            <w:r w:rsidRPr="005A5BB7">
              <w:t>NA</w:t>
            </w:r>
          </w:p>
        </w:tc>
      </w:tr>
      <w:tr w:rsidR="3FF051E5" w:rsidRPr="005A5BB7" w14:paraId="41D12785"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13084CA" w14:textId="21FB3AD5" w:rsidR="3FF051E5" w:rsidRPr="005A5BB7" w:rsidRDefault="3FF051E5" w:rsidP="00C578B4">
            <w:pPr>
              <w:pStyle w:val="TableText0"/>
            </w:pPr>
            <w:r w:rsidRPr="005A5BB7">
              <w:t>Systemic AE</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926F548" w14:textId="2800EDA9" w:rsidR="3FF051E5" w:rsidRPr="005A5BB7" w:rsidRDefault="3FF051E5" w:rsidP="00C578B4">
            <w:pPr>
              <w:pStyle w:val="TableText0"/>
            </w:pPr>
            <w:r w:rsidRPr="005A5BB7">
              <w:t>29/879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CF6770B" w14:textId="00BE5A7F" w:rsidR="3FF051E5" w:rsidRPr="005A5BB7" w:rsidRDefault="3FF051E5" w:rsidP="00C578B4">
            <w:pPr>
              <w:pStyle w:val="TableText0"/>
            </w:pPr>
            <w:r w:rsidRPr="005A5BB7">
              <w:t>8/878</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4124406" w14:textId="1F6D1FF6" w:rsidR="3FF051E5" w:rsidRPr="005A5BB7" w:rsidRDefault="3FF051E5" w:rsidP="00C578B4">
            <w:pPr>
              <w:pStyle w:val="TableText0"/>
            </w:pPr>
            <w:r w:rsidRPr="005A5BB7">
              <w:t>3.62 (1.67, 7.88)</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5CD7E40" w14:textId="05D8EE56" w:rsidR="3FF051E5" w:rsidRPr="005A5BB7" w:rsidRDefault="3FF051E5" w:rsidP="00C578B4">
            <w:pPr>
              <w:pStyle w:val="TableText0"/>
            </w:pPr>
            <w:r w:rsidRPr="005A5BB7">
              <w:t>3.30</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47E8C9E" w14:textId="4897360F" w:rsidR="3FF051E5" w:rsidRPr="005A5BB7" w:rsidRDefault="3FF051E5" w:rsidP="00C578B4">
            <w:pPr>
              <w:pStyle w:val="TableText0"/>
            </w:pPr>
            <w:r w:rsidRPr="005A5BB7">
              <w:t>0.91</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1AF6BEA" w14:textId="02F48032" w:rsidR="3FF051E5" w:rsidRPr="005A5BB7" w:rsidRDefault="3FF051E5" w:rsidP="00C578B4">
            <w:pPr>
              <w:pStyle w:val="TableText0"/>
            </w:pPr>
            <w:r w:rsidRPr="005A5BB7">
              <w:t>0.024 (0.01, 0.04)</w:t>
            </w:r>
          </w:p>
        </w:tc>
      </w:tr>
      <w:tr w:rsidR="3FF051E5" w:rsidRPr="005A5BB7" w14:paraId="29D1AAF5" w14:textId="77777777" w:rsidTr="310F0368">
        <w:trPr>
          <w:trHeight w:val="285"/>
        </w:trPr>
        <w:tc>
          <w:tcPr>
            <w:tcW w:w="9064" w:type="dxa"/>
            <w:gridSpan w:val="7"/>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8BBF1E1" w14:textId="342F9FF8" w:rsidR="3FF051E5" w:rsidRPr="005A5BB7" w:rsidRDefault="3FF051E5" w:rsidP="00C578B4">
            <w:pPr>
              <w:pStyle w:val="TableText0"/>
            </w:pPr>
            <w:r w:rsidRPr="005A5BB7">
              <w:t>Unsolicited AEs within 30 days post vaccination</w:t>
            </w:r>
          </w:p>
        </w:tc>
      </w:tr>
      <w:tr w:rsidR="3FF051E5" w:rsidRPr="005A5BB7" w14:paraId="7610373C"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4DF697B" w14:textId="67EBF394" w:rsidR="3FF051E5" w:rsidRPr="005A5BB7" w:rsidRDefault="3FF051E5" w:rsidP="00C578B4">
            <w:pPr>
              <w:pStyle w:val="TableText0"/>
            </w:pPr>
            <w:r w:rsidRPr="005A5BB7">
              <w:t>Any Grade 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45A7ED5" w14:textId="6EA706F0" w:rsidR="3FF051E5" w:rsidRPr="005A5BB7" w:rsidRDefault="3FF051E5" w:rsidP="00C578B4">
            <w:pPr>
              <w:pStyle w:val="TableText0"/>
            </w:pPr>
            <w:r w:rsidRPr="005A5BB7">
              <w:t>251/12,469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E6D6C74" w14:textId="6D54AAE9" w:rsidR="3FF051E5" w:rsidRPr="005A5BB7" w:rsidRDefault="3FF051E5" w:rsidP="00C578B4">
            <w:pPr>
              <w:pStyle w:val="TableText0"/>
            </w:pPr>
            <w:r w:rsidRPr="005A5BB7">
              <w:t>158/12,503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C561D22" w14:textId="2E62CDD9" w:rsidR="3FF051E5" w:rsidRPr="005A5BB7" w:rsidRDefault="3FF051E5" w:rsidP="00C578B4">
            <w:pPr>
              <w:pStyle w:val="TableText0"/>
            </w:pPr>
            <w:r w:rsidRPr="005A5BB7">
              <w:t>1.59 (1.31, 1.94)</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4469171" w14:textId="5D54A2D0" w:rsidR="3FF051E5" w:rsidRPr="005A5BB7" w:rsidRDefault="3FF051E5" w:rsidP="00C578B4">
            <w:pPr>
              <w:pStyle w:val="TableText0"/>
            </w:pPr>
            <w:r w:rsidRPr="005A5BB7">
              <w:t>2.01</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728429C" w14:textId="73A2B680" w:rsidR="3FF051E5" w:rsidRPr="005A5BB7" w:rsidRDefault="3FF051E5" w:rsidP="00C578B4">
            <w:pPr>
              <w:pStyle w:val="TableText0"/>
            </w:pPr>
            <w:r w:rsidRPr="005A5BB7">
              <w:t>1.26</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02FB61D" w14:textId="0F3BFF9B" w:rsidR="3FF051E5" w:rsidRPr="005A5BB7" w:rsidRDefault="3FF051E5" w:rsidP="00C578B4">
            <w:pPr>
              <w:pStyle w:val="TableText0"/>
            </w:pPr>
            <w:r w:rsidRPr="005A5BB7">
              <w:t>0.007 (0.00, 0.01)</w:t>
            </w:r>
          </w:p>
        </w:tc>
      </w:tr>
      <w:tr w:rsidR="3FF051E5" w:rsidRPr="005A5BB7" w14:paraId="15E3F195"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ABEFD94" w14:textId="6D4D5733" w:rsidR="3FF051E5" w:rsidRPr="005A5BB7" w:rsidRDefault="3FF051E5" w:rsidP="00C578B4">
            <w:pPr>
              <w:pStyle w:val="TableText0"/>
            </w:pPr>
            <w:r w:rsidRPr="005A5BB7">
              <w:t>Any Grade 3 related to the intervention</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DEB0CE9" w14:textId="68F9FC31" w:rsidR="3FF051E5" w:rsidRPr="005A5BB7" w:rsidRDefault="3FF051E5" w:rsidP="00C578B4">
            <w:pPr>
              <w:pStyle w:val="TableText0"/>
            </w:pPr>
            <w:r w:rsidRPr="005A5BB7">
              <w:t>110/12,469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6F7F3BE" w14:textId="5BF20494" w:rsidR="3FF051E5" w:rsidRPr="005A5BB7" w:rsidRDefault="3FF051E5" w:rsidP="00C578B4">
            <w:pPr>
              <w:pStyle w:val="TableText0"/>
            </w:pPr>
            <w:r w:rsidRPr="005A5BB7">
              <w:t>23/12,503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03C0978" w14:textId="18F4B5C8" w:rsidR="3FF051E5" w:rsidRPr="005A5BB7" w:rsidRDefault="3FF051E5" w:rsidP="00C578B4">
            <w:pPr>
              <w:pStyle w:val="TableText0"/>
            </w:pPr>
            <w:r w:rsidRPr="005A5BB7">
              <w:t>4.79 (3.06, 7.51)</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A5CC28F" w14:textId="7E6BD2EF" w:rsidR="3FF051E5" w:rsidRPr="005A5BB7" w:rsidRDefault="3FF051E5" w:rsidP="00C578B4">
            <w:pPr>
              <w:pStyle w:val="TableText0"/>
            </w:pPr>
            <w:r w:rsidRPr="005A5BB7">
              <w:t>0.88</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EF7552A" w14:textId="0B0973C9" w:rsidR="3FF051E5" w:rsidRPr="005A5BB7" w:rsidRDefault="3FF051E5" w:rsidP="00C578B4">
            <w:pPr>
              <w:pStyle w:val="TableText0"/>
            </w:pPr>
            <w:r w:rsidRPr="005A5BB7">
              <w:t>0.18</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80AB94E" w14:textId="0803A8B4" w:rsidR="3FF051E5" w:rsidRPr="005A5BB7" w:rsidRDefault="3FF051E5" w:rsidP="00C578B4">
            <w:pPr>
              <w:pStyle w:val="TableText0"/>
            </w:pPr>
            <w:r w:rsidRPr="005A5BB7">
              <w:t>0.007 (0.005, 0.009)</w:t>
            </w:r>
          </w:p>
        </w:tc>
      </w:tr>
      <w:tr w:rsidR="3FF051E5" w:rsidRPr="005A5BB7" w14:paraId="3F3371BA"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E76EA52" w14:textId="1B8868BF" w:rsidR="3FF051E5" w:rsidRPr="005A5BB7" w:rsidRDefault="3FF051E5" w:rsidP="00C578B4">
            <w:pPr>
              <w:pStyle w:val="TableText0"/>
            </w:pPr>
            <w:r w:rsidRPr="005A5BB7">
              <w:t>Any medically attended</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2D2CCC3" w14:textId="1151589C" w:rsidR="3FF051E5" w:rsidRPr="005A5BB7" w:rsidRDefault="3FF051E5" w:rsidP="00C578B4">
            <w:pPr>
              <w:pStyle w:val="TableText0"/>
            </w:pPr>
            <w:r w:rsidRPr="005A5BB7">
              <w:t>718/12,469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5C7026F" w14:textId="1B43117C" w:rsidR="3FF051E5" w:rsidRPr="005A5BB7" w:rsidRDefault="3FF051E5" w:rsidP="00C578B4">
            <w:pPr>
              <w:pStyle w:val="TableText0"/>
            </w:pPr>
            <w:r w:rsidRPr="005A5BB7">
              <w:t>722/12,503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20E85BC" w14:textId="2E17D63E" w:rsidR="3FF051E5" w:rsidRPr="005A5BB7" w:rsidRDefault="3FF051E5" w:rsidP="00C578B4">
            <w:pPr>
              <w:pStyle w:val="TableText0"/>
            </w:pPr>
            <w:r w:rsidRPr="005A5BB7">
              <w:t>1.00 (0.90, 1.10)</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554A864" w14:textId="482C8C95" w:rsidR="3FF051E5" w:rsidRPr="005A5BB7" w:rsidRDefault="3FF051E5" w:rsidP="00C578B4">
            <w:pPr>
              <w:pStyle w:val="TableText0"/>
            </w:pPr>
            <w:r w:rsidRPr="005A5BB7">
              <w:t>5.76</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4BCB720" w14:textId="6B392FD1" w:rsidR="3FF051E5" w:rsidRPr="005A5BB7" w:rsidRDefault="3FF051E5" w:rsidP="00C578B4">
            <w:pPr>
              <w:pStyle w:val="TableText0"/>
            </w:pPr>
            <w:r w:rsidRPr="005A5BB7">
              <w:t>5.77</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CA3CAAA" w14:textId="13102F42" w:rsidR="3FF051E5" w:rsidRPr="005A5BB7" w:rsidRDefault="3FF051E5" w:rsidP="00C578B4">
            <w:pPr>
              <w:pStyle w:val="TableText0"/>
            </w:pPr>
            <w:r w:rsidRPr="005A5BB7">
              <w:t>0.000 (</w:t>
            </w:r>
            <w:r w:rsidR="000E4816">
              <w:noBreakHyphen/>
            </w:r>
            <w:r w:rsidRPr="005A5BB7">
              <w:t>0.01, 0.01)</w:t>
            </w:r>
          </w:p>
        </w:tc>
      </w:tr>
      <w:tr w:rsidR="3FF051E5" w:rsidRPr="005A5BB7" w14:paraId="7A486CA1" w14:textId="77777777" w:rsidTr="310F0368">
        <w:trPr>
          <w:trHeight w:val="285"/>
        </w:trPr>
        <w:tc>
          <w:tcPr>
            <w:tcW w:w="9064" w:type="dxa"/>
            <w:gridSpan w:val="7"/>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258A820" w14:textId="73C5006F" w:rsidR="3FF051E5" w:rsidRPr="005A5BB7" w:rsidRDefault="3FF051E5" w:rsidP="00C578B4">
            <w:pPr>
              <w:pStyle w:val="TableText0"/>
            </w:pPr>
            <w:r w:rsidRPr="005A5BB7">
              <w:t>Unsolicited AEs within 6 months post vaccination</w:t>
            </w:r>
          </w:p>
        </w:tc>
      </w:tr>
      <w:tr w:rsidR="3FF051E5" w:rsidRPr="005A5BB7" w14:paraId="261B43C7"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E98DAE6" w14:textId="45E48EF7" w:rsidR="3FF051E5" w:rsidRPr="005A5BB7" w:rsidRDefault="3FF051E5" w:rsidP="00C578B4">
            <w:pPr>
              <w:pStyle w:val="TableText0"/>
            </w:pPr>
            <w:r w:rsidRPr="005A5BB7">
              <w:t>Any SAE</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BE4BBE7" w14:textId="00A16C23" w:rsidR="3FF051E5" w:rsidRPr="005A5BB7" w:rsidRDefault="3FF051E5" w:rsidP="00C578B4">
            <w:pPr>
              <w:pStyle w:val="TableText0"/>
            </w:pPr>
            <w:r w:rsidRPr="005A5BB7">
              <w:t>548/12,469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CBCB395" w14:textId="1CFB09F9" w:rsidR="3FF051E5" w:rsidRPr="005A5BB7" w:rsidRDefault="3FF051E5" w:rsidP="00C578B4">
            <w:pPr>
              <w:pStyle w:val="TableText0"/>
            </w:pPr>
            <w:r w:rsidRPr="005A5BB7">
              <w:t>539/12,503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7779DA2" w14:textId="2E784641" w:rsidR="3FF051E5" w:rsidRPr="005A5BB7" w:rsidRDefault="3FF051E5" w:rsidP="00C578B4">
            <w:pPr>
              <w:pStyle w:val="TableText0"/>
            </w:pPr>
            <w:r w:rsidRPr="005A5BB7">
              <w:t>1.02 (0.91, 1.15)</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BD014E3" w14:textId="0AD2037D" w:rsidR="3FF051E5" w:rsidRPr="005A5BB7" w:rsidRDefault="3FF051E5" w:rsidP="00C578B4">
            <w:pPr>
              <w:pStyle w:val="TableText0"/>
            </w:pPr>
            <w:r w:rsidRPr="005A5BB7">
              <w:t>4.39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E1670EA" w14:textId="37390394" w:rsidR="3FF051E5" w:rsidRPr="005A5BB7" w:rsidRDefault="3FF051E5" w:rsidP="00C578B4">
            <w:pPr>
              <w:pStyle w:val="TableText0"/>
            </w:pPr>
            <w:r w:rsidRPr="005A5BB7">
              <w:t>4.31</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4C2338C" w14:textId="4A5B3C56" w:rsidR="3FF051E5" w:rsidRPr="005A5BB7" w:rsidRDefault="3FF051E5" w:rsidP="00C578B4">
            <w:pPr>
              <w:pStyle w:val="TableText0"/>
            </w:pPr>
            <w:r w:rsidRPr="005A5BB7">
              <w:t>0.001 (</w:t>
            </w:r>
            <w:r w:rsidR="000E4816">
              <w:noBreakHyphen/>
            </w:r>
            <w:r w:rsidRPr="005A5BB7">
              <w:t>0.00, 0.01)</w:t>
            </w:r>
          </w:p>
        </w:tc>
      </w:tr>
      <w:tr w:rsidR="3FF051E5" w:rsidRPr="005A5BB7" w14:paraId="762C5D55"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A01244E" w14:textId="4C7554AA" w:rsidR="3FF051E5" w:rsidRPr="005A5BB7" w:rsidRDefault="3FF051E5" w:rsidP="00C578B4">
            <w:pPr>
              <w:pStyle w:val="TableText0"/>
            </w:pPr>
            <w:r w:rsidRPr="005A5BB7">
              <w:t>Any SAE related to the intervention</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1C84524" w14:textId="1FEE04B6" w:rsidR="3FF051E5" w:rsidRPr="005A5BB7" w:rsidRDefault="3FF051E5" w:rsidP="00C578B4">
            <w:pPr>
              <w:pStyle w:val="TableText0"/>
            </w:pPr>
            <w:r w:rsidRPr="005A5BB7">
              <w:t>15/12,469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56886F5" w14:textId="2814781B" w:rsidR="3FF051E5" w:rsidRPr="005A5BB7" w:rsidRDefault="3FF051E5" w:rsidP="00C578B4">
            <w:pPr>
              <w:pStyle w:val="TableText0"/>
            </w:pPr>
            <w:r w:rsidRPr="005A5BB7">
              <w:t>10/12,503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7E977C1" w14:textId="44F0BF81" w:rsidR="3FF051E5" w:rsidRPr="005A5BB7" w:rsidRDefault="3FF051E5" w:rsidP="00C578B4">
            <w:pPr>
              <w:pStyle w:val="TableText0"/>
            </w:pPr>
            <w:r w:rsidRPr="005A5BB7">
              <w:t>1.50 (0.68, 3.35)</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CAD3DBA" w14:textId="3BBF9488" w:rsidR="3FF051E5" w:rsidRPr="005A5BB7" w:rsidRDefault="3FF051E5" w:rsidP="00C578B4">
            <w:pPr>
              <w:pStyle w:val="TableText0"/>
            </w:pPr>
            <w:r w:rsidRPr="005A5BB7">
              <w:t>0.12</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0BAE60C" w14:textId="72CC5B78" w:rsidR="3FF051E5" w:rsidRPr="005A5BB7" w:rsidRDefault="3FF051E5" w:rsidP="00C578B4">
            <w:pPr>
              <w:pStyle w:val="TableText0"/>
            </w:pPr>
            <w:r w:rsidRPr="005A5BB7">
              <w:t>0.08</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FCE7757" w14:textId="063ACB82" w:rsidR="3FF051E5" w:rsidRPr="005A5BB7" w:rsidRDefault="3FF051E5" w:rsidP="00C578B4">
            <w:pPr>
              <w:pStyle w:val="TableText0"/>
            </w:pPr>
            <w:r w:rsidRPr="005A5BB7">
              <w:t>0.001 (0.00,0.00)</w:t>
            </w:r>
          </w:p>
        </w:tc>
      </w:tr>
      <w:tr w:rsidR="3FF051E5" w:rsidRPr="005A5BB7" w14:paraId="7D96785B"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22B6B55" w14:textId="4CC431BA" w:rsidR="3FF051E5" w:rsidRPr="005A5BB7" w:rsidRDefault="3FF051E5" w:rsidP="00C578B4">
            <w:pPr>
              <w:pStyle w:val="TableText0"/>
            </w:pPr>
            <w:r w:rsidRPr="005A5BB7">
              <w:t>Any pIMD</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51C9EF0" w14:textId="1F8C6BD5" w:rsidR="3FF051E5" w:rsidRPr="005A5BB7" w:rsidRDefault="3FF051E5" w:rsidP="00C578B4">
            <w:pPr>
              <w:pStyle w:val="TableText0"/>
            </w:pPr>
            <w:r w:rsidRPr="005A5BB7">
              <w:t>46/12,469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D9E80B4" w14:textId="27CCDFC1" w:rsidR="3FF051E5" w:rsidRPr="005A5BB7" w:rsidRDefault="3FF051E5" w:rsidP="00C578B4">
            <w:pPr>
              <w:pStyle w:val="TableText0"/>
            </w:pPr>
            <w:r w:rsidRPr="005A5BB7">
              <w:t>38/12,503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76573C1" w14:textId="31236FBD" w:rsidR="3FF051E5" w:rsidRPr="005A5BB7" w:rsidRDefault="3FF051E5" w:rsidP="00C578B4">
            <w:pPr>
              <w:pStyle w:val="TableText0"/>
            </w:pPr>
            <w:r w:rsidRPr="005A5BB7">
              <w:t>1.21 (0.79, 1.86)</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C7EDB2A" w14:textId="5F72FAAE" w:rsidR="3FF051E5" w:rsidRPr="005A5BB7" w:rsidRDefault="3FF051E5" w:rsidP="00C578B4">
            <w:pPr>
              <w:pStyle w:val="TableText0"/>
            </w:pPr>
            <w:r w:rsidRPr="005A5BB7">
              <w:t>0.37</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03F2F0C6" w14:textId="3C05EE69" w:rsidR="3FF051E5" w:rsidRPr="005A5BB7" w:rsidRDefault="3FF051E5" w:rsidP="00C578B4">
            <w:pPr>
              <w:pStyle w:val="TableText0"/>
            </w:pPr>
            <w:r w:rsidRPr="005A5BB7">
              <w:t>0.30</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BCC38B7" w14:textId="4568C7AE" w:rsidR="3FF051E5" w:rsidRPr="005A5BB7" w:rsidRDefault="3FF051E5" w:rsidP="00C578B4">
            <w:pPr>
              <w:pStyle w:val="TableText0"/>
            </w:pPr>
            <w:r w:rsidRPr="005A5BB7">
              <w:t>0.001 (</w:t>
            </w:r>
            <w:r w:rsidR="000E4816">
              <w:noBreakHyphen/>
            </w:r>
            <w:r w:rsidRPr="005A5BB7">
              <w:t>0.00, 0.00)</w:t>
            </w:r>
          </w:p>
        </w:tc>
      </w:tr>
      <w:tr w:rsidR="3FF051E5" w:rsidRPr="005A5BB7" w14:paraId="3FE3EE69"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C4DC83D" w14:textId="72BE7A36" w:rsidR="3FF051E5" w:rsidRPr="005A5BB7" w:rsidRDefault="3FF051E5" w:rsidP="00C578B4">
            <w:pPr>
              <w:pStyle w:val="TableText0"/>
            </w:pPr>
            <w:r w:rsidRPr="005A5BB7">
              <w:t>Any pIMD related to the intervention</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D2E0F02" w14:textId="0202B1ED" w:rsidR="3FF051E5" w:rsidRPr="005A5BB7" w:rsidRDefault="3FF051E5" w:rsidP="00C578B4">
            <w:pPr>
              <w:pStyle w:val="TableText0"/>
            </w:pPr>
            <w:r w:rsidRPr="005A5BB7">
              <w:t>8/12,469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5F7BF71" w14:textId="544C0073" w:rsidR="3FF051E5" w:rsidRPr="005A5BB7" w:rsidRDefault="3FF051E5" w:rsidP="00C578B4">
            <w:pPr>
              <w:pStyle w:val="TableText0"/>
            </w:pPr>
            <w:r w:rsidRPr="005A5BB7">
              <w:t>7/12,503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C78C170" w14:textId="3273A484" w:rsidR="3FF051E5" w:rsidRPr="005A5BB7" w:rsidRDefault="3FF051E5" w:rsidP="00C578B4">
            <w:pPr>
              <w:pStyle w:val="TableText0"/>
            </w:pPr>
            <w:r w:rsidRPr="005A5BB7">
              <w:t>1.15 (0.42, 3.16)</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729053DF" w14:textId="7F0C4956" w:rsidR="3FF051E5" w:rsidRPr="005A5BB7" w:rsidRDefault="3FF051E5" w:rsidP="00C578B4">
            <w:pPr>
              <w:pStyle w:val="TableText0"/>
            </w:pPr>
            <w:r w:rsidRPr="005A5BB7">
              <w:t>0.03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6989CBED" w14:textId="70ACD246" w:rsidR="3FF051E5" w:rsidRPr="005A5BB7" w:rsidRDefault="3FF051E5" w:rsidP="00C578B4">
            <w:pPr>
              <w:pStyle w:val="TableText0"/>
            </w:pPr>
            <w:r w:rsidRPr="005A5BB7">
              <w:t>0.06</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A22794C" w14:textId="1519BF2B" w:rsidR="3FF051E5" w:rsidRPr="005A5BB7" w:rsidRDefault="3FF051E5" w:rsidP="00C578B4">
            <w:pPr>
              <w:pStyle w:val="TableText0"/>
            </w:pPr>
            <w:r w:rsidRPr="005A5BB7">
              <w:t>0.000 (</w:t>
            </w:r>
            <w:r w:rsidR="000E4816">
              <w:noBreakHyphen/>
            </w:r>
            <w:r w:rsidRPr="005A5BB7">
              <w:t>0.00, 0.00)</w:t>
            </w:r>
          </w:p>
        </w:tc>
      </w:tr>
      <w:tr w:rsidR="3FF051E5" w:rsidRPr="005A5BB7" w14:paraId="48D3CB15" w14:textId="77777777" w:rsidTr="310F0368">
        <w:trPr>
          <w:trHeight w:val="285"/>
        </w:trPr>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16F7E890" w14:textId="10D138C7" w:rsidR="3FF051E5" w:rsidRPr="005A5BB7" w:rsidRDefault="3FF051E5" w:rsidP="00C578B4">
            <w:pPr>
              <w:pStyle w:val="TableText0"/>
            </w:pPr>
            <w:r w:rsidRPr="005A5BB7">
              <w:t>Any fatal SAE</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C86F2EA" w14:textId="16B11451" w:rsidR="3FF051E5" w:rsidRPr="005A5BB7" w:rsidRDefault="3FF051E5" w:rsidP="00C578B4">
            <w:pPr>
              <w:pStyle w:val="TableText0"/>
            </w:pPr>
            <w:r w:rsidRPr="005A5BB7">
              <w:t>231/12,469</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4CB6D13" w14:textId="6AE78075" w:rsidR="3FF051E5" w:rsidRPr="005A5BB7" w:rsidRDefault="3FF051E5" w:rsidP="00C578B4">
            <w:pPr>
              <w:pStyle w:val="TableText0"/>
            </w:pPr>
            <w:r w:rsidRPr="005A5BB7">
              <w:t>265/12,503</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3A898347" w14:textId="105A8533" w:rsidR="3FF051E5" w:rsidRPr="005A5BB7" w:rsidRDefault="3FF051E5" w:rsidP="00C578B4">
            <w:pPr>
              <w:pStyle w:val="TableText0"/>
            </w:pPr>
            <w:r w:rsidRPr="005A5BB7">
              <w:t>0.87 (0.73, 1.04)</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57A37C99" w14:textId="23682295" w:rsidR="3FF051E5" w:rsidRPr="005A5BB7" w:rsidRDefault="3FF051E5" w:rsidP="00C578B4">
            <w:pPr>
              <w:pStyle w:val="TableText0"/>
            </w:pPr>
            <w:r w:rsidRPr="005A5BB7">
              <w:t>1.85</w:t>
            </w:r>
          </w:p>
        </w:tc>
        <w:tc>
          <w:tcPr>
            <w:tcW w:w="127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23098A8C" w14:textId="262962C1" w:rsidR="3FF051E5" w:rsidRPr="005A5BB7" w:rsidRDefault="3FF051E5" w:rsidP="00C578B4">
            <w:pPr>
              <w:pStyle w:val="TableText0"/>
            </w:pPr>
            <w:r w:rsidRPr="005A5BB7">
              <w:t>2.12</w:t>
            </w:r>
          </w:p>
        </w:tc>
        <w:tc>
          <w:tcPr>
            <w:tcW w:w="1438"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5" w:type="dxa"/>
              <w:right w:w="15" w:type="dxa"/>
            </w:tcMar>
            <w:vAlign w:val="center"/>
          </w:tcPr>
          <w:p w14:paraId="461956D2" w14:textId="388375E5" w:rsidR="3FF051E5" w:rsidRPr="005A5BB7" w:rsidRDefault="000E4816" w:rsidP="00C578B4">
            <w:pPr>
              <w:pStyle w:val="TableText0"/>
            </w:pPr>
            <w:r>
              <w:noBreakHyphen/>
            </w:r>
            <w:r w:rsidR="3FF051E5" w:rsidRPr="005A5BB7">
              <w:t>0.003 (</w:t>
            </w:r>
            <w:r>
              <w:noBreakHyphen/>
            </w:r>
            <w:r w:rsidR="3FF051E5" w:rsidRPr="005A5BB7">
              <w:t>0.00, 0.00)</w:t>
            </w:r>
          </w:p>
        </w:tc>
      </w:tr>
    </w:tbl>
    <w:p w14:paraId="44004363" w14:textId="379DD135" w:rsidR="00E723BA" w:rsidRPr="005A5BB7" w:rsidRDefault="40907FAA" w:rsidP="00133E40">
      <w:pPr>
        <w:pStyle w:val="FooterTableFigure"/>
        <w:rPr>
          <w:rFonts w:eastAsia="Arial Narrow"/>
        </w:rPr>
      </w:pPr>
      <w:r w:rsidRPr="005A5BB7">
        <w:t xml:space="preserve">Source: Table </w:t>
      </w:r>
      <w:r w:rsidR="0069437A" w:rsidRPr="005A5BB7">
        <w:t xml:space="preserve">12, p21 </w:t>
      </w:r>
      <w:r w:rsidR="00515E6F" w:rsidRPr="005A5BB7">
        <w:t>RSVPreF3 OA PSD, July 2025 PBAC meeting</w:t>
      </w:r>
    </w:p>
    <w:p w14:paraId="6A38EA3D" w14:textId="7312696D" w:rsidR="00E723BA" w:rsidRPr="005A5BB7" w:rsidRDefault="40907FAA" w:rsidP="00133E40">
      <w:pPr>
        <w:pStyle w:val="FooterTableFigure"/>
        <w:rPr>
          <w:rFonts w:eastAsia="Arial Narrow"/>
        </w:rPr>
      </w:pPr>
      <w:r w:rsidRPr="005A5BB7">
        <w:t>admin = administration; AE = adverse event; CI = confidence interval; ES = exposed set; mES = modified exposed set; N = number of participants; n = number of participants with at least one RT</w:t>
      </w:r>
      <w:r w:rsidR="000E4816">
        <w:noBreakHyphen/>
      </w:r>
      <w:r w:rsidRPr="005A5BB7">
        <w:t>PCR confirmed RSV</w:t>
      </w:r>
      <w:r w:rsidR="000E4816">
        <w:noBreakHyphen/>
      </w:r>
      <w:r w:rsidRPr="005A5BB7">
        <w:t xml:space="preserve">LRTD; LRTD = lower respiratory tract disease; </w:t>
      </w:r>
      <w:r w:rsidR="006E3255" w:rsidRPr="005A5BB7">
        <w:t>NR = not reported;</w:t>
      </w:r>
      <w:r w:rsidRPr="005A5BB7">
        <w:t xml:space="preserve"> n/T (per 1000) = incidence rate of participants reporting at least one event; RD = risk difference; RR = relative risk; RSV = respiratory syncytial virus; RSVPreF3 OA= RSV pre</w:t>
      </w:r>
      <w:r w:rsidR="000E4816">
        <w:noBreakHyphen/>
      </w:r>
      <w:r w:rsidRPr="005A5BB7">
        <w:t>fusion protein 3 older adult; RT</w:t>
      </w:r>
      <w:r w:rsidR="000E4816">
        <w:noBreakHyphen/>
      </w:r>
      <w:r w:rsidRPr="005A5BB7">
        <w:t>PCR = reverse transcription</w:t>
      </w:r>
      <w:r w:rsidR="000E4816">
        <w:noBreakHyphen/>
      </w:r>
      <w:r w:rsidRPr="005A5BB7">
        <w:t>polymerase chain reaction; T (year) = sum of follow</w:t>
      </w:r>
      <w:r w:rsidR="000E4816">
        <w:noBreakHyphen/>
      </w:r>
      <w:r w:rsidRPr="005A5BB7">
        <w:t>up time (from Day 15 post</w:t>
      </w:r>
      <w:r w:rsidR="000E4816">
        <w:noBreakHyphen/>
      </w:r>
      <w:r w:rsidRPr="005A5BB7">
        <w:t>vaccination till first occurrence of the event or till the efficacy data lock point or till drop</w:t>
      </w:r>
      <w:r w:rsidR="000E4816">
        <w:noBreakHyphen/>
      </w:r>
      <w:r w:rsidRPr="005A5BB7">
        <w:t xml:space="preserve">out date) expressed in years; VE = vaccine efficacy. </w:t>
      </w:r>
    </w:p>
    <w:p w14:paraId="00C11CF8" w14:textId="006BF0EB" w:rsidR="00E723BA" w:rsidRPr="005A5BB7" w:rsidRDefault="40907FAA" w:rsidP="3FF051E5">
      <w:pPr>
        <w:pStyle w:val="FooterTableFigure"/>
        <w:rPr>
          <w:rFonts w:eastAsia="Arial Narrow"/>
        </w:rPr>
      </w:pPr>
      <w:r w:rsidRPr="005A5BB7">
        <w:lastRenderedPageBreak/>
        <w:t>a ≥ 60 YOA: VE analysis 1 = 96.95% CI; VE analysis 2 = 95% CI</w:t>
      </w:r>
      <w:r w:rsidR="006914DA" w:rsidRPr="005A5BB7">
        <w:t xml:space="preserve">; </w:t>
      </w:r>
      <w:r w:rsidRPr="005A5BB7">
        <w:t>VE analysis 3 = 97.5% CI. ≥ 60 YOA: VE analysis 1, 2 and 3 = 95% CI.</w:t>
      </w:r>
    </w:p>
    <w:p w14:paraId="2D98B71D" w14:textId="0D84211F" w:rsidR="00E723BA" w:rsidRPr="005A5BB7" w:rsidRDefault="40907FAA" w:rsidP="3FF051E5">
      <w:pPr>
        <w:pStyle w:val="FooterTableFigure"/>
        <w:rPr>
          <w:rFonts w:eastAsia="Arial Narrow"/>
        </w:rPr>
      </w:pPr>
      <w:r w:rsidRPr="005A5BB7">
        <w:t xml:space="preserve">b Due to the small number of events, events are represented across all study arms </w:t>
      </w:r>
      <w:proofErr w:type="gramStart"/>
      <w:r w:rsidRPr="005A5BB7">
        <w:t>in order to</w:t>
      </w:r>
      <w:proofErr w:type="gramEnd"/>
      <w:r w:rsidRPr="005A5BB7">
        <w:t xml:space="preserve"> maintain blinding.</w:t>
      </w:r>
    </w:p>
    <w:p w14:paraId="3F46689C" w14:textId="35AD20DA" w:rsidR="00E723BA" w:rsidRPr="005A5BB7" w:rsidRDefault="40907FAA" w:rsidP="3FF051E5">
      <w:pPr>
        <w:pStyle w:val="FooterTableFigure"/>
        <w:rPr>
          <w:rFonts w:eastAsia="Arial Narrow"/>
        </w:rPr>
      </w:pPr>
      <w:r w:rsidRPr="005A5BB7">
        <w:t>VE analysis 1: median duration of follow up = 6.7 months. VE analysis 1: median duration of follow up = 11.5 months. VE analysis 3: median duration of follow up = 17.8 months</w:t>
      </w:r>
    </w:p>
    <w:p w14:paraId="25B05B4B" w14:textId="2776D2C5" w:rsidR="00E723BA" w:rsidRPr="005A5BB7" w:rsidRDefault="40907FAA" w:rsidP="3FF051E5">
      <w:pPr>
        <w:pStyle w:val="FooterTableFigure"/>
        <w:rPr>
          <w:rFonts w:eastAsia="Arial Narrow"/>
        </w:rPr>
      </w:pPr>
      <w:r w:rsidRPr="005A5BB7">
        <w:t>Blue shading reflects data previously seen by the PBAC.</w:t>
      </w:r>
    </w:p>
    <w:p w14:paraId="05A8426B" w14:textId="4D8221C8" w:rsidR="00E723BA" w:rsidRPr="005A5BB7" w:rsidRDefault="40907FAA" w:rsidP="3FF051E5">
      <w:pPr>
        <w:pStyle w:val="FooterTableFigure"/>
        <w:rPr>
          <w:rFonts w:eastAsia="Arial Narrow"/>
        </w:rPr>
      </w:pPr>
      <w:r w:rsidRPr="005A5BB7">
        <w:t xml:space="preserve">RR and RD were calculated for the evaluation as should be considered as indicative as the study was not powered for comparisons of safety. </w:t>
      </w:r>
    </w:p>
    <w:p w14:paraId="00CE056C" w14:textId="77777777" w:rsidR="00196A13" w:rsidRPr="005A5BB7" w:rsidRDefault="00196A13" w:rsidP="3FF051E5">
      <w:pPr>
        <w:pStyle w:val="FooterTableFigure"/>
        <w:rPr>
          <w:rFonts w:eastAsia="Arial Narrow"/>
        </w:rPr>
      </w:pPr>
    </w:p>
    <w:p w14:paraId="156BB032" w14:textId="02D64291" w:rsidR="00E723BA" w:rsidRPr="005A5BB7" w:rsidRDefault="40907FAA" w:rsidP="3FF051E5">
      <w:pPr>
        <w:pStyle w:val="3-BodyText"/>
        <w:rPr>
          <w:szCs w:val="24"/>
        </w:rPr>
      </w:pPr>
      <w:proofErr w:type="gramStart"/>
      <w:r w:rsidRPr="005A5BB7">
        <w:t>On the basis of</w:t>
      </w:r>
      <w:proofErr w:type="gramEnd"/>
      <w:r w:rsidRPr="005A5BB7">
        <w:t xml:space="preserve"> direct evidence presented by the </w:t>
      </w:r>
      <w:r w:rsidR="005D6F05" w:rsidRPr="005A5BB7">
        <w:t>re</w:t>
      </w:r>
      <w:r w:rsidRPr="005A5BB7">
        <w:t xml:space="preserve">submission, for every 1,000 individuals ≥ 60 YOA vaccinated with a single dose of RSVPreF3 OA, in comparison with placebo (no vaccine): </w:t>
      </w:r>
    </w:p>
    <w:p w14:paraId="0F134981" w14:textId="585BD5C0" w:rsidR="00D47ADF" w:rsidRPr="005A5BB7" w:rsidRDefault="698DAFA4" w:rsidP="00E113F2">
      <w:pPr>
        <w:pStyle w:val="3-BodyText"/>
        <w:numPr>
          <w:ilvl w:val="2"/>
          <w:numId w:val="7"/>
        </w:numPr>
        <w:ind w:left="1134"/>
      </w:pPr>
      <w:r w:rsidRPr="005A5BB7">
        <w:t xml:space="preserve">Approximately </w:t>
      </w:r>
      <w:r w:rsidR="004A361B" w:rsidRPr="005A5BB7">
        <w:t xml:space="preserve">13 </w:t>
      </w:r>
      <w:r w:rsidRPr="005A5BB7">
        <w:t>fewer adults ≥ 60 YOA will have RT</w:t>
      </w:r>
      <w:r w:rsidR="000E4816">
        <w:noBreakHyphen/>
      </w:r>
      <w:r w:rsidRPr="005A5BB7">
        <w:t>PCR confirmed RSV</w:t>
      </w:r>
      <w:r w:rsidR="000E4816">
        <w:noBreakHyphen/>
      </w:r>
      <w:r w:rsidRPr="005A5BB7">
        <w:t xml:space="preserve">LRTD </w:t>
      </w:r>
      <w:r w:rsidR="004A361B" w:rsidRPr="005A5BB7">
        <w:t>over the first three RSV infection seasons</w:t>
      </w:r>
      <w:r w:rsidRPr="005A5BB7">
        <w:t>.</w:t>
      </w:r>
    </w:p>
    <w:p w14:paraId="3D9ECBB6" w14:textId="5FD9D5BD" w:rsidR="00D47ADF" w:rsidRPr="005A5BB7" w:rsidRDefault="007466AE" w:rsidP="00E113F2">
      <w:pPr>
        <w:pStyle w:val="3-BodyText"/>
        <w:numPr>
          <w:ilvl w:val="2"/>
          <w:numId w:val="7"/>
        </w:numPr>
        <w:ind w:left="1134"/>
      </w:pPr>
      <w:r w:rsidRPr="005A5BB7">
        <w:t xml:space="preserve">Approximately </w:t>
      </w:r>
      <w:r w:rsidR="004A361B" w:rsidRPr="005A5BB7">
        <w:t xml:space="preserve">18 </w:t>
      </w:r>
      <w:r w:rsidR="00BB1645" w:rsidRPr="005A5BB7">
        <w:t>fewer adults ≥ 60 YOA</w:t>
      </w:r>
      <w:r w:rsidR="00256B1C" w:rsidRPr="005A5BB7">
        <w:t xml:space="preserve"> with ≥1 pre</w:t>
      </w:r>
      <w:r w:rsidR="000E4816">
        <w:noBreakHyphen/>
      </w:r>
      <w:r w:rsidR="00256B1C" w:rsidRPr="005A5BB7">
        <w:t>existing comorbidity of interest</w:t>
      </w:r>
      <w:r w:rsidR="00BB1645" w:rsidRPr="005A5BB7">
        <w:t xml:space="preserve"> will have RT</w:t>
      </w:r>
      <w:r w:rsidR="000E4816">
        <w:noBreakHyphen/>
      </w:r>
      <w:r w:rsidR="00BB1645" w:rsidRPr="005A5BB7">
        <w:t>PCR confirmed RSV</w:t>
      </w:r>
      <w:r w:rsidR="000E4816">
        <w:noBreakHyphen/>
      </w:r>
      <w:r w:rsidR="00BB1645" w:rsidRPr="005A5BB7">
        <w:t xml:space="preserve">LRTD </w:t>
      </w:r>
      <w:r w:rsidR="004A361B" w:rsidRPr="005A5BB7">
        <w:t>over the first three RSV infection seasons after vaccination</w:t>
      </w:r>
      <w:r w:rsidR="00BB1645" w:rsidRPr="005A5BB7">
        <w:t>.</w:t>
      </w:r>
    </w:p>
    <w:p w14:paraId="37688AE6" w14:textId="3D1F7F51" w:rsidR="0008017D" w:rsidRPr="005A5BB7" w:rsidRDefault="0008017D" w:rsidP="0008017D">
      <w:pPr>
        <w:pStyle w:val="3-BodyText"/>
        <w:numPr>
          <w:ilvl w:val="2"/>
          <w:numId w:val="7"/>
        </w:numPr>
        <w:ind w:left="1134"/>
      </w:pPr>
      <w:r w:rsidRPr="005A5BB7">
        <w:t xml:space="preserve">Approximately </w:t>
      </w:r>
      <w:r w:rsidR="005501A1" w:rsidRPr="005A5BB7">
        <w:t>27</w:t>
      </w:r>
      <w:r w:rsidRPr="005A5BB7">
        <w:t xml:space="preserve"> fewer adults ≥ 60 YOA with ≥1 </w:t>
      </w:r>
      <w:r w:rsidR="005501A1" w:rsidRPr="005A5BB7">
        <w:t>pre</w:t>
      </w:r>
      <w:r w:rsidR="000E4816">
        <w:noBreakHyphen/>
      </w:r>
      <w:r w:rsidR="005501A1" w:rsidRPr="005A5BB7">
        <w:t xml:space="preserve">existing cardiorespiratory condition </w:t>
      </w:r>
      <w:r w:rsidR="0061284D" w:rsidRPr="005A5BB7">
        <w:t xml:space="preserve">(COPD, Asthma, Any chronic respiratory/pulmonary disease, Chronic heart failure) </w:t>
      </w:r>
      <w:r w:rsidRPr="005A5BB7">
        <w:t>will have RT</w:t>
      </w:r>
      <w:r w:rsidR="000E4816">
        <w:noBreakHyphen/>
      </w:r>
      <w:r w:rsidRPr="005A5BB7">
        <w:t>PCR confirmed RSV</w:t>
      </w:r>
      <w:r w:rsidR="000E4816">
        <w:noBreakHyphen/>
      </w:r>
      <w:r w:rsidRPr="005A5BB7">
        <w:t>LRTD over the first three RSV infection seasons after vaccination.</w:t>
      </w:r>
    </w:p>
    <w:p w14:paraId="2714B97B" w14:textId="78F3A1A7" w:rsidR="0008017D" w:rsidRPr="005A5BB7" w:rsidRDefault="0008017D" w:rsidP="0008017D">
      <w:pPr>
        <w:pStyle w:val="3-BodyText"/>
        <w:numPr>
          <w:ilvl w:val="2"/>
          <w:numId w:val="7"/>
        </w:numPr>
        <w:ind w:left="1134"/>
      </w:pPr>
      <w:r w:rsidRPr="005A5BB7">
        <w:t>Approximately 1</w:t>
      </w:r>
      <w:r w:rsidR="005501A1" w:rsidRPr="005A5BB7">
        <w:t>3</w:t>
      </w:r>
      <w:r w:rsidRPr="005A5BB7">
        <w:t xml:space="preserve"> fewer adults ≥ 60 YOA with ≥1 pre</w:t>
      </w:r>
      <w:r w:rsidR="000E4816">
        <w:noBreakHyphen/>
      </w:r>
      <w:r w:rsidRPr="005A5BB7">
        <w:t xml:space="preserve">existing </w:t>
      </w:r>
      <w:r w:rsidR="005501A1" w:rsidRPr="005A5BB7">
        <w:t>endocrinometabolic condition</w:t>
      </w:r>
      <w:r w:rsidR="0061284D" w:rsidRPr="005A5BB7">
        <w:t xml:space="preserve"> (Diabetes mellitus Type 1 or Type 2, Advanced liver or renal disease)</w:t>
      </w:r>
      <w:r w:rsidRPr="005A5BB7">
        <w:t xml:space="preserve"> will have RT</w:t>
      </w:r>
      <w:r w:rsidR="000E4816">
        <w:noBreakHyphen/>
      </w:r>
      <w:r w:rsidRPr="005A5BB7">
        <w:t>PCR confirmed RSV</w:t>
      </w:r>
      <w:r w:rsidR="000E4816">
        <w:noBreakHyphen/>
      </w:r>
      <w:r w:rsidRPr="005A5BB7">
        <w:t>LRTD over the first three RSV infection seasons after vaccination.</w:t>
      </w:r>
    </w:p>
    <w:p w14:paraId="0AD0F53F" w14:textId="02959809" w:rsidR="00E723BA" w:rsidRPr="005A5BB7" w:rsidRDefault="40907FAA" w:rsidP="00E113F2">
      <w:pPr>
        <w:pStyle w:val="3-BodyText"/>
        <w:numPr>
          <w:ilvl w:val="2"/>
          <w:numId w:val="7"/>
        </w:numPr>
        <w:ind w:left="1134"/>
      </w:pPr>
      <w:r w:rsidRPr="005A5BB7">
        <w:t xml:space="preserve">Approximately 32 additional adults would experience Grade 3 solicited </w:t>
      </w:r>
      <w:r w:rsidR="00C53FD4" w:rsidRPr="005A5BB7">
        <w:t xml:space="preserve">adverse </w:t>
      </w:r>
      <w:r w:rsidRPr="005A5BB7">
        <w:t xml:space="preserve">events within 4 days of vaccination. </w:t>
      </w:r>
    </w:p>
    <w:p w14:paraId="60BD4CFF" w14:textId="70774FC8" w:rsidR="00E723BA" w:rsidRPr="005A5BB7" w:rsidRDefault="40907FAA" w:rsidP="00E113F2">
      <w:pPr>
        <w:pStyle w:val="3-BodyText"/>
        <w:numPr>
          <w:ilvl w:val="2"/>
          <w:numId w:val="7"/>
        </w:numPr>
        <w:ind w:left="1134"/>
      </w:pPr>
      <w:r w:rsidRPr="005A5BB7">
        <w:t xml:space="preserve">Approximately 7 additional adults would experience any Grade 3 unsolicited </w:t>
      </w:r>
      <w:r w:rsidR="00C53FD4" w:rsidRPr="005A5BB7">
        <w:t xml:space="preserve">adverse events </w:t>
      </w:r>
      <w:r w:rsidRPr="005A5BB7">
        <w:t xml:space="preserve">within 30 days of vaccination. </w:t>
      </w:r>
    </w:p>
    <w:p w14:paraId="04AC1B54" w14:textId="035E20A8" w:rsidR="00B62715" w:rsidRPr="005A5BB7" w:rsidRDefault="00B62715" w:rsidP="009225C3"/>
    <w:p w14:paraId="7A1772B6" w14:textId="23BB3145" w:rsidR="00B60939" w:rsidRPr="005A5BB7" w:rsidRDefault="31CDB5B0" w:rsidP="00E64E39">
      <w:pPr>
        <w:pStyle w:val="4-SubsectionHeading"/>
        <w:rPr>
          <w:iCs/>
        </w:rPr>
      </w:pPr>
      <w:bookmarkStart w:id="62" w:name="_Toc22897644"/>
      <w:bookmarkStart w:id="63" w:name="_Toc219882185"/>
      <w:r w:rsidRPr="005A5BB7">
        <w:t>Clinical claim</w:t>
      </w:r>
      <w:bookmarkEnd w:id="62"/>
      <w:bookmarkEnd w:id="63"/>
    </w:p>
    <w:p w14:paraId="226B9A9F" w14:textId="066D9377" w:rsidR="323C8164" w:rsidRPr="005A5BB7" w:rsidRDefault="6CDFCAFD" w:rsidP="002B0627">
      <w:pPr>
        <w:pStyle w:val="3-BodyText"/>
        <w:numPr>
          <w:ilvl w:val="0"/>
          <w:numId w:val="0"/>
        </w:numPr>
        <w:rPr>
          <w:b/>
          <w:bCs/>
        </w:rPr>
      </w:pPr>
      <w:r w:rsidRPr="005A5BB7">
        <w:rPr>
          <w:rFonts w:ascii="Calibri" w:eastAsia="Calibri" w:hAnsi="Calibri" w:cs="Calibri"/>
          <w:b/>
          <w:bCs/>
          <w:color w:val="000000" w:themeColor="text1"/>
        </w:rPr>
        <w:t xml:space="preserve">RSVPreF3 OA versus </w:t>
      </w:r>
      <w:r w:rsidR="790586BD" w:rsidRPr="005A5BB7">
        <w:rPr>
          <w:b/>
          <w:bCs/>
        </w:rPr>
        <w:t>placebo in adults</w:t>
      </w:r>
      <w:r w:rsidR="323C8164" w:rsidRPr="005A5BB7">
        <w:rPr>
          <w:b/>
          <w:bCs/>
        </w:rPr>
        <w:t xml:space="preserve"> aged 60–74 years with medical conditions that increase the risk of severe RSV disease </w:t>
      </w:r>
    </w:p>
    <w:p w14:paraId="6880005D" w14:textId="246EC94B" w:rsidR="000215B0" w:rsidRPr="005A5BB7" w:rsidRDefault="00356F7A" w:rsidP="3FF051E5">
      <w:pPr>
        <w:pStyle w:val="3-BodyText"/>
        <w:rPr>
          <w:szCs w:val="24"/>
        </w:rPr>
      </w:pPr>
      <w:r w:rsidRPr="005A5BB7">
        <w:t>The resubmission described RSVPreF3 OA as superior in terms of VE compared with no vaccine</w:t>
      </w:r>
      <w:r w:rsidR="00D743E4" w:rsidRPr="005A5BB7">
        <w:t xml:space="preserve"> for the prevention of RSV</w:t>
      </w:r>
      <w:r w:rsidR="000E4816">
        <w:noBreakHyphen/>
      </w:r>
      <w:r w:rsidR="00D743E4" w:rsidRPr="005A5BB7">
        <w:t>confirmed LRTD among adults 60</w:t>
      </w:r>
      <w:r w:rsidR="000E4816">
        <w:noBreakHyphen/>
      </w:r>
      <w:r w:rsidR="00D743E4" w:rsidRPr="005A5BB7">
        <w:t xml:space="preserve">74 YOA with </w:t>
      </w:r>
      <w:r w:rsidR="00EC50CF" w:rsidRPr="005A5BB7">
        <w:t>a comorbidity of interest</w:t>
      </w:r>
      <w:r w:rsidR="00D743E4" w:rsidRPr="005A5BB7">
        <w:t xml:space="preserve"> associated with increased risk of severe RSV disease</w:t>
      </w:r>
      <w:r w:rsidR="001E7238" w:rsidRPr="005A5BB7">
        <w:t>,</w:t>
      </w:r>
      <w:r w:rsidRPr="005A5BB7">
        <w:t xml:space="preserve"> and with a</w:t>
      </w:r>
      <w:r w:rsidR="00A0275C" w:rsidRPr="005A5BB7">
        <w:t>n acceptable</w:t>
      </w:r>
      <w:r w:rsidRPr="005A5BB7">
        <w:t xml:space="preserve"> safety profile, despite being more reactogenic than placebo (no vaccination).</w:t>
      </w:r>
      <w:r w:rsidR="00DA1339">
        <w:t xml:space="preserve"> </w:t>
      </w:r>
      <w:r w:rsidR="00A0275C" w:rsidRPr="005A5BB7">
        <w:rPr>
          <w:rFonts w:eastAsia="Calibri"/>
          <w:iCs/>
        </w:rPr>
        <w:t xml:space="preserve">The </w:t>
      </w:r>
      <w:r w:rsidR="00BF2A82" w:rsidRPr="005A5BB7">
        <w:rPr>
          <w:rFonts w:eastAsia="Calibri"/>
          <w:iCs/>
        </w:rPr>
        <w:t xml:space="preserve">ESC </w:t>
      </w:r>
      <w:r w:rsidR="00465642" w:rsidRPr="005A5BB7">
        <w:rPr>
          <w:rFonts w:eastAsia="Calibri"/>
          <w:iCs/>
        </w:rPr>
        <w:t xml:space="preserve">and PBAC </w:t>
      </w:r>
      <w:r w:rsidR="00A0275C" w:rsidRPr="005A5BB7">
        <w:rPr>
          <w:rFonts w:eastAsia="Calibri"/>
          <w:iCs/>
        </w:rPr>
        <w:t>considered that this claim was adequately supported by the available evidence, not</w:t>
      </w:r>
      <w:r w:rsidR="004301D7" w:rsidRPr="005A5BB7">
        <w:rPr>
          <w:rFonts w:eastAsia="Calibri"/>
          <w:iCs/>
        </w:rPr>
        <w:t>ing</w:t>
      </w:r>
      <w:r w:rsidR="00965FB2" w:rsidRPr="005A5BB7">
        <w:rPr>
          <w:rFonts w:eastAsia="Calibri"/>
          <w:iCs/>
        </w:rPr>
        <w:t xml:space="preserve"> the issues</w:t>
      </w:r>
      <w:r w:rsidR="00A0275C" w:rsidRPr="005A5BB7">
        <w:rPr>
          <w:rFonts w:eastAsia="Calibri"/>
          <w:iCs/>
        </w:rPr>
        <w:t xml:space="preserve"> as discussed in the following paragraphs.</w:t>
      </w:r>
    </w:p>
    <w:p w14:paraId="058EAB12" w14:textId="3226E95F" w:rsidR="001E5A0C" w:rsidRPr="005A5BB7" w:rsidRDefault="323C8164" w:rsidP="3FF051E5">
      <w:pPr>
        <w:pStyle w:val="3-BodyText"/>
      </w:pPr>
      <w:r w:rsidRPr="005A5BB7">
        <w:lastRenderedPageBreak/>
        <w:t xml:space="preserve">The </w:t>
      </w:r>
      <w:r w:rsidR="005D6F05" w:rsidRPr="005A5BB7">
        <w:t>re</w:t>
      </w:r>
      <w:r w:rsidRPr="005A5BB7">
        <w:t xml:space="preserve">submission </w:t>
      </w:r>
      <w:r w:rsidR="00D72839" w:rsidRPr="005A5BB7">
        <w:t xml:space="preserve">did </w:t>
      </w:r>
      <w:r w:rsidRPr="005A5BB7">
        <w:t>not present VE evidence across all at</w:t>
      </w:r>
      <w:r w:rsidR="000E4816">
        <w:noBreakHyphen/>
      </w:r>
      <w:r w:rsidRPr="005A5BB7">
        <w:t>risk groups included in the AIH list</w:t>
      </w:r>
      <w:r w:rsidR="00D72839" w:rsidRPr="005A5BB7">
        <w:t xml:space="preserve"> of risk conditions</w:t>
      </w:r>
      <w:r w:rsidRPr="005A5BB7">
        <w:t xml:space="preserve">, with no data specifically available for people with neurological disease, or immunocompromised patients. </w:t>
      </w:r>
    </w:p>
    <w:p w14:paraId="6BB4AE37" w14:textId="19D18679" w:rsidR="004D14A4" w:rsidRPr="005A5BB7" w:rsidRDefault="007C76C4" w:rsidP="0090073B">
      <w:pPr>
        <w:pStyle w:val="3-BodyText"/>
      </w:pPr>
      <w:r>
        <w:t>T</w:t>
      </w:r>
      <w:r w:rsidR="0062353D">
        <w:t>he strongest evidence provided</w:t>
      </w:r>
      <w:r w:rsidR="2E16143A">
        <w:t xml:space="preserve"> by the subgroup analysis of VE</w:t>
      </w:r>
      <w:r w:rsidR="0062353D">
        <w:t xml:space="preserve"> is in people with a </w:t>
      </w:r>
      <w:r w:rsidR="0062353D" w:rsidRPr="310F0368">
        <w:rPr>
          <w:rFonts w:eastAsia="Arial Narrow" w:cs="Arial Narrow"/>
        </w:rPr>
        <w:t>pre</w:t>
      </w:r>
      <w:r>
        <w:noBreakHyphen/>
      </w:r>
      <w:r w:rsidR="0062353D" w:rsidRPr="310F0368">
        <w:rPr>
          <w:rFonts w:eastAsia="Arial Narrow" w:cs="Arial Narrow"/>
        </w:rPr>
        <w:t>existing cardiorespiratory or endocrinometabolic condition</w:t>
      </w:r>
      <w:r w:rsidR="00F81300" w:rsidRPr="310F0368">
        <w:rPr>
          <w:rFonts w:eastAsia="Arial Narrow" w:cs="Arial Narrow"/>
        </w:rPr>
        <w:t xml:space="preserve">, however these analyses incorporated </w:t>
      </w:r>
      <w:r w:rsidR="004F58A6" w:rsidRPr="310F0368">
        <w:rPr>
          <w:rFonts w:eastAsia="Arial Narrow" w:cs="Arial Narrow"/>
        </w:rPr>
        <w:t>overlapping patient</w:t>
      </w:r>
      <w:r w:rsidR="009225C3" w:rsidRPr="310F0368">
        <w:rPr>
          <w:rFonts w:eastAsia="Arial Narrow" w:cs="Arial Narrow"/>
        </w:rPr>
        <w:t>s</w:t>
      </w:r>
      <w:r w:rsidR="00465642" w:rsidRPr="310F0368">
        <w:rPr>
          <w:rFonts w:eastAsia="Arial Narrow" w:cs="Arial Narrow"/>
        </w:rPr>
        <w:t>.</w:t>
      </w:r>
      <w:r w:rsidR="00DA1339" w:rsidRPr="310F0368">
        <w:rPr>
          <w:rFonts w:eastAsia="Arial Narrow" w:cs="Arial Narrow"/>
        </w:rPr>
        <w:t xml:space="preserve"> </w:t>
      </w:r>
      <w:r w:rsidR="00465642" w:rsidRPr="310F0368">
        <w:rPr>
          <w:rFonts w:eastAsia="Arial Narrow" w:cs="Arial Narrow"/>
        </w:rPr>
        <w:t>P</w:t>
      </w:r>
      <w:r w:rsidR="00996BF1" w:rsidRPr="310F0368">
        <w:rPr>
          <w:rFonts w:eastAsia="Arial Narrow" w:cs="Arial Narrow"/>
        </w:rPr>
        <w:t xml:space="preserve">otential differences </w:t>
      </w:r>
      <w:r w:rsidR="00465642" w:rsidRPr="310F0368">
        <w:rPr>
          <w:rFonts w:eastAsia="Arial Narrow" w:cs="Arial Narrow"/>
        </w:rPr>
        <w:t xml:space="preserve">in VE </w:t>
      </w:r>
      <w:r w:rsidR="00996BF1" w:rsidRPr="310F0368">
        <w:rPr>
          <w:rFonts w:eastAsia="Arial Narrow" w:cs="Arial Narrow"/>
        </w:rPr>
        <w:t xml:space="preserve">between participants with 1 comorbidity of interest compared to ≥2 comorbidities of interest </w:t>
      </w:r>
      <w:r w:rsidR="00465642" w:rsidRPr="310F0368">
        <w:rPr>
          <w:rFonts w:eastAsia="Arial Narrow" w:cs="Arial Narrow"/>
        </w:rPr>
        <w:t>could not be ruled out due to wide confidence intervals</w:t>
      </w:r>
      <w:r w:rsidR="323C8164">
        <w:t xml:space="preserve">. </w:t>
      </w:r>
      <w:r w:rsidR="00FE62D6">
        <w:t>T</w:t>
      </w:r>
      <w:r w:rsidR="323C8164">
        <w:t>he extent to which the results from the trial population</w:t>
      </w:r>
      <w:r w:rsidR="008A6E58">
        <w:t>,</w:t>
      </w:r>
      <w:r w:rsidR="009B5332">
        <w:t xml:space="preserve"> with comorbidities of interest</w:t>
      </w:r>
      <w:r w:rsidR="008A6E58">
        <w:t>,</w:t>
      </w:r>
      <w:r w:rsidR="323C8164">
        <w:t xml:space="preserve"> can be generalised to the proposed eligible population remains uncertain</w:t>
      </w:r>
      <w:r w:rsidR="004D14A4">
        <w:t xml:space="preserve">, </w:t>
      </w:r>
      <w:r w:rsidR="004D14A4" w:rsidRPr="310F0368">
        <w:rPr>
          <w:rFonts w:eastAsia="Calibri"/>
        </w:rPr>
        <w:t xml:space="preserve">especially for patients with immunocompromise given that adults with immunocompromising medical conditions, or who were receiving immunosuppressant or immunomodulatory medications, were excluded from </w:t>
      </w:r>
      <w:r w:rsidR="004D14A4">
        <w:t>AReSVi</w:t>
      </w:r>
      <w:r>
        <w:noBreakHyphen/>
      </w:r>
      <w:r w:rsidR="004D14A4">
        <w:t>006</w:t>
      </w:r>
      <w:r w:rsidR="004D14A4" w:rsidRPr="310F0368">
        <w:rPr>
          <w:rFonts w:eastAsia="Calibri"/>
        </w:rPr>
        <w:t>.</w:t>
      </w:r>
      <w:r w:rsidR="00DA1339" w:rsidRPr="310F0368">
        <w:rPr>
          <w:rFonts w:eastAsia="Calibri"/>
        </w:rPr>
        <w:t xml:space="preserve"> </w:t>
      </w:r>
      <w:r w:rsidR="004D14A4" w:rsidRPr="310F0368">
        <w:rPr>
          <w:rFonts w:eastAsia="Calibri"/>
        </w:rPr>
        <w:t>The results of study RSV OA=ADJ</w:t>
      </w:r>
      <w:r>
        <w:noBreakHyphen/>
      </w:r>
      <w:r w:rsidR="004D14A4" w:rsidRPr="310F0368">
        <w:rPr>
          <w:rFonts w:eastAsia="Calibri"/>
        </w:rPr>
        <w:t xml:space="preserve">023 </w:t>
      </w:r>
      <w:r w:rsidR="00F5689A" w:rsidRPr="310F0368">
        <w:rPr>
          <w:rFonts w:eastAsia="Calibri"/>
        </w:rPr>
        <w:t xml:space="preserve">showed that </w:t>
      </w:r>
      <w:r w:rsidR="004D14A4" w:rsidRPr="310F0368">
        <w:rPr>
          <w:rFonts w:eastAsia="Calibri"/>
        </w:rPr>
        <w:t>RSV</w:t>
      </w:r>
      <w:r>
        <w:noBreakHyphen/>
      </w:r>
      <w:r w:rsidR="004D14A4" w:rsidRPr="310F0368">
        <w:rPr>
          <w:rFonts w:eastAsia="Calibri"/>
        </w:rPr>
        <w:t>A and RSV</w:t>
      </w:r>
      <w:r>
        <w:noBreakHyphen/>
      </w:r>
      <w:r w:rsidR="004D14A4" w:rsidRPr="310F0368">
        <w:rPr>
          <w:rFonts w:eastAsia="Calibri"/>
        </w:rPr>
        <w:t>B neutralising titres in the immunocompromised cohort didn’t reach the same level</w:t>
      </w:r>
      <w:r w:rsidR="56983516" w:rsidRPr="310F0368">
        <w:rPr>
          <w:rFonts w:eastAsia="Calibri"/>
        </w:rPr>
        <w:t>s</w:t>
      </w:r>
      <w:r w:rsidR="004D14A4" w:rsidRPr="310F0368">
        <w:rPr>
          <w:rFonts w:eastAsia="Calibri"/>
        </w:rPr>
        <w:t xml:space="preserve"> observed in the healthy adult comparator cohort.</w:t>
      </w:r>
    </w:p>
    <w:p w14:paraId="3F220A8F" w14:textId="062983EF" w:rsidR="008B15C3" w:rsidRPr="005A5BB7" w:rsidRDefault="004349D4" w:rsidP="3FF051E5">
      <w:pPr>
        <w:pStyle w:val="3-BodyText"/>
        <w:rPr>
          <w:rFonts w:ascii="Calibri" w:eastAsia="Calibri" w:hAnsi="Calibri" w:cs="Calibri"/>
          <w:color w:val="000000" w:themeColor="text1"/>
        </w:rPr>
      </w:pPr>
      <w:r w:rsidRPr="005A5BB7">
        <w:rPr>
          <w:rFonts w:eastAsia="Calibri"/>
        </w:rPr>
        <w:t xml:space="preserve">The cumulative estimate of VE over 3 seasons (64.7%) was lower than those reported at the end of Season 1 (94.6%) and Seasons 1 and 2 (66.7%) </w:t>
      </w:r>
      <w:r w:rsidRPr="005A5BB7">
        <w:t>in the ≥1 pre</w:t>
      </w:r>
      <w:r w:rsidR="000E4816">
        <w:noBreakHyphen/>
      </w:r>
      <w:r w:rsidRPr="005A5BB7">
        <w:t>existing comorbidity of interest group</w:t>
      </w:r>
      <w:r w:rsidRPr="005A5BB7">
        <w:rPr>
          <w:rFonts w:eastAsia="Calibri"/>
        </w:rPr>
        <w:t xml:space="preserve"> in the AReSVi</w:t>
      </w:r>
      <w:r w:rsidR="000E4816">
        <w:rPr>
          <w:rFonts w:eastAsia="Calibri"/>
        </w:rPr>
        <w:noBreakHyphen/>
      </w:r>
      <w:r w:rsidRPr="005A5BB7">
        <w:rPr>
          <w:rFonts w:eastAsia="Calibri"/>
        </w:rPr>
        <w:t>006 trial.</w:t>
      </w:r>
      <w:r w:rsidR="00DA1339">
        <w:rPr>
          <w:rFonts w:eastAsia="Calibri"/>
        </w:rPr>
        <w:t xml:space="preserve"> </w:t>
      </w:r>
      <w:r w:rsidR="000E5127" w:rsidRPr="005A5BB7">
        <w:t xml:space="preserve">VE estimates in each season demonstrate lower efficacy in each season compared with the cumulative results for across the seasons. </w:t>
      </w:r>
      <w:r w:rsidR="001D6440" w:rsidRPr="005A5BB7">
        <w:t>Comparison of VE for baseline comorbidities of interest subgroups show lower values in Season</w:t>
      </w:r>
      <w:r w:rsidR="000672F2" w:rsidRPr="005A5BB7">
        <w:t xml:space="preserve"> </w:t>
      </w:r>
      <w:r w:rsidR="001D6440" w:rsidRPr="005A5BB7">
        <w:t>2 (54.35%) and Season 3 (57.82%) compared to cumulative values in the ≥1 pre</w:t>
      </w:r>
      <w:r w:rsidR="000E4816">
        <w:noBreakHyphen/>
      </w:r>
      <w:r w:rsidR="001D6440" w:rsidRPr="005A5BB7">
        <w:t xml:space="preserve">existing comorbidity of interest group. </w:t>
      </w:r>
      <w:r w:rsidR="00BF28F5" w:rsidRPr="005A5BB7">
        <w:t>W</w:t>
      </w:r>
      <w:r w:rsidR="008B15C3" w:rsidRPr="005A5BB7">
        <w:t>hilst the PBAC ha</w:t>
      </w:r>
      <w:r w:rsidR="00F439CA" w:rsidRPr="005A5BB7">
        <w:t>s</w:t>
      </w:r>
      <w:r w:rsidR="008B15C3" w:rsidRPr="005A5BB7">
        <w:t xml:space="preserve"> previously described the vaccine as having an acceptable safety profile in the overall population, no safety data were provided </w:t>
      </w:r>
      <w:r w:rsidR="00F439CA" w:rsidRPr="005A5BB7">
        <w:t xml:space="preserve">for </w:t>
      </w:r>
      <w:r w:rsidR="008B15C3" w:rsidRPr="005A5BB7">
        <w:t>the sub</w:t>
      </w:r>
      <w:r w:rsidR="000E4816">
        <w:noBreakHyphen/>
      </w:r>
      <w:r w:rsidR="008B15C3" w:rsidRPr="005A5BB7">
        <w:t>group analysis of patients with a comorbidity of interest</w:t>
      </w:r>
      <w:r w:rsidR="3F71578A" w:rsidRPr="005A5BB7">
        <w:t xml:space="preserve"> </w:t>
      </w:r>
      <w:r w:rsidR="27CDED69" w:rsidRPr="005A5BB7">
        <w:t>(</w:t>
      </w:r>
      <w:r w:rsidR="27CDED69" w:rsidRPr="005A5BB7">
        <w:rPr>
          <w:rFonts w:ascii="Calibri" w:eastAsia="Calibri" w:hAnsi="Calibri" w:cs="Calibri"/>
          <w:color w:val="000000" w:themeColor="text1"/>
        </w:rPr>
        <w:t>para</w:t>
      </w:r>
      <w:r w:rsidR="00081182">
        <w:rPr>
          <w:rFonts w:ascii="Calibri" w:eastAsia="Calibri" w:hAnsi="Calibri" w:cs="Calibri"/>
          <w:color w:val="000000" w:themeColor="text1"/>
        </w:rPr>
        <w:t>graph</w:t>
      </w:r>
      <w:r w:rsidR="27CDED69" w:rsidRPr="005A5BB7">
        <w:rPr>
          <w:rFonts w:ascii="Calibri" w:eastAsia="Calibri" w:hAnsi="Calibri" w:cs="Calibri"/>
          <w:color w:val="000000" w:themeColor="text1"/>
        </w:rPr>
        <w:t xml:space="preserve"> 7.14,</w:t>
      </w:r>
      <w:r w:rsidR="27CDED69" w:rsidRPr="005A5BB7">
        <w:t xml:space="preserve"> </w:t>
      </w:r>
      <w:r w:rsidR="27CDED69" w:rsidRPr="005A5BB7">
        <w:rPr>
          <w:rFonts w:ascii="Calibri" w:eastAsia="Calibri" w:hAnsi="Calibri" w:cs="Calibri"/>
          <w:color w:val="000000" w:themeColor="text1"/>
        </w:rPr>
        <w:t>RSVPreF3 OA PSD, July 2025 PBAC meeting)</w:t>
      </w:r>
      <w:r w:rsidR="00574F09" w:rsidRPr="005A5BB7">
        <w:rPr>
          <w:rFonts w:ascii="Calibri" w:eastAsia="Calibri" w:hAnsi="Calibri" w:cs="Calibri"/>
          <w:color w:val="000000" w:themeColor="text1"/>
        </w:rPr>
        <w:t>.</w:t>
      </w:r>
      <w:r w:rsidR="00DA1339">
        <w:rPr>
          <w:rFonts w:ascii="Calibri" w:eastAsia="Calibri" w:hAnsi="Calibri" w:cs="Calibri"/>
          <w:color w:val="000000" w:themeColor="text1"/>
        </w:rPr>
        <w:t xml:space="preserve"> </w:t>
      </w:r>
      <w:r w:rsidR="00A0275C" w:rsidRPr="005A5BB7">
        <w:rPr>
          <w:rFonts w:ascii="Calibri" w:eastAsia="Calibri" w:hAnsi="Calibri" w:cs="Calibri"/>
          <w:color w:val="000000" w:themeColor="text1"/>
        </w:rPr>
        <w:t>T</w:t>
      </w:r>
      <w:r w:rsidR="00A0275C" w:rsidRPr="005A5BB7">
        <w:rPr>
          <w:rFonts w:ascii="Calibri" w:eastAsia="Calibri" w:hAnsi="Calibri" w:cs="Calibri"/>
          <w:iCs/>
          <w:color w:val="000000" w:themeColor="text1"/>
        </w:rPr>
        <w:t xml:space="preserve">he </w:t>
      </w:r>
      <w:r w:rsidR="007F1871" w:rsidRPr="005A5BB7">
        <w:rPr>
          <w:rFonts w:ascii="Calibri" w:eastAsia="Calibri" w:hAnsi="Calibri" w:cs="Calibri"/>
          <w:iCs/>
          <w:color w:val="000000" w:themeColor="text1"/>
        </w:rPr>
        <w:t xml:space="preserve">PBAC and </w:t>
      </w:r>
      <w:r w:rsidR="00A0275C" w:rsidRPr="005A5BB7">
        <w:rPr>
          <w:rFonts w:ascii="Calibri" w:eastAsia="Calibri" w:hAnsi="Calibri" w:cs="Calibri"/>
          <w:iCs/>
          <w:color w:val="000000" w:themeColor="text1"/>
        </w:rPr>
        <w:t xml:space="preserve">ESC considered that RSVPreF3 OA has an </w:t>
      </w:r>
      <w:r w:rsidR="00A0275C" w:rsidRPr="005A5BB7">
        <w:rPr>
          <w:iCs/>
        </w:rPr>
        <w:t>acceptable safety profile despite being more reactogenic compared to placebo</w:t>
      </w:r>
      <w:r w:rsidR="00A0275C" w:rsidRPr="005A5BB7">
        <w:rPr>
          <w:rFonts w:eastAsia="Calibri"/>
          <w:iCs/>
        </w:rPr>
        <w:t>.</w:t>
      </w:r>
    </w:p>
    <w:p w14:paraId="0F679151" w14:textId="15C4348A" w:rsidR="00CE7A4D" w:rsidRPr="005A5BB7" w:rsidRDefault="0020531A" w:rsidP="00C82EDB">
      <w:pPr>
        <w:pStyle w:val="3-BodyText"/>
        <w:rPr>
          <w:rFonts w:ascii="Calibri" w:eastAsia="Calibri" w:hAnsi="Calibri" w:cs="Calibri"/>
          <w:color w:val="000000" w:themeColor="text1"/>
        </w:rPr>
      </w:pPr>
      <w:r w:rsidRPr="005A5BB7">
        <w:rPr>
          <w:rFonts w:ascii="Calibri" w:eastAsia="Calibri" w:hAnsi="Calibri" w:cs="Calibri"/>
          <w:color w:val="000000" w:themeColor="text1"/>
        </w:rPr>
        <w:t xml:space="preserve">The </w:t>
      </w:r>
      <w:r w:rsidR="00541848" w:rsidRPr="005A5BB7">
        <w:rPr>
          <w:rFonts w:ascii="Calibri" w:eastAsia="Calibri" w:hAnsi="Calibri" w:cs="Calibri"/>
          <w:color w:val="000000" w:themeColor="text1"/>
        </w:rPr>
        <w:t xml:space="preserve">evaluation noted that the </w:t>
      </w:r>
      <w:r w:rsidRPr="005A5BB7">
        <w:rPr>
          <w:rFonts w:ascii="Calibri" w:eastAsia="Calibri" w:hAnsi="Calibri" w:cs="Calibri"/>
          <w:color w:val="000000" w:themeColor="text1"/>
        </w:rPr>
        <w:t>presented VE data suggest</w:t>
      </w:r>
      <w:r w:rsidR="00541848" w:rsidRPr="005A5BB7">
        <w:rPr>
          <w:rFonts w:ascii="Calibri" w:eastAsia="Calibri" w:hAnsi="Calibri" w:cs="Calibri"/>
          <w:color w:val="000000" w:themeColor="text1"/>
        </w:rPr>
        <w:t>ed</w:t>
      </w:r>
      <w:r w:rsidRPr="005A5BB7">
        <w:rPr>
          <w:rFonts w:ascii="Calibri" w:eastAsia="Calibri" w:hAnsi="Calibri" w:cs="Calibri"/>
          <w:color w:val="000000" w:themeColor="text1"/>
        </w:rPr>
        <w:t xml:space="preserve"> RSVPreF3 OA vaccine efficacy </w:t>
      </w:r>
      <w:r w:rsidR="00541848" w:rsidRPr="005A5BB7">
        <w:rPr>
          <w:rFonts w:ascii="Calibri" w:eastAsia="Calibri" w:hAnsi="Calibri" w:cs="Calibri"/>
          <w:color w:val="000000" w:themeColor="text1"/>
        </w:rPr>
        <w:t xml:space="preserve">was </w:t>
      </w:r>
      <w:r w:rsidRPr="005A5BB7">
        <w:rPr>
          <w:rFonts w:ascii="Calibri" w:eastAsia="Calibri" w:hAnsi="Calibri" w:cs="Calibri"/>
          <w:color w:val="000000" w:themeColor="text1"/>
        </w:rPr>
        <w:t>broadly comparable between the overall trial population and participants</w:t>
      </w:r>
      <w:r w:rsidR="00983E7D" w:rsidRPr="005A5BB7">
        <w:rPr>
          <w:rFonts w:ascii="Calibri" w:eastAsia="Calibri" w:hAnsi="Calibri" w:cs="Calibri"/>
          <w:color w:val="000000" w:themeColor="text1"/>
        </w:rPr>
        <w:t xml:space="preserve"> aged 60–74 years</w:t>
      </w:r>
      <w:r w:rsidRPr="005A5BB7">
        <w:rPr>
          <w:rFonts w:ascii="Calibri" w:eastAsia="Calibri" w:hAnsi="Calibri" w:cs="Calibri"/>
          <w:color w:val="000000" w:themeColor="text1"/>
        </w:rPr>
        <w:t xml:space="preserve"> with comorbidities of interest</w:t>
      </w:r>
      <w:r w:rsidR="00067A7F" w:rsidRPr="005A5BB7">
        <w:rPr>
          <w:rFonts w:ascii="Calibri" w:eastAsia="Calibri" w:hAnsi="Calibri" w:cs="Calibri"/>
          <w:color w:val="000000" w:themeColor="text1"/>
        </w:rPr>
        <w:t xml:space="preserve">, and </w:t>
      </w:r>
      <w:r w:rsidR="00541848" w:rsidRPr="005A5BB7">
        <w:rPr>
          <w:rFonts w:ascii="Calibri" w:eastAsia="Calibri" w:hAnsi="Calibri" w:cs="Calibri"/>
          <w:color w:val="000000" w:themeColor="text1"/>
        </w:rPr>
        <w:t>considered it</w:t>
      </w:r>
      <w:r w:rsidR="00067A7F" w:rsidRPr="005A5BB7">
        <w:rPr>
          <w:rFonts w:ascii="Calibri" w:eastAsia="Calibri" w:hAnsi="Calibri" w:cs="Calibri"/>
          <w:color w:val="000000" w:themeColor="text1"/>
        </w:rPr>
        <w:t xml:space="preserve"> may be </w:t>
      </w:r>
      <w:r w:rsidR="00DC4629" w:rsidRPr="005A5BB7">
        <w:rPr>
          <w:rFonts w:ascii="Calibri" w:eastAsia="Calibri" w:hAnsi="Calibri" w:cs="Calibri"/>
          <w:color w:val="000000" w:themeColor="text1"/>
        </w:rPr>
        <w:t>plausible to assume similar efficacy across these populations based on the available data, acknowledging the</w:t>
      </w:r>
      <w:r w:rsidR="002E0FA9" w:rsidRPr="005A5BB7">
        <w:rPr>
          <w:rFonts w:ascii="Calibri" w:eastAsia="Calibri" w:hAnsi="Calibri" w:cs="Calibri"/>
          <w:color w:val="000000" w:themeColor="text1"/>
        </w:rPr>
        <w:t xml:space="preserve">re was no </w:t>
      </w:r>
      <w:r w:rsidR="004D14A4" w:rsidRPr="005A5BB7">
        <w:rPr>
          <w:rFonts w:ascii="Calibri" w:eastAsia="Calibri" w:hAnsi="Calibri" w:cs="Calibri"/>
          <w:color w:val="000000" w:themeColor="text1"/>
        </w:rPr>
        <w:t xml:space="preserve">clinical </w:t>
      </w:r>
      <w:r w:rsidR="002E0FA9" w:rsidRPr="005A5BB7">
        <w:rPr>
          <w:rFonts w:ascii="Calibri" w:eastAsia="Calibri" w:hAnsi="Calibri" w:cs="Calibri"/>
          <w:color w:val="000000" w:themeColor="text1"/>
        </w:rPr>
        <w:t>evidence to determine whether</w:t>
      </w:r>
      <w:r w:rsidR="00DC4629" w:rsidRPr="005A5BB7">
        <w:rPr>
          <w:rFonts w:ascii="Calibri" w:eastAsia="Calibri" w:hAnsi="Calibri" w:cs="Calibri"/>
          <w:color w:val="000000" w:themeColor="text1"/>
        </w:rPr>
        <w:t xml:space="preserve"> VE data are applicable to patients with immunocompromising conditions and neurological conditions.</w:t>
      </w:r>
      <w:r w:rsidR="00DA1339">
        <w:rPr>
          <w:rFonts w:ascii="Calibri" w:eastAsia="Calibri" w:hAnsi="Calibri" w:cs="Calibri"/>
          <w:color w:val="000000" w:themeColor="text1"/>
        </w:rPr>
        <w:t xml:space="preserve"> </w:t>
      </w:r>
      <w:r w:rsidR="004D14A4" w:rsidRPr="005A5BB7">
        <w:rPr>
          <w:rFonts w:eastAsia="Calibri"/>
          <w:iCs/>
        </w:rPr>
        <w:t xml:space="preserve">The </w:t>
      </w:r>
      <w:r w:rsidR="007F1871" w:rsidRPr="005A5BB7">
        <w:rPr>
          <w:rFonts w:eastAsia="Calibri"/>
          <w:iCs/>
        </w:rPr>
        <w:t xml:space="preserve">PBAC and </w:t>
      </w:r>
      <w:r w:rsidR="004D14A4" w:rsidRPr="005A5BB7">
        <w:rPr>
          <w:rFonts w:eastAsia="Calibri"/>
          <w:iCs/>
        </w:rPr>
        <w:t xml:space="preserve">ESC considered that the subgroup analyses of </w:t>
      </w:r>
      <w:r w:rsidR="004D14A4" w:rsidRPr="005A5BB7">
        <w:rPr>
          <w:iCs/>
        </w:rPr>
        <w:t>AReSVi</w:t>
      </w:r>
      <w:r w:rsidR="000E4816">
        <w:rPr>
          <w:iCs/>
        </w:rPr>
        <w:noBreakHyphen/>
      </w:r>
      <w:r w:rsidR="004D14A4" w:rsidRPr="005A5BB7">
        <w:rPr>
          <w:iCs/>
        </w:rPr>
        <w:t xml:space="preserve">006 </w:t>
      </w:r>
      <w:r w:rsidR="004D14A4" w:rsidRPr="005A5BB7">
        <w:rPr>
          <w:rFonts w:eastAsia="Calibri"/>
          <w:iCs/>
        </w:rPr>
        <w:t>demonstrated VE that was broadly consistent with the overall trial population</w:t>
      </w:r>
      <w:r w:rsidR="004D14A4" w:rsidRPr="005A5BB7">
        <w:rPr>
          <w:iCs/>
        </w:rPr>
        <w:t>.</w:t>
      </w:r>
    </w:p>
    <w:p w14:paraId="74B3DEB9" w14:textId="527B2181" w:rsidR="323C8164" w:rsidRPr="005A5BB7" w:rsidRDefault="323C8164" w:rsidP="002B0627">
      <w:pPr>
        <w:pStyle w:val="3-BodyText"/>
        <w:numPr>
          <w:ilvl w:val="0"/>
          <w:numId w:val="0"/>
        </w:numPr>
        <w:rPr>
          <w:b/>
          <w:bCs/>
          <w:szCs w:val="24"/>
        </w:rPr>
      </w:pPr>
      <w:r w:rsidRPr="005A5BB7">
        <w:rPr>
          <w:b/>
          <w:bCs/>
        </w:rPr>
        <w:t>Immunogenicity study to support use of RSVPre</w:t>
      </w:r>
      <w:r w:rsidR="001A3BAF" w:rsidRPr="005A5BB7">
        <w:rPr>
          <w:b/>
          <w:bCs/>
        </w:rPr>
        <w:t>F</w:t>
      </w:r>
      <w:r w:rsidRPr="005A5BB7">
        <w:rPr>
          <w:b/>
          <w:bCs/>
        </w:rPr>
        <w:t>3 OA in overall NIP population (RSV OA=ADJ</w:t>
      </w:r>
      <w:r w:rsidR="000E4816">
        <w:rPr>
          <w:b/>
          <w:bCs/>
        </w:rPr>
        <w:noBreakHyphen/>
      </w:r>
      <w:r w:rsidRPr="005A5BB7">
        <w:rPr>
          <w:b/>
          <w:bCs/>
        </w:rPr>
        <w:t>004 &amp; RSV OA=ADJ</w:t>
      </w:r>
      <w:r w:rsidR="000E4816">
        <w:rPr>
          <w:b/>
          <w:bCs/>
        </w:rPr>
        <w:noBreakHyphen/>
      </w:r>
      <w:r w:rsidRPr="005A5BB7">
        <w:rPr>
          <w:b/>
          <w:bCs/>
        </w:rPr>
        <w:t xml:space="preserve">023) </w:t>
      </w:r>
    </w:p>
    <w:p w14:paraId="27D80FDE" w14:textId="26E8CA1F" w:rsidR="323C8164" w:rsidRPr="0081385C" w:rsidRDefault="00A945FA" w:rsidP="00C82EDB">
      <w:pPr>
        <w:pStyle w:val="3-BodyText"/>
      </w:pPr>
      <w:r w:rsidRPr="0081385C">
        <w:t xml:space="preserve">The submission presented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AF4F8E" w:rsidRPr="0081385C">
        <w:t xml:space="preserve"> </w:t>
      </w:r>
      <w:r w:rsidR="323C8164" w:rsidRPr="0081385C">
        <w:t xml:space="preserve">The ATAGI has previously </w:t>
      </w:r>
      <w:r w:rsidR="00FC3A0D" w:rsidRPr="0081385C">
        <w:t>noted</w:t>
      </w:r>
      <w:r w:rsidR="006F3AE0" w:rsidRPr="0081385C">
        <w:t>,</w:t>
      </w:r>
      <w:r w:rsidR="323C8164" w:rsidRPr="0081385C">
        <w:t xml:space="preserve"> noting that there remains uncertainty of clinical protection beyond 3 years due to a lack of efficacy data or validated immunological correlate of protection</w:t>
      </w:r>
      <w:r w:rsidR="2E0446B5" w:rsidRPr="0081385C">
        <w:t xml:space="preserve"> (ATAGI Pre</w:t>
      </w:r>
      <w:r w:rsidR="000E4816" w:rsidRPr="0081385C">
        <w:noBreakHyphen/>
      </w:r>
      <w:r w:rsidR="2E0446B5" w:rsidRPr="0081385C">
        <w:t>submission advice, October 2025)</w:t>
      </w:r>
      <w:r w:rsidR="323C8164" w:rsidRPr="0081385C">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p>
    <w:p w14:paraId="02C38CD9" w14:textId="23205CD7" w:rsidR="00AD4360" w:rsidRPr="005A5BB7" w:rsidRDefault="0013212B" w:rsidP="007B1D17">
      <w:pPr>
        <w:pStyle w:val="3-BodyText"/>
      </w:pPr>
      <w:r w:rsidRPr="005A5BB7">
        <w:lastRenderedPageBreak/>
        <w:t>Study RSV OA=ADJ</w:t>
      </w:r>
      <w:r w:rsidR="000E4816">
        <w:noBreakHyphen/>
      </w:r>
      <w:r w:rsidRPr="005A5BB7">
        <w:t>023 evaluated the immunogenicity, safety, and reactogenicity of RSVPreF3 OA in an IC population (lung and renal transplant recipients, ≥ 18 YOA). The RSV</w:t>
      </w:r>
      <w:r w:rsidR="000E4816">
        <w:noBreakHyphen/>
      </w:r>
      <w:r w:rsidRPr="005A5BB7">
        <w:t>A and RSV</w:t>
      </w:r>
      <w:r w:rsidR="000E4816">
        <w:noBreakHyphen/>
      </w:r>
      <w:r w:rsidRPr="005A5BB7">
        <w:t>B neutralising titres in the immunocompromised cohort didn’t reach the same level observed in the ‘Healthy Adults’ comparator cohort. T</w:t>
      </w:r>
      <w:r w:rsidR="323C8164" w:rsidRPr="005A5BB7">
        <w:t xml:space="preserve">here remains uncertainty of </w:t>
      </w:r>
      <w:r w:rsidR="006F3BE5" w:rsidRPr="005A5BB7">
        <w:t xml:space="preserve">establishment and duration of </w:t>
      </w:r>
      <w:r w:rsidR="323C8164" w:rsidRPr="005A5BB7">
        <w:t>protection</w:t>
      </w:r>
      <w:r w:rsidR="00EB77DE" w:rsidRPr="005A5BB7">
        <w:t xml:space="preserve"> </w:t>
      </w:r>
      <w:r w:rsidR="004A6274" w:rsidRPr="005A5BB7">
        <w:t xml:space="preserve">in the </w:t>
      </w:r>
      <w:r w:rsidR="323C8164" w:rsidRPr="005A5BB7">
        <w:t xml:space="preserve">immunocompromised group due to a lack of efficacy data or validated immunological correlate of protection. </w:t>
      </w:r>
    </w:p>
    <w:p w14:paraId="12633167" w14:textId="3E9F05B4" w:rsidR="0013212B" w:rsidRPr="005A5BB7" w:rsidRDefault="0013212B" w:rsidP="00E64E39">
      <w:pPr>
        <w:pStyle w:val="4-SubsectionHeading"/>
        <w:rPr>
          <w:iCs/>
        </w:rPr>
      </w:pPr>
      <w:bookmarkStart w:id="64" w:name="_Toc219882186"/>
      <w:r w:rsidRPr="005A5BB7">
        <w:t>Economic analysis</w:t>
      </w:r>
      <w:bookmarkEnd w:id="64"/>
    </w:p>
    <w:p w14:paraId="34C412F1" w14:textId="59641E15" w:rsidR="004C397E" w:rsidRPr="005A5BB7" w:rsidRDefault="004C397E" w:rsidP="004C397E">
      <w:pPr>
        <w:pStyle w:val="3-BodyText"/>
      </w:pPr>
      <w:r w:rsidRPr="005A5BB7">
        <w:t xml:space="preserve">The resubmission presented a </w:t>
      </w:r>
      <w:r w:rsidR="00DC6634" w:rsidRPr="005A5BB7">
        <w:t xml:space="preserve">modelled </w:t>
      </w:r>
      <w:r w:rsidRPr="005A5BB7">
        <w:t>economic evaluation comparing a single dose of RSVPreF3 OA with no vaccine based on data from AReSVi</w:t>
      </w:r>
      <w:r w:rsidR="000E4816">
        <w:noBreakHyphen/>
      </w:r>
      <w:r w:rsidRPr="005A5BB7">
        <w:t>006 for</w:t>
      </w:r>
      <w:r w:rsidR="007113BA" w:rsidRPr="005A5BB7">
        <w:t xml:space="preserve"> the following groups:</w:t>
      </w:r>
    </w:p>
    <w:p w14:paraId="61176DD5" w14:textId="543415C8" w:rsidR="004C397E" w:rsidRPr="005A5BB7" w:rsidRDefault="004C397E" w:rsidP="00E113F2">
      <w:pPr>
        <w:pStyle w:val="3-BodyText"/>
        <w:numPr>
          <w:ilvl w:val="0"/>
          <w:numId w:val="28"/>
        </w:numPr>
        <w:rPr>
          <w:iCs/>
        </w:rPr>
      </w:pPr>
      <w:r w:rsidRPr="005A5BB7">
        <w:t>adults ≥75 YOA</w:t>
      </w:r>
    </w:p>
    <w:p w14:paraId="5ADD6CC1" w14:textId="4C8CB2A0" w:rsidR="004C397E" w:rsidRPr="005A5BB7" w:rsidRDefault="004C397E" w:rsidP="00E113F2">
      <w:pPr>
        <w:pStyle w:val="3-BodyText"/>
        <w:numPr>
          <w:ilvl w:val="0"/>
          <w:numId w:val="28"/>
        </w:numPr>
      </w:pPr>
      <w:r w:rsidRPr="005A5BB7">
        <w:t>adults 60</w:t>
      </w:r>
      <w:r w:rsidR="000E4816">
        <w:noBreakHyphen/>
      </w:r>
      <w:r w:rsidR="00DE468C" w:rsidRPr="005A5BB7">
        <w:t>74</w:t>
      </w:r>
      <w:r w:rsidRPr="005A5BB7">
        <w:t xml:space="preserve"> YOA at increased risk of severe RSV disease. </w:t>
      </w:r>
    </w:p>
    <w:p w14:paraId="7BA202EC" w14:textId="543E2818" w:rsidR="004C397E" w:rsidRPr="005A5BB7" w:rsidRDefault="004C397E" w:rsidP="004349D4">
      <w:pPr>
        <w:pStyle w:val="3-BodyText"/>
      </w:pPr>
      <w:r w:rsidRPr="005A5BB7">
        <w:t>For the 60</w:t>
      </w:r>
      <w:r w:rsidR="000E4816">
        <w:noBreakHyphen/>
      </w:r>
      <w:r w:rsidR="00DE468C" w:rsidRPr="005A5BB7">
        <w:t xml:space="preserve">74 </w:t>
      </w:r>
      <w:r w:rsidRPr="005A5BB7">
        <w:t>YOA at increased risk of severe RSV disease population, the resubmission presented two models: one for individuals with at least one at</w:t>
      </w:r>
      <w:r w:rsidR="000E4816">
        <w:noBreakHyphen/>
      </w:r>
      <w:r w:rsidRPr="005A5BB7">
        <w:t xml:space="preserve">risk medical condition associated with increased risk of severe RSV disease, as per </w:t>
      </w:r>
      <w:r w:rsidR="000C6051" w:rsidRPr="005A5BB7">
        <w:t xml:space="preserve">the </w:t>
      </w:r>
      <w:r w:rsidRPr="005A5BB7">
        <w:t>AIH list, and another based on each AIH</w:t>
      </w:r>
      <w:r w:rsidR="000E4816">
        <w:noBreakHyphen/>
      </w:r>
      <w:r w:rsidRPr="005A5BB7">
        <w:t>defined risk category separately. The economic evaluation for adults 60</w:t>
      </w:r>
      <w:r w:rsidR="000E4816">
        <w:noBreakHyphen/>
      </w:r>
      <w:r w:rsidR="00DE468C" w:rsidRPr="005A5BB7">
        <w:t>74</w:t>
      </w:r>
      <w:r w:rsidRPr="005A5BB7">
        <w:t xml:space="preserve"> YOA at increased risk of severe RSV disease </w:t>
      </w:r>
      <w:r w:rsidR="00ED3422" w:rsidRPr="005A5BB7">
        <w:t>aimed to address</w:t>
      </w:r>
      <w:r w:rsidRPr="005A5BB7">
        <w:t xml:space="preserve"> </w:t>
      </w:r>
      <w:r w:rsidR="00AC6F68" w:rsidRPr="005A5BB7">
        <w:t xml:space="preserve">the </w:t>
      </w:r>
      <w:r w:rsidRPr="005A5BB7">
        <w:t>PBAC’s</w:t>
      </w:r>
      <w:r w:rsidR="00813220" w:rsidRPr="005A5BB7">
        <w:t xml:space="preserve"> previous</w:t>
      </w:r>
      <w:r w:rsidRPr="005A5BB7">
        <w:t xml:space="preserve"> advice that the cost</w:t>
      </w:r>
      <w:r w:rsidR="000E4816">
        <w:noBreakHyphen/>
      </w:r>
      <w:r w:rsidRPr="005A5BB7">
        <w:t xml:space="preserve">effectiveness of this population cannot be demonstrated </w:t>
      </w:r>
      <w:r w:rsidR="00813220" w:rsidRPr="005A5BB7">
        <w:t xml:space="preserve">with reference to </w:t>
      </w:r>
      <w:r w:rsidRPr="005A5BB7">
        <w:t xml:space="preserve">the ≥75 YOA population, as claimed </w:t>
      </w:r>
      <w:r w:rsidR="00CF62AB" w:rsidRPr="005A5BB7">
        <w:t xml:space="preserve">by the sponsor </w:t>
      </w:r>
      <w:r w:rsidRPr="005A5BB7">
        <w:t>in the July 2024 submission (para</w:t>
      </w:r>
      <w:r w:rsidR="00081182">
        <w:t>graph</w:t>
      </w:r>
      <w:r w:rsidRPr="005A5BB7">
        <w:t xml:space="preserve"> 7.18, RSVPreF3 OA PSD, July 2024 PBAC meeting).</w:t>
      </w:r>
      <w:r w:rsidR="00700B03" w:rsidRPr="005A5BB7">
        <w:t xml:space="preserve"> </w:t>
      </w:r>
    </w:p>
    <w:p w14:paraId="11571DA2" w14:textId="011FBE11" w:rsidR="004C397E" w:rsidRPr="005A5BB7" w:rsidRDefault="004C397E" w:rsidP="004C397E">
      <w:pPr>
        <w:pStyle w:val="3-BodyText"/>
      </w:pPr>
      <w:r w:rsidRPr="005A5BB7">
        <w:t>The resubmission did not include Aboriginal and Torres Strait Islander peoples aged 60</w:t>
      </w:r>
      <w:r w:rsidR="000E4816">
        <w:noBreakHyphen/>
      </w:r>
      <w:r w:rsidRPr="005A5BB7">
        <w:t>74 YOA population, consistent with the PBAC’s advice that cost</w:t>
      </w:r>
      <w:r w:rsidR="000E4816">
        <w:noBreakHyphen/>
      </w:r>
      <w:r w:rsidRPr="005A5BB7">
        <w:t xml:space="preserve">effectiveness of this </w:t>
      </w:r>
      <w:r w:rsidR="002F0B3D" w:rsidRPr="005A5BB7">
        <w:t xml:space="preserve">relatively </w:t>
      </w:r>
      <w:r w:rsidRPr="005A5BB7">
        <w:t xml:space="preserve">small population </w:t>
      </w:r>
      <w:r w:rsidR="002F0B3D" w:rsidRPr="005A5BB7">
        <w:t>c</w:t>
      </w:r>
      <w:r w:rsidRPr="005A5BB7">
        <w:t xml:space="preserve">ould be </w:t>
      </w:r>
      <w:r w:rsidR="00794CA0" w:rsidRPr="005A5BB7">
        <w:t xml:space="preserve">acceptably </w:t>
      </w:r>
      <w:r w:rsidRPr="005A5BB7">
        <w:t xml:space="preserve">informed </w:t>
      </w:r>
      <w:r w:rsidR="00794CA0" w:rsidRPr="005A5BB7">
        <w:t>by the cost</w:t>
      </w:r>
      <w:r w:rsidR="000E4816">
        <w:noBreakHyphen/>
      </w:r>
      <w:r w:rsidR="00794CA0" w:rsidRPr="005A5BB7">
        <w:t>effectiveness assessment</w:t>
      </w:r>
      <w:r w:rsidRPr="005A5BB7">
        <w:t xml:space="preserve"> on the ≥75 YOA population (para</w:t>
      </w:r>
      <w:r w:rsidR="00081182">
        <w:t>graph</w:t>
      </w:r>
      <w:r w:rsidRPr="005A5BB7">
        <w:t xml:space="preserve"> 7.15, RSVPreF3 OA PSD, July 2025 PBAC meeting).</w:t>
      </w:r>
    </w:p>
    <w:p w14:paraId="550294F6" w14:textId="658217E1" w:rsidR="004C2CC3" w:rsidRPr="005A5BB7" w:rsidRDefault="002F0B3D" w:rsidP="0090073B">
      <w:pPr>
        <w:pStyle w:val="3-BodyText"/>
        <w:rPr>
          <w:iCs/>
          <w:color w:val="0066FF"/>
        </w:rPr>
      </w:pPr>
      <w:bookmarkStart w:id="65" w:name="_Ref222407080"/>
      <w:r w:rsidRPr="005A5BB7">
        <w:t xml:space="preserve">The resubmission </w:t>
      </w:r>
      <w:r w:rsidR="003B7461" w:rsidRPr="005A5BB7">
        <w:t xml:space="preserve">stated </w:t>
      </w:r>
      <w:r w:rsidRPr="005A5BB7">
        <w:t xml:space="preserve">that the sponsor had not accepted the PBAC’s July 2025 advice </w:t>
      </w:r>
      <w:proofErr w:type="gramStart"/>
      <w:r w:rsidRPr="005A5BB7">
        <w:t>with regard to</w:t>
      </w:r>
      <w:proofErr w:type="gramEnd"/>
      <w:r w:rsidRPr="005A5BB7">
        <w:t xml:space="preserve"> the cost</w:t>
      </w:r>
      <w:r w:rsidR="000E4816">
        <w:noBreakHyphen/>
      </w:r>
      <w:r w:rsidRPr="005A5BB7">
        <w:t>effectiveness evaluation that was necessary to move forward with implementation of the recommended NIP listing.</w:t>
      </w:r>
      <w:r w:rsidR="00DA1339">
        <w:t xml:space="preserve"> </w:t>
      </w:r>
      <w:r w:rsidRPr="005A5BB7">
        <w:t>The resubmission proposed alternative values for use in the cost</w:t>
      </w:r>
      <w:r w:rsidR="000E4816">
        <w:noBreakHyphen/>
      </w:r>
      <w:r w:rsidRPr="005A5BB7">
        <w:t xml:space="preserve">effectiveness evaluation, focused </w:t>
      </w:r>
      <w:proofErr w:type="gramStart"/>
      <w:r w:rsidRPr="005A5BB7">
        <w:t>on:</w:t>
      </w:r>
      <w:proofErr w:type="gramEnd"/>
      <w:r w:rsidRPr="005A5BB7">
        <w:t xml:space="preserve"> 1) duration of protection of the vaccine; 2) RSV hospitalisation rate; and 3) RSV hospitalisation costs.</w:t>
      </w:r>
      <w:r w:rsidR="00DA1339">
        <w:t xml:space="preserve"> </w:t>
      </w:r>
      <w:r w:rsidRPr="005A5BB7">
        <w:t>The resubmission proposed these alternative values be applied for all three requested populations.</w:t>
      </w:r>
      <w:r w:rsidR="00DA1339">
        <w:t xml:space="preserve"> </w:t>
      </w:r>
      <w:r w:rsidRPr="005A5BB7">
        <w:t>The resubmission noted that the changes to</w:t>
      </w:r>
      <w:r w:rsidR="004C397E" w:rsidRPr="005A5BB7">
        <w:t xml:space="preserve"> hospitalisation rates</w:t>
      </w:r>
      <w:r w:rsidR="00AF2999" w:rsidRPr="005A5BB7">
        <w:t xml:space="preserve"> </w:t>
      </w:r>
      <w:r w:rsidR="00C90943" w:rsidRPr="005A5BB7">
        <w:t>(</w:t>
      </w:r>
      <w:r w:rsidR="00AF2999" w:rsidRPr="005A5BB7">
        <w:t>para</w:t>
      </w:r>
      <w:r w:rsidR="00B322BD">
        <w:t>graph</w:t>
      </w:r>
      <w:r w:rsidR="00AF2999" w:rsidRPr="005A5BB7">
        <w:t xml:space="preserve"> 6.62, RSVPreF3 OA PSD, July 2025 PBAC meeting)</w:t>
      </w:r>
      <w:r w:rsidR="004C397E" w:rsidRPr="005A5BB7">
        <w:t xml:space="preserve"> and the </w:t>
      </w:r>
      <w:r w:rsidR="00AF2999" w:rsidRPr="005A5BB7">
        <w:t xml:space="preserve">VE </w:t>
      </w:r>
      <w:r w:rsidR="004C397E" w:rsidRPr="005A5BB7">
        <w:t xml:space="preserve">duration of protection </w:t>
      </w:r>
      <w:r w:rsidR="00AF2999" w:rsidRPr="005A5BB7">
        <w:t>(para</w:t>
      </w:r>
      <w:r w:rsidR="00B322BD">
        <w:t>graph</w:t>
      </w:r>
      <w:r w:rsidR="00AF2999" w:rsidRPr="005A5BB7">
        <w:t xml:space="preserve"> 6.80, RSVPreF3 OA PSD, July 2025 PBAC meeting) were seen by the PBAC </w:t>
      </w:r>
      <w:r w:rsidR="000F6E25" w:rsidRPr="005A5BB7">
        <w:t>at its</w:t>
      </w:r>
      <w:r w:rsidR="00AF2999" w:rsidRPr="005A5BB7">
        <w:t xml:space="preserve"> July 2025 meeting.</w:t>
      </w:r>
      <w:r w:rsidR="00DA1339">
        <w:t xml:space="preserve"> </w:t>
      </w:r>
      <w:r w:rsidRPr="005A5BB7">
        <w:t>The PBAC did not accept these inputs at the</w:t>
      </w:r>
      <w:r w:rsidR="000E0C86" w:rsidRPr="005A5BB7">
        <w:t>ir</w:t>
      </w:r>
      <w:r w:rsidRPr="005A5BB7">
        <w:t xml:space="preserve"> July 2025 </w:t>
      </w:r>
      <w:r w:rsidR="00DB6C11" w:rsidRPr="005A5BB7">
        <w:t>or December 2025 consideration</w:t>
      </w:r>
      <w:r w:rsidR="000E0C86" w:rsidRPr="005A5BB7">
        <w:t>s</w:t>
      </w:r>
      <w:r w:rsidRPr="005A5BB7">
        <w:t>.</w:t>
      </w:r>
      <w:r w:rsidR="00DA1339">
        <w:t xml:space="preserve"> </w:t>
      </w:r>
      <w:bookmarkStart w:id="66" w:name="_Ref222406925"/>
      <w:r w:rsidR="00031E14" w:rsidRPr="005A5BB7">
        <w:rPr>
          <w:iCs/>
        </w:rPr>
        <w:t>The ESC noted that the resubmission presented economic analyses with more favourable parameters than were accepted by the PBAC in December 2025 for hospitalisation rates, duration of protection and hospitalisation costs.</w:t>
      </w:r>
      <w:r w:rsidR="00DA1339">
        <w:rPr>
          <w:iCs/>
        </w:rPr>
        <w:t xml:space="preserve"> </w:t>
      </w:r>
      <w:r w:rsidR="00031E14" w:rsidRPr="005A5BB7">
        <w:rPr>
          <w:iCs/>
        </w:rPr>
        <w:t xml:space="preserve">The ESC agreed with the evaluation that the </w:t>
      </w:r>
      <w:r w:rsidR="00031E14" w:rsidRPr="005A5BB7">
        <w:rPr>
          <w:iCs/>
        </w:rPr>
        <w:lastRenderedPageBreak/>
        <w:t xml:space="preserve">resubmission </w:t>
      </w:r>
      <w:r w:rsidR="00D944C6" w:rsidRPr="005A5BB7">
        <w:rPr>
          <w:iCs/>
        </w:rPr>
        <w:t xml:space="preserve">had </w:t>
      </w:r>
      <w:r w:rsidR="00031E14" w:rsidRPr="005A5BB7">
        <w:rPr>
          <w:iCs/>
        </w:rPr>
        <w:t xml:space="preserve">not adequately justify these </w:t>
      </w:r>
      <w:r w:rsidR="00CD1098" w:rsidRPr="005A5BB7">
        <w:rPr>
          <w:iCs/>
        </w:rPr>
        <w:t>revisions</w:t>
      </w:r>
      <w:r w:rsidR="00031E14" w:rsidRPr="005A5BB7">
        <w:rPr>
          <w:iCs/>
        </w:rPr>
        <w:t xml:space="preserve">, and therefore ESC did not support any change to the economic evaluation </w:t>
      </w:r>
      <w:r w:rsidR="00A24312" w:rsidRPr="005A5BB7">
        <w:rPr>
          <w:iCs/>
        </w:rPr>
        <w:t>compared with that</w:t>
      </w:r>
      <w:r w:rsidR="00031E14" w:rsidRPr="005A5BB7">
        <w:rPr>
          <w:iCs/>
        </w:rPr>
        <w:t xml:space="preserve"> accepted by the PBAC in December 2025</w:t>
      </w:r>
      <w:r w:rsidR="008875F9" w:rsidRPr="005A5BB7">
        <w:rPr>
          <w:iCs/>
        </w:rPr>
        <w:t xml:space="preserve"> for the ≥75 YOA population</w:t>
      </w:r>
      <w:r w:rsidR="00031E14" w:rsidRPr="005A5BB7">
        <w:rPr>
          <w:iCs/>
        </w:rPr>
        <w:t>.</w:t>
      </w:r>
      <w:r w:rsidR="00DA1339">
        <w:rPr>
          <w:iCs/>
        </w:rPr>
        <w:t xml:space="preserve"> </w:t>
      </w:r>
      <w:r w:rsidR="00031E14" w:rsidRPr="005A5BB7">
        <w:rPr>
          <w:iCs/>
        </w:rPr>
        <w:t xml:space="preserve">The ESC also advised that the </w:t>
      </w:r>
      <w:r w:rsidR="0003251E" w:rsidRPr="005A5BB7">
        <w:rPr>
          <w:iCs/>
        </w:rPr>
        <w:t>parameters</w:t>
      </w:r>
      <w:r w:rsidR="00031E14" w:rsidRPr="005A5BB7">
        <w:rPr>
          <w:iCs/>
        </w:rPr>
        <w:t xml:space="preserve"> accepted by the PBAC</w:t>
      </w:r>
      <w:r w:rsidR="0003251E" w:rsidRPr="005A5BB7">
        <w:rPr>
          <w:iCs/>
        </w:rPr>
        <w:t xml:space="preserve"> in December 2025</w:t>
      </w:r>
      <w:r w:rsidR="00031E14" w:rsidRPr="005A5BB7">
        <w:rPr>
          <w:iCs/>
        </w:rPr>
        <w:t xml:space="preserve"> should be the basis of the current consideration</w:t>
      </w:r>
      <w:r w:rsidR="004C2CC3" w:rsidRPr="005A5BB7">
        <w:rPr>
          <w:iCs/>
        </w:rPr>
        <w:t xml:space="preserve"> for </w:t>
      </w:r>
      <w:r w:rsidR="00AD6632" w:rsidRPr="005A5BB7">
        <w:rPr>
          <w:iCs/>
        </w:rPr>
        <w:t>the 60</w:t>
      </w:r>
      <w:r w:rsidR="000E4816">
        <w:rPr>
          <w:iCs/>
        </w:rPr>
        <w:noBreakHyphen/>
      </w:r>
      <w:r w:rsidR="00AD6632" w:rsidRPr="005A5BB7">
        <w:rPr>
          <w:iCs/>
        </w:rPr>
        <w:t>74 YOA population at increased risk</w:t>
      </w:r>
      <w:r w:rsidR="00031E14" w:rsidRPr="005A5BB7">
        <w:rPr>
          <w:iCs/>
        </w:rPr>
        <w:t>.</w:t>
      </w:r>
      <w:bookmarkEnd w:id="65"/>
      <w:bookmarkEnd w:id="66"/>
    </w:p>
    <w:p w14:paraId="08DCD7E0" w14:textId="7BA8F03D" w:rsidR="004C397E" w:rsidRPr="005A5BB7" w:rsidRDefault="004C397E" w:rsidP="004C397E">
      <w:pPr>
        <w:pStyle w:val="3-BodyText"/>
        <w:rPr>
          <w:color w:val="0066FF"/>
        </w:rPr>
      </w:pPr>
      <w:bookmarkStart w:id="67" w:name="_Ref219874199"/>
      <w:r w:rsidRPr="005A5BB7">
        <w:rPr>
          <w:rFonts w:cs="Calibri"/>
          <w:color w:val="000000"/>
        </w:rPr>
        <w:t xml:space="preserve">A summary of the model structure, key inputs and rationale is presented in </w:t>
      </w:r>
      <w:r w:rsidRPr="005A5BB7">
        <w:rPr>
          <w:rFonts w:cs="Calibri"/>
          <w:color w:val="000000"/>
        </w:rPr>
        <w:fldChar w:fldCharType="begin"/>
      </w:r>
      <w:r w:rsidRPr="005A5BB7">
        <w:rPr>
          <w:rFonts w:cs="Calibri"/>
          <w:color w:val="000000"/>
        </w:rPr>
        <w:instrText xml:space="preserve"> REF _Ref215634267 \h </w:instrText>
      </w:r>
      <w:r w:rsidR="005E26D0" w:rsidRPr="005A5BB7">
        <w:rPr>
          <w:rFonts w:cs="Calibri"/>
          <w:color w:val="000000"/>
        </w:rPr>
        <w:instrText xml:space="preserve"> \* MERGEFORMAT </w:instrText>
      </w:r>
      <w:r w:rsidRPr="005A5BB7">
        <w:rPr>
          <w:rFonts w:cs="Calibri"/>
          <w:color w:val="000000"/>
        </w:rPr>
      </w:r>
      <w:r w:rsidRPr="005A5BB7">
        <w:rPr>
          <w:rFonts w:cs="Calibri"/>
          <w:color w:val="000000"/>
        </w:rPr>
        <w:fldChar w:fldCharType="separate"/>
      </w:r>
      <w:r w:rsidR="0043658C" w:rsidRPr="005A5BB7">
        <w:t xml:space="preserve">Table </w:t>
      </w:r>
      <w:r w:rsidR="0043658C">
        <w:t>13</w:t>
      </w:r>
      <w:r w:rsidRPr="005A5BB7">
        <w:rPr>
          <w:rFonts w:cs="Calibri"/>
          <w:color w:val="000000"/>
        </w:rPr>
        <w:fldChar w:fldCharType="end"/>
      </w:r>
      <w:r w:rsidRPr="005A5BB7">
        <w:rPr>
          <w:rFonts w:cs="Calibri"/>
          <w:color w:val="000000"/>
        </w:rPr>
        <w:t>.</w:t>
      </w:r>
      <w:bookmarkEnd w:id="67"/>
    </w:p>
    <w:p w14:paraId="1B526C97" w14:textId="2F228EF4" w:rsidR="004C397E" w:rsidRPr="005A5BB7" w:rsidRDefault="004C397E" w:rsidP="004C397E">
      <w:pPr>
        <w:pStyle w:val="Caption"/>
        <w:jc w:val="left"/>
        <w:rPr>
          <w:rStyle w:val="CommentReference"/>
          <w:b/>
          <w:szCs w:val="24"/>
        </w:rPr>
      </w:pPr>
      <w:bookmarkStart w:id="68" w:name="_Ref215634267"/>
      <w:r w:rsidRPr="005A5BB7">
        <w:t xml:space="preserve">Table </w:t>
      </w:r>
      <w:r w:rsidRPr="005A5BB7">
        <w:fldChar w:fldCharType="begin"/>
      </w:r>
      <w:r w:rsidRPr="005A5BB7">
        <w:instrText>SEQ Table \* ARABIC</w:instrText>
      </w:r>
      <w:r w:rsidRPr="005A5BB7">
        <w:fldChar w:fldCharType="separate"/>
      </w:r>
      <w:r w:rsidR="0043658C">
        <w:rPr>
          <w:noProof/>
        </w:rPr>
        <w:t>13</w:t>
      </w:r>
      <w:r w:rsidRPr="005A5BB7">
        <w:fldChar w:fldCharType="end"/>
      </w:r>
      <w:bookmarkEnd w:id="68"/>
      <w:r w:rsidRPr="005A5BB7">
        <w:t>:</w:t>
      </w:r>
      <w:r w:rsidRPr="005A5BB7">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Summary of model structure, key inputs and rationale"/>
      </w:tblPr>
      <w:tblGrid>
        <w:gridCol w:w="1944"/>
        <w:gridCol w:w="3749"/>
        <w:gridCol w:w="3324"/>
      </w:tblGrid>
      <w:tr w:rsidR="00E80885" w:rsidRPr="005A5BB7" w14:paraId="52344A67" w14:textId="77777777" w:rsidTr="310F0368">
        <w:trPr>
          <w:cantSplit/>
          <w:tblHeader/>
        </w:trPr>
        <w:tc>
          <w:tcPr>
            <w:tcW w:w="1078" w:type="pct"/>
            <w:vAlign w:val="center"/>
          </w:tcPr>
          <w:p w14:paraId="441CA9E2"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Component</w:t>
            </w:r>
          </w:p>
        </w:tc>
        <w:tc>
          <w:tcPr>
            <w:tcW w:w="2079" w:type="pct"/>
            <w:vAlign w:val="center"/>
          </w:tcPr>
          <w:p w14:paraId="1AAE1274"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July 2025 resubmission</w:t>
            </w:r>
          </w:p>
        </w:tc>
        <w:tc>
          <w:tcPr>
            <w:tcW w:w="1843" w:type="pct"/>
            <w:vAlign w:val="center"/>
          </w:tcPr>
          <w:p w14:paraId="2306AD55"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March 2026 resubmission</w:t>
            </w:r>
          </w:p>
        </w:tc>
      </w:tr>
      <w:tr w:rsidR="00E80885" w:rsidRPr="005A5BB7" w14:paraId="09F1A44C" w14:textId="77777777" w:rsidTr="310F0368">
        <w:trPr>
          <w:cantSplit/>
        </w:trPr>
        <w:tc>
          <w:tcPr>
            <w:tcW w:w="1078" w:type="pct"/>
            <w:vAlign w:val="center"/>
          </w:tcPr>
          <w:p w14:paraId="3B1737EC"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 xml:space="preserve">Populations </w:t>
            </w:r>
          </w:p>
        </w:tc>
        <w:tc>
          <w:tcPr>
            <w:tcW w:w="2079" w:type="pct"/>
            <w:vAlign w:val="center"/>
          </w:tcPr>
          <w:p w14:paraId="04C91ECC"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 75 YOA</w:t>
            </w:r>
          </w:p>
          <w:p w14:paraId="32AF2538" w14:textId="64B9F38E" w:rsidR="004C397E" w:rsidRPr="005A5BB7" w:rsidRDefault="004C397E" w:rsidP="0021308B">
            <w:pPr>
              <w:rPr>
                <w:rFonts w:ascii="Arial Narrow" w:hAnsi="Arial Narrow"/>
                <w:sz w:val="20"/>
                <w:szCs w:val="20"/>
              </w:rPr>
            </w:pPr>
            <w:r w:rsidRPr="005A5BB7">
              <w:rPr>
                <w:rFonts w:ascii="Arial Narrow" w:hAnsi="Arial Narrow"/>
                <w:sz w:val="20"/>
                <w:szCs w:val="20"/>
              </w:rPr>
              <w:t>• Aboriginal and Torres Strait Islander people 60</w:t>
            </w:r>
            <w:r w:rsidR="000E4816">
              <w:rPr>
                <w:rFonts w:ascii="Arial Narrow" w:hAnsi="Arial Narrow"/>
                <w:sz w:val="20"/>
                <w:szCs w:val="20"/>
              </w:rPr>
              <w:noBreakHyphen/>
            </w:r>
            <w:r w:rsidRPr="005A5BB7">
              <w:rPr>
                <w:rFonts w:ascii="Arial Narrow" w:hAnsi="Arial Narrow"/>
                <w:sz w:val="20"/>
                <w:szCs w:val="20"/>
              </w:rPr>
              <w:t>74 YOA</w:t>
            </w:r>
          </w:p>
        </w:tc>
        <w:tc>
          <w:tcPr>
            <w:tcW w:w="1843" w:type="pct"/>
            <w:vAlign w:val="center"/>
          </w:tcPr>
          <w:p w14:paraId="04339629"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 75 YOA</w:t>
            </w:r>
          </w:p>
          <w:p w14:paraId="4A145AF1" w14:textId="1AB45570" w:rsidR="004C397E" w:rsidRPr="005A5BB7" w:rsidRDefault="004C397E" w:rsidP="0021308B">
            <w:pPr>
              <w:rPr>
                <w:rFonts w:ascii="Arial Narrow" w:hAnsi="Arial Narrow"/>
                <w:sz w:val="20"/>
                <w:szCs w:val="20"/>
              </w:rPr>
            </w:pPr>
            <w:r w:rsidRPr="005A5BB7">
              <w:rPr>
                <w:rFonts w:ascii="Arial Narrow" w:hAnsi="Arial Narrow"/>
                <w:sz w:val="20"/>
                <w:szCs w:val="20"/>
              </w:rPr>
              <w:t>• 60</w:t>
            </w:r>
            <w:r w:rsidR="000E4816">
              <w:rPr>
                <w:rFonts w:ascii="Arial Narrow" w:hAnsi="Arial Narrow"/>
                <w:sz w:val="20"/>
                <w:szCs w:val="20"/>
              </w:rPr>
              <w:noBreakHyphen/>
            </w:r>
            <w:r w:rsidRPr="005A5BB7">
              <w:rPr>
                <w:rFonts w:ascii="Arial Narrow" w:hAnsi="Arial Narrow"/>
                <w:sz w:val="20"/>
                <w:szCs w:val="20"/>
              </w:rPr>
              <w:t>74 YOA at increased risk of severe RSV disease (including a model for at least one at</w:t>
            </w:r>
            <w:r w:rsidR="000E4816">
              <w:rPr>
                <w:rFonts w:ascii="Arial Narrow" w:hAnsi="Arial Narrow"/>
                <w:sz w:val="20"/>
                <w:szCs w:val="20"/>
              </w:rPr>
              <w:noBreakHyphen/>
            </w:r>
            <w:r w:rsidRPr="005A5BB7">
              <w:rPr>
                <w:rFonts w:ascii="Arial Narrow" w:hAnsi="Arial Narrow"/>
                <w:sz w:val="20"/>
                <w:szCs w:val="20"/>
              </w:rPr>
              <w:t>risk medical condition per the AIH, and a model based on each AIH risk category)</w:t>
            </w:r>
          </w:p>
        </w:tc>
      </w:tr>
      <w:tr w:rsidR="00E80885" w:rsidRPr="005A5BB7" w14:paraId="758DA03E" w14:textId="77777777" w:rsidTr="310F0368">
        <w:trPr>
          <w:cantSplit/>
        </w:trPr>
        <w:tc>
          <w:tcPr>
            <w:tcW w:w="1078" w:type="pct"/>
            <w:vAlign w:val="center"/>
          </w:tcPr>
          <w:p w14:paraId="1638BBCC"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Treatments</w:t>
            </w:r>
          </w:p>
        </w:tc>
        <w:tc>
          <w:tcPr>
            <w:tcW w:w="2079" w:type="pct"/>
            <w:vAlign w:val="center"/>
          </w:tcPr>
          <w:p w14:paraId="19893FD4"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RSVPreF3 OA versus no vaccine</w:t>
            </w:r>
          </w:p>
        </w:tc>
        <w:tc>
          <w:tcPr>
            <w:tcW w:w="1843" w:type="pct"/>
            <w:vAlign w:val="center"/>
          </w:tcPr>
          <w:p w14:paraId="41625CC4"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799675FE" w14:textId="77777777" w:rsidTr="310F0368">
        <w:trPr>
          <w:cantSplit/>
          <w:trHeight w:val="209"/>
        </w:trPr>
        <w:tc>
          <w:tcPr>
            <w:tcW w:w="1078" w:type="pct"/>
            <w:vAlign w:val="center"/>
          </w:tcPr>
          <w:p w14:paraId="554970F2"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Outcomes</w:t>
            </w:r>
          </w:p>
        </w:tc>
        <w:tc>
          <w:tcPr>
            <w:tcW w:w="2079" w:type="pct"/>
            <w:vAlign w:val="center"/>
          </w:tcPr>
          <w:p w14:paraId="7D7EC8A8"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LYs and QALYs</w:t>
            </w:r>
          </w:p>
        </w:tc>
        <w:tc>
          <w:tcPr>
            <w:tcW w:w="1843" w:type="pct"/>
            <w:vAlign w:val="center"/>
          </w:tcPr>
          <w:p w14:paraId="03E4BF95"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5DF2681C" w14:textId="77777777" w:rsidTr="310F0368">
        <w:trPr>
          <w:cantSplit/>
        </w:trPr>
        <w:tc>
          <w:tcPr>
            <w:tcW w:w="1078" w:type="pct"/>
            <w:vAlign w:val="center"/>
          </w:tcPr>
          <w:p w14:paraId="1C397A53"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Time horizon</w:t>
            </w:r>
          </w:p>
        </w:tc>
        <w:tc>
          <w:tcPr>
            <w:tcW w:w="2079" w:type="pct"/>
            <w:vAlign w:val="center"/>
          </w:tcPr>
          <w:p w14:paraId="64168F1A" w14:textId="201A3832" w:rsidR="004C397E" w:rsidRPr="005A5BB7" w:rsidRDefault="00950485" w:rsidP="0021308B">
            <w:pPr>
              <w:rPr>
                <w:rFonts w:ascii="Arial Narrow" w:hAnsi="Arial Narrow"/>
                <w:sz w:val="20"/>
                <w:szCs w:val="20"/>
              </w:rPr>
            </w:pPr>
            <w:r w:rsidRPr="005A5BB7">
              <w:rPr>
                <w:rFonts w:ascii="Arial Narrow" w:hAnsi="Arial Narrow"/>
                <w:sz w:val="20"/>
                <w:szCs w:val="20"/>
              </w:rPr>
              <w:t>L</w:t>
            </w:r>
            <w:r w:rsidR="004C397E" w:rsidRPr="005A5BB7">
              <w:rPr>
                <w:rFonts w:ascii="Arial Narrow" w:hAnsi="Arial Narrow"/>
                <w:sz w:val="20"/>
                <w:szCs w:val="20"/>
              </w:rPr>
              <w:t>ifetime for LYs and QALYs</w:t>
            </w:r>
          </w:p>
        </w:tc>
        <w:tc>
          <w:tcPr>
            <w:tcW w:w="1843" w:type="pct"/>
            <w:vAlign w:val="center"/>
          </w:tcPr>
          <w:p w14:paraId="507CC730" w14:textId="4CC85B0C" w:rsidR="004C397E" w:rsidRPr="005A5BB7" w:rsidRDefault="0021308B" w:rsidP="0021308B">
            <w:pPr>
              <w:rPr>
                <w:rFonts w:ascii="Arial Narrow" w:hAnsi="Arial Narrow"/>
                <w:sz w:val="20"/>
                <w:szCs w:val="20"/>
              </w:rPr>
            </w:pPr>
            <w:r w:rsidRPr="005A5BB7">
              <w:rPr>
                <w:rFonts w:ascii="Arial Narrow" w:hAnsi="Arial Narrow"/>
                <w:sz w:val="20"/>
                <w:szCs w:val="20"/>
              </w:rPr>
              <w:t>Unchanged.</w:t>
            </w:r>
          </w:p>
        </w:tc>
      </w:tr>
      <w:tr w:rsidR="00E80885" w:rsidRPr="005A5BB7" w14:paraId="11CB897D" w14:textId="77777777" w:rsidTr="310F0368">
        <w:trPr>
          <w:cantSplit/>
        </w:trPr>
        <w:tc>
          <w:tcPr>
            <w:tcW w:w="1078" w:type="pct"/>
            <w:vAlign w:val="center"/>
          </w:tcPr>
          <w:p w14:paraId="3790D4B0" w14:textId="77777777" w:rsidR="004C397E" w:rsidRPr="005A5BB7" w:rsidRDefault="004C397E" w:rsidP="003F43DA">
            <w:pPr>
              <w:jc w:val="left"/>
              <w:rPr>
                <w:rFonts w:ascii="Arial Narrow" w:hAnsi="Arial Narrow"/>
                <w:b/>
                <w:bCs/>
                <w:sz w:val="20"/>
                <w:szCs w:val="20"/>
              </w:rPr>
            </w:pPr>
            <w:r w:rsidRPr="005A5BB7">
              <w:rPr>
                <w:rFonts w:ascii="Arial Narrow" w:hAnsi="Arial Narrow"/>
                <w:b/>
                <w:bCs/>
                <w:sz w:val="20"/>
                <w:szCs w:val="20"/>
              </w:rPr>
              <w:t>Methods used to generate results</w:t>
            </w:r>
          </w:p>
        </w:tc>
        <w:tc>
          <w:tcPr>
            <w:tcW w:w="2079" w:type="pct"/>
            <w:vAlign w:val="center"/>
          </w:tcPr>
          <w:p w14:paraId="4A3C2799" w14:textId="5B5D9C5C" w:rsidR="004C397E" w:rsidRPr="005A5BB7" w:rsidRDefault="004C397E" w:rsidP="0021308B">
            <w:pPr>
              <w:rPr>
                <w:rFonts w:ascii="Arial Narrow" w:hAnsi="Arial Narrow"/>
                <w:sz w:val="20"/>
                <w:szCs w:val="20"/>
              </w:rPr>
            </w:pPr>
            <w:r w:rsidRPr="005A5BB7">
              <w:rPr>
                <w:rFonts w:ascii="Arial Narrow" w:hAnsi="Arial Narrow"/>
                <w:sz w:val="20"/>
                <w:szCs w:val="20"/>
              </w:rPr>
              <w:t>Static multi</w:t>
            </w:r>
            <w:r w:rsidR="000E4816">
              <w:rPr>
                <w:rFonts w:ascii="Arial Narrow" w:hAnsi="Arial Narrow"/>
                <w:sz w:val="20"/>
                <w:szCs w:val="20"/>
              </w:rPr>
              <w:noBreakHyphen/>
            </w:r>
            <w:r w:rsidRPr="005A5BB7">
              <w:rPr>
                <w:rFonts w:ascii="Arial Narrow" w:hAnsi="Arial Narrow"/>
                <w:sz w:val="20"/>
                <w:szCs w:val="20"/>
              </w:rPr>
              <w:t>cohort Markov model</w:t>
            </w:r>
          </w:p>
        </w:tc>
        <w:tc>
          <w:tcPr>
            <w:tcW w:w="1843" w:type="pct"/>
            <w:vAlign w:val="center"/>
          </w:tcPr>
          <w:p w14:paraId="00C7F340"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5985811C" w14:textId="77777777" w:rsidTr="310F0368">
        <w:trPr>
          <w:cantSplit/>
        </w:trPr>
        <w:tc>
          <w:tcPr>
            <w:tcW w:w="1078" w:type="pct"/>
            <w:vAlign w:val="center"/>
          </w:tcPr>
          <w:p w14:paraId="48662C78"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Health states</w:t>
            </w:r>
          </w:p>
        </w:tc>
        <w:tc>
          <w:tcPr>
            <w:tcW w:w="2079" w:type="pct"/>
            <w:vAlign w:val="center"/>
          </w:tcPr>
          <w:p w14:paraId="12C4D572" w14:textId="649E63F6" w:rsidR="004C397E" w:rsidRPr="005A5BB7" w:rsidRDefault="004C397E" w:rsidP="0021308B">
            <w:pPr>
              <w:rPr>
                <w:rFonts w:ascii="Arial Narrow" w:hAnsi="Arial Narrow"/>
                <w:sz w:val="20"/>
                <w:szCs w:val="20"/>
              </w:rPr>
            </w:pPr>
            <w:r w:rsidRPr="005A5BB7">
              <w:rPr>
                <w:rFonts w:ascii="Arial Narrow" w:hAnsi="Arial Narrow"/>
                <w:sz w:val="20"/>
                <w:szCs w:val="20"/>
              </w:rPr>
              <w:t>No</w:t>
            </w:r>
            <w:r w:rsidR="000E4816">
              <w:rPr>
                <w:rFonts w:ascii="Arial Narrow" w:hAnsi="Arial Narrow"/>
                <w:sz w:val="20"/>
                <w:szCs w:val="20"/>
              </w:rPr>
              <w:noBreakHyphen/>
            </w:r>
            <w:r w:rsidRPr="005A5BB7">
              <w:rPr>
                <w:rFonts w:ascii="Arial Narrow" w:hAnsi="Arial Narrow"/>
                <w:sz w:val="20"/>
                <w:szCs w:val="20"/>
              </w:rPr>
              <w:t>RSV, post</w:t>
            </w:r>
            <w:r w:rsidR="000E4816">
              <w:rPr>
                <w:rFonts w:ascii="Arial Narrow" w:hAnsi="Arial Narrow"/>
                <w:sz w:val="20"/>
                <w:szCs w:val="20"/>
              </w:rPr>
              <w:noBreakHyphen/>
            </w:r>
            <w:r w:rsidRPr="005A5BB7">
              <w:rPr>
                <w:rFonts w:ascii="Arial Narrow" w:hAnsi="Arial Narrow"/>
                <w:sz w:val="20"/>
                <w:szCs w:val="20"/>
              </w:rPr>
              <w:t>RSV (participants that survived at least one RSV episode), and death</w:t>
            </w:r>
          </w:p>
        </w:tc>
        <w:tc>
          <w:tcPr>
            <w:tcW w:w="1843" w:type="pct"/>
            <w:vAlign w:val="center"/>
          </w:tcPr>
          <w:p w14:paraId="243D2A1E"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0AECD5AD" w14:textId="77777777" w:rsidTr="310F0368">
        <w:trPr>
          <w:cantSplit/>
        </w:trPr>
        <w:tc>
          <w:tcPr>
            <w:tcW w:w="1078" w:type="pct"/>
            <w:vAlign w:val="center"/>
          </w:tcPr>
          <w:p w14:paraId="71B7028F"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Cycle length</w:t>
            </w:r>
          </w:p>
        </w:tc>
        <w:tc>
          <w:tcPr>
            <w:tcW w:w="2079" w:type="pct"/>
            <w:vAlign w:val="center"/>
          </w:tcPr>
          <w:p w14:paraId="14EA1DAA"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1 month</w:t>
            </w:r>
          </w:p>
        </w:tc>
        <w:tc>
          <w:tcPr>
            <w:tcW w:w="1843" w:type="pct"/>
            <w:vAlign w:val="center"/>
          </w:tcPr>
          <w:p w14:paraId="7480C404"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7B60D639" w14:textId="77777777" w:rsidTr="310F0368">
        <w:trPr>
          <w:cantSplit/>
        </w:trPr>
        <w:tc>
          <w:tcPr>
            <w:tcW w:w="1078" w:type="pct"/>
            <w:vAlign w:val="center"/>
          </w:tcPr>
          <w:p w14:paraId="3ACE0A04"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Vaccine efficacy</w:t>
            </w:r>
          </w:p>
        </w:tc>
        <w:tc>
          <w:tcPr>
            <w:tcW w:w="2079" w:type="pct"/>
            <w:vAlign w:val="center"/>
          </w:tcPr>
          <w:p w14:paraId="2C62D95C" w14:textId="2E55DB2A" w:rsidR="004C397E" w:rsidRPr="005A5BB7" w:rsidRDefault="004C397E" w:rsidP="0021308B">
            <w:pPr>
              <w:rPr>
                <w:rFonts w:ascii="Arial Narrow" w:hAnsi="Arial Narrow"/>
                <w:sz w:val="20"/>
                <w:szCs w:val="20"/>
              </w:rPr>
            </w:pPr>
            <w:r w:rsidRPr="005A5BB7">
              <w:rPr>
                <w:rFonts w:ascii="Arial Narrow" w:hAnsi="Arial Narrow"/>
                <w:sz w:val="20"/>
                <w:szCs w:val="20"/>
              </w:rPr>
              <w:t>Per AReSVi</w:t>
            </w:r>
            <w:r w:rsidR="000E4816">
              <w:rPr>
                <w:rFonts w:ascii="Arial Narrow" w:hAnsi="Arial Narrow"/>
                <w:sz w:val="20"/>
                <w:szCs w:val="20"/>
              </w:rPr>
              <w:noBreakHyphen/>
            </w:r>
            <w:r w:rsidRPr="005A5BB7">
              <w:rPr>
                <w:rFonts w:ascii="Arial Narrow" w:hAnsi="Arial Narrow"/>
                <w:sz w:val="20"/>
                <w:szCs w:val="20"/>
              </w:rPr>
              <w:t xml:space="preserve">006 (overall population): </w:t>
            </w:r>
          </w:p>
          <w:p w14:paraId="673971BD" w14:textId="712AD9CB" w:rsidR="004C397E" w:rsidRPr="005A5BB7" w:rsidRDefault="004C397E" w:rsidP="0021308B">
            <w:pPr>
              <w:rPr>
                <w:rFonts w:ascii="Arial Narrow" w:hAnsi="Arial Narrow"/>
                <w:sz w:val="20"/>
                <w:szCs w:val="20"/>
              </w:rPr>
            </w:pPr>
            <w:r w:rsidRPr="005A5BB7">
              <w:rPr>
                <w:rFonts w:ascii="Arial Narrow" w:hAnsi="Arial Narrow"/>
                <w:sz w:val="20"/>
                <w:szCs w:val="20"/>
              </w:rPr>
              <w:t>3 years based on linear logarithmic model (median 30.6</w:t>
            </w:r>
            <w:r w:rsidR="000E4816">
              <w:rPr>
                <w:rFonts w:ascii="Arial Narrow" w:hAnsi="Arial Narrow"/>
                <w:sz w:val="20"/>
                <w:szCs w:val="20"/>
              </w:rPr>
              <w:noBreakHyphen/>
            </w:r>
            <w:r w:rsidRPr="005A5BB7">
              <w:rPr>
                <w:rFonts w:ascii="Arial Narrow" w:hAnsi="Arial Narrow"/>
                <w:sz w:val="20"/>
                <w:szCs w:val="20"/>
              </w:rPr>
              <w:t>month trial data).</w:t>
            </w:r>
          </w:p>
          <w:p w14:paraId="21CD5F44" w14:textId="402E0BB2" w:rsidR="004C397E" w:rsidRPr="005A5BB7" w:rsidRDefault="004C397E" w:rsidP="0021308B">
            <w:pPr>
              <w:rPr>
                <w:rFonts w:ascii="Arial Narrow" w:hAnsi="Arial Narrow"/>
                <w:sz w:val="20"/>
                <w:szCs w:val="20"/>
              </w:rPr>
            </w:pPr>
            <w:r w:rsidRPr="005A5BB7">
              <w:rPr>
                <w:rFonts w:ascii="Arial Narrow" w:hAnsi="Arial Narrow"/>
                <w:sz w:val="20"/>
                <w:szCs w:val="20"/>
              </w:rPr>
              <w:t>Waning: 2 years (assuming constant decline rate to 0% at the end of Year 5).</w:t>
            </w:r>
          </w:p>
          <w:p w14:paraId="5ECC73FD" w14:textId="77777777" w:rsidR="004C397E" w:rsidRPr="005A5BB7" w:rsidRDefault="004C397E" w:rsidP="0021308B">
            <w:pPr>
              <w:rPr>
                <w:rFonts w:ascii="Arial Narrow" w:hAnsi="Arial Narrow"/>
                <w:sz w:val="20"/>
                <w:szCs w:val="20"/>
              </w:rPr>
            </w:pPr>
          </w:p>
          <w:p w14:paraId="648AAB44" w14:textId="50B81054" w:rsidR="004C397E" w:rsidRPr="005A5BB7" w:rsidRDefault="004C397E" w:rsidP="0021308B">
            <w:pPr>
              <w:rPr>
                <w:rFonts w:ascii="Arial Narrow" w:hAnsi="Arial Narrow"/>
                <w:sz w:val="20"/>
                <w:szCs w:val="20"/>
              </w:rPr>
            </w:pPr>
            <w:r w:rsidRPr="005A5BB7">
              <w:rPr>
                <w:rFonts w:ascii="Arial Narrow" w:hAnsi="Arial Narrow"/>
                <w:sz w:val="20"/>
                <w:szCs w:val="20"/>
              </w:rPr>
              <w:t>Pre</w:t>
            </w:r>
            <w:r w:rsidR="000E4816">
              <w:rPr>
                <w:rFonts w:ascii="Arial Narrow" w:hAnsi="Arial Narrow"/>
                <w:sz w:val="20"/>
                <w:szCs w:val="20"/>
              </w:rPr>
              <w:noBreakHyphen/>
            </w:r>
            <w:r w:rsidRPr="005A5BB7">
              <w:rPr>
                <w:rFonts w:ascii="Arial Narrow" w:hAnsi="Arial Narrow"/>
                <w:sz w:val="20"/>
                <w:szCs w:val="20"/>
              </w:rPr>
              <w:t xml:space="preserve">PBAC response: </w:t>
            </w:r>
          </w:p>
          <w:p w14:paraId="36D9414C" w14:textId="719CAE94" w:rsidR="004C397E" w:rsidRPr="005A5BB7" w:rsidRDefault="004C397E" w:rsidP="0021308B">
            <w:pPr>
              <w:rPr>
                <w:rFonts w:ascii="Arial Narrow" w:hAnsi="Arial Narrow"/>
                <w:sz w:val="20"/>
                <w:szCs w:val="20"/>
              </w:rPr>
            </w:pPr>
            <w:r w:rsidRPr="005A5BB7">
              <w:rPr>
                <w:rFonts w:ascii="Arial Narrow" w:hAnsi="Arial Narrow"/>
                <w:sz w:val="20"/>
                <w:szCs w:val="20"/>
              </w:rPr>
              <w:t>Per AReSVi</w:t>
            </w:r>
            <w:r w:rsidR="000E4816">
              <w:rPr>
                <w:rFonts w:ascii="Arial Narrow" w:hAnsi="Arial Narrow"/>
                <w:sz w:val="20"/>
                <w:szCs w:val="20"/>
              </w:rPr>
              <w:noBreakHyphen/>
            </w:r>
            <w:r w:rsidRPr="005A5BB7">
              <w:rPr>
                <w:rFonts w:ascii="Arial Narrow" w:hAnsi="Arial Narrow"/>
                <w:sz w:val="20"/>
                <w:szCs w:val="20"/>
              </w:rPr>
              <w:t xml:space="preserve">006 (overall population): </w:t>
            </w:r>
          </w:p>
          <w:p w14:paraId="47AAC22C" w14:textId="7781C313" w:rsidR="004C397E" w:rsidRPr="005A5BB7" w:rsidRDefault="004C397E" w:rsidP="0021308B">
            <w:pPr>
              <w:rPr>
                <w:rFonts w:ascii="Arial Narrow" w:hAnsi="Arial Narrow"/>
                <w:sz w:val="20"/>
                <w:szCs w:val="20"/>
              </w:rPr>
            </w:pPr>
            <w:r w:rsidRPr="310F0368">
              <w:rPr>
                <w:rFonts w:ascii="Arial Narrow" w:hAnsi="Arial Narrow"/>
                <w:sz w:val="20"/>
                <w:szCs w:val="20"/>
              </w:rPr>
              <w:t>4 years based on linear logarithmic model (median 30.6</w:t>
            </w:r>
            <w:r>
              <w:noBreakHyphen/>
            </w:r>
            <w:r w:rsidRPr="310F0368">
              <w:rPr>
                <w:rFonts w:ascii="Arial Narrow" w:hAnsi="Arial Narrow"/>
                <w:sz w:val="20"/>
                <w:szCs w:val="20"/>
              </w:rPr>
              <w:t xml:space="preserve">month trial VE data and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p>
          <w:p w14:paraId="7CE7E959"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Waning: 1 years (assuming constant decline rate to 0% at the end of Year 5).</w:t>
            </w:r>
          </w:p>
        </w:tc>
        <w:tc>
          <w:tcPr>
            <w:tcW w:w="1843" w:type="pct"/>
            <w:vAlign w:val="center"/>
          </w:tcPr>
          <w:p w14:paraId="0B5E01CE" w14:textId="316E8A0D" w:rsidR="004C397E" w:rsidRPr="005A5BB7" w:rsidRDefault="004C397E" w:rsidP="0021308B">
            <w:pPr>
              <w:rPr>
                <w:rFonts w:ascii="Arial Narrow" w:hAnsi="Arial Narrow"/>
                <w:sz w:val="20"/>
                <w:szCs w:val="20"/>
              </w:rPr>
            </w:pPr>
            <w:r w:rsidRPr="310F0368">
              <w:rPr>
                <w:rFonts w:ascii="Arial Narrow" w:hAnsi="Arial Narrow"/>
                <w:sz w:val="20"/>
                <w:szCs w:val="20"/>
              </w:rPr>
              <w:t>Unchanged from its July 2025 pre</w:t>
            </w:r>
            <w:r>
              <w:noBreakHyphen/>
            </w:r>
            <w:r w:rsidRPr="310F0368">
              <w:rPr>
                <w:rFonts w:ascii="Arial Narrow" w:hAnsi="Arial Narrow"/>
                <w:sz w:val="20"/>
                <w:szCs w:val="20"/>
              </w:rPr>
              <w:t xml:space="preserve">PBAC </w:t>
            </w:r>
            <w:r w:rsidRPr="008440FA">
              <w:rPr>
                <w:rFonts w:ascii="Arial Narrow" w:hAnsi="Arial Narrow"/>
                <w:sz w:val="20"/>
                <w:szCs w:val="20"/>
              </w:rPr>
              <w:t xml:space="preserve">response </w:t>
            </w:r>
            <w:r w:rsidR="228A2D91" w:rsidRPr="008440FA">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228A2D91" w:rsidRPr="008440FA">
              <w:rPr>
                <w:rFonts w:ascii="Arial Narrow" w:hAnsi="Arial Narrow"/>
                <w:sz w:val="20"/>
                <w:szCs w:val="20"/>
              </w:rPr>
              <w:t>)</w:t>
            </w:r>
            <w:r w:rsidR="40DB38B8" w:rsidRPr="008440FA">
              <w:rPr>
                <w:rFonts w:ascii="Arial Narrow" w:hAnsi="Arial Narrow"/>
                <w:sz w:val="20"/>
                <w:szCs w:val="20"/>
              </w:rPr>
              <w:t>.</w:t>
            </w:r>
          </w:p>
          <w:p w14:paraId="14CA2578" w14:textId="77777777" w:rsidR="00634837" w:rsidRPr="005A5BB7" w:rsidRDefault="00634837" w:rsidP="0021308B">
            <w:pPr>
              <w:rPr>
                <w:rFonts w:ascii="Arial Narrow" w:hAnsi="Arial Narrow"/>
                <w:sz w:val="20"/>
                <w:szCs w:val="20"/>
              </w:rPr>
            </w:pPr>
          </w:p>
          <w:p w14:paraId="537A13EB" w14:textId="7FDC0EBE" w:rsidR="00634837" w:rsidRPr="005A5BB7" w:rsidRDefault="00634837" w:rsidP="00634837">
            <w:pPr>
              <w:rPr>
                <w:rFonts w:ascii="Arial Narrow" w:hAnsi="Arial Narrow"/>
                <w:sz w:val="20"/>
                <w:szCs w:val="20"/>
              </w:rPr>
            </w:pPr>
            <w:r w:rsidRPr="005A5BB7">
              <w:rPr>
                <w:rFonts w:ascii="Arial Narrow" w:hAnsi="Arial Narrow"/>
                <w:sz w:val="20"/>
                <w:szCs w:val="20"/>
              </w:rPr>
              <w:t xml:space="preserve">The resubmission applied the estimate of VE from the overall population to the economic model, rather than an estimate corresponding to the analysis of ≥1 comorbidities of interest.  The VE </w:t>
            </w:r>
            <w:r w:rsidR="008E529D" w:rsidRPr="005A5BB7">
              <w:rPr>
                <w:rFonts w:ascii="Arial Narrow" w:hAnsi="Arial Narrow"/>
                <w:sz w:val="20"/>
                <w:szCs w:val="20"/>
              </w:rPr>
              <w:t xml:space="preserve">is uncertain </w:t>
            </w:r>
            <w:r w:rsidRPr="005A5BB7">
              <w:rPr>
                <w:rFonts w:ascii="Arial Narrow" w:hAnsi="Arial Narrow"/>
                <w:sz w:val="20"/>
                <w:szCs w:val="20"/>
              </w:rPr>
              <w:t>for the population with comorbidities.</w:t>
            </w:r>
          </w:p>
          <w:p w14:paraId="436D4EF0" w14:textId="77777777" w:rsidR="00634837" w:rsidRPr="005A5BB7" w:rsidRDefault="00634837" w:rsidP="0021308B">
            <w:pPr>
              <w:rPr>
                <w:rFonts w:ascii="Arial Narrow" w:hAnsi="Arial Narrow"/>
                <w:sz w:val="20"/>
                <w:szCs w:val="20"/>
              </w:rPr>
            </w:pPr>
          </w:p>
          <w:p w14:paraId="67D52826" w14:textId="64E4AF35" w:rsidR="00B0083D" w:rsidRPr="005A5BB7" w:rsidRDefault="00B0083D" w:rsidP="0021308B">
            <w:pPr>
              <w:rPr>
                <w:rFonts w:ascii="Arial Narrow" w:hAnsi="Arial Narrow"/>
                <w:sz w:val="20"/>
                <w:szCs w:val="20"/>
              </w:rPr>
            </w:pPr>
            <w:r w:rsidRPr="005A5BB7">
              <w:rPr>
                <w:rFonts w:ascii="Arial Narrow" w:hAnsi="Arial Narrow"/>
                <w:sz w:val="20"/>
                <w:szCs w:val="20"/>
              </w:rPr>
              <w:t>In July 2025, the PBAC advised it was reasonable to accept VE over a period of three years based on three seasons of data for AreSVi</w:t>
            </w:r>
            <w:r w:rsidR="000E4816">
              <w:rPr>
                <w:rFonts w:ascii="Arial Narrow" w:hAnsi="Arial Narrow"/>
                <w:sz w:val="20"/>
                <w:szCs w:val="20"/>
              </w:rPr>
              <w:noBreakHyphen/>
            </w:r>
            <w:r w:rsidRPr="005A5BB7">
              <w:rPr>
                <w:rFonts w:ascii="Arial Narrow" w:hAnsi="Arial Narrow"/>
                <w:sz w:val="20"/>
                <w:szCs w:val="20"/>
              </w:rPr>
              <w:t>006, however, the duration of benefit beyond the trial remained uncertain (RSV</w:t>
            </w:r>
            <w:r w:rsidR="00A7582F" w:rsidRPr="005A5BB7">
              <w:rPr>
                <w:rFonts w:ascii="Arial Narrow" w:hAnsi="Arial Narrow"/>
                <w:sz w:val="20"/>
                <w:szCs w:val="20"/>
              </w:rPr>
              <w:t>P</w:t>
            </w:r>
            <w:r w:rsidRPr="005A5BB7">
              <w:rPr>
                <w:rFonts w:ascii="Arial Narrow" w:hAnsi="Arial Narrow"/>
                <w:sz w:val="20"/>
                <w:szCs w:val="20"/>
              </w:rPr>
              <w:t xml:space="preserve">reF3 OA July 2025 </w:t>
            </w:r>
            <w:r w:rsidR="003C4B33">
              <w:rPr>
                <w:rFonts w:ascii="Arial Narrow" w:hAnsi="Arial Narrow"/>
                <w:sz w:val="20"/>
                <w:szCs w:val="20"/>
              </w:rPr>
              <w:t>PSD</w:t>
            </w:r>
            <w:r w:rsidRPr="005A5BB7">
              <w:rPr>
                <w:rFonts w:ascii="Arial Narrow" w:hAnsi="Arial Narrow"/>
                <w:sz w:val="20"/>
                <w:szCs w:val="20"/>
              </w:rPr>
              <w:t>, paragraph 7.11).</w:t>
            </w:r>
          </w:p>
          <w:p w14:paraId="72CC600B" w14:textId="77777777" w:rsidR="00EC7E88" w:rsidRPr="005A5BB7" w:rsidRDefault="00EC7E88" w:rsidP="0021308B">
            <w:pPr>
              <w:rPr>
                <w:rFonts w:ascii="Arial Narrow" w:hAnsi="Arial Narrow"/>
                <w:sz w:val="20"/>
                <w:szCs w:val="20"/>
              </w:rPr>
            </w:pPr>
          </w:p>
          <w:p w14:paraId="67EFF397" w14:textId="0B9AE1DF" w:rsidR="008636FB" w:rsidRPr="005A5BB7" w:rsidRDefault="00EC7E88" w:rsidP="008636FB">
            <w:pPr>
              <w:rPr>
                <w:rFonts w:ascii="Arial Narrow" w:hAnsi="Arial Narrow"/>
                <w:i/>
                <w:iCs/>
                <w:sz w:val="20"/>
                <w:szCs w:val="20"/>
              </w:rPr>
            </w:pPr>
            <w:r w:rsidRPr="005A5BB7">
              <w:rPr>
                <w:rFonts w:ascii="Arial Narrow" w:hAnsi="Arial Narrow"/>
                <w:iCs/>
                <w:sz w:val="20"/>
                <w:szCs w:val="20"/>
              </w:rPr>
              <w:t>The PSCR did not agree with the 3</w:t>
            </w:r>
            <w:r w:rsidR="000E4816">
              <w:rPr>
                <w:rFonts w:ascii="Arial Narrow" w:hAnsi="Arial Narrow"/>
                <w:iCs/>
                <w:sz w:val="20"/>
                <w:szCs w:val="20"/>
              </w:rPr>
              <w:noBreakHyphen/>
            </w:r>
            <w:r w:rsidRPr="005A5BB7">
              <w:rPr>
                <w:rFonts w:ascii="Arial Narrow" w:hAnsi="Arial Narrow"/>
                <w:iCs/>
                <w:sz w:val="20"/>
                <w:szCs w:val="20"/>
              </w:rPr>
              <w:t xml:space="preserve">year VE duration </w:t>
            </w:r>
            <w:r w:rsidR="0082593C" w:rsidRPr="005A5BB7">
              <w:rPr>
                <w:rFonts w:ascii="Arial Narrow" w:hAnsi="Arial Narrow"/>
                <w:iCs/>
                <w:sz w:val="20"/>
                <w:szCs w:val="20"/>
              </w:rPr>
              <w:t xml:space="preserve">previously </w:t>
            </w:r>
            <w:r w:rsidRPr="005A5BB7">
              <w:rPr>
                <w:rFonts w:ascii="Arial Narrow" w:hAnsi="Arial Narrow"/>
                <w:iCs/>
                <w:sz w:val="20"/>
                <w:szCs w:val="20"/>
              </w:rPr>
              <w:t>advised by the PBAC. Instead, the PSCR maintained that a 5 year VE duration remains appropriate</w:t>
            </w:r>
            <w:r w:rsidRPr="00921CB3">
              <w:rPr>
                <w:rFonts w:ascii="Arial Narrow" w:hAnsi="Arial Narrow"/>
                <w:iCs/>
                <w:sz w:val="20"/>
                <w:szCs w:val="20"/>
              </w:rPr>
              <w:t xml:space="preserve">. The PSCR stated that the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Pr="005A5BB7">
              <w:rPr>
                <w:rFonts w:ascii="Arial Narrow" w:hAnsi="Arial Narrow"/>
                <w:iCs/>
                <w:sz w:val="20"/>
                <w:szCs w:val="20"/>
              </w:rPr>
              <w:t xml:space="preserve">. </w:t>
            </w:r>
            <w:r w:rsidR="008636FB" w:rsidRPr="005A5BB7">
              <w:rPr>
                <w:rFonts w:ascii="Arial Narrow" w:hAnsi="Arial Narrow"/>
                <w:iCs/>
                <w:sz w:val="20"/>
                <w:szCs w:val="20"/>
              </w:rPr>
              <w:t>The pre</w:t>
            </w:r>
            <w:r w:rsidR="000E4816">
              <w:rPr>
                <w:rFonts w:ascii="Arial Narrow" w:hAnsi="Arial Narrow"/>
                <w:iCs/>
                <w:sz w:val="20"/>
                <w:szCs w:val="20"/>
              </w:rPr>
              <w:noBreakHyphen/>
            </w:r>
            <w:r w:rsidR="008636FB" w:rsidRPr="005A5BB7">
              <w:rPr>
                <w:rFonts w:ascii="Arial Narrow" w:hAnsi="Arial Narrow"/>
                <w:iCs/>
                <w:sz w:val="20"/>
                <w:szCs w:val="20"/>
              </w:rPr>
              <w:t>PBAC response applied 4</w:t>
            </w:r>
            <w:r w:rsidR="000E4816">
              <w:rPr>
                <w:rFonts w:ascii="Arial Narrow" w:hAnsi="Arial Narrow"/>
                <w:iCs/>
                <w:sz w:val="20"/>
                <w:szCs w:val="20"/>
              </w:rPr>
              <w:noBreakHyphen/>
            </w:r>
            <w:r w:rsidR="008636FB" w:rsidRPr="005A5BB7">
              <w:rPr>
                <w:rFonts w:ascii="Arial Narrow" w:hAnsi="Arial Narrow"/>
                <w:iCs/>
                <w:sz w:val="20"/>
                <w:szCs w:val="20"/>
              </w:rPr>
              <w:t>year VE duration in its base case.</w:t>
            </w:r>
          </w:p>
        </w:tc>
      </w:tr>
      <w:tr w:rsidR="00E80885" w:rsidRPr="005A5BB7" w14:paraId="1FA79220" w14:textId="77777777" w:rsidTr="310F0368">
        <w:trPr>
          <w:cantSplit/>
        </w:trPr>
        <w:tc>
          <w:tcPr>
            <w:tcW w:w="1078" w:type="pct"/>
            <w:vAlign w:val="center"/>
          </w:tcPr>
          <w:p w14:paraId="4D0737E6"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Vaccination month</w:t>
            </w:r>
          </w:p>
        </w:tc>
        <w:tc>
          <w:tcPr>
            <w:tcW w:w="2079" w:type="pct"/>
            <w:vAlign w:val="center"/>
          </w:tcPr>
          <w:p w14:paraId="28F861AD"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All months, using an annual average</w:t>
            </w:r>
          </w:p>
        </w:tc>
        <w:tc>
          <w:tcPr>
            <w:tcW w:w="1843" w:type="pct"/>
            <w:vAlign w:val="center"/>
          </w:tcPr>
          <w:p w14:paraId="5BC7EBA2"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0D2B2434" w14:textId="77777777" w:rsidTr="310F0368">
        <w:trPr>
          <w:cantSplit/>
        </w:trPr>
        <w:tc>
          <w:tcPr>
            <w:tcW w:w="1078" w:type="pct"/>
            <w:vAlign w:val="center"/>
          </w:tcPr>
          <w:p w14:paraId="7A9D9B28" w14:textId="6D67FA59" w:rsidR="004C397E" w:rsidRPr="005A5BB7" w:rsidRDefault="004C397E" w:rsidP="0021308B">
            <w:pPr>
              <w:rPr>
                <w:rFonts w:ascii="Arial Narrow" w:hAnsi="Arial Narrow"/>
                <w:b/>
                <w:bCs/>
                <w:sz w:val="20"/>
                <w:szCs w:val="20"/>
              </w:rPr>
            </w:pPr>
            <w:r w:rsidRPr="005A5BB7">
              <w:rPr>
                <w:rFonts w:ascii="Arial Narrow" w:hAnsi="Arial Narrow"/>
                <w:b/>
                <w:bCs/>
                <w:sz w:val="20"/>
                <w:szCs w:val="20"/>
              </w:rPr>
              <w:lastRenderedPageBreak/>
              <w:t>RSV</w:t>
            </w:r>
            <w:r w:rsidR="000E4816">
              <w:rPr>
                <w:rFonts w:ascii="Arial Narrow" w:hAnsi="Arial Narrow"/>
                <w:b/>
                <w:bCs/>
                <w:sz w:val="20"/>
                <w:szCs w:val="20"/>
              </w:rPr>
              <w:noBreakHyphen/>
            </w:r>
            <w:r w:rsidRPr="005A5BB7">
              <w:rPr>
                <w:rFonts w:ascii="Arial Narrow" w:hAnsi="Arial Narrow"/>
                <w:b/>
                <w:bCs/>
                <w:sz w:val="20"/>
                <w:szCs w:val="20"/>
              </w:rPr>
              <w:t>associated hospitalisation rates</w:t>
            </w:r>
          </w:p>
        </w:tc>
        <w:tc>
          <w:tcPr>
            <w:tcW w:w="2079" w:type="pct"/>
          </w:tcPr>
          <w:p w14:paraId="0B563CF4" w14:textId="244D628F" w:rsidR="004C397E" w:rsidRPr="005A5BB7" w:rsidRDefault="004C397E" w:rsidP="0021308B">
            <w:pPr>
              <w:rPr>
                <w:rFonts w:ascii="Arial Narrow" w:hAnsi="Arial Narrow"/>
                <w:sz w:val="20"/>
                <w:szCs w:val="20"/>
              </w:rPr>
            </w:pPr>
            <w:r w:rsidRPr="005A5BB7">
              <w:rPr>
                <w:rFonts w:ascii="Arial Narrow" w:hAnsi="Arial Narrow" w:cs="Calibri"/>
                <w:sz w:val="20"/>
                <w:szCs w:val="20"/>
              </w:rPr>
              <w:t>AIHW NHMD 2016</w:t>
            </w:r>
            <w:r w:rsidR="000E4816">
              <w:rPr>
                <w:rFonts w:ascii="Arial Narrow" w:hAnsi="Arial Narrow" w:cs="Calibri"/>
                <w:sz w:val="20"/>
                <w:szCs w:val="20"/>
              </w:rPr>
              <w:noBreakHyphen/>
            </w:r>
            <w:r w:rsidRPr="005A5BB7">
              <w:rPr>
                <w:rFonts w:ascii="Arial Narrow" w:hAnsi="Arial Narrow" w:cs="Calibri"/>
                <w:sz w:val="20"/>
                <w:szCs w:val="20"/>
              </w:rPr>
              <w:t xml:space="preserve">19 data with </w:t>
            </w:r>
            <w:r w:rsidRPr="005A5BB7">
              <w:rPr>
                <w:rFonts w:ascii="Arial Narrow" w:hAnsi="Arial Narrow"/>
                <w:sz w:val="20"/>
                <w:szCs w:val="20"/>
              </w:rPr>
              <w:t>a multiplier of 2.0 (under</w:t>
            </w:r>
            <w:r w:rsidR="000E4816">
              <w:rPr>
                <w:rFonts w:ascii="Arial Narrow" w:hAnsi="Arial Narrow"/>
                <w:sz w:val="20"/>
                <w:szCs w:val="20"/>
              </w:rPr>
              <w:noBreakHyphen/>
            </w:r>
            <w:r w:rsidRPr="005A5BB7">
              <w:rPr>
                <w:rFonts w:ascii="Arial Narrow" w:hAnsi="Arial Narrow"/>
                <w:sz w:val="20"/>
                <w:szCs w:val="20"/>
              </w:rPr>
              <w:t>testing correction; ATAGI) and 1.5 (under</w:t>
            </w:r>
            <w:r w:rsidR="000E4816">
              <w:rPr>
                <w:rFonts w:ascii="Arial Narrow" w:hAnsi="Arial Narrow"/>
                <w:sz w:val="20"/>
                <w:szCs w:val="20"/>
              </w:rPr>
              <w:noBreakHyphen/>
            </w:r>
            <w:r w:rsidRPr="005A5BB7">
              <w:rPr>
                <w:rFonts w:ascii="Arial Narrow" w:hAnsi="Arial Narrow"/>
                <w:sz w:val="20"/>
                <w:szCs w:val="20"/>
              </w:rPr>
              <w:t>ascertainment multiplier for test sensitivity based on 66% sensitivity of RT</w:t>
            </w:r>
            <w:r w:rsidR="000E4816">
              <w:rPr>
                <w:rFonts w:ascii="Arial Narrow" w:hAnsi="Arial Narrow"/>
                <w:sz w:val="20"/>
                <w:szCs w:val="20"/>
              </w:rPr>
              <w:noBreakHyphen/>
            </w:r>
            <w:r w:rsidRPr="005A5BB7">
              <w:rPr>
                <w:rFonts w:ascii="Arial Narrow" w:hAnsi="Arial Narrow"/>
                <w:sz w:val="20"/>
                <w:szCs w:val="20"/>
              </w:rPr>
              <w:t>PCR of nasopharyngeal swabs; Havers et al., 2024a; Mclaughlin et al., 2022; Onwuchekwa et al., 2023).</w:t>
            </w:r>
          </w:p>
          <w:p w14:paraId="066D1404" w14:textId="77777777" w:rsidR="004C397E" w:rsidRPr="005A5BB7" w:rsidRDefault="004C397E" w:rsidP="0021308B">
            <w:pPr>
              <w:rPr>
                <w:rFonts w:ascii="Arial Narrow" w:hAnsi="Arial Narrow"/>
                <w:sz w:val="20"/>
                <w:szCs w:val="20"/>
              </w:rPr>
            </w:pPr>
          </w:p>
          <w:p w14:paraId="21A599D9"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PSCR: used a 2.0 multiplier only, but applied this to crude hospitalisation rate from AIHW NHMD data from 2018–2019.</w:t>
            </w:r>
          </w:p>
        </w:tc>
        <w:tc>
          <w:tcPr>
            <w:tcW w:w="1843" w:type="pct"/>
            <w:vAlign w:val="center"/>
          </w:tcPr>
          <w:p w14:paraId="1DF273DF" w14:textId="02727E7D" w:rsidR="00A7582F" w:rsidRPr="005A5BB7" w:rsidRDefault="004C397E" w:rsidP="00A7582F">
            <w:pPr>
              <w:rPr>
                <w:rFonts w:ascii="Arial Narrow" w:hAnsi="Arial Narrow"/>
                <w:sz w:val="20"/>
                <w:szCs w:val="20"/>
              </w:rPr>
            </w:pPr>
            <w:r w:rsidRPr="005A5BB7">
              <w:rPr>
                <w:rFonts w:ascii="Arial Narrow" w:hAnsi="Arial Narrow"/>
                <w:sz w:val="20"/>
                <w:szCs w:val="20"/>
              </w:rPr>
              <w:t xml:space="preserve">≥ 75 YOA: Unchanged from its July 2025 </w:t>
            </w:r>
            <w:r w:rsidR="00712581" w:rsidRPr="005A5BB7">
              <w:rPr>
                <w:rFonts w:ascii="Arial Narrow" w:hAnsi="Arial Narrow"/>
                <w:sz w:val="20"/>
                <w:szCs w:val="20"/>
              </w:rPr>
              <w:t>PSCR</w:t>
            </w:r>
            <w:r w:rsidRPr="005A5BB7">
              <w:rPr>
                <w:rFonts w:ascii="Arial Narrow" w:hAnsi="Arial Narrow"/>
                <w:sz w:val="20"/>
                <w:szCs w:val="20"/>
              </w:rPr>
              <w:t>.</w:t>
            </w:r>
            <w:r w:rsidR="00DE7659" w:rsidRPr="005A5BB7">
              <w:rPr>
                <w:rFonts w:ascii="Arial Narrow" w:hAnsi="Arial Narrow"/>
                <w:sz w:val="20"/>
                <w:szCs w:val="20"/>
              </w:rPr>
              <w:t xml:space="preserve"> </w:t>
            </w:r>
            <w:r w:rsidR="00A7582F" w:rsidRPr="005A5BB7">
              <w:rPr>
                <w:rFonts w:ascii="Arial Narrow" w:hAnsi="Arial Narrow"/>
                <w:sz w:val="20"/>
                <w:szCs w:val="20"/>
              </w:rPr>
              <w:t xml:space="preserve">In July 2025, the PBAC advised the hospitalisation rate should be reduced from 443 to 384 (RSVPreF3 OA July 2025 </w:t>
            </w:r>
            <w:r w:rsidR="003C4B33">
              <w:rPr>
                <w:rFonts w:ascii="Arial Narrow" w:hAnsi="Arial Narrow"/>
                <w:sz w:val="20"/>
                <w:szCs w:val="20"/>
              </w:rPr>
              <w:t>PSD</w:t>
            </w:r>
            <w:r w:rsidR="00A7582F" w:rsidRPr="005A5BB7">
              <w:rPr>
                <w:rFonts w:ascii="Arial Narrow" w:hAnsi="Arial Narrow"/>
                <w:sz w:val="20"/>
                <w:szCs w:val="20"/>
              </w:rPr>
              <w:t>, paragraph 7.1</w:t>
            </w:r>
            <w:r w:rsidR="00B833C7" w:rsidRPr="005A5BB7">
              <w:rPr>
                <w:rFonts w:ascii="Arial Narrow" w:hAnsi="Arial Narrow"/>
                <w:sz w:val="20"/>
                <w:szCs w:val="20"/>
              </w:rPr>
              <w:t>4</w:t>
            </w:r>
            <w:r w:rsidR="00A7582F" w:rsidRPr="005A5BB7">
              <w:rPr>
                <w:rFonts w:ascii="Arial Narrow" w:hAnsi="Arial Narrow"/>
                <w:sz w:val="20"/>
                <w:szCs w:val="20"/>
              </w:rPr>
              <w:t>).</w:t>
            </w:r>
          </w:p>
          <w:p w14:paraId="196A8CE3" w14:textId="77777777" w:rsidR="00A7582F" w:rsidRPr="005A5BB7" w:rsidRDefault="00A7582F" w:rsidP="0021308B">
            <w:pPr>
              <w:rPr>
                <w:rFonts w:ascii="Arial Narrow" w:hAnsi="Arial Narrow"/>
                <w:sz w:val="20"/>
                <w:szCs w:val="20"/>
              </w:rPr>
            </w:pPr>
          </w:p>
          <w:p w14:paraId="28B88CC8" w14:textId="5A580DA2" w:rsidR="004C397E" w:rsidRPr="005A5BB7" w:rsidRDefault="004C397E" w:rsidP="00D71274">
            <w:pPr>
              <w:rPr>
                <w:rFonts w:ascii="Arial Narrow" w:hAnsi="Arial Narrow"/>
                <w:sz w:val="20"/>
                <w:szCs w:val="20"/>
              </w:rPr>
            </w:pPr>
            <w:r w:rsidRPr="005A5BB7">
              <w:rPr>
                <w:rFonts w:ascii="Arial Narrow" w:hAnsi="Arial Narrow"/>
                <w:sz w:val="20"/>
                <w:szCs w:val="20"/>
              </w:rPr>
              <w:t>60</w:t>
            </w:r>
            <w:r w:rsidR="000E4816">
              <w:rPr>
                <w:rFonts w:ascii="Arial Narrow" w:hAnsi="Arial Narrow"/>
                <w:sz w:val="20"/>
                <w:szCs w:val="20"/>
              </w:rPr>
              <w:noBreakHyphen/>
            </w:r>
            <w:r w:rsidRPr="005A5BB7">
              <w:rPr>
                <w:rFonts w:ascii="Arial Narrow" w:hAnsi="Arial Narrow"/>
                <w:sz w:val="20"/>
                <w:szCs w:val="20"/>
              </w:rPr>
              <w:t xml:space="preserve">74 YOA at increased risk of severe RSV disease: </w:t>
            </w:r>
            <w:r w:rsidR="005E1A2A" w:rsidRPr="005A5BB7">
              <w:rPr>
                <w:rFonts w:ascii="Arial Narrow" w:hAnsi="Arial Narrow"/>
                <w:sz w:val="20"/>
                <w:szCs w:val="20"/>
              </w:rPr>
              <w:t xml:space="preserve">crude rates from </w:t>
            </w:r>
            <w:r w:rsidRPr="005A5BB7">
              <w:rPr>
                <w:rFonts w:ascii="Arial Narrow" w:hAnsi="Arial Narrow"/>
                <w:sz w:val="20"/>
                <w:szCs w:val="20"/>
              </w:rPr>
              <w:t>AIHW NHMD data from 2018</w:t>
            </w:r>
            <w:r w:rsidR="000E4816">
              <w:rPr>
                <w:rFonts w:ascii="Arial Narrow" w:hAnsi="Arial Narrow"/>
                <w:sz w:val="20"/>
                <w:szCs w:val="20"/>
              </w:rPr>
              <w:noBreakHyphen/>
            </w:r>
            <w:r w:rsidRPr="005A5BB7">
              <w:rPr>
                <w:rFonts w:ascii="Arial Narrow" w:hAnsi="Arial Narrow"/>
                <w:sz w:val="20"/>
                <w:szCs w:val="20"/>
              </w:rPr>
              <w:t>2019</w:t>
            </w:r>
            <w:r w:rsidR="005E1A2A" w:rsidRPr="005A5BB7">
              <w:rPr>
                <w:rFonts w:ascii="Arial Narrow" w:hAnsi="Arial Narrow"/>
                <w:sz w:val="20"/>
                <w:szCs w:val="20"/>
              </w:rPr>
              <w:t xml:space="preserve">, </w:t>
            </w:r>
            <w:r w:rsidR="00D71274" w:rsidRPr="005A5BB7">
              <w:rPr>
                <w:rFonts w:ascii="Arial Narrow" w:hAnsi="Arial Narrow"/>
                <w:sz w:val="20"/>
                <w:szCs w:val="20"/>
              </w:rPr>
              <w:t xml:space="preserve">adjusted by </w:t>
            </w:r>
            <w:r w:rsidR="005E1A2A" w:rsidRPr="005A5BB7">
              <w:rPr>
                <w:rFonts w:ascii="Arial Narrow" w:hAnsi="Arial Narrow"/>
                <w:sz w:val="20"/>
                <w:szCs w:val="20"/>
              </w:rPr>
              <w:t>2.0 multiplier</w:t>
            </w:r>
            <w:r w:rsidR="00D71274" w:rsidRPr="005A5BB7">
              <w:rPr>
                <w:rFonts w:ascii="Arial Narrow" w:hAnsi="Arial Narrow"/>
                <w:sz w:val="20"/>
                <w:szCs w:val="20"/>
              </w:rPr>
              <w:t>,</w:t>
            </w:r>
            <w:r w:rsidR="005E1A2A" w:rsidRPr="005A5BB7">
              <w:rPr>
                <w:rFonts w:ascii="Arial Narrow" w:hAnsi="Arial Narrow"/>
                <w:sz w:val="20"/>
                <w:szCs w:val="20"/>
              </w:rPr>
              <w:t xml:space="preserve"> </w:t>
            </w:r>
            <w:r w:rsidR="00D71274" w:rsidRPr="005A5BB7">
              <w:rPr>
                <w:rFonts w:ascii="Arial Narrow" w:hAnsi="Arial Narrow"/>
                <w:sz w:val="20"/>
                <w:szCs w:val="20"/>
              </w:rPr>
              <w:t>and excess hospitalisation multiplier (EHM).</w:t>
            </w:r>
          </w:p>
          <w:p w14:paraId="7D5BFB00" w14:textId="1E27CC96" w:rsidR="00031E14" w:rsidRPr="005A5BB7" w:rsidRDefault="008636FB" w:rsidP="00031E14">
            <w:pPr>
              <w:rPr>
                <w:iCs/>
              </w:rPr>
            </w:pPr>
            <w:r w:rsidRPr="005A5BB7">
              <w:rPr>
                <w:rFonts w:ascii="Arial Narrow" w:hAnsi="Arial Narrow"/>
                <w:sz w:val="20"/>
                <w:szCs w:val="20"/>
              </w:rPr>
              <w:t>The pre</w:t>
            </w:r>
            <w:r w:rsidR="000E4816">
              <w:rPr>
                <w:rFonts w:ascii="Arial Narrow" w:hAnsi="Arial Narrow"/>
                <w:sz w:val="20"/>
                <w:szCs w:val="20"/>
              </w:rPr>
              <w:noBreakHyphen/>
            </w:r>
            <w:r w:rsidRPr="005A5BB7">
              <w:rPr>
                <w:rFonts w:ascii="Arial Narrow" w:hAnsi="Arial Narrow"/>
                <w:sz w:val="20"/>
                <w:szCs w:val="20"/>
              </w:rPr>
              <w:t xml:space="preserve">PBAC response </w:t>
            </w:r>
            <w:r w:rsidRPr="005A5BB7">
              <w:rPr>
                <w:rFonts w:ascii="Arial Narrow" w:hAnsi="Arial Narrow"/>
                <w:iCs/>
                <w:sz w:val="20"/>
                <w:szCs w:val="20"/>
              </w:rPr>
              <w:t xml:space="preserve">applied </w:t>
            </w:r>
            <w:r w:rsidRPr="005A5BB7">
              <w:rPr>
                <w:rFonts w:ascii="Arial Narrow" w:hAnsi="Arial Narrow"/>
                <w:sz w:val="20"/>
                <w:szCs w:val="20"/>
              </w:rPr>
              <w:t>EHM of 2.29 which was not consistent with ATAGI advice.</w:t>
            </w:r>
          </w:p>
          <w:p w14:paraId="53BC8E53" w14:textId="77777777" w:rsidR="008636FB" w:rsidRPr="005A5BB7" w:rsidRDefault="008636FB" w:rsidP="00031E14">
            <w:pPr>
              <w:rPr>
                <w:iCs/>
              </w:rPr>
            </w:pPr>
          </w:p>
          <w:p w14:paraId="7691386E" w14:textId="24ED9D84" w:rsidR="00031E14" w:rsidRPr="005A5BB7" w:rsidRDefault="00031E14" w:rsidP="00D71274">
            <w:pPr>
              <w:rPr>
                <w:rFonts w:ascii="Arial Narrow" w:hAnsi="Arial Narrow"/>
                <w:sz w:val="20"/>
                <w:szCs w:val="20"/>
              </w:rPr>
            </w:pPr>
            <w:r w:rsidRPr="005A5BB7">
              <w:rPr>
                <w:rFonts w:ascii="Arial Narrow" w:hAnsi="Arial Narrow"/>
                <w:iCs/>
                <w:sz w:val="20"/>
                <w:szCs w:val="20"/>
              </w:rPr>
              <w:t>The PSCR did not agree with the PBAC’s previous advice that using crude hospitalisation rates from 2018</w:t>
            </w:r>
            <w:r w:rsidR="000E4816">
              <w:rPr>
                <w:rFonts w:ascii="Arial Narrow" w:hAnsi="Arial Narrow"/>
                <w:iCs/>
                <w:sz w:val="20"/>
                <w:szCs w:val="20"/>
              </w:rPr>
              <w:noBreakHyphen/>
            </w:r>
            <w:r w:rsidRPr="005A5BB7">
              <w:rPr>
                <w:rFonts w:ascii="Arial Narrow" w:hAnsi="Arial Narrow"/>
                <w:iCs/>
                <w:sz w:val="20"/>
                <w:szCs w:val="20"/>
              </w:rPr>
              <w:t xml:space="preserve">19 AIHW data was inappropriate and overestimated the hospitalisation rate. The PSCR stated that </w:t>
            </w:r>
            <w:r w:rsidR="004B2412" w:rsidRPr="005A5BB7">
              <w:rPr>
                <w:rFonts w:ascii="Arial Narrow" w:hAnsi="Arial Narrow"/>
                <w:iCs/>
                <w:sz w:val="20"/>
                <w:szCs w:val="20"/>
              </w:rPr>
              <w:t>use of the 2018</w:t>
            </w:r>
            <w:r w:rsidR="000E4816">
              <w:rPr>
                <w:rFonts w:ascii="Arial Narrow" w:hAnsi="Arial Narrow"/>
                <w:iCs/>
                <w:sz w:val="20"/>
                <w:szCs w:val="20"/>
              </w:rPr>
              <w:noBreakHyphen/>
            </w:r>
            <w:r w:rsidR="004B2412" w:rsidRPr="005A5BB7">
              <w:rPr>
                <w:rFonts w:ascii="Arial Narrow" w:hAnsi="Arial Narrow"/>
                <w:iCs/>
                <w:sz w:val="20"/>
                <w:szCs w:val="20"/>
              </w:rPr>
              <w:t>19 AIHW data</w:t>
            </w:r>
            <w:r w:rsidR="004B2412" w:rsidRPr="005A5BB7" w:rsidDel="004B2412">
              <w:rPr>
                <w:rFonts w:ascii="Arial Narrow" w:hAnsi="Arial Narrow"/>
                <w:iCs/>
                <w:sz w:val="20"/>
                <w:szCs w:val="20"/>
              </w:rPr>
              <w:t xml:space="preserve"> </w:t>
            </w:r>
            <w:r w:rsidRPr="005A5BB7">
              <w:rPr>
                <w:rFonts w:ascii="Arial Narrow" w:hAnsi="Arial Narrow"/>
                <w:iCs/>
                <w:sz w:val="20"/>
                <w:szCs w:val="20"/>
              </w:rPr>
              <w:t>is justified on the basis that ATAGI selected 2018</w:t>
            </w:r>
            <w:r w:rsidR="000E4816">
              <w:rPr>
                <w:rFonts w:ascii="Arial Narrow" w:hAnsi="Arial Narrow"/>
                <w:iCs/>
                <w:sz w:val="20"/>
                <w:szCs w:val="20"/>
              </w:rPr>
              <w:noBreakHyphen/>
            </w:r>
            <w:r w:rsidRPr="005A5BB7">
              <w:rPr>
                <w:rFonts w:ascii="Arial Narrow" w:hAnsi="Arial Narrow"/>
                <w:iCs/>
                <w:sz w:val="20"/>
                <w:szCs w:val="20"/>
              </w:rPr>
              <w:t>19 data for program assessment due to COVID 19 disruption of RSV epidemiology in later years, and that using lower 2016</w:t>
            </w:r>
            <w:r w:rsidR="000E4816">
              <w:rPr>
                <w:rFonts w:ascii="Arial Narrow" w:hAnsi="Arial Narrow"/>
                <w:iCs/>
                <w:sz w:val="20"/>
                <w:szCs w:val="20"/>
              </w:rPr>
              <w:noBreakHyphen/>
            </w:r>
            <w:r w:rsidRPr="005A5BB7">
              <w:rPr>
                <w:rFonts w:ascii="Arial Narrow" w:hAnsi="Arial Narrow"/>
                <w:iCs/>
                <w:sz w:val="20"/>
                <w:szCs w:val="20"/>
              </w:rPr>
              <w:t>19 rates would underestimate disease burden and bias the cost effectiveness evaluation. The ESC noted the ATAGI</w:t>
            </w:r>
            <w:r w:rsidRPr="005A5BB7">
              <w:rPr>
                <w:rFonts w:ascii="Cambria Math" w:hAnsi="Cambria Math" w:cs="Cambria Math"/>
                <w:iCs/>
                <w:sz w:val="20"/>
                <w:szCs w:val="20"/>
              </w:rPr>
              <w:t>‑</w:t>
            </w:r>
            <w:r w:rsidRPr="005A5BB7">
              <w:rPr>
                <w:rFonts w:ascii="Arial Narrow" w:hAnsi="Arial Narrow"/>
                <w:iCs/>
                <w:sz w:val="20"/>
                <w:szCs w:val="20"/>
              </w:rPr>
              <w:t>advised multiplier (i.e. 2.00) was considered suitable only for use with specific AIHW hospitalisation data from 2016</w:t>
            </w:r>
            <w:r w:rsidR="000E4816">
              <w:rPr>
                <w:rFonts w:ascii="Arial Narrow" w:hAnsi="Arial Narrow"/>
                <w:iCs/>
                <w:sz w:val="20"/>
                <w:szCs w:val="20"/>
              </w:rPr>
              <w:noBreakHyphen/>
            </w:r>
            <w:r w:rsidRPr="005A5BB7">
              <w:rPr>
                <w:rFonts w:ascii="Arial Narrow" w:hAnsi="Arial Narrow"/>
                <w:iCs/>
                <w:sz w:val="20"/>
                <w:szCs w:val="20"/>
              </w:rPr>
              <w:t>2019.</w:t>
            </w:r>
            <w:r w:rsidR="00F5689A" w:rsidRPr="005A5BB7">
              <w:rPr>
                <w:rFonts w:ascii="Arial Narrow" w:hAnsi="Arial Narrow"/>
                <w:iCs/>
                <w:sz w:val="20"/>
                <w:szCs w:val="20"/>
              </w:rPr>
              <w:t xml:space="preserve"> </w:t>
            </w:r>
          </w:p>
          <w:p w14:paraId="2486BA90" w14:textId="77777777" w:rsidR="00031E14" w:rsidRPr="005A5BB7" w:rsidRDefault="00031E14" w:rsidP="00D71274">
            <w:pPr>
              <w:rPr>
                <w:rFonts w:ascii="Arial Narrow" w:hAnsi="Arial Narrow"/>
                <w:sz w:val="20"/>
                <w:szCs w:val="20"/>
              </w:rPr>
            </w:pPr>
          </w:p>
          <w:p w14:paraId="57F92C73" w14:textId="01191885" w:rsidR="008636FB" w:rsidRPr="005A5BB7" w:rsidRDefault="008636FB" w:rsidP="008636FB">
            <w:pPr>
              <w:rPr>
                <w:rFonts w:ascii="Arial Narrow" w:hAnsi="Arial Narrow"/>
                <w:iCs/>
                <w:sz w:val="20"/>
                <w:szCs w:val="20"/>
              </w:rPr>
            </w:pPr>
            <w:r w:rsidRPr="005A5BB7">
              <w:rPr>
                <w:rFonts w:ascii="Arial Narrow" w:hAnsi="Arial Narrow"/>
                <w:sz w:val="20"/>
                <w:szCs w:val="20"/>
              </w:rPr>
              <w:t>The pre</w:t>
            </w:r>
            <w:r w:rsidR="000E4816">
              <w:rPr>
                <w:rFonts w:ascii="Arial Narrow" w:hAnsi="Arial Narrow"/>
                <w:sz w:val="20"/>
                <w:szCs w:val="20"/>
              </w:rPr>
              <w:noBreakHyphen/>
            </w:r>
            <w:r w:rsidRPr="005A5BB7">
              <w:rPr>
                <w:rFonts w:ascii="Arial Narrow" w:hAnsi="Arial Narrow"/>
                <w:sz w:val="20"/>
                <w:szCs w:val="20"/>
              </w:rPr>
              <w:t xml:space="preserve">PBAC response </w:t>
            </w:r>
            <w:r w:rsidRPr="005A5BB7">
              <w:rPr>
                <w:rFonts w:ascii="Arial Narrow" w:hAnsi="Arial Narrow"/>
                <w:iCs/>
                <w:sz w:val="20"/>
                <w:szCs w:val="20"/>
              </w:rPr>
              <w:t xml:space="preserve">applied </w:t>
            </w:r>
            <w:r w:rsidRPr="005A5BB7">
              <w:rPr>
                <w:rFonts w:ascii="Arial Narrow" w:hAnsi="Arial Narrow"/>
                <w:sz w:val="20"/>
                <w:szCs w:val="20"/>
              </w:rPr>
              <w:t>AIHW 2016</w:t>
            </w:r>
            <w:r w:rsidR="000E4816">
              <w:rPr>
                <w:rFonts w:ascii="Arial Narrow" w:hAnsi="Arial Narrow"/>
                <w:sz w:val="20"/>
                <w:szCs w:val="20"/>
              </w:rPr>
              <w:noBreakHyphen/>
            </w:r>
            <w:r w:rsidRPr="005A5BB7">
              <w:rPr>
                <w:rFonts w:ascii="Arial Narrow" w:hAnsi="Arial Narrow"/>
                <w:sz w:val="20"/>
                <w:szCs w:val="20"/>
              </w:rPr>
              <w:t>19 data in its base case consistent with ATAGI advice.</w:t>
            </w:r>
          </w:p>
        </w:tc>
      </w:tr>
      <w:tr w:rsidR="00E80885" w:rsidRPr="005A5BB7" w14:paraId="186C7522" w14:textId="77777777" w:rsidTr="310F0368">
        <w:trPr>
          <w:cantSplit/>
        </w:trPr>
        <w:tc>
          <w:tcPr>
            <w:tcW w:w="1078" w:type="pct"/>
            <w:vAlign w:val="center"/>
          </w:tcPr>
          <w:p w14:paraId="69A01D13" w14:textId="77777777" w:rsidR="004C397E" w:rsidRPr="005A5BB7" w:rsidRDefault="004C397E" w:rsidP="0021308B">
            <w:pPr>
              <w:rPr>
                <w:rFonts w:ascii="Arial Narrow" w:hAnsi="Arial Narrow"/>
                <w:b/>
                <w:bCs/>
                <w:sz w:val="20"/>
                <w:szCs w:val="20"/>
              </w:rPr>
            </w:pPr>
            <w:r w:rsidRPr="005A5BB7">
              <w:rPr>
                <w:rFonts w:ascii="Arial Narrow" w:hAnsi="Arial Narrow"/>
                <w:b/>
                <w:bCs/>
                <w:sz w:val="20"/>
                <w:szCs w:val="20"/>
              </w:rPr>
              <w:t>Annual RSV incidence</w:t>
            </w:r>
          </w:p>
        </w:tc>
        <w:tc>
          <w:tcPr>
            <w:tcW w:w="2079" w:type="pct"/>
            <w:vAlign w:val="center"/>
          </w:tcPr>
          <w:p w14:paraId="3E884722" w14:textId="17076D10" w:rsidR="004C397E" w:rsidRPr="005A5BB7" w:rsidRDefault="004C397E" w:rsidP="0021308B">
            <w:pPr>
              <w:rPr>
                <w:rFonts w:ascii="Arial Narrow" w:hAnsi="Arial Narrow"/>
                <w:sz w:val="20"/>
                <w:szCs w:val="20"/>
              </w:rPr>
            </w:pPr>
            <w:r w:rsidRPr="005A5BB7">
              <w:rPr>
                <w:rFonts w:ascii="Arial Narrow" w:hAnsi="Arial Narrow"/>
                <w:sz w:val="20"/>
                <w:szCs w:val="20"/>
              </w:rPr>
              <w:t>Unadjusted: 2.61/100 person</w:t>
            </w:r>
            <w:r w:rsidR="000E4816">
              <w:rPr>
                <w:rFonts w:ascii="Arial Narrow" w:hAnsi="Arial Narrow"/>
                <w:sz w:val="20"/>
                <w:szCs w:val="20"/>
              </w:rPr>
              <w:noBreakHyphen/>
            </w:r>
            <w:r w:rsidRPr="005A5BB7">
              <w:rPr>
                <w:rFonts w:ascii="Arial Narrow" w:hAnsi="Arial Narrow"/>
                <w:sz w:val="20"/>
                <w:szCs w:val="20"/>
              </w:rPr>
              <w:t>years (Korsten et al. 2021; Narejos Pérez et al. 2023).</w:t>
            </w:r>
          </w:p>
          <w:p w14:paraId="0D1DA60B" w14:textId="12FBD703" w:rsidR="004C397E" w:rsidRPr="005A5BB7" w:rsidRDefault="004C397E" w:rsidP="0021308B">
            <w:pPr>
              <w:rPr>
                <w:rFonts w:ascii="Arial Narrow" w:hAnsi="Arial Narrow"/>
                <w:sz w:val="20"/>
                <w:szCs w:val="20"/>
              </w:rPr>
            </w:pPr>
            <w:r w:rsidRPr="005A5BB7">
              <w:rPr>
                <w:rFonts w:ascii="Arial Narrow" w:hAnsi="Arial Narrow"/>
                <w:sz w:val="20"/>
                <w:szCs w:val="20"/>
              </w:rPr>
              <w:t>Adjusted: 3.95/100 person</w:t>
            </w:r>
            <w:r w:rsidR="000E4816">
              <w:rPr>
                <w:rFonts w:ascii="Arial Narrow" w:hAnsi="Arial Narrow"/>
                <w:sz w:val="20"/>
                <w:szCs w:val="20"/>
              </w:rPr>
              <w:noBreakHyphen/>
            </w:r>
            <w:r w:rsidRPr="005A5BB7">
              <w:rPr>
                <w:rFonts w:ascii="Arial Narrow" w:hAnsi="Arial Narrow"/>
                <w:sz w:val="20"/>
                <w:szCs w:val="20"/>
              </w:rPr>
              <w:t>years (2.61 x 1.5 from Havers et al., 2024a; Mclaughlin et al., 2022; Onwuchekwa et al., 2023)</w:t>
            </w:r>
          </w:p>
        </w:tc>
        <w:tc>
          <w:tcPr>
            <w:tcW w:w="1843" w:type="pct"/>
            <w:vAlign w:val="center"/>
          </w:tcPr>
          <w:p w14:paraId="45779A6F"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7257182F" w14:textId="77777777" w:rsidTr="310F0368">
        <w:trPr>
          <w:cantSplit/>
        </w:trPr>
        <w:tc>
          <w:tcPr>
            <w:tcW w:w="1078" w:type="pct"/>
            <w:vAlign w:val="center"/>
          </w:tcPr>
          <w:p w14:paraId="13D666E8" w14:textId="21A2423D" w:rsidR="004C397E" w:rsidRPr="005A5BB7" w:rsidRDefault="004C397E" w:rsidP="0021308B">
            <w:pPr>
              <w:rPr>
                <w:rFonts w:ascii="Arial Narrow" w:hAnsi="Arial Narrow"/>
                <w:b/>
                <w:bCs/>
                <w:sz w:val="20"/>
                <w:szCs w:val="20"/>
              </w:rPr>
            </w:pPr>
            <w:r w:rsidRPr="005A5BB7">
              <w:rPr>
                <w:rFonts w:ascii="Arial Narrow" w:hAnsi="Arial Narrow"/>
                <w:b/>
                <w:bCs/>
                <w:sz w:val="20"/>
                <w:szCs w:val="20"/>
              </w:rPr>
              <w:t>RSV</w:t>
            </w:r>
            <w:r w:rsidR="000E4816">
              <w:rPr>
                <w:rFonts w:ascii="Arial Narrow" w:hAnsi="Arial Narrow"/>
                <w:b/>
                <w:bCs/>
                <w:sz w:val="20"/>
                <w:szCs w:val="20"/>
              </w:rPr>
              <w:noBreakHyphen/>
            </w:r>
            <w:r w:rsidRPr="005A5BB7">
              <w:rPr>
                <w:rFonts w:ascii="Arial Narrow" w:hAnsi="Arial Narrow"/>
                <w:b/>
                <w:bCs/>
                <w:sz w:val="20"/>
                <w:szCs w:val="20"/>
              </w:rPr>
              <w:t>related deaths</w:t>
            </w:r>
          </w:p>
        </w:tc>
        <w:tc>
          <w:tcPr>
            <w:tcW w:w="2079" w:type="pct"/>
            <w:vAlign w:val="center"/>
          </w:tcPr>
          <w:p w14:paraId="233685AF" w14:textId="21940696" w:rsidR="004C397E" w:rsidRPr="005A5BB7" w:rsidRDefault="004C397E" w:rsidP="0021308B">
            <w:pPr>
              <w:rPr>
                <w:rFonts w:ascii="Arial Narrow" w:hAnsi="Arial Narrow"/>
                <w:sz w:val="20"/>
                <w:szCs w:val="20"/>
              </w:rPr>
            </w:pPr>
            <w:r w:rsidRPr="005A5BB7">
              <w:rPr>
                <w:rFonts w:ascii="Arial Narrow" w:hAnsi="Arial Narrow"/>
                <w:sz w:val="20"/>
                <w:szCs w:val="20"/>
              </w:rPr>
              <w:t>2012</w:t>
            </w:r>
            <w:r w:rsidR="000E4816">
              <w:rPr>
                <w:rFonts w:ascii="Arial Narrow" w:hAnsi="Arial Narrow"/>
                <w:sz w:val="20"/>
                <w:szCs w:val="20"/>
              </w:rPr>
              <w:noBreakHyphen/>
            </w:r>
            <w:r w:rsidRPr="005A5BB7">
              <w:rPr>
                <w:rFonts w:ascii="Arial Narrow" w:hAnsi="Arial Narrow"/>
                <w:sz w:val="20"/>
                <w:szCs w:val="20"/>
              </w:rPr>
              <w:t xml:space="preserve">2019 AIHW NHMD </w:t>
            </w:r>
          </w:p>
          <w:p w14:paraId="7DB35546" w14:textId="52A98419" w:rsidR="004C397E" w:rsidRPr="005A5BB7" w:rsidRDefault="004C397E" w:rsidP="0021308B">
            <w:pPr>
              <w:rPr>
                <w:rFonts w:ascii="Arial Narrow" w:hAnsi="Arial Narrow"/>
                <w:sz w:val="20"/>
                <w:szCs w:val="20"/>
              </w:rPr>
            </w:pPr>
            <w:r w:rsidRPr="005A5BB7">
              <w:rPr>
                <w:rFonts w:ascii="Arial Narrow" w:hAnsi="Arial Narrow"/>
                <w:sz w:val="20"/>
                <w:szCs w:val="20"/>
              </w:rPr>
              <w:t>PSCR: changed to a 4.22% RSV</w:t>
            </w:r>
            <w:r w:rsidR="000E4816">
              <w:rPr>
                <w:rFonts w:ascii="Arial Narrow" w:hAnsi="Arial Narrow"/>
                <w:sz w:val="20"/>
                <w:szCs w:val="20"/>
              </w:rPr>
              <w:noBreakHyphen/>
            </w:r>
            <w:r w:rsidRPr="005A5BB7">
              <w:rPr>
                <w:rFonts w:ascii="Arial Narrow" w:hAnsi="Arial Narrow"/>
                <w:sz w:val="20"/>
                <w:szCs w:val="20"/>
              </w:rPr>
              <w:t>hospital case fatality rate, based on ATAGI advice 2025, consistent with para 7.17, Abrysvo PSD, Nov 2024.</w:t>
            </w:r>
          </w:p>
        </w:tc>
        <w:tc>
          <w:tcPr>
            <w:tcW w:w="1843" w:type="pct"/>
            <w:vAlign w:val="center"/>
          </w:tcPr>
          <w:p w14:paraId="63DB624D" w14:textId="77777777" w:rsidR="004C397E" w:rsidRPr="005A5BB7" w:rsidRDefault="004C397E" w:rsidP="0021308B">
            <w:pPr>
              <w:rPr>
                <w:rFonts w:ascii="Arial Narrow" w:hAnsi="Arial Narrow"/>
                <w:sz w:val="20"/>
                <w:szCs w:val="20"/>
              </w:rPr>
            </w:pPr>
            <w:r w:rsidRPr="005A5BB7">
              <w:rPr>
                <w:rFonts w:ascii="Arial Narrow" w:hAnsi="Arial Narrow"/>
                <w:sz w:val="20"/>
                <w:szCs w:val="20"/>
              </w:rPr>
              <w:t xml:space="preserve">Unchanged. </w:t>
            </w:r>
          </w:p>
        </w:tc>
      </w:tr>
      <w:tr w:rsidR="00E80885" w:rsidRPr="005A5BB7" w14:paraId="152D2B2E" w14:textId="77777777" w:rsidTr="310F0368">
        <w:trPr>
          <w:cantSplit/>
          <w:trHeight w:val="718"/>
        </w:trPr>
        <w:tc>
          <w:tcPr>
            <w:tcW w:w="1078" w:type="pct"/>
            <w:vAlign w:val="center"/>
          </w:tcPr>
          <w:p w14:paraId="1247B8B7" w14:textId="77777777" w:rsidR="002F5084" w:rsidRPr="005A5BB7" w:rsidRDefault="002F5084" w:rsidP="0021308B">
            <w:pPr>
              <w:rPr>
                <w:rFonts w:ascii="Arial Narrow" w:hAnsi="Arial Narrow"/>
                <w:b/>
                <w:bCs/>
                <w:sz w:val="20"/>
                <w:szCs w:val="20"/>
              </w:rPr>
            </w:pPr>
            <w:r w:rsidRPr="005A5BB7">
              <w:rPr>
                <w:rFonts w:ascii="Arial Narrow" w:hAnsi="Arial Narrow"/>
                <w:b/>
                <w:bCs/>
                <w:sz w:val="20"/>
                <w:szCs w:val="20"/>
              </w:rPr>
              <w:t>Background mortality</w:t>
            </w:r>
          </w:p>
        </w:tc>
        <w:tc>
          <w:tcPr>
            <w:tcW w:w="2079" w:type="pct"/>
            <w:vAlign w:val="center"/>
          </w:tcPr>
          <w:p w14:paraId="6485FED9" w14:textId="54FB5F59" w:rsidR="002F5084" w:rsidRPr="005A5BB7" w:rsidRDefault="002F5084" w:rsidP="0021308B">
            <w:pPr>
              <w:rPr>
                <w:rFonts w:ascii="Arial Narrow" w:hAnsi="Arial Narrow"/>
                <w:sz w:val="20"/>
                <w:szCs w:val="20"/>
              </w:rPr>
            </w:pPr>
            <w:r w:rsidRPr="005A5BB7">
              <w:rPr>
                <w:rFonts w:ascii="Arial Narrow" w:hAnsi="Arial Narrow"/>
                <w:sz w:val="20"/>
                <w:szCs w:val="20"/>
              </w:rPr>
              <w:t>Age specific mortality rates based on the general population from the ABS lifetable</w:t>
            </w:r>
          </w:p>
        </w:tc>
        <w:tc>
          <w:tcPr>
            <w:tcW w:w="1843" w:type="pct"/>
            <w:vAlign w:val="center"/>
          </w:tcPr>
          <w:p w14:paraId="382852D1" w14:textId="77777777" w:rsidR="002F5084" w:rsidRPr="005A5BB7" w:rsidRDefault="002F5084" w:rsidP="0021308B">
            <w:pPr>
              <w:rPr>
                <w:rFonts w:ascii="Arial Narrow" w:hAnsi="Arial Narrow"/>
                <w:iCs/>
                <w:sz w:val="20"/>
                <w:szCs w:val="20"/>
              </w:rPr>
            </w:pPr>
            <w:r w:rsidRPr="005A5BB7">
              <w:rPr>
                <w:rFonts w:ascii="Arial Narrow" w:hAnsi="Arial Narrow"/>
                <w:sz w:val="20"/>
                <w:szCs w:val="20"/>
              </w:rPr>
              <w:t>Unchanged</w:t>
            </w:r>
            <w:r w:rsidRPr="005A5BB7">
              <w:rPr>
                <w:rFonts w:ascii="Arial Narrow" w:hAnsi="Arial Narrow"/>
                <w:iCs/>
                <w:sz w:val="20"/>
                <w:szCs w:val="20"/>
              </w:rPr>
              <w:t xml:space="preserve">. </w:t>
            </w:r>
          </w:p>
          <w:p w14:paraId="038EB7C8" w14:textId="6F937412" w:rsidR="008636FB" w:rsidRPr="005A5BB7" w:rsidRDefault="002F5084" w:rsidP="0021308B">
            <w:pPr>
              <w:rPr>
                <w:rFonts w:ascii="Arial Narrow" w:hAnsi="Arial Narrow"/>
                <w:sz w:val="20"/>
                <w:szCs w:val="20"/>
              </w:rPr>
            </w:pPr>
            <w:r w:rsidRPr="005A5BB7">
              <w:rPr>
                <w:rFonts w:ascii="Arial Narrow" w:hAnsi="Arial Narrow"/>
                <w:sz w:val="20"/>
                <w:szCs w:val="20"/>
              </w:rPr>
              <w:t xml:space="preserve">Appropriate for ≥ 75 YOA, </w:t>
            </w:r>
            <w:r w:rsidR="00CB6545" w:rsidRPr="005A5BB7">
              <w:rPr>
                <w:rFonts w:ascii="Arial Narrow" w:hAnsi="Arial Narrow"/>
                <w:sz w:val="20"/>
                <w:szCs w:val="20"/>
              </w:rPr>
              <w:t xml:space="preserve">potentially </w:t>
            </w:r>
            <w:r w:rsidRPr="005A5BB7">
              <w:rPr>
                <w:rFonts w:ascii="Arial Narrow" w:hAnsi="Arial Narrow"/>
                <w:sz w:val="20"/>
                <w:szCs w:val="20"/>
              </w:rPr>
              <w:t>inappropriate for 60</w:t>
            </w:r>
            <w:r w:rsidR="000E4816">
              <w:rPr>
                <w:rFonts w:ascii="Arial Narrow" w:hAnsi="Arial Narrow"/>
                <w:sz w:val="20"/>
                <w:szCs w:val="20"/>
              </w:rPr>
              <w:noBreakHyphen/>
            </w:r>
            <w:r w:rsidRPr="005A5BB7">
              <w:rPr>
                <w:rFonts w:ascii="Arial Narrow" w:hAnsi="Arial Narrow"/>
                <w:sz w:val="20"/>
                <w:szCs w:val="20"/>
              </w:rPr>
              <w:t>74 YOA at increased risk of severe RSV disease population.</w:t>
            </w:r>
          </w:p>
        </w:tc>
      </w:tr>
      <w:tr w:rsidR="00E80885" w:rsidRPr="005A5BB7" w14:paraId="201D68EC" w14:textId="77777777" w:rsidTr="310F0368">
        <w:trPr>
          <w:cantSplit/>
        </w:trPr>
        <w:tc>
          <w:tcPr>
            <w:tcW w:w="1078" w:type="pct"/>
            <w:vAlign w:val="center"/>
          </w:tcPr>
          <w:p w14:paraId="00DE4E0B" w14:textId="77777777" w:rsidR="00017597" w:rsidRPr="005A5BB7" w:rsidRDefault="00017597" w:rsidP="0021308B">
            <w:pPr>
              <w:rPr>
                <w:rFonts w:ascii="Arial Narrow" w:hAnsi="Arial Narrow"/>
                <w:b/>
                <w:bCs/>
                <w:sz w:val="20"/>
                <w:szCs w:val="20"/>
              </w:rPr>
            </w:pPr>
            <w:r w:rsidRPr="005A5BB7">
              <w:rPr>
                <w:rFonts w:ascii="Arial Narrow" w:hAnsi="Arial Narrow"/>
                <w:b/>
                <w:bCs/>
                <w:sz w:val="20"/>
                <w:szCs w:val="20"/>
              </w:rPr>
              <w:t>Adverse events</w:t>
            </w:r>
          </w:p>
        </w:tc>
        <w:tc>
          <w:tcPr>
            <w:tcW w:w="2079" w:type="pct"/>
            <w:vAlign w:val="center"/>
          </w:tcPr>
          <w:p w14:paraId="6B64B6AA" w14:textId="43045EC6" w:rsidR="00017597" w:rsidRPr="005A5BB7" w:rsidRDefault="00017597" w:rsidP="0021308B">
            <w:pPr>
              <w:rPr>
                <w:rFonts w:ascii="Arial Narrow" w:hAnsi="Arial Narrow"/>
                <w:sz w:val="20"/>
                <w:szCs w:val="20"/>
              </w:rPr>
            </w:pPr>
            <w:r w:rsidRPr="005A5BB7">
              <w:rPr>
                <w:rFonts w:ascii="Arial Narrow" w:hAnsi="Arial Narrow"/>
                <w:sz w:val="20"/>
                <w:szCs w:val="20"/>
              </w:rPr>
              <w:t>Grade 3 (severe) AE: 2.27% (Grade 3 AE from AreSVi</w:t>
            </w:r>
            <w:r w:rsidR="000E4816">
              <w:rPr>
                <w:rFonts w:ascii="Arial Narrow" w:hAnsi="Arial Narrow"/>
                <w:sz w:val="20"/>
                <w:szCs w:val="20"/>
              </w:rPr>
              <w:noBreakHyphen/>
            </w:r>
            <w:r w:rsidRPr="005A5BB7">
              <w:rPr>
                <w:rFonts w:ascii="Arial Narrow" w:hAnsi="Arial Narrow"/>
                <w:sz w:val="20"/>
                <w:szCs w:val="20"/>
              </w:rPr>
              <w:t>006 vaccinated arm)</w:t>
            </w:r>
          </w:p>
        </w:tc>
        <w:tc>
          <w:tcPr>
            <w:tcW w:w="1843" w:type="pct"/>
            <w:vAlign w:val="center"/>
          </w:tcPr>
          <w:p w14:paraId="11C07A38" w14:textId="77777777" w:rsidR="00017597" w:rsidRPr="005A5BB7" w:rsidRDefault="00017597" w:rsidP="0021308B">
            <w:pPr>
              <w:rPr>
                <w:rFonts w:ascii="Arial Narrow" w:hAnsi="Arial Narrow"/>
                <w:i/>
                <w:iCs/>
                <w:sz w:val="20"/>
                <w:szCs w:val="20"/>
              </w:rPr>
            </w:pPr>
            <w:r w:rsidRPr="005A5BB7">
              <w:rPr>
                <w:rFonts w:ascii="Arial Narrow" w:hAnsi="Arial Narrow"/>
                <w:sz w:val="20"/>
                <w:szCs w:val="20"/>
              </w:rPr>
              <w:t>Unchanged</w:t>
            </w:r>
            <w:r w:rsidRPr="005A5BB7">
              <w:rPr>
                <w:rFonts w:ascii="Arial Narrow" w:hAnsi="Arial Narrow"/>
                <w:iCs/>
                <w:sz w:val="20"/>
                <w:szCs w:val="20"/>
              </w:rPr>
              <w:t>.</w:t>
            </w:r>
          </w:p>
        </w:tc>
      </w:tr>
      <w:tr w:rsidR="00E80885" w:rsidRPr="005A5BB7" w14:paraId="16458E8F" w14:textId="77777777" w:rsidTr="310F0368">
        <w:trPr>
          <w:cantSplit/>
          <w:trHeight w:val="1287"/>
        </w:trPr>
        <w:tc>
          <w:tcPr>
            <w:tcW w:w="1078" w:type="pct"/>
            <w:vAlign w:val="center"/>
          </w:tcPr>
          <w:p w14:paraId="234EF084" w14:textId="77777777" w:rsidR="00017597" w:rsidRPr="005A5BB7" w:rsidRDefault="00017597" w:rsidP="0021308B">
            <w:pPr>
              <w:rPr>
                <w:rFonts w:ascii="Arial Narrow" w:hAnsi="Arial Narrow"/>
                <w:b/>
                <w:bCs/>
                <w:sz w:val="20"/>
                <w:szCs w:val="20"/>
              </w:rPr>
            </w:pPr>
            <w:r w:rsidRPr="005A5BB7">
              <w:rPr>
                <w:rFonts w:ascii="Arial Narrow" w:hAnsi="Arial Narrow"/>
                <w:b/>
                <w:bCs/>
                <w:sz w:val="20"/>
                <w:szCs w:val="20"/>
              </w:rPr>
              <w:lastRenderedPageBreak/>
              <w:t>HRQoL</w:t>
            </w:r>
          </w:p>
        </w:tc>
        <w:tc>
          <w:tcPr>
            <w:tcW w:w="2079" w:type="pct"/>
          </w:tcPr>
          <w:p w14:paraId="266DB612" w14:textId="43A0FDA8" w:rsidR="00017597" w:rsidRPr="005A5BB7" w:rsidRDefault="00017597" w:rsidP="0021308B">
            <w:pPr>
              <w:rPr>
                <w:rFonts w:ascii="Arial Narrow" w:hAnsi="Arial Narrow"/>
                <w:sz w:val="20"/>
                <w:szCs w:val="20"/>
              </w:rPr>
            </w:pPr>
            <w:r w:rsidRPr="005A5BB7">
              <w:rPr>
                <w:rFonts w:ascii="Arial Narrow" w:hAnsi="Arial Narrow"/>
                <w:sz w:val="20"/>
                <w:szCs w:val="20"/>
              </w:rPr>
              <w:t>Population norms: Redwood et al.</w:t>
            </w:r>
            <w:r w:rsidR="00577FC0" w:rsidRPr="005A5BB7">
              <w:rPr>
                <w:rFonts w:ascii="Arial Narrow" w:hAnsi="Arial Narrow"/>
                <w:sz w:val="20"/>
                <w:szCs w:val="20"/>
              </w:rPr>
              <w:t>,</w:t>
            </w:r>
            <w:r w:rsidRPr="005A5BB7">
              <w:rPr>
                <w:rFonts w:ascii="Arial Narrow" w:hAnsi="Arial Narrow"/>
                <w:sz w:val="20"/>
                <w:szCs w:val="20"/>
              </w:rPr>
              <w:t xml:space="preserve"> 2024 (0.86 for 60</w:t>
            </w:r>
            <w:r w:rsidR="000E4816">
              <w:rPr>
                <w:rFonts w:ascii="Arial Narrow" w:hAnsi="Arial Narrow"/>
                <w:sz w:val="20"/>
                <w:szCs w:val="20"/>
              </w:rPr>
              <w:noBreakHyphen/>
            </w:r>
            <w:r w:rsidRPr="005A5BB7">
              <w:rPr>
                <w:rFonts w:ascii="Arial Narrow" w:hAnsi="Arial Narrow"/>
                <w:sz w:val="20"/>
                <w:szCs w:val="20"/>
              </w:rPr>
              <w:t>64 YOA, 0.88 for 65</w:t>
            </w:r>
            <w:r w:rsidR="000E4816">
              <w:rPr>
                <w:rFonts w:ascii="Arial Narrow" w:hAnsi="Arial Narrow"/>
                <w:sz w:val="20"/>
                <w:szCs w:val="20"/>
              </w:rPr>
              <w:noBreakHyphen/>
            </w:r>
            <w:r w:rsidRPr="005A5BB7">
              <w:rPr>
                <w:rFonts w:ascii="Arial Narrow" w:hAnsi="Arial Narrow"/>
                <w:sz w:val="20"/>
                <w:szCs w:val="20"/>
              </w:rPr>
              <w:t>74 YOA, and 0.86 for ≥75 YOA)</w:t>
            </w:r>
          </w:p>
          <w:p w14:paraId="59EE9A44" w14:textId="77777777" w:rsidR="00017597" w:rsidRPr="005A5BB7" w:rsidRDefault="00017597" w:rsidP="0021308B">
            <w:pPr>
              <w:rPr>
                <w:rFonts w:ascii="Arial Narrow" w:hAnsi="Arial Narrow"/>
                <w:sz w:val="20"/>
                <w:szCs w:val="20"/>
              </w:rPr>
            </w:pPr>
          </w:p>
          <w:p w14:paraId="31A118B7" w14:textId="529F405E" w:rsidR="00017597" w:rsidRPr="005A5BB7" w:rsidRDefault="00017597" w:rsidP="0021308B">
            <w:pPr>
              <w:rPr>
                <w:rFonts w:ascii="Arial Narrow" w:hAnsi="Arial Narrow"/>
                <w:sz w:val="20"/>
                <w:szCs w:val="20"/>
              </w:rPr>
            </w:pPr>
            <w:r w:rsidRPr="005A5BB7">
              <w:rPr>
                <w:rFonts w:ascii="Arial Narrow" w:hAnsi="Arial Narrow"/>
                <w:sz w:val="20"/>
                <w:szCs w:val="20"/>
              </w:rPr>
              <w:t>Vaccine</w:t>
            </w:r>
            <w:r w:rsidR="000E4816">
              <w:rPr>
                <w:rFonts w:ascii="Arial Narrow" w:hAnsi="Arial Narrow"/>
                <w:sz w:val="20"/>
                <w:szCs w:val="20"/>
              </w:rPr>
              <w:noBreakHyphen/>
            </w:r>
            <w:r w:rsidRPr="005A5BB7">
              <w:rPr>
                <w:rFonts w:ascii="Arial Narrow" w:hAnsi="Arial Narrow"/>
                <w:sz w:val="20"/>
                <w:szCs w:val="20"/>
              </w:rPr>
              <w:t>related AE: Schmader et al. 2019 (per Grade 3 AE estimated at 0.000677).</w:t>
            </w:r>
          </w:p>
          <w:p w14:paraId="0C3E018B" w14:textId="5105D362" w:rsidR="00017597" w:rsidRPr="005A5BB7" w:rsidRDefault="00017597" w:rsidP="0021308B">
            <w:pPr>
              <w:rPr>
                <w:rFonts w:ascii="Arial Narrow" w:hAnsi="Arial Narrow"/>
                <w:sz w:val="20"/>
                <w:szCs w:val="20"/>
              </w:rPr>
            </w:pPr>
            <w:r w:rsidRPr="005A5BB7">
              <w:rPr>
                <w:rFonts w:ascii="Arial Narrow" w:hAnsi="Arial Narrow"/>
                <w:sz w:val="20"/>
                <w:szCs w:val="20"/>
              </w:rPr>
              <w:t>RSV</w:t>
            </w:r>
            <w:r w:rsidR="000E4816">
              <w:rPr>
                <w:rFonts w:ascii="Arial Narrow" w:hAnsi="Arial Narrow"/>
                <w:sz w:val="20"/>
                <w:szCs w:val="20"/>
              </w:rPr>
              <w:noBreakHyphen/>
            </w:r>
            <w:r w:rsidRPr="005A5BB7">
              <w:rPr>
                <w:rFonts w:ascii="Arial Narrow" w:hAnsi="Arial Narrow"/>
                <w:sz w:val="20"/>
                <w:szCs w:val="20"/>
              </w:rPr>
              <w:t>LRTD and RSV URTD utility decrements: US TTO study (0.025 for severe RSV</w:t>
            </w:r>
            <w:r w:rsidR="000E4816">
              <w:rPr>
                <w:rFonts w:ascii="Arial Narrow" w:hAnsi="Arial Narrow"/>
                <w:sz w:val="20"/>
                <w:szCs w:val="20"/>
              </w:rPr>
              <w:noBreakHyphen/>
            </w:r>
            <w:r w:rsidRPr="005A5BB7">
              <w:rPr>
                <w:rFonts w:ascii="Arial Narrow" w:hAnsi="Arial Narrow"/>
                <w:sz w:val="20"/>
                <w:szCs w:val="20"/>
              </w:rPr>
              <w:t>LRTD, 0.018 for RSV</w:t>
            </w:r>
            <w:r w:rsidR="000E4816">
              <w:rPr>
                <w:rFonts w:ascii="Arial Narrow" w:hAnsi="Arial Narrow"/>
                <w:sz w:val="20"/>
                <w:szCs w:val="20"/>
              </w:rPr>
              <w:noBreakHyphen/>
            </w:r>
            <w:r w:rsidRPr="005A5BB7">
              <w:rPr>
                <w:rFonts w:ascii="Arial Narrow" w:hAnsi="Arial Narrow"/>
                <w:sz w:val="20"/>
                <w:szCs w:val="20"/>
              </w:rPr>
              <w:t>LRTD, and 0.013 RSV</w:t>
            </w:r>
            <w:r w:rsidR="000E4816">
              <w:rPr>
                <w:rFonts w:ascii="Arial Narrow" w:hAnsi="Arial Narrow"/>
                <w:sz w:val="20"/>
                <w:szCs w:val="20"/>
              </w:rPr>
              <w:noBreakHyphen/>
            </w:r>
            <w:r w:rsidRPr="005A5BB7">
              <w:rPr>
                <w:rFonts w:ascii="Arial Narrow" w:hAnsi="Arial Narrow"/>
                <w:sz w:val="20"/>
                <w:szCs w:val="20"/>
              </w:rPr>
              <w:t>URTD)</w:t>
            </w:r>
          </w:p>
        </w:tc>
        <w:tc>
          <w:tcPr>
            <w:tcW w:w="1843" w:type="pct"/>
          </w:tcPr>
          <w:p w14:paraId="17218BD3" w14:textId="74C71ECB" w:rsidR="00017597" w:rsidRPr="005A5BB7" w:rsidRDefault="00017597" w:rsidP="0021308B">
            <w:pPr>
              <w:rPr>
                <w:rFonts w:ascii="Arial Narrow" w:hAnsi="Arial Narrow"/>
                <w:sz w:val="20"/>
                <w:szCs w:val="20"/>
              </w:rPr>
            </w:pPr>
            <w:r w:rsidRPr="005A5BB7">
              <w:rPr>
                <w:rFonts w:ascii="Arial Narrow" w:hAnsi="Arial Narrow"/>
                <w:sz w:val="20"/>
                <w:szCs w:val="20"/>
              </w:rPr>
              <w:t>Unchanged.</w:t>
            </w:r>
          </w:p>
          <w:p w14:paraId="41CDFBE6" w14:textId="642F954E" w:rsidR="00017597" w:rsidRPr="005A5BB7" w:rsidRDefault="002F5084" w:rsidP="0021308B">
            <w:pPr>
              <w:rPr>
                <w:rFonts w:ascii="Arial Narrow" w:hAnsi="Arial Narrow"/>
                <w:sz w:val="20"/>
                <w:szCs w:val="20"/>
              </w:rPr>
            </w:pPr>
            <w:r w:rsidRPr="005A5BB7">
              <w:rPr>
                <w:rFonts w:ascii="Arial Narrow" w:hAnsi="Arial Narrow"/>
                <w:sz w:val="20"/>
                <w:szCs w:val="20"/>
              </w:rPr>
              <w:t>Appropriate for ≥ 75 YOA, uncertain for 60</w:t>
            </w:r>
            <w:r w:rsidR="000E4816">
              <w:rPr>
                <w:rFonts w:ascii="Arial Narrow" w:hAnsi="Arial Narrow"/>
                <w:sz w:val="20"/>
                <w:szCs w:val="20"/>
              </w:rPr>
              <w:noBreakHyphen/>
            </w:r>
            <w:r w:rsidRPr="005A5BB7">
              <w:rPr>
                <w:rFonts w:ascii="Arial Narrow" w:hAnsi="Arial Narrow"/>
                <w:sz w:val="20"/>
                <w:szCs w:val="20"/>
              </w:rPr>
              <w:t>74 YOA at increased risk of severe RSV disease population.</w:t>
            </w:r>
          </w:p>
        </w:tc>
      </w:tr>
      <w:tr w:rsidR="00E80885" w:rsidRPr="005A5BB7" w14:paraId="57E5897F" w14:textId="77777777" w:rsidTr="310F0368">
        <w:trPr>
          <w:cantSplit/>
        </w:trPr>
        <w:tc>
          <w:tcPr>
            <w:tcW w:w="1078" w:type="pct"/>
            <w:vAlign w:val="center"/>
          </w:tcPr>
          <w:p w14:paraId="057ABBED" w14:textId="77777777" w:rsidR="00017597" w:rsidRPr="005A5BB7" w:rsidRDefault="00017597" w:rsidP="0021308B">
            <w:pPr>
              <w:rPr>
                <w:rFonts w:ascii="Arial Narrow" w:hAnsi="Arial Narrow"/>
                <w:b/>
                <w:bCs/>
                <w:sz w:val="20"/>
                <w:szCs w:val="20"/>
              </w:rPr>
            </w:pPr>
            <w:r w:rsidRPr="005A5BB7">
              <w:rPr>
                <w:rFonts w:ascii="Arial Narrow" w:hAnsi="Arial Narrow"/>
                <w:b/>
                <w:bCs/>
                <w:sz w:val="20"/>
                <w:szCs w:val="20"/>
              </w:rPr>
              <w:t>Hospitalisation costs</w:t>
            </w:r>
          </w:p>
        </w:tc>
        <w:tc>
          <w:tcPr>
            <w:tcW w:w="2079" w:type="pct"/>
            <w:vAlign w:val="center"/>
          </w:tcPr>
          <w:p w14:paraId="50881A82" w14:textId="77777777" w:rsidR="00017597" w:rsidRPr="005A5BB7" w:rsidRDefault="00017597" w:rsidP="0021308B">
            <w:pPr>
              <w:rPr>
                <w:rFonts w:ascii="Arial Narrow" w:hAnsi="Arial Narrow"/>
                <w:sz w:val="20"/>
                <w:szCs w:val="20"/>
              </w:rPr>
            </w:pPr>
            <w:r w:rsidRPr="005A5BB7">
              <w:rPr>
                <w:rFonts w:ascii="Arial Narrow" w:hAnsi="Arial Narrow"/>
                <w:sz w:val="20"/>
                <w:szCs w:val="20"/>
              </w:rPr>
              <w:t>Hitch et al., 2024 ($20,091, Adjusted mean, 2024 values)</w:t>
            </w:r>
          </w:p>
          <w:p w14:paraId="106DDBE6" w14:textId="034831CA" w:rsidR="00017597" w:rsidRPr="005A5BB7" w:rsidRDefault="00017597" w:rsidP="0021308B">
            <w:pPr>
              <w:rPr>
                <w:rFonts w:ascii="Arial Narrow" w:hAnsi="Arial Narrow"/>
                <w:sz w:val="20"/>
                <w:szCs w:val="20"/>
              </w:rPr>
            </w:pPr>
            <w:r w:rsidRPr="005A5BB7">
              <w:rPr>
                <w:rFonts w:ascii="Arial Narrow" w:hAnsi="Arial Narrow"/>
                <w:sz w:val="20"/>
                <w:szCs w:val="20"/>
              </w:rPr>
              <w:t>PSCR: included scenario analyses which tested other hospitalisation costs including Brusco et al 2022 ($16,693) and expert opinion ($15,525 based on AR</w:t>
            </w:r>
            <w:r w:rsidR="000E4816">
              <w:rPr>
                <w:rFonts w:ascii="Arial Narrow" w:hAnsi="Arial Narrow"/>
                <w:sz w:val="20"/>
                <w:szCs w:val="20"/>
              </w:rPr>
              <w:noBreakHyphen/>
            </w:r>
            <w:r w:rsidRPr="005A5BB7">
              <w:rPr>
                <w:rFonts w:ascii="Arial Narrow" w:hAnsi="Arial Narrow"/>
                <w:sz w:val="20"/>
                <w:szCs w:val="20"/>
              </w:rPr>
              <w:t>DRG E62A</w:t>
            </w:r>
            <w:r w:rsidR="000E4816">
              <w:rPr>
                <w:rFonts w:ascii="Arial Narrow" w:hAnsi="Arial Narrow"/>
                <w:sz w:val="20"/>
                <w:szCs w:val="20"/>
              </w:rPr>
              <w:noBreakHyphen/>
            </w:r>
            <w:r w:rsidRPr="005A5BB7">
              <w:rPr>
                <w:rFonts w:ascii="Arial Narrow" w:hAnsi="Arial Narrow"/>
                <w:sz w:val="20"/>
                <w:szCs w:val="20"/>
              </w:rPr>
              <w:t>B, inflated by 50%)</w:t>
            </w:r>
          </w:p>
        </w:tc>
        <w:tc>
          <w:tcPr>
            <w:tcW w:w="1843" w:type="pct"/>
            <w:vAlign w:val="center"/>
          </w:tcPr>
          <w:p w14:paraId="632363D3" w14:textId="7B7754CC" w:rsidR="00017597" w:rsidRPr="005A5BB7" w:rsidRDefault="00017597" w:rsidP="0021308B">
            <w:pPr>
              <w:rPr>
                <w:rFonts w:ascii="Arial Narrow" w:hAnsi="Arial Narrow"/>
                <w:sz w:val="20"/>
                <w:szCs w:val="20"/>
              </w:rPr>
            </w:pPr>
            <w:bookmarkStart w:id="69" w:name="_Hlk219120038"/>
            <w:r w:rsidRPr="005A5BB7">
              <w:rPr>
                <w:rFonts w:ascii="Arial Narrow" w:hAnsi="Arial Narrow"/>
                <w:sz w:val="20"/>
                <w:szCs w:val="20"/>
              </w:rPr>
              <w:t>≥75 YOA: $14,171 ($12,807 discharged alive and $1,364 died during stay)</w:t>
            </w:r>
          </w:p>
          <w:p w14:paraId="5FB97F4D" w14:textId="77777777" w:rsidR="00017597" w:rsidRPr="005A5BB7" w:rsidRDefault="00017597" w:rsidP="0021308B">
            <w:pPr>
              <w:rPr>
                <w:rFonts w:ascii="Arial Narrow" w:hAnsi="Arial Narrow"/>
                <w:sz w:val="20"/>
                <w:szCs w:val="20"/>
              </w:rPr>
            </w:pPr>
          </w:p>
          <w:p w14:paraId="24C7AD28" w14:textId="3C49FA70" w:rsidR="00B833C7" w:rsidRPr="005A5BB7" w:rsidRDefault="00B833C7" w:rsidP="00B833C7">
            <w:pPr>
              <w:rPr>
                <w:rFonts w:ascii="Arial Narrow" w:hAnsi="Arial Narrow"/>
                <w:sz w:val="20"/>
                <w:szCs w:val="20"/>
              </w:rPr>
            </w:pPr>
            <w:r w:rsidRPr="005A5BB7">
              <w:rPr>
                <w:rFonts w:ascii="Arial Narrow" w:hAnsi="Arial Narrow"/>
                <w:sz w:val="20"/>
                <w:szCs w:val="20"/>
              </w:rPr>
              <w:t>In July 2025, the PBAC advised the hospital costs should be reduced from $20,091 to $9,900 and ED costs from $1,565 to $1,457</w:t>
            </w:r>
          </w:p>
          <w:p w14:paraId="7CC521B8" w14:textId="4061EB51" w:rsidR="00B833C7" w:rsidRPr="005A5BB7" w:rsidRDefault="00B833C7" w:rsidP="00B833C7">
            <w:pPr>
              <w:rPr>
                <w:rFonts w:ascii="Arial Narrow" w:hAnsi="Arial Narrow"/>
                <w:sz w:val="20"/>
                <w:szCs w:val="20"/>
              </w:rPr>
            </w:pPr>
            <w:r w:rsidRPr="005A5BB7">
              <w:rPr>
                <w:rFonts w:ascii="Arial Narrow" w:hAnsi="Arial Narrow"/>
                <w:sz w:val="20"/>
                <w:szCs w:val="20"/>
              </w:rPr>
              <w:t xml:space="preserve"> (RSVPreF3 OA July 2025 </w:t>
            </w:r>
            <w:r w:rsidR="0037097B">
              <w:rPr>
                <w:rFonts w:ascii="Arial Narrow" w:hAnsi="Arial Narrow"/>
                <w:sz w:val="20"/>
                <w:szCs w:val="20"/>
              </w:rPr>
              <w:t>PSD</w:t>
            </w:r>
            <w:r w:rsidRPr="005A5BB7">
              <w:rPr>
                <w:rFonts w:ascii="Arial Narrow" w:hAnsi="Arial Narrow"/>
                <w:sz w:val="20"/>
                <w:szCs w:val="20"/>
              </w:rPr>
              <w:t>, paragraph 7.14).</w:t>
            </w:r>
          </w:p>
          <w:p w14:paraId="680BF7C6" w14:textId="77777777" w:rsidR="00B833C7" w:rsidRPr="005A5BB7" w:rsidRDefault="00B833C7" w:rsidP="0021308B">
            <w:pPr>
              <w:rPr>
                <w:rFonts w:ascii="Arial Narrow" w:hAnsi="Arial Narrow"/>
                <w:sz w:val="20"/>
                <w:szCs w:val="20"/>
              </w:rPr>
            </w:pPr>
          </w:p>
          <w:p w14:paraId="28E4823E" w14:textId="134999D2" w:rsidR="00B833C7" w:rsidRPr="005A5BB7" w:rsidRDefault="00B833C7" w:rsidP="0021308B">
            <w:pPr>
              <w:rPr>
                <w:rFonts w:ascii="Arial Narrow" w:hAnsi="Arial Narrow"/>
                <w:sz w:val="20"/>
                <w:szCs w:val="20"/>
              </w:rPr>
            </w:pPr>
            <w:r w:rsidRPr="005A5BB7">
              <w:rPr>
                <w:rFonts w:ascii="Arial Narrow" w:hAnsi="Arial Narrow"/>
                <w:sz w:val="20"/>
                <w:szCs w:val="20"/>
              </w:rPr>
              <w:t xml:space="preserve">In December 2025, the PBAC accepted RSV hospitalisation cost: $10,045 (vs $9,900 in July 2025); and </w:t>
            </w:r>
          </w:p>
          <w:p w14:paraId="3F718611" w14:textId="77777777" w:rsidR="00B833C7" w:rsidRPr="005A5BB7" w:rsidRDefault="00B833C7" w:rsidP="0021308B">
            <w:pPr>
              <w:rPr>
                <w:rFonts w:ascii="Arial Narrow" w:hAnsi="Arial Narrow"/>
                <w:sz w:val="20"/>
                <w:szCs w:val="20"/>
              </w:rPr>
            </w:pPr>
          </w:p>
          <w:p w14:paraId="2C48F38A" w14:textId="46C93960" w:rsidR="00017597" w:rsidRPr="005A5BB7" w:rsidRDefault="00017597" w:rsidP="0021308B">
            <w:pPr>
              <w:rPr>
                <w:rFonts w:ascii="Arial Narrow" w:hAnsi="Arial Narrow"/>
                <w:sz w:val="20"/>
                <w:szCs w:val="20"/>
              </w:rPr>
            </w:pPr>
            <w:r w:rsidRPr="005A5BB7">
              <w:rPr>
                <w:rFonts w:ascii="Arial Narrow" w:hAnsi="Arial Narrow"/>
                <w:sz w:val="20"/>
                <w:szCs w:val="20"/>
              </w:rPr>
              <w:t>60</w:t>
            </w:r>
            <w:r w:rsidR="000E4816">
              <w:rPr>
                <w:rFonts w:ascii="Arial Narrow" w:hAnsi="Arial Narrow"/>
                <w:sz w:val="20"/>
                <w:szCs w:val="20"/>
              </w:rPr>
              <w:noBreakHyphen/>
            </w:r>
            <w:r w:rsidR="00DE468C" w:rsidRPr="005A5BB7">
              <w:rPr>
                <w:rFonts w:ascii="Arial Narrow" w:hAnsi="Arial Narrow"/>
                <w:sz w:val="20"/>
                <w:szCs w:val="20"/>
              </w:rPr>
              <w:t xml:space="preserve">74 </w:t>
            </w:r>
            <w:r w:rsidRPr="005A5BB7">
              <w:rPr>
                <w:rFonts w:ascii="Arial Narrow" w:hAnsi="Arial Narrow"/>
                <w:sz w:val="20"/>
                <w:szCs w:val="20"/>
              </w:rPr>
              <w:t>YOA at increased risk of severe RSV: $13,967 ($12,951 discharged alive and $1,016 died during stay)</w:t>
            </w:r>
            <w:r w:rsidR="008636FB" w:rsidRPr="005A5BB7">
              <w:rPr>
                <w:rFonts w:ascii="Arial Narrow" w:hAnsi="Arial Narrow"/>
                <w:sz w:val="20"/>
                <w:szCs w:val="20"/>
              </w:rPr>
              <w:t xml:space="preserve">. </w:t>
            </w:r>
            <w:r w:rsidRPr="005A5BB7">
              <w:rPr>
                <w:rFonts w:ascii="Arial Narrow" w:hAnsi="Arial Narrow"/>
                <w:sz w:val="20"/>
                <w:szCs w:val="20"/>
              </w:rPr>
              <w:t>Based on E62A for discharged alive, and E62, E40, and E41 for died during stay</w:t>
            </w:r>
            <w:bookmarkEnd w:id="69"/>
          </w:p>
          <w:p w14:paraId="2C22A329" w14:textId="77777777" w:rsidR="008636FB" w:rsidRPr="005A5BB7" w:rsidRDefault="008636FB" w:rsidP="0021308B">
            <w:pPr>
              <w:rPr>
                <w:rFonts w:ascii="Arial Narrow" w:hAnsi="Arial Narrow"/>
                <w:sz w:val="20"/>
                <w:szCs w:val="20"/>
              </w:rPr>
            </w:pPr>
          </w:p>
          <w:p w14:paraId="18A6F3D9" w14:textId="30081155" w:rsidR="008636FB" w:rsidRPr="005A5BB7" w:rsidRDefault="008636FB" w:rsidP="0021308B">
            <w:pPr>
              <w:rPr>
                <w:rFonts w:ascii="Arial Narrow" w:hAnsi="Arial Narrow"/>
                <w:sz w:val="20"/>
                <w:szCs w:val="20"/>
              </w:rPr>
            </w:pPr>
            <w:r w:rsidRPr="005A5BB7">
              <w:rPr>
                <w:rFonts w:ascii="Arial Narrow" w:hAnsi="Arial Narrow"/>
                <w:sz w:val="20"/>
                <w:szCs w:val="20"/>
              </w:rPr>
              <w:t>The pre</w:t>
            </w:r>
            <w:r w:rsidR="000E4816">
              <w:rPr>
                <w:rFonts w:ascii="Arial Narrow" w:hAnsi="Arial Narrow"/>
                <w:sz w:val="20"/>
                <w:szCs w:val="20"/>
              </w:rPr>
              <w:noBreakHyphen/>
            </w:r>
            <w:r w:rsidRPr="005A5BB7">
              <w:rPr>
                <w:rFonts w:ascii="Arial Narrow" w:hAnsi="Arial Narrow"/>
                <w:sz w:val="20"/>
                <w:szCs w:val="20"/>
              </w:rPr>
              <w:t>PBAC response applied higher hospitalisation costs than the value accepted by the PBAC in December 2025, which was not consistent with ESC advice.</w:t>
            </w:r>
          </w:p>
        </w:tc>
      </w:tr>
      <w:tr w:rsidR="00B66F02" w:rsidRPr="005A5BB7" w14:paraId="116AF1ED" w14:textId="77777777" w:rsidTr="310F0368">
        <w:trPr>
          <w:cantSplit/>
        </w:trPr>
        <w:tc>
          <w:tcPr>
            <w:tcW w:w="1078" w:type="pct"/>
            <w:vAlign w:val="center"/>
          </w:tcPr>
          <w:p w14:paraId="1FED68BC" w14:textId="33D4AEF0" w:rsidR="00790079" w:rsidRPr="005A5BB7" w:rsidRDefault="0020610C" w:rsidP="00F97EF1">
            <w:pPr>
              <w:jc w:val="left"/>
              <w:rPr>
                <w:rFonts w:ascii="Arial Narrow" w:hAnsi="Arial Narrow"/>
                <w:b/>
                <w:bCs/>
                <w:sz w:val="20"/>
                <w:szCs w:val="20"/>
              </w:rPr>
            </w:pPr>
            <w:r w:rsidRPr="005A5BB7">
              <w:rPr>
                <w:rFonts w:ascii="Arial Narrow" w:hAnsi="Arial Narrow"/>
                <w:b/>
                <w:bCs/>
                <w:sz w:val="20"/>
                <w:szCs w:val="20"/>
              </w:rPr>
              <w:t>Emergency department cost</w:t>
            </w:r>
          </w:p>
        </w:tc>
        <w:tc>
          <w:tcPr>
            <w:tcW w:w="2079" w:type="pct"/>
            <w:vAlign w:val="center"/>
          </w:tcPr>
          <w:p w14:paraId="71D7A60C" w14:textId="3ABE6782" w:rsidR="00790079" w:rsidRPr="005A5BB7" w:rsidRDefault="00BC1D74" w:rsidP="0021308B">
            <w:pPr>
              <w:rPr>
                <w:rFonts w:ascii="Arial Narrow" w:hAnsi="Arial Narrow"/>
                <w:sz w:val="20"/>
                <w:szCs w:val="20"/>
              </w:rPr>
            </w:pPr>
            <w:r w:rsidRPr="005A5BB7">
              <w:rPr>
                <w:rFonts w:ascii="Arial Narrow" w:hAnsi="Arial Narrow"/>
                <w:sz w:val="20"/>
                <w:szCs w:val="20"/>
              </w:rPr>
              <w:t>$1,457</w:t>
            </w:r>
          </w:p>
        </w:tc>
        <w:tc>
          <w:tcPr>
            <w:tcW w:w="1843" w:type="pct"/>
            <w:vAlign w:val="center"/>
          </w:tcPr>
          <w:p w14:paraId="0D94757D" w14:textId="0D3103FD" w:rsidR="00BC1D74" w:rsidRPr="005A5BB7" w:rsidRDefault="00BC1D74" w:rsidP="0021308B">
            <w:pPr>
              <w:rPr>
                <w:rFonts w:ascii="Arial Narrow" w:hAnsi="Arial Narrow"/>
                <w:sz w:val="20"/>
                <w:szCs w:val="20"/>
              </w:rPr>
            </w:pPr>
            <w:r w:rsidRPr="005A5BB7">
              <w:rPr>
                <w:rFonts w:ascii="Arial Narrow" w:hAnsi="Arial Narrow"/>
                <w:sz w:val="20"/>
                <w:szCs w:val="20"/>
              </w:rPr>
              <w:t xml:space="preserve">$1,478 </w:t>
            </w:r>
          </w:p>
          <w:p w14:paraId="1F0B760C" w14:textId="77777777" w:rsidR="00790079" w:rsidRPr="005A5BB7" w:rsidRDefault="00395981" w:rsidP="0021308B">
            <w:pPr>
              <w:rPr>
                <w:rFonts w:ascii="Arial Narrow" w:hAnsi="Arial Narrow"/>
                <w:sz w:val="20"/>
                <w:szCs w:val="20"/>
              </w:rPr>
            </w:pPr>
            <w:r w:rsidRPr="005A5BB7">
              <w:rPr>
                <w:rFonts w:ascii="Arial Narrow" w:hAnsi="Arial Narrow"/>
                <w:sz w:val="20"/>
                <w:szCs w:val="20"/>
              </w:rPr>
              <w:t xml:space="preserve">In December 2025, the PBAC accepted RSV </w:t>
            </w:r>
            <w:r w:rsidR="00315BB9" w:rsidRPr="005A5BB7">
              <w:rPr>
                <w:rFonts w:ascii="Arial Narrow" w:hAnsi="Arial Narrow"/>
                <w:sz w:val="20"/>
                <w:szCs w:val="20"/>
              </w:rPr>
              <w:t>Emergency Department</w:t>
            </w:r>
            <w:r w:rsidRPr="005A5BB7">
              <w:rPr>
                <w:rFonts w:ascii="Arial Narrow" w:hAnsi="Arial Narrow"/>
                <w:sz w:val="20"/>
                <w:szCs w:val="20"/>
              </w:rPr>
              <w:t xml:space="preserve"> visit cost: $1,478 (vs $1,457 in July 2025).</w:t>
            </w:r>
          </w:p>
          <w:p w14:paraId="611975F0" w14:textId="77777777" w:rsidR="008636FB" w:rsidRPr="005A5BB7" w:rsidRDefault="008636FB" w:rsidP="0021308B">
            <w:pPr>
              <w:rPr>
                <w:rFonts w:ascii="Arial Narrow" w:hAnsi="Arial Narrow"/>
                <w:sz w:val="20"/>
                <w:szCs w:val="20"/>
              </w:rPr>
            </w:pPr>
          </w:p>
          <w:p w14:paraId="790A0B93" w14:textId="1719385C" w:rsidR="008636FB" w:rsidRPr="005A5BB7" w:rsidRDefault="008636FB" w:rsidP="0021308B">
            <w:pPr>
              <w:rPr>
                <w:rFonts w:ascii="Arial Narrow" w:hAnsi="Arial Narrow"/>
                <w:sz w:val="20"/>
                <w:szCs w:val="20"/>
              </w:rPr>
            </w:pPr>
            <w:r w:rsidRPr="005A5BB7">
              <w:rPr>
                <w:rFonts w:ascii="Arial Narrow" w:hAnsi="Arial Narrow"/>
                <w:sz w:val="20"/>
                <w:szCs w:val="20"/>
              </w:rPr>
              <w:t>The pre</w:t>
            </w:r>
            <w:r w:rsidR="000E4816">
              <w:rPr>
                <w:rFonts w:ascii="Arial Narrow" w:hAnsi="Arial Narrow"/>
                <w:sz w:val="20"/>
                <w:szCs w:val="20"/>
              </w:rPr>
              <w:noBreakHyphen/>
            </w:r>
            <w:r w:rsidRPr="005A5BB7">
              <w:rPr>
                <w:rFonts w:ascii="Arial Narrow" w:hAnsi="Arial Narrow"/>
                <w:sz w:val="20"/>
                <w:szCs w:val="20"/>
              </w:rPr>
              <w:t>PBAC response applied higher ED costs than the value accepted by the PBAC in December 2025, which was not consistent with ESC advice.</w:t>
            </w:r>
          </w:p>
        </w:tc>
      </w:tr>
      <w:tr w:rsidR="00E80885" w:rsidRPr="005A5BB7" w14:paraId="5356606B" w14:textId="77777777" w:rsidTr="310F0368">
        <w:trPr>
          <w:cantSplit/>
        </w:trPr>
        <w:tc>
          <w:tcPr>
            <w:tcW w:w="1078" w:type="pct"/>
            <w:vAlign w:val="center"/>
          </w:tcPr>
          <w:p w14:paraId="1BD8B9C9" w14:textId="77777777" w:rsidR="00017597" w:rsidRPr="005A5BB7" w:rsidRDefault="00017597" w:rsidP="0021308B">
            <w:pPr>
              <w:rPr>
                <w:rFonts w:ascii="Arial Narrow" w:hAnsi="Arial Narrow"/>
                <w:b/>
                <w:bCs/>
                <w:sz w:val="20"/>
                <w:szCs w:val="20"/>
              </w:rPr>
            </w:pPr>
            <w:r w:rsidRPr="005A5BB7">
              <w:rPr>
                <w:rFonts w:ascii="Arial Narrow" w:hAnsi="Arial Narrow"/>
                <w:b/>
                <w:bCs/>
                <w:sz w:val="20"/>
                <w:szCs w:val="20"/>
              </w:rPr>
              <w:t>Administration cost</w:t>
            </w:r>
          </w:p>
        </w:tc>
        <w:tc>
          <w:tcPr>
            <w:tcW w:w="2079" w:type="pct"/>
            <w:vAlign w:val="center"/>
          </w:tcPr>
          <w:p w14:paraId="645C1608" w14:textId="6B07F0FA" w:rsidR="00017597" w:rsidRPr="005A5BB7" w:rsidRDefault="00017597" w:rsidP="0021308B">
            <w:pPr>
              <w:rPr>
                <w:rFonts w:ascii="Arial Narrow" w:hAnsi="Arial Narrow"/>
                <w:sz w:val="20"/>
                <w:szCs w:val="20"/>
              </w:rPr>
            </w:pPr>
            <w:r w:rsidRPr="005A5BB7">
              <w:rPr>
                <w:rFonts w:ascii="Arial Narrow" w:hAnsi="Arial Narrow"/>
                <w:sz w:val="20"/>
                <w:szCs w:val="20"/>
              </w:rPr>
              <w:t>$9.8</w:t>
            </w:r>
            <w:r w:rsidR="006C7955" w:rsidRPr="005A5BB7">
              <w:rPr>
                <w:rFonts w:ascii="Arial Narrow" w:hAnsi="Arial Narrow"/>
                <w:sz w:val="20"/>
                <w:szCs w:val="20"/>
              </w:rPr>
              <w:t>0</w:t>
            </w:r>
            <w:r w:rsidRPr="005A5BB7">
              <w:rPr>
                <w:rFonts w:ascii="Arial Narrow" w:hAnsi="Arial Narrow"/>
                <w:sz w:val="20"/>
                <w:szCs w:val="20"/>
              </w:rPr>
              <w:t xml:space="preserve"> per administration (MBS Item 3, 50% co</w:t>
            </w:r>
            <w:r w:rsidR="000E4816">
              <w:rPr>
                <w:rFonts w:ascii="Arial Narrow" w:hAnsi="Arial Narrow"/>
                <w:sz w:val="20"/>
                <w:szCs w:val="20"/>
              </w:rPr>
              <w:noBreakHyphen/>
            </w:r>
            <w:r w:rsidRPr="005A5BB7">
              <w:rPr>
                <w:rFonts w:ascii="Arial Narrow" w:hAnsi="Arial Narrow"/>
                <w:sz w:val="20"/>
                <w:szCs w:val="20"/>
              </w:rPr>
              <w:t>vaccination assumption)</w:t>
            </w:r>
          </w:p>
          <w:p w14:paraId="3BC60BB8" w14:textId="77777777" w:rsidR="00017597" w:rsidRPr="005A5BB7" w:rsidRDefault="00017597" w:rsidP="0021308B">
            <w:pPr>
              <w:rPr>
                <w:rFonts w:ascii="Arial Narrow" w:hAnsi="Arial Narrow"/>
                <w:sz w:val="20"/>
                <w:szCs w:val="20"/>
              </w:rPr>
            </w:pPr>
            <w:r w:rsidRPr="005A5BB7">
              <w:rPr>
                <w:rFonts w:ascii="Arial Narrow" w:hAnsi="Arial Narrow"/>
                <w:sz w:val="20"/>
                <w:szCs w:val="20"/>
              </w:rPr>
              <w:t>PSCR: $7.00 consistent with Abrysvo PSD, Nov 2024 (based on marginal administration i.e. 36% of MBS Item 3 which has a fee of $19.60)</w:t>
            </w:r>
          </w:p>
        </w:tc>
        <w:tc>
          <w:tcPr>
            <w:tcW w:w="1843" w:type="pct"/>
            <w:vAlign w:val="center"/>
          </w:tcPr>
          <w:p w14:paraId="37BC7161" w14:textId="77777777" w:rsidR="00017597" w:rsidRPr="005A5BB7" w:rsidRDefault="00017597" w:rsidP="0021308B">
            <w:pPr>
              <w:rPr>
                <w:rFonts w:ascii="Arial Narrow" w:hAnsi="Arial Narrow"/>
                <w:sz w:val="20"/>
                <w:szCs w:val="20"/>
              </w:rPr>
            </w:pPr>
            <w:r w:rsidRPr="005A5BB7">
              <w:rPr>
                <w:rFonts w:ascii="Arial Narrow" w:hAnsi="Arial Narrow"/>
                <w:sz w:val="20"/>
                <w:szCs w:val="20"/>
              </w:rPr>
              <w:t>Unchanged its July 2025 PSCR ($7.00)</w:t>
            </w:r>
          </w:p>
        </w:tc>
      </w:tr>
    </w:tbl>
    <w:p w14:paraId="33BDBBF8" w14:textId="564F61A6" w:rsidR="004C397E" w:rsidRPr="005A5BB7" w:rsidRDefault="004C397E" w:rsidP="004C397E">
      <w:pPr>
        <w:pStyle w:val="TableFigureHeading"/>
        <w:jc w:val="both"/>
        <w:rPr>
          <w:rStyle w:val="CommentReference"/>
          <w:bCs w:val="0"/>
          <w:sz w:val="18"/>
          <w:szCs w:val="18"/>
        </w:rPr>
      </w:pPr>
      <w:r w:rsidRPr="005A5BB7">
        <w:rPr>
          <w:rStyle w:val="CommentReference"/>
          <w:bCs w:val="0"/>
          <w:sz w:val="18"/>
          <w:szCs w:val="18"/>
        </w:rPr>
        <w:t>Source: Table 3</w:t>
      </w:r>
      <w:r w:rsidR="000E4816">
        <w:rPr>
          <w:rStyle w:val="CommentReference"/>
          <w:bCs w:val="0"/>
          <w:sz w:val="18"/>
          <w:szCs w:val="18"/>
        </w:rPr>
        <w:noBreakHyphen/>
      </w:r>
      <w:r w:rsidRPr="005A5BB7">
        <w:rPr>
          <w:rStyle w:val="CommentReference"/>
          <w:bCs w:val="0"/>
          <w:sz w:val="18"/>
          <w:szCs w:val="18"/>
        </w:rPr>
        <w:t>4, p115</w:t>
      </w:r>
      <w:r w:rsidR="000E4816">
        <w:rPr>
          <w:rStyle w:val="CommentReference"/>
          <w:bCs w:val="0"/>
          <w:sz w:val="18"/>
          <w:szCs w:val="18"/>
        </w:rPr>
        <w:noBreakHyphen/>
      </w:r>
      <w:r w:rsidRPr="005A5BB7">
        <w:rPr>
          <w:rStyle w:val="CommentReference"/>
          <w:bCs w:val="0"/>
          <w:sz w:val="18"/>
          <w:szCs w:val="18"/>
        </w:rPr>
        <w:t>116 of the March 2026 resubmission. Table 13, RSVPreF3 OA PSD, July 2026 resubmission. 6.80, RSVPreF3 OA PSD, PBAC meeting July 2025</w:t>
      </w:r>
    </w:p>
    <w:p w14:paraId="10E0DD6E" w14:textId="7E31AF31" w:rsidR="004C397E" w:rsidRPr="005A5BB7" w:rsidRDefault="004C397E" w:rsidP="004C397E">
      <w:pPr>
        <w:pStyle w:val="TableFigureHeading"/>
        <w:jc w:val="both"/>
        <w:rPr>
          <w:rStyle w:val="CommentReference"/>
          <w:bCs w:val="0"/>
          <w:sz w:val="18"/>
          <w:szCs w:val="18"/>
        </w:rPr>
      </w:pPr>
      <w:r w:rsidRPr="005A5BB7">
        <w:rPr>
          <w:rStyle w:val="CommentReference"/>
          <w:bCs w:val="0"/>
          <w:sz w:val="18"/>
          <w:szCs w:val="18"/>
        </w:rPr>
        <w:t xml:space="preserve">ABS = Australian Bureau of Statistics, AIH = </w:t>
      </w:r>
      <w:r w:rsidRPr="005A5BB7">
        <w:rPr>
          <w:b w:val="0"/>
          <w:bCs w:val="0"/>
          <w:sz w:val="18"/>
          <w:szCs w:val="18"/>
        </w:rPr>
        <w:t xml:space="preserve">Australian Immunisation Handbook; </w:t>
      </w:r>
      <w:r w:rsidRPr="005A5BB7">
        <w:rPr>
          <w:rStyle w:val="CommentReference"/>
          <w:bCs w:val="0"/>
          <w:sz w:val="18"/>
          <w:szCs w:val="18"/>
        </w:rPr>
        <w:t xml:space="preserve">AIHW = Australian Institute of Health and Welfare; ARI = acute respiratory infection; ATAGI = Australian Technical Advisory Group on Immunisation; EHM = excess hospitalisation multiplier; LRTD = lower respiratory tract disease; LYs = life years; NHMD = National Hospital Morbidity Database; PBAC = Pharmaceutical Benefits Advisory </w:t>
      </w:r>
      <w:r w:rsidRPr="005A5BB7">
        <w:rPr>
          <w:rStyle w:val="CommentReference"/>
          <w:bCs w:val="0"/>
          <w:sz w:val="18"/>
          <w:szCs w:val="18"/>
        </w:rPr>
        <w:lastRenderedPageBreak/>
        <w:t>Committee; PSD = public summary document; QALYs = quality</w:t>
      </w:r>
      <w:r w:rsidR="000E4816">
        <w:rPr>
          <w:rStyle w:val="CommentReference"/>
          <w:bCs w:val="0"/>
          <w:sz w:val="18"/>
          <w:szCs w:val="18"/>
        </w:rPr>
        <w:noBreakHyphen/>
      </w:r>
      <w:r w:rsidRPr="005A5BB7">
        <w:rPr>
          <w:rStyle w:val="CommentReference"/>
          <w:bCs w:val="0"/>
          <w:sz w:val="18"/>
          <w:szCs w:val="18"/>
        </w:rPr>
        <w:t>adjusted life years; OA = older adults; PSCR = Pre</w:t>
      </w:r>
      <w:r w:rsidR="000E4816">
        <w:rPr>
          <w:rStyle w:val="CommentReference"/>
          <w:bCs w:val="0"/>
          <w:sz w:val="18"/>
          <w:szCs w:val="18"/>
        </w:rPr>
        <w:noBreakHyphen/>
      </w:r>
      <w:r w:rsidRPr="005A5BB7">
        <w:rPr>
          <w:rStyle w:val="CommentReference"/>
          <w:bCs w:val="0"/>
          <w:sz w:val="18"/>
          <w:szCs w:val="18"/>
        </w:rPr>
        <w:t>subcommittee response; RSV = respiratory syncytial virus; URTD = upper respiratory tract disease, YOA = years of age.</w:t>
      </w:r>
    </w:p>
    <w:p w14:paraId="4D10DAA5" w14:textId="3C0A28D7" w:rsidR="0047443D" w:rsidRPr="005A5BB7" w:rsidRDefault="0047443D" w:rsidP="0090073B">
      <w:pPr>
        <w:pStyle w:val="3-BodyText"/>
        <w:rPr>
          <w:szCs w:val="24"/>
        </w:rPr>
      </w:pPr>
      <w:r w:rsidRPr="005A5BB7">
        <w:t xml:space="preserve">The resubmission stated that no specific VE data is available for the </w:t>
      </w:r>
      <w:r w:rsidR="00ED5647" w:rsidRPr="005A5BB7">
        <w:t xml:space="preserve">population </w:t>
      </w:r>
      <w:r w:rsidRPr="005A5BB7">
        <w:t>at increased risk of severe RSV disease</w:t>
      </w:r>
      <w:r w:rsidR="00AF68A6" w:rsidRPr="005A5BB7">
        <w:t>.</w:t>
      </w:r>
      <w:r w:rsidRPr="005A5BB7">
        <w:t xml:space="preserve"> </w:t>
      </w:r>
      <w:r w:rsidR="00CB4E72" w:rsidRPr="005A5BB7">
        <w:rPr>
          <w:rFonts w:eastAsia="Calibri"/>
          <w:color w:val="000000"/>
        </w:rPr>
        <w:t xml:space="preserve">The </w:t>
      </w:r>
      <w:r w:rsidR="00B13BD9" w:rsidRPr="005A5BB7">
        <w:rPr>
          <w:rFonts w:eastAsia="Calibri"/>
          <w:color w:val="000000"/>
        </w:rPr>
        <w:t xml:space="preserve">evaluation stated that </w:t>
      </w:r>
      <w:r w:rsidR="00CB4E72" w:rsidRPr="005A5BB7">
        <w:rPr>
          <w:rFonts w:eastAsia="Calibri"/>
          <w:color w:val="000000"/>
        </w:rPr>
        <w:t xml:space="preserve">VE </w:t>
      </w:r>
      <w:r w:rsidR="004E49BF" w:rsidRPr="005A5BB7">
        <w:rPr>
          <w:rFonts w:eastAsia="Calibri"/>
          <w:color w:val="000000"/>
        </w:rPr>
        <w:t>is uncertain</w:t>
      </w:r>
      <w:r w:rsidR="00CB4E72" w:rsidRPr="005A5BB7">
        <w:rPr>
          <w:rFonts w:eastAsia="Calibri"/>
          <w:color w:val="000000"/>
        </w:rPr>
        <w:t xml:space="preserve"> for the population with comorbidities</w:t>
      </w:r>
      <w:r w:rsidR="00CB4E72" w:rsidRPr="005A5BB7">
        <w:t>.</w:t>
      </w:r>
      <w:r w:rsidR="00DA1339">
        <w:t xml:space="preserve"> </w:t>
      </w:r>
      <w:r w:rsidRPr="005A5BB7">
        <w:t xml:space="preserve">In the previous PBAC consideration of </w:t>
      </w:r>
      <w:r w:rsidR="00B45CF9" w:rsidRPr="005A5BB7">
        <w:t>RSVpreF</w:t>
      </w:r>
      <w:r w:rsidR="007814C8" w:rsidRPr="005A5BB7">
        <w:t xml:space="preserve"> (Abrysvo)</w:t>
      </w:r>
      <w:r w:rsidRPr="005A5BB7">
        <w:t>, ATAGI noted that people with a slightly lower mean age who are considered medically at</w:t>
      </w:r>
      <w:r w:rsidR="000E4816">
        <w:noBreakHyphen/>
      </w:r>
      <w:r w:rsidRPr="005A5BB7">
        <w:t xml:space="preserve">risk may have lower immune responses and thus a lower VE following an RSV vaccination. However, ATAGI further considered that, in the absence of detailed evidence, it was </w:t>
      </w:r>
      <w:r w:rsidR="0071307C" w:rsidRPr="005A5BB7">
        <w:t xml:space="preserve">reasonable </w:t>
      </w:r>
      <w:r w:rsidRPr="005A5BB7">
        <w:t xml:space="preserve">to use the VE values from the evaluable efficacy population of the </w:t>
      </w:r>
      <w:r w:rsidR="007814C8" w:rsidRPr="005A5BB7">
        <w:t>pivotal of RSVpreF trial (</w:t>
      </w:r>
      <w:r w:rsidRPr="005A5BB7">
        <w:t>RENOIR</w:t>
      </w:r>
      <w:r w:rsidR="007814C8" w:rsidRPr="005A5BB7">
        <w:t>)</w:t>
      </w:r>
      <w:r w:rsidRPr="005A5BB7">
        <w:t xml:space="preserve"> as the base case for at risk population. ATAGI also stated that sensitivity analyses using CIs would provide a potential range of impact for the vaccine in each population (paragraph 6.45, </w:t>
      </w:r>
      <w:r w:rsidR="00B45CF9" w:rsidRPr="005A5BB7">
        <w:t xml:space="preserve">RSVpreF </w:t>
      </w:r>
      <w:r w:rsidRPr="005A5BB7">
        <w:t>PSD, November 2024).</w:t>
      </w:r>
    </w:p>
    <w:p w14:paraId="089E78DD" w14:textId="02B586BC" w:rsidR="00A44910" w:rsidRPr="005A5BB7" w:rsidRDefault="004C397E" w:rsidP="0090073B">
      <w:pPr>
        <w:pStyle w:val="3-BodyText"/>
      </w:pPr>
      <w:r>
        <w:t xml:space="preserve">The March 2026 resubmission </w:t>
      </w:r>
      <w:r w:rsidR="004215FC">
        <w:t xml:space="preserve">maintained </w:t>
      </w:r>
      <w:r>
        <w:t>the assumption of a 5</w:t>
      </w:r>
      <w:r>
        <w:noBreakHyphen/>
        <w:t>year VE duration, based on a linear model over the first 4 years and convergence to 0% at year 5, as proposed in the pre</w:t>
      </w:r>
      <w:r>
        <w:noBreakHyphen/>
        <w:t xml:space="preserve">PBAC response </w:t>
      </w:r>
      <w:r w:rsidR="000C708F">
        <w:t xml:space="preserve">for </w:t>
      </w:r>
      <w:r>
        <w:t xml:space="preserve">the July 2025 resubmission. </w:t>
      </w:r>
      <w:r w:rsidR="004215FC">
        <w:t>In July 2025</w:t>
      </w:r>
      <w:r>
        <w:t xml:space="preserve">, this assumption was based on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t xml:space="preserve">. </w:t>
      </w:r>
      <w:r w:rsidR="00AF68A6">
        <w:t>T</w:t>
      </w:r>
      <w:r>
        <w:t>he PBAC advised that VE should be limited to 3 years in the model, consistent with available clinical data for RSVPreF3 OA (based on AReSVi</w:t>
      </w:r>
      <w:r>
        <w:noBreakHyphen/>
        <w:t>006 results for 3 seasons) (para</w:t>
      </w:r>
      <w:r w:rsidR="00954C5F">
        <w:t>graph</w:t>
      </w:r>
      <w:r>
        <w:t xml:space="preserve"> 6.80, RSVPreF3 OA PSD, July 2025 PBAC meeting).</w:t>
      </w:r>
      <w:r w:rsidR="00EC7E88">
        <w:t xml:space="preserve"> </w:t>
      </w:r>
      <w:r w:rsidR="00A44910">
        <w:t>The PSCR did not agree with the 3</w:t>
      </w:r>
      <w:r>
        <w:noBreakHyphen/>
      </w:r>
      <w:r w:rsidR="00A44910">
        <w:t xml:space="preserve">year VE duration </w:t>
      </w:r>
      <w:r w:rsidR="000F7A46">
        <w:t xml:space="preserve">previously </w:t>
      </w:r>
      <w:r w:rsidR="00A44910">
        <w:t>advised by the PBAC</w:t>
      </w:r>
      <w:r w:rsidR="00EC7E88">
        <w:t xml:space="preserve"> and maintained </w:t>
      </w:r>
      <w:r w:rsidR="00A44910">
        <w:t xml:space="preserve">that a 5 year VE duration </w:t>
      </w:r>
      <w:r w:rsidR="00EC7E88">
        <w:t xml:space="preserve">was </w:t>
      </w:r>
      <w:r w:rsidR="00A44910">
        <w:t>appropriate.</w:t>
      </w:r>
      <w:r w:rsidR="00DA1339">
        <w:t xml:space="preserve"> </w:t>
      </w:r>
      <w:r w:rsidR="00AF68A6">
        <w:t>The pre</w:t>
      </w:r>
      <w:r>
        <w:noBreakHyphen/>
      </w:r>
      <w:r w:rsidR="00AF68A6">
        <w:t>PBAC response applied 4</w:t>
      </w:r>
      <w:r>
        <w:noBreakHyphen/>
      </w:r>
      <w:r w:rsidR="00AF68A6">
        <w:t>year VE duration in its base case.</w:t>
      </w:r>
    </w:p>
    <w:p w14:paraId="742E06E7" w14:textId="7221DD44" w:rsidR="004C397E" w:rsidRPr="00A773BF" w:rsidRDefault="007814C8" w:rsidP="004C397E">
      <w:pPr>
        <w:pStyle w:val="3-BodyText"/>
      </w:pPr>
      <w:r w:rsidRPr="00A773BF">
        <w:t xml:space="preserve">The sponsor sought additional advice from ATAGI </w:t>
      </w:r>
      <w:r w:rsidR="004215FC" w:rsidRPr="00A773BF">
        <w:t xml:space="preserve">on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4C397E" w:rsidRPr="00A773BF">
        <w:t xml:space="preserve"> (ATAGI Response, 29 October 2025).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r w:rsidR="00E75DE1" w:rsidRPr="00E75DE1">
        <w:t xml:space="preserve"> </w:t>
      </w:r>
      <w:r w:rsidR="00F15B97" w:rsidRPr="00F15B97">
        <w:rPr>
          <w:sz w:val="2"/>
          <w:highlight w:val="black"/>
        </w:rPr>
        <w:t>redacted content</w:t>
      </w:r>
    </w:p>
    <w:p w14:paraId="24CBC813" w14:textId="6CAB8606" w:rsidR="004C397E" w:rsidRPr="00A773BF" w:rsidRDefault="00F15B97" w:rsidP="00E113F2">
      <w:pPr>
        <w:pStyle w:val="ListParagraph"/>
        <w:numPr>
          <w:ilvl w:val="0"/>
          <w:numId w:val="9"/>
        </w:numPr>
        <w:jc w:val="both"/>
      </w:pP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E75DE1" w:rsidRPr="00E75DE1">
        <w:t xml:space="preserve"> </w:t>
      </w:r>
      <w:r w:rsidRPr="00F15B97">
        <w:rPr>
          <w:sz w:val="2"/>
          <w:highlight w:val="black"/>
        </w:rPr>
        <w:t>redacted content</w:t>
      </w:r>
      <w:r w:rsidR="004C397E" w:rsidRPr="00A773BF">
        <w:t xml:space="preserve"> However, ATAGI noted that there remains uncertainty of clinical protection beyond 3 years due to a lack of efficacy data or validated immunological correlate of protection. </w:t>
      </w:r>
    </w:p>
    <w:p w14:paraId="38C759FE" w14:textId="73DF81CB" w:rsidR="004C397E" w:rsidRPr="005A5BB7" w:rsidRDefault="00DF3584" w:rsidP="00E113F2">
      <w:pPr>
        <w:pStyle w:val="ListParagraph"/>
        <w:numPr>
          <w:ilvl w:val="0"/>
          <w:numId w:val="9"/>
        </w:numPr>
        <w:jc w:val="both"/>
      </w:pPr>
      <w:r w:rsidRPr="005A5BB7">
        <w:t>The</w:t>
      </w:r>
      <w:r w:rsidR="004C397E" w:rsidRPr="005A5BB7">
        <w:t xml:space="preserve"> uncertainty in VE </w:t>
      </w:r>
      <w:r w:rsidR="00D75C46" w:rsidRPr="005A5BB7">
        <w:t>at</w:t>
      </w:r>
      <w:r w:rsidR="004C397E" w:rsidRPr="005A5BB7">
        <w:t xml:space="preserve"> later time point</w:t>
      </w:r>
      <w:r w:rsidR="00D75C46" w:rsidRPr="005A5BB7">
        <w:t>s,</w:t>
      </w:r>
      <w:r w:rsidR="004C397E" w:rsidRPr="005A5BB7">
        <w:t xml:space="preserve"> exemplified in modelling of protective efficacy using a linear logarithmic model, which shows the lower confidence interval for protection falling below 20% soon after 3 years. </w:t>
      </w:r>
    </w:p>
    <w:p w14:paraId="52D43DFD" w14:textId="4AA22ABB" w:rsidR="004C397E" w:rsidRPr="005A5BB7" w:rsidRDefault="00841B97" w:rsidP="310F0368">
      <w:pPr>
        <w:pStyle w:val="ListParagraph"/>
        <w:jc w:val="both"/>
      </w:pPr>
      <w:r>
        <w:t xml:space="preserve">Data </w:t>
      </w:r>
      <w:r w:rsidR="004C397E">
        <w:t>on the more clinically important targeted populations of adults aged ≥75 YOA are likely to have even greater uncertainty/imprecision, due to smaller included numbers in clinical trials. ATAGI also referred to its previous consideration that for season</w:t>
      </w:r>
      <w:r>
        <w:noBreakHyphen/>
      </w:r>
      <w:r w:rsidR="004C397E">
        <w:t>specific VE in season 3, the lower bound of the 95% CI does not exceed 20% for RSV</w:t>
      </w:r>
      <w:r>
        <w:noBreakHyphen/>
      </w:r>
      <w:r w:rsidR="004C397E">
        <w:t>LRTD (47.2%; 95% CI: 7.1, 71.6), highlighting that significant uncertainty exists around any statements on clinical protection beyond 3 years.</w:t>
      </w:r>
    </w:p>
    <w:p w14:paraId="335AEF26" w14:textId="23CECAA9" w:rsidR="004C397E" w:rsidRPr="005A5BB7" w:rsidRDefault="004C397E" w:rsidP="008B199A">
      <w:pPr>
        <w:pStyle w:val="3-BodyText"/>
      </w:pPr>
      <w:r w:rsidRPr="005A5BB7">
        <w:t>ATAGI’s recommendations remain</w:t>
      </w:r>
      <w:r w:rsidR="00C33E54" w:rsidRPr="005A5BB7">
        <w:t>ed</w:t>
      </w:r>
      <w:r w:rsidRPr="005A5BB7">
        <w:t xml:space="preserve"> unchanged that protection for at least 3 seasons in adults aged ≥60 YOA (based on secondary endpoints) can be assumed, noting that it awaits confirmatory efficacy or effectiveness data to be available before being </w:t>
      </w:r>
      <w:r w:rsidRPr="005A5BB7">
        <w:lastRenderedPageBreak/>
        <w:t xml:space="preserve">confident that protection beyond 3 years for the base case can be assumed (ATAGI Response, 29 October 2025). </w:t>
      </w:r>
    </w:p>
    <w:p w14:paraId="42954F49" w14:textId="77777777" w:rsidR="004C397E" w:rsidRPr="005A5BB7" w:rsidRDefault="004C397E" w:rsidP="004C397E">
      <w:pPr>
        <w:pStyle w:val="3-BodyText"/>
        <w:numPr>
          <w:ilvl w:val="0"/>
          <w:numId w:val="0"/>
        </w:numPr>
        <w:ind w:left="720" w:hanging="720"/>
        <w:rPr>
          <w:b/>
          <w:bCs/>
        </w:rPr>
      </w:pPr>
      <w:r w:rsidRPr="005A5BB7">
        <w:rPr>
          <w:b/>
          <w:bCs/>
        </w:rPr>
        <w:t>Adults ≥75 YOA</w:t>
      </w:r>
    </w:p>
    <w:p w14:paraId="6BB3E1D6" w14:textId="0C89AC5A" w:rsidR="004C397E" w:rsidRPr="005A5BB7" w:rsidRDefault="004C397E" w:rsidP="004C397E">
      <w:pPr>
        <w:pStyle w:val="3-BodyText"/>
      </w:pPr>
      <w:r w:rsidRPr="005A5BB7">
        <w:t>A sum</w:t>
      </w:r>
      <w:r w:rsidRPr="005A5BB7">
        <w:rPr>
          <w:rFonts w:ascii="Calibri" w:hAnsi="Calibri" w:cs="Calibri"/>
        </w:rPr>
        <w:t>mary of hospitalisation rate</w:t>
      </w:r>
      <w:r w:rsidR="005A31DA" w:rsidRPr="005A5BB7">
        <w:rPr>
          <w:rFonts w:ascii="Calibri" w:hAnsi="Calibri" w:cs="Calibri"/>
        </w:rPr>
        <w:t>s</w:t>
      </w:r>
      <w:r w:rsidRPr="005A5BB7">
        <w:rPr>
          <w:rFonts w:ascii="Calibri" w:hAnsi="Calibri" w:cs="Calibri"/>
        </w:rPr>
        <w:t xml:space="preserve"> for the ≥75 YOA population is presented in </w:t>
      </w:r>
      <w:r w:rsidRPr="005A5BB7">
        <w:rPr>
          <w:rFonts w:ascii="Calibri" w:hAnsi="Calibri" w:cs="Calibri"/>
        </w:rPr>
        <w:fldChar w:fldCharType="begin"/>
      </w:r>
      <w:r w:rsidRPr="005A5BB7">
        <w:rPr>
          <w:rFonts w:ascii="Calibri" w:hAnsi="Calibri" w:cs="Calibri"/>
        </w:rPr>
        <w:instrText xml:space="preserve"> REF _Ref216285835 \h  \* MERGEFORMAT </w:instrText>
      </w:r>
      <w:r w:rsidRPr="005A5BB7">
        <w:rPr>
          <w:rFonts w:ascii="Calibri" w:hAnsi="Calibri" w:cs="Calibri"/>
        </w:rPr>
      </w:r>
      <w:r w:rsidRPr="005A5BB7">
        <w:rPr>
          <w:rFonts w:ascii="Calibri" w:hAnsi="Calibri" w:cs="Calibri"/>
        </w:rPr>
        <w:fldChar w:fldCharType="separate"/>
      </w:r>
      <w:r w:rsidR="0043658C" w:rsidRPr="0043658C">
        <w:rPr>
          <w:rFonts w:ascii="Calibri" w:hAnsi="Calibri" w:cs="Calibri"/>
        </w:rPr>
        <w:t xml:space="preserve">Table </w:t>
      </w:r>
      <w:r w:rsidR="0043658C" w:rsidRPr="0043658C">
        <w:rPr>
          <w:rFonts w:ascii="Calibri" w:hAnsi="Calibri" w:cs="Calibri"/>
          <w:szCs w:val="24"/>
        </w:rPr>
        <w:t>14</w:t>
      </w:r>
      <w:r w:rsidRPr="005A5BB7">
        <w:rPr>
          <w:rFonts w:ascii="Calibri" w:hAnsi="Calibri" w:cs="Calibri"/>
          <w:szCs w:val="24"/>
        </w:rPr>
        <w:fldChar w:fldCharType="end"/>
      </w:r>
      <w:r w:rsidRPr="005A5BB7">
        <w:rPr>
          <w:rFonts w:ascii="Calibri" w:hAnsi="Calibri" w:cs="Calibri"/>
        </w:rPr>
        <w:t>.</w:t>
      </w:r>
      <w:r w:rsidR="00DA1339">
        <w:rPr>
          <w:rFonts w:ascii="Calibri" w:hAnsi="Calibri" w:cs="Calibri"/>
        </w:rPr>
        <w:t xml:space="preserve"> </w:t>
      </w:r>
      <w:r w:rsidR="00B66F02" w:rsidRPr="005A5BB7">
        <w:rPr>
          <w:rFonts w:ascii="Calibri" w:hAnsi="Calibri" w:cs="Calibri"/>
        </w:rPr>
        <w:t>The resubmission proposed a weighted hospitalisation rate that is higher than the value accepted by the PBAC in December 2025 for the ≥75 YOA population.</w:t>
      </w:r>
    </w:p>
    <w:p w14:paraId="6EEBC341" w14:textId="342766F2" w:rsidR="004C397E" w:rsidRPr="005A5BB7" w:rsidRDefault="004C397E" w:rsidP="004C397E">
      <w:pPr>
        <w:rPr>
          <w:rFonts w:ascii="Arial Narrow" w:hAnsi="Arial Narrow" w:cs="Times New Roman"/>
          <w:b/>
          <w:bCs/>
          <w:sz w:val="20"/>
          <w:szCs w:val="20"/>
        </w:rPr>
      </w:pPr>
      <w:bookmarkStart w:id="70" w:name="_Ref216285835"/>
      <w:r w:rsidRPr="005A5BB7">
        <w:rPr>
          <w:rFonts w:ascii="Arial Narrow" w:hAnsi="Arial Narrow" w:cs="Times New Roman"/>
          <w:b/>
          <w:bCs/>
          <w:sz w:val="20"/>
          <w:szCs w:val="20"/>
        </w:rPr>
        <w:t xml:space="preserve">Table </w:t>
      </w:r>
      <w:r w:rsidRPr="005A5BB7">
        <w:rPr>
          <w:rFonts w:ascii="Arial Narrow" w:hAnsi="Arial Narrow" w:cs="Times New Roman"/>
          <w:b/>
          <w:bCs/>
          <w:sz w:val="20"/>
          <w:szCs w:val="20"/>
        </w:rPr>
        <w:fldChar w:fldCharType="begin"/>
      </w:r>
      <w:r w:rsidRPr="005A5BB7">
        <w:rPr>
          <w:rFonts w:ascii="Arial Narrow" w:hAnsi="Arial Narrow" w:cs="Times New Roman"/>
          <w:b/>
          <w:bCs/>
          <w:sz w:val="20"/>
          <w:szCs w:val="20"/>
        </w:rPr>
        <w:instrText xml:space="preserve"> SEQ Table \* ARABIC </w:instrText>
      </w:r>
      <w:r w:rsidRPr="005A5BB7">
        <w:rPr>
          <w:rFonts w:ascii="Arial Narrow" w:hAnsi="Arial Narrow" w:cs="Times New Roman"/>
          <w:b/>
          <w:bCs/>
          <w:sz w:val="20"/>
          <w:szCs w:val="20"/>
        </w:rPr>
        <w:fldChar w:fldCharType="separate"/>
      </w:r>
      <w:r w:rsidR="0043658C">
        <w:rPr>
          <w:rFonts w:ascii="Arial Narrow" w:hAnsi="Arial Narrow" w:cs="Times New Roman"/>
          <w:b/>
          <w:bCs/>
          <w:noProof/>
          <w:sz w:val="20"/>
          <w:szCs w:val="20"/>
        </w:rPr>
        <w:t>14</w:t>
      </w:r>
      <w:r w:rsidRPr="005A5BB7">
        <w:rPr>
          <w:rFonts w:ascii="Arial Narrow" w:hAnsi="Arial Narrow" w:cs="Times New Roman"/>
          <w:b/>
          <w:bCs/>
          <w:sz w:val="20"/>
          <w:szCs w:val="20"/>
        </w:rPr>
        <w:fldChar w:fldCharType="end"/>
      </w:r>
      <w:bookmarkEnd w:id="70"/>
      <w:r w:rsidRPr="005A5BB7">
        <w:rPr>
          <w:rFonts w:ascii="Arial Narrow" w:hAnsi="Arial Narrow" w:cs="Times New Roman"/>
          <w:b/>
          <w:bCs/>
          <w:sz w:val="20"/>
          <w:szCs w:val="20"/>
        </w:rPr>
        <w:t>: RSV hospitalisation rates for the ≥75 YOA population (per 100,000 person</w:t>
      </w:r>
      <w:r w:rsidR="000E4816">
        <w:rPr>
          <w:rFonts w:ascii="Arial Narrow" w:hAnsi="Arial Narrow" w:cs="Times New Roman"/>
          <w:b/>
          <w:bCs/>
          <w:sz w:val="20"/>
          <w:szCs w:val="20"/>
        </w:rPr>
        <w:noBreakHyphen/>
      </w:r>
      <w:r w:rsidRPr="005A5BB7">
        <w:rPr>
          <w:rFonts w:ascii="Arial Narrow" w:hAnsi="Arial Narrow" w:cs="Times New Roman"/>
          <w:b/>
          <w:bCs/>
          <w:sz w:val="20"/>
          <w:szCs w:val="20"/>
        </w:rPr>
        <w:t xml:space="preserve">year) </w:t>
      </w:r>
    </w:p>
    <w:tbl>
      <w:tblPr>
        <w:tblStyle w:val="ASDTable2"/>
        <w:tblW w:w="5000" w:type="pct"/>
        <w:tblInd w:w="0" w:type="dxa"/>
        <w:tblLook w:val="04A0" w:firstRow="1" w:lastRow="0" w:firstColumn="1" w:lastColumn="0" w:noHBand="0" w:noVBand="1"/>
        <w:tblCaption w:val="Table 14: RSV hospitalisation rates for the ≥75 YOA population (per 100,000 person year) "/>
      </w:tblPr>
      <w:tblGrid>
        <w:gridCol w:w="2596"/>
        <w:gridCol w:w="1857"/>
        <w:gridCol w:w="1939"/>
        <w:gridCol w:w="1174"/>
        <w:gridCol w:w="1451"/>
      </w:tblGrid>
      <w:tr w:rsidR="00905D2F" w:rsidRPr="005A5BB7" w14:paraId="1FA7B3FE" w14:textId="77777777" w:rsidTr="00B66F02">
        <w:trPr>
          <w:trHeight w:val="270"/>
        </w:trPr>
        <w:tc>
          <w:tcPr>
            <w:tcW w:w="1441" w:type="pct"/>
            <w:vMerge w:val="restart"/>
            <w:noWrap/>
            <w:vAlign w:val="center"/>
          </w:tcPr>
          <w:p w14:paraId="65AE7FD5" w14:textId="77777777" w:rsidR="00A23E55" w:rsidRPr="005A5BB7" w:rsidRDefault="00A23E55" w:rsidP="005B71B5">
            <w:pP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Base case</w:t>
            </w:r>
          </w:p>
        </w:tc>
        <w:tc>
          <w:tcPr>
            <w:tcW w:w="1635" w:type="pct"/>
            <w:gridSpan w:val="2"/>
            <w:shd w:val="clear" w:color="auto" w:fill="C6D9F1" w:themeFill="text2" w:themeFillTint="33"/>
            <w:vAlign w:val="center"/>
          </w:tcPr>
          <w:p w14:paraId="60CC136F" w14:textId="5ACE8AF8" w:rsidR="00F3622D" w:rsidRPr="005A5BB7" w:rsidRDefault="00F3622D" w:rsidP="005B71B5">
            <w:pPr>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 xml:space="preserve">July 2025 </w:t>
            </w:r>
            <w:r w:rsidR="002F5FFC" w:rsidRPr="005A5BB7">
              <w:rPr>
                <w:rFonts w:ascii="Arial Narrow" w:eastAsia="Yu Gothic Light" w:hAnsi="Arial Narrow" w:cs="Times New Roman"/>
                <w:b/>
                <w:sz w:val="20"/>
                <w:szCs w:val="20"/>
                <w:lang w:bidi="en-US"/>
              </w:rPr>
              <w:t>PBAC meeting</w:t>
            </w:r>
          </w:p>
          <w:p w14:paraId="0FB3C076" w14:textId="4EFC61BC" w:rsidR="00A23E55" w:rsidRPr="005A5BB7" w:rsidRDefault="00A23E55" w:rsidP="005B71B5">
            <w:pPr>
              <w:jc w:val="center"/>
              <w:rPr>
                <w:rFonts w:ascii="Arial Narrow" w:eastAsia="Yu Gothic Light" w:hAnsi="Arial Narrow" w:cs="Times New Roman"/>
                <w:b/>
                <w:sz w:val="20"/>
                <w:szCs w:val="20"/>
                <w:lang w:bidi="en-US"/>
              </w:rPr>
            </w:pPr>
          </w:p>
        </w:tc>
        <w:tc>
          <w:tcPr>
            <w:tcW w:w="963" w:type="pct"/>
            <w:vMerge w:val="restart"/>
            <w:shd w:val="clear" w:color="auto" w:fill="C6D9F1" w:themeFill="text2" w:themeFillTint="33"/>
          </w:tcPr>
          <w:p w14:paraId="50283F0E" w14:textId="21624FD7" w:rsidR="00A23E55" w:rsidRPr="005A5BB7" w:rsidRDefault="00A23E55" w:rsidP="005B71B5">
            <w:pPr>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December 2025 PBAC advice</w:t>
            </w:r>
            <w:r w:rsidR="002B5931" w:rsidRPr="005A5BB7">
              <w:rPr>
                <w:rFonts w:ascii="Arial Narrow" w:eastAsia="Yu Gothic Light" w:hAnsi="Arial Narrow" w:cs="Times New Roman"/>
                <w:b/>
                <w:sz w:val="20"/>
                <w:szCs w:val="20"/>
                <w:lang w:bidi="en-US"/>
              </w:rPr>
              <w:t xml:space="preserve"> (unchanged from July 2025 advice)</w:t>
            </w:r>
          </w:p>
        </w:tc>
        <w:tc>
          <w:tcPr>
            <w:tcW w:w="961" w:type="pct"/>
            <w:vMerge w:val="restart"/>
            <w:vAlign w:val="center"/>
          </w:tcPr>
          <w:p w14:paraId="7DEB1CF2" w14:textId="7D3E0A90" w:rsidR="00A23E55" w:rsidRPr="005A5BB7" w:rsidRDefault="00A23E55" w:rsidP="005B71B5">
            <w:pPr>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March 2026 resubmission</w:t>
            </w:r>
          </w:p>
          <w:p w14:paraId="3FC264F4" w14:textId="77777777" w:rsidR="00A23E55" w:rsidRPr="005A5BB7" w:rsidRDefault="00A23E55" w:rsidP="005B71B5">
            <w:pPr>
              <w:jc w:val="center"/>
              <w:rPr>
                <w:rFonts w:ascii="Arial Narrow" w:eastAsia="Yu Gothic Light" w:hAnsi="Arial Narrow" w:cs="Times New Roman"/>
                <w:b/>
                <w:sz w:val="20"/>
                <w:szCs w:val="20"/>
                <w:vertAlign w:val="superscript"/>
                <w:lang w:bidi="en-US"/>
              </w:rPr>
            </w:pPr>
            <w:r w:rsidRPr="005A5BB7">
              <w:rPr>
                <w:rFonts w:ascii="Arial Narrow" w:eastAsia="Yu Gothic Light" w:hAnsi="Arial Narrow" w:cs="Times New Roman"/>
                <w:b/>
                <w:sz w:val="20"/>
                <w:szCs w:val="20"/>
                <w:lang w:bidi="en-US"/>
              </w:rPr>
              <w:t xml:space="preserve">(base case) </w:t>
            </w:r>
            <w:r w:rsidRPr="005A5BB7">
              <w:rPr>
                <w:rFonts w:ascii="Arial Narrow" w:eastAsia="Yu Gothic Light" w:hAnsi="Arial Narrow" w:cs="Times New Roman"/>
                <w:b/>
                <w:sz w:val="20"/>
                <w:szCs w:val="20"/>
                <w:vertAlign w:val="superscript"/>
                <w:lang w:bidi="en-US"/>
              </w:rPr>
              <w:t>a</w:t>
            </w:r>
          </w:p>
        </w:tc>
      </w:tr>
      <w:tr w:rsidR="003754EF" w:rsidRPr="005A5BB7" w14:paraId="6127C850" w14:textId="77777777" w:rsidTr="00B66F02">
        <w:trPr>
          <w:trHeight w:val="870"/>
        </w:trPr>
        <w:tc>
          <w:tcPr>
            <w:tcW w:w="1441" w:type="pct"/>
            <w:vMerge/>
            <w:noWrap/>
            <w:vAlign w:val="center"/>
          </w:tcPr>
          <w:p w14:paraId="313F553A" w14:textId="77777777" w:rsidR="00F3622D" w:rsidRPr="005A5BB7" w:rsidRDefault="00F3622D" w:rsidP="005B71B5">
            <w:pPr>
              <w:rPr>
                <w:rFonts w:ascii="Arial Narrow" w:eastAsia="Yu Gothic Light" w:hAnsi="Arial Narrow" w:cs="Times New Roman"/>
                <w:b/>
                <w:sz w:val="20"/>
                <w:szCs w:val="20"/>
                <w:lang w:bidi="en-US"/>
              </w:rPr>
            </w:pPr>
          </w:p>
        </w:tc>
        <w:tc>
          <w:tcPr>
            <w:tcW w:w="786" w:type="pct"/>
            <w:shd w:val="clear" w:color="auto" w:fill="C6D9F1" w:themeFill="text2" w:themeFillTint="33"/>
            <w:vAlign w:val="center"/>
          </w:tcPr>
          <w:p w14:paraId="65B54D56" w14:textId="28F66613" w:rsidR="00F3622D" w:rsidRPr="005A5BB7" w:rsidRDefault="00133CD7" w:rsidP="005B71B5">
            <w:pPr>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R</w:t>
            </w:r>
            <w:r w:rsidR="00F3622D" w:rsidRPr="005A5BB7">
              <w:rPr>
                <w:rFonts w:ascii="Arial Narrow" w:eastAsia="Yu Gothic Light" w:hAnsi="Arial Narrow" w:cs="Times New Roman"/>
                <w:b/>
                <w:sz w:val="20"/>
                <w:szCs w:val="20"/>
                <w:lang w:bidi="en-US"/>
              </w:rPr>
              <w:t>esubmission</w:t>
            </w:r>
            <w:r w:rsidRPr="005A5BB7">
              <w:rPr>
                <w:rFonts w:ascii="Arial Narrow" w:eastAsia="Yu Gothic Light" w:hAnsi="Arial Narrow" w:cs="Times New Roman"/>
                <w:b/>
                <w:sz w:val="20"/>
                <w:szCs w:val="20"/>
                <w:lang w:bidi="en-US"/>
              </w:rPr>
              <w:t xml:space="preserve"> </w:t>
            </w:r>
            <w:r w:rsidR="000E4816">
              <w:rPr>
                <w:rFonts w:ascii="Arial Narrow" w:eastAsia="Yu Gothic Light" w:hAnsi="Arial Narrow" w:cs="Times New Roman"/>
                <w:b/>
                <w:sz w:val="20"/>
                <w:szCs w:val="20"/>
                <w:lang w:bidi="en-US"/>
              </w:rPr>
              <w:noBreakHyphen/>
            </w:r>
            <w:r w:rsidR="009D50F7">
              <w:rPr>
                <w:rFonts w:ascii="Arial Narrow" w:eastAsia="Yu Gothic Light" w:hAnsi="Arial Narrow" w:cs="Times New Roman"/>
                <w:b/>
                <w:sz w:val="20"/>
                <w:szCs w:val="20"/>
                <w:lang w:bidi="en-US"/>
              </w:rPr>
              <w:t xml:space="preserve"> </w:t>
            </w:r>
            <w:r w:rsidR="00F3622D" w:rsidRPr="005A5BB7">
              <w:rPr>
                <w:rFonts w:ascii="Arial Narrow" w:eastAsia="Yu Gothic Light" w:hAnsi="Arial Narrow" w:cs="Times New Roman"/>
                <w:b/>
                <w:sz w:val="20"/>
                <w:szCs w:val="20"/>
                <w:lang w:bidi="en-US"/>
              </w:rPr>
              <w:t>base case</w:t>
            </w:r>
          </w:p>
        </w:tc>
        <w:tc>
          <w:tcPr>
            <w:tcW w:w="849" w:type="pct"/>
            <w:shd w:val="clear" w:color="auto" w:fill="C6D9F1" w:themeFill="text2" w:themeFillTint="33"/>
            <w:vAlign w:val="center"/>
          </w:tcPr>
          <w:p w14:paraId="7764D014" w14:textId="3FCA5B17" w:rsidR="00F3622D" w:rsidRPr="005A5BB7" w:rsidRDefault="0049680F" w:rsidP="005B71B5">
            <w:pPr>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R</w:t>
            </w:r>
            <w:r w:rsidR="00F3622D" w:rsidRPr="005A5BB7">
              <w:rPr>
                <w:rFonts w:ascii="Arial Narrow" w:eastAsia="Yu Gothic Light" w:hAnsi="Arial Narrow" w:cs="Times New Roman"/>
                <w:b/>
                <w:sz w:val="20"/>
                <w:szCs w:val="20"/>
                <w:lang w:bidi="en-US"/>
              </w:rPr>
              <w:t xml:space="preserve">esubmission </w:t>
            </w:r>
            <w:r w:rsidR="000E4816">
              <w:rPr>
                <w:rFonts w:ascii="Arial Narrow" w:eastAsia="Yu Gothic Light" w:hAnsi="Arial Narrow" w:cs="Times New Roman"/>
                <w:b/>
                <w:sz w:val="20"/>
                <w:szCs w:val="20"/>
                <w:lang w:bidi="en-US"/>
              </w:rPr>
              <w:noBreakHyphen/>
            </w:r>
            <w:r w:rsidR="00F3622D" w:rsidRPr="005A5BB7">
              <w:rPr>
                <w:rFonts w:ascii="Arial Narrow" w:eastAsia="Yu Gothic Light" w:hAnsi="Arial Narrow" w:cs="Times New Roman"/>
                <w:b/>
                <w:sz w:val="20"/>
                <w:szCs w:val="20"/>
                <w:lang w:bidi="en-US"/>
              </w:rPr>
              <w:t xml:space="preserve"> PSCR revised base case</w:t>
            </w:r>
          </w:p>
        </w:tc>
        <w:tc>
          <w:tcPr>
            <w:tcW w:w="963" w:type="pct"/>
            <w:vMerge/>
            <w:shd w:val="clear" w:color="auto" w:fill="C6D9F1" w:themeFill="text2" w:themeFillTint="33"/>
          </w:tcPr>
          <w:p w14:paraId="718F886C" w14:textId="77777777" w:rsidR="00F3622D" w:rsidRPr="005A5BB7" w:rsidRDefault="00F3622D" w:rsidP="005B71B5">
            <w:pPr>
              <w:jc w:val="center"/>
              <w:rPr>
                <w:rFonts w:ascii="Arial Narrow" w:eastAsia="Yu Gothic Light" w:hAnsi="Arial Narrow" w:cs="Times New Roman"/>
                <w:b/>
                <w:sz w:val="20"/>
                <w:szCs w:val="20"/>
                <w:lang w:bidi="en-US"/>
              </w:rPr>
            </w:pPr>
          </w:p>
        </w:tc>
        <w:tc>
          <w:tcPr>
            <w:tcW w:w="961" w:type="pct"/>
            <w:vMerge/>
            <w:vAlign w:val="center"/>
          </w:tcPr>
          <w:p w14:paraId="2A718C80" w14:textId="77777777" w:rsidR="00F3622D" w:rsidRPr="005A5BB7" w:rsidRDefault="00F3622D" w:rsidP="005B71B5">
            <w:pPr>
              <w:jc w:val="center"/>
              <w:rPr>
                <w:rFonts w:ascii="Arial Narrow" w:eastAsia="Yu Gothic Light" w:hAnsi="Arial Narrow" w:cs="Times New Roman"/>
                <w:b/>
                <w:sz w:val="20"/>
                <w:szCs w:val="20"/>
                <w:lang w:bidi="en-US"/>
              </w:rPr>
            </w:pPr>
          </w:p>
        </w:tc>
      </w:tr>
      <w:tr w:rsidR="003754EF" w:rsidRPr="005A5BB7" w14:paraId="647D73DD" w14:textId="77777777" w:rsidTr="00B66F02">
        <w:trPr>
          <w:trHeight w:val="20"/>
        </w:trPr>
        <w:tc>
          <w:tcPr>
            <w:tcW w:w="1441" w:type="pct"/>
            <w:noWrap/>
          </w:tcPr>
          <w:p w14:paraId="7FB0D875" w14:textId="77777777" w:rsidR="00A23E55" w:rsidRPr="005A5BB7" w:rsidRDefault="00A23E55" w:rsidP="005B71B5">
            <w:pP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AIHW NHMD (crude rate)</w:t>
            </w:r>
          </w:p>
        </w:tc>
        <w:tc>
          <w:tcPr>
            <w:tcW w:w="786" w:type="pct"/>
            <w:shd w:val="clear" w:color="auto" w:fill="C6D9F1" w:themeFill="text2" w:themeFillTint="33"/>
          </w:tcPr>
          <w:p w14:paraId="3E6D01C1" w14:textId="3913B8F6"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2016</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2019</w:t>
            </w:r>
          </w:p>
        </w:tc>
        <w:tc>
          <w:tcPr>
            <w:tcW w:w="849" w:type="pct"/>
            <w:shd w:val="clear" w:color="auto" w:fill="C6D9F1" w:themeFill="text2" w:themeFillTint="33"/>
          </w:tcPr>
          <w:p w14:paraId="76E92FB0" w14:textId="02D5CA9F"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2018</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2019</w:t>
            </w:r>
          </w:p>
        </w:tc>
        <w:tc>
          <w:tcPr>
            <w:tcW w:w="963" w:type="pct"/>
            <w:shd w:val="clear" w:color="auto" w:fill="C6D9F1" w:themeFill="text2" w:themeFillTint="33"/>
          </w:tcPr>
          <w:p w14:paraId="288424BC" w14:textId="2A654F32" w:rsidR="00A23E55" w:rsidRPr="005A5BB7" w:rsidRDefault="00F34AAB"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2016</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2019</w:t>
            </w:r>
          </w:p>
        </w:tc>
        <w:tc>
          <w:tcPr>
            <w:tcW w:w="961" w:type="pct"/>
          </w:tcPr>
          <w:p w14:paraId="6AD76653" w14:textId="7BE91C56"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2018</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2019</w:t>
            </w:r>
          </w:p>
        </w:tc>
      </w:tr>
      <w:tr w:rsidR="003754EF" w:rsidRPr="005A5BB7" w14:paraId="79E303B7" w14:textId="77777777" w:rsidTr="00B66F02">
        <w:trPr>
          <w:trHeight w:val="20"/>
        </w:trPr>
        <w:tc>
          <w:tcPr>
            <w:tcW w:w="1441" w:type="pct"/>
            <w:noWrap/>
            <w:vAlign w:val="center"/>
          </w:tcPr>
          <w:p w14:paraId="3BD2CCE9" w14:textId="0F6C624F" w:rsidR="00A23E55" w:rsidRPr="005A5BB7" w:rsidRDefault="00A23E55" w:rsidP="005B71B5">
            <w:pP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Under</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ascertainment adjustment</w:t>
            </w:r>
            <w:r w:rsidRPr="005A5BB7">
              <w:rPr>
                <w:rFonts w:ascii="Arial" w:eastAsia="Times New Roman" w:hAnsi="Arial"/>
                <w:iCs/>
                <w:sz w:val="14"/>
                <w:szCs w:val="14"/>
                <w:lang w:eastAsia="en-AU"/>
              </w:rPr>
              <w:t xml:space="preserve"> </w:t>
            </w:r>
          </w:p>
        </w:tc>
        <w:tc>
          <w:tcPr>
            <w:tcW w:w="786" w:type="pct"/>
            <w:shd w:val="clear" w:color="auto" w:fill="C6D9F1" w:themeFill="text2" w:themeFillTint="33"/>
            <w:vAlign w:val="center"/>
          </w:tcPr>
          <w:p w14:paraId="210BE881" w14:textId="191FB1A5"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 under</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testing correction x 1.5 an under</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 xml:space="preserve">ascertainment multiplier for test sensitivity </w:t>
            </w:r>
          </w:p>
        </w:tc>
        <w:tc>
          <w:tcPr>
            <w:tcW w:w="849" w:type="pct"/>
            <w:shd w:val="clear" w:color="auto" w:fill="C6D9F1" w:themeFill="text2" w:themeFillTint="33"/>
            <w:vAlign w:val="center"/>
          </w:tcPr>
          <w:p w14:paraId="60E358E1"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 xml:space="preserve">2.0 </w:t>
            </w:r>
            <w:r w:rsidRPr="005A5BB7">
              <w:rPr>
                <w:rFonts w:ascii="Arial Narrow" w:eastAsia="Yu Gothic Light" w:hAnsi="Arial Narrow" w:cs="Times New Roman"/>
                <w:bCs/>
                <w:sz w:val="20"/>
                <w:szCs w:val="20"/>
                <w:lang w:bidi="en-US"/>
              </w:rPr>
              <w:t>multiplication function</w:t>
            </w:r>
          </w:p>
        </w:tc>
        <w:tc>
          <w:tcPr>
            <w:tcW w:w="963" w:type="pct"/>
            <w:shd w:val="clear" w:color="auto" w:fill="C6D9F1" w:themeFill="text2" w:themeFillTint="33"/>
            <w:vAlign w:val="center"/>
          </w:tcPr>
          <w:p w14:paraId="59A66F50" w14:textId="4DE5E296" w:rsidR="00A23E55" w:rsidRPr="005A5BB7" w:rsidRDefault="00F34AAB"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 multiplication function</w:t>
            </w:r>
          </w:p>
        </w:tc>
        <w:tc>
          <w:tcPr>
            <w:tcW w:w="961" w:type="pct"/>
            <w:vAlign w:val="center"/>
          </w:tcPr>
          <w:p w14:paraId="0CD59C8A" w14:textId="241F23A0"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 xml:space="preserve">2.0 </w:t>
            </w:r>
            <w:r w:rsidRPr="005A5BB7">
              <w:rPr>
                <w:rFonts w:ascii="Arial Narrow" w:eastAsia="Yu Gothic Light" w:hAnsi="Arial Narrow" w:cs="Times New Roman"/>
                <w:bCs/>
                <w:sz w:val="20"/>
                <w:szCs w:val="20"/>
                <w:lang w:bidi="en-US"/>
              </w:rPr>
              <w:t>multiplication function</w:t>
            </w:r>
          </w:p>
        </w:tc>
      </w:tr>
      <w:tr w:rsidR="003754EF" w:rsidRPr="005A5BB7" w14:paraId="444FD081" w14:textId="77777777" w:rsidTr="00B66F02">
        <w:trPr>
          <w:trHeight w:val="20"/>
        </w:trPr>
        <w:tc>
          <w:tcPr>
            <w:tcW w:w="1441" w:type="pct"/>
            <w:noWrap/>
            <w:vAlign w:val="center"/>
          </w:tcPr>
          <w:p w14:paraId="77F95BCB" w14:textId="05AC653D" w:rsidR="00A23E55" w:rsidRPr="005A5BB7" w:rsidRDefault="00A23E55" w:rsidP="005B71B5">
            <w:pPr>
              <w:rPr>
                <w:rFonts w:ascii="Arial Narrow" w:eastAsia="Yu Gothic Light" w:hAnsi="Arial Narrow"/>
                <w:sz w:val="20"/>
                <w:szCs w:val="20"/>
              </w:rPr>
            </w:pPr>
            <w:r w:rsidRPr="005A5BB7">
              <w:rPr>
                <w:rFonts w:ascii="Arial Narrow" w:eastAsia="Yu Gothic Light" w:hAnsi="Arial Narrow"/>
                <w:sz w:val="20"/>
                <w:szCs w:val="20"/>
              </w:rPr>
              <w:t>Adjusted hospitalisation rates</w:t>
            </w:r>
          </w:p>
        </w:tc>
        <w:tc>
          <w:tcPr>
            <w:tcW w:w="786" w:type="pct"/>
            <w:shd w:val="clear" w:color="auto" w:fill="C6D9F1" w:themeFill="text2" w:themeFillTint="33"/>
            <w:vAlign w:val="center"/>
          </w:tcPr>
          <w:p w14:paraId="34436A17" w14:textId="77777777" w:rsidR="00A23E55" w:rsidRPr="005A5BB7" w:rsidRDefault="00A23E55" w:rsidP="005B71B5">
            <w:pPr>
              <w:jc w:val="center"/>
              <w:rPr>
                <w:rFonts w:ascii="Arial Narrow" w:hAnsi="Arial Narrow" w:cs="Calibri"/>
                <w:sz w:val="20"/>
                <w:szCs w:val="20"/>
              </w:rPr>
            </w:pPr>
          </w:p>
        </w:tc>
        <w:tc>
          <w:tcPr>
            <w:tcW w:w="849" w:type="pct"/>
            <w:shd w:val="clear" w:color="auto" w:fill="C6D9F1" w:themeFill="text2" w:themeFillTint="33"/>
          </w:tcPr>
          <w:p w14:paraId="1949CB33" w14:textId="77777777" w:rsidR="00A23E55" w:rsidRPr="005A5BB7" w:rsidRDefault="00A23E55" w:rsidP="005B71B5">
            <w:pPr>
              <w:jc w:val="center"/>
              <w:rPr>
                <w:rFonts w:ascii="Arial Narrow" w:hAnsi="Arial Narrow" w:cs="Calibri"/>
                <w:sz w:val="20"/>
                <w:szCs w:val="20"/>
              </w:rPr>
            </w:pPr>
          </w:p>
        </w:tc>
        <w:tc>
          <w:tcPr>
            <w:tcW w:w="963" w:type="pct"/>
            <w:shd w:val="clear" w:color="auto" w:fill="C6D9F1" w:themeFill="text2" w:themeFillTint="33"/>
          </w:tcPr>
          <w:p w14:paraId="47BEB431" w14:textId="77777777" w:rsidR="00A23E55" w:rsidRPr="005A5BB7" w:rsidRDefault="00A23E55" w:rsidP="005B71B5">
            <w:pPr>
              <w:jc w:val="center"/>
              <w:rPr>
                <w:rFonts w:ascii="Arial Narrow" w:eastAsia="Yu Gothic Light" w:hAnsi="Arial Narrow" w:cs="Times New Roman"/>
                <w:bCs/>
                <w:iCs/>
                <w:sz w:val="20"/>
                <w:szCs w:val="20"/>
                <w:lang w:bidi="en-US"/>
              </w:rPr>
            </w:pPr>
          </w:p>
        </w:tc>
        <w:tc>
          <w:tcPr>
            <w:tcW w:w="961" w:type="pct"/>
          </w:tcPr>
          <w:p w14:paraId="3F052B02" w14:textId="0F944F9B" w:rsidR="00A23E55" w:rsidRPr="005A5BB7" w:rsidRDefault="00A23E55" w:rsidP="005B71B5">
            <w:pPr>
              <w:jc w:val="center"/>
              <w:rPr>
                <w:rFonts w:ascii="Arial Narrow" w:eastAsia="Yu Gothic Light" w:hAnsi="Arial Narrow" w:cs="Times New Roman"/>
                <w:bCs/>
                <w:iCs/>
                <w:sz w:val="20"/>
                <w:szCs w:val="20"/>
                <w:lang w:bidi="en-US"/>
              </w:rPr>
            </w:pPr>
          </w:p>
        </w:tc>
      </w:tr>
      <w:tr w:rsidR="003754EF" w:rsidRPr="005A5BB7" w14:paraId="00744ACD" w14:textId="77777777" w:rsidTr="00B66F02">
        <w:trPr>
          <w:trHeight w:val="20"/>
        </w:trPr>
        <w:tc>
          <w:tcPr>
            <w:tcW w:w="1441" w:type="pct"/>
            <w:noWrap/>
            <w:vAlign w:val="center"/>
          </w:tcPr>
          <w:p w14:paraId="15127C6B" w14:textId="346F8CAC" w:rsidR="00A23E55" w:rsidRPr="005A5BB7" w:rsidRDefault="00A23E55" w:rsidP="005B71B5">
            <w:pPr>
              <w:rPr>
                <w:rFonts w:ascii="Arial Narrow" w:eastAsia="Yu Gothic Light" w:hAnsi="Arial Narrow" w:cs="Times New Roman"/>
                <w:bCs/>
                <w:iCs/>
                <w:sz w:val="20"/>
                <w:szCs w:val="20"/>
                <w:lang w:bidi="en-US"/>
              </w:rPr>
            </w:pPr>
            <w:r w:rsidRPr="005A5BB7">
              <w:rPr>
                <w:rFonts w:ascii="Arial Narrow" w:eastAsia="Yu Gothic Light" w:hAnsi="Arial Narrow"/>
                <w:sz w:val="20"/>
                <w:szCs w:val="20"/>
              </w:rPr>
              <w:t>75</w:t>
            </w:r>
            <w:r w:rsidR="000E4816">
              <w:rPr>
                <w:rFonts w:ascii="Arial Narrow" w:eastAsia="Yu Gothic Light" w:hAnsi="Arial Narrow"/>
                <w:sz w:val="20"/>
                <w:szCs w:val="20"/>
              </w:rPr>
              <w:noBreakHyphen/>
            </w:r>
            <w:r w:rsidRPr="005A5BB7">
              <w:rPr>
                <w:rFonts w:ascii="Arial Narrow" w:eastAsia="Yu Gothic Light" w:hAnsi="Arial Narrow"/>
                <w:sz w:val="20"/>
                <w:szCs w:val="20"/>
              </w:rPr>
              <w:t>79 YOA</w:t>
            </w:r>
          </w:p>
        </w:tc>
        <w:tc>
          <w:tcPr>
            <w:tcW w:w="786" w:type="pct"/>
            <w:shd w:val="clear" w:color="auto" w:fill="C6D9F1" w:themeFill="text2" w:themeFillTint="33"/>
            <w:vAlign w:val="center"/>
          </w:tcPr>
          <w:p w14:paraId="013BCEF2"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364</w:t>
            </w:r>
          </w:p>
        </w:tc>
        <w:tc>
          <w:tcPr>
            <w:tcW w:w="849" w:type="pct"/>
            <w:shd w:val="clear" w:color="auto" w:fill="C6D9F1" w:themeFill="text2" w:themeFillTint="33"/>
          </w:tcPr>
          <w:p w14:paraId="6E7EC49F"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304</w:t>
            </w:r>
          </w:p>
        </w:tc>
        <w:tc>
          <w:tcPr>
            <w:tcW w:w="963" w:type="pct"/>
            <w:shd w:val="clear" w:color="auto" w:fill="C6D9F1" w:themeFill="text2" w:themeFillTint="33"/>
          </w:tcPr>
          <w:p w14:paraId="7000565D" w14:textId="36D478B7" w:rsidR="00A23E55" w:rsidRPr="005A5BB7" w:rsidRDefault="004B296B"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384</w:t>
            </w:r>
          </w:p>
        </w:tc>
        <w:tc>
          <w:tcPr>
            <w:tcW w:w="961" w:type="pct"/>
          </w:tcPr>
          <w:p w14:paraId="1049F623" w14:textId="72638C0A"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273</w:t>
            </w:r>
          </w:p>
        </w:tc>
      </w:tr>
      <w:tr w:rsidR="003754EF" w:rsidRPr="005A5BB7" w14:paraId="68B06B62" w14:textId="77777777" w:rsidTr="00B66F02">
        <w:trPr>
          <w:trHeight w:val="20"/>
        </w:trPr>
        <w:tc>
          <w:tcPr>
            <w:tcW w:w="1441" w:type="pct"/>
            <w:noWrap/>
            <w:vAlign w:val="center"/>
          </w:tcPr>
          <w:p w14:paraId="086642CA" w14:textId="2E62075C" w:rsidR="00A23E55" w:rsidRPr="005A5BB7" w:rsidRDefault="00A23E55" w:rsidP="005B71B5">
            <w:pPr>
              <w:rPr>
                <w:rFonts w:ascii="Arial Narrow" w:eastAsia="Yu Gothic Light" w:hAnsi="Arial Narrow" w:cs="Times New Roman"/>
                <w:bCs/>
                <w:iCs/>
                <w:sz w:val="20"/>
                <w:szCs w:val="20"/>
                <w:lang w:bidi="en-US"/>
              </w:rPr>
            </w:pPr>
            <w:r w:rsidRPr="005A5BB7">
              <w:rPr>
                <w:rFonts w:ascii="Arial Narrow" w:eastAsia="Yu Gothic Light" w:hAnsi="Arial Narrow"/>
                <w:sz w:val="20"/>
                <w:szCs w:val="20"/>
              </w:rPr>
              <w:t>80</w:t>
            </w:r>
            <w:r w:rsidR="000E4816">
              <w:rPr>
                <w:rFonts w:ascii="Arial Narrow" w:eastAsia="Yu Gothic Light" w:hAnsi="Arial Narrow"/>
                <w:sz w:val="20"/>
                <w:szCs w:val="20"/>
              </w:rPr>
              <w:noBreakHyphen/>
            </w:r>
            <w:r w:rsidRPr="005A5BB7">
              <w:rPr>
                <w:rFonts w:ascii="Arial Narrow" w:eastAsia="Yu Gothic Light" w:hAnsi="Arial Narrow"/>
                <w:sz w:val="20"/>
                <w:szCs w:val="20"/>
              </w:rPr>
              <w:t>84 YOA</w:t>
            </w:r>
          </w:p>
        </w:tc>
        <w:tc>
          <w:tcPr>
            <w:tcW w:w="786" w:type="pct"/>
            <w:shd w:val="clear" w:color="auto" w:fill="C6D9F1" w:themeFill="text2" w:themeFillTint="33"/>
            <w:vAlign w:val="center"/>
          </w:tcPr>
          <w:p w14:paraId="561CE838"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750</w:t>
            </w:r>
          </w:p>
        </w:tc>
        <w:tc>
          <w:tcPr>
            <w:tcW w:w="849" w:type="pct"/>
            <w:shd w:val="clear" w:color="auto" w:fill="C6D9F1" w:themeFill="text2" w:themeFillTint="33"/>
          </w:tcPr>
          <w:p w14:paraId="2E059176"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556</w:t>
            </w:r>
          </w:p>
        </w:tc>
        <w:tc>
          <w:tcPr>
            <w:tcW w:w="963" w:type="pct"/>
            <w:shd w:val="clear" w:color="auto" w:fill="C6D9F1" w:themeFill="text2" w:themeFillTint="33"/>
          </w:tcPr>
          <w:p w14:paraId="3C5402C5" w14:textId="788F1222" w:rsidR="00A23E55" w:rsidRPr="005A5BB7" w:rsidRDefault="004B296B"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384</w:t>
            </w:r>
          </w:p>
        </w:tc>
        <w:tc>
          <w:tcPr>
            <w:tcW w:w="961" w:type="pct"/>
            <w:vMerge w:val="restart"/>
          </w:tcPr>
          <w:p w14:paraId="26AA273F" w14:textId="731D0BA1"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599</w:t>
            </w:r>
          </w:p>
        </w:tc>
      </w:tr>
      <w:tr w:rsidR="003754EF" w:rsidRPr="005A5BB7" w14:paraId="1679791D" w14:textId="77777777" w:rsidTr="00B66F02">
        <w:trPr>
          <w:trHeight w:val="20"/>
        </w:trPr>
        <w:tc>
          <w:tcPr>
            <w:tcW w:w="1441" w:type="pct"/>
            <w:noWrap/>
            <w:vAlign w:val="center"/>
          </w:tcPr>
          <w:p w14:paraId="53148417" w14:textId="6DC0ECDA" w:rsidR="00A23E55" w:rsidRPr="005A5BB7" w:rsidRDefault="00A23E55" w:rsidP="005B71B5">
            <w:pPr>
              <w:rPr>
                <w:rFonts w:ascii="Arial Narrow" w:eastAsia="Yu Gothic Light" w:hAnsi="Arial Narrow" w:cs="Times New Roman"/>
                <w:bCs/>
                <w:iCs/>
                <w:sz w:val="20"/>
                <w:szCs w:val="20"/>
                <w:u w:val="single"/>
                <w:lang w:bidi="en-US"/>
              </w:rPr>
            </w:pPr>
            <w:r w:rsidRPr="005A5BB7">
              <w:rPr>
                <w:rFonts w:ascii="Arial Narrow" w:eastAsia="Yu Gothic Light" w:hAnsi="Arial Narrow"/>
                <w:sz w:val="20"/>
                <w:szCs w:val="20"/>
              </w:rPr>
              <w:t>≥85 YOA</w:t>
            </w:r>
          </w:p>
        </w:tc>
        <w:tc>
          <w:tcPr>
            <w:tcW w:w="786" w:type="pct"/>
            <w:shd w:val="clear" w:color="auto" w:fill="C6D9F1" w:themeFill="text2" w:themeFillTint="33"/>
            <w:vAlign w:val="center"/>
          </w:tcPr>
          <w:p w14:paraId="551C3900"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750</w:t>
            </w:r>
          </w:p>
        </w:tc>
        <w:tc>
          <w:tcPr>
            <w:tcW w:w="849" w:type="pct"/>
            <w:shd w:val="clear" w:color="auto" w:fill="C6D9F1" w:themeFill="text2" w:themeFillTint="33"/>
          </w:tcPr>
          <w:p w14:paraId="36C39C41" w14:textId="77777777" w:rsidR="00A23E55" w:rsidRPr="005A5BB7" w:rsidRDefault="00A23E55" w:rsidP="005B71B5">
            <w:pPr>
              <w:jc w:val="center"/>
              <w:rPr>
                <w:rFonts w:ascii="Arial Narrow" w:eastAsia="Yu Gothic Light" w:hAnsi="Arial Narrow" w:cs="Times New Roman"/>
                <w:bCs/>
                <w:iCs/>
                <w:sz w:val="20"/>
                <w:szCs w:val="20"/>
                <w:lang w:bidi="en-US"/>
              </w:rPr>
            </w:pPr>
            <w:r w:rsidRPr="005A5BB7">
              <w:rPr>
                <w:rFonts w:ascii="Arial Narrow" w:hAnsi="Arial Narrow" w:cs="Calibri"/>
                <w:sz w:val="20"/>
                <w:szCs w:val="20"/>
              </w:rPr>
              <w:t>556</w:t>
            </w:r>
          </w:p>
        </w:tc>
        <w:tc>
          <w:tcPr>
            <w:tcW w:w="963" w:type="pct"/>
            <w:shd w:val="clear" w:color="auto" w:fill="C6D9F1" w:themeFill="text2" w:themeFillTint="33"/>
          </w:tcPr>
          <w:p w14:paraId="2529F8F9" w14:textId="79D0809F" w:rsidR="00A23E55" w:rsidRPr="005A5BB7" w:rsidRDefault="004B296B" w:rsidP="005B71B5">
            <w:pPr>
              <w:jc w:val="center"/>
              <w:rPr>
                <w:rFonts w:ascii="Arial Narrow" w:eastAsia="Yu Gothic Light" w:hAnsi="Arial Narrow" w:cs="Times New Roman"/>
                <w:sz w:val="20"/>
                <w:szCs w:val="20"/>
                <w:lang w:bidi="en-US"/>
              </w:rPr>
            </w:pPr>
            <w:r w:rsidRPr="005A5BB7">
              <w:rPr>
                <w:rFonts w:ascii="Arial Narrow" w:eastAsia="Yu Gothic Light" w:hAnsi="Arial Narrow" w:cs="Times New Roman"/>
                <w:sz w:val="20"/>
                <w:szCs w:val="20"/>
                <w:lang w:bidi="en-US"/>
              </w:rPr>
              <w:t>384</w:t>
            </w:r>
          </w:p>
        </w:tc>
        <w:tc>
          <w:tcPr>
            <w:tcW w:w="961" w:type="pct"/>
            <w:vMerge/>
          </w:tcPr>
          <w:p w14:paraId="094E28A2" w14:textId="1CAC9DAF" w:rsidR="00A23E55" w:rsidRPr="005A5BB7" w:rsidRDefault="00A23E55" w:rsidP="005B71B5">
            <w:pPr>
              <w:jc w:val="center"/>
              <w:rPr>
                <w:rFonts w:ascii="Arial Narrow" w:eastAsia="Yu Gothic Light" w:hAnsi="Arial Narrow" w:cs="Times New Roman"/>
                <w:sz w:val="20"/>
                <w:szCs w:val="20"/>
                <w:lang w:bidi="en-US"/>
              </w:rPr>
            </w:pPr>
          </w:p>
        </w:tc>
      </w:tr>
      <w:tr w:rsidR="00082999" w:rsidRPr="005A5BB7" w14:paraId="770DFE2D" w14:textId="77777777" w:rsidTr="00B66F02">
        <w:trPr>
          <w:trHeight w:val="20"/>
        </w:trPr>
        <w:tc>
          <w:tcPr>
            <w:tcW w:w="1441" w:type="pct"/>
            <w:noWrap/>
            <w:vAlign w:val="center"/>
          </w:tcPr>
          <w:p w14:paraId="33751631" w14:textId="34AA51F6" w:rsidR="00A23E55" w:rsidRPr="005A5BB7" w:rsidRDefault="00A23E55" w:rsidP="005B71B5">
            <w:pPr>
              <w:rPr>
                <w:rFonts w:ascii="Arial Narrow" w:eastAsia="Yu Gothic Light" w:hAnsi="Arial Narrow"/>
                <w:iCs/>
                <w:sz w:val="20"/>
                <w:szCs w:val="20"/>
                <w:vertAlign w:val="superscript"/>
              </w:rPr>
            </w:pPr>
            <w:r w:rsidRPr="005A5BB7">
              <w:rPr>
                <w:rFonts w:ascii="Arial Narrow" w:eastAsia="Yu Gothic Light" w:hAnsi="Arial Narrow"/>
                <w:iCs/>
                <w:sz w:val="20"/>
                <w:szCs w:val="20"/>
              </w:rPr>
              <w:t>Weighted</w:t>
            </w:r>
            <w:r w:rsidR="00F86746" w:rsidRPr="005A5BB7">
              <w:rPr>
                <w:rFonts w:ascii="Arial Narrow" w:eastAsia="Yu Gothic Light" w:hAnsi="Arial Narrow"/>
                <w:iCs/>
                <w:sz w:val="20"/>
                <w:szCs w:val="20"/>
              </w:rPr>
              <w:t xml:space="preserve"> </w:t>
            </w:r>
            <w:r w:rsidR="00F86746" w:rsidRPr="005A5BB7">
              <w:rPr>
                <w:rFonts w:ascii="Arial Narrow" w:eastAsia="Yu Gothic Light" w:hAnsi="Arial Narrow"/>
                <w:iCs/>
                <w:sz w:val="20"/>
                <w:szCs w:val="20"/>
                <w:vertAlign w:val="superscript"/>
              </w:rPr>
              <w:t>b</w:t>
            </w:r>
          </w:p>
        </w:tc>
        <w:tc>
          <w:tcPr>
            <w:tcW w:w="786" w:type="pct"/>
            <w:shd w:val="clear" w:color="auto" w:fill="C6D9F1" w:themeFill="text2" w:themeFillTint="33"/>
            <w:vAlign w:val="center"/>
          </w:tcPr>
          <w:p w14:paraId="2DE131F7" w14:textId="3694BD53" w:rsidR="00A23E55" w:rsidRPr="005A5BB7" w:rsidRDefault="00690B5A" w:rsidP="005B71B5">
            <w:pPr>
              <w:jc w:val="center"/>
              <w:rPr>
                <w:rFonts w:ascii="Arial Narrow" w:hAnsi="Arial Narrow" w:cs="Calibri"/>
                <w:iCs/>
                <w:sz w:val="20"/>
                <w:szCs w:val="20"/>
              </w:rPr>
            </w:pPr>
            <w:r w:rsidRPr="005A5BB7">
              <w:rPr>
                <w:rFonts w:ascii="Arial Narrow" w:hAnsi="Arial Narrow" w:cs="Calibri"/>
                <w:iCs/>
                <w:sz w:val="20"/>
                <w:szCs w:val="20"/>
              </w:rPr>
              <w:t>577</w:t>
            </w:r>
          </w:p>
        </w:tc>
        <w:tc>
          <w:tcPr>
            <w:tcW w:w="849" w:type="pct"/>
            <w:shd w:val="clear" w:color="auto" w:fill="C6D9F1" w:themeFill="text2" w:themeFillTint="33"/>
          </w:tcPr>
          <w:p w14:paraId="3346943E" w14:textId="3E2D1873" w:rsidR="00A23E55" w:rsidRPr="005A5BB7" w:rsidRDefault="00A23E55" w:rsidP="005B71B5">
            <w:pPr>
              <w:jc w:val="center"/>
              <w:rPr>
                <w:rFonts w:ascii="Arial Narrow" w:hAnsi="Arial Narrow" w:cs="Calibri"/>
                <w:iCs/>
                <w:sz w:val="20"/>
                <w:szCs w:val="20"/>
              </w:rPr>
            </w:pPr>
            <w:r w:rsidRPr="005A5BB7">
              <w:rPr>
                <w:rFonts w:ascii="Arial Narrow" w:hAnsi="Arial Narrow"/>
                <w:iCs/>
                <w:sz w:val="20"/>
                <w:szCs w:val="20"/>
              </w:rPr>
              <w:t>443</w:t>
            </w:r>
          </w:p>
        </w:tc>
        <w:tc>
          <w:tcPr>
            <w:tcW w:w="963" w:type="pct"/>
            <w:shd w:val="clear" w:color="auto" w:fill="C6D9F1" w:themeFill="text2" w:themeFillTint="33"/>
          </w:tcPr>
          <w:p w14:paraId="5C3639B3" w14:textId="4D8AF706" w:rsidR="00A23E55" w:rsidRPr="005A5BB7" w:rsidRDefault="00A23E55" w:rsidP="005B71B5">
            <w:pPr>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384</w:t>
            </w:r>
          </w:p>
        </w:tc>
        <w:tc>
          <w:tcPr>
            <w:tcW w:w="961" w:type="pct"/>
          </w:tcPr>
          <w:p w14:paraId="35B1DB40" w14:textId="16FF2F77" w:rsidR="00A23E55" w:rsidRPr="005A5BB7" w:rsidRDefault="008F25E2" w:rsidP="005B71B5">
            <w:pPr>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452</w:t>
            </w:r>
          </w:p>
        </w:tc>
      </w:tr>
    </w:tbl>
    <w:p w14:paraId="4D281218" w14:textId="68E52B5B" w:rsidR="004C397E" w:rsidRPr="005A5BB7" w:rsidRDefault="004C397E" w:rsidP="004C397E">
      <w:pPr>
        <w:pStyle w:val="BodyText"/>
        <w:rPr>
          <w:rFonts w:ascii="Arial Narrow" w:hAnsi="Arial Narrow"/>
          <w:sz w:val="18"/>
          <w:szCs w:val="18"/>
        </w:rPr>
      </w:pPr>
      <w:r w:rsidRPr="005A5BB7">
        <w:rPr>
          <w:rFonts w:ascii="Arial Narrow" w:hAnsi="Arial Narrow"/>
          <w:sz w:val="18"/>
          <w:szCs w:val="18"/>
        </w:rPr>
        <w:t>Source: Table 3</w:t>
      </w:r>
      <w:r w:rsidR="000E4816">
        <w:rPr>
          <w:rFonts w:ascii="Arial Narrow" w:hAnsi="Arial Narrow"/>
          <w:sz w:val="18"/>
          <w:szCs w:val="18"/>
        </w:rPr>
        <w:noBreakHyphen/>
      </w:r>
      <w:r w:rsidRPr="005A5BB7">
        <w:rPr>
          <w:rFonts w:ascii="Arial Narrow" w:hAnsi="Arial Narrow"/>
          <w:sz w:val="18"/>
          <w:szCs w:val="18"/>
        </w:rPr>
        <w:t xml:space="preserve">12, p137 of the March 2026 resubmission; Table 13, and Table 15 RSVPreF3 OA PSD, July 2025 PBAC meeting. </w:t>
      </w:r>
    </w:p>
    <w:p w14:paraId="154B0447" w14:textId="09E32A2C" w:rsidR="004C397E" w:rsidRPr="005A5BB7" w:rsidRDefault="004C397E" w:rsidP="004C397E">
      <w:pPr>
        <w:pStyle w:val="BodyText"/>
        <w:rPr>
          <w:rFonts w:ascii="Arial Narrow" w:hAnsi="Arial Narrow"/>
          <w:sz w:val="18"/>
          <w:szCs w:val="18"/>
        </w:rPr>
      </w:pPr>
      <w:r w:rsidRPr="005A5BB7">
        <w:rPr>
          <w:rFonts w:ascii="Arial Narrow" w:hAnsi="Arial Narrow"/>
          <w:sz w:val="18"/>
          <w:szCs w:val="18"/>
        </w:rPr>
        <w:t xml:space="preserve">AIHW = Australian Institute of Health and Welfare; ATAGI = Australian Technical Advisory Group on Immunisation; NHMD =National Hospital Morbidity Database, NIP = National Immunisation Program, </w:t>
      </w:r>
      <w:r w:rsidR="005E34F7" w:rsidRPr="005A5BB7">
        <w:rPr>
          <w:rFonts w:ascii="Arial Narrow" w:hAnsi="Arial Narrow"/>
          <w:sz w:val="18"/>
          <w:szCs w:val="18"/>
        </w:rPr>
        <w:t>PBAC = Pharmaceutical Benefits Advisory Committee;</w:t>
      </w:r>
      <w:r w:rsidRPr="005A5BB7">
        <w:rPr>
          <w:rFonts w:ascii="Arial Narrow" w:hAnsi="Arial Narrow"/>
          <w:sz w:val="18"/>
          <w:szCs w:val="18"/>
        </w:rPr>
        <w:t xml:space="preserve"> PSCR = Pre</w:t>
      </w:r>
      <w:r w:rsidR="000E4816">
        <w:rPr>
          <w:rFonts w:ascii="Arial Narrow" w:hAnsi="Arial Narrow"/>
          <w:sz w:val="18"/>
          <w:szCs w:val="18"/>
        </w:rPr>
        <w:noBreakHyphen/>
      </w:r>
      <w:r w:rsidRPr="005A5BB7">
        <w:rPr>
          <w:rFonts w:ascii="Arial Narrow" w:hAnsi="Arial Narrow"/>
          <w:sz w:val="18"/>
          <w:szCs w:val="18"/>
        </w:rPr>
        <w:t xml:space="preserve">subcommittee response; RSV = respiratory syncytial virus, YOA = years of age. </w:t>
      </w:r>
    </w:p>
    <w:p w14:paraId="79EFDE4C" w14:textId="16CB2081" w:rsidR="004C397E" w:rsidRPr="005A5BB7" w:rsidRDefault="004C397E" w:rsidP="004C397E">
      <w:pPr>
        <w:pStyle w:val="BodyText"/>
        <w:rPr>
          <w:rFonts w:ascii="Arial Narrow" w:hAnsi="Arial Narrow"/>
          <w:iCs/>
          <w:sz w:val="18"/>
          <w:szCs w:val="18"/>
        </w:rPr>
      </w:pPr>
      <w:proofErr w:type="spellStart"/>
      <w:r w:rsidRPr="005A5BB7">
        <w:rPr>
          <w:rFonts w:ascii="Arial Narrow" w:hAnsi="Arial Narrow"/>
          <w:iCs/>
          <w:sz w:val="18"/>
          <w:szCs w:val="18"/>
          <w:vertAlign w:val="superscript"/>
        </w:rPr>
        <w:t>a</w:t>
      </w:r>
      <w:proofErr w:type="spellEnd"/>
      <w:r w:rsidRPr="005A5BB7">
        <w:rPr>
          <w:rFonts w:ascii="Arial Narrow" w:hAnsi="Arial Narrow"/>
          <w:iCs/>
          <w:sz w:val="18"/>
          <w:szCs w:val="18"/>
        </w:rPr>
        <w:t xml:space="preserve"> The approach taken in this resubmission was </w:t>
      </w:r>
      <w:proofErr w:type="gramStart"/>
      <w:r w:rsidRPr="005A5BB7">
        <w:rPr>
          <w:rFonts w:ascii="Arial Narrow" w:hAnsi="Arial Narrow"/>
          <w:iCs/>
          <w:sz w:val="18"/>
          <w:szCs w:val="18"/>
        </w:rPr>
        <w:t>similar to</w:t>
      </w:r>
      <w:proofErr w:type="gramEnd"/>
      <w:r w:rsidRPr="005A5BB7">
        <w:rPr>
          <w:rFonts w:ascii="Arial Narrow" w:hAnsi="Arial Narrow"/>
          <w:iCs/>
          <w:sz w:val="18"/>
          <w:szCs w:val="18"/>
        </w:rPr>
        <w:t xml:space="preserve"> that used in the July 2025 PSCR; however, the hospitalisation rates differ numerically between the two, and the reason for this discrepancy is unclear.</w:t>
      </w:r>
    </w:p>
    <w:p w14:paraId="4A0A5831" w14:textId="1FDCBFCE" w:rsidR="00F86746" w:rsidRPr="005A5BB7" w:rsidRDefault="00F86746" w:rsidP="004C397E">
      <w:pPr>
        <w:pStyle w:val="BodyText"/>
        <w:rPr>
          <w:rFonts w:ascii="Arial Narrow" w:hAnsi="Arial Narrow"/>
          <w:iCs/>
          <w:sz w:val="18"/>
          <w:szCs w:val="18"/>
        </w:rPr>
      </w:pPr>
      <w:r w:rsidRPr="005A5BB7">
        <w:rPr>
          <w:rFonts w:ascii="Arial Narrow" w:hAnsi="Arial Narrow"/>
          <w:iCs/>
          <w:sz w:val="18"/>
          <w:szCs w:val="18"/>
          <w:vertAlign w:val="superscript"/>
        </w:rPr>
        <w:t>b</w:t>
      </w:r>
      <w:r w:rsidRPr="005A5BB7">
        <w:rPr>
          <w:rFonts w:ascii="Arial Narrow" w:hAnsi="Arial Narrow"/>
          <w:iCs/>
          <w:sz w:val="18"/>
          <w:szCs w:val="18"/>
        </w:rPr>
        <w:t xml:space="preserve"> Weighted by population size of each age category from the resubmission i.e. using a population weighting </w:t>
      </w:r>
      <w:proofErr w:type="gramStart"/>
      <w:r w:rsidRPr="005A5BB7">
        <w:rPr>
          <w:rFonts w:ascii="Arial Narrow" w:hAnsi="Arial Narrow"/>
          <w:iCs/>
          <w:sz w:val="18"/>
          <w:szCs w:val="18"/>
        </w:rPr>
        <w:t>of:</w:t>
      </w:r>
      <w:proofErr w:type="gramEnd"/>
      <w:r w:rsidRPr="005A5BB7">
        <w:rPr>
          <w:rFonts w:ascii="Arial Narrow" w:hAnsi="Arial Narrow"/>
          <w:iCs/>
          <w:sz w:val="18"/>
          <w:szCs w:val="18"/>
        </w:rPr>
        <w:t xml:space="preserve"> 45% 75</w:t>
      </w:r>
      <w:r w:rsidR="000E4816">
        <w:rPr>
          <w:rFonts w:ascii="Arial Narrow" w:hAnsi="Arial Narrow"/>
          <w:iCs/>
          <w:sz w:val="18"/>
          <w:szCs w:val="18"/>
        </w:rPr>
        <w:noBreakHyphen/>
      </w:r>
      <w:r w:rsidRPr="005A5BB7">
        <w:rPr>
          <w:rFonts w:ascii="Arial Narrow" w:hAnsi="Arial Narrow"/>
          <w:iCs/>
          <w:sz w:val="18"/>
          <w:szCs w:val="18"/>
        </w:rPr>
        <w:t>79 YOA; and 55% 80+ YOA. This weighted estimate is for comparison purposes, as the resubmission used rates per age band for the economic model.</w:t>
      </w:r>
    </w:p>
    <w:p w14:paraId="023006E5" w14:textId="2A8CA0AA" w:rsidR="004C397E" w:rsidRPr="005A5BB7" w:rsidRDefault="00B60336" w:rsidP="004C397E">
      <w:pPr>
        <w:pStyle w:val="FooterTableFigure"/>
        <w:rPr>
          <w:bCs/>
          <w:iCs/>
          <w:szCs w:val="18"/>
        </w:rPr>
      </w:pPr>
      <w:r>
        <w:rPr>
          <w:rStyle w:val="CommentReference"/>
          <w:b w:val="0"/>
          <w:bCs/>
          <w:iCs/>
          <w:sz w:val="18"/>
          <w:szCs w:val="18"/>
        </w:rPr>
        <w:t xml:space="preserve">Blue shading </w:t>
      </w:r>
      <w:r w:rsidR="004C397E" w:rsidRPr="00732CFD">
        <w:rPr>
          <w:rStyle w:val="CommentReference"/>
          <w:b w:val="0"/>
          <w:bCs/>
          <w:iCs/>
          <w:sz w:val="18"/>
          <w:szCs w:val="18"/>
        </w:rPr>
        <w:t>indicates data previously seen by the PBAC.</w:t>
      </w:r>
      <w:r w:rsidR="004C397E" w:rsidRPr="005A5BB7">
        <w:rPr>
          <w:rStyle w:val="CommentReference"/>
          <w:b w:val="0"/>
          <w:bCs/>
          <w:iCs/>
          <w:sz w:val="18"/>
          <w:szCs w:val="18"/>
        </w:rPr>
        <w:t xml:space="preserve"> </w:t>
      </w:r>
    </w:p>
    <w:p w14:paraId="07852748" w14:textId="5280A38A" w:rsidR="004C397E" w:rsidRPr="005A5BB7" w:rsidRDefault="004C397E" w:rsidP="004C397E">
      <w:pPr>
        <w:pStyle w:val="3-BodyText"/>
      </w:pPr>
      <w:bookmarkStart w:id="71" w:name="_Ref216806146"/>
      <w:r w:rsidRPr="005A5BB7">
        <w:t>The March 2026 resubmission maintain</w:t>
      </w:r>
      <w:r w:rsidR="001B775B" w:rsidRPr="005A5BB7">
        <w:t>ed</w:t>
      </w:r>
      <w:r w:rsidRPr="005A5BB7">
        <w:t xml:space="preserve"> the use of </w:t>
      </w:r>
      <w:r w:rsidR="00F66AF0" w:rsidRPr="005A5BB7">
        <w:t>Australian Institute of Health and Welfare National Hospital Morbidity Database (</w:t>
      </w:r>
      <w:r w:rsidRPr="005A5BB7">
        <w:t xml:space="preserve">AIHW </w:t>
      </w:r>
      <w:r w:rsidR="00285485" w:rsidRPr="005A5BB7">
        <w:t>NHMD</w:t>
      </w:r>
      <w:r w:rsidR="00F66AF0" w:rsidRPr="005A5BB7">
        <w:t>)</w:t>
      </w:r>
      <w:r w:rsidR="00285485" w:rsidRPr="005A5BB7">
        <w:t xml:space="preserve"> </w:t>
      </w:r>
      <w:r w:rsidRPr="005A5BB7">
        <w:t>2018</w:t>
      </w:r>
      <w:r w:rsidR="000E4816">
        <w:noBreakHyphen/>
      </w:r>
      <w:r w:rsidRPr="005A5BB7">
        <w:t>2019 data for the annual crude rate of RSV</w:t>
      </w:r>
      <w:r w:rsidR="000E4816">
        <w:noBreakHyphen/>
      </w:r>
      <w:r w:rsidRPr="005A5BB7">
        <w:t>associated hospitalisation, as proposed in the PSCR during the July 2025 resubmission (para</w:t>
      </w:r>
      <w:r w:rsidR="00954C5F">
        <w:t>graph</w:t>
      </w:r>
      <w:r w:rsidRPr="005A5BB7">
        <w:t xml:space="preserve"> 6.62, RSVPreF3 OA PSD, July 2025 PBAC meeting). The PBAC </w:t>
      </w:r>
      <w:r w:rsidR="00372F46" w:rsidRPr="005A5BB7">
        <w:t xml:space="preserve">previously </w:t>
      </w:r>
      <w:r w:rsidRPr="005A5BB7">
        <w:t>noted excluding 2016</w:t>
      </w:r>
      <w:r w:rsidR="000E4816">
        <w:noBreakHyphen/>
      </w:r>
      <w:r w:rsidRPr="005A5BB7">
        <w:t>2017 data from the estimates was not consistent with the ATAGI pre</w:t>
      </w:r>
      <w:r w:rsidR="000E4816">
        <w:noBreakHyphen/>
      </w:r>
      <w:r w:rsidRPr="005A5BB7">
        <w:t>submission advice and supported a hospitalisation rate of 384 per 100,000 person</w:t>
      </w:r>
      <w:r w:rsidR="000E4816">
        <w:noBreakHyphen/>
      </w:r>
      <w:r w:rsidRPr="005A5BB7">
        <w:t>year per the ATAGI (para</w:t>
      </w:r>
      <w:r w:rsidR="00954C5F">
        <w:t>graph</w:t>
      </w:r>
      <w:r w:rsidRPr="005A5BB7">
        <w:t xml:space="preserve"> 7.14 RSVPreF3 OA PSD, July 2025 PBAC meeting). The maintenance of the AIHW</w:t>
      </w:r>
      <w:r w:rsidR="00285485" w:rsidRPr="005A5BB7">
        <w:t xml:space="preserve"> </w:t>
      </w:r>
      <w:r w:rsidR="00F93D02" w:rsidRPr="005A5BB7">
        <w:t xml:space="preserve">NHMD </w:t>
      </w:r>
      <w:r w:rsidRPr="005A5BB7">
        <w:t>2018</w:t>
      </w:r>
      <w:r w:rsidR="000E4816">
        <w:noBreakHyphen/>
      </w:r>
      <w:r w:rsidRPr="005A5BB7">
        <w:t>2019 data in this resubmission was based on:</w:t>
      </w:r>
      <w:bookmarkEnd w:id="71"/>
    </w:p>
    <w:p w14:paraId="5998C001" w14:textId="4C08BA44" w:rsidR="006C61AC" w:rsidRPr="005A5BB7" w:rsidRDefault="00CA715C" w:rsidP="00E113F2">
      <w:pPr>
        <w:pStyle w:val="3-BodyText"/>
        <w:numPr>
          <w:ilvl w:val="0"/>
          <w:numId w:val="30"/>
        </w:numPr>
      </w:pPr>
      <w:r w:rsidRPr="005A5BB7">
        <w:t>The sponsor made an</w:t>
      </w:r>
      <w:r w:rsidR="004C397E" w:rsidRPr="005A5BB7">
        <w:t xml:space="preserve"> additional request</w:t>
      </w:r>
      <w:r w:rsidR="00B46FEE" w:rsidRPr="005A5BB7">
        <w:t xml:space="preserve"> for</w:t>
      </w:r>
      <w:r w:rsidR="004C397E" w:rsidRPr="005A5BB7">
        <w:t xml:space="preserve"> ATAGI endorsement of age</w:t>
      </w:r>
      <w:r w:rsidR="000E4816">
        <w:noBreakHyphen/>
      </w:r>
      <w:r w:rsidR="004C397E" w:rsidRPr="005A5BB7">
        <w:t>based crude annual RSV</w:t>
      </w:r>
      <w:r w:rsidR="000E4816">
        <w:noBreakHyphen/>
      </w:r>
      <w:r w:rsidR="004C397E" w:rsidRPr="005A5BB7">
        <w:t>associated hospitalisation rates derived from 2018–19 AIHW data (ATAGI Response, 29 October 2025). ATAGI acknowledged uncertainty regarding the best method to adjust AIHW data for under</w:t>
      </w:r>
      <w:r w:rsidR="000E4816">
        <w:noBreakHyphen/>
      </w:r>
      <w:r w:rsidR="004C397E" w:rsidRPr="005A5BB7">
        <w:t xml:space="preserve">ascertainment of RSV hospitalisation in older adults. After reviewing the data, ATAGI maintained its view </w:t>
      </w:r>
      <w:r w:rsidR="004C397E" w:rsidRPr="005A5BB7">
        <w:lastRenderedPageBreak/>
        <w:t>that, for the base case, the preferred method for correcting under</w:t>
      </w:r>
      <w:r w:rsidR="000E4816">
        <w:noBreakHyphen/>
      </w:r>
      <w:r w:rsidR="004C397E" w:rsidRPr="005A5BB7">
        <w:t>ascertainment is to apply a multiplier of 2.0 to the overall estimated hospitalisation rate for 2016</w:t>
      </w:r>
      <w:r w:rsidR="000E4816">
        <w:noBreakHyphen/>
      </w:r>
      <w:r w:rsidR="004C397E" w:rsidRPr="005A5BB7">
        <w:t xml:space="preserve">2019. ATAGI also noted that a multiplier is valid only for the specific data period on which it was derived; applying it to other periods may introduce error (ATAGI Response, 29 October 2025). ATAGI noted that the study by </w:t>
      </w:r>
      <w:r w:rsidR="008B5D92" w:rsidRPr="005A5BB7">
        <w:t>Carlin</w:t>
      </w:r>
      <w:r w:rsidR="004C397E" w:rsidRPr="005A5BB7">
        <w:t xml:space="preserve"> et al</w:t>
      </w:r>
      <w:r w:rsidR="009A56EB" w:rsidRPr="005A5BB7">
        <w:t>, 2024</w:t>
      </w:r>
      <w:r w:rsidR="004C397E" w:rsidRPr="005A5BB7">
        <w:t xml:space="preserve"> was for program assessment purposes and does not imply optimal inputs for PBAC cost</w:t>
      </w:r>
      <w:r w:rsidR="000E4816">
        <w:noBreakHyphen/>
      </w:r>
      <w:r w:rsidR="004C397E" w:rsidRPr="005A5BB7">
        <w:t>effectiveness assessment.</w:t>
      </w:r>
      <w:r w:rsidR="00DA1339">
        <w:t xml:space="preserve"> </w:t>
      </w:r>
      <w:r w:rsidR="00BD77AC" w:rsidRPr="005A5BB7">
        <w:t xml:space="preserve">This was discussed previously in the PBAC’s consideration in July 2025 (RSVPreF3 OA </w:t>
      </w:r>
      <w:r w:rsidR="00687F06">
        <w:t>PSD</w:t>
      </w:r>
      <w:r w:rsidR="00BD77AC" w:rsidRPr="005A5BB7">
        <w:t>, paragraph 6.82).</w:t>
      </w:r>
    </w:p>
    <w:p w14:paraId="05770956" w14:textId="3FB3438D" w:rsidR="00CE400B" w:rsidRPr="005A5BB7" w:rsidRDefault="00C34E28" w:rsidP="006C61AC">
      <w:pPr>
        <w:pStyle w:val="3-BodyText"/>
      </w:pPr>
      <w:r w:rsidRPr="005A5BB7">
        <w:t>The ATAGI did not support the resubmission’s approach in October 2025.</w:t>
      </w:r>
      <w:r w:rsidR="00DA1339">
        <w:t xml:space="preserve"> </w:t>
      </w:r>
      <w:r w:rsidRPr="005A5BB7">
        <w:t xml:space="preserve">The </w:t>
      </w:r>
      <w:r w:rsidR="009A56EB" w:rsidRPr="005A5BB7">
        <w:t>AIHW 2025</w:t>
      </w:r>
      <w:r w:rsidR="00254902" w:rsidRPr="005A5BB7">
        <w:rPr>
          <w:rStyle w:val="FootnoteReference"/>
        </w:rPr>
        <w:footnoteReference w:id="11"/>
      </w:r>
      <w:r w:rsidR="007C028F" w:rsidRPr="005A5BB7">
        <w:t xml:space="preserve"> </w:t>
      </w:r>
      <w:r w:rsidR="00904B40" w:rsidRPr="005A5BB7">
        <w:t xml:space="preserve">report </w:t>
      </w:r>
      <w:r w:rsidR="0024324D" w:rsidRPr="005A5BB7">
        <w:t>indicates</w:t>
      </w:r>
      <w:r w:rsidR="00904B40" w:rsidRPr="005A5BB7">
        <w:t xml:space="preserve"> the number of </w:t>
      </w:r>
      <w:r w:rsidR="0024324D" w:rsidRPr="005A5BB7">
        <w:t xml:space="preserve">RSV </w:t>
      </w:r>
      <w:r w:rsidR="00904B40" w:rsidRPr="005A5BB7">
        <w:t xml:space="preserve">hospitalisations </w:t>
      </w:r>
      <w:r w:rsidR="0024324D" w:rsidRPr="005A5BB7">
        <w:t xml:space="preserve">has increased each year between 2008 and 2022, </w:t>
      </w:r>
      <w:proofErr w:type="gramStart"/>
      <w:r w:rsidR="0024324D" w:rsidRPr="005A5BB7">
        <w:t>with the exception of</w:t>
      </w:r>
      <w:proofErr w:type="gramEnd"/>
      <w:r w:rsidR="0024324D" w:rsidRPr="005A5BB7">
        <w:t xml:space="preserve"> 2020 to 2021</w:t>
      </w:r>
      <w:r w:rsidR="0024324D" w:rsidRPr="005A5BB7">
        <w:rPr>
          <w:rStyle w:val="FootnoteReference"/>
        </w:rPr>
        <w:footnoteReference w:id="12"/>
      </w:r>
      <w:r w:rsidR="0024324D" w:rsidRPr="005A5BB7">
        <w:t>.</w:t>
      </w:r>
      <w:r w:rsidR="00DA1339">
        <w:t xml:space="preserve"> </w:t>
      </w:r>
      <w:r w:rsidR="0024324D" w:rsidRPr="005A5BB7">
        <w:t>The report states that whe</w:t>
      </w:r>
      <w:r w:rsidR="00C04BC3" w:rsidRPr="005A5BB7">
        <w:t>n interpreting these data, it is important to note that changes in notifications over time may not solely reflect changes in disease prevalence or incidence. Depending on the disease, changes in testing policies, screening programs including the preferential testing of high</w:t>
      </w:r>
      <w:r w:rsidR="000E4816">
        <w:noBreakHyphen/>
      </w:r>
      <w:r w:rsidR="00C04BC3" w:rsidRPr="005A5BB7">
        <w:t>risk populations, the use of less invasive and more sensitive diagnostic tests, and periodic awareness campaigns may influence the number of notifications that occur each year.</w:t>
      </w:r>
      <w:r w:rsidR="00DA1339">
        <w:t xml:space="preserve"> </w:t>
      </w:r>
      <w:r w:rsidR="0024324D" w:rsidRPr="005A5BB7">
        <w:t>The availability of further AIHW data does not supersede ATAGI’s October 2025 advice.</w:t>
      </w:r>
    </w:p>
    <w:p w14:paraId="3545B90F" w14:textId="2F61253F" w:rsidR="004C397E" w:rsidRPr="005A5BB7" w:rsidRDefault="004C397E" w:rsidP="004C397E">
      <w:pPr>
        <w:pStyle w:val="3-BodyText"/>
      </w:pPr>
      <w:r w:rsidRPr="005A5BB7">
        <w:t xml:space="preserve">A summary of hospitalisation costs presented in the March 2026 resubmission and previous July 2025 resubmission is presented in </w:t>
      </w:r>
      <w:r w:rsidRPr="005A5BB7">
        <w:fldChar w:fldCharType="begin"/>
      </w:r>
      <w:r w:rsidRPr="005A5BB7">
        <w:instrText xml:space="preserve"> REF _Ref216286052 \h  \* MERGEFORMAT </w:instrText>
      </w:r>
      <w:r w:rsidRPr="005A5BB7">
        <w:fldChar w:fldCharType="separate"/>
      </w:r>
      <w:r w:rsidR="0043658C" w:rsidRPr="005A5BB7">
        <w:rPr>
          <w:rFonts w:cs="Times New Roman"/>
          <w:szCs w:val="20"/>
        </w:rPr>
        <w:t xml:space="preserve">Table </w:t>
      </w:r>
      <w:r w:rsidR="0043658C">
        <w:rPr>
          <w:rFonts w:cs="Times New Roman"/>
          <w:szCs w:val="20"/>
        </w:rPr>
        <w:t>15</w:t>
      </w:r>
      <w:r w:rsidRPr="005A5BB7">
        <w:fldChar w:fldCharType="end"/>
      </w:r>
      <w:r w:rsidRPr="005A5BB7">
        <w:t>.</w:t>
      </w:r>
    </w:p>
    <w:p w14:paraId="4ED953E8" w14:textId="60F066A1" w:rsidR="004C397E" w:rsidRPr="005A5BB7" w:rsidRDefault="004C397E" w:rsidP="004C397E">
      <w:pPr>
        <w:pStyle w:val="Caption"/>
      </w:pPr>
      <w:bookmarkStart w:id="72" w:name="_Ref216286052"/>
      <w:r w:rsidRPr="005A5BB7">
        <w:rPr>
          <w:rFonts w:cs="Times New Roman"/>
          <w:szCs w:val="20"/>
        </w:rPr>
        <w:lastRenderedPageBreak/>
        <w:t xml:space="preserve">Table </w:t>
      </w:r>
      <w:r w:rsidRPr="005A5BB7">
        <w:rPr>
          <w:rFonts w:cs="Times New Roman"/>
          <w:szCs w:val="20"/>
        </w:rPr>
        <w:fldChar w:fldCharType="begin"/>
      </w:r>
      <w:r w:rsidRPr="005A5BB7">
        <w:rPr>
          <w:rFonts w:cs="Times New Roman"/>
          <w:szCs w:val="20"/>
        </w:rPr>
        <w:instrText xml:space="preserve"> SEQ Table \* ARABIC </w:instrText>
      </w:r>
      <w:r w:rsidRPr="005A5BB7">
        <w:rPr>
          <w:rFonts w:cs="Times New Roman"/>
          <w:szCs w:val="20"/>
        </w:rPr>
        <w:fldChar w:fldCharType="separate"/>
      </w:r>
      <w:r w:rsidR="0043658C">
        <w:rPr>
          <w:rFonts w:cs="Times New Roman"/>
          <w:noProof/>
          <w:szCs w:val="20"/>
        </w:rPr>
        <w:t>15</w:t>
      </w:r>
      <w:r w:rsidRPr="005A5BB7">
        <w:rPr>
          <w:rFonts w:cs="Times New Roman"/>
          <w:szCs w:val="20"/>
        </w:rPr>
        <w:fldChar w:fldCharType="end"/>
      </w:r>
      <w:bookmarkEnd w:id="72"/>
      <w:r w:rsidRPr="005A5BB7">
        <w:t>: RSV related hospitalisation costs in the March 2026 resubmission</w:t>
      </w:r>
    </w:p>
    <w:tbl>
      <w:tblPr>
        <w:tblStyle w:val="TableGrid"/>
        <w:tblW w:w="5000" w:type="pct"/>
        <w:tblInd w:w="-5" w:type="dxa"/>
        <w:tblLook w:val="04A0" w:firstRow="1" w:lastRow="0" w:firstColumn="1" w:lastColumn="0" w:noHBand="0" w:noVBand="1"/>
        <w:tblCaption w:val="Table 15: RSV related hospitalisation costs in the March 2026 resubmission"/>
      </w:tblPr>
      <w:tblGrid>
        <w:gridCol w:w="1535"/>
        <w:gridCol w:w="1655"/>
        <w:gridCol w:w="1794"/>
        <w:gridCol w:w="1276"/>
        <w:gridCol w:w="2757"/>
      </w:tblGrid>
      <w:tr w:rsidR="004C397E" w:rsidRPr="005A5BB7" w14:paraId="3D9C2ECA" w14:textId="77777777" w:rsidTr="00B22976">
        <w:tc>
          <w:tcPr>
            <w:tcW w:w="865" w:type="pct"/>
            <w:tcMar>
              <w:left w:w="57" w:type="dxa"/>
              <w:right w:w="57" w:type="dxa"/>
            </w:tcMar>
            <w:vAlign w:val="center"/>
          </w:tcPr>
          <w:p w14:paraId="0274D4DC" w14:textId="77777777" w:rsidR="004C397E" w:rsidRPr="005A5BB7" w:rsidRDefault="004C397E" w:rsidP="005B71B5">
            <w:pPr>
              <w:keepNext/>
              <w:keepLines/>
              <w:jc w:val="center"/>
              <w:rPr>
                <w:rFonts w:ascii="Arial Narrow" w:hAnsi="Arial Narrow"/>
                <w:sz w:val="20"/>
                <w:szCs w:val="20"/>
              </w:rPr>
            </w:pPr>
          </w:p>
        </w:tc>
        <w:tc>
          <w:tcPr>
            <w:tcW w:w="2593" w:type="pct"/>
            <w:gridSpan w:val="3"/>
            <w:tcBorders>
              <w:bottom w:val="single" w:sz="4" w:space="0" w:color="auto"/>
            </w:tcBorders>
            <w:shd w:val="clear" w:color="auto" w:fill="C6D9F1" w:themeFill="text2" w:themeFillTint="33"/>
            <w:tcMar>
              <w:left w:w="57" w:type="dxa"/>
              <w:right w:w="57" w:type="dxa"/>
            </w:tcMar>
            <w:vAlign w:val="center"/>
          </w:tcPr>
          <w:p w14:paraId="5716ACC6" w14:textId="77777777" w:rsidR="004C397E" w:rsidRPr="005A5BB7" w:rsidRDefault="004C397E" w:rsidP="005B71B5">
            <w:pPr>
              <w:keepNext/>
              <w:keepLines/>
              <w:jc w:val="center"/>
              <w:rPr>
                <w:rFonts w:ascii="Arial Narrow" w:hAnsi="Arial Narrow"/>
                <w:b/>
                <w:bCs/>
                <w:sz w:val="20"/>
                <w:szCs w:val="20"/>
              </w:rPr>
            </w:pPr>
            <w:r w:rsidRPr="005A5BB7">
              <w:rPr>
                <w:rFonts w:ascii="Arial Narrow" w:hAnsi="Arial Narrow"/>
                <w:b/>
                <w:bCs/>
                <w:sz w:val="20"/>
                <w:szCs w:val="20"/>
              </w:rPr>
              <w:t>July 2025 PBAC meeting</w:t>
            </w:r>
          </w:p>
        </w:tc>
        <w:tc>
          <w:tcPr>
            <w:tcW w:w="1542" w:type="pct"/>
            <w:vMerge w:val="restart"/>
            <w:vAlign w:val="center"/>
          </w:tcPr>
          <w:p w14:paraId="1BEF1242" w14:textId="77777777" w:rsidR="004C397E" w:rsidRPr="005A5BB7" w:rsidRDefault="004C397E" w:rsidP="005B71B5">
            <w:pPr>
              <w:keepNext/>
              <w:keepLines/>
              <w:jc w:val="center"/>
              <w:rPr>
                <w:rFonts w:ascii="Arial Narrow" w:hAnsi="Arial Narrow"/>
                <w:b/>
                <w:bCs/>
                <w:sz w:val="20"/>
                <w:szCs w:val="20"/>
                <w:vertAlign w:val="superscript"/>
              </w:rPr>
            </w:pPr>
            <w:r w:rsidRPr="005A5BB7">
              <w:rPr>
                <w:rFonts w:ascii="Arial Narrow" w:hAnsi="Arial Narrow"/>
                <w:b/>
                <w:bCs/>
                <w:sz w:val="20"/>
                <w:szCs w:val="20"/>
              </w:rPr>
              <w:t xml:space="preserve">March 2026 resubmission </w:t>
            </w:r>
            <w:r w:rsidRPr="005A5BB7">
              <w:rPr>
                <w:rFonts w:ascii="Arial Narrow" w:hAnsi="Arial Narrow"/>
                <w:b/>
                <w:bCs/>
                <w:iCs/>
                <w:sz w:val="20"/>
                <w:szCs w:val="20"/>
                <w:vertAlign w:val="superscript"/>
              </w:rPr>
              <w:t>a</w:t>
            </w:r>
          </w:p>
        </w:tc>
      </w:tr>
      <w:tr w:rsidR="004C397E" w:rsidRPr="005A5BB7" w14:paraId="70F22810" w14:textId="77777777" w:rsidTr="00B22976">
        <w:tc>
          <w:tcPr>
            <w:tcW w:w="865" w:type="pct"/>
            <w:tcMar>
              <w:left w:w="57" w:type="dxa"/>
              <w:right w:w="57" w:type="dxa"/>
            </w:tcMar>
            <w:vAlign w:val="center"/>
          </w:tcPr>
          <w:p w14:paraId="2BBBD9CB" w14:textId="77777777" w:rsidR="004C397E" w:rsidRPr="005A5BB7" w:rsidRDefault="004C397E" w:rsidP="005B71B5">
            <w:pPr>
              <w:keepNext/>
              <w:keepLines/>
              <w:jc w:val="center"/>
              <w:rPr>
                <w:rFonts w:ascii="Arial Narrow" w:hAnsi="Arial Narrow"/>
                <w:sz w:val="20"/>
                <w:szCs w:val="20"/>
              </w:rPr>
            </w:pPr>
          </w:p>
        </w:tc>
        <w:tc>
          <w:tcPr>
            <w:tcW w:w="864" w:type="pct"/>
            <w:shd w:val="clear" w:color="auto" w:fill="C6D9F1" w:themeFill="text2" w:themeFillTint="33"/>
            <w:tcMar>
              <w:left w:w="57" w:type="dxa"/>
              <w:right w:w="57" w:type="dxa"/>
            </w:tcMar>
            <w:vAlign w:val="center"/>
          </w:tcPr>
          <w:p w14:paraId="609F157D" w14:textId="607C6D8A" w:rsidR="004C397E" w:rsidRPr="005A5BB7" w:rsidRDefault="004C397E" w:rsidP="005B71B5">
            <w:pPr>
              <w:keepNext/>
              <w:keepLines/>
              <w:jc w:val="center"/>
              <w:rPr>
                <w:rFonts w:ascii="Arial Narrow" w:hAnsi="Arial Narrow"/>
                <w:b/>
                <w:bCs/>
                <w:sz w:val="20"/>
                <w:szCs w:val="20"/>
              </w:rPr>
            </w:pPr>
            <w:r w:rsidRPr="005A5BB7">
              <w:rPr>
                <w:rFonts w:ascii="Arial Narrow" w:hAnsi="Arial Narrow"/>
                <w:b/>
                <w:bCs/>
                <w:sz w:val="20"/>
                <w:szCs w:val="20"/>
              </w:rPr>
              <w:t>July 2025 resubmission</w:t>
            </w:r>
            <w:r w:rsidR="00133CD7" w:rsidRPr="005A5BB7">
              <w:rPr>
                <w:rFonts w:ascii="Arial Narrow" w:hAnsi="Arial Narrow"/>
                <w:b/>
                <w:bCs/>
                <w:sz w:val="20"/>
                <w:szCs w:val="20"/>
              </w:rPr>
              <w:t xml:space="preserve"> </w:t>
            </w:r>
            <w:r w:rsidR="000E4816">
              <w:rPr>
                <w:rFonts w:ascii="Arial Narrow" w:hAnsi="Arial Narrow"/>
                <w:b/>
                <w:bCs/>
                <w:sz w:val="20"/>
                <w:szCs w:val="20"/>
              </w:rPr>
              <w:noBreakHyphen/>
            </w:r>
            <w:r w:rsidR="00133CD7" w:rsidRPr="005A5BB7">
              <w:rPr>
                <w:rFonts w:ascii="Arial Narrow" w:hAnsi="Arial Narrow"/>
                <w:b/>
                <w:bCs/>
                <w:sz w:val="20"/>
                <w:szCs w:val="20"/>
              </w:rPr>
              <w:t>base case</w:t>
            </w:r>
          </w:p>
        </w:tc>
        <w:tc>
          <w:tcPr>
            <w:tcW w:w="1008" w:type="pct"/>
            <w:shd w:val="clear" w:color="auto" w:fill="C6D9F1" w:themeFill="text2" w:themeFillTint="33"/>
            <w:vAlign w:val="center"/>
          </w:tcPr>
          <w:p w14:paraId="520846F5" w14:textId="77777777" w:rsidR="004C397E" w:rsidRPr="005A5BB7" w:rsidRDefault="004C397E" w:rsidP="005B71B5">
            <w:pPr>
              <w:keepNext/>
              <w:keepLines/>
              <w:jc w:val="center"/>
              <w:rPr>
                <w:rFonts w:ascii="Arial Narrow" w:hAnsi="Arial Narrow"/>
                <w:b/>
                <w:bCs/>
                <w:sz w:val="20"/>
                <w:szCs w:val="20"/>
              </w:rPr>
            </w:pPr>
            <w:r w:rsidRPr="005A5BB7">
              <w:rPr>
                <w:rFonts w:ascii="Arial Narrow" w:hAnsi="Arial Narrow"/>
                <w:b/>
                <w:bCs/>
                <w:sz w:val="20"/>
                <w:szCs w:val="20"/>
              </w:rPr>
              <w:t>July 2025 resubmission PSCR</w:t>
            </w:r>
          </w:p>
        </w:tc>
        <w:tc>
          <w:tcPr>
            <w:tcW w:w="721" w:type="pct"/>
            <w:shd w:val="clear" w:color="auto" w:fill="C6D9F1" w:themeFill="text2" w:themeFillTint="33"/>
            <w:vAlign w:val="center"/>
          </w:tcPr>
          <w:p w14:paraId="22970A16" w14:textId="6304B193" w:rsidR="004C397E" w:rsidRPr="005A5BB7" w:rsidRDefault="004C397E" w:rsidP="005B71B5">
            <w:pPr>
              <w:keepNext/>
              <w:keepLines/>
              <w:jc w:val="center"/>
              <w:rPr>
                <w:rFonts w:ascii="Arial Narrow" w:hAnsi="Arial Narrow"/>
                <w:b/>
                <w:bCs/>
                <w:sz w:val="20"/>
                <w:szCs w:val="20"/>
              </w:rPr>
            </w:pPr>
            <w:r w:rsidRPr="005A5BB7">
              <w:rPr>
                <w:rFonts w:ascii="Arial Narrow" w:hAnsi="Arial Narrow"/>
                <w:b/>
                <w:bCs/>
                <w:sz w:val="20"/>
                <w:szCs w:val="20"/>
              </w:rPr>
              <w:t>Pre</w:t>
            </w:r>
            <w:r w:rsidR="000E4816">
              <w:rPr>
                <w:rFonts w:ascii="Arial Narrow" w:hAnsi="Arial Narrow"/>
                <w:b/>
                <w:bCs/>
                <w:sz w:val="20"/>
                <w:szCs w:val="20"/>
              </w:rPr>
              <w:noBreakHyphen/>
            </w:r>
            <w:r w:rsidRPr="005A5BB7">
              <w:rPr>
                <w:rFonts w:ascii="Arial Narrow" w:hAnsi="Arial Narrow"/>
                <w:b/>
                <w:bCs/>
                <w:sz w:val="20"/>
                <w:szCs w:val="20"/>
              </w:rPr>
              <w:t>PBAC response</w:t>
            </w:r>
          </w:p>
        </w:tc>
        <w:tc>
          <w:tcPr>
            <w:tcW w:w="1542" w:type="pct"/>
            <w:vMerge/>
            <w:vAlign w:val="center"/>
          </w:tcPr>
          <w:p w14:paraId="176AA2BF" w14:textId="77777777" w:rsidR="004C397E" w:rsidRPr="005A5BB7" w:rsidRDefault="004C397E" w:rsidP="005B71B5">
            <w:pPr>
              <w:keepNext/>
              <w:keepLines/>
              <w:jc w:val="center"/>
              <w:rPr>
                <w:rFonts w:ascii="Arial Narrow" w:hAnsi="Arial Narrow"/>
                <w:b/>
                <w:bCs/>
                <w:sz w:val="20"/>
                <w:szCs w:val="20"/>
              </w:rPr>
            </w:pPr>
          </w:p>
        </w:tc>
      </w:tr>
      <w:tr w:rsidR="004C397E" w:rsidRPr="005A5BB7" w14:paraId="2ACF9EAF" w14:textId="77777777" w:rsidTr="00B22976">
        <w:trPr>
          <w:trHeight w:val="201"/>
        </w:trPr>
        <w:tc>
          <w:tcPr>
            <w:tcW w:w="865" w:type="pct"/>
            <w:vMerge w:val="restart"/>
            <w:tcMar>
              <w:left w:w="57" w:type="dxa"/>
              <w:right w:w="57" w:type="dxa"/>
            </w:tcMar>
            <w:vAlign w:val="center"/>
          </w:tcPr>
          <w:p w14:paraId="14F7F43D" w14:textId="77777777" w:rsidR="004C397E" w:rsidRPr="005A5BB7" w:rsidRDefault="004C397E" w:rsidP="005B71B5">
            <w:pPr>
              <w:keepNext/>
              <w:keepLines/>
              <w:jc w:val="left"/>
              <w:rPr>
                <w:rFonts w:ascii="Arial Narrow" w:hAnsi="Arial Narrow"/>
                <w:sz w:val="20"/>
                <w:szCs w:val="20"/>
              </w:rPr>
            </w:pPr>
            <w:r w:rsidRPr="005A5BB7">
              <w:rPr>
                <w:rFonts w:ascii="Arial Narrow" w:hAnsi="Arial Narrow"/>
                <w:sz w:val="20"/>
                <w:szCs w:val="20"/>
              </w:rPr>
              <w:t>Hospitalisation cost per case</w:t>
            </w:r>
          </w:p>
        </w:tc>
        <w:tc>
          <w:tcPr>
            <w:tcW w:w="864" w:type="pct"/>
            <w:vMerge w:val="restart"/>
            <w:shd w:val="clear" w:color="auto" w:fill="C6D9F1" w:themeFill="text2" w:themeFillTint="33"/>
            <w:tcMar>
              <w:left w:w="57" w:type="dxa"/>
              <w:right w:w="57" w:type="dxa"/>
            </w:tcMar>
            <w:vAlign w:val="center"/>
          </w:tcPr>
          <w:p w14:paraId="0761768B" w14:textId="77777777"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$20,091</w:t>
            </w:r>
          </w:p>
        </w:tc>
        <w:tc>
          <w:tcPr>
            <w:tcW w:w="1008" w:type="pct"/>
            <w:vMerge w:val="restart"/>
            <w:shd w:val="clear" w:color="auto" w:fill="C6D9F1" w:themeFill="text2" w:themeFillTint="33"/>
            <w:vAlign w:val="center"/>
          </w:tcPr>
          <w:p w14:paraId="410D76AE" w14:textId="77777777"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$15,525 to $16,693.</w:t>
            </w:r>
          </w:p>
        </w:tc>
        <w:tc>
          <w:tcPr>
            <w:tcW w:w="721" w:type="pct"/>
            <w:vMerge w:val="restart"/>
            <w:shd w:val="clear" w:color="auto" w:fill="C6D9F1" w:themeFill="text2" w:themeFillTint="33"/>
            <w:vAlign w:val="center"/>
          </w:tcPr>
          <w:p w14:paraId="3C8ED64A" w14:textId="77777777"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$12,510</w:t>
            </w:r>
          </w:p>
        </w:tc>
        <w:tc>
          <w:tcPr>
            <w:tcW w:w="1542" w:type="pct"/>
            <w:vAlign w:val="center"/>
          </w:tcPr>
          <w:p w14:paraId="27EA6049" w14:textId="77777777"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≥75 YOA: $14,171 ($12,807 discharged alive and $1,364 died during stay)</w:t>
            </w:r>
          </w:p>
          <w:p w14:paraId="77B21ED8" w14:textId="77777777" w:rsidR="00B34559" w:rsidRPr="005A5BB7" w:rsidRDefault="00B34559" w:rsidP="005B71B5">
            <w:pPr>
              <w:keepNext/>
              <w:keepLines/>
              <w:jc w:val="center"/>
              <w:rPr>
                <w:rFonts w:ascii="Arial Narrow" w:hAnsi="Arial Narrow"/>
                <w:sz w:val="20"/>
                <w:szCs w:val="20"/>
              </w:rPr>
            </w:pPr>
          </w:p>
          <w:p w14:paraId="484CFBB8" w14:textId="7863B283" w:rsidR="00B34559" w:rsidRPr="005A5BB7" w:rsidRDefault="00B34559" w:rsidP="00B34559">
            <w:pPr>
              <w:rPr>
                <w:rFonts w:ascii="Arial Narrow" w:hAnsi="Arial Narrow"/>
                <w:sz w:val="20"/>
                <w:szCs w:val="20"/>
              </w:rPr>
            </w:pPr>
            <w:r w:rsidRPr="005A5BB7">
              <w:rPr>
                <w:rFonts w:ascii="Arial Narrow" w:hAnsi="Arial Narrow"/>
                <w:sz w:val="20"/>
                <w:szCs w:val="20"/>
              </w:rPr>
              <w:t>In July 2025, the PBAC advised the hospital costs should be reduced from $20,091 to $9,900 and ED costs from $1,565 to $1,457 (RSVPreF3 OA July 2025 MINS, paragraph 7.14).</w:t>
            </w:r>
          </w:p>
          <w:p w14:paraId="4EBFAFFF" w14:textId="77777777" w:rsidR="00B34559" w:rsidRPr="005A5BB7" w:rsidRDefault="00B34559" w:rsidP="00B66F02">
            <w:pPr>
              <w:rPr>
                <w:rFonts w:ascii="Arial Narrow" w:hAnsi="Arial Narrow"/>
                <w:sz w:val="20"/>
                <w:szCs w:val="20"/>
              </w:rPr>
            </w:pPr>
          </w:p>
        </w:tc>
      </w:tr>
      <w:tr w:rsidR="004C397E" w:rsidRPr="005A5BB7" w14:paraId="736B6579" w14:textId="77777777" w:rsidTr="00B22976">
        <w:trPr>
          <w:trHeight w:val="250"/>
        </w:trPr>
        <w:tc>
          <w:tcPr>
            <w:tcW w:w="865" w:type="pct"/>
            <w:vMerge/>
            <w:tcMar>
              <w:left w:w="57" w:type="dxa"/>
              <w:right w:w="57" w:type="dxa"/>
            </w:tcMar>
            <w:vAlign w:val="center"/>
          </w:tcPr>
          <w:p w14:paraId="7A075944" w14:textId="77777777" w:rsidR="004C397E" w:rsidRPr="005A5BB7" w:rsidRDefault="004C397E" w:rsidP="005B71B5">
            <w:pPr>
              <w:keepNext/>
              <w:keepLines/>
              <w:jc w:val="left"/>
              <w:rPr>
                <w:rFonts w:ascii="Arial Narrow" w:hAnsi="Arial Narrow"/>
                <w:sz w:val="20"/>
                <w:szCs w:val="20"/>
              </w:rPr>
            </w:pPr>
          </w:p>
        </w:tc>
        <w:tc>
          <w:tcPr>
            <w:tcW w:w="864" w:type="pct"/>
            <w:vMerge/>
            <w:shd w:val="clear" w:color="auto" w:fill="C6D9F1" w:themeFill="text2" w:themeFillTint="33"/>
            <w:tcMar>
              <w:left w:w="57" w:type="dxa"/>
              <w:right w:w="57" w:type="dxa"/>
            </w:tcMar>
            <w:vAlign w:val="center"/>
          </w:tcPr>
          <w:p w14:paraId="06F880AA" w14:textId="77777777" w:rsidR="004C397E" w:rsidRPr="005A5BB7" w:rsidRDefault="004C397E" w:rsidP="005B71B5">
            <w:pPr>
              <w:keepNext/>
              <w:keepLines/>
              <w:jc w:val="center"/>
              <w:rPr>
                <w:rFonts w:ascii="Arial Narrow" w:hAnsi="Arial Narrow"/>
                <w:sz w:val="20"/>
                <w:szCs w:val="20"/>
              </w:rPr>
            </w:pPr>
          </w:p>
        </w:tc>
        <w:tc>
          <w:tcPr>
            <w:tcW w:w="1008" w:type="pct"/>
            <w:vMerge/>
            <w:shd w:val="clear" w:color="auto" w:fill="C6D9F1" w:themeFill="text2" w:themeFillTint="33"/>
            <w:vAlign w:val="center"/>
          </w:tcPr>
          <w:p w14:paraId="066CB016" w14:textId="77777777" w:rsidR="004C397E" w:rsidRPr="005A5BB7" w:rsidRDefault="004C397E" w:rsidP="005B71B5">
            <w:pPr>
              <w:keepNext/>
              <w:keepLines/>
              <w:jc w:val="center"/>
              <w:rPr>
                <w:rFonts w:ascii="Arial Narrow" w:hAnsi="Arial Narrow"/>
                <w:sz w:val="20"/>
                <w:szCs w:val="20"/>
              </w:rPr>
            </w:pPr>
          </w:p>
        </w:tc>
        <w:tc>
          <w:tcPr>
            <w:tcW w:w="721" w:type="pct"/>
            <w:vMerge/>
            <w:shd w:val="clear" w:color="auto" w:fill="C6D9F1" w:themeFill="text2" w:themeFillTint="33"/>
            <w:vAlign w:val="center"/>
          </w:tcPr>
          <w:p w14:paraId="12ABE38F" w14:textId="77777777" w:rsidR="004C397E" w:rsidRPr="005A5BB7" w:rsidRDefault="004C397E" w:rsidP="005B71B5">
            <w:pPr>
              <w:keepNext/>
              <w:keepLines/>
              <w:jc w:val="center"/>
              <w:rPr>
                <w:rFonts w:ascii="Arial Narrow" w:hAnsi="Arial Narrow"/>
                <w:sz w:val="20"/>
                <w:szCs w:val="20"/>
              </w:rPr>
            </w:pPr>
          </w:p>
        </w:tc>
        <w:tc>
          <w:tcPr>
            <w:tcW w:w="1542" w:type="pct"/>
            <w:vAlign w:val="center"/>
          </w:tcPr>
          <w:p w14:paraId="674594D4" w14:textId="69E2826A"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60</w:t>
            </w:r>
            <w:r w:rsidR="000E4816">
              <w:rPr>
                <w:rFonts w:ascii="Arial Narrow" w:hAnsi="Arial Narrow"/>
                <w:sz w:val="20"/>
                <w:szCs w:val="20"/>
              </w:rPr>
              <w:noBreakHyphen/>
            </w:r>
            <w:r w:rsidR="00DE468C" w:rsidRPr="005A5BB7">
              <w:rPr>
                <w:rFonts w:ascii="Arial Narrow" w:hAnsi="Arial Narrow"/>
                <w:sz w:val="20"/>
                <w:szCs w:val="20"/>
              </w:rPr>
              <w:t xml:space="preserve">74 </w:t>
            </w:r>
            <w:r w:rsidRPr="005A5BB7">
              <w:rPr>
                <w:rFonts w:ascii="Arial Narrow" w:hAnsi="Arial Narrow"/>
                <w:sz w:val="20"/>
                <w:szCs w:val="20"/>
              </w:rPr>
              <w:t>YOA at increased risk of severe RSV: $13,967 ($12,951 discharged alive and $1,016 died during stay)</w:t>
            </w:r>
          </w:p>
        </w:tc>
      </w:tr>
      <w:tr w:rsidR="004C397E" w:rsidRPr="005A5BB7" w14:paraId="201CE333" w14:textId="77777777" w:rsidTr="00B22976">
        <w:tc>
          <w:tcPr>
            <w:tcW w:w="865" w:type="pct"/>
            <w:tcMar>
              <w:left w:w="57" w:type="dxa"/>
              <w:right w:w="57" w:type="dxa"/>
            </w:tcMar>
            <w:vAlign w:val="center"/>
          </w:tcPr>
          <w:p w14:paraId="7A20D8B3" w14:textId="77777777" w:rsidR="004C397E" w:rsidRPr="005A5BB7" w:rsidRDefault="004C397E" w:rsidP="005B71B5">
            <w:pPr>
              <w:keepNext/>
              <w:keepLines/>
              <w:jc w:val="left"/>
              <w:rPr>
                <w:rFonts w:ascii="Arial Narrow" w:hAnsi="Arial Narrow"/>
                <w:sz w:val="20"/>
                <w:szCs w:val="20"/>
              </w:rPr>
            </w:pPr>
            <w:r w:rsidRPr="005A5BB7">
              <w:rPr>
                <w:rFonts w:ascii="Arial Narrow" w:hAnsi="Arial Narrow"/>
                <w:sz w:val="20"/>
                <w:szCs w:val="20"/>
              </w:rPr>
              <w:t>Source</w:t>
            </w:r>
          </w:p>
        </w:tc>
        <w:tc>
          <w:tcPr>
            <w:tcW w:w="864" w:type="pct"/>
            <w:shd w:val="clear" w:color="auto" w:fill="C6D9F1" w:themeFill="text2" w:themeFillTint="33"/>
            <w:tcMar>
              <w:left w:w="57" w:type="dxa"/>
              <w:right w:w="57" w:type="dxa"/>
            </w:tcMar>
            <w:vAlign w:val="center"/>
          </w:tcPr>
          <w:p w14:paraId="2E7418EC" w14:textId="4E3F83FD" w:rsidR="004C397E" w:rsidRPr="005A5BB7" w:rsidRDefault="004C397E" w:rsidP="00B523C1">
            <w:pPr>
              <w:keepNext/>
              <w:keepLines/>
              <w:jc w:val="center"/>
              <w:rPr>
                <w:rFonts w:ascii="Arial Narrow" w:hAnsi="Arial Narrow"/>
                <w:sz w:val="20"/>
                <w:szCs w:val="20"/>
              </w:rPr>
            </w:pPr>
            <w:r w:rsidRPr="005A5BB7">
              <w:rPr>
                <w:rFonts w:ascii="Arial Narrow" w:hAnsi="Arial Narrow"/>
                <w:sz w:val="20"/>
                <w:szCs w:val="20"/>
              </w:rPr>
              <w:t>Hitch et al. 2024</w:t>
            </w:r>
          </w:p>
        </w:tc>
        <w:tc>
          <w:tcPr>
            <w:tcW w:w="1008" w:type="pct"/>
            <w:shd w:val="clear" w:color="auto" w:fill="C6D9F1" w:themeFill="text2" w:themeFillTint="33"/>
            <w:vAlign w:val="center"/>
          </w:tcPr>
          <w:p w14:paraId="36ECDC2B" w14:textId="1857CB8D"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AR</w:t>
            </w:r>
            <w:r w:rsidR="000E4816">
              <w:rPr>
                <w:rFonts w:ascii="Arial Narrow" w:hAnsi="Arial Narrow"/>
                <w:sz w:val="20"/>
                <w:szCs w:val="20"/>
              </w:rPr>
              <w:noBreakHyphen/>
            </w:r>
            <w:r w:rsidRPr="005A5BB7">
              <w:rPr>
                <w:rFonts w:ascii="Arial Narrow" w:hAnsi="Arial Narrow"/>
                <w:sz w:val="20"/>
                <w:szCs w:val="20"/>
              </w:rPr>
              <w:t>DRG</w:t>
            </w:r>
            <w:r w:rsidR="000C16E2" w:rsidRPr="005A5BB7">
              <w:rPr>
                <w:rFonts w:ascii="Arial Narrow" w:hAnsi="Arial Narrow"/>
                <w:sz w:val="20"/>
                <w:szCs w:val="20"/>
              </w:rPr>
              <w:t xml:space="preserve"> (NHCDC 2020 – 2021) </w:t>
            </w:r>
            <w:r w:rsidRPr="005A5BB7">
              <w:rPr>
                <w:rFonts w:ascii="Arial Narrow" w:hAnsi="Arial Narrow"/>
                <w:sz w:val="20"/>
                <w:szCs w:val="20"/>
              </w:rPr>
              <w:t>costs inflated by 50%, Hitch et al 2024 (lower confidence interval, not adjusted for inflation) and Brusco et al 2022</w:t>
            </w:r>
          </w:p>
        </w:tc>
        <w:tc>
          <w:tcPr>
            <w:tcW w:w="721" w:type="pct"/>
            <w:shd w:val="clear" w:color="auto" w:fill="C6D9F1" w:themeFill="text2" w:themeFillTint="33"/>
            <w:vAlign w:val="center"/>
          </w:tcPr>
          <w:p w14:paraId="37C72D92" w14:textId="61352EFD"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AR</w:t>
            </w:r>
            <w:r w:rsidR="000E4816">
              <w:rPr>
                <w:rFonts w:ascii="Arial Narrow" w:hAnsi="Arial Narrow"/>
                <w:sz w:val="20"/>
                <w:szCs w:val="20"/>
              </w:rPr>
              <w:noBreakHyphen/>
            </w:r>
            <w:r w:rsidRPr="005A5BB7">
              <w:rPr>
                <w:rFonts w:ascii="Arial Narrow" w:hAnsi="Arial Narrow"/>
                <w:sz w:val="20"/>
                <w:szCs w:val="20"/>
              </w:rPr>
              <w:t>DRG E62A data</w:t>
            </w:r>
            <w:r w:rsidR="000C16E2" w:rsidRPr="005A5BB7">
              <w:rPr>
                <w:rFonts w:ascii="Arial Narrow" w:hAnsi="Arial Narrow"/>
                <w:sz w:val="20"/>
                <w:szCs w:val="20"/>
              </w:rPr>
              <w:t xml:space="preserve"> (NHCDC 2020 – 2021)</w:t>
            </w:r>
            <w:r w:rsidRPr="005A5BB7">
              <w:rPr>
                <w:rFonts w:ascii="Arial Narrow" w:hAnsi="Arial Narrow"/>
                <w:sz w:val="20"/>
                <w:szCs w:val="20"/>
              </w:rPr>
              <w:t xml:space="preserve"> adjusted to 2025 value</w:t>
            </w:r>
          </w:p>
        </w:tc>
        <w:tc>
          <w:tcPr>
            <w:tcW w:w="1542" w:type="pct"/>
            <w:vAlign w:val="center"/>
          </w:tcPr>
          <w:p w14:paraId="6AB60905" w14:textId="6E12831C" w:rsidR="00EE40AE" w:rsidRPr="005A5BB7" w:rsidRDefault="00EE40AE" w:rsidP="005B71B5">
            <w:pPr>
              <w:keepNext/>
              <w:keepLines/>
              <w:jc w:val="center"/>
              <w:rPr>
                <w:rFonts w:ascii="Arial Narrow" w:hAnsi="Arial Narrow"/>
                <w:sz w:val="20"/>
                <w:szCs w:val="20"/>
              </w:rPr>
            </w:pPr>
            <w:r w:rsidRPr="005A5BB7">
              <w:rPr>
                <w:rFonts w:ascii="Arial Narrow" w:hAnsi="Arial Narrow"/>
                <w:sz w:val="20"/>
                <w:szCs w:val="20"/>
              </w:rPr>
              <w:t>AR</w:t>
            </w:r>
            <w:r w:rsidR="000E4816">
              <w:rPr>
                <w:rFonts w:ascii="Arial Narrow" w:hAnsi="Arial Narrow"/>
                <w:sz w:val="20"/>
                <w:szCs w:val="20"/>
              </w:rPr>
              <w:noBreakHyphen/>
            </w:r>
            <w:r w:rsidRPr="005A5BB7">
              <w:rPr>
                <w:rFonts w:ascii="Arial Narrow" w:hAnsi="Arial Narrow"/>
                <w:sz w:val="20"/>
                <w:szCs w:val="20"/>
              </w:rPr>
              <w:t xml:space="preserve">DRG (NHCDC 2020 – 2021) </w:t>
            </w:r>
          </w:p>
          <w:p w14:paraId="6F2C0C9C" w14:textId="000C1609"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 xml:space="preserve">Discharged alive: E62A. </w:t>
            </w:r>
          </w:p>
          <w:p w14:paraId="1B4E2638" w14:textId="6AD08292" w:rsidR="004C397E" w:rsidRPr="005A5BB7" w:rsidRDefault="004C397E" w:rsidP="005B71B5">
            <w:pPr>
              <w:keepNext/>
              <w:keepLines/>
              <w:jc w:val="center"/>
              <w:rPr>
                <w:rFonts w:ascii="Arial Narrow" w:hAnsi="Arial Narrow"/>
                <w:sz w:val="20"/>
                <w:szCs w:val="20"/>
              </w:rPr>
            </w:pPr>
            <w:r w:rsidRPr="005A5BB7">
              <w:rPr>
                <w:rFonts w:ascii="Arial Narrow" w:hAnsi="Arial Narrow"/>
                <w:sz w:val="20"/>
                <w:szCs w:val="20"/>
              </w:rPr>
              <w:t>Cost of death: E62, E40, and E41</w:t>
            </w:r>
          </w:p>
        </w:tc>
      </w:tr>
    </w:tbl>
    <w:p w14:paraId="0F44DF7E" w14:textId="5C2DFA32" w:rsidR="004C397E" w:rsidRPr="005A5BB7" w:rsidRDefault="004C397E" w:rsidP="004C397E">
      <w:pPr>
        <w:rPr>
          <w:rFonts w:ascii="Arial Narrow" w:hAnsi="Arial Narrow"/>
          <w:sz w:val="18"/>
          <w:szCs w:val="18"/>
        </w:rPr>
      </w:pPr>
      <w:r w:rsidRPr="005A5BB7">
        <w:rPr>
          <w:rFonts w:ascii="Arial Narrow" w:hAnsi="Arial Narrow"/>
          <w:sz w:val="18"/>
          <w:szCs w:val="18"/>
        </w:rPr>
        <w:t xml:space="preserve">Source: </w:t>
      </w:r>
      <w:r w:rsidRPr="005A5BB7">
        <w:rPr>
          <w:rFonts w:ascii="Arial Narrow" w:hAnsi="Arial Narrow"/>
          <w:bCs/>
          <w:sz w:val="18"/>
          <w:szCs w:val="18"/>
        </w:rPr>
        <w:t xml:space="preserve">The economic model presented in the March 2026 resubmission; Table 13, 16, RSFPreF3 OA PSD, July 2025 PBAC meeting. </w:t>
      </w:r>
    </w:p>
    <w:p w14:paraId="603E8E95" w14:textId="0436E6EA" w:rsidR="004C397E" w:rsidRPr="005A5BB7" w:rsidRDefault="004C397E" w:rsidP="004C397E">
      <w:pPr>
        <w:rPr>
          <w:rFonts w:ascii="Arial Narrow" w:hAnsi="Arial Narrow"/>
          <w:sz w:val="18"/>
          <w:szCs w:val="18"/>
        </w:rPr>
      </w:pPr>
      <w:r w:rsidRPr="005A5BB7">
        <w:rPr>
          <w:rFonts w:ascii="Arial Narrow" w:hAnsi="Arial Narrow"/>
          <w:sz w:val="18"/>
          <w:szCs w:val="18"/>
        </w:rPr>
        <w:t>AR</w:t>
      </w:r>
      <w:r w:rsidR="000E4816">
        <w:rPr>
          <w:rFonts w:ascii="Arial Narrow" w:hAnsi="Arial Narrow"/>
          <w:sz w:val="18"/>
          <w:szCs w:val="18"/>
        </w:rPr>
        <w:noBreakHyphen/>
      </w:r>
      <w:r w:rsidRPr="005A5BB7">
        <w:rPr>
          <w:rFonts w:ascii="Arial Narrow" w:hAnsi="Arial Narrow"/>
          <w:sz w:val="18"/>
          <w:szCs w:val="18"/>
        </w:rPr>
        <w:t xml:space="preserve">DRG = Australian Refined Diagnosis Related Groups; </w:t>
      </w:r>
      <w:r w:rsidR="007E39EB" w:rsidRPr="005A5BB7">
        <w:rPr>
          <w:rFonts w:ascii="Arial Narrow" w:hAnsi="Arial Narrow"/>
          <w:sz w:val="18"/>
          <w:szCs w:val="18"/>
        </w:rPr>
        <w:t xml:space="preserve">NHCDC = National Hospital Cost Data Collection; </w:t>
      </w:r>
      <w:r w:rsidRPr="005A5BB7">
        <w:rPr>
          <w:rFonts w:ascii="Arial Narrow" w:hAnsi="Arial Narrow"/>
          <w:sz w:val="18"/>
          <w:szCs w:val="18"/>
        </w:rPr>
        <w:t>PBAC = Pharmaceutical Benefits Advisory Committee; PSCR = Pre</w:t>
      </w:r>
      <w:r w:rsidR="000E4816">
        <w:rPr>
          <w:rFonts w:ascii="Arial Narrow" w:hAnsi="Arial Narrow"/>
          <w:sz w:val="18"/>
          <w:szCs w:val="18"/>
        </w:rPr>
        <w:noBreakHyphen/>
      </w:r>
      <w:r w:rsidRPr="005A5BB7">
        <w:rPr>
          <w:rFonts w:ascii="Arial Narrow" w:hAnsi="Arial Narrow"/>
          <w:sz w:val="18"/>
          <w:szCs w:val="18"/>
        </w:rPr>
        <w:t>subcommittee response; RSV = respiratory syncytial virus; YOA = years of age</w:t>
      </w:r>
    </w:p>
    <w:p w14:paraId="5AF0D19B" w14:textId="77777777" w:rsidR="004C397E" w:rsidRPr="005A5BB7" w:rsidRDefault="004C397E" w:rsidP="004C397E">
      <w:pPr>
        <w:rPr>
          <w:rFonts w:ascii="Arial Narrow" w:hAnsi="Arial Narrow"/>
          <w:iCs/>
          <w:sz w:val="18"/>
          <w:szCs w:val="18"/>
        </w:rPr>
      </w:pPr>
      <w:proofErr w:type="spellStart"/>
      <w:r w:rsidRPr="005A5BB7">
        <w:rPr>
          <w:rFonts w:ascii="Arial Narrow" w:hAnsi="Arial Narrow"/>
          <w:iCs/>
          <w:sz w:val="18"/>
          <w:szCs w:val="18"/>
          <w:vertAlign w:val="superscript"/>
        </w:rPr>
        <w:t>a</w:t>
      </w:r>
      <w:proofErr w:type="spellEnd"/>
      <w:r w:rsidRPr="005A5BB7">
        <w:rPr>
          <w:rFonts w:ascii="Arial Narrow" w:hAnsi="Arial Narrow"/>
          <w:iCs/>
          <w:sz w:val="18"/>
          <w:szCs w:val="18"/>
          <w:vertAlign w:val="superscript"/>
        </w:rPr>
        <w:t xml:space="preserve"> </w:t>
      </w:r>
      <w:r w:rsidRPr="005A5BB7">
        <w:rPr>
          <w:rFonts w:ascii="Arial Narrow" w:hAnsi="Arial Narrow"/>
          <w:iCs/>
          <w:sz w:val="18"/>
          <w:szCs w:val="18"/>
        </w:rPr>
        <w:t>These numbers were taken from the economic model worksheet, as the figures in the resubmission are inconsistent across the document.</w:t>
      </w:r>
    </w:p>
    <w:p w14:paraId="63A5FB3A" w14:textId="7B555C41" w:rsidR="004C397E" w:rsidRPr="005A5BB7" w:rsidRDefault="00487534" w:rsidP="004C397E">
      <w:pPr>
        <w:pStyle w:val="FooterTableFigure"/>
        <w:rPr>
          <w:bCs/>
          <w:iCs/>
          <w:szCs w:val="18"/>
        </w:rPr>
      </w:pPr>
      <w:r w:rsidRPr="005A5BB7">
        <w:t>Blue shading</w:t>
      </w:r>
      <w:r w:rsidR="004C397E" w:rsidRPr="005A5BB7">
        <w:rPr>
          <w:rStyle w:val="CommentReference"/>
          <w:b w:val="0"/>
          <w:bCs/>
          <w:iCs/>
          <w:sz w:val="18"/>
          <w:szCs w:val="18"/>
        </w:rPr>
        <w:t xml:space="preserve"> indicates data previously seen by the PBAC. </w:t>
      </w:r>
    </w:p>
    <w:p w14:paraId="51166643" w14:textId="0DC08BB4" w:rsidR="0092309C" w:rsidRPr="005A5BB7" w:rsidRDefault="004C397E" w:rsidP="0092309C">
      <w:pPr>
        <w:pStyle w:val="3-BodyText"/>
      </w:pPr>
      <w:r w:rsidRPr="005A5BB7">
        <w:t xml:space="preserve">The resubmission did not agree with the PBAC’s advice regarding </w:t>
      </w:r>
      <w:r w:rsidR="00150415" w:rsidRPr="005A5BB7">
        <w:t xml:space="preserve">application of a </w:t>
      </w:r>
      <w:r w:rsidRPr="005A5BB7">
        <w:t>hospitalisation cost of $9,990, (paragraph 7.14, RSVPreF3 OA PSD, July 2025 PBAC meeting)</w:t>
      </w:r>
      <w:r w:rsidR="00150415" w:rsidRPr="005A5BB7">
        <w:t>, applying a higher</w:t>
      </w:r>
      <w:r w:rsidRPr="005A5BB7">
        <w:t xml:space="preserve"> cost of $14,171 for ≥75 YOA (and $13,967 for 60</w:t>
      </w:r>
      <w:r w:rsidR="000E4816">
        <w:noBreakHyphen/>
      </w:r>
      <w:r w:rsidR="00DE468C" w:rsidRPr="005A5BB7">
        <w:t xml:space="preserve">74 </w:t>
      </w:r>
      <w:r w:rsidRPr="005A5BB7">
        <w:t>YOA at increased risk of severe RSV). The resubmission argued that</w:t>
      </w:r>
      <w:r w:rsidR="00591CB2" w:rsidRPr="005A5BB7">
        <w:t xml:space="preserve"> </w:t>
      </w:r>
      <w:r w:rsidR="007209AA" w:rsidRPr="005A5BB7">
        <w:t xml:space="preserve">the </w:t>
      </w:r>
      <w:r w:rsidR="00591CB2" w:rsidRPr="005A5BB7">
        <w:t>Australian Refined Diagnosis</w:t>
      </w:r>
      <w:r w:rsidR="00591CB2" w:rsidRPr="005A5BB7">
        <w:rPr>
          <w:rFonts w:ascii="Cambria Math" w:hAnsi="Cambria Math" w:cs="Cambria Math"/>
        </w:rPr>
        <w:t>‑</w:t>
      </w:r>
      <w:r w:rsidR="00591CB2" w:rsidRPr="005A5BB7">
        <w:t>Related Groups (AR</w:t>
      </w:r>
      <w:r w:rsidR="000E4816">
        <w:noBreakHyphen/>
      </w:r>
      <w:r w:rsidR="00591CB2" w:rsidRPr="005A5BB7">
        <w:t>DRG)</w:t>
      </w:r>
      <w:r w:rsidRPr="005A5BB7">
        <w:t xml:space="preserve"> E62A/B</w:t>
      </w:r>
      <w:r w:rsidR="000A5772" w:rsidRPr="005A5BB7">
        <w:t xml:space="preserve"> from the National Hospital Cost Data Collection (NHCDC)</w:t>
      </w:r>
      <w:r w:rsidRPr="005A5BB7">
        <w:t xml:space="preserve">, used as a basis for the </w:t>
      </w:r>
      <w:r w:rsidR="00E12E36" w:rsidRPr="005A5BB7">
        <w:t xml:space="preserve">previous </w:t>
      </w:r>
      <w:r w:rsidRPr="005A5BB7">
        <w:t>PBAC’s suggested estimate of the hospitalisation costs, reflects general ward costs only, citing the PBAC’s considerations of COVID</w:t>
      </w:r>
      <w:r w:rsidR="000E4816">
        <w:noBreakHyphen/>
      </w:r>
      <w:r w:rsidRPr="005A5BB7">
        <w:t>19 therapeutics (molnupiravir</w:t>
      </w:r>
      <w:r w:rsidR="008C076B" w:rsidRPr="005A5BB7">
        <w:t xml:space="preserve"> PSD, </w:t>
      </w:r>
      <w:r w:rsidR="009F7728" w:rsidRPr="005A5BB7">
        <w:t>July and November 2023 PBAC meeting</w:t>
      </w:r>
      <w:r w:rsidR="00362DD7" w:rsidRPr="005A5BB7">
        <w:t>,</w:t>
      </w:r>
      <w:r w:rsidRPr="005A5BB7">
        <w:t xml:space="preserve"> and </w:t>
      </w:r>
      <w:proofErr w:type="spellStart"/>
      <w:r w:rsidR="000B0D44" w:rsidRPr="005A5BB7">
        <w:t>raxtozinameran</w:t>
      </w:r>
      <w:proofErr w:type="spellEnd"/>
      <w:r w:rsidR="000B0D44" w:rsidRPr="005A5BB7">
        <w:t xml:space="preserve"> PSD, May 2025 PBAC meeting</w:t>
      </w:r>
      <w:r w:rsidR="000B0D44" w:rsidRPr="005A5BB7" w:rsidDel="000B0D44">
        <w:t xml:space="preserve"> </w:t>
      </w:r>
      <w:r w:rsidRPr="005A5BB7">
        <w:t xml:space="preserve">). It also noted that </w:t>
      </w:r>
      <w:r w:rsidR="00EF2345" w:rsidRPr="005A5BB7">
        <w:t xml:space="preserve">additional data </w:t>
      </w:r>
      <w:r w:rsidR="00E12F04" w:rsidRPr="005A5BB7">
        <w:t>from</w:t>
      </w:r>
      <w:r w:rsidRPr="005A5BB7">
        <w:t xml:space="preserve"> AIHW</w:t>
      </w:r>
      <w:r w:rsidR="005D4E07" w:rsidRPr="005A5BB7">
        <w:rPr>
          <w:rStyle w:val="FootnoteReference"/>
        </w:rPr>
        <w:footnoteReference w:id="13"/>
      </w:r>
      <w:r w:rsidRPr="005A5BB7">
        <w:t xml:space="preserve"> </w:t>
      </w:r>
      <w:r w:rsidR="00E12F04" w:rsidRPr="005A5BB7">
        <w:t>suggest</w:t>
      </w:r>
      <w:r w:rsidR="00CC2601" w:rsidRPr="005A5BB7">
        <w:t>ed</w:t>
      </w:r>
      <w:r w:rsidRPr="005A5BB7">
        <w:t xml:space="preserve"> a longer length of stay</w:t>
      </w:r>
      <w:r w:rsidR="00B2513A" w:rsidRPr="005A5BB7">
        <w:t xml:space="preserve"> </w:t>
      </w:r>
      <w:r w:rsidR="00DA07AA" w:rsidRPr="005A5BB7">
        <w:t xml:space="preserve">(LOS) </w:t>
      </w:r>
      <w:r w:rsidR="00B2513A" w:rsidRPr="005A5BB7">
        <w:t>for RSV hospitalisations</w:t>
      </w:r>
      <w:r w:rsidRPr="005A5BB7">
        <w:t xml:space="preserve"> (</w:t>
      </w:r>
      <w:r w:rsidR="00961570" w:rsidRPr="005A5BB7">
        <w:t>60</w:t>
      </w:r>
      <w:r w:rsidR="000E4816">
        <w:noBreakHyphen/>
      </w:r>
      <w:r w:rsidR="00961570" w:rsidRPr="005A5BB7">
        <w:t>64 YOA: 6.2 days, 65</w:t>
      </w:r>
      <w:r w:rsidR="000E4816">
        <w:noBreakHyphen/>
      </w:r>
      <w:r w:rsidR="00961570" w:rsidRPr="005A5BB7">
        <w:t>69 YOA: 6.3 days, 6.8 to 7.6 days for ≥75 YOA</w:t>
      </w:r>
      <w:r w:rsidRPr="005A5BB7">
        <w:t>) compared to the weighted</w:t>
      </w:r>
      <w:r w:rsidR="00D27DAB" w:rsidRPr="005A5BB7">
        <w:t xml:space="preserve"> </w:t>
      </w:r>
      <w:r w:rsidRPr="005A5BB7">
        <w:t>LOS for</w:t>
      </w:r>
      <w:r w:rsidR="00295C09" w:rsidRPr="005A5BB7">
        <w:t xml:space="preserve"> AR</w:t>
      </w:r>
      <w:r w:rsidR="000E4816">
        <w:noBreakHyphen/>
      </w:r>
      <w:r w:rsidR="00295C09" w:rsidRPr="005A5BB7">
        <w:t>DRG</w:t>
      </w:r>
      <w:r w:rsidRPr="005A5BB7">
        <w:t xml:space="preserve"> E62A/B</w:t>
      </w:r>
      <w:r w:rsidR="00F63EE3" w:rsidRPr="005A5BB7">
        <w:t xml:space="preserve"> </w:t>
      </w:r>
      <w:r w:rsidR="00D27DAB" w:rsidRPr="005A5BB7">
        <w:t>(</w:t>
      </w:r>
      <w:r w:rsidR="005A6D36" w:rsidRPr="005A5BB7">
        <w:t>4.4 days</w:t>
      </w:r>
      <w:r w:rsidR="00D27DAB" w:rsidRPr="005A5BB7">
        <w:t xml:space="preserve">) </w:t>
      </w:r>
      <w:r w:rsidR="00F63EE3" w:rsidRPr="005A5BB7">
        <w:t xml:space="preserve">from the </w:t>
      </w:r>
      <w:r w:rsidR="00CC225C" w:rsidRPr="005A5BB7">
        <w:t xml:space="preserve">National </w:t>
      </w:r>
      <w:r w:rsidR="00F63EE3" w:rsidRPr="005A5BB7">
        <w:t>NHCDC</w:t>
      </w:r>
      <w:r w:rsidRPr="005A5BB7">
        <w:t xml:space="preserve">. Given the similarity between the mean LOS for E62A </w:t>
      </w:r>
      <w:r w:rsidR="00DC0DCB" w:rsidRPr="005A5BB7">
        <w:t>(</w:t>
      </w:r>
      <w:r w:rsidR="00A51AF6" w:rsidRPr="005A5BB7">
        <w:t>5.9 days</w:t>
      </w:r>
      <w:r w:rsidR="00295C09" w:rsidRPr="005A5BB7">
        <w:t>; NHCDC</w:t>
      </w:r>
      <w:r w:rsidR="00DC0DCB" w:rsidRPr="005A5BB7">
        <w:t xml:space="preserve">) </w:t>
      </w:r>
      <w:r w:rsidRPr="005A5BB7">
        <w:t xml:space="preserve">and that reported by </w:t>
      </w:r>
      <w:r w:rsidRPr="005A5BB7">
        <w:lastRenderedPageBreak/>
        <w:t xml:space="preserve">AIHW, the resubmission assumed hospitalisation costs should be derived from E62A alone. </w:t>
      </w:r>
      <w:r w:rsidR="00CA0E2B" w:rsidRPr="005A5BB7">
        <w:t>Th</w:t>
      </w:r>
      <w:r w:rsidR="000B2658" w:rsidRPr="005A5BB7">
        <w:t xml:space="preserve">e evaluation considered this </w:t>
      </w:r>
      <w:r w:rsidR="00CA0E2B" w:rsidRPr="005A5BB7">
        <w:t xml:space="preserve">assumption </w:t>
      </w:r>
      <w:r w:rsidR="000B2658" w:rsidRPr="005A5BB7">
        <w:t>wa</w:t>
      </w:r>
      <w:r w:rsidR="00CA0E2B" w:rsidRPr="005A5BB7">
        <w:t>s not reasonable, as it selectively excludes lower</w:t>
      </w:r>
      <w:r w:rsidR="00CA0E2B" w:rsidRPr="005A5BB7">
        <w:rPr>
          <w:rFonts w:ascii="Cambria Math" w:hAnsi="Cambria Math" w:cs="Cambria Math"/>
        </w:rPr>
        <w:t>‑</w:t>
      </w:r>
      <w:r w:rsidR="00CA0E2B" w:rsidRPr="005A5BB7">
        <w:t>complexity E62B cases and inflates costs.</w:t>
      </w:r>
      <w:r w:rsidR="008769C8" w:rsidRPr="005A5BB7">
        <w:t xml:space="preserve"> The resubmission further</w:t>
      </w:r>
      <w:r w:rsidRPr="005A5BB7">
        <w:t xml:space="preserve"> included the cost of death during hospitalisation within the overall hospitalisation cost, arguing this was consistent with the approach taken in the </w:t>
      </w:r>
      <w:proofErr w:type="spellStart"/>
      <w:r w:rsidRPr="005A5BB7">
        <w:t>raxtozinameran</w:t>
      </w:r>
      <w:proofErr w:type="spellEnd"/>
      <w:r w:rsidRPr="005A5BB7">
        <w:t xml:space="preserve"> consideration (E62, E40, and E41). The updated estimates are not consistent with the hospitalisation costs accepted by the PBAC </w:t>
      </w:r>
      <w:r w:rsidR="00090E3A" w:rsidRPr="005A5BB7">
        <w:t xml:space="preserve">in </w:t>
      </w:r>
      <w:r w:rsidRPr="005A5BB7">
        <w:t>the context of RSV vaccines</w:t>
      </w:r>
      <w:r w:rsidR="00983E65" w:rsidRPr="005A5BB7">
        <w:t>.</w:t>
      </w:r>
      <w:r w:rsidR="00090E3A" w:rsidRPr="005A5BB7">
        <w:t xml:space="preserve"> </w:t>
      </w:r>
      <w:r w:rsidR="00466C08" w:rsidRPr="005A5BB7">
        <w:t>The other economic evaluations cited in the resubmission utilised different model designs</w:t>
      </w:r>
      <w:r w:rsidR="00A474A5" w:rsidRPr="005A5BB7">
        <w:t xml:space="preserve"> (e.g., it had a separate ICU health state</w:t>
      </w:r>
      <w:r w:rsidR="00F97D2F" w:rsidRPr="005A5BB7">
        <w:t xml:space="preserve">; Table 14, </w:t>
      </w:r>
      <w:proofErr w:type="spellStart"/>
      <w:r w:rsidR="000B0D44" w:rsidRPr="005A5BB7">
        <w:t>raxtozinameran</w:t>
      </w:r>
      <w:proofErr w:type="spellEnd"/>
      <w:r w:rsidR="000B0D44" w:rsidRPr="005A5BB7">
        <w:t xml:space="preserve"> PSD, May 2025 PBAC meeting</w:t>
      </w:r>
      <w:r w:rsidR="00A474A5" w:rsidRPr="005A5BB7">
        <w:t>)</w:t>
      </w:r>
      <w:r w:rsidR="00466C08" w:rsidRPr="005A5BB7">
        <w:t>.</w:t>
      </w:r>
      <w:r w:rsidR="00DA1339">
        <w:t xml:space="preserve"> </w:t>
      </w:r>
      <w:r w:rsidR="0092309C" w:rsidRPr="005A5BB7">
        <w:t xml:space="preserve">In </w:t>
      </w:r>
      <w:r w:rsidR="00466C08" w:rsidRPr="005A5BB7">
        <w:t xml:space="preserve">the </w:t>
      </w:r>
      <w:r w:rsidR="0092309C" w:rsidRPr="005A5BB7">
        <w:t>July 2025</w:t>
      </w:r>
      <w:r w:rsidR="00466C08" w:rsidRPr="005A5BB7">
        <w:t xml:space="preserve"> consideration of RSVPreF3 OA</w:t>
      </w:r>
      <w:r w:rsidR="0092309C" w:rsidRPr="005A5BB7">
        <w:t xml:space="preserve">, the PBAC advised the hospital costs should be reduced from $20,091 to $9,900 and ED costs from $1,565 to $1,457 (RSVPreF3 OA July 2025 </w:t>
      </w:r>
      <w:r w:rsidR="00687F06">
        <w:t>PSD</w:t>
      </w:r>
      <w:r w:rsidR="0092309C" w:rsidRPr="005A5BB7">
        <w:t xml:space="preserve">, paragraph 7.14). In December 2025, the PBAC accepted RSV hospitalisation cost: $10,045 (vs $9,900 in July 2025); and </w:t>
      </w:r>
      <w:r w:rsidR="007F124A" w:rsidRPr="005A5BB7">
        <w:t>ED</w:t>
      </w:r>
      <w:r w:rsidR="0092309C" w:rsidRPr="005A5BB7">
        <w:t xml:space="preserve"> visit cost: $1,478 (vs $1,457 in July 2025).</w:t>
      </w:r>
    </w:p>
    <w:p w14:paraId="1FAB4BA2" w14:textId="628315A2" w:rsidR="000D4EC2" w:rsidRPr="005A5BB7" w:rsidRDefault="000D4EC2" w:rsidP="0092309C">
      <w:pPr>
        <w:pStyle w:val="3-BodyText"/>
        <w:rPr>
          <w:iCs/>
        </w:rPr>
      </w:pPr>
      <w:r w:rsidRPr="005A5BB7">
        <w:rPr>
          <w:iCs/>
        </w:rPr>
        <w:t>The PSCR did not agree with the evaluation’s assessment that using E62A alone inflates hospitalisation costs by excluding lower complexity E62B cases. The PSCR maintain</w:t>
      </w:r>
      <w:r w:rsidR="00983E65" w:rsidRPr="005A5BB7">
        <w:rPr>
          <w:iCs/>
        </w:rPr>
        <w:t>ed</w:t>
      </w:r>
      <w:r w:rsidRPr="005A5BB7">
        <w:rPr>
          <w:iCs/>
        </w:rPr>
        <w:t xml:space="preserve"> that E62A plus the cost of in hospital death is the most appropriate representation of RSV hospitalisation cost. The PSCR </w:t>
      </w:r>
      <w:r w:rsidR="00983E65" w:rsidRPr="005A5BB7">
        <w:rPr>
          <w:iCs/>
        </w:rPr>
        <w:t xml:space="preserve">reiterated the sponsor’s claim </w:t>
      </w:r>
      <w:r w:rsidR="00577CBD" w:rsidRPr="005A5BB7">
        <w:rPr>
          <w:iCs/>
        </w:rPr>
        <w:t xml:space="preserve">based on LOS discussed in the paragraph above. </w:t>
      </w:r>
      <w:r w:rsidRPr="005A5BB7">
        <w:rPr>
          <w:iCs/>
        </w:rPr>
        <w:t xml:space="preserve">The </w:t>
      </w:r>
      <w:r w:rsidR="00577CBD" w:rsidRPr="005A5BB7">
        <w:rPr>
          <w:iCs/>
        </w:rPr>
        <w:t xml:space="preserve">ESC noted that costing based on the </w:t>
      </w:r>
      <w:r w:rsidRPr="005A5BB7">
        <w:rPr>
          <w:iCs/>
        </w:rPr>
        <w:t>weighted AR</w:t>
      </w:r>
      <w:r w:rsidRPr="005A5BB7">
        <w:rPr>
          <w:rFonts w:ascii="Cambria Math" w:hAnsi="Cambria Math" w:cs="Cambria Math"/>
          <w:iCs/>
        </w:rPr>
        <w:t>‑</w:t>
      </w:r>
      <w:r w:rsidRPr="005A5BB7">
        <w:rPr>
          <w:iCs/>
        </w:rPr>
        <w:t>DRG E62A/B grouping has been considered suitable for representing RSV</w:t>
      </w:r>
      <w:r w:rsidRPr="005A5BB7">
        <w:rPr>
          <w:rFonts w:ascii="Cambria Math" w:hAnsi="Cambria Math" w:cs="Cambria Math"/>
          <w:iCs/>
        </w:rPr>
        <w:t>‑</w:t>
      </w:r>
      <w:r w:rsidRPr="005A5BB7">
        <w:rPr>
          <w:iCs/>
        </w:rPr>
        <w:t>related hospitalisations and has been accepted by the PBAC (RSV</w:t>
      </w:r>
      <w:r w:rsidR="00836E4E" w:rsidRPr="005A5BB7">
        <w:rPr>
          <w:iCs/>
        </w:rPr>
        <w:t>p</w:t>
      </w:r>
      <w:r w:rsidRPr="005A5BB7">
        <w:rPr>
          <w:iCs/>
        </w:rPr>
        <w:t>reF Nov 2024, RSVPreF3 OA Jul 2024). ICU and ventilation costs are already embedded within the NHCDC cost data, including within E62A/B, and therefore do not require separate inclusion.</w:t>
      </w:r>
    </w:p>
    <w:p w14:paraId="7BDFBD59" w14:textId="607EBB73" w:rsidR="00293514" w:rsidRPr="005A5BB7" w:rsidRDefault="00582DBB" w:rsidP="00293514">
      <w:pPr>
        <w:pStyle w:val="3-BodyText"/>
        <w:rPr>
          <w:iCs/>
        </w:rPr>
      </w:pPr>
      <w:r w:rsidRPr="005A5BB7">
        <w:rPr>
          <w:iCs/>
        </w:rPr>
        <w:t xml:space="preserve">The ESC </w:t>
      </w:r>
      <w:r w:rsidR="00577CBD" w:rsidRPr="005A5BB7">
        <w:rPr>
          <w:iCs/>
        </w:rPr>
        <w:t xml:space="preserve">also </w:t>
      </w:r>
      <w:r w:rsidRPr="005A5BB7">
        <w:rPr>
          <w:iCs/>
        </w:rPr>
        <w:t xml:space="preserve">noted that </w:t>
      </w:r>
      <w:r w:rsidR="00260295" w:rsidRPr="005A5BB7">
        <w:rPr>
          <w:iCs/>
        </w:rPr>
        <w:t>the sponsor</w:t>
      </w:r>
      <w:r w:rsidRPr="005A5BB7">
        <w:rPr>
          <w:iCs/>
        </w:rPr>
        <w:t xml:space="preserve"> had previously proposed this method for adjusting </w:t>
      </w:r>
      <w:r w:rsidR="00021603" w:rsidRPr="005A5BB7">
        <w:rPr>
          <w:iCs/>
        </w:rPr>
        <w:t xml:space="preserve">RSV </w:t>
      </w:r>
      <w:r w:rsidRPr="005A5BB7">
        <w:rPr>
          <w:iCs/>
        </w:rPr>
        <w:t xml:space="preserve">hospitalisation costs in its July 2024 </w:t>
      </w:r>
      <w:r w:rsidR="005A2FE2" w:rsidRPr="005A5BB7">
        <w:rPr>
          <w:iCs/>
        </w:rPr>
        <w:t>(</w:t>
      </w:r>
      <w:r w:rsidR="004144D8" w:rsidRPr="004144D8">
        <w:rPr>
          <w:iCs/>
        </w:rPr>
        <w:t xml:space="preserve">paragraph </w:t>
      </w:r>
      <w:r w:rsidR="004144D8">
        <w:rPr>
          <w:iCs/>
        </w:rPr>
        <w:t>6.68</w:t>
      </w:r>
      <w:r w:rsidR="004144D8" w:rsidRPr="004144D8">
        <w:rPr>
          <w:iCs/>
        </w:rPr>
        <w:t>, RSVPreF3 OA PSD, July 2024</w:t>
      </w:r>
      <w:r w:rsidR="00975507">
        <w:rPr>
          <w:iCs/>
        </w:rPr>
        <w:t xml:space="preserve"> PBAC meeting</w:t>
      </w:r>
      <w:r w:rsidR="005A2FE2" w:rsidRPr="005A5BB7">
        <w:rPr>
          <w:iCs/>
        </w:rPr>
        <w:t xml:space="preserve">) </w:t>
      </w:r>
      <w:r w:rsidRPr="005A5BB7">
        <w:rPr>
          <w:iCs/>
        </w:rPr>
        <w:t>and July 2025 submissions</w:t>
      </w:r>
      <w:r w:rsidR="005A2FE2" w:rsidRPr="005A5BB7">
        <w:rPr>
          <w:iCs/>
        </w:rPr>
        <w:t xml:space="preserve"> (</w:t>
      </w:r>
      <w:r w:rsidR="00E75AD4" w:rsidRPr="00E75AD4">
        <w:rPr>
          <w:iCs/>
        </w:rPr>
        <w:t xml:space="preserve">paragraph </w:t>
      </w:r>
      <w:r w:rsidR="00E75AD4">
        <w:rPr>
          <w:iCs/>
        </w:rPr>
        <w:t>6.69</w:t>
      </w:r>
      <w:r w:rsidR="00E75AD4" w:rsidRPr="00E75AD4">
        <w:rPr>
          <w:iCs/>
        </w:rPr>
        <w:t>, RSVPreF3 OA PSD, July 2025 PBAC meeting</w:t>
      </w:r>
      <w:r w:rsidR="005A2FE2" w:rsidRPr="005A5BB7">
        <w:rPr>
          <w:iCs/>
        </w:rPr>
        <w:t>)</w:t>
      </w:r>
      <w:r w:rsidR="0086774F" w:rsidRPr="005A5BB7">
        <w:rPr>
          <w:iCs/>
        </w:rPr>
        <w:t>.</w:t>
      </w:r>
      <w:r w:rsidR="00DA1339">
        <w:rPr>
          <w:iCs/>
        </w:rPr>
        <w:t xml:space="preserve"> </w:t>
      </w:r>
      <w:r w:rsidR="0086774F" w:rsidRPr="005A5BB7">
        <w:rPr>
          <w:iCs/>
        </w:rPr>
        <w:t>Consistent with its previous advice t</w:t>
      </w:r>
      <w:r w:rsidRPr="005A5BB7">
        <w:rPr>
          <w:iCs/>
        </w:rPr>
        <w:t xml:space="preserve">he ESC noted that NHCDC cost weights already account for more severe cases and LOS, and therefore </w:t>
      </w:r>
      <w:r w:rsidR="0086774F" w:rsidRPr="005A5BB7">
        <w:rPr>
          <w:iCs/>
        </w:rPr>
        <w:t>the adjustments proposed by the resubmission were not appropriate.</w:t>
      </w:r>
      <w:r w:rsidR="00DA1339">
        <w:rPr>
          <w:iCs/>
        </w:rPr>
        <w:t xml:space="preserve"> </w:t>
      </w:r>
      <w:r w:rsidR="00BB7DDD" w:rsidRPr="005A5BB7">
        <w:rPr>
          <w:iCs/>
        </w:rPr>
        <w:t xml:space="preserve">The PSCR </w:t>
      </w:r>
      <w:r w:rsidR="00293514" w:rsidRPr="005A5BB7">
        <w:rPr>
          <w:iCs/>
        </w:rPr>
        <w:t>claimed</w:t>
      </w:r>
      <w:r w:rsidR="00BB7DDD" w:rsidRPr="005A5BB7">
        <w:rPr>
          <w:iCs/>
        </w:rPr>
        <w:t xml:space="preserve"> that the hospital resource </w:t>
      </w:r>
      <w:r w:rsidR="00293514" w:rsidRPr="005A5BB7">
        <w:rPr>
          <w:iCs/>
        </w:rPr>
        <w:t xml:space="preserve">use </w:t>
      </w:r>
      <w:r w:rsidR="00BB7DDD" w:rsidRPr="005A5BB7">
        <w:rPr>
          <w:iCs/>
        </w:rPr>
        <w:t>for managing 60</w:t>
      </w:r>
      <w:r w:rsidR="000E4816">
        <w:rPr>
          <w:iCs/>
        </w:rPr>
        <w:noBreakHyphen/>
      </w:r>
      <w:r w:rsidR="00BB7DDD" w:rsidRPr="005A5BB7">
        <w:rPr>
          <w:iCs/>
        </w:rPr>
        <w:t xml:space="preserve">74 YOA adults with RSV has the potential to be greater than for ≥75 YOA based on a recently published Australian RSV national surveillance study (Blyth et al 2026). </w:t>
      </w:r>
      <w:r w:rsidR="00293514" w:rsidRPr="005A5BB7">
        <w:rPr>
          <w:iCs/>
        </w:rPr>
        <w:t>The ESC considered this was uncertain, noting that the Blyth analysis showed that hospitalised adults aged 18–74 years were more likely admitted to ICU/HDU than those aged 75 years or more (consistent with the PSCR’s claim), but also showed that adults aged 75 years or more were more likely to experience prolonged length of stay.</w:t>
      </w:r>
      <w:r w:rsidR="00DA1339">
        <w:rPr>
          <w:iCs/>
        </w:rPr>
        <w:t xml:space="preserve"> </w:t>
      </w:r>
      <w:r w:rsidR="00293514" w:rsidRPr="005A5BB7">
        <w:rPr>
          <w:iCs/>
        </w:rPr>
        <w:t>The study authors commented that although older adults were at lower risk of ICU or High Dependency Unit (HDU) admission, this is likely to be influenced by referral patterns (p9).</w:t>
      </w:r>
      <w:r w:rsidR="00DA1339">
        <w:rPr>
          <w:iCs/>
        </w:rPr>
        <w:t xml:space="preserve"> </w:t>
      </w:r>
      <w:r w:rsidR="00577CBD" w:rsidRPr="005A5BB7">
        <w:rPr>
          <w:iCs/>
        </w:rPr>
        <w:t>The ESC also noted that the sponsor’s own estimates resulted in a higher hospitalisation cost for adults aged 75 years or more than for adults 60</w:t>
      </w:r>
      <w:r w:rsidR="000E4816">
        <w:rPr>
          <w:iCs/>
        </w:rPr>
        <w:noBreakHyphen/>
      </w:r>
      <w:r w:rsidR="00DE468C" w:rsidRPr="005A5BB7">
        <w:rPr>
          <w:iCs/>
        </w:rPr>
        <w:t xml:space="preserve">74 </w:t>
      </w:r>
      <w:r w:rsidR="00577CBD" w:rsidRPr="005A5BB7">
        <w:rPr>
          <w:iCs/>
        </w:rPr>
        <w:t>YOA at increased risk of severe RSV.</w:t>
      </w:r>
      <w:r w:rsidR="00DA1339">
        <w:rPr>
          <w:iCs/>
        </w:rPr>
        <w:t xml:space="preserve"> </w:t>
      </w:r>
      <w:r w:rsidR="00577CBD" w:rsidRPr="005A5BB7">
        <w:rPr>
          <w:iCs/>
        </w:rPr>
        <w:t xml:space="preserve">The ESC advised that using the RSV hospitalisation cost that was accepted by the </w:t>
      </w:r>
      <w:r w:rsidR="00577CBD" w:rsidRPr="005A5BB7">
        <w:rPr>
          <w:iCs/>
        </w:rPr>
        <w:lastRenderedPageBreak/>
        <w:t xml:space="preserve">PBAC in December 2025 ($10,045, para 12.5, RSVPreF3 OA, December 2025 PBAC meeting) would be reasonable for </w:t>
      </w:r>
      <w:proofErr w:type="gramStart"/>
      <w:r w:rsidR="00577CBD" w:rsidRPr="005A5BB7">
        <w:rPr>
          <w:iCs/>
        </w:rPr>
        <w:t>all of</w:t>
      </w:r>
      <w:proofErr w:type="gramEnd"/>
      <w:r w:rsidR="00577CBD" w:rsidRPr="005A5BB7">
        <w:rPr>
          <w:iCs/>
        </w:rPr>
        <w:t xml:space="preserve"> the proposed NIP populations.</w:t>
      </w:r>
      <w:r w:rsidR="00DA1339">
        <w:rPr>
          <w:iCs/>
        </w:rPr>
        <w:t xml:space="preserve"> </w:t>
      </w:r>
      <w:r w:rsidR="00090E3A" w:rsidRPr="005A5BB7">
        <w:rPr>
          <w:iCs/>
        </w:rPr>
        <w:t>The pre</w:t>
      </w:r>
      <w:r w:rsidR="000E4816">
        <w:rPr>
          <w:iCs/>
        </w:rPr>
        <w:noBreakHyphen/>
      </w:r>
      <w:r w:rsidR="00090E3A" w:rsidRPr="005A5BB7">
        <w:rPr>
          <w:iCs/>
        </w:rPr>
        <w:t>PBAC response applied higher hospitalisation costs than the value accepted by the PBAC in December 2025, which was not consistent with ESC advice.</w:t>
      </w:r>
    </w:p>
    <w:p w14:paraId="4C8E2B7C" w14:textId="77777777" w:rsidR="00B84F69" w:rsidRPr="005A5BB7" w:rsidRDefault="00B84F69" w:rsidP="00C16DE5"/>
    <w:p w14:paraId="2F16317A" w14:textId="5555D857" w:rsidR="004C397E" w:rsidRPr="005A5BB7" w:rsidRDefault="004C397E" w:rsidP="004C397E">
      <w:pPr>
        <w:pStyle w:val="3-BodyText"/>
        <w:numPr>
          <w:ilvl w:val="0"/>
          <w:numId w:val="0"/>
        </w:numPr>
        <w:rPr>
          <w:b/>
          <w:bCs/>
        </w:rPr>
      </w:pPr>
      <w:r w:rsidRPr="005A5BB7">
        <w:rPr>
          <w:b/>
          <w:bCs/>
        </w:rPr>
        <w:t>Adults 60</w:t>
      </w:r>
      <w:r w:rsidR="000E4816">
        <w:rPr>
          <w:b/>
          <w:bCs/>
        </w:rPr>
        <w:noBreakHyphen/>
      </w:r>
      <w:r w:rsidR="00DE468C" w:rsidRPr="005A5BB7">
        <w:rPr>
          <w:b/>
          <w:bCs/>
        </w:rPr>
        <w:t>74</w:t>
      </w:r>
      <w:r w:rsidRPr="005A5BB7">
        <w:rPr>
          <w:b/>
          <w:bCs/>
        </w:rPr>
        <w:t xml:space="preserve"> YOA at increased risk of severe RSV disease </w:t>
      </w:r>
    </w:p>
    <w:p w14:paraId="5D5FD257" w14:textId="60A761EB" w:rsidR="005E35FF" w:rsidRPr="005A5BB7" w:rsidRDefault="004C397E" w:rsidP="00D0555A">
      <w:pPr>
        <w:pStyle w:val="3-BodyText"/>
      </w:pPr>
      <w:r w:rsidRPr="005A5BB7">
        <w:t>The resubmission presented two models for the 60</w:t>
      </w:r>
      <w:r w:rsidR="000E4816">
        <w:noBreakHyphen/>
      </w:r>
      <w:r w:rsidR="00DE468C" w:rsidRPr="005A5BB7">
        <w:t>74</w:t>
      </w:r>
      <w:r w:rsidRPr="005A5BB7">
        <w:t xml:space="preserve"> YOA population at increased risk of severe RSV disease: one for individuals with at least one at</w:t>
      </w:r>
      <w:r w:rsidR="000E4816">
        <w:noBreakHyphen/>
      </w:r>
      <w:r w:rsidRPr="005A5BB7">
        <w:t xml:space="preserve">risk medical condition associated with increased risk of severe RSV disease in adults, as per AIH recommendations, and another based on each </w:t>
      </w:r>
      <w:r w:rsidR="0042469F" w:rsidRPr="005A5BB7">
        <w:t xml:space="preserve">of </w:t>
      </w:r>
      <w:r w:rsidR="00275A4F" w:rsidRPr="005A5BB7">
        <w:t xml:space="preserve">the </w:t>
      </w:r>
      <w:r w:rsidR="00B4568F" w:rsidRPr="005A5BB7">
        <w:t>eight</w:t>
      </w:r>
      <w:r w:rsidR="0042469F" w:rsidRPr="005A5BB7">
        <w:t xml:space="preserve"> </w:t>
      </w:r>
      <w:r w:rsidRPr="005A5BB7">
        <w:t>AIH</w:t>
      </w:r>
      <w:r w:rsidR="000E4816">
        <w:noBreakHyphen/>
      </w:r>
      <w:r w:rsidRPr="005A5BB7">
        <w:t xml:space="preserve">defined risk </w:t>
      </w:r>
      <w:r w:rsidR="0044413A" w:rsidRPr="005A5BB7">
        <w:t xml:space="preserve">categories </w:t>
      </w:r>
      <w:r w:rsidRPr="005A5BB7">
        <w:t>separately. The first model provides a broad basis for understanding cost</w:t>
      </w:r>
      <w:r w:rsidR="000E4816">
        <w:noBreakHyphen/>
      </w:r>
      <w:r w:rsidRPr="005A5BB7">
        <w:t xml:space="preserve">effectiveness in this population, while the second allows evaluation of differences across risk categories due to heterogeneity. However, several uncertainties </w:t>
      </w:r>
      <w:r w:rsidR="00BD3B71" w:rsidRPr="005A5BB7">
        <w:t>affect</w:t>
      </w:r>
      <w:r w:rsidRPr="005A5BB7">
        <w:t xml:space="preserve"> the reliability </w:t>
      </w:r>
      <w:r w:rsidR="00463A7D" w:rsidRPr="005A5BB7">
        <w:t xml:space="preserve">of </w:t>
      </w:r>
      <w:r w:rsidRPr="005A5BB7">
        <w:t>both models.</w:t>
      </w:r>
      <w:r w:rsidR="00195C9B" w:rsidRPr="005A5BB7">
        <w:t xml:space="preserve"> </w:t>
      </w:r>
    </w:p>
    <w:p w14:paraId="79B51B5B" w14:textId="480ADDC1" w:rsidR="004C397E" w:rsidRPr="005A5BB7" w:rsidRDefault="004C397E" w:rsidP="004C397E">
      <w:pPr>
        <w:pStyle w:val="3-BodyText"/>
      </w:pPr>
      <w:r w:rsidRPr="005A5BB7">
        <w:t>The</w:t>
      </w:r>
      <w:r w:rsidR="00D16877" w:rsidRPr="005A5BB7">
        <w:t xml:space="preserve"> </w:t>
      </w:r>
      <w:r w:rsidR="009F6356" w:rsidRPr="005A5BB7">
        <w:t>re</w:t>
      </w:r>
      <w:r w:rsidR="00D16877" w:rsidRPr="005A5BB7">
        <w:t>submission stated that</w:t>
      </w:r>
      <w:r w:rsidRPr="005A5BB7">
        <w:t xml:space="preserve"> the magnitude of the </w:t>
      </w:r>
      <w:r w:rsidR="00754309" w:rsidRPr="005A5BB7">
        <w:t>VE</w:t>
      </w:r>
      <w:r w:rsidRPr="005A5BB7">
        <w:t xml:space="preserve"> estimates, and </w:t>
      </w:r>
      <w:r w:rsidR="00510B4F" w:rsidRPr="005A5BB7">
        <w:t xml:space="preserve">associated </w:t>
      </w:r>
      <w:r w:rsidR="00B0019D" w:rsidRPr="005A5BB7">
        <w:t>confidence interval</w:t>
      </w:r>
      <w:r w:rsidR="002E57DA" w:rsidRPr="005A5BB7">
        <w:t>s</w:t>
      </w:r>
      <w:r w:rsidRPr="005A5BB7">
        <w:t xml:space="preserve"> </w:t>
      </w:r>
      <w:r w:rsidR="00B0019D" w:rsidRPr="005A5BB7">
        <w:t>(</w:t>
      </w:r>
      <w:r w:rsidRPr="005A5BB7">
        <w:t>CI</w:t>
      </w:r>
      <w:r w:rsidR="00B0019D" w:rsidRPr="005A5BB7">
        <w:t>)</w:t>
      </w:r>
      <w:r w:rsidR="00173568" w:rsidRPr="005A5BB7">
        <w:t>,</w:t>
      </w:r>
      <w:r w:rsidRPr="005A5BB7">
        <w:t xml:space="preserve"> support the statistical robustness of the</w:t>
      </w:r>
      <w:r w:rsidR="003642C3" w:rsidRPr="005A5BB7">
        <w:t xml:space="preserve"> subgroup</w:t>
      </w:r>
      <w:r w:rsidRPr="005A5BB7">
        <w:t xml:space="preserve"> analyses</w:t>
      </w:r>
      <w:r w:rsidR="00BC5660" w:rsidRPr="005A5BB7">
        <w:t>, noting that efficacy in the different subgroups were descriptive and not adjusted for multiplicity</w:t>
      </w:r>
      <w:r w:rsidR="009B217A" w:rsidRPr="005A5BB7">
        <w:t xml:space="preserve">, </w:t>
      </w:r>
      <w:r w:rsidR="009D7888" w:rsidRPr="005A5BB7">
        <w:t>and</w:t>
      </w:r>
      <w:r w:rsidR="009B217A" w:rsidRPr="005A5BB7">
        <w:t xml:space="preserve"> </w:t>
      </w:r>
      <w:r w:rsidRPr="005A5BB7">
        <w:t xml:space="preserve">no specific VE data </w:t>
      </w:r>
      <w:r w:rsidR="009B217A" w:rsidRPr="005A5BB7">
        <w:t xml:space="preserve">are </w:t>
      </w:r>
      <w:r w:rsidRPr="005A5BB7">
        <w:t xml:space="preserve">available for </w:t>
      </w:r>
      <w:r w:rsidR="00982F82" w:rsidRPr="005A5BB7">
        <w:t xml:space="preserve">those </w:t>
      </w:r>
      <w:r w:rsidRPr="005A5BB7">
        <w:t xml:space="preserve">at increased risk of severe RSV disease. In </w:t>
      </w:r>
      <w:r w:rsidR="002C61DC" w:rsidRPr="005A5BB7">
        <w:t xml:space="preserve">a </w:t>
      </w:r>
      <w:r w:rsidRPr="005A5BB7">
        <w:t xml:space="preserve">previous consideration of </w:t>
      </w:r>
      <w:r w:rsidR="001E26F8" w:rsidRPr="005A5BB7">
        <w:t xml:space="preserve">RSVpreF, </w:t>
      </w:r>
      <w:r w:rsidRPr="005A5BB7">
        <w:t>ATAGI noted that people with a slightly lower mean age who are considered medically at</w:t>
      </w:r>
      <w:r w:rsidR="000E4816">
        <w:noBreakHyphen/>
      </w:r>
      <w:r w:rsidRPr="005A5BB7">
        <w:t>risk may have lower immune responses and thus a lower VE following an RSV vaccination (ATAGI response to PBAC post</w:t>
      </w:r>
      <w:r w:rsidR="000E4816">
        <w:noBreakHyphen/>
      </w:r>
      <w:r w:rsidRPr="005A5BB7">
        <w:t xml:space="preserve">submission questions, August 2024). ATAGI further considered that, in the absence of detailed evidence, it was appropriate to use VE values from the evaluable efficacy population of the </w:t>
      </w:r>
      <w:r w:rsidR="00C1682D" w:rsidRPr="005A5BB7">
        <w:t>pivotal RSVpreF (Abrysvo) trial (</w:t>
      </w:r>
      <w:r w:rsidRPr="005A5BB7">
        <w:t>RENOIR</w:t>
      </w:r>
      <w:r w:rsidR="00C1682D" w:rsidRPr="005A5BB7">
        <w:t>)</w:t>
      </w:r>
      <w:r w:rsidRPr="005A5BB7">
        <w:t xml:space="preserve"> as the base case for at risk population (paragraph 6.45, </w:t>
      </w:r>
      <w:r w:rsidR="00B45CF9" w:rsidRPr="005A5BB7">
        <w:t xml:space="preserve">RSVpreF </w:t>
      </w:r>
      <w:r w:rsidRPr="005A5BB7">
        <w:t>PSD, November 2024 PBAC meeting).</w:t>
      </w:r>
    </w:p>
    <w:p w14:paraId="33E7592A" w14:textId="56A80135" w:rsidR="004C397E" w:rsidRPr="005A5BB7" w:rsidRDefault="004C397E">
      <w:pPr>
        <w:pStyle w:val="3-BodyText"/>
      </w:pPr>
      <w:r w:rsidRPr="005A5BB7">
        <w:t>Hospitalisation rates for the 60</w:t>
      </w:r>
      <w:r w:rsidR="000E4816">
        <w:noBreakHyphen/>
      </w:r>
      <w:r w:rsidRPr="005A5BB7">
        <w:t>74 YOA at increased risk of severe RSV population were derived through a three</w:t>
      </w:r>
      <w:r w:rsidR="000E4816">
        <w:noBreakHyphen/>
      </w:r>
      <w:r w:rsidRPr="005A5BB7">
        <w:t>step process. First, crude hospitalisation rates from the general population were obtained for the relevant age groups. Second, these rates were adjusted for under</w:t>
      </w:r>
      <w:r w:rsidR="000E4816">
        <w:noBreakHyphen/>
      </w:r>
      <w:r w:rsidRPr="005A5BB7">
        <w:t xml:space="preserve">ascertainment to reflect the </w:t>
      </w:r>
      <w:r w:rsidR="00EA017D" w:rsidRPr="005A5BB7">
        <w:t xml:space="preserve">expected </w:t>
      </w:r>
      <w:r w:rsidRPr="005A5BB7">
        <w:t xml:space="preserve">rate in the general population. Finally, </w:t>
      </w:r>
      <w:r w:rsidR="004805BA" w:rsidRPr="005A5BB7">
        <w:t xml:space="preserve">an excess hospitalisation multiplier (EHM) </w:t>
      </w:r>
      <w:r w:rsidR="0041667F" w:rsidRPr="005A5BB7">
        <w:t xml:space="preserve">was applied to </w:t>
      </w:r>
      <w:r w:rsidRPr="005A5BB7">
        <w:t>the adjusted rates to account for the</w:t>
      </w:r>
      <w:r w:rsidR="0041667F" w:rsidRPr="005A5BB7">
        <w:t xml:space="preserve"> increas</w:t>
      </w:r>
      <w:r w:rsidR="00724496" w:rsidRPr="005A5BB7">
        <w:t>e in hospitalisations</w:t>
      </w:r>
      <w:r w:rsidRPr="005A5BB7">
        <w:t xml:space="preserve"> observed in </w:t>
      </w:r>
      <w:r w:rsidR="00E348CB" w:rsidRPr="005A5BB7">
        <w:t>at</w:t>
      </w:r>
      <w:r w:rsidR="000E4816">
        <w:noBreakHyphen/>
      </w:r>
      <w:r w:rsidRPr="005A5BB7">
        <w:t>risk groups compared to the general population</w:t>
      </w:r>
      <w:r w:rsidR="00BB1209" w:rsidRPr="005A5BB7">
        <w:t xml:space="preserve"> of the same age</w:t>
      </w:r>
      <w:r w:rsidRPr="005A5BB7">
        <w:t>. A summary of the crude hospitalisation rates for 60</w:t>
      </w:r>
      <w:r w:rsidR="000E4816">
        <w:noBreakHyphen/>
      </w:r>
      <w:r w:rsidRPr="005A5BB7">
        <w:t>74 YOA general population is presented in</w:t>
      </w:r>
      <w:r w:rsidR="00982F82" w:rsidRPr="005A5BB7">
        <w:t xml:space="preserve"> </w:t>
      </w:r>
      <w:r w:rsidR="00982F82" w:rsidRPr="005A5BB7">
        <w:fldChar w:fldCharType="begin"/>
      </w:r>
      <w:r w:rsidR="00982F82" w:rsidRPr="005A5BB7">
        <w:instrText xml:space="preserve"> REF _Ref219121896 \h </w:instrText>
      </w:r>
      <w:r w:rsidR="009A514E" w:rsidRPr="005A5BB7">
        <w:instrText xml:space="preserve"> \* MERGEFORMAT </w:instrText>
      </w:r>
      <w:r w:rsidR="00982F82" w:rsidRPr="005A5BB7">
        <w:fldChar w:fldCharType="separate"/>
      </w:r>
      <w:r w:rsidR="0043658C" w:rsidRPr="0043658C">
        <w:t>Table 16</w:t>
      </w:r>
      <w:r w:rsidR="00982F82" w:rsidRPr="005A5BB7">
        <w:fldChar w:fldCharType="end"/>
      </w:r>
      <w:r w:rsidRPr="005A5BB7">
        <w:t>.</w:t>
      </w:r>
    </w:p>
    <w:p w14:paraId="4D545CE0" w14:textId="4C661E14" w:rsidR="004C397E" w:rsidRPr="005A5BB7" w:rsidRDefault="004C397E" w:rsidP="002E438F">
      <w:pPr>
        <w:keepNext/>
        <w:rPr>
          <w:rFonts w:ascii="Arial Narrow" w:hAnsi="Arial Narrow"/>
          <w:b/>
          <w:bCs/>
          <w:sz w:val="20"/>
          <w:szCs w:val="20"/>
        </w:rPr>
      </w:pPr>
      <w:bookmarkStart w:id="73" w:name="_Ref219121896"/>
      <w:r w:rsidRPr="005A5BB7">
        <w:rPr>
          <w:rFonts w:ascii="Arial Narrow" w:hAnsi="Arial Narrow" w:cs="Times New Roman"/>
          <w:b/>
          <w:bCs/>
          <w:sz w:val="20"/>
          <w:szCs w:val="20"/>
        </w:rPr>
        <w:lastRenderedPageBreak/>
        <w:t xml:space="preserve">Table </w:t>
      </w:r>
      <w:r w:rsidRPr="005A5BB7">
        <w:rPr>
          <w:rFonts w:ascii="Arial Narrow" w:hAnsi="Arial Narrow" w:cs="Times New Roman"/>
          <w:b/>
          <w:bCs/>
          <w:sz w:val="20"/>
          <w:szCs w:val="20"/>
        </w:rPr>
        <w:fldChar w:fldCharType="begin"/>
      </w:r>
      <w:r w:rsidRPr="005A5BB7">
        <w:rPr>
          <w:rFonts w:ascii="Arial Narrow" w:hAnsi="Arial Narrow" w:cs="Times New Roman"/>
          <w:b/>
          <w:bCs/>
          <w:sz w:val="20"/>
          <w:szCs w:val="20"/>
        </w:rPr>
        <w:instrText xml:space="preserve"> SEQ Table \* ARABIC </w:instrText>
      </w:r>
      <w:r w:rsidRPr="005A5BB7">
        <w:rPr>
          <w:rFonts w:ascii="Arial Narrow" w:hAnsi="Arial Narrow" w:cs="Times New Roman"/>
          <w:b/>
          <w:bCs/>
          <w:sz w:val="20"/>
          <w:szCs w:val="20"/>
        </w:rPr>
        <w:fldChar w:fldCharType="separate"/>
      </w:r>
      <w:r w:rsidR="0043658C">
        <w:rPr>
          <w:rFonts w:ascii="Arial Narrow" w:hAnsi="Arial Narrow" w:cs="Times New Roman"/>
          <w:b/>
          <w:bCs/>
          <w:noProof/>
          <w:sz w:val="20"/>
          <w:szCs w:val="20"/>
        </w:rPr>
        <w:t>16</w:t>
      </w:r>
      <w:r w:rsidRPr="005A5BB7">
        <w:rPr>
          <w:rFonts w:ascii="Arial Narrow" w:hAnsi="Arial Narrow" w:cs="Times New Roman"/>
          <w:b/>
          <w:bCs/>
          <w:sz w:val="20"/>
          <w:szCs w:val="20"/>
        </w:rPr>
        <w:fldChar w:fldCharType="end"/>
      </w:r>
      <w:bookmarkEnd w:id="73"/>
      <w:r w:rsidRPr="005A5BB7">
        <w:rPr>
          <w:rFonts w:ascii="Arial Narrow" w:hAnsi="Arial Narrow"/>
          <w:b/>
          <w:bCs/>
          <w:sz w:val="20"/>
          <w:szCs w:val="20"/>
        </w:rPr>
        <w:t>: RSV hospitalisation rates in 60</w:t>
      </w:r>
      <w:r w:rsidR="000E4816">
        <w:rPr>
          <w:rFonts w:ascii="Arial Narrow" w:hAnsi="Arial Narrow"/>
          <w:b/>
          <w:bCs/>
          <w:sz w:val="20"/>
          <w:szCs w:val="20"/>
        </w:rPr>
        <w:noBreakHyphen/>
      </w:r>
      <w:r w:rsidRPr="005A5BB7">
        <w:rPr>
          <w:rFonts w:ascii="Arial Narrow" w:hAnsi="Arial Narrow"/>
          <w:b/>
          <w:bCs/>
          <w:sz w:val="20"/>
          <w:szCs w:val="20"/>
        </w:rPr>
        <w:t>74 YOA general population (per 100,000 person</w:t>
      </w:r>
      <w:r w:rsidR="000E4816">
        <w:rPr>
          <w:rFonts w:ascii="Arial Narrow" w:hAnsi="Arial Narrow"/>
          <w:b/>
          <w:bCs/>
          <w:sz w:val="20"/>
          <w:szCs w:val="20"/>
        </w:rPr>
        <w:noBreakHyphen/>
      </w:r>
      <w:r w:rsidRPr="005A5BB7">
        <w:rPr>
          <w:rFonts w:ascii="Arial Narrow" w:hAnsi="Arial Narrow"/>
          <w:b/>
          <w:bCs/>
          <w:sz w:val="20"/>
          <w:szCs w:val="20"/>
        </w:rPr>
        <w:t>year)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6: RSV hospitalisation rates in 60 74 YOA general population (per 100,000 person year)"/>
      </w:tblPr>
      <w:tblGrid>
        <w:gridCol w:w="3143"/>
        <w:gridCol w:w="2938"/>
        <w:gridCol w:w="2936"/>
      </w:tblGrid>
      <w:tr w:rsidR="004C397E" w:rsidRPr="005A5BB7" w14:paraId="4E03F234" w14:textId="77777777" w:rsidTr="00B22976">
        <w:trPr>
          <w:trHeight w:val="20"/>
        </w:trPr>
        <w:tc>
          <w:tcPr>
            <w:tcW w:w="1743" w:type="pct"/>
            <w:shd w:val="clear" w:color="auto" w:fill="FFFFFF" w:themeFill="background1"/>
            <w:noWrap/>
            <w:vAlign w:val="center"/>
          </w:tcPr>
          <w:p w14:paraId="387BD531" w14:textId="77777777" w:rsidR="004C397E" w:rsidRPr="005A5BB7" w:rsidRDefault="004C397E" w:rsidP="002E438F">
            <w:pPr>
              <w:keepNext/>
              <w:rPr>
                <w:rFonts w:ascii="Arial Narrow" w:eastAsia="Yu Gothic Light" w:hAnsi="Arial Narrow" w:cs="Times New Roman"/>
                <w:b/>
                <w:sz w:val="20"/>
                <w:szCs w:val="20"/>
                <w:lang w:bidi="en-US"/>
              </w:rPr>
            </w:pPr>
          </w:p>
        </w:tc>
        <w:tc>
          <w:tcPr>
            <w:tcW w:w="1629" w:type="pct"/>
            <w:vAlign w:val="center"/>
          </w:tcPr>
          <w:p w14:paraId="01AE8E26" w14:textId="77777777" w:rsidR="004C397E" w:rsidRPr="005A5BB7" w:rsidRDefault="004C397E" w:rsidP="002E438F">
            <w:pPr>
              <w:keepNext/>
              <w:jc w:val="center"/>
              <w:rPr>
                <w:rFonts w:ascii="Arial Narrow" w:eastAsia="Yu Gothic Light" w:hAnsi="Arial Narrow" w:cs="Times New Roman"/>
                <w:b/>
                <w:sz w:val="20"/>
                <w:szCs w:val="20"/>
                <w:lang w:bidi="en-US"/>
              </w:rPr>
            </w:pPr>
            <w:r w:rsidRPr="005A5BB7">
              <w:rPr>
                <w:rFonts w:ascii="Arial Narrow" w:eastAsia="Yu Gothic Light" w:hAnsi="Arial Narrow" w:cs="Times New Roman"/>
                <w:b/>
                <w:sz w:val="20"/>
                <w:szCs w:val="20"/>
                <w:lang w:bidi="en-US"/>
              </w:rPr>
              <w:t>March 2026 PBAC resubmission (base case)</w:t>
            </w:r>
          </w:p>
        </w:tc>
        <w:tc>
          <w:tcPr>
            <w:tcW w:w="1628" w:type="pct"/>
            <w:shd w:val="clear" w:color="auto" w:fill="FFFFFF" w:themeFill="background1"/>
            <w:vAlign w:val="center"/>
          </w:tcPr>
          <w:p w14:paraId="208FF703" w14:textId="0D19F7F3" w:rsidR="004C397E" w:rsidRPr="005A5BB7" w:rsidRDefault="004C397E" w:rsidP="002E438F">
            <w:pPr>
              <w:keepNext/>
              <w:jc w:val="center"/>
              <w:rPr>
                <w:rFonts w:ascii="Arial Narrow" w:eastAsia="Yu Gothic Light" w:hAnsi="Arial Narrow" w:cs="Times New Roman"/>
                <w:b/>
                <w:iCs/>
                <w:sz w:val="20"/>
                <w:szCs w:val="20"/>
                <w:lang w:bidi="en-US"/>
              </w:rPr>
            </w:pPr>
            <w:r w:rsidRPr="005A5BB7">
              <w:rPr>
                <w:rFonts w:ascii="Arial Narrow" w:eastAsia="Yu Gothic Light" w:hAnsi="Arial Narrow" w:cs="Times New Roman"/>
                <w:b/>
                <w:iCs/>
                <w:sz w:val="20"/>
                <w:szCs w:val="20"/>
                <w:lang w:bidi="en-US"/>
              </w:rPr>
              <w:t>ATAGI pre</w:t>
            </w:r>
            <w:r w:rsidR="000E4816">
              <w:rPr>
                <w:rFonts w:ascii="Arial Narrow" w:eastAsia="Yu Gothic Light" w:hAnsi="Arial Narrow" w:cs="Times New Roman"/>
                <w:b/>
                <w:iCs/>
                <w:sz w:val="20"/>
                <w:szCs w:val="20"/>
                <w:lang w:bidi="en-US"/>
              </w:rPr>
              <w:noBreakHyphen/>
            </w:r>
            <w:r w:rsidRPr="005A5BB7">
              <w:rPr>
                <w:rFonts w:ascii="Arial Narrow" w:eastAsia="Yu Gothic Light" w:hAnsi="Arial Narrow" w:cs="Times New Roman"/>
                <w:b/>
                <w:iCs/>
                <w:sz w:val="20"/>
                <w:szCs w:val="20"/>
                <w:lang w:bidi="en-US"/>
              </w:rPr>
              <w:t>PBAC submission advice (Table 39, p73, ATAGI Advice, March 2025)</w:t>
            </w:r>
          </w:p>
        </w:tc>
      </w:tr>
      <w:tr w:rsidR="004C397E" w:rsidRPr="005A5BB7" w14:paraId="27DFBF3F" w14:textId="77777777" w:rsidTr="00B22976">
        <w:trPr>
          <w:trHeight w:val="20"/>
        </w:trPr>
        <w:tc>
          <w:tcPr>
            <w:tcW w:w="1743" w:type="pct"/>
            <w:shd w:val="clear" w:color="auto" w:fill="FFFFFF" w:themeFill="background1"/>
            <w:noWrap/>
            <w:vAlign w:val="center"/>
          </w:tcPr>
          <w:p w14:paraId="086F83A5" w14:textId="77777777" w:rsidR="004C397E" w:rsidRPr="005A5BB7" w:rsidRDefault="004C397E"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AIHW NHMD (crude rate)</w:t>
            </w:r>
          </w:p>
        </w:tc>
        <w:tc>
          <w:tcPr>
            <w:tcW w:w="1629" w:type="pct"/>
            <w:vAlign w:val="center"/>
          </w:tcPr>
          <w:p w14:paraId="391A00BF" w14:textId="0377BC84" w:rsidR="004C397E" w:rsidRPr="005A5BB7" w:rsidRDefault="004C397E" w:rsidP="002E438F">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2018</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2019</w:t>
            </w:r>
          </w:p>
        </w:tc>
        <w:tc>
          <w:tcPr>
            <w:tcW w:w="1628" w:type="pct"/>
            <w:shd w:val="clear" w:color="auto" w:fill="FFFFFF" w:themeFill="background1"/>
            <w:vAlign w:val="center"/>
          </w:tcPr>
          <w:p w14:paraId="359B74E2" w14:textId="2887F4D4" w:rsidR="004C397E" w:rsidRPr="005A5BB7" w:rsidRDefault="004C397E" w:rsidP="002E438F">
            <w:pPr>
              <w:keepNext/>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2016</w:t>
            </w:r>
            <w:r w:rsidR="000E4816">
              <w:rPr>
                <w:rFonts w:ascii="Arial Narrow" w:eastAsia="Yu Gothic Light" w:hAnsi="Arial Narrow" w:cs="Times New Roman"/>
                <w:iCs/>
                <w:sz w:val="20"/>
                <w:szCs w:val="20"/>
                <w:lang w:bidi="en-US"/>
              </w:rPr>
              <w:noBreakHyphen/>
            </w:r>
            <w:r w:rsidRPr="005A5BB7">
              <w:rPr>
                <w:rFonts w:ascii="Arial Narrow" w:eastAsia="Yu Gothic Light" w:hAnsi="Arial Narrow" w:cs="Times New Roman"/>
                <w:iCs/>
                <w:sz w:val="20"/>
                <w:szCs w:val="20"/>
                <w:lang w:bidi="en-US"/>
              </w:rPr>
              <w:t>2019</w:t>
            </w:r>
          </w:p>
        </w:tc>
      </w:tr>
      <w:tr w:rsidR="004C397E" w:rsidRPr="005A5BB7" w14:paraId="63929F20" w14:textId="77777777" w:rsidTr="00B22976">
        <w:trPr>
          <w:trHeight w:val="20"/>
        </w:trPr>
        <w:tc>
          <w:tcPr>
            <w:tcW w:w="1743" w:type="pct"/>
            <w:shd w:val="clear" w:color="auto" w:fill="FFFFFF" w:themeFill="background1"/>
            <w:noWrap/>
            <w:vAlign w:val="center"/>
          </w:tcPr>
          <w:p w14:paraId="4DB88FC1" w14:textId="544FC48B" w:rsidR="004C397E" w:rsidRPr="005A5BB7" w:rsidRDefault="004C397E"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Under</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ascertainment adjustment</w:t>
            </w:r>
            <w:r w:rsidRPr="005A5BB7">
              <w:rPr>
                <w:rFonts w:ascii="Arial Narrow" w:hAnsi="Arial Narrow"/>
                <w:iCs/>
                <w:sz w:val="20"/>
                <w:szCs w:val="20"/>
              </w:rPr>
              <w:t xml:space="preserve"> </w:t>
            </w:r>
          </w:p>
        </w:tc>
        <w:tc>
          <w:tcPr>
            <w:tcW w:w="1629" w:type="pct"/>
            <w:vAlign w:val="center"/>
          </w:tcPr>
          <w:p w14:paraId="3C6FBDF9" w14:textId="77777777" w:rsidR="004C397E" w:rsidRPr="005A5BB7" w:rsidRDefault="004C397E" w:rsidP="002E438F">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 xml:space="preserve">2.0 </w:t>
            </w:r>
            <w:r w:rsidRPr="005A5BB7">
              <w:rPr>
                <w:rFonts w:ascii="Arial Narrow" w:eastAsia="Yu Gothic Light" w:hAnsi="Arial Narrow" w:cs="Times New Roman"/>
                <w:bCs/>
                <w:sz w:val="20"/>
                <w:szCs w:val="20"/>
                <w:lang w:bidi="en-US"/>
              </w:rPr>
              <w:t>multiplication function</w:t>
            </w:r>
          </w:p>
        </w:tc>
        <w:tc>
          <w:tcPr>
            <w:tcW w:w="1628" w:type="pct"/>
            <w:shd w:val="clear" w:color="auto" w:fill="FFFFFF" w:themeFill="background1"/>
            <w:vAlign w:val="center"/>
          </w:tcPr>
          <w:p w14:paraId="25D7D1A6" w14:textId="77777777" w:rsidR="004C397E" w:rsidRPr="005A5BB7" w:rsidRDefault="004C397E" w:rsidP="002E438F">
            <w:pPr>
              <w:keepNext/>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2.0 multiplication function</w:t>
            </w:r>
          </w:p>
        </w:tc>
      </w:tr>
      <w:tr w:rsidR="00B63808" w:rsidRPr="005A5BB7" w14:paraId="17C0CA3C" w14:textId="77777777" w:rsidTr="00B22976">
        <w:trPr>
          <w:trHeight w:val="20"/>
        </w:trPr>
        <w:tc>
          <w:tcPr>
            <w:tcW w:w="1743" w:type="pct"/>
            <w:shd w:val="clear" w:color="auto" w:fill="FFFFFF" w:themeFill="background1"/>
            <w:noWrap/>
            <w:vAlign w:val="center"/>
          </w:tcPr>
          <w:p w14:paraId="4200294F" w14:textId="18F02870" w:rsidR="00B63808" w:rsidRPr="005A5BB7" w:rsidRDefault="00B63808"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sz w:val="20"/>
                <w:szCs w:val="20"/>
              </w:rPr>
              <w:t>Adjusted hospitalisation rates</w:t>
            </w:r>
          </w:p>
        </w:tc>
        <w:tc>
          <w:tcPr>
            <w:tcW w:w="1629" w:type="pct"/>
            <w:vAlign w:val="center"/>
          </w:tcPr>
          <w:p w14:paraId="1B3D9F22" w14:textId="77777777" w:rsidR="00B63808" w:rsidRPr="005A5BB7" w:rsidRDefault="00B63808" w:rsidP="002E438F">
            <w:pPr>
              <w:keepNext/>
              <w:jc w:val="center"/>
              <w:rPr>
                <w:rFonts w:ascii="Arial Narrow" w:eastAsia="Yu Gothic Light" w:hAnsi="Arial Narrow" w:cs="Times New Roman"/>
                <w:bCs/>
                <w:iCs/>
                <w:sz w:val="20"/>
                <w:szCs w:val="20"/>
                <w:lang w:bidi="en-US"/>
              </w:rPr>
            </w:pPr>
          </w:p>
        </w:tc>
        <w:tc>
          <w:tcPr>
            <w:tcW w:w="1628" w:type="pct"/>
            <w:shd w:val="clear" w:color="auto" w:fill="FFFFFF" w:themeFill="background1"/>
            <w:vAlign w:val="center"/>
          </w:tcPr>
          <w:p w14:paraId="260E9041" w14:textId="77777777" w:rsidR="00B63808" w:rsidRPr="005A5BB7" w:rsidRDefault="00B63808" w:rsidP="002E438F">
            <w:pPr>
              <w:keepNext/>
              <w:jc w:val="center"/>
              <w:rPr>
                <w:rFonts w:ascii="Arial Narrow" w:eastAsia="Yu Gothic Light" w:hAnsi="Arial Narrow" w:cs="Times New Roman"/>
                <w:bCs/>
                <w:iCs/>
                <w:sz w:val="20"/>
                <w:szCs w:val="20"/>
                <w:lang w:bidi="en-US"/>
              </w:rPr>
            </w:pPr>
          </w:p>
        </w:tc>
      </w:tr>
      <w:tr w:rsidR="004C397E" w:rsidRPr="005A5BB7" w14:paraId="1634A26D" w14:textId="77777777" w:rsidTr="00B22976">
        <w:trPr>
          <w:trHeight w:val="20"/>
        </w:trPr>
        <w:tc>
          <w:tcPr>
            <w:tcW w:w="1743" w:type="pct"/>
            <w:shd w:val="clear" w:color="auto" w:fill="FFFFFF" w:themeFill="background1"/>
            <w:noWrap/>
            <w:vAlign w:val="center"/>
          </w:tcPr>
          <w:p w14:paraId="0AEF75F4" w14:textId="4C337B3D" w:rsidR="004C397E" w:rsidRPr="005A5BB7" w:rsidRDefault="004C397E"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60</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64 YOA</w:t>
            </w:r>
          </w:p>
        </w:tc>
        <w:tc>
          <w:tcPr>
            <w:tcW w:w="1629" w:type="pct"/>
            <w:vAlign w:val="center"/>
          </w:tcPr>
          <w:p w14:paraId="1F8CD7A0" w14:textId="40B47E6B" w:rsidR="004C397E" w:rsidRPr="005A5BB7" w:rsidRDefault="004C397E" w:rsidP="002E438F">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90</w:t>
            </w:r>
            <w:r w:rsidRPr="005A5BB7">
              <w:rPr>
                <w:rFonts w:ascii="Arial Narrow" w:eastAsia="Yu Gothic Light" w:hAnsi="Arial Narrow" w:cs="Times New Roman"/>
                <w:bCs/>
                <w:iCs/>
                <w:sz w:val="20"/>
                <w:szCs w:val="20"/>
                <w:vertAlign w:val="superscript"/>
                <w:lang w:bidi="en-US"/>
              </w:rPr>
              <w:t xml:space="preserve"> </w:t>
            </w:r>
          </w:p>
        </w:tc>
        <w:tc>
          <w:tcPr>
            <w:tcW w:w="1628" w:type="pct"/>
            <w:shd w:val="clear" w:color="auto" w:fill="FFFFFF" w:themeFill="background1"/>
            <w:vAlign w:val="center"/>
          </w:tcPr>
          <w:p w14:paraId="7938E1A0" w14:textId="77777777" w:rsidR="004C397E" w:rsidRPr="005A5BB7" w:rsidRDefault="004C397E" w:rsidP="002E438F">
            <w:pPr>
              <w:keepNext/>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52</w:t>
            </w:r>
          </w:p>
        </w:tc>
      </w:tr>
      <w:tr w:rsidR="004C397E" w:rsidRPr="005A5BB7" w14:paraId="325BCE25" w14:textId="77777777" w:rsidTr="00B22976">
        <w:trPr>
          <w:trHeight w:val="20"/>
        </w:trPr>
        <w:tc>
          <w:tcPr>
            <w:tcW w:w="1743" w:type="pct"/>
            <w:shd w:val="clear" w:color="auto" w:fill="FFFFFF" w:themeFill="background1"/>
            <w:noWrap/>
            <w:vAlign w:val="center"/>
          </w:tcPr>
          <w:p w14:paraId="7C47E744" w14:textId="52B636A0" w:rsidR="004C397E" w:rsidRPr="005A5BB7" w:rsidRDefault="004C397E"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65</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69 YOA</w:t>
            </w:r>
          </w:p>
        </w:tc>
        <w:tc>
          <w:tcPr>
            <w:tcW w:w="1629" w:type="pct"/>
            <w:vAlign w:val="center"/>
          </w:tcPr>
          <w:p w14:paraId="6D801A54" w14:textId="4BC76421" w:rsidR="004C397E" w:rsidRPr="005A5BB7" w:rsidRDefault="004C397E" w:rsidP="002E438F">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118</w:t>
            </w:r>
          </w:p>
        </w:tc>
        <w:tc>
          <w:tcPr>
            <w:tcW w:w="1628" w:type="pct"/>
            <w:shd w:val="clear" w:color="auto" w:fill="FFFFFF" w:themeFill="background1"/>
            <w:vAlign w:val="center"/>
          </w:tcPr>
          <w:p w14:paraId="667F07D1" w14:textId="77777777" w:rsidR="004C397E" w:rsidRPr="005A5BB7" w:rsidRDefault="004C397E" w:rsidP="002E438F">
            <w:pPr>
              <w:keepNext/>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106</w:t>
            </w:r>
          </w:p>
        </w:tc>
      </w:tr>
      <w:tr w:rsidR="004C397E" w:rsidRPr="005A5BB7" w14:paraId="5243DBD7" w14:textId="77777777" w:rsidTr="00B22976">
        <w:trPr>
          <w:trHeight w:val="20"/>
        </w:trPr>
        <w:tc>
          <w:tcPr>
            <w:tcW w:w="1743" w:type="pct"/>
            <w:shd w:val="clear" w:color="auto" w:fill="FFFFFF" w:themeFill="background1"/>
            <w:noWrap/>
            <w:vAlign w:val="center"/>
          </w:tcPr>
          <w:p w14:paraId="07002687" w14:textId="31C70BE7" w:rsidR="004C397E" w:rsidRPr="005A5BB7" w:rsidRDefault="004C397E" w:rsidP="002E438F">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70</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 xml:space="preserve">74 YOA </w:t>
            </w:r>
          </w:p>
        </w:tc>
        <w:tc>
          <w:tcPr>
            <w:tcW w:w="1629" w:type="pct"/>
            <w:vAlign w:val="center"/>
          </w:tcPr>
          <w:p w14:paraId="2BD2CEA7" w14:textId="6626AE2D" w:rsidR="004C397E" w:rsidRPr="005A5BB7" w:rsidRDefault="004C397E" w:rsidP="002E438F">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182</w:t>
            </w:r>
          </w:p>
        </w:tc>
        <w:tc>
          <w:tcPr>
            <w:tcW w:w="1628" w:type="pct"/>
            <w:shd w:val="clear" w:color="auto" w:fill="FFFFFF" w:themeFill="background1"/>
            <w:vAlign w:val="center"/>
          </w:tcPr>
          <w:p w14:paraId="514EACB1" w14:textId="31D3A59F" w:rsidR="004C397E" w:rsidRPr="005A5BB7" w:rsidRDefault="004C397E" w:rsidP="002E438F">
            <w:pPr>
              <w:keepNext/>
              <w:jc w:val="center"/>
              <w:rPr>
                <w:rFonts w:ascii="Arial Narrow" w:eastAsia="Yu Gothic Light" w:hAnsi="Arial Narrow" w:cs="Times New Roman"/>
                <w:iCs/>
                <w:sz w:val="20"/>
                <w:szCs w:val="20"/>
                <w:lang w:bidi="en-US"/>
              </w:rPr>
            </w:pPr>
            <w:r w:rsidRPr="005A5BB7">
              <w:rPr>
                <w:rFonts w:ascii="Arial Narrow" w:eastAsia="Yu Gothic Light" w:hAnsi="Arial Narrow" w:cs="Times New Roman"/>
                <w:iCs/>
                <w:sz w:val="20"/>
                <w:szCs w:val="20"/>
                <w:lang w:bidi="en-US"/>
              </w:rPr>
              <w:t>159</w:t>
            </w:r>
          </w:p>
        </w:tc>
      </w:tr>
    </w:tbl>
    <w:p w14:paraId="1055A345" w14:textId="406DF0B5" w:rsidR="004C397E" w:rsidRPr="005A5BB7" w:rsidRDefault="004C397E" w:rsidP="002E438F">
      <w:pPr>
        <w:pStyle w:val="BodyText"/>
        <w:keepNext/>
        <w:rPr>
          <w:rFonts w:ascii="Arial Narrow" w:hAnsi="Arial Narrow"/>
          <w:sz w:val="18"/>
          <w:szCs w:val="18"/>
        </w:rPr>
      </w:pPr>
      <w:r w:rsidRPr="005A5BB7">
        <w:rPr>
          <w:rFonts w:ascii="Arial Narrow" w:hAnsi="Arial Narrow"/>
          <w:sz w:val="18"/>
          <w:szCs w:val="18"/>
        </w:rPr>
        <w:t>Source: Table 3</w:t>
      </w:r>
      <w:r w:rsidR="000E4816">
        <w:rPr>
          <w:rFonts w:ascii="Arial Narrow" w:hAnsi="Arial Narrow"/>
          <w:sz w:val="18"/>
          <w:szCs w:val="18"/>
        </w:rPr>
        <w:noBreakHyphen/>
      </w:r>
      <w:r w:rsidRPr="005A5BB7">
        <w:rPr>
          <w:rFonts w:ascii="Arial Narrow" w:hAnsi="Arial Narrow"/>
          <w:sz w:val="18"/>
          <w:szCs w:val="18"/>
        </w:rPr>
        <w:t xml:space="preserve">12, p137 of the March 2025 resubmission. </w:t>
      </w:r>
    </w:p>
    <w:p w14:paraId="40655194" w14:textId="0CE33092" w:rsidR="004C397E" w:rsidRPr="005A5BB7" w:rsidRDefault="004C397E" w:rsidP="002E438F">
      <w:pPr>
        <w:pStyle w:val="BodyText"/>
        <w:keepNext/>
        <w:rPr>
          <w:rFonts w:ascii="Arial Narrow" w:hAnsi="Arial Narrow"/>
          <w:sz w:val="18"/>
          <w:szCs w:val="18"/>
        </w:rPr>
      </w:pPr>
      <w:r w:rsidRPr="005A5BB7">
        <w:rPr>
          <w:rFonts w:ascii="Arial Narrow" w:hAnsi="Arial Narrow"/>
          <w:sz w:val="18"/>
          <w:szCs w:val="18"/>
        </w:rPr>
        <w:t>AIHW = Australian Institute of Health and Welfare, NHMD =</w:t>
      </w:r>
      <w:r w:rsidR="002E2985" w:rsidRPr="005A5BB7">
        <w:rPr>
          <w:rFonts w:ascii="Arial Narrow" w:hAnsi="Arial Narrow"/>
          <w:sz w:val="18"/>
          <w:szCs w:val="18"/>
        </w:rPr>
        <w:t xml:space="preserve"> </w:t>
      </w:r>
      <w:r w:rsidRPr="005A5BB7">
        <w:rPr>
          <w:rFonts w:ascii="Arial Narrow" w:hAnsi="Arial Narrow"/>
          <w:sz w:val="18"/>
          <w:szCs w:val="18"/>
        </w:rPr>
        <w:t>National Hospital Morbidity Database, NIP = National Immunisation Program, RSV = respiratory syncytial virus, YOA = years of age.</w:t>
      </w:r>
    </w:p>
    <w:p w14:paraId="3437647C" w14:textId="4F0659EB" w:rsidR="004C397E" w:rsidRPr="005A5BB7" w:rsidRDefault="007A297F" w:rsidP="004C397E">
      <w:pPr>
        <w:pStyle w:val="3-BodyText"/>
      </w:pPr>
      <w:r w:rsidRPr="005A5BB7">
        <w:t>As for</w:t>
      </w:r>
      <w:r w:rsidR="004C397E" w:rsidRPr="005A5BB7">
        <w:t xml:space="preserve"> the ≥75 YOA population, the resubmission used </w:t>
      </w:r>
      <w:r w:rsidR="00C5106F" w:rsidRPr="005A5BB7">
        <w:t>the</w:t>
      </w:r>
      <w:r w:rsidR="004C397E" w:rsidRPr="005A5BB7">
        <w:t xml:space="preserve"> AIHW NHMD 2018</w:t>
      </w:r>
      <w:r w:rsidR="000E4816">
        <w:noBreakHyphen/>
      </w:r>
      <w:r w:rsidR="004C397E" w:rsidRPr="005A5BB7">
        <w:t xml:space="preserve">2019 data </w:t>
      </w:r>
      <w:r w:rsidR="00C87179" w:rsidRPr="005A5BB7">
        <w:t xml:space="preserve">for </w:t>
      </w:r>
      <w:r w:rsidR="00325624" w:rsidRPr="005A5BB7">
        <w:t xml:space="preserve">crude hospitalisation rates </w:t>
      </w:r>
      <w:r w:rsidR="00AC6A3B" w:rsidRPr="005A5BB7">
        <w:t>for</w:t>
      </w:r>
      <w:r w:rsidR="00C87179" w:rsidRPr="005A5BB7">
        <w:t xml:space="preserve"> the </w:t>
      </w:r>
      <w:r w:rsidR="00361FFA" w:rsidRPr="005A5BB7">
        <w:t>60</w:t>
      </w:r>
      <w:r w:rsidR="000E4816">
        <w:noBreakHyphen/>
      </w:r>
      <w:r w:rsidR="00361FFA" w:rsidRPr="005A5BB7">
        <w:t>74 YOA at increased risk of severe RSV population (</w:t>
      </w:r>
      <w:r w:rsidR="003800EF" w:rsidRPr="005A5BB7">
        <w:t>para</w:t>
      </w:r>
      <w:r w:rsidR="004D5DEF">
        <w:t>graph</w:t>
      </w:r>
      <w:r w:rsidR="003800EF" w:rsidRPr="005A5BB7">
        <w:t xml:space="preserve"> </w:t>
      </w:r>
      <w:r w:rsidR="003800EF" w:rsidRPr="005A5BB7">
        <w:fldChar w:fldCharType="begin"/>
      </w:r>
      <w:r w:rsidR="003800EF" w:rsidRPr="005A5BB7">
        <w:instrText xml:space="preserve"> REF _Ref216806146 \r \h </w:instrText>
      </w:r>
      <w:r w:rsidR="005E26D0" w:rsidRPr="005A5BB7">
        <w:instrText xml:space="preserve"> \* MERGEFORMAT </w:instrText>
      </w:r>
      <w:r w:rsidR="003800EF" w:rsidRPr="005A5BB7">
        <w:fldChar w:fldCharType="separate"/>
      </w:r>
      <w:r w:rsidR="003D0611">
        <w:t>6.63</w:t>
      </w:r>
      <w:r w:rsidR="003800EF" w:rsidRPr="005A5BB7">
        <w:fldChar w:fldCharType="end"/>
      </w:r>
      <w:r w:rsidR="00361FFA" w:rsidRPr="005A5BB7">
        <w:t>)</w:t>
      </w:r>
      <w:r w:rsidR="004C397E" w:rsidRPr="005A5BB7">
        <w:t>.</w:t>
      </w:r>
      <w:r w:rsidR="00361FFA" w:rsidRPr="005A5BB7">
        <w:t xml:space="preserve"> </w:t>
      </w:r>
      <w:r w:rsidR="004C397E" w:rsidRPr="005A5BB7">
        <w:t>ATAGI did not support the use of the 2018</w:t>
      </w:r>
      <w:r w:rsidR="000E4816">
        <w:noBreakHyphen/>
      </w:r>
      <w:r w:rsidR="004C397E" w:rsidRPr="005A5BB7">
        <w:t>2019 dataset ( ATAGI Response, 29 October 2025).</w:t>
      </w:r>
    </w:p>
    <w:p w14:paraId="02789E2E" w14:textId="58DFE92C" w:rsidR="00F10D16" w:rsidRPr="005A5BB7" w:rsidRDefault="004C397E" w:rsidP="0090073B">
      <w:pPr>
        <w:pStyle w:val="3-BodyText"/>
      </w:pPr>
      <w:r w:rsidRPr="005A5BB7">
        <w:t>A summary of the EHM used in individuals with at least one at</w:t>
      </w:r>
      <w:r w:rsidR="000E4816">
        <w:noBreakHyphen/>
      </w:r>
      <w:r w:rsidRPr="005A5BB7">
        <w:t xml:space="preserve">risk medical condition and by risk category </w:t>
      </w:r>
      <w:r w:rsidR="00877060" w:rsidRPr="005A5BB7">
        <w:t xml:space="preserve">per AIH </w:t>
      </w:r>
      <w:r w:rsidRPr="005A5BB7">
        <w:t xml:space="preserve">is presented in </w:t>
      </w:r>
      <w:r w:rsidRPr="005A5BB7">
        <w:fldChar w:fldCharType="begin"/>
      </w:r>
      <w:r w:rsidRPr="005A5BB7">
        <w:instrText xml:space="preserve"> REF _Ref216286233 \h  \* MERGEFORMAT </w:instrText>
      </w:r>
      <w:r w:rsidRPr="005A5BB7">
        <w:fldChar w:fldCharType="separate"/>
      </w:r>
      <w:r w:rsidR="0043658C" w:rsidRPr="005A5BB7">
        <w:rPr>
          <w:rFonts w:cs="Times New Roman"/>
          <w:szCs w:val="20"/>
        </w:rPr>
        <w:t xml:space="preserve">Table </w:t>
      </w:r>
      <w:r w:rsidR="0043658C">
        <w:rPr>
          <w:rFonts w:cs="Times New Roman"/>
          <w:szCs w:val="20"/>
        </w:rPr>
        <w:t>17</w:t>
      </w:r>
      <w:r w:rsidRPr="005A5BB7">
        <w:fldChar w:fldCharType="end"/>
      </w:r>
      <w:r w:rsidRPr="005A5BB7">
        <w:t>.</w:t>
      </w:r>
      <w:r w:rsidR="00F812AB" w:rsidRPr="005A5BB7">
        <w:t xml:space="preserve"> </w:t>
      </w:r>
      <w:r w:rsidR="004E0962" w:rsidRPr="005A5BB7">
        <w:t>The bolded figure indicates the selected EHM for use in the base</w:t>
      </w:r>
      <w:r w:rsidR="000E4816">
        <w:noBreakHyphen/>
      </w:r>
      <w:r w:rsidR="004E0962" w:rsidRPr="005A5BB7">
        <w:t>case analysis.</w:t>
      </w:r>
    </w:p>
    <w:p w14:paraId="3695F1B1" w14:textId="42AF14C8" w:rsidR="002B1E34" w:rsidRPr="005A5BB7" w:rsidDel="00BA7B51" w:rsidRDefault="004C397E" w:rsidP="00BB4091">
      <w:pPr>
        <w:pStyle w:val="Caption"/>
      </w:pPr>
      <w:bookmarkStart w:id="74" w:name="_Ref216286233"/>
      <w:r w:rsidRPr="005A5BB7">
        <w:rPr>
          <w:rFonts w:cs="Times New Roman"/>
          <w:szCs w:val="20"/>
        </w:rPr>
        <w:t xml:space="preserve">Table </w:t>
      </w:r>
      <w:r w:rsidRPr="005A5BB7">
        <w:rPr>
          <w:rFonts w:cs="Times New Roman"/>
          <w:szCs w:val="20"/>
        </w:rPr>
        <w:fldChar w:fldCharType="begin"/>
      </w:r>
      <w:r w:rsidRPr="005A5BB7">
        <w:rPr>
          <w:rFonts w:cs="Times New Roman"/>
          <w:szCs w:val="20"/>
        </w:rPr>
        <w:instrText xml:space="preserve"> SEQ Table \* ARABIC </w:instrText>
      </w:r>
      <w:r w:rsidRPr="005A5BB7">
        <w:rPr>
          <w:rFonts w:cs="Times New Roman"/>
          <w:szCs w:val="20"/>
        </w:rPr>
        <w:fldChar w:fldCharType="separate"/>
      </w:r>
      <w:r w:rsidR="0043658C">
        <w:rPr>
          <w:rFonts w:cs="Times New Roman"/>
          <w:noProof/>
          <w:szCs w:val="20"/>
        </w:rPr>
        <w:t>17</w:t>
      </w:r>
      <w:r w:rsidRPr="005A5BB7">
        <w:rPr>
          <w:rFonts w:cs="Times New Roman"/>
          <w:szCs w:val="20"/>
        </w:rPr>
        <w:fldChar w:fldCharType="end"/>
      </w:r>
      <w:bookmarkEnd w:id="74"/>
      <w:r w:rsidRPr="005A5BB7">
        <w:t xml:space="preserve">: Excess hospitalisation multipliers </w:t>
      </w:r>
      <w:r w:rsidR="009B1735" w:rsidRPr="005A5BB7">
        <w:t>used in base case and sources</w:t>
      </w:r>
    </w:p>
    <w:tbl>
      <w:tblPr>
        <w:tblStyle w:val="OPTUMTableNormal"/>
        <w:tblW w:w="5000" w:type="pct"/>
        <w:tblLayout w:type="fixed"/>
        <w:tblCellMar>
          <w:left w:w="28" w:type="dxa"/>
          <w:right w:w="28" w:type="dxa"/>
        </w:tblCellMar>
        <w:tblLook w:val="04A0" w:firstRow="1" w:lastRow="0" w:firstColumn="1" w:lastColumn="0" w:noHBand="0" w:noVBand="1"/>
        <w:tblCaption w:val="Table 17: Excess hospitalisation multipliers used in base case and sources"/>
      </w:tblPr>
      <w:tblGrid>
        <w:gridCol w:w="3661"/>
        <w:gridCol w:w="563"/>
        <w:gridCol w:w="564"/>
        <w:gridCol w:w="602"/>
        <w:gridCol w:w="525"/>
        <w:gridCol w:w="487"/>
        <w:gridCol w:w="503"/>
        <w:gridCol w:w="487"/>
        <w:gridCol w:w="500"/>
        <w:gridCol w:w="552"/>
        <w:gridCol w:w="573"/>
      </w:tblGrid>
      <w:tr w:rsidR="004B50B0" w:rsidRPr="005A5BB7" w14:paraId="7CAA5C58" w14:textId="77777777" w:rsidTr="00B64E30">
        <w:trPr>
          <w:cnfStyle w:val="100000000000" w:firstRow="1" w:lastRow="0" w:firstColumn="0" w:lastColumn="0" w:oddVBand="0" w:evenVBand="0" w:oddHBand="0" w:evenHBand="0" w:firstRowFirstColumn="0" w:firstRowLastColumn="0" w:lastRowFirstColumn="0" w:lastRowLastColumn="0"/>
          <w:trHeight w:val="368"/>
          <w:tblHeader/>
        </w:trPr>
        <w:tc>
          <w:tcPr>
            <w:tcW w:w="2030" w:type="pct"/>
            <w:vAlign w:val="center"/>
            <w:hideMark/>
          </w:tcPr>
          <w:p w14:paraId="21E5DE10" w14:textId="77777777" w:rsidR="004B50B0" w:rsidRPr="005A5BB7" w:rsidRDefault="004B50B0" w:rsidP="00BB4091">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Risk category and conditions</w:t>
            </w:r>
          </w:p>
        </w:tc>
        <w:sdt>
          <w:sdtPr>
            <w:rPr>
              <w:rFonts w:ascii="Arial Narrow" w:hAnsi="Arial Narrow" w:cs="Calibri"/>
              <w:b/>
              <w:color w:val="000000"/>
              <w:sz w:val="20"/>
              <w:szCs w:val="20"/>
            </w:rPr>
            <w:tag w:val="MENDELEY_CITATION_v3_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"/>
            <w:id w:val="2072300868"/>
            <w:placeholder>
              <w:docPart w:val="2FCEC6B1C1D3499187C73A7B1B4037E2"/>
            </w:placeholder>
          </w:sdtPr>
          <w:sdtEndPr/>
          <w:sdtContent>
            <w:tc>
              <w:tcPr>
                <w:tcW w:w="625" w:type="pct"/>
                <w:gridSpan w:val="2"/>
                <w:vAlign w:val="center"/>
                <w:hideMark/>
              </w:tcPr>
              <w:p w14:paraId="0A84C044" w14:textId="340F3FF7" w:rsidR="004B50B0" w:rsidRPr="005A5BB7" w:rsidRDefault="004B50B0" w:rsidP="00BB4091">
                <w:pPr>
                  <w:keepNext/>
                  <w:jc w:val="center"/>
                  <w:rPr>
                    <w:rFonts w:ascii="Arial Narrow" w:hAnsi="Arial Narrow" w:cs="Calibri"/>
                    <w:b/>
                    <w:color w:val="000000"/>
                    <w:sz w:val="20"/>
                    <w:szCs w:val="20"/>
                  </w:rPr>
                </w:pPr>
                <w:r w:rsidRPr="005A5BB7">
                  <w:rPr>
                    <w:rFonts w:ascii="Arial Narrow" w:hAnsi="Arial Narrow" w:cs="Calibri"/>
                    <w:b/>
                    <w:color w:val="000000"/>
                    <w:sz w:val="20"/>
                    <w:szCs w:val="20"/>
                  </w:rPr>
                  <w:t>Hutton et al</w:t>
                </w:r>
                <w:r w:rsidR="001F5633" w:rsidRPr="005A5BB7">
                  <w:rPr>
                    <w:rFonts w:ascii="Arial Narrow" w:hAnsi="Arial Narrow" w:cs="Calibri"/>
                    <w:b/>
                    <w:color w:val="000000"/>
                    <w:sz w:val="20"/>
                    <w:szCs w:val="20"/>
                  </w:rPr>
                  <w:t>.</w:t>
                </w:r>
                <w:r w:rsidRPr="005A5BB7">
                  <w:rPr>
                    <w:rFonts w:ascii="Arial Narrow" w:hAnsi="Arial Narrow" w:cs="Calibri"/>
                    <w:b/>
                    <w:color w:val="000000"/>
                    <w:sz w:val="20"/>
                    <w:szCs w:val="20"/>
                  </w:rPr>
                  <w:t xml:space="preserve"> (2024)</w:t>
                </w:r>
              </w:p>
            </w:tc>
          </w:sdtContent>
        </w:sdt>
        <w:tc>
          <w:tcPr>
            <w:tcW w:w="625" w:type="pct"/>
            <w:gridSpan w:val="2"/>
            <w:vAlign w:val="center"/>
            <w:hideMark/>
          </w:tcPr>
          <w:p w14:paraId="21D0A9E0" w14:textId="77777777" w:rsidR="004B50B0" w:rsidRPr="005A5BB7" w:rsidRDefault="005001AE" w:rsidP="00BB4091">
            <w:pPr>
              <w:keepNext/>
              <w:jc w:val="center"/>
              <w:rPr>
                <w:rFonts w:ascii="Arial Narrow" w:hAnsi="Arial Narrow" w:cs="Calibri"/>
                <w:b/>
                <w:color w:val="000000"/>
                <w:sz w:val="20"/>
                <w:szCs w:val="20"/>
              </w:rPr>
            </w:pPr>
            <w:sdt>
              <w:sdtPr>
                <w:rPr>
                  <w:rFonts w:ascii="Arial Narrow" w:hAnsi="Arial Narrow" w:cs="Calibri"/>
                  <w:b/>
                  <w:color w:val="000000"/>
                  <w:sz w:val="20"/>
                  <w:szCs w:val="20"/>
                </w:rPr>
                <w:tag w:val="MENDELEY_CITATION_v3_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"/>
                <w:id w:val="-12225691"/>
                <w:placeholder>
                  <w:docPart w:val="2FCEC6B1C1D3499187C73A7B1B4037E2"/>
                </w:placeholder>
              </w:sdtPr>
              <w:sdtEndPr/>
              <w:sdtContent>
                <w:r w:rsidR="004B50B0" w:rsidRPr="005A5BB7">
                  <w:rPr>
                    <w:rFonts w:ascii="Arial Narrow" w:hAnsi="Arial Narrow" w:cs="Calibri"/>
                    <w:b/>
                    <w:color w:val="000000"/>
                    <w:sz w:val="20"/>
                    <w:szCs w:val="20"/>
                  </w:rPr>
                  <w:t>Branche et al. (2021)</w:t>
                </w:r>
              </w:sdtContent>
            </w:sdt>
            <w:r w:rsidR="004B50B0" w:rsidRPr="005A5BB7">
              <w:rPr>
                <w:rFonts w:ascii="Arial Narrow" w:hAnsi="Arial Narrow" w:cs="Calibri"/>
                <w:b/>
                <w:color w:val="000000"/>
                <w:sz w:val="20"/>
                <w:szCs w:val="20"/>
              </w:rPr>
              <w:t xml:space="preserve"> </w:t>
            </w:r>
          </w:p>
          <w:p w14:paraId="5D11C08D" w14:textId="77777777" w:rsidR="004B50B0" w:rsidRPr="005A5BB7" w:rsidRDefault="004B50B0" w:rsidP="00BB4091">
            <w:pPr>
              <w:keepNext/>
              <w:jc w:val="center"/>
              <w:rPr>
                <w:rFonts w:ascii="Arial Narrow" w:hAnsi="Arial Narrow" w:cs="Calibri"/>
                <w:b/>
                <w:color w:val="000000"/>
                <w:sz w:val="20"/>
                <w:szCs w:val="20"/>
              </w:rPr>
            </w:pPr>
            <w:r w:rsidRPr="005A5BB7">
              <w:rPr>
                <w:rFonts w:ascii="Arial Narrow" w:hAnsi="Arial Narrow" w:cs="Calibri"/>
                <w:b/>
                <w:color w:val="000000"/>
                <w:sz w:val="20"/>
                <w:szCs w:val="20"/>
              </w:rPr>
              <w:t>(Rochester site)</w:t>
            </w:r>
          </w:p>
        </w:tc>
        <w:tc>
          <w:tcPr>
            <w:tcW w:w="548" w:type="pct"/>
            <w:gridSpan w:val="2"/>
            <w:vAlign w:val="center"/>
          </w:tcPr>
          <w:p w14:paraId="0D14DAAF" w14:textId="77777777" w:rsidR="004B50B0" w:rsidRPr="005A5BB7" w:rsidRDefault="005001AE" w:rsidP="00BB4091">
            <w:pPr>
              <w:keepNext/>
              <w:jc w:val="center"/>
              <w:rPr>
                <w:rFonts w:ascii="Arial Narrow" w:hAnsi="Arial Narrow" w:cs="Calibri"/>
                <w:b/>
                <w:color w:val="000000"/>
                <w:sz w:val="20"/>
                <w:szCs w:val="20"/>
              </w:rPr>
            </w:pPr>
            <w:sdt>
              <w:sdtPr>
                <w:rPr>
                  <w:rFonts w:ascii="Arial Narrow" w:hAnsi="Arial Narrow" w:cs="Calibri"/>
                  <w:b/>
                  <w:color w:val="000000"/>
                  <w:sz w:val="20"/>
                  <w:szCs w:val="20"/>
                </w:rPr>
                <w:tag w:val="MENDELEY_CITATION_v3_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"/>
                <w:id w:val="1214782207"/>
                <w:placeholder>
                  <w:docPart w:val="A44809F1BAB34BECA72F7602E4C5B71E"/>
                </w:placeholder>
              </w:sdtPr>
              <w:sdtEndPr/>
              <w:sdtContent>
                <w:r w:rsidR="004B50B0" w:rsidRPr="005A5BB7">
                  <w:rPr>
                    <w:rFonts w:ascii="Arial Narrow" w:hAnsi="Arial Narrow" w:cs="Calibri"/>
                    <w:b/>
                    <w:color w:val="000000"/>
                    <w:sz w:val="20"/>
                    <w:szCs w:val="20"/>
                  </w:rPr>
                  <w:t>Branche et al. (2021)</w:t>
                </w:r>
              </w:sdtContent>
            </w:sdt>
            <w:r w:rsidR="004B50B0" w:rsidRPr="005A5BB7">
              <w:rPr>
                <w:rFonts w:ascii="Arial Narrow" w:hAnsi="Arial Narrow" w:cs="Calibri"/>
                <w:b/>
                <w:color w:val="000000"/>
                <w:sz w:val="20"/>
                <w:szCs w:val="20"/>
              </w:rPr>
              <w:t xml:space="preserve"> </w:t>
            </w:r>
          </w:p>
          <w:p w14:paraId="74162FE8" w14:textId="77777777" w:rsidR="004B50B0" w:rsidRPr="005A5BB7" w:rsidRDefault="004B50B0" w:rsidP="00BB4091">
            <w:pPr>
              <w:keepNext/>
              <w:jc w:val="center"/>
              <w:rPr>
                <w:rFonts w:ascii="Arial Narrow" w:hAnsi="Arial Narrow" w:cs="Calibri"/>
                <w:b/>
                <w:color w:val="000000"/>
              </w:rPr>
            </w:pPr>
            <w:r w:rsidRPr="005A5BB7">
              <w:rPr>
                <w:rFonts w:ascii="Arial Narrow" w:hAnsi="Arial Narrow" w:cs="Calibri"/>
                <w:b/>
                <w:color w:val="000000"/>
                <w:sz w:val="20"/>
                <w:szCs w:val="20"/>
              </w:rPr>
              <w:t>(NYC site)</w:t>
            </w:r>
          </w:p>
        </w:tc>
        <w:tc>
          <w:tcPr>
            <w:tcW w:w="547" w:type="pct"/>
            <w:gridSpan w:val="2"/>
            <w:vAlign w:val="center"/>
            <w:hideMark/>
          </w:tcPr>
          <w:sdt>
            <w:sdtPr>
              <w:rPr>
                <w:rFonts w:ascii="Arial Narrow" w:hAnsi="Arial Narrow" w:cs="Calibri"/>
                <w:b/>
                <w:color w:val="000000"/>
                <w:sz w:val="20"/>
                <w:szCs w:val="20"/>
              </w:rPr>
              <w:tag w:val="MENDELEY_CITATION_v3_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"/>
              <w:id w:val="-369691377"/>
              <w:placeholder>
                <w:docPart w:val="22CE5FF5D48D483E8C02B829C4036392"/>
              </w:placeholder>
            </w:sdtPr>
            <w:sdtEndPr/>
            <w:sdtContent>
              <w:p w14:paraId="1238CA4D" w14:textId="77777777" w:rsidR="004B50B0" w:rsidRPr="005A5BB7" w:rsidRDefault="004B50B0" w:rsidP="00BB4091">
                <w:pPr>
                  <w:keepNext/>
                  <w:jc w:val="center"/>
                  <w:rPr>
                    <w:rFonts w:ascii="Arial Narrow" w:hAnsi="Arial Narrow" w:cs="Calibri"/>
                    <w:b/>
                    <w:color w:val="000000"/>
                    <w:sz w:val="20"/>
                    <w:szCs w:val="20"/>
                  </w:rPr>
                </w:pPr>
                <w:r w:rsidRPr="005A5BB7">
                  <w:rPr>
                    <w:rFonts w:ascii="Arial Narrow" w:hAnsi="Arial Narrow" w:cs="Calibri"/>
                    <w:b/>
                    <w:color w:val="000000"/>
                    <w:sz w:val="20"/>
                    <w:szCs w:val="20"/>
                  </w:rPr>
                  <w:t>Branche et al. (2021) (Weighted mean across NYC and Rochester)</w:t>
                </w:r>
              </w:p>
            </w:sdtContent>
          </w:sdt>
        </w:tc>
        <w:tc>
          <w:tcPr>
            <w:tcW w:w="625" w:type="pct"/>
            <w:gridSpan w:val="2"/>
            <w:vAlign w:val="center"/>
          </w:tcPr>
          <w:sdt>
            <w:sdtPr>
              <w:rPr>
                <w:rFonts w:ascii="Arial Narrow" w:hAnsi="Arial Narrow" w:cs="Calibri"/>
                <w:b/>
                <w:color w:val="000000"/>
                <w:sz w:val="20"/>
                <w:szCs w:val="20"/>
              </w:rPr>
              <w:tag w:val="MENDELEY_CITATION_v3_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"/>
              <w:id w:val="-1524010746"/>
              <w:placeholder>
                <w:docPart w:val="2799220CCE0A4F99AA80A0484E0680BF"/>
              </w:placeholder>
            </w:sdtPr>
            <w:sdtEndPr/>
            <w:sdtContent>
              <w:p w14:paraId="27B5988F" w14:textId="77777777" w:rsidR="004B50B0" w:rsidRPr="005A5BB7" w:rsidRDefault="004B50B0" w:rsidP="00BB4091">
                <w:pPr>
                  <w:keepNext/>
                  <w:jc w:val="center"/>
                  <w:rPr>
                    <w:rFonts w:ascii="Arial Narrow" w:hAnsi="Arial Narrow" w:cs="Calibri"/>
                    <w:b/>
                    <w:color w:val="000000"/>
                    <w:sz w:val="20"/>
                    <w:szCs w:val="20"/>
                  </w:rPr>
                </w:pPr>
                <w:r w:rsidRPr="005A5BB7">
                  <w:rPr>
                    <w:rFonts w:ascii="Arial Narrow" w:hAnsi="Arial Narrow" w:cs="Calibri"/>
                    <w:b/>
                    <w:color w:val="000000"/>
                    <w:sz w:val="20"/>
                    <w:szCs w:val="20"/>
                  </w:rPr>
                  <w:t>Prasad et al. (2021)</w:t>
                </w:r>
              </w:p>
            </w:sdtContent>
          </w:sdt>
        </w:tc>
      </w:tr>
      <w:tr w:rsidR="004B50B0" w:rsidRPr="005A5BB7" w14:paraId="7E4964F7" w14:textId="77777777" w:rsidTr="00CD02DC">
        <w:trPr>
          <w:trHeight w:val="57"/>
        </w:trPr>
        <w:tc>
          <w:tcPr>
            <w:tcW w:w="2030" w:type="pct"/>
          </w:tcPr>
          <w:p w14:paraId="2EA5973A" w14:textId="77777777" w:rsidR="004B50B0" w:rsidRPr="005A5BB7" w:rsidRDefault="004B50B0" w:rsidP="00BB4091">
            <w:pPr>
              <w:keepNext/>
              <w:jc w:val="left"/>
              <w:rPr>
                <w:rFonts w:ascii="Arial Narrow" w:hAnsi="Arial Narrow" w:cs="Calibri"/>
                <w:b/>
                <w:bCs/>
                <w:sz w:val="20"/>
                <w:szCs w:val="20"/>
              </w:rPr>
            </w:pPr>
            <w:r w:rsidRPr="005A5BB7">
              <w:rPr>
                <w:rFonts w:ascii="Arial Narrow" w:hAnsi="Arial Narrow" w:cs="Calibri"/>
                <w:b/>
                <w:bCs/>
                <w:sz w:val="20"/>
                <w:szCs w:val="20"/>
              </w:rPr>
              <w:t>Country</w:t>
            </w:r>
          </w:p>
        </w:tc>
        <w:tc>
          <w:tcPr>
            <w:tcW w:w="2346" w:type="pct"/>
            <w:gridSpan w:val="8"/>
            <w:noWrap/>
            <w:vAlign w:val="center"/>
          </w:tcPr>
          <w:p w14:paraId="21A75E45" w14:textId="77777777"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USA</w:t>
            </w:r>
          </w:p>
        </w:tc>
        <w:tc>
          <w:tcPr>
            <w:tcW w:w="625" w:type="pct"/>
            <w:gridSpan w:val="2"/>
            <w:vAlign w:val="center"/>
          </w:tcPr>
          <w:p w14:paraId="2CD83A82" w14:textId="4D0A4971"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NZ</w:t>
            </w:r>
          </w:p>
        </w:tc>
      </w:tr>
      <w:tr w:rsidR="004B50B0" w:rsidRPr="005A5BB7" w14:paraId="350C2F6E" w14:textId="77777777" w:rsidTr="00CD02DC">
        <w:trPr>
          <w:trHeight w:val="57"/>
        </w:trPr>
        <w:tc>
          <w:tcPr>
            <w:tcW w:w="2030" w:type="pct"/>
            <w:hideMark/>
          </w:tcPr>
          <w:p w14:paraId="60B34C78" w14:textId="77777777" w:rsidR="004B50B0" w:rsidRPr="005A5BB7" w:rsidRDefault="004B50B0" w:rsidP="00BB4091">
            <w:pPr>
              <w:keepNext/>
              <w:jc w:val="left"/>
              <w:rPr>
                <w:rFonts w:ascii="Arial Narrow" w:hAnsi="Arial Narrow" w:cs="Calibri"/>
                <w:b/>
                <w:bCs/>
                <w:color w:val="000000"/>
                <w:sz w:val="20"/>
                <w:szCs w:val="20"/>
              </w:rPr>
            </w:pPr>
            <w:r w:rsidRPr="005A5BB7">
              <w:rPr>
                <w:rFonts w:ascii="Arial Narrow" w:hAnsi="Arial Narrow" w:cs="Calibri"/>
                <w:b/>
                <w:bCs/>
                <w:sz w:val="20"/>
                <w:szCs w:val="20"/>
              </w:rPr>
              <w:t xml:space="preserve">Age groups (YOA) </w:t>
            </w:r>
          </w:p>
        </w:tc>
        <w:tc>
          <w:tcPr>
            <w:tcW w:w="312" w:type="pct"/>
            <w:noWrap/>
            <w:vAlign w:val="center"/>
            <w:hideMark/>
          </w:tcPr>
          <w:p w14:paraId="5989716E" w14:textId="43ACD91D" w:rsidR="004B50B0" w:rsidRPr="005A5BB7" w:rsidRDefault="004B50B0" w:rsidP="00BB4091">
            <w:pPr>
              <w:keepNext/>
              <w:jc w:val="center"/>
              <w:rPr>
                <w:rFonts w:ascii="Arial Narrow" w:hAnsi="Arial Narrow" w:cs="Calibri"/>
                <w:b/>
                <w:bCs/>
                <w:color w:val="000000"/>
                <w:sz w:val="20"/>
                <w:szCs w:val="20"/>
              </w:rPr>
            </w:pPr>
            <w:r w:rsidRPr="005A5BB7">
              <w:rPr>
                <w:rFonts w:ascii="Arial Narrow" w:hAnsi="Arial Narrow" w:cs="Calibri"/>
                <w:b/>
                <w:bCs/>
                <w:sz w:val="20"/>
                <w:szCs w:val="20"/>
              </w:rPr>
              <w:t>60</w:t>
            </w:r>
            <w:r w:rsidR="000E4816">
              <w:rPr>
                <w:rFonts w:ascii="Arial Narrow" w:hAnsi="Arial Narrow" w:cs="Calibri"/>
                <w:b/>
                <w:bCs/>
                <w:sz w:val="20"/>
                <w:szCs w:val="20"/>
              </w:rPr>
              <w:noBreakHyphen/>
            </w:r>
            <w:r w:rsidRPr="005A5BB7">
              <w:rPr>
                <w:rFonts w:ascii="Arial Narrow" w:hAnsi="Arial Narrow" w:cs="Calibri"/>
                <w:b/>
                <w:bCs/>
                <w:sz w:val="20"/>
                <w:szCs w:val="20"/>
              </w:rPr>
              <w:t>74</w:t>
            </w:r>
          </w:p>
        </w:tc>
        <w:tc>
          <w:tcPr>
            <w:tcW w:w="313" w:type="pct"/>
            <w:vAlign w:val="center"/>
            <w:hideMark/>
          </w:tcPr>
          <w:p w14:paraId="08D18100" w14:textId="77777777"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u w:val="single"/>
              </w:rPr>
              <w:t>&gt;</w:t>
            </w:r>
            <w:r w:rsidRPr="005A5BB7">
              <w:rPr>
                <w:rFonts w:ascii="Arial Narrow" w:hAnsi="Arial Narrow" w:cs="Calibri"/>
                <w:b/>
                <w:bCs/>
                <w:sz w:val="20"/>
                <w:szCs w:val="20"/>
              </w:rPr>
              <w:t>75</w:t>
            </w:r>
          </w:p>
        </w:tc>
        <w:tc>
          <w:tcPr>
            <w:tcW w:w="334" w:type="pct"/>
            <w:noWrap/>
            <w:vAlign w:val="center"/>
            <w:hideMark/>
          </w:tcPr>
          <w:p w14:paraId="684E9006" w14:textId="25D3E6FA"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50</w:t>
            </w:r>
            <w:r w:rsidR="000E4816">
              <w:rPr>
                <w:rFonts w:ascii="Arial Narrow" w:hAnsi="Arial Narrow" w:cs="Calibri"/>
                <w:b/>
                <w:bCs/>
                <w:sz w:val="20"/>
                <w:szCs w:val="20"/>
              </w:rPr>
              <w:noBreakHyphen/>
            </w:r>
            <w:r w:rsidRPr="005A5BB7">
              <w:rPr>
                <w:rFonts w:ascii="Arial Narrow" w:hAnsi="Arial Narrow" w:cs="Calibri"/>
                <w:b/>
                <w:bCs/>
                <w:sz w:val="20"/>
                <w:szCs w:val="20"/>
              </w:rPr>
              <w:t>64</w:t>
            </w:r>
          </w:p>
        </w:tc>
        <w:tc>
          <w:tcPr>
            <w:tcW w:w="291" w:type="pct"/>
            <w:vAlign w:val="center"/>
            <w:hideMark/>
          </w:tcPr>
          <w:p w14:paraId="28F82AC5" w14:textId="77777777"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u w:val="single"/>
              </w:rPr>
              <w:t>&gt;</w:t>
            </w:r>
            <w:r w:rsidRPr="005A5BB7">
              <w:rPr>
                <w:rFonts w:ascii="Arial Narrow" w:hAnsi="Arial Narrow" w:cs="Calibri"/>
                <w:b/>
                <w:bCs/>
                <w:sz w:val="20"/>
                <w:szCs w:val="20"/>
              </w:rPr>
              <w:t>65</w:t>
            </w:r>
          </w:p>
        </w:tc>
        <w:tc>
          <w:tcPr>
            <w:tcW w:w="270" w:type="pct"/>
            <w:noWrap/>
            <w:vAlign w:val="center"/>
            <w:hideMark/>
          </w:tcPr>
          <w:p w14:paraId="538D9351" w14:textId="300DE701"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50</w:t>
            </w:r>
            <w:r w:rsidR="000E4816">
              <w:rPr>
                <w:rFonts w:ascii="Arial Narrow" w:hAnsi="Arial Narrow" w:cs="Calibri"/>
                <w:b/>
                <w:bCs/>
                <w:sz w:val="20"/>
                <w:szCs w:val="20"/>
              </w:rPr>
              <w:noBreakHyphen/>
            </w:r>
            <w:r w:rsidRPr="005A5BB7">
              <w:rPr>
                <w:rFonts w:ascii="Arial Narrow" w:hAnsi="Arial Narrow" w:cs="Calibri"/>
                <w:b/>
                <w:bCs/>
                <w:sz w:val="20"/>
                <w:szCs w:val="20"/>
              </w:rPr>
              <w:t>64</w:t>
            </w:r>
          </w:p>
        </w:tc>
        <w:tc>
          <w:tcPr>
            <w:tcW w:w="279" w:type="pct"/>
            <w:vAlign w:val="center"/>
            <w:hideMark/>
          </w:tcPr>
          <w:p w14:paraId="79597CC3" w14:textId="77777777"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u w:val="single"/>
              </w:rPr>
              <w:t>&gt;</w:t>
            </w:r>
            <w:r w:rsidRPr="005A5BB7">
              <w:rPr>
                <w:rFonts w:ascii="Arial Narrow" w:hAnsi="Arial Narrow" w:cs="Calibri"/>
                <w:b/>
                <w:bCs/>
                <w:sz w:val="20"/>
                <w:szCs w:val="20"/>
              </w:rPr>
              <w:t>65</w:t>
            </w:r>
          </w:p>
        </w:tc>
        <w:tc>
          <w:tcPr>
            <w:tcW w:w="270" w:type="pct"/>
            <w:vAlign w:val="center"/>
            <w:hideMark/>
          </w:tcPr>
          <w:p w14:paraId="79144C15" w14:textId="2F9CF11B"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50</w:t>
            </w:r>
            <w:r w:rsidR="000E4816">
              <w:rPr>
                <w:rFonts w:ascii="Arial Narrow" w:hAnsi="Arial Narrow" w:cs="Calibri"/>
                <w:b/>
                <w:bCs/>
                <w:sz w:val="20"/>
                <w:szCs w:val="20"/>
              </w:rPr>
              <w:noBreakHyphen/>
            </w:r>
            <w:r w:rsidRPr="005A5BB7">
              <w:rPr>
                <w:rFonts w:ascii="Arial Narrow" w:hAnsi="Arial Narrow" w:cs="Calibri"/>
                <w:b/>
                <w:bCs/>
                <w:sz w:val="20"/>
                <w:szCs w:val="20"/>
              </w:rPr>
              <w:t>64</w:t>
            </w:r>
          </w:p>
        </w:tc>
        <w:tc>
          <w:tcPr>
            <w:tcW w:w="277" w:type="pct"/>
            <w:vAlign w:val="center"/>
            <w:hideMark/>
          </w:tcPr>
          <w:p w14:paraId="1AB7BC97" w14:textId="77777777" w:rsidR="004B50B0" w:rsidRPr="005A5BB7" w:rsidRDefault="004B50B0" w:rsidP="00BB4091">
            <w:pPr>
              <w:keepNext/>
              <w:jc w:val="center"/>
              <w:rPr>
                <w:rFonts w:ascii="Arial Narrow" w:hAnsi="Arial Narrow" w:cs="Calibri"/>
                <w:b/>
                <w:bCs/>
                <w:sz w:val="20"/>
                <w:szCs w:val="20"/>
                <w:u w:val="single"/>
              </w:rPr>
            </w:pPr>
            <w:r w:rsidRPr="005A5BB7">
              <w:rPr>
                <w:rFonts w:ascii="Arial Narrow" w:hAnsi="Arial Narrow" w:cs="Calibri"/>
                <w:b/>
                <w:bCs/>
                <w:sz w:val="20"/>
                <w:szCs w:val="20"/>
                <w:u w:val="single"/>
              </w:rPr>
              <w:t>&gt;</w:t>
            </w:r>
            <w:r w:rsidRPr="005A5BB7">
              <w:rPr>
                <w:rFonts w:ascii="Arial Narrow" w:hAnsi="Arial Narrow" w:cs="Calibri"/>
                <w:b/>
                <w:bCs/>
                <w:sz w:val="20"/>
                <w:szCs w:val="20"/>
              </w:rPr>
              <w:t>65</w:t>
            </w:r>
          </w:p>
        </w:tc>
        <w:tc>
          <w:tcPr>
            <w:tcW w:w="306" w:type="pct"/>
            <w:noWrap/>
            <w:vAlign w:val="center"/>
            <w:hideMark/>
          </w:tcPr>
          <w:p w14:paraId="15CAA32E" w14:textId="7E53BFAB"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50</w:t>
            </w:r>
            <w:r w:rsidR="000E4816">
              <w:rPr>
                <w:rFonts w:ascii="Arial Narrow" w:hAnsi="Arial Narrow" w:cs="Calibri"/>
                <w:b/>
                <w:bCs/>
                <w:sz w:val="20"/>
                <w:szCs w:val="20"/>
              </w:rPr>
              <w:noBreakHyphen/>
            </w:r>
            <w:r w:rsidRPr="005A5BB7">
              <w:rPr>
                <w:rFonts w:ascii="Arial Narrow" w:hAnsi="Arial Narrow" w:cs="Calibri"/>
                <w:b/>
                <w:bCs/>
                <w:sz w:val="20"/>
                <w:szCs w:val="20"/>
              </w:rPr>
              <w:t>64</w:t>
            </w:r>
          </w:p>
        </w:tc>
        <w:tc>
          <w:tcPr>
            <w:tcW w:w="319" w:type="pct"/>
            <w:vAlign w:val="center"/>
            <w:hideMark/>
          </w:tcPr>
          <w:p w14:paraId="19E2E9A4" w14:textId="368EB0F4" w:rsidR="004B50B0" w:rsidRPr="005A5BB7" w:rsidRDefault="004B50B0" w:rsidP="00BB4091">
            <w:pPr>
              <w:keepNext/>
              <w:jc w:val="center"/>
              <w:rPr>
                <w:rFonts w:ascii="Arial Narrow" w:hAnsi="Arial Narrow" w:cs="Calibri"/>
                <w:b/>
                <w:bCs/>
                <w:sz w:val="20"/>
                <w:szCs w:val="20"/>
              </w:rPr>
            </w:pPr>
            <w:r w:rsidRPr="005A5BB7">
              <w:rPr>
                <w:rFonts w:ascii="Arial Narrow" w:hAnsi="Arial Narrow" w:cs="Calibri"/>
                <w:b/>
                <w:bCs/>
                <w:sz w:val="20"/>
                <w:szCs w:val="20"/>
              </w:rPr>
              <w:t>65</w:t>
            </w:r>
            <w:r w:rsidR="000E4816">
              <w:rPr>
                <w:rFonts w:ascii="Arial Narrow" w:hAnsi="Arial Narrow" w:cs="Calibri"/>
                <w:b/>
                <w:bCs/>
                <w:sz w:val="20"/>
                <w:szCs w:val="20"/>
              </w:rPr>
              <w:noBreakHyphen/>
            </w:r>
            <w:r w:rsidRPr="005A5BB7">
              <w:rPr>
                <w:rFonts w:ascii="Arial Narrow" w:hAnsi="Arial Narrow" w:cs="Calibri"/>
                <w:b/>
                <w:bCs/>
                <w:sz w:val="20"/>
                <w:szCs w:val="20"/>
              </w:rPr>
              <w:t>80</w:t>
            </w:r>
          </w:p>
        </w:tc>
      </w:tr>
      <w:tr w:rsidR="004B50B0" w:rsidRPr="005A5BB7" w14:paraId="25A4BE25" w14:textId="77777777" w:rsidTr="00CD02DC">
        <w:trPr>
          <w:trHeight w:val="57"/>
        </w:trPr>
        <w:tc>
          <w:tcPr>
            <w:tcW w:w="2030" w:type="pct"/>
            <w:hideMark/>
          </w:tcPr>
          <w:p w14:paraId="2FC7ACF7" w14:textId="77777777" w:rsidR="004B50B0" w:rsidRPr="005A5BB7" w:rsidRDefault="004B50B0" w:rsidP="004B50B0">
            <w:pPr>
              <w:jc w:val="left"/>
              <w:rPr>
                <w:rFonts w:ascii="Arial Narrow" w:hAnsi="Arial Narrow" w:cs="Calibri"/>
                <w:b/>
                <w:bCs/>
                <w:color w:val="000000"/>
                <w:sz w:val="20"/>
                <w:szCs w:val="20"/>
              </w:rPr>
            </w:pPr>
            <w:r w:rsidRPr="005A5BB7">
              <w:rPr>
                <w:rFonts w:ascii="Arial Narrow" w:hAnsi="Arial Narrow" w:cs="Calibri"/>
                <w:b/>
                <w:bCs/>
                <w:sz w:val="20"/>
                <w:szCs w:val="20"/>
              </w:rPr>
              <w:t>Cardiac disease</w:t>
            </w:r>
          </w:p>
        </w:tc>
        <w:tc>
          <w:tcPr>
            <w:tcW w:w="2970" w:type="pct"/>
            <w:gridSpan w:val="10"/>
            <w:vAlign w:val="center"/>
          </w:tcPr>
          <w:p w14:paraId="1A435F1E" w14:textId="2042F5A5"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2.35</w:t>
            </w:r>
            <w:r w:rsidR="007E70BB" w:rsidRPr="005A5BB7">
              <w:rPr>
                <w:rFonts w:ascii="Arial Narrow" w:hAnsi="Arial Narrow" w:cs="Calibri"/>
                <w:b/>
                <w:bCs/>
                <w:color w:val="000000"/>
                <w:sz w:val="20"/>
                <w:szCs w:val="20"/>
              </w:rPr>
              <w:t xml:space="preserve"> (base case)</w:t>
            </w:r>
          </w:p>
        </w:tc>
      </w:tr>
      <w:tr w:rsidR="004B50B0" w:rsidRPr="005A5BB7" w14:paraId="664434EA" w14:textId="77777777" w:rsidTr="00CD02DC">
        <w:trPr>
          <w:trHeight w:val="57"/>
        </w:trPr>
        <w:tc>
          <w:tcPr>
            <w:tcW w:w="2030" w:type="pct"/>
            <w:hideMark/>
          </w:tcPr>
          <w:p w14:paraId="3C1F466B"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Congestive heart failure </w:t>
            </w:r>
          </w:p>
        </w:tc>
        <w:tc>
          <w:tcPr>
            <w:tcW w:w="312" w:type="pct"/>
            <w:noWrap/>
            <w:vAlign w:val="center"/>
            <w:hideMark/>
          </w:tcPr>
          <w:p w14:paraId="16DD3A76"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3.18</w:t>
            </w:r>
          </w:p>
        </w:tc>
        <w:tc>
          <w:tcPr>
            <w:tcW w:w="313" w:type="pct"/>
            <w:vAlign w:val="center"/>
            <w:hideMark/>
          </w:tcPr>
          <w:p w14:paraId="40186E3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1.81</w:t>
            </w:r>
          </w:p>
        </w:tc>
        <w:tc>
          <w:tcPr>
            <w:tcW w:w="334" w:type="pct"/>
            <w:noWrap/>
            <w:vAlign w:val="center"/>
            <w:hideMark/>
          </w:tcPr>
          <w:p w14:paraId="0448704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9.03</w:t>
            </w:r>
          </w:p>
        </w:tc>
        <w:tc>
          <w:tcPr>
            <w:tcW w:w="291" w:type="pct"/>
            <w:vAlign w:val="center"/>
            <w:hideMark/>
          </w:tcPr>
          <w:p w14:paraId="6A06F2E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4.98</w:t>
            </w:r>
          </w:p>
        </w:tc>
        <w:tc>
          <w:tcPr>
            <w:tcW w:w="270" w:type="pct"/>
            <w:noWrap/>
            <w:vAlign w:val="center"/>
            <w:hideMark/>
          </w:tcPr>
          <w:p w14:paraId="27A290B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5.04</w:t>
            </w:r>
          </w:p>
        </w:tc>
        <w:tc>
          <w:tcPr>
            <w:tcW w:w="279" w:type="pct"/>
            <w:vAlign w:val="center"/>
            <w:hideMark/>
          </w:tcPr>
          <w:p w14:paraId="2295B64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2.24</w:t>
            </w:r>
          </w:p>
        </w:tc>
        <w:tc>
          <w:tcPr>
            <w:tcW w:w="270" w:type="pct"/>
            <w:vAlign w:val="center"/>
            <w:hideMark/>
          </w:tcPr>
          <w:p w14:paraId="647EDC2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71D0582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3.49</w:t>
            </w:r>
          </w:p>
        </w:tc>
        <w:tc>
          <w:tcPr>
            <w:tcW w:w="306" w:type="pct"/>
            <w:noWrap/>
            <w:vAlign w:val="center"/>
            <w:hideMark/>
          </w:tcPr>
          <w:p w14:paraId="60D37CE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5.58</w:t>
            </w:r>
          </w:p>
        </w:tc>
        <w:tc>
          <w:tcPr>
            <w:tcW w:w="319" w:type="pct"/>
            <w:vAlign w:val="center"/>
            <w:hideMark/>
          </w:tcPr>
          <w:p w14:paraId="2C6C947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3.77</w:t>
            </w:r>
          </w:p>
        </w:tc>
      </w:tr>
      <w:tr w:rsidR="004B50B0" w:rsidRPr="005A5BB7" w14:paraId="5A899AF9" w14:textId="77777777" w:rsidTr="00CD02DC">
        <w:trPr>
          <w:trHeight w:val="57"/>
        </w:trPr>
        <w:tc>
          <w:tcPr>
            <w:tcW w:w="2030" w:type="pct"/>
            <w:hideMark/>
          </w:tcPr>
          <w:p w14:paraId="2774DC36"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Coronary artery disease </w:t>
            </w:r>
          </w:p>
        </w:tc>
        <w:tc>
          <w:tcPr>
            <w:tcW w:w="312" w:type="pct"/>
            <w:noWrap/>
            <w:vAlign w:val="center"/>
            <w:hideMark/>
          </w:tcPr>
          <w:p w14:paraId="4930C075"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2.15</w:t>
            </w:r>
          </w:p>
        </w:tc>
        <w:tc>
          <w:tcPr>
            <w:tcW w:w="313" w:type="pct"/>
            <w:vAlign w:val="center"/>
            <w:hideMark/>
          </w:tcPr>
          <w:p w14:paraId="6E54353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1.54</w:t>
            </w:r>
          </w:p>
        </w:tc>
        <w:tc>
          <w:tcPr>
            <w:tcW w:w="334" w:type="pct"/>
            <w:noWrap/>
            <w:vAlign w:val="center"/>
            <w:hideMark/>
          </w:tcPr>
          <w:p w14:paraId="2F8ABB0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2.86</w:t>
            </w:r>
          </w:p>
        </w:tc>
        <w:tc>
          <w:tcPr>
            <w:tcW w:w="291" w:type="pct"/>
            <w:vAlign w:val="center"/>
            <w:hideMark/>
          </w:tcPr>
          <w:p w14:paraId="7836B89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3.74</w:t>
            </w:r>
          </w:p>
        </w:tc>
        <w:tc>
          <w:tcPr>
            <w:tcW w:w="270" w:type="pct"/>
            <w:noWrap/>
            <w:vAlign w:val="center"/>
            <w:hideMark/>
          </w:tcPr>
          <w:p w14:paraId="66535A2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3.66</w:t>
            </w:r>
          </w:p>
        </w:tc>
        <w:tc>
          <w:tcPr>
            <w:tcW w:w="279" w:type="pct"/>
            <w:vAlign w:val="center"/>
            <w:hideMark/>
          </w:tcPr>
          <w:p w14:paraId="26B6957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2.44</w:t>
            </w:r>
          </w:p>
        </w:tc>
        <w:tc>
          <w:tcPr>
            <w:tcW w:w="270" w:type="pct"/>
            <w:vAlign w:val="center"/>
            <w:hideMark/>
          </w:tcPr>
          <w:p w14:paraId="45909D0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3.28</w:t>
            </w:r>
          </w:p>
        </w:tc>
        <w:tc>
          <w:tcPr>
            <w:tcW w:w="277" w:type="pct"/>
            <w:vAlign w:val="center"/>
            <w:hideMark/>
          </w:tcPr>
          <w:p w14:paraId="57E58C4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3.03</w:t>
            </w:r>
          </w:p>
        </w:tc>
        <w:tc>
          <w:tcPr>
            <w:tcW w:w="306" w:type="pct"/>
            <w:noWrap/>
            <w:vAlign w:val="center"/>
            <w:hideMark/>
          </w:tcPr>
          <w:p w14:paraId="1C43857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3.87</w:t>
            </w:r>
          </w:p>
        </w:tc>
        <w:tc>
          <w:tcPr>
            <w:tcW w:w="319" w:type="pct"/>
            <w:vAlign w:val="center"/>
            <w:hideMark/>
          </w:tcPr>
          <w:p w14:paraId="656401D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2.00</w:t>
            </w:r>
          </w:p>
        </w:tc>
      </w:tr>
      <w:tr w:rsidR="004B50B0" w:rsidRPr="005A5BB7" w14:paraId="62844C8C" w14:textId="77777777" w:rsidTr="00CD02DC">
        <w:trPr>
          <w:trHeight w:val="57"/>
        </w:trPr>
        <w:tc>
          <w:tcPr>
            <w:tcW w:w="2030" w:type="pct"/>
            <w:hideMark/>
          </w:tcPr>
          <w:p w14:paraId="036DD263"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Stroke/TIA</w:t>
            </w:r>
          </w:p>
        </w:tc>
        <w:tc>
          <w:tcPr>
            <w:tcW w:w="312" w:type="pct"/>
            <w:noWrap/>
            <w:vAlign w:val="center"/>
            <w:hideMark/>
          </w:tcPr>
          <w:p w14:paraId="272CD0D2"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hideMark/>
          </w:tcPr>
          <w:p w14:paraId="7D53CC3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12CF836D"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3DF1ADD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7BA7B2C6"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6B825EA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0376D95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017D4F0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3F4E7B24"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1.72</w:t>
            </w:r>
          </w:p>
        </w:tc>
        <w:tc>
          <w:tcPr>
            <w:tcW w:w="319" w:type="pct"/>
            <w:vAlign w:val="center"/>
            <w:hideMark/>
          </w:tcPr>
          <w:p w14:paraId="40D6F09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1.45</w:t>
            </w:r>
          </w:p>
        </w:tc>
      </w:tr>
      <w:tr w:rsidR="004B50B0" w:rsidRPr="005A5BB7" w14:paraId="01D850AC" w14:textId="77777777" w:rsidTr="00CD02DC">
        <w:trPr>
          <w:trHeight w:val="57"/>
        </w:trPr>
        <w:tc>
          <w:tcPr>
            <w:tcW w:w="2030" w:type="pct"/>
            <w:hideMark/>
          </w:tcPr>
          <w:p w14:paraId="092F89AB"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Congenital heart disease </w:t>
            </w:r>
          </w:p>
        </w:tc>
        <w:tc>
          <w:tcPr>
            <w:tcW w:w="312" w:type="pct"/>
            <w:noWrap/>
            <w:vAlign w:val="center"/>
            <w:hideMark/>
          </w:tcPr>
          <w:p w14:paraId="7FC109C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3" w:type="pct"/>
            <w:vAlign w:val="center"/>
            <w:hideMark/>
          </w:tcPr>
          <w:p w14:paraId="2BA050D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404AEBA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91" w:type="pct"/>
            <w:vAlign w:val="center"/>
            <w:hideMark/>
          </w:tcPr>
          <w:p w14:paraId="153F367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35185F8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9" w:type="pct"/>
            <w:vAlign w:val="center"/>
            <w:hideMark/>
          </w:tcPr>
          <w:p w14:paraId="0316572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0B1B209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2ABEAA3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6F93AFA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9" w:type="pct"/>
            <w:vAlign w:val="center"/>
            <w:hideMark/>
          </w:tcPr>
          <w:p w14:paraId="0FC72594"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04D7625B" w14:textId="77777777" w:rsidTr="00CD02DC">
        <w:trPr>
          <w:trHeight w:val="57"/>
        </w:trPr>
        <w:tc>
          <w:tcPr>
            <w:tcW w:w="2030" w:type="pct"/>
            <w:hideMark/>
          </w:tcPr>
          <w:p w14:paraId="2895A90B" w14:textId="77777777" w:rsidR="004B50B0" w:rsidRPr="005A5BB7" w:rsidRDefault="004B50B0" w:rsidP="004B50B0">
            <w:pPr>
              <w:jc w:val="left"/>
              <w:rPr>
                <w:rFonts w:ascii="Arial Narrow" w:hAnsi="Arial Narrow" w:cs="Calibri"/>
                <w:b/>
                <w:bCs/>
                <w:color w:val="000000"/>
                <w:sz w:val="20"/>
                <w:szCs w:val="20"/>
              </w:rPr>
            </w:pPr>
            <w:r w:rsidRPr="005A5BB7">
              <w:rPr>
                <w:rFonts w:ascii="Arial Narrow" w:hAnsi="Arial Narrow" w:cs="Calibri"/>
                <w:b/>
                <w:bCs/>
                <w:sz w:val="20"/>
                <w:szCs w:val="20"/>
              </w:rPr>
              <w:t>Chronic respiratory conditions</w:t>
            </w:r>
          </w:p>
        </w:tc>
        <w:tc>
          <w:tcPr>
            <w:tcW w:w="2970" w:type="pct"/>
            <w:gridSpan w:val="10"/>
            <w:vAlign w:val="center"/>
          </w:tcPr>
          <w:p w14:paraId="1082CBF6" w14:textId="1AAC4EA4"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2.87</w:t>
            </w:r>
            <w:r w:rsidR="007E70BB" w:rsidRPr="005A5BB7">
              <w:rPr>
                <w:rFonts w:ascii="Arial Narrow" w:hAnsi="Arial Narrow" w:cs="Calibri"/>
                <w:b/>
                <w:bCs/>
                <w:color w:val="000000"/>
                <w:sz w:val="20"/>
                <w:szCs w:val="20"/>
              </w:rPr>
              <w:t xml:space="preserve"> (base case)</w:t>
            </w:r>
          </w:p>
        </w:tc>
      </w:tr>
      <w:tr w:rsidR="004B50B0" w:rsidRPr="005A5BB7" w14:paraId="6BDA3E53" w14:textId="77777777" w:rsidTr="00CD02DC">
        <w:trPr>
          <w:trHeight w:val="261"/>
        </w:trPr>
        <w:tc>
          <w:tcPr>
            <w:tcW w:w="2030" w:type="pct"/>
            <w:hideMark/>
          </w:tcPr>
          <w:p w14:paraId="55E4E332"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Chronic obstructive pulmonary disease </w:t>
            </w:r>
          </w:p>
        </w:tc>
        <w:tc>
          <w:tcPr>
            <w:tcW w:w="312" w:type="pct"/>
            <w:noWrap/>
            <w:vAlign w:val="center"/>
            <w:hideMark/>
          </w:tcPr>
          <w:p w14:paraId="48ECE076"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3.17</w:t>
            </w:r>
          </w:p>
        </w:tc>
        <w:tc>
          <w:tcPr>
            <w:tcW w:w="313" w:type="pct"/>
            <w:vAlign w:val="center"/>
            <w:hideMark/>
          </w:tcPr>
          <w:p w14:paraId="426BECE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2.79</w:t>
            </w:r>
          </w:p>
        </w:tc>
        <w:tc>
          <w:tcPr>
            <w:tcW w:w="334" w:type="pct"/>
            <w:noWrap/>
            <w:vAlign w:val="center"/>
            <w:hideMark/>
          </w:tcPr>
          <w:p w14:paraId="416C322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3.81</w:t>
            </w:r>
          </w:p>
        </w:tc>
        <w:tc>
          <w:tcPr>
            <w:tcW w:w="291" w:type="pct"/>
            <w:vAlign w:val="center"/>
            <w:hideMark/>
          </w:tcPr>
          <w:p w14:paraId="6ECE0DD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7.8</w:t>
            </w:r>
          </w:p>
        </w:tc>
        <w:tc>
          <w:tcPr>
            <w:tcW w:w="270" w:type="pct"/>
            <w:noWrap/>
            <w:vAlign w:val="center"/>
            <w:hideMark/>
          </w:tcPr>
          <w:p w14:paraId="71F6BA7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4.58</w:t>
            </w:r>
          </w:p>
        </w:tc>
        <w:tc>
          <w:tcPr>
            <w:tcW w:w="279" w:type="pct"/>
            <w:vAlign w:val="center"/>
            <w:hideMark/>
          </w:tcPr>
          <w:p w14:paraId="215D3A2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2.33</w:t>
            </w:r>
          </w:p>
        </w:tc>
        <w:tc>
          <w:tcPr>
            <w:tcW w:w="270" w:type="pct"/>
            <w:vAlign w:val="center"/>
            <w:hideMark/>
          </w:tcPr>
          <w:p w14:paraId="108BF36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4.21</w:t>
            </w:r>
          </w:p>
        </w:tc>
        <w:tc>
          <w:tcPr>
            <w:tcW w:w="277" w:type="pct"/>
            <w:vAlign w:val="center"/>
            <w:hideMark/>
          </w:tcPr>
          <w:p w14:paraId="6405BA71"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4.82</w:t>
            </w:r>
          </w:p>
        </w:tc>
        <w:tc>
          <w:tcPr>
            <w:tcW w:w="306" w:type="pct"/>
            <w:noWrap/>
            <w:vAlign w:val="center"/>
            <w:hideMark/>
          </w:tcPr>
          <w:p w14:paraId="4ACE5CD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4.92</w:t>
            </w:r>
          </w:p>
        </w:tc>
        <w:tc>
          <w:tcPr>
            <w:tcW w:w="319" w:type="pct"/>
            <w:vAlign w:val="center"/>
            <w:hideMark/>
          </w:tcPr>
          <w:p w14:paraId="69CC6B2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3.71</w:t>
            </w:r>
          </w:p>
        </w:tc>
      </w:tr>
      <w:tr w:rsidR="004B50B0" w:rsidRPr="005A5BB7" w14:paraId="6B14E3A5" w14:textId="77777777" w:rsidTr="00CD02DC">
        <w:trPr>
          <w:trHeight w:val="57"/>
        </w:trPr>
        <w:tc>
          <w:tcPr>
            <w:tcW w:w="2030" w:type="pct"/>
            <w:hideMark/>
          </w:tcPr>
          <w:p w14:paraId="72E34753" w14:textId="584FDA31"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Severe asthma (requiring frequent medical consultations/multiple medications)</w:t>
            </w:r>
          </w:p>
        </w:tc>
        <w:tc>
          <w:tcPr>
            <w:tcW w:w="312" w:type="pct"/>
            <w:noWrap/>
            <w:vAlign w:val="center"/>
            <w:hideMark/>
          </w:tcPr>
          <w:p w14:paraId="14341E6F"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2.56</w:t>
            </w:r>
          </w:p>
        </w:tc>
        <w:tc>
          <w:tcPr>
            <w:tcW w:w="313" w:type="pct"/>
            <w:vAlign w:val="center"/>
            <w:hideMark/>
          </w:tcPr>
          <w:p w14:paraId="2E8055B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2.52</w:t>
            </w:r>
          </w:p>
        </w:tc>
        <w:tc>
          <w:tcPr>
            <w:tcW w:w="334" w:type="pct"/>
            <w:noWrap/>
            <w:vAlign w:val="center"/>
            <w:hideMark/>
          </w:tcPr>
          <w:p w14:paraId="0C658C6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1.68</w:t>
            </w:r>
          </w:p>
        </w:tc>
        <w:tc>
          <w:tcPr>
            <w:tcW w:w="291" w:type="pct"/>
            <w:vAlign w:val="center"/>
            <w:hideMark/>
          </w:tcPr>
          <w:p w14:paraId="2EC7F80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1.89</w:t>
            </w:r>
          </w:p>
        </w:tc>
        <w:tc>
          <w:tcPr>
            <w:tcW w:w="270" w:type="pct"/>
            <w:noWrap/>
            <w:vAlign w:val="center"/>
            <w:hideMark/>
          </w:tcPr>
          <w:p w14:paraId="4881F4C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2.41</w:t>
            </w:r>
          </w:p>
        </w:tc>
        <w:tc>
          <w:tcPr>
            <w:tcW w:w="279" w:type="pct"/>
            <w:vAlign w:val="center"/>
            <w:hideMark/>
          </w:tcPr>
          <w:p w14:paraId="3C97B1B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1.63</w:t>
            </w:r>
          </w:p>
        </w:tc>
        <w:tc>
          <w:tcPr>
            <w:tcW w:w="270" w:type="pct"/>
            <w:vAlign w:val="center"/>
            <w:hideMark/>
          </w:tcPr>
          <w:p w14:paraId="228A4B6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2.06</w:t>
            </w:r>
          </w:p>
        </w:tc>
        <w:tc>
          <w:tcPr>
            <w:tcW w:w="277" w:type="pct"/>
            <w:vAlign w:val="center"/>
            <w:hideMark/>
          </w:tcPr>
          <w:p w14:paraId="2E7C24B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1.75</w:t>
            </w:r>
          </w:p>
        </w:tc>
        <w:tc>
          <w:tcPr>
            <w:tcW w:w="306" w:type="pct"/>
            <w:noWrap/>
            <w:vAlign w:val="center"/>
            <w:hideMark/>
          </w:tcPr>
          <w:p w14:paraId="6B990F9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3.51</w:t>
            </w:r>
          </w:p>
        </w:tc>
        <w:tc>
          <w:tcPr>
            <w:tcW w:w="319" w:type="pct"/>
            <w:vAlign w:val="center"/>
            <w:hideMark/>
          </w:tcPr>
          <w:p w14:paraId="69F8EE6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3.29</w:t>
            </w:r>
          </w:p>
        </w:tc>
      </w:tr>
      <w:tr w:rsidR="004B50B0" w:rsidRPr="005A5BB7" w14:paraId="2599B6B6" w14:textId="77777777" w:rsidTr="00CD02DC">
        <w:trPr>
          <w:trHeight w:val="300"/>
        </w:trPr>
        <w:tc>
          <w:tcPr>
            <w:tcW w:w="2030" w:type="pct"/>
            <w:hideMark/>
          </w:tcPr>
          <w:p w14:paraId="302094EA" w14:textId="6D15DD4A"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 xml:space="preserve">Suppurative lung disease, </w:t>
            </w:r>
            <w:r w:rsidR="00695959" w:rsidRPr="005A5BB7">
              <w:rPr>
                <w:rFonts w:ascii="Arial Narrow" w:hAnsi="Arial Narrow" w:cs="Calibri"/>
                <w:color w:val="000000"/>
                <w:sz w:val="20"/>
                <w:szCs w:val="20"/>
              </w:rPr>
              <w:t>bronchiectasis</w:t>
            </w:r>
            <w:r w:rsidRPr="005A5BB7">
              <w:rPr>
                <w:rFonts w:ascii="Arial Narrow" w:hAnsi="Arial Narrow" w:cs="Calibri"/>
                <w:color w:val="000000"/>
                <w:sz w:val="20"/>
                <w:szCs w:val="20"/>
              </w:rPr>
              <w:t xml:space="preserve">, </w:t>
            </w:r>
            <w:r w:rsidR="002C1D8C" w:rsidRPr="005A5BB7">
              <w:rPr>
                <w:rFonts w:ascii="Arial Narrow" w:hAnsi="Arial Narrow" w:cs="Calibri"/>
                <w:color w:val="000000"/>
                <w:sz w:val="20"/>
                <w:szCs w:val="20"/>
              </w:rPr>
              <w:t xml:space="preserve">cystic </w:t>
            </w:r>
            <w:r w:rsidRPr="005A5BB7">
              <w:rPr>
                <w:rFonts w:ascii="Arial Narrow" w:hAnsi="Arial Narrow" w:cs="Calibri"/>
                <w:color w:val="000000"/>
                <w:sz w:val="20"/>
                <w:szCs w:val="20"/>
              </w:rPr>
              <w:t>fibrosis, Chronic emphysema </w:t>
            </w:r>
          </w:p>
        </w:tc>
        <w:tc>
          <w:tcPr>
            <w:tcW w:w="312" w:type="pct"/>
            <w:noWrap/>
            <w:vAlign w:val="center"/>
            <w:hideMark/>
          </w:tcPr>
          <w:p w14:paraId="6CFDB0A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3" w:type="pct"/>
            <w:vAlign w:val="center"/>
            <w:hideMark/>
          </w:tcPr>
          <w:p w14:paraId="5B6E896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3A99F7C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91" w:type="pct"/>
            <w:vAlign w:val="center"/>
            <w:hideMark/>
          </w:tcPr>
          <w:p w14:paraId="3FC3727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480A617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9" w:type="pct"/>
            <w:vAlign w:val="center"/>
            <w:hideMark/>
          </w:tcPr>
          <w:p w14:paraId="514B160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489A1DE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5B79382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546CDE5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9" w:type="pct"/>
            <w:vAlign w:val="center"/>
            <w:hideMark/>
          </w:tcPr>
          <w:p w14:paraId="6F9B11E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166DC79A" w14:textId="77777777" w:rsidTr="00CD02DC">
        <w:trPr>
          <w:trHeight w:val="57"/>
        </w:trPr>
        <w:tc>
          <w:tcPr>
            <w:tcW w:w="2030" w:type="pct"/>
            <w:hideMark/>
          </w:tcPr>
          <w:p w14:paraId="3E90DC5B" w14:textId="77777777" w:rsidR="004B50B0" w:rsidRPr="005A5BB7" w:rsidRDefault="004B50B0" w:rsidP="004B50B0">
            <w:pPr>
              <w:jc w:val="left"/>
              <w:rPr>
                <w:rFonts w:ascii="Arial Narrow" w:hAnsi="Arial Narrow" w:cs="Calibri"/>
                <w:b/>
                <w:bCs/>
                <w:color w:val="000000"/>
                <w:sz w:val="20"/>
                <w:szCs w:val="20"/>
              </w:rPr>
            </w:pPr>
            <w:r w:rsidRPr="005A5BB7">
              <w:rPr>
                <w:rFonts w:ascii="Arial Narrow" w:hAnsi="Arial Narrow" w:cs="Calibri"/>
                <w:b/>
                <w:bCs/>
                <w:sz w:val="20"/>
                <w:szCs w:val="20"/>
              </w:rPr>
              <w:t>Immunocompromising conditions</w:t>
            </w:r>
          </w:p>
        </w:tc>
        <w:tc>
          <w:tcPr>
            <w:tcW w:w="2970" w:type="pct"/>
            <w:gridSpan w:val="10"/>
            <w:vAlign w:val="center"/>
          </w:tcPr>
          <w:p w14:paraId="56625BEF" w14:textId="32961521"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12.25</w:t>
            </w:r>
            <w:r w:rsidR="007E70BB" w:rsidRPr="005A5BB7">
              <w:rPr>
                <w:rFonts w:ascii="Arial Narrow" w:hAnsi="Arial Narrow" w:cs="Calibri"/>
                <w:b/>
                <w:bCs/>
                <w:color w:val="000000"/>
                <w:sz w:val="20"/>
                <w:szCs w:val="20"/>
              </w:rPr>
              <w:t xml:space="preserve"> (base case)</w:t>
            </w:r>
          </w:p>
        </w:tc>
      </w:tr>
      <w:tr w:rsidR="004B50B0" w:rsidRPr="005A5BB7" w14:paraId="2C5A932E" w14:textId="77777777" w:rsidTr="00CD02DC">
        <w:trPr>
          <w:trHeight w:val="57"/>
        </w:trPr>
        <w:tc>
          <w:tcPr>
            <w:tcW w:w="2030" w:type="pct"/>
            <w:hideMark/>
          </w:tcPr>
          <w:p w14:paraId="0C8F2861"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Solid organ transplant </w:t>
            </w:r>
          </w:p>
        </w:tc>
        <w:tc>
          <w:tcPr>
            <w:tcW w:w="312" w:type="pct"/>
            <w:noWrap/>
            <w:vAlign w:val="center"/>
            <w:hideMark/>
          </w:tcPr>
          <w:p w14:paraId="6B0CC503"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17.3</w:t>
            </w:r>
          </w:p>
        </w:tc>
        <w:tc>
          <w:tcPr>
            <w:tcW w:w="313" w:type="pct"/>
            <w:vAlign w:val="center"/>
            <w:hideMark/>
          </w:tcPr>
          <w:p w14:paraId="63EEF1A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6.15</w:t>
            </w:r>
          </w:p>
        </w:tc>
        <w:tc>
          <w:tcPr>
            <w:tcW w:w="334" w:type="pct"/>
            <w:noWrap/>
            <w:vAlign w:val="center"/>
            <w:hideMark/>
          </w:tcPr>
          <w:p w14:paraId="60B8C34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91" w:type="pct"/>
            <w:vAlign w:val="center"/>
            <w:hideMark/>
          </w:tcPr>
          <w:p w14:paraId="2B280BB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3A56BA5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9" w:type="pct"/>
            <w:vAlign w:val="center"/>
            <w:hideMark/>
          </w:tcPr>
          <w:p w14:paraId="2C38227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008E9D7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7A3C02E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6B48FB0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9" w:type="pct"/>
            <w:vAlign w:val="center"/>
            <w:hideMark/>
          </w:tcPr>
          <w:p w14:paraId="69D2A164"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0D58DE44" w14:textId="77777777" w:rsidTr="00CD02DC">
        <w:trPr>
          <w:trHeight w:val="57"/>
        </w:trPr>
        <w:tc>
          <w:tcPr>
            <w:tcW w:w="2030" w:type="pct"/>
            <w:hideMark/>
          </w:tcPr>
          <w:p w14:paraId="4FB241F1" w14:textId="070FC671"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Haematopoietic stem cell transplant </w:t>
            </w:r>
            <w:r w:rsidR="002960C4" w:rsidRPr="005A5BB7">
              <w:rPr>
                <w:rFonts w:ascii="Arial Narrow" w:hAnsi="Arial Narrow" w:cs="Calibri"/>
                <w:color w:val="000000"/>
                <w:sz w:val="20"/>
                <w:szCs w:val="20"/>
              </w:rPr>
              <w:t>(HSCT)</w:t>
            </w:r>
          </w:p>
        </w:tc>
        <w:tc>
          <w:tcPr>
            <w:tcW w:w="312" w:type="pct"/>
            <w:vAlign w:val="center"/>
            <w:hideMark/>
          </w:tcPr>
          <w:p w14:paraId="0498A687" w14:textId="3434B63D"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 xml:space="preserve">2.9 (auto); </w:t>
            </w:r>
            <w:r w:rsidRPr="005A5BB7">
              <w:rPr>
                <w:rFonts w:ascii="Arial Narrow" w:hAnsi="Arial Narrow" w:cs="Calibri"/>
                <w:b/>
                <w:bCs/>
                <w:color w:val="000000"/>
                <w:sz w:val="20"/>
                <w:szCs w:val="20"/>
              </w:rPr>
              <w:t>7.2</w:t>
            </w:r>
            <w:r w:rsidRPr="005A5BB7">
              <w:rPr>
                <w:rFonts w:ascii="Arial Narrow" w:hAnsi="Arial Narrow" w:cs="Calibri"/>
                <w:color w:val="000000"/>
                <w:sz w:val="20"/>
                <w:szCs w:val="20"/>
              </w:rPr>
              <w:t xml:space="preserve"> (</w:t>
            </w:r>
            <w:proofErr w:type="spellStart"/>
            <w:r w:rsidRPr="005A5BB7">
              <w:rPr>
                <w:rFonts w:ascii="Arial Narrow" w:hAnsi="Arial Narrow" w:cs="Calibri"/>
                <w:color w:val="000000"/>
                <w:sz w:val="20"/>
                <w:szCs w:val="20"/>
              </w:rPr>
              <w:t>allo</w:t>
            </w:r>
            <w:proofErr w:type="spellEnd"/>
            <w:r w:rsidRPr="005A5BB7">
              <w:rPr>
                <w:rFonts w:ascii="Arial Narrow" w:hAnsi="Arial Narrow" w:cs="Calibri"/>
                <w:color w:val="000000"/>
                <w:sz w:val="20"/>
                <w:szCs w:val="20"/>
              </w:rPr>
              <w:t>)</w:t>
            </w:r>
          </w:p>
        </w:tc>
        <w:tc>
          <w:tcPr>
            <w:tcW w:w="313" w:type="pct"/>
            <w:vAlign w:val="center"/>
            <w:hideMark/>
          </w:tcPr>
          <w:p w14:paraId="6F3932B3" w14:textId="21962028"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1.03 (auto); 2.57 (</w:t>
            </w:r>
            <w:proofErr w:type="spellStart"/>
            <w:r w:rsidRPr="005A5BB7">
              <w:rPr>
                <w:rFonts w:ascii="Arial Narrow" w:hAnsi="Arial Narrow" w:cs="Calibri"/>
                <w:color w:val="000000"/>
                <w:sz w:val="20"/>
                <w:szCs w:val="20"/>
              </w:rPr>
              <w:t>allo</w:t>
            </w:r>
            <w:proofErr w:type="spellEnd"/>
            <w:r w:rsidRPr="005A5BB7">
              <w:rPr>
                <w:rFonts w:ascii="Arial Narrow" w:hAnsi="Arial Narrow" w:cs="Calibri"/>
                <w:color w:val="000000"/>
                <w:sz w:val="20"/>
                <w:szCs w:val="20"/>
              </w:rPr>
              <w:t>)</w:t>
            </w:r>
          </w:p>
        </w:tc>
        <w:tc>
          <w:tcPr>
            <w:tcW w:w="334" w:type="pct"/>
            <w:noWrap/>
            <w:vAlign w:val="center"/>
            <w:hideMark/>
          </w:tcPr>
          <w:p w14:paraId="005AFCE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91" w:type="pct"/>
            <w:noWrap/>
            <w:vAlign w:val="center"/>
            <w:hideMark/>
          </w:tcPr>
          <w:p w14:paraId="3DA612B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2728278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9" w:type="pct"/>
            <w:noWrap/>
            <w:vAlign w:val="center"/>
            <w:hideMark/>
          </w:tcPr>
          <w:p w14:paraId="4A807D3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3E50A2C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noWrap/>
            <w:vAlign w:val="center"/>
            <w:hideMark/>
          </w:tcPr>
          <w:p w14:paraId="3680EF61"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0B6C1C3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9" w:type="pct"/>
            <w:noWrap/>
            <w:vAlign w:val="center"/>
            <w:hideMark/>
          </w:tcPr>
          <w:p w14:paraId="4D83BB8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6A1C3402" w14:textId="77777777" w:rsidTr="00CD02DC">
        <w:trPr>
          <w:trHeight w:val="57"/>
        </w:trPr>
        <w:tc>
          <w:tcPr>
            <w:tcW w:w="2030" w:type="pct"/>
            <w:hideMark/>
          </w:tcPr>
          <w:p w14:paraId="2A2DD40A" w14:textId="50A72844"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lastRenderedPageBreak/>
              <w:t xml:space="preserve">HIV infection, </w:t>
            </w:r>
            <w:r w:rsidR="002C1D8C" w:rsidRPr="005A5BB7">
              <w:rPr>
                <w:rFonts w:ascii="Arial Narrow" w:hAnsi="Arial Narrow" w:cs="Calibri"/>
                <w:color w:val="000000"/>
                <w:sz w:val="20"/>
                <w:szCs w:val="20"/>
              </w:rPr>
              <w:t>malignancy</w:t>
            </w:r>
            <w:r w:rsidRPr="005A5BB7">
              <w:rPr>
                <w:rFonts w:ascii="Arial Narrow" w:hAnsi="Arial Narrow" w:cs="Calibri"/>
                <w:color w:val="000000"/>
                <w:sz w:val="20"/>
                <w:szCs w:val="20"/>
              </w:rPr>
              <w:t xml:space="preserve">, </w:t>
            </w:r>
            <w:r w:rsidR="002C1D8C" w:rsidRPr="005A5BB7">
              <w:rPr>
                <w:rFonts w:ascii="Arial Narrow" w:hAnsi="Arial Narrow" w:cs="Calibri"/>
                <w:color w:val="000000"/>
                <w:sz w:val="20"/>
                <w:szCs w:val="20"/>
              </w:rPr>
              <w:t>i</w:t>
            </w:r>
            <w:r w:rsidRPr="005A5BB7">
              <w:rPr>
                <w:rFonts w:ascii="Arial Narrow" w:hAnsi="Arial Narrow" w:cs="Calibri"/>
                <w:color w:val="000000"/>
                <w:sz w:val="20"/>
                <w:szCs w:val="20"/>
              </w:rPr>
              <w:t>mmunocompromise due to disease or treatment, Asplenia or splenic dysfunction, CAR T</w:t>
            </w:r>
            <w:r w:rsidR="000E4816">
              <w:rPr>
                <w:rFonts w:ascii="Arial Narrow" w:hAnsi="Arial Narrow" w:cs="Calibri"/>
                <w:color w:val="000000"/>
                <w:sz w:val="20"/>
                <w:szCs w:val="20"/>
              </w:rPr>
              <w:noBreakHyphen/>
            </w:r>
            <w:r w:rsidRPr="005A5BB7">
              <w:rPr>
                <w:rFonts w:ascii="Arial Narrow" w:hAnsi="Arial Narrow" w:cs="Calibri"/>
                <w:color w:val="000000"/>
                <w:sz w:val="20"/>
                <w:szCs w:val="20"/>
              </w:rPr>
              <w:t>cell therapy </w:t>
            </w:r>
          </w:p>
        </w:tc>
        <w:tc>
          <w:tcPr>
            <w:tcW w:w="312" w:type="pct"/>
            <w:noWrap/>
            <w:vAlign w:val="center"/>
            <w:hideMark/>
          </w:tcPr>
          <w:p w14:paraId="3B2C42B9"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hideMark/>
          </w:tcPr>
          <w:p w14:paraId="2C088AC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5EC19AE9"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4460BE9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4E7BF6C0"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04B60C6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570781E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561009C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40542FB3"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hideMark/>
          </w:tcPr>
          <w:p w14:paraId="78B6AB0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3CCF645C" w14:textId="77777777" w:rsidTr="00CD02DC">
        <w:trPr>
          <w:trHeight w:val="57"/>
        </w:trPr>
        <w:tc>
          <w:tcPr>
            <w:tcW w:w="2030" w:type="pct"/>
          </w:tcPr>
          <w:p w14:paraId="45231A93" w14:textId="62065502"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b/>
                <w:bCs/>
                <w:sz w:val="20"/>
                <w:szCs w:val="20"/>
              </w:rPr>
              <w:t>Chronic metabolic disorders</w:t>
            </w:r>
          </w:p>
        </w:tc>
        <w:tc>
          <w:tcPr>
            <w:tcW w:w="2970" w:type="pct"/>
            <w:gridSpan w:val="10"/>
            <w:noWrap/>
            <w:vAlign w:val="center"/>
          </w:tcPr>
          <w:p w14:paraId="6EBF5291" w14:textId="2FF728FC"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1.84</w:t>
            </w:r>
            <w:r w:rsidR="007E70BB" w:rsidRPr="005A5BB7">
              <w:rPr>
                <w:rFonts w:ascii="Arial Narrow" w:hAnsi="Arial Narrow" w:cs="Calibri"/>
                <w:b/>
                <w:bCs/>
                <w:color w:val="000000"/>
                <w:sz w:val="20"/>
                <w:szCs w:val="20"/>
              </w:rPr>
              <w:t xml:space="preserve"> (base case)</w:t>
            </w:r>
          </w:p>
        </w:tc>
      </w:tr>
      <w:tr w:rsidR="004B50B0" w:rsidRPr="005A5BB7" w14:paraId="2A9A2780" w14:textId="77777777" w:rsidTr="00CD02DC">
        <w:trPr>
          <w:trHeight w:val="57"/>
        </w:trPr>
        <w:tc>
          <w:tcPr>
            <w:tcW w:w="2030" w:type="pct"/>
            <w:hideMark/>
          </w:tcPr>
          <w:p w14:paraId="7B49F59C"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Type 1 or 2 diabetes </w:t>
            </w:r>
          </w:p>
        </w:tc>
        <w:tc>
          <w:tcPr>
            <w:tcW w:w="312" w:type="pct"/>
            <w:noWrap/>
            <w:vAlign w:val="center"/>
            <w:hideMark/>
          </w:tcPr>
          <w:p w14:paraId="5F6059DB"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1.84</w:t>
            </w:r>
          </w:p>
        </w:tc>
        <w:tc>
          <w:tcPr>
            <w:tcW w:w="313" w:type="pct"/>
            <w:vAlign w:val="center"/>
            <w:hideMark/>
          </w:tcPr>
          <w:p w14:paraId="0E640DE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1.36</w:t>
            </w:r>
          </w:p>
        </w:tc>
        <w:tc>
          <w:tcPr>
            <w:tcW w:w="334" w:type="pct"/>
            <w:noWrap/>
            <w:vAlign w:val="center"/>
            <w:hideMark/>
          </w:tcPr>
          <w:p w14:paraId="2F75837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2.17</w:t>
            </w:r>
          </w:p>
        </w:tc>
        <w:tc>
          <w:tcPr>
            <w:tcW w:w="291" w:type="pct"/>
            <w:vAlign w:val="center"/>
            <w:hideMark/>
          </w:tcPr>
          <w:p w14:paraId="4A409F4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3.63</w:t>
            </w:r>
          </w:p>
        </w:tc>
        <w:tc>
          <w:tcPr>
            <w:tcW w:w="270" w:type="pct"/>
            <w:noWrap/>
            <w:vAlign w:val="center"/>
            <w:hideMark/>
          </w:tcPr>
          <w:p w14:paraId="2C2B521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2.47</w:t>
            </w:r>
          </w:p>
        </w:tc>
        <w:tc>
          <w:tcPr>
            <w:tcW w:w="279" w:type="pct"/>
            <w:vAlign w:val="center"/>
            <w:hideMark/>
          </w:tcPr>
          <w:p w14:paraId="14F91A6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1.42</w:t>
            </w:r>
          </w:p>
        </w:tc>
        <w:tc>
          <w:tcPr>
            <w:tcW w:w="270" w:type="pct"/>
            <w:vAlign w:val="center"/>
            <w:hideMark/>
          </w:tcPr>
          <w:p w14:paraId="3376469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2.33</w:t>
            </w:r>
          </w:p>
        </w:tc>
        <w:tc>
          <w:tcPr>
            <w:tcW w:w="277" w:type="pct"/>
            <w:vAlign w:val="center"/>
            <w:hideMark/>
          </w:tcPr>
          <w:p w14:paraId="5B7F0E0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2.43</w:t>
            </w:r>
          </w:p>
        </w:tc>
        <w:tc>
          <w:tcPr>
            <w:tcW w:w="306" w:type="pct"/>
            <w:noWrap/>
            <w:vAlign w:val="center"/>
            <w:hideMark/>
          </w:tcPr>
          <w:p w14:paraId="344945E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1.14</w:t>
            </w:r>
          </w:p>
        </w:tc>
        <w:tc>
          <w:tcPr>
            <w:tcW w:w="319" w:type="pct"/>
            <w:vAlign w:val="center"/>
            <w:hideMark/>
          </w:tcPr>
          <w:p w14:paraId="7A0CA82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1.45</w:t>
            </w:r>
          </w:p>
        </w:tc>
      </w:tr>
      <w:tr w:rsidR="004B50B0" w:rsidRPr="005A5BB7" w14:paraId="2AEE4B13" w14:textId="77777777" w:rsidTr="00CD02DC">
        <w:trPr>
          <w:trHeight w:val="57"/>
        </w:trPr>
        <w:tc>
          <w:tcPr>
            <w:tcW w:w="2030" w:type="pct"/>
            <w:vAlign w:val="center"/>
            <w:hideMark/>
          </w:tcPr>
          <w:p w14:paraId="66B2DBED"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Amino acid disorders, carbohydrate disorders, cholesterol biosynthesis disorders, fatty acid oxidation defects, lactic acidosis, mitochondrial disorders, organic acid disorders, urea cycle disorders, vitamin/cofactor disorders, porphyrias</w:t>
            </w:r>
          </w:p>
        </w:tc>
        <w:tc>
          <w:tcPr>
            <w:tcW w:w="312" w:type="pct"/>
            <w:noWrap/>
            <w:vAlign w:val="center"/>
            <w:hideMark/>
          </w:tcPr>
          <w:p w14:paraId="76AC00F1"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hideMark/>
          </w:tcPr>
          <w:p w14:paraId="3FAD0254"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6B3F3631"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730EE24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1D0C580D"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7D9AA77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31184C2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0C2EB48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76CFC37A"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hideMark/>
          </w:tcPr>
          <w:p w14:paraId="1B8B20E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54F369F1" w14:textId="77777777" w:rsidTr="00CD02DC">
        <w:trPr>
          <w:trHeight w:val="57"/>
        </w:trPr>
        <w:tc>
          <w:tcPr>
            <w:tcW w:w="2030" w:type="pct"/>
            <w:hideMark/>
          </w:tcPr>
          <w:p w14:paraId="10468CFE"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b/>
                <w:bCs/>
                <w:sz w:val="20"/>
                <w:szCs w:val="20"/>
              </w:rPr>
              <w:t>Chronic kidney disease</w:t>
            </w:r>
          </w:p>
        </w:tc>
        <w:tc>
          <w:tcPr>
            <w:tcW w:w="2970" w:type="pct"/>
            <w:gridSpan w:val="10"/>
            <w:vAlign w:val="center"/>
          </w:tcPr>
          <w:p w14:paraId="7D9B96C1" w14:textId="12E852AA"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Average:5.40</w:t>
            </w:r>
            <w:r w:rsidR="007E70BB" w:rsidRPr="005A5BB7">
              <w:rPr>
                <w:rFonts w:ascii="Arial Narrow" w:hAnsi="Arial Narrow" w:cs="Calibri"/>
                <w:b/>
                <w:bCs/>
                <w:color w:val="000000"/>
                <w:sz w:val="20"/>
                <w:szCs w:val="20"/>
              </w:rPr>
              <w:t xml:space="preserve"> (base case)</w:t>
            </w:r>
          </w:p>
        </w:tc>
      </w:tr>
      <w:tr w:rsidR="004B50B0" w:rsidRPr="005A5BB7" w14:paraId="3C45695E" w14:textId="77777777" w:rsidTr="00CD02DC">
        <w:trPr>
          <w:trHeight w:val="57"/>
        </w:trPr>
        <w:tc>
          <w:tcPr>
            <w:tcW w:w="2030" w:type="pct"/>
            <w:hideMark/>
          </w:tcPr>
          <w:p w14:paraId="193417E6"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Stage 4 or 5 </w:t>
            </w:r>
          </w:p>
        </w:tc>
        <w:tc>
          <w:tcPr>
            <w:tcW w:w="312" w:type="pct"/>
            <w:noWrap/>
            <w:vAlign w:val="center"/>
            <w:hideMark/>
          </w:tcPr>
          <w:p w14:paraId="7E8581C2"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4.63</w:t>
            </w:r>
          </w:p>
        </w:tc>
        <w:tc>
          <w:tcPr>
            <w:tcW w:w="313" w:type="pct"/>
            <w:vAlign w:val="center"/>
            <w:hideMark/>
          </w:tcPr>
          <w:p w14:paraId="62CFD9F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4.16</w:t>
            </w:r>
          </w:p>
        </w:tc>
        <w:tc>
          <w:tcPr>
            <w:tcW w:w="334" w:type="pct"/>
            <w:noWrap/>
            <w:vAlign w:val="center"/>
            <w:hideMark/>
          </w:tcPr>
          <w:p w14:paraId="5AE91D76"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3C1C1E12"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1DBA6917"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135E54F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24EDAD9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4D29665A"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48486522"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hideMark/>
          </w:tcPr>
          <w:p w14:paraId="1C5CAC6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22917DED" w14:textId="77777777" w:rsidTr="00CD02DC">
        <w:trPr>
          <w:trHeight w:val="57"/>
        </w:trPr>
        <w:tc>
          <w:tcPr>
            <w:tcW w:w="2030" w:type="pct"/>
            <w:hideMark/>
          </w:tcPr>
          <w:p w14:paraId="316FBBE6"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ESRD</w:t>
            </w:r>
          </w:p>
        </w:tc>
        <w:tc>
          <w:tcPr>
            <w:tcW w:w="312" w:type="pct"/>
            <w:noWrap/>
            <w:vAlign w:val="center"/>
            <w:hideMark/>
          </w:tcPr>
          <w:p w14:paraId="26883C80"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hideMark/>
          </w:tcPr>
          <w:p w14:paraId="5385BB1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4C672ADC"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2CE41B0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45EDC4F8"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4DAA276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13B55A15"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2F4D80B1"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4B4ECE75"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6.18</w:t>
            </w:r>
          </w:p>
        </w:tc>
        <w:tc>
          <w:tcPr>
            <w:tcW w:w="319" w:type="pct"/>
            <w:vAlign w:val="center"/>
            <w:hideMark/>
          </w:tcPr>
          <w:p w14:paraId="29533546"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1.09</w:t>
            </w:r>
          </w:p>
        </w:tc>
      </w:tr>
      <w:tr w:rsidR="004B50B0" w:rsidRPr="005A5BB7" w14:paraId="402E386A" w14:textId="77777777" w:rsidTr="00CD02DC">
        <w:trPr>
          <w:trHeight w:val="57"/>
        </w:trPr>
        <w:tc>
          <w:tcPr>
            <w:tcW w:w="2030" w:type="pct"/>
            <w:hideMark/>
          </w:tcPr>
          <w:p w14:paraId="5125CC73" w14:textId="77777777" w:rsidR="004B50B0" w:rsidRPr="005A5BB7" w:rsidRDefault="004B50B0" w:rsidP="004B50B0">
            <w:pPr>
              <w:jc w:val="left"/>
              <w:rPr>
                <w:rFonts w:ascii="Arial Narrow" w:hAnsi="Arial Narrow" w:cs="Calibri"/>
                <w:b/>
                <w:bCs/>
                <w:color w:val="000000"/>
                <w:sz w:val="20"/>
                <w:szCs w:val="20"/>
              </w:rPr>
            </w:pPr>
            <w:r w:rsidRPr="005A5BB7">
              <w:rPr>
                <w:rFonts w:ascii="Arial Narrow" w:hAnsi="Arial Narrow" w:cs="Calibri"/>
                <w:b/>
                <w:bCs/>
                <w:sz w:val="20"/>
                <w:szCs w:val="20"/>
              </w:rPr>
              <w:t>Chronic neurological conditions</w:t>
            </w:r>
          </w:p>
        </w:tc>
        <w:tc>
          <w:tcPr>
            <w:tcW w:w="2970" w:type="pct"/>
            <w:gridSpan w:val="10"/>
            <w:vAlign w:val="center"/>
          </w:tcPr>
          <w:p w14:paraId="32213D02" w14:textId="307C4E8F"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3.92</w:t>
            </w:r>
            <w:r w:rsidRPr="005A5BB7">
              <w:rPr>
                <w:rFonts w:ascii="Arial Narrow" w:hAnsi="Arial Narrow" w:cs="Calibri"/>
                <w:b/>
                <w:bCs/>
                <w:color w:val="000000"/>
                <w:sz w:val="20"/>
                <w:szCs w:val="20"/>
                <w:vertAlign w:val="superscript"/>
              </w:rPr>
              <w:t>a</w:t>
            </w:r>
            <w:r w:rsidR="007E70BB" w:rsidRPr="005A5BB7">
              <w:rPr>
                <w:rFonts w:ascii="Arial Narrow" w:hAnsi="Arial Narrow" w:cs="Calibri"/>
                <w:b/>
                <w:bCs/>
                <w:color w:val="000000"/>
                <w:sz w:val="20"/>
                <w:szCs w:val="20"/>
                <w:vertAlign w:val="superscript"/>
              </w:rPr>
              <w:t xml:space="preserve"> </w:t>
            </w:r>
            <w:r w:rsidR="007E70BB" w:rsidRPr="005A5BB7">
              <w:rPr>
                <w:rFonts w:ascii="Arial Narrow" w:hAnsi="Arial Narrow" w:cs="Calibri"/>
                <w:b/>
                <w:bCs/>
                <w:color w:val="000000"/>
                <w:sz w:val="20"/>
                <w:szCs w:val="20"/>
              </w:rPr>
              <w:t>(base case)</w:t>
            </w:r>
          </w:p>
        </w:tc>
      </w:tr>
      <w:tr w:rsidR="004B50B0" w:rsidRPr="005A5BB7" w14:paraId="15C36968" w14:textId="77777777" w:rsidTr="00CD02DC">
        <w:trPr>
          <w:trHeight w:val="57"/>
        </w:trPr>
        <w:tc>
          <w:tcPr>
            <w:tcW w:w="2030" w:type="pct"/>
            <w:vAlign w:val="center"/>
            <w:hideMark/>
          </w:tcPr>
          <w:p w14:paraId="4837074F" w14:textId="17BC5ADA"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 xml:space="preserve">Hereditary and degenerative central nervous system diseases, seizure disorders, spinal cord injuries, </w:t>
            </w:r>
            <w:r w:rsidR="00CA3BA7" w:rsidRPr="005A5BB7">
              <w:rPr>
                <w:rFonts w:ascii="Arial Narrow" w:hAnsi="Arial Narrow" w:cs="Calibri"/>
                <w:color w:val="000000"/>
                <w:sz w:val="20"/>
                <w:szCs w:val="20"/>
              </w:rPr>
              <w:t>n</w:t>
            </w:r>
            <w:r w:rsidRPr="005A5BB7">
              <w:rPr>
                <w:rFonts w:ascii="Arial Narrow" w:hAnsi="Arial Narrow" w:cs="Calibri"/>
                <w:color w:val="000000"/>
                <w:sz w:val="20"/>
                <w:szCs w:val="20"/>
              </w:rPr>
              <w:t>euromuscular disorders, other conditions that increase the risk of severe outcomes from respiratory infection</w:t>
            </w:r>
          </w:p>
        </w:tc>
        <w:tc>
          <w:tcPr>
            <w:tcW w:w="312" w:type="pct"/>
            <w:noWrap/>
            <w:vAlign w:val="center"/>
            <w:hideMark/>
          </w:tcPr>
          <w:p w14:paraId="02204283"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hideMark/>
          </w:tcPr>
          <w:p w14:paraId="2AA442C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34" w:type="pct"/>
            <w:noWrap/>
            <w:vAlign w:val="center"/>
            <w:hideMark/>
          </w:tcPr>
          <w:p w14:paraId="7AA2A60E"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hideMark/>
          </w:tcPr>
          <w:p w14:paraId="4CC96F2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66BA25F9"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hideMark/>
          </w:tcPr>
          <w:p w14:paraId="0E4FB68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2318F557"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7" w:type="pct"/>
            <w:vAlign w:val="center"/>
            <w:hideMark/>
          </w:tcPr>
          <w:p w14:paraId="0F88BDDC"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0BE85DB1"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hideMark/>
          </w:tcPr>
          <w:p w14:paraId="6C5F0EB0"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448FD1B9" w14:textId="77777777" w:rsidTr="00CD02DC">
        <w:trPr>
          <w:trHeight w:val="57"/>
        </w:trPr>
        <w:tc>
          <w:tcPr>
            <w:tcW w:w="2030" w:type="pct"/>
          </w:tcPr>
          <w:p w14:paraId="04AF6AD0" w14:textId="77777777" w:rsidR="004B50B0" w:rsidRPr="005A5BB7" w:rsidRDefault="004B50B0" w:rsidP="004B50B0">
            <w:pPr>
              <w:rPr>
                <w:rFonts w:ascii="Arial Narrow" w:hAnsi="Arial Narrow" w:cs="Calibri"/>
                <w:color w:val="000000"/>
                <w:sz w:val="18"/>
                <w:szCs w:val="18"/>
              </w:rPr>
            </w:pPr>
            <w:r w:rsidRPr="005A5BB7">
              <w:rPr>
                <w:rFonts w:ascii="Arial Narrow" w:hAnsi="Arial Narrow" w:cs="Calibri"/>
                <w:b/>
                <w:bCs/>
                <w:sz w:val="20"/>
                <w:szCs w:val="20"/>
              </w:rPr>
              <w:t>Chronic liver disease</w:t>
            </w:r>
          </w:p>
        </w:tc>
        <w:tc>
          <w:tcPr>
            <w:tcW w:w="2970" w:type="pct"/>
            <w:gridSpan w:val="10"/>
            <w:vAlign w:val="center"/>
          </w:tcPr>
          <w:p w14:paraId="58A17199" w14:textId="0666D71C" w:rsidR="004B50B0" w:rsidRPr="005A5BB7" w:rsidRDefault="004B50B0" w:rsidP="004B50B0">
            <w:pPr>
              <w:jc w:val="center"/>
              <w:rPr>
                <w:rFonts w:ascii="Arial Narrow" w:hAnsi="Arial Narrow" w:cs="Calibri"/>
                <w:b/>
                <w:bCs/>
                <w:color w:val="000000"/>
                <w:sz w:val="18"/>
                <w:szCs w:val="18"/>
              </w:rPr>
            </w:pPr>
            <w:r w:rsidRPr="005A5BB7">
              <w:rPr>
                <w:rFonts w:ascii="Arial Narrow" w:hAnsi="Arial Narrow" w:cs="Calibri"/>
                <w:b/>
                <w:bCs/>
                <w:color w:val="000000"/>
                <w:sz w:val="20"/>
                <w:szCs w:val="20"/>
              </w:rPr>
              <w:t>Average: 5.40</w:t>
            </w:r>
            <w:r w:rsidRPr="005A5BB7">
              <w:rPr>
                <w:rFonts w:ascii="Arial Narrow" w:hAnsi="Arial Narrow" w:cs="Calibri"/>
                <w:b/>
                <w:bCs/>
                <w:color w:val="000000"/>
                <w:sz w:val="20"/>
                <w:szCs w:val="20"/>
                <w:vertAlign w:val="superscript"/>
              </w:rPr>
              <w:t>a</w:t>
            </w:r>
            <w:r w:rsidR="007E70BB" w:rsidRPr="005A5BB7">
              <w:rPr>
                <w:rFonts w:ascii="Arial Narrow" w:hAnsi="Arial Narrow" w:cs="Calibri"/>
                <w:b/>
                <w:bCs/>
                <w:color w:val="000000"/>
                <w:sz w:val="20"/>
                <w:szCs w:val="20"/>
                <w:vertAlign w:val="superscript"/>
              </w:rPr>
              <w:t xml:space="preserve"> </w:t>
            </w:r>
            <w:r w:rsidR="007E70BB" w:rsidRPr="005A5BB7">
              <w:rPr>
                <w:rFonts w:ascii="Arial Narrow" w:hAnsi="Arial Narrow" w:cs="Calibri"/>
                <w:b/>
                <w:bCs/>
                <w:color w:val="000000"/>
                <w:sz w:val="20"/>
                <w:szCs w:val="20"/>
              </w:rPr>
              <w:t>(base case)</w:t>
            </w:r>
          </w:p>
        </w:tc>
      </w:tr>
      <w:tr w:rsidR="004B50B0" w:rsidRPr="005A5BB7" w14:paraId="7C3B10AF" w14:textId="77777777" w:rsidTr="00CD02DC">
        <w:trPr>
          <w:trHeight w:val="57"/>
        </w:trPr>
        <w:tc>
          <w:tcPr>
            <w:tcW w:w="2030" w:type="pct"/>
          </w:tcPr>
          <w:p w14:paraId="5C6D898F"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Conditions with progressive deterioration of liver function for more than 6 months including cirrhosis and other advanced liver diseases</w:t>
            </w:r>
          </w:p>
        </w:tc>
        <w:tc>
          <w:tcPr>
            <w:tcW w:w="312" w:type="pct"/>
            <w:noWrap/>
            <w:vAlign w:val="center"/>
          </w:tcPr>
          <w:p w14:paraId="71432D9B"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3" w:type="pct"/>
            <w:vAlign w:val="center"/>
          </w:tcPr>
          <w:p w14:paraId="39397A69"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34" w:type="pct"/>
            <w:noWrap/>
            <w:vAlign w:val="center"/>
          </w:tcPr>
          <w:p w14:paraId="6D19E595"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91" w:type="pct"/>
            <w:vAlign w:val="center"/>
          </w:tcPr>
          <w:p w14:paraId="1589845C"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0" w:type="pct"/>
            <w:noWrap/>
            <w:vAlign w:val="center"/>
          </w:tcPr>
          <w:p w14:paraId="57A78161"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9" w:type="pct"/>
            <w:vAlign w:val="center"/>
          </w:tcPr>
          <w:p w14:paraId="501B5CC6"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0" w:type="pct"/>
            <w:vAlign w:val="center"/>
          </w:tcPr>
          <w:p w14:paraId="44C2FF68"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277" w:type="pct"/>
            <w:vAlign w:val="center"/>
          </w:tcPr>
          <w:p w14:paraId="07CD0CB4"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06" w:type="pct"/>
            <w:noWrap/>
            <w:vAlign w:val="center"/>
          </w:tcPr>
          <w:p w14:paraId="606D19A6"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tcPr>
          <w:p w14:paraId="547DE15A"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r>
      <w:tr w:rsidR="004B50B0" w:rsidRPr="005A5BB7" w14:paraId="732EBD92" w14:textId="77777777" w:rsidTr="00CD02DC">
        <w:trPr>
          <w:trHeight w:val="57"/>
        </w:trPr>
        <w:tc>
          <w:tcPr>
            <w:tcW w:w="2030" w:type="pct"/>
            <w:hideMark/>
          </w:tcPr>
          <w:p w14:paraId="00FC055C" w14:textId="77777777" w:rsidR="004B50B0" w:rsidRPr="005A5BB7" w:rsidRDefault="004B50B0" w:rsidP="004B50B0">
            <w:pPr>
              <w:jc w:val="left"/>
              <w:rPr>
                <w:rFonts w:ascii="Arial Narrow" w:hAnsi="Arial Narrow" w:cs="Calibri"/>
                <w:b/>
                <w:bCs/>
                <w:color w:val="000000"/>
                <w:sz w:val="20"/>
                <w:szCs w:val="20"/>
              </w:rPr>
            </w:pPr>
            <w:r w:rsidRPr="005A5BB7">
              <w:rPr>
                <w:rFonts w:ascii="Arial Narrow" w:hAnsi="Arial Narrow" w:cs="Calibri"/>
                <w:b/>
                <w:bCs/>
                <w:sz w:val="20"/>
                <w:szCs w:val="20"/>
              </w:rPr>
              <w:t>Obesity</w:t>
            </w:r>
          </w:p>
        </w:tc>
        <w:tc>
          <w:tcPr>
            <w:tcW w:w="2970" w:type="pct"/>
            <w:gridSpan w:val="10"/>
            <w:vAlign w:val="center"/>
          </w:tcPr>
          <w:p w14:paraId="5F665098" w14:textId="7E68D601"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b/>
                <w:bCs/>
                <w:color w:val="000000"/>
                <w:sz w:val="20"/>
                <w:szCs w:val="20"/>
              </w:rPr>
              <w:t>Average: 2.28</w:t>
            </w:r>
            <w:r w:rsidR="007E70BB" w:rsidRPr="005A5BB7">
              <w:rPr>
                <w:rFonts w:ascii="Arial Narrow" w:hAnsi="Arial Narrow" w:cs="Calibri"/>
                <w:b/>
                <w:bCs/>
                <w:color w:val="000000"/>
                <w:sz w:val="20"/>
                <w:szCs w:val="20"/>
              </w:rPr>
              <w:t xml:space="preserve"> (base case)</w:t>
            </w:r>
          </w:p>
        </w:tc>
      </w:tr>
      <w:tr w:rsidR="004B50B0" w:rsidRPr="005A5BB7" w14:paraId="3BDC830B" w14:textId="77777777" w:rsidTr="00CD02DC">
        <w:trPr>
          <w:trHeight w:val="70"/>
        </w:trPr>
        <w:tc>
          <w:tcPr>
            <w:tcW w:w="2030" w:type="pct"/>
            <w:hideMark/>
          </w:tcPr>
          <w:p w14:paraId="632B73FC"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color w:val="000000"/>
                <w:sz w:val="20"/>
                <w:szCs w:val="20"/>
              </w:rPr>
              <w:t>Body mass index ≥30</w:t>
            </w:r>
            <w:r w:rsidRPr="005A5BB7">
              <w:rPr>
                <w:rFonts w:ascii="Arial" w:hAnsi="Arial"/>
                <w:color w:val="000000"/>
                <w:sz w:val="20"/>
                <w:szCs w:val="20"/>
              </w:rPr>
              <w:t> </w:t>
            </w:r>
            <w:r w:rsidRPr="005A5BB7">
              <w:rPr>
                <w:rFonts w:ascii="Arial Narrow" w:hAnsi="Arial Narrow" w:cs="Calibri"/>
                <w:color w:val="000000"/>
                <w:sz w:val="20"/>
                <w:szCs w:val="20"/>
              </w:rPr>
              <w:t>kg per m</w:t>
            </w:r>
            <w:r w:rsidRPr="005A5BB7">
              <w:rPr>
                <w:rFonts w:ascii="Arial Narrow" w:hAnsi="Arial Narrow" w:cs="Calibri"/>
                <w:color w:val="000000"/>
                <w:sz w:val="20"/>
                <w:szCs w:val="20"/>
                <w:vertAlign w:val="superscript"/>
              </w:rPr>
              <w:t>2</w:t>
            </w:r>
            <w:r w:rsidRPr="005A5BB7">
              <w:rPr>
                <w:rFonts w:ascii="Arial Narrow" w:hAnsi="Arial Narrow" w:cs="Calibri"/>
                <w:color w:val="000000"/>
                <w:sz w:val="20"/>
                <w:szCs w:val="20"/>
              </w:rPr>
              <w:t> </w:t>
            </w:r>
          </w:p>
        </w:tc>
        <w:tc>
          <w:tcPr>
            <w:tcW w:w="312" w:type="pct"/>
            <w:noWrap/>
            <w:vAlign w:val="center"/>
            <w:hideMark/>
          </w:tcPr>
          <w:p w14:paraId="150D84C2" w14:textId="754387D1"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b/>
                <w:bCs/>
                <w:color w:val="000000"/>
                <w:sz w:val="20"/>
                <w:szCs w:val="20"/>
              </w:rPr>
              <w:t>3.23</w:t>
            </w:r>
            <w:r w:rsidRPr="005A5BB7">
              <w:rPr>
                <w:rFonts w:ascii="Arial Narrow" w:hAnsi="Arial Narrow" w:cs="Calibri"/>
                <w:color w:val="000000"/>
                <w:sz w:val="20"/>
                <w:szCs w:val="20"/>
              </w:rPr>
              <w:t xml:space="preserve"> (BMI≥40) </w:t>
            </w:r>
            <w:r w:rsidRPr="005A5BB7">
              <w:rPr>
                <w:rFonts w:ascii="Arial Narrow" w:hAnsi="Arial Narrow" w:cs="Calibri"/>
                <w:b/>
                <w:bCs/>
                <w:color w:val="000000"/>
                <w:sz w:val="20"/>
                <w:szCs w:val="20"/>
              </w:rPr>
              <w:t>1.33</w:t>
            </w:r>
            <w:r w:rsidRPr="005A5BB7">
              <w:rPr>
                <w:rFonts w:ascii="Arial Narrow" w:hAnsi="Arial Narrow" w:cs="Calibri"/>
                <w:color w:val="000000"/>
                <w:sz w:val="20"/>
                <w:szCs w:val="20"/>
              </w:rPr>
              <w:t xml:space="preserve"> (BMI=30</w:t>
            </w:r>
            <w:r w:rsidR="000E4816">
              <w:rPr>
                <w:rFonts w:ascii="Arial Narrow" w:hAnsi="Arial Narrow" w:cs="Calibri"/>
                <w:color w:val="000000"/>
                <w:sz w:val="20"/>
                <w:szCs w:val="20"/>
              </w:rPr>
              <w:noBreakHyphen/>
            </w:r>
            <w:r w:rsidRPr="005A5BB7">
              <w:rPr>
                <w:rFonts w:ascii="Arial Narrow" w:hAnsi="Arial Narrow" w:cs="Calibri"/>
                <w:color w:val="000000"/>
                <w:sz w:val="20"/>
                <w:szCs w:val="20"/>
              </w:rPr>
              <w:t>39)</w:t>
            </w:r>
          </w:p>
        </w:tc>
        <w:tc>
          <w:tcPr>
            <w:tcW w:w="313" w:type="pct"/>
            <w:vAlign w:val="center"/>
            <w:hideMark/>
          </w:tcPr>
          <w:p w14:paraId="42AAC3C5" w14:textId="30FF6FA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2.80 (BMI≥40) 1.06 (BMI=30</w:t>
            </w:r>
            <w:r w:rsidR="000E4816">
              <w:rPr>
                <w:rFonts w:ascii="Arial Narrow" w:hAnsi="Arial Narrow" w:cs="Calibri"/>
                <w:color w:val="000000"/>
                <w:sz w:val="20"/>
                <w:szCs w:val="20"/>
              </w:rPr>
              <w:noBreakHyphen/>
            </w:r>
            <w:r w:rsidRPr="005A5BB7">
              <w:rPr>
                <w:rFonts w:ascii="Arial Narrow" w:hAnsi="Arial Narrow" w:cs="Calibri"/>
                <w:color w:val="000000"/>
                <w:sz w:val="20"/>
                <w:szCs w:val="20"/>
              </w:rPr>
              <w:t>39)</w:t>
            </w:r>
          </w:p>
        </w:tc>
        <w:tc>
          <w:tcPr>
            <w:tcW w:w="334" w:type="pct"/>
            <w:noWrap/>
            <w:vAlign w:val="center"/>
            <w:hideMark/>
          </w:tcPr>
          <w:p w14:paraId="2C25265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w:t>
            </w:r>
          </w:p>
        </w:tc>
        <w:tc>
          <w:tcPr>
            <w:tcW w:w="291" w:type="pct"/>
            <w:vAlign w:val="center"/>
            <w:hideMark/>
          </w:tcPr>
          <w:p w14:paraId="283DE121"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1.21</w:t>
            </w:r>
          </w:p>
        </w:tc>
        <w:tc>
          <w:tcPr>
            <w:tcW w:w="270" w:type="pct"/>
            <w:noWrap/>
            <w:vAlign w:val="center"/>
            <w:hideMark/>
          </w:tcPr>
          <w:p w14:paraId="68F287E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0.83</w:t>
            </w:r>
          </w:p>
        </w:tc>
        <w:tc>
          <w:tcPr>
            <w:tcW w:w="279" w:type="pct"/>
            <w:vAlign w:val="center"/>
            <w:hideMark/>
          </w:tcPr>
          <w:p w14:paraId="3B55803D"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0.61</w:t>
            </w:r>
          </w:p>
        </w:tc>
        <w:tc>
          <w:tcPr>
            <w:tcW w:w="270" w:type="pct"/>
            <w:vAlign w:val="center"/>
            <w:hideMark/>
          </w:tcPr>
          <w:p w14:paraId="5A2588A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0.91</w:t>
            </w:r>
          </w:p>
        </w:tc>
        <w:tc>
          <w:tcPr>
            <w:tcW w:w="277" w:type="pct"/>
            <w:vAlign w:val="center"/>
            <w:hideMark/>
          </w:tcPr>
          <w:p w14:paraId="6CF7C54E"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20"/>
                <w:szCs w:val="20"/>
              </w:rPr>
              <w:t>0.88</w:t>
            </w:r>
          </w:p>
        </w:tc>
        <w:tc>
          <w:tcPr>
            <w:tcW w:w="306" w:type="pct"/>
            <w:noWrap/>
            <w:vAlign w:val="center"/>
            <w:hideMark/>
          </w:tcPr>
          <w:p w14:paraId="78593758" w14:textId="77777777" w:rsidR="004B50B0" w:rsidRPr="005A5BB7" w:rsidRDefault="004B50B0" w:rsidP="004B50B0">
            <w:pPr>
              <w:jc w:val="center"/>
              <w:rPr>
                <w:rFonts w:ascii="Arial Narrow" w:hAnsi="Arial Narrow" w:cs="Calibri"/>
                <w:color w:val="000000"/>
                <w:sz w:val="18"/>
                <w:szCs w:val="18"/>
              </w:rPr>
            </w:pPr>
            <w:r w:rsidRPr="005A5BB7">
              <w:rPr>
                <w:rFonts w:ascii="Arial Narrow" w:hAnsi="Arial Narrow" w:cs="Calibri"/>
                <w:color w:val="000000"/>
                <w:sz w:val="18"/>
                <w:szCs w:val="18"/>
              </w:rPr>
              <w:t>NA</w:t>
            </w:r>
          </w:p>
        </w:tc>
        <w:tc>
          <w:tcPr>
            <w:tcW w:w="319" w:type="pct"/>
            <w:vAlign w:val="center"/>
            <w:hideMark/>
          </w:tcPr>
          <w:p w14:paraId="11AD2E7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r w:rsidR="004B50B0" w:rsidRPr="005A5BB7" w14:paraId="7D84960E" w14:textId="77777777" w:rsidTr="00CD02DC">
        <w:trPr>
          <w:trHeight w:val="92"/>
        </w:trPr>
        <w:tc>
          <w:tcPr>
            <w:tcW w:w="2030" w:type="pct"/>
          </w:tcPr>
          <w:p w14:paraId="159C017C" w14:textId="77777777" w:rsidR="004B50B0" w:rsidRPr="005A5BB7" w:rsidRDefault="004B50B0" w:rsidP="004B50B0">
            <w:pPr>
              <w:jc w:val="left"/>
              <w:rPr>
                <w:rFonts w:ascii="Arial Narrow" w:hAnsi="Arial Narrow" w:cs="Calibri"/>
                <w:b/>
                <w:bCs/>
                <w:sz w:val="20"/>
                <w:szCs w:val="20"/>
              </w:rPr>
            </w:pPr>
            <w:r w:rsidRPr="005A5BB7">
              <w:rPr>
                <w:rFonts w:ascii="Arial Narrow" w:hAnsi="Arial Narrow" w:cs="Calibri"/>
                <w:b/>
                <w:bCs/>
                <w:sz w:val="20"/>
                <w:szCs w:val="20"/>
              </w:rPr>
              <w:t>At least one medical condition </w:t>
            </w:r>
          </w:p>
        </w:tc>
        <w:tc>
          <w:tcPr>
            <w:tcW w:w="2970" w:type="pct"/>
            <w:gridSpan w:val="10"/>
            <w:noWrap/>
            <w:vAlign w:val="center"/>
          </w:tcPr>
          <w:p w14:paraId="1CF1A646" w14:textId="325EE6D7" w:rsidR="004B50B0" w:rsidRPr="005A5BB7" w:rsidRDefault="004B50B0" w:rsidP="004B50B0">
            <w:pPr>
              <w:jc w:val="center"/>
              <w:rPr>
                <w:rFonts w:ascii="Arial Narrow" w:hAnsi="Arial Narrow" w:cs="Calibri"/>
                <w:b/>
                <w:sz w:val="20"/>
                <w:szCs w:val="20"/>
              </w:rPr>
            </w:pPr>
            <w:r w:rsidRPr="005A5BB7">
              <w:rPr>
                <w:rFonts w:ascii="Arial Narrow" w:hAnsi="Arial Narrow" w:cs="Calibri"/>
                <w:b/>
                <w:sz w:val="20"/>
                <w:szCs w:val="20"/>
              </w:rPr>
              <w:t xml:space="preserve">2.29 </w:t>
            </w:r>
            <w:r w:rsidR="007E70BB" w:rsidRPr="005A5BB7">
              <w:rPr>
                <w:rFonts w:ascii="Arial Narrow" w:hAnsi="Arial Narrow" w:cs="Calibri"/>
                <w:b/>
                <w:bCs/>
                <w:color w:val="000000"/>
                <w:sz w:val="20"/>
                <w:szCs w:val="20"/>
              </w:rPr>
              <w:t>(base case)</w:t>
            </w:r>
          </w:p>
        </w:tc>
      </w:tr>
      <w:tr w:rsidR="004B50B0" w:rsidRPr="005A5BB7" w14:paraId="6203E83D" w14:textId="77777777" w:rsidTr="00CD02DC">
        <w:trPr>
          <w:trHeight w:val="92"/>
        </w:trPr>
        <w:tc>
          <w:tcPr>
            <w:tcW w:w="2030" w:type="pct"/>
            <w:hideMark/>
          </w:tcPr>
          <w:p w14:paraId="627D93FD" w14:textId="77777777" w:rsidR="004B50B0" w:rsidRPr="005A5BB7" w:rsidRDefault="004B50B0" w:rsidP="004B50B0">
            <w:pPr>
              <w:jc w:val="left"/>
              <w:rPr>
                <w:rFonts w:ascii="Arial Narrow" w:hAnsi="Arial Narrow" w:cs="Calibri"/>
                <w:color w:val="000000"/>
                <w:sz w:val="20"/>
                <w:szCs w:val="20"/>
              </w:rPr>
            </w:pPr>
            <w:r w:rsidRPr="005A5BB7">
              <w:rPr>
                <w:rFonts w:ascii="Arial Narrow" w:hAnsi="Arial Narrow" w:cs="Calibri"/>
                <w:sz w:val="20"/>
                <w:szCs w:val="20"/>
              </w:rPr>
              <w:t>At least one medical condition </w:t>
            </w:r>
          </w:p>
        </w:tc>
        <w:tc>
          <w:tcPr>
            <w:tcW w:w="312" w:type="pct"/>
            <w:noWrap/>
            <w:vAlign w:val="center"/>
            <w:hideMark/>
          </w:tcPr>
          <w:p w14:paraId="06A3495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sz w:val="20"/>
                <w:szCs w:val="20"/>
              </w:rPr>
              <w:t>1.79</w:t>
            </w:r>
          </w:p>
        </w:tc>
        <w:tc>
          <w:tcPr>
            <w:tcW w:w="313" w:type="pct"/>
            <w:vAlign w:val="center"/>
            <w:hideMark/>
          </w:tcPr>
          <w:p w14:paraId="4140A4A8"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sz w:val="20"/>
                <w:szCs w:val="20"/>
              </w:rPr>
              <w:t>1.62</w:t>
            </w:r>
          </w:p>
        </w:tc>
        <w:tc>
          <w:tcPr>
            <w:tcW w:w="334" w:type="pct"/>
            <w:noWrap/>
            <w:vAlign w:val="center"/>
            <w:hideMark/>
          </w:tcPr>
          <w:p w14:paraId="67F9A103"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91" w:type="pct"/>
            <w:vAlign w:val="center"/>
            <w:hideMark/>
          </w:tcPr>
          <w:p w14:paraId="6EA2E414"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noWrap/>
            <w:vAlign w:val="center"/>
            <w:hideMark/>
          </w:tcPr>
          <w:p w14:paraId="7A14B3FF"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9" w:type="pct"/>
            <w:vAlign w:val="center"/>
            <w:hideMark/>
          </w:tcPr>
          <w:p w14:paraId="074A2AA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270" w:type="pct"/>
            <w:vAlign w:val="center"/>
            <w:hideMark/>
          </w:tcPr>
          <w:p w14:paraId="435353F6"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color w:val="000000"/>
                <w:sz w:val="18"/>
                <w:szCs w:val="18"/>
              </w:rPr>
              <w:t>NA</w:t>
            </w:r>
          </w:p>
        </w:tc>
        <w:tc>
          <w:tcPr>
            <w:tcW w:w="277" w:type="pct"/>
            <w:vAlign w:val="center"/>
            <w:hideMark/>
          </w:tcPr>
          <w:p w14:paraId="6EC8D18A" w14:textId="77777777" w:rsidR="004B50B0" w:rsidRPr="005A5BB7" w:rsidRDefault="004B50B0" w:rsidP="004B50B0">
            <w:pPr>
              <w:jc w:val="center"/>
              <w:rPr>
                <w:rFonts w:ascii="Arial Narrow" w:hAnsi="Arial Narrow" w:cs="Calibri"/>
                <w:b/>
                <w:bCs/>
                <w:color w:val="000000"/>
                <w:sz w:val="20"/>
                <w:szCs w:val="20"/>
              </w:rPr>
            </w:pPr>
            <w:r w:rsidRPr="005A5BB7">
              <w:rPr>
                <w:rFonts w:ascii="Arial Narrow" w:hAnsi="Arial Narrow" w:cs="Calibri"/>
                <w:color w:val="000000"/>
                <w:sz w:val="18"/>
                <w:szCs w:val="18"/>
              </w:rPr>
              <w:t>NA</w:t>
            </w:r>
          </w:p>
        </w:tc>
        <w:tc>
          <w:tcPr>
            <w:tcW w:w="306" w:type="pct"/>
            <w:noWrap/>
            <w:vAlign w:val="center"/>
            <w:hideMark/>
          </w:tcPr>
          <w:p w14:paraId="291B9EC9"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c>
          <w:tcPr>
            <w:tcW w:w="319" w:type="pct"/>
            <w:vAlign w:val="center"/>
            <w:hideMark/>
          </w:tcPr>
          <w:p w14:paraId="23A73E0B" w14:textId="77777777" w:rsidR="004B50B0" w:rsidRPr="005A5BB7" w:rsidRDefault="004B50B0" w:rsidP="004B50B0">
            <w:pPr>
              <w:jc w:val="center"/>
              <w:rPr>
                <w:rFonts w:ascii="Arial Narrow" w:hAnsi="Arial Narrow" w:cs="Calibri"/>
                <w:color w:val="000000"/>
                <w:sz w:val="20"/>
                <w:szCs w:val="20"/>
              </w:rPr>
            </w:pPr>
            <w:r w:rsidRPr="005A5BB7">
              <w:rPr>
                <w:rFonts w:ascii="Arial Narrow" w:hAnsi="Arial Narrow" w:cs="Calibri"/>
                <w:color w:val="000000"/>
                <w:sz w:val="18"/>
                <w:szCs w:val="18"/>
              </w:rPr>
              <w:t>NA</w:t>
            </w:r>
          </w:p>
        </w:tc>
      </w:tr>
    </w:tbl>
    <w:p w14:paraId="24EC1003" w14:textId="0C0E4803" w:rsidR="00004B55" w:rsidRPr="005A5BB7" w:rsidRDefault="00004B55" w:rsidP="00004B55">
      <w:pPr>
        <w:jc w:val="left"/>
        <w:rPr>
          <w:rFonts w:ascii="Arial Narrow" w:hAnsi="Arial Narrow"/>
          <w:sz w:val="18"/>
          <w:szCs w:val="20"/>
        </w:rPr>
      </w:pPr>
      <w:r w:rsidRPr="005A5BB7">
        <w:rPr>
          <w:rFonts w:ascii="Arial Narrow" w:hAnsi="Arial Narrow"/>
          <w:sz w:val="18"/>
          <w:szCs w:val="20"/>
        </w:rPr>
        <w:t>Source: Table 3.15, p143</w:t>
      </w:r>
      <w:r w:rsidR="005F3E6C" w:rsidRPr="005A5BB7">
        <w:rPr>
          <w:rFonts w:ascii="Arial Narrow" w:hAnsi="Arial Narrow"/>
          <w:sz w:val="18"/>
          <w:szCs w:val="20"/>
        </w:rPr>
        <w:t>; and Table 3.16, p144</w:t>
      </w:r>
      <w:r w:rsidRPr="005A5BB7">
        <w:rPr>
          <w:rFonts w:ascii="Arial Narrow" w:hAnsi="Arial Narrow"/>
          <w:sz w:val="18"/>
          <w:szCs w:val="20"/>
        </w:rPr>
        <w:t xml:space="preserve"> of the March 2026 resubmission. </w:t>
      </w:r>
    </w:p>
    <w:p w14:paraId="3B71B8D6" w14:textId="6430AF55" w:rsidR="002B1E34" w:rsidRPr="005A5BB7" w:rsidRDefault="00CD02DC" w:rsidP="002B1E34">
      <w:pPr>
        <w:rPr>
          <w:rFonts w:ascii="Arial Narrow" w:hAnsi="Arial Narrow"/>
          <w:sz w:val="18"/>
          <w:szCs w:val="20"/>
        </w:rPr>
      </w:pPr>
      <w:proofErr w:type="spellStart"/>
      <w:r w:rsidRPr="005A5BB7">
        <w:rPr>
          <w:rFonts w:ascii="Arial Narrow" w:hAnsi="Arial Narrow"/>
          <w:sz w:val="18"/>
          <w:szCs w:val="20"/>
        </w:rPr>
        <w:t>Allo</w:t>
      </w:r>
      <w:proofErr w:type="spellEnd"/>
      <w:r w:rsidRPr="005A5BB7">
        <w:rPr>
          <w:rFonts w:ascii="Arial Narrow" w:hAnsi="Arial Narrow"/>
          <w:sz w:val="18"/>
          <w:szCs w:val="20"/>
        </w:rPr>
        <w:t xml:space="preserve">: allogeneic; Auto = autologous; </w:t>
      </w:r>
      <w:r w:rsidR="009B1735" w:rsidRPr="005A5BB7">
        <w:rPr>
          <w:rFonts w:ascii="Arial Narrow" w:hAnsi="Arial Narrow"/>
          <w:sz w:val="18"/>
          <w:szCs w:val="20"/>
        </w:rPr>
        <w:t>BMI = Body mass index; CAR</w:t>
      </w:r>
      <w:r w:rsidR="000E4816">
        <w:rPr>
          <w:rFonts w:ascii="Arial Narrow" w:hAnsi="Arial Narrow"/>
          <w:sz w:val="18"/>
          <w:szCs w:val="20"/>
        </w:rPr>
        <w:noBreakHyphen/>
      </w:r>
      <w:r w:rsidR="009B1735" w:rsidRPr="005A5BB7">
        <w:rPr>
          <w:rFonts w:ascii="Arial Narrow" w:hAnsi="Arial Narrow"/>
          <w:sz w:val="18"/>
          <w:szCs w:val="20"/>
        </w:rPr>
        <w:t xml:space="preserve">T = Chimeric Antigen Receptor </w:t>
      </w:r>
      <w:r w:rsidR="000E4816">
        <w:rPr>
          <w:rFonts w:ascii="Arial Narrow" w:hAnsi="Arial Narrow"/>
          <w:sz w:val="18"/>
          <w:szCs w:val="20"/>
        </w:rPr>
        <w:noBreakHyphen/>
      </w:r>
      <w:r w:rsidR="009B1735" w:rsidRPr="005A5BB7">
        <w:rPr>
          <w:rFonts w:ascii="Arial Narrow" w:hAnsi="Arial Narrow"/>
          <w:sz w:val="18"/>
          <w:szCs w:val="20"/>
        </w:rPr>
        <w:t xml:space="preserve">T cell therapy; EHM = excess hospitalisation multipliers; ESRD = End Stage Renal Disease; </w:t>
      </w:r>
      <w:r w:rsidR="00E503B7" w:rsidRPr="005A5BB7">
        <w:rPr>
          <w:rFonts w:ascii="Arial Narrow" w:hAnsi="Arial Narrow"/>
          <w:sz w:val="18"/>
          <w:szCs w:val="20"/>
        </w:rPr>
        <w:t xml:space="preserve">HSCT = Haematopoietic stem cell transplant; </w:t>
      </w:r>
      <w:r w:rsidR="009B1735" w:rsidRPr="005A5BB7">
        <w:rPr>
          <w:rFonts w:ascii="Arial Narrow" w:hAnsi="Arial Narrow"/>
          <w:sz w:val="18"/>
          <w:szCs w:val="20"/>
        </w:rPr>
        <w:t xml:space="preserve">NA = No evidence available; NYC = New York City; </w:t>
      </w:r>
      <w:r w:rsidR="004B50B0" w:rsidRPr="005A5BB7">
        <w:rPr>
          <w:rFonts w:ascii="Arial Narrow" w:hAnsi="Arial Narrow"/>
          <w:sz w:val="18"/>
          <w:szCs w:val="20"/>
        </w:rPr>
        <w:t xml:space="preserve">NZ = New Zealand; </w:t>
      </w:r>
      <w:r w:rsidR="009B1735" w:rsidRPr="005A5BB7">
        <w:rPr>
          <w:rFonts w:ascii="Arial Narrow" w:hAnsi="Arial Narrow"/>
          <w:sz w:val="18"/>
          <w:szCs w:val="20"/>
        </w:rPr>
        <w:t>TIA = Transient ischemic attack; YOA = Year of Age.</w:t>
      </w:r>
    </w:p>
    <w:p w14:paraId="0D6F88B4" w14:textId="70E712AE" w:rsidR="002B1E34" w:rsidRPr="005A5BB7" w:rsidRDefault="00B977F5" w:rsidP="0061531F">
      <w:pPr>
        <w:jc w:val="left"/>
        <w:rPr>
          <w:rFonts w:ascii="Arial Narrow" w:hAnsi="Arial Narrow"/>
          <w:iCs/>
          <w:sz w:val="18"/>
          <w:szCs w:val="20"/>
        </w:rPr>
      </w:pPr>
      <w:r w:rsidRPr="005A5BB7">
        <w:rPr>
          <w:rFonts w:ascii="Arial Narrow" w:hAnsi="Arial Narrow"/>
          <w:iCs/>
          <w:sz w:val="18"/>
          <w:szCs w:val="20"/>
        </w:rPr>
        <w:t>The bold figure indicates the selected EHM for use in</w:t>
      </w:r>
      <w:r w:rsidR="0061531F" w:rsidRPr="005A5BB7">
        <w:rPr>
          <w:rFonts w:ascii="Arial Narrow" w:hAnsi="Arial Narrow"/>
          <w:iCs/>
          <w:sz w:val="18"/>
          <w:szCs w:val="20"/>
        </w:rPr>
        <w:t xml:space="preserve"> </w:t>
      </w:r>
      <w:r w:rsidRPr="005A5BB7">
        <w:rPr>
          <w:rFonts w:ascii="Arial Narrow" w:hAnsi="Arial Narrow"/>
          <w:iCs/>
          <w:sz w:val="18"/>
          <w:szCs w:val="20"/>
        </w:rPr>
        <w:t>the base</w:t>
      </w:r>
      <w:r w:rsidR="000E4816">
        <w:rPr>
          <w:rFonts w:ascii="Arial Narrow" w:hAnsi="Arial Narrow"/>
          <w:iCs/>
          <w:sz w:val="18"/>
          <w:szCs w:val="20"/>
        </w:rPr>
        <w:noBreakHyphen/>
      </w:r>
      <w:r w:rsidRPr="005A5BB7">
        <w:rPr>
          <w:rFonts w:ascii="Arial Narrow" w:hAnsi="Arial Narrow"/>
          <w:iCs/>
          <w:sz w:val="18"/>
          <w:szCs w:val="20"/>
        </w:rPr>
        <w:t>case estimate.</w:t>
      </w:r>
    </w:p>
    <w:p w14:paraId="6D919157" w14:textId="77777777" w:rsidR="005F6166" w:rsidRPr="005A5BB7" w:rsidRDefault="005F6166" w:rsidP="005F6166">
      <w:pPr>
        <w:rPr>
          <w:rFonts w:ascii="Arial Narrow" w:hAnsi="Arial Narrow"/>
          <w:iCs/>
          <w:sz w:val="18"/>
          <w:szCs w:val="20"/>
        </w:rPr>
      </w:pPr>
      <w:proofErr w:type="spellStart"/>
      <w:r w:rsidRPr="005A5BB7">
        <w:rPr>
          <w:rFonts w:ascii="Arial Narrow" w:hAnsi="Arial Narrow"/>
          <w:iCs/>
          <w:sz w:val="18"/>
          <w:szCs w:val="20"/>
          <w:vertAlign w:val="superscript"/>
        </w:rPr>
        <w:t>a</w:t>
      </w:r>
      <w:proofErr w:type="spellEnd"/>
      <w:r w:rsidRPr="005A5BB7">
        <w:rPr>
          <w:rFonts w:ascii="Arial Narrow" w:hAnsi="Arial Narrow"/>
          <w:iCs/>
          <w:sz w:val="18"/>
          <w:szCs w:val="20"/>
          <w:vertAlign w:val="superscript"/>
        </w:rPr>
        <w:t xml:space="preserve"> </w:t>
      </w:r>
      <w:r w:rsidRPr="005A5BB7">
        <w:rPr>
          <w:rFonts w:ascii="Arial Narrow" w:hAnsi="Arial Narrow"/>
          <w:iCs/>
          <w:sz w:val="18"/>
          <w:szCs w:val="20"/>
        </w:rPr>
        <w:t xml:space="preserve">Assumption by the resubmission (Not based on hospitalisation rates but using severe disease risk (e.g., intensive care unit; ICU admission) for chronic neurological conditions. Assuming an EHM to chronic kidney disease for chronic liver disease). </w:t>
      </w:r>
    </w:p>
    <w:p w14:paraId="2A52D919" w14:textId="6DA1A23D" w:rsidR="004C397E" w:rsidRPr="005A5BB7" w:rsidRDefault="004C397E" w:rsidP="004C397E">
      <w:pPr>
        <w:pStyle w:val="3-BodyText"/>
        <w:rPr>
          <w:color w:val="000000" w:themeColor="text1"/>
        </w:rPr>
      </w:pPr>
      <w:r w:rsidRPr="005A5BB7">
        <w:t>An</w:t>
      </w:r>
      <w:r w:rsidRPr="005A5BB7">
        <w:rPr>
          <w:color w:val="000000" w:themeColor="text1"/>
        </w:rPr>
        <w:t xml:space="preserve"> EHM for </w:t>
      </w:r>
      <w:r w:rsidRPr="005A5BB7">
        <w:t>the at least one at</w:t>
      </w:r>
      <w:r w:rsidR="000E4816">
        <w:noBreakHyphen/>
      </w:r>
      <w:r w:rsidRPr="005A5BB7">
        <w:t>risk medical condition model</w:t>
      </w:r>
      <w:r w:rsidRPr="005A5BB7">
        <w:rPr>
          <w:color w:val="000000" w:themeColor="text1"/>
        </w:rPr>
        <w:t xml:space="preserve"> of 2.29 was sourced from Carlin et al., 2024. The authors noted that this EHM </w:t>
      </w:r>
      <w:r w:rsidR="0012352B" w:rsidRPr="005A5BB7">
        <w:rPr>
          <w:color w:val="000000" w:themeColor="text1"/>
        </w:rPr>
        <w:t xml:space="preserve">was produced </w:t>
      </w:r>
      <w:r w:rsidRPr="005A5BB7">
        <w:rPr>
          <w:color w:val="000000" w:themeColor="text1"/>
        </w:rPr>
        <w:t xml:space="preserve">based on a community prospective study in the USA (Belongia et al., 2018). Potential issues </w:t>
      </w:r>
      <w:r w:rsidR="0012352B" w:rsidRPr="005A5BB7">
        <w:rPr>
          <w:color w:val="000000" w:themeColor="text1"/>
        </w:rPr>
        <w:t xml:space="preserve">with the </w:t>
      </w:r>
      <w:r w:rsidR="00C21118" w:rsidRPr="005A5BB7">
        <w:rPr>
          <w:color w:val="000000" w:themeColor="text1"/>
        </w:rPr>
        <w:t xml:space="preserve">derivation and use of this EHM </w:t>
      </w:r>
      <w:r w:rsidRPr="005A5BB7">
        <w:rPr>
          <w:color w:val="000000" w:themeColor="text1"/>
        </w:rPr>
        <w:t>include:</w:t>
      </w:r>
    </w:p>
    <w:p w14:paraId="475F6887" w14:textId="049665B5" w:rsidR="004C397E" w:rsidRPr="005A5BB7" w:rsidRDefault="004C397E" w:rsidP="00E113F2">
      <w:pPr>
        <w:pStyle w:val="3-BodyText"/>
        <w:numPr>
          <w:ilvl w:val="0"/>
          <w:numId w:val="31"/>
        </w:numPr>
        <w:rPr>
          <w:color w:val="000000" w:themeColor="text1"/>
        </w:rPr>
      </w:pPr>
      <w:r w:rsidRPr="005A5BB7">
        <w:rPr>
          <w:color w:val="000000" w:themeColor="text1"/>
        </w:rPr>
        <w:lastRenderedPageBreak/>
        <w:t xml:space="preserve">Belongia et al. </w:t>
      </w:r>
      <w:r w:rsidR="00060695" w:rsidRPr="005A5BB7">
        <w:rPr>
          <w:color w:val="000000" w:themeColor="text1"/>
        </w:rPr>
        <w:t>(</w:t>
      </w:r>
      <w:r w:rsidRPr="005A5BB7">
        <w:rPr>
          <w:color w:val="000000" w:themeColor="text1"/>
        </w:rPr>
        <w:t>2018</w:t>
      </w:r>
      <w:r w:rsidR="00060695" w:rsidRPr="005A5BB7">
        <w:rPr>
          <w:color w:val="000000" w:themeColor="text1"/>
        </w:rPr>
        <w:t>)</w:t>
      </w:r>
      <w:r w:rsidRPr="005A5BB7">
        <w:rPr>
          <w:color w:val="000000" w:themeColor="text1"/>
        </w:rPr>
        <w:t xml:space="preserve"> included </w:t>
      </w:r>
      <w:r w:rsidR="00C21118" w:rsidRPr="005A5BB7">
        <w:rPr>
          <w:color w:val="000000" w:themeColor="text1"/>
        </w:rPr>
        <w:t xml:space="preserve">a </w:t>
      </w:r>
      <w:r w:rsidRPr="005A5BB7">
        <w:rPr>
          <w:color w:val="000000" w:themeColor="text1"/>
        </w:rPr>
        <w:t xml:space="preserve">narrower population (chronic obstructive pulmonary disease, congestive heart failure, asthma, diabetes and immunocompromised disorders) than </w:t>
      </w:r>
      <w:r w:rsidR="00C21118" w:rsidRPr="005A5BB7">
        <w:rPr>
          <w:color w:val="000000" w:themeColor="text1"/>
        </w:rPr>
        <w:t>the</w:t>
      </w:r>
      <w:r w:rsidRPr="005A5BB7">
        <w:rPr>
          <w:color w:val="000000" w:themeColor="text1"/>
        </w:rPr>
        <w:t xml:space="preserve"> AIH suggested target population. </w:t>
      </w:r>
    </w:p>
    <w:p w14:paraId="3239D1B8" w14:textId="0DDAE1CD" w:rsidR="004C397E" w:rsidRPr="005A5BB7" w:rsidRDefault="004C397E" w:rsidP="00E113F2">
      <w:pPr>
        <w:pStyle w:val="3-BodyText"/>
        <w:numPr>
          <w:ilvl w:val="0"/>
          <w:numId w:val="31"/>
        </w:numPr>
        <w:rPr>
          <w:color w:val="000000" w:themeColor="text1"/>
        </w:rPr>
      </w:pPr>
      <w:r w:rsidRPr="005A5BB7">
        <w:rPr>
          <w:color w:val="000000" w:themeColor="text1"/>
        </w:rPr>
        <w:t>The estimate for the relative risk of hospitalisation for the at</w:t>
      </w:r>
      <w:r w:rsidR="000E4816">
        <w:rPr>
          <w:color w:val="000000" w:themeColor="text1"/>
        </w:rPr>
        <w:noBreakHyphen/>
      </w:r>
      <w:r w:rsidRPr="005A5BB7">
        <w:rPr>
          <w:color w:val="000000" w:themeColor="text1"/>
        </w:rPr>
        <w:t>risk cohort was based on a comparison with the not</w:t>
      </w:r>
      <w:r w:rsidR="000E4816">
        <w:rPr>
          <w:color w:val="000000" w:themeColor="text1"/>
        </w:rPr>
        <w:noBreakHyphen/>
      </w:r>
      <w:r w:rsidRPr="005A5BB7">
        <w:rPr>
          <w:color w:val="000000" w:themeColor="text1"/>
        </w:rPr>
        <w:t>at</w:t>
      </w:r>
      <w:r w:rsidR="000E4816">
        <w:rPr>
          <w:color w:val="000000" w:themeColor="text1"/>
        </w:rPr>
        <w:noBreakHyphen/>
      </w:r>
      <w:r w:rsidRPr="005A5BB7">
        <w:rPr>
          <w:color w:val="000000" w:themeColor="text1"/>
        </w:rPr>
        <w:t>risk cohort. This makes the multiplier less applicable to the model, where the</w:t>
      </w:r>
      <w:r w:rsidR="00877060" w:rsidRPr="005A5BB7">
        <w:rPr>
          <w:color w:val="000000" w:themeColor="text1"/>
        </w:rPr>
        <w:t xml:space="preserve"> </w:t>
      </w:r>
      <w:r w:rsidRPr="005A5BB7">
        <w:rPr>
          <w:color w:val="000000" w:themeColor="text1"/>
        </w:rPr>
        <w:t>hospitalisation rates are based on general population rates comprising both at</w:t>
      </w:r>
      <w:r w:rsidR="000E4816">
        <w:rPr>
          <w:color w:val="000000" w:themeColor="text1"/>
        </w:rPr>
        <w:noBreakHyphen/>
      </w:r>
      <w:r w:rsidRPr="005A5BB7">
        <w:rPr>
          <w:color w:val="000000" w:themeColor="text1"/>
        </w:rPr>
        <w:t>risk and not</w:t>
      </w:r>
      <w:r w:rsidR="000E4816">
        <w:rPr>
          <w:color w:val="000000" w:themeColor="text1"/>
        </w:rPr>
        <w:noBreakHyphen/>
      </w:r>
      <w:r w:rsidRPr="005A5BB7">
        <w:rPr>
          <w:color w:val="000000" w:themeColor="text1"/>
        </w:rPr>
        <w:t>at</w:t>
      </w:r>
      <w:r w:rsidR="000E4816">
        <w:rPr>
          <w:color w:val="000000" w:themeColor="text1"/>
        </w:rPr>
        <w:noBreakHyphen/>
      </w:r>
      <w:r w:rsidRPr="005A5BB7">
        <w:rPr>
          <w:color w:val="000000" w:themeColor="text1"/>
        </w:rPr>
        <w:t>risk individuals. The EHM from Carlin et al likely inflates the multiplier, as the not</w:t>
      </w:r>
      <w:r w:rsidR="000E4816">
        <w:rPr>
          <w:color w:val="000000" w:themeColor="text1"/>
        </w:rPr>
        <w:noBreakHyphen/>
      </w:r>
      <w:r w:rsidRPr="005A5BB7">
        <w:rPr>
          <w:color w:val="000000" w:themeColor="text1"/>
        </w:rPr>
        <w:t>at</w:t>
      </w:r>
      <w:r w:rsidR="000E4816">
        <w:rPr>
          <w:color w:val="000000" w:themeColor="text1"/>
        </w:rPr>
        <w:noBreakHyphen/>
      </w:r>
      <w:r w:rsidRPr="005A5BB7">
        <w:rPr>
          <w:color w:val="000000" w:themeColor="text1"/>
        </w:rPr>
        <w:t xml:space="preserve">risk group is expected to have lower hospitalisation rates than the general population average. </w:t>
      </w:r>
    </w:p>
    <w:p w14:paraId="6F2F4F0A" w14:textId="3FD641E5" w:rsidR="004C397E" w:rsidRPr="005A5BB7" w:rsidRDefault="004C397E" w:rsidP="00E113F2">
      <w:pPr>
        <w:pStyle w:val="3-BodyText"/>
        <w:numPr>
          <w:ilvl w:val="0"/>
          <w:numId w:val="31"/>
        </w:numPr>
        <w:rPr>
          <w:color w:val="000000" w:themeColor="text1"/>
        </w:rPr>
      </w:pPr>
      <w:r w:rsidRPr="005A5BB7">
        <w:rPr>
          <w:color w:val="000000" w:themeColor="text1"/>
        </w:rPr>
        <w:t xml:space="preserve">The evaluators </w:t>
      </w:r>
      <w:r w:rsidR="00B46762" w:rsidRPr="005A5BB7">
        <w:rPr>
          <w:color w:val="000000" w:themeColor="text1"/>
        </w:rPr>
        <w:t xml:space="preserve">could not </w:t>
      </w:r>
      <w:r w:rsidRPr="005A5BB7">
        <w:rPr>
          <w:color w:val="000000" w:themeColor="text1"/>
        </w:rPr>
        <w:t xml:space="preserve">verify how the EHM of 2.29 was derived from the cited study (Belongia et al., 2018). </w:t>
      </w:r>
      <w:r w:rsidR="00B46762" w:rsidRPr="005A5BB7">
        <w:rPr>
          <w:color w:val="000000" w:themeColor="text1"/>
        </w:rPr>
        <w:t>The pre</w:t>
      </w:r>
      <w:r w:rsidR="000E4816">
        <w:rPr>
          <w:color w:val="000000" w:themeColor="text1"/>
        </w:rPr>
        <w:noBreakHyphen/>
      </w:r>
      <w:r w:rsidR="00B46762" w:rsidRPr="005A5BB7">
        <w:rPr>
          <w:color w:val="000000" w:themeColor="text1"/>
        </w:rPr>
        <w:t xml:space="preserve">PBAC response provided clarification, see paragraph </w:t>
      </w:r>
      <w:r w:rsidR="00B46762" w:rsidRPr="005A5BB7">
        <w:rPr>
          <w:color w:val="000000" w:themeColor="text1"/>
        </w:rPr>
        <w:fldChar w:fldCharType="begin"/>
      </w:r>
      <w:r w:rsidR="00B46762" w:rsidRPr="005A5BB7">
        <w:rPr>
          <w:color w:val="000000" w:themeColor="text1"/>
        </w:rPr>
        <w:instrText xml:space="preserve"> REF _Ref224805983 \r \h </w:instrText>
      </w:r>
      <w:r w:rsidR="00B46762" w:rsidRPr="005A5BB7">
        <w:rPr>
          <w:color w:val="000000" w:themeColor="text1"/>
        </w:rPr>
      </w:r>
      <w:r w:rsidR="00B46762" w:rsidRPr="005A5BB7">
        <w:rPr>
          <w:color w:val="000000" w:themeColor="text1"/>
        </w:rPr>
        <w:fldChar w:fldCharType="separate"/>
      </w:r>
      <w:r w:rsidR="003D0611">
        <w:rPr>
          <w:color w:val="000000" w:themeColor="text1"/>
        </w:rPr>
        <w:t>6.76</w:t>
      </w:r>
      <w:r w:rsidR="00B46762" w:rsidRPr="005A5BB7">
        <w:rPr>
          <w:color w:val="000000" w:themeColor="text1"/>
        </w:rPr>
        <w:fldChar w:fldCharType="end"/>
      </w:r>
      <w:r w:rsidR="00B46762" w:rsidRPr="005A5BB7">
        <w:rPr>
          <w:color w:val="000000" w:themeColor="text1"/>
        </w:rPr>
        <w:t>.</w:t>
      </w:r>
    </w:p>
    <w:p w14:paraId="04F8329D" w14:textId="456C6B50" w:rsidR="004C397E" w:rsidRPr="005A5BB7" w:rsidRDefault="004C397E" w:rsidP="00E113F2">
      <w:pPr>
        <w:pStyle w:val="3-BodyText"/>
        <w:numPr>
          <w:ilvl w:val="0"/>
          <w:numId w:val="31"/>
        </w:numPr>
        <w:rPr>
          <w:color w:val="000000" w:themeColor="text1"/>
        </w:rPr>
      </w:pPr>
      <w:r w:rsidRPr="005A5BB7">
        <w:rPr>
          <w:color w:val="000000" w:themeColor="text1"/>
        </w:rPr>
        <w:t xml:space="preserve">Additionally, </w:t>
      </w:r>
      <w:r w:rsidR="00A6651A" w:rsidRPr="005A5BB7">
        <w:rPr>
          <w:color w:val="000000" w:themeColor="text1"/>
        </w:rPr>
        <w:t xml:space="preserve">the </w:t>
      </w:r>
      <w:r w:rsidRPr="005A5BB7">
        <w:rPr>
          <w:color w:val="000000" w:themeColor="text1"/>
        </w:rPr>
        <w:t>2.29 EHM is higher than t</w:t>
      </w:r>
      <w:r w:rsidR="00A6651A" w:rsidRPr="005A5BB7">
        <w:rPr>
          <w:color w:val="000000" w:themeColor="text1"/>
        </w:rPr>
        <w:t>hat</w:t>
      </w:r>
      <w:r w:rsidRPr="005A5BB7">
        <w:rPr>
          <w:color w:val="000000" w:themeColor="text1"/>
        </w:rPr>
        <w:t xml:space="preserve"> previously proposed </w:t>
      </w:r>
      <w:r w:rsidR="00082999" w:rsidRPr="005A5BB7">
        <w:rPr>
          <w:color w:val="000000" w:themeColor="text1"/>
        </w:rPr>
        <w:t xml:space="preserve">by the sponsor </w:t>
      </w:r>
      <w:r w:rsidRPr="005A5BB7">
        <w:rPr>
          <w:color w:val="000000" w:themeColor="text1"/>
        </w:rPr>
        <w:t>to the ATAGI (1.79), which ATAGI did not consider to be conservative (ATAGI Advice, March 2025).</w:t>
      </w:r>
    </w:p>
    <w:p w14:paraId="3386A891" w14:textId="711ED928" w:rsidR="00D03653" w:rsidRPr="005A5BB7" w:rsidRDefault="00D03653" w:rsidP="00D03653">
      <w:pPr>
        <w:pStyle w:val="3-BodyText"/>
        <w:numPr>
          <w:ilvl w:val="0"/>
          <w:numId w:val="0"/>
        </w:numPr>
        <w:ind w:left="720"/>
        <w:rPr>
          <w:color w:val="000000" w:themeColor="text1"/>
        </w:rPr>
      </w:pPr>
      <w:r w:rsidRPr="005A5BB7">
        <w:rPr>
          <w:color w:val="000000" w:themeColor="text1"/>
        </w:rPr>
        <w:t>These issues identified during the evaluation and those from the ATAGI collectively indicate that the methodology used for the EHM analysis in the resubmission may not be adequately rigorous and EHM of 2.29 was likely inflated.</w:t>
      </w:r>
    </w:p>
    <w:p w14:paraId="22323916" w14:textId="6B5DA484" w:rsidR="00A44910" w:rsidRPr="005A5BB7" w:rsidRDefault="00A44910" w:rsidP="00400599">
      <w:pPr>
        <w:pStyle w:val="3-BodyText"/>
        <w:rPr>
          <w:iCs/>
          <w:color w:val="000000" w:themeColor="text1"/>
        </w:rPr>
      </w:pPr>
      <w:r w:rsidRPr="005A5BB7">
        <w:rPr>
          <w:iCs/>
          <w:color w:val="000000" w:themeColor="text1"/>
        </w:rPr>
        <w:t xml:space="preserve">The PSCR did not agree with the evaluation’s assessment that the EHM of 2.29 is inflated and based on a narrower population than the AIH at risk cohorts. ATAGI </w:t>
      </w:r>
      <w:r w:rsidR="00DD2577" w:rsidRPr="005A5BB7">
        <w:rPr>
          <w:iCs/>
          <w:color w:val="000000" w:themeColor="text1"/>
        </w:rPr>
        <w:t xml:space="preserve">did not </w:t>
      </w:r>
      <w:r w:rsidRPr="005A5BB7">
        <w:rPr>
          <w:iCs/>
          <w:color w:val="000000" w:themeColor="text1"/>
        </w:rPr>
        <w:t xml:space="preserve">endorse the </w:t>
      </w:r>
      <w:r w:rsidR="00DD2577" w:rsidRPr="005A5BB7">
        <w:rPr>
          <w:iCs/>
          <w:color w:val="000000" w:themeColor="text1"/>
        </w:rPr>
        <w:t xml:space="preserve">estimate </w:t>
      </w:r>
      <w:r w:rsidRPr="005A5BB7">
        <w:rPr>
          <w:iCs/>
          <w:color w:val="000000" w:themeColor="text1"/>
        </w:rPr>
        <w:t xml:space="preserve">(ATAGI Response, 29 October 2025). The </w:t>
      </w:r>
      <w:r w:rsidR="00E90000" w:rsidRPr="005A5BB7">
        <w:rPr>
          <w:iCs/>
          <w:color w:val="000000" w:themeColor="text1"/>
        </w:rPr>
        <w:t xml:space="preserve">ESC </w:t>
      </w:r>
      <w:r w:rsidRPr="005A5BB7">
        <w:rPr>
          <w:iCs/>
          <w:color w:val="000000" w:themeColor="text1"/>
        </w:rPr>
        <w:t xml:space="preserve">noted that the EHM of 2.29 </w:t>
      </w:r>
      <w:r w:rsidR="00DD5056" w:rsidRPr="005A5BB7">
        <w:rPr>
          <w:iCs/>
          <w:color w:val="000000" w:themeColor="text1"/>
        </w:rPr>
        <w:t xml:space="preserve">remained </w:t>
      </w:r>
      <w:r w:rsidR="004F1253" w:rsidRPr="005A5BB7">
        <w:rPr>
          <w:iCs/>
          <w:color w:val="000000" w:themeColor="text1"/>
        </w:rPr>
        <w:t>un</w:t>
      </w:r>
      <w:r w:rsidRPr="005A5BB7">
        <w:rPr>
          <w:iCs/>
          <w:color w:val="000000" w:themeColor="text1"/>
        </w:rPr>
        <w:t xml:space="preserve">verified </w:t>
      </w:r>
      <w:r w:rsidR="004F1253" w:rsidRPr="005A5BB7">
        <w:rPr>
          <w:iCs/>
          <w:color w:val="000000" w:themeColor="text1"/>
        </w:rPr>
        <w:t xml:space="preserve">and </w:t>
      </w:r>
      <w:r w:rsidR="000751AB" w:rsidRPr="005A5BB7">
        <w:rPr>
          <w:iCs/>
          <w:color w:val="000000" w:themeColor="text1"/>
        </w:rPr>
        <w:t xml:space="preserve">inappropriately used the </w:t>
      </w:r>
      <w:r w:rsidRPr="005A5BB7">
        <w:rPr>
          <w:iCs/>
          <w:color w:val="000000" w:themeColor="text1"/>
        </w:rPr>
        <w:t>‘not at</w:t>
      </w:r>
      <w:r w:rsidR="000E4816">
        <w:rPr>
          <w:iCs/>
          <w:color w:val="000000" w:themeColor="text1"/>
        </w:rPr>
        <w:noBreakHyphen/>
      </w:r>
      <w:r w:rsidRPr="005A5BB7">
        <w:rPr>
          <w:iCs/>
          <w:color w:val="000000" w:themeColor="text1"/>
        </w:rPr>
        <w:t>risk</w:t>
      </w:r>
      <w:r w:rsidR="000751AB" w:rsidRPr="005A5BB7">
        <w:rPr>
          <w:iCs/>
          <w:color w:val="000000" w:themeColor="text1"/>
        </w:rPr>
        <w:t>’</w:t>
      </w:r>
      <w:r w:rsidRPr="005A5BB7">
        <w:rPr>
          <w:iCs/>
          <w:color w:val="000000" w:themeColor="text1"/>
        </w:rPr>
        <w:t xml:space="preserve"> population’</w:t>
      </w:r>
      <w:r w:rsidR="000751AB" w:rsidRPr="005A5BB7">
        <w:rPr>
          <w:iCs/>
          <w:color w:val="000000" w:themeColor="text1"/>
        </w:rPr>
        <w:t xml:space="preserve"> rather than</w:t>
      </w:r>
      <w:r w:rsidRPr="005A5BB7">
        <w:rPr>
          <w:iCs/>
          <w:color w:val="000000" w:themeColor="text1"/>
        </w:rPr>
        <w:t xml:space="preserve"> the general population</w:t>
      </w:r>
      <w:r w:rsidR="000751AB" w:rsidRPr="005A5BB7">
        <w:rPr>
          <w:iCs/>
          <w:color w:val="000000" w:themeColor="text1"/>
        </w:rPr>
        <w:t xml:space="preserve"> as the reference cohort</w:t>
      </w:r>
      <w:r w:rsidRPr="005A5BB7">
        <w:rPr>
          <w:iCs/>
          <w:color w:val="000000" w:themeColor="text1"/>
        </w:rPr>
        <w:t>.</w:t>
      </w:r>
      <w:r w:rsidR="00DA1339">
        <w:rPr>
          <w:iCs/>
          <w:color w:val="000000" w:themeColor="text1"/>
        </w:rPr>
        <w:t xml:space="preserve"> </w:t>
      </w:r>
      <w:r w:rsidR="001938E3" w:rsidRPr="005A5BB7">
        <w:rPr>
          <w:iCs/>
        </w:rPr>
        <w:t>The ESC advised that the EHM applied in the economic evaluation should be no higher than 1.79.</w:t>
      </w:r>
    </w:p>
    <w:p w14:paraId="27146556" w14:textId="717A164C" w:rsidR="00400599" w:rsidRPr="005A5BB7" w:rsidRDefault="00B46762" w:rsidP="00400599">
      <w:pPr>
        <w:pStyle w:val="3-BodyText"/>
        <w:rPr>
          <w:color w:val="000000" w:themeColor="text1"/>
        </w:rPr>
      </w:pPr>
      <w:bookmarkStart w:id="75" w:name="_Ref224805983"/>
      <w:r w:rsidRPr="005A5BB7">
        <w:t>The pre</w:t>
      </w:r>
      <w:r w:rsidR="000E4816">
        <w:noBreakHyphen/>
      </w:r>
      <w:r w:rsidRPr="005A5BB7">
        <w:t xml:space="preserve">PBAC response </w:t>
      </w:r>
      <w:r w:rsidR="00EE7798" w:rsidRPr="005A5BB7">
        <w:t>stated that the value of 2.29 was a</w:t>
      </w:r>
      <w:r w:rsidRPr="005A5BB7">
        <w:t xml:space="preserve"> weighted average relative risk calculated using the raw data reported in Belongia et al 2018, adjusted for the prevalence of each condition in Australia</w:t>
      </w:r>
      <w:r w:rsidR="00EE7798" w:rsidRPr="005A5BB7">
        <w:t>.</w:t>
      </w:r>
      <w:r w:rsidR="00DA1339">
        <w:t xml:space="preserve"> </w:t>
      </w:r>
      <w:r w:rsidR="00B70EBA" w:rsidRPr="005A5BB7">
        <w:t>The pre</w:t>
      </w:r>
      <w:r w:rsidR="000E4816">
        <w:noBreakHyphen/>
      </w:r>
      <w:r w:rsidR="00B70EBA" w:rsidRPr="005A5BB7">
        <w:t>PBAC response suggested that an EHM of 2.29 would be appropriate for a population defined as having at least one</w:t>
      </w:r>
      <w:r w:rsidR="00B70EBA" w:rsidRPr="005A5BB7">
        <w:rPr>
          <w:lang w:bidi="en-US"/>
        </w:rPr>
        <w:t xml:space="preserve"> at</w:t>
      </w:r>
      <w:r w:rsidR="000E4816">
        <w:rPr>
          <w:lang w:bidi="en-US"/>
        </w:rPr>
        <w:noBreakHyphen/>
      </w:r>
      <w:r w:rsidR="00B70EBA" w:rsidRPr="005A5BB7">
        <w:rPr>
          <w:lang w:bidi="en-US"/>
        </w:rPr>
        <w:t xml:space="preserve">risk </w:t>
      </w:r>
      <w:r w:rsidR="00B70EBA" w:rsidRPr="005A5BB7">
        <w:t xml:space="preserve">medical condition </w:t>
      </w:r>
      <w:r w:rsidR="00B70EBA" w:rsidRPr="005A5BB7">
        <w:rPr>
          <w:lang w:bidi="en-US"/>
        </w:rPr>
        <w:t xml:space="preserve">excluding obesity as </w:t>
      </w:r>
      <w:r w:rsidR="00192E1F" w:rsidRPr="005A5BB7">
        <w:rPr>
          <w:lang w:bidi="en-US"/>
        </w:rPr>
        <w:t>the</w:t>
      </w:r>
      <w:r w:rsidR="00B70EBA" w:rsidRPr="005A5BB7">
        <w:rPr>
          <w:lang w:bidi="en-US"/>
        </w:rPr>
        <w:t xml:space="preserve"> report </w:t>
      </w:r>
      <w:r w:rsidR="00234BC6" w:rsidRPr="005A5BB7">
        <w:rPr>
          <w:lang w:bidi="en-US"/>
        </w:rPr>
        <w:t xml:space="preserve">did not provide </w:t>
      </w:r>
      <w:r w:rsidR="00B70EBA" w:rsidRPr="005A5BB7">
        <w:rPr>
          <w:lang w:bidi="en-US"/>
        </w:rPr>
        <w:t xml:space="preserve">separate relative risks for patients with obesity. </w:t>
      </w:r>
      <w:r w:rsidR="00EE7798" w:rsidRPr="005A5BB7">
        <w:t>However, t</w:t>
      </w:r>
      <w:r w:rsidRPr="005A5BB7">
        <w:t xml:space="preserve">he PBAC </w:t>
      </w:r>
      <w:r w:rsidR="000F066F" w:rsidRPr="005A5BB7">
        <w:t>noted</w:t>
      </w:r>
      <w:r w:rsidR="00DD2577" w:rsidRPr="005A5BB7">
        <w:t xml:space="preserve"> that </w:t>
      </w:r>
      <w:r w:rsidRPr="005A5BB7">
        <w:t>the relative risk of hospitalisation of 2.29 estimated by Carlin et al was for the at</w:t>
      </w:r>
      <w:r w:rsidR="000E4816">
        <w:noBreakHyphen/>
      </w:r>
      <w:r w:rsidRPr="005A5BB7">
        <w:t>risk cohort compared to the not</w:t>
      </w:r>
      <w:r w:rsidR="000E4816">
        <w:noBreakHyphen/>
      </w:r>
      <w:r w:rsidRPr="005A5BB7">
        <w:t>at</w:t>
      </w:r>
      <w:r w:rsidR="000E4816">
        <w:noBreakHyphen/>
      </w:r>
      <w:r w:rsidRPr="005A5BB7">
        <w:t xml:space="preserve">risk cohort, </w:t>
      </w:r>
      <w:r w:rsidR="000F066F" w:rsidRPr="005A5BB7">
        <w:t xml:space="preserve">and therefore considered </w:t>
      </w:r>
      <w:r w:rsidRPr="005A5BB7">
        <w:t xml:space="preserve">it was not </w:t>
      </w:r>
      <w:r w:rsidR="00EE7798" w:rsidRPr="005A5BB7">
        <w:t>appropriate</w:t>
      </w:r>
      <w:r w:rsidRPr="005A5BB7">
        <w:t xml:space="preserve"> to use this value as a multiplier in the current economic model since the underlying data informing the current model reflected the population average (which is not the same as the “not at risk cohort”).</w:t>
      </w:r>
      <w:bookmarkEnd w:id="75"/>
      <w:r w:rsidR="00DA1339">
        <w:t xml:space="preserve"> </w:t>
      </w:r>
      <w:r w:rsidR="00EE7798" w:rsidRPr="005A5BB7">
        <w:t>The PBAC agreed with the ESC that the EHM applied in the economic evaluation should be no higher than 1.79.</w:t>
      </w:r>
      <w:bookmarkStart w:id="76" w:name="_Ref222334419"/>
      <w:r w:rsidR="00400599" w:rsidRPr="005A5BB7">
        <w:rPr>
          <w:color w:val="000000" w:themeColor="text1"/>
        </w:rPr>
        <w:t xml:space="preserve">The resubmission </w:t>
      </w:r>
      <w:r w:rsidR="00DD2577" w:rsidRPr="005A5BB7">
        <w:rPr>
          <w:color w:val="000000" w:themeColor="text1"/>
        </w:rPr>
        <w:t xml:space="preserve">differentiated </w:t>
      </w:r>
      <w:r w:rsidR="00400599" w:rsidRPr="005A5BB7">
        <w:rPr>
          <w:color w:val="000000" w:themeColor="text1"/>
        </w:rPr>
        <w:t xml:space="preserve">outcomes for each of the eight AIH risk categories using hospitalisation rates derived from specific EHM inputs for each category. Specific EHMs were obtained from an analysis based on five studies previously presented to ATAGI. Several issues regarding the analysis were raised by ATAGI (ATAGI Advice, March 2025), including potential </w:t>
      </w:r>
      <w:r w:rsidR="00400599" w:rsidRPr="005A5BB7">
        <w:rPr>
          <w:color w:val="000000" w:themeColor="text1"/>
        </w:rPr>
        <w:lastRenderedPageBreak/>
        <w:t>heterogeneity between sources for EHMs (mostly</w:t>
      </w:r>
      <w:r w:rsidR="00400599" w:rsidRPr="005A5BB7">
        <w:t xml:space="preserve"> from the U.S.) and Australian health care systems, and that multipliers for each condition do not factor in co</w:t>
      </w:r>
      <w:r w:rsidR="000E4816">
        <w:noBreakHyphen/>
      </w:r>
      <w:r w:rsidR="00400599" w:rsidRPr="005A5BB7">
        <w:t>morbidities within patients. The evaluation noted further issues with the resubmission’s approach, including</w:t>
      </w:r>
      <w:bookmarkEnd w:id="76"/>
      <w:r w:rsidR="007128AE" w:rsidRPr="005A5BB7">
        <w:t>:</w:t>
      </w:r>
      <w:r w:rsidR="00400599" w:rsidRPr="005A5BB7">
        <w:t xml:space="preserve"> </w:t>
      </w:r>
    </w:p>
    <w:p w14:paraId="54805C19" w14:textId="77777777" w:rsidR="00400599" w:rsidRPr="005A5BB7" w:rsidRDefault="00400599" w:rsidP="00E113F2">
      <w:pPr>
        <w:pStyle w:val="3-BodyText"/>
        <w:numPr>
          <w:ilvl w:val="0"/>
          <w:numId w:val="29"/>
        </w:numPr>
        <w:rPr>
          <w:color w:val="000000" w:themeColor="text1"/>
        </w:rPr>
      </w:pPr>
      <w:r w:rsidRPr="005A5BB7">
        <w:t>EHMs for each risk category are based on a small number of conditions and do not fully align with conditions suggested in the AIH. For example, there is no direct evidence for RSV hospitalisation rates in chronic neurological conditions or chronic liver disease. The resubmission relied on proxy measures, using severe disease risk (e.g., intensive care unit; ICU admission) for chronic neurological conditions and assuming an EHM to chronic kidney disease for chronic liver disease. Of the eight risk categories, only cardiac disease (congestive heart failure, coronary artery disease) and chronic respiratory conditions (chronic obstructive pulmonary disease; COPD, and severe asthma) had EHMs consistently reported across the sources.</w:t>
      </w:r>
    </w:p>
    <w:p w14:paraId="5B5A0C56" w14:textId="0EF0E4EF" w:rsidR="00400599" w:rsidRPr="005A5BB7" w:rsidRDefault="00400599" w:rsidP="00E113F2">
      <w:pPr>
        <w:pStyle w:val="3-BodyText"/>
        <w:numPr>
          <w:ilvl w:val="0"/>
          <w:numId w:val="29"/>
        </w:numPr>
        <w:rPr>
          <w:color w:val="000000" w:themeColor="text1"/>
        </w:rPr>
      </w:pPr>
      <w:r w:rsidRPr="005A5BB7">
        <w:t>Most EHMs were sourced from Hutton et al., 2024, which is based on a slide presentation to the United States Centres for Disease Control and Prevention (US CDC) and lacks detailed methodology on how</w:t>
      </w:r>
      <w:r w:rsidR="000D35F5" w:rsidRPr="005A5BB7">
        <w:t xml:space="preserve"> the</w:t>
      </w:r>
      <w:r w:rsidRPr="005A5BB7">
        <w:t xml:space="preserve"> estimates were derived.</w:t>
      </w:r>
    </w:p>
    <w:p w14:paraId="7C017C61" w14:textId="78CB2ED5" w:rsidR="00BA74EB" w:rsidRPr="005A5BB7" w:rsidRDefault="00400599" w:rsidP="00E113F2">
      <w:pPr>
        <w:pStyle w:val="ListParagraph"/>
        <w:numPr>
          <w:ilvl w:val="0"/>
          <w:numId w:val="29"/>
        </w:numPr>
        <w:jc w:val="both"/>
        <w:rPr>
          <w:rFonts w:eastAsiaTheme="minorHAnsi" w:cstheme="minorBidi"/>
          <w:iCs/>
          <w:snapToGrid/>
          <w:szCs w:val="22"/>
        </w:rPr>
      </w:pPr>
      <w:r w:rsidRPr="005A5BB7">
        <w:t xml:space="preserve">The statistical method for combining EHMs within categories appears inadequate; for example, the obesity EHM (2.28) was calculated by simply averaging BMI </w:t>
      </w:r>
      <w:r w:rsidRPr="005A5BB7">
        <w:rPr>
          <w:rFonts w:cstheme="minorHAnsi"/>
        </w:rPr>
        <w:t>≥</w:t>
      </w:r>
      <w:r w:rsidRPr="005A5BB7">
        <w:t xml:space="preserve"> 40 (3.23) and BMI 30</w:t>
      </w:r>
      <w:r w:rsidR="000E4816">
        <w:noBreakHyphen/>
      </w:r>
      <w:r w:rsidRPr="005A5BB7">
        <w:t>39 (1.33). This approach likely overestimates EHM as it oversimplifies and does not account for differences in prevalence among the conditions within each category.</w:t>
      </w:r>
      <w:r w:rsidR="00DA1339">
        <w:t xml:space="preserve"> </w:t>
      </w:r>
      <w:r w:rsidR="000B7154" w:rsidRPr="005A5BB7">
        <w:rPr>
          <w:iCs/>
        </w:rPr>
        <w:t xml:space="preserve">The ESC considered that the </w:t>
      </w:r>
      <w:r w:rsidR="001938E3" w:rsidRPr="005A5BB7">
        <w:rPr>
          <w:iCs/>
        </w:rPr>
        <w:t>re</w:t>
      </w:r>
      <w:r w:rsidR="000B7154" w:rsidRPr="005A5BB7">
        <w:rPr>
          <w:iCs/>
        </w:rPr>
        <w:t xml:space="preserve">submission had overestimated </w:t>
      </w:r>
      <w:r w:rsidR="00374DF3" w:rsidRPr="005A5BB7">
        <w:rPr>
          <w:iCs/>
        </w:rPr>
        <w:t xml:space="preserve">the </w:t>
      </w:r>
      <w:r w:rsidR="000B7154" w:rsidRPr="005A5BB7">
        <w:rPr>
          <w:iCs/>
        </w:rPr>
        <w:t xml:space="preserve">EHM for the obesity category, as the </w:t>
      </w:r>
      <w:r w:rsidR="000D1A96" w:rsidRPr="005A5BB7">
        <w:rPr>
          <w:iCs/>
        </w:rPr>
        <w:t xml:space="preserve">resubmission had assumed equal </w:t>
      </w:r>
      <w:r w:rsidR="000B7154" w:rsidRPr="005A5BB7">
        <w:rPr>
          <w:iCs/>
        </w:rPr>
        <w:t xml:space="preserve">proportions of the population </w:t>
      </w:r>
      <w:r w:rsidR="000D1A96" w:rsidRPr="005A5BB7">
        <w:rPr>
          <w:iCs/>
        </w:rPr>
        <w:t>would have</w:t>
      </w:r>
      <w:r w:rsidR="000B7154" w:rsidRPr="005A5BB7">
        <w:rPr>
          <w:iCs/>
        </w:rPr>
        <w:t xml:space="preserve"> BMI 30</w:t>
      </w:r>
      <w:r w:rsidR="000E4816">
        <w:rPr>
          <w:iCs/>
        </w:rPr>
        <w:noBreakHyphen/>
      </w:r>
      <w:r w:rsidR="000B7154" w:rsidRPr="005A5BB7">
        <w:rPr>
          <w:iCs/>
        </w:rPr>
        <w:t>39</w:t>
      </w:r>
      <w:r w:rsidR="001938E3" w:rsidRPr="005A5BB7">
        <w:t xml:space="preserve"> </w:t>
      </w:r>
      <w:r w:rsidR="001938E3" w:rsidRPr="005A5BB7">
        <w:rPr>
          <w:iCs/>
        </w:rPr>
        <w:t>kg per m</w:t>
      </w:r>
      <w:r w:rsidR="001938E3" w:rsidRPr="005A5BB7">
        <w:rPr>
          <w:iCs/>
          <w:vertAlign w:val="superscript"/>
        </w:rPr>
        <w:t>2</w:t>
      </w:r>
      <w:r w:rsidR="000B7154" w:rsidRPr="005A5BB7">
        <w:rPr>
          <w:iCs/>
        </w:rPr>
        <w:t xml:space="preserve"> and </w:t>
      </w:r>
      <w:r w:rsidR="001938E3" w:rsidRPr="005A5BB7">
        <w:rPr>
          <w:rFonts w:cstheme="minorHAnsi"/>
          <w:iCs/>
        </w:rPr>
        <w:t>≥</w:t>
      </w:r>
      <w:r w:rsidR="000B7154" w:rsidRPr="005A5BB7">
        <w:rPr>
          <w:iCs/>
        </w:rPr>
        <w:t>40</w:t>
      </w:r>
      <w:r w:rsidR="001938E3" w:rsidRPr="005A5BB7">
        <w:rPr>
          <w:iCs/>
        </w:rPr>
        <w:t xml:space="preserve"> kg per m</w:t>
      </w:r>
      <w:r w:rsidR="001938E3" w:rsidRPr="005A5BB7">
        <w:rPr>
          <w:iCs/>
          <w:vertAlign w:val="superscript"/>
        </w:rPr>
        <w:t>2</w:t>
      </w:r>
      <w:r w:rsidR="000D1A96" w:rsidRPr="005A5BB7">
        <w:rPr>
          <w:iCs/>
        </w:rPr>
        <w:t>, which was not supported by evidence</w:t>
      </w:r>
      <w:r w:rsidR="000B7154" w:rsidRPr="005A5BB7">
        <w:rPr>
          <w:iCs/>
        </w:rPr>
        <w:t>.</w:t>
      </w:r>
      <w:r w:rsidR="00DA1339">
        <w:rPr>
          <w:iCs/>
        </w:rPr>
        <w:t xml:space="preserve"> </w:t>
      </w:r>
      <w:r w:rsidR="00FD265B" w:rsidRPr="005A5BB7">
        <w:rPr>
          <w:iCs/>
        </w:rPr>
        <w:t>The ESC noted a wide range of values were identified from the literature (from 0.61</w:t>
      </w:r>
      <w:r w:rsidR="001938E3" w:rsidRPr="005A5BB7">
        <w:rPr>
          <w:iCs/>
        </w:rPr>
        <w:t xml:space="preserve"> to</w:t>
      </w:r>
      <w:r w:rsidR="00FD265B" w:rsidRPr="005A5BB7">
        <w:rPr>
          <w:iCs/>
        </w:rPr>
        <w:t xml:space="preserve"> 3.23; </w:t>
      </w:r>
      <w:r w:rsidR="001938E3" w:rsidRPr="005A5BB7">
        <w:rPr>
          <w:i/>
          <w:iCs/>
        </w:rPr>
        <w:fldChar w:fldCharType="begin"/>
      </w:r>
      <w:r w:rsidR="001938E3" w:rsidRPr="005A5BB7">
        <w:rPr>
          <w:i/>
          <w:iCs/>
        </w:rPr>
        <w:instrText xml:space="preserve"> REF _Ref219307823 \h </w:instrText>
      </w:r>
      <w:r w:rsidR="001938E3" w:rsidRPr="005A5BB7">
        <w:rPr>
          <w:i/>
          <w:iCs/>
        </w:rPr>
      </w:r>
      <w:r w:rsidR="001938E3" w:rsidRPr="005A5BB7">
        <w:rPr>
          <w:i/>
          <w:iCs/>
        </w:rPr>
        <w:fldChar w:fldCharType="separate"/>
      </w:r>
      <w:r w:rsidR="0043658C" w:rsidRPr="005A5BB7">
        <w:t xml:space="preserve">Table </w:t>
      </w:r>
      <w:r w:rsidR="0043658C">
        <w:rPr>
          <w:noProof/>
        </w:rPr>
        <w:t>21</w:t>
      </w:r>
      <w:r w:rsidR="001938E3" w:rsidRPr="005A5BB7">
        <w:rPr>
          <w:i/>
          <w:iCs/>
        </w:rPr>
        <w:fldChar w:fldCharType="end"/>
      </w:r>
      <w:r w:rsidR="00FD265B" w:rsidRPr="005A5BB7">
        <w:rPr>
          <w:iCs/>
        </w:rPr>
        <w:t>).</w:t>
      </w:r>
      <w:r w:rsidR="00DA1339">
        <w:rPr>
          <w:iCs/>
        </w:rPr>
        <w:t xml:space="preserve"> </w:t>
      </w:r>
      <w:r w:rsidR="000B7154" w:rsidRPr="005A5BB7">
        <w:rPr>
          <w:iCs/>
        </w:rPr>
        <w:t xml:space="preserve">An estimate </w:t>
      </w:r>
      <w:r w:rsidR="00FD265B" w:rsidRPr="005A5BB7">
        <w:rPr>
          <w:iCs/>
        </w:rPr>
        <w:t>based on ABS data</w:t>
      </w:r>
      <w:r w:rsidR="000B65C6" w:rsidRPr="005A5BB7">
        <w:rPr>
          <w:rStyle w:val="FootnoteReference"/>
          <w:iCs/>
        </w:rPr>
        <w:footnoteReference w:id="14"/>
      </w:r>
      <w:r w:rsidR="00FD265B" w:rsidRPr="005A5BB7">
        <w:rPr>
          <w:iCs/>
        </w:rPr>
        <w:t xml:space="preserve"> assuming 60% BMI 30</w:t>
      </w:r>
      <w:r w:rsidR="000E4816">
        <w:rPr>
          <w:iCs/>
        </w:rPr>
        <w:noBreakHyphen/>
      </w:r>
      <w:r w:rsidR="00FD265B" w:rsidRPr="005A5BB7">
        <w:rPr>
          <w:iCs/>
        </w:rPr>
        <w:t xml:space="preserve">39 </w:t>
      </w:r>
      <w:r w:rsidR="001938E3" w:rsidRPr="005A5BB7">
        <w:rPr>
          <w:iCs/>
        </w:rPr>
        <w:t>kg per m</w:t>
      </w:r>
      <w:r w:rsidR="001938E3" w:rsidRPr="005A5BB7">
        <w:rPr>
          <w:iCs/>
          <w:vertAlign w:val="superscript"/>
        </w:rPr>
        <w:t>2</w:t>
      </w:r>
      <w:r w:rsidR="001938E3" w:rsidRPr="005A5BB7">
        <w:rPr>
          <w:iCs/>
        </w:rPr>
        <w:t xml:space="preserve"> </w:t>
      </w:r>
      <w:r w:rsidR="00FD265B" w:rsidRPr="005A5BB7">
        <w:rPr>
          <w:iCs/>
        </w:rPr>
        <w:t xml:space="preserve">and 40% for BMI </w:t>
      </w:r>
      <w:r w:rsidR="001938E3" w:rsidRPr="005A5BB7">
        <w:rPr>
          <w:rFonts w:cstheme="minorHAnsi"/>
          <w:iCs/>
        </w:rPr>
        <w:t>≥</w:t>
      </w:r>
      <w:r w:rsidR="00FD265B" w:rsidRPr="005A5BB7">
        <w:rPr>
          <w:iCs/>
        </w:rPr>
        <w:t>40</w:t>
      </w:r>
      <w:r w:rsidR="001938E3" w:rsidRPr="005A5BB7">
        <w:rPr>
          <w:iCs/>
        </w:rPr>
        <w:t xml:space="preserve"> kg per m</w:t>
      </w:r>
      <w:r w:rsidR="001938E3" w:rsidRPr="005A5BB7">
        <w:rPr>
          <w:iCs/>
          <w:vertAlign w:val="superscript"/>
        </w:rPr>
        <w:t>2</w:t>
      </w:r>
      <w:r w:rsidR="00FD265B" w:rsidRPr="005A5BB7">
        <w:rPr>
          <w:iCs/>
        </w:rPr>
        <w:t xml:space="preserve"> generates an EHM of 2.09 compared with 2.28 as proposed by the </w:t>
      </w:r>
      <w:r w:rsidR="00BA74EB" w:rsidRPr="005A5BB7">
        <w:rPr>
          <w:iCs/>
        </w:rPr>
        <w:t>re</w:t>
      </w:r>
      <w:r w:rsidR="00FD265B" w:rsidRPr="005A5BB7">
        <w:rPr>
          <w:iCs/>
        </w:rPr>
        <w:t>submission.</w:t>
      </w:r>
      <w:r w:rsidR="00DA1339">
        <w:rPr>
          <w:iCs/>
        </w:rPr>
        <w:t xml:space="preserve"> </w:t>
      </w:r>
      <w:r w:rsidR="00BA74EB" w:rsidRPr="005A5BB7">
        <w:rPr>
          <w:iCs/>
        </w:rPr>
        <w:t xml:space="preserve">Alternatively, it may be appropriate to use a lower EHM reflecting that reported for </w:t>
      </w:r>
      <w:r w:rsidR="00BA74EB" w:rsidRPr="005A5BB7">
        <w:rPr>
          <w:rFonts w:eastAsiaTheme="minorHAnsi" w:cstheme="minorBidi"/>
          <w:iCs/>
          <w:snapToGrid/>
          <w:szCs w:val="22"/>
        </w:rPr>
        <w:t>BMI 30</w:t>
      </w:r>
      <w:r w:rsidR="000E4816">
        <w:rPr>
          <w:rFonts w:eastAsiaTheme="minorHAnsi" w:cstheme="minorBidi"/>
          <w:iCs/>
          <w:snapToGrid/>
          <w:szCs w:val="22"/>
        </w:rPr>
        <w:noBreakHyphen/>
      </w:r>
      <w:r w:rsidR="00BA74EB" w:rsidRPr="005A5BB7">
        <w:rPr>
          <w:rFonts w:eastAsiaTheme="minorHAnsi" w:cstheme="minorBidi"/>
          <w:iCs/>
          <w:snapToGrid/>
          <w:szCs w:val="22"/>
        </w:rPr>
        <w:t>39 kg per m</w:t>
      </w:r>
      <w:r w:rsidR="00BA74EB" w:rsidRPr="005A5BB7">
        <w:rPr>
          <w:rFonts w:eastAsiaTheme="minorHAnsi" w:cstheme="minorBidi"/>
          <w:iCs/>
          <w:snapToGrid/>
          <w:szCs w:val="22"/>
          <w:vertAlign w:val="superscript"/>
        </w:rPr>
        <w:t>2</w:t>
      </w:r>
      <w:r w:rsidR="00BA74EB" w:rsidRPr="005A5BB7">
        <w:rPr>
          <w:rFonts w:eastAsiaTheme="minorHAnsi" w:cstheme="minorBidi"/>
          <w:iCs/>
          <w:snapToGrid/>
          <w:szCs w:val="22"/>
        </w:rPr>
        <w:t>, if it is assumed that the highest risk individuals (BMI ≥40 kg per m</w:t>
      </w:r>
      <w:r w:rsidR="00BA74EB" w:rsidRPr="005A5BB7">
        <w:rPr>
          <w:rFonts w:eastAsiaTheme="minorHAnsi" w:cstheme="minorBidi"/>
          <w:iCs/>
          <w:snapToGrid/>
          <w:szCs w:val="22"/>
          <w:vertAlign w:val="superscript"/>
        </w:rPr>
        <w:t>2</w:t>
      </w:r>
      <w:r w:rsidR="00BA74EB" w:rsidRPr="005A5BB7">
        <w:rPr>
          <w:rFonts w:eastAsiaTheme="minorHAnsi" w:cstheme="minorBidi"/>
          <w:iCs/>
          <w:snapToGrid/>
          <w:szCs w:val="22"/>
        </w:rPr>
        <w:t>) would also meet other eligibility criteria, due to the association of obesity with comorbidities for example heart disease, type 2 diabetes and some cancers.</w:t>
      </w:r>
    </w:p>
    <w:p w14:paraId="72739958" w14:textId="48A02670" w:rsidR="00400599" w:rsidRPr="005A5BB7" w:rsidRDefault="00400599" w:rsidP="00E113F2">
      <w:pPr>
        <w:pStyle w:val="3-BodyText"/>
        <w:numPr>
          <w:ilvl w:val="0"/>
          <w:numId w:val="29"/>
        </w:numPr>
        <w:rPr>
          <w:color w:val="000000" w:themeColor="text1"/>
        </w:rPr>
      </w:pPr>
      <w:r w:rsidRPr="005A5BB7">
        <w:t xml:space="preserve">In the immunocompromised category, the resubmission stated an EHM of 17.3 for solid organ transplantation; however, the source indicates this was based on only lung transplantation. This high value disproportionately influences the category </w:t>
      </w:r>
      <w:r w:rsidRPr="005A5BB7">
        <w:lastRenderedPageBreak/>
        <w:t xml:space="preserve">average (12.25), which is based on very few conditions and does not include major conditions such as HIV infection due to lack of data to inform the estimate. </w:t>
      </w:r>
    </w:p>
    <w:p w14:paraId="57CEB848" w14:textId="3C39E2C7" w:rsidR="00400599" w:rsidRPr="005A5BB7" w:rsidRDefault="00400599" w:rsidP="00E113F2">
      <w:pPr>
        <w:pStyle w:val="3-BodyText"/>
        <w:numPr>
          <w:ilvl w:val="0"/>
          <w:numId w:val="29"/>
        </w:numPr>
        <w:rPr>
          <w:color w:val="000000" w:themeColor="text1"/>
        </w:rPr>
      </w:pPr>
      <w:r w:rsidRPr="005A5BB7">
        <w:t>For each category, it is unclear how results were selected across studies or within study. For instance, alternative sources presented for obesity report lower hospitalisation implications (0.61</w:t>
      </w:r>
      <w:r w:rsidR="000E4816">
        <w:noBreakHyphen/>
      </w:r>
      <w:r w:rsidRPr="005A5BB7">
        <w:t>1.21) compared to the chosen estimate from Hutton et al. Similarly, for ESRD, the EHM based on 50</w:t>
      </w:r>
      <w:r w:rsidR="000E4816">
        <w:noBreakHyphen/>
      </w:r>
      <w:r w:rsidRPr="005A5BB7">
        <w:t>64 YOA group (6.18) from Prasad et al., 2021 was selected over the estimate based on 65</w:t>
      </w:r>
      <w:r w:rsidR="000E4816">
        <w:noBreakHyphen/>
      </w:r>
      <w:r w:rsidRPr="005A5BB7">
        <w:t>80 YOA group (1.09). In addition, the EHM of haematopoietic stem cell transplantation (HSCT) was not derived from a combination of autologous haematopoietic stem cell transplantation (autoHSCT) and allogeneic haematopoietic stem cell transplantation (alloHSCT), despite EHMs being available for both as reported in the study (Hutton et al., 2024). An EHM of 7.2 from alloHSCT was chosen over an EHM of 2.9 from autoHSCT, even though autoHSC</w:t>
      </w:r>
      <w:r w:rsidR="006A2179" w:rsidRPr="005A5BB7">
        <w:t>T</w:t>
      </w:r>
      <w:r w:rsidRPr="005A5BB7">
        <w:t xml:space="preserve"> is generally more prevalent than alloHSCT</w:t>
      </w:r>
      <w:r w:rsidRPr="005A5BB7">
        <w:rPr>
          <w:rStyle w:val="FootnoteReference"/>
        </w:rPr>
        <w:footnoteReference w:id="15"/>
      </w:r>
      <w:r w:rsidRPr="005A5BB7">
        <w:t>. These selections suggest a potential bias toward higher EHM values.</w:t>
      </w:r>
    </w:p>
    <w:p w14:paraId="308090FA" w14:textId="4C166E04" w:rsidR="00400599" w:rsidRPr="005A5BB7" w:rsidRDefault="00400599" w:rsidP="007A5982">
      <w:pPr>
        <w:pStyle w:val="3-BodyText"/>
      </w:pPr>
      <w:r w:rsidRPr="005A5BB7">
        <w:t>The</w:t>
      </w:r>
      <w:r w:rsidR="007A5982" w:rsidRPr="005A5BB7">
        <w:t xml:space="preserve"> evaluation considered that </w:t>
      </w:r>
      <w:r w:rsidRPr="005A5BB7">
        <w:t>the methodology used for the EHM analysis in the resubmission may not be adequately rigorous and EHMs were likely inflated.</w:t>
      </w:r>
    </w:p>
    <w:p w14:paraId="4E727C8F" w14:textId="7039311C" w:rsidR="00A44910" w:rsidRPr="005A5BB7" w:rsidRDefault="00A44910" w:rsidP="004C397E">
      <w:pPr>
        <w:pStyle w:val="3-BodyText"/>
        <w:rPr>
          <w:iCs/>
        </w:rPr>
      </w:pPr>
      <w:r w:rsidRPr="005A5BB7">
        <w:rPr>
          <w:iCs/>
        </w:rPr>
        <w:t>The PSCR did not agree with the evaluation’s assessment that category specific EHMs rely on limited sources, lack transparency, and EHMs are overestimated. The PSCR maintain</w:t>
      </w:r>
      <w:r w:rsidR="00A05086" w:rsidRPr="005A5BB7">
        <w:rPr>
          <w:iCs/>
        </w:rPr>
        <w:t>ed</w:t>
      </w:r>
      <w:r w:rsidRPr="005A5BB7">
        <w:rPr>
          <w:iCs/>
        </w:rPr>
        <w:t xml:space="preserve"> that the multiplier approach is appropriate. The PSCR stated this is justified because AIHW data do not report RSV hospitalisations by comorbidity, making multiplier methods standard practice in infectious disease modelling, and because category specific EHMs are aligned with approaches used in US CDC modelling and previous PBAC decisions for COVID</w:t>
      </w:r>
      <w:r w:rsidR="000E4816">
        <w:rPr>
          <w:iCs/>
        </w:rPr>
        <w:noBreakHyphen/>
      </w:r>
      <w:r w:rsidRPr="005A5BB7">
        <w:rPr>
          <w:iCs/>
        </w:rPr>
        <w:t xml:space="preserve">19 therapeutics and vaccines. </w:t>
      </w:r>
      <w:r w:rsidR="00885D3D" w:rsidRPr="005A5BB7">
        <w:rPr>
          <w:iCs/>
        </w:rPr>
        <w:t xml:space="preserve">The ESC noted </w:t>
      </w:r>
      <w:r w:rsidR="00790AD8" w:rsidRPr="005A5BB7">
        <w:rPr>
          <w:iCs/>
        </w:rPr>
        <w:t>the v</w:t>
      </w:r>
      <w:r w:rsidRPr="005A5BB7">
        <w:rPr>
          <w:iCs/>
        </w:rPr>
        <w:t xml:space="preserve">arious significant concerns raised in the evaluation regarding the EHM estimate, such as the selection of EHM values </w:t>
      </w:r>
      <w:r w:rsidR="00A05086" w:rsidRPr="005A5BB7">
        <w:rPr>
          <w:iCs/>
        </w:rPr>
        <w:t xml:space="preserve">with a bias towards higher values </w:t>
      </w:r>
      <w:r w:rsidRPr="005A5BB7">
        <w:rPr>
          <w:iCs/>
        </w:rPr>
        <w:t>and the weighting approach that may inflate the EHM.</w:t>
      </w:r>
    </w:p>
    <w:p w14:paraId="40BA6DCD" w14:textId="5A984150" w:rsidR="004C397E" w:rsidRPr="005A5BB7" w:rsidRDefault="004C397E" w:rsidP="0090073B">
      <w:pPr>
        <w:pStyle w:val="3-BodyText"/>
      </w:pPr>
      <w:r w:rsidRPr="005A5BB7">
        <w:t>Based on the EHM of 2.29 (Carlin et al., 2024), the adjusted hospitalisation rates for the at those 60</w:t>
      </w:r>
      <w:r w:rsidR="000E4816">
        <w:noBreakHyphen/>
      </w:r>
      <w:r w:rsidRPr="005A5BB7">
        <w:t>74 YOA with least one at</w:t>
      </w:r>
      <w:r w:rsidR="000E4816">
        <w:noBreakHyphen/>
      </w:r>
      <w:r w:rsidRPr="005A5BB7">
        <w:t xml:space="preserve">risk medical condition </w:t>
      </w:r>
      <w:r w:rsidR="00462F4D" w:rsidRPr="005A5BB7">
        <w:t xml:space="preserve">are </w:t>
      </w:r>
      <w:r w:rsidRPr="005A5BB7">
        <w:t>presented in</w:t>
      </w:r>
      <w:r w:rsidR="000D6A05" w:rsidRPr="005A5BB7">
        <w:t xml:space="preserve"> </w:t>
      </w:r>
      <w:r w:rsidR="000D6A05" w:rsidRPr="005A5BB7">
        <w:rPr>
          <w:rFonts w:cstheme="minorHAnsi"/>
          <w:szCs w:val="24"/>
        </w:rPr>
        <w:fldChar w:fldCharType="begin"/>
      </w:r>
      <w:r w:rsidR="000D6A05" w:rsidRPr="005A5BB7">
        <w:rPr>
          <w:rFonts w:cstheme="minorHAnsi"/>
          <w:szCs w:val="24"/>
        </w:rPr>
        <w:instrText xml:space="preserve"> REF _Ref222420915 \h </w:instrText>
      </w:r>
      <w:r w:rsidR="001C4904" w:rsidRPr="005A5BB7">
        <w:rPr>
          <w:rFonts w:cstheme="minorHAnsi"/>
          <w:szCs w:val="24"/>
        </w:rPr>
        <w:instrText xml:space="preserve"> \* MERGEFORMAT </w:instrText>
      </w:r>
      <w:r w:rsidR="000D6A05" w:rsidRPr="005A5BB7">
        <w:rPr>
          <w:rFonts w:cstheme="minorHAnsi"/>
          <w:szCs w:val="24"/>
        </w:rPr>
      </w:r>
      <w:r w:rsidR="000D6A05" w:rsidRPr="005A5BB7">
        <w:rPr>
          <w:rFonts w:cstheme="minorHAnsi"/>
          <w:szCs w:val="24"/>
        </w:rPr>
        <w:fldChar w:fldCharType="separate"/>
      </w:r>
      <w:r w:rsidR="0043658C" w:rsidRPr="0043658C">
        <w:rPr>
          <w:rFonts w:cstheme="minorHAnsi"/>
          <w:szCs w:val="24"/>
        </w:rPr>
        <w:t>Table 18</w:t>
      </w:r>
      <w:r w:rsidR="000D6A05" w:rsidRPr="005A5BB7">
        <w:rPr>
          <w:rFonts w:cstheme="minorHAnsi"/>
          <w:szCs w:val="24"/>
        </w:rPr>
        <w:fldChar w:fldCharType="end"/>
      </w:r>
      <w:r w:rsidRPr="005A5BB7">
        <w:rPr>
          <w:rFonts w:cstheme="minorHAnsi"/>
          <w:szCs w:val="24"/>
        </w:rPr>
        <w:t>.</w:t>
      </w:r>
      <w:r w:rsidR="00C36020" w:rsidRPr="005A5BB7">
        <w:t xml:space="preserve"> The estimated hospitalisation rates are 206 for 60</w:t>
      </w:r>
      <w:r w:rsidR="000E4816">
        <w:noBreakHyphen/>
      </w:r>
      <w:r w:rsidR="00C36020" w:rsidRPr="005A5BB7">
        <w:t>64 YOA, 270 for 65</w:t>
      </w:r>
      <w:r w:rsidR="000E4816">
        <w:noBreakHyphen/>
      </w:r>
      <w:r w:rsidR="00C36020" w:rsidRPr="005A5BB7">
        <w:t>69 YOA, and 417 for 70</w:t>
      </w:r>
      <w:r w:rsidR="000E4816">
        <w:noBreakHyphen/>
      </w:r>
      <w:r w:rsidR="00C36020" w:rsidRPr="005A5BB7">
        <w:t>74 YOA, equivalent to 289 per 100,000 person</w:t>
      </w:r>
      <w:r w:rsidR="000E4816">
        <w:noBreakHyphen/>
      </w:r>
      <w:r w:rsidR="00C36020" w:rsidRPr="005A5BB7">
        <w:t xml:space="preserve">years when weighted by the population distribution across these age groups. </w:t>
      </w:r>
    </w:p>
    <w:p w14:paraId="65AFBF48" w14:textId="1EAD9ED7" w:rsidR="00664ECA" w:rsidRPr="005A5BB7" w:rsidRDefault="00664ECA" w:rsidP="00FF2D01">
      <w:pPr>
        <w:pStyle w:val="3-BodyText"/>
      </w:pPr>
      <w:r w:rsidRPr="005A5BB7">
        <w:rPr>
          <w:iCs/>
        </w:rPr>
        <w:t>The resubmission proposed a hospitalisation rate of 289 per 100,000 person</w:t>
      </w:r>
      <w:r w:rsidR="000E4816">
        <w:rPr>
          <w:iCs/>
        </w:rPr>
        <w:noBreakHyphen/>
      </w:r>
      <w:r w:rsidRPr="005A5BB7">
        <w:rPr>
          <w:iCs/>
        </w:rPr>
        <w:t>years for the 60</w:t>
      </w:r>
      <w:r w:rsidR="000E4816">
        <w:rPr>
          <w:iCs/>
        </w:rPr>
        <w:noBreakHyphen/>
      </w:r>
      <w:r w:rsidRPr="005A5BB7">
        <w:t>74 YOA HR population.</w:t>
      </w:r>
      <w:r w:rsidR="00DA1339">
        <w:t xml:space="preserve"> </w:t>
      </w:r>
      <w:r w:rsidRPr="005A5BB7">
        <w:t>After applying the amendments proposed in the evaluation, the hospitalisation rate corresponds to 181 per 100,000 person</w:t>
      </w:r>
      <w:r w:rsidR="000E4816">
        <w:noBreakHyphen/>
      </w:r>
      <w:r w:rsidRPr="005A5BB7">
        <w:t xml:space="preserve">years based on </w:t>
      </w:r>
      <w:r w:rsidR="00FF2D01" w:rsidRPr="005A5BB7">
        <w:t xml:space="preserve">the estimates in </w:t>
      </w:r>
      <w:r w:rsidR="00FF2D01" w:rsidRPr="005A5BB7">
        <w:fldChar w:fldCharType="begin"/>
      </w:r>
      <w:r w:rsidR="00FF2D01" w:rsidRPr="005A5BB7">
        <w:instrText xml:space="preserve"> REF _Ref219121896 \h  \* MERGEFORMAT </w:instrText>
      </w:r>
      <w:r w:rsidR="00FF2D01" w:rsidRPr="005A5BB7">
        <w:fldChar w:fldCharType="separate"/>
      </w:r>
      <w:r w:rsidR="0043658C" w:rsidRPr="0043658C">
        <w:t>Table 16</w:t>
      </w:r>
      <w:r w:rsidR="00FF2D01" w:rsidRPr="005A5BB7">
        <w:fldChar w:fldCharType="end"/>
      </w:r>
      <w:r w:rsidR="00FF2D01" w:rsidRPr="005A5BB7">
        <w:t xml:space="preserve"> (60</w:t>
      </w:r>
      <w:r w:rsidR="000E4816">
        <w:noBreakHyphen/>
      </w:r>
      <w:r w:rsidR="00FF2D01" w:rsidRPr="005A5BB7">
        <w:t>64 YOA=52, 65</w:t>
      </w:r>
      <w:r w:rsidR="000E4816">
        <w:noBreakHyphen/>
      </w:r>
      <w:r w:rsidR="00FF2D01" w:rsidRPr="005A5BB7">
        <w:t>69 YOA= 106, 70</w:t>
      </w:r>
      <w:r w:rsidR="000E4816">
        <w:noBreakHyphen/>
      </w:r>
      <w:r w:rsidR="00FF2D01" w:rsidRPr="005A5BB7">
        <w:t>74 YOA=159)</w:t>
      </w:r>
      <w:r w:rsidR="00FF2D01" w:rsidRPr="005A5BB7">
        <w:rPr>
          <w:iCs/>
        </w:rPr>
        <w:t xml:space="preserve">, the </w:t>
      </w:r>
      <w:r w:rsidRPr="005A5BB7">
        <w:rPr>
          <w:iCs/>
        </w:rPr>
        <w:t>EHM of 1.79</w:t>
      </w:r>
      <w:r w:rsidR="00FF2D01" w:rsidRPr="005A5BB7">
        <w:rPr>
          <w:iCs/>
        </w:rPr>
        <w:t xml:space="preserve">, and the proportions indicated in </w:t>
      </w:r>
      <w:r w:rsidR="00FF2D01" w:rsidRPr="005A5BB7">
        <w:rPr>
          <w:rFonts w:cstheme="minorHAnsi"/>
          <w:szCs w:val="24"/>
        </w:rPr>
        <w:fldChar w:fldCharType="begin"/>
      </w:r>
      <w:r w:rsidR="00FF2D01" w:rsidRPr="005A5BB7">
        <w:rPr>
          <w:rFonts w:cstheme="minorHAnsi"/>
          <w:szCs w:val="24"/>
        </w:rPr>
        <w:instrText xml:space="preserve"> REF _Ref222420915 \h  \* MERGEFORMAT </w:instrText>
      </w:r>
      <w:r w:rsidR="00FF2D01" w:rsidRPr="005A5BB7">
        <w:rPr>
          <w:rFonts w:cstheme="minorHAnsi"/>
          <w:szCs w:val="24"/>
        </w:rPr>
      </w:r>
      <w:r w:rsidR="00FF2D01" w:rsidRPr="005A5BB7">
        <w:rPr>
          <w:rFonts w:cstheme="minorHAnsi"/>
          <w:szCs w:val="24"/>
        </w:rPr>
        <w:fldChar w:fldCharType="separate"/>
      </w:r>
      <w:r w:rsidR="0043658C" w:rsidRPr="0043658C">
        <w:rPr>
          <w:rFonts w:cstheme="minorHAnsi"/>
          <w:szCs w:val="24"/>
        </w:rPr>
        <w:t>Table 18</w:t>
      </w:r>
      <w:r w:rsidR="00FF2D01" w:rsidRPr="005A5BB7">
        <w:rPr>
          <w:rFonts w:cstheme="minorHAnsi"/>
          <w:szCs w:val="24"/>
        </w:rPr>
        <w:fldChar w:fldCharType="end"/>
      </w:r>
      <w:r w:rsidR="00FF2D01" w:rsidRPr="005A5BB7">
        <w:rPr>
          <w:rFonts w:cstheme="minorHAnsi"/>
          <w:szCs w:val="24"/>
        </w:rPr>
        <w:t>.</w:t>
      </w:r>
      <w:r w:rsidR="00DA1339">
        <w:rPr>
          <w:iCs/>
        </w:rPr>
        <w:t xml:space="preserve"> </w:t>
      </w:r>
      <w:r w:rsidRPr="005A5BB7">
        <w:rPr>
          <w:iCs/>
        </w:rPr>
        <w:t xml:space="preserve">The corresponding estimated hospitalisation rate for </w:t>
      </w:r>
      <w:proofErr w:type="gramStart"/>
      <w:r w:rsidRPr="005A5BB7">
        <w:rPr>
          <w:iCs/>
        </w:rPr>
        <w:t>the all</w:t>
      </w:r>
      <w:proofErr w:type="gramEnd"/>
      <w:r w:rsidR="000E4816">
        <w:rPr>
          <w:iCs/>
        </w:rPr>
        <w:noBreakHyphen/>
      </w:r>
      <w:r w:rsidRPr="005A5BB7">
        <w:rPr>
          <w:iCs/>
        </w:rPr>
        <w:t>comers population was 1</w:t>
      </w:r>
      <w:r w:rsidR="00FF2D01" w:rsidRPr="005A5BB7">
        <w:rPr>
          <w:iCs/>
        </w:rPr>
        <w:t>0</w:t>
      </w:r>
      <w:r w:rsidRPr="005A5BB7">
        <w:rPr>
          <w:iCs/>
        </w:rPr>
        <w:t xml:space="preserve">1 per 100,000 </w:t>
      </w:r>
      <w:r w:rsidRPr="005A5BB7">
        <w:rPr>
          <w:iCs/>
        </w:rPr>
        <w:lastRenderedPageBreak/>
        <w:t>person</w:t>
      </w:r>
      <w:r w:rsidR="000E4816">
        <w:rPr>
          <w:iCs/>
        </w:rPr>
        <w:noBreakHyphen/>
      </w:r>
      <w:r w:rsidRPr="005A5BB7">
        <w:rPr>
          <w:iCs/>
        </w:rPr>
        <w:t>years</w:t>
      </w:r>
      <w:r w:rsidR="00FF2D01" w:rsidRPr="005A5BB7">
        <w:rPr>
          <w:iCs/>
        </w:rPr>
        <w:t xml:space="preserve"> </w:t>
      </w:r>
      <w:r w:rsidR="00FF2D01" w:rsidRPr="005A5BB7">
        <w:t xml:space="preserve">based on the estimates in </w:t>
      </w:r>
      <w:r w:rsidR="00FF2D01" w:rsidRPr="005A5BB7">
        <w:fldChar w:fldCharType="begin"/>
      </w:r>
      <w:r w:rsidR="00FF2D01" w:rsidRPr="005A5BB7">
        <w:instrText xml:space="preserve"> REF _Ref219121896 \h  \* MERGEFORMAT </w:instrText>
      </w:r>
      <w:r w:rsidR="00FF2D01" w:rsidRPr="005A5BB7">
        <w:fldChar w:fldCharType="separate"/>
      </w:r>
      <w:r w:rsidR="0043658C" w:rsidRPr="0043658C">
        <w:t>Table 16</w:t>
      </w:r>
      <w:r w:rsidR="00FF2D01" w:rsidRPr="005A5BB7">
        <w:fldChar w:fldCharType="end"/>
      </w:r>
      <w:r w:rsidR="00FF2D01" w:rsidRPr="005A5BB7">
        <w:t xml:space="preserve"> (60</w:t>
      </w:r>
      <w:r w:rsidR="000E4816">
        <w:noBreakHyphen/>
      </w:r>
      <w:r w:rsidR="00FF2D01" w:rsidRPr="005A5BB7">
        <w:t>64 YOA=52, 65</w:t>
      </w:r>
      <w:r w:rsidR="000E4816">
        <w:noBreakHyphen/>
      </w:r>
      <w:r w:rsidR="00FF2D01" w:rsidRPr="005A5BB7">
        <w:t>69 YOA= 106, 70</w:t>
      </w:r>
      <w:r w:rsidR="000E4816">
        <w:noBreakHyphen/>
      </w:r>
      <w:r w:rsidR="00FF2D01" w:rsidRPr="005A5BB7">
        <w:t>74 YOA=159)</w:t>
      </w:r>
      <w:r w:rsidR="00FF2D01" w:rsidRPr="005A5BB7">
        <w:rPr>
          <w:iCs/>
        </w:rPr>
        <w:t xml:space="preserve">, the EHM of 1, and the proportions indicated in </w:t>
      </w:r>
      <w:r w:rsidR="00FF2D01" w:rsidRPr="005A5BB7">
        <w:rPr>
          <w:rFonts w:cstheme="minorHAnsi"/>
          <w:szCs w:val="24"/>
        </w:rPr>
        <w:fldChar w:fldCharType="begin"/>
      </w:r>
      <w:r w:rsidR="00FF2D01" w:rsidRPr="005A5BB7">
        <w:rPr>
          <w:rFonts w:cstheme="minorHAnsi"/>
          <w:szCs w:val="24"/>
        </w:rPr>
        <w:instrText xml:space="preserve"> REF _Ref222420915 \h  \* MERGEFORMAT </w:instrText>
      </w:r>
      <w:r w:rsidR="00FF2D01" w:rsidRPr="005A5BB7">
        <w:rPr>
          <w:rFonts w:cstheme="minorHAnsi"/>
          <w:szCs w:val="24"/>
        </w:rPr>
      </w:r>
      <w:r w:rsidR="00FF2D01" w:rsidRPr="005A5BB7">
        <w:rPr>
          <w:rFonts w:cstheme="minorHAnsi"/>
          <w:szCs w:val="24"/>
        </w:rPr>
        <w:fldChar w:fldCharType="separate"/>
      </w:r>
      <w:r w:rsidR="0043658C" w:rsidRPr="0043658C">
        <w:rPr>
          <w:rFonts w:cstheme="minorHAnsi"/>
          <w:szCs w:val="24"/>
        </w:rPr>
        <w:t>Table 18</w:t>
      </w:r>
      <w:r w:rsidR="00FF2D01" w:rsidRPr="005A5BB7">
        <w:rPr>
          <w:rFonts w:cstheme="minorHAnsi"/>
          <w:szCs w:val="24"/>
        </w:rPr>
        <w:fldChar w:fldCharType="end"/>
      </w:r>
      <w:r w:rsidR="00FF2D01" w:rsidRPr="005A5BB7">
        <w:rPr>
          <w:rFonts w:cstheme="minorHAnsi"/>
          <w:szCs w:val="24"/>
        </w:rPr>
        <w:t>.</w:t>
      </w:r>
    </w:p>
    <w:p w14:paraId="4B13373A" w14:textId="115BEB28" w:rsidR="004C397E" w:rsidRPr="005A5BB7" w:rsidRDefault="004C397E" w:rsidP="00664ECA">
      <w:pPr>
        <w:keepNext/>
        <w:rPr>
          <w:rFonts w:ascii="Arial Narrow" w:hAnsi="Arial Narrow"/>
          <w:b/>
          <w:bCs/>
          <w:sz w:val="20"/>
          <w:szCs w:val="20"/>
        </w:rPr>
      </w:pPr>
      <w:bookmarkStart w:id="77" w:name="_Ref216287587"/>
      <w:bookmarkStart w:id="78" w:name="_Ref222420915"/>
      <w:r w:rsidRPr="005A5BB7">
        <w:rPr>
          <w:rFonts w:ascii="Arial Narrow" w:hAnsi="Arial Narrow" w:cs="Times New Roman"/>
          <w:b/>
          <w:bCs/>
          <w:sz w:val="20"/>
          <w:szCs w:val="20"/>
        </w:rPr>
        <w:t xml:space="preserve">Table </w:t>
      </w:r>
      <w:r w:rsidRPr="005A5BB7">
        <w:rPr>
          <w:rFonts w:ascii="Arial Narrow" w:hAnsi="Arial Narrow" w:cs="Times New Roman"/>
          <w:b/>
          <w:bCs/>
          <w:sz w:val="20"/>
          <w:szCs w:val="20"/>
        </w:rPr>
        <w:fldChar w:fldCharType="begin"/>
      </w:r>
      <w:r w:rsidRPr="005A5BB7">
        <w:rPr>
          <w:rFonts w:ascii="Arial Narrow" w:hAnsi="Arial Narrow" w:cs="Times New Roman"/>
          <w:b/>
          <w:bCs/>
          <w:sz w:val="20"/>
          <w:szCs w:val="20"/>
        </w:rPr>
        <w:instrText xml:space="preserve"> SEQ Table \* ARABIC </w:instrText>
      </w:r>
      <w:r w:rsidRPr="005A5BB7">
        <w:rPr>
          <w:rFonts w:ascii="Arial Narrow" w:hAnsi="Arial Narrow" w:cs="Times New Roman"/>
          <w:b/>
          <w:bCs/>
          <w:sz w:val="20"/>
          <w:szCs w:val="20"/>
        </w:rPr>
        <w:fldChar w:fldCharType="separate"/>
      </w:r>
      <w:r w:rsidR="0043658C">
        <w:rPr>
          <w:rFonts w:ascii="Arial Narrow" w:hAnsi="Arial Narrow" w:cs="Times New Roman"/>
          <w:b/>
          <w:bCs/>
          <w:noProof/>
          <w:sz w:val="20"/>
          <w:szCs w:val="20"/>
        </w:rPr>
        <w:t>18</w:t>
      </w:r>
      <w:r w:rsidRPr="005A5BB7">
        <w:rPr>
          <w:rFonts w:ascii="Arial Narrow" w:hAnsi="Arial Narrow" w:cs="Times New Roman"/>
          <w:b/>
          <w:bCs/>
          <w:sz w:val="20"/>
          <w:szCs w:val="20"/>
        </w:rPr>
        <w:fldChar w:fldCharType="end"/>
      </w:r>
      <w:bookmarkEnd w:id="77"/>
      <w:bookmarkEnd w:id="78"/>
      <w:r w:rsidRPr="005A5BB7">
        <w:rPr>
          <w:rFonts w:ascii="Arial Narrow" w:hAnsi="Arial Narrow"/>
          <w:b/>
          <w:bCs/>
          <w:sz w:val="20"/>
          <w:szCs w:val="20"/>
        </w:rPr>
        <w:t>: RSV hospitalisation rates in 60</w:t>
      </w:r>
      <w:r w:rsidR="000E4816">
        <w:rPr>
          <w:rFonts w:ascii="Arial Narrow" w:hAnsi="Arial Narrow"/>
          <w:b/>
          <w:bCs/>
          <w:sz w:val="20"/>
          <w:szCs w:val="20"/>
        </w:rPr>
        <w:noBreakHyphen/>
      </w:r>
      <w:r w:rsidRPr="005A5BB7">
        <w:rPr>
          <w:rFonts w:ascii="Arial Narrow" w:hAnsi="Arial Narrow"/>
          <w:b/>
          <w:bCs/>
          <w:sz w:val="20"/>
          <w:szCs w:val="20"/>
        </w:rPr>
        <w:t xml:space="preserve">74 </w:t>
      </w:r>
      <w:r w:rsidR="00C304DA" w:rsidRPr="005A5BB7">
        <w:rPr>
          <w:rFonts w:ascii="Arial Narrow" w:hAnsi="Arial Narrow"/>
          <w:b/>
          <w:bCs/>
          <w:sz w:val="20"/>
          <w:szCs w:val="20"/>
        </w:rPr>
        <w:t>years</w:t>
      </w:r>
      <w:r w:rsidRPr="005A5BB7">
        <w:rPr>
          <w:rFonts w:ascii="Arial Narrow" w:hAnsi="Arial Narrow"/>
          <w:b/>
          <w:bCs/>
          <w:sz w:val="20"/>
          <w:szCs w:val="20"/>
        </w:rPr>
        <w:t xml:space="preserve"> with least one at</w:t>
      </w:r>
      <w:r w:rsidR="000E4816">
        <w:rPr>
          <w:rFonts w:ascii="Arial Narrow" w:hAnsi="Arial Narrow"/>
          <w:b/>
          <w:bCs/>
          <w:sz w:val="20"/>
          <w:szCs w:val="20"/>
        </w:rPr>
        <w:noBreakHyphen/>
      </w:r>
      <w:r w:rsidRPr="005A5BB7">
        <w:rPr>
          <w:rFonts w:ascii="Arial Narrow" w:hAnsi="Arial Narrow"/>
          <w:b/>
          <w:bCs/>
          <w:sz w:val="20"/>
          <w:szCs w:val="20"/>
        </w:rPr>
        <w:t>risk medical condition (per 100,000 person</w:t>
      </w:r>
      <w:r w:rsidR="000E4816">
        <w:rPr>
          <w:rFonts w:ascii="Arial Narrow" w:hAnsi="Arial Narrow"/>
          <w:b/>
          <w:bCs/>
          <w:sz w:val="20"/>
          <w:szCs w:val="20"/>
        </w:rPr>
        <w:noBreakHyphen/>
      </w:r>
      <w:r w:rsidRPr="005A5BB7">
        <w:rPr>
          <w:rFonts w:ascii="Arial Narrow" w:hAnsi="Arial Narrow"/>
          <w:b/>
          <w:bCs/>
          <w:sz w:val="20"/>
          <w:szCs w:val="20"/>
        </w:rPr>
        <w:t>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Caption w:val="Table 18: RSV hospitalisation rates in 60 74 years with least one at risk medical condition (per 100,000 person year)"/>
      </w:tblPr>
      <w:tblGrid>
        <w:gridCol w:w="5924"/>
        <w:gridCol w:w="2058"/>
        <w:gridCol w:w="1035"/>
      </w:tblGrid>
      <w:tr w:rsidR="00C304DA" w:rsidRPr="005A5BB7" w14:paraId="039CD1BF" w14:textId="77777777" w:rsidTr="00C304DA">
        <w:trPr>
          <w:trHeight w:val="20"/>
        </w:trPr>
        <w:tc>
          <w:tcPr>
            <w:tcW w:w="5000" w:type="pct"/>
            <w:gridSpan w:val="3"/>
            <w:shd w:val="clear" w:color="auto" w:fill="FFFFFF" w:themeFill="background1"/>
            <w:noWrap/>
            <w:vAlign w:val="center"/>
          </w:tcPr>
          <w:p w14:paraId="29CD5C31" w14:textId="0A13A9B9" w:rsidR="00C304DA" w:rsidRPr="005A5BB7" w:rsidRDefault="00C304DA" w:rsidP="00664ECA">
            <w:pPr>
              <w:keepNext/>
              <w:jc w:val="left"/>
              <w:rPr>
                <w:rFonts w:ascii="Arial Narrow" w:eastAsia="Yu Gothic Light" w:hAnsi="Arial Narrow" w:cs="Times New Roman"/>
                <w:bCs/>
                <w:iCs/>
                <w:sz w:val="20"/>
                <w:szCs w:val="20"/>
                <w:lang w:bidi="en-US"/>
              </w:rPr>
            </w:pPr>
            <w:r w:rsidRPr="005A5BB7">
              <w:rPr>
                <w:rFonts w:ascii="Arial Narrow" w:hAnsi="Arial Narrow" w:cs="Calibri"/>
                <w:b/>
                <w:bCs/>
                <w:sz w:val="20"/>
                <w:szCs w:val="20"/>
              </w:rPr>
              <w:t>People with at least one at</w:t>
            </w:r>
            <w:r w:rsidR="000E4816">
              <w:rPr>
                <w:rFonts w:ascii="Arial Narrow" w:hAnsi="Arial Narrow" w:cs="Calibri"/>
                <w:b/>
                <w:bCs/>
                <w:sz w:val="20"/>
                <w:szCs w:val="20"/>
              </w:rPr>
              <w:noBreakHyphen/>
            </w:r>
            <w:r w:rsidRPr="005A5BB7">
              <w:rPr>
                <w:rFonts w:ascii="Arial Narrow" w:hAnsi="Arial Narrow" w:cs="Calibri"/>
                <w:b/>
                <w:bCs/>
                <w:sz w:val="20"/>
                <w:szCs w:val="20"/>
              </w:rPr>
              <w:t>risk medical condition</w:t>
            </w:r>
          </w:p>
        </w:tc>
      </w:tr>
      <w:tr w:rsidR="00664ECA" w:rsidRPr="005A5BB7" w14:paraId="6F1614A0" w14:textId="77777777">
        <w:trPr>
          <w:trHeight w:val="20"/>
        </w:trPr>
        <w:tc>
          <w:tcPr>
            <w:tcW w:w="3285" w:type="pct"/>
            <w:shd w:val="clear" w:color="auto" w:fill="FFFFFF" w:themeFill="background1"/>
            <w:noWrap/>
            <w:vAlign w:val="center"/>
          </w:tcPr>
          <w:p w14:paraId="4615733D" w14:textId="77777777" w:rsidR="00664ECA" w:rsidRPr="005A5BB7" w:rsidRDefault="00664ECA" w:rsidP="00664ECA">
            <w:pPr>
              <w:keepNext/>
              <w:rPr>
                <w:rFonts w:ascii="Arial Narrow" w:eastAsia="Yu Gothic Light" w:hAnsi="Arial Narrow" w:cs="Times New Roman"/>
                <w:b/>
                <w:iCs/>
                <w:sz w:val="20"/>
                <w:szCs w:val="20"/>
                <w:lang w:bidi="en-US"/>
              </w:rPr>
            </w:pPr>
          </w:p>
        </w:tc>
        <w:tc>
          <w:tcPr>
            <w:tcW w:w="1141" w:type="pct"/>
            <w:vAlign w:val="center"/>
          </w:tcPr>
          <w:p w14:paraId="3FF2C899" w14:textId="18641440" w:rsidR="00664ECA" w:rsidRPr="005A5BB7" w:rsidRDefault="00664ECA" w:rsidP="00664ECA">
            <w:pPr>
              <w:keepNext/>
              <w:jc w:val="center"/>
              <w:rPr>
                <w:rFonts w:ascii="Arial Narrow" w:eastAsia="Yu Gothic Light" w:hAnsi="Arial Narrow" w:cs="Times New Roman"/>
                <w:b/>
                <w:iCs/>
                <w:sz w:val="20"/>
                <w:szCs w:val="20"/>
                <w:lang w:bidi="en-US"/>
              </w:rPr>
            </w:pPr>
            <w:r w:rsidRPr="005A5BB7">
              <w:rPr>
                <w:rFonts w:ascii="Arial Narrow" w:eastAsia="Yu Gothic Light" w:hAnsi="Arial Narrow" w:cs="Times New Roman"/>
                <w:b/>
                <w:iCs/>
                <w:sz w:val="20"/>
                <w:szCs w:val="20"/>
                <w:lang w:bidi="en-US"/>
              </w:rPr>
              <w:t>Estimate in the resubmission</w:t>
            </w:r>
          </w:p>
        </w:tc>
        <w:tc>
          <w:tcPr>
            <w:tcW w:w="574" w:type="pct"/>
            <w:vAlign w:val="center"/>
          </w:tcPr>
          <w:p w14:paraId="60065C76" w14:textId="4B5A8843" w:rsidR="00664ECA" w:rsidRPr="005A5BB7" w:rsidRDefault="00664ECA" w:rsidP="00664ECA">
            <w:pPr>
              <w:keepNext/>
              <w:jc w:val="center"/>
              <w:rPr>
                <w:rFonts w:ascii="Arial Narrow" w:eastAsia="Yu Gothic Light" w:hAnsi="Arial Narrow" w:cs="Times New Roman"/>
                <w:b/>
                <w:iCs/>
                <w:sz w:val="20"/>
                <w:szCs w:val="20"/>
                <w:lang w:bidi="en-US"/>
              </w:rPr>
            </w:pPr>
            <w:r w:rsidRPr="005A5BB7">
              <w:rPr>
                <w:rFonts w:ascii="Arial Narrow" w:eastAsia="Yu Gothic Light" w:hAnsi="Arial Narrow" w:cs="Times New Roman"/>
                <w:b/>
                <w:iCs/>
                <w:sz w:val="20"/>
                <w:szCs w:val="20"/>
                <w:lang w:bidi="en-US"/>
              </w:rPr>
              <w:t>Weighted average</w:t>
            </w:r>
          </w:p>
        </w:tc>
      </w:tr>
      <w:tr w:rsidR="00C304DA" w:rsidRPr="005A5BB7" w14:paraId="05616918" w14:textId="77777777" w:rsidTr="00C304DA">
        <w:trPr>
          <w:trHeight w:val="20"/>
        </w:trPr>
        <w:tc>
          <w:tcPr>
            <w:tcW w:w="3285" w:type="pct"/>
            <w:shd w:val="clear" w:color="auto" w:fill="FFFFFF" w:themeFill="background1"/>
            <w:noWrap/>
            <w:vAlign w:val="center"/>
          </w:tcPr>
          <w:p w14:paraId="32273B98" w14:textId="7ABA3346" w:rsidR="00C304DA" w:rsidRPr="005A5BB7" w:rsidRDefault="00C304DA" w:rsidP="00664ECA">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60</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64 YOA</w:t>
            </w:r>
          </w:p>
        </w:tc>
        <w:tc>
          <w:tcPr>
            <w:tcW w:w="1141" w:type="pct"/>
            <w:vAlign w:val="center"/>
          </w:tcPr>
          <w:p w14:paraId="2625FA55" w14:textId="77777777" w:rsidR="00C304DA" w:rsidRPr="005A5BB7" w:rsidRDefault="00C304DA" w:rsidP="00664ECA">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206</w:t>
            </w:r>
          </w:p>
        </w:tc>
        <w:tc>
          <w:tcPr>
            <w:tcW w:w="574" w:type="pct"/>
            <w:vMerge w:val="restart"/>
            <w:vAlign w:val="center"/>
          </w:tcPr>
          <w:p w14:paraId="1A0146A1" w14:textId="2F5CBFE3" w:rsidR="00C304DA" w:rsidRPr="005A5BB7" w:rsidRDefault="00C304DA" w:rsidP="00664ECA">
            <w:pPr>
              <w:keepNext/>
              <w:jc w:val="center"/>
              <w:rPr>
                <w:rFonts w:ascii="Arial Narrow" w:eastAsia="Yu Gothic Light" w:hAnsi="Arial Narrow" w:cs="Times New Roman"/>
                <w:bCs/>
                <w:sz w:val="20"/>
                <w:szCs w:val="20"/>
                <w:lang w:bidi="en-US"/>
              </w:rPr>
            </w:pPr>
            <w:r w:rsidRPr="005A5BB7">
              <w:rPr>
                <w:rFonts w:ascii="Arial Narrow" w:eastAsia="Yu Gothic Light" w:hAnsi="Arial Narrow" w:cs="Times New Roman"/>
                <w:bCs/>
                <w:sz w:val="20"/>
                <w:szCs w:val="20"/>
                <w:lang w:bidi="en-US"/>
              </w:rPr>
              <w:t xml:space="preserve">289 </w:t>
            </w:r>
            <w:r w:rsidRPr="005A5BB7">
              <w:rPr>
                <w:rFonts w:ascii="Arial Narrow" w:eastAsia="Yu Gothic Light" w:hAnsi="Arial Narrow" w:cs="Times New Roman"/>
                <w:bCs/>
                <w:sz w:val="20"/>
                <w:szCs w:val="20"/>
                <w:vertAlign w:val="superscript"/>
                <w:lang w:bidi="en-US"/>
              </w:rPr>
              <w:t>a</w:t>
            </w:r>
          </w:p>
        </w:tc>
      </w:tr>
      <w:tr w:rsidR="00C304DA" w:rsidRPr="005A5BB7" w14:paraId="5682347D" w14:textId="77777777" w:rsidTr="00C304DA">
        <w:trPr>
          <w:trHeight w:val="20"/>
        </w:trPr>
        <w:tc>
          <w:tcPr>
            <w:tcW w:w="3285" w:type="pct"/>
            <w:shd w:val="clear" w:color="auto" w:fill="FFFFFF" w:themeFill="background1"/>
            <w:noWrap/>
            <w:vAlign w:val="center"/>
          </w:tcPr>
          <w:p w14:paraId="05097AF0" w14:textId="4CDB91A4" w:rsidR="00C304DA" w:rsidRPr="005A5BB7" w:rsidRDefault="00C304DA" w:rsidP="00664ECA">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65</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69 YOA</w:t>
            </w:r>
          </w:p>
        </w:tc>
        <w:tc>
          <w:tcPr>
            <w:tcW w:w="1141" w:type="pct"/>
            <w:vAlign w:val="center"/>
          </w:tcPr>
          <w:p w14:paraId="57BE0C06" w14:textId="77777777" w:rsidR="00C304DA" w:rsidRPr="005A5BB7" w:rsidRDefault="00C304DA" w:rsidP="00664ECA">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270</w:t>
            </w:r>
          </w:p>
        </w:tc>
        <w:tc>
          <w:tcPr>
            <w:tcW w:w="574" w:type="pct"/>
            <w:vMerge/>
            <w:vAlign w:val="center"/>
          </w:tcPr>
          <w:p w14:paraId="30E01CEB" w14:textId="77777777" w:rsidR="00C304DA" w:rsidRPr="005A5BB7" w:rsidRDefault="00C304DA" w:rsidP="00664ECA">
            <w:pPr>
              <w:keepNext/>
              <w:jc w:val="center"/>
              <w:rPr>
                <w:rFonts w:ascii="Arial Narrow" w:eastAsia="Yu Gothic Light" w:hAnsi="Arial Narrow" w:cs="Times New Roman"/>
                <w:bCs/>
                <w:iCs/>
                <w:sz w:val="20"/>
                <w:szCs w:val="20"/>
                <w:lang w:bidi="en-US"/>
              </w:rPr>
            </w:pPr>
          </w:p>
        </w:tc>
      </w:tr>
      <w:tr w:rsidR="00C304DA" w:rsidRPr="005A5BB7" w14:paraId="5939DFA2" w14:textId="77777777" w:rsidTr="00C304DA">
        <w:trPr>
          <w:trHeight w:val="20"/>
        </w:trPr>
        <w:tc>
          <w:tcPr>
            <w:tcW w:w="3285" w:type="pct"/>
            <w:shd w:val="clear" w:color="auto" w:fill="FFFFFF" w:themeFill="background1"/>
            <w:noWrap/>
            <w:vAlign w:val="center"/>
          </w:tcPr>
          <w:p w14:paraId="5C247221" w14:textId="2649F892" w:rsidR="00C304DA" w:rsidRPr="005A5BB7" w:rsidRDefault="00C304DA" w:rsidP="00664ECA">
            <w:pPr>
              <w:keepNext/>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70</w:t>
            </w:r>
            <w:r w:rsidR="000E4816">
              <w:rPr>
                <w:rFonts w:ascii="Arial Narrow" w:eastAsia="Yu Gothic Light" w:hAnsi="Arial Narrow" w:cs="Times New Roman"/>
                <w:bCs/>
                <w:iCs/>
                <w:sz w:val="20"/>
                <w:szCs w:val="20"/>
                <w:lang w:bidi="en-US"/>
              </w:rPr>
              <w:noBreakHyphen/>
            </w:r>
            <w:r w:rsidRPr="005A5BB7">
              <w:rPr>
                <w:rFonts w:ascii="Arial Narrow" w:eastAsia="Yu Gothic Light" w:hAnsi="Arial Narrow" w:cs="Times New Roman"/>
                <w:bCs/>
                <w:iCs/>
                <w:sz w:val="20"/>
                <w:szCs w:val="20"/>
                <w:lang w:bidi="en-US"/>
              </w:rPr>
              <w:t xml:space="preserve">74 YOA </w:t>
            </w:r>
          </w:p>
        </w:tc>
        <w:tc>
          <w:tcPr>
            <w:tcW w:w="1141" w:type="pct"/>
            <w:vAlign w:val="center"/>
          </w:tcPr>
          <w:p w14:paraId="7D3B4A34" w14:textId="77777777" w:rsidR="00C304DA" w:rsidRPr="005A5BB7" w:rsidRDefault="00C304DA" w:rsidP="00664ECA">
            <w:pPr>
              <w:keepNext/>
              <w:jc w:val="center"/>
              <w:rPr>
                <w:rFonts w:ascii="Arial Narrow" w:eastAsia="Yu Gothic Light" w:hAnsi="Arial Narrow" w:cs="Times New Roman"/>
                <w:bCs/>
                <w:iCs/>
                <w:sz w:val="20"/>
                <w:szCs w:val="20"/>
                <w:lang w:bidi="en-US"/>
              </w:rPr>
            </w:pPr>
            <w:r w:rsidRPr="005A5BB7">
              <w:rPr>
                <w:rFonts w:ascii="Arial Narrow" w:eastAsia="Yu Gothic Light" w:hAnsi="Arial Narrow" w:cs="Times New Roman"/>
                <w:bCs/>
                <w:iCs/>
                <w:sz w:val="20"/>
                <w:szCs w:val="20"/>
                <w:lang w:bidi="en-US"/>
              </w:rPr>
              <w:t>417</w:t>
            </w:r>
          </w:p>
        </w:tc>
        <w:tc>
          <w:tcPr>
            <w:tcW w:w="574" w:type="pct"/>
            <w:vMerge/>
            <w:vAlign w:val="center"/>
          </w:tcPr>
          <w:p w14:paraId="669AB482" w14:textId="77777777" w:rsidR="00C304DA" w:rsidRPr="005A5BB7" w:rsidRDefault="00C304DA" w:rsidP="00664ECA">
            <w:pPr>
              <w:keepNext/>
              <w:jc w:val="center"/>
              <w:rPr>
                <w:rFonts w:ascii="Arial Narrow" w:eastAsia="Yu Gothic Light" w:hAnsi="Arial Narrow" w:cs="Times New Roman"/>
                <w:bCs/>
                <w:iCs/>
                <w:sz w:val="20"/>
                <w:szCs w:val="20"/>
                <w:lang w:bidi="en-US"/>
              </w:rPr>
            </w:pPr>
          </w:p>
        </w:tc>
      </w:tr>
    </w:tbl>
    <w:p w14:paraId="14DC44B2" w14:textId="1F760264" w:rsidR="004C397E" w:rsidRPr="005A5BB7" w:rsidRDefault="004C397E" w:rsidP="00664ECA">
      <w:pPr>
        <w:pStyle w:val="BodyText"/>
        <w:keepNext/>
        <w:rPr>
          <w:rFonts w:ascii="Arial Narrow" w:hAnsi="Arial Narrow"/>
          <w:sz w:val="18"/>
          <w:szCs w:val="18"/>
        </w:rPr>
      </w:pPr>
      <w:r w:rsidRPr="005A5BB7">
        <w:rPr>
          <w:rFonts w:ascii="Arial Narrow" w:hAnsi="Arial Narrow"/>
          <w:sz w:val="18"/>
          <w:szCs w:val="18"/>
        </w:rPr>
        <w:t>Source: Economic model worksheet of the March 2026 resubmission</w:t>
      </w:r>
      <w:r w:rsidR="004E0544" w:rsidRPr="005A5BB7">
        <w:rPr>
          <w:rFonts w:ascii="Arial Narrow" w:hAnsi="Arial Narrow"/>
          <w:sz w:val="18"/>
          <w:szCs w:val="18"/>
        </w:rPr>
        <w:t xml:space="preserve">; para 6.53, </w:t>
      </w:r>
      <w:r w:rsidR="001E26F8" w:rsidRPr="005A5BB7">
        <w:rPr>
          <w:rFonts w:ascii="Arial Narrow" w:hAnsi="Arial Narrow"/>
          <w:sz w:val="18"/>
          <w:szCs w:val="18"/>
        </w:rPr>
        <w:t xml:space="preserve">RSVpreF </w:t>
      </w:r>
      <w:r w:rsidR="004E0544" w:rsidRPr="005A5BB7">
        <w:rPr>
          <w:rFonts w:ascii="Arial Narrow" w:hAnsi="Arial Narrow"/>
          <w:sz w:val="18"/>
          <w:szCs w:val="18"/>
        </w:rPr>
        <w:t>PSD, November 2024 PBAC meeting</w:t>
      </w:r>
    </w:p>
    <w:p w14:paraId="61442812" w14:textId="6A7C466A" w:rsidR="004C397E" w:rsidRPr="005A5BB7" w:rsidRDefault="004C397E" w:rsidP="00664ECA">
      <w:pPr>
        <w:pStyle w:val="BodyText"/>
        <w:keepNext/>
        <w:rPr>
          <w:rFonts w:ascii="Arial Narrow" w:hAnsi="Arial Narrow"/>
          <w:sz w:val="18"/>
          <w:szCs w:val="18"/>
        </w:rPr>
      </w:pPr>
      <w:r w:rsidRPr="005A5BB7">
        <w:rPr>
          <w:rFonts w:ascii="Arial Narrow" w:hAnsi="Arial Narrow"/>
          <w:sz w:val="18"/>
          <w:szCs w:val="18"/>
        </w:rPr>
        <w:t>RSV = respiratory syncytial virus, YOA = years of age.</w:t>
      </w:r>
    </w:p>
    <w:p w14:paraId="0EC2185A" w14:textId="502FFA8B" w:rsidR="004C397E" w:rsidRPr="005A5BB7" w:rsidRDefault="004C397E" w:rsidP="004C397E">
      <w:pPr>
        <w:pStyle w:val="BodyText"/>
        <w:rPr>
          <w:rFonts w:ascii="Arial Narrow" w:hAnsi="Arial Narrow"/>
          <w:iCs/>
          <w:sz w:val="18"/>
          <w:szCs w:val="18"/>
        </w:rPr>
      </w:pPr>
      <w:r w:rsidRPr="005A5BB7">
        <w:rPr>
          <w:rFonts w:ascii="Arial Narrow" w:hAnsi="Arial Narrow"/>
          <w:iCs/>
          <w:sz w:val="18"/>
          <w:szCs w:val="18"/>
          <w:vertAlign w:val="superscript"/>
        </w:rPr>
        <w:t>a</w:t>
      </w:r>
      <w:r w:rsidRPr="005A5BB7">
        <w:rPr>
          <w:rFonts w:ascii="Arial Narrow" w:hAnsi="Arial Narrow"/>
          <w:iCs/>
          <w:sz w:val="18"/>
          <w:szCs w:val="18"/>
        </w:rPr>
        <w:t xml:space="preserve"> Weighted by population size of each age category from the resubmission i.e. using a population weighting of 37%, 34%, and 29% for 60</w:t>
      </w:r>
      <w:r w:rsidR="000E4816">
        <w:rPr>
          <w:rFonts w:ascii="Arial Narrow" w:hAnsi="Arial Narrow"/>
          <w:iCs/>
          <w:sz w:val="18"/>
          <w:szCs w:val="18"/>
        </w:rPr>
        <w:noBreakHyphen/>
      </w:r>
      <w:r w:rsidRPr="005A5BB7">
        <w:rPr>
          <w:rFonts w:ascii="Arial Narrow" w:hAnsi="Arial Narrow"/>
          <w:iCs/>
          <w:sz w:val="18"/>
          <w:szCs w:val="18"/>
        </w:rPr>
        <w:t>64 YOA, 65</w:t>
      </w:r>
      <w:r w:rsidR="000E4816">
        <w:rPr>
          <w:rFonts w:ascii="Arial Narrow" w:hAnsi="Arial Narrow"/>
          <w:iCs/>
          <w:sz w:val="18"/>
          <w:szCs w:val="18"/>
        </w:rPr>
        <w:noBreakHyphen/>
      </w:r>
      <w:r w:rsidRPr="005A5BB7">
        <w:rPr>
          <w:rFonts w:ascii="Arial Narrow" w:hAnsi="Arial Narrow"/>
          <w:iCs/>
          <w:sz w:val="18"/>
          <w:szCs w:val="18"/>
        </w:rPr>
        <w:t>69 YOA, and 70</w:t>
      </w:r>
      <w:r w:rsidR="000E4816">
        <w:rPr>
          <w:rFonts w:ascii="Arial Narrow" w:hAnsi="Arial Narrow"/>
          <w:iCs/>
          <w:sz w:val="18"/>
          <w:szCs w:val="18"/>
        </w:rPr>
        <w:noBreakHyphen/>
      </w:r>
      <w:r w:rsidRPr="005A5BB7">
        <w:rPr>
          <w:rFonts w:ascii="Arial Narrow" w:hAnsi="Arial Narrow"/>
          <w:iCs/>
          <w:sz w:val="18"/>
          <w:szCs w:val="18"/>
        </w:rPr>
        <w:t>74 YOA respectively.</w:t>
      </w:r>
      <w:r w:rsidR="00DA1339">
        <w:rPr>
          <w:rFonts w:ascii="Arial Narrow" w:hAnsi="Arial Narrow"/>
          <w:iCs/>
          <w:sz w:val="18"/>
          <w:szCs w:val="18"/>
        </w:rPr>
        <w:t xml:space="preserve"> </w:t>
      </w:r>
      <w:r w:rsidRPr="005A5BB7">
        <w:rPr>
          <w:rFonts w:ascii="Arial Narrow" w:hAnsi="Arial Narrow"/>
          <w:iCs/>
          <w:sz w:val="18"/>
          <w:szCs w:val="18"/>
        </w:rPr>
        <w:t>This weighted estimate is for comparison purposes, as the resubmission used rates per age band for the economic model.</w:t>
      </w:r>
    </w:p>
    <w:p w14:paraId="710F67D7" w14:textId="77777777" w:rsidR="00664ECA" w:rsidRPr="005A5BB7" w:rsidRDefault="00664ECA" w:rsidP="00664ECA"/>
    <w:p w14:paraId="6D400173" w14:textId="2A80212E" w:rsidR="00863A99" w:rsidRPr="005A5BB7" w:rsidRDefault="004C397E">
      <w:pPr>
        <w:pStyle w:val="3-BodyText"/>
      </w:pPr>
      <w:bookmarkStart w:id="79" w:name="_Ref222763037"/>
      <w:r w:rsidRPr="005A5BB7">
        <w:t>The resubmission applied age</w:t>
      </w:r>
      <w:r w:rsidR="000E4816">
        <w:noBreakHyphen/>
      </w:r>
      <w:r w:rsidRPr="005A5BB7">
        <w:t xml:space="preserve">specific background mortalities based on </w:t>
      </w:r>
      <w:r w:rsidR="00D0018B" w:rsidRPr="005A5BB7">
        <w:t xml:space="preserve">the </w:t>
      </w:r>
      <w:r w:rsidRPr="005A5BB7">
        <w:t xml:space="preserve">general population obtained from </w:t>
      </w:r>
      <w:r w:rsidR="009C1FBD" w:rsidRPr="005A5BB7">
        <w:t>the Australian Bureau of Statistics (</w:t>
      </w:r>
      <w:r w:rsidRPr="005A5BB7">
        <w:t>ABS</w:t>
      </w:r>
      <w:r w:rsidR="009C1FBD" w:rsidRPr="005A5BB7">
        <w:t>)</w:t>
      </w:r>
      <w:r w:rsidRPr="005A5BB7">
        <w:t xml:space="preserve"> 2023 data for those the 60</w:t>
      </w:r>
      <w:r w:rsidR="000E4816">
        <w:noBreakHyphen/>
      </w:r>
      <w:r w:rsidRPr="005A5BB7">
        <w:t xml:space="preserve">74 YOA population at increased risk of severe RSV disease, for both </w:t>
      </w:r>
      <w:r w:rsidR="007C6BF4" w:rsidRPr="005A5BB7">
        <w:t xml:space="preserve">the </w:t>
      </w:r>
      <w:r w:rsidRPr="005A5BB7">
        <w:t>model for at least one at</w:t>
      </w:r>
      <w:r w:rsidR="000E4816">
        <w:noBreakHyphen/>
      </w:r>
      <w:r w:rsidRPr="005A5BB7">
        <w:t xml:space="preserve">risk medical condition per the AIH, and </w:t>
      </w:r>
      <w:r w:rsidR="00103B1C" w:rsidRPr="005A5BB7">
        <w:t xml:space="preserve">the </w:t>
      </w:r>
      <w:r w:rsidRPr="005A5BB7">
        <w:t>model based on each AIH risk category. The resubmission noted that specific to modelling the different at</w:t>
      </w:r>
      <w:r w:rsidR="000E4816">
        <w:noBreakHyphen/>
      </w:r>
      <w:r w:rsidRPr="005A5BB7">
        <w:t>risk categories, using the general Australian population estimates is considered appropriate given modelling of the different at</w:t>
      </w:r>
      <w:r w:rsidR="000E4816">
        <w:noBreakHyphen/>
      </w:r>
      <w:r w:rsidRPr="005A5BB7">
        <w:t xml:space="preserve">risk categories would require different population estimates, which are not readily available. </w:t>
      </w:r>
      <w:r w:rsidR="00A05086" w:rsidRPr="005A5BB7">
        <w:t xml:space="preserve">The evaluation considered this </w:t>
      </w:r>
      <w:r w:rsidR="00A92F7E" w:rsidRPr="005A5BB7">
        <w:t>wa</w:t>
      </w:r>
      <w:r w:rsidRPr="005A5BB7">
        <w:t xml:space="preserve">s inappropriate </w:t>
      </w:r>
      <w:r w:rsidR="0027332F" w:rsidRPr="005A5BB7">
        <w:t>and noted that</w:t>
      </w:r>
      <w:r w:rsidR="00181C21" w:rsidRPr="005A5BB7">
        <w:t xml:space="preserve"> </w:t>
      </w:r>
      <w:r w:rsidR="006218CF" w:rsidRPr="005A5BB7">
        <w:t xml:space="preserve">ATAGI </w:t>
      </w:r>
      <w:r w:rsidR="0027332F" w:rsidRPr="005A5BB7">
        <w:t>recommended</w:t>
      </w:r>
      <w:r w:rsidR="006218CF" w:rsidRPr="005A5BB7">
        <w:t xml:space="preserve"> using the </w:t>
      </w:r>
      <w:r w:rsidR="00973C88" w:rsidRPr="005A5BB7">
        <w:t>1.49</w:t>
      </w:r>
      <w:r w:rsidR="006218CF" w:rsidRPr="005A5BB7">
        <w:t xml:space="preserve"> SMR based on Kabir </w:t>
      </w:r>
      <w:r w:rsidR="00B374FC" w:rsidRPr="005A5BB7">
        <w:t xml:space="preserve">et al., </w:t>
      </w:r>
      <w:r w:rsidR="006218CF" w:rsidRPr="005A5BB7">
        <w:t>2022</w:t>
      </w:r>
      <w:r w:rsidR="0072492F" w:rsidRPr="005A5BB7">
        <w:rPr>
          <w:rStyle w:val="FootnoteReference"/>
        </w:rPr>
        <w:footnoteReference w:id="16"/>
      </w:r>
      <w:r w:rsidR="00BC4A0D" w:rsidRPr="005A5BB7">
        <w:t xml:space="preserve"> </w:t>
      </w:r>
      <w:r w:rsidR="0027332F" w:rsidRPr="005A5BB7">
        <w:t>in</w:t>
      </w:r>
      <w:r w:rsidR="006218CF" w:rsidRPr="005A5BB7">
        <w:t xml:space="preserve"> sensitivity analysis.</w:t>
      </w:r>
      <w:r w:rsidR="003B488D" w:rsidRPr="005A5BB7">
        <w:t xml:space="preserve"> </w:t>
      </w:r>
      <w:r w:rsidR="001D264E" w:rsidRPr="005A5BB7">
        <w:t>SMR</w:t>
      </w:r>
      <w:r w:rsidR="00020499" w:rsidRPr="005A5BB7">
        <w:t>s</w:t>
      </w:r>
      <w:r w:rsidR="002F096E" w:rsidRPr="005A5BB7">
        <w:t xml:space="preserve"> of</w:t>
      </w:r>
      <w:r w:rsidR="001D264E" w:rsidRPr="005A5BB7">
        <w:t xml:space="preserve"> 1.49 and 2.00</w:t>
      </w:r>
      <w:r w:rsidR="00A56162" w:rsidRPr="005A5BB7">
        <w:rPr>
          <w:rStyle w:val="FootnoteReference"/>
        </w:rPr>
        <w:footnoteReference w:id="17"/>
      </w:r>
      <w:r w:rsidR="001D264E" w:rsidRPr="005A5BB7">
        <w:t xml:space="preserve"> </w:t>
      </w:r>
      <w:r w:rsidR="00A05086" w:rsidRPr="005A5BB7">
        <w:t>were tested in</w:t>
      </w:r>
      <w:r w:rsidR="006977DE" w:rsidRPr="005A5BB7">
        <w:t xml:space="preserve"> sensitivity </w:t>
      </w:r>
      <w:r w:rsidR="00A05086" w:rsidRPr="005A5BB7">
        <w:t>analyses</w:t>
      </w:r>
      <w:r w:rsidR="001D264E" w:rsidRPr="005A5BB7">
        <w:t>.</w:t>
      </w:r>
      <w:r w:rsidR="003B488D" w:rsidRPr="005A5BB7">
        <w:t xml:space="preserve"> </w:t>
      </w:r>
      <w:r w:rsidR="005A6EF9" w:rsidRPr="005A5BB7">
        <w:rPr>
          <w:iCs/>
        </w:rPr>
        <w:t>The PSCR did not agree with the evaluation’s assessment that the model by AIH risk category should incorporate risk specific inputs such as background mortality</w:t>
      </w:r>
      <w:r w:rsidR="00DB5865" w:rsidRPr="005A5BB7">
        <w:rPr>
          <w:iCs/>
        </w:rPr>
        <w:t xml:space="preserve">, stating this would </w:t>
      </w:r>
      <w:r w:rsidR="005A6EF9" w:rsidRPr="005A5BB7">
        <w:rPr>
          <w:iCs/>
        </w:rPr>
        <w:t xml:space="preserve">not significantly influence the ICER. </w:t>
      </w:r>
      <w:bookmarkEnd w:id="79"/>
    </w:p>
    <w:p w14:paraId="2ED5B7FD" w14:textId="5EE583B6" w:rsidR="00DD3256" w:rsidRPr="005A5BB7" w:rsidRDefault="00DD3256">
      <w:pPr>
        <w:pStyle w:val="3-BodyText"/>
      </w:pPr>
      <w:r w:rsidRPr="005A5BB7">
        <w:t>The pre</w:t>
      </w:r>
      <w:r w:rsidR="000E4816">
        <w:noBreakHyphen/>
      </w:r>
      <w:r w:rsidRPr="005A5BB7">
        <w:t>PBAC response argued that exclusion of SMR adjustment from the base case was appropriate, on the basis that applying different SMR values was impractical.</w:t>
      </w:r>
      <w:r w:rsidR="00DA1339">
        <w:t xml:space="preserve"> </w:t>
      </w:r>
      <w:r w:rsidR="000B63E1" w:rsidRPr="005A5BB7">
        <w:t xml:space="preserve">The PBAC noted that the adjustment of SMR to </w:t>
      </w:r>
      <w:r w:rsidRPr="005A5BB7">
        <w:t xml:space="preserve">1.49 </w:t>
      </w:r>
      <w:r w:rsidR="000B63E1" w:rsidRPr="005A5BB7">
        <w:t xml:space="preserve">based on based on Kabir et al., 2022 </w:t>
      </w:r>
      <w:r w:rsidRPr="005A5BB7">
        <w:t>was tested in sensitivity analyses</w:t>
      </w:r>
      <w:r w:rsidR="00AA40DA" w:rsidRPr="005A5BB7">
        <w:t xml:space="preserve"> (</w:t>
      </w:r>
      <w:r w:rsidR="00AA40DA" w:rsidRPr="005A5BB7">
        <w:fldChar w:fldCharType="begin"/>
      </w:r>
      <w:r w:rsidR="00AA40DA" w:rsidRPr="005A5BB7">
        <w:instrText xml:space="preserve"> REF _Ref216287804 \h </w:instrText>
      </w:r>
      <w:r w:rsidR="00AA40DA" w:rsidRPr="005A5BB7">
        <w:fldChar w:fldCharType="separate"/>
      </w:r>
      <w:r w:rsidR="0043658C" w:rsidRPr="005A5BB7">
        <w:rPr>
          <w:rFonts w:cs="Times New Roman"/>
          <w:szCs w:val="20"/>
        </w:rPr>
        <w:t xml:space="preserve">Table </w:t>
      </w:r>
      <w:r w:rsidR="0043658C">
        <w:rPr>
          <w:rFonts w:cs="Times New Roman"/>
          <w:noProof/>
          <w:szCs w:val="20"/>
        </w:rPr>
        <w:t>23</w:t>
      </w:r>
      <w:r w:rsidR="00AA40DA" w:rsidRPr="005A5BB7">
        <w:fldChar w:fldCharType="end"/>
      </w:r>
      <w:r w:rsidR="00AA40DA" w:rsidRPr="005A5BB7">
        <w:t>)</w:t>
      </w:r>
      <w:r w:rsidR="000B63E1" w:rsidRPr="005A5BB7">
        <w:t>.</w:t>
      </w:r>
    </w:p>
    <w:p w14:paraId="4DD0926F" w14:textId="027D4E99" w:rsidR="004C397E" w:rsidRPr="005A5BB7" w:rsidRDefault="004C397E" w:rsidP="004C397E">
      <w:pPr>
        <w:pStyle w:val="3-BodyText"/>
      </w:pPr>
      <w:r w:rsidRPr="005A5BB7">
        <w:t>The same rate of 4.22% for RSV</w:t>
      </w:r>
      <w:r w:rsidR="000E4816">
        <w:noBreakHyphen/>
      </w:r>
      <w:r w:rsidRPr="005A5BB7">
        <w:t xml:space="preserve">related death probability used in the ≥75 YOA population was applied for the 60–74 YOA population at increased risk of severe RSV. ATAGI previously noted that in the absence of more granular data, using the same rate </w:t>
      </w:r>
      <w:r w:rsidRPr="005A5BB7">
        <w:lastRenderedPageBreak/>
        <w:t xml:space="preserve">as the ≥75 YOA population allows for a </w:t>
      </w:r>
      <w:r w:rsidR="00E454EE" w:rsidRPr="005A5BB7">
        <w:t xml:space="preserve">moderate </w:t>
      </w:r>
      <w:r w:rsidRPr="005A5BB7">
        <w:t>increase in RSV</w:t>
      </w:r>
      <w:r w:rsidR="000E4816">
        <w:noBreakHyphen/>
      </w:r>
      <w:r w:rsidRPr="005A5BB7">
        <w:t>related death compared to the general population</w:t>
      </w:r>
      <w:r w:rsidR="0027332F" w:rsidRPr="005A5BB7">
        <w:t xml:space="preserve"> aged 60</w:t>
      </w:r>
      <w:r w:rsidR="000E4816">
        <w:noBreakHyphen/>
      </w:r>
      <w:r w:rsidR="0027332F" w:rsidRPr="005A5BB7">
        <w:t>74</w:t>
      </w:r>
      <w:r w:rsidRPr="005A5BB7">
        <w:t xml:space="preserve"> (ATAGI Advice, March 2025). </w:t>
      </w:r>
    </w:p>
    <w:p w14:paraId="558E960C" w14:textId="22519840" w:rsidR="004C397E" w:rsidRPr="005A5BB7" w:rsidRDefault="004C397E" w:rsidP="004C397E">
      <w:pPr>
        <w:pStyle w:val="3-BodyText"/>
      </w:pPr>
      <w:r w:rsidRPr="005A5BB7">
        <w:t xml:space="preserve">The </w:t>
      </w:r>
      <w:r w:rsidR="00A368E7" w:rsidRPr="005A5BB7">
        <w:t xml:space="preserve">resubmission </w:t>
      </w:r>
      <w:r w:rsidR="00E06951" w:rsidRPr="005A5BB7">
        <w:t xml:space="preserve">applied </w:t>
      </w:r>
      <w:r w:rsidR="00546F80" w:rsidRPr="005A5BB7">
        <w:t xml:space="preserve">utility values </w:t>
      </w:r>
      <w:r w:rsidR="00E06951" w:rsidRPr="005A5BB7">
        <w:t>from</w:t>
      </w:r>
      <w:r w:rsidR="00480DD9" w:rsidRPr="005A5BB7">
        <w:t xml:space="preserve"> the general</w:t>
      </w:r>
      <w:r w:rsidR="00577FC0" w:rsidRPr="005A5BB7">
        <w:t xml:space="preserve"> population</w:t>
      </w:r>
      <w:r w:rsidR="00480DD9" w:rsidRPr="005A5BB7">
        <w:t xml:space="preserve"> </w:t>
      </w:r>
      <w:r w:rsidR="00B7246E" w:rsidRPr="005A5BB7">
        <w:t xml:space="preserve">(Redwood et al., 2024) </w:t>
      </w:r>
      <w:r w:rsidR="003B2291" w:rsidRPr="005A5BB7">
        <w:t>to the</w:t>
      </w:r>
      <w:r w:rsidR="003177FA" w:rsidRPr="005A5BB7">
        <w:t xml:space="preserve"> population</w:t>
      </w:r>
      <w:r w:rsidR="003B2291" w:rsidRPr="005A5BB7">
        <w:t xml:space="preserve"> </w:t>
      </w:r>
      <w:r w:rsidRPr="005A5BB7">
        <w:t>at increased risk of severe RSV disease</w:t>
      </w:r>
      <w:r w:rsidR="00577FC0" w:rsidRPr="005A5BB7">
        <w:t>. Th</w:t>
      </w:r>
      <w:r w:rsidR="00097A2E" w:rsidRPr="005A5BB7">
        <w:t xml:space="preserve">e evaluation considered this </w:t>
      </w:r>
      <w:r w:rsidR="003177FA" w:rsidRPr="005A5BB7">
        <w:t>approach</w:t>
      </w:r>
      <w:r w:rsidR="00DA1339">
        <w:t xml:space="preserve"> </w:t>
      </w:r>
      <w:r w:rsidR="00577FC0" w:rsidRPr="005A5BB7">
        <w:t>inappropriate</w:t>
      </w:r>
      <w:r w:rsidR="003177FA" w:rsidRPr="005A5BB7">
        <w:t>,</w:t>
      </w:r>
      <w:r w:rsidR="00AF3273" w:rsidRPr="005A5BB7">
        <w:t xml:space="preserve"> as this population</w:t>
      </w:r>
      <w:r w:rsidRPr="005A5BB7">
        <w:t xml:space="preserve"> is likely to have lower health</w:t>
      </w:r>
      <w:r w:rsidR="000E4816">
        <w:noBreakHyphen/>
      </w:r>
      <w:r w:rsidRPr="005A5BB7">
        <w:t>related quality of life</w:t>
      </w:r>
      <w:r w:rsidR="00E01DB2" w:rsidRPr="005A5BB7">
        <w:t xml:space="preserve"> (HRQoL)</w:t>
      </w:r>
      <w:r w:rsidRPr="005A5BB7">
        <w:t xml:space="preserve">. </w:t>
      </w:r>
    </w:p>
    <w:p w14:paraId="796E96AB" w14:textId="688C9ED3" w:rsidR="004C397E" w:rsidRPr="005A5BB7" w:rsidRDefault="004C397E" w:rsidP="000D6A05">
      <w:pPr>
        <w:pStyle w:val="3-BodyText"/>
      </w:pPr>
      <w:r w:rsidRPr="005A5BB7">
        <w:t xml:space="preserve">A summary of the key drivers of the model is presented in </w:t>
      </w:r>
      <w:r w:rsidR="000D6A05" w:rsidRPr="005A5BB7">
        <w:fldChar w:fldCharType="begin"/>
      </w:r>
      <w:r w:rsidR="000D6A05" w:rsidRPr="005A5BB7">
        <w:instrText xml:space="preserve"> REF _Ref222420953 \h </w:instrText>
      </w:r>
      <w:r w:rsidR="000D6A05" w:rsidRPr="005A5BB7">
        <w:fldChar w:fldCharType="separate"/>
      </w:r>
      <w:r w:rsidR="0043658C" w:rsidRPr="005A5BB7">
        <w:t xml:space="preserve">Table </w:t>
      </w:r>
      <w:r w:rsidR="0043658C">
        <w:rPr>
          <w:noProof/>
        </w:rPr>
        <w:t>19</w:t>
      </w:r>
      <w:r w:rsidR="000D6A05" w:rsidRPr="005A5BB7">
        <w:fldChar w:fldCharType="end"/>
      </w:r>
      <w:r w:rsidRPr="005A5BB7">
        <w:t xml:space="preserve">. </w:t>
      </w:r>
    </w:p>
    <w:p w14:paraId="327ECC3B" w14:textId="5A0E886E" w:rsidR="000F712C" w:rsidRPr="005A5BB7" w:rsidRDefault="000F712C">
      <w:pPr>
        <w:jc w:val="left"/>
        <w:rPr>
          <w:rFonts w:ascii="Arial Narrow" w:hAnsi="Arial Narrow"/>
          <w:b/>
          <w:bCs/>
          <w:sz w:val="20"/>
          <w:szCs w:val="18"/>
        </w:rPr>
      </w:pPr>
      <w:bookmarkStart w:id="80" w:name="_Ref104805122"/>
    </w:p>
    <w:p w14:paraId="22971569" w14:textId="3579F9D7" w:rsidR="004C397E" w:rsidRPr="005A5BB7" w:rsidRDefault="004C397E" w:rsidP="004C397E">
      <w:pPr>
        <w:pStyle w:val="Caption"/>
        <w:jc w:val="left"/>
        <w:rPr>
          <w:rStyle w:val="CommentReference"/>
          <w:b/>
          <w:szCs w:val="24"/>
        </w:rPr>
      </w:pPr>
      <w:bookmarkStart w:id="81" w:name="_Ref222420953"/>
      <w:r w:rsidRPr="005A5BB7">
        <w:t xml:space="preserve">Table </w:t>
      </w:r>
      <w:r w:rsidRPr="005A5BB7">
        <w:fldChar w:fldCharType="begin"/>
      </w:r>
      <w:r w:rsidRPr="005A5BB7">
        <w:instrText>SEQ Table \* ARABIC</w:instrText>
      </w:r>
      <w:r w:rsidRPr="005A5BB7">
        <w:fldChar w:fldCharType="separate"/>
      </w:r>
      <w:r w:rsidR="0043658C">
        <w:rPr>
          <w:noProof/>
        </w:rPr>
        <w:t>19</w:t>
      </w:r>
      <w:r w:rsidRPr="005A5BB7">
        <w:fldChar w:fldCharType="end"/>
      </w:r>
      <w:bookmarkEnd w:id="80"/>
      <w:bookmarkEnd w:id="81"/>
      <w:r w:rsidRPr="005A5BB7">
        <w:t>:</w:t>
      </w:r>
      <w:r w:rsidRPr="005A5BB7">
        <w:rPr>
          <w:rStyle w:val="CommentReference"/>
          <w:b/>
          <w:szCs w:val="24"/>
        </w:rPr>
        <w:t xml:space="preserve"> Key drivers of the model</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Key drivers of the model"/>
      </w:tblPr>
      <w:tblGrid>
        <w:gridCol w:w="1129"/>
        <w:gridCol w:w="4541"/>
        <w:gridCol w:w="3262"/>
      </w:tblGrid>
      <w:tr w:rsidR="004C397E" w:rsidRPr="005A5BB7" w14:paraId="5203588C" w14:textId="77777777" w:rsidTr="310F0368">
        <w:trPr>
          <w:tblHeader/>
        </w:trPr>
        <w:tc>
          <w:tcPr>
            <w:tcW w:w="632" w:type="pct"/>
            <w:vAlign w:val="center"/>
          </w:tcPr>
          <w:p w14:paraId="191D1737" w14:textId="77777777" w:rsidR="004C397E" w:rsidRPr="005A5BB7" w:rsidRDefault="004C397E" w:rsidP="005B71B5">
            <w:pPr>
              <w:rPr>
                <w:rFonts w:ascii="Arial Narrow" w:hAnsi="Arial Narrow"/>
                <w:b/>
                <w:bCs/>
                <w:sz w:val="20"/>
                <w:szCs w:val="20"/>
              </w:rPr>
            </w:pPr>
            <w:r w:rsidRPr="005A5BB7">
              <w:rPr>
                <w:rFonts w:ascii="Arial Narrow" w:hAnsi="Arial Narrow"/>
                <w:b/>
                <w:bCs/>
                <w:sz w:val="20"/>
                <w:szCs w:val="20"/>
              </w:rPr>
              <w:t>Description</w:t>
            </w:r>
          </w:p>
        </w:tc>
        <w:tc>
          <w:tcPr>
            <w:tcW w:w="2542" w:type="pct"/>
            <w:vAlign w:val="center"/>
          </w:tcPr>
          <w:p w14:paraId="0C106A0E" w14:textId="77777777" w:rsidR="004C397E" w:rsidRPr="005A5BB7" w:rsidRDefault="004C397E" w:rsidP="005B71B5">
            <w:pPr>
              <w:rPr>
                <w:rFonts w:ascii="Arial Narrow" w:hAnsi="Arial Narrow"/>
                <w:b/>
                <w:bCs/>
                <w:sz w:val="20"/>
                <w:szCs w:val="20"/>
              </w:rPr>
            </w:pPr>
            <w:r w:rsidRPr="005A5BB7">
              <w:rPr>
                <w:rFonts w:ascii="Arial Narrow" w:hAnsi="Arial Narrow"/>
                <w:b/>
                <w:bCs/>
                <w:sz w:val="20"/>
                <w:szCs w:val="20"/>
              </w:rPr>
              <w:t>Method/Value</w:t>
            </w:r>
          </w:p>
        </w:tc>
        <w:tc>
          <w:tcPr>
            <w:tcW w:w="1826" w:type="pct"/>
            <w:vAlign w:val="center"/>
          </w:tcPr>
          <w:p w14:paraId="6CC16317" w14:textId="77777777" w:rsidR="004C397E" w:rsidRPr="005A5BB7" w:rsidRDefault="004C397E" w:rsidP="005B71B5">
            <w:pPr>
              <w:rPr>
                <w:rFonts w:ascii="Arial Narrow" w:hAnsi="Arial Narrow"/>
                <w:b/>
                <w:bCs/>
                <w:sz w:val="20"/>
                <w:szCs w:val="20"/>
              </w:rPr>
            </w:pPr>
            <w:r w:rsidRPr="005A5BB7">
              <w:rPr>
                <w:rFonts w:ascii="Arial Narrow" w:hAnsi="Arial Narrow"/>
                <w:b/>
                <w:bCs/>
                <w:sz w:val="20"/>
                <w:szCs w:val="20"/>
              </w:rPr>
              <w:t>Impact vs resubmission base case</w:t>
            </w:r>
          </w:p>
        </w:tc>
      </w:tr>
      <w:tr w:rsidR="004C397E" w:rsidRPr="005A5BB7" w14:paraId="1C9B0E5C" w14:textId="77777777" w:rsidTr="310F0368">
        <w:tc>
          <w:tcPr>
            <w:tcW w:w="3174" w:type="pct"/>
            <w:gridSpan w:val="2"/>
            <w:vAlign w:val="center"/>
          </w:tcPr>
          <w:p w14:paraId="37839CA2" w14:textId="1A13151E" w:rsidR="004C397E" w:rsidRPr="005A5BB7" w:rsidRDefault="004C397E" w:rsidP="005B71B5">
            <w:pPr>
              <w:jc w:val="left"/>
              <w:rPr>
                <w:rFonts w:ascii="Arial Narrow" w:hAnsi="Arial Narrow"/>
                <w:sz w:val="20"/>
                <w:szCs w:val="20"/>
              </w:rPr>
            </w:pPr>
            <w:r w:rsidRPr="005A5BB7">
              <w:rPr>
                <w:rFonts w:ascii="Arial Narrow" w:hAnsi="Arial Narrow"/>
                <w:b/>
                <w:bCs/>
                <w:sz w:val="20"/>
                <w:szCs w:val="20"/>
              </w:rPr>
              <w:t>60</w:t>
            </w:r>
            <w:r w:rsidR="000E4816">
              <w:rPr>
                <w:rFonts w:ascii="Arial Narrow" w:hAnsi="Arial Narrow"/>
                <w:b/>
                <w:bCs/>
                <w:sz w:val="20"/>
                <w:szCs w:val="20"/>
              </w:rPr>
              <w:noBreakHyphen/>
            </w:r>
            <w:r w:rsidRPr="005A5BB7">
              <w:rPr>
                <w:rFonts w:ascii="Arial Narrow" w:hAnsi="Arial Narrow"/>
                <w:b/>
                <w:bCs/>
                <w:sz w:val="20"/>
                <w:szCs w:val="20"/>
              </w:rPr>
              <w:t xml:space="preserve">74 YOA at increased risk of severe RSV disease: </w:t>
            </w:r>
            <w:bookmarkStart w:id="82" w:name="_Hlk215680120"/>
            <w:r w:rsidRPr="005A5BB7">
              <w:rPr>
                <w:rFonts w:ascii="Arial Narrow" w:hAnsi="Arial Narrow" w:cs="Calibri"/>
                <w:b/>
                <w:bCs/>
                <w:sz w:val="20"/>
                <w:szCs w:val="20"/>
              </w:rPr>
              <w:t>at least one at</w:t>
            </w:r>
            <w:r w:rsidR="000E4816">
              <w:rPr>
                <w:rFonts w:ascii="Arial Narrow" w:hAnsi="Arial Narrow" w:cs="Calibri"/>
                <w:b/>
                <w:bCs/>
                <w:sz w:val="20"/>
                <w:szCs w:val="20"/>
              </w:rPr>
              <w:noBreakHyphen/>
            </w:r>
            <w:r w:rsidRPr="005A5BB7">
              <w:rPr>
                <w:rFonts w:ascii="Arial Narrow" w:hAnsi="Arial Narrow" w:cs="Calibri"/>
                <w:b/>
                <w:bCs/>
                <w:sz w:val="20"/>
                <w:szCs w:val="20"/>
              </w:rPr>
              <w:t>risk medical condition</w:t>
            </w:r>
            <w:bookmarkEnd w:id="82"/>
          </w:p>
        </w:tc>
        <w:tc>
          <w:tcPr>
            <w:tcW w:w="1826" w:type="pct"/>
            <w:vAlign w:val="center"/>
          </w:tcPr>
          <w:p w14:paraId="4F1CBD68" w14:textId="695CF998" w:rsidR="004C397E" w:rsidRPr="005A5BB7" w:rsidRDefault="004C397E" w:rsidP="005B71B5">
            <w:pPr>
              <w:rPr>
                <w:rFonts w:ascii="Arial Narrow" w:hAnsi="Arial Narrow"/>
                <w:sz w:val="20"/>
                <w:szCs w:val="20"/>
              </w:rPr>
            </w:pPr>
            <w:r w:rsidRPr="005A5BB7">
              <w:rPr>
                <w:rFonts w:ascii="Arial Narrow" w:hAnsi="Arial Narrow"/>
                <w:sz w:val="20"/>
                <w:szCs w:val="20"/>
              </w:rPr>
              <w:t>Base case: $</w:t>
            </w:r>
            <w:r w:rsidR="00F15B97" w:rsidRPr="00F15B97">
              <w:rPr>
                <w:rFonts w:ascii="Arial Narrow" w:hAnsi="Arial Narrow"/>
                <w:sz w:val="2"/>
                <w:szCs w:val="20"/>
                <w:highlight w:val="black"/>
              </w:rPr>
              <w:t>redacted content</w:t>
            </w:r>
            <w:r w:rsidR="00364C86">
              <w:rPr>
                <w:rFonts w:ascii="Arial Narrow" w:hAnsi="Arial Narrow"/>
                <w:sz w:val="20"/>
                <w:szCs w:val="20"/>
                <w:vertAlign w:val="superscript"/>
              </w:rPr>
              <w:t>1</w:t>
            </w:r>
            <w:r w:rsidRPr="005A5BB7">
              <w:rPr>
                <w:rFonts w:ascii="Arial Narrow" w:hAnsi="Arial Narrow"/>
                <w:sz w:val="20"/>
                <w:szCs w:val="20"/>
              </w:rPr>
              <w:t>/QALY gained</w:t>
            </w:r>
          </w:p>
        </w:tc>
      </w:tr>
      <w:tr w:rsidR="00666138" w:rsidRPr="005A5BB7" w14:paraId="0A997FF0" w14:textId="77777777" w:rsidTr="310F0368">
        <w:tc>
          <w:tcPr>
            <w:tcW w:w="632" w:type="pct"/>
            <w:vAlign w:val="center"/>
          </w:tcPr>
          <w:p w14:paraId="5267E035" w14:textId="35059012" w:rsidR="00666138" w:rsidRPr="005A5BB7" w:rsidRDefault="00666138" w:rsidP="00161425">
            <w:pPr>
              <w:rPr>
                <w:rFonts w:ascii="Arial Narrow" w:hAnsi="Arial Narrow"/>
                <w:sz w:val="20"/>
                <w:szCs w:val="20"/>
              </w:rPr>
            </w:pPr>
            <w:r w:rsidRPr="005A5BB7">
              <w:rPr>
                <w:rFonts w:ascii="Arial Narrow" w:hAnsi="Arial Narrow"/>
                <w:sz w:val="20"/>
                <w:szCs w:val="20"/>
              </w:rPr>
              <w:t>Background mortalit</w:t>
            </w:r>
            <w:r w:rsidR="00632057" w:rsidRPr="005A5BB7">
              <w:rPr>
                <w:rFonts w:ascii="Arial Narrow" w:hAnsi="Arial Narrow"/>
                <w:sz w:val="20"/>
                <w:szCs w:val="20"/>
              </w:rPr>
              <w:t>y</w:t>
            </w:r>
          </w:p>
        </w:tc>
        <w:tc>
          <w:tcPr>
            <w:tcW w:w="2542" w:type="pct"/>
            <w:vAlign w:val="center"/>
          </w:tcPr>
          <w:p w14:paraId="761135CE" w14:textId="73915CC5" w:rsidR="00666138" w:rsidRPr="005A5BB7" w:rsidRDefault="00666138" w:rsidP="00161425">
            <w:pPr>
              <w:rPr>
                <w:rFonts w:ascii="Arial Narrow" w:hAnsi="Arial Narrow"/>
                <w:sz w:val="20"/>
                <w:szCs w:val="20"/>
              </w:rPr>
            </w:pPr>
            <w:r w:rsidRPr="005A5BB7">
              <w:rPr>
                <w:rFonts w:ascii="Arial Narrow" w:hAnsi="Arial Narrow"/>
                <w:sz w:val="20"/>
                <w:szCs w:val="20"/>
              </w:rPr>
              <w:t xml:space="preserve">Assuming </w:t>
            </w:r>
            <w:r w:rsidR="009C7B3C" w:rsidRPr="005A5BB7">
              <w:rPr>
                <w:rFonts w:ascii="Arial Narrow" w:hAnsi="Arial Narrow"/>
                <w:sz w:val="20"/>
                <w:szCs w:val="20"/>
              </w:rPr>
              <w:t>a</w:t>
            </w:r>
            <w:r w:rsidR="00632057" w:rsidRPr="005A5BB7">
              <w:rPr>
                <w:rFonts w:ascii="Arial Narrow" w:hAnsi="Arial Narrow"/>
                <w:sz w:val="20"/>
                <w:szCs w:val="20"/>
              </w:rPr>
              <w:t xml:space="preserve"> </w:t>
            </w:r>
            <w:r w:rsidRPr="005A5BB7">
              <w:rPr>
                <w:rFonts w:ascii="Arial Narrow" w:hAnsi="Arial Narrow"/>
                <w:sz w:val="20"/>
                <w:szCs w:val="20"/>
              </w:rPr>
              <w:t>background mortalit</w:t>
            </w:r>
            <w:r w:rsidR="00632057" w:rsidRPr="005A5BB7">
              <w:rPr>
                <w:rFonts w:ascii="Arial Narrow" w:hAnsi="Arial Narrow"/>
                <w:sz w:val="20"/>
                <w:szCs w:val="20"/>
              </w:rPr>
              <w:t>y</w:t>
            </w:r>
            <w:r w:rsidRPr="005A5BB7">
              <w:rPr>
                <w:rFonts w:ascii="Arial Narrow" w:hAnsi="Arial Narrow"/>
                <w:sz w:val="20"/>
                <w:szCs w:val="20"/>
              </w:rPr>
              <w:t xml:space="preserve"> equivalent to general population</w:t>
            </w:r>
          </w:p>
        </w:tc>
        <w:tc>
          <w:tcPr>
            <w:tcW w:w="1826" w:type="pct"/>
            <w:vAlign w:val="center"/>
          </w:tcPr>
          <w:p w14:paraId="0D4A16E7" w14:textId="77777777" w:rsidR="00666138" w:rsidRPr="005A5BB7" w:rsidRDefault="00666138" w:rsidP="00161425">
            <w:pPr>
              <w:rPr>
                <w:rFonts w:ascii="Arial Narrow" w:hAnsi="Arial Narrow"/>
                <w:sz w:val="20"/>
                <w:szCs w:val="20"/>
              </w:rPr>
            </w:pPr>
            <w:r w:rsidRPr="005A5BB7">
              <w:rPr>
                <w:rFonts w:ascii="Arial Narrow" w:hAnsi="Arial Narrow"/>
                <w:sz w:val="20"/>
                <w:szCs w:val="20"/>
              </w:rPr>
              <w:t>Moderate, favours RSVPreF3 OA</w:t>
            </w:r>
          </w:p>
          <w:p w14:paraId="6E5D4128" w14:textId="68FF897C" w:rsidR="00666138" w:rsidRPr="005A5BB7" w:rsidRDefault="009C7B3C" w:rsidP="00161425">
            <w:pPr>
              <w:jc w:val="left"/>
              <w:rPr>
                <w:rFonts w:ascii="Arial Narrow" w:hAnsi="Arial Narrow"/>
                <w:sz w:val="20"/>
                <w:szCs w:val="20"/>
              </w:rPr>
            </w:pPr>
            <w:r w:rsidRPr="005A5BB7">
              <w:rPr>
                <w:rFonts w:ascii="Arial Narrow" w:hAnsi="Arial Narrow"/>
                <w:sz w:val="20"/>
                <w:szCs w:val="20"/>
              </w:rPr>
              <w:t xml:space="preserve">Use of </w:t>
            </w:r>
            <w:r w:rsidR="00666138" w:rsidRPr="005A5BB7">
              <w:rPr>
                <w:rFonts w:ascii="Arial Narrow" w:hAnsi="Arial Narrow"/>
                <w:sz w:val="20"/>
                <w:szCs w:val="20"/>
              </w:rPr>
              <w:t xml:space="preserve">the general population </w:t>
            </w:r>
            <w:r w:rsidR="00D40752" w:rsidRPr="005A5BB7">
              <w:rPr>
                <w:rFonts w:ascii="Arial Narrow" w:hAnsi="Arial Narrow"/>
                <w:sz w:val="20"/>
                <w:szCs w:val="20"/>
              </w:rPr>
              <w:t xml:space="preserve">and a multiple of 2 </w:t>
            </w:r>
            <w:r w:rsidR="00666138" w:rsidRPr="005A5BB7">
              <w:rPr>
                <w:rFonts w:ascii="Arial Narrow" w:hAnsi="Arial Narrow"/>
                <w:sz w:val="20"/>
                <w:szCs w:val="20"/>
              </w:rPr>
              <w:t>increased the ICER to $</w:t>
            </w:r>
            <w:r w:rsidR="00F15B97" w:rsidRPr="00F15B97">
              <w:rPr>
                <w:rFonts w:ascii="Arial Narrow" w:hAnsi="Arial Narrow"/>
                <w:sz w:val="2"/>
                <w:szCs w:val="20"/>
                <w:highlight w:val="black"/>
              </w:rPr>
              <w:t>redacted content</w:t>
            </w:r>
            <w:r w:rsidR="00364C86">
              <w:rPr>
                <w:rFonts w:ascii="Arial Narrow" w:hAnsi="Arial Narrow"/>
                <w:sz w:val="20"/>
                <w:szCs w:val="20"/>
                <w:vertAlign w:val="superscript"/>
              </w:rPr>
              <w:t>1</w:t>
            </w:r>
            <w:r w:rsidR="00666138" w:rsidRPr="005A5BB7">
              <w:rPr>
                <w:rFonts w:ascii="Arial Narrow" w:hAnsi="Arial Narrow"/>
                <w:sz w:val="20"/>
                <w:szCs w:val="20"/>
              </w:rPr>
              <w:t>/QALY gained.</w:t>
            </w:r>
          </w:p>
        </w:tc>
      </w:tr>
      <w:tr w:rsidR="00666138" w:rsidRPr="005A5BB7" w14:paraId="46A3B0CB" w14:textId="77777777" w:rsidTr="310F0368">
        <w:tc>
          <w:tcPr>
            <w:tcW w:w="632" w:type="pct"/>
            <w:vAlign w:val="center"/>
          </w:tcPr>
          <w:p w14:paraId="7A0D21B9" w14:textId="77777777" w:rsidR="00666138" w:rsidRPr="005A5BB7" w:rsidRDefault="00666138" w:rsidP="00161425">
            <w:pPr>
              <w:rPr>
                <w:rFonts w:ascii="Arial Narrow" w:hAnsi="Arial Narrow"/>
                <w:sz w:val="20"/>
                <w:szCs w:val="20"/>
              </w:rPr>
            </w:pPr>
            <w:r w:rsidRPr="005A5BB7">
              <w:rPr>
                <w:rFonts w:ascii="Arial Narrow" w:hAnsi="Arial Narrow"/>
                <w:sz w:val="20"/>
                <w:szCs w:val="20"/>
              </w:rPr>
              <w:t>Hospitalisation cost</w:t>
            </w:r>
          </w:p>
        </w:tc>
        <w:tc>
          <w:tcPr>
            <w:tcW w:w="2542" w:type="pct"/>
            <w:vAlign w:val="center"/>
          </w:tcPr>
          <w:p w14:paraId="64D3AF70" w14:textId="77777777" w:rsidR="00666138" w:rsidRPr="005A5BB7" w:rsidRDefault="00666138" w:rsidP="00161425">
            <w:pPr>
              <w:jc w:val="left"/>
              <w:rPr>
                <w:rFonts w:ascii="Arial Narrow" w:hAnsi="Arial Narrow"/>
                <w:sz w:val="20"/>
                <w:szCs w:val="20"/>
              </w:rPr>
            </w:pPr>
            <w:r w:rsidRPr="005A5BB7">
              <w:rPr>
                <w:rFonts w:ascii="Arial Narrow" w:hAnsi="Arial Narrow"/>
                <w:sz w:val="20"/>
                <w:szCs w:val="20"/>
              </w:rPr>
              <w:t>Based on E62A, and include cost of death during hospitalisation (E62, E40, and E41)</w:t>
            </w:r>
          </w:p>
        </w:tc>
        <w:tc>
          <w:tcPr>
            <w:tcW w:w="1826" w:type="pct"/>
            <w:vAlign w:val="center"/>
          </w:tcPr>
          <w:p w14:paraId="27FE57D8" w14:textId="77777777" w:rsidR="00666138" w:rsidRPr="005A5BB7" w:rsidRDefault="00666138" w:rsidP="00161425">
            <w:pPr>
              <w:rPr>
                <w:rFonts w:ascii="Arial Narrow" w:hAnsi="Arial Narrow"/>
                <w:sz w:val="20"/>
                <w:szCs w:val="20"/>
              </w:rPr>
            </w:pPr>
            <w:r w:rsidRPr="005A5BB7">
              <w:rPr>
                <w:rFonts w:ascii="Arial Narrow" w:hAnsi="Arial Narrow"/>
                <w:sz w:val="20"/>
                <w:szCs w:val="20"/>
              </w:rPr>
              <w:t>Moderate, favours RSVPreF3 OA</w:t>
            </w:r>
          </w:p>
          <w:p w14:paraId="637CD27B" w14:textId="73E58CE5" w:rsidR="00666138" w:rsidRPr="005A5BB7" w:rsidRDefault="00666138" w:rsidP="00161425">
            <w:pPr>
              <w:rPr>
                <w:rFonts w:ascii="Arial Narrow" w:hAnsi="Arial Narrow"/>
                <w:sz w:val="20"/>
                <w:szCs w:val="20"/>
              </w:rPr>
            </w:pPr>
            <w:r w:rsidRPr="005A5BB7">
              <w:rPr>
                <w:rFonts w:ascii="Arial Narrow" w:hAnsi="Arial Narrow"/>
                <w:sz w:val="20"/>
                <w:szCs w:val="20"/>
              </w:rPr>
              <w:t>Use of PBAC</w:t>
            </w:r>
            <w:r w:rsidR="000E4816">
              <w:rPr>
                <w:rFonts w:ascii="Arial Narrow" w:hAnsi="Arial Narrow"/>
                <w:sz w:val="20"/>
                <w:szCs w:val="20"/>
              </w:rPr>
              <w:noBreakHyphen/>
            </w:r>
            <w:r w:rsidRPr="005A5BB7">
              <w:rPr>
                <w:rFonts w:ascii="Arial Narrow" w:hAnsi="Arial Narrow"/>
                <w:sz w:val="20"/>
                <w:szCs w:val="20"/>
              </w:rPr>
              <w:t xml:space="preserve">advised hospitalisation cost </w:t>
            </w:r>
            <w:r w:rsidR="003E4698" w:rsidRPr="005A5BB7">
              <w:rPr>
                <w:rFonts w:ascii="Arial Narrow" w:hAnsi="Arial Narrow"/>
                <w:sz w:val="20"/>
                <w:szCs w:val="20"/>
              </w:rPr>
              <w:t>($9,900)</w:t>
            </w:r>
            <w:r w:rsidR="00D40752" w:rsidRPr="005A5BB7">
              <w:rPr>
                <w:rFonts w:ascii="Arial Narrow" w:hAnsi="Arial Narrow"/>
                <w:sz w:val="20"/>
                <w:szCs w:val="20"/>
              </w:rPr>
              <w:t xml:space="preserve"> increased</w:t>
            </w:r>
            <w:r w:rsidR="003E4698" w:rsidRPr="005A5BB7">
              <w:rPr>
                <w:rFonts w:ascii="Arial Narrow" w:hAnsi="Arial Narrow"/>
                <w:sz w:val="20"/>
                <w:szCs w:val="20"/>
              </w:rPr>
              <w:t xml:space="preserve"> </w:t>
            </w:r>
            <w:r w:rsidRPr="005A5BB7">
              <w:rPr>
                <w:rFonts w:ascii="Arial Narrow" w:hAnsi="Arial Narrow"/>
                <w:sz w:val="20"/>
                <w:szCs w:val="20"/>
              </w:rPr>
              <w:t>the ICER to $</w:t>
            </w:r>
            <w:r w:rsidR="00F15B97" w:rsidRPr="00F15B97">
              <w:rPr>
                <w:rFonts w:ascii="Arial Narrow" w:hAnsi="Arial Narrow"/>
                <w:sz w:val="2"/>
                <w:szCs w:val="20"/>
                <w:highlight w:val="black"/>
              </w:rPr>
              <w:t>redacted content</w:t>
            </w:r>
            <w:r w:rsidR="00BA0694">
              <w:rPr>
                <w:rFonts w:ascii="Arial Narrow" w:hAnsi="Arial Narrow"/>
                <w:sz w:val="20"/>
                <w:szCs w:val="20"/>
                <w:vertAlign w:val="superscript"/>
              </w:rPr>
              <w:t>2</w:t>
            </w:r>
            <w:r w:rsidRPr="005A5BB7">
              <w:rPr>
                <w:rFonts w:ascii="Arial Narrow" w:hAnsi="Arial Narrow"/>
                <w:sz w:val="20"/>
                <w:szCs w:val="20"/>
              </w:rPr>
              <w:t>/QALY gained.</w:t>
            </w:r>
          </w:p>
        </w:tc>
      </w:tr>
      <w:tr w:rsidR="004C397E" w:rsidRPr="005A5BB7" w14:paraId="1B5EB606" w14:textId="77777777" w:rsidTr="310F0368">
        <w:tc>
          <w:tcPr>
            <w:tcW w:w="632" w:type="pct"/>
            <w:vAlign w:val="center"/>
          </w:tcPr>
          <w:p w14:paraId="03828F28" w14:textId="77777777" w:rsidR="004C397E" w:rsidRPr="005A5BB7" w:rsidRDefault="004C397E" w:rsidP="005B71B5">
            <w:pPr>
              <w:rPr>
                <w:rFonts w:ascii="Arial Narrow" w:hAnsi="Arial Narrow"/>
                <w:sz w:val="20"/>
                <w:szCs w:val="20"/>
              </w:rPr>
            </w:pPr>
            <w:r w:rsidRPr="005A5BB7">
              <w:rPr>
                <w:rFonts w:ascii="Arial Narrow" w:hAnsi="Arial Narrow"/>
                <w:sz w:val="20"/>
                <w:szCs w:val="20"/>
              </w:rPr>
              <w:t>Hospitalisation rates</w:t>
            </w:r>
          </w:p>
        </w:tc>
        <w:tc>
          <w:tcPr>
            <w:tcW w:w="2542" w:type="pct"/>
            <w:vAlign w:val="center"/>
          </w:tcPr>
          <w:p w14:paraId="42BA99B1" w14:textId="1CC44E6A" w:rsidR="004C397E" w:rsidRPr="005A5BB7" w:rsidRDefault="004C397E" w:rsidP="005B71B5">
            <w:pPr>
              <w:jc w:val="left"/>
              <w:rPr>
                <w:rFonts w:ascii="Arial Narrow" w:hAnsi="Arial Narrow"/>
                <w:sz w:val="20"/>
                <w:szCs w:val="20"/>
              </w:rPr>
            </w:pPr>
            <w:r w:rsidRPr="005A5BB7">
              <w:rPr>
                <w:rFonts w:ascii="Arial Narrow" w:hAnsi="Arial Narrow"/>
                <w:sz w:val="20"/>
                <w:szCs w:val="20"/>
              </w:rPr>
              <w:t>Based on AIHW NHMD 2018</w:t>
            </w:r>
            <w:r w:rsidR="000E4816">
              <w:rPr>
                <w:rFonts w:ascii="Arial Narrow" w:hAnsi="Arial Narrow"/>
                <w:sz w:val="20"/>
                <w:szCs w:val="20"/>
              </w:rPr>
              <w:noBreakHyphen/>
            </w:r>
            <w:r w:rsidRPr="005A5BB7">
              <w:rPr>
                <w:rFonts w:ascii="Arial Narrow" w:hAnsi="Arial Narrow"/>
                <w:sz w:val="20"/>
                <w:szCs w:val="20"/>
              </w:rPr>
              <w:t>2019</w:t>
            </w:r>
          </w:p>
        </w:tc>
        <w:tc>
          <w:tcPr>
            <w:tcW w:w="1826" w:type="pct"/>
            <w:vAlign w:val="center"/>
          </w:tcPr>
          <w:p w14:paraId="0BA702EE" w14:textId="77777777" w:rsidR="004C397E" w:rsidRPr="005A5BB7" w:rsidRDefault="004C397E" w:rsidP="005B71B5">
            <w:pPr>
              <w:rPr>
                <w:rFonts w:ascii="Arial Narrow" w:hAnsi="Arial Narrow"/>
                <w:sz w:val="20"/>
                <w:szCs w:val="20"/>
              </w:rPr>
            </w:pPr>
            <w:r w:rsidRPr="005A5BB7">
              <w:rPr>
                <w:rFonts w:ascii="Arial Narrow" w:hAnsi="Arial Narrow"/>
                <w:sz w:val="20"/>
                <w:szCs w:val="20"/>
              </w:rPr>
              <w:t>Moderate, favours RSVPreF3 OA</w:t>
            </w:r>
          </w:p>
          <w:p w14:paraId="21281FF5" w14:textId="6C7372D0" w:rsidR="004C397E" w:rsidRPr="005A5BB7" w:rsidRDefault="004C397E" w:rsidP="005B71B5">
            <w:pPr>
              <w:jc w:val="left"/>
              <w:rPr>
                <w:rFonts w:ascii="Arial Narrow" w:hAnsi="Arial Narrow"/>
                <w:sz w:val="20"/>
                <w:szCs w:val="20"/>
              </w:rPr>
            </w:pPr>
            <w:r w:rsidRPr="005A5BB7">
              <w:rPr>
                <w:rFonts w:ascii="Arial Narrow" w:hAnsi="Arial Narrow"/>
                <w:sz w:val="20"/>
                <w:szCs w:val="20"/>
              </w:rPr>
              <w:t>Use of AIHW NHMD 2016</w:t>
            </w:r>
            <w:r w:rsidR="000E4816">
              <w:rPr>
                <w:rFonts w:ascii="Arial Narrow" w:hAnsi="Arial Narrow"/>
                <w:sz w:val="20"/>
                <w:szCs w:val="20"/>
              </w:rPr>
              <w:noBreakHyphen/>
            </w:r>
            <w:r w:rsidRPr="005A5BB7">
              <w:rPr>
                <w:rFonts w:ascii="Arial Narrow" w:hAnsi="Arial Narrow"/>
                <w:sz w:val="20"/>
                <w:szCs w:val="20"/>
              </w:rPr>
              <w:t>2019 increased the ICER to $</w:t>
            </w:r>
            <w:r w:rsidR="00F15B97" w:rsidRPr="00F15B97">
              <w:rPr>
                <w:rFonts w:ascii="Arial Narrow" w:hAnsi="Arial Narrow"/>
                <w:sz w:val="2"/>
                <w:szCs w:val="20"/>
                <w:highlight w:val="black"/>
              </w:rPr>
              <w:t>redacted content</w:t>
            </w:r>
            <w:r w:rsidR="00BA0694">
              <w:rPr>
                <w:rFonts w:ascii="Arial Narrow" w:hAnsi="Arial Narrow"/>
                <w:sz w:val="20"/>
                <w:szCs w:val="20"/>
                <w:vertAlign w:val="superscript"/>
              </w:rPr>
              <w:t>2</w:t>
            </w:r>
            <w:r w:rsidRPr="005A5BB7">
              <w:rPr>
                <w:rFonts w:ascii="Arial Narrow" w:hAnsi="Arial Narrow"/>
                <w:sz w:val="20"/>
                <w:szCs w:val="20"/>
              </w:rPr>
              <w:t>/QALY gained.</w:t>
            </w:r>
          </w:p>
        </w:tc>
      </w:tr>
      <w:tr w:rsidR="004C397E" w:rsidRPr="005A5BB7" w14:paraId="1D8CAF36" w14:textId="77777777" w:rsidTr="310F0368">
        <w:tc>
          <w:tcPr>
            <w:tcW w:w="632" w:type="pct"/>
            <w:vAlign w:val="center"/>
          </w:tcPr>
          <w:p w14:paraId="1B79CA9D" w14:textId="77777777" w:rsidR="004C397E" w:rsidRPr="005A5BB7" w:rsidRDefault="004C397E" w:rsidP="005B71B5">
            <w:pPr>
              <w:rPr>
                <w:rFonts w:ascii="Arial Narrow" w:hAnsi="Arial Narrow"/>
                <w:sz w:val="20"/>
                <w:szCs w:val="20"/>
              </w:rPr>
            </w:pPr>
            <w:r w:rsidRPr="005A5BB7">
              <w:rPr>
                <w:rFonts w:ascii="Arial Narrow" w:hAnsi="Arial Narrow"/>
                <w:sz w:val="20"/>
                <w:szCs w:val="20"/>
              </w:rPr>
              <w:t>EHM</w:t>
            </w:r>
          </w:p>
        </w:tc>
        <w:tc>
          <w:tcPr>
            <w:tcW w:w="2542" w:type="pct"/>
            <w:vAlign w:val="center"/>
          </w:tcPr>
          <w:p w14:paraId="2A5EB8FC" w14:textId="69690C1C" w:rsidR="004C397E" w:rsidRPr="005A5BB7" w:rsidRDefault="004C397E" w:rsidP="005B71B5">
            <w:pPr>
              <w:jc w:val="left"/>
              <w:rPr>
                <w:rFonts w:ascii="Arial Narrow" w:hAnsi="Arial Narrow"/>
                <w:sz w:val="20"/>
                <w:szCs w:val="20"/>
              </w:rPr>
            </w:pPr>
            <w:r w:rsidRPr="005A5BB7">
              <w:rPr>
                <w:rFonts w:ascii="Arial Narrow" w:hAnsi="Arial Narrow"/>
                <w:sz w:val="20"/>
                <w:szCs w:val="20"/>
              </w:rPr>
              <w:t xml:space="preserve">Using 2.29 EHM </w:t>
            </w:r>
          </w:p>
        </w:tc>
        <w:tc>
          <w:tcPr>
            <w:tcW w:w="1826" w:type="pct"/>
            <w:vAlign w:val="center"/>
          </w:tcPr>
          <w:p w14:paraId="0EEB6E1F" w14:textId="77777777" w:rsidR="004C397E" w:rsidRPr="005A5BB7" w:rsidRDefault="004C397E" w:rsidP="005B71B5">
            <w:pPr>
              <w:rPr>
                <w:rFonts w:ascii="Arial Narrow" w:hAnsi="Arial Narrow"/>
                <w:sz w:val="20"/>
                <w:szCs w:val="20"/>
              </w:rPr>
            </w:pPr>
            <w:r w:rsidRPr="005A5BB7">
              <w:rPr>
                <w:rFonts w:ascii="Arial Narrow" w:hAnsi="Arial Narrow"/>
                <w:sz w:val="20"/>
                <w:szCs w:val="20"/>
              </w:rPr>
              <w:t>Moderate, favours RSVPreF3 OA</w:t>
            </w:r>
          </w:p>
          <w:p w14:paraId="78EC552E" w14:textId="76FF0230" w:rsidR="004C397E" w:rsidRPr="005A5BB7" w:rsidRDefault="004C397E" w:rsidP="005B71B5">
            <w:pPr>
              <w:jc w:val="left"/>
              <w:rPr>
                <w:rFonts w:ascii="Arial Narrow" w:hAnsi="Arial Narrow"/>
                <w:sz w:val="20"/>
                <w:szCs w:val="20"/>
              </w:rPr>
            </w:pPr>
            <w:r w:rsidRPr="005A5BB7">
              <w:rPr>
                <w:rFonts w:ascii="Arial Narrow" w:hAnsi="Arial Narrow"/>
                <w:sz w:val="20"/>
                <w:szCs w:val="20"/>
              </w:rPr>
              <w:t xml:space="preserve">Use of an EHM previously proposed </w:t>
            </w:r>
            <w:r w:rsidR="00951885" w:rsidRPr="005A5BB7">
              <w:rPr>
                <w:rFonts w:ascii="Arial Narrow" w:hAnsi="Arial Narrow"/>
                <w:sz w:val="20"/>
                <w:szCs w:val="20"/>
              </w:rPr>
              <w:t xml:space="preserve">by the sponsor </w:t>
            </w:r>
            <w:r w:rsidRPr="005A5BB7">
              <w:rPr>
                <w:rFonts w:ascii="Arial Narrow" w:hAnsi="Arial Narrow"/>
                <w:sz w:val="20"/>
                <w:szCs w:val="20"/>
              </w:rPr>
              <w:t>and noted by ATAGI (1.79) increased the ICER to $</w:t>
            </w:r>
            <w:r w:rsidR="00F15B97" w:rsidRPr="00F15B97">
              <w:rPr>
                <w:rFonts w:ascii="Arial Narrow" w:hAnsi="Arial Narrow"/>
                <w:sz w:val="2"/>
                <w:szCs w:val="20"/>
                <w:highlight w:val="black"/>
              </w:rPr>
              <w:t>redacted content</w:t>
            </w:r>
            <w:r w:rsidR="00BA0694">
              <w:rPr>
                <w:rFonts w:ascii="Arial Narrow" w:hAnsi="Arial Narrow"/>
                <w:sz w:val="20"/>
                <w:szCs w:val="20"/>
                <w:vertAlign w:val="superscript"/>
              </w:rPr>
              <w:t>2</w:t>
            </w:r>
            <w:r w:rsidRPr="005A5BB7">
              <w:rPr>
                <w:rFonts w:ascii="Arial Narrow" w:hAnsi="Arial Narrow"/>
                <w:sz w:val="20"/>
                <w:szCs w:val="20"/>
              </w:rPr>
              <w:t>/QALY gained.</w:t>
            </w:r>
          </w:p>
        </w:tc>
      </w:tr>
      <w:tr w:rsidR="004C397E" w:rsidRPr="005A5BB7" w14:paraId="7E673CF3" w14:textId="77777777" w:rsidTr="310F0368">
        <w:tc>
          <w:tcPr>
            <w:tcW w:w="632" w:type="pct"/>
            <w:vAlign w:val="center"/>
          </w:tcPr>
          <w:p w14:paraId="0C630D4D" w14:textId="77777777" w:rsidR="004C397E" w:rsidRPr="005A5BB7" w:rsidRDefault="004C397E" w:rsidP="005B71B5">
            <w:pPr>
              <w:rPr>
                <w:rFonts w:ascii="Arial Narrow" w:hAnsi="Arial Narrow"/>
                <w:sz w:val="20"/>
                <w:szCs w:val="20"/>
              </w:rPr>
            </w:pPr>
            <w:r w:rsidRPr="005A5BB7">
              <w:rPr>
                <w:rFonts w:ascii="Arial Narrow" w:hAnsi="Arial Narrow"/>
                <w:sz w:val="20"/>
                <w:szCs w:val="20"/>
              </w:rPr>
              <w:t>VE duration</w:t>
            </w:r>
          </w:p>
        </w:tc>
        <w:tc>
          <w:tcPr>
            <w:tcW w:w="2542" w:type="pct"/>
            <w:vAlign w:val="center"/>
          </w:tcPr>
          <w:p w14:paraId="4F01F3E6" w14:textId="7C705B36" w:rsidR="004C397E" w:rsidRPr="005A5BB7" w:rsidRDefault="761D90BA" w:rsidP="007151E5">
            <w:pPr>
              <w:jc w:val="left"/>
              <w:rPr>
                <w:rFonts w:ascii="Arial Narrow" w:hAnsi="Arial Narrow"/>
                <w:sz w:val="20"/>
                <w:szCs w:val="20"/>
              </w:rPr>
            </w:pPr>
            <w:r w:rsidRPr="310F0368">
              <w:rPr>
                <w:rFonts w:ascii="Arial Narrow" w:hAnsi="Arial Narrow"/>
                <w:sz w:val="20"/>
                <w:szCs w:val="20"/>
              </w:rPr>
              <w:t>Using 5</w:t>
            </w:r>
            <w:r w:rsidR="007151E5">
              <w:noBreakHyphen/>
            </w:r>
            <w:r w:rsidRPr="310F0368">
              <w:rPr>
                <w:rFonts w:ascii="Arial Narrow" w:hAnsi="Arial Narrow"/>
                <w:sz w:val="20"/>
                <w:szCs w:val="20"/>
              </w:rPr>
              <w:t>year duration of protection: 4 years based on linear logarithmic model (median 30.6</w:t>
            </w:r>
            <w:r w:rsidR="007151E5">
              <w:noBreakHyphen/>
            </w:r>
            <w:r w:rsidRPr="310F0368">
              <w:rPr>
                <w:rFonts w:ascii="Arial Narrow" w:hAnsi="Arial Narrow"/>
                <w:sz w:val="20"/>
                <w:szCs w:val="20"/>
              </w:rPr>
              <w:t xml:space="preserve">month trial VE data and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Pr="310F0368">
              <w:rPr>
                <w:rFonts w:ascii="Arial Narrow" w:hAnsi="Arial Narrow"/>
                <w:sz w:val="20"/>
                <w:szCs w:val="20"/>
              </w:rPr>
              <w:t>. Waning: 1 years (assuming constant decline rate to 0% at the end of Year 5).</w:t>
            </w:r>
          </w:p>
        </w:tc>
        <w:tc>
          <w:tcPr>
            <w:tcW w:w="1826" w:type="pct"/>
            <w:vAlign w:val="center"/>
          </w:tcPr>
          <w:p w14:paraId="18F6AFD9" w14:textId="661CFBE1" w:rsidR="004C397E" w:rsidRPr="005A5BB7" w:rsidRDefault="00090731" w:rsidP="005B71B5">
            <w:pPr>
              <w:rPr>
                <w:rFonts w:ascii="Arial Narrow" w:hAnsi="Arial Narrow"/>
                <w:sz w:val="20"/>
                <w:szCs w:val="20"/>
              </w:rPr>
            </w:pPr>
            <w:r w:rsidRPr="005A5BB7">
              <w:rPr>
                <w:rFonts w:ascii="Arial Narrow" w:hAnsi="Arial Narrow"/>
                <w:sz w:val="20"/>
                <w:szCs w:val="20"/>
              </w:rPr>
              <w:t>High</w:t>
            </w:r>
            <w:r w:rsidR="004C397E" w:rsidRPr="005A5BB7">
              <w:rPr>
                <w:rFonts w:ascii="Arial Narrow" w:hAnsi="Arial Narrow"/>
                <w:sz w:val="20"/>
                <w:szCs w:val="20"/>
              </w:rPr>
              <w:t>, favours RSVPreF3 OA</w:t>
            </w:r>
          </w:p>
          <w:p w14:paraId="4AC4E3E2" w14:textId="1F867963" w:rsidR="004C397E" w:rsidRPr="005A5BB7" w:rsidRDefault="004C397E" w:rsidP="005B71B5">
            <w:pPr>
              <w:jc w:val="left"/>
              <w:rPr>
                <w:rFonts w:ascii="Arial Narrow" w:hAnsi="Arial Narrow"/>
                <w:sz w:val="20"/>
                <w:szCs w:val="20"/>
              </w:rPr>
            </w:pPr>
            <w:r w:rsidRPr="005A5BB7">
              <w:rPr>
                <w:rFonts w:ascii="Arial Narrow" w:hAnsi="Arial Narrow"/>
                <w:sz w:val="20"/>
                <w:szCs w:val="20"/>
              </w:rPr>
              <w:t>Use of PBAC</w:t>
            </w:r>
            <w:r w:rsidR="000E4816">
              <w:rPr>
                <w:rFonts w:ascii="Arial Narrow" w:hAnsi="Arial Narrow"/>
                <w:sz w:val="20"/>
                <w:szCs w:val="20"/>
              </w:rPr>
              <w:noBreakHyphen/>
            </w:r>
            <w:r w:rsidRPr="005A5BB7">
              <w:rPr>
                <w:rFonts w:ascii="Arial Narrow" w:hAnsi="Arial Narrow"/>
                <w:sz w:val="20"/>
                <w:szCs w:val="20"/>
              </w:rPr>
              <w:t>accepted and ATAGI</w:t>
            </w:r>
            <w:r w:rsidR="000E4816">
              <w:rPr>
                <w:rFonts w:ascii="Arial Narrow" w:hAnsi="Arial Narrow"/>
                <w:sz w:val="20"/>
                <w:szCs w:val="20"/>
              </w:rPr>
              <w:noBreakHyphen/>
            </w:r>
            <w:r w:rsidRPr="005A5BB7">
              <w:rPr>
                <w:rFonts w:ascii="Arial Narrow" w:hAnsi="Arial Narrow"/>
                <w:sz w:val="20"/>
                <w:szCs w:val="20"/>
              </w:rPr>
              <w:t xml:space="preserve">advised duration of protect (3 years) increased the ICER to </w:t>
            </w:r>
            <w:r w:rsidR="005936E5" w:rsidRPr="005A5BB7">
              <w:rPr>
                <w:rFonts w:ascii="Arial Narrow" w:hAnsi="Arial Narrow"/>
                <w:sz w:val="20"/>
                <w:szCs w:val="20"/>
              </w:rPr>
              <w:t>$</w:t>
            </w:r>
            <w:r w:rsidR="00F15B97" w:rsidRPr="00F15B97">
              <w:rPr>
                <w:rFonts w:ascii="Arial Narrow" w:hAnsi="Arial Narrow"/>
                <w:sz w:val="2"/>
                <w:szCs w:val="20"/>
                <w:highlight w:val="black"/>
              </w:rPr>
              <w:t>redacted content</w:t>
            </w:r>
            <w:r w:rsidR="00BA0694">
              <w:rPr>
                <w:rFonts w:ascii="Arial Narrow" w:hAnsi="Arial Narrow"/>
                <w:sz w:val="20"/>
                <w:szCs w:val="20"/>
                <w:vertAlign w:val="superscript"/>
              </w:rPr>
              <w:t>2</w:t>
            </w:r>
            <w:r w:rsidRPr="005A5BB7">
              <w:rPr>
                <w:rFonts w:ascii="Arial Narrow" w:hAnsi="Arial Narrow"/>
                <w:sz w:val="20"/>
                <w:szCs w:val="20"/>
              </w:rPr>
              <w:t>/QALY gained.</w:t>
            </w:r>
          </w:p>
        </w:tc>
      </w:tr>
    </w:tbl>
    <w:p w14:paraId="3808A209" w14:textId="77777777" w:rsidR="004C397E" w:rsidRPr="005A5BB7" w:rsidRDefault="004C397E" w:rsidP="004C397E">
      <w:pPr>
        <w:pStyle w:val="TableNotes"/>
        <w:spacing w:after="0"/>
      </w:pPr>
      <w:r w:rsidRPr="005A5BB7">
        <w:t xml:space="preserve">Source: Compiled during the evaluation. </w:t>
      </w:r>
    </w:p>
    <w:p w14:paraId="3E3CF9B4" w14:textId="2A088C9F" w:rsidR="004C397E" w:rsidRDefault="004C397E" w:rsidP="004C397E">
      <w:pPr>
        <w:pStyle w:val="TableNotes"/>
        <w:spacing w:after="0"/>
        <w:rPr>
          <w:szCs w:val="16"/>
        </w:rPr>
      </w:pPr>
      <w:r w:rsidRPr="005A5BB7">
        <w:rPr>
          <w:szCs w:val="16"/>
        </w:rPr>
        <w:t xml:space="preserve">AIHW = Australian Institute of Health and Welfare; ATAGI = Australian Technical Advisory Group on Immunisation; </w:t>
      </w:r>
      <w:r w:rsidRPr="005A5BB7">
        <w:rPr>
          <w:szCs w:val="20"/>
        </w:rPr>
        <w:t>EHM = excess hospitalisation multipliers;</w:t>
      </w:r>
      <w:r w:rsidRPr="005A5BB7">
        <w:rPr>
          <w:szCs w:val="16"/>
        </w:rPr>
        <w:t xml:space="preserve"> ICER = incremental cost</w:t>
      </w:r>
      <w:r w:rsidR="000E4816">
        <w:rPr>
          <w:szCs w:val="16"/>
        </w:rPr>
        <w:noBreakHyphen/>
      </w:r>
      <w:r w:rsidRPr="005A5BB7">
        <w:rPr>
          <w:szCs w:val="16"/>
        </w:rPr>
        <w:t>effectiveness ratio; NHMD = National Hospital Morbidity Database; PBAC = Pharmaceutical Benefits Advisory Committee; QALY = quality</w:t>
      </w:r>
      <w:r w:rsidR="000E4816">
        <w:rPr>
          <w:szCs w:val="16"/>
        </w:rPr>
        <w:noBreakHyphen/>
      </w:r>
      <w:r w:rsidRPr="005A5BB7">
        <w:rPr>
          <w:szCs w:val="16"/>
        </w:rPr>
        <w:t>adjusted life year; RSV= respiratory syncytial virus; UAM = under</w:t>
      </w:r>
      <w:r w:rsidR="000E4816">
        <w:rPr>
          <w:szCs w:val="16"/>
        </w:rPr>
        <w:noBreakHyphen/>
      </w:r>
      <w:r w:rsidRPr="005A5BB7">
        <w:rPr>
          <w:szCs w:val="16"/>
        </w:rPr>
        <w:t>ascertainment</w:t>
      </w:r>
      <w:r w:rsidR="000E4816">
        <w:rPr>
          <w:szCs w:val="16"/>
        </w:rPr>
        <w:noBreakHyphen/>
      </w:r>
      <w:r w:rsidRPr="005A5BB7">
        <w:rPr>
          <w:szCs w:val="16"/>
        </w:rPr>
        <w:t>multiplier; VE = vaccine efficacy; YOA = years of age.</w:t>
      </w:r>
    </w:p>
    <w:p w14:paraId="3ED0DF4A" w14:textId="77777777" w:rsidR="00F5626B" w:rsidRPr="00F5626B" w:rsidRDefault="00F5626B" w:rsidP="00473DE6">
      <w:pPr>
        <w:pStyle w:val="TableNotes"/>
        <w:spacing w:after="0"/>
        <w:rPr>
          <w:bCs/>
          <w:i/>
          <w:iCs/>
          <w:szCs w:val="16"/>
        </w:rPr>
      </w:pPr>
      <w:r w:rsidRPr="00F5626B">
        <w:rPr>
          <w:bCs/>
          <w:i/>
          <w:iCs/>
          <w:szCs w:val="16"/>
        </w:rPr>
        <w:t xml:space="preserve">The redacted values correspond to the following ranges: </w:t>
      </w:r>
    </w:p>
    <w:p w14:paraId="6E12FDFC" w14:textId="4CDD3174" w:rsidR="00F5626B" w:rsidRPr="00F5626B" w:rsidRDefault="00F5626B" w:rsidP="00473DE6">
      <w:pPr>
        <w:pStyle w:val="TableNotes"/>
        <w:spacing w:after="0"/>
        <w:rPr>
          <w:i/>
          <w:szCs w:val="16"/>
        </w:rPr>
      </w:pPr>
      <w:r w:rsidRPr="00F5626B">
        <w:rPr>
          <w:i/>
          <w:szCs w:val="16"/>
          <w:vertAlign w:val="superscript"/>
        </w:rPr>
        <w:t>1</w:t>
      </w:r>
      <w:r w:rsidRPr="00F5626B">
        <w:rPr>
          <w:i/>
          <w:szCs w:val="16"/>
        </w:rPr>
        <w:t xml:space="preserve"> </w:t>
      </w:r>
      <w:r w:rsidR="00364C86" w:rsidRPr="00364C86">
        <w:rPr>
          <w:i/>
          <w:szCs w:val="16"/>
        </w:rPr>
        <w:t>$15,000 to &lt; $25,000</w:t>
      </w:r>
    </w:p>
    <w:p w14:paraId="7913DF86" w14:textId="1D90ACE4" w:rsidR="00F5626B" w:rsidRPr="00BA0694" w:rsidRDefault="00F5626B" w:rsidP="00473DE6">
      <w:pPr>
        <w:pStyle w:val="TableNotes"/>
        <w:spacing w:after="0"/>
        <w:rPr>
          <w:szCs w:val="16"/>
        </w:rPr>
      </w:pPr>
      <w:r w:rsidRPr="00F5626B">
        <w:rPr>
          <w:i/>
          <w:szCs w:val="16"/>
          <w:vertAlign w:val="superscript"/>
        </w:rPr>
        <w:t>2</w:t>
      </w:r>
      <w:r w:rsidRPr="00F5626B">
        <w:rPr>
          <w:i/>
          <w:szCs w:val="16"/>
        </w:rPr>
        <w:t xml:space="preserve"> </w:t>
      </w:r>
      <w:r w:rsidR="00BA0694" w:rsidRPr="00BA0694">
        <w:rPr>
          <w:i/>
          <w:szCs w:val="16"/>
        </w:rPr>
        <w:t>$25,000 to &lt; $35,000</w:t>
      </w:r>
    </w:p>
    <w:p w14:paraId="1FA27107" w14:textId="7E027EEF" w:rsidR="000F712C" w:rsidRPr="005A5BB7" w:rsidRDefault="004C397E" w:rsidP="0090073B">
      <w:pPr>
        <w:pStyle w:val="3-BodyText"/>
        <w:jc w:val="left"/>
        <w:rPr>
          <w:rFonts w:ascii="Arial Narrow" w:hAnsi="Arial Narrow"/>
          <w:b/>
          <w:bCs/>
          <w:sz w:val="20"/>
          <w:szCs w:val="18"/>
        </w:rPr>
      </w:pPr>
      <w:r w:rsidRPr="005A5BB7">
        <w:t xml:space="preserve">A summary of the results of the economic evaluation for the </w:t>
      </w:r>
      <w:r w:rsidRPr="005A5BB7">
        <w:rPr>
          <w:rFonts w:cstheme="minorHAnsi"/>
        </w:rPr>
        <w:t>≥</w:t>
      </w:r>
      <w:r w:rsidRPr="005A5BB7">
        <w:t xml:space="preserve">75 YOA population from the March 2026 resubmission </w:t>
      </w:r>
      <w:r w:rsidR="00097A2E" w:rsidRPr="005A5BB7">
        <w:t xml:space="preserve">was </w:t>
      </w:r>
      <w:r w:rsidRPr="005A5BB7">
        <w:t>presented</w:t>
      </w:r>
      <w:r w:rsidRPr="005A5BB7">
        <w:rPr>
          <w:iCs/>
        </w:rPr>
        <w:t xml:space="preserve"> </w:t>
      </w:r>
      <w:r w:rsidR="00097A2E" w:rsidRPr="005A5BB7">
        <w:rPr>
          <w:iCs/>
        </w:rPr>
        <w:t xml:space="preserve">in the commentary, but is not reproduced in </w:t>
      </w:r>
      <w:r w:rsidR="0027332F" w:rsidRPr="005A5BB7">
        <w:rPr>
          <w:iCs/>
        </w:rPr>
        <w:t>these minutes</w:t>
      </w:r>
      <w:r w:rsidR="00097A2E" w:rsidRPr="005A5BB7">
        <w:rPr>
          <w:iCs/>
        </w:rPr>
        <w:t>.</w:t>
      </w:r>
      <w:r w:rsidR="000D6A05" w:rsidRPr="005A5BB7">
        <w:rPr>
          <w:iCs/>
        </w:rPr>
        <w:t xml:space="preserve"> </w:t>
      </w:r>
      <w:bookmarkStart w:id="83" w:name="_Ref104805181"/>
    </w:p>
    <w:bookmarkEnd w:id="83"/>
    <w:p w14:paraId="024CBD3C" w14:textId="5A5B7B57" w:rsidR="004C397E" w:rsidRPr="005A5BB7" w:rsidRDefault="004C397E">
      <w:pPr>
        <w:pStyle w:val="3-BodyText"/>
      </w:pPr>
      <w:r w:rsidRPr="005A5BB7">
        <w:t>A summary of the stepped economic evaluation results for 60</w:t>
      </w:r>
      <w:r w:rsidR="000E4816">
        <w:noBreakHyphen/>
      </w:r>
      <w:r w:rsidRPr="005A5BB7">
        <w:t>74 YOA at increased risk of severe RSV disease, with at least one at</w:t>
      </w:r>
      <w:r w:rsidR="000E4816">
        <w:noBreakHyphen/>
      </w:r>
      <w:r w:rsidRPr="005A5BB7">
        <w:t xml:space="preserve">risk medical condition, is </w:t>
      </w:r>
      <w:r w:rsidR="00CC2522" w:rsidRPr="005A5BB7">
        <w:t xml:space="preserve">presented in </w:t>
      </w:r>
      <w:r w:rsidR="00CC2522" w:rsidRPr="005A5BB7">
        <w:fldChar w:fldCharType="begin"/>
      </w:r>
      <w:r w:rsidR="00CC2522" w:rsidRPr="005A5BB7">
        <w:instrText xml:space="preserve"> REF _Ref224901440 \h </w:instrText>
      </w:r>
      <w:r w:rsidR="00CC2522" w:rsidRPr="005A5BB7">
        <w:fldChar w:fldCharType="separate"/>
      </w:r>
      <w:r w:rsidR="0043658C" w:rsidRPr="005A5BB7">
        <w:t xml:space="preserve">Table </w:t>
      </w:r>
      <w:r w:rsidR="0043658C">
        <w:rPr>
          <w:noProof/>
        </w:rPr>
        <w:t>20</w:t>
      </w:r>
      <w:r w:rsidR="00CC2522" w:rsidRPr="005A5BB7">
        <w:fldChar w:fldCharType="end"/>
      </w:r>
      <w:r w:rsidR="00CC2522" w:rsidRPr="005A5BB7">
        <w:t>.</w:t>
      </w:r>
      <w:r w:rsidR="00DA1339">
        <w:t xml:space="preserve"> </w:t>
      </w:r>
      <w:r w:rsidR="000D4EC2" w:rsidRPr="005A5BB7">
        <w:rPr>
          <w:iCs/>
        </w:rPr>
        <w:t>The PSCR presented revised results applying the revised proposed price of $</w:t>
      </w:r>
      <w:r w:rsidR="00F15B97" w:rsidRPr="00F15B97">
        <w:rPr>
          <w:iCs/>
          <w:sz w:val="2"/>
          <w:highlight w:val="black"/>
        </w:rPr>
        <w:t>redacted content</w:t>
      </w:r>
      <w:r w:rsidR="000D4EC2" w:rsidRPr="005A5BB7">
        <w:rPr>
          <w:iCs/>
        </w:rPr>
        <w:t>/dose (not shown</w:t>
      </w:r>
      <w:r w:rsidR="00CE41DD" w:rsidRPr="005A5BB7">
        <w:rPr>
          <w:iCs/>
        </w:rPr>
        <w:t xml:space="preserve"> below</w:t>
      </w:r>
      <w:r w:rsidR="000D4EC2" w:rsidRPr="005A5BB7">
        <w:rPr>
          <w:iCs/>
        </w:rPr>
        <w:t>).</w:t>
      </w:r>
      <w:r w:rsidR="000D4EC2" w:rsidRPr="005A5BB7">
        <w:t xml:space="preserve"> </w:t>
      </w:r>
    </w:p>
    <w:p w14:paraId="282DDDA8" w14:textId="75C09269" w:rsidR="001C4904" w:rsidRPr="005A5BB7" w:rsidRDefault="001C4904">
      <w:pPr>
        <w:jc w:val="left"/>
        <w:rPr>
          <w:rFonts w:ascii="Arial Narrow" w:hAnsi="Arial Narrow"/>
          <w:b/>
          <w:bCs/>
          <w:sz w:val="20"/>
          <w:szCs w:val="18"/>
        </w:rPr>
      </w:pPr>
      <w:bookmarkStart w:id="84" w:name="_Ref216287724"/>
    </w:p>
    <w:p w14:paraId="55044C56" w14:textId="0EED8DA7" w:rsidR="004C397E" w:rsidRPr="005A5BB7" w:rsidRDefault="004C397E" w:rsidP="00B553A4">
      <w:pPr>
        <w:pStyle w:val="Caption"/>
        <w:rPr>
          <w:rStyle w:val="CommentReference"/>
          <w:b/>
          <w:szCs w:val="24"/>
        </w:rPr>
      </w:pPr>
      <w:bookmarkStart w:id="85" w:name="_Ref224901440"/>
      <w:r w:rsidRPr="005A5BB7">
        <w:lastRenderedPageBreak/>
        <w:t xml:space="preserve">Table </w:t>
      </w:r>
      <w:r w:rsidRPr="005A5BB7">
        <w:fldChar w:fldCharType="begin"/>
      </w:r>
      <w:r w:rsidRPr="005A5BB7">
        <w:instrText>SEQ Table \* ARABIC</w:instrText>
      </w:r>
      <w:r w:rsidRPr="005A5BB7">
        <w:fldChar w:fldCharType="separate"/>
      </w:r>
      <w:r w:rsidR="0043658C">
        <w:rPr>
          <w:noProof/>
        </w:rPr>
        <w:t>20</w:t>
      </w:r>
      <w:r w:rsidRPr="005A5BB7">
        <w:fldChar w:fldCharType="end"/>
      </w:r>
      <w:bookmarkEnd w:id="84"/>
      <w:bookmarkEnd w:id="85"/>
      <w:r w:rsidRPr="005A5BB7">
        <w:rPr>
          <w:rStyle w:val="CommentReference"/>
          <w:b/>
          <w:szCs w:val="24"/>
        </w:rPr>
        <w:t>: Results of the stepped economic evaluations: at least one at</w:t>
      </w:r>
      <w:r w:rsidR="000E4816">
        <w:rPr>
          <w:rStyle w:val="CommentReference"/>
          <w:b/>
          <w:szCs w:val="24"/>
        </w:rPr>
        <w:noBreakHyphen/>
      </w:r>
      <w:r w:rsidRPr="005A5BB7">
        <w:rPr>
          <w:rStyle w:val="CommentReference"/>
          <w:b/>
          <w:szCs w:val="24"/>
        </w:rPr>
        <w:t xml:space="preserve">risk medical condition </w:t>
      </w:r>
      <w:r w:rsidR="00E067BA" w:rsidRPr="005A5BB7">
        <w:rPr>
          <w:rStyle w:val="CommentReference"/>
          <w:b/>
          <w:szCs w:val="24"/>
        </w:rPr>
        <w:t>(price $</w:t>
      </w:r>
      <w:r w:rsidR="00F15B97" w:rsidRPr="00F15B97">
        <w:rPr>
          <w:rStyle w:val="CommentReference"/>
          <w:b/>
          <w:sz w:val="2"/>
          <w:szCs w:val="24"/>
          <w:highlight w:val="black"/>
        </w:rPr>
        <w:t>redacted content</w:t>
      </w:r>
      <w:r w:rsidR="00E067BA" w:rsidRPr="00EA1CC5">
        <w:rPr>
          <w:rStyle w:val="CommentReference"/>
          <w:b/>
          <w:szCs w:val="24"/>
        </w:rPr>
        <w:t>/dose</w:t>
      </w:r>
      <w:r w:rsidR="00E067BA" w:rsidRPr="005A5BB7">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0: Results of the stepped economic evaluations: at least one at risk medical condition (price $redacted content/dose)"/>
      </w:tblPr>
      <w:tblGrid>
        <w:gridCol w:w="2570"/>
        <w:gridCol w:w="2267"/>
        <w:gridCol w:w="2117"/>
        <w:gridCol w:w="2063"/>
      </w:tblGrid>
      <w:tr w:rsidR="004C397E" w:rsidRPr="005A5BB7" w14:paraId="407A8176" w14:textId="77777777" w:rsidTr="005B71B5">
        <w:trPr>
          <w:tblHeader/>
        </w:trPr>
        <w:tc>
          <w:tcPr>
            <w:tcW w:w="1425" w:type="pct"/>
            <w:tcBorders>
              <w:top w:val="single" w:sz="4" w:space="0" w:color="auto"/>
              <w:left w:val="single" w:sz="4" w:space="0" w:color="auto"/>
              <w:bottom w:val="single" w:sz="4" w:space="0" w:color="auto"/>
              <w:right w:val="single" w:sz="4" w:space="0" w:color="auto"/>
            </w:tcBorders>
            <w:vAlign w:val="center"/>
            <w:hideMark/>
          </w:tcPr>
          <w:p w14:paraId="20F15929" w14:textId="61301663" w:rsidR="004C397E" w:rsidRPr="005A5BB7" w:rsidRDefault="004C397E" w:rsidP="00B553A4">
            <w:pPr>
              <w:keepNext/>
              <w:jc w:val="left"/>
              <w:rPr>
                <w:rFonts w:ascii="Arial Narrow" w:hAnsi="Arial Narrow"/>
                <w:b/>
                <w:sz w:val="20"/>
                <w:szCs w:val="20"/>
              </w:rPr>
            </w:pPr>
            <w:r w:rsidRPr="005A5BB7">
              <w:rPr>
                <w:rFonts w:ascii="Arial Narrow" w:hAnsi="Arial Narrow"/>
                <w:b/>
                <w:sz w:val="20"/>
                <w:szCs w:val="20"/>
              </w:rPr>
              <w:t xml:space="preserve">Step and component (n = </w:t>
            </w:r>
            <w:r w:rsidR="00F15B97" w:rsidRPr="00F15B97">
              <w:rPr>
                <w:rFonts w:ascii="Arial Narrow" w:hAnsi="Arial Narrow"/>
                <w:b/>
                <w:sz w:val="2"/>
                <w:szCs w:val="20"/>
                <w:highlight w:val="black"/>
              </w:rPr>
              <w:t>redacted content</w:t>
            </w:r>
            <w:r w:rsidRPr="005A5BB7">
              <w:rPr>
                <w:rFonts w:ascii="Arial Narrow" w:hAnsi="Arial Narrow"/>
                <w:b/>
                <w:sz w:val="20"/>
                <w:szCs w:val="20"/>
              </w:rPr>
              <w:t>)</w:t>
            </w:r>
          </w:p>
        </w:tc>
        <w:tc>
          <w:tcPr>
            <w:tcW w:w="1257" w:type="pct"/>
            <w:tcBorders>
              <w:top w:val="single" w:sz="4" w:space="0" w:color="auto"/>
              <w:left w:val="single" w:sz="4" w:space="0" w:color="auto"/>
              <w:bottom w:val="single" w:sz="4" w:space="0" w:color="auto"/>
              <w:right w:val="single" w:sz="4" w:space="0" w:color="auto"/>
            </w:tcBorders>
            <w:vAlign w:val="center"/>
            <w:hideMark/>
          </w:tcPr>
          <w:p w14:paraId="65F6432C" w14:textId="77777777" w:rsidR="004C397E" w:rsidRPr="005A5BB7" w:rsidRDefault="004C397E" w:rsidP="00B553A4">
            <w:pPr>
              <w:keepNext/>
              <w:jc w:val="center"/>
              <w:rPr>
                <w:rFonts w:ascii="Arial Narrow" w:hAnsi="Arial Narrow"/>
                <w:b/>
                <w:sz w:val="20"/>
                <w:szCs w:val="20"/>
              </w:rPr>
            </w:pPr>
            <w:r w:rsidRPr="005A5BB7">
              <w:rPr>
                <w:rFonts w:ascii="Arial Narrow" w:hAnsi="Arial Narrow"/>
                <w:b/>
                <w:sz w:val="20"/>
                <w:szCs w:val="20"/>
              </w:rPr>
              <w:t>Proposed medicine</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37BE18D" w14:textId="77777777" w:rsidR="004C397E" w:rsidRPr="005A5BB7" w:rsidRDefault="004C397E" w:rsidP="00B553A4">
            <w:pPr>
              <w:keepNext/>
              <w:jc w:val="center"/>
              <w:rPr>
                <w:rFonts w:ascii="Arial Narrow" w:hAnsi="Arial Narrow"/>
                <w:b/>
                <w:sz w:val="20"/>
                <w:szCs w:val="20"/>
              </w:rPr>
            </w:pPr>
            <w:r w:rsidRPr="005A5BB7">
              <w:rPr>
                <w:rFonts w:ascii="Arial Narrow" w:hAnsi="Arial Narrow"/>
                <w:b/>
                <w:sz w:val="20"/>
                <w:szCs w:val="20"/>
              </w:rPr>
              <w:t>Comparator</w:t>
            </w:r>
          </w:p>
        </w:tc>
        <w:tc>
          <w:tcPr>
            <w:tcW w:w="1144" w:type="pct"/>
            <w:tcBorders>
              <w:top w:val="single" w:sz="4" w:space="0" w:color="auto"/>
              <w:left w:val="single" w:sz="4" w:space="0" w:color="auto"/>
              <w:bottom w:val="single" w:sz="4" w:space="0" w:color="auto"/>
              <w:right w:val="single" w:sz="4" w:space="0" w:color="auto"/>
            </w:tcBorders>
            <w:vAlign w:val="center"/>
            <w:hideMark/>
          </w:tcPr>
          <w:p w14:paraId="3288ADA6" w14:textId="77777777" w:rsidR="004C397E" w:rsidRPr="005A5BB7" w:rsidRDefault="004C397E" w:rsidP="00B553A4">
            <w:pPr>
              <w:keepNext/>
              <w:jc w:val="center"/>
              <w:rPr>
                <w:rFonts w:ascii="Arial Narrow" w:hAnsi="Arial Narrow"/>
                <w:b/>
                <w:sz w:val="20"/>
                <w:szCs w:val="20"/>
              </w:rPr>
            </w:pPr>
            <w:r w:rsidRPr="005A5BB7">
              <w:rPr>
                <w:rFonts w:ascii="Arial Narrow" w:hAnsi="Arial Narrow"/>
                <w:b/>
                <w:sz w:val="20"/>
                <w:szCs w:val="20"/>
              </w:rPr>
              <w:t>Increment</w:t>
            </w:r>
          </w:p>
        </w:tc>
      </w:tr>
      <w:tr w:rsidR="004C397E" w:rsidRPr="005A5BB7" w14:paraId="4D65C7BA" w14:textId="77777777" w:rsidTr="005B71B5">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6C562A3" w14:textId="3189010D" w:rsidR="004C397E" w:rsidRPr="005A5BB7" w:rsidRDefault="004C397E" w:rsidP="00B553A4">
            <w:pPr>
              <w:keepNext/>
              <w:rPr>
                <w:rFonts w:ascii="Arial Narrow" w:hAnsi="Arial Narrow"/>
                <w:b/>
                <w:sz w:val="20"/>
                <w:szCs w:val="20"/>
              </w:rPr>
            </w:pPr>
            <w:r w:rsidRPr="005A5BB7">
              <w:rPr>
                <w:rFonts w:ascii="Arial Narrow" w:hAnsi="Arial Narrow"/>
                <w:b/>
                <w:sz w:val="20"/>
                <w:szCs w:val="20"/>
              </w:rPr>
              <w:t>Step 1: Crude hospitalisation rate (trial</w:t>
            </w:r>
            <w:r w:rsidR="000E4816">
              <w:rPr>
                <w:rFonts w:ascii="Arial Narrow" w:hAnsi="Arial Narrow"/>
                <w:b/>
                <w:sz w:val="20"/>
                <w:szCs w:val="20"/>
              </w:rPr>
              <w:noBreakHyphen/>
            </w:r>
            <w:r w:rsidRPr="005A5BB7">
              <w:rPr>
                <w:rFonts w:ascii="Arial Narrow" w:hAnsi="Arial Narrow"/>
                <w:b/>
                <w:sz w:val="20"/>
                <w:szCs w:val="20"/>
              </w:rPr>
              <w:t>based outcomes 3</w:t>
            </w:r>
            <w:r w:rsidR="000E4816">
              <w:rPr>
                <w:rFonts w:ascii="Arial Narrow" w:hAnsi="Arial Narrow"/>
                <w:b/>
                <w:sz w:val="20"/>
                <w:szCs w:val="20"/>
              </w:rPr>
              <w:noBreakHyphen/>
            </w:r>
            <w:r w:rsidRPr="005A5BB7">
              <w:rPr>
                <w:rFonts w:ascii="Arial Narrow" w:hAnsi="Arial Narrow"/>
                <w:b/>
                <w:sz w:val="20"/>
                <w:szCs w:val="20"/>
              </w:rPr>
              <w:t>year VE)</w:t>
            </w:r>
            <w:r w:rsidR="0012461E" w:rsidRPr="005A5BB7">
              <w:rPr>
                <w:rFonts w:ascii="Arial Narrow" w:hAnsi="Arial Narrow"/>
                <w:b/>
                <w:iCs/>
                <w:sz w:val="20"/>
                <w:szCs w:val="20"/>
              </w:rPr>
              <w:t xml:space="preserve">, corrected in ESC Advice </w:t>
            </w:r>
          </w:p>
        </w:tc>
      </w:tr>
      <w:tr w:rsidR="0012461E" w:rsidRPr="005A5BB7" w14:paraId="44734097"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54AC1378" w14:textId="77777777" w:rsidR="0012461E" w:rsidRPr="005A5BB7" w:rsidRDefault="0012461E" w:rsidP="0012461E">
            <w:pPr>
              <w:rPr>
                <w:rFonts w:ascii="Arial Narrow" w:hAnsi="Arial Narrow"/>
                <w:bCs/>
                <w:sz w:val="20"/>
                <w:szCs w:val="20"/>
              </w:rPr>
            </w:pPr>
            <w:r w:rsidRPr="005A5BB7">
              <w:rPr>
                <w:rFonts w:ascii="Arial Narrow" w:hAnsi="Arial Narrow"/>
                <w:bCs/>
                <w:sz w:val="20"/>
                <w:szCs w:val="20"/>
              </w:rPr>
              <w:t>Costs</w:t>
            </w:r>
          </w:p>
        </w:tc>
        <w:tc>
          <w:tcPr>
            <w:tcW w:w="1257" w:type="pct"/>
            <w:tcBorders>
              <w:top w:val="single" w:sz="4" w:space="0" w:color="auto"/>
              <w:left w:val="single" w:sz="4" w:space="0" w:color="auto"/>
              <w:bottom w:val="single" w:sz="4" w:space="0" w:color="auto"/>
              <w:right w:val="single" w:sz="4" w:space="0" w:color="auto"/>
            </w:tcBorders>
            <w:vAlign w:val="center"/>
            <w:hideMark/>
          </w:tcPr>
          <w:p w14:paraId="6873C7D2" w14:textId="4A9AD957" w:rsidR="0012461E" w:rsidRPr="005A5BB7" w:rsidRDefault="0012461E" w:rsidP="0012461E">
            <w:pPr>
              <w:jc w:val="center"/>
              <w:rPr>
                <w:rFonts w:ascii="Arial Narrow" w:hAnsi="Arial Narrow"/>
                <w:bCs/>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3CC5AC57" w14:textId="5AAFAB9E" w:rsidR="0012461E" w:rsidRPr="005A5BB7" w:rsidRDefault="0012461E" w:rsidP="0012461E">
            <w:pPr>
              <w:jc w:val="center"/>
              <w:rPr>
                <w:rFonts w:ascii="Arial Narrow" w:hAnsi="Arial Narrow"/>
                <w:bCs/>
                <w:sz w:val="20"/>
                <w:szCs w:val="20"/>
              </w:rPr>
            </w:pPr>
            <w:r w:rsidRPr="005A5BB7">
              <w:rPr>
                <w:rFonts w:ascii="Arial Narrow" w:hAnsi="Arial Narrow" w:cs="Calibri"/>
                <w:iCs/>
                <w:color w:val="000000"/>
                <w:sz w:val="20"/>
                <w:szCs w:val="20"/>
              </w:rPr>
              <w:t>$246,915,612</w:t>
            </w:r>
          </w:p>
        </w:tc>
        <w:tc>
          <w:tcPr>
            <w:tcW w:w="1144" w:type="pct"/>
            <w:tcBorders>
              <w:top w:val="single" w:sz="4" w:space="0" w:color="auto"/>
              <w:left w:val="single" w:sz="4" w:space="0" w:color="auto"/>
              <w:bottom w:val="single" w:sz="4" w:space="0" w:color="auto"/>
              <w:right w:val="single" w:sz="4" w:space="0" w:color="auto"/>
            </w:tcBorders>
            <w:vAlign w:val="center"/>
            <w:hideMark/>
          </w:tcPr>
          <w:p w14:paraId="06715269" w14:textId="1B39B9F9" w:rsidR="0012461E" w:rsidRPr="005A5BB7" w:rsidRDefault="0012461E" w:rsidP="0012461E">
            <w:pPr>
              <w:jc w:val="center"/>
              <w:rPr>
                <w:rFonts w:ascii="Arial Narrow" w:hAnsi="Arial Narrow"/>
                <w:bCs/>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r>
      <w:tr w:rsidR="0012461E" w:rsidRPr="005A5BB7" w14:paraId="30915F81"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1481AE69" w14:textId="21741498" w:rsidR="0012461E" w:rsidRPr="005A5BB7" w:rsidRDefault="0012461E" w:rsidP="0012461E">
            <w:pPr>
              <w:rPr>
                <w:rFonts w:ascii="Arial Narrow" w:hAnsi="Arial Narrow"/>
                <w:bCs/>
                <w:sz w:val="20"/>
                <w:szCs w:val="20"/>
              </w:rPr>
            </w:pPr>
            <w:r w:rsidRPr="005A5BB7">
              <w:rPr>
                <w:rFonts w:ascii="Arial Narrow" w:hAnsi="Arial Narrow"/>
                <w:bCs/>
                <w:sz w:val="20"/>
                <w:szCs w:val="20"/>
              </w:rPr>
              <w:t>QALYs lost</w:t>
            </w:r>
          </w:p>
        </w:tc>
        <w:tc>
          <w:tcPr>
            <w:tcW w:w="1257" w:type="pct"/>
            <w:tcBorders>
              <w:top w:val="single" w:sz="4" w:space="0" w:color="auto"/>
              <w:left w:val="single" w:sz="4" w:space="0" w:color="auto"/>
              <w:bottom w:val="single" w:sz="4" w:space="0" w:color="auto"/>
              <w:right w:val="single" w:sz="4" w:space="0" w:color="auto"/>
            </w:tcBorders>
            <w:vAlign w:val="center"/>
            <w:hideMark/>
          </w:tcPr>
          <w:p w14:paraId="4E0CA58B" w14:textId="1CF3C1F4" w:rsidR="0012461E" w:rsidRPr="005A5BB7" w:rsidRDefault="0012461E" w:rsidP="0012461E">
            <w:pPr>
              <w:jc w:val="center"/>
              <w:rPr>
                <w:rFonts w:ascii="Arial Narrow" w:hAnsi="Arial Narrow"/>
                <w:bCs/>
                <w:sz w:val="20"/>
                <w:szCs w:val="20"/>
              </w:rPr>
            </w:pPr>
            <w:r w:rsidRPr="005A5BB7">
              <w:rPr>
                <w:rFonts w:ascii="Arial Narrow" w:hAnsi="Arial Narrow" w:cs="Calibri"/>
                <w:iCs/>
                <w:color w:val="000000"/>
                <w:sz w:val="20"/>
                <w:szCs w:val="20"/>
              </w:rPr>
              <w:t>10,345</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637B690" w14:textId="6ADB1C89" w:rsidR="0012461E" w:rsidRPr="005A5BB7" w:rsidRDefault="0012461E" w:rsidP="0012461E">
            <w:pPr>
              <w:jc w:val="center"/>
              <w:rPr>
                <w:rFonts w:ascii="Arial Narrow" w:hAnsi="Arial Narrow"/>
                <w:bCs/>
                <w:sz w:val="20"/>
                <w:szCs w:val="20"/>
              </w:rPr>
            </w:pPr>
            <w:r w:rsidRPr="005A5BB7">
              <w:rPr>
                <w:rFonts w:ascii="Arial Narrow" w:hAnsi="Arial Narrow" w:cs="Calibri"/>
                <w:iCs/>
                <w:color w:val="000000"/>
                <w:sz w:val="20"/>
                <w:szCs w:val="20"/>
              </w:rPr>
              <w:t>15,190</w:t>
            </w:r>
          </w:p>
        </w:tc>
        <w:tc>
          <w:tcPr>
            <w:tcW w:w="1144" w:type="pct"/>
            <w:tcBorders>
              <w:top w:val="single" w:sz="4" w:space="0" w:color="auto"/>
              <w:left w:val="single" w:sz="4" w:space="0" w:color="auto"/>
              <w:bottom w:val="single" w:sz="4" w:space="0" w:color="auto"/>
              <w:right w:val="single" w:sz="4" w:space="0" w:color="auto"/>
            </w:tcBorders>
            <w:vAlign w:val="center"/>
            <w:hideMark/>
          </w:tcPr>
          <w:p w14:paraId="32638FD3" w14:textId="6BC0037B" w:rsidR="0012461E" w:rsidRPr="005A5BB7" w:rsidRDefault="000E4816" w:rsidP="0012461E">
            <w:pPr>
              <w:jc w:val="center"/>
              <w:rPr>
                <w:rFonts w:ascii="Arial Narrow" w:hAnsi="Arial Narrow"/>
                <w:bCs/>
                <w:sz w:val="20"/>
                <w:szCs w:val="20"/>
              </w:rPr>
            </w:pPr>
            <w:r>
              <w:rPr>
                <w:rFonts w:ascii="Arial Narrow" w:hAnsi="Arial Narrow" w:cs="Calibri"/>
                <w:iCs/>
                <w:sz w:val="20"/>
                <w:szCs w:val="20"/>
              </w:rPr>
              <w:noBreakHyphen/>
            </w:r>
            <w:r w:rsidR="0012461E" w:rsidRPr="005A5BB7">
              <w:rPr>
                <w:rFonts w:ascii="Arial Narrow" w:hAnsi="Arial Narrow" w:cs="Calibri"/>
                <w:iCs/>
                <w:sz w:val="20"/>
                <w:szCs w:val="20"/>
              </w:rPr>
              <w:t>4,845</w:t>
            </w:r>
          </w:p>
        </w:tc>
      </w:tr>
      <w:tr w:rsidR="004C397E" w:rsidRPr="005A5BB7" w14:paraId="5626A49E" w14:textId="77777777" w:rsidTr="005B71B5">
        <w:tc>
          <w:tcPr>
            <w:tcW w:w="3856" w:type="pct"/>
            <w:gridSpan w:val="3"/>
            <w:tcBorders>
              <w:top w:val="single" w:sz="4" w:space="0" w:color="auto"/>
              <w:left w:val="single" w:sz="4" w:space="0" w:color="auto"/>
              <w:bottom w:val="single" w:sz="4" w:space="0" w:color="auto"/>
              <w:right w:val="single" w:sz="4" w:space="0" w:color="auto"/>
            </w:tcBorders>
            <w:vAlign w:val="center"/>
            <w:hideMark/>
          </w:tcPr>
          <w:p w14:paraId="5409A723" w14:textId="464D549E" w:rsidR="004C397E" w:rsidRPr="005A5BB7" w:rsidRDefault="004C397E" w:rsidP="005B71B5">
            <w:pPr>
              <w:rPr>
                <w:rFonts w:ascii="Arial Narrow" w:hAnsi="Arial Narrow"/>
                <w:bCs/>
                <w:sz w:val="20"/>
                <w:szCs w:val="20"/>
              </w:rPr>
            </w:pPr>
            <w:r w:rsidRPr="005A5BB7">
              <w:rPr>
                <w:rFonts w:ascii="Arial Narrow" w:hAnsi="Arial Narrow"/>
                <w:bCs/>
                <w:sz w:val="20"/>
                <w:szCs w:val="20"/>
              </w:rPr>
              <w:t>Incremental cost/extra QALY</w:t>
            </w:r>
            <w:r w:rsidR="00462C35" w:rsidRPr="005A5BB7">
              <w:rPr>
                <w:rFonts w:ascii="Arial Narrow" w:hAnsi="Arial Narrow"/>
                <w:bCs/>
                <w:sz w:val="20"/>
                <w:szCs w:val="20"/>
              </w:rPr>
              <w:t>s</w:t>
            </w:r>
            <w:r w:rsidRPr="005A5BB7">
              <w:rPr>
                <w:rFonts w:ascii="Arial Narrow" w:hAnsi="Arial Narrow"/>
                <w:bCs/>
                <w:sz w:val="20"/>
                <w:szCs w:val="20"/>
              </w:rPr>
              <w:t xml:space="preserve"> gained</w:t>
            </w:r>
          </w:p>
        </w:tc>
        <w:tc>
          <w:tcPr>
            <w:tcW w:w="1144" w:type="pct"/>
            <w:tcBorders>
              <w:top w:val="single" w:sz="4" w:space="0" w:color="auto"/>
              <w:left w:val="single" w:sz="4" w:space="0" w:color="auto"/>
              <w:bottom w:val="single" w:sz="4" w:space="0" w:color="auto"/>
              <w:right w:val="single" w:sz="4" w:space="0" w:color="auto"/>
            </w:tcBorders>
            <w:vAlign w:val="center"/>
            <w:hideMark/>
          </w:tcPr>
          <w:p w14:paraId="115DCA4D" w14:textId="6E9DD005" w:rsidR="004C397E" w:rsidRPr="005C0330" w:rsidRDefault="0012461E" w:rsidP="005B71B5">
            <w:pPr>
              <w:jc w:val="center"/>
              <w:rPr>
                <w:rFonts w:ascii="Arial Narrow" w:hAnsi="Arial Narrow"/>
                <w:bCs/>
                <w:sz w:val="20"/>
                <w:szCs w:val="20"/>
                <w:vertAlign w:val="superscript"/>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005C0330">
              <w:rPr>
                <w:rFonts w:ascii="Arial Narrow" w:hAnsi="Arial Narrow" w:cs="Calibri"/>
                <w:iCs/>
                <w:color w:val="000000"/>
                <w:sz w:val="20"/>
                <w:szCs w:val="20"/>
                <w:vertAlign w:val="superscript"/>
              </w:rPr>
              <w:t>1</w:t>
            </w:r>
          </w:p>
        </w:tc>
      </w:tr>
      <w:tr w:rsidR="004C397E" w:rsidRPr="005A5BB7" w14:paraId="6CA72F9F" w14:textId="77777777" w:rsidTr="005B71B5">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3862787" w14:textId="3782B740" w:rsidR="004C397E" w:rsidRPr="005A5BB7" w:rsidRDefault="004C397E" w:rsidP="005B71B5">
            <w:pPr>
              <w:rPr>
                <w:rFonts w:ascii="Arial Narrow" w:hAnsi="Arial Narrow"/>
                <w:b/>
                <w:sz w:val="20"/>
                <w:szCs w:val="20"/>
              </w:rPr>
            </w:pPr>
            <w:r w:rsidRPr="005A5BB7">
              <w:rPr>
                <w:rFonts w:ascii="Arial Narrow" w:hAnsi="Arial Narrow"/>
                <w:b/>
                <w:sz w:val="20"/>
                <w:szCs w:val="20"/>
              </w:rPr>
              <w:t>Step 2: Adjust crude hospitalisation rates to reflect the general population aged 60</w:t>
            </w:r>
            <w:r w:rsidR="000E4816">
              <w:rPr>
                <w:rFonts w:ascii="Arial Narrow" w:hAnsi="Arial Narrow"/>
                <w:b/>
                <w:sz w:val="20"/>
                <w:szCs w:val="20"/>
              </w:rPr>
              <w:noBreakHyphen/>
            </w:r>
            <w:r w:rsidRPr="005A5BB7">
              <w:rPr>
                <w:rFonts w:ascii="Arial Narrow" w:hAnsi="Arial Narrow"/>
                <w:b/>
                <w:sz w:val="20"/>
                <w:szCs w:val="20"/>
              </w:rPr>
              <w:t>74 years (2.00 UAM)</w:t>
            </w:r>
          </w:p>
        </w:tc>
      </w:tr>
      <w:tr w:rsidR="004C397E" w:rsidRPr="005A5BB7" w14:paraId="3955AABD"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64DACED6"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Costs</w:t>
            </w:r>
          </w:p>
        </w:tc>
        <w:tc>
          <w:tcPr>
            <w:tcW w:w="1257" w:type="pct"/>
            <w:tcBorders>
              <w:top w:val="single" w:sz="4" w:space="0" w:color="auto"/>
              <w:left w:val="single" w:sz="4" w:space="0" w:color="auto"/>
              <w:bottom w:val="single" w:sz="4" w:space="0" w:color="auto"/>
              <w:right w:val="single" w:sz="4" w:space="0" w:color="auto"/>
            </w:tcBorders>
            <w:vAlign w:val="center"/>
            <w:hideMark/>
          </w:tcPr>
          <w:p w14:paraId="393DCD1F" w14:textId="01EB70D9"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12F2EEE3" w14:textId="2FB5DEE4"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$370,087,791</w:t>
            </w:r>
          </w:p>
        </w:tc>
        <w:tc>
          <w:tcPr>
            <w:tcW w:w="1144" w:type="pct"/>
            <w:tcBorders>
              <w:top w:val="single" w:sz="4" w:space="0" w:color="auto"/>
              <w:left w:val="single" w:sz="4" w:space="0" w:color="auto"/>
              <w:bottom w:val="single" w:sz="4" w:space="0" w:color="auto"/>
              <w:right w:val="single" w:sz="4" w:space="0" w:color="auto"/>
            </w:tcBorders>
            <w:vAlign w:val="center"/>
            <w:hideMark/>
          </w:tcPr>
          <w:p w14:paraId="0CC33F07" w14:textId="11DA2D7A"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r>
      <w:tr w:rsidR="004C397E" w:rsidRPr="005A5BB7" w14:paraId="08E67800"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2683DB2B"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QALYs lost</w:t>
            </w:r>
          </w:p>
        </w:tc>
        <w:tc>
          <w:tcPr>
            <w:tcW w:w="1257" w:type="pct"/>
            <w:tcBorders>
              <w:top w:val="single" w:sz="4" w:space="0" w:color="auto"/>
              <w:left w:val="single" w:sz="4" w:space="0" w:color="auto"/>
              <w:bottom w:val="single" w:sz="4" w:space="0" w:color="auto"/>
              <w:right w:val="single" w:sz="4" w:space="0" w:color="auto"/>
            </w:tcBorders>
            <w:vAlign w:val="center"/>
            <w:hideMark/>
          </w:tcPr>
          <w:p w14:paraId="2B7BD78A" w14:textId="4DC72A5E"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12,688</w:t>
            </w:r>
          </w:p>
        </w:tc>
        <w:tc>
          <w:tcPr>
            <w:tcW w:w="1174" w:type="pct"/>
            <w:tcBorders>
              <w:top w:val="single" w:sz="4" w:space="0" w:color="auto"/>
              <w:left w:val="single" w:sz="4" w:space="0" w:color="auto"/>
              <w:bottom w:val="single" w:sz="4" w:space="0" w:color="auto"/>
              <w:right w:val="single" w:sz="4" w:space="0" w:color="auto"/>
            </w:tcBorders>
            <w:vAlign w:val="center"/>
            <w:hideMark/>
          </w:tcPr>
          <w:p w14:paraId="49089795" w14:textId="6CB13E46"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18,983</w:t>
            </w:r>
          </w:p>
        </w:tc>
        <w:tc>
          <w:tcPr>
            <w:tcW w:w="1144" w:type="pct"/>
            <w:tcBorders>
              <w:top w:val="single" w:sz="4" w:space="0" w:color="auto"/>
              <w:left w:val="single" w:sz="4" w:space="0" w:color="auto"/>
              <w:bottom w:val="single" w:sz="4" w:space="0" w:color="auto"/>
              <w:right w:val="single" w:sz="4" w:space="0" w:color="auto"/>
            </w:tcBorders>
            <w:vAlign w:val="center"/>
            <w:hideMark/>
          </w:tcPr>
          <w:p w14:paraId="69AC0FC9" w14:textId="1C3CF3C3" w:rsidR="004C397E" w:rsidRPr="005A5BB7" w:rsidRDefault="000E4816" w:rsidP="005B71B5">
            <w:pPr>
              <w:jc w:val="center"/>
              <w:rPr>
                <w:rFonts w:ascii="Arial Narrow" w:hAnsi="Arial Narrow"/>
                <w:bCs/>
                <w:sz w:val="20"/>
                <w:szCs w:val="20"/>
              </w:rPr>
            </w:pPr>
            <w:r>
              <w:rPr>
                <w:rFonts w:ascii="Arial Narrow" w:hAnsi="Arial Narrow" w:cs="Calibri"/>
                <w:sz w:val="20"/>
                <w:szCs w:val="20"/>
              </w:rPr>
              <w:noBreakHyphen/>
            </w:r>
            <w:r w:rsidR="004C397E" w:rsidRPr="005A5BB7">
              <w:rPr>
                <w:rFonts w:ascii="Arial Narrow" w:hAnsi="Arial Narrow" w:cs="Calibri"/>
                <w:sz w:val="20"/>
                <w:szCs w:val="20"/>
              </w:rPr>
              <w:t>6,295</w:t>
            </w:r>
          </w:p>
        </w:tc>
      </w:tr>
      <w:tr w:rsidR="004C397E" w:rsidRPr="005A5BB7" w14:paraId="538FF7BF" w14:textId="77777777" w:rsidTr="005B71B5">
        <w:tc>
          <w:tcPr>
            <w:tcW w:w="3856" w:type="pct"/>
            <w:gridSpan w:val="3"/>
            <w:tcBorders>
              <w:top w:val="single" w:sz="4" w:space="0" w:color="auto"/>
              <w:left w:val="single" w:sz="4" w:space="0" w:color="auto"/>
              <w:bottom w:val="single" w:sz="4" w:space="0" w:color="auto"/>
              <w:right w:val="single" w:sz="4" w:space="0" w:color="auto"/>
            </w:tcBorders>
            <w:vAlign w:val="center"/>
            <w:hideMark/>
          </w:tcPr>
          <w:p w14:paraId="0C9653A5" w14:textId="580EE11E" w:rsidR="004C397E" w:rsidRPr="005A5BB7" w:rsidRDefault="004C397E" w:rsidP="005B71B5">
            <w:pPr>
              <w:rPr>
                <w:rFonts w:ascii="Arial Narrow" w:hAnsi="Arial Narrow"/>
                <w:bCs/>
                <w:sz w:val="20"/>
                <w:szCs w:val="20"/>
              </w:rPr>
            </w:pPr>
            <w:r w:rsidRPr="005A5BB7">
              <w:rPr>
                <w:rFonts w:ascii="Arial Narrow" w:hAnsi="Arial Narrow"/>
                <w:bCs/>
                <w:sz w:val="20"/>
                <w:szCs w:val="20"/>
              </w:rPr>
              <w:t>Incremental cost/extra QALY</w:t>
            </w:r>
            <w:r w:rsidR="00462C35" w:rsidRPr="005A5BB7">
              <w:rPr>
                <w:rFonts w:ascii="Arial Narrow" w:hAnsi="Arial Narrow"/>
                <w:bCs/>
                <w:sz w:val="20"/>
                <w:szCs w:val="20"/>
              </w:rPr>
              <w:t>s</w:t>
            </w:r>
            <w:r w:rsidRPr="005A5BB7">
              <w:rPr>
                <w:rFonts w:ascii="Arial Narrow" w:hAnsi="Arial Narrow"/>
                <w:bCs/>
                <w:sz w:val="20"/>
                <w:szCs w:val="20"/>
              </w:rPr>
              <w:t xml:space="preserve"> gained</w:t>
            </w:r>
          </w:p>
        </w:tc>
        <w:tc>
          <w:tcPr>
            <w:tcW w:w="1144" w:type="pct"/>
            <w:tcBorders>
              <w:top w:val="single" w:sz="4" w:space="0" w:color="auto"/>
              <w:left w:val="single" w:sz="4" w:space="0" w:color="auto"/>
              <w:bottom w:val="single" w:sz="4" w:space="0" w:color="auto"/>
              <w:right w:val="single" w:sz="4" w:space="0" w:color="auto"/>
            </w:tcBorders>
            <w:vAlign w:val="center"/>
            <w:hideMark/>
          </w:tcPr>
          <w:p w14:paraId="7E13AAE4" w14:textId="37D077D2" w:rsidR="004C397E" w:rsidRPr="00E25CEB" w:rsidRDefault="004C397E" w:rsidP="005B71B5">
            <w:pPr>
              <w:jc w:val="center"/>
              <w:rPr>
                <w:rFonts w:ascii="Arial Narrow" w:hAnsi="Arial Narrow"/>
                <w:bCs/>
                <w:sz w:val="20"/>
                <w:szCs w:val="20"/>
                <w:vertAlign w:val="superscript"/>
              </w:rPr>
            </w:pPr>
            <w:r w:rsidRPr="005A5BB7">
              <w:rPr>
                <w:rFonts w:ascii="Arial Narrow" w:hAnsi="Arial Narrow"/>
                <w:bCs/>
                <w:sz w:val="20"/>
                <w:szCs w:val="20"/>
              </w:rPr>
              <w:t>$</w:t>
            </w:r>
            <w:r w:rsidR="00F15B97" w:rsidRPr="00F15B97">
              <w:rPr>
                <w:rFonts w:ascii="Arial Narrow" w:hAnsi="Arial Narrow" w:cs="Calibri"/>
                <w:color w:val="000000"/>
                <w:sz w:val="2"/>
                <w:szCs w:val="20"/>
                <w:highlight w:val="black"/>
              </w:rPr>
              <w:t>redacted content</w:t>
            </w:r>
            <w:r w:rsidR="00E25CEB">
              <w:rPr>
                <w:rFonts w:ascii="Arial Narrow" w:hAnsi="Arial Narrow" w:cs="Calibri"/>
                <w:color w:val="000000"/>
                <w:sz w:val="20"/>
                <w:szCs w:val="20"/>
                <w:vertAlign w:val="superscript"/>
              </w:rPr>
              <w:t>2</w:t>
            </w:r>
          </w:p>
        </w:tc>
      </w:tr>
      <w:tr w:rsidR="004C397E" w:rsidRPr="005A5BB7" w14:paraId="4E277643" w14:textId="77777777" w:rsidTr="005B71B5">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5202B3C" w14:textId="77777777" w:rsidR="004C397E" w:rsidRPr="005A5BB7" w:rsidRDefault="004C397E" w:rsidP="005B71B5">
            <w:pPr>
              <w:rPr>
                <w:rFonts w:ascii="Arial Narrow" w:hAnsi="Arial Narrow"/>
                <w:b/>
                <w:sz w:val="20"/>
                <w:szCs w:val="20"/>
              </w:rPr>
            </w:pPr>
            <w:r w:rsidRPr="005A5BB7">
              <w:rPr>
                <w:rFonts w:ascii="Arial Narrow" w:hAnsi="Arial Narrow"/>
                <w:b/>
                <w:sz w:val="20"/>
                <w:szCs w:val="20"/>
              </w:rPr>
              <w:t>Step 3: Apply EHM (2.29)</w:t>
            </w:r>
          </w:p>
        </w:tc>
      </w:tr>
      <w:tr w:rsidR="004C397E" w:rsidRPr="005A5BB7" w14:paraId="4ECF2F60"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5AF0BD88"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Costs</w:t>
            </w:r>
          </w:p>
        </w:tc>
        <w:tc>
          <w:tcPr>
            <w:tcW w:w="1257" w:type="pct"/>
            <w:tcBorders>
              <w:top w:val="single" w:sz="4" w:space="0" w:color="auto"/>
              <w:left w:val="single" w:sz="4" w:space="0" w:color="auto"/>
              <w:bottom w:val="single" w:sz="4" w:space="0" w:color="auto"/>
              <w:right w:val="single" w:sz="4" w:space="0" w:color="auto"/>
            </w:tcBorders>
            <w:vAlign w:val="center"/>
          </w:tcPr>
          <w:p w14:paraId="60A3F866" w14:textId="0DEC2A30"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1174" w:type="pct"/>
            <w:tcBorders>
              <w:top w:val="single" w:sz="4" w:space="0" w:color="auto"/>
              <w:left w:val="single" w:sz="4" w:space="0" w:color="auto"/>
              <w:bottom w:val="single" w:sz="4" w:space="0" w:color="auto"/>
              <w:right w:val="single" w:sz="4" w:space="0" w:color="auto"/>
            </w:tcBorders>
            <w:vAlign w:val="center"/>
          </w:tcPr>
          <w:p w14:paraId="0D7D53C6" w14:textId="39D1B58C"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$687,811,652</w:t>
            </w:r>
          </w:p>
        </w:tc>
        <w:tc>
          <w:tcPr>
            <w:tcW w:w="1144" w:type="pct"/>
            <w:tcBorders>
              <w:top w:val="single" w:sz="4" w:space="0" w:color="auto"/>
              <w:left w:val="single" w:sz="4" w:space="0" w:color="auto"/>
              <w:bottom w:val="single" w:sz="4" w:space="0" w:color="auto"/>
              <w:right w:val="single" w:sz="4" w:space="0" w:color="auto"/>
            </w:tcBorders>
            <w:vAlign w:val="center"/>
          </w:tcPr>
          <w:p w14:paraId="1C0389EE" w14:textId="038B7DE0"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r>
      <w:tr w:rsidR="004C397E" w:rsidRPr="005A5BB7" w14:paraId="007D598E"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7D594D63"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QALYs lost</w:t>
            </w:r>
          </w:p>
        </w:tc>
        <w:tc>
          <w:tcPr>
            <w:tcW w:w="1257" w:type="pct"/>
            <w:tcBorders>
              <w:top w:val="single" w:sz="4" w:space="0" w:color="auto"/>
              <w:left w:val="single" w:sz="4" w:space="0" w:color="auto"/>
              <w:bottom w:val="single" w:sz="4" w:space="0" w:color="auto"/>
              <w:right w:val="single" w:sz="4" w:space="0" w:color="auto"/>
            </w:tcBorders>
            <w:vAlign w:val="center"/>
          </w:tcPr>
          <w:p w14:paraId="65FAD529" w14:textId="3CBC4206"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18,734</w:t>
            </w:r>
          </w:p>
        </w:tc>
        <w:tc>
          <w:tcPr>
            <w:tcW w:w="1174" w:type="pct"/>
            <w:tcBorders>
              <w:top w:val="single" w:sz="4" w:space="0" w:color="auto"/>
              <w:left w:val="single" w:sz="4" w:space="0" w:color="auto"/>
              <w:bottom w:val="single" w:sz="4" w:space="0" w:color="auto"/>
              <w:right w:val="single" w:sz="4" w:space="0" w:color="auto"/>
            </w:tcBorders>
            <w:vAlign w:val="center"/>
          </w:tcPr>
          <w:p w14:paraId="62D06C05" w14:textId="1D3DA75D" w:rsidR="004C397E" w:rsidRPr="005A5BB7" w:rsidRDefault="004C397E" w:rsidP="005B71B5">
            <w:pPr>
              <w:jc w:val="center"/>
              <w:rPr>
                <w:rFonts w:ascii="Arial Narrow" w:hAnsi="Arial Narrow"/>
                <w:bCs/>
                <w:sz w:val="20"/>
                <w:szCs w:val="20"/>
              </w:rPr>
            </w:pPr>
            <w:r w:rsidRPr="005A5BB7">
              <w:rPr>
                <w:rFonts w:ascii="Arial Narrow" w:hAnsi="Arial Narrow" w:cs="Calibri"/>
                <w:sz w:val="20"/>
                <w:szCs w:val="20"/>
              </w:rPr>
              <w:t>28,768</w:t>
            </w:r>
          </w:p>
        </w:tc>
        <w:tc>
          <w:tcPr>
            <w:tcW w:w="1144" w:type="pct"/>
            <w:tcBorders>
              <w:top w:val="single" w:sz="4" w:space="0" w:color="auto"/>
              <w:left w:val="single" w:sz="4" w:space="0" w:color="auto"/>
              <w:bottom w:val="single" w:sz="4" w:space="0" w:color="auto"/>
              <w:right w:val="single" w:sz="4" w:space="0" w:color="auto"/>
            </w:tcBorders>
            <w:vAlign w:val="center"/>
          </w:tcPr>
          <w:p w14:paraId="70CCEBC2" w14:textId="696051D0" w:rsidR="004C397E" w:rsidRPr="005A5BB7" w:rsidRDefault="000E4816" w:rsidP="005B71B5">
            <w:pPr>
              <w:jc w:val="center"/>
              <w:rPr>
                <w:rFonts w:ascii="Arial Narrow" w:hAnsi="Arial Narrow"/>
                <w:bCs/>
                <w:sz w:val="20"/>
                <w:szCs w:val="20"/>
              </w:rPr>
            </w:pPr>
            <w:r>
              <w:rPr>
                <w:rFonts w:ascii="Arial Narrow" w:hAnsi="Arial Narrow" w:cs="Calibri"/>
                <w:sz w:val="20"/>
                <w:szCs w:val="20"/>
              </w:rPr>
              <w:noBreakHyphen/>
            </w:r>
            <w:r w:rsidR="004C397E" w:rsidRPr="005A5BB7">
              <w:rPr>
                <w:rFonts w:ascii="Arial Narrow" w:hAnsi="Arial Narrow" w:cs="Calibri"/>
                <w:sz w:val="20"/>
                <w:szCs w:val="20"/>
              </w:rPr>
              <w:t>10,034</w:t>
            </w:r>
          </w:p>
        </w:tc>
      </w:tr>
      <w:tr w:rsidR="004C397E" w:rsidRPr="005A5BB7" w14:paraId="7C23F80F" w14:textId="77777777" w:rsidTr="005B71B5">
        <w:tc>
          <w:tcPr>
            <w:tcW w:w="3856" w:type="pct"/>
            <w:gridSpan w:val="3"/>
            <w:tcBorders>
              <w:top w:val="single" w:sz="4" w:space="0" w:color="auto"/>
              <w:left w:val="single" w:sz="4" w:space="0" w:color="auto"/>
              <w:bottom w:val="single" w:sz="4" w:space="0" w:color="auto"/>
              <w:right w:val="single" w:sz="4" w:space="0" w:color="auto"/>
            </w:tcBorders>
            <w:vAlign w:val="center"/>
            <w:hideMark/>
          </w:tcPr>
          <w:p w14:paraId="63E15B99" w14:textId="036E5888" w:rsidR="004C397E" w:rsidRPr="005A5BB7" w:rsidRDefault="004C397E" w:rsidP="005B71B5">
            <w:pPr>
              <w:rPr>
                <w:rFonts w:ascii="Arial Narrow" w:hAnsi="Arial Narrow"/>
                <w:bCs/>
                <w:sz w:val="20"/>
                <w:szCs w:val="20"/>
              </w:rPr>
            </w:pPr>
            <w:r w:rsidRPr="005A5BB7">
              <w:rPr>
                <w:rFonts w:ascii="Arial Narrow" w:hAnsi="Arial Narrow"/>
                <w:bCs/>
                <w:sz w:val="20"/>
                <w:szCs w:val="20"/>
              </w:rPr>
              <w:t>Incremental cost/extra QALY</w:t>
            </w:r>
            <w:r w:rsidR="00462C35" w:rsidRPr="005A5BB7">
              <w:rPr>
                <w:rFonts w:ascii="Arial Narrow" w:hAnsi="Arial Narrow"/>
                <w:bCs/>
                <w:sz w:val="20"/>
                <w:szCs w:val="20"/>
              </w:rPr>
              <w:t>s</w:t>
            </w:r>
            <w:r w:rsidRPr="005A5BB7">
              <w:rPr>
                <w:rFonts w:ascii="Arial Narrow" w:hAnsi="Arial Narrow"/>
                <w:bCs/>
                <w:sz w:val="20"/>
                <w:szCs w:val="20"/>
              </w:rPr>
              <w:t xml:space="preserve"> gained</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783F391" w14:textId="5F91D97D" w:rsidR="004C397E" w:rsidRPr="0060206A" w:rsidRDefault="004C397E" w:rsidP="005B71B5">
            <w:pPr>
              <w:jc w:val="center"/>
              <w:rPr>
                <w:rFonts w:ascii="Arial Narrow" w:hAnsi="Arial Narrow"/>
                <w:bCs/>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60206A">
              <w:rPr>
                <w:rFonts w:ascii="Arial Narrow" w:hAnsi="Arial Narrow" w:cs="Calibri"/>
                <w:color w:val="000000"/>
                <w:sz w:val="20"/>
                <w:szCs w:val="20"/>
                <w:vertAlign w:val="superscript"/>
              </w:rPr>
              <w:t>3</w:t>
            </w:r>
          </w:p>
        </w:tc>
      </w:tr>
      <w:tr w:rsidR="004C397E" w:rsidRPr="005A5BB7" w14:paraId="4153F3EF" w14:textId="77777777" w:rsidTr="005B71B5">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AF0575B" w14:textId="77777777" w:rsidR="004C397E" w:rsidRPr="005A5BB7" w:rsidRDefault="004C397E" w:rsidP="005B71B5">
            <w:pPr>
              <w:rPr>
                <w:rFonts w:ascii="Arial Narrow" w:hAnsi="Arial Narrow"/>
                <w:b/>
                <w:sz w:val="20"/>
                <w:szCs w:val="20"/>
              </w:rPr>
            </w:pPr>
            <w:r w:rsidRPr="005A5BB7">
              <w:rPr>
                <w:rFonts w:ascii="Arial Narrow" w:hAnsi="Arial Narrow"/>
                <w:b/>
                <w:sz w:val="20"/>
                <w:szCs w:val="20"/>
              </w:rPr>
              <w:t>Step 4: Incorporate updated hospitalisation cost (from $9,900 to $13,967)</w:t>
            </w:r>
          </w:p>
        </w:tc>
      </w:tr>
      <w:tr w:rsidR="004C397E" w:rsidRPr="005A5BB7" w14:paraId="7E5989D7"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4CC1E24D"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Costs</w:t>
            </w:r>
          </w:p>
        </w:tc>
        <w:tc>
          <w:tcPr>
            <w:tcW w:w="1257" w:type="pct"/>
            <w:tcBorders>
              <w:top w:val="single" w:sz="4" w:space="0" w:color="auto"/>
              <w:left w:val="single" w:sz="4" w:space="0" w:color="auto"/>
              <w:bottom w:val="single" w:sz="4" w:space="0" w:color="auto"/>
              <w:right w:val="single" w:sz="4" w:space="0" w:color="auto"/>
            </w:tcBorders>
            <w:vAlign w:val="center"/>
            <w:hideMark/>
          </w:tcPr>
          <w:p w14:paraId="451392F1" w14:textId="43602B2E"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1AF901C4" w14:textId="1E3FB4FA"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$906,268,597</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DC58A5A" w14:textId="5BEDAE71"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r>
      <w:tr w:rsidR="004C397E" w:rsidRPr="005A5BB7" w14:paraId="1865D781"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4C09F391"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QALYs lost</w:t>
            </w:r>
          </w:p>
        </w:tc>
        <w:tc>
          <w:tcPr>
            <w:tcW w:w="1257" w:type="pct"/>
            <w:tcBorders>
              <w:top w:val="single" w:sz="4" w:space="0" w:color="auto"/>
              <w:left w:val="single" w:sz="4" w:space="0" w:color="auto"/>
              <w:bottom w:val="single" w:sz="4" w:space="0" w:color="auto"/>
              <w:right w:val="single" w:sz="4" w:space="0" w:color="auto"/>
            </w:tcBorders>
            <w:vAlign w:val="center"/>
            <w:hideMark/>
          </w:tcPr>
          <w:p w14:paraId="34D1E242" w14:textId="05B1A60A"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18,734</w:t>
            </w:r>
          </w:p>
        </w:tc>
        <w:tc>
          <w:tcPr>
            <w:tcW w:w="1174" w:type="pct"/>
            <w:tcBorders>
              <w:top w:val="single" w:sz="4" w:space="0" w:color="auto"/>
              <w:left w:val="single" w:sz="4" w:space="0" w:color="auto"/>
              <w:bottom w:val="single" w:sz="4" w:space="0" w:color="auto"/>
              <w:right w:val="single" w:sz="4" w:space="0" w:color="auto"/>
            </w:tcBorders>
            <w:vAlign w:val="center"/>
            <w:hideMark/>
          </w:tcPr>
          <w:p w14:paraId="72E1DCFC" w14:textId="0B3B830F"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28,768</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DE795AC" w14:textId="2F2F7E77" w:rsidR="004C397E" w:rsidRPr="005A5BB7" w:rsidRDefault="000E4816" w:rsidP="005B71B5">
            <w:pPr>
              <w:jc w:val="center"/>
              <w:rPr>
                <w:rFonts w:ascii="Arial Narrow" w:hAnsi="Arial Narrow"/>
                <w:bCs/>
                <w:sz w:val="20"/>
                <w:szCs w:val="20"/>
              </w:rPr>
            </w:pPr>
            <w:r>
              <w:rPr>
                <w:rFonts w:ascii="Arial Narrow" w:hAnsi="Arial Narrow" w:cs="Calibri"/>
                <w:sz w:val="20"/>
                <w:szCs w:val="20"/>
              </w:rPr>
              <w:noBreakHyphen/>
            </w:r>
            <w:r w:rsidR="004C397E" w:rsidRPr="005A5BB7">
              <w:rPr>
                <w:rFonts w:ascii="Arial Narrow" w:hAnsi="Arial Narrow" w:cs="Calibri"/>
                <w:sz w:val="20"/>
                <w:szCs w:val="20"/>
              </w:rPr>
              <w:t>10,034</w:t>
            </w:r>
          </w:p>
        </w:tc>
      </w:tr>
      <w:tr w:rsidR="004C397E" w:rsidRPr="005A5BB7" w14:paraId="5AD8963D" w14:textId="77777777" w:rsidTr="005B71B5">
        <w:tc>
          <w:tcPr>
            <w:tcW w:w="3856" w:type="pct"/>
            <w:gridSpan w:val="3"/>
            <w:tcBorders>
              <w:top w:val="single" w:sz="4" w:space="0" w:color="auto"/>
              <w:left w:val="single" w:sz="4" w:space="0" w:color="auto"/>
              <w:bottom w:val="single" w:sz="4" w:space="0" w:color="auto"/>
              <w:right w:val="single" w:sz="4" w:space="0" w:color="auto"/>
            </w:tcBorders>
            <w:vAlign w:val="center"/>
            <w:hideMark/>
          </w:tcPr>
          <w:p w14:paraId="1609388C" w14:textId="31CE545E" w:rsidR="004C397E" w:rsidRPr="005A5BB7" w:rsidRDefault="004C397E" w:rsidP="005B71B5">
            <w:pPr>
              <w:rPr>
                <w:rFonts w:ascii="Arial Narrow" w:hAnsi="Arial Narrow"/>
                <w:bCs/>
                <w:sz w:val="20"/>
                <w:szCs w:val="20"/>
              </w:rPr>
            </w:pPr>
            <w:r w:rsidRPr="005A5BB7">
              <w:rPr>
                <w:rFonts w:ascii="Arial Narrow" w:hAnsi="Arial Narrow"/>
                <w:bCs/>
                <w:sz w:val="20"/>
                <w:szCs w:val="20"/>
              </w:rPr>
              <w:t>Incremental cost/extra QALY</w:t>
            </w:r>
            <w:r w:rsidR="00462C35" w:rsidRPr="005A5BB7">
              <w:rPr>
                <w:rFonts w:ascii="Arial Narrow" w:hAnsi="Arial Narrow"/>
                <w:bCs/>
                <w:sz w:val="20"/>
                <w:szCs w:val="20"/>
              </w:rPr>
              <w:t>s</w:t>
            </w:r>
            <w:r w:rsidRPr="005A5BB7">
              <w:rPr>
                <w:rFonts w:ascii="Arial Narrow" w:hAnsi="Arial Narrow"/>
                <w:bCs/>
                <w:sz w:val="20"/>
                <w:szCs w:val="20"/>
              </w:rPr>
              <w:t xml:space="preserve"> gained</w:t>
            </w:r>
          </w:p>
        </w:tc>
        <w:tc>
          <w:tcPr>
            <w:tcW w:w="1144" w:type="pct"/>
            <w:tcBorders>
              <w:top w:val="single" w:sz="4" w:space="0" w:color="auto"/>
              <w:left w:val="single" w:sz="4" w:space="0" w:color="auto"/>
              <w:bottom w:val="single" w:sz="4" w:space="0" w:color="auto"/>
              <w:right w:val="single" w:sz="4" w:space="0" w:color="auto"/>
            </w:tcBorders>
            <w:vAlign w:val="center"/>
            <w:hideMark/>
          </w:tcPr>
          <w:p w14:paraId="7ACB0DAD" w14:textId="5E75CC71" w:rsidR="004C397E" w:rsidRPr="004C0849" w:rsidRDefault="004C397E" w:rsidP="005B71B5">
            <w:pPr>
              <w:jc w:val="center"/>
              <w:rPr>
                <w:rFonts w:ascii="Arial Narrow" w:hAnsi="Arial Narrow"/>
                <w:bCs/>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4C0849">
              <w:rPr>
                <w:rFonts w:ascii="Arial Narrow" w:hAnsi="Arial Narrow" w:cs="Calibri"/>
                <w:color w:val="000000"/>
                <w:sz w:val="20"/>
                <w:szCs w:val="20"/>
                <w:vertAlign w:val="superscript"/>
              </w:rPr>
              <w:t>4</w:t>
            </w:r>
          </w:p>
        </w:tc>
      </w:tr>
      <w:tr w:rsidR="004C397E" w:rsidRPr="005A5BB7" w14:paraId="5D303F26" w14:textId="77777777" w:rsidTr="005B71B5">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2088DAF" w14:textId="77777777" w:rsidR="004C397E" w:rsidRPr="005A5BB7" w:rsidRDefault="004C397E" w:rsidP="005B71B5">
            <w:pPr>
              <w:rPr>
                <w:rFonts w:ascii="Arial Narrow" w:hAnsi="Arial Narrow"/>
                <w:b/>
                <w:sz w:val="20"/>
                <w:szCs w:val="20"/>
              </w:rPr>
            </w:pPr>
            <w:r w:rsidRPr="005A5BB7">
              <w:rPr>
                <w:rFonts w:ascii="Arial Narrow" w:hAnsi="Arial Narrow"/>
                <w:b/>
                <w:sz w:val="20"/>
                <w:szCs w:val="20"/>
              </w:rPr>
              <w:t>Step 5: Extend VE from 3 years to 5 years</w:t>
            </w:r>
          </w:p>
        </w:tc>
      </w:tr>
      <w:tr w:rsidR="004C397E" w:rsidRPr="005A5BB7" w14:paraId="668B2891"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1EF38713"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Costs</w:t>
            </w:r>
          </w:p>
        </w:tc>
        <w:tc>
          <w:tcPr>
            <w:tcW w:w="1257" w:type="pct"/>
            <w:tcBorders>
              <w:top w:val="single" w:sz="4" w:space="0" w:color="auto"/>
              <w:left w:val="single" w:sz="4" w:space="0" w:color="auto"/>
              <w:bottom w:val="single" w:sz="4" w:space="0" w:color="auto"/>
              <w:right w:val="single" w:sz="4" w:space="0" w:color="auto"/>
            </w:tcBorders>
            <w:vAlign w:val="center"/>
            <w:hideMark/>
          </w:tcPr>
          <w:p w14:paraId="7F919773" w14:textId="37484ACF" w:rsidR="004C397E" w:rsidRPr="005A5BB7" w:rsidRDefault="004C397E" w:rsidP="005B71B5">
            <w:pPr>
              <w:jc w:val="center"/>
              <w:rPr>
                <w:rFonts w:ascii="Arial Narrow" w:hAnsi="Arial Narrow"/>
                <w:bCs/>
                <w:sz w:val="20"/>
                <w:szCs w:val="20"/>
              </w:rPr>
            </w:pPr>
            <w:r w:rsidRPr="00554E0E">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1174" w:type="pct"/>
            <w:tcBorders>
              <w:top w:val="single" w:sz="4" w:space="0" w:color="auto"/>
              <w:left w:val="single" w:sz="4" w:space="0" w:color="auto"/>
              <w:bottom w:val="single" w:sz="4" w:space="0" w:color="auto"/>
              <w:right w:val="single" w:sz="4" w:space="0" w:color="auto"/>
            </w:tcBorders>
            <w:vAlign w:val="center"/>
            <w:hideMark/>
          </w:tcPr>
          <w:p w14:paraId="0F6C15C9" w14:textId="3AB0DA27"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$906,268,597</w:t>
            </w:r>
          </w:p>
        </w:tc>
        <w:tc>
          <w:tcPr>
            <w:tcW w:w="1144" w:type="pct"/>
            <w:tcBorders>
              <w:top w:val="single" w:sz="4" w:space="0" w:color="auto"/>
              <w:left w:val="single" w:sz="4" w:space="0" w:color="auto"/>
              <w:bottom w:val="single" w:sz="4" w:space="0" w:color="auto"/>
              <w:right w:val="single" w:sz="4" w:space="0" w:color="auto"/>
            </w:tcBorders>
            <w:vAlign w:val="center"/>
            <w:hideMark/>
          </w:tcPr>
          <w:p w14:paraId="408C6F00" w14:textId="7AFD9CF9"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r>
      <w:tr w:rsidR="004C397E" w:rsidRPr="005A5BB7" w14:paraId="737F7661" w14:textId="77777777" w:rsidTr="005B71B5">
        <w:tc>
          <w:tcPr>
            <w:tcW w:w="1425" w:type="pct"/>
            <w:tcBorders>
              <w:top w:val="single" w:sz="4" w:space="0" w:color="auto"/>
              <w:left w:val="single" w:sz="4" w:space="0" w:color="auto"/>
              <w:bottom w:val="single" w:sz="4" w:space="0" w:color="auto"/>
              <w:right w:val="single" w:sz="4" w:space="0" w:color="auto"/>
            </w:tcBorders>
            <w:vAlign w:val="center"/>
            <w:hideMark/>
          </w:tcPr>
          <w:p w14:paraId="03A02D27"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QALYs lost</w:t>
            </w:r>
          </w:p>
        </w:tc>
        <w:tc>
          <w:tcPr>
            <w:tcW w:w="1257" w:type="pct"/>
            <w:tcBorders>
              <w:top w:val="single" w:sz="4" w:space="0" w:color="auto"/>
              <w:left w:val="single" w:sz="4" w:space="0" w:color="auto"/>
              <w:bottom w:val="single" w:sz="4" w:space="0" w:color="auto"/>
              <w:right w:val="single" w:sz="4" w:space="0" w:color="auto"/>
            </w:tcBorders>
            <w:vAlign w:val="center"/>
            <w:hideMark/>
          </w:tcPr>
          <w:p w14:paraId="32F0E8EA" w14:textId="0130E800"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16,365</w:t>
            </w:r>
          </w:p>
        </w:tc>
        <w:tc>
          <w:tcPr>
            <w:tcW w:w="1174" w:type="pct"/>
            <w:tcBorders>
              <w:top w:val="single" w:sz="4" w:space="0" w:color="auto"/>
              <w:left w:val="single" w:sz="4" w:space="0" w:color="auto"/>
              <w:bottom w:val="single" w:sz="4" w:space="0" w:color="auto"/>
              <w:right w:val="single" w:sz="4" w:space="0" w:color="auto"/>
            </w:tcBorders>
            <w:vAlign w:val="center"/>
            <w:hideMark/>
          </w:tcPr>
          <w:p w14:paraId="5F24383D" w14:textId="4C40F8B4" w:rsidR="004C397E" w:rsidRPr="005A5BB7" w:rsidRDefault="004C397E" w:rsidP="005B71B5">
            <w:pPr>
              <w:jc w:val="center"/>
              <w:rPr>
                <w:rFonts w:ascii="Arial Narrow" w:hAnsi="Arial Narrow"/>
                <w:bCs/>
                <w:sz w:val="20"/>
                <w:szCs w:val="20"/>
              </w:rPr>
            </w:pPr>
            <w:r w:rsidRPr="005A5BB7">
              <w:rPr>
                <w:rFonts w:ascii="Arial Narrow" w:hAnsi="Arial Narrow" w:cs="Calibri"/>
                <w:color w:val="000000"/>
                <w:sz w:val="20"/>
                <w:szCs w:val="20"/>
              </w:rPr>
              <w:t>28,768</w:t>
            </w:r>
          </w:p>
        </w:tc>
        <w:tc>
          <w:tcPr>
            <w:tcW w:w="1144" w:type="pct"/>
            <w:tcBorders>
              <w:top w:val="single" w:sz="4" w:space="0" w:color="auto"/>
              <w:left w:val="single" w:sz="4" w:space="0" w:color="auto"/>
              <w:bottom w:val="single" w:sz="4" w:space="0" w:color="auto"/>
              <w:right w:val="single" w:sz="4" w:space="0" w:color="auto"/>
            </w:tcBorders>
            <w:vAlign w:val="center"/>
            <w:hideMark/>
          </w:tcPr>
          <w:p w14:paraId="0B8E7732" w14:textId="4C137645" w:rsidR="004C397E" w:rsidRPr="005A5BB7" w:rsidRDefault="000E4816" w:rsidP="005B71B5">
            <w:pPr>
              <w:jc w:val="center"/>
              <w:rPr>
                <w:rFonts w:ascii="Arial Narrow" w:hAnsi="Arial Narrow"/>
                <w:bCs/>
                <w:sz w:val="20"/>
                <w:szCs w:val="20"/>
              </w:rPr>
            </w:pPr>
            <w:r>
              <w:rPr>
                <w:rFonts w:ascii="Arial Narrow" w:hAnsi="Arial Narrow" w:cs="Calibri"/>
                <w:sz w:val="20"/>
                <w:szCs w:val="20"/>
              </w:rPr>
              <w:noBreakHyphen/>
            </w:r>
            <w:r w:rsidR="004C397E" w:rsidRPr="005A5BB7">
              <w:rPr>
                <w:rFonts w:ascii="Arial Narrow" w:hAnsi="Arial Narrow" w:cs="Calibri"/>
                <w:sz w:val="20"/>
                <w:szCs w:val="20"/>
              </w:rPr>
              <w:t>12,403</w:t>
            </w:r>
          </w:p>
        </w:tc>
      </w:tr>
      <w:tr w:rsidR="004C397E" w:rsidRPr="005A5BB7" w14:paraId="0C77353E" w14:textId="77777777" w:rsidTr="005B71B5">
        <w:tc>
          <w:tcPr>
            <w:tcW w:w="3856" w:type="pct"/>
            <w:gridSpan w:val="3"/>
            <w:tcBorders>
              <w:top w:val="single" w:sz="4" w:space="0" w:color="auto"/>
              <w:left w:val="single" w:sz="4" w:space="0" w:color="auto"/>
              <w:bottom w:val="single" w:sz="4" w:space="0" w:color="auto"/>
              <w:right w:val="single" w:sz="4" w:space="0" w:color="auto"/>
            </w:tcBorders>
            <w:vAlign w:val="center"/>
            <w:hideMark/>
          </w:tcPr>
          <w:p w14:paraId="7BED506F" w14:textId="77777777" w:rsidR="004C397E" w:rsidRPr="005A5BB7" w:rsidRDefault="004C397E" w:rsidP="005B71B5">
            <w:pPr>
              <w:rPr>
                <w:rFonts w:ascii="Arial Narrow" w:hAnsi="Arial Narrow"/>
                <w:b/>
                <w:bCs/>
                <w:sz w:val="20"/>
                <w:szCs w:val="20"/>
              </w:rPr>
            </w:pPr>
            <w:r w:rsidRPr="005A5BB7">
              <w:rPr>
                <w:rFonts w:ascii="Arial Narrow" w:hAnsi="Arial Narrow"/>
                <w:b/>
                <w:bCs/>
                <w:sz w:val="20"/>
                <w:szCs w:val="20"/>
              </w:rPr>
              <w:t>Incremental cost/extra QALY gained (base case)</w:t>
            </w:r>
          </w:p>
        </w:tc>
        <w:tc>
          <w:tcPr>
            <w:tcW w:w="1144" w:type="pct"/>
            <w:tcBorders>
              <w:top w:val="single" w:sz="4" w:space="0" w:color="auto"/>
              <w:left w:val="single" w:sz="4" w:space="0" w:color="auto"/>
              <w:bottom w:val="single" w:sz="4" w:space="0" w:color="auto"/>
              <w:right w:val="single" w:sz="4" w:space="0" w:color="auto"/>
            </w:tcBorders>
            <w:vAlign w:val="center"/>
            <w:hideMark/>
          </w:tcPr>
          <w:p w14:paraId="5A33B36D" w14:textId="2342CC0B" w:rsidR="004C397E" w:rsidRPr="00A45800" w:rsidRDefault="004C397E" w:rsidP="005B71B5">
            <w:pPr>
              <w:jc w:val="center"/>
              <w:rPr>
                <w:rFonts w:ascii="Arial Narrow" w:hAnsi="Arial Narrow"/>
                <w:b/>
                <w:bCs/>
                <w:sz w:val="20"/>
                <w:szCs w:val="20"/>
                <w:vertAlign w:val="superscript"/>
              </w:rPr>
            </w:pPr>
            <w:r w:rsidRPr="005A5BB7">
              <w:rPr>
                <w:rFonts w:ascii="Arial Narrow" w:hAnsi="Arial Narrow" w:cs="Calibri"/>
                <w:b/>
                <w:bCs/>
                <w:color w:val="000000"/>
                <w:sz w:val="20"/>
                <w:szCs w:val="20"/>
              </w:rPr>
              <w:t>$</w:t>
            </w:r>
            <w:r w:rsidR="00F15B97" w:rsidRPr="00F15B97">
              <w:rPr>
                <w:rFonts w:ascii="Arial Narrow" w:hAnsi="Arial Narrow" w:cs="Calibri"/>
                <w:b/>
                <w:bCs/>
                <w:color w:val="000000"/>
                <w:sz w:val="2"/>
                <w:szCs w:val="20"/>
                <w:highlight w:val="black"/>
              </w:rPr>
              <w:t>redacted content</w:t>
            </w:r>
            <w:r w:rsidR="00A45800">
              <w:rPr>
                <w:rFonts w:ascii="Arial Narrow" w:hAnsi="Arial Narrow" w:cs="Calibri"/>
                <w:b/>
                <w:bCs/>
                <w:color w:val="000000"/>
                <w:sz w:val="20"/>
                <w:szCs w:val="20"/>
                <w:vertAlign w:val="superscript"/>
              </w:rPr>
              <w:t>5</w:t>
            </w:r>
          </w:p>
        </w:tc>
      </w:tr>
    </w:tbl>
    <w:p w14:paraId="54423A6D" w14:textId="77777777" w:rsidR="004C397E" w:rsidRPr="005A5BB7" w:rsidRDefault="004C397E" w:rsidP="004C397E">
      <w:pPr>
        <w:pStyle w:val="3-BodyText"/>
        <w:numPr>
          <w:ilvl w:val="0"/>
          <w:numId w:val="0"/>
        </w:numPr>
        <w:spacing w:before="0" w:after="0"/>
        <w:rPr>
          <w:rFonts w:ascii="Arial Narrow" w:hAnsi="Arial Narrow"/>
          <w:bCs/>
          <w:sz w:val="18"/>
          <w:szCs w:val="18"/>
        </w:rPr>
      </w:pPr>
      <w:r w:rsidRPr="005A5BB7">
        <w:rPr>
          <w:rFonts w:ascii="Arial Narrow" w:hAnsi="Arial Narrow"/>
          <w:bCs/>
          <w:sz w:val="18"/>
          <w:szCs w:val="18"/>
        </w:rPr>
        <w:t>Source: Conducted during the evaluation using the economic model presented in the March 2026 resubmission.</w:t>
      </w:r>
    </w:p>
    <w:p w14:paraId="147EC52A" w14:textId="77777777" w:rsidR="003F3237" w:rsidRDefault="004C397E" w:rsidP="003F3237">
      <w:pPr>
        <w:pStyle w:val="TableNotes"/>
        <w:rPr>
          <w:rFonts w:cstheme="minorHAnsi"/>
          <w:bCs/>
          <w:i/>
          <w:iCs/>
          <w:szCs w:val="18"/>
        </w:rPr>
      </w:pPr>
      <w:r w:rsidRPr="005A5BB7">
        <w:rPr>
          <w:szCs w:val="20"/>
        </w:rPr>
        <w:t>EHM = excess hospitalisation multipliers;</w:t>
      </w:r>
      <w:r w:rsidRPr="005A5BB7">
        <w:rPr>
          <w:szCs w:val="16"/>
        </w:rPr>
        <w:t xml:space="preserve"> ICER = incremental cost</w:t>
      </w:r>
      <w:r w:rsidR="000E4816">
        <w:rPr>
          <w:szCs w:val="16"/>
        </w:rPr>
        <w:noBreakHyphen/>
      </w:r>
      <w:r w:rsidRPr="005A5BB7">
        <w:rPr>
          <w:szCs w:val="16"/>
        </w:rPr>
        <w:t>effectiveness ratio; QALY = quality</w:t>
      </w:r>
      <w:r w:rsidR="000E4816">
        <w:rPr>
          <w:szCs w:val="16"/>
        </w:rPr>
        <w:noBreakHyphen/>
      </w:r>
      <w:r w:rsidRPr="005A5BB7">
        <w:rPr>
          <w:szCs w:val="16"/>
        </w:rPr>
        <w:t>adjusted life year; RSV= respiratory syncytial virus; UAM = under</w:t>
      </w:r>
      <w:r w:rsidR="000E4816">
        <w:rPr>
          <w:szCs w:val="16"/>
        </w:rPr>
        <w:noBreakHyphen/>
      </w:r>
      <w:r w:rsidRPr="005A5BB7">
        <w:rPr>
          <w:szCs w:val="16"/>
        </w:rPr>
        <w:t>ascertainment</w:t>
      </w:r>
      <w:r w:rsidR="000E4816">
        <w:rPr>
          <w:szCs w:val="16"/>
        </w:rPr>
        <w:noBreakHyphen/>
      </w:r>
      <w:r w:rsidRPr="005A5BB7">
        <w:rPr>
          <w:szCs w:val="16"/>
        </w:rPr>
        <w:t>multiplier; VE = vaccine efficacy; YOA = years of age.</w:t>
      </w:r>
    </w:p>
    <w:p w14:paraId="6C63F24E" w14:textId="101F1BEB" w:rsidR="003F3237" w:rsidRPr="003F3237" w:rsidRDefault="003F3237" w:rsidP="00921935">
      <w:pPr>
        <w:pStyle w:val="TableNotes"/>
        <w:spacing w:after="0"/>
        <w:rPr>
          <w:bCs/>
          <w:i/>
          <w:iCs/>
          <w:szCs w:val="16"/>
        </w:rPr>
      </w:pPr>
      <w:r w:rsidRPr="003F3237">
        <w:rPr>
          <w:bCs/>
          <w:i/>
          <w:iCs/>
          <w:szCs w:val="16"/>
        </w:rPr>
        <w:t xml:space="preserve">The redacted values correspond to the following ranges: </w:t>
      </w:r>
    </w:p>
    <w:p w14:paraId="515394FE" w14:textId="7E927107" w:rsidR="003F3237" w:rsidRPr="003F3237" w:rsidRDefault="003F3237" w:rsidP="00921935">
      <w:pPr>
        <w:pStyle w:val="TableNotes"/>
        <w:spacing w:after="0"/>
        <w:rPr>
          <w:i/>
          <w:szCs w:val="16"/>
        </w:rPr>
      </w:pPr>
      <w:r w:rsidRPr="003F3237">
        <w:rPr>
          <w:i/>
          <w:szCs w:val="16"/>
          <w:vertAlign w:val="superscript"/>
        </w:rPr>
        <w:t>1</w:t>
      </w:r>
      <w:r w:rsidRPr="003F3237">
        <w:rPr>
          <w:i/>
          <w:szCs w:val="16"/>
        </w:rPr>
        <w:t xml:space="preserve"> </w:t>
      </w:r>
      <w:r w:rsidR="005C0330" w:rsidRPr="005C0330">
        <w:rPr>
          <w:i/>
          <w:szCs w:val="16"/>
        </w:rPr>
        <w:t>$115,000 to &lt; $135,000</w:t>
      </w:r>
    </w:p>
    <w:p w14:paraId="0E87BB74" w14:textId="5C3837F3" w:rsidR="003F3237" w:rsidRPr="003F3237" w:rsidRDefault="003F3237" w:rsidP="00921935">
      <w:pPr>
        <w:pStyle w:val="TableNotes"/>
        <w:spacing w:after="0"/>
        <w:rPr>
          <w:i/>
          <w:szCs w:val="16"/>
        </w:rPr>
      </w:pPr>
      <w:r w:rsidRPr="003F3237">
        <w:rPr>
          <w:i/>
          <w:szCs w:val="16"/>
          <w:vertAlign w:val="superscript"/>
        </w:rPr>
        <w:t>2</w:t>
      </w:r>
      <w:r w:rsidRPr="003F3237">
        <w:rPr>
          <w:i/>
          <w:szCs w:val="16"/>
        </w:rPr>
        <w:t xml:space="preserve"> </w:t>
      </w:r>
      <w:r w:rsidR="00E25CEB" w:rsidRPr="00E25CEB">
        <w:rPr>
          <w:i/>
          <w:szCs w:val="16"/>
        </w:rPr>
        <w:t>$75,000 to &lt; $95,000</w:t>
      </w:r>
    </w:p>
    <w:p w14:paraId="082F0931" w14:textId="67C2AB0A" w:rsidR="003F3237" w:rsidRPr="003F3237" w:rsidRDefault="003F3237" w:rsidP="00921935">
      <w:pPr>
        <w:pStyle w:val="TableNotes"/>
        <w:spacing w:after="0"/>
        <w:rPr>
          <w:i/>
          <w:szCs w:val="16"/>
        </w:rPr>
      </w:pPr>
      <w:r w:rsidRPr="003F3237">
        <w:rPr>
          <w:i/>
          <w:szCs w:val="16"/>
          <w:vertAlign w:val="superscript"/>
        </w:rPr>
        <w:t>3</w:t>
      </w:r>
      <w:r w:rsidRPr="003F3237">
        <w:rPr>
          <w:i/>
          <w:szCs w:val="16"/>
        </w:rPr>
        <w:t xml:space="preserve"> </w:t>
      </w:r>
      <w:r w:rsidR="0060206A" w:rsidRPr="0060206A">
        <w:rPr>
          <w:i/>
          <w:szCs w:val="16"/>
        </w:rPr>
        <w:t>$35,000 to &lt; $45,000</w:t>
      </w:r>
    </w:p>
    <w:p w14:paraId="0F804B2F" w14:textId="38AD05F0" w:rsidR="003F3237" w:rsidRPr="003F3237" w:rsidRDefault="003F3237" w:rsidP="00921935">
      <w:pPr>
        <w:pStyle w:val="TableNotes"/>
        <w:spacing w:after="0"/>
        <w:rPr>
          <w:i/>
          <w:szCs w:val="16"/>
        </w:rPr>
      </w:pPr>
      <w:r w:rsidRPr="003F3237">
        <w:rPr>
          <w:i/>
          <w:szCs w:val="16"/>
          <w:vertAlign w:val="superscript"/>
        </w:rPr>
        <w:t>4</w:t>
      </w:r>
      <w:r w:rsidRPr="003F3237">
        <w:rPr>
          <w:i/>
          <w:szCs w:val="16"/>
        </w:rPr>
        <w:t xml:space="preserve"> </w:t>
      </w:r>
      <w:r w:rsidR="004C0849" w:rsidRPr="004C0849">
        <w:rPr>
          <w:i/>
          <w:szCs w:val="16"/>
        </w:rPr>
        <w:t>$25,000 to &lt; $35,000</w:t>
      </w:r>
    </w:p>
    <w:p w14:paraId="3FF8BD2C" w14:textId="77777777" w:rsidR="00E85A8B" w:rsidRDefault="003F3237" w:rsidP="00E85A8B">
      <w:pPr>
        <w:pStyle w:val="TableNotes"/>
        <w:spacing w:after="0"/>
        <w:rPr>
          <w:i/>
          <w:szCs w:val="16"/>
        </w:rPr>
      </w:pPr>
      <w:r w:rsidRPr="003F3237">
        <w:rPr>
          <w:i/>
          <w:szCs w:val="16"/>
          <w:vertAlign w:val="superscript"/>
        </w:rPr>
        <w:t>5</w:t>
      </w:r>
      <w:r w:rsidRPr="003F3237">
        <w:rPr>
          <w:i/>
          <w:szCs w:val="16"/>
        </w:rPr>
        <w:t xml:space="preserve"> </w:t>
      </w:r>
      <w:r w:rsidR="00A45800" w:rsidRPr="00A45800">
        <w:rPr>
          <w:i/>
          <w:szCs w:val="16"/>
        </w:rPr>
        <w:t>$15,000 to &lt; $25,000</w:t>
      </w:r>
    </w:p>
    <w:p w14:paraId="321E9967" w14:textId="46285FEC" w:rsidR="004D6341" w:rsidRDefault="00D9623E" w:rsidP="00971326">
      <w:pPr>
        <w:pStyle w:val="TableNotes"/>
        <w:spacing w:after="0"/>
        <w:rPr>
          <w:i/>
          <w:szCs w:val="16"/>
        </w:rPr>
      </w:pPr>
      <w:r>
        <w:rPr>
          <w:i/>
          <w:szCs w:val="16"/>
          <w:vertAlign w:val="superscript"/>
        </w:rPr>
        <w:t>6</w:t>
      </w:r>
      <w:r w:rsidRPr="008D2A74">
        <w:rPr>
          <w:i/>
          <w:szCs w:val="16"/>
        </w:rPr>
        <w:t xml:space="preserve"> </w:t>
      </w:r>
      <w:r w:rsidR="008D2A74" w:rsidRPr="008D2A74">
        <w:rPr>
          <w:i/>
          <w:szCs w:val="16"/>
        </w:rPr>
        <w:t>4,000,000 to &lt; 5,000,000</w:t>
      </w:r>
    </w:p>
    <w:p w14:paraId="6A66D6E6" w14:textId="77777777" w:rsidR="00971326" w:rsidRPr="00FB76D1" w:rsidRDefault="00971326" w:rsidP="00971326">
      <w:pPr>
        <w:pStyle w:val="TableNotes"/>
        <w:spacing w:after="0"/>
        <w:rPr>
          <w:i/>
          <w:szCs w:val="16"/>
        </w:rPr>
      </w:pPr>
    </w:p>
    <w:p w14:paraId="2B521B91" w14:textId="507249E6" w:rsidR="007C0A58" w:rsidRPr="005A5BB7" w:rsidRDefault="008C1C28" w:rsidP="0090073B">
      <w:pPr>
        <w:pStyle w:val="3-BodyText"/>
        <w:rPr>
          <w:iCs/>
        </w:rPr>
      </w:pPr>
      <w:r w:rsidRPr="005A5BB7">
        <w:t xml:space="preserve">A summary of </w:t>
      </w:r>
      <w:r w:rsidR="00097A2E" w:rsidRPr="005A5BB7">
        <w:t xml:space="preserve">the </w:t>
      </w:r>
      <w:r w:rsidRPr="005A5BB7">
        <w:t>model’s inputs and results for 60</w:t>
      </w:r>
      <w:r w:rsidR="000E4816">
        <w:noBreakHyphen/>
      </w:r>
      <w:r w:rsidRPr="005A5BB7">
        <w:t xml:space="preserve">74 YOA at increased risk of severe RSV disease, by each risk category, is presented in </w:t>
      </w:r>
      <w:r w:rsidRPr="005A5BB7">
        <w:fldChar w:fldCharType="begin"/>
      </w:r>
      <w:r w:rsidRPr="005A5BB7">
        <w:instrText xml:space="preserve"> REF _Ref219307823 \h  \* MERGEFORMAT </w:instrText>
      </w:r>
      <w:r w:rsidRPr="005A5BB7">
        <w:fldChar w:fldCharType="separate"/>
      </w:r>
      <w:r w:rsidR="0043658C" w:rsidRPr="005A5BB7">
        <w:t xml:space="preserve">Table </w:t>
      </w:r>
      <w:r w:rsidR="0043658C">
        <w:t>21</w:t>
      </w:r>
      <w:r w:rsidRPr="005A5BB7">
        <w:fldChar w:fldCharType="end"/>
      </w:r>
      <w:r w:rsidRPr="005A5BB7">
        <w:t>.</w:t>
      </w:r>
      <w:r w:rsidR="00DA1339">
        <w:t xml:space="preserve"> </w:t>
      </w:r>
      <w:r w:rsidR="000544C9" w:rsidRPr="005A5BB7">
        <w:t>For comparison, the PBAC</w:t>
      </w:r>
      <w:r w:rsidR="000E4816">
        <w:noBreakHyphen/>
      </w:r>
      <w:r w:rsidR="000544C9" w:rsidRPr="005A5BB7">
        <w:t xml:space="preserve">accepted hospitalisation rate for ≥75 </w:t>
      </w:r>
      <w:r w:rsidR="00801BB0" w:rsidRPr="005A5BB7">
        <w:t>was</w:t>
      </w:r>
      <w:r w:rsidR="00097A2E" w:rsidRPr="005A5BB7">
        <w:t xml:space="preserve"> 384 per 100,000 person</w:t>
      </w:r>
      <w:r w:rsidR="000E4816">
        <w:noBreakHyphen/>
      </w:r>
      <w:r w:rsidR="00097A2E" w:rsidRPr="005A5BB7">
        <w:t>year</w:t>
      </w:r>
      <w:r w:rsidR="000544C9" w:rsidRPr="005A5BB7">
        <w:t>.</w:t>
      </w:r>
      <w:r w:rsidR="00DA1339">
        <w:t xml:space="preserve"> </w:t>
      </w:r>
      <w:r w:rsidR="007C0A58" w:rsidRPr="005A5BB7">
        <w:rPr>
          <w:iCs/>
        </w:rPr>
        <w:t>For several risk categories, the estimated hospitalisation rate is higher than was accepted for ≥75 YOA (includes immunocompromising conditions, chronic liver disease, chronic kidney disease, and chronic neurological conditions), while the remainder have lower rates.</w:t>
      </w:r>
    </w:p>
    <w:p w14:paraId="4343B5A1" w14:textId="4790527D" w:rsidR="007C0A58" w:rsidRPr="005A5BB7" w:rsidRDefault="007C0A58" w:rsidP="0090073B">
      <w:pPr>
        <w:pStyle w:val="3-BodyText"/>
        <w:rPr>
          <w:iCs/>
        </w:rPr>
      </w:pPr>
      <w:r w:rsidRPr="005A5BB7">
        <w:rPr>
          <w:iCs/>
        </w:rPr>
        <w:t>The PSCR presented revised results applying the revised proposed price of $</w:t>
      </w:r>
      <w:r w:rsidR="00F15B97" w:rsidRPr="00F15B97">
        <w:rPr>
          <w:iCs/>
          <w:sz w:val="2"/>
          <w:highlight w:val="black"/>
        </w:rPr>
        <w:t>redacted content</w:t>
      </w:r>
      <w:r w:rsidRPr="005A5BB7">
        <w:rPr>
          <w:iCs/>
        </w:rPr>
        <w:t>/dose (not shown).</w:t>
      </w:r>
    </w:p>
    <w:p w14:paraId="07877E58" w14:textId="52B7097B" w:rsidR="008C1C28" w:rsidRPr="005A5BB7" w:rsidRDefault="008C1C28" w:rsidP="00C05C9F">
      <w:pPr>
        <w:pStyle w:val="Caption"/>
        <w:rPr>
          <w:rStyle w:val="CommentReference"/>
          <w:b/>
          <w:szCs w:val="24"/>
        </w:rPr>
      </w:pPr>
      <w:bookmarkStart w:id="86" w:name="_Ref219307823"/>
      <w:r w:rsidRPr="005A5BB7">
        <w:lastRenderedPageBreak/>
        <w:t xml:space="preserve">Table </w:t>
      </w:r>
      <w:r w:rsidRPr="005A5BB7">
        <w:fldChar w:fldCharType="begin"/>
      </w:r>
      <w:r w:rsidRPr="005A5BB7">
        <w:instrText>SEQ Table \* ARABIC</w:instrText>
      </w:r>
      <w:r w:rsidRPr="005A5BB7">
        <w:fldChar w:fldCharType="separate"/>
      </w:r>
      <w:r w:rsidR="0043658C">
        <w:rPr>
          <w:noProof/>
        </w:rPr>
        <w:t>21</w:t>
      </w:r>
      <w:r w:rsidRPr="005A5BB7">
        <w:fldChar w:fldCharType="end"/>
      </w:r>
      <w:bookmarkEnd w:id="86"/>
      <w:r w:rsidRPr="005A5BB7">
        <w:rPr>
          <w:rStyle w:val="CommentReference"/>
          <w:b/>
          <w:szCs w:val="24"/>
        </w:rPr>
        <w:t xml:space="preserve">: </w:t>
      </w:r>
      <w:r w:rsidR="005E303D" w:rsidRPr="005A5BB7">
        <w:rPr>
          <w:rStyle w:val="CommentReference"/>
          <w:b/>
          <w:szCs w:val="24"/>
        </w:rPr>
        <w:t>M</w:t>
      </w:r>
      <w:r w:rsidRPr="005A5BB7">
        <w:rPr>
          <w:rStyle w:val="CommentReference"/>
          <w:b/>
          <w:szCs w:val="24"/>
        </w:rPr>
        <w:t>odel inputs and results for 60</w:t>
      </w:r>
      <w:r w:rsidR="000E4816">
        <w:rPr>
          <w:rStyle w:val="CommentReference"/>
          <w:b/>
          <w:szCs w:val="24"/>
        </w:rPr>
        <w:noBreakHyphen/>
      </w:r>
      <w:r w:rsidRPr="005A5BB7">
        <w:rPr>
          <w:rStyle w:val="CommentReference"/>
          <w:b/>
          <w:szCs w:val="24"/>
        </w:rPr>
        <w:t>74 YOA at increased risk of severe RSV disease, by each risk category</w:t>
      </w:r>
      <w:r w:rsidR="00F51DFF" w:rsidRPr="005A5BB7">
        <w:rPr>
          <w:rStyle w:val="CommentReference"/>
          <w:b/>
          <w:szCs w:val="24"/>
        </w:rPr>
        <w:t xml:space="preserve"> </w:t>
      </w:r>
      <w:r w:rsidR="00FE61FD" w:rsidRPr="005A5BB7">
        <w:rPr>
          <w:rStyle w:val="CommentReference"/>
          <w:b/>
          <w:szCs w:val="24"/>
        </w:rPr>
        <w:t>(</w:t>
      </w:r>
      <w:r w:rsidR="001C50EC" w:rsidRPr="005A5BB7">
        <w:rPr>
          <w:rStyle w:val="CommentReference"/>
          <w:b/>
          <w:szCs w:val="24"/>
        </w:rPr>
        <w:t>ordered</w:t>
      </w:r>
      <w:r w:rsidR="00FE61FD" w:rsidRPr="005A5BB7">
        <w:rPr>
          <w:rStyle w:val="CommentReference"/>
          <w:b/>
          <w:szCs w:val="24"/>
        </w:rPr>
        <w:t xml:space="preserve"> by</w:t>
      </w:r>
      <w:r w:rsidR="00FE61FD" w:rsidRPr="005A5BB7">
        <w:rPr>
          <w:rFonts w:cs="Times New Roman"/>
          <w:szCs w:val="20"/>
        </w:rPr>
        <w:t xml:space="preserve"> EHM</w:t>
      </w:r>
      <w:r w:rsidR="00F022E8" w:rsidRPr="005A5BB7">
        <w:rPr>
          <w:rFonts w:cs="Times New Roman"/>
          <w:szCs w:val="20"/>
        </w:rPr>
        <w:t xml:space="preserve"> from high</w:t>
      </w:r>
      <w:r w:rsidR="001C50EC" w:rsidRPr="005A5BB7">
        <w:rPr>
          <w:rFonts w:cs="Times New Roman"/>
          <w:szCs w:val="20"/>
        </w:rPr>
        <w:t>est</w:t>
      </w:r>
      <w:r w:rsidR="00F022E8" w:rsidRPr="005A5BB7">
        <w:rPr>
          <w:rFonts w:cs="Times New Roman"/>
          <w:szCs w:val="20"/>
        </w:rPr>
        <w:t xml:space="preserve"> to low</w:t>
      </w:r>
      <w:r w:rsidR="001C50EC" w:rsidRPr="005A5BB7">
        <w:rPr>
          <w:rFonts w:cs="Times New Roman"/>
          <w:szCs w:val="20"/>
        </w:rPr>
        <w:t>est</w:t>
      </w:r>
      <w:r w:rsidR="00FE61FD" w:rsidRPr="005A5BB7">
        <w:rPr>
          <w:rFonts w:cs="Times New Roman"/>
          <w:szCs w:val="20"/>
        </w:rPr>
        <w:t>)</w:t>
      </w:r>
      <w:r w:rsidR="00B553A4" w:rsidRPr="005A5BB7">
        <w:rPr>
          <w:rFonts w:cs="Times New Roman"/>
          <w:szCs w:val="20"/>
        </w:rPr>
        <w:t xml:space="preserve"> and comparison with PBAC</w:t>
      </w:r>
      <w:r w:rsidR="000E4816">
        <w:rPr>
          <w:rFonts w:cs="Times New Roman"/>
          <w:szCs w:val="20"/>
        </w:rPr>
        <w:noBreakHyphen/>
      </w:r>
      <w:r w:rsidR="00B553A4" w:rsidRPr="005A5BB7">
        <w:rPr>
          <w:rFonts w:cs="Times New Roman"/>
          <w:szCs w:val="20"/>
        </w:rPr>
        <w:t>accepted hospitalisation rate for ≥75 YOA</w:t>
      </w:r>
    </w:p>
    <w:tbl>
      <w:tblPr>
        <w:tblStyle w:val="TableGrid"/>
        <w:tblW w:w="5000" w:type="pct"/>
        <w:tblLook w:val="04A0" w:firstRow="1" w:lastRow="0" w:firstColumn="1" w:lastColumn="0" w:noHBand="0" w:noVBand="1"/>
        <w:tblCaption w:val="Table 21: Model inputs and results for 60 74 YOA at increased risk of severe RSV disease, by each risk category (ordered by EHM from highest to lowest) and comparison with PBAC accepted hospitalisation rate for ≥75 YOA"/>
      </w:tblPr>
      <w:tblGrid>
        <w:gridCol w:w="1943"/>
        <w:gridCol w:w="977"/>
        <w:gridCol w:w="997"/>
        <w:gridCol w:w="1713"/>
        <w:gridCol w:w="840"/>
        <w:gridCol w:w="1084"/>
        <w:gridCol w:w="700"/>
        <w:gridCol w:w="763"/>
      </w:tblGrid>
      <w:tr w:rsidR="00801BB0" w:rsidRPr="005A5BB7" w14:paraId="2F27269F" w14:textId="77777777" w:rsidTr="00963D1F">
        <w:trPr>
          <w:tblHeader/>
        </w:trPr>
        <w:tc>
          <w:tcPr>
            <w:tcW w:w="1077" w:type="pct"/>
            <w:tcMar>
              <w:left w:w="11" w:type="dxa"/>
              <w:right w:w="11" w:type="dxa"/>
            </w:tcMar>
            <w:vAlign w:val="center"/>
            <w:hideMark/>
          </w:tcPr>
          <w:p w14:paraId="03E6D9AB" w14:textId="77777777" w:rsidR="00801BB0" w:rsidRPr="005A5BB7" w:rsidRDefault="00801BB0" w:rsidP="00C05C9F">
            <w:pPr>
              <w:keepNext/>
              <w:jc w:val="center"/>
              <w:rPr>
                <w:rFonts w:ascii="Arial Narrow" w:hAnsi="Arial Narrow" w:cs="Times New Roman"/>
                <w:b/>
                <w:bCs/>
                <w:sz w:val="20"/>
                <w:szCs w:val="20"/>
              </w:rPr>
            </w:pPr>
            <w:r w:rsidRPr="005A5BB7">
              <w:rPr>
                <w:rFonts w:ascii="Arial Narrow" w:hAnsi="Arial Narrow" w:cs="Times New Roman"/>
                <w:b/>
                <w:bCs/>
                <w:sz w:val="20"/>
                <w:szCs w:val="20"/>
              </w:rPr>
              <w:t>Category</w:t>
            </w:r>
          </w:p>
        </w:tc>
        <w:tc>
          <w:tcPr>
            <w:tcW w:w="542" w:type="pct"/>
            <w:tcMar>
              <w:left w:w="11" w:type="dxa"/>
              <w:right w:w="11" w:type="dxa"/>
            </w:tcMar>
            <w:vAlign w:val="center"/>
            <w:hideMark/>
          </w:tcPr>
          <w:p w14:paraId="4A393449" w14:textId="77777777" w:rsidR="00801BB0" w:rsidRPr="005A5BB7" w:rsidRDefault="00801BB0" w:rsidP="00C05C9F">
            <w:pPr>
              <w:keepNext/>
              <w:jc w:val="center"/>
              <w:rPr>
                <w:rFonts w:ascii="Arial Narrow" w:hAnsi="Arial Narrow" w:cs="Times New Roman"/>
                <w:b/>
                <w:bCs/>
                <w:sz w:val="20"/>
                <w:szCs w:val="20"/>
              </w:rPr>
            </w:pPr>
            <w:r w:rsidRPr="005A5BB7">
              <w:rPr>
                <w:rFonts w:ascii="Arial Narrow" w:hAnsi="Arial Narrow" w:cs="Times New Roman"/>
                <w:b/>
                <w:bCs/>
                <w:sz w:val="20"/>
                <w:szCs w:val="20"/>
              </w:rPr>
              <w:t>Population size (n)</w:t>
            </w:r>
          </w:p>
        </w:tc>
        <w:tc>
          <w:tcPr>
            <w:tcW w:w="553" w:type="pct"/>
            <w:tcMar>
              <w:left w:w="11" w:type="dxa"/>
              <w:right w:w="11" w:type="dxa"/>
            </w:tcMar>
            <w:vAlign w:val="center"/>
            <w:hideMark/>
          </w:tcPr>
          <w:p w14:paraId="0F97B315" w14:textId="77777777" w:rsidR="00801BB0" w:rsidRPr="005A5BB7" w:rsidRDefault="00801BB0" w:rsidP="00C05C9F">
            <w:pPr>
              <w:keepNext/>
              <w:jc w:val="center"/>
              <w:rPr>
                <w:rFonts w:ascii="Arial Narrow" w:hAnsi="Arial Narrow" w:cs="Times New Roman"/>
                <w:b/>
                <w:bCs/>
                <w:sz w:val="20"/>
                <w:szCs w:val="20"/>
              </w:rPr>
            </w:pPr>
            <w:r w:rsidRPr="005A5BB7">
              <w:rPr>
                <w:rFonts w:ascii="Arial Narrow" w:hAnsi="Arial Narrow" w:cs="Times New Roman"/>
                <w:b/>
                <w:bCs/>
                <w:sz w:val="20"/>
                <w:szCs w:val="20"/>
              </w:rPr>
              <w:t>% of total population</w:t>
            </w:r>
          </w:p>
        </w:tc>
        <w:tc>
          <w:tcPr>
            <w:tcW w:w="950" w:type="pct"/>
            <w:tcMar>
              <w:left w:w="11" w:type="dxa"/>
              <w:right w:w="11" w:type="dxa"/>
            </w:tcMar>
            <w:vAlign w:val="center"/>
            <w:hideMark/>
          </w:tcPr>
          <w:p w14:paraId="159E6E39" w14:textId="655AF5E9" w:rsidR="00801BB0" w:rsidRPr="005A5BB7" w:rsidRDefault="00801BB0" w:rsidP="00C05C9F">
            <w:pPr>
              <w:keepNext/>
              <w:jc w:val="center"/>
              <w:rPr>
                <w:rFonts w:ascii="Arial Narrow" w:hAnsi="Arial Narrow" w:cs="Times New Roman"/>
                <w:b/>
                <w:bCs/>
                <w:sz w:val="20"/>
                <w:szCs w:val="20"/>
              </w:rPr>
            </w:pPr>
            <w:r w:rsidRPr="005A5BB7">
              <w:rPr>
                <w:rFonts w:ascii="Arial Narrow" w:hAnsi="Arial Narrow" w:cs="Times New Roman"/>
                <w:b/>
                <w:bCs/>
                <w:sz w:val="20"/>
                <w:szCs w:val="20"/>
              </w:rPr>
              <w:t>EHM (&amp; hospitalisation rate per 100,000 person</w:t>
            </w:r>
            <w:r w:rsidR="000E4816">
              <w:rPr>
                <w:rFonts w:ascii="Arial Narrow" w:hAnsi="Arial Narrow" w:cs="Times New Roman"/>
                <w:b/>
                <w:bCs/>
                <w:sz w:val="20"/>
                <w:szCs w:val="20"/>
              </w:rPr>
              <w:noBreakHyphen/>
            </w:r>
            <w:r w:rsidRPr="005A5BB7">
              <w:rPr>
                <w:rFonts w:ascii="Arial Narrow" w:hAnsi="Arial Narrow" w:cs="Times New Roman"/>
                <w:b/>
                <w:bCs/>
                <w:sz w:val="20"/>
                <w:szCs w:val="20"/>
              </w:rPr>
              <w:t xml:space="preserve">year </w:t>
            </w:r>
            <w:r w:rsidRPr="005A5BB7">
              <w:rPr>
                <w:rFonts w:ascii="Arial Narrow" w:hAnsi="Arial Narrow" w:cs="Times New Roman"/>
                <w:b/>
                <w:bCs/>
                <w:sz w:val="20"/>
                <w:szCs w:val="20"/>
                <w:vertAlign w:val="superscript"/>
              </w:rPr>
              <w:t>a</w:t>
            </w:r>
            <w:r w:rsidRPr="005A5BB7">
              <w:rPr>
                <w:rFonts w:ascii="Arial Narrow" w:hAnsi="Arial Narrow" w:cs="Times New Roman"/>
                <w:b/>
                <w:bCs/>
                <w:sz w:val="20"/>
                <w:szCs w:val="20"/>
              </w:rPr>
              <w:t>)</w:t>
            </w:r>
          </w:p>
        </w:tc>
        <w:tc>
          <w:tcPr>
            <w:tcW w:w="466" w:type="pct"/>
            <w:tcMar>
              <w:left w:w="11" w:type="dxa"/>
              <w:right w:w="11" w:type="dxa"/>
            </w:tcMar>
            <w:vAlign w:val="center"/>
            <w:hideMark/>
          </w:tcPr>
          <w:p w14:paraId="79F7402B" w14:textId="77777777" w:rsidR="00801BB0" w:rsidRPr="005A5BB7" w:rsidRDefault="00801BB0" w:rsidP="00C05C9F">
            <w:pPr>
              <w:keepNext/>
              <w:jc w:val="center"/>
              <w:rPr>
                <w:rFonts w:ascii="Arial Narrow" w:hAnsi="Arial Narrow" w:cs="Times New Roman"/>
                <w:b/>
                <w:bCs/>
                <w:sz w:val="18"/>
                <w:szCs w:val="18"/>
              </w:rPr>
            </w:pPr>
            <w:r w:rsidRPr="005A5BB7">
              <w:rPr>
                <w:rFonts w:ascii="Arial Narrow" w:hAnsi="Arial Narrow" w:cs="Times New Roman"/>
                <w:b/>
                <w:bCs/>
                <w:sz w:val="18"/>
                <w:szCs w:val="18"/>
              </w:rPr>
              <w:t>EHM range reported</w:t>
            </w:r>
          </w:p>
        </w:tc>
        <w:tc>
          <w:tcPr>
            <w:tcW w:w="601" w:type="pct"/>
            <w:tcMar>
              <w:left w:w="11" w:type="dxa"/>
              <w:right w:w="11" w:type="dxa"/>
            </w:tcMar>
            <w:vAlign w:val="center"/>
            <w:hideMark/>
          </w:tcPr>
          <w:p w14:paraId="207DAAE6" w14:textId="77777777" w:rsidR="00801BB0" w:rsidRPr="005A5BB7" w:rsidRDefault="00801BB0" w:rsidP="00C05C9F">
            <w:pPr>
              <w:keepNext/>
              <w:jc w:val="center"/>
              <w:rPr>
                <w:rFonts w:ascii="Arial Narrow" w:hAnsi="Arial Narrow" w:cs="Times New Roman"/>
                <w:b/>
                <w:bCs/>
                <w:sz w:val="20"/>
                <w:szCs w:val="20"/>
              </w:rPr>
            </w:pPr>
            <w:r w:rsidRPr="005A5BB7">
              <w:rPr>
                <w:rFonts w:ascii="Arial Narrow" w:hAnsi="Arial Narrow" w:cs="Times New Roman"/>
                <w:b/>
                <w:bCs/>
                <w:sz w:val="20"/>
                <w:szCs w:val="20"/>
              </w:rPr>
              <w:t>Inc. cost ($)</w:t>
            </w:r>
          </w:p>
          <w:p w14:paraId="1D65AC0E" w14:textId="241DC89F" w:rsidR="00801BB0" w:rsidRPr="005A5BB7" w:rsidRDefault="00801BB0" w:rsidP="00C05C9F">
            <w:pPr>
              <w:keepNext/>
              <w:jc w:val="center"/>
              <w:rPr>
                <w:rFonts w:ascii="Arial Narrow" w:hAnsi="Arial Narrow" w:cs="Times New Roman"/>
                <w:b/>
                <w:bCs/>
                <w:sz w:val="20"/>
                <w:szCs w:val="20"/>
              </w:rPr>
            </w:pPr>
            <w:r w:rsidRPr="005A5BB7">
              <w:rPr>
                <w:rStyle w:val="CommentReference"/>
                <w:b w:val="0"/>
                <w:szCs w:val="24"/>
              </w:rPr>
              <w:t>per 100,000 persons</w:t>
            </w:r>
          </w:p>
        </w:tc>
        <w:tc>
          <w:tcPr>
            <w:tcW w:w="388" w:type="pct"/>
            <w:tcMar>
              <w:left w:w="11" w:type="dxa"/>
              <w:right w:w="11" w:type="dxa"/>
            </w:tcMar>
            <w:vAlign w:val="center"/>
            <w:hideMark/>
          </w:tcPr>
          <w:p w14:paraId="69F74E0A" w14:textId="77777777" w:rsidR="00801BB0" w:rsidRPr="005A5BB7" w:rsidRDefault="00801BB0" w:rsidP="00C05C9F">
            <w:pPr>
              <w:keepNext/>
              <w:jc w:val="center"/>
              <w:rPr>
                <w:rFonts w:ascii="Arial Narrow" w:hAnsi="Arial Narrow" w:cs="Times New Roman"/>
                <w:b/>
                <w:bCs/>
                <w:sz w:val="18"/>
                <w:szCs w:val="18"/>
              </w:rPr>
            </w:pPr>
            <w:r w:rsidRPr="005A5BB7">
              <w:rPr>
                <w:rFonts w:ascii="Arial Narrow" w:hAnsi="Arial Narrow" w:cs="Times New Roman"/>
                <w:b/>
                <w:bCs/>
                <w:sz w:val="18"/>
                <w:szCs w:val="18"/>
              </w:rPr>
              <w:t>Inc. QALYs</w:t>
            </w:r>
          </w:p>
          <w:p w14:paraId="6086676E" w14:textId="215A61B9" w:rsidR="00801BB0" w:rsidRPr="005A5BB7" w:rsidRDefault="00801BB0" w:rsidP="00C05C9F">
            <w:pPr>
              <w:keepNext/>
              <w:jc w:val="center"/>
              <w:rPr>
                <w:rFonts w:ascii="Arial Narrow" w:hAnsi="Arial Narrow" w:cs="Times New Roman"/>
                <w:b/>
                <w:bCs/>
                <w:sz w:val="18"/>
                <w:szCs w:val="18"/>
              </w:rPr>
            </w:pPr>
            <w:r w:rsidRPr="005A5BB7">
              <w:rPr>
                <w:rStyle w:val="CommentReference"/>
                <w:b w:val="0"/>
                <w:sz w:val="18"/>
                <w:szCs w:val="18"/>
              </w:rPr>
              <w:t>per 100,000 persons</w:t>
            </w:r>
          </w:p>
        </w:tc>
        <w:tc>
          <w:tcPr>
            <w:tcW w:w="423" w:type="pct"/>
            <w:tcMar>
              <w:left w:w="11" w:type="dxa"/>
              <w:right w:w="11" w:type="dxa"/>
            </w:tcMar>
            <w:vAlign w:val="center"/>
            <w:hideMark/>
          </w:tcPr>
          <w:p w14:paraId="1F3AD8B4" w14:textId="77777777" w:rsidR="00801BB0" w:rsidRPr="005A5BB7" w:rsidRDefault="00801BB0" w:rsidP="00C05C9F">
            <w:pPr>
              <w:keepNext/>
              <w:jc w:val="center"/>
              <w:rPr>
                <w:rFonts w:ascii="Arial Narrow" w:hAnsi="Arial Narrow" w:cs="Times New Roman"/>
                <w:b/>
                <w:bCs/>
                <w:sz w:val="18"/>
                <w:szCs w:val="18"/>
              </w:rPr>
            </w:pPr>
            <w:r w:rsidRPr="005A5BB7">
              <w:rPr>
                <w:rFonts w:ascii="Arial Narrow" w:hAnsi="Arial Narrow" w:cs="Times New Roman"/>
                <w:b/>
                <w:bCs/>
                <w:sz w:val="18"/>
                <w:szCs w:val="18"/>
              </w:rPr>
              <w:t>ICER ($/QALY)</w:t>
            </w:r>
          </w:p>
        </w:tc>
      </w:tr>
      <w:tr w:rsidR="00801BB0" w:rsidRPr="005A5BB7" w14:paraId="667B0599" w14:textId="77777777" w:rsidTr="00963D1F">
        <w:tc>
          <w:tcPr>
            <w:tcW w:w="1077" w:type="pct"/>
            <w:tcMar>
              <w:left w:w="11" w:type="dxa"/>
              <w:right w:w="11" w:type="dxa"/>
            </w:tcMar>
            <w:vAlign w:val="center"/>
          </w:tcPr>
          <w:p w14:paraId="34B422BB" w14:textId="5B0423D3"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Immunocompromising conditions</w:t>
            </w:r>
          </w:p>
        </w:tc>
        <w:tc>
          <w:tcPr>
            <w:tcW w:w="542" w:type="pct"/>
            <w:tcMar>
              <w:left w:w="11" w:type="dxa"/>
              <w:right w:w="11" w:type="dxa"/>
            </w:tcMar>
            <w:vAlign w:val="center"/>
          </w:tcPr>
          <w:p w14:paraId="7DA52E3B" w14:textId="0E65C47F" w:rsidR="00801BB0" w:rsidRPr="00052096"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052096" w:rsidRPr="00052096">
              <w:rPr>
                <w:rFonts w:ascii="Arial Narrow" w:hAnsi="Arial Narrow" w:cs="Calibri"/>
                <w:color w:val="000000"/>
                <w:sz w:val="20"/>
                <w:szCs w:val="20"/>
                <w:vertAlign w:val="superscript"/>
              </w:rPr>
              <w:t>4</w:t>
            </w:r>
          </w:p>
        </w:tc>
        <w:tc>
          <w:tcPr>
            <w:tcW w:w="553" w:type="pct"/>
            <w:tcMar>
              <w:left w:w="11" w:type="dxa"/>
              <w:right w:w="11" w:type="dxa"/>
            </w:tcMar>
            <w:vAlign w:val="center"/>
          </w:tcPr>
          <w:p w14:paraId="44EB8685" w14:textId="59529153"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49D3CD3E" w14:textId="106D3113"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12.25 (1,544)</w:t>
            </w:r>
          </w:p>
        </w:tc>
        <w:tc>
          <w:tcPr>
            <w:tcW w:w="466" w:type="pct"/>
            <w:tcMar>
              <w:left w:w="11" w:type="dxa"/>
              <w:right w:w="11" w:type="dxa"/>
            </w:tcMar>
            <w:vAlign w:val="center"/>
          </w:tcPr>
          <w:p w14:paraId="5D759485" w14:textId="19B48E06"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2.57</w:t>
            </w:r>
            <w:r w:rsidR="000E4816">
              <w:rPr>
                <w:rFonts w:ascii="Arial Narrow" w:hAnsi="Arial Narrow" w:cs="Times New Roman"/>
                <w:sz w:val="20"/>
                <w:szCs w:val="20"/>
              </w:rPr>
              <w:noBreakHyphen/>
            </w:r>
            <w:r w:rsidRPr="005A5BB7">
              <w:rPr>
                <w:rFonts w:ascii="Arial Narrow" w:hAnsi="Arial Narrow" w:cs="Times New Roman"/>
                <w:sz w:val="20"/>
                <w:szCs w:val="20"/>
              </w:rPr>
              <w:t>17.3</w:t>
            </w:r>
          </w:p>
        </w:tc>
        <w:tc>
          <w:tcPr>
            <w:tcW w:w="601" w:type="pct"/>
            <w:tcMar>
              <w:left w:w="11" w:type="dxa"/>
              <w:right w:w="11" w:type="dxa"/>
            </w:tcMar>
            <w:vAlign w:val="center"/>
          </w:tcPr>
          <w:p w14:paraId="02CF99B9" w14:textId="7A8C3AC5" w:rsidR="00801BB0" w:rsidRPr="005A5BB7" w:rsidRDefault="000E4816" w:rsidP="00C05C9F">
            <w:pPr>
              <w:keepNext/>
              <w:jc w:val="center"/>
              <w:rPr>
                <w:rFonts w:ascii="Arial Narrow" w:hAnsi="Arial Narrow" w:cs="Calibri"/>
                <w:sz w:val="20"/>
                <w:szCs w:val="20"/>
              </w:rPr>
            </w:pPr>
            <w:r>
              <w:rPr>
                <w:rFonts w:ascii="Arial Narrow" w:hAnsi="Arial Narrow" w:cs="Calibri"/>
                <w:sz w:val="20"/>
                <w:szCs w:val="20"/>
              </w:rPr>
              <w:noBreakHyphen/>
            </w:r>
            <w:r w:rsidR="00801BB0"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7148F4CB" w14:textId="34D50965"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1,143</w:t>
            </w:r>
          </w:p>
        </w:tc>
        <w:tc>
          <w:tcPr>
            <w:tcW w:w="423" w:type="pct"/>
            <w:tcMar>
              <w:left w:w="11" w:type="dxa"/>
              <w:right w:w="11" w:type="dxa"/>
            </w:tcMar>
            <w:vAlign w:val="center"/>
          </w:tcPr>
          <w:p w14:paraId="4E1F6BCE" w14:textId="77777777"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Dominant</w:t>
            </w:r>
          </w:p>
          <w:p w14:paraId="16E3FE7F" w14:textId="4C8006BF"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w:t>
            </w:r>
            <w:r w:rsidR="000E4816">
              <w:rPr>
                <w:rFonts w:ascii="Arial Narrow" w:hAnsi="Arial Narrow" w:cs="Calibri"/>
                <w:sz w:val="18"/>
                <w:szCs w:val="18"/>
              </w:rPr>
              <w:noBreakHyphen/>
            </w: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Pr="005A5BB7">
              <w:rPr>
                <w:rFonts w:ascii="Arial Narrow" w:hAnsi="Arial Narrow" w:cs="Calibri"/>
                <w:sz w:val="18"/>
                <w:szCs w:val="18"/>
              </w:rPr>
              <w:t>)</w:t>
            </w:r>
          </w:p>
        </w:tc>
      </w:tr>
      <w:tr w:rsidR="00801BB0" w:rsidRPr="005A5BB7" w14:paraId="5950C314" w14:textId="77777777" w:rsidTr="00963D1F">
        <w:tc>
          <w:tcPr>
            <w:tcW w:w="1077" w:type="pct"/>
            <w:tcMar>
              <w:left w:w="11" w:type="dxa"/>
              <w:right w:w="11" w:type="dxa"/>
            </w:tcMar>
            <w:vAlign w:val="center"/>
          </w:tcPr>
          <w:p w14:paraId="612DF1CD" w14:textId="6BD2C4E3"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Chronic liver disease</w:t>
            </w:r>
          </w:p>
        </w:tc>
        <w:tc>
          <w:tcPr>
            <w:tcW w:w="542" w:type="pct"/>
            <w:tcMar>
              <w:left w:w="11" w:type="dxa"/>
              <w:right w:w="11" w:type="dxa"/>
            </w:tcMar>
            <w:vAlign w:val="center"/>
          </w:tcPr>
          <w:p w14:paraId="3AA24154" w14:textId="30E3E42C" w:rsidR="00801BB0" w:rsidRPr="00052096"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052096" w:rsidRPr="00052096">
              <w:rPr>
                <w:rFonts w:ascii="Arial Narrow" w:hAnsi="Arial Narrow" w:cs="Calibri"/>
                <w:color w:val="000000"/>
                <w:sz w:val="20"/>
                <w:szCs w:val="20"/>
                <w:vertAlign w:val="superscript"/>
              </w:rPr>
              <w:t>4</w:t>
            </w:r>
          </w:p>
        </w:tc>
        <w:tc>
          <w:tcPr>
            <w:tcW w:w="553" w:type="pct"/>
            <w:tcMar>
              <w:left w:w="11" w:type="dxa"/>
              <w:right w:w="11" w:type="dxa"/>
            </w:tcMar>
            <w:vAlign w:val="center"/>
          </w:tcPr>
          <w:p w14:paraId="7DB11704" w14:textId="127DFEBE"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0C14944C" w14:textId="32A129C1"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5.40 (680)</w:t>
            </w:r>
          </w:p>
        </w:tc>
        <w:tc>
          <w:tcPr>
            <w:tcW w:w="466" w:type="pct"/>
            <w:tcMar>
              <w:left w:w="11" w:type="dxa"/>
              <w:right w:w="11" w:type="dxa"/>
            </w:tcMar>
            <w:vAlign w:val="center"/>
          </w:tcPr>
          <w:p w14:paraId="0C89E069" w14:textId="6BCB9598"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NA</w:t>
            </w:r>
          </w:p>
        </w:tc>
        <w:tc>
          <w:tcPr>
            <w:tcW w:w="601" w:type="pct"/>
            <w:tcMar>
              <w:left w:w="11" w:type="dxa"/>
              <w:right w:w="11" w:type="dxa"/>
            </w:tcMar>
            <w:vAlign w:val="center"/>
          </w:tcPr>
          <w:p w14:paraId="2072C37C" w14:textId="2023B4C7" w:rsidR="00801BB0" w:rsidRPr="005A5BB7" w:rsidRDefault="000E4816" w:rsidP="00C05C9F">
            <w:pPr>
              <w:keepNext/>
              <w:jc w:val="center"/>
              <w:rPr>
                <w:rFonts w:ascii="Arial Narrow" w:hAnsi="Arial Narrow" w:cs="Calibri"/>
                <w:sz w:val="20"/>
                <w:szCs w:val="20"/>
              </w:rPr>
            </w:pPr>
            <w:r>
              <w:rPr>
                <w:rFonts w:ascii="Arial Narrow" w:hAnsi="Arial Narrow" w:cs="Calibri"/>
                <w:sz w:val="20"/>
                <w:szCs w:val="20"/>
              </w:rPr>
              <w:noBreakHyphen/>
            </w:r>
            <w:r w:rsidR="00801BB0"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6DC22D62" w14:textId="619C07B0"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560</w:t>
            </w:r>
          </w:p>
        </w:tc>
        <w:tc>
          <w:tcPr>
            <w:tcW w:w="423" w:type="pct"/>
            <w:tcMar>
              <w:left w:w="11" w:type="dxa"/>
              <w:right w:w="11" w:type="dxa"/>
            </w:tcMar>
            <w:vAlign w:val="center"/>
          </w:tcPr>
          <w:p w14:paraId="39DFC886" w14:textId="77777777"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 xml:space="preserve">Dominant </w:t>
            </w:r>
          </w:p>
          <w:p w14:paraId="4D53F16D" w14:textId="31DBC779"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w:t>
            </w:r>
            <w:r w:rsidR="000E4816">
              <w:rPr>
                <w:rFonts w:ascii="Arial Narrow" w:hAnsi="Arial Narrow" w:cs="Calibri"/>
                <w:sz w:val="18"/>
                <w:szCs w:val="18"/>
              </w:rPr>
              <w:noBreakHyphen/>
            </w: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Pr="005A5BB7">
              <w:rPr>
                <w:rFonts w:ascii="Arial Narrow" w:hAnsi="Arial Narrow" w:cs="Calibri"/>
                <w:sz w:val="18"/>
                <w:szCs w:val="18"/>
              </w:rPr>
              <w:t>)</w:t>
            </w:r>
          </w:p>
        </w:tc>
      </w:tr>
      <w:tr w:rsidR="00801BB0" w:rsidRPr="005A5BB7" w14:paraId="00CB5F99" w14:textId="77777777" w:rsidTr="00963D1F">
        <w:tc>
          <w:tcPr>
            <w:tcW w:w="1077" w:type="pct"/>
            <w:tcMar>
              <w:left w:w="11" w:type="dxa"/>
              <w:right w:w="11" w:type="dxa"/>
            </w:tcMar>
            <w:vAlign w:val="center"/>
          </w:tcPr>
          <w:p w14:paraId="308C6FBC" w14:textId="7523143C"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Chronic kidney disease</w:t>
            </w:r>
          </w:p>
        </w:tc>
        <w:tc>
          <w:tcPr>
            <w:tcW w:w="542" w:type="pct"/>
            <w:tcMar>
              <w:left w:w="11" w:type="dxa"/>
              <w:right w:w="11" w:type="dxa"/>
            </w:tcMar>
            <w:vAlign w:val="center"/>
          </w:tcPr>
          <w:p w14:paraId="16A74429" w14:textId="7014872D" w:rsidR="00801BB0" w:rsidRPr="004B0A3F"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4B0A3F" w:rsidRPr="004B0A3F">
              <w:rPr>
                <w:rFonts w:ascii="Arial Narrow" w:hAnsi="Arial Narrow" w:cs="Calibri"/>
                <w:color w:val="000000"/>
                <w:sz w:val="20"/>
                <w:szCs w:val="20"/>
                <w:vertAlign w:val="superscript"/>
              </w:rPr>
              <w:t>5</w:t>
            </w:r>
          </w:p>
        </w:tc>
        <w:tc>
          <w:tcPr>
            <w:tcW w:w="553" w:type="pct"/>
            <w:tcMar>
              <w:left w:w="11" w:type="dxa"/>
              <w:right w:w="11" w:type="dxa"/>
            </w:tcMar>
            <w:vAlign w:val="center"/>
          </w:tcPr>
          <w:p w14:paraId="29EE8999" w14:textId="3B93AE49"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05769883" w14:textId="42C89E58"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5.40 (680)</w:t>
            </w:r>
          </w:p>
        </w:tc>
        <w:tc>
          <w:tcPr>
            <w:tcW w:w="466" w:type="pct"/>
            <w:tcMar>
              <w:left w:w="11" w:type="dxa"/>
              <w:right w:w="11" w:type="dxa"/>
            </w:tcMar>
            <w:vAlign w:val="center"/>
          </w:tcPr>
          <w:p w14:paraId="31C599F4" w14:textId="4C96DEED"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1.09</w:t>
            </w:r>
            <w:r w:rsidR="000E4816">
              <w:rPr>
                <w:rFonts w:ascii="Arial Narrow" w:hAnsi="Arial Narrow" w:cs="Times New Roman"/>
                <w:sz w:val="20"/>
                <w:szCs w:val="20"/>
              </w:rPr>
              <w:noBreakHyphen/>
            </w:r>
            <w:r w:rsidRPr="005A5BB7">
              <w:rPr>
                <w:rFonts w:ascii="Arial Narrow" w:hAnsi="Arial Narrow" w:cs="Times New Roman"/>
                <w:sz w:val="20"/>
                <w:szCs w:val="20"/>
              </w:rPr>
              <w:t>6.18</w:t>
            </w:r>
          </w:p>
        </w:tc>
        <w:tc>
          <w:tcPr>
            <w:tcW w:w="601" w:type="pct"/>
            <w:tcMar>
              <w:left w:w="11" w:type="dxa"/>
              <w:right w:w="11" w:type="dxa"/>
            </w:tcMar>
            <w:vAlign w:val="center"/>
          </w:tcPr>
          <w:p w14:paraId="04B0009C" w14:textId="1CCB2816" w:rsidR="00801BB0" w:rsidRPr="005A5BB7" w:rsidRDefault="000E4816" w:rsidP="00C05C9F">
            <w:pPr>
              <w:keepNext/>
              <w:jc w:val="center"/>
              <w:rPr>
                <w:rFonts w:ascii="Arial Narrow" w:hAnsi="Arial Narrow" w:cs="Calibri"/>
                <w:sz w:val="20"/>
                <w:szCs w:val="20"/>
              </w:rPr>
            </w:pPr>
            <w:r>
              <w:rPr>
                <w:rFonts w:ascii="Arial Narrow" w:hAnsi="Arial Narrow" w:cs="Calibri"/>
                <w:sz w:val="20"/>
                <w:szCs w:val="20"/>
              </w:rPr>
              <w:noBreakHyphen/>
            </w:r>
            <w:r w:rsidR="00801BB0"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6F14016A" w14:textId="4386BF91"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560</w:t>
            </w:r>
          </w:p>
        </w:tc>
        <w:tc>
          <w:tcPr>
            <w:tcW w:w="423" w:type="pct"/>
            <w:tcMar>
              <w:left w:w="11" w:type="dxa"/>
              <w:right w:w="11" w:type="dxa"/>
            </w:tcMar>
            <w:vAlign w:val="center"/>
          </w:tcPr>
          <w:p w14:paraId="236FE5D5" w14:textId="77777777"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 xml:space="preserve">Dominant </w:t>
            </w:r>
          </w:p>
          <w:p w14:paraId="6D8727CE" w14:textId="40F52B34"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w:t>
            </w:r>
            <w:r w:rsidR="000E4816">
              <w:rPr>
                <w:rFonts w:ascii="Arial Narrow" w:hAnsi="Arial Narrow" w:cs="Calibri"/>
                <w:sz w:val="18"/>
                <w:szCs w:val="18"/>
              </w:rPr>
              <w:noBreakHyphen/>
            </w: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Pr="005A5BB7">
              <w:rPr>
                <w:rFonts w:ascii="Arial Narrow" w:hAnsi="Arial Narrow" w:cs="Calibri"/>
                <w:sz w:val="18"/>
                <w:szCs w:val="18"/>
              </w:rPr>
              <w:t>)</w:t>
            </w:r>
          </w:p>
        </w:tc>
      </w:tr>
      <w:tr w:rsidR="00801BB0" w:rsidRPr="005A5BB7" w14:paraId="43E7C9A7" w14:textId="77777777" w:rsidTr="00963D1F">
        <w:tc>
          <w:tcPr>
            <w:tcW w:w="1077" w:type="pct"/>
            <w:tcMar>
              <w:left w:w="11" w:type="dxa"/>
              <w:right w:w="11" w:type="dxa"/>
            </w:tcMar>
            <w:vAlign w:val="center"/>
          </w:tcPr>
          <w:p w14:paraId="246E727E" w14:textId="568713F2"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Chronic neurological conditions</w:t>
            </w:r>
          </w:p>
        </w:tc>
        <w:tc>
          <w:tcPr>
            <w:tcW w:w="542" w:type="pct"/>
            <w:tcMar>
              <w:left w:w="11" w:type="dxa"/>
              <w:right w:w="11" w:type="dxa"/>
            </w:tcMar>
            <w:vAlign w:val="center"/>
          </w:tcPr>
          <w:p w14:paraId="3C2B0D1D" w14:textId="190A456D" w:rsidR="00801BB0" w:rsidRPr="000A2B32"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0A2B32" w:rsidRPr="000A2B32">
              <w:rPr>
                <w:rFonts w:ascii="Arial Narrow" w:hAnsi="Arial Narrow" w:cs="Calibri"/>
                <w:color w:val="000000"/>
                <w:sz w:val="20"/>
                <w:szCs w:val="20"/>
                <w:vertAlign w:val="superscript"/>
              </w:rPr>
              <w:t>6</w:t>
            </w:r>
          </w:p>
        </w:tc>
        <w:tc>
          <w:tcPr>
            <w:tcW w:w="553" w:type="pct"/>
            <w:tcMar>
              <w:left w:w="11" w:type="dxa"/>
              <w:right w:w="11" w:type="dxa"/>
            </w:tcMar>
            <w:vAlign w:val="center"/>
          </w:tcPr>
          <w:p w14:paraId="5AA2D3FF" w14:textId="7F06E4A5"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5E542D5C" w14:textId="5674BD6F"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3.92 (494)</w:t>
            </w:r>
          </w:p>
        </w:tc>
        <w:tc>
          <w:tcPr>
            <w:tcW w:w="466" w:type="pct"/>
            <w:tcMar>
              <w:left w:w="11" w:type="dxa"/>
              <w:right w:w="11" w:type="dxa"/>
            </w:tcMar>
            <w:vAlign w:val="center"/>
          </w:tcPr>
          <w:p w14:paraId="5E5D1536" w14:textId="57942D41"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NA</w:t>
            </w:r>
          </w:p>
        </w:tc>
        <w:tc>
          <w:tcPr>
            <w:tcW w:w="601" w:type="pct"/>
            <w:tcMar>
              <w:left w:w="11" w:type="dxa"/>
              <w:right w:w="11" w:type="dxa"/>
            </w:tcMar>
            <w:vAlign w:val="center"/>
          </w:tcPr>
          <w:p w14:paraId="34039CF2" w14:textId="00C98BA3" w:rsidR="00801BB0" w:rsidRPr="005A5BB7" w:rsidRDefault="000E4816" w:rsidP="00C05C9F">
            <w:pPr>
              <w:keepNext/>
              <w:jc w:val="center"/>
              <w:rPr>
                <w:rFonts w:ascii="Arial Narrow" w:hAnsi="Arial Narrow" w:cs="Calibri"/>
                <w:sz w:val="20"/>
                <w:szCs w:val="20"/>
              </w:rPr>
            </w:pPr>
            <w:r>
              <w:rPr>
                <w:rFonts w:ascii="Arial Narrow" w:hAnsi="Arial Narrow" w:cs="Calibri"/>
                <w:sz w:val="20"/>
                <w:szCs w:val="20"/>
              </w:rPr>
              <w:noBreakHyphen/>
            </w:r>
            <w:r w:rsidR="00801BB0"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09A8D213" w14:textId="0AA0690C"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434</w:t>
            </w:r>
          </w:p>
        </w:tc>
        <w:tc>
          <w:tcPr>
            <w:tcW w:w="423" w:type="pct"/>
            <w:tcMar>
              <w:left w:w="11" w:type="dxa"/>
              <w:right w:w="11" w:type="dxa"/>
            </w:tcMar>
            <w:vAlign w:val="center"/>
          </w:tcPr>
          <w:p w14:paraId="46EA9B52" w14:textId="77777777"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 xml:space="preserve">Dominant </w:t>
            </w:r>
          </w:p>
          <w:p w14:paraId="2C8FD46E" w14:textId="19553A12" w:rsidR="00801BB0" w:rsidRPr="005A5BB7" w:rsidRDefault="00801BB0" w:rsidP="00C05C9F">
            <w:pPr>
              <w:keepNext/>
              <w:jc w:val="center"/>
              <w:rPr>
                <w:rFonts w:ascii="Arial Narrow" w:hAnsi="Arial Narrow" w:cs="Calibri"/>
                <w:sz w:val="18"/>
                <w:szCs w:val="18"/>
              </w:rPr>
            </w:pPr>
            <w:r w:rsidRPr="005A5BB7">
              <w:rPr>
                <w:rFonts w:ascii="Arial Narrow" w:hAnsi="Arial Narrow" w:cs="Calibri"/>
                <w:sz w:val="18"/>
                <w:szCs w:val="18"/>
              </w:rPr>
              <w:t>(</w:t>
            </w:r>
            <w:r w:rsidR="000E4816">
              <w:rPr>
                <w:rFonts w:ascii="Arial Narrow" w:hAnsi="Arial Narrow" w:cs="Calibri"/>
                <w:sz w:val="18"/>
                <w:szCs w:val="18"/>
              </w:rPr>
              <w:noBreakHyphen/>
            </w: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Pr="005A5BB7">
              <w:rPr>
                <w:rFonts w:ascii="Arial Narrow" w:hAnsi="Arial Narrow" w:cs="Calibri"/>
                <w:sz w:val="18"/>
                <w:szCs w:val="18"/>
              </w:rPr>
              <w:t>)</w:t>
            </w:r>
          </w:p>
        </w:tc>
      </w:tr>
      <w:tr w:rsidR="00801BB0" w:rsidRPr="005A5BB7" w14:paraId="25AD0881" w14:textId="77777777" w:rsidTr="00963D1F">
        <w:tc>
          <w:tcPr>
            <w:tcW w:w="1077" w:type="pct"/>
            <w:tcMar>
              <w:left w:w="11" w:type="dxa"/>
              <w:right w:w="11" w:type="dxa"/>
            </w:tcMar>
            <w:vAlign w:val="center"/>
          </w:tcPr>
          <w:p w14:paraId="2841BAE1" w14:textId="76EE1A68"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Chronic respiratory conditions</w:t>
            </w:r>
          </w:p>
        </w:tc>
        <w:tc>
          <w:tcPr>
            <w:tcW w:w="542" w:type="pct"/>
            <w:tcMar>
              <w:left w:w="11" w:type="dxa"/>
              <w:right w:w="11" w:type="dxa"/>
            </w:tcMar>
            <w:vAlign w:val="center"/>
          </w:tcPr>
          <w:p w14:paraId="7CAB0E38" w14:textId="51999FB0" w:rsidR="00801BB0" w:rsidRPr="00244072"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244072" w:rsidRPr="00244072">
              <w:rPr>
                <w:rFonts w:ascii="Arial Narrow" w:hAnsi="Arial Narrow" w:cs="Calibri"/>
                <w:color w:val="000000"/>
                <w:sz w:val="20"/>
                <w:szCs w:val="20"/>
                <w:vertAlign w:val="superscript"/>
              </w:rPr>
              <w:t>7</w:t>
            </w:r>
          </w:p>
        </w:tc>
        <w:tc>
          <w:tcPr>
            <w:tcW w:w="553" w:type="pct"/>
            <w:tcMar>
              <w:left w:w="11" w:type="dxa"/>
              <w:right w:w="11" w:type="dxa"/>
            </w:tcMar>
            <w:vAlign w:val="center"/>
          </w:tcPr>
          <w:p w14:paraId="494D7B4C" w14:textId="6B118B3C"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105A2394" w14:textId="3B7C1BC3"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2.87 (362)</w:t>
            </w:r>
          </w:p>
        </w:tc>
        <w:tc>
          <w:tcPr>
            <w:tcW w:w="466" w:type="pct"/>
            <w:tcMar>
              <w:left w:w="11" w:type="dxa"/>
              <w:right w:w="11" w:type="dxa"/>
            </w:tcMar>
            <w:vAlign w:val="center"/>
          </w:tcPr>
          <w:p w14:paraId="6D138C40" w14:textId="643A3A91"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1.63</w:t>
            </w:r>
            <w:r w:rsidR="000E4816">
              <w:rPr>
                <w:rFonts w:ascii="Arial Narrow" w:hAnsi="Arial Narrow" w:cs="Times New Roman"/>
                <w:sz w:val="20"/>
                <w:szCs w:val="20"/>
              </w:rPr>
              <w:noBreakHyphen/>
            </w:r>
            <w:r w:rsidRPr="005A5BB7">
              <w:rPr>
                <w:rFonts w:ascii="Arial Narrow" w:hAnsi="Arial Narrow" w:cs="Times New Roman"/>
                <w:sz w:val="20"/>
                <w:szCs w:val="20"/>
              </w:rPr>
              <w:t>7.80</w:t>
            </w:r>
          </w:p>
        </w:tc>
        <w:tc>
          <w:tcPr>
            <w:tcW w:w="601" w:type="pct"/>
            <w:tcMar>
              <w:left w:w="11" w:type="dxa"/>
              <w:right w:w="11" w:type="dxa"/>
            </w:tcMar>
            <w:vAlign w:val="center"/>
          </w:tcPr>
          <w:p w14:paraId="21F868E4" w14:textId="6C269D25"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51DCAD32" w14:textId="4BAA2561"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345</w:t>
            </w:r>
          </w:p>
        </w:tc>
        <w:tc>
          <w:tcPr>
            <w:tcW w:w="423" w:type="pct"/>
            <w:tcMar>
              <w:left w:w="11" w:type="dxa"/>
              <w:right w:w="11" w:type="dxa"/>
            </w:tcMar>
            <w:vAlign w:val="center"/>
          </w:tcPr>
          <w:p w14:paraId="19ED441D" w14:textId="3F45C08E" w:rsidR="00801BB0" w:rsidRPr="003E754B" w:rsidRDefault="00801BB0" w:rsidP="00C05C9F">
            <w:pPr>
              <w:keepNext/>
              <w:jc w:val="center"/>
              <w:rPr>
                <w:rFonts w:ascii="Arial Narrow" w:hAnsi="Arial Narrow" w:cs="Calibri"/>
                <w:sz w:val="18"/>
                <w:szCs w:val="18"/>
                <w:vertAlign w:val="superscript"/>
              </w:rPr>
            </w:pP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003E754B">
              <w:rPr>
                <w:rFonts w:ascii="Arial Narrow" w:hAnsi="Arial Narrow" w:cs="Calibri"/>
                <w:sz w:val="18"/>
                <w:szCs w:val="18"/>
                <w:vertAlign w:val="superscript"/>
              </w:rPr>
              <w:t>1</w:t>
            </w:r>
          </w:p>
        </w:tc>
      </w:tr>
      <w:tr w:rsidR="00801BB0" w:rsidRPr="005A5BB7" w14:paraId="725395B8" w14:textId="77777777" w:rsidTr="00963D1F">
        <w:tc>
          <w:tcPr>
            <w:tcW w:w="1077" w:type="pct"/>
            <w:tcMar>
              <w:left w:w="11" w:type="dxa"/>
              <w:right w:w="11" w:type="dxa"/>
            </w:tcMar>
            <w:vAlign w:val="center"/>
          </w:tcPr>
          <w:p w14:paraId="61F50A38" w14:textId="198BB8CB"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Cardiac disease</w:t>
            </w:r>
          </w:p>
        </w:tc>
        <w:tc>
          <w:tcPr>
            <w:tcW w:w="542" w:type="pct"/>
            <w:tcMar>
              <w:left w:w="11" w:type="dxa"/>
              <w:right w:w="11" w:type="dxa"/>
            </w:tcMar>
            <w:vAlign w:val="center"/>
          </w:tcPr>
          <w:p w14:paraId="1095DE63" w14:textId="74460042" w:rsidR="00801BB0" w:rsidRPr="005643E2"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5643E2" w:rsidRPr="005643E2">
              <w:rPr>
                <w:rFonts w:ascii="Arial Narrow" w:hAnsi="Arial Narrow" w:cs="Calibri"/>
                <w:color w:val="000000"/>
                <w:sz w:val="20"/>
                <w:szCs w:val="20"/>
                <w:vertAlign w:val="superscript"/>
              </w:rPr>
              <w:t>8</w:t>
            </w:r>
          </w:p>
        </w:tc>
        <w:tc>
          <w:tcPr>
            <w:tcW w:w="553" w:type="pct"/>
            <w:tcMar>
              <w:left w:w="11" w:type="dxa"/>
              <w:right w:w="11" w:type="dxa"/>
            </w:tcMar>
            <w:vAlign w:val="center"/>
          </w:tcPr>
          <w:p w14:paraId="60813FD9" w14:textId="4F3E60F6"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6BD4CFA6" w14:textId="1E2820A8"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2.35 (296)</w:t>
            </w:r>
          </w:p>
        </w:tc>
        <w:tc>
          <w:tcPr>
            <w:tcW w:w="466" w:type="pct"/>
            <w:tcMar>
              <w:left w:w="11" w:type="dxa"/>
              <w:right w:w="11" w:type="dxa"/>
            </w:tcMar>
            <w:vAlign w:val="center"/>
          </w:tcPr>
          <w:p w14:paraId="5E2F0D36" w14:textId="101D4601"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1.45</w:t>
            </w:r>
            <w:r w:rsidR="000E4816">
              <w:rPr>
                <w:rFonts w:ascii="Arial Narrow" w:hAnsi="Arial Narrow" w:cs="Times New Roman"/>
                <w:sz w:val="20"/>
                <w:szCs w:val="20"/>
              </w:rPr>
              <w:noBreakHyphen/>
            </w:r>
            <w:r w:rsidRPr="005A5BB7">
              <w:rPr>
                <w:rFonts w:ascii="Arial Narrow" w:hAnsi="Arial Narrow" w:cs="Times New Roman"/>
                <w:sz w:val="20"/>
                <w:szCs w:val="20"/>
              </w:rPr>
              <w:t>9.03</w:t>
            </w:r>
          </w:p>
        </w:tc>
        <w:tc>
          <w:tcPr>
            <w:tcW w:w="601" w:type="pct"/>
            <w:tcMar>
              <w:left w:w="11" w:type="dxa"/>
              <w:right w:w="11" w:type="dxa"/>
            </w:tcMar>
            <w:vAlign w:val="center"/>
          </w:tcPr>
          <w:p w14:paraId="4E1ABED6" w14:textId="415B871C"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7317F8FF" w14:textId="5A3ACFCF"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300</w:t>
            </w:r>
          </w:p>
        </w:tc>
        <w:tc>
          <w:tcPr>
            <w:tcW w:w="423" w:type="pct"/>
            <w:tcMar>
              <w:left w:w="11" w:type="dxa"/>
              <w:right w:w="11" w:type="dxa"/>
            </w:tcMar>
            <w:vAlign w:val="center"/>
          </w:tcPr>
          <w:p w14:paraId="79B845FF" w14:textId="1258593E" w:rsidR="00801BB0" w:rsidRPr="0001734D" w:rsidRDefault="00801BB0" w:rsidP="00C05C9F">
            <w:pPr>
              <w:keepNext/>
              <w:jc w:val="center"/>
              <w:rPr>
                <w:rFonts w:ascii="Arial Narrow" w:hAnsi="Arial Narrow" w:cs="Calibri"/>
                <w:sz w:val="18"/>
                <w:szCs w:val="18"/>
                <w:vertAlign w:val="superscript"/>
              </w:rPr>
            </w:pP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0001734D">
              <w:rPr>
                <w:rFonts w:ascii="Arial Narrow" w:hAnsi="Arial Narrow" w:cs="Calibri"/>
                <w:sz w:val="18"/>
                <w:szCs w:val="18"/>
                <w:vertAlign w:val="superscript"/>
              </w:rPr>
              <w:t>2</w:t>
            </w:r>
          </w:p>
        </w:tc>
      </w:tr>
      <w:tr w:rsidR="00801BB0" w:rsidRPr="005A5BB7" w14:paraId="2B199C1B" w14:textId="77777777" w:rsidTr="00963D1F">
        <w:tc>
          <w:tcPr>
            <w:tcW w:w="1077" w:type="pct"/>
            <w:tcMar>
              <w:left w:w="11" w:type="dxa"/>
              <w:right w:w="11" w:type="dxa"/>
            </w:tcMar>
            <w:vAlign w:val="center"/>
          </w:tcPr>
          <w:p w14:paraId="2AB63F88" w14:textId="7AFC64DE" w:rsidR="00801BB0" w:rsidRPr="005A5BB7" w:rsidRDefault="00801BB0" w:rsidP="00C05C9F">
            <w:pPr>
              <w:keepNext/>
              <w:jc w:val="left"/>
              <w:rPr>
                <w:rFonts w:ascii="Arial Narrow" w:hAnsi="Arial Narrow" w:cs="Calibri"/>
                <w:b/>
                <w:bCs/>
                <w:color w:val="000000"/>
                <w:sz w:val="20"/>
                <w:szCs w:val="20"/>
              </w:rPr>
            </w:pPr>
            <w:r w:rsidRPr="005A5BB7">
              <w:rPr>
                <w:rFonts w:ascii="Arial Narrow" w:hAnsi="Arial Narrow" w:cs="Calibri"/>
                <w:b/>
                <w:bCs/>
                <w:color w:val="000000"/>
                <w:sz w:val="20"/>
                <w:szCs w:val="20"/>
              </w:rPr>
              <w:t>Obesity</w:t>
            </w:r>
          </w:p>
        </w:tc>
        <w:tc>
          <w:tcPr>
            <w:tcW w:w="542" w:type="pct"/>
            <w:tcMar>
              <w:left w:w="11" w:type="dxa"/>
              <w:right w:w="11" w:type="dxa"/>
            </w:tcMar>
            <w:vAlign w:val="center"/>
          </w:tcPr>
          <w:p w14:paraId="2CB00FA3" w14:textId="3EB12E96" w:rsidR="00801BB0" w:rsidRPr="004B0A3F" w:rsidRDefault="00F15B97" w:rsidP="00C05C9F">
            <w:pPr>
              <w:keepNext/>
              <w:jc w:val="center"/>
              <w:rPr>
                <w:rFonts w:ascii="Arial Narrow" w:hAnsi="Arial Narrow" w:cs="Calibri"/>
                <w:color w:val="000000"/>
                <w:sz w:val="20"/>
                <w:szCs w:val="20"/>
                <w:highlight w:val="yellow"/>
                <w:vertAlign w:val="superscript"/>
              </w:rPr>
            </w:pPr>
            <w:r w:rsidRPr="00F15B97">
              <w:rPr>
                <w:rFonts w:ascii="Arial Narrow" w:hAnsi="Arial Narrow" w:cs="Calibri"/>
                <w:color w:val="000000"/>
                <w:sz w:val="2"/>
                <w:szCs w:val="20"/>
                <w:highlight w:val="black"/>
              </w:rPr>
              <w:t>redacted content</w:t>
            </w:r>
            <w:r w:rsidR="004B0A3F" w:rsidRPr="004B0A3F">
              <w:rPr>
                <w:rFonts w:ascii="Arial Narrow" w:hAnsi="Arial Narrow" w:cs="Calibri"/>
                <w:color w:val="000000"/>
                <w:sz w:val="20"/>
                <w:szCs w:val="20"/>
                <w:vertAlign w:val="superscript"/>
              </w:rPr>
              <w:t>4</w:t>
            </w:r>
          </w:p>
        </w:tc>
        <w:tc>
          <w:tcPr>
            <w:tcW w:w="553" w:type="pct"/>
            <w:tcMar>
              <w:left w:w="11" w:type="dxa"/>
              <w:right w:w="11" w:type="dxa"/>
            </w:tcMar>
            <w:vAlign w:val="center"/>
          </w:tcPr>
          <w:p w14:paraId="7954A1C6" w14:textId="0D3B4A6B" w:rsidR="00801BB0" w:rsidRPr="009135EE" w:rsidRDefault="00F15B97" w:rsidP="00C05C9F">
            <w:pPr>
              <w:keepNext/>
              <w:jc w:val="center"/>
              <w:rPr>
                <w:rFonts w:ascii="Arial Narrow" w:hAnsi="Arial Narrow" w:cs="Calibri"/>
                <w:color w:val="000000"/>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2C0AF371" w14:textId="522C20C1" w:rsidR="00801BB0" w:rsidRPr="005A5BB7" w:rsidRDefault="00801BB0" w:rsidP="00C05C9F">
            <w:pPr>
              <w:keepNext/>
              <w:jc w:val="center"/>
              <w:rPr>
                <w:rFonts w:ascii="Arial Narrow" w:hAnsi="Arial Narrow" w:cs="Calibri"/>
                <w:color w:val="000000"/>
                <w:sz w:val="20"/>
                <w:szCs w:val="20"/>
              </w:rPr>
            </w:pPr>
            <w:r w:rsidRPr="005A5BB7">
              <w:rPr>
                <w:rFonts w:ascii="Arial Narrow" w:hAnsi="Arial Narrow" w:cs="Calibri"/>
                <w:color w:val="000000"/>
                <w:sz w:val="20"/>
                <w:szCs w:val="20"/>
              </w:rPr>
              <w:t>2.28 (287)</w:t>
            </w:r>
          </w:p>
        </w:tc>
        <w:tc>
          <w:tcPr>
            <w:tcW w:w="466" w:type="pct"/>
            <w:tcMar>
              <w:left w:w="11" w:type="dxa"/>
              <w:right w:w="11" w:type="dxa"/>
            </w:tcMar>
            <w:vAlign w:val="center"/>
          </w:tcPr>
          <w:p w14:paraId="3B2A0BEB" w14:textId="550E10E6"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0.61</w:t>
            </w:r>
            <w:r w:rsidR="000E4816">
              <w:rPr>
                <w:rFonts w:ascii="Arial Narrow" w:hAnsi="Arial Narrow" w:cs="Times New Roman"/>
                <w:sz w:val="20"/>
                <w:szCs w:val="20"/>
              </w:rPr>
              <w:noBreakHyphen/>
            </w:r>
            <w:r w:rsidRPr="005A5BB7">
              <w:rPr>
                <w:rFonts w:ascii="Arial Narrow" w:hAnsi="Arial Narrow" w:cs="Times New Roman"/>
                <w:sz w:val="20"/>
                <w:szCs w:val="20"/>
              </w:rPr>
              <w:t>3.23</w:t>
            </w:r>
          </w:p>
        </w:tc>
        <w:tc>
          <w:tcPr>
            <w:tcW w:w="601" w:type="pct"/>
            <w:tcMar>
              <w:left w:w="11" w:type="dxa"/>
              <w:right w:w="11" w:type="dxa"/>
            </w:tcMar>
            <w:vAlign w:val="center"/>
          </w:tcPr>
          <w:p w14:paraId="5718165A" w14:textId="1A592EB6"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521E6EAF" w14:textId="3E80E3E0" w:rsidR="00801BB0" w:rsidRPr="005A5BB7" w:rsidRDefault="00801BB0" w:rsidP="00C05C9F">
            <w:pPr>
              <w:keepNext/>
              <w:jc w:val="center"/>
              <w:rPr>
                <w:rFonts w:ascii="Arial Narrow" w:hAnsi="Arial Narrow" w:cs="Calibri"/>
                <w:sz w:val="20"/>
                <w:szCs w:val="20"/>
              </w:rPr>
            </w:pPr>
            <w:r w:rsidRPr="005A5BB7">
              <w:rPr>
                <w:rFonts w:ascii="Arial Narrow" w:hAnsi="Arial Narrow" w:cs="Calibri"/>
                <w:sz w:val="20"/>
                <w:szCs w:val="20"/>
              </w:rPr>
              <w:t>294</w:t>
            </w:r>
          </w:p>
        </w:tc>
        <w:tc>
          <w:tcPr>
            <w:tcW w:w="423" w:type="pct"/>
            <w:tcMar>
              <w:left w:w="11" w:type="dxa"/>
              <w:right w:w="11" w:type="dxa"/>
            </w:tcMar>
            <w:vAlign w:val="center"/>
          </w:tcPr>
          <w:p w14:paraId="7489104E" w14:textId="408EAC68" w:rsidR="00801BB0" w:rsidRPr="0001734D" w:rsidRDefault="00801BB0" w:rsidP="00C05C9F">
            <w:pPr>
              <w:keepNext/>
              <w:jc w:val="center"/>
              <w:rPr>
                <w:rFonts w:ascii="Arial Narrow" w:hAnsi="Arial Narrow" w:cs="Calibri"/>
                <w:sz w:val="18"/>
                <w:szCs w:val="18"/>
                <w:vertAlign w:val="superscript"/>
              </w:rPr>
            </w:pP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0001734D">
              <w:rPr>
                <w:rFonts w:ascii="Arial Narrow" w:hAnsi="Arial Narrow" w:cs="Calibri"/>
                <w:sz w:val="18"/>
                <w:szCs w:val="18"/>
                <w:vertAlign w:val="superscript"/>
              </w:rPr>
              <w:t>2</w:t>
            </w:r>
          </w:p>
        </w:tc>
      </w:tr>
      <w:tr w:rsidR="00801BB0" w:rsidRPr="005A5BB7" w14:paraId="2B8E1360" w14:textId="77777777" w:rsidTr="00963D1F">
        <w:tc>
          <w:tcPr>
            <w:tcW w:w="1077" w:type="pct"/>
            <w:tcMar>
              <w:left w:w="11" w:type="dxa"/>
              <w:right w:w="11" w:type="dxa"/>
            </w:tcMar>
            <w:vAlign w:val="center"/>
          </w:tcPr>
          <w:p w14:paraId="4E61A0D1" w14:textId="77777777" w:rsidR="00801BB0" w:rsidRPr="005A5BB7" w:rsidRDefault="00801BB0" w:rsidP="00C05C9F">
            <w:pPr>
              <w:keepNext/>
              <w:jc w:val="left"/>
              <w:rPr>
                <w:rFonts w:ascii="Arial Narrow" w:hAnsi="Arial Narrow" w:cs="Times New Roman"/>
                <w:sz w:val="20"/>
                <w:szCs w:val="20"/>
              </w:rPr>
            </w:pPr>
            <w:r w:rsidRPr="005A5BB7">
              <w:rPr>
                <w:rFonts w:ascii="Arial Narrow" w:hAnsi="Arial Narrow" w:cs="Calibri"/>
                <w:b/>
                <w:bCs/>
                <w:color w:val="000000"/>
                <w:sz w:val="20"/>
                <w:szCs w:val="20"/>
              </w:rPr>
              <w:t>Chronic metabolic disorders</w:t>
            </w:r>
          </w:p>
        </w:tc>
        <w:tc>
          <w:tcPr>
            <w:tcW w:w="542" w:type="pct"/>
            <w:tcMar>
              <w:left w:w="11" w:type="dxa"/>
              <w:right w:w="11" w:type="dxa"/>
            </w:tcMar>
            <w:vAlign w:val="center"/>
          </w:tcPr>
          <w:p w14:paraId="126346F9" w14:textId="085B28C3" w:rsidR="00801BB0" w:rsidRPr="005643E2" w:rsidRDefault="00F15B97" w:rsidP="00C05C9F">
            <w:pPr>
              <w:keepNext/>
              <w:jc w:val="center"/>
              <w:rPr>
                <w:rFonts w:ascii="Arial Narrow" w:hAnsi="Arial Narrow" w:cs="Times New Roman"/>
                <w:sz w:val="20"/>
                <w:szCs w:val="20"/>
                <w:highlight w:val="yellow"/>
                <w:vertAlign w:val="superscript"/>
              </w:rPr>
            </w:pPr>
            <w:r w:rsidRPr="00F15B97">
              <w:rPr>
                <w:rFonts w:ascii="Arial Narrow" w:hAnsi="Arial Narrow" w:cs="Calibri"/>
                <w:color w:val="000000"/>
                <w:sz w:val="2"/>
                <w:szCs w:val="20"/>
                <w:highlight w:val="black"/>
              </w:rPr>
              <w:t>redacted content</w:t>
            </w:r>
            <w:r w:rsidR="005643E2" w:rsidRPr="005643E2">
              <w:rPr>
                <w:rFonts w:ascii="Arial Narrow" w:hAnsi="Arial Narrow" w:cs="Calibri"/>
                <w:color w:val="000000"/>
                <w:sz w:val="20"/>
                <w:szCs w:val="20"/>
                <w:vertAlign w:val="superscript"/>
              </w:rPr>
              <w:t>8</w:t>
            </w:r>
          </w:p>
        </w:tc>
        <w:tc>
          <w:tcPr>
            <w:tcW w:w="553" w:type="pct"/>
            <w:tcMar>
              <w:left w:w="11" w:type="dxa"/>
              <w:right w:w="11" w:type="dxa"/>
            </w:tcMar>
            <w:vAlign w:val="center"/>
          </w:tcPr>
          <w:p w14:paraId="05A67828" w14:textId="66761918" w:rsidR="00801BB0" w:rsidRPr="009135EE" w:rsidRDefault="00F15B97" w:rsidP="00C05C9F">
            <w:pPr>
              <w:keepNext/>
              <w:jc w:val="center"/>
              <w:rPr>
                <w:rFonts w:ascii="Arial Narrow" w:hAnsi="Arial Narrow" w:cs="Times New Roman"/>
                <w:sz w:val="20"/>
                <w:szCs w:val="20"/>
              </w:rPr>
            </w:pPr>
            <w:r w:rsidRPr="00F15B97">
              <w:rPr>
                <w:rFonts w:ascii="Arial Narrow" w:hAnsi="Arial Narrow" w:cs="Calibri"/>
                <w:color w:val="000000"/>
                <w:sz w:val="2"/>
                <w:szCs w:val="20"/>
                <w:highlight w:val="black"/>
              </w:rPr>
              <w:t>redacted content</w:t>
            </w:r>
            <w:r w:rsidR="00801BB0" w:rsidRPr="009135EE">
              <w:rPr>
                <w:rFonts w:ascii="Arial Narrow" w:hAnsi="Arial Narrow" w:cs="Calibri"/>
                <w:color w:val="000000"/>
                <w:sz w:val="20"/>
                <w:szCs w:val="20"/>
              </w:rPr>
              <w:t>%</w:t>
            </w:r>
          </w:p>
        </w:tc>
        <w:tc>
          <w:tcPr>
            <w:tcW w:w="950" w:type="pct"/>
            <w:tcMar>
              <w:left w:w="11" w:type="dxa"/>
              <w:right w:w="11" w:type="dxa"/>
            </w:tcMar>
            <w:vAlign w:val="center"/>
          </w:tcPr>
          <w:p w14:paraId="14C6C974" w14:textId="77777777" w:rsidR="00801BB0" w:rsidRPr="005A5BB7" w:rsidRDefault="00801BB0" w:rsidP="00C05C9F">
            <w:pPr>
              <w:keepNext/>
              <w:jc w:val="center"/>
              <w:rPr>
                <w:rFonts w:ascii="Arial Narrow" w:hAnsi="Arial Narrow" w:cs="Calibri"/>
                <w:color w:val="000000"/>
                <w:sz w:val="20"/>
                <w:szCs w:val="20"/>
                <w14:ligatures w14:val="standardContextual"/>
              </w:rPr>
            </w:pPr>
            <w:r w:rsidRPr="005A5BB7">
              <w:rPr>
                <w:rFonts w:ascii="Arial Narrow" w:hAnsi="Arial Narrow" w:cs="Calibri"/>
                <w:color w:val="000000"/>
                <w:sz w:val="20"/>
                <w:szCs w:val="20"/>
              </w:rPr>
              <w:t>1.84 (232)</w:t>
            </w:r>
          </w:p>
        </w:tc>
        <w:tc>
          <w:tcPr>
            <w:tcW w:w="466" w:type="pct"/>
            <w:tcMar>
              <w:left w:w="11" w:type="dxa"/>
              <w:right w:w="11" w:type="dxa"/>
            </w:tcMar>
            <w:vAlign w:val="center"/>
            <w:hideMark/>
          </w:tcPr>
          <w:p w14:paraId="292B2E19" w14:textId="19D400E3" w:rsidR="00801BB0" w:rsidRPr="005A5BB7" w:rsidRDefault="00801BB0" w:rsidP="00C05C9F">
            <w:pPr>
              <w:keepNext/>
              <w:jc w:val="center"/>
              <w:rPr>
                <w:rFonts w:ascii="Arial Narrow" w:hAnsi="Arial Narrow" w:cs="Times New Roman"/>
                <w:sz w:val="20"/>
                <w:szCs w:val="20"/>
              </w:rPr>
            </w:pPr>
            <w:r w:rsidRPr="005A5BB7">
              <w:rPr>
                <w:rFonts w:ascii="Arial Narrow" w:hAnsi="Arial Narrow" w:cs="Times New Roman"/>
                <w:sz w:val="20"/>
                <w:szCs w:val="20"/>
              </w:rPr>
              <w:t>1.14</w:t>
            </w:r>
            <w:r w:rsidR="000E4816">
              <w:rPr>
                <w:rFonts w:ascii="Arial Narrow" w:hAnsi="Arial Narrow" w:cs="Times New Roman"/>
                <w:sz w:val="20"/>
                <w:szCs w:val="20"/>
              </w:rPr>
              <w:noBreakHyphen/>
            </w:r>
            <w:r w:rsidRPr="005A5BB7">
              <w:rPr>
                <w:rFonts w:ascii="Arial Narrow" w:hAnsi="Arial Narrow" w:cs="Times New Roman"/>
                <w:sz w:val="20"/>
                <w:szCs w:val="20"/>
              </w:rPr>
              <w:t>3.63</w:t>
            </w:r>
          </w:p>
        </w:tc>
        <w:tc>
          <w:tcPr>
            <w:tcW w:w="601" w:type="pct"/>
            <w:tcMar>
              <w:left w:w="11" w:type="dxa"/>
              <w:right w:w="11" w:type="dxa"/>
            </w:tcMar>
            <w:vAlign w:val="center"/>
          </w:tcPr>
          <w:p w14:paraId="78944F71" w14:textId="30E4C92F" w:rsidR="00801BB0" w:rsidRPr="005A5BB7" w:rsidRDefault="00801BB0" w:rsidP="00C05C9F">
            <w:pPr>
              <w:keepNext/>
              <w:jc w:val="center"/>
              <w:rPr>
                <w:rFonts w:ascii="Arial Narrow" w:hAnsi="Arial Narrow" w:cs="Times New Roman"/>
                <w:sz w:val="20"/>
                <w:szCs w:val="20"/>
              </w:rPr>
            </w:pPr>
            <w:r w:rsidRPr="005A5BB7">
              <w:rPr>
                <w:rFonts w:ascii="Arial Narrow" w:hAnsi="Arial Narrow" w:cs="Calibri"/>
                <w:sz w:val="20"/>
                <w:szCs w:val="20"/>
              </w:rPr>
              <w:t>$</w:t>
            </w:r>
            <w:r w:rsidR="00F15B97" w:rsidRPr="00F15B97">
              <w:rPr>
                <w:rFonts w:ascii="Arial Narrow" w:hAnsi="Arial Narrow" w:cs="Calibri"/>
                <w:sz w:val="2"/>
                <w:szCs w:val="20"/>
                <w:highlight w:val="black"/>
              </w:rPr>
              <w:t>redacted content</w:t>
            </w:r>
          </w:p>
        </w:tc>
        <w:tc>
          <w:tcPr>
            <w:tcW w:w="388" w:type="pct"/>
            <w:tcMar>
              <w:left w:w="11" w:type="dxa"/>
              <w:right w:w="11" w:type="dxa"/>
            </w:tcMar>
            <w:vAlign w:val="center"/>
          </w:tcPr>
          <w:p w14:paraId="6CB8A480" w14:textId="77777777" w:rsidR="00801BB0" w:rsidRPr="005A5BB7" w:rsidRDefault="00801BB0" w:rsidP="00C05C9F">
            <w:pPr>
              <w:keepNext/>
              <w:jc w:val="center"/>
              <w:rPr>
                <w:rFonts w:ascii="Arial Narrow" w:hAnsi="Arial Narrow" w:cs="Times New Roman"/>
                <w:sz w:val="20"/>
                <w:szCs w:val="20"/>
              </w:rPr>
            </w:pPr>
            <w:r w:rsidRPr="005A5BB7">
              <w:rPr>
                <w:rFonts w:ascii="Arial Narrow" w:hAnsi="Arial Narrow" w:cs="Calibri"/>
                <w:sz w:val="20"/>
                <w:szCs w:val="20"/>
              </w:rPr>
              <w:t>257</w:t>
            </w:r>
          </w:p>
        </w:tc>
        <w:tc>
          <w:tcPr>
            <w:tcW w:w="423" w:type="pct"/>
            <w:tcMar>
              <w:left w:w="11" w:type="dxa"/>
              <w:right w:w="11" w:type="dxa"/>
            </w:tcMar>
            <w:vAlign w:val="center"/>
          </w:tcPr>
          <w:p w14:paraId="028BA57C" w14:textId="262C1FFF" w:rsidR="00801BB0" w:rsidRPr="00C8122C" w:rsidRDefault="00801BB0" w:rsidP="00C05C9F">
            <w:pPr>
              <w:keepNext/>
              <w:jc w:val="center"/>
              <w:rPr>
                <w:rFonts w:ascii="Arial Narrow" w:hAnsi="Arial Narrow" w:cs="Times New Roman"/>
                <w:sz w:val="18"/>
                <w:szCs w:val="18"/>
                <w:vertAlign w:val="superscript"/>
              </w:rPr>
            </w:pPr>
            <w:r w:rsidRPr="005A5BB7">
              <w:rPr>
                <w:rFonts w:ascii="Arial Narrow" w:hAnsi="Arial Narrow" w:cs="Calibri"/>
                <w:sz w:val="18"/>
                <w:szCs w:val="18"/>
              </w:rPr>
              <w:t>$</w:t>
            </w:r>
            <w:r w:rsidR="00F15B97" w:rsidRPr="00F15B97">
              <w:rPr>
                <w:rFonts w:ascii="Arial Narrow" w:hAnsi="Arial Narrow" w:cs="Calibri"/>
                <w:sz w:val="2"/>
                <w:szCs w:val="18"/>
                <w:highlight w:val="black"/>
              </w:rPr>
              <w:t>redacted content</w:t>
            </w:r>
            <w:r w:rsidR="00C8122C">
              <w:rPr>
                <w:rFonts w:ascii="Arial Narrow" w:hAnsi="Arial Narrow" w:cs="Calibri"/>
                <w:sz w:val="18"/>
                <w:szCs w:val="18"/>
                <w:vertAlign w:val="superscript"/>
              </w:rPr>
              <w:t>3</w:t>
            </w:r>
          </w:p>
        </w:tc>
      </w:tr>
    </w:tbl>
    <w:p w14:paraId="50FFCF5A" w14:textId="77777777" w:rsidR="008C1C28" w:rsidRPr="005A5BB7" w:rsidRDefault="008C1C28" w:rsidP="00C05C9F">
      <w:pPr>
        <w:pStyle w:val="3-BodyText"/>
        <w:keepNext/>
        <w:numPr>
          <w:ilvl w:val="0"/>
          <w:numId w:val="0"/>
        </w:numPr>
        <w:spacing w:before="0" w:after="0"/>
        <w:ind w:left="720" w:hanging="720"/>
        <w:rPr>
          <w:rFonts w:ascii="Arial Narrow" w:hAnsi="Arial Narrow"/>
          <w:bCs/>
          <w:sz w:val="18"/>
          <w:szCs w:val="18"/>
        </w:rPr>
      </w:pPr>
      <w:r w:rsidRPr="005A5BB7">
        <w:rPr>
          <w:rFonts w:ascii="Arial Narrow" w:hAnsi="Arial Narrow"/>
          <w:bCs/>
          <w:sz w:val="18"/>
          <w:szCs w:val="18"/>
        </w:rPr>
        <w:t>Source: Conducted during the evaluation using the economic model presented in the March 2026 resubmission.</w:t>
      </w:r>
    </w:p>
    <w:p w14:paraId="721F9A67" w14:textId="0190C1F2" w:rsidR="008C4D1F" w:rsidRPr="005A5BB7" w:rsidRDefault="008C4D1F" w:rsidP="00C05C9F">
      <w:pPr>
        <w:pStyle w:val="3-BodyText"/>
        <w:keepNext/>
        <w:numPr>
          <w:ilvl w:val="0"/>
          <w:numId w:val="0"/>
        </w:numPr>
        <w:spacing w:before="0" w:after="0"/>
        <w:rPr>
          <w:rFonts w:ascii="Arial Narrow" w:hAnsi="Arial Narrow"/>
          <w:bCs/>
          <w:sz w:val="18"/>
          <w:szCs w:val="18"/>
        </w:rPr>
      </w:pPr>
      <w:r w:rsidRPr="005A5BB7">
        <w:rPr>
          <w:rFonts w:ascii="Arial Narrow" w:hAnsi="Arial Narrow"/>
          <w:bCs/>
          <w:sz w:val="18"/>
          <w:szCs w:val="18"/>
        </w:rPr>
        <w:t>BMI = Body mass index; CAR</w:t>
      </w:r>
      <w:r w:rsidR="000E4816">
        <w:rPr>
          <w:rFonts w:ascii="Arial Narrow" w:hAnsi="Arial Narrow"/>
          <w:bCs/>
          <w:sz w:val="18"/>
          <w:szCs w:val="18"/>
        </w:rPr>
        <w:noBreakHyphen/>
      </w:r>
      <w:r w:rsidRPr="005A5BB7">
        <w:rPr>
          <w:rFonts w:ascii="Arial Narrow" w:hAnsi="Arial Narrow"/>
          <w:bCs/>
          <w:sz w:val="18"/>
          <w:szCs w:val="18"/>
        </w:rPr>
        <w:t xml:space="preserve">T = Chimeric Antigen Receptor </w:t>
      </w:r>
      <w:r w:rsidR="000E4816">
        <w:rPr>
          <w:rFonts w:ascii="Arial Narrow" w:hAnsi="Arial Narrow"/>
          <w:bCs/>
          <w:sz w:val="18"/>
          <w:szCs w:val="18"/>
        </w:rPr>
        <w:noBreakHyphen/>
      </w:r>
      <w:r w:rsidRPr="005A5BB7">
        <w:rPr>
          <w:rFonts w:ascii="Arial Narrow" w:hAnsi="Arial Narrow"/>
          <w:bCs/>
          <w:sz w:val="18"/>
          <w:szCs w:val="18"/>
        </w:rPr>
        <w:t xml:space="preserve">T cell therapy; EHM = excess hospitalisation multipliers; ESRD = End Stage Renal Disease; HSCT = Haematopoietic stem cell transplant; </w:t>
      </w:r>
      <w:r w:rsidR="008B3265" w:rsidRPr="005A5BB7">
        <w:rPr>
          <w:rFonts w:ascii="Arial Narrow" w:hAnsi="Arial Narrow"/>
          <w:bCs/>
          <w:sz w:val="18"/>
          <w:szCs w:val="18"/>
        </w:rPr>
        <w:t>ICER = incremental cost</w:t>
      </w:r>
      <w:r w:rsidR="000E4816">
        <w:rPr>
          <w:rFonts w:ascii="Arial Narrow" w:hAnsi="Arial Narrow"/>
          <w:bCs/>
          <w:sz w:val="18"/>
          <w:szCs w:val="18"/>
        </w:rPr>
        <w:noBreakHyphen/>
      </w:r>
      <w:r w:rsidR="008B3265" w:rsidRPr="005A5BB7">
        <w:rPr>
          <w:rFonts w:ascii="Arial Narrow" w:hAnsi="Arial Narrow"/>
          <w:bCs/>
          <w:sz w:val="18"/>
          <w:szCs w:val="18"/>
        </w:rPr>
        <w:t>effectiveness ratio; QALY = quality</w:t>
      </w:r>
      <w:r w:rsidR="000E4816">
        <w:rPr>
          <w:rFonts w:ascii="Arial Narrow" w:hAnsi="Arial Narrow"/>
          <w:bCs/>
          <w:sz w:val="18"/>
          <w:szCs w:val="18"/>
        </w:rPr>
        <w:noBreakHyphen/>
      </w:r>
      <w:r w:rsidR="008B3265" w:rsidRPr="005A5BB7">
        <w:rPr>
          <w:rFonts w:ascii="Arial Narrow" w:hAnsi="Arial Narrow"/>
          <w:bCs/>
          <w:sz w:val="18"/>
          <w:szCs w:val="18"/>
        </w:rPr>
        <w:t xml:space="preserve">adjusted life year; RSV= respiratory syncytial virus; </w:t>
      </w:r>
      <w:r w:rsidRPr="005A5BB7">
        <w:rPr>
          <w:rFonts w:ascii="Arial Narrow" w:hAnsi="Arial Narrow"/>
          <w:bCs/>
          <w:sz w:val="18"/>
          <w:szCs w:val="18"/>
        </w:rPr>
        <w:t>TIA = Transient ischemic attack; YOA = Year of Age.</w:t>
      </w:r>
    </w:p>
    <w:p w14:paraId="2EF8E607" w14:textId="245F5CD5" w:rsidR="00020F9B" w:rsidRDefault="00020F9B" w:rsidP="00C05C9F">
      <w:pPr>
        <w:pStyle w:val="3-BodyText"/>
        <w:keepNext/>
        <w:numPr>
          <w:ilvl w:val="0"/>
          <w:numId w:val="0"/>
        </w:numPr>
        <w:spacing w:before="0" w:after="0"/>
        <w:rPr>
          <w:rFonts w:ascii="Arial Narrow" w:hAnsi="Arial Narrow"/>
          <w:iCs/>
          <w:sz w:val="18"/>
          <w:szCs w:val="18"/>
        </w:rPr>
      </w:pPr>
      <w:r w:rsidRPr="005A5BB7">
        <w:rPr>
          <w:rFonts w:ascii="Arial Narrow" w:hAnsi="Arial Narrow"/>
          <w:iCs/>
          <w:sz w:val="18"/>
          <w:szCs w:val="18"/>
          <w:vertAlign w:val="superscript"/>
        </w:rPr>
        <w:t>a</w:t>
      </w:r>
      <w:r w:rsidRPr="005A5BB7">
        <w:rPr>
          <w:rFonts w:ascii="Arial Narrow" w:hAnsi="Arial Narrow"/>
          <w:iCs/>
          <w:sz w:val="18"/>
          <w:szCs w:val="18"/>
        </w:rPr>
        <w:t xml:space="preserve"> Weighted by population size of each age category from the resubmission i.e. using a population weighting of 37%, 34%, and 29% for 60</w:t>
      </w:r>
      <w:r w:rsidR="000E4816">
        <w:rPr>
          <w:rFonts w:ascii="Arial Narrow" w:hAnsi="Arial Narrow"/>
          <w:iCs/>
          <w:sz w:val="18"/>
          <w:szCs w:val="18"/>
        </w:rPr>
        <w:noBreakHyphen/>
      </w:r>
      <w:r w:rsidRPr="005A5BB7">
        <w:rPr>
          <w:rFonts w:ascii="Arial Narrow" w:hAnsi="Arial Narrow"/>
          <w:iCs/>
          <w:sz w:val="18"/>
          <w:szCs w:val="18"/>
        </w:rPr>
        <w:t>64 YOA, 65</w:t>
      </w:r>
      <w:r w:rsidR="000E4816">
        <w:rPr>
          <w:rFonts w:ascii="Arial Narrow" w:hAnsi="Arial Narrow"/>
          <w:iCs/>
          <w:sz w:val="18"/>
          <w:szCs w:val="18"/>
        </w:rPr>
        <w:noBreakHyphen/>
      </w:r>
      <w:r w:rsidRPr="005A5BB7">
        <w:rPr>
          <w:rFonts w:ascii="Arial Narrow" w:hAnsi="Arial Narrow"/>
          <w:iCs/>
          <w:sz w:val="18"/>
          <w:szCs w:val="18"/>
        </w:rPr>
        <w:t>69 YOA, and 70</w:t>
      </w:r>
      <w:r w:rsidR="000E4816">
        <w:rPr>
          <w:rFonts w:ascii="Arial Narrow" w:hAnsi="Arial Narrow"/>
          <w:iCs/>
          <w:sz w:val="18"/>
          <w:szCs w:val="18"/>
        </w:rPr>
        <w:noBreakHyphen/>
      </w:r>
      <w:r w:rsidRPr="005A5BB7">
        <w:rPr>
          <w:rFonts w:ascii="Arial Narrow" w:hAnsi="Arial Narrow"/>
          <w:iCs/>
          <w:sz w:val="18"/>
          <w:szCs w:val="18"/>
        </w:rPr>
        <w:t>74 YOA respectively.</w:t>
      </w:r>
    </w:p>
    <w:p w14:paraId="277118F9" w14:textId="77777777" w:rsidR="00855CE6" w:rsidRPr="00855CE6" w:rsidRDefault="00855CE6" w:rsidP="00855CE6">
      <w:pPr>
        <w:jc w:val="left"/>
        <w:rPr>
          <w:rFonts w:ascii="Arial Narrow" w:hAnsi="Arial Narrow" w:cstheme="minorHAnsi"/>
          <w:bCs/>
          <w:i/>
          <w:iCs/>
          <w:sz w:val="18"/>
          <w:szCs w:val="18"/>
        </w:rPr>
      </w:pPr>
      <w:r w:rsidRPr="00855CE6">
        <w:rPr>
          <w:rFonts w:ascii="Arial Narrow" w:hAnsi="Arial Narrow" w:cstheme="minorHAnsi"/>
          <w:bCs/>
          <w:i/>
          <w:iCs/>
          <w:sz w:val="18"/>
          <w:szCs w:val="18"/>
        </w:rPr>
        <w:t xml:space="preserve">The redacted values correspond to the following ranges: </w:t>
      </w:r>
    </w:p>
    <w:p w14:paraId="38D7D602" w14:textId="0B1825C1" w:rsidR="00855CE6" w:rsidRPr="00855CE6" w:rsidRDefault="00855CE6" w:rsidP="00855CE6">
      <w:pPr>
        <w:jc w:val="left"/>
        <w:rPr>
          <w:rFonts w:ascii="Arial Narrow" w:hAnsi="Arial Narrow"/>
          <w:bCs/>
          <w:i/>
          <w:sz w:val="18"/>
          <w:szCs w:val="18"/>
        </w:rPr>
      </w:pPr>
      <w:r w:rsidRPr="00855CE6">
        <w:rPr>
          <w:rFonts w:ascii="Arial Narrow" w:hAnsi="Arial Narrow"/>
          <w:i/>
          <w:sz w:val="18"/>
          <w:szCs w:val="18"/>
          <w:vertAlign w:val="superscript"/>
        </w:rPr>
        <w:t>1</w:t>
      </w:r>
      <w:r w:rsidRPr="00855CE6">
        <w:rPr>
          <w:rFonts w:ascii="Arial Narrow" w:hAnsi="Arial Narrow"/>
          <w:i/>
          <w:sz w:val="18"/>
          <w:szCs w:val="18"/>
        </w:rPr>
        <w:t xml:space="preserve"> </w:t>
      </w:r>
      <w:r w:rsidR="003E754B" w:rsidRPr="003E754B">
        <w:rPr>
          <w:rFonts w:ascii="Arial Narrow" w:hAnsi="Arial Narrow"/>
          <w:bCs/>
          <w:i/>
          <w:sz w:val="18"/>
          <w:szCs w:val="18"/>
        </w:rPr>
        <w:t xml:space="preserve">$5,000 to &lt; $15,000 </w:t>
      </w:r>
    </w:p>
    <w:p w14:paraId="4B39E47E" w14:textId="4DBEFAFE" w:rsidR="00855CE6" w:rsidRPr="00855CE6" w:rsidRDefault="00855CE6" w:rsidP="00855CE6">
      <w:pPr>
        <w:jc w:val="left"/>
        <w:rPr>
          <w:rFonts w:ascii="Arial Narrow" w:hAnsi="Arial Narrow"/>
          <w:i/>
          <w:sz w:val="18"/>
          <w:szCs w:val="18"/>
        </w:rPr>
      </w:pPr>
      <w:r w:rsidRPr="00855CE6">
        <w:rPr>
          <w:rFonts w:ascii="Arial Narrow" w:hAnsi="Arial Narrow"/>
          <w:i/>
          <w:sz w:val="18"/>
          <w:szCs w:val="18"/>
          <w:vertAlign w:val="superscript"/>
        </w:rPr>
        <w:t>2</w:t>
      </w:r>
      <w:r w:rsidRPr="00855CE6">
        <w:rPr>
          <w:rFonts w:ascii="Arial Narrow" w:hAnsi="Arial Narrow"/>
          <w:i/>
          <w:sz w:val="18"/>
          <w:szCs w:val="18"/>
        </w:rPr>
        <w:t xml:space="preserve"> </w:t>
      </w:r>
      <w:r w:rsidR="0001734D" w:rsidRPr="0001734D">
        <w:rPr>
          <w:rFonts w:ascii="Arial Narrow" w:hAnsi="Arial Narrow"/>
          <w:i/>
          <w:sz w:val="18"/>
          <w:szCs w:val="18"/>
        </w:rPr>
        <w:t>$15,000 to &lt; $25,000</w:t>
      </w:r>
    </w:p>
    <w:p w14:paraId="6B04529E" w14:textId="7D62AA9D" w:rsidR="00855CE6" w:rsidRDefault="00855CE6" w:rsidP="00C8122C">
      <w:pPr>
        <w:jc w:val="left"/>
        <w:rPr>
          <w:rFonts w:ascii="Arial Narrow" w:hAnsi="Arial Narrow"/>
          <w:i/>
          <w:sz w:val="18"/>
          <w:szCs w:val="18"/>
        </w:rPr>
      </w:pPr>
      <w:r w:rsidRPr="00855CE6">
        <w:rPr>
          <w:rFonts w:ascii="Arial Narrow" w:hAnsi="Arial Narrow"/>
          <w:i/>
          <w:sz w:val="18"/>
          <w:szCs w:val="18"/>
          <w:vertAlign w:val="superscript"/>
        </w:rPr>
        <w:t>3</w:t>
      </w:r>
      <w:r w:rsidRPr="00855CE6">
        <w:rPr>
          <w:rFonts w:ascii="Arial Narrow" w:hAnsi="Arial Narrow"/>
          <w:i/>
          <w:sz w:val="18"/>
          <w:szCs w:val="18"/>
        </w:rPr>
        <w:t xml:space="preserve"> </w:t>
      </w:r>
      <w:r w:rsidR="00C8122C" w:rsidRPr="00C8122C">
        <w:rPr>
          <w:rFonts w:ascii="Arial Narrow" w:hAnsi="Arial Narrow"/>
          <w:i/>
          <w:sz w:val="18"/>
          <w:szCs w:val="18"/>
        </w:rPr>
        <w:t>$25,000 to &lt; $35,000</w:t>
      </w:r>
    </w:p>
    <w:p w14:paraId="07BCD4FD" w14:textId="5AA486F5" w:rsidR="005C09DE" w:rsidRDefault="005C09DE" w:rsidP="00C8122C">
      <w:pPr>
        <w:jc w:val="left"/>
        <w:rPr>
          <w:rFonts w:ascii="Arial Narrow" w:hAnsi="Arial Narrow"/>
          <w:i/>
          <w:sz w:val="18"/>
          <w:szCs w:val="18"/>
        </w:rPr>
      </w:pPr>
      <w:r>
        <w:rPr>
          <w:rFonts w:ascii="Arial Narrow" w:hAnsi="Arial Narrow"/>
          <w:i/>
          <w:sz w:val="18"/>
          <w:szCs w:val="18"/>
          <w:vertAlign w:val="superscript"/>
        </w:rPr>
        <w:t xml:space="preserve">4 </w:t>
      </w:r>
      <w:r w:rsidR="00052096" w:rsidRPr="00052096">
        <w:rPr>
          <w:rFonts w:ascii="Arial Narrow" w:hAnsi="Arial Narrow"/>
          <w:i/>
          <w:sz w:val="18"/>
          <w:szCs w:val="18"/>
        </w:rPr>
        <w:t>200,000 to &lt; 300,000</w:t>
      </w:r>
    </w:p>
    <w:p w14:paraId="455BE7E7" w14:textId="0BD074AA" w:rsidR="004B0A3F" w:rsidRDefault="004B0A3F" w:rsidP="00C8122C">
      <w:pPr>
        <w:jc w:val="lef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4B0A3F">
        <w:rPr>
          <w:rFonts w:ascii="Arial Narrow" w:hAnsi="Arial Narrow"/>
          <w:i/>
          <w:sz w:val="18"/>
          <w:szCs w:val="18"/>
        </w:rPr>
        <w:t>30,000 to &lt; 40,000</w:t>
      </w:r>
    </w:p>
    <w:p w14:paraId="78BF1F67" w14:textId="5A0DAFDA" w:rsidR="004B0A3F" w:rsidRDefault="004B0A3F" w:rsidP="00C8122C">
      <w:pPr>
        <w:jc w:val="left"/>
        <w:rPr>
          <w:rFonts w:ascii="Arial Narrow" w:hAnsi="Arial Narrow"/>
          <w:i/>
          <w:sz w:val="18"/>
          <w:szCs w:val="18"/>
        </w:rPr>
      </w:pPr>
      <w:r>
        <w:rPr>
          <w:rFonts w:ascii="Arial Narrow" w:hAnsi="Arial Narrow"/>
          <w:i/>
          <w:sz w:val="18"/>
          <w:szCs w:val="18"/>
          <w:vertAlign w:val="superscript"/>
        </w:rPr>
        <w:t xml:space="preserve">6 </w:t>
      </w:r>
      <w:r w:rsidR="000A2B32" w:rsidRPr="000A2B32">
        <w:rPr>
          <w:rFonts w:ascii="Arial Narrow" w:hAnsi="Arial Narrow"/>
          <w:i/>
          <w:sz w:val="18"/>
          <w:szCs w:val="18"/>
        </w:rPr>
        <w:t>100,000 to &lt; 200,000</w:t>
      </w:r>
    </w:p>
    <w:p w14:paraId="48687FF1" w14:textId="21D5C52F" w:rsidR="00244072" w:rsidRDefault="00244072" w:rsidP="00C8122C">
      <w:pPr>
        <w:jc w:val="lef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244072">
        <w:rPr>
          <w:rFonts w:ascii="Arial Narrow" w:hAnsi="Arial Narrow"/>
          <w:i/>
          <w:sz w:val="18"/>
          <w:szCs w:val="18"/>
        </w:rPr>
        <w:t>300,000 to &lt; 400,000</w:t>
      </w:r>
    </w:p>
    <w:p w14:paraId="66602DA0" w14:textId="1B0327A8" w:rsidR="00244072" w:rsidRPr="005643E2" w:rsidRDefault="00244072" w:rsidP="00C8122C">
      <w:pPr>
        <w:jc w:val="left"/>
        <w:rPr>
          <w:rFonts w:ascii="Arial Narrow" w:hAnsi="Arial Narrow"/>
          <w:i/>
          <w:sz w:val="18"/>
          <w:szCs w:val="18"/>
        </w:rPr>
      </w:pPr>
      <w:r>
        <w:rPr>
          <w:rFonts w:ascii="Arial Narrow" w:hAnsi="Arial Narrow"/>
          <w:i/>
          <w:sz w:val="18"/>
          <w:szCs w:val="18"/>
          <w:vertAlign w:val="superscript"/>
        </w:rPr>
        <w:t xml:space="preserve">8 </w:t>
      </w:r>
      <w:r w:rsidR="005643E2" w:rsidRPr="005643E2">
        <w:rPr>
          <w:rFonts w:ascii="Arial Narrow" w:hAnsi="Arial Narrow"/>
          <w:i/>
          <w:sz w:val="18"/>
          <w:szCs w:val="18"/>
        </w:rPr>
        <w:t>500,000 to &lt; 600,000</w:t>
      </w:r>
    </w:p>
    <w:p w14:paraId="22E92894" w14:textId="065CE8A9" w:rsidR="0074347B" w:rsidRPr="005A5BB7" w:rsidRDefault="004C397E" w:rsidP="0090073B">
      <w:pPr>
        <w:pStyle w:val="3-BodyText"/>
      </w:pPr>
      <w:r w:rsidRPr="005A5BB7">
        <w:t>A summary of the economic evaluation results for 60</w:t>
      </w:r>
      <w:r w:rsidR="000E4816">
        <w:noBreakHyphen/>
      </w:r>
      <w:r w:rsidRPr="005A5BB7">
        <w:t xml:space="preserve">74 YOA at increased risk of severe RSV disease, by each risk category, is presented in </w:t>
      </w:r>
      <w:r w:rsidRPr="005A5BB7">
        <w:fldChar w:fldCharType="begin"/>
      </w:r>
      <w:r w:rsidRPr="005A5BB7">
        <w:instrText xml:space="preserve"> REF _Ref216287749 \h  \* MERGEFORMAT </w:instrText>
      </w:r>
      <w:r w:rsidRPr="005A5BB7">
        <w:fldChar w:fldCharType="separate"/>
      </w:r>
      <w:r w:rsidR="0043658C" w:rsidRPr="005A5BB7">
        <w:t xml:space="preserve">Table </w:t>
      </w:r>
      <w:r w:rsidR="0043658C">
        <w:t>22</w:t>
      </w:r>
      <w:r w:rsidRPr="005A5BB7">
        <w:fldChar w:fldCharType="end"/>
      </w:r>
      <w:r w:rsidRPr="005A5BB7">
        <w:t>.</w:t>
      </w:r>
      <w:r w:rsidR="00D26935" w:rsidRPr="005A5BB7">
        <w:t xml:space="preserve"> These results cannot be combined to reflect the overall proposed population because </w:t>
      </w:r>
      <w:r w:rsidR="00597C32" w:rsidRPr="005A5BB7">
        <w:t xml:space="preserve">they are not </w:t>
      </w:r>
      <w:r w:rsidR="00D26935" w:rsidRPr="005A5BB7">
        <w:t>mutually exclusive</w:t>
      </w:r>
      <w:r w:rsidR="00597C32" w:rsidRPr="005A5BB7">
        <w:t xml:space="preserve"> categories</w:t>
      </w:r>
      <w:r w:rsidR="00D26935" w:rsidRPr="005A5BB7">
        <w:t>. The submission did not estimate what proportion of the population would fulfil criteria in more than one risk category</w:t>
      </w:r>
      <w:r w:rsidR="00A25384" w:rsidRPr="005A5BB7">
        <w:t xml:space="preserve">, however the sum of persons within the individual risk categories </w:t>
      </w:r>
      <w:r w:rsidR="00472F9A" w:rsidRPr="005A5BB7">
        <w:t xml:space="preserve">from </w:t>
      </w:r>
      <w:r w:rsidR="00472F9A" w:rsidRPr="005A5BB7">
        <w:fldChar w:fldCharType="begin"/>
      </w:r>
      <w:r w:rsidR="00472F9A" w:rsidRPr="005A5BB7">
        <w:instrText xml:space="preserve"> REF _Ref216287749 \h </w:instrText>
      </w:r>
      <w:r w:rsidR="00AD43ED" w:rsidRPr="005A5BB7">
        <w:instrText xml:space="preserve"> \* MERGEFORMAT </w:instrText>
      </w:r>
      <w:r w:rsidR="00472F9A" w:rsidRPr="005A5BB7">
        <w:fldChar w:fldCharType="separate"/>
      </w:r>
      <w:r w:rsidR="0043658C" w:rsidRPr="005A5BB7">
        <w:t xml:space="preserve">Table </w:t>
      </w:r>
      <w:r w:rsidR="0043658C">
        <w:t>22</w:t>
      </w:r>
      <w:r w:rsidR="00472F9A" w:rsidRPr="005A5BB7">
        <w:fldChar w:fldCharType="end"/>
      </w:r>
      <w:r w:rsidR="00472F9A" w:rsidRPr="005A5BB7">
        <w:t xml:space="preserve"> </w:t>
      </w:r>
      <w:r w:rsidR="00346DB9" w:rsidRPr="005A5BB7">
        <w:t>(N=</w:t>
      </w:r>
      <w:r w:rsidR="002328D8" w:rsidRPr="002328D8">
        <w:t>2,000,000 to &lt; 3,000,000</w:t>
      </w:r>
      <w:r w:rsidR="00346DB9" w:rsidRPr="005A5BB7">
        <w:t xml:space="preserve">) </w:t>
      </w:r>
      <w:r w:rsidR="00A25384" w:rsidRPr="005A5BB7">
        <w:t xml:space="preserve">exceeds the estimated size of the </w:t>
      </w:r>
      <w:r w:rsidR="00346DB9" w:rsidRPr="005A5BB7">
        <w:t xml:space="preserve">total </w:t>
      </w:r>
      <w:r w:rsidR="00A25384" w:rsidRPr="005A5BB7">
        <w:t>population</w:t>
      </w:r>
      <w:r w:rsidR="00346DB9" w:rsidRPr="005A5BB7">
        <w:t xml:space="preserve"> (N=</w:t>
      </w:r>
      <w:r w:rsidR="00750499" w:rsidRPr="00750499">
        <w:t>1,000,000 to &lt; 2,000,000</w:t>
      </w:r>
      <w:r w:rsidR="00472F9A" w:rsidRPr="005A5BB7">
        <w:t>)</w:t>
      </w:r>
      <w:r w:rsidR="00D26935" w:rsidRPr="005A5BB7">
        <w:t xml:space="preserve">. </w:t>
      </w:r>
      <w:r w:rsidR="007C0A58" w:rsidRPr="005A5BB7">
        <w:t>The evaluation noted that a</w:t>
      </w:r>
      <w:r w:rsidR="0074347B" w:rsidRPr="005A5BB7">
        <w:t xml:space="preserve"> comparison of results across risk groups should be interpreted with caution, as differences are driven by a single EHM factor, not accounting other factors </w:t>
      </w:r>
      <w:r w:rsidR="007C0A58" w:rsidRPr="005A5BB7">
        <w:t>that may vary</w:t>
      </w:r>
      <w:r w:rsidR="0074347B" w:rsidRPr="005A5BB7">
        <w:t>. As discussed earlier, the estimated EHMs are undermined by several issues and remain uncertain.</w:t>
      </w:r>
    </w:p>
    <w:p w14:paraId="5D6F6C30" w14:textId="38E1B70D" w:rsidR="004C397E" w:rsidRPr="005A5BB7" w:rsidRDefault="004C397E" w:rsidP="00D8726C">
      <w:pPr>
        <w:pStyle w:val="Caption"/>
        <w:rPr>
          <w:rStyle w:val="CommentReference"/>
          <w:b/>
          <w:szCs w:val="24"/>
        </w:rPr>
      </w:pPr>
      <w:bookmarkStart w:id="87" w:name="_Ref216287749"/>
      <w:r w:rsidRPr="005A5BB7">
        <w:lastRenderedPageBreak/>
        <w:t xml:space="preserve">Table </w:t>
      </w:r>
      <w:r w:rsidRPr="005A5BB7">
        <w:fldChar w:fldCharType="begin"/>
      </w:r>
      <w:r w:rsidRPr="005A5BB7">
        <w:instrText>SEQ Table \* ARABIC</w:instrText>
      </w:r>
      <w:r w:rsidRPr="005A5BB7">
        <w:fldChar w:fldCharType="separate"/>
      </w:r>
      <w:r w:rsidR="0043658C">
        <w:rPr>
          <w:noProof/>
        </w:rPr>
        <w:t>22</w:t>
      </w:r>
      <w:r w:rsidRPr="005A5BB7">
        <w:fldChar w:fldCharType="end"/>
      </w:r>
      <w:bookmarkEnd w:id="87"/>
      <w:r w:rsidRPr="005A5BB7">
        <w:rPr>
          <w:rStyle w:val="CommentReference"/>
          <w:b/>
          <w:szCs w:val="24"/>
        </w:rPr>
        <w:t xml:space="preserve">: Results of the economic evaluations: by each risk category </w:t>
      </w:r>
      <w:r w:rsidR="00885B0C" w:rsidRPr="005A5BB7">
        <w:rPr>
          <w:rStyle w:val="CommentReference"/>
          <w:b/>
          <w:szCs w:val="24"/>
        </w:rPr>
        <w:t>(base case</w:t>
      </w:r>
      <w:r w:rsidR="000D4EC2" w:rsidRPr="005A5BB7">
        <w:rPr>
          <w:rStyle w:val="CommentReference"/>
          <w:b/>
          <w:szCs w:val="24"/>
        </w:rPr>
        <w:t>, $</w:t>
      </w:r>
      <w:r w:rsidR="00F15B97" w:rsidRPr="00F15B97">
        <w:rPr>
          <w:rStyle w:val="CommentReference"/>
          <w:b/>
          <w:sz w:val="2"/>
          <w:szCs w:val="24"/>
          <w:highlight w:val="black"/>
        </w:rPr>
        <w:t>redacted content</w:t>
      </w:r>
      <w:r w:rsidR="000D4EC2" w:rsidRPr="005A5BB7">
        <w:rPr>
          <w:rStyle w:val="CommentReference"/>
          <w:b/>
          <w:szCs w:val="24"/>
        </w:rPr>
        <w:t xml:space="preserve"> per dose</w:t>
      </w:r>
      <w:r w:rsidR="00885B0C" w:rsidRPr="005A5BB7">
        <w:rPr>
          <w:rStyle w:val="CommentReference"/>
          <w:b/>
          <w:szCs w:val="24"/>
        </w:rPr>
        <w:t>)</w:t>
      </w:r>
    </w:p>
    <w:tbl>
      <w:tblPr>
        <w:tblW w:w="5018"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2: Results of the economic evaluations: by each risk category (base case, $redacted content per dose)"/>
      </w:tblPr>
      <w:tblGrid>
        <w:gridCol w:w="2310"/>
        <w:gridCol w:w="1095"/>
        <w:gridCol w:w="2193"/>
        <w:gridCol w:w="1947"/>
        <w:gridCol w:w="1504"/>
      </w:tblGrid>
      <w:tr w:rsidR="0074347B" w:rsidRPr="005A5BB7" w14:paraId="117F5EAE" w14:textId="77777777" w:rsidTr="00D8726C">
        <w:trPr>
          <w:tblHeader/>
        </w:trPr>
        <w:tc>
          <w:tcPr>
            <w:tcW w:w="1881" w:type="pct"/>
            <w:gridSpan w:val="2"/>
            <w:vAlign w:val="center"/>
          </w:tcPr>
          <w:p w14:paraId="169656B7" w14:textId="77777777" w:rsidR="004C397E" w:rsidRPr="005A5BB7" w:rsidRDefault="004C397E" w:rsidP="00D8726C">
            <w:pPr>
              <w:keepNext/>
              <w:rPr>
                <w:rFonts w:ascii="Arial Narrow" w:hAnsi="Arial Narrow"/>
                <w:b/>
                <w:bCs/>
                <w:sz w:val="20"/>
                <w:szCs w:val="20"/>
              </w:rPr>
            </w:pPr>
          </w:p>
        </w:tc>
        <w:tc>
          <w:tcPr>
            <w:tcW w:w="1212" w:type="pct"/>
            <w:vAlign w:val="center"/>
          </w:tcPr>
          <w:p w14:paraId="208965D3"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RSVPreF3 OA</w:t>
            </w:r>
          </w:p>
        </w:tc>
        <w:tc>
          <w:tcPr>
            <w:tcW w:w="1076" w:type="pct"/>
            <w:vAlign w:val="center"/>
          </w:tcPr>
          <w:p w14:paraId="52142419"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No vaccine</w:t>
            </w:r>
          </w:p>
        </w:tc>
        <w:tc>
          <w:tcPr>
            <w:tcW w:w="831" w:type="pct"/>
            <w:vAlign w:val="center"/>
          </w:tcPr>
          <w:p w14:paraId="69B9A1C1"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Increment</w:t>
            </w:r>
          </w:p>
        </w:tc>
      </w:tr>
      <w:tr w:rsidR="0074347B" w:rsidRPr="005A5BB7" w14:paraId="646B6B17" w14:textId="77777777" w:rsidTr="00D8726C">
        <w:tblPrEx>
          <w:shd w:val="clear" w:color="auto" w:fill="FFFFFF" w:themeFill="background1"/>
        </w:tblPrEx>
        <w:tc>
          <w:tcPr>
            <w:tcW w:w="1276" w:type="pct"/>
            <w:vMerge w:val="restart"/>
            <w:shd w:val="clear" w:color="auto" w:fill="FFFFFF" w:themeFill="background1"/>
            <w:vAlign w:val="center"/>
          </w:tcPr>
          <w:p w14:paraId="5E5FEC76" w14:textId="302D9622"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Cardiac disease (</w:t>
            </w:r>
            <w:r w:rsidR="00722D9B" w:rsidRPr="005A5BB7">
              <w:rPr>
                <w:rFonts w:ascii="Arial Narrow" w:hAnsi="Arial Narrow"/>
                <w:sz w:val="20"/>
                <w:szCs w:val="20"/>
              </w:rPr>
              <w:t xml:space="preserve">n = </w:t>
            </w:r>
            <w:r w:rsidR="00F15B97" w:rsidRPr="00F15B97">
              <w:rPr>
                <w:rFonts w:ascii="Arial Narrow" w:hAnsi="Arial Narrow"/>
                <w:sz w:val="2"/>
                <w:szCs w:val="20"/>
                <w:highlight w:val="black"/>
              </w:rPr>
              <w:t>redacted content</w:t>
            </w:r>
            <w:r w:rsidR="00A60C4C">
              <w:rPr>
                <w:rFonts w:ascii="Arial Narrow" w:hAnsi="Arial Narrow"/>
                <w:sz w:val="20"/>
                <w:szCs w:val="20"/>
                <w:vertAlign w:val="superscript"/>
              </w:rPr>
              <w:t>4</w:t>
            </w:r>
            <w:r w:rsidR="00B816F2"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8C3AAA" w:rsidRPr="00E53CA8">
              <w:rPr>
                <w:rFonts w:ascii="Arial Narrow" w:hAnsi="Arial Narrow"/>
                <w:sz w:val="20"/>
                <w:szCs w:val="20"/>
              </w:rPr>
              <w:t>%</w:t>
            </w:r>
            <w:r w:rsidRPr="00E53CA8">
              <w:rPr>
                <w:rFonts w:ascii="Arial Narrow" w:hAnsi="Arial Narrow"/>
                <w:sz w:val="20"/>
                <w:szCs w:val="20"/>
              </w:rPr>
              <w:t>)</w:t>
            </w:r>
          </w:p>
        </w:tc>
        <w:tc>
          <w:tcPr>
            <w:tcW w:w="605" w:type="pct"/>
            <w:shd w:val="clear" w:color="auto" w:fill="FFFFFF" w:themeFill="background1"/>
            <w:vAlign w:val="center"/>
          </w:tcPr>
          <w:p w14:paraId="20FF4E00"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7D601563" w14:textId="7FCBBC72"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6A216A6D"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$113,992,329</w:t>
            </w:r>
          </w:p>
        </w:tc>
        <w:tc>
          <w:tcPr>
            <w:tcW w:w="831" w:type="pct"/>
            <w:shd w:val="clear" w:color="auto" w:fill="FFFFFF" w:themeFill="background1"/>
          </w:tcPr>
          <w:p w14:paraId="1EFCD45B" w14:textId="6DD6800A"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29F511D6" w14:textId="77777777" w:rsidTr="00D8726C">
        <w:tblPrEx>
          <w:shd w:val="clear" w:color="auto" w:fill="FFFFFF" w:themeFill="background1"/>
        </w:tblPrEx>
        <w:tc>
          <w:tcPr>
            <w:tcW w:w="1276" w:type="pct"/>
            <w:vMerge/>
            <w:shd w:val="clear" w:color="auto" w:fill="FFFFFF" w:themeFill="background1"/>
          </w:tcPr>
          <w:p w14:paraId="07F84EDD"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5BF63147"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0ECD4517"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2,042</w:t>
            </w:r>
          </w:p>
        </w:tc>
        <w:tc>
          <w:tcPr>
            <w:tcW w:w="1076" w:type="pct"/>
            <w:shd w:val="clear" w:color="auto" w:fill="FFFFFF" w:themeFill="background1"/>
          </w:tcPr>
          <w:p w14:paraId="73E04417"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3,594</w:t>
            </w:r>
          </w:p>
        </w:tc>
        <w:tc>
          <w:tcPr>
            <w:tcW w:w="831" w:type="pct"/>
            <w:shd w:val="clear" w:color="auto" w:fill="FFFFFF" w:themeFill="background1"/>
          </w:tcPr>
          <w:p w14:paraId="7DA12428" w14:textId="30D39F74"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053475F6" w14:textId="77777777" w:rsidTr="00D8726C">
        <w:tblPrEx>
          <w:shd w:val="clear" w:color="auto" w:fill="FFFFFF" w:themeFill="background1"/>
        </w:tblPrEx>
        <w:tc>
          <w:tcPr>
            <w:tcW w:w="1276" w:type="pct"/>
            <w:vMerge/>
            <w:shd w:val="clear" w:color="auto" w:fill="FFFFFF" w:themeFill="background1"/>
          </w:tcPr>
          <w:p w14:paraId="39BA0999"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310EF7AB" w14:textId="77777777" w:rsidR="004C397E" w:rsidRPr="005A5BB7" w:rsidRDefault="004C397E" w:rsidP="00D8726C">
            <w:pPr>
              <w:keepNex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264020BB" w14:textId="224779B7" w:rsidR="004C397E" w:rsidRPr="00C62404" w:rsidRDefault="004C397E" w:rsidP="00D8726C">
            <w:pPr>
              <w:keepNext/>
              <w:jc w:val="center"/>
              <w:rPr>
                <w:rFonts w:ascii="Arial Narrow" w:hAnsi="Arial Narrow" w:cs="Calibri"/>
                <w:b/>
                <w:bCs/>
                <w:color w:val="000000"/>
                <w:sz w:val="20"/>
                <w:szCs w:val="20"/>
                <w:vertAlign w:val="superscript"/>
              </w:rPr>
            </w:pPr>
            <w:r w:rsidRPr="005A5BB7">
              <w:rPr>
                <w:rFonts w:ascii="Arial Narrow" w:hAnsi="Arial Narrow" w:cs="Calibri"/>
                <w:b/>
                <w:bCs/>
                <w:color w:val="000000"/>
                <w:sz w:val="20"/>
                <w:szCs w:val="20"/>
              </w:rPr>
              <w:t>$</w:t>
            </w:r>
            <w:r w:rsidR="00F15B97" w:rsidRPr="00F15B97">
              <w:rPr>
                <w:rFonts w:ascii="Arial Narrow" w:hAnsi="Arial Narrow" w:cs="Calibri"/>
                <w:b/>
                <w:bCs/>
                <w:color w:val="000000"/>
                <w:sz w:val="2"/>
                <w:szCs w:val="20"/>
                <w:highlight w:val="black"/>
              </w:rPr>
              <w:t>redacted content</w:t>
            </w:r>
            <w:r w:rsidR="00C62404">
              <w:rPr>
                <w:rFonts w:ascii="Arial Narrow" w:hAnsi="Arial Narrow" w:cs="Calibri"/>
                <w:b/>
                <w:bCs/>
                <w:color w:val="000000"/>
                <w:sz w:val="20"/>
                <w:szCs w:val="20"/>
                <w:vertAlign w:val="superscript"/>
              </w:rPr>
              <w:t>1</w:t>
            </w:r>
          </w:p>
        </w:tc>
      </w:tr>
      <w:tr w:rsidR="0074347B" w:rsidRPr="005A5BB7" w14:paraId="724A783C" w14:textId="77777777" w:rsidTr="00D8726C">
        <w:tblPrEx>
          <w:shd w:val="clear" w:color="auto" w:fill="FFFFFF" w:themeFill="background1"/>
        </w:tblPrEx>
        <w:tc>
          <w:tcPr>
            <w:tcW w:w="1276" w:type="pct"/>
            <w:vMerge w:val="restart"/>
            <w:shd w:val="clear" w:color="auto" w:fill="FFFFFF" w:themeFill="background1"/>
            <w:vAlign w:val="center"/>
          </w:tcPr>
          <w:p w14:paraId="489E118B" w14:textId="6301DB0A" w:rsidR="004C397E" w:rsidRPr="005A5BB7" w:rsidRDefault="004C397E" w:rsidP="00D8726C">
            <w:pPr>
              <w:keepNext/>
              <w:jc w:val="left"/>
              <w:rPr>
                <w:rFonts w:ascii="Arial Narrow" w:hAnsi="Arial Narrow"/>
                <w:sz w:val="20"/>
                <w:szCs w:val="16"/>
              </w:rPr>
            </w:pPr>
            <w:r w:rsidRPr="005A5BB7">
              <w:rPr>
                <w:rFonts w:ascii="Arial Narrow" w:hAnsi="Arial Narrow"/>
                <w:sz w:val="20"/>
                <w:szCs w:val="16"/>
              </w:rPr>
              <w:t>Chronic respiratory conditions (</w:t>
            </w:r>
            <w:r w:rsidR="00722D9B" w:rsidRPr="005A5BB7">
              <w:rPr>
                <w:rFonts w:ascii="Arial Narrow" w:hAnsi="Arial Narrow"/>
                <w:sz w:val="20"/>
                <w:szCs w:val="20"/>
              </w:rPr>
              <w:t xml:space="preserve">n = </w:t>
            </w:r>
            <w:r w:rsidR="00F15B97" w:rsidRPr="00F15B97">
              <w:rPr>
                <w:rFonts w:ascii="Arial Narrow" w:hAnsi="Arial Narrow"/>
                <w:sz w:val="2"/>
                <w:szCs w:val="16"/>
                <w:highlight w:val="black"/>
              </w:rPr>
              <w:t>redacted content</w:t>
            </w:r>
            <w:r w:rsidR="00FF6626">
              <w:rPr>
                <w:rFonts w:ascii="Arial Narrow" w:hAnsi="Arial Narrow"/>
                <w:sz w:val="20"/>
                <w:szCs w:val="16"/>
                <w:vertAlign w:val="superscript"/>
              </w:rPr>
              <w:t>5</w:t>
            </w:r>
            <w:r w:rsidR="008C3AAA" w:rsidRPr="005A5BB7">
              <w:rPr>
                <w:rFonts w:ascii="Arial Narrow" w:hAnsi="Arial Narrow"/>
                <w:sz w:val="20"/>
                <w:szCs w:val="16"/>
              </w:rPr>
              <w:t xml:space="preserve">; </w:t>
            </w:r>
            <w:r w:rsidR="00F15B97" w:rsidRPr="00F15B97">
              <w:rPr>
                <w:rFonts w:ascii="Arial Narrow" w:hAnsi="Arial Narrow"/>
                <w:sz w:val="2"/>
                <w:szCs w:val="16"/>
                <w:highlight w:val="black"/>
              </w:rPr>
              <w:t>redacted content</w:t>
            </w:r>
            <w:r w:rsidR="008C3AAA" w:rsidRPr="00E53CA8">
              <w:rPr>
                <w:rFonts w:ascii="Arial Narrow" w:hAnsi="Arial Narrow"/>
                <w:sz w:val="20"/>
                <w:szCs w:val="16"/>
              </w:rPr>
              <w:t>%</w:t>
            </w:r>
            <w:r w:rsidRPr="00E53CA8">
              <w:rPr>
                <w:rFonts w:ascii="Arial Narrow" w:hAnsi="Arial Narrow"/>
                <w:sz w:val="20"/>
                <w:szCs w:val="16"/>
              </w:rPr>
              <w:t>)</w:t>
            </w:r>
          </w:p>
        </w:tc>
        <w:tc>
          <w:tcPr>
            <w:tcW w:w="605" w:type="pct"/>
            <w:shd w:val="clear" w:color="auto" w:fill="FFFFFF" w:themeFill="background1"/>
            <w:vAlign w:val="center"/>
          </w:tcPr>
          <w:p w14:paraId="7313DDA8"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5C2B5FE7" w14:textId="123909EA"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070B1416"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$90,009,134</w:t>
            </w:r>
          </w:p>
        </w:tc>
        <w:tc>
          <w:tcPr>
            <w:tcW w:w="831" w:type="pct"/>
            <w:shd w:val="clear" w:color="auto" w:fill="FFFFFF" w:themeFill="background1"/>
          </w:tcPr>
          <w:p w14:paraId="4F0E4A70" w14:textId="358E39BE"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5F6E129E" w14:textId="77777777" w:rsidTr="00D8726C">
        <w:tblPrEx>
          <w:shd w:val="clear" w:color="auto" w:fill="FFFFFF" w:themeFill="background1"/>
        </w:tblPrEx>
        <w:tc>
          <w:tcPr>
            <w:tcW w:w="1276" w:type="pct"/>
            <w:vMerge/>
            <w:shd w:val="clear" w:color="auto" w:fill="FFFFFF" w:themeFill="background1"/>
            <w:vAlign w:val="center"/>
          </w:tcPr>
          <w:p w14:paraId="2DF395ED"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74CB6FF3"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3B92A8BA"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1,523</w:t>
            </w:r>
          </w:p>
        </w:tc>
        <w:tc>
          <w:tcPr>
            <w:tcW w:w="1076" w:type="pct"/>
            <w:shd w:val="clear" w:color="auto" w:fill="FFFFFF" w:themeFill="background1"/>
          </w:tcPr>
          <w:p w14:paraId="045FAD55"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2,703</w:t>
            </w:r>
          </w:p>
        </w:tc>
        <w:tc>
          <w:tcPr>
            <w:tcW w:w="831" w:type="pct"/>
            <w:shd w:val="clear" w:color="auto" w:fill="FFFFFF" w:themeFill="background1"/>
          </w:tcPr>
          <w:p w14:paraId="65894D79" w14:textId="2F6FD735"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3426121C" w14:textId="77777777" w:rsidTr="00D8726C">
        <w:tblPrEx>
          <w:shd w:val="clear" w:color="auto" w:fill="FFFFFF" w:themeFill="background1"/>
        </w:tblPrEx>
        <w:tc>
          <w:tcPr>
            <w:tcW w:w="1276" w:type="pct"/>
            <w:vMerge/>
            <w:shd w:val="clear" w:color="auto" w:fill="FFFFFF" w:themeFill="background1"/>
            <w:vAlign w:val="center"/>
          </w:tcPr>
          <w:p w14:paraId="1CCD1450"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0290FD89" w14:textId="77777777" w:rsidR="004C397E" w:rsidRPr="005A5BB7" w:rsidRDefault="004C397E" w:rsidP="00D8726C">
            <w:pPr>
              <w:keepNex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tcPr>
          <w:p w14:paraId="0F5B144A" w14:textId="409020CC" w:rsidR="004C397E" w:rsidRPr="007E3477" w:rsidRDefault="004C397E" w:rsidP="00D8726C">
            <w:pPr>
              <w:keepNext/>
              <w:jc w:val="center"/>
              <w:rPr>
                <w:rFonts w:ascii="Arial Narrow" w:hAnsi="Arial Narrow"/>
                <w:b/>
                <w:bCs/>
                <w:sz w:val="20"/>
                <w:szCs w:val="20"/>
                <w:vertAlign w:val="superscript"/>
              </w:rPr>
            </w:pPr>
            <w:r w:rsidRPr="005A5BB7">
              <w:rPr>
                <w:rFonts w:ascii="Arial Narrow" w:hAnsi="Arial Narrow"/>
                <w:b/>
                <w:bCs/>
                <w:sz w:val="20"/>
                <w:szCs w:val="20"/>
              </w:rPr>
              <w:t>$</w:t>
            </w:r>
            <w:r w:rsidR="00F15B97" w:rsidRPr="00F15B97">
              <w:rPr>
                <w:rFonts w:ascii="Arial Narrow" w:hAnsi="Arial Narrow"/>
                <w:b/>
                <w:bCs/>
                <w:sz w:val="2"/>
                <w:szCs w:val="20"/>
                <w:highlight w:val="black"/>
              </w:rPr>
              <w:t>redacted content</w:t>
            </w:r>
            <w:r w:rsidR="007E3477">
              <w:rPr>
                <w:rFonts w:ascii="Arial Narrow" w:hAnsi="Arial Narrow"/>
                <w:b/>
                <w:bCs/>
                <w:sz w:val="20"/>
                <w:szCs w:val="20"/>
                <w:vertAlign w:val="superscript"/>
              </w:rPr>
              <w:t>2</w:t>
            </w:r>
          </w:p>
        </w:tc>
      </w:tr>
      <w:tr w:rsidR="0074347B" w:rsidRPr="005A5BB7" w14:paraId="3FF75D1F" w14:textId="77777777" w:rsidTr="00D8726C">
        <w:tblPrEx>
          <w:shd w:val="clear" w:color="auto" w:fill="FFFFFF" w:themeFill="background1"/>
        </w:tblPrEx>
        <w:tc>
          <w:tcPr>
            <w:tcW w:w="1276" w:type="pct"/>
            <w:vMerge w:val="restart"/>
            <w:shd w:val="clear" w:color="auto" w:fill="FFFFFF" w:themeFill="background1"/>
            <w:vAlign w:val="center"/>
          </w:tcPr>
          <w:p w14:paraId="339181A2" w14:textId="2C02EC82"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Immunocompromising conditions (</w:t>
            </w:r>
            <w:r w:rsidR="00722D9B" w:rsidRPr="005A5BB7">
              <w:rPr>
                <w:rFonts w:ascii="Arial Narrow" w:hAnsi="Arial Narrow"/>
                <w:sz w:val="20"/>
                <w:szCs w:val="20"/>
              </w:rPr>
              <w:t xml:space="preserve">n = </w:t>
            </w:r>
            <w:r w:rsidR="00F15B97" w:rsidRPr="00F15B97">
              <w:rPr>
                <w:rFonts w:ascii="Arial Narrow" w:hAnsi="Arial Narrow"/>
                <w:sz w:val="2"/>
                <w:szCs w:val="20"/>
                <w:highlight w:val="black"/>
              </w:rPr>
              <w:t>redacted content</w:t>
            </w:r>
            <w:r w:rsidR="00410FBC">
              <w:rPr>
                <w:rFonts w:ascii="Arial Narrow" w:hAnsi="Arial Narrow"/>
                <w:sz w:val="20"/>
                <w:szCs w:val="20"/>
                <w:vertAlign w:val="superscript"/>
              </w:rPr>
              <w:t>6</w:t>
            </w:r>
            <w:r w:rsidR="008C3AAA"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8C3AAA" w:rsidRPr="00E53CA8">
              <w:rPr>
                <w:rFonts w:ascii="Arial Narrow" w:hAnsi="Arial Narrow"/>
                <w:sz w:val="20"/>
                <w:szCs w:val="20"/>
              </w:rPr>
              <w:t>%</w:t>
            </w:r>
            <w:r w:rsidRPr="00E53CA8">
              <w:rPr>
                <w:rFonts w:ascii="Arial Narrow" w:hAnsi="Arial Narrow"/>
                <w:sz w:val="20"/>
                <w:szCs w:val="20"/>
              </w:rPr>
              <w:t>)</w:t>
            </w:r>
          </w:p>
        </w:tc>
        <w:tc>
          <w:tcPr>
            <w:tcW w:w="605" w:type="pct"/>
            <w:shd w:val="clear" w:color="auto" w:fill="FFFFFF" w:themeFill="background1"/>
            <w:vAlign w:val="center"/>
          </w:tcPr>
          <w:p w14:paraId="7026E5F0" w14:textId="77777777" w:rsidR="004C397E" w:rsidRPr="005A5BB7" w:rsidRDefault="004C397E" w:rsidP="00D8726C">
            <w:pPr>
              <w:keepNext/>
              <w:jc w:val="left"/>
              <w:rPr>
                <w:rFonts w:ascii="Arial Narrow" w:hAnsi="Arial Narrow"/>
                <w:b/>
                <w:bCs/>
                <w:sz w:val="20"/>
                <w:szCs w:val="20"/>
              </w:rPr>
            </w:pPr>
            <w:r w:rsidRPr="005A5BB7">
              <w:rPr>
                <w:rFonts w:ascii="Arial Narrow" w:hAnsi="Arial Narrow"/>
                <w:sz w:val="20"/>
                <w:szCs w:val="20"/>
              </w:rPr>
              <w:t>Costs</w:t>
            </w:r>
          </w:p>
        </w:tc>
        <w:tc>
          <w:tcPr>
            <w:tcW w:w="1212" w:type="pct"/>
            <w:shd w:val="clear" w:color="auto" w:fill="FFFFFF" w:themeFill="background1"/>
          </w:tcPr>
          <w:p w14:paraId="1F5009F9" w14:textId="0C7AD048" w:rsidR="004C397E" w:rsidRPr="005A5BB7" w:rsidRDefault="004C397E" w:rsidP="00D8726C">
            <w:pPr>
              <w:keepNext/>
              <w:jc w:val="center"/>
              <w:rPr>
                <w:rFonts w:ascii="Arial Narrow" w:hAnsi="Arial Narrow"/>
                <w:b/>
                <w:bCs/>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5C9B4A94"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sz w:val="20"/>
                <w:szCs w:val="20"/>
              </w:rPr>
              <w:t>$250,142,193</w:t>
            </w:r>
          </w:p>
        </w:tc>
        <w:tc>
          <w:tcPr>
            <w:tcW w:w="831" w:type="pct"/>
            <w:shd w:val="clear" w:color="auto" w:fill="FFFFFF" w:themeFill="background1"/>
          </w:tcPr>
          <w:p w14:paraId="4C8907A7" w14:textId="1A18B06B" w:rsidR="004C397E" w:rsidRPr="005A5BB7" w:rsidRDefault="000E4816" w:rsidP="00D8726C">
            <w:pPr>
              <w:keepNext/>
              <w:jc w:val="center"/>
              <w:rPr>
                <w:rFonts w:ascii="Arial Narrow" w:hAnsi="Arial Narrow"/>
                <w:b/>
                <w:bCs/>
                <w:sz w:val="20"/>
                <w:szCs w:val="20"/>
              </w:rPr>
            </w:pPr>
            <w:r>
              <w:rPr>
                <w:rFonts w:ascii="Arial Narrow" w:hAnsi="Arial Narrow"/>
                <w:sz w:val="20"/>
                <w:szCs w:val="20"/>
              </w:rPr>
              <w:noBreakHyphen/>
            </w:r>
            <w:r w:rsidR="004C397E"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15500A4A" w14:textId="77777777" w:rsidTr="00D8726C">
        <w:tblPrEx>
          <w:shd w:val="clear" w:color="auto" w:fill="FFFFFF" w:themeFill="background1"/>
        </w:tblPrEx>
        <w:tc>
          <w:tcPr>
            <w:tcW w:w="1276" w:type="pct"/>
            <w:vMerge/>
            <w:shd w:val="clear" w:color="auto" w:fill="FFFFFF" w:themeFill="background1"/>
          </w:tcPr>
          <w:p w14:paraId="0FBC44BB"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44A584F0"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1CE9BE36"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3,266</w:t>
            </w:r>
          </w:p>
        </w:tc>
        <w:tc>
          <w:tcPr>
            <w:tcW w:w="1076" w:type="pct"/>
            <w:shd w:val="clear" w:color="auto" w:fill="FFFFFF" w:themeFill="background1"/>
          </w:tcPr>
          <w:p w14:paraId="4E32DAFC"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6,055</w:t>
            </w:r>
          </w:p>
        </w:tc>
        <w:tc>
          <w:tcPr>
            <w:tcW w:w="831" w:type="pct"/>
            <w:shd w:val="clear" w:color="auto" w:fill="FFFFFF" w:themeFill="background1"/>
          </w:tcPr>
          <w:p w14:paraId="1007C653" w14:textId="429343AC"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50D807FA" w14:textId="77777777" w:rsidTr="00D8726C">
        <w:tblPrEx>
          <w:shd w:val="clear" w:color="auto" w:fill="FFFFFF" w:themeFill="background1"/>
        </w:tblPrEx>
        <w:tc>
          <w:tcPr>
            <w:tcW w:w="1276" w:type="pct"/>
            <w:vMerge/>
            <w:shd w:val="clear" w:color="auto" w:fill="FFFFFF" w:themeFill="background1"/>
          </w:tcPr>
          <w:p w14:paraId="3AA76BD6"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43E0B800" w14:textId="77777777" w:rsidR="004C397E" w:rsidRPr="005A5BB7" w:rsidRDefault="004C397E" w:rsidP="00D8726C">
            <w:pPr>
              <w:keepNext/>
              <w:jc w:val="lef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1EFFA7E0"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Dominant</w:t>
            </w:r>
          </w:p>
        </w:tc>
      </w:tr>
      <w:tr w:rsidR="0074347B" w:rsidRPr="005A5BB7" w14:paraId="28264646" w14:textId="77777777" w:rsidTr="00D8726C">
        <w:tblPrEx>
          <w:shd w:val="clear" w:color="auto" w:fill="FFFFFF" w:themeFill="background1"/>
        </w:tblPrEx>
        <w:tc>
          <w:tcPr>
            <w:tcW w:w="1276" w:type="pct"/>
            <w:vMerge w:val="restart"/>
            <w:shd w:val="clear" w:color="auto" w:fill="FFFFFF" w:themeFill="background1"/>
            <w:vAlign w:val="center"/>
          </w:tcPr>
          <w:p w14:paraId="0AB6E63A" w14:textId="6E0C3602"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Chronic metabolic disorders (</w:t>
            </w:r>
            <w:r w:rsidR="00722D9B" w:rsidRPr="005A5BB7">
              <w:rPr>
                <w:rFonts w:ascii="Arial Narrow" w:hAnsi="Arial Narrow"/>
                <w:sz w:val="20"/>
                <w:szCs w:val="20"/>
              </w:rPr>
              <w:t xml:space="preserve">n = </w:t>
            </w:r>
            <w:r w:rsidR="00F15B97" w:rsidRPr="00F15B97">
              <w:rPr>
                <w:rFonts w:ascii="Arial Narrow" w:hAnsi="Arial Narrow"/>
                <w:sz w:val="2"/>
                <w:szCs w:val="20"/>
                <w:highlight w:val="black"/>
              </w:rPr>
              <w:t>redacted content</w:t>
            </w:r>
            <w:r w:rsidR="00A60C4C">
              <w:rPr>
                <w:rFonts w:ascii="Arial Narrow" w:hAnsi="Arial Narrow"/>
                <w:sz w:val="20"/>
                <w:szCs w:val="20"/>
                <w:vertAlign w:val="superscript"/>
              </w:rPr>
              <w:t>4</w:t>
            </w:r>
            <w:r w:rsidR="00885BE4" w:rsidRPr="00E53CA8">
              <w:rPr>
                <w:rFonts w:ascii="Arial Narrow" w:hAnsi="Arial Narrow"/>
                <w:sz w:val="20"/>
                <w:szCs w:val="20"/>
              </w:rPr>
              <w:t>;</w:t>
            </w:r>
            <w:r w:rsidR="00B816F2" w:rsidRPr="00E53CA8">
              <w:rPr>
                <w:rFonts w:ascii="Arial Narrow" w:hAnsi="Arial Narrow"/>
                <w:sz w:val="20"/>
                <w:szCs w:val="20"/>
              </w:rPr>
              <w:t xml:space="preserve"> </w:t>
            </w:r>
            <w:r w:rsidR="00F15B97" w:rsidRPr="00F15B97">
              <w:rPr>
                <w:rFonts w:ascii="Arial Narrow" w:hAnsi="Arial Narrow"/>
                <w:sz w:val="2"/>
                <w:szCs w:val="20"/>
                <w:highlight w:val="black"/>
              </w:rPr>
              <w:t>redacted content</w:t>
            </w:r>
            <w:r w:rsidR="00885BE4" w:rsidRPr="00E53CA8">
              <w:rPr>
                <w:rFonts w:ascii="Arial Narrow" w:hAnsi="Arial Narrow"/>
                <w:sz w:val="20"/>
                <w:szCs w:val="20"/>
              </w:rPr>
              <w:t>%</w:t>
            </w:r>
            <w:r w:rsidRPr="00E53CA8">
              <w:rPr>
                <w:rFonts w:ascii="Arial Narrow" w:hAnsi="Arial Narrow"/>
                <w:sz w:val="20"/>
                <w:szCs w:val="20"/>
              </w:rPr>
              <w:t>)</w:t>
            </w:r>
          </w:p>
        </w:tc>
        <w:tc>
          <w:tcPr>
            <w:tcW w:w="605" w:type="pct"/>
            <w:shd w:val="clear" w:color="auto" w:fill="FFFFFF" w:themeFill="background1"/>
            <w:vAlign w:val="center"/>
          </w:tcPr>
          <w:p w14:paraId="25AB01D5"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2C721C26" w14:textId="1A40A68F"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30AEBA7E"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$103,321,639</w:t>
            </w:r>
          </w:p>
        </w:tc>
        <w:tc>
          <w:tcPr>
            <w:tcW w:w="831" w:type="pct"/>
            <w:shd w:val="clear" w:color="auto" w:fill="FFFFFF" w:themeFill="background1"/>
          </w:tcPr>
          <w:p w14:paraId="3A3541B3" w14:textId="3CAA6CE0"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68069782" w14:textId="77777777" w:rsidTr="00D8726C">
        <w:tblPrEx>
          <w:shd w:val="clear" w:color="auto" w:fill="FFFFFF" w:themeFill="background1"/>
        </w:tblPrEx>
        <w:tc>
          <w:tcPr>
            <w:tcW w:w="1276" w:type="pct"/>
            <w:vMerge/>
            <w:shd w:val="clear" w:color="auto" w:fill="FFFFFF" w:themeFill="background1"/>
          </w:tcPr>
          <w:p w14:paraId="5F62A187"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65DB976D"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344D1334"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1,999</w:t>
            </w:r>
          </w:p>
        </w:tc>
        <w:tc>
          <w:tcPr>
            <w:tcW w:w="1076" w:type="pct"/>
            <w:shd w:val="clear" w:color="auto" w:fill="FFFFFF" w:themeFill="background1"/>
          </w:tcPr>
          <w:p w14:paraId="0BE68D3B"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3,481</w:t>
            </w:r>
          </w:p>
        </w:tc>
        <w:tc>
          <w:tcPr>
            <w:tcW w:w="831" w:type="pct"/>
            <w:shd w:val="clear" w:color="auto" w:fill="FFFFFF" w:themeFill="background1"/>
          </w:tcPr>
          <w:p w14:paraId="26C4D405" w14:textId="67FF87E6"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60A4A0BF" w14:textId="77777777" w:rsidTr="00D8726C">
        <w:tblPrEx>
          <w:shd w:val="clear" w:color="auto" w:fill="FFFFFF" w:themeFill="background1"/>
        </w:tblPrEx>
        <w:tc>
          <w:tcPr>
            <w:tcW w:w="1276" w:type="pct"/>
            <w:vMerge/>
            <w:shd w:val="clear" w:color="auto" w:fill="FFFFFF" w:themeFill="background1"/>
          </w:tcPr>
          <w:p w14:paraId="5FEF524E"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7B3572BE" w14:textId="77777777" w:rsidR="004C397E" w:rsidRPr="005A5BB7" w:rsidRDefault="004C397E" w:rsidP="00D8726C">
            <w:pPr>
              <w:keepNex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4C7FDF41" w14:textId="0AFFC4F3" w:rsidR="004C397E" w:rsidRPr="00B804DA" w:rsidRDefault="004C397E" w:rsidP="00D8726C">
            <w:pPr>
              <w:keepNext/>
              <w:jc w:val="center"/>
              <w:rPr>
                <w:rFonts w:ascii="Arial Narrow" w:hAnsi="Arial Narrow"/>
                <w:b/>
                <w:bCs/>
                <w:sz w:val="20"/>
                <w:szCs w:val="20"/>
                <w:vertAlign w:val="superscript"/>
              </w:rPr>
            </w:pPr>
            <w:r w:rsidRPr="005A5BB7">
              <w:rPr>
                <w:rFonts w:ascii="Arial Narrow" w:hAnsi="Arial Narrow"/>
                <w:b/>
                <w:bCs/>
                <w:sz w:val="20"/>
                <w:szCs w:val="20"/>
              </w:rPr>
              <w:t>$</w:t>
            </w:r>
            <w:r w:rsidR="00F15B97" w:rsidRPr="00F15B97">
              <w:rPr>
                <w:rFonts w:ascii="Arial Narrow" w:hAnsi="Arial Narrow"/>
                <w:b/>
                <w:bCs/>
                <w:sz w:val="2"/>
                <w:szCs w:val="20"/>
                <w:highlight w:val="black"/>
              </w:rPr>
              <w:t>redacted content</w:t>
            </w:r>
            <w:r w:rsidR="00B804DA">
              <w:rPr>
                <w:rFonts w:ascii="Arial Narrow" w:hAnsi="Arial Narrow"/>
                <w:b/>
                <w:bCs/>
                <w:sz w:val="20"/>
                <w:szCs w:val="20"/>
                <w:vertAlign w:val="superscript"/>
              </w:rPr>
              <w:t>3</w:t>
            </w:r>
          </w:p>
        </w:tc>
      </w:tr>
      <w:tr w:rsidR="0074347B" w:rsidRPr="005A5BB7" w14:paraId="6A776A8C" w14:textId="77777777" w:rsidTr="00D8726C">
        <w:tblPrEx>
          <w:shd w:val="clear" w:color="auto" w:fill="FFFFFF" w:themeFill="background1"/>
        </w:tblPrEx>
        <w:tc>
          <w:tcPr>
            <w:tcW w:w="1276" w:type="pct"/>
            <w:vMerge w:val="restart"/>
            <w:shd w:val="clear" w:color="auto" w:fill="FFFFFF" w:themeFill="background1"/>
            <w:vAlign w:val="center"/>
          </w:tcPr>
          <w:p w14:paraId="26B79AF3" w14:textId="7A105C8E"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Chronic kidney disease (</w:t>
            </w:r>
            <w:r w:rsidR="00722D9B" w:rsidRPr="005A5BB7">
              <w:rPr>
                <w:rFonts w:ascii="Arial Narrow" w:hAnsi="Arial Narrow"/>
                <w:sz w:val="20"/>
                <w:szCs w:val="20"/>
              </w:rPr>
              <w:t xml:space="preserve">n = </w:t>
            </w:r>
            <w:r w:rsidRPr="00E53CA8">
              <w:rPr>
                <w:rFonts w:ascii="Arial Narrow" w:hAnsi="Arial Narrow"/>
                <w:sz w:val="20"/>
                <w:szCs w:val="20"/>
              </w:rPr>
              <w:t>34,034</w:t>
            </w:r>
            <w:r w:rsidR="003F0181" w:rsidRPr="00E53CA8">
              <w:rPr>
                <w:rFonts w:ascii="Arial Narrow" w:hAnsi="Arial Narrow"/>
                <w:sz w:val="20"/>
                <w:szCs w:val="20"/>
              </w:rPr>
              <w:t xml:space="preserve">; </w:t>
            </w:r>
            <w:r w:rsidR="00F15B97" w:rsidRPr="00F15B97">
              <w:rPr>
                <w:rFonts w:ascii="Arial Narrow" w:hAnsi="Arial Narrow"/>
                <w:sz w:val="2"/>
                <w:szCs w:val="20"/>
                <w:highlight w:val="black"/>
              </w:rPr>
              <w:t>redacted content</w:t>
            </w:r>
            <w:r w:rsidR="003F0181" w:rsidRPr="00E53CA8">
              <w:rPr>
                <w:rFonts w:ascii="Arial Narrow" w:hAnsi="Arial Narrow"/>
                <w:sz w:val="20"/>
                <w:szCs w:val="20"/>
              </w:rPr>
              <w:t>%</w:t>
            </w:r>
            <w:r w:rsidRPr="00E53CA8">
              <w:rPr>
                <w:rFonts w:ascii="Arial Narrow" w:hAnsi="Arial Narrow"/>
                <w:sz w:val="20"/>
                <w:szCs w:val="20"/>
              </w:rPr>
              <w:t>)</w:t>
            </w:r>
          </w:p>
        </w:tc>
        <w:tc>
          <w:tcPr>
            <w:tcW w:w="605" w:type="pct"/>
            <w:shd w:val="clear" w:color="auto" w:fill="FFFFFF" w:themeFill="background1"/>
            <w:vAlign w:val="center"/>
          </w:tcPr>
          <w:p w14:paraId="6CC034C4"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24B530E6" w14:textId="1CEA12C0"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5621BE65"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$15,944,252</w:t>
            </w:r>
          </w:p>
        </w:tc>
        <w:tc>
          <w:tcPr>
            <w:tcW w:w="831" w:type="pct"/>
            <w:shd w:val="clear" w:color="auto" w:fill="FFFFFF" w:themeFill="background1"/>
          </w:tcPr>
          <w:p w14:paraId="67921689" w14:textId="164D8A48"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4C397E"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7B7CB176" w14:textId="77777777" w:rsidTr="00D8726C">
        <w:tblPrEx>
          <w:shd w:val="clear" w:color="auto" w:fill="FFFFFF" w:themeFill="background1"/>
        </w:tblPrEx>
        <w:tc>
          <w:tcPr>
            <w:tcW w:w="1276" w:type="pct"/>
            <w:vMerge/>
            <w:shd w:val="clear" w:color="auto" w:fill="FFFFFF" w:themeFill="background1"/>
          </w:tcPr>
          <w:p w14:paraId="023F6277"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54B12E65"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2C4DB741"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233</w:t>
            </w:r>
          </w:p>
        </w:tc>
        <w:tc>
          <w:tcPr>
            <w:tcW w:w="1076" w:type="pct"/>
            <w:shd w:val="clear" w:color="auto" w:fill="FFFFFF" w:themeFill="background1"/>
          </w:tcPr>
          <w:p w14:paraId="3C7C0BEF"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424</w:t>
            </w:r>
          </w:p>
        </w:tc>
        <w:tc>
          <w:tcPr>
            <w:tcW w:w="831" w:type="pct"/>
            <w:shd w:val="clear" w:color="auto" w:fill="FFFFFF" w:themeFill="background1"/>
          </w:tcPr>
          <w:p w14:paraId="7DE2A90F" w14:textId="2A3D9626"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0A07B24E" w14:textId="77777777" w:rsidTr="00D8726C">
        <w:tblPrEx>
          <w:shd w:val="clear" w:color="auto" w:fill="FFFFFF" w:themeFill="background1"/>
        </w:tblPrEx>
        <w:tc>
          <w:tcPr>
            <w:tcW w:w="1276" w:type="pct"/>
            <w:vMerge/>
            <w:tcBorders>
              <w:bottom w:val="single" w:sz="4" w:space="0" w:color="auto"/>
            </w:tcBorders>
            <w:shd w:val="clear" w:color="auto" w:fill="FFFFFF" w:themeFill="background1"/>
          </w:tcPr>
          <w:p w14:paraId="79B0F65F" w14:textId="77777777" w:rsidR="004C397E" w:rsidRPr="005A5BB7" w:rsidRDefault="004C397E" w:rsidP="00D8726C">
            <w:pPr>
              <w:keepNext/>
              <w:jc w:val="left"/>
              <w:rPr>
                <w:rFonts w:ascii="Arial Narrow" w:hAnsi="Arial Narrow"/>
                <w:sz w:val="20"/>
                <w:szCs w:val="20"/>
              </w:rPr>
            </w:pPr>
          </w:p>
        </w:tc>
        <w:tc>
          <w:tcPr>
            <w:tcW w:w="2893" w:type="pct"/>
            <w:gridSpan w:val="3"/>
            <w:tcBorders>
              <w:bottom w:val="single" w:sz="4" w:space="0" w:color="auto"/>
            </w:tcBorders>
            <w:shd w:val="clear" w:color="auto" w:fill="FFFFFF" w:themeFill="background1"/>
            <w:vAlign w:val="center"/>
          </w:tcPr>
          <w:p w14:paraId="14E89A1E" w14:textId="77777777" w:rsidR="004C397E" w:rsidRPr="005A5BB7" w:rsidRDefault="004C397E" w:rsidP="00D8726C">
            <w:pPr>
              <w:keepNext/>
              <w:rPr>
                <w:rFonts w:ascii="Arial Narrow" w:hAnsi="Arial Narrow"/>
                <w:bCs/>
                <w:sz w:val="20"/>
                <w:szCs w:val="20"/>
              </w:rPr>
            </w:pPr>
            <w:r w:rsidRPr="005A5BB7">
              <w:rPr>
                <w:rFonts w:ascii="Arial Narrow" w:hAnsi="Arial Narrow"/>
                <w:bCs/>
                <w:sz w:val="20"/>
                <w:szCs w:val="20"/>
              </w:rPr>
              <w:t>Incremental cost/extra QALYs gained</w:t>
            </w:r>
          </w:p>
        </w:tc>
        <w:tc>
          <w:tcPr>
            <w:tcW w:w="831" w:type="pct"/>
            <w:tcBorders>
              <w:bottom w:val="single" w:sz="4" w:space="0" w:color="auto"/>
            </w:tcBorders>
            <w:shd w:val="clear" w:color="auto" w:fill="FFFFFF" w:themeFill="background1"/>
            <w:vAlign w:val="center"/>
          </w:tcPr>
          <w:p w14:paraId="3A6D3143"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Dominant</w:t>
            </w:r>
          </w:p>
        </w:tc>
      </w:tr>
      <w:tr w:rsidR="0074347B" w:rsidRPr="005A5BB7" w14:paraId="3FEF41D1" w14:textId="77777777" w:rsidTr="00D8726C">
        <w:tblPrEx>
          <w:shd w:val="clear" w:color="auto" w:fill="FFFFFF" w:themeFill="background1"/>
        </w:tblPrEx>
        <w:tc>
          <w:tcPr>
            <w:tcW w:w="1276" w:type="pct"/>
            <w:vMerge w:val="restart"/>
            <w:shd w:val="clear" w:color="auto" w:fill="FFFFFF" w:themeFill="background1"/>
          </w:tcPr>
          <w:p w14:paraId="64502171" w14:textId="3D49745D" w:rsidR="004C397E" w:rsidRPr="005A5BB7" w:rsidRDefault="004C397E" w:rsidP="00D8726C">
            <w:pPr>
              <w:pStyle w:val="PBACTabletext"/>
              <w:keepLines w:val="0"/>
              <w:widowControl w:val="0"/>
              <w:suppressLineNumbers w:val="0"/>
              <w:spacing w:after="0"/>
              <w:rPr>
                <w:rFonts w:ascii="Arial Narrow" w:hAnsi="Arial Narrow"/>
                <w:szCs w:val="20"/>
              </w:rPr>
            </w:pPr>
            <w:r w:rsidRPr="005A5BB7">
              <w:rPr>
                <w:rFonts w:ascii="Arial Narrow" w:hAnsi="Arial Narrow"/>
                <w:szCs w:val="20"/>
              </w:rPr>
              <w:t>Chronic neurological conditions (</w:t>
            </w:r>
            <w:r w:rsidR="00722D9B" w:rsidRPr="00E53CA8">
              <w:rPr>
                <w:rFonts w:ascii="Arial Narrow" w:hAnsi="Arial Narrow"/>
                <w:szCs w:val="20"/>
              </w:rPr>
              <w:t xml:space="preserve">n = </w:t>
            </w:r>
            <w:r w:rsidRPr="00E53CA8">
              <w:rPr>
                <w:rFonts w:ascii="Arial Narrow" w:hAnsi="Arial Narrow"/>
                <w:szCs w:val="20"/>
              </w:rPr>
              <w:t>177,311</w:t>
            </w:r>
            <w:r w:rsidR="003F0181" w:rsidRPr="00E53CA8">
              <w:rPr>
                <w:rFonts w:ascii="Arial Narrow" w:hAnsi="Arial Narrow"/>
                <w:szCs w:val="20"/>
              </w:rPr>
              <w:t xml:space="preserve">; </w:t>
            </w:r>
            <w:r w:rsidR="00F15B97" w:rsidRPr="00F15B97">
              <w:rPr>
                <w:rFonts w:ascii="Arial Narrow" w:hAnsi="Arial Narrow"/>
                <w:sz w:val="2"/>
                <w:szCs w:val="20"/>
                <w:highlight w:val="black"/>
              </w:rPr>
              <w:t>redacted content</w:t>
            </w:r>
            <w:r w:rsidR="003F0181" w:rsidRPr="00E53CA8">
              <w:rPr>
                <w:rFonts w:ascii="Arial Narrow" w:hAnsi="Arial Narrow"/>
                <w:szCs w:val="20"/>
              </w:rPr>
              <w:t>%</w:t>
            </w:r>
            <w:r w:rsidRPr="00E53CA8">
              <w:rPr>
                <w:rFonts w:ascii="Arial Narrow" w:hAnsi="Arial Narrow"/>
                <w:szCs w:val="20"/>
              </w:rPr>
              <w:t>)</w:t>
            </w:r>
          </w:p>
        </w:tc>
        <w:tc>
          <w:tcPr>
            <w:tcW w:w="605" w:type="pct"/>
            <w:shd w:val="clear" w:color="auto" w:fill="FFFFFF" w:themeFill="background1"/>
            <w:vAlign w:val="center"/>
          </w:tcPr>
          <w:p w14:paraId="711FD459"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6D22548A" w14:textId="539E3DF1"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591215DC"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$61,740,183</w:t>
            </w:r>
          </w:p>
        </w:tc>
        <w:tc>
          <w:tcPr>
            <w:tcW w:w="831" w:type="pct"/>
            <w:shd w:val="clear" w:color="auto" w:fill="FFFFFF" w:themeFill="background1"/>
          </w:tcPr>
          <w:p w14:paraId="25DD9022" w14:textId="3F887A79"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4C397E"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58058E55" w14:textId="77777777" w:rsidTr="00D8726C">
        <w:tblPrEx>
          <w:shd w:val="clear" w:color="auto" w:fill="FFFFFF" w:themeFill="background1"/>
        </w:tblPrEx>
        <w:tc>
          <w:tcPr>
            <w:tcW w:w="1276" w:type="pct"/>
            <w:vMerge/>
            <w:shd w:val="clear" w:color="auto" w:fill="FFFFFF" w:themeFill="background1"/>
          </w:tcPr>
          <w:p w14:paraId="58BCC41E"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5CBCA0E4"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4B753D8B"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966</w:t>
            </w:r>
          </w:p>
        </w:tc>
        <w:tc>
          <w:tcPr>
            <w:tcW w:w="1076" w:type="pct"/>
            <w:shd w:val="clear" w:color="auto" w:fill="FFFFFF" w:themeFill="background1"/>
          </w:tcPr>
          <w:p w14:paraId="6BC6DADB"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1,736</w:t>
            </w:r>
          </w:p>
        </w:tc>
        <w:tc>
          <w:tcPr>
            <w:tcW w:w="831" w:type="pct"/>
            <w:shd w:val="clear" w:color="auto" w:fill="FFFFFF" w:themeFill="background1"/>
          </w:tcPr>
          <w:p w14:paraId="46C6E9D6" w14:textId="37952C0B"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48520E46" w14:textId="77777777" w:rsidTr="00D8726C">
        <w:tblPrEx>
          <w:shd w:val="clear" w:color="auto" w:fill="FFFFFF" w:themeFill="background1"/>
        </w:tblPrEx>
        <w:tc>
          <w:tcPr>
            <w:tcW w:w="1276" w:type="pct"/>
            <w:vMerge/>
            <w:shd w:val="clear" w:color="auto" w:fill="FFFFFF" w:themeFill="background1"/>
          </w:tcPr>
          <w:p w14:paraId="683239AE"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69DBAA24" w14:textId="77777777" w:rsidR="004C397E" w:rsidRPr="005A5BB7" w:rsidRDefault="004C397E" w:rsidP="00D8726C">
            <w:pPr>
              <w:keepNext/>
              <w:jc w:val="lef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2B1B106E"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Dominant</w:t>
            </w:r>
          </w:p>
        </w:tc>
      </w:tr>
      <w:tr w:rsidR="0074347B" w:rsidRPr="005A5BB7" w14:paraId="029C98C5" w14:textId="77777777" w:rsidTr="00D8726C">
        <w:tblPrEx>
          <w:shd w:val="clear" w:color="auto" w:fill="FFFFFF" w:themeFill="background1"/>
        </w:tblPrEx>
        <w:tc>
          <w:tcPr>
            <w:tcW w:w="1276" w:type="pct"/>
            <w:vMerge w:val="restart"/>
            <w:shd w:val="clear" w:color="auto" w:fill="FFFFFF" w:themeFill="background1"/>
            <w:vAlign w:val="center"/>
          </w:tcPr>
          <w:p w14:paraId="0EFA63C2" w14:textId="44F3B3A5"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Chronic liver disease (</w:t>
            </w:r>
            <w:r w:rsidR="00722D9B" w:rsidRPr="005A5BB7">
              <w:rPr>
                <w:rFonts w:ascii="Arial Narrow" w:hAnsi="Arial Narrow"/>
                <w:sz w:val="20"/>
                <w:szCs w:val="20"/>
              </w:rPr>
              <w:t xml:space="preserve">n = </w:t>
            </w:r>
            <w:r w:rsidR="00F15B97" w:rsidRPr="00F15B97">
              <w:rPr>
                <w:rFonts w:ascii="Arial Narrow" w:hAnsi="Arial Narrow"/>
                <w:sz w:val="2"/>
                <w:szCs w:val="20"/>
                <w:highlight w:val="black"/>
              </w:rPr>
              <w:t>redacted content</w:t>
            </w:r>
            <w:r w:rsidR="00410FBC">
              <w:rPr>
                <w:rFonts w:ascii="Arial Narrow" w:hAnsi="Arial Narrow"/>
                <w:sz w:val="20"/>
                <w:szCs w:val="20"/>
                <w:vertAlign w:val="superscript"/>
              </w:rPr>
              <w:t>6</w:t>
            </w:r>
            <w:r w:rsidR="003F0181" w:rsidRPr="00E53CA8">
              <w:rPr>
                <w:rFonts w:ascii="Arial Narrow" w:hAnsi="Arial Narrow"/>
                <w:sz w:val="20"/>
                <w:szCs w:val="20"/>
              </w:rPr>
              <w:t xml:space="preserve">; </w:t>
            </w:r>
            <w:r w:rsidR="00F15B97" w:rsidRPr="00F15B97">
              <w:rPr>
                <w:rFonts w:ascii="Arial Narrow" w:hAnsi="Arial Narrow"/>
                <w:sz w:val="2"/>
                <w:szCs w:val="20"/>
                <w:highlight w:val="black"/>
              </w:rPr>
              <w:t>redacted content</w:t>
            </w:r>
            <w:r w:rsidR="003F0181" w:rsidRPr="00E53CA8">
              <w:rPr>
                <w:rFonts w:ascii="Arial Narrow" w:hAnsi="Arial Narrow"/>
                <w:sz w:val="20"/>
                <w:szCs w:val="20"/>
              </w:rPr>
              <w:t>%</w:t>
            </w:r>
            <w:r w:rsidRPr="00E53CA8">
              <w:rPr>
                <w:rFonts w:ascii="Arial Narrow" w:hAnsi="Arial Narrow"/>
                <w:sz w:val="20"/>
                <w:szCs w:val="20"/>
              </w:rPr>
              <w:t>)</w:t>
            </w:r>
          </w:p>
        </w:tc>
        <w:tc>
          <w:tcPr>
            <w:tcW w:w="605" w:type="pct"/>
            <w:shd w:val="clear" w:color="auto" w:fill="FFFFFF" w:themeFill="background1"/>
            <w:vAlign w:val="center"/>
          </w:tcPr>
          <w:p w14:paraId="36D1B22A"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25ACC0F0" w14:textId="28526E9F"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6F727C32"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$100,388,730</w:t>
            </w:r>
          </w:p>
        </w:tc>
        <w:tc>
          <w:tcPr>
            <w:tcW w:w="831" w:type="pct"/>
            <w:shd w:val="clear" w:color="auto" w:fill="FFFFFF" w:themeFill="background1"/>
          </w:tcPr>
          <w:p w14:paraId="16136F2C" w14:textId="7CC8B6FF"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4C397E"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7387845A" w14:textId="77777777" w:rsidTr="00D8726C">
        <w:tblPrEx>
          <w:shd w:val="clear" w:color="auto" w:fill="FFFFFF" w:themeFill="background1"/>
        </w:tblPrEx>
        <w:tc>
          <w:tcPr>
            <w:tcW w:w="1276" w:type="pct"/>
            <w:vMerge/>
            <w:shd w:val="clear" w:color="auto" w:fill="FFFFFF" w:themeFill="background1"/>
          </w:tcPr>
          <w:p w14:paraId="4C9D705E" w14:textId="77777777" w:rsidR="004C397E" w:rsidRPr="005A5BB7" w:rsidRDefault="004C397E" w:rsidP="00D8726C">
            <w:pPr>
              <w:keepNext/>
              <w:jc w:val="left"/>
              <w:rPr>
                <w:rFonts w:ascii="Arial Narrow" w:hAnsi="Arial Narrow"/>
                <w:sz w:val="20"/>
                <w:szCs w:val="20"/>
              </w:rPr>
            </w:pPr>
          </w:p>
        </w:tc>
        <w:tc>
          <w:tcPr>
            <w:tcW w:w="605" w:type="pct"/>
            <w:shd w:val="clear" w:color="auto" w:fill="FFFFFF" w:themeFill="background1"/>
            <w:vAlign w:val="center"/>
          </w:tcPr>
          <w:p w14:paraId="4EECA5D5"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67A2CB7F"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1,470</w:t>
            </w:r>
          </w:p>
        </w:tc>
        <w:tc>
          <w:tcPr>
            <w:tcW w:w="1076" w:type="pct"/>
            <w:shd w:val="clear" w:color="auto" w:fill="FFFFFF" w:themeFill="background1"/>
          </w:tcPr>
          <w:p w14:paraId="6B65AF49"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2,670</w:t>
            </w:r>
          </w:p>
        </w:tc>
        <w:tc>
          <w:tcPr>
            <w:tcW w:w="831" w:type="pct"/>
            <w:shd w:val="clear" w:color="auto" w:fill="FFFFFF" w:themeFill="background1"/>
          </w:tcPr>
          <w:p w14:paraId="37026FCB" w14:textId="08369410"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70891587" w14:textId="77777777" w:rsidTr="00D8726C">
        <w:tblPrEx>
          <w:shd w:val="clear" w:color="auto" w:fill="FFFFFF" w:themeFill="background1"/>
        </w:tblPrEx>
        <w:tc>
          <w:tcPr>
            <w:tcW w:w="1276" w:type="pct"/>
            <w:vMerge/>
            <w:shd w:val="clear" w:color="auto" w:fill="FFFFFF" w:themeFill="background1"/>
          </w:tcPr>
          <w:p w14:paraId="30ED6715" w14:textId="77777777" w:rsidR="004C397E" w:rsidRPr="005A5BB7" w:rsidRDefault="004C397E" w:rsidP="00D8726C">
            <w:pPr>
              <w:keepNext/>
              <w:jc w:val="left"/>
              <w:rPr>
                <w:rFonts w:ascii="Arial Narrow" w:hAnsi="Arial Narrow"/>
                <w:sz w:val="20"/>
                <w:szCs w:val="20"/>
              </w:rPr>
            </w:pPr>
          </w:p>
        </w:tc>
        <w:tc>
          <w:tcPr>
            <w:tcW w:w="2893" w:type="pct"/>
            <w:gridSpan w:val="3"/>
            <w:shd w:val="clear" w:color="auto" w:fill="FFFFFF" w:themeFill="background1"/>
            <w:vAlign w:val="center"/>
          </w:tcPr>
          <w:p w14:paraId="1E986A2C" w14:textId="77777777" w:rsidR="004C397E" w:rsidRPr="005A5BB7" w:rsidRDefault="004C397E" w:rsidP="00D8726C">
            <w:pPr>
              <w:keepNext/>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582DCFC8" w14:textId="77777777" w:rsidR="004C397E" w:rsidRPr="005A5BB7" w:rsidRDefault="004C397E" w:rsidP="00D8726C">
            <w:pPr>
              <w:keepNext/>
              <w:jc w:val="center"/>
              <w:rPr>
                <w:rFonts w:ascii="Arial Narrow" w:hAnsi="Arial Narrow"/>
                <w:b/>
                <w:bCs/>
                <w:sz w:val="20"/>
                <w:szCs w:val="20"/>
              </w:rPr>
            </w:pPr>
            <w:r w:rsidRPr="005A5BB7">
              <w:rPr>
                <w:rFonts w:ascii="Arial Narrow" w:hAnsi="Arial Narrow"/>
                <w:b/>
                <w:bCs/>
                <w:sz w:val="20"/>
                <w:szCs w:val="20"/>
              </w:rPr>
              <w:t>Dominant</w:t>
            </w:r>
          </w:p>
        </w:tc>
      </w:tr>
      <w:tr w:rsidR="0074347B" w:rsidRPr="005A5BB7" w14:paraId="337A765F" w14:textId="77777777" w:rsidTr="00D8726C">
        <w:tblPrEx>
          <w:shd w:val="clear" w:color="auto" w:fill="FFFFFF" w:themeFill="background1"/>
        </w:tblPrEx>
        <w:tc>
          <w:tcPr>
            <w:tcW w:w="1276" w:type="pct"/>
            <w:vMerge w:val="restart"/>
            <w:shd w:val="clear" w:color="auto" w:fill="FFFFFF" w:themeFill="background1"/>
          </w:tcPr>
          <w:p w14:paraId="1E162531" w14:textId="59483BF5"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Obesity (Body mass index ≥30 kg per m</w:t>
            </w:r>
            <w:r w:rsidRPr="005A5BB7">
              <w:rPr>
                <w:rFonts w:ascii="Arial Narrow" w:hAnsi="Arial Narrow"/>
                <w:sz w:val="20"/>
                <w:szCs w:val="20"/>
                <w:vertAlign w:val="superscript"/>
              </w:rPr>
              <w:t>2</w:t>
            </w:r>
            <w:r w:rsidRPr="005A5BB7">
              <w:rPr>
                <w:rFonts w:ascii="Arial Narrow" w:hAnsi="Arial Narrow"/>
                <w:sz w:val="20"/>
                <w:szCs w:val="20"/>
              </w:rPr>
              <w:t>) (</w:t>
            </w:r>
            <w:r w:rsidR="00722D9B" w:rsidRPr="00A60C4C">
              <w:rPr>
                <w:rFonts w:ascii="Arial Narrow" w:hAnsi="Arial Narrow"/>
                <w:sz w:val="20"/>
                <w:szCs w:val="20"/>
              </w:rPr>
              <w:t xml:space="preserve">n = </w:t>
            </w:r>
            <w:r w:rsidR="00F15B97" w:rsidRPr="00F15B97">
              <w:rPr>
                <w:rFonts w:ascii="Arial Narrow" w:hAnsi="Arial Narrow"/>
                <w:sz w:val="2"/>
                <w:szCs w:val="20"/>
                <w:highlight w:val="black"/>
              </w:rPr>
              <w:t>redacted content</w:t>
            </w:r>
            <w:r w:rsidR="00410FBC">
              <w:rPr>
                <w:rFonts w:ascii="Arial Narrow" w:hAnsi="Arial Narrow"/>
                <w:sz w:val="20"/>
                <w:szCs w:val="20"/>
                <w:vertAlign w:val="superscript"/>
              </w:rPr>
              <w:t>6</w:t>
            </w:r>
            <w:r w:rsidR="00885BE4" w:rsidRPr="00A60C4C">
              <w:rPr>
                <w:rFonts w:ascii="Arial Narrow" w:hAnsi="Arial Narrow"/>
                <w:sz w:val="20"/>
                <w:szCs w:val="20"/>
              </w:rPr>
              <w:t>; 9%</w:t>
            </w:r>
            <w:r w:rsidRPr="00A60C4C">
              <w:rPr>
                <w:rFonts w:ascii="Arial Narrow" w:hAnsi="Arial Narrow"/>
                <w:sz w:val="20"/>
                <w:szCs w:val="20"/>
              </w:rPr>
              <w:t>)</w:t>
            </w:r>
            <w:r w:rsidR="00A137C0" w:rsidRPr="00A60C4C">
              <w:rPr>
                <w:rStyle w:val="FootnoteReference"/>
                <w:rFonts w:ascii="Arial Narrow" w:hAnsi="Arial Narrow"/>
                <w:sz w:val="20"/>
                <w:szCs w:val="20"/>
              </w:rPr>
              <w:footnoteReference w:id="18"/>
            </w:r>
          </w:p>
        </w:tc>
        <w:tc>
          <w:tcPr>
            <w:tcW w:w="605" w:type="pct"/>
            <w:shd w:val="clear" w:color="auto" w:fill="FFFFFF" w:themeFill="background1"/>
            <w:vAlign w:val="center"/>
          </w:tcPr>
          <w:p w14:paraId="529D9A79"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Costs</w:t>
            </w:r>
          </w:p>
        </w:tc>
        <w:tc>
          <w:tcPr>
            <w:tcW w:w="1212" w:type="pct"/>
            <w:shd w:val="clear" w:color="auto" w:fill="FFFFFF" w:themeFill="background1"/>
          </w:tcPr>
          <w:p w14:paraId="033BED5A" w14:textId="4A1BAFE8"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c>
          <w:tcPr>
            <w:tcW w:w="1076" w:type="pct"/>
            <w:shd w:val="clear" w:color="auto" w:fill="FFFFFF" w:themeFill="background1"/>
          </w:tcPr>
          <w:p w14:paraId="2D0D3D8F"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$47,128,839</w:t>
            </w:r>
          </w:p>
        </w:tc>
        <w:tc>
          <w:tcPr>
            <w:tcW w:w="831" w:type="pct"/>
            <w:shd w:val="clear" w:color="auto" w:fill="FFFFFF" w:themeFill="background1"/>
          </w:tcPr>
          <w:p w14:paraId="6FFF62B4" w14:textId="3F7ECFE3"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w:t>
            </w:r>
            <w:r w:rsidR="00F15B97" w:rsidRPr="00F15B97">
              <w:rPr>
                <w:rFonts w:ascii="Arial Narrow" w:hAnsi="Arial Narrow"/>
                <w:sz w:val="2"/>
                <w:szCs w:val="20"/>
                <w:highlight w:val="black"/>
              </w:rPr>
              <w:t>redacted content</w:t>
            </w:r>
          </w:p>
        </w:tc>
      </w:tr>
      <w:tr w:rsidR="0074347B" w:rsidRPr="005A5BB7" w14:paraId="5F7878C2" w14:textId="77777777" w:rsidTr="00D8726C">
        <w:tblPrEx>
          <w:shd w:val="clear" w:color="auto" w:fill="FFFFFF" w:themeFill="background1"/>
        </w:tblPrEx>
        <w:tc>
          <w:tcPr>
            <w:tcW w:w="1276" w:type="pct"/>
            <w:vMerge/>
            <w:shd w:val="clear" w:color="auto" w:fill="FFFFFF" w:themeFill="background1"/>
          </w:tcPr>
          <w:p w14:paraId="7C1BF266" w14:textId="77777777" w:rsidR="004C397E" w:rsidRPr="005A5BB7" w:rsidRDefault="004C397E" w:rsidP="00D8726C">
            <w:pPr>
              <w:keepNext/>
              <w:jc w:val="left"/>
              <w:rPr>
                <w:rFonts w:ascii="Arial Narrow" w:hAnsi="Arial Narrow"/>
                <w:b/>
                <w:bCs/>
                <w:sz w:val="20"/>
                <w:szCs w:val="20"/>
              </w:rPr>
            </w:pPr>
          </w:p>
        </w:tc>
        <w:tc>
          <w:tcPr>
            <w:tcW w:w="605" w:type="pct"/>
            <w:shd w:val="clear" w:color="auto" w:fill="FFFFFF" w:themeFill="background1"/>
            <w:vAlign w:val="center"/>
          </w:tcPr>
          <w:p w14:paraId="572F35BB" w14:textId="77777777" w:rsidR="004C397E" w:rsidRPr="005A5BB7" w:rsidRDefault="004C397E" w:rsidP="00D8726C">
            <w:pPr>
              <w:keepNext/>
              <w:jc w:val="left"/>
              <w:rPr>
                <w:rFonts w:ascii="Arial Narrow" w:hAnsi="Arial Narrow"/>
                <w:sz w:val="20"/>
                <w:szCs w:val="20"/>
              </w:rPr>
            </w:pPr>
            <w:r w:rsidRPr="005A5BB7">
              <w:rPr>
                <w:rFonts w:ascii="Arial Narrow" w:hAnsi="Arial Narrow"/>
                <w:sz w:val="20"/>
                <w:szCs w:val="20"/>
              </w:rPr>
              <w:t>QALYs lost</w:t>
            </w:r>
          </w:p>
        </w:tc>
        <w:tc>
          <w:tcPr>
            <w:tcW w:w="1212" w:type="pct"/>
            <w:shd w:val="clear" w:color="auto" w:fill="FFFFFF" w:themeFill="background1"/>
          </w:tcPr>
          <w:p w14:paraId="492D1861"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852</w:t>
            </w:r>
          </w:p>
        </w:tc>
        <w:tc>
          <w:tcPr>
            <w:tcW w:w="1076" w:type="pct"/>
            <w:shd w:val="clear" w:color="auto" w:fill="FFFFFF" w:themeFill="background1"/>
          </w:tcPr>
          <w:p w14:paraId="620D2C16" w14:textId="77777777" w:rsidR="004C397E" w:rsidRPr="005A5BB7" w:rsidRDefault="004C397E" w:rsidP="00D8726C">
            <w:pPr>
              <w:keepNext/>
              <w:jc w:val="center"/>
              <w:rPr>
                <w:rFonts w:ascii="Arial Narrow" w:hAnsi="Arial Narrow"/>
                <w:sz w:val="20"/>
                <w:szCs w:val="20"/>
              </w:rPr>
            </w:pPr>
            <w:r w:rsidRPr="005A5BB7">
              <w:rPr>
                <w:rFonts w:ascii="Arial Narrow" w:hAnsi="Arial Narrow"/>
                <w:sz w:val="20"/>
                <w:szCs w:val="20"/>
              </w:rPr>
              <w:t>1,498</w:t>
            </w:r>
          </w:p>
        </w:tc>
        <w:tc>
          <w:tcPr>
            <w:tcW w:w="831" w:type="pct"/>
            <w:shd w:val="clear" w:color="auto" w:fill="FFFFFF" w:themeFill="background1"/>
          </w:tcPr>
          <w:p w14:paraId="2E612295" w14:textId="5C67F8A2" w:rsidR="004C397E" w:rsidRPr="005A5BB7" w:rsidRDefault="000E4816" w:rsidP="00D8726C">
            <w:pPr>
              <w:keepNext/>
              <w:jc w:val="center"/>
              <w:rPr>
                <w:rFonts w:ascii="Arial Narrow" w:hAnsi="Arial Narrow"/>
                <w:sz w:val="20"/>
                <w:szCs w:val="20"/>
              </w:rPr>
            </w:pPr>
            <w:r>
              <w:rPr>
                <w:rFonts w:ascii="Arial Narrow" w:hAnsi="Arial Narrow"/>
                <w:sz w:val="20"/>
                <w:szCs w:val="20"/>
              </w:rPr>
              <w:noBreakHyphen/>
            </w:r>
            <w:r w:rsidR="00F15B97" w:rsidRPr="00F15B97">
              <w:rPr>
                <w:rFonts w:ascii="Arial Narrow" w:hAnsi="Arial Narrow"/>
                <w:sz w:val="2"/>
                <w:szCs w:val="20"/>
                <w:highlight w:val="black"/>
              </w:rPr>
              <w:t>redacted content</w:t>
            </w:r>
          </w:p>
        </w:tc>
      </w:tr>
      <w:tr w:rsidR="0074347B" w:rsidRPr="005A5BB7" w14:paraId="09E55044" w14:textId="77777777" w:rsidTr="00D8726C">
        <w:tblPrEx>
          <w:shd w:val="clear" w:color="auto" w:fill="FFFFFF" w:themeFill="background1"/>
        </w:tblPrEx>
        <w:tc>
          <w:tcPr>
            <w:tcW w:w="1276" w:type="pct"/>
            <w:vMerge/>
            <w:shd w:val="clear" w:color="auto" w:fill="FFFFFF" w:themeFill="background1"/>
          </w:tcPr>
          <w:p w14:paraId="2BBD8105" w14:textId="77777777" w:rsidR="004C397E" w:rsidRPr="005A5BB7" w:rsidRDefault="004C397E" w:rsidP="005B71B5">
            <w:pPr>
              <w:jc w:val="left"/>
              <w:rPr>
                <w:rFonts w:ascii="Arial Narrow" w:hAnsi="Arial Narrow"/>
                <w:b/>
                <w:bCs/>
                <w:sz w:val="20"/>
                <w:szCs w:val="20"/>
              </w:rPr>
            </w:pPr>
          </w:p>
        </w:tc>
        <w:tc>
          <w:tcPr>
            <w:tcW w:w="2893" w:type="pct"/>
            <w:gridSpan w:val="3"/>
            <w:shd w:val="clear" w:color="auto" w:fill="FFFFFF" w:themeFill="background1"/>
            <w:vAlign w:val="center"/>
          </w:tcPr>
          <w:p w14:paraId="200B6ECA" w14:textId="77777777" w:rsidR="004C397E" w:rsidRPr="005A5BB7" w:rsidRDefault="004C397E" w:rsidP="005B71B5">
            <w:pPr>
              <w:rPr>
                <w:rFonts w:ascii="Arial Narrow" w:hAnsi="Arial Narrow"/>
                <w:bCs/>
                <w:sz w:val="20"/>
                <w:szCs w:val="20"/>
              </w:rPr>
            </w:pPr>
            <w:r w:rsidRPr="005A5BB7">
              <w:rPr>
                <w:rFonts w:ascii="Arial Narrow" w:hAnsi="Arial Narrow"/>
                <w:bCs/>
                <w:sz w:val="20"/>
                <w:szCs w:val="20"/>
              </w:rPr>
              <w:t>Incremental cost/extra QALYs gained</w:t>
            </w:r>
          </w:p>
        </w:tc>
        <w:tc>
          <w:tcPr>
            <w:tcW w:w="831" w:type="pct"/>
            <w:shd w:val="clear" w:color="auto" w:fill="FFFFFF" w:themeFill="background1"/>
            <w:vAlign w:val="center"/>
          </w:tcPr>
          <w:p w14:paraId="71A60A48" w14:textId="54739512" w:rsidR="004C397E" w:rsidRPr="00FC258D" w:rsidRDefault="004C397E" w:rsidP="005B71B5">
            <w:pPr>
              <w:jc w:val="center"/>
              <w:rPr>
                <w:rFonts w:ascii="Arial Narrow" w:hAnsi="Arial Narrow"/>
                <w:b/>
                <w:bCs/>
                <w:sz w:val="20"/>
                <w:szCs w:val="20"/>
                <w:vertAlign w:val="superscript"/>
              </w:rPr>
            </w:pPr>
            <w:r w:rsidRPr="005A5BB7">
              <w:rPr>
                <w:rFonts w:ascii="Arial Narrow" w:hAnsi="Arial Narrow"/>
                <w:b/>
                <w:bCs/>
                <w:sz w:val="20"/>
                <w:szCs w:val="20"/>
              </w:rPr>
              <w:t>$</w:t>
            </w:r>
            <w:r w:rsidR="00F15B97" w:rsidRPr="00F15B97">
              <w:rPr>
                <w:rFonts w:ascii="Arial Narrow" w:hAnsi="Arial Narrow"/>
                <w:b/>
                <w:bCs/>
                <w:sz w:val="2"/>
                <w:szCs w:val="20"/>
                <w:highlight w:val="black"/>
              </w:rPr>
              <w:t>redacted content</w:t>
            </w:r>
            <w:r w:rsidR="00FC258D">
              <w:rPr>
                <w:rFonts w:ascii="Arial Narrow" w:hAnsi="Arial Narrow"/>
                <w:b/>
                <w:bCs/>
                <w:sz w:val="20"/>
                <w:szCs w:val="20"/>
                <w:vertAlign w:val="superscript"/>
              </w:rPr>
              <w:t>1</w:t>
            </w:r>
          </w:p>
        </w:tc>
      </w:tr>
    </w:tbl>
    <w:p w14:paraId="3D44E797" w14:textId="77777777" w:rsidR="004C397E" w:rsidRPr="005A5BB7" w:rsidRDefault="004C397E" w:rsidP="004C397E">
      <w:pPr>
        <w:pStyle w:val="3-BodyText"/>
        <w:numPr>
          <w:ilvl w:val="0"/>
          <w:numId w:val="0"/>
        </w:numPr>
        <w:spacing w:before="0" w:after="0"/>
        <w:ind w:left="720" w:hanging="720"/>
        <w:rPr>
          <w:rFonts w:ascii="Arial Narrow" w:hAnsi="Arial Narrow"/>
          <w:bCs/>
          <w:sz w:val="18"/>
          <w:szCs w:val="18"/>
        </w:rPr>
      </w:pPr>
      <w:r w:rsidRPr="005A5BB7">
        <w:rPr>
          <w:rFonts w:ascii="Arial Narrow" w:hAnsi="Arial Narrow"/>
          <w:bCs/>
          <w:sz w:val="18"/>
          <w:szCs w:val="18"/>
        </w:rPr>
        <w:t>Source: Conducted during the evaluation using the economic model presented in the March 2026 resubmission.</w:t>
      </w:r>
    </w:p>
    <w:p w14:paraId="1775701D" w14:textId="36C78828" w:rsidR="004C397E" w:rsidRDefault="004C397E" w:rsidP="004C397E">
      <w:pPr>
        <w:pStyle w:val="3-BodyText"/>
        <w:numPr>
          <w:ilvl w:val="0"/>
          <w:numId w:val="0"/>
        </w:numPr>
        <w:spacing w:before="0" w:after="0"/>
        <w:rPr>
          <w:rFonts w:ascii="Arial Narrow" w:hAnsi="Arial Narrow"/>
          <w:bCs/>
          <w:sz w:val="18"/>
          <w:szCs w:val="18"/>
        </w:rPr>
      </w:pPr>
      <w:r w:rsidRPr="005A5BB7">
        <w:rPr>
          <w:rFonts w:ascii="Arial Narrow" w:hAnsi="Arial Narrow"/>
          <w:bCs/>
          <w:sz w:val="18"/>
          <w:szCs w:val="18"/>
        </w:rPr>
        <w:t>EHM = excess hospitalisation multipliers; ICER = incremental cost</w:t>
      </w:r>
      <w:r w:rsidR="000E4816">
        <w:rPr>
          <w:rFonts w:ascii="Arial Narrow" w:hAnsi="Arial Narrow"/>
          <w:bCs/>
          <w:sz w:val="18"/>
          <w:szCs w:val="18"/>
        </w:rPr>
        <w:noBreakHyphen/>
      </w:r>
      <w:r w:rsidRPr="005A5BB7">
        <w:rPr>
          <w:rFonts w:ascii="Arial Narrow" w:hAnsi="Arial Narrow"/>
          <w:bCs/>
          <w:sz w:val="18"/>
          <w:szCs w:val="18"/>
        </w:rPr>
        <w:t>effectiveness ratio; QALY = quality</w:t>
      </w:r>
      <w:r w:rsidR="000E4816">
        <w:rPr>
          <w:rFonts w:ascii="Arial Narrow" w:hAnsi="Arial Narrow"/>
          <w:bCs/>
          <w:sz w:val="18"/>
          <w:szCs w:val="18"/>
        </w:rPr>
        <w:noBreakHyphen/>
      </w:r>
      <w:r w:rsidRPr="005A5BB7">
        <w:rPr>
          <w:rFonts w:ascii="Arial Narrow" w:hAnsi="Arial Narrow"/>
          <w:bCs/>
          <w:sz w:val="18"/>
          <w:szCs w:val="18"/>
        </w:rPr>
        <w:t>adjusted life year; RSV= respiratory syncytial virus; UAM = under</w:t>
      </w:r>
      <w:r w:rsidR="000E4816">
        <w:rPr>
          <w:rFonts w:ascii="Arial Narrow" w:hAnsi="Arial Narrow"/>
          <w:bCs/>
          <w:sz w:val="18"/>
          <w:szCs w:val="18"/>
        </w:rPr>
        <w:noBreakHyphen/>
      </w:r>
      <w:r w:rsidRPr="005A5BB7">
        <w:rPr>
          <w:rFonts w:ascii="Arial Narrow" w:hAnsi="Arial Narrow"/>
          <w:bCs/>
          <w:sz w:val="18"/>
          <w:szCs w:val="18"/>
        </w:rPr>
        <w:t>ascertainment</w:t>
      </w:r>
      <w:r w:rsidR="000E4816">
        <w:rPr>
          <w:rFonts w:ascii="Arial Narrow" w:hAnsi="Arial Narrow"/>
          <w:bCs/>
          <w:sz w:val="18"/>
          <w:szCs w:val="18"/>
        </w:rPr>
        <w:noBreakHyphen/>
      </w:r>
      <w:r w:rsidRPr="005A5BB7">
        <w:rPr>
          <w:rFonts w:ascii="Arial Narrow" w:hAnsi="Arial Narrow"/>
          <w:bCs/>
          <w:sz w:val="18"/>
          <w:szCs w:val="18"/>
        </w:rPr>
        <w:t>multiplier; VE = vaccine efficacy; YOA = years of age.</w:t>
      </w:r>
    </w:p>
    <w:p w14:paraId="50FBEFE1" w14:textId="77777777" w:rsidR="00F03BF2" w:rsidRPr="00F03BF2" w:rsidRDefault="00F03BF2" w:rsidP="00F03BF2">
      <w:pPr>
        <w:jc w:val="left"/>
        <w:rPr>
          <w:rFonts w:ascii="Arial Narrow" w:hAnsi="Arial Narrow" w:cstheme="minorHAnsi"/>
          <w:bCs/>
          <w:i/>
          <w:iCs/>
          <w:sz w:val="18"/>
          <w:szCs w:val="18"/>
        </w:rPr>
      </w:pPr>
      <w:r w:rsidRPr="00F03BF2">
        <w:rPr>
          <w:rFonts w:ascii="Arial Narrow" w:hAnsi="Arial Narrow" w:cstheme="minorHAnsi"/>
          <w:bCs/>
          <w:i/>
          <w:iCs/>
          <w:sz w:val="18"/>
          <w:szCs w:val="18"/>
        </w:rPr>
        <w:t xml:space="preserve">The redacted values correspond to the following ranges: </w:t>
      </w:r>
    </w:p>
    <w:p w14:paraId="6C2E694C" w14:textId="0B75D5D7" w:rsidR="00F03BF2" w:rsidRPr="00F03BF2" w:rsidRDefault="00F03BF2" w:rsidP="00F03BF2">
      <w:pPr>
        <w:jc w:val="left"/>
        <w:rPr>
          <w:rFonts w:ascii="Arial Narrow" w:hAnsi="Arial Narrow"/>
          <w:i/>
          <w:sz w:val="18"/>
          <w:szCs w:val="18"/>
        </w:rPr>
      </w:pPr>
      <w:r w:rsidRPr="00F03BF2">
        <w:rPr>
          <w:rFonts w:ascii="Arial Narrow" w:hAnsi="Arial Narrow"/>
          <w:i/>
          <w:sz w:val="18"/>
          <w:szCs w:val="18"/>
          <w:vertAlign w:val="superscript"/>
        </w:rPr>
        <w:t>1</w:t>
      </w:r>
      <w:r w:rsidRPr="00F03BF2">
        <w:rPr>
          <w:rFonts w:ascii="Arial Narrow" w:hAnsi="Arial Narrow"/>
          <w:i/>
          <w:sz w:val="18"/>
          <w:szCs w:val="18"/>
        </w:rPr>
        <w:t xml:space="preserve"> </w:t>
      </w:r>
      <w:r w:rsidR="00FC258D" w:rsidRPr="00FC258D">
        <w:rPr>
          <w:rFonts w:ascii="Arial Narrow" w:hAnsi="Arial Narrow"/>
          <w:i/>
          <w:sz w:val="18"/>
          <w:szCs w:val="18"/>
        </w:rPr>
        <w:t>$15,000 to &lt; $25,000</w:t>
      </w:r>
    </w:p>
    <w:p w14:paraId="4B8A6B4A" w14:textId="4AF67B13" w:rsidR="00F03BF2" w:rsidRPr="00F03BF2" w:rsidRDefault="00F03BF2" w:rsidP="00F03BF2">
      <w:pPr>
        <w:jc w:val="left"/>
        <w:rPr>
          <w:rFonts w:ascii="Arial Narrow" w:hAnsi="Arial Narrow"/>
          <w:i/>
          <w:sz w:val="18"/>
          <w:szCs w:val="18"/>
        </w:rPr>
      </w:pPr>
      <w:r w:rsidRPr="00F03BF2">
        <w:rPr>
          <w:rFonts w:ascii="Arial Narrow" w:hAnsi="Arial Narrow"/>
          <w:i/>
          <w:sz w:val="18"/>
          <w:szCs w:val="18"/>
          <w:vertAlign w:val="superscript"/>
        </w:rPr>
        <w:t>2</w:t>
      </w:r>
      <w:r w:rsidRPr="00F03BF2">
        <w:rPr>
          <w:rFonts w:ascii="Arial Narrow" w:hAnsi="Arial Narrow"/>
          <w:i/>
          <w:sz w:val="18"/>
          <w:szCs w:val="18"/>
        </w:rPr>
        <w:t xml:space="preserve"> </w:t>
      </w:r>
      <w:r w:rsidR="007E3477" w:rsidRPr="007E3477">
        <w:rPr>
          <w:rFonts w:ascii="Arial Narrow" w:hAnsi="Arial Narrow"/>
          <w:i/>
          <w:sz w:val="18"/>
          <w:szCs w:val="18"/>
        </w:rPr>
        <w:t>$5,000 to &lt; $15,000</w:t>
      </w:r>
    </w:p>
    <w:p w14:paraId="776C64F3" w14:textId="058D68D9" w:rsidR="00F03BF2" w:rsidRDefault="00F03BF2" w:rsidP="00B804DA">
      <w:pPr>
        <w:jc w:val="left"/>
        <w:rPr>
          <w:rFonts w:ascii="Arial Narrow" w:hAnsi="Arial Narrow"/>
          <w:i/>
          <w:sz w:val="18"/>
          <w:szCs w:val="18"/>
        </w:rPr>
      </w:pPr>
      <w:r w:rsidRPr="00F03BF2">
        <w:rPr>
          <w:rFonts w:ascii="Arial Narrow" w:hAnsi="Arial Narrow"/>
          <w:i/>
          <w:sz w:val="18"/>
          <w:szCs w:val="18"/>
          <w:vertAlign w:val="superscript"/>
        </w:rPr>
        <w:t>3</w:t>
      </w:r>
      <w:r w:rsidRPr="00F03BF2">
        <w:rPr>
          <w:rFonts w:ascii="Arial Narrow" w:hAnsi="Arial Narrow"/>
          <w:i/>
          <w:sz w:val="18"/>
          <w:szCs w:val="18"/>
        </w:rPr>
        <w:t xml:space="preserve"> </w:t>
      </w:r>
      <w:r w:rsidR="00B804DA" w:rsidRPr="00B804DA">
        <w:rPr>
          <w:rFonts w:ascii="Arial Narrow" w:hAnsi="Arial Narrow"/>
          <w:i/>
          <w:sz w:val="18"/>
          <w:szCs w:val="18"/>
        </w:rPr>
        <w:t>$25,000 to &lt; $35,000</w:t>
      </w:r>
    </w:p>
    <w:p w14:paraId="30B05463" w14:textId="37C86081" w:rsidR="00E53CA8" w:rsidRDefault="00E53CA8" w:rsidP="00B804DA">
      <w:pPr>
        <w:jc w:val="left"/>
        <w:rPr>
          <w:rFonts w:ascii="Arial Narrow" w:hAnsi="Arial Narrow"/>
          <w:i/>
          <w:sz w:val="18"/>
          <w:szCs w:val="18"/>
        </w:rPr>
      </w:pPr>
      <w:r>
        <w:rPr>
          <w:rFonts w:ascii="Arial Narrow" w:hAnsi="Arial Narrow"/>
          <w:i/>
          <w:sz w:val="18"/>
          <w:szCs w:val="18"/>
          <w:vertAlign w:val="superscript"/>
        </w:rPr>
        <w:t xml:space="preserve">4 </w:t>
      </w:r>
      <w:r w:rsidRPr="00E53CA8">
        <w:rPr>
          <w:rFonts w:ascii="Arial Narrow" w:hAnsi="Arial Narrow"/>
          <w:i/>
          <w:sz w:val="18"/>
          <w:szCs w:val="18"/>
        </w:rPr>
        <w:t>500,000 to &lt; 600,000</w:t>
      </w:r>
    </w:p>
    <w:p w14:paraId="62B96AD2" w14:textId="4315455D" w:rsidR="00FF6626" w:rsidRDefault="00FF6626" w:rsidP="00B804DA">
      <w:pPr>
        <w:jc w:val="left"/>
        <w:rPr>
          <w:rFonts w:ascii="Arial Narrow" w:hAnsi="Arial Narrow"/>
          <w:i/>
          <w:sz w:val="18"/>
          <w:szCs w:val="18"/>
        </w:rPr>
      </w:pPr>
      <w:r>
        <w:rPr>
          <w:rFonts w:ascii="Arial Narrow" w:hAnsi="Arial Narrow"/>
          <w:i/>
          <w:sz w:val="18"/>
          <w:szCs w:val="18"/>
          <w:vertAlign w:val="superscript"/>
        </w:rPr>
        <w:t xml:space="preserve">5 </w:t>
      </w:r>
      <w:r w:rsidRPr="00FF6626">
        <w:rPr>
          <w:rFonts w:ascii="Arial Narrow" w:hAnsi="Arial Narrow"/>
          <w:i/>
          <w:sz w:val="18"/>
          <w:szCs w:val="18"/>
        </w:rPr>
        <w:t>300,000 to &lt; 400,000</w:t>
      </w:r>
    </w:p>
    <w:p w14:paraId="2B9F003A" w14:textId="28714FF8" w:rsidR="00FF6626" w:rsidRPr="00FF6626" w:rsidRDefault="00FF6626" w:rsidP="00B804DA">
      <w:pPr>
        <w:jc w:val="lef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B365C4" w:rsidRPr="00B365C4">
        <w:rPr>
          <w:rFonts w:ascii="Arial Narrow" w:hAnsi="Arial Narrow"/>
          <w:i/>
          <w:sz w:val="18"/>
          <w:szCs w:val="18"/>
        </w:rPr>
        <w:t>200,000 to &lt; 300,000</w:t>
      </w:r>
    </w:p>
    <w:p w14:paraId="7DE61D54" w14:textId="77777777" w:rsidR="008C0DF1" w:rsidRPr="005A5BB7" w:rsidRDefault="008C0DF1" w:rsidP="004C397E">
      <w:pPr>
        <w:pStyle w:val="3-BodyText"/>
        <w:numPr>
          <w:ilvl w:val="0"/>
          <w:numId w:val="0"/>
        </w:numPr>
        <w:spacing w:before="0" w:after="0"/>
        <w:rPr>
          <w:rFonts w:ascii="Arial Narrow" w:hAnsi="Arial Narrow"/>
          <w:bCs/>
          <w:sz w:val="18"/>
          <w:szCs w:val="18"/>
        </w:rPr>
      </w:pPr>
    </w:p>
    <w:p w14:paraId="69D0A244" w14:textId="4520313F" w:rsidR="00610F39" w:rsidRPr="005A5BB7" w:rsidRDefault="004C397E" w:rsidP="0090073B">
      <w:pPr>
        <w:pStyle w:val="3-BodyText"/>
        <w:rPr>
          <w:rFonts w:eastAsia="Calibri"/>
          <w:szCs w:val="20"/>
        </w:rPr>
      </w:pPr>
      <w:r w:rsidRPr="005A5BB7">
        <w:t>The results of key sensitivity analyses for 60</w:t>
      </w:r>
      <w:r w:rsidR="000E4816">
        <w:noBreakHyphen/>
      </w:r>
      <w:r w:rsidRPr="005A5BB7">
        <w:t>74 YOA at increased risk of severe RSV disease, with at least one at</w:t>
      </w:r>
      <w:r w:rsidR="000E4816">
        <w:noBreakHyphen/>
      </w:r>
      <w:r w:rsidRPr="005A5BB7">
        <w:t xml:space="preserve">risk medical condition are summarised in </w:t>
      </w:r>
      <w:r w:rsidRPr="005A5BB7">
        <w:fldChar w:fldCharType="begin"/>
      </w:r>
      <w:r w:rsidRPr="005A5BB7">
        <w:instrText xml:space="preserve"> REF _Ref216287804 \h  \* MERGEFORMAT </w:instrText>
      </w:r>
      <w:r w:rsidRPr="005A5BB7">
        <w:fldChar w:fldCharType="separate"/>
      </w:r>
      <w:r w:rsidR="0043658C" w:rsidRPr="005A5BB7">
        <w:rPr>
          <w:rFonts w:cs="Times New Roman"/>
          <w:szCs w:val="20"/>
        </w:rPr>
        <w:t xml:space="preserve">Table </w:t>
      </w:r>
      <w:r w:rsidR="0043658C">
        <w:rPr>
          <w:rFonts w:cs="Times New Roman"/>
          <w:szCs w:val="20"/>
        </w:rPr>
        <w:t>23</w:t>
      </w:r>
      <w:r w:rsidRPr="005A5BB7">
        <w:fldChar w:fldCharType="end"/>
      </w:r>
      <w:r w:rsidRPr="005A5BB7">
        <w:t>.</w:t>
      </w:r>
    </w:p>
    <w:p w14:paraId="14ECB8D0" w14:textId="469DBA07" w:rsidR="00AE1266" w:rsidRPr="005A5BB7" w:rsidRDefault="00BA6D81" w:rsidP="00AE1266">
      <w:pPr>
        <w:pStyle w:val="3-BodyText"/>
        <w:rPr>
          <w:iCs/>
        </w:rPr>
      </w:pPr>
      <w:bookmarkStart w:id="88" w:name="_Ref222413501"/>
      <w:r w:rsidRPr="005A5BB7">
        <w:t xml:space="preserve">The </w:t>
      </w:r>
      <w:r w:rsidR="00E067BA" w:rsidRPr="005A5BB7">
        <w:t>Evaluation</w:t>
      </w:r>
      <w:r w:rsidRPr="005A5BB7">
        <w:t xml:space="preserve"> considered that the MSA shown in </w:t>
      </w:r>
      <w:r w:rsidRPr="005A5BB7">
        <w:fldChar w:fldCharType="begin"/>
      </w:r>
      <w:r w:rsidRPr="005A5BB7">
        <w:instrText xml:space="preserve"> REF _Ref216287804 \h </w:instrText>
      </w:r>
      <w:r w:rsidR="00D60E4E" w:rsidRPr="005A5BB7">
        <w:instrText xml:space="preserve"> \* MERGEFORMAT </w:instrText>
      </w:r>
      <w:r w:rsidRPr="005A5BB7">
        <w:fldChar w:fldCharType="separate"/>
      </w:r>
      <w:r w:rsidR="0043658C" w:rsidRPr="0043658C">
        <w:rPr>
          <w:rFonts w:cs="Times New Roman"/>
        </w:rPr>
        <w:t>Table 23</w:t>
      </w:r>
      <w:r w:rsidRPr="005A5BB7">
        <w:fldChar w:fldCharType="end"/>
      </w:r>
      <w:r w:rsidRPr="005A5BB7">
        <w:t xml:space="preserve"> which adjusted hospitalisation rate (change E), background mortality (change G), hospitalisation cost (change J) and VE duration (change K) and resulted in an ICER </w:t>
      </w:r>
      <w:r w:rsidRPr="005A5BB7">
        <w:rPr>
          <w:iCs/>
        </w:rPr>
        <w:t xml:space="preserve">of </w:t>
      </w:r>
      <w:r w:rsidR="006357FF" w:rsidRPr="006357FF">
        <w:rPr>
          <w:iCs/>
        </w:rPr>
        <w:t>$45,000 to &lt; $55,000</w:t>
      </w:r>
      <w:r w:rsidRPr="005A5BB7">
        <w:rPr>
          <w:iCs/>
        </w:rPr>
        <w:t xml:space="preserve">/QALY was </w:t>
      </w:r>
      <w:r w:rsidR="00E067BA" w:rsidRPr="005A5BB7">
        <w:rPr>
          <w:iCs/>
        </w:rPr>
        <w:t xml:space="preserve">most </w:t>
      </w:r>
      <w:r w:rsidRPr="005A5BB7">
        <w:rPr>
          <w:iCs/>
        </w:rPr>
        <w:t>informative</w:t>
      </w:r>
      <w:r w:rsidR="00904228" w:rsidRPr="005A5BB7">
        <w:rPr>
          <w:iCs/>
        </w:rPr>
        <w:t xml:space="preserve"> (labelled </w:t>
      </w:r>
      <w:r w:rsidR="00E66DC1" w:rsidRPr="005A5BB7">
        <w:rPr>
          <w:iCs/>
        </w:rPr>
        <w:t>Evaluation MSA</w:t>
      </w:r>
      <w:r w:rsidR="00904228" w:rsidRPr="005A5BB7">
        <w:rPr>
          <w:iCs/>
        </w:rPr>
        <w:t>)</w:t>
      </w:r>
      <w:r w:rsidRPr="005A5BB7">
        <w:rPr>
          <w:iCs/>
        </w:rPr>
        <w:t>.</w:t>
      </w:r>
      <w:r w:rsidR="00DA1339">
        <w:rPr>
          <w:iCs/>
        </w:rPr>
        <w:t xml:space="preserve"> </w:t>
      </w:r>
      <w:r w:rsidRPr="005A5BB7">
        <w:rPr>
          <w:iCs/>
        </w:rPr>
        <w:t xml:space="preserve">In addition, the ESC noted the </w:t>
      </w:r>
      <w:r w:rsidR="00E66DC1" w:rsidRPr="005A5BB7">
        <w:rPr>
          <w:iCs/>
        </w:rPr>
        <w:t xml:space="preserve">Alternative MSA </w:t>
      </w:r>
      <w:bookmarkEnd w:id="88"/>
      <w:r w:rsidR="00E067BA" w:rsidRPr="005A5BB7">
        <w:rPr>
          <w:rFonts w:cstheme="minorHAnsi"/>
          <w:iCs/>
        </w:rPr>
        <w:t xml:space="preserve">which </w:t>
      </w:r>
      <w:r w:rsidR="00E66DC1" w:rsidRPr="005A5BB7">
        <w:rPr>
          <w:rFonts w:cstheme="minorHAnsi"/>
          <w:iCs/>
        </w:rPr>
        <w:t>applied</w:t>
      </w:r>
      <w:r w:rsidR="00E66DC1" w:rsidRPr="005A5BB7">
        <w:rPr>
          <w:iCs/>
        </w:rPr>
        <w:t xml:space="preserve"> </w:t>
      </w:r>
      <w:r w:rsidR="00E067BA" w:rsidRPr="005A5BB7">
        <w:rPr>
          <w:iCs/>
        </w:rPr>
        <w:t xml:space="preserve">the adjusted hospitalisation rate (change E), </w:t>
      </w:r>
      <w:r w:rsidR="00E067BA" w:rsidRPr="005A5BB7">
        <w:rPr>
          <w:iCs/>
        </w:rPr>
        <w:lastRenderedPageBreak/>
        <w:t xml:space="preserve">hospitalisation cost (change J) and VE duration (change K) and resulted in an ICER of </w:t>
      </w:r>
      <w:r w:rsidR="00172388" w:rsidRPr="00172388">
        <w:rPr>
          <w:iCs/>
        </w:rPr>
        <w:t>$35,000 to &lt; $45,000</w:t>
      </w:r>
      <w:r w:rsidR="00E067BA" w:rsidRPr="005A5BB7">
        <w:rPr>
          <w:iCs/>
        </w:rPr>
        <w:t xml:space="preserve">/QALY (see paragraph </w:t>
      </w:r>
      <w:r w:rsidR="00E067BA" w:rsidRPr="005A5BB7">
        <w:rPr>
          <w:iCs/>
        </w:rPr>
        <w:fldChar w:fldCharType="begin"/>
      </w:r>
      <w:r w:rsidR="00E067BA" w:rsidRPr="005A5BB7">
        <w:rPr>
          <w:iCs/>
        </w:rPr>
        <w:instrText xml:space="preserve"> REF _Ref222763037 \r \h </w:instrText>
      </w:r>
      <w:r w:rsidR="00E42BB4" w:rsidRPr="005A5BB7">
        <w:rPr>
          <w:iCs/>
        </w:rPr>
        <w:instrText xml:space="preserve"> \* MERGEFORMAT </w:instrText>
      </w:r>
      <w:r w:rsidR="00E067BA" w:rsidRPr="005A5BB7">
        <w:rPr>
          <w:iCs/>
        </w:rPr>
      </w:r>
      <w:r w:rsidR="00E067BA" w:rsidRPr="005A5BB7">
        <w:rPr>
          <w:iCs/>
        </w:rPr>
        <w:fldChar w:fldCharType="separate"/>
      </w:r>
      <w:r w:rsidR="003D0611">
        <w:rPr>
          <w:iCs/>
        </w:rPr>
        <w:t>6.81</w:t>
      </w:r>
      <w:r w:rsidR="00E067BA" w:rsidRPr="005A5BB7">
        <w:rPr>
          <w:iCs/>
        </w:rPr>
        <w:fldChar w:fldCharType="end"/>
      </w:r>
      <w:r w:rsidR="00E067BA" w:rsidRPr="005A5BB7">
        <w:rPr>
          <w:iCs/>
        </w:rPr>
        <w:t>)</w:t>
      </w:r>
      <w:r w:rsidR="00E66DC1" w:rsidRPr="005A5BB7">
        <w:rPr>
          <w:iCs/>
        </w:rPr>
        <w:t>, and the All</w:t>
      </w:r>
      <w:r w:rsidR="000E4816">
        <w:rPr>
          <w:iCs/>
        </w:rPr>
        <w:noBreakHyphen/>
      </w:r>
      <w:r w:rsidR="00E66DC1" w:rsidRPr="005A5BB7">
        <w:rPr>
          <w:iCs/>
        </w:rPr>
        <w:t xml:space="preserve">comers analysis which </w:t>
      </w:r>
      <w:r w:rsidR="00E66DC1" w:rsidRPr="005A5BB7">
        <w:rPr>
          <w:rFonts w:cstheme="minorHAnsi"/>
          <w:iCs/>
        </w:rPr>
        <w:t xml:space="preserve">applied </w:t>
      </w:r>
      <w:r w:rsidR="00F03B29" w:rsidRPr="005A5BB7">
        <w:rPr>
          <w:rFonts w:cstheme="minorHAnsi"/>
          <w:iCs/>
        </w:rPr>
        <w:t xml:space="preserve">an </w:t>
      </w:r>
      <w:r w:rsidR="00904228" w:rsidRPr="005A5BB7">
        <w:rPr>
          <w:rFonts w:cstheme="minorHAnsi"/>
          <w:iCs/>
        </w:rPr>
        <w:t>EHM of 1 to generate estimate for the 60</w:t>
      </w:r>
      <w:r w:rsidR="000E4816">
        <w:rPr>
          <w:rFonts w:cstheme="minorHAnsi"/>
          <w:iCs/>
        </w:rPr>
        <w:noBreakHyphen/>
      </w:r>
      <w:r w:rsidR="00904228" w:rsidRPr="005A5BB7">
        <w:rPr>
          <w:rFonts w:cstheme="minorHAnsi"/>
          <w:iCs/>
        </w:rPr>
        <w:t xml:space="preserve">74 years age cohort </w:t>
      </w:r>
      <w:r w:rsidR="0074459D" w:rsidRPr="005A5BB7">
        <w:rPr>
          <w:rFonts w:cstheme="minorHAnsi"/>
          <w:iCs/>
        </w:rPr>
        <w:t>(all</w:t>
      </w:r>
      <w:r w:rsidR="000E4816">
        <w:rPr>
          <w:rFonts w:cstheme="minorHAnsi"/>
          <w:iCs/>
        </w:rPr>
        <w:noBreakHyphen/>
      </w:r>
      <w:r w:rsidR="0074459D" w:rsidRPr="005A5BB7">
        <w:rPr>
          <w:rFonts w:cstheme="minorHAnsi"/>
          <w:iCs/>
        </w:rPr>
        <w:t xml:space="preserve">comers) </w:t>
      </w:r>
      <w:r w:rsidR="00904228" w:rsidRPr="005A5BB7">
        <w:rPr>
          <w:rFonts w:cstheme="minorHAnsi"/>
          <w:iCs/>
        </w:rPr>
        <w:t xml:space="preserve">regardless of medical risk factors and resulted in an ICER of </w:t>
      </w:r>
      <w:r w:rsidR="00EA44FF" w:rsidRPr="00EA44FF">
        <w:rPr>
          <w:rFonts w:cstheme="minorHAnsi"/>
          <w:iCs/>
        </w:rPr>
        <w:t xml:space="preserve">$55,000 to &lt; $75,000 </w:t>
      </w:r>
      <w:r w:rsidR="00612D7D" w:rsidRPr="005A5BB7">
        <w:rPr>
          <w:rFonts w:cstheme="minorHAnsi"/>
          <w:iCs/>
        </w:rPr>
        <w:t>/QALY (</w:t>
      </w:r>
      <w:r w:rsidR="003A124B" w:rsidRPr="005A5BB7">
        <w:rPr>
          <w:rFonts w:cstheme="minorHAnsi"/>
          <w:iCs/>
        </w:rPr>
        <w:t xml:space="preserve">using an </w:t>
      </w:r>
      <w:r w:rsidR="00612D7D" w:rsidRPr="005A5BB7">
        <w:rPr>
          <w:rFonts w:cstheme="minorHAnsi"/>
          <w:iCs/>
        </w:rPr>
        <w:t>SMR 1)</w:t>
      </w:r>
      <w:r w:rsidR="00904228" w:rsidRPr="005A5BB7">
        <w:rPr>
          <w:rFonts w:cstheme="minorHAnsi"/>
          <w:iCs/>
        </w:rPr>
        <w:t>.</w:t>
      </w:r>
    </w:p>
    <w:p w14:paraId="50495726" w14:textId="48345F72" w:rsidR="00BA6D81" w:rsidRPr="00C05C9F" w:rsidRDefault="00AE1266" w:rsidP="00C05C9F">
      <w:pPr>
        <w:pStyle w:val="3-BodyText"/>
        <w:rPr>
          <w:iCs/>
        </w:rPr>
      </w:pPr>
      <w:r w:rsidRPr="005A5BB7">
        <w:rPr>
          <w:iCs/>
        </w:rPr>
        <w:t>The PSCR noted that the cost</w:t>
      </w:r>
      <w:r w:rsidR="000E4816">
        <w:rPr>
          <w:iCs/>
        </w:rPr>
        <w:noBreakHyphen/>
      </w:r>
      <w:r w:rsidRPr="005A5BB7">
        <w:rPr>
          <w:iCs/>
        </w:rPr>
        <w:t>effectiveness of RSVPreF3 OA has a strong age gradient that is largely driven by differences in age</w:t>
      </w:r>
      <w:r w:rsidR="000E4816">
        <w:rPr>
          <w:iCs/>
        </w:rPr>
        <w:noBreakHyphen/>
      </w:r>
      <w:r w:rsidRPr="005A5BB7">
        <w:rPr>
          <w:iCs/>
        </w:rPr>
        <w:t>based hospitalisation rates. The PSCR presented results for two cohorts, 1) 65</w:t>
      </w:r>
      <w:r w:rsidR="000E4816">
        <w:rPr>
          <w:iCs/>
        </w:rPr>
        <w:noBreakHyphen/>
      </w:r>
      <w:r w:rsidRPr="005A5BB7">
        <w:rPr>
          <w:iCs/>
        </w:rPr>
        <w:t xml:space="preserve">74 YOA at </w:t>
      </w:r>
      <w:r w:rsidRPr="005A5BB7">
        <w:rPr>
          <w:szCs w:val="20"/>
        </w:rPr>
        <w:t>increased risk of severe RSV disease</w:t>
      </w:r>
      <w:r w:rsidR="00DA1339">
        <w:rPr>
          <w:iCs/>
        </w:rPr>
        <w:t xml:space="preserve"> </w:t>
      </w:r>
      <w:r w:rsidRPr="005A5BB7">
        <w:rPr>
          <w:iCs/>
        </w:rPr>
        <w:t>and 2) 60</w:t>
      </w:r>
      <w:r w:rsidR="000E4816">
        <w:rPr>
          <w:iCs/>
        </w:rPr>
        <w:noBreakHyphen/>
      </w:r>
      <w:r w:rsidRPr="005A5BB7">
        <w:rPr>
          <w:iCs/>
        </w:rPr>
        <w:t>74 YOA at increased risk of severe RSV disease. The results for the older cohort had lower ICERs than the younger cohort .</w:t>
      </w:r>
    </w:p>
    <w:p w14:paraId="7031F60A" w14:textId="64F77B85" w:rsidR="004C397E" w:rsidRPr="005A5BB7" w:rsidRDefault="004C397E" w:rsidP="00C05C9F">
      <w:pPr>
        <w:pStyle w:val="Caption"/>
        <w:keepLines w:val="0"/>
      </w:pPr>
      <w:bookmarkStart w:id="89" w:name="_Ref216287804"/>
      <w:r w:rsidRPr="005A5BB7">
        <w:rPr>
          <w:rFonts w:cs="Times New Roman"/>
          <w:szCs w:val="20"/>
        </w:rPr>
        <w:lastRenderedPageBreak/>
        <w:t xml:space="preserve">Table </w:t>
      </w:r>
      <w:r w:rsidRPr="005A5BB7">
        <w:rPr>
          <w:rFonts w:cs="Times New Roman"/>
          <w:szCs w:val="20"/>
        </w:rPr>
        <w:fldChar w:fldCharType="begin"/>
      </w:r>
      <w:r w:rsidRPr="005A5BB7">
        <w:rPr>
          <w:rFonts w:cs="Times New Roman"/>
          <w:szCs w:val="20"/>
        </w:rPr>
        <w:instrText xml:space="preserve"> SEQ Table \* ARABIC </w:instrText>
      </w:r>
      <w:r w:rsidRPr="005A5BB7">
        <w:rPr>
          <w:rFonts w:cs="Times New Roman"/>
          <w:szCs w:val="20"/>
        </w:rPr>
        <w:fldChar w:fldCharType="separate"/>
      </w:r>
      <w:r w:rsidR="0043658C">
        <w:rPr>
          <w:rFonts w:cs="Times New Roman"/>
          <w:noProof/>
          <w:szCs w:val="20"/>
        </w:rPr>
        <w:t>23</w:t>
      </w:r>
      <w:r w:rsidRPr="005A5BB7">
        <w:rPr>
          <w:rFonts w:cs="Times New Roman"/>
          <w:szCs w:val="20"/>
        </w:rPr>
        <w:fldChar w:fldCharType="end"/>
      </w:r>
      <w:bookmarkEnd w:id="89"/>
      <w:r w:rsidRPr="005A5BB7">
        <w:rPr>
          <w:rFonts w:cs="Times New Roman"/>
          <w:szCs w:val="20"/>
        </w:rPr>
        <w:t xml:space="preserve">: </w:t>
      </w:r>
      <w:r w:rsidRPr="005A5BB7">
        <w:t xml:space="preserve">Results of </w:t>
      </w:r>
      <w:r w:rsidR="00F94AA7" w:rsidRPr="005A5BB7">
        <w:t xml:space="preserve">sensitivity </w:t>
      </w:r>
      <w:r w:rsidRPr="005A5BB7">
        <w:t>analyses: RSVPreF3 OA vs no vaccine</w:t>
      </w:r>
      <w:r w:rsidR="0092233E">
        <w:t>,</w:t>
      </w:r>
      <w:r w:rsidRPr="005A5BB7">
        <w:t xml:space="preserve"> 60</w:t>
      </w:r>
      <w:r w:rsidR="000E4816">
        <w:noBreakHyphen/>
      </w:r>
      <w:r w:rsidRPr="005A5BB7">
        <w:t>74 YOA at increased risk of severe RSV</w:t>
      </w:r>
      <w:r w:rsidR="00740FD1">
        <w:t xml:space="preserve"> </w:t>
      </w:r>
    </w:p>
    <w:tbl>
      <w:tblPr>
        <w:tblStyle w:val="ASDTable2"/>
        <w:tblW w:w="5000" w:type="pct"/>
        <w:tblInd w:w="0" w:type="dxa"/>
        <w:tblCellMar>
          <w:left w:w="57" w:type="dxa"/>
          <w:right w:w="57" w:type="dxa"/>
        </w:tblCellMar>
        <w:tblLook w:val="04A0" w:firstRow="1" w:lastRow="0" w:firstColumn="1" w:lastColumn="0" w:noHBand="0" w:noVBand="1"/>
        <w:tblCaption w:val="Table 23: Results of sensitivity analyses: RSVPreF3 OA vs no vaccine, 60 74 YOA at increased risk of severe RSV "/>
      </w:tblPr>
      <w:tblGrid>
        <w:gridCol w:w="258"/>
        <w:gridCol w:w="3508"/>
        <w:gridCol w:w="1298"/>
        <w:gridCol w:w="1657"/>
        <w:gridCol w:w="1255"/>
        <w:gridCol w:w="1041"/>
      </w:tblGrid>
      <w:tr w:rsidR="004C397E" w:rsidRPr="005A5BB7" w14:paraId="5B2222AB" w14:textId="77777777" w:rsidTr="00821CFF">
        <w:trPr>
          <w:cantSplit/>
          <w:trHeight w:val="20"/>
          <w:tblHeader/>
        </w:trPr>
        <w:tc>
          <w:tcPr>
            <w:tcW w:w="2088" w:type="pct"/>
            <w:gridSpan w:val="2"/>
            <w:vAlign w:val="center"/>
          </w:tcPr>
          <w:p w14:paraId="47B8C3FC" w14:textId="77777777" w:rsidR="004C397E" w:rsidRPr="005A5BB7" w:rsidRDefault="004C397E" w:rsidP="00C05C9F">
            <w:pPr>
              <w:pStyle w:val="PBACTabletext"/>
              <w:keepLines w:val="0"/>
              <w:suppressLineNumbers w:val="0"/>
              <w:spacing w:after="0"/>
              <w:rPr>
                <w:rFonts w:ascii="Arial Narrow" w:hAnsi="Arial Narrow"/>
                <w:b/>
                <w:bCs/>
                <w:sz w:val="20"/>
                <w:szCs w:val="20"/>
              </w:rPr>
            </w:pPr>
            <w:r w:rsidRPr="005A5BB7">
              <w:rPr>
                <w:rFonts w:ascii="Arial Narrow" w:hAnsi="Arial Narrow"/>
                <w:b/>
                <w:bCs/>
                <w:sz w:val="20"/>
                <w:szCs w:val="20"/>
              </w:rPr>
              <w:t xml:space="preserve">Analysis </w:t>
            </w:r>
          </w:p>
        </w:tc>
        <w:tc>
          <w:tcPr>
            <w:tcW w:w="720" w:type="pct"/>
            <w:tcMar>
              <w:left w:w="28" w:type="dxa"/>
              <w:right w:w="28" w:type="dxa"/>
            </w:tcMar>
            <w:vAlign w:val="center"/>
          </w:tcPr>
          <w:p w14:paraId="1643792F"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r w:rsidRPr="005A5BB7">
              <w:rPr>
                <w:rFonts w:ascii="Arial Narrow" w:hAnsi="Arial Narrow"/>
                <w:b/>
                <w:bCs/>
                <w:sz w:val="20"/>
                <w:szCs w:val="20"/>
              </w:rPr>
              <w:t>Incremental</w:t>
            </w:r>
          </w:p>
          <w:p w14:paraId="358CC35C"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r w:rsidRPr="005A5BB7">
              <w:rPr>
                <w:rFonts w:ascii="Arial Narrow" w:hAnsi="Arial Narrow"/>
                <w:b/>
                <w:bCs/>
                <w:sz w:val="20"/>
                <w:szCs w:val="20"/>
              </w:rPr>
              <w:t>Costs (discounted)</w:t>
            </w:r>
          </w:p>
        </w:tc>
        <w:tc>
          <w:tcPr>
            <w:tcW w:w="919" w:type="pct"/>
            <w:tcMar>
              <w:left w:w="28" w:type="dxa"/>
              <w:right w:w="28" w:type="dxa"/>
            </w:tcMar>
            <w:vAlign w:val="center"/>
          </w:tcPr>
          <w:p w14:paraId="742F7E9B"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r w:rsidRPr="005A5BB7">
              <w:rPr>
                <w:rFonts w:ascii="Arial Narrow" w:hAnsi="Arial Narrow"/>
                <w:b/>
                <w:bCs/>
                <w:sz w:val="20"/>
                <w:szCs w:val="20"/>
              </w:rPr>
              <w:t>Incremental QALYs (discounted)</w:t>
            </w:r>
          </w:p>
        </w:tc>
        <w:tc>
          <w:tcPr>
            <w:tcW w:w="696" w:type="pct"/>
            <w:tcMar>
              <w:left w:w="28" w:type="dxa"/>
              <w:right w:w="28" w:type="dxa"/>
            </w:tcMar>
            <w:vAlign w:val="center"/>
          </w:tcPr>
          <w:p w14:paraId="5D18E682"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r w:rsidRPr="005A5BB7">
              <w:rPr>
                <w:rFonts w:ascii="Arial Narrow" w:hAnsi="Arial Narrow"/>
                <w:b/>
                <w:bCs/>
                <w:sz w:val="20"/>
                <w:szCs w:val="20"/>
              </w:rPr>
              <w:t>ICER</w:t>
            </w:r>
          </w:p>
        </w:tc>
        <w:tc>
          <w:tcPr>
            <w:tcW w:w="577" w:type="pct"/>
            <w:tcMar>
              <w:left w:w="28" w:type="dxa"/>
              <w:right w:w="28" w:type="dxa"/>
            </w:tcMar>
            <w:vAlign w:val="center"/>
          </w:tcPr>
          <w:p w14:paraId="1F500024"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r w:rsidRPr="005A5BB7">
              <w:rPr>
                <w:rFonts w:ascii="Arial Narrow" w:hAnsi="Arial Narrow" w:cs="Calibri"/>
                <w:b/>
                <w:bCs/>
                <w:sz w:val="20"/>
                <w:szCs w:val="20"/>
                <w:lang w:eastAsia="en-AU"/>
              </w:rPr>
              <w:t>ICER changed (%)</w:t>
            </w:r>
          </w:p>
        </w:tc>
      </w:tr>
      <w:tr w:rsidR="007C6296" w:rsidRPr="005A5BB7" w14:paraId="739433AC" w14:textId="77777777" w:rsidTr="0092233E">
        <w:trPr>
          <w:cantSplit/>
          <w:trHeight w:val="20"/>
        </w:trPr>
        <w:tc>
          <w:tcPr>
            <w:tcW w:w="143" w:type="pct"/>
          </w:tcPr>
          <w:p w14:paraId="4798DFCC" w14:textId="77777777" w:rsidR="004C397E" w:rsidRPr="005A5BB7" w:rsidRDefault="004C397E" w:rsidP="00C05C9F">
            <w:pPr>
              <w:pStyle w:val="PBACTabletext"/>
              <w:keepLines w:val="0"/>
              <w:suppressLineNumbers w:val="0"/>
              <w:spacing w:after="0"/>
              <w:rPr>
                <w:rFonts w:ascii="Arial Narrow" w:hAnsi="Arial Narrow"/>
                <w:sz w:val="20"/>
                <w:szCs w:val="20"/>
              </w:rPr>
            </w:pPr>
          </w:p>
        </w:tc>
        <w:tc>
          <w:tcPr>
            <w:tcW w:w="1945" w:type="pct"/>
            <w:tcMar>
              <w:left w:w="28" w:type="dxa"/>
              <w:right w:w="28" w:type="dxa"/>
            </w:tcMar>
            <w:vAlign w:val="center"/>
          </w:tcPr>
          <w:p w14:paraId="4ECE819B" w14:textId="15CF9F70"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Base</w:t>
            </w:r>
            <w:r w:rsidR="000E4816">
              <w:rPr>
                <w:rFonts w:ascii="Arial Narrow" w:hAnsi="Arial Narrow"/>
                <w:sz w:val="20"/>
                <w:szCs w:val="20"/>
              </w:rPr>
              <w:noBreakHyphen/>
            </w:r>
            <w:r w:rsidRPr="005A5BB7">
              <w:rPr>
                <w:rFonts w:ascii="Arial Narrow" w:hAnsi="Arial Narrow"/>
                <w:sz w:val="20"/>
                <w:szCs w:val="20"/>
              </w:rPr>
              <w:t>case</w:t>
            </w:r>
          </w:p>
        </w:tc>
        <w:tc>
          <w:tcPr>
            <w:tcW w:w="720" w:type="pct"/>
            <w:tcMar>
              <w:left w:w="28" w:type="dxa"/>
              <w:right w:w="28" w:type="dxa"/>
            </w:tcMar>
            <w:vAlign w:val="center"/>
          </w:tcPr>
          <w:p w14:paraId="634EF1BF" w14:textId="10FEC93C"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669D0F71"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cs="Calibri"/>
                <w:color w:val="000000"/>
                <w:sz w:val="20"/>
                <w:szCs w:val="20"/>
              </w:rPr>
              <w:t>12,403</w:t>
            </w:r>
          </w:p>
        </w:tc>
        <w:tc>
          <w:tcPr>
            <w:tcW w:w="696" w:type="pct"/>
            <w:tcMar>
              <w:left w:w="28" w:type="dxa"/>
              <w:right w:w="28" w:type="dxa"/>
            </w:tcMar>
            <w:vAlign w:val="center"/>
          </w:tcPr>
          <w:p w14:paraId="326640D6" w14:textId="16C8C969" w:rsidR="004C397E" w:rsidRPr="0082498F" w:rsidRDefault="004C397E" w:rsidP="00C05C9F">
            <w:pPr>
              <w:pStyle w:val="PBACTabletext"/>
              <w:keepLines w:val="0"/>
              <w:suppressLineNumbers w:val="0"/>
              <w:spacing w:after="0"/>
              <w:jc w:val="center"/>
              <w:rPr>
                <w:rFonts w:ascii="Arial Narrow" w:hAnsi="Arial Narrow"/>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82498F">
              <w:rPr>
                <w:rFonts w:ascii="Arial Narrow" w:hAnsi="Arial Narrow" w:cs="Calibri"/>
                <w:color w:val="000000"/>
                <w:sz w:val="20"/>
                <w:szCs w:val="20"/>
                <w:vertAlign w:val="superscript"/>
              </w:rPr>
              <w:t>1</w:t>
            </w:r>
          </w:p>
        </w:tc>
        <w:tc>
          <w:tcPr>
            <w:tcW w:w="577" w:type="pct"/>
            <w:tcMar>
              <w:left w:w="28" w:type="dxa"/>
              <w:right w:w="28" w:type="dxa"/>
            </w:tcMar>
            <w:vAlign w:val="center"/>
          </w:tcPr>
          <w:p w14:paraId="17D222F8" w14:textId="77777777" w:rsidR="004C397E" w:rsidRPr="005A5BB7" w:rsidRDefault="004C397E" w:rsidP="00C05C9F">
            <w:pPr>
              <w:pStyle w:val="PBACTabletext"/>
              <w:keepLines w:val="0"/>
              <w:suppressLineNumbers w:val="0"/>
              <w:spacing w:after="0"/>
              <w:jc w:val="center"/>
              <w:rPr>
                <w:rFonts w:ascii="Arial Narrow" w:hAnsi="Arial Narrow" w:cs="Calibri"/>
                <w:sz w:val="20"/>
                <w:szCs w:val="20"/>
              </w:rPr>
            </w:pPr>
          </w:p>
        </w:tc>
      </w:tr>
      <w:tr w:rsidR="007C6296" w:rsidRPr="005A5BB7" w14:paraId="1574D09A" w14:textId="77777777" w:rsidTr="0092233E">
        <w:trPr>
          <w:cantSplit/>
          <w:trHeight w:val="20"/>
        </w:trPr>
        <w:tc>
          <w:tcPr>
            <w:tcW w:w="143" w:type="pct"/>
          </w:tcPr>
          <w:p w14:paraId="178F3470"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A</w:t>
            </w:r>
          </w:p>
        </w:tc>
        <w:tc>
          <w:tcPr>
            <w:tcW w:w="1945" w:type="pct"/>
            <w:tcMar>
              <w:left w:w="28" w:type="dxa"/>
              <w:right w:w="28" w:type="dxa"/>
            </w:tcMar>
            <w:vAlign w:val="center"/>
          </w:tcPr>
          <w:p w14:paraId="6BDB7657" w14:textId="77777777"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Discount rate: 0% (base case: 5%)</w:t>
            </w:r>
          </w:p>
        </w:tc>
        <w:tc>
          <w:tcPr>
            <w:tcW w:w="720" w:type="pct"/>
            <w:tcMar>
              <w:left w:w="28" w:type="dxa"/>
              <w:right w:w="28" w:type="dxa"/>
            </w:tcMar>
            <w:vAlign w:val="center"/>
          </w:tcPr>
          <w:p w14:paraId="5D57D6A6" w14:textId="45F1F2EE"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0DD27FA4" w14:textId="77777777"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18,805</w:t>
            </w:r>
          </w:p>
        </w:tc>
        <w:tc>
          <w:tcPr>
            <w:tcW w:w="696" w:type="pct"/>
            <w:tcMar>
              <w:left w:w="28" w:type="dxa"/>
              <w:right w:w="28" w:type="dxa"/>
            </w:tcMar>
            <w:vAlign w:val="center"/>
          </w:tcPr>
          <w:p w14:paraId="5F77682E" w14:textId="49A63DFD" w:rsidR="004C397E" w:rsidRPr="00AB770B" w:rsidRDefault="004C397E" w:rsidP="00C05C9F">
            <w:pPr>
              <w:pStyle w:val="PBACTabletext"/>
              <w:keepLines w:val="0"/>
              <w:suppressLineNumbers w:val="0"/>
              <w:spacing w:after="0"/>
              <w:jc w:val="center"/>
              <w:rPr>
                <w:rFonts w:ascii="Arial Narrow" w:hAnsi="Arial Narrow" w:cs="Calibri"/>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AB770B">
              <w:rPr>
                <w:rFonts w:ascii="Arial Narrow" w:hAnsi="Arial Narrow" w:cs="Calibri"/>
                <w:color w:val="000000"/>
                <w:sz w:val="20"/>
                <w:szCs w:val="20"/>
                <w:vertAlign w:val="superscript"/>
              </w:rPr>
              <w:t>2</w:t>
            </w:r>
          </w:p>
        </w:tc>
        <w:tc>
          <w:tcPr>
            <w:tcW w:w="577" w:type="pct"/>
            <w:tcMar>
              <w:left w:w="28" w:type="dxa"/>
              <w:right w:w="28" w:type="dxa"/>
            </w:tcMar>
            <w:vAlign w:val="center"/>
          </w:tcPr>
          <w:p w14:paraId="02E48FFF" w14:textId="152CE9AB" w:rsidR="004C397E" w:rsidRPr="005A5BB7" w:rsidRDefault="000E4816" w:rsidP="00C05C9F">
            <w:pPr>
              <w:pStyle w:val="PBACTabletext"/>
              <w:keepLines w:val="0"/>
              <w:suppressLineNumbers w:val="0"/>
              <w:spacing w:after="0"/>
              <w:jc w:val="center"/>
              <w:rPr>
                <w:rFonts w:ascii="Arial Narrow" w:hAnsi="Arial Narrow" w:cs="Calibri"/>
                <w:sz w:val="20"/>
                <w:szCs w:val="20"/>
              </w:rPr>
            </w:pPr>
            <w:r>
              <w:rPr>
                <w:rFonts w:ascii="Arial Narrow" w:hAnsi="Arial Narrow" w:cs="Calibri"/>
                <w:color w:val="000000"/>
                <w:sz w:val="20"/>
                <w:szCs w:val="20"/>
              </w:rPr>
              <w:noBreakHyphen/>
            </w:r>
            <w:r w:rsidR="00F15B97" w:rsidRPr="00F15B97">
              <w:rPr>
                <w:rFonts w:ascii="Arial Narrow" w:hAnsi="Arial Narrow" w:cs="Calibri"/>
                <w:color w:val="000000"/>
                <w:sz w:val="2"/>
                <w:szCs w:val="20"/>
                <w:highlight w:val="black"/>
              </w:rPr>
              <w:t>redacted content</w:t>
            </w:r>
            <w:r w:rsidR="004C397E" w:rsidRPr="005A5BB7">
              <w:rPr>
                <w:rFonts w:ascii="Arial Narrow" w:hAnsi="Arial Narrow" w:cs="Calibri"/>
                <w:color w:val="000000"/>
                <w:sz w:val="20"/>
                <w:szCs w:val="20"/>
              </w:rPr>
              <w:t>%</w:t>
            </w:r>
          </w:p>
        </w:tc>
      </w:tr>
      <w:tr w:rsidR="007C6296" w:rsidRPr="005A5BB7" w14:paraId="3BB071B8" w14:textId="77777777" w:rsidTr="0092233E">
        <w:trPr>
          <w:cantSplit/>
          <w:trHeight w:val="20"/>
        </w:trPr>
        <w:tc>
          <w:tcPr>
            <w:tcW w:w="143" w:type="pct"/>
          </w:tcPr>
          <w:p w14:paraId="3D7368CF"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B</w:t>
            </w:r>
          </w:p>
        </w:tc>
        <w:tc>
          <w:tcPr>
            <w:tcW w:w="1945" w:type="pct"/>
            <w:tcMar>
              <w:left w:w="28" w:type="dxa"/>
              <w:right w:w="28" w:type="dxa"/>
            </w:tcMar>
            <w:vAlign w:val="center"/>
          </w:tcPr>
          <w:p w14:paraId="0F8894E9" w14:textId="77777777"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Discount rate: 3.5% (base case: 5%)</w:t>
            </w:r>
          </w:p>
        </w:tc>
        <w:tc>
          <w:tcPr>
            <w:tcW w:w="720" w:type="pct"/>
            <w:tcMar>
              <w:left w:w="28" w:type="dxa"/>
              <w:right w:w="28" w:type="dxa"/>
            </w:tcMar>
            <w:vAlign w:val="center"/>
          </w:tcPr>
          <w:p w14:paraId="05C55B9B" w14:textId="4A55F879"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7F57FC2E" w14:textId="77777777"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13,814</w:t>
            </w:r>
          </w:p>
        </w:tc>
        <w:tc>
          <w:tcPr>
            <w:tcW w:w="696" w:type="pct"/>
            <w:tcMar>
              <w:left w:w="28" w:type="dxa"/>
              <w:right w:w="28" w:type="dxa"/>
            </w:tcMar>
            <w:vAlign w:val="center"/>
          </w:tcPr>
          <w:p w14:paraId="6D727DB9" w14:textId="6EB32ED8" w:rsidR="004C397E" w:rsidRPr="0082498F" w:rsidRDefault="004C397E" w:rsidP="00C05C9F">
            <w:pPr>
              <w:pStyle w:val="PBACTabletext"/>
              <w:keepLines w:val="0"/>
              <w:suppressLineNumbers w:val="0"/>
              <w:spacing w:after="0"/>
              <w:jc w:val="center"/>
              <w:rPr>
                <w:rFonts w:ascii="Arial Narrow" w:hAnsi="Arial Narrow" w:cs="Calibri"/>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82498F">
              <w:rPr>
                <w:rFonts w:ascii="Arial Narrow" w:hAnsi="Arial Narrow" w:cs="Calibri"/>
                <w:color w:val="000000"/>
                <w:sz w:val="20"/>
                <w:szCs w:val="20"/>
                <w:vertAlign w:val="superscript"/>
              </w:rPr>
              <w:t>1</w:t>
            </w:r>
          </w:p>
        </w:tc>
        <w:tc>
          <w:tcPr>
            <w:tcW w:w="577" w:type="pct"/>
            <w:tcMar>
              <w:left w:w="28" w:type="dxa"/>
              <w:right w:w="28" w:type="dxa"/>
            </w:tcMar>
            <w:vAlign w:val="center"/>
          </w:tcPr>
          <w:p w14:paraId="5C4E1CB7" w14:textId="3AFEAA75" w:rsidR="004C397E" w:rsidRPr="005A5BB7" w:rsidRDefault="000E4816" w:rsidP="00C05C9F">
            <w:pPr>
              <w:pStyle w:val="PBACTabletext"/>
              <w:keepLines w:val="0"/>
              <w:suppressLineNumbers w:val="0"/>
              <w:spacing w:after="0"/>
              <w:jc w:val="center"/>
              <w:rPr>
                <w:rFonts w:ascii="Arial Narrow" w:hAnsi="Arial Narrow" w:cs="Calibri"/>
                <w:sz w:val="20"/>
                <w:szCs w:val="20"/>
              </w:rPr>
            </w:pPr>
            <w:r>
              <w:rPr>
                <w:rFonts w:ascii="Arial Narrow" w:hAnsi="Arial Narrow" w:cs="Calibri"/>
                <w:color w:val="000000"/>
                <w:sz w:val="20"/>
                <w:szCs w:val="20"/>
              </w:rPr>
              <w:noBreakHyphen/>
            </w:r>
            <w:r w:rsidR="00F15B97" w:rsidRPr="00F15B97">
              <w:rPr>
                <w:rFonts w:ascii="Arial Narrow" w:hAnsi="Arial Narrow" w:cs="Calibri"/>
                <w:color w:val="000000"/>
                <w:sz w:val="2"/>
                <w:szCs w:val="20"/>
                <w:highlight w:val="black"/>
              </w:rPr>
              <w:t>redacted content</w:t>
            </w:r>
            <w:r w:rsidR="004C397E" w:rsidRPr="005A5BB7">
              <w:rPr>
                <w:rFonts w:ascii="Arial Narrow" w:hAnsi="Arial Narrow" w:cs="Calibri"/>
                <w:color w:val="000000"/>
                <w:sz w:val="20"/>
                <w:szCs w:val="20"/>
              </w:rPr>
              <w:t>%</w:t>
            </w:r>
          </w:p>
        </w:tc>
      </w:tr>
      <w:tr w:rsidR="004C397E" w:rsidRPr="005A5BB7" w14:paraId="512305A7" w14:textId="77777777" w:rsidTr="00821CFF">
        <w:trPr>
          <w:cantSplit/>
          <w:trHeight w:val="20"/>
        </w:trPr>
        <w:tc>
          <w:tcPr>
            <w:tcW w:w="143" w:type="pct"/>
          </w:tcPr>
          <w:p w14:paraId="7B07867E"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p>
        </w:tc>
        <w:tc>
          <w:tcPr>
            <w:tcW w:w="4857" w:type="pct"/>
            <w:gridSpan w:val="5"/>
            <w:tcMar>
              <w:left w:w="28" w:type="dxa"/>
              <w:right w:w="28" w:type="dxa"/>
            </w:tcMar>
            <w:vAlign w:val="center"/>
          </w:tcPr>
          <w:p w14:paraId="6ABF8A21" w14:textId="216042C0" w:rsidR="004C397E" w:rsidRPr="005A5BB7" w:rsidRDefault="004C397E" w:rsidP="00C05C9F">
            <w:pPr>
              <w:pStyle w:val="PBACTabletext"/>
              <w:keepLines w:val="0"/>
              <w:suppressLineNumbers w:val="0"/>
              <w:rPr>
                <w:rFonts w:ascii="Arial Narrow" w:hAnsi="Arial Narrow"/>
                <w:b/>
                <w:bCs/>
                <w:sz w:val="20"/>
                <w:szCs w:val="20"/>
              </w:rPr>
            </w:pPr>
            <w:r w:rsidRPr="005A5BB7">
              <w:rPr>
                <w:rFonts w:ascii="Arial Narrow" w:hAnsi="Arial Narrow"/>
                <w:b/>
                <w:bCs/>
                <w:sz w:val="20"/>
                <w:szCs w:val="20"/>
              </w:rPr>
              <w:t>Hospitalisation rate</w:t>
            </w:r>
            <w:r w:rsidR="002D0E32" w:rsidRPr="005A5BB7">
              <w:rPr>
                <w:rFonts w:ascii="Arial Narrow" w:hAnsi="Arial Narrow"/>
                <w:b/>
                <w:bCs/>
                <w:sz w:val="20"/>
                <w:szCs w:val="20"/>
              </w:rPr>
              <w:t>s</w:t>
            </w:r>
            <w:r w:rsidRPr="005A5BB7">
              <w:rPr>
                <w:rFonts w:ascii="Arial Narrow" w:hAnsi="Arial Narrow"/>
                <w:b/>
                <w:bCs/>
                <w:sz w:val="20"/>
                <w:szCs w:val="20"/>
              </w:rPr>
              <w:t xml:space="preserve"> (base case: </w:t>
            </w:r>
            <w:r w:rsidR="00624817" w:rsidRPr="005A5BB7">
              <w:rPr>
                <w:rFonts w:ascii="Arial Narrow" w:hAnsi="Arial Narrow"/>
                <w:b/>
                <w:bCs/>
                <w:sz w:val="20"/>
                <w:szCs w:val="20"/>
              </w:rPr>
              <w:t>289 per 100,000 person</w:t>
            </w:r>
            <w:r w:rsidR="000E4816">
              <w:rPr>
                <w:rFonts w:ascii="Arial Narrow" w:hAnsi="Arial Narrow"/>
                <w:b/>
                <w:bCs/>
                <w:sz w:val="20"/>
                <w:szCs w:val="20"/>
              </w:rPr>
              <w:noBreakHyphen/>
            </w:r>
            <w:r w:rsidR="00624817" w:rsidRPr="005A5BB7">
              <w:rPr>
                <w:rFonts w:ascii="Arial Narrow" w:hAnsi="Arial Narrow"/>
                <w:b/>
                <w:bCs/>
                <w:sz w:val="20"/>
                <w:szCs w:val="20"/>
              </w:rPr>
              <w:t xml:space="preserve">year based on </w:t>
            </w:r>
            <w:r w:rsidRPr="005A5BB7">
              <w:rPr>
                <w:rFonts w:ascii="Arial Narrow" w:hAnsi="Arial Narrow"/>
                <w:b/>
                <w:bCs/>
                <w:sz w:val="20"/>
                <w:szCs w:val="20"/>
              </w:rPr>
              <w:t>AIHW NHMD 2018</w:t>
            </w:r>
            <w:r w:rsidR="000E4816">
              <w:rPr>
                <w:rFonts w:ascii="Arial Narrow" w:hAnsi="Arial Narrow"/>
                <w:b/>
                <w:bCs/>
                <w:sz w:val="20"/>
                <w:szCs w:val="20"/>
              </w:rPr>
              <w:noBreakHyphen/>
            </w:r>
            <w:r w:rsidRPr="005A5BB7">
              <w:rPr>
                <w:rFonts w:ascii="Arial Narrow" w:hAnsi="Arial Narrow"/>
                <w:b/>
                <w:bCs/>
                <w:sz w:val="20"/>
                <w:szCs w:val="20"/>
              </w:rPr>
              <w:t xml:space="preserve">2019, 2.00 UAM, </w:t>
            </w:r>
            <w:r w:rsidR="00A965E1" w:rsidRPr="005A5BB7">
              <w:rPr>
                <w:rFonts w:ascii="Arial Narrow" w:hAnsi="Arial Narrow"/>
                <w:b/>
                <w:bCs/>
                <w:sz w:val="20"/>
                <w:szCs w:val="20"/>
              </w:rPr>
              <w:t xml:space="preserve">and </w:t>
            </w:r>
            <w:r w:rsidRPr="005A5BB7">
              <w:rPr>
                <w:rFonts w:ascii="Arial Narrow" w:hAnsi="Arial Narrow"/>
                <w:b/>
                <w:bCs/>
                <w:sz w:val="20"/>
                <w:szCs w:val="20"/>
              </w:rPr>
              <w:t>2.29 EHM)</w:t>
            </w:r>
          </w:p>
        </w:tc>
      </w:tr>
      <w:tr w:rsidR="007C6296" w:rsidRPr="005A5BB7" w14:paraId="64AAE957" w14:textId="77777777" w:rsidTr="0092233E">
        <w:trPr>
          <w:cantSplit/>
          <w:trHeight w:val="20"/>
        </w:trPr>
        <w:tc>
          <w:tcPr>
            <w:tcW w:w="143" w:type="pct"/>
          </w:tcPr>
          <w:p w14:paraId="479CC690"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C</w:t>
            </w:r>
          </w:p>
        </w:tc>
        <w:tc>
          <w:tcPr>
            <w:tcW w:w="1945" w:type="pct"/>
            <w:tcMar>
              <w:left w:w="28" w:type="dxa"/>
              <w:right w:w="28" w:type="dxa"/>
            </w:tcMar>
            <w:vAlign w:val="center"/>
          </w:tcPr>
          <w:p w14:paraId="533ACDC4" w14:textId="25E5B8AC"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AIHW NHMD 2016</w:t>
            </w:r>
            <w:r w:rsidR="000E4816">
              <w:rPr>
                <w:rFonts w:ascii="Arial Narrow" w:hAnsi="Arial Narrow"/>
                <w:sz w:val="20"/>
                <w:szCs w:val="20"/>
              </w:rPr>
              <w:noBreakHyphen/>
            </w:r>
            <w:r w:rsidRPr="005A5BB7">
              <w:rPr>
                <w:rFonts w:ascii="Arial Narrow" w:hAnsi="Arial Narrow"/>
                <w:sz w:val="20"/>
                <w:szCs w:val="20"/>
              </w:rPr>
              <w:t>201</w:t>
            </w:r>
            <w:r w:rsidR="009D4BA7" w:rsidRPr="005A5BB7">
              <w:rPr>
                <w:rFonts w:ascii="Arial Narrow" w:hAnsi="Arial Narrow"/>
                <w:sz w:val="20"/>
                <w:szCs w:val="20"/>
              </w:rPr>
              <w:t>9</w:t>
            </w:r>
          </w:p>
          <w:p w14:paraId="647A558E" w14:textId="230EB104" w:rsidR="007254DB" w:rsidRPr="005A5BB7" w:rsidRDefault="007254DB"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w:t>
            </w:r>
            <w:r w:rsidR="00A965E1" w:rsidRPr="005A5BB7">
              <w:rPr>
                <w:rFonts w:ascii="Arial Narrow" w:hAnsi="Arial Narrow"/>
                <w:sz w:val="20"/>
                <w:szCs w:val="20"/>
              </w:rPr>
              <w:t>with</w:t>
            </w:r>
            <w:r w:rsidRPr="005A5BB7">
              <w:rPr>
                <w:rFonts w:ascii="Arial Narrow" w:hAnsi="Arial Narrow"/>
                <w:sz w:val="20"/>
                <w:szCs w:val="20"/>
              </w:rPr>
              <w:t xml:space="preserve"> UAM of 2: 60</w:t>
            </w:r>
            <w:r w:rsidR="000E4816">
              <w:rPr>
                <w:rFonts w:ascii="Arial Narrow" w:hAnsi="Arial Narrow"/>
                <w:sz w:val="20"/>
                <w:szCs w:val="20"/>
              </w:rPr>
              <w:noBreakHyphen/>
            </w:r>
            <w:r w:rsidRPr="005A5BB7">
              <w:rPr>
                <w:rFonts w:ascii="Arial Narrow" w:hAnsi="Arial Narrow"/>
                <w:sz w:val="20"/>
                <w:szCs w:val="20"/>
              </w:rPr>
              <w:t>64=52, 65</w:t>
            </w:r>
            <w:r w:rsidR="000E4816">
              <w:rPr>
                <w:rFonts w:ascii="Arial Narrow" w:hAnsi="Arial Narrow"/>
                <w:sz w:val="20"/>
                <w:szCs w:val="20"/>
              </w:rPr>
              <w:noBreakHyphen/>
            </w:r>
            <w:r w:rsidRPr="005A5BB7">
              <w:rPr>
                <w:rFonts w:ascii="Arial Narrow" w:hAnsi="Arial Narrow"/>
                <w:sz w:val="20"/>
                <w:szCs w:val="20"/>
              </w:rPr>
              <w:t>69=106, 70</w:t>
            </w:r>
            <w:r w:rsidR="000E4816">
              <w:rPr>
                <w:rFonts w:ascii="Arial Narrow" w:hAnsi="Arial Narrow"/>
                <w:sz w:val="20"/>
                <w:szCs w:val="20"/>
              </w:rPr>
              <w:noBreakHyphen/>
            </w:r>
            <w:r w:rsidRPr="005A5BB7">
              <w:rPr>
                <w:rFonts w:ascii="Arial Narrow" w:hAnsi="Arial Narrow"/>
                <w:sz w:val="20"/>
                <w:szCs w:val="20"/>
              </w:rPr>
              <w:t>74=159 )</w:t>
            </w:r>
            <w:r w:rsidRPr="005A5BB7">
              <w:rPr>
                <w:rFonts w:ascii="Arial Narrow" w:hAnsi="Arial Narrow"/>
                <w:sz w:val="20"/>
                <w:szCs w:val="20"/>
                <w:vertAlign w:val="superscript"/>
              </w:rPr>
              <w:t>a</w:t>
            </w:r>
          </w:p>
        </w:tc>
        <w:tc>
          <w:tcPr>
            <w:tcW w:w="720" w:type="pct"/>
            <w:tcMar>
              <w:left w:w="28" w:type="dxa"/>
              <w:right w:w="28" w:type="dxa"/>
            </w:tcMar>
            <w:vAlign w:val="center"/>
          </w:tcPr>
          <w:p w14:paraId="44312138" w14:textId="2313D66B"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2BD44C1E" w14:textId="77777777"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10,832</w:t>
            </w:r>
          </w:p>
        </w:tc>
        <w:tc>
          <w:tcPr>
            <w:tcW w:w="696" w:type="pct"/>
            <w:tcMar>
              <w:left w:w="28" w:type="dxa"/>
              <w:right w:w="28" w:type="dxa"/>
            </w:tcMar>
            <w:vAlign w:val="center"/>
          </w:tcPr>
          <w:p w14:paraId="0A78EE86" w14:textId="15A6D01B" w:rsidR="004C397E" w:rsidRPr="00172CB8" w:rsidRDefault="004C397E" w:rsidP="00C05C9F">
            <w:pPr>
              <w:pStyle w:val="PBACTabletext"/>
              <w:keepLines w:val="0"/>
              <w:suppressLineNumbers w:val="0"/>
              <w:spacing w:after="0"/>
              <w:jc w:val="center"/>
              <w:rPr>
                <w:rFonts w:ascii="Arial Narrow" w:hAnsi="Arial Narrow" w:cs="Calibri"/>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172CB8">
              <w:rPr>
                <w:rFonts w:ascii="Arial Narrow" w:hAnsi="Arial Narrow" w:cs="Calibri"/>
                <w:color w:val="000000"/>
                <w:sz w:val="20"/>
                <w:szCs w:val="20"/>
                <w:vertAlign w:val="superscript"/>
              </w:rPr>
              <w:t>3</w:t>
            </w:r>
          </w:p>
        </w:tc>
        <w:tc>
          <w:tcPr>
            <w:tcW w:w="577" w:type="pct"/>
            <w:tcMar>
              <w:left w:w="28" w:type="dxa"/>
              <w:right w:w="28" w:type="dxa"/>
            </w:tcMar>
            <w:vAlign w:val="center"/>
          </w:tcPr>
          <w:p w14:paraId="5C633311" w14:textId="451EA909"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2319C181" w14:textId="77777777" w:rsidTr="0092233E">
        <w:trPr>
          <w:cantSplit/>
          <w:trHeight w:val="20"/>
        </w:trPr>
        <w:tc>
          <w:tcPr>
            <w:tcW w:w="143" w:type="pct"/>
          </w:tcPr>
          <w:p w14:paraId="0BC6AA77"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D</w:t>
            </w:r>
          </w:p>
        </w:tc>
        <w:tc>
          <w:tcPr>
            <w:tcW w:w="1945" w:type="pct"/>
            <w:tcMar>
              <w:left w:w="28" w:type="dxa"/>
              <w:right w:w="28" w:type="dxa"/>
            </w:tcMar>
            <w:vAlign w:val="center"/>
          </w:tcPr>
          <w:p w14:paraId="5F86545F" w14:textId="77777777"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EHM previously proposed to ATAGI: 1.79</w:t>
            </w:r>
          </w:p>
        </w:tc>
        <w:tc>
          <w:tcPr>
            <w:tcW w:w="720" w:type="pct"/>
            <w:tcMar>
              <w:left w:w="28" w:type="dxa"/>
              <w:right w:w="28" w:type="dxa"/>
            </w:tcMar>
            <w:vAlign w:val="center"/>
          </w:tcPr>
          <w:p w14:paraId="3F5FA2BE" w14:textId="09024317"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52F331E2" w14:textId="77777777"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10,613</w:t>
            </w:r>
          </w:p>
        </w:tc>
        <w:tc>
          <w:tcPr>
            <w:tcW w:w="696" w:type="pct"/>
            <w:tcMar>
              <w:left w:w="28" w:type="dxa"/>
              <w:right w:w="28" w:type="dxa"/>
            </w:tcMar>
            <w:vAlign w:val="center"/>
          </w:tcPr>
          <w:p w14:paraId="56CD834B" w14:textId="10CB88CC" w:rsidR="004C397E" w:rsidRPr="00172CB8" w:rsidRDefault="004C397E" w:rsidP="00C05C9F">
            <w:pPr>
              <w:pStyle w:val="PBACTabletext"/>
              <w:keepLines w:val="0"/>
              <w:suppressLineNumbers w:val="0"/>
              <w:spacing w:after="0"/>
              <w:jc w:val="center"/>
              <w:rPr>
                <w:rFonts w:ascii="Arial Narrow" w:hAnsi="Arial Narrow" w:cs="Calibri"/>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172CB8">
              <w:rPr>
                <w:rFonts w:ascii="Arial Narrow" w:hAnsi="Arial Narrow" w:cs="Calibri"/>
                <w:color w:val="000000"/>
                <w:sz w:val="20"/>
                <w:szCs w:val="20"/>
                <w:vertAlign w:val="superscript"/>
              </w:rPr>
              <w:t>3</w:t>
            </w:r>
          </w:p>
        </w:tc>
        <w:tc>
          <w:tcPr>
            <w:tcW w:w="577" w:type="pct"/>
            <w:tcMar>
              <w:left w:w="28" w:type="dxa"/>
              <w:right w:w="28" w:type="dxa"/>
            </w:tcMar>
            <w:vAlign w:val="center"/>
          </w:tcPr>
          <w:p w14:paraId="2532A612" w14:textId="5001B42A" w:rsidR="004C397E" w:rsidRPr="005A5BB7" w:rsidRDefault="004C397E" w:rsidP="00C05C9F">
            <w:pPr>
              <w:pStyle w:val="PBACTabletext"/>
              <w:keepLines w:val="0"/>
              <w:suppressLineNumbers w:val="0"/>
              <w:spacing w:after="0"/>
              <w:jc w:val="center"/>
              <w:rPr>
                <w:rFonts w:ascii="Arial Narrow" w:hAnsi="Arial Narrow" w:cs="Calibri"/>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04E52DCA" w14:textId="77777777" w:rsidTr="0092233E">
        <w:trPr>
          <w:cantSplit/>
          <w:trHeight w:val="20"/>
        </w:trPr>
        <w:tc>
          <w:tcPr>
            <w:tcW w:w="143" w:type="pct"/>
          </w:tcPr>
          <w:p w14:paraId="2E2137D9"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E</w:t>
            </w:r>
          </w:p>
        </w:tc>
        <w:tc>
          <w:tcPr>
            <w:tcW w:w="1945" w:type="pct"/>
            <w:tcMar>
              <w:left w:w="28" w:type="dxa"/>
              <w:right w:w="28" w:type="dxa"/>
            </w:tcMar>
            <w:vAlign w:val="center"/>
          </w:tcPr>
          <w:p w14:paraId="4B684C55" w14:textId="58CD76C0"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C + D</w:t>
            </w:r>
            <w:r w:rsidR="00DF3655" w:rsidRPr="005A5BB7">
              <w:rPr>
                <w:rFonts w:ascii="Arial Narrow" w:hAnsi="Arial Narrow"/>
                <w:sz w:val="20"/>
                <w:szCs w:val="20"/>
              </w:rPr>
              <w:t xml:space="preserve"> (</w:t>
            </w:r>
            <w:r w:rsidR="003F461F" w:rsidRPr="005A5BB7">
              <w:rPr>
                <w:rFonts w:ascii="Arial Narrow" w:hAnsi="Arial Narrow"/>
                <w:sz w:val="20"/>
                <w:szCs w:val="20"/>
              </w:rPr>
              <w:t xml:space="preserve">weighted </w:t>
            </w:r>
            <w:r w:rsidR="00E43ED0" w:rsidRPr="005A5BB7">
              <w:rPr>
                <w:rFonts w:ascii="Arial Narrow" w:hAnsi="Arial Narrow"/>
                <w:sz w:val="20"/>
                <w:szCs w:val="20"/>
              </w:rPr>
              <w:t xml:space="preserve">rate across age groups of </w:t>
            </w:r>
            <w:r w:rsidR="00944876" w:rsidRPr="005A5BB7">
              <w:rPr>
                <w:rFonts w:ascii="Arial Narrow" w:hAnsi="Arial Narrow"/>
                <w:sz w:val="20"/>
                <w:szCs w:val="20"/>
              </w:rPr>
              <w:t>181 per 100,000 person</w:t>
            </w:r>
            <w:r w:rsidR="000E4816">
              <w:rPr>
                <w:rFonts w:ascii="Arial Narrow" w:hAnsi="Arial Narrow"/>
                <w:sz w:val="20"/>
                <w:szCs w:val="20"/>
              </w:rPr>
              <w:noBreakHyphen/>
            </w:r>
            <w:r w:rsidR="00944876" w:rsidRPr="005A5BB7">
              <w:rPr>
                <w:rFonts w:ascii="Arial Narrow" w:hAnsi="Arial Narrow"/>
                <w:sz w:val="20"/>
                <w:szCs w:val="20"/>
              </w:rPr>
              <w:t>year</w:t>
            </w:r>
            <w:r w:rsidR="00DF3655" w:rsidRPr="005A5BB7">
              <w:rPr>
                <w:rFonts w:ascii="Arial Narrow" w:hAnsi="Arial Narrow"/>
                <w:sz w:val="20"/>
                <w:szCs w:val="20"/>
              </w:rPr>
              <w:t>)</w:t>
            </w:r>
          </w:p>
        </w:tc>
        <w:tc>
          <w:tcPr>
            <w:tcW w:w="720" w:type="pct"/>
            <w:tcMar>
              <w:left w:w="28" w:type="dxa"/>
              <w:right w:w="28" w:type="dxa"/>
            </w:tcMar>
            <w:vAlign w:val="center"/>
          </w:tcPr>
          <w:p w14:paraId="7B45442C" w14:textId="2A5837C0"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2B555062" w14:textId="77777777"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9,385</w:t>
            </w:r>
          </w:p>
        </w:tc>
        <w:tc>
          <w:tcPr>
            <w:tcW w:w="696" w:type="pct"/>
            <w:tcMar>
              <w:left w:w="28" w:type="dxa"/>
              <w:right w:w="28" w:type="dxa"/>
            </w:tcMar>
            <w:vAlign w:val="center"/>
          </w:tcPr>
          <w:p w14:paraId="02F997F2" w14:textId="1021DFE0" w:rsidR="004C397E" w:rsidRPr="000747A0" w:rsidRDefault="004C397E"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0747A0">
              <w:rPr>
                <w:rFonts w:ascii="Arial Narrow" w:hAnsi="Arial Narrow" w:cs="Calibri"/>
                <w:color w:val="000000"/>
                <w:sz w:val="20"/>
                <w:szCs w:val="20"/>
                <w:vertAlign w:val="superscript"/>
              </w:rPr>
              <w:t>4</w:t>
            </w:r>
          </w:p>
        </w:tc>
        <w:tc>
          <w:tcPr>
            <w:tcW w:w="577" w:type="pct"/>
            <w:tcMar>
              <w:left w:w="28" w:type="dxa"/>
              <w:right w:w="28" w:type="dxa"/>
            </w:tcMar>
            <w:vAlign w:val="center"/>
          </w:tcPr>
          <w:p w14:paraId="3C46D84F" w14:textId="67017FD9"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3F3F90AC" w14:textId="77777777" w:rsidTr="0092233E">
        <w:trPr>
          <w:cantSplit/>
          <w:trHeight w:val="20"/>
        </w:trPr>
        <w:tc>
          <w:tcPr>
            <w:tcW w:w="143" w:type="pct"/>
          </w:tcPr>
          <w:p w14:paraId="3A588FAB" w14:textId="062C6198" w:rsidR="00426F5C" w:rsidRPr="005A5BB7" w:rsidRDefault="00D16F14" w:rsidP="00C05C9F">
            <w:pPr>
              <w:pStyle w:val="PBACTabletext"/>
              <w:keepLines w:val="0"/>
              <w:suppressLineNumbers w:val="0"/>
              <w:spacing w:after="0"/>
              <w:jc w:val="center"/>
              <w:rPr>
                <w:rFonts w:ascii="Arial Narrow" w:hAnsi="Arial Narrow"/>
                <w:szCs w:val="20"/>
              </w:rPr>
            </w:pPr>
            <w:r w:rsidRPr="005A5BB7">
              <w:rPr>
                <w:rFonts w:ascii="Arial Narrow" w:hAnsi="Arial Narrow"/>
                <w:sz w:val="20"/>
                <w:szCs w:val="18"/>
              </w:rPr>
              <w:t>F</w:t>
            </w:r>
          </w:p>
        </w:tc>
        <w:tc>
          <w:tcPr>
            <w:tcW w:w="1945" w:type="pct"/>
            <w:tcMar>
              <w:left w:w="28" w:type="dxa"/>
              <w:right w:w="28" w:type="dxa"/>
            </w:tcMar>
            <w:vAlign w:val="center"/>
          </w:tcPr>
          <w:p w14:paraId="728C55F4" w14:textId="00A8EF7E" w:rsidR="00426F5C" w:rsidRPr="005A5BB7" w:rsidRDefault="00426F5C" w:rsidP="00C05C9F">
            <w:pPr>
              <w:pStyle w:val="PBACTabletext"/>
              <w:keepLines w:val="0"/>
              <w:suppressLineNumbers w:val="0"/>
              <w:spacing w:after="0"/>
              <w:rPr>
                <w:rFonts w:ascii="Arial Narrow" w:hAnsi="Arial Narrow"/>
                <w:sz w:val="20"/>
                <w:szCs w:val="18"/>
              </w:rPr>
            </w:pPr>
            <w:r w:rsidRPr="005A5BB7">
              <w:rPr>
                <w:rFonts w:ascii="Arial Narrow" w:hAnsi="Arial Narrow"/>
                <w:sz w:val="20"/>
                <w:szCs w:val="18"/>
              </w:rPr>
              <w:t>197 per 100,000</w:t>
            </w:r>
            <w:r w:rsidR="00A03A66" w:rsidRPr="005A5BB7">
              <w:rPr>
                <w:rFonts w:ascii="Arial Narrow" w:hAnsi="Arial Narrow"/>
                <w:sz w:val="20"/>
                <w:szCs w:val="18"/>
              </w:rPr>
              <w:t xml:space="preserve"> person</w:t>
            </w:r>
            <w:r w:rsidR="000E4816">
              <w:rPr>
                <w:rFonts w:ascii="Arial Narrow" w:hAnsi="Arial Narrow"/>
                <w:sz w:val="20"/>
                <w:szCs w:val="18"/>
              </w:rPr>
              <w:noBreakHyphen/>
            </w:r>
            <w:r w:rsidR="00A03A66" w:rsidRPr="005A5BB7">
              <w:rPr>
                <w:rFonts w:ascii="Arial Narrow" w:hAnsi="Arial Narrow"/>
                <w:sz w:val="20"/>
                <w:szCs w:val="18"/>
              </w:rPr>
              <w:t>year</w:t>
            </w:r>
            <w:r w:rsidRPr="005A5BB7">
              <w:rPr>
                <w:rFonts w:ascii="Arial Narrow" w:hAnsi="Arial Narrow"/>
                <w:sz w:val="20"/>
                <w:szCs w:val="18"/>
              </w:rPr>
              <w:t xml:space="preserve"> (para</w:t>
            </w:r>
            <w:r w:rsidR="007E7F6C">
              <w:rPr>
                <w:rFonts w:ascii="Arial Narrow" w:hAnsi="Arial Narrow"/>
                <w:sz w:val="20"/>
                <w:szCs w:val="18"/>
              </w:rPr>
              <w:t>graph</w:t>
            </w:r>
            <w:r w:rsidRPr="005A5BB7">
              <w:rPr>
                <w:rFonts w:ascii="Arial Narrow" w:hAnsi="Arial Narrow"/>
                <w:sz w:val="20"/>
                <w:szCs w:val="18"/>
              </w:rPr>
              <w:t xml:space="preserve"> 6.53, </w:t>
            </w:r>
            <w:r w:rsidR="001E26F8" w:rsidRPr="005A5BB7">
              <w:rPr>
                <w:rFonts w:ascii="Arial Narrow" w:hAnsi="Arial Narrow"/>
                <w:sz w:val="20"/>
                <w:szCs w:val="18"/>
              </w:rPr>
              <w:t xml:space="preserve">RSVpreF </w:t>
            </w:r>
            <w:r w:rsidRPr="005A5BB7">
              <w:rPr>
                <w:rFonts w:ascii="Arial Narrow" w:hAnsi="Arial Narrow"/>
                <w:sz w:val="20"/>
                <w:szCs w:val="18"/>
              </w:rPr>
              <w:t>PSD, November 2024 PBAC meeting)</w:t>
            </w:r>
          </w:p>
        </w:tc>
        <w:tc>
          <w:tcPr>
            <w:tcW w:w="720" w:type="pct"/>
            <w:tcMar>
              <w:left w:w="28" w:type="dxa"/>
              <w:right w:w="28" w:type="dxa"/>
            </w:tcMar>
            <w:vAlign w:val="center"/>
          </w:tcPr>
          <w:p w14:paraId="0CCA72BF" w14:textId="74685F6D" w:rsidR="00426F5C" w:rsidRPr="005A5BB7" w:rsidRDefault="00426F5C"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4DA0BBAA" w14:textId="458E268E" w:rsidR="00426F5C" w:rsidRPr="005A5BB7" w:rsidRDefault="00426F5C"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9,768</w:t>
            </w:r>
          </w:p>
        </w:tc>
        <w:tc>
          <w:tcPr>
            <w:tcW w:w="696" w:type="pct"/>
            <w:tcMar>
              <w:left w:w="28" w:type="dxa"/>
              <w:right w:w="28" w:type="dxa"/>
            </w:tcMar>
            <w:vAlign w:val="center"/>
          </w:tcPr>
          <w:p w14:paraId="2A4C3E07" w14:textId="2430C61A" w:rsidR="00426F5C" w:rsidRPr="000747A0" w:rsidRDefault="00426F5C" w:rsidP="00C05C9F">
            <w:pPr>
              <w:pStyle w:val="PBACTabletext"/>
              <w:keepLines w:val="0"/>
              <w:suppressLineNumbers w:val="0"/>
              <w:spacing w:after="0"/>
              <w:jc w:val="center"/>
              <w:rPr>
                <w:rFonts w:ascii="Arial Narrow" w:hAnsi="Arial Narrow" w:cs="Calibri"/>
                <w:color w:val="00000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0747A0">
              <w:rPr>
                <w:rFonts w:ascii="Arial Narrow" w:hAnsi="Arial Narrow" w:cs="Calibri"/>
                <w:color w:val="000000"/>
                <w:sz w:val="20"/>
                <w:szCs w:val="20"/>
                <w:vertAlign w:val="superscript"/>
              </w:rPr>
              <w:t>4</w:t>
            </w:r>
          </w:p>
        </w:tc>
        <w:tc>
          <w:tcPr>
            <w:tcW w:w="577" w:type="pct"/>
            <w:tcMar>
              <w:left w:w="28" w:type="dxa"/>
              <w:right w:w="28" w:type="dxa"/>
            </w:tcMar>
            <w:vAlign w:val="center"/>
          </w:tcPr>
          <w:p w14:paraId="49F46124" w14:textId="0F82A36A" w:rsidR="00426F5C" w:rsidRPr="005A5BB7" w:rsidRDefault="00426F5C"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4D710D" w:rsidRPr="005A5BB7" w14:paraId="68FD88DA" w14:textId="77777777" w:rsidTr="00821CFF">
        <w:trPr>
          <w:cantSplit/>
          <w:trHeight w:val="20"/>
        </w:trPr>
        <w:tc>
          <w:tcPr>
            <w:tcW w:w="143" w:type="pct"/>
          </w:tcPr>
          <w:p w14:paraId="671A55C1" w14:textId="77777777" w:rsidR="004D710D" w:rsidRPr="005A5BB7" w:rsidRDefault="004D710D" w:rsidP="00C05C9F">
            <w:pPr>
              <w:pStyle w:val="PBACTabletext"/>
              <w:keepLines w:val="0"/>
              <w:suppressLineNumbers w:val="0"/>
              <w:spacing w:after="0"/>
              <w:jc w:val="center"/>
              <w:rPr>
                <w:rFonts w:ascii="Arial Narrow" w:hAnsi="Arial Narrow"/>
                <w:sz w:val="20"/>
                <w:szCs w:val="20"/>
              </w:rPr>
            </w:pPr>
          </w:p>
        </w:tc>
        <w:tc>
          <w:tcPr>
            <w:tcW w:w="4857" w:type="pct"/>
            <w:gridSpan w:val="5"/>
            <w:tcMar>
              <w:left w:w="28" w:type="dxa"/>
              <w:right w:w="28" w:type="dxa"/>
            </w:tcMar>
            <w:vAlign w:val="center"/>
          </w:tcPr>
          <w:p w14:paraId="476E2E93" w14:textId="037700DF" w:rsidR="004D710D" w:rsidRPr="005A5BB7" w:rsidRDefault="004D710D" w:rsidP="00C05C9F">
            <w:pPr>
              <w:pStyle w:val="PBACTabletext"/>
              <w:keepLines w:val="0"/>
              <w:suppressLineNumbers w:val="0"/>
              <w:spacing w:after="0"/>
              <w:rPr>
                <w:rFonts w:ascii="Arial Narrow" w:hAnsi="Arial Narrow" w:cs="Calibri"/>
                <w:color w:val="000000"/>
                <w:sz w:val="20"/>
                <w:szCs w:val="20"/>
              </w:rPr>
            </w:pPr>
            <w:r w:rsidRPr="005A5BB7">
              <w:rPr>
                <w:rFonts w:ascii="Arial Narrow" w:hAnsi="Arial Narrow"/>
                <w:b/>
                <w:bCs/>
                <w:sz w:val="20"/>
                <w:szCs w:val="20"/>
              </w:rPr>
              <w:t xml:space="preserve">Background mortalities (base case: general population) </w:t>
            </w:r>
          </w:p>
        </w:tc>
      </w:tr>
      <w:tr w:rsidR="007C6296" w:rsidRPr="005A5BB7" w14:paraId="79A80641" w14:textId="77777777" w:rsidTr="0092233E">
        <w:trPr>
          <w:cantSplit/>
          <w:trHeight w:val="20"/>
        </w:trPr>
        <w:tc>
          <w:tcPr>
            <w:tcW w:w="143" w:type="pct"/>
          </w:tcPr>
          <w:p w14:paraId="61781006" w14:textId="63592983" w:rsidR="004C397E"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G</w:t>
            </w:r>
          </w:p>
        </w:tc>
        <w:tc>
          <w:tcPr>
            <w:tcW w:w="1945" w:type="pct"/>
            <w:tcMar>
              <w:left w:w="28" w:type="dxa"/>
              <w:right w:w="28" w:type="dxa"/>
            </w:tcMar>
            <w:vAlign w:val="center"/>
          </w:tcPr>
          <w:p w14:paraId="560BA78C" w14:textId="25C05C5A"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 xml:space="preserve">SMR: 1.49 times </w:t>
            </w:r>
            <w:r w:rsidR="00D25120" w:rsidRPr="005A5BB7">
              <w:rPr>
                <w:rFonts w:ascii="Arial Narrow" w:hAnsi="Arial Narrow"/>
                <w:sz w:val="20"/>
                <w:szCs w:val="20"/>
              </w:rPr>
              <w:t xml:space="preserve">higher than </w:t>
            </w:r>
            <w:r w:rsidRPr="005A5BB7">
              <w:rPr>
                <w:rFonts w:ascii="Arial Narrow" w:hAnsi="Arial Narrow"/>
                <w:sz w:val="20"/>
                <w:szCs w:val="20"/>
              </w:rPr>
              <w:t xml:space="preserve">the general population (previously proposed </w:t>
            </w:r>
            <w:r w:rsidR="00901BAA" w:rsidRPr="005A5BB7">
              <w:rPr>
                <w:rFonts w:ascii="Arial Narrow" w:hAnsi="Arial Narrow"/>
                <w:sz w:val="20"/>
                <w:szCs w:val="20"/>
              </w:rPr>
              <w:t xml:space="preserve">to ATAGI </w:t>
            </w:r>
            <w:r w:rsidRPr="005A5BB7">
              <w:rPr>
                <w:rFonts w:ascii="Arial Narrow" w:hAnsi="Arial Narrow"/>
                <w:sz w:val="20"/>
                <w:szCs w:val="20"/>
              </w:rPr>
              <w:t>based on Kabir et al., 2022)</w:t>
            </w:r>
          </w:p>
        </w:tc>
        <w:tc>
          <w:tcPr>
            <w:tcW w:w="720" w:type="pct"/>
            <w:tcMar>
              <w:left w:w="28" w:type="dxa"/>
              <w:right w:w="28" w:type="dxa"/>
            </w:tcMar>
            <w:vAlign w:val="center"/>
          </w:tcPr>
          <w:p w14:paraId="182778E2" w14:textId="71E616D5"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3D553378" w14:textId="77777777"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11,548</w:t>
            </w:r>
          </w:p>
        </w:tc>
        <w:tc>
          <w:tcPr>
            <w:tcW w:w="696" w:type="pct"/>
            <w:tcMar>
              <w:left w:w="28" w:type="dxa"/>
              <w:right w:w="28" w:type="dxa"/>
            </w:tcMar>
            <w:vAlign w:val="center"/>
          </w:tcPr>
          <w:p w14:paraId="08A4535F" w14:textId="5BA905F6" w:rsidR="004C397E" w:rsidRPr="0082498F" w:rsidRDefault="004C397E"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82498F">
              <w:rPr>
                <w:rFonts w:ascii="Arial Narrow" w:hAnsi="Arial Narrow" w:cs="Calibri"/>
                <w:color w:val="000000"/>
                <w:sz w:val="20"/>
                <w:szCs w:val="20"/>
                <w:vertAlign w:val="superscript"/>
              </w:rPr>
              <w:t>1</w:t>
            </w:r>
          </w:p>
        </w:tc>
        <w:tc>
          <w:tcPr>
            <w:tcW w:w="577" w:type="pct"/>
            <w:tcMar>
              <w:left w:w="28" w:type="dxa"/>
              <w:right w:w="28" w:type="dxa"/>
            </w:tcMar>
            <w:vAlign w:val="center"/>
          </w:tcPr>
          <w:p w14:paraId="231F0FA6" w14:textId="5935851B"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55C8FC41" w14:textId="77777777" w:rsidTr="0092233E">
        <w:trPr>
          <w:cantSplit/>
          <w:trHeight w:val="20"/>
        </w:trPr>
        <w:tc>
          <w:tcPr>
            <w:tcW w:w="143" w:type="pct"/>
          </w:tcPr>
          <w:p w14:paraId="3E04D93C" w14:textId="7286B449" w:rsidR="004C397E"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H</w:t>
            </w:r>
          </w:p>
        </w:tc>
        <w:tc>
          <w:tcPr>
            <w:tcW w:w="1945" w:type="pct"/>
            <w:tcMar>
              <w:left w:w="28" w:type="dxa"/>
              <w:right w:w="28" w:type="dxa"/>
            </w:tcMar>
            <w:vAlign w:val="center"/>
          </w:tcPr>
          <w:p w14:paraId="5B0EA2BE" w14:textId="3963F0C4" w:rsidR="004C397E" w:rsidRPr="005A5BB7" w:rsidRDefault="00204D54"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 xml:space="preserve">SMR: </w:t>
            </w:r>
            <w:r w:rsidR="004C397E" w:rsidRPr="005A5BB7">
              <w:rPr>
                <w:rFonts w:ascii="Arial Narrow" w:hAnsi="Arial Narrow"/>
                <w:sz w:val="20"/>
                <w:szCs w:val="20"/>
              </w:rPr>
              <w:t xml:space="preserve">2.00 </w:t>
            </w:r>
            <w:r w:rsidR="00D25120" w:rsidRPr="005A5BB7">
              <w:rPr>
                <w:rFonts w:ascii="Arial Narrow" w:hAnsi="Arial Narrow"/>
                <w:sz w:val="20"/>
                <w:szCs w:val="20"/>
              </w:rPr>
              <w:t xml:space="preserve">times higher than the general population </w:t>
            </w:r>
            <w:r w:rsidR="004C397E" w:rsidRPr="005A5BB7">
              <w:rPr>
                <w:rFonts w:ascii="Arial Narrow" w:hAnsi="Arial Narrow"/>
                <w:sz w:val="20"/>
                <w:szCs w:val="20"/>
              </w:rPr>
              <w:t>(arbitrarily assumed)</w:t>
            </w:r>
          </w:p>
        </w:tc>
        <w:tc>
          <w:tcPr>
            <w:tcW w:w="720" w:type="pct"/>
            <w:tcMar>
              <w:left w:w="28" w:type="dxa"/>
              <w:right w:w="28" w:type="dxa"/>
            </w:tcMar>
            <w:vAlign w:val="center"/>
          </w:tcPr>
          <w:p w14:paraId="5B864BF5" w14:textId="3C6345A2"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4A1CD649" w14:textId="77777777"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10,872</w:t>
            </w:r>
          </w:p>
        </w:tc>
        <w:tc>
          <w:tcPr>
            <w:tcW w:w="696" w:type="pct"/>
            <w:tcMar>
              <w:left w:w="28" w:type="dxa"/>
              <w:right w:w="28" w:type="dxa"/>
            </w:tcMar>
            <w:vAlign w:val="center"/>
          </w:tcPr>
          <w:p w14:paraId="4F559805" w14:textId="25D0CCCF" w:rsidR="004C397E" w:rsidRPr="0082498F" w:rsidRDefault="004C397E"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82498F">
              <w:rPr>
                <w:rFonts w:ascii="Arial Narrow" w:hAnsi="Arial Narrow" w:cs="Calibri"/>
                <w:color w:val="000000"/>
                <w:sz w:val="20"/>
                <w:szCs w:val="20"/>
                <w:vertAlign w:val="superscript"/>
              </w:rPr>
              <w:t>1</w:t>
            </w:r>
          </w:p>
        </w:tc>
        <w:tc>
          <w:tcPr>
            <w:tcW w:w="577" w:type="pct"/>
            <w:tcMar>
              <w:left w:w="28" w:type="dxa"/>
              <w:right w:w="28" w:type="dxa"/>
            </w:tcMar>
            <w:vAlign w:val="center"/>
          </w:tcPr>
          <w:p w14:paraId="21B5C811" w14:textId="0351FD9C"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4C397E" w:rsidRPr="005A5BB7" w14:paraId="45B3619F" w14:textId="77777777" w:rsidTr="00821CFF">
        <w:trPr>
          <w:cantSplit/>
          <w:trHeight w:val="20"/>
        </w:trPr>
        <w:tc>
          <w:tcPr>
            <w:tcW w:w="143" w:type="pct"/>
          </w:tcPr>
          <w:p w14:paraId="1A823FC7" w14:textId="77777777" w:rsidR="004C397E" w:rsidRPr="005A5BB7" w:rsidRDefault="004C397E" w:rsidP="00C05C9F">
            <w:pPr>
              <w:pStyle w:val="PBACTabletext"/>
              <w:keepLines w:val="0"/>
              <w:suppressLineNumbers w:val="0"/>
              <w:spacing w:after="0"/>
              <w:jc w:val="center"/>
              <w:rPr>
                <w:rFonts w:ascii="Arial Narrow" w:hAnsi="Arial Narrow"/>
                <w:b/>
                <w:bCs/>
                <w:sz w:val="20"/>
                <w:szCs w:val="20"/>
              </w:rPr>
            </w:pPr>
          </w:p>
        </w:tc>
        <w:tc>
          <w:tcPr>
            <w:tcW w:w="4857" w:type="pct"/>
            <w:gridSpan w:val="5"/>
            <w:tcMar>
              <w:left w:w="28" w:type="dxa"/>
              <w:right w:w="28" w:type="dxa"/>
            </w:tcMar>
            <w:vAlign w:val="center"/>
          </w:tcPr>
          <w:p w14:paraId="11D579EE" w14:textId="7FF8CB6A" w:rsidR="004C397E" w:rsidRPr="005A5BB7" w:rsidRDefault="004C397E" w:rsidP="00C05C9F">
            <w:pPr>
              <w:pStyle w:val="PBACTabletext"/>
              <w:keepLines w:val="0"/>
              <w:suppressLineNumbers w:val="0"/>
              <w:spacing w:after="0"/>
              <w:rPr>
                <w:rFonts w:ascii="Arial Narrow" w:hAnsi="Arial Narrow" w:cs="Calibri"/>
                <w:b/>
                <w:bCs/>
                <w:sz w:val="20"/>
                <w:szCs w:val="20"/>
              </w:rPr>
            </w:pPr>
            <w:r w:rsidRPr="005A5BB7">
              <w:rPr>
                <w:rFonts w:ascii="Arial Narrow" w:hAnsi="Arial Narrow"/>
                <w:b/>
                <w:bCs/>
                <w:sz w:val="20"/>
                <w:szCs w:val="20"/>
              </w:rPr>
              <w:t>Hospitalisation costs (base case: $13,967)</w:t>
            </w:r>
            <w:r w:rsidRPr="005A5BB7">
              <w:rPr>
                <w:rFonts w:ascii="Arial Narrow" w:hAnsi="Arial Narrow"/>
                <w:b/>
                <w:bCs/>
                <w:sz w:val="20"/>
                <w:szCs w:val="20"/>
                <w:vertAlign w:val="superscript"/>
              </w:rPr>
              <w:t xml:space="preserve"> </w:t>
            </w:r>
            <w:r w:rsidR="007254DB" w:rsidRPr="005A5BB7">
              <w:rPr>
                <w:rFonts w:ascii="Arial Narrow" w:hAnsi="Arial Narrow"/>
                <w:b/>
                <w:bCs/>
                <w:sz w:val="20"/>
                <w:szCs w:val="20"/>
                <w:vertAlign w:val="superscript"/>
              </w:rPr>
              <w:t>b</w:t>
            </w:r>
          </w:p>
        </w:tc>
      </w:tr>
      <w:tr w:rsidR="007C6296" w:rsidRPr="005A5BB7" w14:paraId="3684D9EA" w14:textId="77777777" w:rsidTr="0092233E">
        <w:trPr>
          <w:cantSplit/>
          <w:trHeight w:val="20"/>
        </w:trPr>
        <w:tc>
          <w:tcPr>
            <w:tcW w:w="143" w:type="pct"/>
          </w:tcPr>
          <w:p w14:paraId="0DB4F984" w14:textId="6E30C803" w:rsidR="004C397E"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I</w:t>
            </w:r>
          </w:p>
        </w:tc>
        <w:tc>
          <w:tcPr>
            <w:tcW w:w="1945" w:type="pct"/>
            <w:tcMar>
              <w:left w:w="28" w:type="dxa"/>
              <w:right w:w="28" w:type="dxa"/>
            </w:tcMar>
            <w:vAlign w:val="center"/>
          </w:tcPr>
          <w:p w14:paraId="72D4EDE1" w14:textId="157C85D3" w:rsidR="004C397E" w:rsidRPr="005A5BB7" w:rsidRDefault="004C397E"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PBAC</w:t>
            </w:r>
            <w:r w:rsidR="000E4816">
              <w:rPr>
                <w:rFonts w:ascii="Arial Narrow" w:hAnsi="Arial Narrow"/>
                <w:sz w:val="20"/>
                <w:szCs w:val="20"/>
              </w:rPr>
              <w:noBreakHyphen/>
            </w:r>
            <w:r w:rsidRPr="005A5BB7">
              <w:rPr>
                <w:rFonts w:ascii="Arial Narrow" w:hAnsi="Arial Narrow"/>
                <w:sz w:val="20"/>
                <w:szCs w:val="20"/>
              </w:rPr>
              <w:t>advised value: $9,900 (para</w:t>
            </w:r>
            <w:r w:rsidR="007E7F6C">
              <w:rPr>
                <w:rFonts w:ascii="Arial Narrow" w:hAnsi="Arial Narrow"/>
                <w:sz w:val="20"/>
                <w:szCs w:val="20"/>
              </w:rPr>
              <w:t>graph</w:t>
            </w:r>
            <w:r w:rsidRPr="005A5BB7">
              <w:rPr>
                <w:rFonts w:ascii="Arial Narrow" w:hAnsi="Arial Narrow"/>
                <w:sz w:val="20"/>
                <w:szCs w:val="20"/>
              </w:rPr>
              <w:t xml:space="preserve"> 7.14, RSVPreF3 OA, July 2025 PBAC meeting)</w:t>
            </w:r>
          </w:p>
        </w:tc>
        <w:tc>
          <w:tcPr>
            <w:tcW w:w="720" w:type="pct"/>
            <w:tcMar>
              <w:left w:w="28" w:type="dxa"/>
              <w:right w:w="28" w:type="dxa"/>
            </w:tcMar>
            <w:vAlign w:val="center"/>
          </w:tcPr>
          <w:p w14:paraId="6DB6C207" w14:textId="37C472B0"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173E78F6" w14:textId="77777777"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12,403</w:t>
            </w:r>
          </w:p>
        </w:tc>
        <w:tc>
          <w:tcPr>
            <w:tcW w:w="696" w:type="pct"/>
            <w:tcMar>
              <w:left w:w="28" w:type="dxa"/>
              <w:right w:w="28" w:type="dxa"/>
            </w:tcMar>
            <w:vAlign w:val="center"/>
          </w:tcPr>
          <w:p w14:paraId="52B336EE" w14:textId="28D22BC7" w:rsidR="004C397E" w:rsidRPr="00B14807" w:rsidRDefault="004C397E"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B14807">
              <w:rPr>
                <w:rFonts w:ascii="Arial Narrow" w:hAnsi="Arial Narrow" w:cs="Calibri"/>
                <w:color w:val="000000"/>
                <w:sz w:val="20"/>
                <w:szCs w:val="20"/>
                <w:vertAlign w:val="superscript"/>
              </w:rPr>
              <w:t>3</w:t>
            </w:r>
          </w:p>
        </w:tc>
        <w:tc>
          <w:tcPr>
            <w:tcW w:w="577" w:type="pct"/>
            <w:tcMar>
              <w:left w:w="28" w:type="dxa"/>
              <w:right w:w="28" w:type="dxa"/>
            </w:tcMar>
            <w:vAlign w:val="center"/>
          </w:tcPr>
          <w:p w14:paraId="404F1FD4" w14:textId="1A982C21" w:rsidR="004C397E" w:rsidRPr="005A5BB7" w:rsidRDefault="004C397E"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428F4047" w14:textId="77777777" w:rsidTr="0092233E">
        <w:trPr>
          <w:cantSplit/>
          <w:trHeight w:val="20"/>
        </w:trPr>
        <w:tc>
          <w:tcPr>
            <w:tcW w:w="143" w:type="pct"/>
          </w:tcPr>
          <w:p w14:paraId="143B32E5" w14:textId="352F904B" w:rsidR="00CD28AA"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J</w:t>
            </w:r>
          </w:p>
        </w:tc>
        <w:tc>
          <w:tcPr>
            <w:tcW w:w="1945" w:type="pct"/>
            <w:tcMar>
              <w:left w:w="28" w:type="dxa"/>
              <w:right w:w="28" w:type="dxa"/>
            </w:tcMar>
            <w:vAlign w:val="center"/>
          </w:tcPr>
          <w:p w14:paraId="3E1C2D18" w14:textId="38D16986" w:rsidR="00CD28AA" w:rsidRPr="005A5BB7" w:rsidRDefault="00330CF2" w:rsidP="00C05C9F">
            <w:pPr>
              <w:pStyle w:val="PBACTabletext"/>
              <w:keepLines w:val="0"/>
              <w:suppressLineNumbers w:val="0"/>
              <w:spacing w:after="0"/>
              <w:rPr>
                <w:rFonts w:ascii="Arial Narrow" w:hAnsi="Arial Narrow"/>
                <w:szCs w:val="20"/>
              </w:rPr>
            </w:pPr>
            <w:r w:rsidRPr="005A5BB7">
              <w:rPr>
                <w:rFonts w:ascii="Arial Narrow" w:hAnsi="Arial Narrow"/>
                <w:sz w:val="20"/>
                <w:szCs w:val="20"/>
              </w:rPr>
              <w:t>PBAC</w:t>
            </w:r>
            <w:r w:rsidR="000E4816">
              <w:rPr>
                <w:rFonts w:ascii="Arial Narrow" w:hAnsi="Arial Narrow"/>
                <w:sz w:val="20"/>
                <w:szCs w:val="20"/>
              </w:rPr>
              <w:noBreakHyphen/>
            </w:r>
            <w:r w:rsidRPr="005A5BB7">
              <w:rPr>
                <w:rFonts w:ascii="Arial Narrow" w:hAnsi="Arial Narrow"/>
                <w:sz w:val="20"/>
                <w:szCs w:val="20"/>
              </w:rPr>
              <w:t>advised value: $10,045 (para</w:t>
            </w:r>
            <w:r w:rsidR="007E7F6C">
              <w:rPr>
                <w:rFonts w:ascii="Arial Narrow" w:hAnsi="Arial Narrow"/>
                <w:sz w:val="20"/>
                <w:szCs w:val="20"/>
              </w:rPr>
              <w:t>graph</w:t>
            </w:r>
            <w:r w:rsidRPr="005A5BB7">
              <w:rPr>
                <w:rFonts w:ascii="Arial Narrow" w:hAnsi="Arial Narrow"/>
                <w:sz w:val="20"/>
                <w:szCs w:val="20"/>
              </w:rPr>
              <w:t xml:space="preserve"> 12.5, RSVPreF3 OA, December 2025 PBAC meeting)</w:t>
            </w:r>
          </w:p>
        </w:tc>
        <w:tc>
          <w:tcPr>
            <w:tcW w:w="720" w:type="pct"/>
            <w:tcMar>
              <w:left w:w="28" w:type="dxa"/>
              <w:right w:w="28" w:type="dxa"/>
            </w:tcMar>
            <w:vAlign w:val="center"/>
          </w:tcPr>
          <w:p w14:paraId="59FACA82" w14:textId="203DBE66" w:rsidR="00CD28AA" w:rsidRPr="005A5BB7" w:rsidRDefault="002D35FD"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0537C06F" w14:textId="2D52ACB3" w:rsidR="00CD28AA" w:rsidRPr="005A5BB7" w:rsidRDefault="002D35FD"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12,403</w:t>
            </w:r>
          </w:p>
        </w:tc>
        <w:tc>
          <w:tcPr>
            <w:tcW w:w="696" w:type="pct"/>
            <w:tcMar>
              <w:left w:w="28" w:type="dxa"/>
              <w:right w:w="28" w:type="dxa"/>
            </w:tcMar>
            <w:vAlign w:val="center"/>
          </w:tcPr>
          <w:p w14:paraId="46DE28AF" w14:textId="484235BA" w:rsidR="00CD28AA" w:rsidRPr="00EB75C7" w:rsidRDefault="002D35FD" w:rsidP="00C05C9F">
            <w:pPr>
              <w:pStyle w:val="PBACTabletext"/>
              <w:keepLines w:val="0"/>
              <w:suppressLineNumbers w:val="0"/>
              <w:spacing w:after="0"/>
              <w:jc w:val="center"/>
              <w:rPr>
                <w:rFonts w:ascii="Arial Narrow" w:hAnsi="Arial Narrow" w:cs="Calibri"/>
                <w:color w:val="00000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EB75C7">
              <w:rPr>
                <w:rFonts w:ascii="Arial Narrow" w:hAnsi="Arial Narrow" w:cs="Calibri"/>
                <w:color w:val="000000"/>
                <w:sz w:val="20"/>
                <w:szCs w:val="20"/>
                <w:vertAlign w:val="superscript"/>
              </w:rPr>
              <w:t>3</w:t>
            </w:r>
          </w:p>
        </w:tc>
        <w:tc>
          <w:tcPr>
            <w:tcW w:w="577" w:type="pct"/>
            <w:tcMar>
              <w:left w:w="28" w:type="dxa"/>
              <w:right w:w="28" w:type="dxa"/>
            </w:tcMar>
            <w:vAlign w:val="center"/>
          </w:tcPr>
          <w:p w14:paraId="53CB8A8E" w14:textId="2C915EC9" w:rsidR="00CD28AA" w:rsidRPr="005A5BB7" w:rsidRDefault="002D35FD" w:rsidP="00C05C9F">
            <w:pPr>
              <w:pStyle w:val="PBACTabletext"/>
              <w:keepLines w:val="0"/>
              <w:suppressLineNumbers w:val="0"/>
              <w:spacing w:after="0"/>
              <w:jc w:val="center"/>
              <w:rPr>
                <w:rFonts w:ascii="Arial Narrow" w:hAnsi="Arial Narrow" w:cs="Calibri"/>
                <w:color w:val="00000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4C397E" w:rsidRPr="005A5BB7" w14:paraId="45208762" w14:textId="77777777" w:rsidTr="00821CFF">
        <w:trPr>
          <w:cantSplit/>
          <w:trHeight w:val="20"/>
        </w:trPr>
        <w:tc>
          <w:tcPr>
            <w:tcW w:w="143" w:type="pct"/>
          </w:tcPr>
          <w:p w14:paraId="21A8ADF1" w14:textId="77777777" w:rsidR="004C397E" w:rsidRPr="005A5BB7" w:rsidRDefault="004C397E" w:rsidP="00C05C9F">
            <w:pPr>
              <w:pStyle w:val="PBACTabletext"/>
              <w:keepLines w:val="0"/>
              <w:suppressLineNumbers w:val="0"/>
              <w:spacing w:after="0"/>
              <w:jc w:val="center"/>
              <w:rPr>
                <w:rFonts w:ascii="Arial Narrow" w:hAnsi="Arial Narrow"/>
                <w:sz w:val="20"/>
                <w:szCs w:val="20"/>
              </w:rPr>
            </w:pPr>
          </w:p>
        </w:tc>
        <w:tc>
          <w:tcPr>
            <w:tcW w:w="4857" w:type="pct"/>
            <w:gridSpan w:val="5"/>
            <w:tcMar>
              <w:left w:w="28" w:type="dxa"/>
              <w:right w:w="28" w:type="dxa"/>
            </w:tcMar>
            <w:vAlign w:val="center"/>
          </w:tcPr>
          <w:p w14:paraId="5F25B869" w14:textId="4634BEDF" w:rsidR="004C397E" w:rsidRPr="005A5BB7" w:rsidRDefault="004C397E" w:rsidP="00C05C9F">
            <w:pPr>
              <w:pStyle w:val="PBACTabletext"/>
              <w:keepLines w:val="0"/>
              <w:suppressLineNumbers w:val="0"/>
              <w:spacing w:after="0"/>
              <w:rPr>
                <w:rFonts w:ascii="Arial Narrow" w:hAnsi="Arial Narrow" w:cs="Calibri"/>
                <w:color w:val="000000"/>
                <w:sz w:val="20"/>
                <w:szCs w:val="20"/>
              </w:rPr>
            </w:pPr>
            <w:r w:rsidRPr="005A5BB7">
              <w:rPr>
                <w:rFonts w:ascii="Arial Narrow" w:hAnsi="Arial Narrow"/>
                <w:b/>
                <w:bCs/>
                <w:sz w:val="20"/>
                <w:szCs w:val="20"/>
              </w:rPr>
              <w:t>VE duration (base case: 5</w:t>
            </w:r>
            <w:r w:rsidR="000E4816">
              <w:rPr>
                <w:rFonts w:ascii="Arial Narrow" w:hAnsi="Arial Narrow"/>
                <w:b/>
                <w:bCs/>
                <w:sz w:val="20"/>
                <w:szCs w:val="20"/>
              </w:rPr>
              <w:noBreakHyphen/>
            </w:r>
            <w:r w:rsidRPr="005A5BB7">
              <w:rPr>
                <w:rFonts w:ascii="Arial Narrow" w:hAnsi="Arial Narrow"/>
                <w:b/>
                <w:bCs/>
                <w:sz w:val="20"/>
                <w:szCs w:val="20"/>
              </w:rPr>
              <w:t>year duration of protection)</w:t>
            </w:r>
          </w:p>
        </w:tc>
      </w:tr>
      <w:tr w:rsidR="007C6296" w:rsidRPr="005A5BB7" w14:paraId="474BF402" w14:textId="77777777" w:rsidTr="0092233E">
        <w:trPr>
          <w:cantSplit/>
          <w:trHeight w:val="20"/>
        </w:trPr>
        <w:tc>
          <w:tcPr>
            <w:tcW w:w="143" w:type="pct"/>
          </w:tcPr>
          <w:p w14:paraId="0BF6A261" w14:textId="36BCBB61" w:rsidR="00FA7245"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K</w:t>
            </w:r>
          </w:p>
        </w:tc>
        <w:tc>
          <w:tcPr>
            <w:tcW w:w="1945" w:type="pct"/>
            <w:tcMar>
              <w:left w:w="28" w:type="dxa"/>
              <w:right w:w="28" w:type="dxa"/>
            </w:tcMar>
            <w:vAlign w:val="center"/>
          </w:tcPr>
          <w:p w14:paraId="0FC02CAC" w14:textId="29D7A979" w:rsidR="00FA7245" w:rsidRPr="005A5BB7" w:rsidRDefault="00FA7245"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3 years (PBAC</w:t>
            </w:r>
            <w:r w:rsidR="000E4816">
              <w:rPr>
                <w:rFonts w:ascii="Arial Narrow" w:hAnsi="Arial Narrow"/>
                <w:sz w:val="20"/>
                <w:szCs w:val="20"/>
              </w:rPr>
              <w:noBreakHyphen/>
            </w:r>
            <w:r w:rsidRPr="005A5BB7">
              <w:rPr>
                <w:rFonts w:ascii="Arial Narrow" w:hAnsi="Arial Narrow"/>
                <w:sz w:val="20"/>
                <w:szCs w:val="20"/>
              </w:rPr>
              <w:t>advised VE duration; para 7.14, RSVPreF3 OA, July 2025 PBAC meeting)</w:t>
            </w:r>
            <w:r w:rsidR="00C5751E" w:rsidRPr="005A5BB7">
              <w:rPr>
                <w:rFonts w:ascii="Arial Narrow" w:hAnsi="Arial Narrow"/>
                <w:sz w:val="20"/>
                <w:szCs w:val="20"/>
              </w:rPr>
              <w:t xml:space="preserve"> </w:t>
            </w:r>
            <w:r w:rsidR="00C5751E" w:rsidRPr="005A5BB7">
              <w:rPr>
                <w:rFonts w:ascii="Arial Narrow" w:hAnsi="Arial Narrow"/>
                <w:sz w:val="20"/>
                <w:szCs w:val="20"/>
                <w:vertAlign w:val="superscript"/>
              </w:rPr>
              <w:t>c</w:t>
            </w:r>
          </w:p>
        </w:tc>
        <w:tc>
          <w:tcPr>
            <w:tcW w:w="720" w:type="pct"/>
            <w:tcMar>
              <w:left w:w="28" w:type="dxa"/>
              <w:right w:w="28" w:type="dxa"/>
            </w:tcMar>
            <w:vAlign w:val="center"/>
          </w:tcPr>
          <w:p w14:paraId="5A7E7642" w14:textId="4820A946" w:rsidR="00FA7245" w:rsidRPr="005A5BB7" w:rsidRDefault="00FA7245"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408BAF86" w14:textId="0A9DF68D" w:rsidR="00FA7245" w:rsidRPr="005A5BB7" w:rsidRDefault="00FA7245"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10,034</w:t>
            </w:r>
          </w:p>
        </w:tc>
        <w:tc>
          <w:tcPr>
            <w:tcW w:w="696" w:type="pct"/>
            <w:tcMar>
              <w:left w:w="28" w:type="dxa"/>
              <w:right w:w="28" w:type="dxa"/>
            </w:tcMar>
            <w:vAlign w:val="center"/>
          </w:tcPr>
          <w:p w14:paraId="49D97096" w14:textId="3E4FFB77" w:rsidR="00FA7245" w:rsidRPr="00EB75C7" w:rsidRDefault="00FA7245"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EB75C7">
              <w:rPr>
                <w:rFonts w:ascii="Arial Narrow" w:hAnsi="Arial Narrow" w:cs="Calibri"/>
                <w:color w:val="000000"/>
                <w:sz w:val="20"/>
                <w:szCs w:val="20"/>
                <w:vertAlign w:val="superscript"/>
              </w:rPr>
              <w:t>3</w:t>
            </w:r>
          </w:p>
        </w:tc>
        <w:tc>
          <w:tcPr>
            <w:tcW w:w="577" w:type="pct"/>
            <w:tcMar>
              <w:left w:w="28" w:type="dxa"/>
              <w:right w:w="28" w:type="dxa"/>
            </w:tcMar>
            <w:vAlign w:val="center"/>
          </w:tcPr>
          <w:p w14:paraId="35C0FA38" w14:textId="3ED78668" w:rsidR="00FA7245" w:rsidRPr="005A5BB7" w:rsidRDefault="00FA7245"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7C6296" w:rsidRPr="005A5BB7" w14:paraId="0BA6072E" w14:textId="77777777" w:rsidTr="0092233E">
        <w:trPr>
          <w:cantSplit/>
          <w:trHeight w:val="20"/>
        </w:trPr>
        <w:tc>
          <w:tcPr>
            <w:tcW w:w="143" w:type="pct"/>
          </w:tcPr>
          <w:p w14:paraId="47DCDD5F" w14:textId="39C725A8" w:rsidR="008259F6" w:rsidRPr="005A5BB7" w:rsidRDefault="00D16F14" w:rsidP="00C05C9F">
            <w:pPr>
              <w:pStyle w:val="PBACTabletext"/>
              <w:keepLines w:val="0"/>
              <w:suppressLineNumbers w:val="0"/>
              <w:spacing w:after="0"/>
              <w:jc w:val="center"/>
              <w:rPr>
                <w:rFonts w:ascii="Arial Narrow" w:hAnsi="Arial Narrow"/>
                <w:sz w:val="20"/>
                <w:szCs w:val="20"/>
              </w:rPr>
            </w:pPr>
            <w:r w:rsidRPr="005A5BB7">
              <w:rPr>
                <w:rFonts w:ascii="Arial Narrow" w:hAnsi="Arial Narrow"/>
                <w:sz w:val="20"/>
                <w:szCs w:val="20"/>
              </w:rPr>
              <w:t>L</w:t>
            </w:r>
          </w:p>
        </w:tc>
        <w:tc>
          <w:tcPr>
            <w:tcW w:w="1945" w:type="pct"/>
            <w:tcMar>
              <w:left w:w="28" w:type="dxa"/>
              <w:right w:w="28" w:type="dxa"/>
            </w:tcMar>
            <w:vAlign w:val="center"/>
          </w:tcPr>
          <w:p w14:paraId="7F256DE2" w14:textId="369C513B" w:rsidR="008259F6" w:rsidRPr="005A5BB7" w:rsidRDefault="008259F6" w:rsidP="00C05C9F">
            <w:pPr>
              <w:pStyle w:val="PBACTabletext"/>
              <w:keepLines w:val="0"/>
              <w:suppressLineNumbers w:val="0"/>
              <w:spacing w:after="0"/>
              <w:rPr>
                <w:rFonts w:ascii="Arial Narrow" w:hAnsi="Arial Narrow"/>
                <w:sz w:val="20"/>
                <w:szCs w:val="20"/>
              </w:rPr>
            </w:pPr>
            <w:r w:rsidRPr="005A5BB7">
              <w:rPr>
                <w:rFonts w:ascii="Arial Narrow" w:hAnsi="Arial Narrow"/>
                <w:sz w:val="20"/>
                <w:szCs w:val="20"/>
              </w:rPr>
              <w:t>4 years (ATAGI</w:t>
            </w:r>
            <w:r w:rsidR="000E4816">
              <w:rPr>
                <w:rFonts w:ascii="Arial Narrow" w:hAnsi="Arial Narrow"/>
                <w:sz w:val="20"/>
                <w:szCs w:val="20"/>
              </w:rPr>
              <w:noBreakHyphen/>
            </w:r>
            <w:r w:rsidRPr="005A5BB7">
              <w:rPr>
                <w:rFonts w:ascii="Arial Narrow" w:hAnsi="Arial Narrow"/>
                <w:sz w:val="20"/>
                <w:szCs w:val="20"/>
              </w:rPr>
              <w:t xml:space="preserve">advised for a sensitivity analysis) </w:t>
            </w:r>
            <w:r w:rsidR="00C5751E" w:rsidRPr="005A5BB7">
              <w:rPr>
                <w:rFonts w:ascii="Arial Narrow" w:hAnsi="Arial Narrow"/>
                <w:sz w:val="20"/>
                <w:szCs w:val="20"/>
                <w:vertAlign w:val="superscript"/>
              </w:rPr>
              <w:t>d</w:t>
            </w:r>
          </w:p>
        </w:tc>
        <w:tc>
          <w:tcPr>
            <w:tcW w:w="720" w:type="pct"/>
            <w:tcMar>
              <w:left w:w="28" w:type="dxa"/>
              <w:right w:w="28" w:type="dxa"/>
            </w:tcMar>
            <w:vAlign w:val="center"/>
          </w:tcPr>
          <w:p w14:paraId="59F57847" w14:textId="18AF55C0" w:rsidR="008259F6" w:rsidRPr="005A5BB7" w:rsidRDefault="008259F6"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p>
        </w:tc>
        <w:tc>
          <w:tcPr>
            <w:tcW w:w="919" w:type="pct"/>
            <w:tcMar>
              <w:left w:w="28" w:type="dxa"/>
              <w:right w:w="28" w:type="dxa"/>
            </w:tcMar>
            <w:vAlign w:val="center"/>
          </w:tcPr>
          <w:p w14:paraId="39141B54" w14:textId="6495B81A" w:rsidR="008259F6" w:rsidRPr="005A5BB7" w:rsidRDefault="008259F6"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11,754</w:t>
            </w:r>
          </w:p>
        </w:tc>
        <w:tc>
          <w:tcPr>
            <w:tcW w:w="696" w:type="pct"/>
            <w:tcMar>
              <w:left w:w="28" w:type="dxa"/>
              <w:right w:w="28" w:type="dxa"/>
            </w:tcMar>
            <w:vAlign w:val="center"/>
          </w:tcPr>
          <w:p w14:paraId="53692FB2" w14:textId="634189CE" w:rsidR="008259F6" w:rsidRPr="0082498F" w:rsidRDefault="008259F6" w:rsidP="00C05C9F">
            <w:pPr>
              <w:pStyle w:val="PBACTabletext"/>
              <w:keepLines w:val="0"/>
              <w:suppressLineNumbers w:val="0"/>
              <w:spacing w:after="0"/>
              <w:jc w:val="center"/>
              <w:rPr>
                <w:rFonts w:ascii="Arial Narrow" w:hAnsi="Arial Narrow" w:cs="Calibri"/>
                <w:color w:val="000000"/>
                <w:sz w:val="20"/>
                <w:szCs w:val="20"/>
                <w:vertAlign w:val="superscript"/>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0082498F">
              <w:rPr>
                <w:rFonts w:ascii="Arial Narrow" w:hAnsi="Arial Narrow" w:cs="Calibri"/>
                <w:color w:val="000000"/>
                <w:sz w:val="20"/>
                <w:szCs w:val="20"/>
                <w:vertAlign w:val="superscript"/>
              </w:rPr>
              <w:t>1</w:t>
            </w:r>
          </w:p>
        </w:tc>
        <w:tc>
          <w:tcPr>
            <w:tcW w:w="577" w:type="pct"/>
            <w:tcMar>
              <w:left w:w="28" w:type="dxa"/>
              <w:right w:w="28" w:type="dxa"/>
            </w:tcMar>
            <w:vAlign w:val="center"/>
          </w:tcPr>
          <w:p w14:paraId="055792C3" w14:textId="00CF520E" w:rsidR="008259F6" w:rsidRPr="005A5BB7" w:rsidRDefault="008259F6" w:rsidP="00C05C9F">
            <w:pPr>
              <w:pStyle w:val="PBACTabletext"/>
              <w:keepLines w:val="0"/>
              <w:suppressLineNumbers w:val="0"/>
              <w:spacing w:after="0"/>
              <w:jc w:val="center"/>
              <w:rPr>
                <w:rFonts w:ascii="Arial Narrow" w:hAnsi="Arial Narrow" w:cs="Calibri"/>
                <w:color w:val="000000"/>
                <w:sz w:val="20"/>
                <w:szCs w:val="20"/>
              </w:rPr>
            </w:pPr>
            <w:r w:rsidRPr="005A5BB7">
              <w:rPr>
                <w:rFonts w:ascii="Arial Narrow" w:hAnsi="Arial Narrow" w:cs="Calibri"/>
                <w:color w:val="000000"/>
                <w:sz w:val="20"/>
                <w:szCs w:val="20"/>
              </w:rPr>
              <w:t>+</w:t>
            </w:r>
            <w:r w:rsidR="00F15B97" w:rsidRPr="00F15B97">
              <w:rPr>
                <w:rFonts w:ascii="Arial Narrow" w:hAnsi="Arial Narrow" w:cs="Calibri"/>
                <w:color w:val="000000"/>
                <w:sz w:val="2"/>
                <w:szCs w:val="20"/>
                <w:highlight w:val="black"/>
              </w:rPr>
              <w:t>redacted content</w:t>
            </w:r>
            <w:r w:rsidRPr="005A5BB7">
              <w:rPr>
                <w:rFonts w:ascii="Arial Narrow" w:hAnsi="Arial Narrow" w:cs="Calibri"/>
                <w:color w:val="000000"/>
                <w:sz w:val="20"/>
                <w:szCs w:val="20"/>
              </w:rPr>
              <w:t>%</w:t>
            </w:r>
          </w:p>
        </w:tc>
      </w:tr>
      <w:tr w:rsidR="00612D7D" w:rsidRPr="005A5BB7" w14:paraId="09A5DF46" w14:textId="77777777" w:rsidTr="00821CFF">
        <w:trPr>
          <w:cantSplit/>
          <w:trHeight w:val="20"/>
        </w:trPr>
        <w:tc>
          <w:tcPr>
            <w:tcW w:w="143" w:type="pct"/>
          </w:tcPr>
          <w:p w14:paraId="7B6E15FF" w14:textId="77777777" w:rsidR="00612D7D" w:rsidRPr="005A5BB7" w:rsidRDefault="00612D7D" w:rsidP="00C05C9F">
            <w:pPr>
              <w:pStyle w:val="PBACTabletext"/>
              <w:keepLines w:val="0"/>
              <w:spacing w:after="0"/>
              <w:jc w:val="center"/>
              <w:rPr>
                <w:rFonts w:ascii="Arial Narrow" w:hAnsi="Arial Narrow"/>
                <w:b/>
                <w:bCs/>
                <w:sz w:val="20"/>
                <w:szCs w:val="20"/>
              </w:rPr>
            </w:pPr>
          </w:p>
        </w:tc>
        <w:tc>
          <w:tcPr>
            <w:tcW w:w="4857" w:type="pct"/>
            <w:gridSpan w:val="5"/>
            <w:tcMar>
              <w:left w:w="28" w:type="dxa"/>
              <w:right w:w="28" w:type="dxa"/>
            </w:tcMar>
            <w:vAlign w:val="center"/>
          </w:tcPr>
          <w:p w14:paraId="5F1A290E" w14:textId="0301D9A5" w:rsidR="00612D7D" w:rsidRPr="005A5BB7" w:rsidRDefault="00612D7D" w:rsidP="00C05C9F">
            <w:pPr>
              <w:pStyle w:val="PBACTabletext"/>
              <w:keepLines w:val="0"/>
              <w:spacing w:after="0"/>
              <w:rPr>
                <w:rFonts w:ascii="Arial Narrow" w:hAnsi="Arial Narrow"/>
                <w:b/>
                <w:bCs/>
                <w:sz w:val="20"/>
                <w:szCs w:val="20"/>
              </w:rPr>
            </w:pPr>
            <w:r w:rsidRPr="005A5BB7">
              <w:rPr>
                <w:rFonts w:ascii="Arial Narrow" w:hAnsi="Arial Narrow"/>
                <w:b/>
                <w:bCs/>
                <w:sz w:val="20"/>
                <w:szCs w:val="20"/>
              </w:rPr>
              <w:t xml:space="preserve">Multivariate analyses </w:t>
            </w:r>
            <w:r w:rsidRPr="005A5BB7">
              <w:rPr>
                <w:rFonts w:ascii="Arial Narrow" w:hAnsi="Arial Narrow"/>
                <w:b/>
                <w:bCs/>
                <w:iCs/>
                <w:sz w:val="20"/>
                <w:szCs w:val="20"/>
              </w:rPr>
              <w:t>(price $</w:t>
            </w:r>
            <w:r w:rsidR="00F15B97" w:rsidRPr="00F15B97">
              <w:rPr>
                <w:rFonts w:ascii="Arial Narrow" w:hAnsi="Arial Narrow"/>
                <w:b/>
                <w:bCs/>
                <w:iCs/>
                <w:sz w:val="2"/>
                <w:szCs w:val="20"/>
                <w:highlight w:val="black"/>
              </w:rPr>
              <w:t>redacted content</w:t>
            </w:r>
            <w:r w:rsidRPr="005A5BB7">
              <w:rPr>
                <w:rFonts w:ascii="Arial Narrow" w:hAnsi="Arial Narrow"/>
                <w:b/>
                <w:bCs/>
                <w:iCs/>
                <w:sz w:val="20"/>
                <w:szCs w:val="20"/>
              </w:rPr>
              <w:t>/dose)</w:t>
            </w:r>
          </w:p>
        </w:tc>
      </w:tr>
      <w:tr w:rsidR="007C6296" w:rsidRPr="005A5BB7" w14:paraId="091410F2" w14:textId="77777777" w:rsidTr="0092233E">
        <w:trPr>
          <w:cantSplit/>
          <w:trHeight w:val="20"/>
        </w:trPr>
        <w:tc>
          <w:tcPr>
            <w:tcW w:w="143" w:type="pct"/>
          </w:tcPr>
          <w:p w14:paraId="3B732F8F" w14:textId="6B1F4A94" w:rsidR="00D04B46" w:rsidRPr="005A5BB7" w:rsidRDefault="00973405" w:rsidP="00C05C9F">
            <w:pPr>
              <w:pStyle w:val="PBACTabletext"/>
              <w:keepLines w:val="0"/>
              <w:spacing w:after="0"/>
              <w:jc w:val="center"/>
              <w:rPr>
                <w:rFonts w:ascii="Arial Narrow" w:hAnsi="Arial Narrow"/>
                <w:sz w:val="20"/>
                <w:szCs w:val="20"/>
              </w:rPr>
            </w:pPr>
            <w:r>
              <w:rPr>
                <w:rFonts w:ascii="Arial Narrow" w:hAnsi="Arial Narrow"/>
                <w:sz w:val="20"/>
                <w:szCs w:val="20"/>
              </w:rPr>
              <w:t>M</w:t>
            </w:r>
          </w:p>
        </w:tc>
        <w:tc>
          <w:tcPr>
            <w:tcW w:w="1945" w:type="pct"/>
            <w:tcMar>
              <w:left w:w="28" w:type="dxa"/>
              <w:right w:w="28" w:type="dxa"/>
            </w:tcMar>
            <w:vAlign w:val="center"/>
          </w:tcPr>
          <w:p w14:paraId="4CF46474" w14:textId="651956CF" w:rsidR="00D04B46" w:rsidRPr="005A5BB7" w:rsidRDefault="00D43A9D" w:rsidP="00C05C9F">
            <w:pPr>
              <w:pStyle w:val="PBACTabletext"/>
              <w:keepLines w:val="0"/>
              <w:spacing w:after="0"/>
              <w:rPr>
                <w:rFonts w:ascii="Arial Narrow" w:hAnsi="Arial Narrow"/>
                <w:sz w:val="20"/>
                <w:szCs w:val="20"/>
              </w:rPr>
            </w:pPr>
            <w:r w:rsidRPr="005A5BB7">
              <w:rPr>
                <w:rFonts w:ascii="Arial Narrow" w:hAnsi="Arial Narrow"/>
                <w:sz w:val="20"/>
                <w:szCs w:val="20"/>
              </w:rPr>
              <w:t xml:space="preserve">Evaluation MSA: </w:t>
            </w:r>
            <w:r w:rsidR="00D04B46" w:rsidRPr="005A5BB7">
              <w:rPr>
                <w:rFonts w:ascii="Arial Narrow" w:hAnsi="Arial Narrow"/>
                <w:sz w:val="20"/>
                <w:szCs w:val="20"/>
              </w:rPr>
              <w:t>E G J K</w:t>
            </w:r>
          </w:p>
        </w:tc>
        <w:tc>
          <w:tcPr>
            <w:tcW w:w="720" w:type="pct"/>
            <w:tcMar>
              <w:left w:w="28" w:type="dxa"/>
              <w:right w:w="28" w:type="dxa"/>
            </w:tcMar>
          </w:tcPr>
          <w:p w14:paraId="56BE985F" w14:textId="24C9F8C9" w:rsidR="00D04B46" w:rsidRPr="005A5BB7" w:rsidRDefault="00D04B46"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c>
          <w:tcPr>
            <w:tcW w:w="919" w:type="pct"/>
            <w:tcMar>
              <w:left w:w="28" w:type="dxa"/>
              <w:right w:w="28" w:type="dxa"/>
            </w:tcMar>
          </w:tcPr>
          <w:p w14:paraId="68E8535E" w14:textId="3959C3ED" w:rsidR="00D04B46" w:rsidRPr="005A5BB7" w:rsidRDefault="00D04B46"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7,161</w:t>
            </w:r>
          </w:p>
        </w:tc>
        <w:tc>
          <w:tcPr>
            <w:tcW w:w="696" w:type="pct"/>
            <w:tcMar>
              <w:left w:w="28" w:type="dxa"/>
              <w:right w:w="28" w:type="dxa"/>
            </w:tcMar>
          </w:tcPr>
          <w:p w14:paraId="33D33BB4" w14:textId="60B5E00F" w:rsidR="00D04B46" w:rsidRPr="00497AA8" w:rsidRDefault="00D04B46" w:rsidP="00C05C9F">
            <w:pPr>
              <w:pStyle w:val="PBACTabletext"/>
              <w:keepLines w:val="0"/>
              <w:spacing w:after="0"/>
              <w:jc w:val="center"/>
              <w:rPr>
                <w:rFonts w:ascii="Arial Narrow" w:hAnsi="Arial Narrow" w:cs="Calibri"/>
                <w:iCs/>
                <w:color w:val="000000"/>
                <w:sz w:val="20"/>
                <w:szCs w:val="20"/>
                <w:vertAlign w:val="superscript"/>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00497AA8">
              <w:rPr>
                <w:rFonts w:ascii="Arial Narrow" w:hAnsi="Arial Narrow" w:cs="Calibri"/>
                <w:iCs/>
                <w:color w:val="000000"/>
                <w:sz w:val="20"/>
                <w:szCs w:val="20"/>
                <w:vertAlign w:val="superscript"/>
              </w:rPr>
              <w:t>5</w:t>
            </w:r>
          </w:p>
        </w:tc>
        <w:tc>
          <w:tcPr>
            <w:tcW w:w="577" w:type="pct"/>
            <w:tcMar>
              <w:left w:w="28" w:type="dxa"/>
              <w:right w:w="28" w:type="dxa"/>
            </w:tcMar>
          </w:tcPr>
          <w:p w14:paraId="49A63A36" w14:textId="0487C5C3" w:rsidR="00D04B46" w:rsidRPr="005A5BB7" w:rsidRDefault="00585AC0"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Pr="005A5BB7">
              <w:rPr>
                <w:rFonts w:ascii="Arial Narrow" w:hAnsi="Arial Narrow" w:cs="Calibri"/>
                <w:iCs/>
                <w:color w:val="000000"/>
                <w:sz w:val="20"/>
                <w:szCs w:val="20"/>
              </w:rPr>
              <w:t>%</w:t>
            </w:r>
          </w:p>
        </w:tc>
      </w:tr>
      <w:tr w:rsidR="007C6296" w:rsidRPr="005A5BB7" w14:paraId="2C9A1B88" w14:textId="77777777" w:rsidTr="0092233E">
        <w:trPr>
          <w:cantSplit/>
          <w:trHeight w:val="20"/>
        </w:trPr>
        <w:tc>
          <w:tcPr>
            <w:tcW w:w="143" w:type="pct"/>
          </w:tcPr>
          <w:p w14:paraId="6A802249" w14:textId="10F6D5C5" w:rsidR="00585AC0" w:rsidRPr="005A5BB7" w:rsidDel="005D69B2" w:rsidRDefault="00973405" w:rsidP="00C05C9F">
            <w:pPr>
              <w:pStyle w:val="PBACTabletext"/>
              <w:keepLines w:val="0"/>
              <w:spacing w:after="0"/>
              <w:jc w:val="center"/>
              <w:rPr>
                <w:rFonts w:ascii="Arial Narrow" w:hAnsi="Arial Narrow"/>
                <w:szCs w:val="20"/>
              </w:rPr>
            </w:pPr>
            <w:r>
              <w:rPr>
                <w:rFonts w:ascii="Arial Narrow" w:hAnsi="Arial Narrow"/>
                <w:szCs w:val="20"/>
              </w:rPr>
              <w:t>N</w:t>
            </w:r>
          </w:p>
        </w:tc>
        <w:tc>
          <w:tcPr>
            <w:tcW w:w="1945" w:type="pct"/>
            <w:tcMar>
              <w:left w:w="28" w:type="dxa"/>
              <w:right w:w="28" w:type="dxa"/>
            </w:tcMar>
            <w:vAlign w:val="center"/>
          </w:tcPr>
          <w:p w14:paraId="50B0482C" w14:textId="59A5F37C" w:rsidR="00585AC0" w:rsidRPr="00740FD1" w:rsidDel="005D69B2" w:rsidRDefault="00585AC0" w:rsidP="00C05C9F">
            <w:pPr>
              <w:pStyle w:val="PBACTabletext"/>
              <w:keepLines w:val="0"/>
              <w:spacing w:after="0"/>
              <w:rPr>
                <w:rFonts w:ascii="Arial Narrow" w:hAnsi="Arial Narrow"/>
                <w:sz w:val="20"/>
                <w:szCs w:val="20"/>
              </w:rPr>
            </w:pPr>
            <w:r w:rsidRPr="00740FD1">
              <w:rPr>
                <w:rFonts w:ascii="Arial Narrow" w:hAnsi="Arial Narrow"/>
                <w:iCs/>
                <w:sz w:val="20"/>
                <w:szCs w:val="20"/>
              </w:rPr>
              <w:t xml:space="preserve">Alternative MSA: E J K </w:t>
            </w:r>
            <w:r w:rsidR="0044631B" w:rsidRPr="00740FD1">
              <w:rPr>
                <w:rFonts w:ascii="Arial Narrow" w:hAnsi="Arial Narrow"/>
                <w:iCs/>
                <w:sz w:val="20"/>
                <w:szCs w:val="20"/>
              </w:rPr>
              <w:t xml:space="preserve">(PBAC scenario </w:t>
            </w:r>
            <w:r w:rsidR="00276C82" w:rsidRPr="00740FD1">
              <w:rPr>
                <w:rFonts w:ascii="Arial Narrow" w:hAnsi="Arial Narrow"/>
                <w:iCs/>
                <w:sz w:val="20"/>
                <w:szCs w:val="20"/>
              </w:rPr>
              <w:t>2)</w:t>
            </w:r>
          </w:p>
        </w:tc>
        <w:tc>
          <w:tcPr>
            <w:tcW w:w="720" w:type="pct"/>
            <w:tcMar>
              <w:left w:w="28" w:type="dxa"/>
              <w:right w:w="28" w:type="dxa"/>
            </w:tcMar>
          </w:tcPr>
          <w:p w14:paraId="15CDB147" w14:textId="79AE0F5A" w:rsidR="00585AC0" w:rsidRPr="005A5BB7" w:rsidDel="005D69B2" w:rsidRDefault="00585AC0"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c>
          <w:tcPr>
            <w:tcW w:w="919" w:type="pct"/>
            <w:tcMar>
              <w:left w:w="28" w:type="dxa"/>
              <w:right w:w="28" w:type="dxa"/>
            </w:tcMar>
          </w:tcPr>
          <w:p w14:paraId="0F16BCD9" w14:textId="62B2EA7F" w:rsidR="00585AC0" w:rsidRPr="005A5BB7" w:rsidDel="005D69B2" w:rsidRDefault="000E4816" w:rsidP="00C05C9F">
            <w:pPr>
              <w:pStyle w:val="PBACTabletext"/>
              <w:keepLines w:val="0"/>
              <w:spacing w:after="0"/>
              <w:jc w:val="center"/>
              <w:rPr>
                <w:rFonts w:ascii="Arial Narrow" w:hAnsi="Arial Narrow" w:cs="Calibri"/>
                <w:iCs/>
                <w:color w:val="000000"/>
                <w:sz w:val="20"/>
                <w:szCs w:val="20"/>
              </w:rPr>
            </w:pPr>
            <w:r>
              <w:rPr>
                <w:rFonts w:ascii="Arial Narrow" w:hAnsi="Arial Narrow" w:cs="Calibri"/>
                <w:iCs/>
                <w:color w:val="000000"/>
                <w:sz w:val="20"/>
                <w:szCs w:val="20"/>
              </w:rPr>
              <w:noBreakHyphen/>
            </w:r>
            <w:r w:rsidR="00585AC0" w:rsidRPr="005A5BB7">
              <w:rPr>
                <w:rFonts w:ascii="Arial Narrow" w:hAnsi="Arial Narrow" w:cs="Calibri"/>
                <w:iCs/>
                <w:color w:val="000000"/>
                <w:sz w:val="20"/>
                <w:szCs w:val="20"/>
              </w:rPr>
              <w:t>7,593</w:t>
            </w:r>
          </w:p>
        </w:tc>
        <w:tc>
          <w:tcPr>
            <w:tcW w:w="696" w:type="pct"/>
            <w:tcMar>
              <w:left w:w="28" w:type="dxa"/>
              <w:right w:w="28" w:type="dxa"/>
            </w:tcMar>
          </w:tcPr>
          <w:p w14:paraId="76579251" w14:textId="1C77AD60" w:rsidR="00585AC0" w:rsidRPr="000747A0" w:rsidDel="005D69B2" w:rsidRDefault="00585AC0" w:rsidP="00C05C9F">
            <w:pPr>
              <w:pStyle w:val="PBACTabletext"/>
              <w:keepLines w:val="0"/>
              <w:spacing w:after="0"/>
              <w:jc w:val="center"/>
              <w:rPr>
                <w:rFonts w:ascii="Arial Narrow" w:hAnsi="Arial Narrow" w:cs="Calibri"/>
                <w:iCs/>
                <w:color w:val="000000"/>
                <w:sz w:val="20"/>
                <w:szCs w:val="20"/>
                <w:vertAlign w:val="superscript"/>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000747A0">
              <w:rPr>
                <w:rFonts w:ascii="Arial Narrow" w:hAnsi="Arial Narrow" w:cs="Calibri"/>
                <w:iCs/>
                <w:color w:val="000000"/>
                <w:sz w:val="20"/>
                <w:szCs w:val="20"/>
                <w:vertAlign w:val="superscript"/>
              </w:rPr>
              <w:t>4</w:t>
            </w:r>
          </w:p>
        </w:tc>
        <w:tc>
          <w:tcPr>
            <w:tcW w:w="577" w:type="pct"/>
            <w:tcMar>
              <w:left w:w="28" w:type="dxa"/>
              <w:right w:w="28" w:type="dxa"/>
            </w:tcMar>
          </w:tcPr>
          <w:p w14:paraId="18952431" w14:textId="42E7AA38" w:rsidR="00585AC0" w:rsidRPr="005A5BB7" w:rsidDel="005D69B2" w:rsidRDefault="00585AC0"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Pr="005A5BB7">
              <w:rPr>
                <w:rFonts w:ascii="Arial Narrow" w:hAnsi="Arial Narrow" w:cs="Calibri"/>
                <w:iCs/>
                <w:color w:val="000000"/>
                <w:sz w:val="20"/>
                <w:szCs w:val="20"/>
              </w:rPr>
              <w:t>%</w:t>
            </w:r>
          </w:p>
        </w:tc>
      </w:tr>
      <w:tr w:rsidR="00C7676D" w:rsidRPr="005A5BB7" w14:paraId="105B82DE" w14:textId="77777777" w:rsidTr="0092233E">
        <w:trPr>
          <w:cantSplit/>
          <w:trHeight w:val="20"/>
        </w:trPr>
        <w:tc>
          <w:tcPr>
            <w:tcW w:w="143" w:type="pct"/>
          </w:tcPr>
          <w:p w14:paraId="4962F1D6" w14:textId="7A427C36" w:rsidR="00F1145F" w:rsidRPr="005A5BB7" w:rsidDel="005D69B2" w:rsidRDefault="00973405" w:rsidP="00C05C9F">
            <w:pPr>
              <w:pStyle w:val="PBACTabletext"/>
              <w:keepLines w:val="0"/>
              <w:spacing w:after="0"/>
              <w:jc w:val="center"/>
              <w:rPr>
                <w:rFonts w:ascii="Arial Narrow" w:hAnsi="Arial Narrow"/>
                <w:szCs w:val="20"/>
              </w:rPr>
            </w:pPr>
            <w:r>
              <w:rPr>
                <w:rFonts w:ascii="Arial Narrow" w:hAnsi="Arial Narrow"/>
                <w:szCs w:val="20"/>
              </w:rPr>
              <w:t>O</w:t>
            </w:r>
          </w:p>
        </w:tc>
        <w:tc>
          <w:tcPr>
            <w:tcW w:w="1945" w:type="pct"/>
            <w:tcMar>
              <w:left w:w="28" w:type="dxa"/>
              <w:right w:w="28" w:type="dxa"/>
            </w:tcMar>
            <w:vAlign w:val="center"/>
          </w:tcPr>
          <w:p w14:paraId="73E473A2" w14:textId="3F09D223" w:rsidR="00F1145F" w:rsidRPr="00740FD1" w:rsidRDefault="00F1145F" w:rsidP="00C05C9F">
            <w:pPr>
              <w:pStyle w:val="PBACTabletext"/>
              <w:keepLines w:val="0"/>
              <w:spacing w:after="0"/>
              <w:rPr>
                <w:rFonts w:ascii="Arial Narrow" w:hAnsi="Arial Narrow"/>
                <w:iCs/>
                <w:sz w:val="20"/>
                <w:szCs w:val="20"/>
              </w:rPr>
            </w:pPr>
            <w:r w:rsidRPr="00740FD1">
              <w:rPr>
                <w:rFonts w:ascii="Arial Narrow" w:hAnsi="Arial Narrow"/>
                <w:iCs/>
                <w:sz w:val="20"/>
                <w:szCs w:val="20"/>
              </w:rPr>
              <w:t>65</w:t>
            </w:r>
            <w:r w:rsidR="000E4816">
              <w:rPr>
                <w:rFonts w:ascii="Arial Narrow" w:hAnsi="Arial Narrow"/>
                <w:iCs/>
                <w:sz w:val="20"/>
                <w:szCs w:val="20"/>
              </w:rPr>
              <w:noBreakHyphen/>
            </w:r>
            <w:r w:rsidRPr="00740FD1">
              <w:rPr>
                <w:rFonts w:ascii="Arial Narrow" w:hAnsi="Arial Narrow"/>
                <w:iCs/>
                <w:sz w:val="20"/>
                <w:szCs w:val="20"/>
              </w:rPr>
              <w:t>74 years at increased risk of severe RSV (E</w:t>
            </w:r>
            <w:r>
              <w:rPr>
                <w:rFonts w:ascii="Arial Narrow" w:hAnsi="Arial Narrow"/>
                <w:iCs/>
                <w:sz w:val="20"/>
                <w:szCs w:val="20"/>
              </w:rPr>
              <w:t> </w:t>
            </w:r>
            <w:r w:rsidRPr="00740FD1">
              <w:rPr>
                <w:rFonts w:ascii="Arial Narrow" w:hAnsi="Arial Narrow"/>
                <w:iCs/>
                <w:sz w:val="20"/>
                <w:szCs w:val="20"/>
              </w:rPr>
              <w:t>J K and 6</w:t>
            </w:r>
            <w:r>
              <w:rPr>
                <w:rFonts w:ascii="Arial Narrow" w:hAnsi="Arial Narrow"/>
                <w:iCs/>
                <w:sz w:val="20"/>
                <w:szCs w:val="20"/>
              </w:rPr>
              <w:t>0</w:t>
            </w:r>
            <w:r w:rsidR="000E4816">
              <w:rPr>
                <w:rFonts w:ascii="Arial Narrow" w:hAnsi="Arial Narrow"/>
                <w:iCs/>
                <w:sz w:val="20"/>
                <w:szCs w:val="20"/>
              </w:rPr>
              <w:noBreakHyphen/>
            </w:r>
            <w:r w:rsidRPr="00740FD1">
              <w:rPr>
                <w:rFonts w:ascii="Arial Narrow" w:hAnsi="Arial Narrow"/>
                <w:iCs/>
                <w:sz w:val="20"/>
                <w:szCs w:val="20"/>
              </w:rPr>
              <w:t xml:space="preserve">64 </w:t>
            </w:r>
            <w:r>
              <w:rPr>
                <w:rFonts w:ascii="Arial Narrow" w:hAnsi="Arial Narrow"/>
                <w:iCs/>
                <w:sz w:val="20"/>
                <w:szCs w:val="20"/>
              </w:rPr>
              <w:t xml:space="preserve">years </w:t>
            </w:r>
            <w:r w:rsidRPr="00740FD1">
              <w:rPr>
                <w:rFonts w:ascii="Arial Narrow" w:hAnsi="Arial Narrow"/>
                <w:iCs/>
                <w:sz w:val="20"/>
                <w:szCs w:val="20"/>
              </w:rPr>
              <w:t>removed)</w:t>
            </w:r>
          </w:p>
        </w:tc>
        <w:tc>
          <w:tcPr>
            <w:tcW w:w="720" w:type="pct"/>
            <w:tcMar>
              <w:left w:w="28" w:type="dxa"/>
              <w:right w:w="28" w:type="dxa"/>
            </w:tcMar>
          </w:tcPr>
          <w:p w14:paraId="1E350657" w14:textId="7E044CA6" w:rsidR="00F1145F" w:rsidRPr="00F1145F" w:rsidRDefault="00F1145F" w:rsidP="00C05C9F">
            <w:pPr>
              <w:pStyle w:val="PBACTabletext"/>
              <w:keepLines w:val="0"/>
              <w:spacing w:after="0"/>
              <w:jc w:val="center"/>
              <w:rPr>
                <w:rFonts w:ascii="Arial Narrow" w:hAnsi="Arial Narrow" w:cs="Calibri"/>
                <w:iCs/>
                <w:color w:val="000000"/>
                <w:sz w:val="20"/>
                <w:szCs w:val="20"/>
              </w:rPr>
            </w:pPr>
            <w:r w:rsidRPr="00F1145F">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c>
          <w:tcPr>
            <w:tcW w:w="919" w:type="pct"/>
            <w:tcMar>
              <w:left w:w="28" w:type="dxa"/>
              <w:right w:w="28" w:type="dxa"/>
            </w:tcMar>
          </w:tcPr>
          <w:p w14:paraId="7340EE13" w14:textId="0E18A6D9" w:rsidR="00F1145F" w:rsidRPr="00F1145F" w:rsidRDefault="000E4816" w:rsidP="00C05C9F">
            <w:pPr>
              <w:pStyle w:val="PBACTabletext"/>
              <w:keepLines w:val="0"/>
              <w:spacing w:after="0"/>
              <w:jc w:val="center"/>
              <w:rPr>
                <w:rFonts w:ascii="Arial Narrow" w:hAnsi="Arial Narrow" w:cs="Calibri"/>
                <w:iCs/>
                <w:color w:val="000000"/>
                <w:sz w:val="20"/>
                <w:szCs w:val="20"/>
              </w:rPr>
            </w:pPr>
            <w:r>
              <w:rPr>
                <w:rFonts w:ascii="Arial Narrow" w:hAnsi="Arial Narrow" w:cs="Calibri"/>
                <w:iCs/>
                <w:color w:val="000000"/>
                <w:sz w:val="20"/>
                <w:szCs w:val="20"/>
              </w:rPr>
              <w:noBreakHyphen/>
            </w:r>
            <w:r w:rsidR="00F1145F" w:rsidRPr="00F1145F">
              <w:rPr>
                <w:rFonts w:ascii="Arial Narrow" w:hAnsi="Arial Narrow" w:cs="Calibri"/>
                <w:iCs/>
                <w:color w:val="000000"/>
                <w:sz w:val="20"/>
                <w:szCs w:val="20"/>
              </w:rPr>
              <w:t>5,579</w:t>
            </w:r>
          </w:p>
        </w:tc>
        <w:tc>
          <w:tcPr>
            <w:tcW w:w="696" w:type="pct"/>
            <w:tcMar>
              <w:left w:w="28" w:type="dxa"/>
              <w:right w:w="28" w:type="dxa"/>
            </w:tcMar>
          </w:tcPr>
          <w:p w14:paraId="1CFA5121" w14:textId="69C66BBA" w:rsidR="00F1145F" w:rsidRPr="00EB75C7" w:rsidRDefault="00F1145F" w:rsidP="00C05C9F">
            <w:pPr>
              <w:pStyle w:val="PBACTabletext"/>
              <w:keepLines w:val="0"/>
              <w:spacing w:after="0"/>
              <w:jc w:val="center"/>
              <w:rPr>
                <w:rFonts w:ascii="Arial Narrow" w:hAnsi="Arial Narrow" w:cs="Calibri"/>
                <w:iCs/>
                <w:color w:val="000000"/>
                <w:sz w:val="20"/>
                <w:szCs w:val="20"/>
                <w:vertAlign w:val="superscript"/>
              </w:rPr>
            </w:pPr>
            <w:r w:rsidRPr="00F1145F">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00EB75C7">
              <w:rPr>
                <w:rFonts w:ascii="Arial Narrow" w:hAnsi="Arial Narrow" w:cs="Calibri"/>
                <w:iCs/>
                <w:color w:val="000000"/>
                <w:sz w:val="20"/>
                <w:szCs w:val="20"/>
                <w:vertAlign w:val="superscript"/>
              </w:rPr>
              <w:t>3</w:t>
            </w:r>
          </w:p>
        </w:tc>
        <w:tc>
          <w:tcPr>
            <w:tcW w:w="577" w:type="pct"/>
            <w:tcMar>
              <w:left w:w="28" w:type="dxa"/>
              <w:right w:w="28" w:type="dxa"/>
            </w:tcMar>
          </w:tcPr>
          <w:p w14:paraId="4A072D23" w14:textId="64CD52CE" w:rsidR="00F1145F" w:rsidRPr="005A5BB7" w:rsidRDefault="00F1145F" w:rsidP="00C05C9F">
            <w:pPr>
              <w:pStyle w:val="PBACTabletext"/>
              <w:keepLines w:val="0"/>
              <w:spacing w:after="0"/>
              <w:jc w:val="center"/>
              <w:rPr>
                <w:rFonts w:ascii="Arial Narrow" w:hAnsi="Arial Narrow" w:cs="Calibri"/>
                <w:iCs/>
                <w:color w:val="00000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Pr="005A5BB7">
              <w:rPr>
                <w:rFonts w:ascii="Arial Narrow" w:hAnsi="Arial Narrow" w:cs="Calibri"/>
                <w:iCs/>
                <w:color w:val="000000"/>
                <w:sz w:val="20"/>
                <w:szCs w:val="20"/>
              </w:rPr>
              <w:t>%</w:t>
            </w:r>
          </w:p>
        </w:tc>
      </w:tr>
      <w:tr w:rsidR="00C7676D" w:rsidRPr="005A5BB7" w14:paraId="2460C7B7" w14:textId="77777777" w:rsidTr="0092233E">
        <w:trPr>
          <w:cantSplit/>
          <w:trHeight w:val="20"/>
        </w:trPr>
        <w:tc>
          <w:tcPr>
            <w:tcW w:w="143" w:type="pct"/>
          </w:tcPr>
          <w:p w14:paraId="73AB4DDC" w14:textId="7C3B05FC" w:rsidR="00585AC0" w:rsidRPr="005A5BB7" w:rsidRDefault="00973405" w:rsidP="00C05C9F">
            <w:pPr>
              <w:pStyle w:val="PBACTabletext"/>
              <w:keepLines w:val="0"/>
              <w:spacing w:after="0"/>
              <w:jc w:val="center"/>
              <w:rPr>
                <w:rFonts w:ascii="Arial Narrow" w:hAnsi="Arial Narrow"/>
                <w:iCs/>
                <w:szCs w:val="20"/>
              </w:rPr>
            </w:pPr>
            <w:r>
              <w:rPr>
                <w:rFonts w:ascii="Arial Narrow" w:hAnsi="Arial Narrow"/>
                <w:iCs/>
                <w:szCs w:val="20"/>
              </w:rPr>
              <w:t>P</w:t>
            </w:r>
          </w:p>
        </w:tc>
        <w:tc>
          <w:tcPr>
            <w:tcW w:w="1945" w:type="pct"/>
            <w:tcMar>
              <w:left w:w="28" w:type="dxa"/>
              <w:right w:w="28" w:type="dxa"/>
            </w:tcMar>
          </w:tcPr>
          <w:p w14:paraId="0DD6D687" w14:textId="4CE6EB94" w:rsidR="00585AC0" w:rsidRPr="005A5BB7" w:rsidRDefault="00E66DC1" w:rsidP="00C05C9F">
            <w:pPr>
              <w:pStyle w:val="PBACTabletext"/>
              <w:keepLines w:val="0"/>
              <w:spacing w:after="0"/>
              <w:rPr>
                <w:rFonts w:ascii="Arial Narrow" w:hAnsi="Arial Narrow"/>
                <w:iCs/>
                <w:sz w:val="20"/>
                <w:szCs w:val="20"/>
              </w:rPr>
            </w:pPr>
            <w:r w:rsidRPr="005A5BB7">
              <w:rPr>
                <w:rFonts w:ascii="Arial Narrow" w:hAnsi="Arial Narrow"/>
                <w:iCs/>
                <w:sz w:val="20"/>
                <w:szCs w:val="20"/>
              </w:rPr>
              <w:t>All comers</w:t>
            </w:r>
            <w:r w:rsidR="0092233E">
              <w:rPr>
                <w:rFonts w:ascii="Arial Narrow" w:hAnsi="Arial Narrow"/>
                <w:iCs/>
                <w:sz w:val="20"/>
                <w:szCs w:val="20"/>
              </w:rPr>
              <w:t xml:space="preserve"> 60</w:t>
            </w:r>
            <w:r w:rsidR="000E4816">
              <w:rPr>
                <w:rFonts w:ascii="Arial Narrow" w:hAnsi="Arial Narrow"/>
                <w:iCs/>
                <w:sz w:val="20"/>
                <w:szCs w:val="20"/>
              </w:rPr>
              <w:noBreakHyphen/>
            </w:r>
            <w:r w:rsidR="0092233E">
              <w:rPr>
                <w:rFonts w:ascii="Arial Narrow" w:hAnsi="Arial Narrow"/>
                <w:iCs/>
                <w:sz w:val="20"/>
                <w:szCs w:val="20"/>
              </w:rPr>
              <w:t>74</w:t>
            </w:r>
            <w:r w:rsidRPr="005A5BB7">
              <w:rPr>
                <w:rFonts w:ascii="Arial Narrow" w:hAnsi="Arial Narrow"/>
                <w:iCs/>
                <w:sz w:val="20"/>
                <w:szCs w:val="20"/>
              </w:rPr>
              <w:t xml:space="preserve">: </w:t>
            </w:r>
            <w:r w:rsidR="00585AC0" w:rsidRPr="005A5BB7">
              <w:rPr>
                <w:rFonts w:ascii="Arial Narrow" w:hAnsi="Arial Narrow"/>
                <w:iCs/>
                <w:sz w:val="20"/>
                <w:szCs w:val="20"/>
              </w:rPr>
              <w:t>Apply settings for Alternative MSA except set EHM to 1</w:t>
            </w:r>
            <w:r w:rsidR="00A965E1" w:rsidRPr="005A5BB7">
              <w:rPr>
                <w:rFonts w:ascii="Arial Narrow" w:hAnsi="Arial Narrow"/>
                <w:iCs/>
                <w:sz w:val="20"/>
                <w:szCs w:val="20"/>
              </w:rPr>
              <w:t xml:space="preserve">: </w:t>
            </w:r>
            <w:r w:rsidR="008772A9" w:rsidRPr="005A5BB7">
              <w:rPr>
                <w:rFonts w:ascii="Arial Narrow" w:hAnsi="Arial Narrow"/>
                <w:sz w:val="20"/>
                <w:szCs w:val="20"/>
              </w:rPr>
              <w:t xml:space="preserve">C </w:t>
            </w:r>
            <w:r w:rsidR="00585AC0" w:rsidRPr="005A5BB7">
              <w:rPr>
                <w:rFonts w:ascii="Arial Narrow" w:hAnsi="Arial Narrow"/>
                <w:sz w:val="20"/>
                <w:szCs w:val="20"/>
              </w:rPr>
              <w:t>J K and EHM = 1</w:t>
            </w:r>
            <w:r w:rsidR="00276C82" w:rsidRPr="005A5BB7">
              <w:rPr>
                <w:rFonts w:ascii="Arial Narrow" w:hAnsi="Arial Narrow"/>
                <w:sz w:val="20"/>
                <w:szCs w:val="20"/>
              </w:rPr>
              <w:t xml:space="preserve"> (PBAC scenario 1)</w:t>
            </w:r>
          </w:p>
        </w:tc>
        <w:tc>
          <w:tcPr>
            <w:tcW w:w="720" w:type="pct"/>
            <w:tcMar>
              <w:left w:w="28" w:type="dxa"/>
              <w:right w:w="28" w:type="dxa"/>
            </w:tcMar>
          </w:tcPr>
          <w:p w14:paraId="05F0B836" w14:textId="613D2B54" w:rsidR="00585AC0" w:rsidRPr="005A5BB7" w:rsidRDefault="00585AC0"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p>
        </w:tc>
        <w:tc>
          <w:tcPr>
            <w:tcW w:w="919" w:type="pct"/>
            <w:tcMar>
              <w:left w:w="28" w:type="dxa"/>
              <w:right w:w="28" w:type="dxa"/>
            </w:tcMar>
          </w:tcPr>
          <w:p w14:paraId="7ED7A7CF" w14:textId="5F3031E3" w:rsidR="00585AC0" w:rsidRPr="005A5BB7" w:rsidRDefault="000E4816" w:rsidP="00C05C9F">
            <w:pPr>
              <w:pStyle w:val="PBACTabletext"/>
              <w:keepLines w:val="0"/>
              <w:spacing w:after="0"/>
              <w:jc w:val="center"/>
              <w:rPr>
                <w:rFonts w:ascii="Arial Narrow" w:hAnsi="Arial Narrow" w:cs="Calibri"/>
                <w:iCs/>
                <w:color w:val="000000"/>
                <w:sz w:val="20"/>
                <w:szCs w:val="20"/>
              </w:rPr>
            </w:pPr>
            <w:r>
              <w:rPr>
                <w:rFonts w:ascii="Arial Narrow" w:hAnsi="Arial Narrow" w:cs="Calibri"/>
                <w:iCs/>
                <w:color w:val="000000"/>
                <w:sz w:val="20"/>
                <w:szCs w:val="20"/>
              </w:rPr>
              <w:noBreakHyphen/>
            </w:r>
            <w:r w:rsidR="00585AC0" w:rsidRPr="005A5BB7">
              <w:rPr>
                <w:rFonts w:ascii="Arial Narrow" w:hAnsi="Arial Narrow" w:cs="Calibri"/>
                <w:iCs/>
                <w:color w:val="000000"/>
                <w:sz w:val="20"/>
                <w:szCs w:val="20"/>
              </w:rPr>
              <w:t>5,740</w:t>
            </w:r>
          </w:p>
        </w:tc>
        <w:tc>
          <w:tcPr>
            <w:tcW w:w="696" w:type="pct"/>
            <w:tcMar>
              <w:left w:w="28" w:type="dxa"/>
              <w:right w:w="28" w:type="dxa"/>
            </w:tcMar>
          </w:tcPr>
          <w:p w14:paraId="324DB93F" w14:textId="50EBE5A9" w:rsidR="00585AC0" w:rsidRPr="00423930" w:rsidRDefault="00585AC0" w:rsidP="00C05C9F">
            <w:pPr>
              <w:pStyle w:val="PBACTabletext"/>
              <w:keepLines w:val="0"/>
              <w:spacing w:after="0"/>
              <w:jc w:val="center"/>
              <w:rPr>
                <w:rFonts w:ascii="Arial Narrow" w:hAnsi="Arial Narrow" w:cs="Calibri"/>
                <w:iCs/>
                <w:color w:val="000000"/>
                <w:sz w:val="20"/>
                <w:szCs w:val="20"/>
                <w:vertAlign w:val="superscript"/>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00423930">
              <w:rPr>
                <w:rFonts w:ascii="Arial Narrow" w:hAnsi="Arial Narrow" w:cs="Calibri"/>
                <w:iCs/>
                <w:color w:val="000000"/>
                <w:sz w:val="20"/>
                <w:szCs w:val="20"/>
                <w:vertAlign w:val="superscript"/>
              </w:rPr>
              <w:t>6</w:t>
            </w:r>
          </w:p>
        </w:tc>
        <w:tc>
          <w:tcPr>
            <w:tcW w:w="577" w:type="pct"/>
            <w:tcMar>
              <w:left w:w="28" w:type="dxa"/>
              <w:right w:w="28" w:type="dxa"/>
            </w:tcMar>
          </w:tcPr>
          <w:p w14:paraId="6AC861E7" w14:textId="3076BAA0" w:rsidR="00585AC0" w:rsidRPr="005A5BB7" w:rsidRDefault="00585AC0" w:rsidP="00C05C9F">
            <w:pPr>
              <w:pStyle w:val="PBACTabletext"/>
              <w:keepLines w:val="0"/>
              <w:spacing w:after="0"/>
              <w:jc w:val="center"/>
              <w:rPr>
                <w:rFonts w:ascii="Arial Narrow" w:hAnsi="Arial Narrow" w:cs="Calibri"/>
                <w:iCs/>
                <w:color w:val="000000"/>
                <w:sz w:val="20"/>
                <w:szCs w:val="20"/>
              </w:rPr>
            </w:pPr>
            <w:r w:rsidRPr="005A5BB7">
              <w:rPr>
                <w:rFonts w:ascii="Arial Narrow" w:hAnsi="Arial Narrow" w:cs="Calibri"/>
                <w:iCs/>
                <w:color w:val="000000"/>
                <w:sz w:val="20"/>
                <w:szCs w:val="20"/>
              </w:rPr>
              <w:t>+</w:t>
            </w:r>
            <w:r w:rsidR="00F15B97" w:rsidRPr="00F15B97">
              <w:rPr>
                <w:rFonts w:ascii="Arial Narrow" w:hAnsi="Arial Narrow" w:cs="Calibri"/>
                <w:iCs/>
                <w:color w:val="000000"/>
                <w:sz w:val="2"/>
                <w:szCs w:val="20"/>
                <w:highlight w:val="black"/>
              </w:rPr>
              <w:t>redacted content</w:t>
            </w:r>
            <w:r w:rsidRPr="005A5BB7">
              <w:rPr>
                <w:rFonts w:ascii="Arial Narrow" w:hAnsi="Arial Narrow" w:cs="Calibri"/>
                <w:iCs/>
                <w:color w:val="000000"/>
                <w:sz w:val="20"/>
                <w:szCs w:val="20"/>
              </w:rPr>
              <w:t>%</w:t>
            </w:r>
          </w:p>
        </w:tc>
      </w:tr>
    </w:tbl>
    <w:p w14:paraId="068D1C7D" w14:textId="210BCB80" w:rsidR="004C397E" w:rsidRPr="005A5BB7" w:rsidRDefault="004C397E" w:rsidP="00C05C9F">
      <w:pPr>
        <w:pStyle w:val="TableNotes"/>
        <w:keepNext/>
        <w:spacing w:after="0"/>
        <w:rPr>
          <w:szCs w:val="18"/>
        </w:rPr>
      </w:pPr>
      <w:r w:rsidRPr="005A5BB7">
        <w:rPr>
          <w:szCs w:val="18"/>
        </w:rPr>
        <w:t>Source: Conducted during the evaluation; Table 3.</w:t>
      </w:r>
      <w:r w:rsidR="000E4816">
        <w:rPr>
          <w:szCs w:val="18"/>
        </w:rPr>
        <w:noBreakHyphen/>
      </w:r>
      <w:r w:rsidRPr="005A5BB7">
        <w:rPr>
          <w:szCs w:val="18"/>
        </w:rPr>
        <w:t>42, p255; Table 3</w:t>
      </w:r>
      <w:r w:rsidR="000E4816">
        <w:rPr>
          <w:szCs w:val="18"/>
        </w:rPr>
        <w:noBreakHyphen/>
      </w:r>
      <w:r w:rsidRPr="005A5BB7">
        <w:rPr>
          <w:szCs w:val="18"/>
        </w:rPr>
        <w:t xml:space="preserve">72, p180 of the March 2026 resubmission. </w:t>
      </w:r>
    </w:p>
    <w:p w14:paraId="6E8AAC44" w14:textId="444DB931" w:rsidR="004C397E" w:rsidRPr="005A5BB7" w:rsidRDefault="004C397E" w:rsidP="00C05C9F">
      <w:pPr>
        <w:pStyle w:val="TableNotes"/>
        <w:keepNext/>
        <w:spacing w:after="0"/>
        <w:rPr>
          <w:szCs w:val="18"/>
        </w:rPr>
      </w:pPr>
      <w:r w:rsidRPr="005A5BB7">
        <w:rPr>
          <w:szCs w:val="18"/>
        </w:rPr>
        <w:t>AIHW = Australian Institute of Health and Welfare; ATAGI = Australian Technical Advisory Group on Immunisation; ESC = Economic Sub</w:t>
      </w:r>
      <w:r w:rsidR="000E4816">
        <w:rPr>
          <w:szCs w:val="18"/>
        </w:rPr>
        <w:noBreakHyphen/>
      </w:r>
      <w:r w:rsidRPr="005A5BB7">
        <w:rPr>
          <w:szCs w:val="18"/>
        </w:rPr>
        <w:t>Committee; ICER = incremental cost</w:t>
      </w:r>
      <w:r w:rsidR="000E4816">
        <w:rPr>
          <w:szCs w:val="18"/>
        </w:rPr>
        <w:noBreakHyphen/>
      </w:r>
      <w:r w:rsidRPr="005A5BB7">
        <w:rPr>
          <w:szCs w:val="18"/>
        </w:rPr>
        <w:t xml:space="preserve">effectiveness ratio; NHMD = National Hospital Morbidity Database; PBAC = Pharmaceutical </w:t>
      </w:r>
      <w:r w:rsidRPr="005A5BB7">
        <w:rPr>
          <w:szCs w:val="18"/>
        </w:rPr>
        <w:lastRenderedPageBreak/>
        <w:t>Benefits Advisory Committee; PSCR = Pre</w:t>
      </w:r>
      <w:r w:rsidR="000E4816">
        <w:rPr>
          <w:szCs w:val="18"/>
        </w:rPr>
        <w:noBreakHyphen/>
      </w:r>
      <w:r w:rsidRPr="005A5BB7">
        <w:rPr>
          <w:szCs w:val="18"/>
        </w:rPr>
        <w:t>subcommittee response; PSD = public summary document; QALYs = quality</w:t>
      </w:r>
      <w:r w:rsidR="000E4816">
        <w:rPr>
          <w:szCs w:val="18"/>
        </w:rPr>
        <w:noBreakHyphen/>
      </w:r>
      <w:r w:rsidRPr="005A5BB7">
        <w:rPr>
          <w:szCs w:val="18"/>
        </w:rPr>
        <w:t>adjusted life years; RSV= respiratory syncytial virus; SMR = standardised mortality ratios; VE = Vaccine Efficacy; YOA = years of age.</w:t>
      </w:r>
    </w:p>
    <w:p w14:paraId="4EEB2243" w14:textId="70E4CC81" w:rsidR="000F5BDF" w:rsidRPr="005A5BB7" w:rsidRDefault="000F5BDF" w:rsidP="00C05C9F">
      <w:pPr>
        <w:keepNext/>
        <w:rPr>
          <w:rFonts w:ascii="Arial Narrow" w:eastAsia="Calibri" w:hAnsi="Arial Narrow"/>
          <w:iCs/>
          <w:snapToGrid w:val="0"/>
          <w:sz w:val="18"/>
          <w:szCs w:val="18"/>
          <w:vertAlign w:val="superscript"/>
        </w:rPr>
      </w:pPr>
      <w:r w:rsidRPr="005A5BB7">
        <w:rPr>
          <w:rFonts w:ascii="Arial Narrow" w:eastAsia="Calibri" w:hAnsi="Arial Narrow"/>
          <w:iCs/>
          <w:snapToGrid w:val="0"/>
          <w:sz w:val="18"/>
          <w:szCs w:val="18"/>
          <w:vertAlign w:val="superscript"/>
        </w:rPr>
        <w:t>a</w:t>
      </w:r>
      <w:r w:rsidR="009D50F7">
        <w:rPr>
          <w:rFonts w:ascii="Arial Narrow" w:eastAsia="Calibri" w:hAnsi="Arial Narrow"/>
          <w:iCs/>
          <w:snapToGrid w:val="0"/>
          <w:sz w:val="18"/>
          <w:szCs w:val="18"/>
          <w:vertAlign w:val="superscript"/>
        </w:rPr>
        <w:t xml:space="preserve"> </w:t>
      </w:r>
      <w:r w:rsidRPr="005A5BB7">
        <w:rPr>
          <w:rFonts w:ascii="Arial Narrow" w:eastAsia="Calibri" w:hAnsi="Arial Narrow"/>
          <w:iCs/>
          <w:snapToGrid w:val="0"/>
          <w:sz w:val="18"/>
          <w:szCs w:val="18"/>
        </w:rPr>
        <w:t>Data sourced from Table 39, p 75, ATAGI advice 7 March 2025 under heading “Multiplier method”, this reflects mean AIHW NHMD 2016</w:t>
      </w:r>
      <w:r w:rsidR="000E4816">
        <w:rPr>
          <w:rFonts w:ascii="Arial Narrow" w:eastAsia="Calibri" w:hAnsi="Arial Narrow"/>
          <w:iCs/>
          <w:snapToGrid w:val="0"/>
          <w:sz w:val="18"/>
          <w:szCs w:val="18"/>
        </w:rPr>
        <w:noBreakHyphen/>
      </w:r>
      <w:r w:rsidRPr="005A5BB7">
        <w:rPr>
          <w:rFonts w:ascii="Arial Narrow" w:eastAsia="Calibri" w:hAnsi="Arial Narrow"/>
          <w:iCs/>
          <w:snapToGrid w:val="0"/>
          <w:sz w:val="18"/>
          <w:szCs w:val="18"/>
        </w:rPr>
        <w:t>2019 RSV</w:t>
      </w:r>
      <w:r w:rsidR="000E4816">
        <w:rPr>
          <w:rFonts w:ascii="Arial Narrow" w:eastAsia="Calibri" w:hAnsi="Arial Narrow"/>
          <w:iCs/>
          <w:snapToGrid w:val="0"/>
          <w:sz w:val="18"/>
          <w:szCs w:val="18"/>
        </w:rPr>
        <w:noBreakHyphen/>
      </w:r>
      <w:r w:rsidRPr="005A5BB7">
        <w:rPr>
          <w:rFonts w:ascii="Arial Narrow" w:eastAsia="Calibri" w:hAnsi="Arial Narrow"/>
          <w:iCs/>
          <w:snapToGrid w:val="0"/>
          <w:sz w:val="18"/>
          <w:szCs w:val="18"/>
        </w:rPr>
        <w:t>coded hospitalisations (any diagnosis fields), multiplied by 2.0</w:t>
      </w:r>
      <w:r w:rsidR="00C5751E" w:rsidRPr="005A5BB7">
        <w:rPr>
          <w:rFonts w:ascii="Arial Narrow" w:eastAsia="Calibri" w:hAnsi="Arial Narrow"/>
          <w:iCs/>
          <w:snapToGrid w:val="0"/>
          <w:sz w:val="18"/>
          <w:szCs w:val="18"/>
        </w:rPr>
        <w:t xml:space="preserve"> (</w:t>
      </w:r>
      <w:r w:rsidR="00050D2B" w:rsidRPr="005A5BB7">
        <w:rPr>
          <w:rFonts w:ascii="Arial Narrow" w:eastAsia="Calibri" w:hAnsi="Arial Narrow"/>
          <w:iCs/>
          <w:snapToGrid w:val="0"/>
          <w:sz w:val="18"/>
          <w:szCs w:val="18"/>
        </w:rPr>
        <w:t>as shown in</w:t>
      </w:r>
      <w:r w:rsidR="00C5751E" w:rsidRPr="005A5BB7">
        <w:rPr>
          <w:rFonts w:ascii="Arial Narrow" w:eastAsia="Calibri" w:hAnsi="Arial Narrow"/>
          <w:iCs/>
          <w:snapToGrid w:val="0"/>
          <w:sz w:val="18"/>
          <w:szCs w:val="18"/>
        </w:rPr>
        <w:t xml:space="preserve"> Epidemiology sheet of the model cells AD137:AD139)</w:t>
      </w:r>
    </w:p>
    <w:p w14:paraId="58FFAA22" w14:textId="2DB92162" w:rsidR="004C397E" w:rsidRPr="005A5BB7" w:rsidRDefault="007254DB" w:rsidP="00C05C9F">
      <w:pPr>
        <w:keepNext/>
        <w:rPr>
          <w:rFonts w:ascii="Arial Narrow" w:eastAsia="Calibri" w:hAnsi="Arial Narrow"/>
          <w:iCs/>
          <w:snapToGrid w:val="0"/>
          <w:sz w:val="18"/>
          <w:szCs w:val="18"/>
        </w:rPr>
      </w:pPr>
      <w:r w:rsidRPr="005A5BB7">
        <w:rPr>
          <w:rFonts w:ascii="Arial Narrow" w:eastAsia="Calibri" w:hAnsi="Arial Narrow"/>
          <w:iCs/>
          <w:snapToGrid w:val="0"/>
          <w:sz w:val="18"/>
          <w:szCs w:val="18"/>
          <w:vertAlign w:val="superscript"/>
        </w:rPr>
        <w:t>b</w:t>
      </w:r>
      <w:r w:rsidR="004C397E" w:rsidRPr="005A5BB7">
        <w:rPr>
          <w:rFonts w:ascii="Arial Narrow" w:eastAsia="Calibri" w:hAnsi="Arial Narrow"/>
          <w:iCs/>
          <w:snapToGrid w:val="0"/>
          <w:sz w:val="18"/>
          <w:szCs w:val="18"/>
          <w:vertAlign w:val="superscript"/>
        </w:rPr>
        <w:t xml:space="preserve"> </w:t>
      </w:r>
      <w:r w:rsidR="004C397E" w:rsidRPr="005A5BB7">
        <w:rPr>
          <w:rFonts w:ascii="Arial Narrow" w:eastAsia="Calibri" w:hAnsi="Arial Narrow"/>
          <w:iCs/>
          <w:snapToGrid w:val="0"/>
          <w:sz w:val="18"/>
          <w:szCs w:val="18"/>
        </w:rPr>
        <w:t>The March 2026 resubmission acknowledged the PBAC</w:t>
      </w:r>
      <w:r w:rsidR="000E4816">
        <w:rPr>
          <w:rFonts w:ascii="Arial Narrow" w:eastAsia="Calibri" w:hAnsi="Arial Narrow"/>
          <w:iCs/>
          <w:snapToGrid w:val="0"/>
          <w:sz w:val="18"/>
          <w:szCs w:val="18"/>
        </w:rPr>
        <w:noBreakHyphen/>
      </w:r>
      <w:r w:rsidR="004C397E" w:rsidRPr="005A5BB7">
        <w:rPr>
          <w:rFonts w:ascii="Arial Narrow" w:eastAsia="Calibri" w:hAnsi="Arial Narrow"/>
          <w:iCs/>
          <w:snapToGrid w:val="0"/>
          <w:sz w:val="18"/>
          <w:szCs w:val="18"/>
        </w:rPr>
        <w:t xml:space="preserve">advised </w:t>
      </w:r>
      <w:r w:rsidR="00CD1322" w:rsidRPr="005A5BB7">
        <w:rPr>
          <w:rFonts w:ascii="Arial Narrow" w:eastAsia="Calibri" w:hAnsi="Arial Narrow"/>
          <w:iCs/>
          <w:snapToGrid w:val="0"/>
          <w:sz w:val="18"/>
          <w:szCs w:val="18"/>
        </w:rPr>
        <w:t xml:space="preserve">emergency department (ED) </w:t>
      </w:r>
      <w:r w:rsidR="004C397E" w:rsidRPr="005A5BB7">
        <w:rPr>
          <w:rFonts w:ascii="Arial Narrow" w:eastAsia="Calibri" w:hAnsi="Arial Narrow"/>
          <w:iCs/>
          <w:snapToGrid w:val="0"/>
          <w:sz w:val="18"/>
          <w:szCs w:val="18"/>
        </w:rPr>
        <w:t xml:space="preserve">cost of $1,457 (Table 20, para 7.14, RSVPreF3 OA PSD, July 2025 PBAC meeting) and updated it to the June 2025 value of $1,478 </w:t>
      </w:r>
      <w:r w:rsidR="006E5C03" w:rsidRPr="005A5BB7">
        <w:rPr>
          <w:rFonts w:ascii="Arial Narrow" w:eastAsia="Calibri" w:hAnsi="Arial Narrow"/>
          <w:iCs/>
          <w:snapToGrid w:val="0"/>
          <w:sz w:val="18"/>
          <w:szCs w:val="18"/>
        </w:rPr>
        <w:t>based on consumer price index</w:t>
      </w:r>
      <w:r w:rsidR="004C397E" w:rsidRPr="005A5BB7">
        <w:rPr>
          <w:rFonts w:ascii="Arial Narrow" w:eastAsia="Calibri" w:hAnsi="Arial Narrow"/>
          <w:iCs/>
          <w:snapToGrid w:val="0"/>
          <w:sz w:val="18"/>
          <w:szCs w:val="18"/>
        </w:rPr>
        <w:t>.</w:t>
      </w:r>
    </w:p>
    <w:p w14:paraId="215E3166" w14:textId="29E7E7F1" w:rsidR="00C5751E" w:rsidRPr="005A5BB7" w:rsidRDefault="00C5751E" w:rsidP="00C05C9F">
      <w:pPr>
        <w:keepNext/>
        <w:rPr>
          <w:rFonts w:ascii="Arial Narrow" w:eastAsia="Calibri" w:hAnsi="Arial Narrow"/>
          <w:iCs/>
          <w:snapToGrid w:val="0"/>
          <w:sz w:val="18"/>
          <w:szCs w:val="18"/>
        </w:rPr>
      </w:pPr>
      <w:r w:rsidRPr="005A5BB7">
        <w:rPr>
          <w:rFonts w:ascii="Arial Narrow" w:eastAsia="Calibri" w:hAnsi="Arial Narrow"/>
          <w:iCs/>
          <w:snapToGrid w:val="0"/>
          <w:sz w:val="18"/>
          <w:szCs w:val="18"/>
          <w:vertAlign w:val="superscript"/>
        </w:rPr>
        <w:t>c</w:t>
      </w:r>
      <w:r w:rsidRPr="005A5BB7">
        <w:rPr>
          <w:rFonts w:ascii="Arial Narrow" w:eastAsia="Calibri" w:hAnsi="Arial Narrow"/>
          <w:iCs/>
          <w:snapToGrid w:val="0"/>
          <w:sz w:val="18"/>
          <w:szCs w:val="18"/>
        </w:rPr>
        <w:t xml:space="preserve"> 3 years of VE reflects PBAC advice.</w:t>
      </w:r>
      <w:r w:rsidR="00DA1339">
        <w:rPr>
          <w:rFonts w:ascii="Arial Narrow" w:eastAsia="Calibri" w:hAnsi="Arial Narrow"/>
          <w:iCs/>
          <w:snapToGrid w:val="0"/>
          <w:sz w:val="18"/>
          <w:szCs w:val="18"/>
        </w:rPr>
        <w:t xml:space="preserve"> </w:t>
      </w:r>
      <w:r w:rsidRPr="005A5BB7">
        <w:rPr>
          <w:rFonts w:ascii="Arial Narrow" w:eastAsia="Calibri" w:hAnsi="Arial Narrow"/>
          <w:iCs/>
          <w:snapToGrid w:val="0"/>
          <w:sz w:val="18"/>
          <w:szCs w:val="18"/>
        </w:rPr>
        <w:t>Applied in the model by updating Efficacy sheet of the model, set cells as follows AF8 = 3, AF9 = 3.</w:t>
      </w:r>
    </w:p>
    <w:p w14:paraId="56359422" w14:textId="77777777" w:rsidR="00D84B87" w:rsidRDefault="00C5751E" w:rsidP="00C05C9F">
      <w:pPr>
        <w:keepNext/>
        <w:rPr>
          <w:rFonts w:ascii="Arial Narrow" w:eastAsia="Calibri" w:hAnsi="Arial Narrow"/>
          <w:iCs/>
          <w:snapToGrid w:val="0"/>
          <w:sz w:val="18"/>
          <w:szCs w:val="18"/>
        </w:rPr>
      </w:pPr>
      <w:r w:rsidRPr="005A5BB7">
        <w:rPr>
          <w:rFonts w:ascii="Arial Narrow" w:eastAsia="Calibri" w:hAnsi="Arial Narrow"/>
          <w:iCs/>
          <w:snapToGrid w:val="0"/>
          <w:sz w:val="18"/>
          <w:szCs w:val="18"/>
          <w:vertAlign w:val="superscript"/>
        </w:rPr>
        <w:t>d</w:t>
      </w:r>
      <w:r w:rsidR="004C397E" w:rsidRPr="005A5BB7">
        <w:rPr>
          <w:rFonts w:ascii="Arial Narrow" w:eastAsia="Calibri" w:hAnsi="Arial Narrow"/>
          <w:iCs/>
          <w:snapToGrid w:val="0"/>
          <w:sz w:val="18"/>
          <w:szCs w:val="18"/>
        </w:rPr>
        <w:t xml:space="preserve"> Four years of VE was adopted by the evaluators as the assumption for the analysis. ATAGI indicated support for a longer duration of VE than its suggestion (3 years) but did not specify an exact timeframe (p2, ATAGI Response, 29 October 2025).</w:t>
      </w:r>
    </w:p>
    <w:p w14:paraId="0D812A9E" w14:textId="054542F2" w:rsidR="00D84B87" w:rsidRPr="00D84B87" w:rsidRDefault="00D84B87" w:rsidP="00D84B87">
      <w:pPr>
        <w:keepNext/>
        <w:rPr>
          <w:rFonts w:ascii="Arial Narrow" w:eastAsia="Calibri" w:hAnsi="Arial Narrow"/>
          <w:bCs/>
          <w:i/>
          <w:iCs/>
          <w:snapToGrid w:val="0"/>
          <w:sz w:val="18"/>
          <w:szCs w:val="18"/>
        </w:rPr>
      </w:pPr>
      <w:r w:rsidRPr="00D84B87">
        <w:rPr>
          <w:rFonts w:ascii="Arial Narrow" w:eastAsia="Calibri" w:hAnsi="Arial Narrow"/>
          <w:bCs/>
          <w:i/>
          <w:iCs/>
          <w:snapToGrid w:val="0"/>
          <w:sz w:val="18"/>
          <w:szCs w:val="18"/>
        </w:rPr>
        <w:t xml:space="preserve">The redacted values correspond to the following ranges: </w:t>
      </w:r>
    </w:p>
    <w:p w14:paraId="2F4CA92B" w14:textId="0ECF9EBD" w:rsidR="00D84B87" w:rsidRPr="00D84B87" w:rsidRDefault="00D84B87" w:rsidP="00D84B87">
      <w:pPr>
        <w:keepNext/>
        <w:rPr>
          <w:rFonts w:ascii="Arial Narrow" w:eastAsia="Calibri" w:hAnsi="Arial Narrow"/>
          <w:i/>
          <w:iCs/>
          <w:snapToGrid w:val="0"/>
          <w:sz w:val="18"/>
          <w:szCs w:val="18"/>
        </w:rPr>
      </w:pPr>
      <w:r w:rsidRPr="00D84B87">
        <w:rPr>
          <w:rFonts w:ascii="Arial Narrow" w:eastAsia="Calibri" w:hAnsi="Arial Narrow"/>
          <w:i/>
          <w:iCs/>
          <w:snapToGrid w:val="0"/>
          <w:sz w:val="18"/>
          <w:szCs w:val="18"/>
          <w:vertAlign w:val="superscript"/>
        </w:rPr>
        <w:t>1</w:t>
      </w:r>
      <w:r w:rsidRPr="00D84B87">
        <w:rPr>
          <w:rFonts w:ascii="Arial Narrow" w:eastAsia="Calibri" w:hAnsi="Arial Narrow"/>
          <w:i/>
          <w:iCs/>
          <w:snapToGrid w:val="0"/>
          <w:sz w:val="18"/>
          <w:szCs w:val="18"/>
        </w:rPr>
        <w:t xml:space="preserve"> </w:t>
      </w:r>
      <w:r w:rsidR="0082498F" w:rsidRPr="0082498F">
        <w:rPr>
          <w:rFonts w:ascii="Arial Narrow" w:eastAsia="Calibri" w:hAnsi="Arial Narrow"/>
          <w:i/>
          <w:iCs/>
          <w:snapToGrid w:val="0"/>
          <w:sz w:val="18"/>
          <w:szCs w:val="18"/>
        </w:rPr>
        <w:t>$15,000 to &lt; $25,000</w:t>
      </w:r>
    </w:p>
    <w:p w14:paraId="2B02B22F" w14:textId="50FAAB38" w:rsidR="00D84B87" w:rsidRPr="00D84B87" w:rsidRDefault="00D84B87" w:rsidP="00D84B87">
      <w:pPr>
        <w:keepNext/>
        <w:rPr>
          <w:rFonts w:ascii="Arial Narrow" w:eastAsia="Calibri" w:hAnsi="Arial Narrow"/>
          <w:i/>
          <w:iCs/>
          <w:snapToGrid w:val="0"/>
          <w:sz w:val="18"/>
          <w:szCs w:val="18"/>
        </w:rPr>
      </w:pPr>
      <w:r w:rsidRPr="00D84B87">
        <w:rPr>
          <w:rFonts w:ascii="Arial Narrow" w:eastAsia="Calibri" w:hAnsi="Arial Narrow"/>
          <w:i/>
          <w:iCs/>
          <w:snapToGrid w:val="0"/>
          <w:sz w:val="18"/>
          <w:szCs w:val="18"/>
          <w:vertAlign w:val="superscript"/>
        </w:rPr>
        <w:t>2</w:t>
      </w:r>
      <w:r w:rsidRPr="00D84B87">
        <w:rPr>
          <w:rFonts w:ascii="Arial Narrow" w:eastAsia="Calibri" w:hAnsi="Arial Narrow"/>
          <w:i/>
          <w:iCs/>
          <w:snapToGrid w:val="0"/>
          <w:sz w:val="18"/>
          <w:szCs w:val="18"/>
        </w:rPr>
        <w:t xml:space="preserve"> </w:t>
      </w:r>
      <w:r w:rsidR="00AB770B" w:rsidRPr="00AB770B">
        <w:rPr>
          <w:rFonts w:ascii="Arial Narrow" w:eastAsia="Calibri" w:hAnsi="Arial Narrow"/>
          <w:i/>
          <w:iCs/>
          <w:snapToGrid w:val="0"/>
          <w:sz w:val="18"/>
          <w:szCs w:val="18"/>
        </w:rPr>
        <w:t>$5,000 to &lt; $15,000</w:t>
      </w:r>
    </w:p>
    <w:p w14:paraId="217A8D91" w14:textId="1DEF0D3B" w:rsidR="00D84B87" w:rsidRPr="00D84B87" w:rsidRDefault="00D84B87" w:rsidP="00D84B87">
      <w:pPr>
        <w:keepNext/>
        <w:rPr>
          <w:rFonts w:ascii="Arial Narrow" w:eastAsia="Calibri" w:hAnsi="Arial Narrow"/>
          <w:i/>
          <w:iCs/>
          <w:snapToGrid w:val="0"/>
          <w:sz w:val="18"/>
          <w:szCs w:val="18"/>
        </w:rPr>
      </w:pPr>
      <w:r w:rsidRPr="00D84B87">
        <w:rPr>
          <w:rFonts w:ascii="Arial Narrow" w:eastAsia="Calibri" w:hAnsi="Arial Narrow"/>
          <w:i/>
          <w:iCs/>
          <w:snapToGrid w:val="0"/>
          <w:sz w:val="18"/>
          <w:szCs w:val="18"/>
          <w:vertAlign w:val="superscript"/>
        </w:rPr>
        <w:t>3</w:t>
      </w:r>
      <w:r w:rsidRPr="00D84B87">
        <w:rPr>
          <w:rFonts w:ascii="Arial Narrow" w:eastAsia="Calibri" w:hAnsi="Arial Narrow"/>
          <w:i/>
          <w:iCs/>
          <w:snapToGrid w:val="0"/>
          <w:sz w:val="18"/>
          <w:szCs w:val="18"/>
        </w:rPr>
        <w:t xml:space="preserve"> </w:t>
      </w:r>
      <w:r w:rsidR="00172CB8" w:rsidRPr="00172CB8">
        <w:rPr>
          <w:rFonts w:ascii="Arial Narrow" w:eastAsia="Calibri" w:hAnsi="Arial Narrow"/>
          <w:i/>
          <w:iCs/>
          <w:snapToGrid w:val="0"/>
          <w:sz w:val="18"/>
          <w:szCs w:val="18"/>
        </w:rPr>
        <w:t>$25,000 to &lt; $35,000</w:t>
      </w:r>
    </w:p>
    <w:p w14:paraId="7595BB01" w14:textId="3FC72CBC" w:rsidR="00D84B87" w:rsidRPr="00D84B87" w:rsidRDefault="00D84B87" w:rsidP="00D84B87">
      <w:pPr>
        <w:keepNext/>
        <w:rPr>
          <w:rFonts w:ascii="Arial Narrow" w:eastAsia="Calibri" w:hAnsi="Arial Narrow"/>
          <w:i/>
          <w:iCs/>
          <w:snapToGrid w:val="0"/>
          <w:sz w:val="18"/>
          <w:szCs w:val="18"/>
        </w:rPr>
      </w:pPr>
      <w:r w:rsidRPr="00D84B87">
        <w:rPr>
          <w:rFonts w:ascii="Arial Narrow" w:eastAsia="Calibri" w:hAnsi="Arial Narrow"/>
          <w:i/>
          <w:iCs/>
          <w:snapToGrid w:val="0"/>
          <w:sz w:val="18"/>
          <w:szCs w:val="18"/>
          <w:vertAlign w:val="superscript"/>
        </w:rPr>
        <w:t>4</w:t>
      </w:r>
      <w:r w:rsidRPr="00D84B87">
        <w:rPr>
          <w:rFonts w:ascii="Arial Narrow" w:eastAsia="Calibri" w:hAnsi="Arial Narrow"/>
          <w:i/>
          <w:iCs/>
          <w:snapToGrid w:val="0"/>
          <w:sz w:val="18"/>
          <w:szCs w:val="18"/>
        </w:rPr>
        <w:t xml:space="preserve"> </w:t>
      </w:r>
      <w:r w:rsidR="000747A0" w:rsidRPr="000747A0">
        <w:rPr>
          <w:rFonts w:ascii="Arial Narrow" w:eastAsia="Calibri" w:hAnsi="Arial Narrow"/>
          <w:i/>
          <w:iCs/>
          <w:snapToGrid w:val="0"/>
          <w:sz w:val="18"/>
          <w:szCs w:val="18"/>
        </w:rPr>
        <w:t>$35,000 to &lt; $45,000</w:t>
      </w:r>
    </w:p>
    <w:p w14:paraId="0C341292" w14:textId="33DFD716" w:rsidR="00D84B87" w:rsidRPr="00D84B87" w:rsidRDefault="00D84B87" w:rsidP="00D84B87">
      <w:pPr>
        <w:keepNext/>
        <w:rPr>
          <w:rFonts w:ascii="Arial Narrow" w:eastAsia="Calibri" w:hAnsi="Arial Narrow"/>
          <w:i/>
          <w:iCs/>
          <w:snapToGrid w:val="0"/>
          <w:sz w:val="18"/>
          <w:szCs w:val="18"/>
        </w:rPr>
      </w:pPr>
      <w:r w:rsidRPr="00D84B87">
        <w:rPr>
          <w:rFonts w:ascii="Arial Narrow" w:eastAsia="Calibri" w:hAnsi="Arial Narrow"/>
          <w:i/>
          <w:iCs/>
          <w:snapToGrid w:val="0"/>
          <w:sz w:val="18"/>
          <w:szCs w:val="18"/>
          <w:vertAlign w:val="superscript"/>
        </w:rPr>
        <w:t>5</w:t>
      </w:r>
      <w:r w:rsidRPr="00D84B87">
        <w:rPr>
          <w:rFonts w:ascii="Arial Narrow" w:eastAsia="Calibri" w:hAnsi="Arial Narrow"/>
          <w:i/>
          <w:iCs/>
          <w:snapToGrid w:val="0"/>
          <w:sz w:val="18"/>
          <w:szCs w:val="18"/>
        </w:rPr>
        <w:t xml:space="preserve"> </w:t>
      </w:r>
      <w:r w:rsidR="00497AA8" w:rsidRPr="00497AA8">
        <w:rPr>
          <w:rFonts w:ascii="Arial Narrow" w:eastAsia="Calibri" w:hAnsi="Arial Narrow"/>
          <w:i/>
          <w:iCs/>
          <w:snapToGrid w:val="0"/>
          <w:sz w:val="18"/>
          <w:szCs w:val="18"/>
        </w:rPr>
        <w:t>$45,000 to &lt; $55,000</w:t>
      </w:r>
    </w:p>
    <w:p w14:paraId="4868BE4C" w14:textId="25E572A7" w:rsidR="0050223B" w:rsidRPr="005A5BB7" w:rsidRDefault="00D84B87" w:rsidP="004C397E">
      <w:pPr>
        <w:rPr>
          <w:rFonts w:ascii="Arial Narrow" w:eastAsia="Calibri" w:hAnsi="Arial Narrow"/>
          <w:iCs/>
          <w:snapToGrid w:val="0"/>
          <w:sz w:val="18"/>
          <w:szCs w:val="18"/>
        </w:rPr>
      </w:pPr>
      <w:r w:rsidRPr="00D84B87">
        <w:rPr>
          <w:rFonts w:ascii="Arial Narrow" w:eastAsia="Calibri" w:hAnsi="Arial Narrow"/>
          <w:i/>
          <w:iCs/>
          <w:snapToGrid w:val="0"/>
          <w:sz w:val="18"/>
          <w:szCs w:val="18"/>
          <w:vertAlign w:val="superscript"/>
        </w:rPr>
        <w:t>6</w:t>
      </w:r>
      <w:r w:rsidRPr="00D84B87">
        <w:rPr>
          <w:rFonts w:ascii="Arial Narrow" w:eastAsia="Calibri" w:hAnsi="Arial Narrow"/>
          <w:i/>
          <w:iCs/>
          <w:snapToGrid w:val="0"/>
          <w:sz w:val="18"/>
          <w:szCs w:val="18"/>
        </w:rPr>
        <w:t xml:space="preserve"> </w:t>
      </w:r>
      <w:r w:rsidR="00423930" w:rsidRPr="00423930">
        <w:rPr>
          <w:rFonts w:ascii="Arial Narrow" w:eastAsia="Calibri" w:hAnsi="Arial Narrow"/>
          <w:i/>
          <w:iCs/>
          <w:snapToGrid w:val="0"/>
          <w:sz w:val="18"/>
          <w:szCs w:val="18"/>
        </w:rPr>
        <w:t>$55,000 to &lt; $75,000</w:t>
      </w:r>
    </w:p>
    <w:p w14:paraId="4FDCAE20" w14:textId="7E28C13E" w:rsidR="00BD0226" w:rsidRPr="005A5BB7" w:rsidRDefault="000B506F">
      <w:pPr>
        <w:pStyle w:val="3-BodyText"/>
      </w:pPr>
      <w:r w:rsidRPr="00973405">
        <w:rPr>
          <w:iCs/>
        </w:rPr>
        <w:t>The pre</w:t>
      </w:r>
      <w:r w:rsidR="000E4816">
        <w:rPr>
          <w:iCs/>
        </w:rPr>
        <w:noBreakHyphen/>
      </w:r>
      <w:r w:rsidRPr="00973405">
        <w:rPr>
          <w:iCs/>
        </w:rPr>
        <w:t xml:space="preserve">PBAC response presented alternative analyses including a new base case, which resulted in an ICER of </w:t>
      </w:r>
      <w:r w:rsidR="00423930" w:rsidRPr="00423930">
        <w:rPr>
          <w:iCs/>
        </w:rPr>
        <w:t>$25,000 to &lt; $35,000</w:t>
      </w:r>
      <w:r w:rsidRPr="00973405">
        <w:rPr>
          <w:iCs/>
        </w:rPr>
        <w:t>/QALY for adults 60</w:t>
      </w:r>
      <w:r w:rsidR="000E4816">
        <w:rPr>
          <w:iCs/>
        </w:rPr>
        <w:noBreakHyphen/>
      </w:r>
      <w:r w:rsidRPr="00973405">
        <w:rPr>
          <w:iCs/>
        </w:rPr>
        <w:t xml:space="preserve">74 years when an EHM of 1.79 was applied, and noted the ICER would reduce to </w:t>
      </w:r>
      <w:r w:rsidR="00423930" w:rsidRPr="00423930">
        <w:rPr>
          <w:iCs/>
        </w:rPr>
        <w:t>$15,000 to &lt; $25,000</w:t>
      </w:r>
      <w:r w:rsidRPr="00973405">
        <w:rPr>
          <w:iCs/>
        </w:rPr>
        <w:t>/QALY if the youngest five year cohort of this group was excluded, such that the eligible population would be those with increased risk of severe RSV aged 65 to 74 years.</w:t>
      </w:r>
      <w:r w:rsidR="00DA1339">
        <w:rPr>
          <w:iCs/>
        </w:rPr>
        <w:t xml:space="preserve"> </w:t>
      </w:r>
      <w:r w:rsidR="00BD0226" w:rsidRPr="00973405">
        <w:rPr>
          <w:iCs/>
        </w:rPr>
        <w:t>The sponsor’s analysis applied inputs that were not consistent with previous ESC and PBAC advice, and the results could not be verified.</w:t>
      </w:r>
      <w:r w:rsidR="00DA1339">
        <w:rPr>
          <w:iCs/>
        </w:rPr>
        <w:t xml:space="preserve"> </w:t>
      </w:r>
      <w:r w:rsidR="00973405" w:rsidRPr="00973405">
        <w:rPr>
          <w:iCs/>
        </w:rPr>
        <w:t xml:space="preserve">Applying the inputs from the evaluation (E J K), </w:t>
      </w:r>
      <w:r w:rsidR="00973405">
        <w:rPr>
          <w:iCs/>
        </w:rPr>
        <w:t>t</w:t>
      </w:r>
      <w:r w:rsidR="00973405" w:rsidRPr="00973405">
        <w:rPr>
          <w:iCs/>
        </w:rPr>
        <w:t>he analysis for the population aged 65</w:t>
      </w:r>
      <w:r w:rsidR="000E4816">
        <w:rPr>
          <w:iCs/>
        </w:rPr>
        <w:noBreakHyphen/>
      </w:r>
      <w:r w:rsidR="00973405" w:rsidRPr="00973405">
        <w:rPr>
          <w:iCs/>
        </w:rPr>
        <w:t>74 years at increased risk of severe RSV using EHM=1.79, and age 65</w:t>
      </w:r>
      <w:r w:rsidR="000E4816">
        <w:rPr>
          <w:iCs/>
        </w:rPr>
        <w:noBreakHyphen/>
      </w:r>
      <w:r w:rsidR="00973405" w:rsidRPr="00973405">
        <w:rPr>
          <w:iCs/>
        </w:rPr>
        <w:t xml:space="preserve">74 resulted in an ICER of </w:t>
      </w:r>
      <w:r w:rsidR="00423930" w:rsidRPr="00423930">
        <w:rPr>
          <w:iCs/>
        </w:rPr>
        <w:t>$25,000 to &lt; $35,000</w:t>
      </w:r>
      <w:r w:rsidR="00973405" w:rsidRPr="00973405">
        <w:rPr>
          <w:iCs/>
        </w:rPr>
        <w:t>/QALY (</w:t>
      </w:r>
      <w:r w:rsidR="00973405" w:rsidRPr="00973405">
        <w:rPr>
          <w:iCs/>
        </w:rPr>
        <w:fldChar w:fldCharType="begin"/>
      </w:r>
      <w:r w:rsidR="00973405" w:rsidRPr="00973405">
        <w:rPr>
          <w:iCs/>
        </w:rPr>
        <w:instrText xml:space="preserve"> REF _Ref216287804 \h </w:instrText>
      </w:r>
      <w:r w:rsidR="00973405" w:rsidRPr="00973405">
        <w:rPr>
          <w:iCs/>
        </w:rPr>
      </w:r>
      <w:r w:rsidR="00973405" w:rsidRPr="00973405">
        <w:rPr>
          <w:iCs/>
        </w:rPr>
        <w:fldChar w:fldCharType="separate"/>
      </w:r>
      <w:r w:rsidR="0043658C" w:rsidRPr="005A5BB7">
        <w:rPr>
          <w:rFonts w:cs="Times New Roman"/>
          <w:szCs w:val="20"/>
        </w:rPr>
        <w:t xml:space="preserve">Table </w:t>
      </w:r>
      <w:r w:rsidR="0043658C">
        <w:rPr>
          <w:rFonts w:cs="Times New Roman"/>
          <w:noProof/>
          <w:szCs w:val="20"/>
        </w:rPr>
        <w:t>23</w:t>
      </w:r>
      <w:r w:rsidR="00973405" w:rsidRPr="00973405">
        <w:rPr>
          <w:iCs/>
        </w:rPr>
        <w:fldChar w:fldCharType="end"/>
      </w:r>
      <w:r w:rsidR="00973405" w:rsidRPr="00973405">
        <w:rPr>
          <w:iCs/>
        </w:rPr>
        <w:t>).</w:t>
      </w:r>
    </w:p>
    <w:p w14:paraId="0F5F4203" w14:textId="7C8A72BD" w:rsidR="000B5C35" w:rsidRPr="005A5BB7" w:rsidRDefault="00A02461" w:rsidP="00993128">
      <w:pPr>
        <w:pStyle w:val="3-BodyText"/>
      </w:pPr>
      <w:r w:rsidRPr="005A5BB7">
        <w:t>The pre</w:t>
      </w:r>
      <w:r w:rsidR="000E4816">
        <w:noBreakHyphen/>
      </w:r>
      <w:r w:rsidRPr="005A5BB7">
        <w:t>PBAC response also presented an all</w:t>
      </w:r>
      <w:r w:rsidR="000E4816">
        <w:noBreakHyphen/>
      </w:r>
      <w:r w:rsidRPr="005A5BB7">
        <w:t xml:space="preserve">comers analysis which resulted in an ICER of </w:t>
      </w:r>
      <w:r w:rsidR="00423930" w:rsidRPr="00423930">
        <w:t>$45,000 to &lt; $55,000</w:t>
      </w:r>
      <w:r w:rsidRPr="005A5BB7">
        <w:t>/QALY for adults aged 60 to 74 years.</w:t>
      </w:r>
      <w:r w:rsidR="00DA1339">
        <w:t xml:space="preserve"> </w:t>
      </w:r>
      <w:r w:rsidR="00BD0226" w:rsidRPr="005A5BB7">
        <w:t xml:space="preserve">The sponsor’s analysis applied inputs that were not consistent with previous ESC and PBAC advice, and the results could not be verified. </w:t>
      </w:r>
    </w:p>
    <w:p w14:paraId="164580B6" w14:textId="314A44EB" w:rsidR="004B2C56" w:rsidRPr="005A5BB7" w:rsidRDefault="004B2C56" w:rsidP="00993128">
      <w:pPr>
        <w:pStyle w:val="3-BodyText"/>
      </w:pPr>
      <w:r w:rsidRPr="005A5BB7">
        <w:t>The PBAC noted that the sponsor presented a revised base case in its pre</w:t>
      </w:r>
      <w:r w:rsidR="000E4816">
        <w:noBreakHyphen/>
      </w:r>
      <w:r w:rsidRPr="005A5BB7">
        <w:t>PBAC response, however considered it was not suitable for decision making as it applied several inputs that were not consistent with previous PBAC advice, for example in relation to duration of VE, which the PBAC advised should be no more than 3 years based on currently available clinical data.</w:t>
      </w:r>
    </w:p>
    <w:p w14:paraId="17FE186A" w14:textId="77777777" w:rsidR="004C397E" w:rsidRPr="005A5BB7" w:rsidRDefault="004C397E" w:rsidP="00D50990">
      <w:pPr>
        <w:pStyle w:val="4-SubsectionHeading"/>
      </w:pPr>
      <w:bookmarkStart w:id="90" w:name="_Toc219882187"/>
      <w:r w:rsidRPr="005A5BB7">
        <w:t>RSVPreF3 OA cost per person</w:t>
      </w:r>
      <w:bookmarkEnd w:id="90"/>
    </w:p>
    <w:p w14:paraId="47961858" w14:textId="69042B2F" w:rsidR="00910D76" w:rsidRPr="005A5BB7" w:rsidRDefault="004C397E">
      <w:pPr>
        <w:pStyle w:val="3-BodyText"/>
        <w:rPr>
          <w:iCs/>
        </w:rPr>
      </w:pPr>
      <w:bookmarkStart w:id="91" w:name="_Ref104805102"/>
      <w:r w:rsidRPr="005A5BB7">
        <w:t xml:space="preserve">The </w:t>
      </w:r>
      <w:r w:rsidR="00910D76" w:rsidRPr="005A5BB7">
        <w:t>proposed cost of RSVPreF3 OA per administration is $</w:t>
      </w:r>
      <w:r w:rsidR="00F15B97" w:rsidRPr="00F15B97">
        <w:rPr>
          <w:sz w:val="2"/>
          <w:highlight w:val="black"/>
        </w:rPr>
        <w:t>redacted content</w:t>
      </w:r>
      <w:r w:rsidR="00910D76" w:rsidRPr="005A5BB7">
        <w:t xml:space="preserve"> based on the price proposed in the PSCR. </w:t>
      </w:r>
    </w:p>
    <w:p w14:paraId="583C6949" w14:textId="77777777" w:rsidR="004C397E" w:rsidRPr="005A5BB7" w:rsidRDefault="004C397E" w:rsidP="00E64E39">
      <w:pPr>
        <w:pStyle w:val="4-SubsectionHeading"/>
      </w:pPr>
      <w:bookmarkStart w:id="92" w:name="_Toc22897647"/>
      <w:bookmarkStart w:id="93" w:name="_Toc219882188"/>
      <w:bookmarkEnd w:id="91"/>
      <w:r w:rsidRPr="005A5BB7">
        <w:t>Estimated PBS usage &amp; financial implications</w:t>
      </w:r>
      <w:bookmarkEnd w:id="92"/>
      <w:bookmarkEnd w:id="93"/>
    </w:p>
    <w:p w14:paraId="209FF3B5" w14:textId="50FB91B0" w:rsidR="004C397E" w:rsidRPr="005A5BB7" w:rsidRDefault="004C397E" w:rsidP="004C397E">
      <w:pPr>
        <w:pStyle w:val="3-BodyText"/>
        <w:rPr>
          <w:color w:val="0066FF"/>
        </w:rPr>
      </w:pPr>
      <w:r w:rsidRPr="005A5BB7">
        <w:t>This submission w</w:t>
      </w:r>
      <w:r w:rsidR="00853C70" w:rsidRPr="005A5BB7">
        <w:t>as</w:t>
      </w:r>
      <w:r w:rsidRPr="005A5BB7">
        <w:t xml:space="preserve"> not considered by DUSC</w:t>
      </w:r>
      <w:r w:rsidRPr="005A5BB7">
        <w:rPr>
          <w:color w:val="0070C0"/>
        </w:rPr>
        <w:t xml:space="preserve">. </w:t>
      </w:r>
    </w:p>
    <w:p w14:paraId="5152130E" w14:textId="6201B55F" w:rsidR="008B50EB" w:rsidRPr="005A5BB7" w:rsidRDefault="004C397E">
      <w:pPr>
        <w:pStyle w:val="3-BodyText"/>
      </w:pPr>
      <w:r w:rsidRPr="005A5BB7">
        <w:t>The March 2026 resubmission presented the financial impact of introducing a single dose of RSVPreF3 OA onto the NIP for adults: ≥75 YOA; Aboriginal and Torres Strait Islander people 60</w:t>
      </w:r>
      <w:r w:rsidR="000E4816">
        <w:noBreakHyphen/>
      </w:r>
      <w:r w:rsidRPr="005A5BB7">
        <w:t xml:space="preserve">74 YOA; and </w:t>
      </w:r>
      <w:bookmarkStart w:id="94" w:name="_Hlk219126472"/>
      <w:r w:rsidRPr="005A5BB7">
        <w:t>adults 60</w:t>
      </w:r>
      <w:r w:rsidR="000E4816">
        <w:noBreakHyphen/>
      </w:r>
      <w:r w:rsidRPr="005A5BB7">
        <w:t>74 YOA at increased risk of severe RSV disease</w:t>
      </w:r>
      <w:bookmarkEnd w:id="94"/>
      <w:r w:rsidRPr="005A5BB7">
        <w:t xml:space="preserve">. This was consistent with the requested NIP listing. </w:t>
      </w:r>
      <w:r w:rsidR="00B72491" w:rsidRPr="005A5BB7">
        <w:t xml:space="preserve">However, </w:t>
      </w:r>
      <w:r w:rsidR="0007502C" w:rsidRPr="005A5BB7">
        <w:t xml:space="preserve">two of the </w:t>
      </w:r>
      <w:r w:rsidR="0007502C" w:rsidRPr="005A5BB7">
        <w:lastRenderedPageBreak/>
        <w:t xml:space="preserve">populations were previously recommended for NIP listing, and therefore </w:t>
      </w:r>
      <w:r w:rsidR="00E414A6" w:rsidRPr="005A5BB7">
        <w:t xml:space="preserve">the key information for consideration at the March 2026 meeting </w:t>
      </w:r>
      <w:r w:rsidR="0007502C" w:rsidRPr="005A5BB7">
        <w:t>was</w:t>
      </w:r>
      <w:r w:rsidR="00E414A6" w:rsidRPr="005A5BB7">
        <w:t xml:space="preserve"> the incremental cost of the proposed NIP listing for adults 60</w:t>
      </w:r>
      <w:r w:rsidR="000E4816">
        <w:noBreakHyphen/>
      </w:r>
      <w:r w:rsidR="00E414A6" w:rsidRPr="005A5BB7">
        <w:t>74 YOA at increased risk of severe RSV disease.</w:t>
      </w:r>
    </w:p>
    <w:p w14:paraId="5DCC2465" w14:textId="1EAC5F32" w:rsidR="005821D3" w:rsidRPr="005A5BB7" w:rsidRDefault="004C397E" w:rsidP="005821D3">
      <w:pPr>
        <w:pStyle w:val="3-BodyText"/>
      </w:pPr>
      <w:r w:rsidRPr="005A5BB7">
        <w:t xml:space="preserve">The resubmission used an epidemiological approach to estimate the eligible population. Key inputs used by the resubmission are presented in </w:t>
      </w:r>
      <w:r w:rsidRPr="005A5BB7">
        <w:fldChar w:fldCharType="begin"/>
      </w:r>
      <w:r w:rsidRPr="005A5BB7">
        <w:instrText xml:space="preserve"> REF _Ref104805262 \h </w:instrText>
      </w:r>
      <w:r w:rsidR="00AD43ED" w:rsidRPr="005A5BB7">
        <w:instrText xml:space="preserve"> \* MERGEFORMAT </w:instrText>
      </w:r>
      <w:r w:rsidRPr="005A5BB7">
        <w:fldChar w:fldCharType="separate"/>
      </w:r>
      <w:r w:rsidR="0043658C" w:rsidRPr="005A5BB7">
        <w:t xml:space="preserve">Table </w:t>
      </w:r>
      <w:r w:rsidR="0043658C">
        <w:t>24</w:t>
      </w:r>
      <w:r w:rsidRPr="005A5BB7">
        <w:fldChar w:fldCharType="end"/>
      </w:r>
      <w:r w:rsidRPr="005A5BB7">
        <w:t>.</w:t>
      </w:r>
    </w:p>
    <w:p w14:paraId="56258835" w14:textId="0219DDA7" w:rsidR="004C397E" w:rsidRPr="005A5BB7" w:rsidRDefault="004C397E" w:rsidP="005821D3">
      <w:pPr>
        <w:pStyle w:val="Caption"/>
        <w:rPr>
          <w:rStyle w:val="CommentReference"/>
          <w:b/>
          <w:szCs w:val="24"/>
        </w:rPr>
      </w:pPr>
      <w:bookmarkStart w:id="95" w:name="_Ref104805262"/>
      <w:r w:rsidRPr="005A5BB7">
        <w:t xml:space="preserve">Table </w:t>
      </w:r>
      <w:r w:rsidRPr="005A5BB7">
        <w:fldChar w:fldCharType="begin"/>
      </w:r>
      <w:r w:rsidRPr="005A5BB7">
        <w:instrText>SEQ Table \* ARABIC</w:instrText>
      </w:r>
      <w:r w:rsidRPr="005A5BB7">
        <w:fldChar w:fldCharType="separate"/>
      </w:r>
      <w:r w:rsidR="0043658C">
        <w:rPr>
          <w:noProof/>
        </w:rPr>
        <w:t>24</w:t>
      </w:r>
      <w:r w:rsidRPr="005A5BB7">
        <w:fldChar w:fldCharType="end"/>
      </w:r>
      <w:bookmarkEnd w:id="95"/>
      <w:r w:rsidRPr="005A5BB7">
        <w:t>:</w:t>
      </w:r>
      <w:r w:rsidRPr="005A5BB7">
        <w:rPr>
          <w:rStyle w:val="CommentReference"/>
          <w:b/>
          <w:szCs w:val="24"/>
        </w:rPr>
        <w:t xml:space="preserve"> Key inputs for financial estimates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4: Key inputs for financial estimates"/>
      </w:tblPr>
      <w:tblGrid>
        <w:gridCol w:w="1412"/>
        <w:gridCol w:w="2413"/>
        <w:gridCol w:w="2752"/>
        <w:gridCol w:w="2352"/>
      </w:tblGrid>
      <w:tr w:rsidR="004C397E" w:rsidRPr="005A5BB7" w14:paraId="44A0DD6E" w14:textId="77777777" w:rsidTr="005B71B5">
        <w:trPr>
          <w:cantSplit/>
          <w:tblHeader/>
        </w:trPr>
        <w:tc>
          <w:tcPr>
            <w:tcW w:w="791" w:type="pct"/>
            <w:vAlign w:val="center"/>
          </w:tcPr>
          <w:p w14:paraId="78E745BF" w14:textId="77777777" w:rsidR="004C397E" w:rsidRPr="005A5BB7" w:rsidRDefault="004C397E" w:rsidP="005821D3">
            <w:pPr>
              <w:pStyle w:val="TableFigureHeading"/>
            </w:pPr>
            <w:r w:rsidRPr="005A5BB7">
              <w:t>Data</w:t>
            </w:r>
          </w:p>
        </w:tc>
        <w:tc>
          <w:tcPr>
            <w:tcW w:w="2892" w:type="pct"/>
            <w:gridSpan w:val="2"/>
            <w:vAlign w:val="center"/>
          </w:tcPr>
          <w:p w14:paraId="5B6BB130" w14:textId="77777777" w:rsidR="004C397E" w:rsidRPr="005A5BB7" w:rsidRDefault="004C397E" w:rsidP="005821D3">
            <w:pPr>
              <w:pStyle w:val="TableFigureHeading"/>
            </w:pPr>
            <w:r w:rsidRPr="005A5BB7">
              <w:t>Value applied source</w:t>
            </w:r>
          </w:p>
        </w:tc>
        <w:tc>
          <w:tcPr>
            <w:tcW w:w="1317" w:type="pct"/>
            <w:vAlign w:val="center"/>
          </w:tcPr>
          <w:p w14:paraId="4D796191" w14:textId="77777777" w:rsidR="004C397E" w:rsidRPr="005A5BB7" w:rsidRDefault="004C397E" w:rsidP="005821D3">
            <w:pPr>
              <w:pStyle w:val="TableFigureHeading"/>
            </w:pPr>
            <w:r w:rsidRPr="005A5BB7">
              <w:t>Comment</w:t>
            </w:r>
          </w:p>
        </w:tc>
      </w:tr>
      <w:tr w:rsidR="00AB626E" w:rsidRPr="005A5BB7" w14:paraId="07186DF7" w14:textId="77777777" w:rsidTr="005B71B5">
        <w:trPr>
          <w:cantSplit/>
          <w:trHeight w:val="816"/>
        </w:trPr>
        <w:tc>
          <w:tcPr>
            <w:tcW w:w="791" w:type="pct"/>
            <w:vMerge w:val="restart"/>
            <w:vAlign w:val="center"/>
          </w:tcPr>
          <w:p w14:paraId="7A3B01B7" w14:textId="69E69627" w:rsidR="00AB626E" w:rsidRPr="005A5BB7" w:rsidRDefault="00AB626E" w:rsidP="005821D3">
            <w:pPr>
              <w:pStyle w:val="Tabletext"/>
              <w:keepNext/>
            </w:pPr>
            <w:r w:rsidRPr="005A5BB7">
              <w:t>Prevalent population</w:t>
            </w:r>
          </w:p>
        </w:tc>
        <w:tc>
          <w:tcPr>
            <w:tcW w:w="1351" w:type="pct"/>
            <w:vMerge w:val="restart"/>
            <w:vAlign w:val="center"/>
          </w:tcPr>
          <w:p w14:paraId="44BDCDF4" w14:textId="3F5DFFE7" w:rsidR="00AB626E" w:rsidRPr="00C60699" w:rsidRDefault="00AB626E" w:rsidP="005821D3">
            <w:pPr>
              <w:pStyle w:val="Tabletext"/>
              <w:keepNext/>
              <w:rPr>
                <w:u w:val="single"/>
              </w:rPr>
            </w:pPr>
            <w:r w:rsidRPr="00C60699">
              <w:rPr>
                <w:u w:val="single"/>
              </w:rPr>
              <w:t>60</w:t>
            </w:r>
            <w:r w:rsidR="000E4816" w:rsidRPr="00C60699">
              <w:rPr>
                <w:u w:val="single"/>
              </w:rPr>
              <w:noBreakHyphen/>
            </w:r>
            <w:r w:rsidRPr="00C60699">
              <w:rPr>
                <w:u w:val="single"/>
              </w:rPr>
              <w:t>74 at increased risk of severe RSV disease</w:t>
            </w:r>
          </w:p>
          <w:p w14:paraId="4092E8E0" w14:textId="77777777" w:rsidR="00AB626E" w:rsidRPr="00C60699" w:rsidRDefault="00AB626E" w:rsidP="005821D3">
            <w:pPr>
              <w:pStyle w:val="Tabletext"/>
              <w:keepNext/>
            </w:pPr>
            <w:r w:rsidRPr="00C60699">
              <w:t>1,706,556</w:t>
            </w:r>
          </w:p>
        </w:tc>
        <w:tc>
          <w:tcPr>
            <w:tcW w:w="1541" w:type="pct"/>
            <w:vAlign w:val="center"/>
          </w:tcPr>
          <w:p w14:paraId="5EFCAE0B" w14:textId="77777777" w:rsidR="00AB626E" w:rsidRPr="00C60699" w:rsidRDefault="00AB626E" w:rsidP="00E113F2">
            <w:pPr>
              <w:pStyle w:val="Tabletext"/>
              <w:keepNext/>
              <w:numPr>
                <w:ilvl w:val="0"/>
                <w:numId w:val="27"/>
              </w:numPr>
              <w:ind w:left="229" w:hanging="229"/>
            </w:pPr>
            <w:r w:rsidRPr="00C60699">
              <w:rPr>
                <w:rFonts w:cs="Calibri"/>
                <w:color w:val="000000"/>
                <w:szCs w:val="20"/>
              </w:rPr>
              <w:t xml:space="preserve">2027 population based on </w:t>
            </w:r>
            <w:r w:rsidRPr="00C60699">
              <w:t>ABS Population Projections, Australia, 2018 (base). (Series 3222.0). (ABS, 2018)</w:t>
            </w:r>
          </w:p>
          <w:p w14:paraId="1EADBF94" w14:textId="77777777" w:rsidR="00AB626E" w:rsidRPr="00C60699" w:rsidRDefault="00AB626E" w:rsidP="00E113F2">
            <w:pPr>
              <w:pStyle w:val="Tabletext"/>
              <w:keepNext/>
              <w:numPr>
                <w:ilvl w:val="0"/>
                <w:numId w:val="27"/>
              </w:numPr>
              <w:ind w:left="229" w:hanging="229"/>
            </w:pPr>
            <w:r w:rsidRPr="00C60699">
              <w:t>Aboriginal and Torres Strait Islander peoples taken out.</w:t>
            </w:r>
          </w:p>
        </w:tc>
        <w:tc>
          <w:tcPr>
            <w:tcW w:w="1317" w:type="pct"/>
            <w:vAlign w:val="center"/>
          </w:tcPr>
          <w:p w14:paraId="23BC3A61" w14:textId="4AADC75F" w:rsidR="00AB626E" w:rsidRPr="005A5BB7" w:rsidRDefault="00AB626E" w:rsidP="005821D3">
            <w:pPr>
              <w:pStyle w:val="Tabletext"/>
              <w:keepNext/>
            </w:pPr>
            <w:r w:rsidRPr="005A5BB7">
              <w:t>The evaluation considered this was reasonable</w:t>
            </w:r>
          </w:p>
        </w:tc>
      </w:tr>
      <w:tr w:rsidR="00AB626E" w:rsidRPr="005A5BB7" w14:paraId="2EA03469" w14:textId="77777777" w:rsidTr="005B71B5">
        <w:trPr>
          <w:cantSplit/>
          <w:trHeight w:val="958"/>
        </w:trPr>
        <w:tc>
          <w:tcPr>
            <w:tcW w:w="791" w:type="pct"/>
            <w:vMerge/>
            <w:vAlign w:val="center"/>
          </w:tcPr>
          <w:p w14:paraId="4F3F3E39" w14:textId="77777777" w:rsidR="00AB626E" w:rsidRPr="005A5BB7" w:rsidRDefault="00AB626E" w:rsidP="00AB626E">
            <w:pPr>
              <w:pStyle w:val="Tabletext"/>
            </w:pPr>
          </w:p>
        </w:tc>
        <w:tc>
          <w:tcPr>
            <w:tcW w:w="1351" w:type="pct"/>
            <w:vMerge/>
            <w:vAlign w:val="center"/>
          </w:tcPr>
          <w:p w14:paraId="4842F1F7" w14:textId="77777777" w:rsidR="00AB626E" w:rsidRPr="00C60699" w:rsidRDefault="00AB626E" w:rsidP="00AB626E">
            <w:pPr>
              <w:pStyle w:val="Tabletext"/>
              <w:rPr>
                <w:u w:val="single"/>
              </w:rPr>
            </w:pPr>
          </w:p>
        </w:tc>
        <w:tc>
          <w:tcPr>
            <w:tcW w:w="1541" w:type="pct"/>
            <w:vAlign w:val="center"/>
          </w:tcPr>
          <w:p w14:paraId="4B4961BA" w14:textId="6D05C2F3" w:rsidR="00AB626E" w:rsidRPr="00C60699" w:rsidRDefault="00AB626E" w:rsidP="00E113F2">
            <w:pPr>
              <w:pStyle w:val="Tabletext"/>
              <w:numPr>
                <w:ilvl w:val="0"/>
                <w:numId w:val="27"/>
              </w:numPr>
              <w:ind w:left="229" w:hanging="229"/>
            </w:pPr>
            <w:r w:rsidRPr="00C60699">
              <w:t>Proportion with at least one at</w:t>
            </w:r>
            <w:r w:rsidR="000E4816" w:rsidRPr="00C60699">
              <w:noBreakHyphen/>
            </w:r>
            <w:r w:rsidRPr="00C60699">
              <w:t>risk condition: 40.22% based on obesity prevalence (ABS National Health Survey 2022)</w:t>
            </w:r>
          </w:p>
        </w:tc>
        <w:tc>
          <w:tcPr>
            <w:tcW w:w="1317" w:type="pct"/>
            <w:vAlign w:val="center"/>
          </w:tcPr>
          <w:p w14:paraId="593703F8" w14:textId="5D9A53B1" w:rsidR="00AB626E" w:rsidRPr="005A5BB7" w:rsidRDefault="00AB626E" w:rsidP="00763884">
            <w:pPr>
              <w:pStyle w:val="Tabletext"/>
            </w:pPr>
            <w:r w:rsidRPr="005A5BB7">
              <w:t xml:space="preserve">Underestimate. Lower than ATAGI’s previous advice as discussed in paragraph </w:t>
            </w:r>
            <w:r w:rsidRPr="005A5BB7">
              <w:fldChar w:fldCharType="begin"/>
            </w:r>
            <w:r w:rsidRPr="005A5BB7">
              <w:instrText xml:space="preserve"> REF _Ref219127373 \r \h  \* MERGEFORMAT </w:instrText>
            </w:r>
            <w:r w:rsidRPr="005A5BB7">
              <w:fldChar w:fldCharType="separate"/>
            </w:r>
            <w:r w:rsidR="0043658C">
              <w:t>6.101</w:t>
            </w:r>
            <w:r w:rsidRPr="005A5BB7">
              <w:fldChar w:fldCharType="end"/>
            </w:r>
            <w:r w:rsidRPr="005A5BB7">
              <w:t xml:space="preserve"> (60</w:t>
            </w:r>
            <w:r w:rsidR="000E4816">
              <w:noBreakHyphen/>
            </w:r>
            <w:r w:rsidRPr="005A5BB7">
              <w:t>64 YOA: 49%; 65</w:t>
            </w:r>
            <w:r w:rsidR="000E4816">
              <w:noBreakHyphen/>
            </w:r>
            <w:r w:rsidRPr="005A5BB7">
              <w:t>69 YOA: 58%; 70</w:t>
            </w:r>
            <w:r w:rsidR="000E4816">
              <w:noBreakHyphen/>
            </w:r>
            <w:r w:rsidRPr="005A5BB7">
              <w:t>74 YOA: 67%) (ATAGI Advice, March 2025).</w:t>
            </w:r>
          </w:p>
        </w:tc>
      </w:tr>
      <w:tr w:rsidR="00AB626E" w:rsidRPr="005A5BB7" w14:paraId="46671F1C" w14:textId="77777777" w:rsidTr="005B71B5">
        <w:trPr>
          <w:cantSplit/>
          <w:trHeight w:val="1556"/>
        </w:trPr>
        <w:tc>
          <w:tcPr>
            <w:tcW w:w="791" w:type="pct"/>
            <w:vMerge w:val="restart"/>
            <w:vAlign w:val="center"/>
          </w:tcPr>
          <w:p w14:paraId="34B9F504" w14:textId="5DF47AE6" w:rsidR="00AB626E" w:rsidRPr="005A5BB7" w:rsidRDefault="00AB626E" w:rsidP="00AB626E">
            <w:pPr>
              <w:pStyle w:val="Tabletext"/>
            </w:pPr>
            <w:r w:rsidRPr="005A5BB7">
              <w:t>Incident population</w:t>
            </w:r>
          </w:p>
        </w:tc>
        <w:tc>
          <w:tcPr>
            <w:tcW w:w="1351" w:type="pct"/>
            <w:vMerge w:val="restart"/>
            <w:vAlign w:val="center"/>
          </w:tcPr>
          <w:p w14:paraId="5CF969F4" w14:textId="25889095" w:rsidR="00AB626E" w:rsidRPr="00C60699" w:rsidRDefault="00AB626E" w:rsidP="00AB626E">
            <w:pPr>
              <w:pStyle w:val="Tabletext"/>
              <w:rPr>
                <w:u w:val="single"/>
              </w:rPr>
            </w:pPr>
            <w:r w:rsidRPr="00C60699">
              <w:rPr>
                <w:u w:val="single"/>
              </w:rPr>
              <w:t>60</w:t>
            </w:r>
            <w:r w:rsidR="000E4816" w:rsidRPr="00C60699">
              <w:rPr>
                <w:u w:val="single"/>
              </w:rPr>
              <w:noBreakHyphen/>
            </w:r>
            <w:r w:rsidRPr="00C60699">
              <w:rPr>
                <w:u w:val="single"/>
              </w:rPr>
              <w:t>74 at increased risk of severe RSV disease</w:t>
            </w:r>
          </w:p>
          <w:p w14:paraId="67629044" w14:textId="77777777" w:rsidR="00AB626E" w:rsidRPr="00C60699" w:rsidRDefault="00AB626E" w:rsidP="00AB626E">
            <w:pPr>
              <w:pStyle w:val="Tabletext"/>
              <w:rPr>
                <w:u w:val="single"/>
              </w:rPr>
            </w:pPr>
            <w:r w:rsidRPr="00C60699">
              <w:t>Yr 1: 24,808 to Yr 6: 26,871</w:t>
            </w:r>
          </w:p>
        </w:tc>
        <w:tc>
          <w:tcPr>
            <w:tcW w:w="1541" w:type="pct"/>
            <w:vAlign w:val="center"/>
          </w:tcPr>
          <w:p w14:paraId="4B4561F6" w14:textId="77777777" w:rsidR="00AB626E" w:rsidRPr="00C60699" w:rsidRDefault="00AB626E" w:rsidP="00E113F2">
            <w:pPr>
              <w:pStyle w:val="Tabletext"/>
              <w:numPr>
                <w:ilvl w:val="0"/>
                <w:numId w:val="27"/>
              </w:numPr>
              <w:ind w:left="229" w:hanging="229"/>
            </w:pPr>
            <w:r w:rsidRPr="00C60699">
              <w:rPr>
                <w:rFonts w:cs="Calibri"/>
                <w:color w:val="000000"/>
                <w:szCs w:val="20"/>
              </w:rPr>
              <w:t xml:space="preserve">2027 population based on </w:t>
            </w:r>
            <w:r w:rsidRPr="00C60699">
              <w:t>ABS Population Projections, Australia, 2018 (base). (Series 3222.0). (ABS, 2018)</w:t>
            </w:r>
          </w:p>
          <w:p w14:paraId="3FCBEB5D" w14:textId="77777777" w:rsidR="00AB626E" w:rsidRPr="00C60699" w:rsidRDefault="00AB626E" w:rsidP="00E113F2">
            <w:pPr>
              <w:pStyle w:val="Tabletext"/>
              <w:numPr>
                <w:ilvl w:val="0"/>
                <w:numId w:val="27"/>
              </w:numPr>
              <w:ind w:left="229" w:hanging="229"/>
            </w:pPr>
            <w:r w:rsidRPr="00C60699">
              <w:t>Aboriginal and Torres Strait Islander peoples taken out.</w:t>
            </w:r>
          </w:p>
        </w:tc>
        <w:tc>
          <w:tcPr>
            <w:tcW w:w="1317" w:type="pct"/>
            <w:vAlign w:val="center"/>
          </w:tcPr>
          <w:p w14:paraId="0D113631" w14:textId="77777777" w:rsidR="00AB626E" w:rsidRPr="005A5BB7" w:rsidRDefault="00AB626E" w:rsidP="00AB626E">
            <w:pPr>
              <w:pStyle w:val="Tabletext"/>
            </w:pPr>
          </w:p>
          <w:p w14:paraId="68589C63" w14:textId="77777777" w:rsidR="00AB626E" w:rsidRPr="005A5BB7" w:rsidRDefault="00AB626E" w:rsidP="00AB626E">
            <w:pPr>
              <w:pStyle w:val="Tabletext"/>
            </w:pPr>
          </w:p>
          <w:p w14:paraId="5014BB6D" w14:textId="79B38133" w:rsidR="00AB626E" w:rsidRPr="005A5BB7" w:rsidRDefault="00AB626E" w:rsidP="00AB626E">
            <w:pPr>
              <w:pStyle w:val="Tabletext"/>
            </w:pPr>
            <w:r w:rsidRPr="005A5BB7">
              <w:t xml:space="preserve">The evaluation considered this was reasonable </w:t>
            </w:r>
          </w:p>
        </w:tc>
      </w:tr>
      <w:tr w:rsidR="00AB626E" w:rsidRPr="005A5BB7" w14:paraId="4D7290A2" w14:textId="77777777" w:rsidTr="005B71B5">
        <w:trPr>
          <w:cantSplit/>
          <w:trHeight w:val="1009"/>
        </w:trPr>
        <w:tc>
          <w:tcPr>
            <w:tcW w:w="791" w:type="pct"/>
            <w:vMerge/>
            <w:vAlign w:val="center"/>
          </w:tcPr>
          <w:p w14:paraId="7D215F31" w14:textId="77777777" w:rsidR="00AB626E" w:rsidRPr="005A5BB7" w:rsidRDefault="00AB626E" w:rsidP="00AB626E">
            <w:pPr>
              <w:pStyle w:val="Tabletext"/>
            </w:pPr>
          </w:p>
        </w:tc>
        <w:tc>
          <w:tcPr>
            <w:tcW w:w="1351" w:type="pct"/>
            <w:vMerge/>
            <w:vAlign w:val="center"/>
          </w:tcPr>
          <w:p w14:paraId="044DDBD5" w14:textId="77777777" w:rsidR="00AB626E" w:rsidRPr="00C60699" w:rsidRDefault="00AB626E" w:rsidP="00AB626E">
            <w:pPr>
              <w:pStyle w:val="Tabletext"/>
              <w:rPr>
                <w:u w:val="single"/>
              </w:rPr>
            </w:pPr>
          </w:p>
        </w:tc>
        <w:tc>
          <w:tcPr>
            <w:tcW w:w="1541" w:type="pct"/>
            <w:vAlign w:val="center"/>
          </w:tcPr>
          <w:p w14:paraId="39F725C3" w14:textId="6481E634" w:rsidR="00AB626E" w:rsidRPr="00C60699" w:rsidRDefault="00AB626E" w:rsidP="00E113F2">
            <w:pPr>
              <w:pStyle w:val="Tabletext"/>
              <w:numPr>
                <w:ilvl w:val="0"/>
                <w:numId w:val="27"/>
              </w:numPr>
              <w:ind w:left="229" w:hanging="229"/>
              <w:rPr>
                <w:rFonts w:cs="Calibri"/>
                <w:color w:val="000000"/>
                <w:szCs w:val="20"/>
              </w:rPr>
            </w:pPr>
            <w:r w:rsidRPr="00C60699">
              <w:t>Proportion with at least one at</w:t>
            </w:r>
            <w:r w:rsidR="000E4816" w:rsidRPr="00C60699">
              <w:noBreakHyphen/>
            </w:r>
            <w:r w:rsidRPr="00C60699">
              <w:t>risk condition: 40.22% based on obesity prevalence (ABS National Health Survey 2022)</w:t>
            </w:r>
          </w:p>
        </w:tc>
        <w:tc>
          <w:tcPr>
            <w:tcW w:w="1317" w:type="pct"/>
            <w:vAlign w:val="center"/>
          </w:tcPr>
          <w:p w14:paraId="59708A32" w14:textId="2997FD4C" w:rsidR="00AB626E" w:rsidRPr="005A5BB7" w:rsidRDefault="00AB626E" w:rsidP="00AB626E">
            <w:pPr>
              <w:pStyle w:val="Tabletext"/>
            </w:pPr>
            <w:r w:rsidRPr="005A5BB7">
              <w:t>Underestimate. Lower than ATAGI’s advice regarding prevalence (60</w:t>
            </w:r>
            <w:r w:rsidR="000E4816">
              <w:noBreakHyphen/>
            </w:r>
            <w:r w:rsidRPr="005A5BB7">
              <w:t>64 YOA: 49%; 65</w:t>
            </w:r>
            <w:r w:rsidR="000E4816">
              <w:noBreakHyphen/>
            </w:r>
            <w:r w:rsidRPr="005A5BB7">
              <w:t>69 YOA: 58%; 70</w:t>
            </w:r>
            <w:r w:rsidR="000E4816">
              <w:noBreakHyphen/>
            </w:r>
            <w:r w:rsidRPr="005A5BB7">
              <w:t>74 YOA: 67%) ( ATAGI Advice, March 2025).</w:t>
            </w:r>
          </w:p>
        </w:tc>
      </w:tr>
      <w:tr w:rsidR="00AB626E" w:rsidRPr="005A5BB7" w14:paraId="65D7549F" w14:textId="77777777" w:rsidTr="005B71B5">
        <w:trPr>
          <w:cantSplit/>
          <w:trHeight w:val="1842"/>
        </w:trPr>
        <w:tc>
          <w:tcPr>
            <w:tcW w:w="791" w:type="pct"/>
            <w:vAlign w:val="center"/>
          </w:tcPr>
          <w:p w14:paraId="3142F2E2" w14:textId="035465AA" w:rsidR="00AB626E" w:rsidRPr="005A5BB7" w:rsidRDefault="00AB626E" w:rsidP="00AB626E">
            <w:pPr>
              <w:pStyle w:val="Tabletext"/>
            </w:pPr>
            <w:r w:rsidRPr="005A5BB7">
              <w:t>Uptake rate</w:t>
            </w:r>
          </w:p>
        </w:tc>
        <w:tc>
          <w:tcPr>
            <w:tcW w:w="1351" w:type="pct"/>
            <w:vAlign w:val="center"/>
          </w:tcPr>
          <w:p w14:paraId="706CA469" w14:textId="616B2976" w:rsidR="00AB626E" w:rsidRPr="005A5BB7" w:rsidRDefault="00AB626E" w:rsidP="00AB626E">
            <w:pPr>
              <w:pStyle w:val="Tabletext"/>
              <w:rPr>
                <w:u w:val="single"/>
              </w:rPr>
            </w:pPr>
            <w:r w:rsidRPr="005A5BB7">
              <w:rPr>
                <w:u w:val="single"/>
              </w:rPr>
              <w:t>60</w:t>
            </w:r>
            <w:r w:rsidR="000E4816">
              <w:rPr>
                <w:u w:val="single"/>
              </w:rPr>
              <w:noBreakHyphen/>
            </w:r>
            <w:r w:rsidRPr="005A5BB7">
              <w:rPr>
                <w:u w:val="single"/>
              </w:rPr>
              <w:t>74 at increased risk of severe RSV disease</w:t>
            </w:r>
          </w:p>
          <w:p w14:paraId="12EC47F5" w14:textId="47DEDD8F" w:rsidR="00AB626E" w:rsidRPr="005A5BB7" w:rsidRDefault="00AB626E" w:rsidP="00AB626E">
            <w:pPr>
              <w:pStyle w:val="Tabletext"/>
            </w:pPr>
            <w:r w:rsidRPr="005A5BB7">
              <w:rPr>
                <w:u w:val="single"/>
              </w:rPr>
              <w:t>60</w:t>
            </w:r>
            <w:r w:rsidR="000E4816">
              <w:rPr>
                <w:u w:val="single"/>
              </w:rPr>
              <w:noBreakHyphen/>
            </w:r>
            <w:r w:rsidRPr="005A5BB7">
              <w:rPr>
                <w:u w:val="single"/>
              </w:rPr>
              <w:t xml:space="preserve">64 YOA: </w:t>
            </w:r>
            <w:r w:rsidRPr="005A5BB7">
              <w:t xml:space="preserve">Yr 1: </w:t>
            </w:r>
            <w:r w:rsidR="00F15B97" w:rsidRPr="00F15B97">
              <w:rPr>
                <w:sz w:val="2"/>
                <w:highlight w:val="black"/>
              </w:rPr>
              <w:t>redacted content</w:t>
            </w:r>
            <w:r w:rsidRPr="005A5BB7">
              <w:t>%</w:t>
            </w:r>
          </w:p>
          <w:p w14:paraId="0D914691" w14:textId="68DDA1FA" w:rsidR="00AB626E" w:rsidRPr="005A5BB7" w:rsidRDefault="00AB626E" w:rsidP="00AB626E">
            <w:pPr>
              <w:pStyle w:val="Tabletext"/>
            </w:pPr>
            <w:r w:rsidRPr="005A5BB7">
              <w:t>Yr 2</w:t>
            </w:r>
            <w:r w:rsidR="000E4816">
              <w:noBreakHyphen/>
            </w:r>
            <w:r w:rsidRPr="005A5BB7">
              <w:t xml:space="preserve">5: increases by </w:t>
            </w:r>
            <w:r w:rsidR="00F15B97" w:rsidRPr="00F15B97">
              <w:rPr>
                <w:sz w:val="2"/>
                <w:highlight w:val="black"/>
              </w:rPr>
              <w:t>redacted content</w:t>
            </w:r>
            <w:r w:rsidRPr="005A5BB7">
              <w:t xml:space="preserve">% per year, Yr 6: </w:t>
            </w:r>
            <w:r w:rsidR="00F15B97" w:rsidRPr="00F15B97">
              <w:rPr>
                <w:sz w:val="2"/>
                <w:highlight w:val="black"/>
              </w:rPr>
              <w:t>redacted content</w:t>
            </w:r>
            <w:r w:rsidRPr="005A5BB7">
              <w:t>%</w:t>
            </w:r>
          </w:p>
          <w:p w14:paraId="194CE3DF" w14:textId="77777777" w:rsidR="00AB626E" w:rsidRPr="005A5BB7" w:rsidRDefault="00AB626E" w:rsidP="00AB626E">
            <w:pPr>
              <w:pStyle w:val="Tabletext"/>
            </w:pPr>
          </w:p>
          <w:p w14:paraId="35CEA885" w14:textId="0C3B7AE5" w:rsidR="00AB626E" w:rsidRPr="005A5BB7" w:rsidRDefault="00AB626E" w:rsidP="00AB626E">
            <w:pPr>
              <w:pStyle w:val="Tabletext"/>
            </w:pPr>
            <w:r w:rsidRPr="005A5BB7">
              <w:rPr>
                <w:u w:val="single"/>
              </w:rPr>
              <w:t>65</w:t>
            </w:r>
            <w:r w:rsidR="000E4816">
              <w:rPr>
                <w:u w:val="single"/>
              </w:rPr>
              <w:noBreakHyphen/>
            </w:r>
            <w:r w:rsidRPr="005A5BB7">
              <w:rPr>
                <w:u w:val="single"/>
              </w:rPr>
              <w:t xml:space="preserve">74 YOA: </w:t>
            </w:r>
            <w:r w:rsidRPr="005A5BB7">
              <w:t xml:space="preserve">Yr 1: </w:t>
            </w:r>
            <w:r w:rsidR="00F15B97" w:rsidRPr="00F15B97">
              <w:rPr>
                <w:sz w:val="2"/>
                <w:highlight w:val="black"/>
              </w:rPr>
              <w:t>redacted content</w:t>
            </w:r>
            <w:r w:rsidRPr="005A5BB7">
              <w:t xml:space="preserve">%, </w:t>
            </w:r>
          </w:p>
          <w:p w14:paraId="5423CD3B" w14:textId="1C268D17" w:rsidR="00AB626E" w:rsidRPr="005A5BB7" w:rsidRDefault="00AB626E" w:rsidP="00AB626E">
            <w:pPr>
              <w:pStyle w:val="Tabletext"/>
              <w:rPr>
                <w:u w:val="single"/>
              </w:rPr>
            </w:pPr>
            <w:r w:rsidRPr="005A5BB7">
              <w:t>Yr 2</w:t>
            </w:r>
            <w:r w:rsidR="000E4816">
              <w:noBreakHyphen/>
            </w:r>
            <w:r w:rsidRPr="005A5BB7">
              <w:t xml:space="preserve">5: increases by </w:t>
            </w:r>
            <w:r w:rsidR="00F15B97" w:rsidRPr="00F15B97">
              <w:rPr>
                <w:sz w:val="2"/>
                <w:highlight w:val="black"/>
              </w:rPr>
              <w:t>redacted content</w:t>
            </w:r>
            <w:r w:rsidRPr="005A5BB7">
              <w:t xml:space="preserve">% per year, Yr 6: </w:t>
            </w:r>
            <w:r w:rsidR="00F15B97" w:rsidRPr="00F15B97">
              <w:rPr>
                <w:sz w:val="2"/>
                <w:highlight w:val="black"/>
              </w:rPr>
              <w:t>redacted content</w:t>
            </w:r>
            <w:r w:rsidRPr="005A5BB7">
              <w:t>%</w:t>
            </w:r>
          </w:p>
        </w:tc>
        <w:tc>
          <w:tcPr>
            <w:tcW w:w="1541" w:type="pct"/>
            <w:vAlign w:val="center"/>
          </w:tcPr>
          <w:p w14:paraId="7C85453E" w14:textId="1F83EF5D" w:rsidR="00AB626E" w:rsidRPr="005A5BB7" w:rsidRDefault="00AB626E" w:rsidP="00AB626E">
            <w:pPr>
              <w:pStyle w:val="Tabletext"/>
            </w:pPr>
            <w:r w:rsidRPr="005A5BB7">
              <w:t xml:space="preserve">ATAGI advice, March 2025 </w:t>
            </w:r>
          </w:p>
        </w:tc>
        <w:tc>
          <w:tcPr>
            <w:tcW w:w="1317" w:type="pct"/>
            <w:vAlign w:val="center"/>
          </w:tcPr>
          <w:p w14:paraId="1FBE628C" w14:textId="25D735BB" w:rsidR="00AB626E" w:rsidRPr="005A5BB7" w:rsidRDefault="00AB626E" w:rsidP="00AB626E">
            <w:pPr>
              <w:pStyle w:val="Tabletext"/>
            </w:pPr>
            <w:r w:rsidRPr="005A5BB7">
              <w:t>The evaluation considered this was reasonable</w:t>
            </w:r>
          </w:p>
        </w:tc>
      </w:tr>
    </w:tbl>
    <w:p w14:paraId="0789AC78" w14:textId="65AD9A17" w:rsidR="004C397E" w:rsidRPr="005A5BB7" w:rsidRDefault="004C397E" w:rsidP="004C397E">
      <w:pPr>
        <w:jc w:val="left"/>
        <w:rPr>
          <w:rFonts w:ascii="Arial Narrow" w:hAnsi="Arial Narrow"/>
          <w:snapToGrid w:val="0"/>
          <w:sz w:val="18"/>
          <w:szCs w:val="22"/>
        </w:rPr>
      </w:pPr>
      <w:r w:rsidRPr="005A5BB7">
        <w:rPr>
          <w:rFonts w:ascii="Arial Narrow" w:hAnsi="Arial Narrow"/>
          <w:snapToGrid w:val="0"/>
          <w:sz w:val="18"/>
          <w:szCs w:val="22"/>
        </w:rPr>
        <w:t>Source: Table 4.</w:t>
      </w:r>
      <w:r w:rsidR="000E4816">
        <w:rPr>
          <w:rFonts w:ascii="Arial Narrow" w:hAnsi="Arial Narrow"/>
          <w:snapToGrid w:val="0"/>
          <w:sz w:val="18"/>
          <w:szCs w:val="22"/>
        </w:rPr>
        <w:noBreakHyphen/>
      </w:r>
      <w:r w:rsidRPr="005A5BB7">
        <w:rPr>
          <w:rFonts w:ascii="Arial Narrow" w:hAnsi="Arial Narrow"/>
          <w:snapToGrid w:val="0"/>
          <w:sz w:val="18"/>
          <w:szCs w:val="22"/>
        </w:rPr>
        <w:t>1, pp184</w:t>
      </w:r>
      <w:r w:rsidR="000E4816">
        <w:rPr>
          <w:rFonts w:ascii="Arial Narrow" w:hAnsi="Arial Narrow"/>
          <w:snapToGrid w:val="0"/>
          <w:sz w:val="18"/>
          <w:szCs w:val="22"/>
        </w:rPr>
        <w:noBreakHyphen/>
      </w:r>
      <w:r w:rsidRPr="005A5BB7">
        <w:rPr>
          <w:rFonts w:ascii="Arial Narrow" w:hAnsi="Arial Narrow"/>
          <w:snapToGrid w:val="0"/>
          <w:sz w:val="18"/>
          <w:szCs w:val="22"/>
        </w:rPr>
        <w:t>185; Table 4</w:t>
      </w:r>
      <w:r w:rsidR="000E4816">
        <w:rPr>
          <w:rFonts w:ascii="Arial Narrow" w:hAnsi="Arial Narrow"/>
          <w:snapToGrid w:val="0"/>
          <w:sz w:val="18"/>
          <w:szCs w:val="22"/>
        </w:rPr>
        <w:noBreakHyphen/>
      </w:r>
      <w:r w:rsidRPr="005A5BB7">
        <w:rPr>
          <w:rFonts w:ascii="Arial Narrow" w:hAnsi="Arial Narrow"/>
          <w:snapToGrid w:val="0"/>
          <w:sz w:val="18"/>
          <w:szCs w:val="22"/>
        </w:rPr>
        <w:t>2, pp187</w:t>
      </w:r>
      <w:r w:rsidR="000E4816">
        <w:rPr>
          <w:rFonts w:ascii="Arial Narrow" w:hAnsi="Arial Narrow"/>
          <w:snapToGrid w:val="0"/>
          <w:sz w:val="18"/>
          <w:szCs w:val="22"/>
        </w:rPr>
        <w:noBreakHyphen/>
      </w:r>
      <w:r w:rsidRPr="005A5BB7">
        <w:rPr>
          <w:rFonts w:ascii="Arial Narrow" w:hAnsi="Arial Narrow"/>
          <w:snapToGrid w:val="0"/>
          <w:sz w:val="18"/>
          <w:szCs w:val="22"/>
        </w:rPr>
        <w:t>188; 4</w:t>
      </w:r>
      <w:r w:rsidR="000E4816">
        <w:rPr>
          <w:rFonts w:ascii="Arial Narrow" w:hAnsi="Arial Narrow"/>
          <w:snapToGrid w:val="0"/>
          <w:sz w:val="18"/>
          <w:szCs w:val="22"/>
        </w:rPr>
        <w:noBreakHyphen/>
      </w:r>
      <w:r w:rsidRPr="005A5BB7">
        <w:rPr>
          <w:rFonts w:ascii="Arial Narrow" w:hAnsi="Arial Narrow"/>
          <w:snapToGrid w:val="0"/>
          <w:sz w:val="18"/>
          <w:szCs w:val="22"/>
        </w:rPr>
        <w:t>4, p190; Table 4</w:t>
      </w:r>
      <w:r w:rsidR="000E4816">
        <w:rPr>
          <w:rFonts w:ascii="Arial Narrow" w:hAnsi="Arial Narrow"/>
          <w:snapToGrid w:val="0"/>
          <w:sz w:val="18"/>
          <w:szCs w:val="22"/>
        </w:rPr>
        <w:noBreakHyphen/>
      </w:r>
      <w:r w:rsidRPr="005A5BB7">
        <w:rPr>
          <w:rFonts w:ascii="Arial Narrow" w:hAnsi="Arial Narrow"/>
          <w:snapToGrid w:val="0"/>
          <w:sz w:val="18"/>
          <w:szCs w:val="22"/>
        </w:rPr>
        <w:t>8, pp193</w:t>
      </w:r>
      <w:r w:rsidR="000E4816">
        <w:rPr>
          <w:rFonts w:ascii="Arial Narrow" w:hAnsi="Arial Narrow"/>
          <w:snapToGrid w:val="0"/>
          <w:sz w:val="18"/>
          <w:szCs w:val="22"/>
        </w:rPr>
        <w:noBreakHyphen/>
      </w:r>
      <w:r w:rsidRPr="005A5BB7">
        <w:rPr>
          <w:rFonts w:ascii="Arial Narrow" w:hAnsi="Arial Narrow"/>
          <w:snapToGrid w:val="0"/>
          <w:sz w:val="18"/>
          <w:szCs w:val="22"/>
        </w:rPr>
        <w:t>194; Table 4</w:t>
      </w:r>
      <w:r w:rsidR="000E4816">
        <w:rPr>
          <w:rFonts w:ascii="Arial Narrow" w:hAnsi="Arial Narrow"/>
          <w:snapToGrid w:val="0"/>
          <w:sz w:val="18"/>
          <w:szCs w:val="22"/>
        </w:rPr>
        <w:noBreakHyphen/>
      </w:r>
      <w:r w:rsidRPr="005A5BB7">
        <w:rPr>
          <w:rFonts w:ascii="Arial Narrow" w:hAnsi="Arial Narrow"/>
          <w:snapToGrid w:val="0"/>
          <w:sz w:val="18"/>
          <w:szCs w:val="22"/>
        </w:rPr>
        <w:t>10, p196; Table 4</w:t>
      </w:r>
      <w:r w:rsidR="000E4816">
        <w:rPr>
          <w:rFonts w:ascii="Arial Narrow" w:hAnsi="Arial Narrow"/>
          <w:snapToGrid w:val="0"/>
          <w:sz w:val="18"/>
          <w:szCs w:val="22"/>
        </w:rPr>
        <w:noBreakHyphen/>
      </w:r>
      <w:r w:rsidRPr="005A5BB7">
        <w:rPr>
          <w:rFonts w:ascii="Arial Narrow" w:hAnsi="Arial Narrow"/>
          <w:snapToGrid w:val="0"/>
          <w:sz w:val="18"/>
          <w:szCs w:val="22"/>
        </w:rPr>
        <w:t>11, p197; Table 4</w:t>
      </w:r>
      <w:r w:rsidR="000E4816">
        <w:rPr>
          <w:rFonts w:ascii="Arial Narrow" w:hAnsi="Arial Narrow"/>
          <w:snapToGrid w:val="0"/>
          <w:sz w:val="18"/>
          <w:szCs w:val="22"/>
        </w:rPr>
        <w:noBreakHyphen/>
      </w:r>
      <w:r w:rsidRPr="005A5BB7">
        <w:rPr>
          <w:rFonts w:ascii="Arial Narrow" w:hAnsi="Arial Narrow"/>
          <w:snapToGrid w:val="0"/>
          <w:sz w:val="18"/>
          <w:szCs w:val="22"/>
        </w:rPr>
        <w:t>12, pp197</w:t>
      </w:r>
      <w:r w:rsidR="000E4816">
        <w:rPr>
          <w:rFonts w:ascii="Arial Narrow" w:hAnsi="Arial Narrow"/>
          <w:snapToGrid w:val="0"/>
          <w:sz w:val="18"/>
          <w:szCs w:val="22"/>
        </w:rPr>
        <w:noBreakHyphen/>
      </w:r>
      <w:r w:rsidRPr="005A5BB7">
        <w:rPr>
          <w:rFonts w:ascii="Arial Narrow" w:hAnsi="Arial Narrow"/>
          <w:snapToGrid w:val="0"/>
          <w:sz w:val="18"/>
          <w:szCs w:val="22"/>
        </w:rPr>
        <w:t>198; Table 4</w:t>
      </w:r>
      <w:r w:rsidR="000E4816">
        <w:rPr>
          <w:rFonts w:ascii="Arial Narrow" w:hAnsi="Arial Narrow"/>
          <w:snapToGrid w:val="0"/>
          <w:sz w:val="18"/>
          <w:szCs w:val="22"/>
        </w:rPr>
        <w:noBreakHyphen/>
      </w:r>
      <w:r w:rsidRPr="005A5BB7">
        <w:rPr>
          <w:rFonts w:ascii="Arial Narrow" w:hAnsi="Arial Narrow"/>
          <w:snapToGrid w:val="0"/>
          <w:sz w:val="18"/>
          <w:szCs w:val="22"/>
        </w:rPr>
        <w:t>13, p198; Financial model worksheets of the March 2026 resubmission.</w:t>
      </w:r>
    </w:p>
    <w:p w14:paraId="47AA3689" w14:textId="45DF80F1" w:rsidR="004C397E" w:rsidRPr="005A5BB7" w:rsidRDefault="004C397E" w:rsidP="004C397E">
      <w:pPr>
        <w:rPr>
          <w:rFonts w:ascii="Arial Narrow" w:hAnsi="Arial Narrow"/>
          <w:snapToGrid w:val="0"/>
          <w:sz w:val="18"/>
          <w:szCs w:val="22"/>
        </w:rPr>
      </w:pPr>
      <w:r w:rsidRPr="005A5BB7">
        <w:rPr>
          <w:rFonts w:ascii="Arial Narrow" w:hAnsi="Arial Narrow"/>
          <w:snapToGrid w:val="0"/>
          <w:sz w:val="18"/>
          <w:szCs w:val="22"/>
        </w:rPr>
        <w:t>ABS = Australian Bureau of Statistics, AIH = Australian Immunisation Handbook; ATAGI = Australian Technical Advisory Group on Immunisation; PBAC = Pharmaceutical Benefits Advisory Committee; PSD = public summary document; OA = older adults; PSCR = Pre</w:t>
      </w:r>
      <w:r w:rsidR="000E4816">
        <w:rPr>
          <w:rFonts w:ascii="Arial Narrow" w:hAnsi="Arial Narrow"/>
          <w:snapToGrid w:val="0"/>
          <w:sz w:val="18"/>
          <w:szCs w:val="22"/>
        </w:rPr>
        <w:noBreakHyphen/>
      </w:r>
      <w:r w:rsidRPr="005A5BB7">
        <w:rPr>
          <w:rFonts w:ascii="Arial Narrow" w:hAnsi="Arial Narrow"/>
          <w:snapToGrid w:val="0"/>
          <w:sz w:val="18"/>
          <w:szCs w:val="22"/>
        </w:rPr>
        <w:t>subcommittee response; RSV = respiratory syncytial virus; YOA = years of age.</w:t>
      </w:r>
    </w:p>
    <w:p w14:paraId="7E9811F9" w14:textId="3F632D5C" w:rsidR="004C397E" w:rsidRPr="005A5BB7" w:rsidRDefault="004C397E" w:rsidP="004C397E">
      <w:pPr>
        <w:pStyle w:val="3-BodyText"/>
      </w:pPr>
      <w:bookmarkStart w:id="96" w:name="_Ref219127373"/>
      <w:r w:rsidRPr="005A5BB7">
        <w:t xml:space="preserve">The resubmission used obesity </w:t>
      </w:r>
      <w:r w:rsidRPr="00C92C5B">
        <w:t>prevalence (40.22%, ABS NHS 2022) as a proxy to estimate the eligible population for the 60</w:t>
      </w:r>
      <w:r w:rsidR="000E4816" w:rsidRPr="00C92C5B">
        <w:noBreakHyphen/>
      </w:r>
      <w:r w:rsidRPr="00C92C5B">
        <w:t>74 at increased risk of severe</w:t>
      </w:r>
      <w:r w:rsidRPr="005A5BB7">
        <w:t xml:space="preserve"> RSV disease population.</w:t>
      </w:r>
      <w:r w:rsidR="00DA1339">
        <w:t xml:space="preserve"> </w:t>
      </w:r>
      <w:r w:rsidR="00A833FB" w:rsidRPr="005A5BB7">
        <w:t>T</w:t>
      </w:r>
      <w:r w:rsidRPr="005A5BB7">
        <w:t>he following arguments were used to justify this approach:</w:t>
      </w:r>
      <w:bookmarkEnd w:id="96"/>
      <w:r w:rsidRPr="005A5BB7">
        <w:t xml:space="preserve"> </w:t>
      </w:r>
    </w:p>
    <w:p w14:paraId="2AF66DDA" w14:textId="4BE51531" w:rsidR="004C397E" w:rsidRPr="005A5BB7" w:rsidRDefault="004C397E" w:rsidP="00E113F2">
      <w:pPr>
        <w:pStyle w:val="3-BodyText"/>
        <w:numPr>
          <w:ilvl w:val="0"/>
          <w:numId w:val="32"/>
        </w:numPr>
      </w:pPr>
      <w:r w:rsidRPr="005A5BB7">
        <w:lastRenderedPageBreak/>
        <w:t>The resubmission referred to the July 2024 DUSC advice suggested that “estimates regarding high</w:t>
      </w:r>
      <w:r w:rsidR="000E4816">
        <w:noBreakHyphen/>
      </w:r>
      <w:r w:rsidRPr="005A5BB7">
        <w:t>risk chronic population for oral antivirals for the treatment of COVID</w:t>
      </w:r>
      <w:r w:rsidR="000E4816">
        <w:noBreakHyphen/>
      </w:r>
      <w:r w:rsidRPr="005A5BB7">
        <w:t>19 could be used to inform the financial estimates of the subgroup at increased risk (60</w:t>
      </w:r>
      <w:r w:rsidR="000E4816">
        <w:noBreakHyphen/>
      </w:r>
      <w:r w:rsidRPr="005A5BB7">
        <w:t>74 YOA)”.</w:t>
      </w:r>
    </w:p>
    <w:p w14:paraId="4AE1095B" w14:textId="33D6E817" w:rsidR="004C397E" w:rsidRPr="005A5BB7" w:rsidRDefault="004C397E" w:rsidP="00E113F2">
      <w:pPr>
        <w:pStyle w:val="3-BodyText"/>
        <w:numPr>
          <w:ilvl w:val="0"/>
          <w:numId w:val="32"/>
        </w:numPr>
      </w:pPr>
      <w:r w:rsidRPr="005A5BB7">
        <w:t>The resubmission noted that the estimate from nirmatrelvir plus ritonavir, a treatment for early COVID</w:t>
      </w:r>
      <w:r w:rsidR="000E4816">
        <w:noBreakHyphen/>
      </w:r>
      <w:r w:rsidRPr="005A5BB7">
        <w:t>19 in high</w:t>
      </w:r>
      <w:r w:rsidR="000E4816">
        <w:noBreakHyphen/>
      </w:r>
      <w:r w:rsidRPr="005A5BB7">
        <w:t>risk adults (November 2023 PBAC meeting) suggested 35</w:t>
      </w:r>
      <w:r w:rsidR="000E4816">
        <w:noBreakHyphen/>
      </w:r>
      <w:r w:rsidRPr="005A5BB7">
        <w:t xml:space="preserve">38% of people in this age group were considered </w:t>
      </w:r>
      <w:r w:rsidR="004C0B10" w:rsidRPr="005A5BB7">
        <w:t xml:space="preserve">at </w:t>
      </w:r>
      <w:r w:rsidRPr="005A5BB7">
        <w:t>high risk</w:t>
      </w:r>
      <w:r w:rsidR="004C0B10" w:rsidRPr="005A5BB7">
        <w:t xml:space="preserve"> of requiring hospitalisation for COVID</w:t>
      </w:r>
      <w:r w:rsidR="000E4816">
        <w:noBreakHyphen/>
      </w:r>
      <w:r w:rsidR="004C0B10" w:rsidRPr="005A5BB7">
        <w:t>19 infection</w:t>
      </w:r>
      <w:r w:rsidRPr="005A5BB7">
        <w:t>. The definition of at</w:t>
      </w:r>
      <w:r w:rsidR="000E4816">
        <w:noBreakHyphen/>
      </w:r>
      <w:r w:rsidRPr="005A5BB7">
        <w:t>risk/high</w:t>
      </w:r>
      <w:r w:rsidR="000E4816">
        <w:noBreakHyphen/>
      </w:r>
      <w:r w:rsidRPr="005A5BB7">
        <w:t xml:space="preserve">risk was consistent with the RSV AIH but excluded obesity. The resubmission stated that this range is also </w:t>
      </w:r>
      <w:proofErr w:type="gramStart"/>
      <w:r w:rsidRPr="005A5BB7">
        <w:t>similar to</w:t>
      </w:r>
      <w:proofErr w:type="gramEnd"/>
      <w:r w:rsidRPr="005A5BB7">
        <w:t xml:space="preserve"> the estimate reported in </w:t>
      </w:r>
      <w:r w:rsidR="001E26F8" w:rsidRPr="005A5BB7">
        <w:t xml:space="preserve">RSVpreF </w:t>
      </w:r>
      <w:r w:rsidRPr="005A5BB7">
        <w:t xml:space="preserve">(i.e., 35%; November 2024 PBAC meeting). </w:t>
      </w:r>
    </w:p>
    <w:p w14:paraId="058E9D1F" w14:textId="38E9EEC3" w:rsidR="004C397E" w:rsidRPr="005A5BB7" w:rsidRDefault="004C397E" w:rsidP="004C397E">
      <w:pPr>
        <w:pStyle w:val="3-BodyText"/>
        <w:numPr>
          <w:ilvl w:val="0"/>
          <w:numId w:val="0"/>
        </w:numPr>
        <w:ind w:left="720"/>
      </w:pPr>
      <w:r w:rsidRPr="005A5BB7">
        <w:t xml:space="preserve">The arguments </w:t>
      </w:r>
      <w:r w:rsidR="00BE692B" w:rsidRPr="005A5BB7">
        <w:t xml:space="preserve">do </w:t>
      </w:r>
      <w:r w:rsidRPr="005A5BB7">
        <w:t>not fully reflect what was previously proposed and ATAGI’s advice (ATAGI Advice, March 2025). ATAGI noted the DUSC’s suggestion regarding the reasonableness of the eligible population estimates based on the high</w:t>
      </w:r>
      <w:r w:rsidR="000E4816">
        <w:noBreakHyphen/>
      </w:r>
      <w:r w:rsidRPr="005A5BB7">
        <w:t>risk chronic population for oral antivirals for the treatment of COVID</w:t>
      </w:r>
      <w:r w:rsidR="000E4816">
        <w:noBreakHyphen/>
      </w:r>
      <w:r w:rsidRPr="005A5BB7">
        <w:t>19. Specifically, the ATAGI further advised that using the prevalence of people at increased risk of severe COVID</w:t>
      </w:r>
      <w:r w:rsidR="000E4816">
        <w:noBreakHyphen/>
      </w:r>
      <w:r w:rsidRPr="005A5BB7">
        <w:t>19, based on Clark et al., 2020 (a global population</w:t>
      </w:r>
      <w:r w:rsidR="000E4816">
        <w:noBreakHyphen/>
      </w:r>
      <w:r w:rsidRPr="005A5BB7">
        <w:t>based study of people at increased risk of severe COVID</w:t>
      </w:r>
      <w:r w:rsidR="000E4816">
        <w:noBreakHyphen/>
      </w:r>
      <w:r w:rsidRPr="005A5BB7">
        <w:t>19)</w:t>
      </w:r>
      <w:r w:rsidRPr="005A5BB7">
        <w:rPr>
          <w:rStyle w:val="FootnoteReference"/>
        </w:rPr>
        <w:footnoteReference w:id="19"/>
      </w:r>
      <w:r w:rsidRPr="005A5BB7">
        <w:t xml:space="preserve"> as proposed in the pre</w:t>
      </w:r>
      <w:r w:rsidR="000E4816">
        <w:noBreakHyphen/>
      </w:r>
      <w:r w:rsidRPr="005A5BB7">
        <w:t>submission advice, was reasonable. The ATAGI noted the prevalence from the study ranging from 49% in 60</w:t>
      </w:r>
      <w:r w:rsidR="000E4816">
        <w:noBreakHyphen/>
      </w:r>
      <w:r w:rsidRPr="005A5BB7">
        <w:t>64 YOA, 58% in 65</w:t>
      </w:r>
      <w:r w:rsidR="000E4816">
        <w:noBreakHyphen/>
      </w:r>
      <w:r w:rsidRPr="005A5BB7">
        <w:t>69 YOA, and 67% in 70</w:t>
      </w:r>
      <w:r w:rsidR="000E4816">
        <w:noBreakHyphen/>
      </w:r>
      <w:r w:rsidRPr="005A5BB7">
        <w:t>74 YOA was reasonable and informative for financial estimate for this population. The use of obesity prevalence presented in this resubmission results in lower estimate than that previously proposed.</w:t>
      </w:r>
    </w:p>
    <w:p w14:paraId="52BDC851" w14:textId="1C9D583F" w:rsidR="005A1128" w:rsidRPr="005A5BB7" w:rsidRDefault="005A1128" w:rsidP="005A1128">
      <w:pPr>
        <w:pStyle w:val="3-BodyText"/>
      </w:pPr>
      <w:r w:rsidRPr="005A5BB7">
        <w:t xml:space="preserve">The estimated utilisation and cost to NIP </w:t>
      </w:r>
      <w:r w:rsidR="0049234A" w:rsidRPr="005A5BB7">
        <w:t xml:space="preserve">considered by the PBAC in December 2025 </w:t>
      </w:r>
      <w:r w:rsidRPr="005A5BB7">
        <w:t xml:space="preserve">are presented in </w:t>
      </w:r>
      <w:r w:rsidRPr="005A5BB7">
        <w:fldChar w:fldCharType="begin"/>
      </w:r>
      <w:r w:rsidRPr="005A5BB7">
        <w:instrText xml:space="preserve"> REF _Ref176878916 \h </w:instrText>
      </w:r>
      <w:r w:rsidR="00AD43ED" w:rsidRPr="005A5BB7">
        <w:instrText xml:space="preserve"> \* MERGEFORMAT </w:instrText>
      </w:r>
      <w:r w:rsidRPr="005A5BB7">
        <w:fldChar w:fldCharType="separate"/>
      </w:r>
      <w:r w:rsidR="0043658C" w:rsidRPr="005A5BB7">
        <w:t xml:space="preserve">Table </w:t>
      </w:r>
      <w:r w:rsidR="0043658C">
        <w:t>25</w:t>
      </w:r>
      <w:r w:rsidRPr="005A5BB7">
        <w:fldChar w:fldCharType="end"/>
      </w:r>
      <w:r w:rsidRPr="005A5BB7">
        <w:t>. The cost to the NIP at the price of $</w:t>
      </w:r>
      <w:r w:rsidR="00F15B97" w:rsidRPr="00F15B97">
        <w:rPr>
          <w:sz w:val="2"/>
          <w:highlight w:val="black"/>
        </w:rPr>
        <w:t>redacted content</w:t>
      </w:r>
      <w:r w:rsidRPr="005A5BB7">
        <w:t xml:space="preserve">/dose is </w:t>
      </w:r>
      <w:r w:rsidR="00F704D2" w:rsidRPr="00F704D2">
        <w:t>$200 million to &lt; $300 million</w:t>
      </w:r>
      <w:r w:rsidRPr="005A5BB7">
        <w:t xml:space="preserve"> over the first 6 years of listing.</w:t>
      </w:r>
    </w:p>
    <w:p w14:paraId="55BAA20B" w14:textId="150EAA78" w:rsidR="005A1128" w:rsidRPr="005A5BB7" w:rsidRDefault="005A1128" w:rsidP="00971326">
      <w:pPr>
        <w:pStyle w:val="TableFigureHeading"/>
      </w:pPr>
      <w:bookmarkStart w:id="97" w:name="_Ref176878916"/>
      <w:r w:rsidRPr="005A5BB7">
        <w:lastRenderedPageBreak/>
        <w:t xml:space="preserve">Table </w:t>
      </w:r>
      <w:fldSimple w:instr=" SEQ Table \* ARABIC ">
        <w:r w:rsidR="0043658C">
          <w:rPr>
            <w:noProof/>
          </w:rPr>
          <w:t>25</w:t>
        </w:r>
      </w:fldSimple>
      <w:bookmarkEnd w:id="97"/>
      <w:r w:rsidRPr="005A5BB7">
        <w:t>: Estimated use and financial implications</w:t>
      </w:r>
      <w:r w:rsidR="0049234A" w:rsidRPr="005A5BB7">
        <w:t xml:space="preserve"> (recommended </w:t>
      </w:r>
      <w:proofErr w:type="gramStart"/>
      <w:r w:rsidR="0049234A" w:rsidRPr="005A5BB7">
        <w:t>at</w:t>
      </w:r>
      <w:proofErr w:type="gramEnd"/>
      <w:r w:rsidR="0049234A" w:rsidRPr="005A5BB7">
        <w:t xml:space="preserve"> December 2025 PBAC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5: Estimated use and financial implications (recommended at December 2025 PBAC meeting)"/>
      </w:tblPr>
      <w:tblGrid>
        <w:gridCol w:w="1877"/>
        <w:gridCol w:w="1089"/>
        <w:gridCol w:w="932"/>
        <w:gridCol w:w="932"/>
        <w:gridCol w:w="932"/>
        <w:gridCol w:w="932"/>
        <w:gridCol w:w="938"/>
        <w:gridCol w:w="1385"/>
      </w:tblGrid>
      <w:tr w:rsidR="00082999" w:rsidRPr="005A5BB7" w14:paraId="2B274B25" w14:textId="77777777" w:rsidTr="00FF2527">
        <w:trPr>
          <w:tblHeader/>
        </w:trPr>
        <w:tc>
          <w:tcPr>
            <w:tcW w:w="1040" w:type="pct"/>
            <w:vAlign w:val="center"/>
          </w:tcPr>
          <w:p w14:paraId="73E758EF" w14:textId="77777777" w:rsidR="005A1128" w:rsidRPr="005A5BB7" w:rsidRDefault="005A1128" w:rsidP="00971326">
            <w:pPr>
              <w:pStyle w:val="Tabletext"/>
              <w:keepNext/>
            </w:pPr>
          </w:p>
        </w:tc>
        <w:tc>
          <w:tcPr>
            <w:tcW w:w="604" w:type="pct"/>
            <w:vAlign w:val="center"/>
          </w:tcPr>
          <w:p w14:paraId="0D4BB9F8" w14:textId="77777777" w:rsidR="005A1128" w:rsidRPr="005A5BB7" w:rsidRDefault="005A1128" w:rsidP="00971326">
            <w:pPr>
              <w:pStyle w:val="Tabletext"/>
              <w:keepNext/>
              <w:jc w:val="center"/>
              <w:rPr>
                <w:b/>
                <w:bCs/>
              </w:rPr>
            </w:pPr>
            <w:r w:rsidRPr="005A5BB7">
              <w:rPr>
                <w:b/>
                <w:bCs/>
              </w:rPr>
              <w:t>Year 1</w:t>
            </w:r>
          </w:p>
        </w:tc>
        <w:tc>
          <w:tcPr>
            <w:tcW w:w="517" w:type="pct"/>
            <w:vAlign w:val="center"/>
          </w:tcPr>
          <w:p w14:paraId="2D2A1D5C" w14:textId="77777777" w:rsidR="005A1128" w:rsidRPr="005A5BB7" w:rsidRDefault="005A1128" w:rsidP="00971326">
            <w:pPr>
              <w:pStyle w:val="Tabletext"/>
              <w:keepNext/>
              <w:jc w:val="center"/>
              <w:rPr>
                <w:b/>
                <w:bCs/>
              </w:rPr>
            </w:pPr>
            <w:r w:rsidRPr="005A5BB7">
              <w:rPr>
                <w:b/>
                <w:bCs/>
              </w:rPr>
              <w:t>Year 2</w:t>
            </w:r>
          </w:p>
        </w:tc>
        <w:tc>
          <w:tcPr>
            <w:tcW w:w="517" w:type="pct"/>
            <w:vAlign w:val="center"/>
          </w:tcPr>
          <w:p w14:paraId="43B52A17" w14:textId="77777777" w:rsidR="005A1128" w:rsidRPr="005A5BB7" w:rsidRDefault="005A1128" w:rsidP="00971326">
            <w:pPr>
              <w:pStyle w:val="Tabletext"/>
              <w:keepNext/>
              <w:jc w:val="center"/>
              <w:rPr>
                <w:b/>
                <w:bCs/>
              </w:rPr>
            </w:pPr>
            <w:r w:rsidRPr="005A5BB7">
              <w:rPr>
                <w:b/>
                <w:bCs/>
              </w:rPr>
              <w:t>Year 3</w:t>
            </w:r>
          </w:p>
        </w:tc>
        <w:tc>
          <w:tcPr>
            <w:tcW w:w="517" w:type="pct"/>
            <w:vAlign w:val="center"/>
          </w:tcPr>
          <w:p w14:paraId="181C7BC4" w14:textId="77777777" w:rsidR="005A1128" w:rsidRPr="005A5BB7" w:rsidRDefault="005A1128" w:rsidP="00971326">
            <w:pPr>
              <w:pStyle w:val="Tabletext"/>
              <w:keepNext/>
              <w:jc w:val="center"/>
              <w:rPr>
                <w:b/>
                <w:bCs/>
              </w:rPr>
            </w:pPr>
            <w:r w:rsidRPr="005A5BB7">
              <w:rPr>
                <w:b/>
                <w:bCs/>
              </w:rPr>
              <w:t>Year 4</w:t>
            </w:r>
          </w:p>
        </w:tc>
        <w:tc>
          <w:tcPr>
            <w:tcW w:w="517" w:type="pct"/>
            <w:vAlign w:val="center"/>
          </w:tcPr>
          <w:p w14:paraId="17C4C5A7" w14:textId="77777777" w:rsidR="005A1128" w:rsidRPr="005A5BB7" w:rsidRDefault="005A1128" w:rsidP="00971326">
            <w:pPr>
              <w:pStyle w:val="Tabletext"/>
              <w:keepNext/>
              <w:jc w:val="center"/>
              <w:rPr>
                <w:b/>
                <w:bCs/>
              </w:rPr>
            </w:pPr>
            <w:r w:rsidRPr="005A5BB7">
              <w:rPr>
                <w:b/>
                <w:bCs/>
              </w:rPr>
              <w:t>Year 5</w:t>
            </w:r>
          </w:p>
        </w:tc>
        <w:tc>
          <w:tcPr>
            <w:tcW w:w="520" w:type="pct"/>
            <w:vAlign w:val="center"/>
          </w:tcPr>
          <w:p w14:paraId="72DF5B07" w14:textId="77777777" w:rsidR="005A1128" w:rsidRPr="005A5BB7" w:rsidRDefault="005A1128" w:rsidP="00971326">
            <w:pPr>
              <w:pStyle w:val="Tabletext"/>
              <w:keepNext/>
              <w:jc w:val="center"/>
              <w:rPr>
                <w:b/>
                <w:bCs/>
              </w:rPr>
            </w:pPr>
            <w:r w:rsidRPr="005A5BB7">
              <w:rPr>
                <w:b/>
                <w:bCs/>
              </w:rPr>
              <w:t>Year 6</w:t>
            </w:r>
          </w:p>
        </w:tc>
        <w:tc>
          <w:tcPr>
            <w:tcW w:w="768" w:type="pct"/>
          </w:tcPr>
          <w:p w14:paraId="7DB400B1" w14:textId="0FFBE76D" w:rsidR="005A1128" w:rsidRPr="005A5BB7" w:rsidRDefault="005A1128" w:rsidP="00971326">
            <w:pPr>
              <w:pStyle w:val="Tabletext"/>
              <w:keepNext/>
              <w:jc w:val="center"/>
              <w:rPr>
                <w:b/>
                <w:bCs/>
              </w:rPr>
            </w:pPr>
            <w:r w:rsidRPr="005A5BB7">
              <w:rPr>
                <w:b/>
                <w:bCs/>
              </w:rPr>
              <w:t xml:space="preserve">Total </w:t>
            </w:r>
            <w:r w:rsidRPr="005A5BB7">
              <w:rPr>
                <w:b/>
                <w:bCs/>
              </w:rPr>
              <w:br/>
              <w:t>Years 1 to 6</w:t>
            </w:r>
          </w:p>
        </w:tc>
      </w:tr>
      <w:tr w:rsidR="00905D2F" w:rsidRPr="005A5BB7" w14:paraId="1A437E32" w14:textId="77777777" w:rsidTr="00FF2527">
        <w:tc>
          <w:tcPr>
            <w:tcW w:w="4232" w:type="pct"/>
            <w:gridSpan w:val="7"/>
            <w:vAlign w:val="center"/>
          </w:tcPr>
          <w:p w14:paraId="6DF5C620" w14:textId="35761D80" w:rsidR="005A1128" w:rsidRPr="005A5BB7" w:rsidRDefault="005A1128" w:rsidP="00971326">
            <w:pPr>
              <w:pStyle w:val="Tabletext"/>
              <w:keepNext/>
              <w:rPr>
                <w:b/>
                <w:bCs/>
              </w:rPr>
            </w:pPr>
            <w:r w:rsidRPr="005A5BB7">
              <w:rPr>
                <w:b/>
                <w:bCs/>
              </w:rPr>
              <w:t xml:space="preserve">Estimated extent of use </w:t>
            </w:r>
            <w:r w:rsidR="000E4816">
              <w:rPr>
                <w:b/>
                <w:bCs/>
              </w:rPr>
              <w:noBreakHyphen/>
            </w:r>
            <w:r w:rsidRPr="005A5BB7">
              <w:rPr>
                <w:b/>
                <w:bCs/>
              </w:rPr>
              <w:t xml:space="preserve"> adults ≥75 YOA</w:t>
            </w:r>
          </w:p>
        </w:tc>
        <w:tc>
          <w:tcPr>
            <w:tcW w:w="768" w:type="pct"/>
          </w:tcPr>
          <w:p w14:paraId="08BE98DD" w14:textId="77777777" w:rsidR="005A1128" w:rsidRPr="005A5BB7" w:rsidRDefault="005A1128" w:rsidP="00971326">
            <w:pPr>
              <w:pStyle w:val="Tabletext"/>
              <w:keepNext/>
              <w:rPr>
                <w:b/>
                <w:bCs/>
              </w:rPr>
            </w:pPr>
          </w:p>
        </w:tc>
      </w:tr>
      <w:tr w:rsidR="00082999" w:rsidRPr="005A5BB7" w14:paraId="671B0C9B" w14:textId="77777777" w:rsidTr="00FF2527">
        <w:tc>
          <w:tcPr>
            <w:tcW w:w="1040" w:type="pct"/>
            <w:vAlign w:val="center"/>
          </w:tcPr>
          <w:p w14:paraId="42EED84E" w14:textId="77777777" w:rsidR="005A1128" w:rsidRPr="005A5BB7" w:rsidRDefault="005A1128" w:rsidP="00971326">
            <w:pPr>
              <w:pStyle w:val="Tabletext"/>
              <w:keepNext/>
            </w:pPr>
            <w:r w:rsidRPr="005A5BB7">
              <w:t xml:space="preserve">   Vials</w:t>
            </w:r>
          </w:p>
        </w:tc>
        <w:tc>
          <w:tcPr>
            <w:tcW w:w="604" w:type="pct"/>
            <w:vAlign w:val="center"/>
          </w:tcPr>
          <w:p w14:paraId="5FED0D6A" w14:textId="077B30E1" w:rsidR="005A1128" w:rsidRPr="0017429D" w:rsidRDefault="00F15B97" w:rsidP="00971326">
            <w:pPr>
              <w:pStyle w:val="Tabletext"/>
              <w:keepNext/>
              <w:jc w:val="center"/>
              <w:rPr>
                <w:vertAlign w:val="superscript"/>
              </w:rPr>
            </w:pPr>
            <w:r w:rsidRPr="00F15B97">
              <w:rPr>
                <w:sz w:val="2"/>
                <w:highlight w:val="black"/>
              </w:rPr>
              <w:t>redacted content</w:t>
            </w:r>
            <w:r w:rsidR="0017429D">
              <w:rPr>
                <w:vertAlign w:val="superscript"/>
              </w:rPr>
              <w:t>1</w:t>
            </w:r>
          </w:p>
        </w:tc>
        <w:tc>
          <w:tcPr>
            <w:tcW w:w="517" w:type="pct"/>
            <w:vAlign w:val="center"/>
          </w:tcPr>
          <w:p w14:paraId="2428769F" w14:textId="0269AE3B" w:rsidR="005A1128" w:rsidRPr="005362CD" w:rsidRDefault="00F15B97" w:rsidP="00971326">
            <w:pPr>
              <w:pStyle w:val="Tabletext"/>
              <w:keepNext/>
              <w:jc w:val="center"/>
              <w:rPr>
                <w:vertAlign w:val="superscript"/>
              </w:rPr>
            </w:pPr>
            <w:r w:rsidRPr="00F15B97">
              <w:rPr>
                <w:sz w:val="2"/>
                <w:highlight w:val="black"/>
              </w:rPr>
              <w:t>redacted content</w:t>
            </w:r>
            <w:r w:rsidR="005362CD">
              <w:rPr>
                <w:vertAlign w:val="superscript"/>
              </w:rPr>
              <w:t>2</w:t>
            </w:r>
          </w:p>
        </w:tc>
        <w:tc>
          <w:tcPr>
            <w:tcW w:w="517" w:type="pct"/>
            <w:vAlign w:val="center"/>
          </w:tcPr>
          <w:p w14:paraId="3F5B86CE" w14:textId="62EB456D"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17" w:type="pct"/>
            <w:vAlign w:val="center"/>
          </w:tcPr>
          <w:p w14:paraId="354F6CE5" w14:textId="24A8F457"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17" w:type="pct"/>
            <w:vAlign w:val="center"/>
          </w:tcPr>
          <w:p w14:paraId="431161C9" w14:textId="58991966"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20" w:type="pct"/>
            <w:vAlign w:val="center"/>
          </w:tcPr>
          <w:p w14:paraId="0CE138A2" w14:textId="63D1BEA6"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768" w:type="pct"/>
          </w:tcPr>
          <w:p w14:paraId="374665CF" w14:textId="0E3CE743" w:rsidR="005A1128" w:rsidRPr="00C2653B" w:rsidRDefault="00F15B97" w:rsidP="00971326">
            <w:pPr>
              <w:pStyle w:val="Tabletext"/>
              <w:keepNext/>
              <w:jc w:val="center"/>
              <w:rPr>
                <w:vertAlign w:val="superscript"/>
              </w:rPr>
            </w:pPr>
            <w:r w:rsidRPr="00F15B97">
              <w:rPr>
                <w:sz w:val="2"/>
                <w:highlight w:val="black"/>
              </w:rPr>
              <w:t>redacted content</w:t>
            </w:r>
            <w:r w:rsidR="00C2653B">
              <w:rPr>
                <w:vertAlign w:val="superscript"/>
              </w:rPr>
              <w:t>4</w:t>
            </w:r>
          </w:p>
        </w:tc>
      </w:tr>
      <w:tr w:rsidR="00905D2F" w:rsidRPr="005A5BB7" w14:paraId="524CBE89" w14:textId="77777777" w:rsidTr="00FF2527">
        <w:tc>
          <w:tcPr>
            <w:tcW w:w="4232" w:type="pct"/>
            <w:gridSpan w:val="7"/>
            <w:vAlign w:val="center"/>
          </w:tcPr>
          <w:p w14:paraId="3702C066" w14:textId="291772CC" w:rsidR="005A1128" w:rsidRPr="005A5BB7" w:rsidRDefault="005A1128" w:rsidP="00971326">
            <w:pPr>
              <w:pStyle w:val="Tabletext"/>
              <w:keepNext/>
              <w:rPr>
                <w:b/>
                <w:bCs/>
              </w:rPr>
            </w:pPr>
            <w:r w:rsidRPr="005A5BB7">
              <w:rPr>
                <w:b/>
                <w:bCs/>
              </w:rPr>
              <w:t xml:space="preserve">Estimated extent of use </w:t>
            </w:r>
            <w:r w:rsidR="000E4816">
              <w:rPr>
                <w:b/>
                <w:bCs/>
              </w:rPr>
              <w:noBreakHyphen/>
            </w:r>
            <w:r w:rsidRPr="005A5BB7">
              <w:rPr>
                <w:b/>
                <w:bCs/>
              </w:rPr>
              <w:t xml:space="preserve"> Aboriginal and Torres Strait Islander people aged 60</w:t>
            </w:r>
            <w:r w:rsidR="000E4816">
              <w:rPr>
                <w:b/>
                <w:bCs/>
              </w:rPr>
              <w:noBreakHyphen/>
            </w:r>
            <w:r w:rsidRPr="005A5BB7">
              <w:rPr>
                <w:b/>
                <w:bCs/>
              </w:rPr>
              <w:t>74</w:t>
            </w:r>
          </w:p>
        </w:tc>
        <w:tc>
          <w:tcPr>
            <w:tcW w:w="768" w:type="pct"/>
          </w:tcPr>
          <w:p w14:paraId="7F9BEBF5" w14:textId="77777777" w:rsidR="005A1128" w:rsidRPr="005A5BB7" w:rsidRDefault="005A1128" w:rsidP="00971326">
            <w:pPr>
              <w:pStyle w:val="Tabletext"/>
              <w:keepNext/>
            </w:pPr>
          </w:p>
        </w:tc>
      </w:tr>
      <w:tr w:rsidR="00082999" w:rsidRPr="005A5BB7" w14:paraId="6D798397" w14:textId="77777777" w:rsidTr="00FF2527">
        <w:tc>
          <w:tcPr>
            <w:tcW w:w="1040" w:type="pct"/>
            <w:vAlign w:val="center"/>
          </w:tcPr>
          <w:p w14:paraId="7EDFD084" w14:textId="77777777" w:rsidR="005A1128" w:rsidRPr="005A5BB7" w:rsidRDefault="005A1128" w:rsidP="00971326">
            <w:pPr>
              <w:pStyle w:val="Tabletext"/>
              <w:keepNext/>
            </w:pPr>
            <w:r w:rsidRPr="005A5BB7">
              <w:t xml:space="preserve">   Vials</w:t>
            </w:r>
          </w:p>
        </w:tc>
        <w:tc>
          <w:tcPr>
            <w:tcW w:w="604" w:type="pct"/>
            <w:vAlign w:val="center"/>
          </w:tcPr>
          <w:p w14:paraId="6B4F5A7A" w14:textId="4EE4E217" w:rsidR="005A1128" w:rsidRPr="00FA615E" w:rsidRDefault="00F15B97" w:rsidP="00971326">
            <w:pPr>
              <w:pStyle w:val="Tabletext"/>
              <w:keepNext/>
              <w:jc w:val="center"/>
              <w:rPr>
                <w:vertAlign w:val="superscript"/>
              </w:rPr>
            </w:pPr>
            <w:r w:rsidRPr="00F15B97">
              <w:rPr>
                <w:sz w:val="2"/>
                <w:highlight w:val="black"/>
              </w:rPr>
              <w:t>redacted content</w:t>
            </w:r>
            <w:r w:rsidR="00FA615E">
              <w:rPr>
                <w:vertAlign w:val="superscript"/>
              </w:rPr>
              <w:t>5</w:t>
            </w:r>
          </w:p>
        </w:tc>
        <w:tc>
          <w:tcPr>
            <w:tcW w:w="517" w:type="pct"/>
            <w:vAlign w:val="center"/>
          </w:tcPr>
          <w:p w14:paraId="5E4EE458" w14:textId="68BA1C99" w:rsidR="005A1128" w:rsidRPr="00095768" w:rsidRDefault="00F15B97" w:rsidP="00971326">
            <w:pPr>
              <w:pStyle w:val="Tabletext"/>
              <w:keepNext/>
              <w:jc w:val="center"/>
              <w:rPr>
                <w:vertAlign w:val="superscript"/>
              </w:rPr>
            </w:pPr>
            <w:r w:rsidRPr="00F15B97">
              <w:rPr>
                <w:sz w:val="2"/>
                <w:highlight w:val="black"/>
              </w:rPr>
              <w:t>redacted content</w:t>
            </w:r>
            <w:r w:rsidR="00095768">
              <w:rPr>
                <w:vertAlign w:val="superscript"/>
              </w:rPr>
              <w:t>6</w:t>
            </w:r>
          </w:p>
        </w:tc>
        <w:tc>
          <w:tcPr>
            <w:tcW w:w="517" w:type="pct"/>
            <w:vAlign w:val="center"/>
          </w:tcPr>
          <w:p w14:paraId="139ADEB6" w14:textId="4DA2CEB0" w:rsidR="005A1128" w:rsidRPr="00095768" w:rsidRDefault="00F15B97" w:rsidP="00971326">
            <w:pPr>
              <w:pStyle w:val="Tabletext"/>
              <w:keepNext/>
              <w:jc w:val="center"/>
              <w:rPr>
                <w:vertAlign w:val="superscript"/>
              </w:rPr>
            </w:pPr>
            <w:r w:rsidRPr="00F15B97">
              <w:rPr>
                <w:sz w:val="2"/>
                <w:highlight w:val="black"/>
              </w:rPr>
              <w:t>redacted content</w:t>
            </w:r>
            <w:r w:rsidR="00095768">
              <w:rPr>
                <w:vertAlign w:val="superscript"/>
              </w:rPr>
              <w:t>6</w:t>
            </w:r>
          </w:p>
        </w:tc>
        <w:tc>
          <w:tcPr>
            <w:tcW w:w="517" w:type="pct"/>
            <w:vAlign w:val="center"/>
          </w:tcPr>
          <w:p w14:paraId="375E9E52" w14:textId="24067440" w:rsidR="005A1128" w:rsidRPr="00095768" w:rsidRDefault="00F15B97" w:rsidP="00971326">
            <w:pPr>
              <w:pStyle w:val="Tabletext"/>
              <w:keepNext/>
              <w:jc w:val="center"/>
              <w:rPr>
                <w:vertAlign w:val="superscript"/>
              </w:rPr>
            </w:pPr>
            <w:r w:rsidRPr="00F15B97">
              <w:rPr>
                <w:sz w:val="2"/>
                <w:highlight w:val="black"/>
              </w:rPr>
              <w:t>redacted content</w:t>
            </w:r>
            <w:r w:rsidR="00095768">
              <w:rPr>
                <w:vertAlign w:val="superscript"/>
              </w:rPr>
              <w:t>6</w:t>
            </w:r>
          </w:p>
        </w:tc>
        <w:tc>
          <w:tcPr>
            <w:tcW w:w="517" w:type="pct"/>
            <w:vAlign w:val="center"/>
          </w:tcPr>
          <w:p w14:paraId="43EC7E17" w14:textId="5E2B769D" w:rsidR="005A1128" w:rsidRPr="00095768" w:rsidRDefault="00F15B97" w:rsidP="00971326">
            <w:pPr>
              <w:pStyle w:val="Tabletext"/>
              <w:keepNext/>
              <w:jc w:val="center"/>
              <w:rPr>
                <w:vertAlign w:val="superscript"/>
              </w:rPr>
            </w:pPr>
            <w:r w:rsidRPr="00F15B97">
              <w:rPr>
                <w:sz w:val="2"/>
                <w:highlight w:val="black"/>
              </w:rPr>
              <w:t>redacted content</w:t>
            </w:r>
            <w:r w:rsidR="00095768">
              <w:rPr>
                <w:vertAlign w:val="superscript"/>
              </w:rPr>
              <w:t>6</w:t>
            </w:r>
          </w:p>
        </w:tc>
        <w:tc>
          <w:tcPr>
            <w:tcW w:w="520" w:type="pct"/>
            <w:vAlign w:val="center"/>
          </w:tcPr>
          <w:p w14:paraId="62AE0B13" w14:textId="71528178" w:rsidR="005A1128" w:rsidRPr="00095768" w:rsidRDefault="00F15B97" w:rsidP="00971326">
            <w:pPr>
              <w:pStyle w:val="Tabletext"/>
              <w:keepNext/>
              <w:jc w:val="center"/>
              <w:rPr>
                <w:vertAlign w:val="superscript"/>
              </w:rPr>
            </w:pPr>
            <w:r w:rsidRPr="00F15B97">
              <w:rPr>
                <w:sz w:val="2"/>
                <w:highlight w:val="black"/>
              </w:rPr>
              <w:t>redacted content</w:t>
            </w:r>
            <w:r w:rsidR="00095768">
              <w:rPr>
                <w:vertAlign w:val="superscript"/>
              </w:rPr>
              <w:t>6</w:t>
            </w:r>
          </w:p>
        </w:tc>
        <w:tc>
          <w:tcPr>
            <w:tcW w:w="768" w:type="pct"/>
          </w:tcPr>
          <w:p w14:paraId="49EBC61F" w14:textId="315F5419" w:rsidR="005A1128" w:rsidRPr="00567CC4" w:rsidRDefault="00F15B97" w:rsidP="00971326">
            <w:pPr>
              <w:pStyle w:val="Tabletext"/>
              <w:keepNext/>
              <w:jc w:val="center"/>
              <w:rPr>
                <w:vertAlign w:val="superscript"/>
              </w:rPr>
            </w:pPr>
            <w:r w:rsidRPr="00F15B97">
              <w:rPr>
                <w:sz w:val="2"/>
                <w:highlight w:val="black"/>
              </w:rPr>
              <w:t>redacted content</w:t>
            </w:r>
            <w:r w:rsidR="00567CC4">
              <w:rPr>
                <w:vertAlign w:val="superscript"/>
              </w:rPr>
              <w:t>7</w:t>
            </w:r>
          </w:p>
        </w:tc>
      </w:tr>
      <w:tr w:rsidR="00905D2F" w:rsidRPr="005A5BB7" w14:paraId="723EC2B7" w14:textId="77777777" w:rsidTr="00FF2527">
        <w:tc>
          <w:tcPr>
            <w:tcW w:w="4232" w:type="pct"/>
            <w:gridSpan w:val="7"/>
            <w:vAlign w:val="center"/>
          </w:tcPr>
          <w:p w14:paraId="5FAEE350" w14:textId="0C999AE2" w:rsidR="005A1128" w:rsidRPr="005A5BB7" w:rsidRDefault="005A1128" w:rsidP="00971326">
            <w:pPr>
              <w:pStyle w:val="Tabletext"/>
              <w:keepNext/>
              <w:rPr>
                <w:b/>
                <w:bCs/>
              </w:rPr>
            </w:pPr>
            <w:r w:rsidRPr="005A5BB7">
              <w:rPr>
                <w:b/>
                <w:bCs/>
              </w:rPr>
              <w:t xml:space="preserve">Estimated extent of use </w:t>
            </w:r>
            <w:r w:rsidR="000E4816">
              <w:rPr>
                <w:b/>
                <w:bCs/>
              </w:rPr>
              <w:noBreakHyphen/>
            </w:r>
            <w:r w:rsidRPr="005A5BB7">
              <w:rPr>
                <w:b/>
                <w:bCs/>
              </w:rPr>
              <w:t xml:space="preserve"> Total</w:t>
            </w:r>
          </w:p>
        </w:tc>
        <w:tc>
          <w:tcPr>
            <w:tcW w:w="768" w:type="pct"/>
          </w:tcPr>
          <w:p w14:paraId="53535B8A" w14:textId="77777777" w:rsidR="005A1128" w:rsidRPr="005A5BB7" w:rsidRDefault="005A1128" w:rsidP="00971326">
            <w:pPr>
              <w:pStyle w:val="Tabletext"/>
              <w:keepNext/>
            </w:pPr>
          </w:p>
        </w:tc>
      </w:tr>
      <w:tr w:rsidR="00082999" w:rsidRPr="005A5BB7" w14:paraId="61DE56EE" w14:textId="77777777" w:rsidTr="00FF2527">
        <w:tc>
          <w:tcPr>
            <w:tcW w:w="1040" w:type="pct"/>
            <w:vAlign w:val="center"/>
          </w:tcPr>
          <w:p w14:paraId="4B288A58" w14:textId="77777777" w:rsidR="005A1128" w:rsidRPr="005A5BB7" w:rsidRDefault="005A1128" w:rsidP="00971326">
            <w:pPr>
              <w:pStyle w:val="Tabletext"/>
              <w:keepNext/>
            </w:pPr>
            <w:r w:rsidRPr="005A5BB7">
              <w:t xml:space="preserve">   Vials</w:t>
            </w:r>
          </w:p>
        </w:tc>
        <w:tc>
          <w:tcPr>
            <w:tcW w:w="604" w:type="pct"/>
            <w:vAlign w:val="center"/>
          </w:tcPr>
          <w:p w14:paraId="6D503E03" w14:textId="360F0DA4" w:rsidR="005A1128" w:rsidRPr="0017429D" w:rsidRDefault="00F15B97" w:rsidP="00971326">
            <w:pPr>
              <w:pStyle w:val="Tabletext"/>
              <w:keepNext/>
              <w:jc w:val="center"/>
              <w:rPr>
                <w:vertAlign w:val="superscript"/>
              </w:rPr>
            </w:pPr>
            <w:r w:rsidRPr="00F15B97">
              <w:rPr>
                <w:sz w:val="2"/>
                <w:highlight w:val="black"/>
              </w:rPr>
              <w:t>redacted content</w:t>
            </w:r>
            <w:r w:rsidR="0017429D">
              <w:rPr>
                <w:vertAlign w:val="superscript"/>
              </w:rPr>
              <w:t>1</w:t>
            </w:r>
          </w:p>
        </w:tc>
        <w:tc>
          <w:tcPr>
            <w:tcW w:w="517" w:type="pct"/>
            <w:vAlign w:val="center"/>
          </w:tcPr>
          <w:p w14:paraId="3A67F672" w14:textId="4813FF9F"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17" w:type="pct"/>
            <w:vAlign w:val="center"/>
          </w:tcPr>
          <w:p w14:paraId="416648E8" w14:textId="02AE118E"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17" w:type="pct"/>
            <w:vAlign w:val="center"/>
          </w:tcPr>
          <w:p w14:paraId="0C07CFCA" w14:textId="4EFB72D0"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17" w:type="pct"/>
            <w:vAlign w:val="center"/>
          </w:tcPr>
          <w:p w14:paraId="22BB3441" w14:textId="37CA8FF4" w:rsidR="005A1128" w:rsidRPr="00B952C1" w:rsidRDefault="00F15B97" w:rsidP="00971326">
            <w:pPr>
              <w:pStyle w:val="Tabletext"/>
              <w:keepNext/>
              <w:jc w:val="center"/>
              <w:rPr>
                <w:vertAlign w:val="superscript"/>
              </w:rPr>
            </w:pPr>
            <w:r w:rsidRPr="00F15B97">
              <w:rPr>
                <w:sz w:val="2"/>
                <w:highlight w:val="black"/>
              </w:rPr>
              <w:t>redacted content</w:t>
            </w:r>
            <w:r w:rsidR="00B952C1">
              <w:rPr>
                <w:vertAlign w:val="superscript"/>
              </w:rPr>
              <w:t>3</w:t>
            </w:r>
          </w:p>
        </w:tc>
        <w:tc>
          <w:tcPr>
            <w:tcW w:w="520" w:type="pct"/>
            <w:vAlign w:val="center"/>
          </w:tcPr>
          <w:p w14:paraId="02D05A1D" w14:textId="59D6E719" w:rsidR="005A1128" w:rsidRPr="00B952C1" w:rsidRDefault="00F15B97" w:rsidP="00971326">
            <w:pPr>
              <w:pStyle w:val="Tabletext"/>
              <w:keepNext/>
              <w:jc w:val="center"/>
              <w:rPr>
                <w:highlight w:val="darkGray"/>
                <w:vertAlign w:val="superscript"/>
              </w:rPr>
            </w:pPr>
            <w:r w:rsidRPr="00F15B97">
              <w:rPr>
                <w:sz w:val="2"/>
                <w:highlight w:val="black"/>
              </w:rPr>
              <w:t>redacted content</w:t>
            </w:r>
            <w:r w:rsidR="00B952C1" w:rsidRPr="00B952C1">
              <w:rPr>
                <w:vertAlign w:val="superscript"/>
              </w:rPr>
              <w:t>3</w:t>
            </w:r>
          </w:p>
        </w:tc>
        <w:tc>
          <w:tcPr>
            <w:tcW w:w="768" w:type="pct"/>
          </w:tcPr>
          <w:p w14:paraId="0E1DBC5E" w14:textId="760D185D" w:rsidR="005A1128" w:rsidRPr="00C2653B" w:rsidRDefault="00F15B97" w:rsidP="00971326">
            <w:pPr>
              <w:pStyle w:val="Tabletext"/>
              <w:keepNext/>
              <w:jc w:val="center"/>
              <w:rPr>
                <w:vertAlign w:val="superscript"/>
              </w:rPr>
            </w:pPr>
            <w:r w:rsidRPr="00F15B97">
              <w:rPr>
                <w:sz w:val="2"/>
                <w:highlight w:val="black"/>
              </w:rPr>
              <w:t>redacted content</w:t>
            </w:r>
            <w:r w:rsidR="00C2653B">
              <w:rPr>
                <w:vertAlign w:val="superscript"/>
              </w:rPr>
              <w:t>4</w:t>
            </w:r>
          </w:p>
        </w:tc>
      </w:tr>
      <w:tr w:rsidR="00905D2F" w:rsidRPr="005A5BB7" w14:paraId="0D094203" w14:textId="77777777" w:rsidTr="00FF2527">
        <w:tc>
          <w:tcPr>
            <w:tcW w:w="4232" w:type="pct"/>
            <w:gridSpan w:val="7"/>
            <w:vAlign w:val="center"/>
          </w:tcPr>
          <w:p w14:paraId="39A6F1A3" w14:textId="77777777" w:rsidR="005A1128" w:rsidRPr="005A5BB7" w:rsidRDefault="005A1128" w:rsidP="00971326">
            <w:pPr>
              <w:pStyle w:val="Tabletext"/>
              <w:keepNext/>
              <w:rPr>
                <w:b/>
                <w:bCs/>
              </w:rPr>
            </w:pPr>
            <w:r w:rsidRPr="005A5BB7">
              <w:rPr>
                <w:b/>
                <w:bCs/>
              </w:rPr>
              <w:t>Estimated financial implications of RSVPreF3 OA</w:t>
            </w:r>
          </w:p>
        </w:tc>
        <w:tc>
          <w:tcPr>
            <w:tcW w:w="768" w:type="pct"/>
          </w:tcPr>
          <w:p w14:paraId="5490DD7E" w14:textId="77777777" w:rsidR="005A1128" w:rsidRPr="005A5BB7" w:rsidRDefault="005A1128" w:rsidP="00971326">
            <w:pPr>
              <w:pStyle w:val="Tabletext"/>
              <w:keepNext/>
            </w:pPr>
          </w:p>
        </w:tc>
      </w:tr>
      <w:tr w:rsidR="00082999" w:rsidRPr="005A5BB7" w14:paraId="65D401E3" w14:textId="77777777" w:rsidTr="00FF2527">
        <w:tc>
          <w:tcPr>
            <w:tcW w:w="1040" w:type="pct"/>
          </w:tcPr>
          <w:p w14:paraId="6B338016" w14:textId="77777777" w:rsidR="005A1128" w:rsidRPr="005A5BB7" w:rsidRDefault="005A1128" w:rsidP="00971326">
            <w:pPr>
              <w:pStyle w:val="Tabletext"/>
              <w:keepNext/>
              <w:ind w:left="107"/>
              <w:rPr>
                <w:rFonts w:eastAsia="MS Gothic"/>
              </w:rPr>
            </w:pPr>
            <w:r w:rsidRPr="005A5BB7">
              <w:rPr>
                <w:rFonts w:eastAsia="MS Gothic"/>
              </w:rPr>
              <w:t>Cost to the NIP</w:t>
            </w:r>
          </w:p>
        </w:tc>
        <w:tc>
          <w:tcPr>
            <w:tcW w:w="604" w:type="pct"/>
          </w:tcPr>
          <w:p w14:paraId="31C5C96C" w14:textId="34FFB778" w:rsidR="005A1128" w:rsidRPr="00F920E2" w:rsidRDefault="005A1128" w:rsidP="00971326">
            <w:pPr>
              <w:pStyle w:val="Tabletext"/>
              <w:keepNext/>
              <w:jc w:val="center"/>
              <w:rPr>
                <w:vertAlign w:val="superscript"/>
              </w:rPr>
            </w:pPr>
            <w:r w:rsidRPr="005A5BB7">
              <w:t>$</w:t>
            </w:r>
            <w:r w:rsidR="00F15B97" w:rsidRPr="00F15B97">
              <w:rPr>
                <w:sz w:val="2"/>
                <w:highlight w:val="black"/>
              </w:rPr>
              <w:t>redacted content</w:t>
            </w:r>
            <w:r w:rsidR="00F920E2">
              <w:rPr>
                <w:vertAlign w:val="superscript"/>
              </w:rPr>
              <w:t>8</w:t>
            </w:r>
          </w:p>
        </w:tc>
        <w:tc>
          <w:tcPr>
            <w:tcW w:w="517" w:type="pct"/>
          </w:tcPr>
          <w:p w14:paraId="0BCD10C6" w14:textId="7999BAF1" w:rsidR="005A1128" w:rsidRPr="00697349" w:rsidRDefault="005A1128" w:rsidP="00971326">
            <w:pPr>
              <w:pStyle w:val="Tabletext"/>
              <w:keepNext/>
              <w:jc w:val="center"/>
              <w:rPr>
                <w:vertAlign w:val="superscript"/>
              </w:rPr>
            </w:pPr>
            <w:r w:rsidRPr="005A5BB7">
              <w:t>$</w:t>
            </w:r>
            <w:r w:rsidR="00F15B97" w:rsidRPr="00F15B97">
              <w:rPr>
                <w:sz w:val="2"/>
                <w:highlight w:val="black"/>
              </w:rPr>
              <w:t>redacted content</w:t>
            </w:r>
            <w:r w:rsidR="00697349">
              <w:rPr>
                <w:vertAlign w:val="superscript"/>
              </w:rPr>
              <w:t>9</w:t>
            </w:r>
          </w:p>
        </w:tc>
        <w:tc>
          <w:tcPr>
            <w:tcW w:w="517" w:type="pct"/>
          </w:tcPr>
          <w:p w14:paraId="55093BEB" w14:textId="0146740A" w:rsidR="005A1128" w:rsidRPr="00697349" w:rsidRDefault="005A1128" w:rsidP="00971326">
            <w:pPr>
              <w:pStyle w:val="Tabletext"/>
              <w:keepNext/>
              <w:jc w:val="center"/>
              <w:rPr>
                <w:vertAlign w:val="superscript"/>
              </w:rPr>
            </w:pPr>
            <w:r w:rsidRPr="005A5BB7">
              <w:t>$</w:t>
            </w:r>
            <w:r w:rsidR="00F15B97" w:rsidRPr="00F15B97">
              <w:rPr>
                <w:sz w:val="2"/>
                <w:highlight w:val="black"/>
              </w:rPr>
              <w:t>redacted content</w:t>
            </w:r>
            <w:r w:rsidR="00697349">
              <w:rPr>
                <w:vertAlign w:val="superscript"/>
              </w:rPr>
              <w:t>9</w:t>
            </w:r>
          </w:p>
        </w:tc>
        <w:tc>
          <w:tcPr>
            <w:tcW w:w="517" w:type="pct"/>
          </w:tcPr>
          <w:p w14:paraId="5E4C84DB" w14:textId="1CFCA51D" w:rsidR="005A1128" w:rsidRPr="00697349" w:rsidRDefault="005A1128" w:rsidP="00971326">
            <w:pPr>
              <w:pStyle w:val="Tabletext"/>
              <w:keepNext/>
              <w:jc w:val="center"/>
              <w:rPr>
                <w:vertAlign w:val="superscript"/>
              </w:rPr>
            </w:pPr>
            <w:r w:rsidRPr="005A5BB7">
              <w:t>$</w:t>
            </w:r>
            <w:r w:rsidR="00F15B97" w:rsidRPr="00F15B97">
              <w:rPr>
                <w:sz w:val="2"/>
                <w:highlight w:val="black"/>
              </w:rPr>
              <w:t>redacted content</w:t>
            </w:r>
            <w:r w:rsidR="00697349">
              <w:rPr>
                <w:vertAlign w:val="superscript"/>
              </w:rPr>
              <w:t>9</w:t>
            </w:r>
          </w:p>
        </w:tc>
        <w:tc>
          <w:tcPr>
            <w:tcW w:w="517" w:type="pct"/>
          </w:tcPr>
          <w:p w14:paraId="3891A146" w14:textId="5AB263A5" w:rsidR="005A1128" w:rsidRPr="00697349" w:rsidRDefault="005A1128" w:rsidP="00971326">
            <w:pPr>
              <w:pStyle w:val="Tabletext"/>
              <w:keepNext/>
              <w:jc w:val="center"/>
              <w:rPr>
                <w:vertAlign w:val="superscript"/>
              </w:rPr>
            </w:pPr>
            <w:r w:rsidRPr="005A5BB7">
              <w:t>$</w:t>
            </w:r>
            <w:r w:rsidR="00F15B97" w:rsidRPr="00F15B97">
              <w:rPr>
                <w:sz w:val="2"/>
                <w:highlight w:val="black"/>
              </w:rPr>
              <w:t>redacted content</w:t>
            </w:r>
            <w:r w:rsidR="00697349">
              <w:rPr>
                <w:vertAlign w:val="superscript"/>
              </w:rPr>
              <w:t>9</w:t>
            </w:r>
          </w:p>
        </w:tc>
        <w:tc>
          <w:tcPr>
            <w:tcW w:w="520" w:type="pct"/>
          </w:tcPr>
          <w:p w14:paraId="45E4BA7E" w14:textId="53F34365" w:rsidR="005A1128" w:rsidRPr="00697349" w:rsidRDefault="005A1128" w:rsidP="00971326">
            <w:pPr>
              <w:pStyle w:val="Tabletext"/>
              <w:keepNext/>
              <w:jc w:val="center"/>
              <w:rPr>
                <w:vertAlign w:val="superscript"/>
              </w:rPr>
            </w:pPr>
            <w:r w:rsidRPr="005A5BB7">
              <w:t>$</w:t>
            </w:r>
            <w:r w:rsidR="00F15B97" w:rsidRPr="00F15B97">
              <w:rPr>
                <w:sz w:val="2"/>
                <w:highlight w:val="black"/>
              </w:rPr>
              <w:t>redacted content</w:t>
            </w:r>
            <w:r w:rsidR="00697349">
              <w:rPr>
                <w:vertAlign w:val="superscript"/>
              </w:rPr>
              <w:t>9</w:t>
            </w:r>
          </w:p>
        </w:tc>
        <w:tc>
          <w:tcPr>
            <w:tcW w:w="768" w:type="pct"/>
          </w:tcPr>
          <w:p w14:paraId="72D35939" w14:textId="1C6C4B99" w:rsidR="005A1128" w:rsidRPr="008D2BF5" w:rsidRDefault="005A1128" w:rsidP="00971326">
            <w:pPr>
              <w:pStyle w:val="Tabletext"/>
              <w:keepNext/>
              <w:jc w:val="center"/>
              <w:rPr>
                <w:vertAlign w:val="superscript"/>
              </w:rPr>
            </w:pPr>
            <w:r w:rsidRPr="005A5BB7">
              <w:t>$</w:t>
            </w:r>
            <w:r w:rsidR="00F15B97" w:rsidRPr="00F15B97">
              <w:rPr>
                <w:sz w:val="2"/>
                <w:highlight w:val="black"/>
              </w:rPr>
              <w:t>redacted content</w:t>
            </w:r>
            <w:r w:rsidR="008D2BF5">
              <w:rPr>
                <w:vertAlign w:val="superscript"/>
              </w:rPr>
              <w:t>10</w:t>
            </w:r>
          </w:p>
        </w:tc>
      </w:tr>
    </w:tbl>
    <w:p w14:paraId="3BCE8346" w14:textId="5A4B2463" w:rsidR="005A1128" w:rsidRPr="005A5BB7" w:rsidRDefault="005A1128" w:rsidP="00971326">
      <w:pPr>
        <w:pStyle w:val="TableNotes"/>
        <w:keepNext/>
        <w:spacing w:after="0"/>
        <w:rPr>
          <w:snapToGrid w:val="0"/>
        </w:rPr>
      </w:pPr>
      <w:r w:rsidRPr="005A5BB7">
        <w:t xml:space="preserve">Source: </w:t>
      </w:r>
      <w:r w:rsidR="00CE05DD" w:rsidRPr="005A5BB7">
        <w:t xml:space="preserve">RSVPreF3 OA PBAC minutes December 2025, </w:t>
      </w:r>
      <w:r w:rsidRPr="005A5BB7">
        <w:rPr>
          <w:snapToGrid w:val="0"/>
        </w:rPr>
        <w:t xml:space="preserve">Table </w:t>
      </w:r>
      <w:r w:rsidR="00CE05DD" w:rsidRPr="005A5BB7">
        <w:rPr>
          <w:snapToGrid w:val="0"/>
        </w:rPr>
        <w:t>28</w:t>
      </w:r>
      <w:r w:rsidRPr="005A5BB7">
        <w:rPr>
          <w:snapToGrid w:val="0"/>
        </w:rPr>
        <w:t xml:space="preserve">. </w:t>
      </w:r>
    </w:p>
    <w:p w14:paraId="7C8ED6F6" w14:textId="37CDF3B5" w:rsidR="005A1128" w:rsidRPr="005A5BB7" w:rsidRDefault="005A1128" w:rsidP="00971326">
      <w:pPr>
        <w:pStyle w:val="TableNotes"/>
        <w:keepNext/>
        <w:spacing w:after="0"/>
        <w:rPr>
          <w:snapToGrid w:val="0"/>
        </w:rPr>
      </w:pPr>
      <w:r w:rsidRPr="005A5BB7">
        <w:rPr>
          <w:snapToGrid w:val="0"/>
        </w:rPr>
        <w:t>NIP = National Immunisation Program</w:t>
      </w:r>
      <w:r w:rsidR="00551D53" w:rsidRPr="005A5BB7">
        <w:rPr>
          <w:snapToGrid w:val="0"/>
        </w:rPr>
        <w:t xml:space="preserve">; YOA = years of </w:t>
      </w:r>
      <w:r w:rsidR="00744C96" w:rsidRPr="005A5BB7">
        <w:rPr>
          <w:snapToGrid w:val="0"/>
        </w:rPr>
        <w:t>age.</w:t>
      </w:r>
    </w:p>
    <w:p w14:paraId="0E50DD4D" w14:textId="77777777" w:rsidR="006F258E" w:rsidRPr="006F258E" w:rsidRDefault="006F258E" w:rsidP="00971326">
      <w:pPr>
        <w:pStyle w:val="TableNotes"/>
        <w:keepNext/>
        <w:spacing w:after="0"/>
        <w:rPr>
          <w:bCs/>
          <w:i/>
          <w:iCs/>
          <w:szCs w:val="16"/>
          <w14:ligatures w14:val="standardContextual"/>
        </w:rPr>
      </w:pPr>
      <w:r w:rsidRPr="006F258E">
        <w:rPr>
          <w:bCs/>
          <w:i/>
          <w:iCs/>
          <w:szCs w:val="16"/>
          <w14:ligatures w14:val="standardContextual"/>
        </w:rPr>
        <w:t xml:space="preserve">The redacted values correspond to the following ranges: </w:t>
      </w:r>
    </w:p>
    <w:p w14:paraId="4F467969" w14:textId="5F9CB8D0" w:rsidR="006F258E" w:rsidRPr="006F258E" w:rsidRDefault="006F258E" w:rsidP="00971326">
      <w:pPr>
        <w:pStyle w:val="TableNotes"/>
        <w:keepNext/>
        <w:spacing w:after="0"/>
        <w:rPr>
          <w:i/>
          <w:szCs w:val="16"/>
          <w14:ligatures w14:val="standardContextual"/>
        </w:rPr>
      </w:pPr>
      <w:r w:rsidRPr="006F258E">
        <w:rPr>
          <w:i/>
          <w:szCs w:val="16"/>
          <w:vertAlign w:val="superscript"/>
          <w14:ligatures w14:val="standardContextual"/>
        </w:rPr>
        <w:t>1</w:t>
      </w:r>
      <w:r w:rsidRPr="006F258E">
        <w:rPr>
          <w:i/>
          <w:szCs w:val="16"/>
          <w14:ligatures w14:val="standardContextual"/>
        </w:rPr>
        <w:t xml:space="preserve"> </w:t>
      </w:r>
      <w:r w:rsidR="0017429D" w:rsidRPr="0017429D">
        <w:rPr>
          <w:i/>
          <w:szCs w:val="16"/>
          <w14:ligatures w14:val="standardContextual"/>
        </w:rPr>
        <w:t>800,000 to &lt; 900,000</w:t>
      </w:r>
    </w:p>
    <w:p w14:paraId="5DAC91F3" w14:textId="345ADD65" w:rsidR="006F258E" w:rsidRPr="006F258E" w:rsidRDefault="006F258E" w:rsidP="00971326">
      <w:pPr>
        <w:pStyle w:val="TableNotes"/>
        <w:keepNext/>
        <w:spacing w:after="0"/>
        <w:rPr>
          <w:i/>
          <w:szCs w:val="16"/>
          <w14:ligatures w14:val="standardContextual"/>
        </w:rPr>
      </w:pPr>
      <w:r w:rsidRPr="006F258E">
        <w:rPr>
          <w:i/>
          <w:szCs w:val="16"/>
          <w:vertAlign w:val="superscript"/>
          <w14:ligatures w14:val="standardContextual"/>
        </w:rPr>
        <w:t>2</w:t>
      </w:r>
      <w:r w:rsidRPr="006F258E">
        <w:rPr>
          <w:i/>
          <w:szCs w:val="16"/>
          <w14:ligatures w14:val="standardContextual"/>
        </w:rPr>
        <w:t xml:space="preserve"> </w:t>
      </w:r>
      <w:r w:rsidR="005362CD" w:rsidRPr="005362CD">
        <w:rPr>
          <w:i/>
          <w:szCs w:val="16"/>
          <w14:ligatures w14:val="standardContextual"/>
        </w:rPr>
        <w:t>100,000 to &lt; 200,000</w:t>
      </w:r>
    </w:p>
    <w:p w14:paraId="40680B31" w14:textId="4456111E" w:rsidR="006F258E" w:rsidRPr="006F258E" w:rsidRDefault="006F258E" w:rsidP="00971326">
      <w:pPr>
        <w:pStyle w:val="TableNotes"/>
        <w:keepNext/>
        <w:spacing w:after="0"/>
        <w:rPr>
          <w:i/>
          <w:szCs w:val="16"/>
          <w14:ligatures w14:val="standardContextual"/>
        </w:rPr>
      </w:pPr>
      <w:r w:rsidRPr="006F258E">
        <w:rPr>
          <w:i/>
          <w:szCs w:val="16"/>
          <w:vertAlign w:val="superscript"/>
          <w14:ligatures w14:val="standardContextual"/>
        </w:rPr>
        <w:t>3</w:t>
      </w:r>
      <w:r w:rsidRPr="006F258E">
        <w:rPr>
          <w:i/>
          <w:szCs w:val="16"/>
          <w14:ligatures w14:val="standardContextual"/>
        </w:rPr>
        <w:t xml:space="preserve"> </w:t>
      </w:r>
      <w:r w:rsidR="00B952C1" w:rsidRPr="00B952C1">
        <w:rPr>
          <w:i/>
          <w:szCs w:val="16"/>
          <w14:ligatures w14:val="standardContextual"/>
        </w:rPr>
        <w:t>200,000 to &lt; 300,000</w:t>
      </w:r>
    </w:p>
    <w:p w14:paraId="72823090" w14:textId="762F2A5E" w:rsidR="006F258E" w:rsidRPr="006F258E" w:rsidRDefault="006F258E" w:rsidP="00971326">
      <w:pPr>
        <w:pStyle w:val="TableNotes"/>
        <w:keepNext/>
        <w:spacing w:after="0"/>
        <w:rPr>
          <w:i/>
          <w:szCs w:val="16"/>
          <w14:ligatures w14:val="standardContextual"/>
        </w:rPr>
      </w:pPr>
      <w:r w:rsidRPr="006F258E">
        <w:rPr>
          <w:i/>
          <w:szCs w:val="16"/>
          <w:vertAlign w:val="superscript"/>
          <w14:ligatures w14:val="standardContextual"/>
        </w:rPr>
        <w:t>4</w:t>
      </w:r>
      <w:r w:rsidRPr="006F258E">
        <w:rPr>
          <w:i/>
          <w:szCs w:val="16"/>
          <w14:ligatures w14:val="standardContextual"/>
        </w:rPr>
        <w:t xml:space="preserve"> </w:t>
      </w:r>
      <w:r w:rsidR="00C2653B" w:rsidRPr="00C2653B">
        <w:rPr>
          <w:i/>
          <w:szCs w:val="16"/>
          <w14:ligatures w14:val="standardContextual"/>
        </w:rPr>
        <w:t>1,000,000 to &lt; 2,000,000</w:t>
      </w:r>
    </w:p>
    <w:p w14:paraId="078DF562" w14:textId="111C34E7" w:rsidR="006F258E" w:rsidRPr="006F258E" w:rsidRDefault="006F258E" w:rsidP="00971326">
      <w:pPr>
        <w:pStyle w:val="TableNotes"/>
        <w:keepNext/>
        <w:spacing w:after="0"/>
        <w:rPr>
          <w:i/>
          <w:szCs w:val="16"/>
          <w14:ligatures w14:val="standardContextual"/>
        </w:rPr>
      </w:pPr>
      <w:r w:rsidRPr="006F258E">
        <w:rPr>
          <w:i/>
          <w:szCs w:val="16"/>
          <w:vertAlign w:val="superscript"/>
          <w14:ligatures w14:val="standardContextual"/>
        </w:rPr>
        <w:t>5</w:t>
      </w:r>
      <w:r w:rsidRPr="006F258E">
        <w:rPr>
          <w:i/>
          <w:szCs w:val="16"/>
          <w14:ligatures w14:val="standardContextual"/>
        </w:rPr>
        <w:t xml:space="preserve"> </w:t>
      </w:r>
      <w:r w:rsidR="00FA615E" w:rsidRPr="00FA615E">
        <w:rPr>
          <w:i/>
          <w:szCs w:val="16"/>
          <w14:ligatures w14:val="standardContextual"/>
        </w:rPr>
        <w:t>20,000 to &lt; 30,000</w:t>
      </w:r>
    </w:p>
    <w:p w14:paraId="63FA6EF8" w14:textId="4196F1AF" w:rsidR="00095768" w:rsidRPr="00095768" w:rsidRDefault="006F258E" w:rsidP="00971326">
      <w:pPr>
        <w:pStyle w:val="TableNotes"/>
        <w:keepNext/>
        <w:spacing w:after="0"/>
        <w:rPr>
          <w:i/>
          <w:szCs w:val="16"/>
          <w14:ligatures w14:val="standardContextual"/>
        </w:rPr>
      </w:pPr>
      <w:r w:rsidRPr="006F258E">
        <w:rPr>
          <w:i/>
          <w:szCs w:val="16"/>
          <w:vertAlign w:val="superscript"/>
          <w14:ligatures w14:val="standardContextual"/>
        </w:rPr>
        <w:t>6</w:t>
      </w:r>
      <w:r w:rsidR="00095768">
        <w:rPr>
          <w:i/>
          <w:szCs w:val="16"/>
          <w14:ligatures w14:val="standardContextual"/>
        </w:rPr>
        <w:t xml:space="preserve"> </w:t>
      </w:r>
      <w:r w:rsidR="00095768" w:rsidRPr="00095768">
        <w:rPr>
          <w:i/>
          <w:szCs w:val="16"/>
          <w14:ligatures w14:val="standardContextual"/>
        </w:rPr>
        <w:t>5,000 to &lt; 10,000</w:t>
      </w:r>
    </w:p>
    <w:p w14:paraId="4E42B5C1" w14:textId="72ED19A8" w:rsidR="00095768" w:rsidRPr="00567CC4" w:rsidRDefault="00095768" w:rsidP="00971326">
      <w:pPr>
        <w:pStyle w:val="TableNotes"/>
        <w:keepNext/>
        <w:spacing w:after="0"/>
        <w:rPr>
          <w:i/>
          <w:szCs w:val="16"/>
          <w14:ligatures w14:val="standardContextual"/>
        </w:rPr>
      </w:pPr>
      <w:r>
        <w:rPr>
          <w:i/>
          <w:szCs w:val="16"/>
          <w:vertAlign w:val="superscript"/>
          <w14:ligatures w14:val="standardContextual"/>
        </w:rPr>
        <w:t>7</w:t>
      </w:r>
      <w:r w:rsidR="00567CC4">
        <w:rPr>
          <w:i/>
          <w:szCs w:val="16"/>
          <w14:ligatures w14:val="standardContextual"/>
        </w:rPr>
        <w:t xml:space="preserve"> </w:t>
      </w:r>
      <w:r w:rsidR="00567CC4" w:rsidRPr="00567CC4">
        <w:rPr>
          <w:i/>
          <w:szCs w:val="16"/>
          <w14:ligatures w14:val="standardContextual"/>
        </w:rPr>
        <w:t>60,000 to &lt; 70,000</w:t>
      </w:r>
    </w:p>
    <w:p w14:paraId="1A8C4B19" w14:textId="4BE1B7BF" w:rsidR="00095768" w:rsidRPr="00F920E2" w:rsidRDefault="00095768" w:rsidP="00971326">
      <w:pPr>
        <w:pStyle w:val="TableNotes"/>
        <w:keepNext/>
        <w:spacing w:after="0"/>
        <w:rPr>
          <w:i/>
          <w:szCs w:val="16"/>
          <w14:ligatures w14:val="standardContextual"/>
        </w:rPr>
      </w:pPr>
      <w:r>
        <w:rPr>
          <w:i/>
          <w:szCs w:val="16"/>
          <w:vertAlign w:val="superscript"/>
          <w14:ligatures w14:val="standardContextual"/>
        </w:rPr>
        <w:t>8</w:t>
      </w:r>
      <w:r w:rsidR="00F920E2">
        <w:rPr>
          <w:i/>
          <w:szCs w:val="16"/>
          <w:vertAlign w:val="superscript"/>
          <w14:ligatures w14:val="standardContextual"/>
        </w:rPr>
        <w:t xml:space="preserve"> </w:t>
      </w:r>
      <w:r w:rsidR="00F920E2" w:rsidRPr="00F920E2">
        <w:rPr>
          <w:i/>
          <w:szCs w:val="16"/>
          <w14:ligatures w14:val="standardContextual"/>
        </w:rPr>
        <w:t>$90 million to &lt; $100 million</w:t>
      </w:r>
    </w:p>
    <w:p w14:paraId="7F668198" w14:textId="2F885C81" w:rsidR="00095768" w:rsidRPr="00697349" w:rsidRDefault="00095768" w:rsidP="00971326">
      <w:pPr>
        <w:pStyle w:val="TableNotes"/>
        <w:keepNext/>
        <w:spacing w:after="0"/>
        <w:rPr>
          <w:i/>
          <w:szCs w:val="16"/>
          <w14:ligatures w14:val="standardContextual"/>
        </w:rPr>
      </w:pPr>
      <w:r>
        <w:rPr>
          <w:i/>
          <w:szCs w:val="16"/>
          <w:vertAlign w:val="superscript"/>
          <w14:ligatures w14:val="standardContextual"/>
        </w:rPr>
        <w:t>9</w:t>
      </w:r>
      <w:r w:rsidR="00697349">
        <w:rPr>
          <w:i/>
          <w:szCs w:val="16"/>
          <w:vertAlign w:val="superscript"/>
          <w14:ligatures w14:val="standardContextual"/>
        </w:rPr>
        <w:t xml:space="preserve"> </w:t>
      </w:r>
      <w:r w:rsidR="00697349" w:rsidRPr="00697349">
        <w:rPr>
          <w:i/>
          <w:szCs w:val="16"/>
          <w14:ligatures w14:val="standardContextual"/>
        </w:rPr>
        <w:t>$20 million to &lt; $30 million</w:t>
      </w:r>
    </w:p>
    <w:p w14:paraId="6C0B67D2" w14:textId="42BBF9AC" w:rsidR="006F258E" w:rsidRPr="006F258E" w:rsidRDefault="00095768" w:rsidP="00971326">
      <w:pPr>
        <w:pStyle w:val="TableNotes"/>
        <w:keepNext/>
        <w:spacing w:after="0"/>
        <w:rPr>
          <w:bCs/>
          <w:i/>
          <w:szCs w:val="16"/>
          <w14:ligatures w14:val="standardContextual"/>
        </w:rPr>
      </w:pPr>
      <w:r>
        <w:rPr>
          <w:i/>
          <w:szCs w:val="16"/>
          <w:vertAlign w:val="superscript"/>
          <w14:ligatures w14:val="standardContextual"/>
        </w:rPr>
        <w:t>10</w:t>
      </w:r>
      <w:r w:rsidR="006F258E" w:rsidRPr="006F258E">
        <w:rPr>
          <w:i/>
          <w:szCs w:val="16"/>
          <w14:ligatures w14:val="standardContextual"/>
        </w:rPr>
        <w:t xml:space="preserve"> </w:t>
      </w:r>
      <w:r w:rsidR="008D2BF5" w:rsidRPr="008D2BF5">
        <w:rPr>
          <w:bCs/>
          <w:i/>
          <w:szCs w:val="16"/>
          <w14:ligatures w14:val="standardContextual"/>
        </w:rPr>
        <w:t>$200 million to &lt; $300 million</w:t>
      </w:r>
    </w:p>
    <w:p w14:paraId="1F337DF5" w14:textId="77777777" w:rsidR="00614B2B" w:rsidRPr="005A5BB7" w:rsidRDefault="00614B2B" w:rsidP="00971326">
      <w:pPr>
        <w:pStyle w:val="TableNotes"/>
        <w:keepNext/>
        <w:spacing w:after="0"/>
        <w:rPr>
          <w:szCs w:val="16"/>
          <w14:ligatures w14:val="standardContextual"/>
        </w:rPr>
      </w:pPr>
    </w:p>
    <w:p w14:paraId="0584C98A" w14:textId="176C4498" w:rsidR="00945CEF" w:rsidRPr="005A5BB7" w:rsidRDefault="004C397E" w:rsidP="00945CEF">
      <w:pPr>
        <w:pStyle w:val="3-BodyText"/>
      </w:pPr>
      <w:r w:rsidRPr="005A5BB7">
        <w:t>The estimated use and financial implications for the proposed population</w:t>
      </w:r>
      <w:r w:rsidR="00CE05DD" w:rsidRPr="005A5BB7">
        <w:t xml:space="preserve"> of </w:t>
      </w:r>
      <w:r w:rsidR="009F52A8" w:rsidRPr="005A5BB7">
        <w:t>a</w:t>
      </w:r>
      <w:r w:rsidR="00CE05DD" w:rsidRPr="005A5BB7">
        <w:t>dults 60</w:t>
      </w:r>
      <w:r w:rsidR="000E4816">
        <w:noBreakHyphen/>
      </w:r>
      <w:r w:rsidR="00CE05DD" w:rsidRPr="005A5BB7">
        <w:t>74 YOA at increased risk of severe RSV disease</w:t>
      </w:r>
      <w:r w:rsidRPr="005A5BB7">
        <w:t xml:space="preserve"> are presented in </w:t>
      </w:r>
      <w:r w:rsidR="00945CEF" w:rsidRPr="005A5BB7">
        <w:fldChar w:fldCharType="begin"/>
      </w:r>
      <w:r w:rsidR="00945CEF" w:rsidRPr="005A5BB7">
        <w:instrText xml:space="preserve"> REF _Ref222411818 \h  \* MERGEFORMAT </w:instrText>
      </w:r>
      <w:r w:rsidR="00945CEF" w:rsidRPr="005A5BB7">
        <w:fldChar w:fldCharType="separate"/>
      </w:r>
      <w:r w:rsidR="0043658C" w:rsidRPr="005A5BB7">
        <w:t xml:space="preserve">Table </w:t>
      </w:r>
      <w:r w:rsidR="0043658C">
        <w:t>26</w:t>
      </w:r>
      <w:r w:rsidR="00945CEF" w:rsidRPr="005A5BB7">
        <w:fldChar w:fldCharType="end"/>
      </w:r>
      <w:r w:rsidR="00945CEF" w:rsidRPr="005A5BB7">
        <w:t>.</w:t>
      </w:r>
    </w:p>
    <w:p w14:paraId="4465A1CA" w14:textId="23325065" w:rsidR="006E1CD2" w:rsidRPr="005A5BB7" w:rsidRDefault="006E1CD2" w:rsidP="00945CEF">
      <w:pPr>
        <w:pStyle w:val="3-BodyText"/>
      </w:pPr>
      <w:r w:rsidRPr="005A5BB7">
        <w:t>The resubmission assumed an average vaccine administration cost of $7.</w:t>
      </w:r>
      <w:r w:rsidR="00DA1339">
        <w:t xml:space="preserve"> </w:t>
      </w:r>
      <w:r w:rsidRPr="005A5BB7">
        <w:rPr>
          <w:iCs/>
        </w:rPr>
        <w:t>The ESC noted that the costs of administration may be underestimated</w:t>
      </w:r>
      <w:r w:rsidR="000D6A05" w:rsidRPr="005A5BB7">
        <w:rPr>
          <w:iCs/>
        </w:rPr>
        <w:t>, however were consistent with the economic evaluation</w:t>
      </w:r>
      <w:r w:rsidRPr="005A5BB7">
        <w:rPr>
          <w:iCs/>
        </w:rPr>
        <w:t>.</w:t>
      </w:r>
      <w:r w:rsidRPr="005A5BB7">
        <w:t xml:space="preserve"> </w:t>
      </w:r>
    </w:p>
    <w:p w14:paraId="098269EC" w14:textId="5C70C16F" w:rsidR="002F5195" w:rsidRPr="005A5BB7" w:rsidRDefault="00D60E4E" w:rsidP="002F5195">
      <w:pPr>
        <w:pStyle w:val="3-BodyText"/>
        <w:rPr>
          <w:iCs/>
        </w:rPr>
      </w:pPr>
      <w:bookmarkStart w:id="98" w:name="_Ref222414058"/>
      <w:r w:rsidRPr="005A5BB7">
        <w:rPr>
          <w:rFonts w:eastAsia="Calibri"/>
          <w:iCs/>
          <w:szCs w:val="20"/>
        </w:rPr>
        <w:t xml:space="preserve">Additional analyses are presented in </w:t>
      </w:r>
      <w:r w:rsidRPr="005A5BB7">
        <w:rPr>
          <w:rFonts w:eastAsia="Calibri"/>
          <w:iCs/>
          <w:szCs w:val="20"/>
        </w:rPr>
        <w:fldChar w:fldCharType="begin"/>
      </w:r>
      <w:r w:rsidRPr="005A5BB7">
        <w:rPr>
          <w:rFonts w:eastAsia="Calibri"/>
          <w:iCs/>
          <w:szCs w:val="20"/>
        </w:rPr>
        <w:instrText xml:space="preserve"> REF _Ref222411818 \h </w:instrText>
      </w:r>
      <w:r w:rsidR="002F5195" w:rsidRPr="005A5BB7">
        <w:rPr>
          <w:rFonts w:eastAsia="Calibri"/>
          <w:iCs/>
          <w:szCs w:val="20"/>
        </w:rPr>
        <w:instrText xml:space="preserve"> \* MERGEFORMAT </w:instrText>
      </w:r>
      <w:r w:rsidRPr="005A5BB7">
        <w:rPr>
          <w:rFonts w:eastAsia="Calibri"/>
          <w:iCs/>
          <w:szCs w:val="20"/>
        </w:rPr>
      </w:r>
      <w:r w:rsidRPr="005A5BB7">
        <w:rPr>
          <w:rFonts w:eastAsia="Calibri"/>
          <w:iCs/>
          <w:szCs w:val="20"/>
        </w:rPr>
        <w:fldChar w:fldCharType="separate"/>
      </w:r>
      <w:r w:rsidR="0043658C" w:rsidRPr="0043658C">
        <w:rPr>
          <w:iCs/>
        </w:rPr>
        <w:t>Table 26</w:t>
      </w:r>
      <w:r w:rsidRPr="005A5BB7">
        <w:rPr>
          <w:rFonts w:eastAsia="Calibri"/>
          <w:iCs/>
          <w:szCs w:val="20"/>
        </w:rPr>
        <w:fldChar w:fldCharType="end"/>
      </w:r>
      <w:r w:rsidRPr="005A5BB7">
        <w:rPr>
          <w:rFonts w:eastAsia="Calibri"/>
          <w:iCs/>
          <w:szCs w:val="20"/>
        </w:rPr>
        <w:t xml:space="preserve"> including revised estimates from the PSCR</w:t>
      </w:r>
      <w:bookmarkEnd w:id="98"/>
      <w:r w:rsidR="002F5195" w:rsidRPr="005A5BB7">
        <w:rPr>
          <w:rFonts w:eastAsia="Calibri"/>
          <w:iCs/>
          <w:szCs w:val="20"/>
        </w:rPr>
        <w:t xml:space="preserve">. When estimates from Clark 2020 are used for estimating the eligible population, the cost to NIP increases to </w:t>
      </w:r>
      <w:r w:rsidR="002C64EF" w:rsidRPr="002C64EF">
        <w:rPr>
          <w:iCs/>
        </w:rPr>
        <w:t>$100 million to &lt; $200 million</w:t>
      </w:r>
      <w:r w:rsidR="0007502C" w:rsidRPr="005A5BB7">
        <w:rPr>
          <w:iCs/>
        </w:rPr>
        <w:t xml:space="preserve"> </w:t>
      </w:r>
      <w:r w:rsidR="002F5195" w:rsidRPr="005A5BB7">
        <w:rPr>
          <w:iCs/>
        </w:rPr>
        <w:t xml:space="preserve">over 6 years, compared with </w:t>
      </w:r>
      <w:r w:rsidR="002C64EF" w:rsidRPr="002C64EF">
        <w:rPr>
          <w:iCs/>
        </w:rPr>
        <w:t>$100 million to &lt; $200 million</w:t>
      </w:r>
      <w:r w:rsidR="00EC6806">
        <w:rPr>
          <w:iCs/>
        </w:rPr>
        <w:t xml:space="preserve"> </w:t>
      </w:r>
      <w:r w:rsidR="002F5195" w:rsidRPr="005A5BB7">
        <w:rPr>
          <w:iCs/>
        </w:rPr>
        <w:t>over 6 years in the PSCR base case.</w:t>
      </w:r>
    </w:p>
    <w:p w14:paraId="615A5020" w14:textId="72A0DF3C" w:rsidR="002F5195" w:rsidRPr="005A5BB7" w:rsidRDefault="002F5195" w:rsidP="002F5195">
      <w:pPr>
        <w:pStyle w:val="3-BodyText"/>
      </w:pPr>
      <w:r w:rsidRPr="005A5BB7">
        <w:rPr>
          <w:iCs/>
        </w:rPr>
        <w:t>The ESC advised that a sensitivity analysis would be informative for PBAC consideration that omits obesity to align with the criteria for influenza. The analysis includes the cohort aged 60</w:t>
      </w:r>
      <w:r w:rsidR="000E4816">
        <w:rPr>
          <w:iCs/>
        </w:rPr>
        <w:noBreakHyphen/>
      </w:r>
      <w:r w:rsidRPr="005A5BB7">
        <w:rPr>
          <w:iCs/>
        </w:rPr>
        <w:t xml:space="preserve">74 years with medical risk factors as proposed by the resubmission but </w:t>
      </w:r>
      <w:proofErr w:type="gramStart"/>
      <w:r w:rsidRPr="005A5BB7">
        <w:rPr>
          <w:iCs/>
        </w:rPr>
        <w:t>with the exception of</w:t>
      </w:r>
      <w:proofErr w:type="gramEnd"/>
      <w:r w:rsidRPr="005A5BB7">
        <w:rPr>
          <w:iCs/>
        </w:rPr>
        <w:t xml:space="preserve"> obesity.</w:t>
      </w:r>
      <w:r w:rsidR="00DA1339">
        <w:rPr>
          <w:iCs/>
        </w:rPr>
        <w:t xml:space="preserve"> </w:t>
      </w:r>
      <w:r w:rsidRPr="005A5BB7">
        <w:rPr>
          <w:iCs/>
        </w:rPr>
        <w:t xml:space="preserve">A sensitivity analysis where obesity is excluded is shown in </w:t>
      </w:r>
      <w:r w:rsidRPr="005A5BB7">
        <w:rPr>
          <w:iCs/>
        </w:rPr>
        <w:fldChar w:fldCharType="begin"/>
      </w:r>
      <w:r w:rsidRPr="005A5BB7">
        <w:rPr>
          <w:iCs/>
        </w:rPr>
        <w:instrText xml:space="preserve"> REF _Ref222411818 \h  \* MERGEFORMAT </w:instrText>
      </w:r>
      <w:r w:rsidRPr="005A5BB7">
        <w:rPr>
          <w:iCs/>
        </w:rPr>
      </w:r>
      <w:r w:rsidRPr="005A5BB7">
        <w:rPr>
          <w:iCs/>
        </w:rPr>
        <w:fldChar w:fldCharType="separate"/>
      </w:r>
      <w:r w:rsidR="0043658C" w:rsidRPr="0043658C">
        <w:rPr>
          <w:iCs/>
        </w:rPr>
        <w:t>Table 26</w:t>
      </w:r>
      <w:r w:rsidRPr="005A5BB7">
        <w:rPr>
          <w:iCs/>
        </w:rPr>
        <w:fldChar w:fldCharType="end"/>
      </w:r>
      <w:r w:rsidRPr="005A5BB7">
        <w:rPr>
          <w:iCs/>
        </w:rPr>
        <w:t xml:space="preserve">, however the result is uncertain as it relies on </w:t>
      </w:r>
      <w:r w:rsidR="00617C9E" w:rsidRPr="005A5BB7">
        <w:rPr>
          <w:iCs/>
        </w:rPr>
        <w:t>an</w:t>
      </w:r>
      <w:r w:rsidRPr="005A5BB7">
        <w:rPr>
          <w:iCs/>
        </w:rPr>
        <w:t xml:space="preserve"> estimate that 9% of the total population would qualify for vaccination based on BMI </w:t>
      </w:r>
      <w:r w:rsidR="00617C9E" w:rsidRPr="005A5BB7">
        <w:rPr>
          <w:iCs/>
        </w:rPr>
        <w:t xml:space="preserve">and not meet other medical criteria </w:t>
      </w:r>
      <w:r w:rsidRPr="005A5BB7">
        <w:rPr>
          <w:iCs/>
        </w:rPr>
        <w:t>(</w:t>
      </w:r>
      <w:r w:rsidRPr="005A5BB7">
        <w:rPr>
          <w:iCs/>
        </w:rPr>
        <w:fldChar w:fldCharType="begin"/>
      </w:r>
      <w:r w:rsidRPr="005A5BB7">
        <w:rPr>
          <w:iCs/>
        </w:rPr>
        <w:instrText xml:space="preserve"> REF _Ref219307823 \h  \* MERGEFORMAT </w:instrText>
      </w:r>
      <w:r w:rsidRPr="005A5BB7">
        <w:rPr>
          <w:iCs/>
        </w:rPr>
      </w:r>
      <w:r w:rsidRPr="005A5BB7">
        <w:rPr>
          <w:iCs/>
        </w:rPr>
        <w:fldChar w:fldCharType="separate"/>
      </w:r>
      <w:r w:rsidR="0043658C" w:rsidRPr="0043658C">
        <w:rPr>
          <w:iCs/>
        </w:rPr>
        <w:t>Table 21</w:t>
      </w:r>
      <w:r w:rsidRPr="005A5BB7">
        <w:rPr>
          <w:iCs/>
        </w:rPr>
        <w:fldChar w:fldCharType="end"/>
      </w:r>
      <w:r w:rsidRPr="005A5BB7">
        <w:rPr>
          <w:iCs/>
        </w:rPr>
        <w:t>).</w:t>
      </w:r>
      <w:r w:rsidR="00DA1339">
        <w:rPr>
          <w:iCs/>
        </w:rPr>
        <w:t xml:space="preserve"> </w:t>
      </w:r>
      <w:r w:rsidRPr="005A5BB7">
        <w:rPr>
          <w:iCs/>
        </w:rPr>
        <w:t xml:space="preserve">The cost to NIP was decreased to </w:t>
      </w:r>
      <w:r w:rsidR="002C64EF" w:rsidRPr="002C64EF">
        <w:rPr>
          <w:iCs/>
        </w:rPr>
        <w:t>$100 million to &lt; $200 million</w:t>
      </w:r>
      <w:r w:rsidR="0007502C" w:rsidRPr="005A5BB7">
        <w:rPr>
          <w:iCs/>
        </w:rPr>
        <w:t xml:space="preserve"> </w:t>
      </w:r>
      <w:r w:rsidRPr="005A5BB7">
        <w:rPr>
          <w:iCs/>
        </w:rPr>
        <w:t xml:space="preserve">over six years in this analysis, compared with </w:t>
      </w:r>
      <w:r w:rsidRPr="005A5BB7">
        <w:rPr>
          <w:rFonts w:eastAsia="Calibri"/>
          <w:iCs/>
          <w:szCs w:val="20"/>
        </w:rPr>
        <w:t xml:space="preserve">to </w:t>
      </w:r>
      <w:r w:rsidR="002C64EF" w:rsidRPr="002C64EF">
        <w:rPr>
          <w:iCs/>
        </w:rPr>
        <w:t>$100 million to &lt; $200 million</w:t>
      </w:r>
      <w:r w:rsidR="0007502C" w:rsidRPr="005A5BB7">
        <w:rPr>
          <w:iCs/>
        </w:rPr>
        <w:t xml:space="preserve"> </w:t>
      </w:r>
      <w:r w:rsidRPr="005A5BB7">
        <w:rPr>
          <w:iCs/>
        </w:rPr>
        <w:t>over six years in the Clark sensitivity analysis.</w:t>
      </w:r>
    </w:p>
    <w:p w14:paraId="42F5F6EA" w14:textId="6D6ECC4A" w:rsidR="002F5195" w:rsidRPr="005A5BB7" w:rsidRDefault="000E5BB9" w:rsidP="002F5195">
      <w:pPr>
        <w:pStyle w:val="3-BodyText"/>
        <w:rPr>
          <w:iCs/>
        </w:rPr>
      </w:pPr>
      <w:r w:rsidRPr="005A5BB7">
        <w:rPr>
          <w:iCs/>
        </w:rPr>
        <w:t>A scenario analysis considering the entire cohort aged 60</w:t>
      </w:r>
      <w:r w:rsidR="000E4816">
        <w:rPr>
          <w:iCs/>
        </w:rPr>
        <w:noBreakHyphen/>
      </w:r>
      <w:r w:rsidRPr="005A5BB7">
        <w:rPr>
          <w:iCs/>
        </w:rPr>
        <w:t xml:space="preserve">74 years is </w:t>
      </w:r>
      <w:r w:rsidR="002F5195" w:rsidRPr="005A5BB7">
        <w:rPr>
          <w:iCs/>
        </w:rPr>
        <w:t xml:space="preserve">also </w:t>
      </w:r>
      <w:r w:rsidRPr="005A5BB7">
        <w:rPr>
          <w:iCs/>
        </w:rPr>
        <w:t xml:space="preserve">shown, which increases the estimated </w:t>
      </w:r>
      <w:r w:rsidR="00917F4F" w:rsidRPr="005A5BB7">
        <w:rPr>
          <w:iCs/>
        </w:rPr>
        <w:t>cost to NIP</w:t>
      </w:r>
      <w:r w:rsidRPr="005A5BB7">
        <w:rPr>
          <w:iCs/>
        </w:rPr>
        <w:t xml:space="preserve"> to </w:t>
      </w:r>
      <w:r w:rsidR="00C16CCA" w:rsidRPr="00C16CCA">
        <w:rPr>
          <w:iCs/>
        </w:rPr>
        <w:t>$300 million to &lt; $400 million</w:t>
      </w:r>
      <w:r w:rsidRPr="005A5BB7">
        <w:rPr>
          <w:iCs/>
        </w:rPr>
        <w:t xml:space="preserve"> over 6 years compared with </w:t>
      </w:r>
      <w:r w:rsidR="002C64EF" w:rsidRPr="002C64EF">
        <w:rPr>
          <w:iCs/>
        </w:rPr>
        <w:t>$100 million to &lt; $200 million</w:t>
      </w:r>
      <w:r w:rsidR="000D20D2" w:rsidRPr="005A5BB7">
        <w:rPr>
          <w:iCs/>
        </w:rPr>
        <w:t xml:space="preserve"> </w:t>
      </w:r>
      <w:r w:rsidRPr="005A5BB7">
        <w:rPr>
          <w:iCs/>
        </w:rPr>
        <w:t>over 6 years in the PSCR base case.</w:t>
      </w:r>
    </w:p>
    <w:p w14:paraId="2317BC03" w14:textId="5F12EEE6" w:rsidR="00BB2744" w:rsidRPr="005A5BB7" w:rsidRDefault="00BB2744">
      <w:pPr>
        <w:jc w:val="left"/>
        <w:rPr>
          <w:rFonts w:ascii="Arial Narrow" w:hAnsi="Arial Narrow"/>
          <w:b/>
          <w:bCs/>
          <w:sz w:val="20"/>
          <w:szCs w:val="18"/>
        </w:rPr>
      </w:pPr>
      <w:bookmarkStart w:id="99" w:name="_Ref104805295"/>
    </w:p>
    <w:p w14:paraId="78841C7E" w14:textId="709A8534" w:rsidR="004C397E" w:rsidRPr="005A5BB7" w:rsidRDefault="004C397E" w:rsidP="004C397E">
      <w:pPr>
        <w:pStyle w:val="Caption"/>
        <w:rPr>
          <w:rStyle w:val="CommentReference"/>
          <w:b/>
          <w:iCs/>
          <w:szCs w:val="24"/>
        </w:rPr>
      </w:pPr>
      <w:bookmarkStart w:id="100" w:name="_Ref222411818"/>
      <w:r w:rsidRPr="005A5BB7">
        <w:lastRenderedPageBreak/>
        <w:t xml:space="preserve">Table </w:t>
      </w:r>
      <w:r w:rsidRPr="005A5BB7">
        <w:fldChar w:fldCharType="begin"/>
      </w:r>
      <w:r w:rsidRPr="005A5BB7">
        <w:instrText>SEQ Table \* ARABIC</w:instrText>
      </w:r>
      <w:r w:rsidRPr="005A5BB7">
        <w:fldChar w:fldCharType="separate"/>
      </w:r>
      <w:r w:rsidR="0043658C">
        <w:rPr>
          <w:noProof/>
        </w:rPr>
        <w:t>26</w:t>
      </w:r>
      <w:r w:rsidRPr="005A5BB7">
        <w:fldChar w:fldCharType="end"/>
      </w:r>
      <w:bookmarkEnd w:id="99"/>
      <w:bookmarkEnd w:id="100"/>
      <w:r w:rsidRPr="005A5BB7">
        <w:t>:</w:t>
      </w:r>
      <w:r w:rsidRPr="005A5BB7">
        <w:rPr>
          <w:rStyle w:val="CommentReference"/>
          <w:b/>
          <w:szCs w:val="24"/>
        </w:rPr>
        <w:t xml:space="preserve"> Estimated use and financial implications</w:t>
      </w:r>
      <w:r w:rsidR="00583F76" w:rsidRPr="005A5BB7">
        <w:rPr>
          <w:rStyle w:val="CommentReference"/>
          <w:b/>
          <w:szCs w:val="24"/>
        </w:rPr>
        <w:t xml:space="preserve">, </w:t>
      </w:r>
      <w:r w:rsidR="00583F76" w:rsidRPr="005A5BB7">
        <w:rPr>
          <w:rStyle w:val="CommentReference"/>
          <w:b/>
          <w:iCs/>
          <w:szCs w:val="24"/>
        </w:rPr>
        <w:t>including revised PSCR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6: Estimated use and financial implications, including revised PSCR estimates"/>
      </w:tblPr>
      <w:tblGrid>
        <w:gridCol w:w="2434"/>
        <w:gridCol w:w="1098"/>
        <w:gridCol w:w="1098"/>
        <w:gridCol w:w="1098"/>
        <w:gridCol w:w="1098"/>
        <w:gridCol w:w="1102"/>
        <w:gridCol w:w="1089"/>
      </w:tblGrid>
      <w:tr w:rsidR="004C397E" w:rsidRPr="005A5BB7" w14:paraId="5101FEE4" w14:textId="77777777" w:rsidTr="00274DDD">
        <w:trPr>
          <w:tblHeader/>
        </w:trPr>
        <w:tc>
          <w:tcPr>
            <w:tcW w:w="1349" w:type="pct"/>
            <w:vAlign w:val="center"/>
          </w:tcPr>
          <w:p w14:paraId="7F45FC5D" w14:textId="77777777" w:rsidR="004C397E" w:rsidRPr="005A5BB7" w:rsidRDefault="004C397E" w:rsidP="003D3CCE">
            <w:pPr>
              <w:keepNext/>
              <w:rPr>
                <w:rFonts w:ascii="Arial Narrow" w:hAnsi="Arial Narrow"/>
                <w:b/>
                <w:bCs/>
                <w:sz w:val="20"/>
                <w:szCs w:val="20"/>
              </w:rPr>
            </w:pPr>
          </w:p>
        </w:tc>
        <w:tc>
          <w:tcPr>
            <w:tcW w:w="609" w:type="pct"/>
            <w:vAlign w:val="center"/>
          </w:tcPr>
          <w:p w14:paraId="3AEF7FE2"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1</w:t>
            </w:r>
          </w:p>
        </w:tc>
        <w:tc>
          <w:tcPr>
            <w:tcW w:w="609" w:type="pct"/>
            <w:vAlign w:val="center"/>
          </w:tcPr>
          <w:p w14:paraId="1109E3EF"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2</w:t>
            </w:r>
          </w:p>
        </w:tc>
        <w:tc>
          <w:tcPr>
            <w:tcW w:w="609" w:type="pct"/>
            <w:vAlign w:val="center"/>
          </w:tcPr>
          <w:p w14:paraId="437A11B4"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3</w:t>
            </w:r>
          </w:p>
        </w:tc>
        <w:tc>
          <w:tcPr>
            <w:tcW w:w="609" w:type="pct"/>
            <w:vAlign w:val="center"/>
          </w:tcPr>
          <w:p w14:paraId="3D0603FA"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4</w:t>
            </w:r>
          </w:p>
        </w:tc>
        <w:tc>
          <w:tcPr>
            <w:tcW w:w="611" w:type="pct"/>
            <w:vAlign w:val="center"/>
          </w:tcPr>
          <w:p w14:paraId="2AD362A4"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5</w:t>
            </w:r>
          </w:p>
        </w:tc>
        <w:tc>
          <w:tcPr>
            <w:tcW w:w="605" w:type="pct"/>
          </w:tcPr>
          <w:p w14:paraId="0A7BF8BC" w14:textId="77777777" w:rsidR="004C397E" w:rsidRPr="005A5BB7" w:rsidRDefault="004C397E" w:rsidP="003D3CCE">
            <w:pPr>
              <w:keepNext/>
              <w:rPr>
                <w:rFonts w:ascii="Arial Narrow" w:hAnsi="Arial Narrow"/>
                <w:b/>
                <w:bCs/>
                <w:sz w:val="20"/>
                <w:szCs w:val="20"/>
              </w:rPr>
            </w:pPr>
            <w:r w:rsidRPr="005A5BB7">
              <w:rPr>
                <w:rFonts w:ascii="Arial Narrow" w:hAnsi="Arial Narrow"/>
                <w:b/>
                <w:bCs/>
                <w:sz w:val="20"/>
                <w:szCs w:val="20"/>
              </w:rPr>
              <w:t>Year 6</w:t>
            </w:r>
          </w:p>
        </w:tc>
      </w:tr>
      <w:tr w:rsidR="004C397E" w:rsidRPr="005A5BB7" w14:paraId="15ED5848" w14:textId="77777777" w:rsidTr="00274DDD">
        <w:tc>
          <w:tcPr>
            <w:tcW w:w="5000" w:type="pct"/>
            <w:gridSpan w:val="7"/>
            <w:vAlign w:val="center"/>
          </w:tcPr>
          <w:p w14:paraId="2BDB44DB" w14:textId="78ABDBEE" w:rsidR="004C397E" w:rsidRPr="005A5BB7" w:rsidRDefault="004C397E" w:rsidP="003D3CCE">
            <w:pPr>
              <w:keepNext/>
              <w:rPr>
                <w:rFonts w:ascii="Arial Narrow" w:hAnsi="Arial Narrow"/>
                <w:sz w:val="20"/>
                <w:szCs w:val="20"/>
              </w:rPr>
            </w:pPr>
            <w:r w:rsidRPr="005A5BB7">
              <w:rPr>
                <w:rFonts w:ascii="Arial Narrow" w:hAnsi="Arial Narrow"/>
                <w:sz w:val="20"/>
                <w:szCs w:val="20"/>
              </w:rPr>
              <w:t>Adults 60</w:t>
            </w:r>
            <w:r w:rsidR="000E4816">
              <w:rPr>
                <w:rFonts w:ascii="Arial Narrow" w:hAnsi="Arial Narrow"/>
                <w:sz w:val="20"/>
                <w:szCs w:val="20"/>
              </w:rPr>
              <w:noBreakHyphen/>
            </w:r>
            <w:r w:rsidRPr="005A5BB7">
              <w:rPr>
                <w:rFonts w:ascii="Arial Narrow" w:hAnsi="Arial Narrow"/>
                <w:sz w:val="20"/>
                <w:szCs w:val="20"/>
              </w:rPr>
              <w:t>74 YOA at increased risk of severe RSV disease</w:t>
            </w:r>
          </w:p>
        </w:tc>
      </w:tr>
      <w:tr w:rsidR="004C397E" w:rsidRPr="005A5BB7" w14:paraId="0B9B765A" w14:textId="77777777" w:rsidTr="00274DDD">
        <w:tc>
          <w:tcPr>
            <w:tcW w:w="5000" w:type="pct"/>
            <w:gridSpan w:val="7"/>
            <w:vAlign w:val="center"/>
          </w:tcPr>
          <w:p w14:paraId="4D608A03" w14:textId="77777777" w:rsidR="004C397E" w:rsidRPr="005A5BB7" w:rsidRDefault="004C397E" w:rsidP="003D3CCE">
            <w:pPr>
              <w:keepNext/>
              <w:rPr>
                <w:rFonts w:ascii="Arial Narrow" w:hAnsi="Arial Narrow"/>
                <w:sz w:val="20"/>
                <w:szCs w:val="20"/>
              </w:rPr>
            </w:pPr>
            <w:r w:rsidRPr="005A5BB7">
              <w:rPr>
                <w:rFonts w:ascii="Arial Narrow" w:hAnsi="Arial Narrow"/>
                <w:sz w:val="20"/>
                <w:szCs w:val="20"/>
              </w:rPr>
              <w:t>Estimated extent of use</w:t>
            </w:r>
          </w:p>
        </w:tc>
      </w:tr>
      <w:tr w:rsidR="004C397E" w:rsidRPr="005A5BB7" w14:paraId="2F0F362A" w14:textId="77777777" w:rsidTr="00274DDD">
        <w:tc>
          <w:tcPr>
            <w:tcW w:w="1349" w:type="pct"/>
            <w:vAlign w:val="center"/>
          </w:tcPr>
          <w:p w14:paraId="66180554" w14:textId="17B691E7" w:rsidR="004C397E" w:rsidRPr="005A5BB7" w:rsidRDefault="004C397E" w:rsidP="003D3CCE">
            <w:pPr>
              <w:keepNext/>
              <w:rPr>
                <w:rFonts w:ascii="Arial Narrow" w:hAnsi="Arial Narrow"/>
                <w:sz w:val="20"/>
                <w:szCs w:val="20"/>
              </w:rPr>
            </w:pPr>
            <w:r w:rsidRPr="005A5BB7">
              <w:rPr>
                <w:rFonts w:ascii="Arial Narrow" w:hAnsi="Arial Narrow"/>
                <w:sz w:val="20"/>
                <w:szCs w:val="20"/>
              </w:rPr>
              <w:t>Predicted number of vials</w:t>
            </w:r>
          </w:p>
        </w:tc>
        <w:tc>
          <w:tcPr>
            <w:tcW w:w="609" w:type="pct"/>
          </w:tcPr>
          <w:p w14:paraId="42914EEB" w14:textId="7A0D33F7" w:rsidR="004C397E" w:rsidRPr="001426E6"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1426E6">
              <w:rPr>
                <w:rFonts w:ascii="Arial Narrow" w:hAnsi="Arial Narrow"/>
                <w:sz w:val="20"/>
                <w:szCs w:val="20"/>
                <w:vertAlign w:val="superscript"/>
              </w:rPr>
              <w:t>1</w:t>
            </w:r>
          </w:p>
        </w:tc>
        <w:tc>
          <w:tcPr>
            <w:tcW w:w="609" w:type="pct"/>
          </w:tcPr>
          <w:p w14:paraId="5B8D5A52" w14:textId="05177B0D" w:rsidR="004C397E" w:rsidRPr="006E3BE0"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6E3BE0">
              <w:rPr>
                <w:rFonts w:ascii="Arial Narrow" w:hAnsi="Arial Narrow"/>
                <w:sz w:val="20"/>
                <w:szCs w:val="20"/>
                <w:vertAlign w:val="superscript"/>
              </w:rPr>
              <w:t>2</w:t>
            </w:r>
          </w:p>
        </w:tc>
        <w:tc>
          <w:tcPr>
            <w:tcW w:w="609" w:type="pct"/>
          </w:tcPr>
          <w:p w14:paraId="58CEEA88" w14:textId="352CC401" w:rsidR="004C397E" w:rsidRPr="006E3BE0"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6E3BE0">
              <w:rPr>
                <w:rFonts w:ascii="Arial Narrow" w:hAnsi="Arial Narrow"/>
                <w:sz w:val="20"/>
                <w:szCs w:val="20"/>
                <w:vertAlign w:val="superscript"/>
              </w:rPr>
              <w:t>2</w:t>
            </w:r>
          </w:p>
        </w:tc>
        <w:tc>
          <w:tcPr>
            <w:tcW w:w="609" w:type="pct"/>
          </w:tcPr>
          <w:p w14:paraId="15084F15" w14:textId="637F9964" w:rsidR="004C397E" w:rsidRPr="006E3BE0"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6E3BE0">
              <w:rPr>
                <w:rFonts w:ascii="Arial Narrow" w:hAnsi="Arial Narrow"/>
                <w:sz w:val="20"/>
                <w:szCs w:val="20"/>
                <w:vertAlign w:val="superscript"/>
              </w:rPr>
              <w:t>2</w:t>
            </w:r>
          </w:p>
        </w:tc>
        <w:tc>
          <w:tcPr>
            <w:tcW w:w="611" w:type="pct"/>
          </w:tcPr>
          <w:p w14:paraId="7ACE8CC7" w14:textId="139EB9B0" w:rsidR="004C397E" w:rsidRPr="006E3BE0"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6E3BE0">
              <w:rPr>
                <w:rFonts w:ascii="Arial Narrow" w:hAnsi="Arial Narrow"/>
                <w:sz w:val="20"/>
                <w:szCs w:val="20"/>
                <w:vertAlign w:val="superscript"/>
              </w:rPr>
              <w:t>2</w:t>
            </w:r>
          </w:p>
        </w:tc>
        <w:tc>
          <w:tcPr>
            <w:tcW w:w="605" w:type="pct"/>
          </w:tcPr>
          <w:p w14:paraId="60FB9851" w14:textId="63D04B1B" w:rsidR="004C397E" w:rsidRPr="006E3BE0" w:rsidRDefault="00F15B97" w:rsidP="003D3CCE">
            <w:pPr>
              <w:keepNext/>
              <w:rPr>
                <w:rFonts w:ascii="Arial Narrow" w:hAnsi="Arial Narrow"/>
                <w:sz w:val="20"/>
                <w:szCs w:val="20"/>
                <w:vertAlign w:val="superscript"/>
              </w:rPr>
            </w:pPr>
            <w:r w:rsidRPr="00F15B97">
              <w:rPr>
                <w:rFonts w:ascii="Arial Narrow" w:hAnsi="Arial Narrow"/>
                <w:sz w:val="2"/>
                <w:szCs w:val="20"/>
                <w:highlight w:val="black"/>
              </w:rPr>
              <w:t>redacted content</w:t>
            </w:r>
            <w:r w:rsidR="006E3BE0">
              <w:rPr>
                <w:rFonts w:ascii="Arial Narrow" w:hAnsi="Arial Narrow"/>
                <w:sz w:val="20"/>
                <w:szCs w:val="20"/>
                <w:vertAlign w:val="superscript"/>
              </w:rPr>
              <w:t>2</w:t>
            </w:r>
          </w:p>
        </w:tc>
      </w:tr>
      <w:tr w:rsidR="004C397E" w:rsidRPr="005A5BB7" w14:paraId="402189F4" w14:textId="77777777" w:rsidTr="00274DDD">
        <w:tc>
          <w:tcPr>
            <w:tcW w:w="5000" w:type="pct"/>
            <w:gridSpan w:val="7"/>
            <w:vAlign w:val="center"/>
          </w:tcPr>
          <w:p w14:paraId="759DC1D2" w14:textId="77777777" w:rsidR="004C397E" w:rsidRPr="005A5BB7" w:rsidRDefault="004C397E" w:rsidP="003D3CCE">
            <w:pPr>
              <w:keepNext/>
              <w:rPr>
                <w:rFonts w:ascii="Arial Narrow" w:hAnsi="Arial Narrow"/>
                <w:sz w:val="20"/>
                <w:szCs w:val="20"/>
              </w:rPr>
            </w:pPr>
            <w:r w:rsidRPr="005A5BB7">
              <w:rPr>
                <w:rFonts w:ascii="Arial Narrow" w:hAnsi="Arial Narrow"/>
                <w:sz w:val="20"/>
                <w:szCs w:val="20"/>
              </w:rPr>
              <w:t>Estimated financial implications of RSVPreF3 OA</w:t>
            </w:r>
          </w:p>
        </w:tc>
      </w:tr>
      <w:tr w:rsidR="004C397E" w:rsidRPr="005A5BB7" w14:paraId="774788B9" w14:textId="77777777" w:rsidTr="00274DDD">
        <w:tc>
          <w:tcPr>
            <w:tcW w:w="1349" w:type="pct"/>
          </w:tcPr>
          <w:p w14:paraId="61B6286F" w14:textId="11D6D070" w:rsidR="004C397E" w:rsidRPr="005A5BB7" w:rsidRDefault="004C397E" w:rsidP="003D3CCE">
            <w:pPr>
              <w:keepNext/>
              <w:rPr>
                <w:rFonts w:ascii="Arial Narrow" w:hAnsi="Arial Narrow"/>
                <w:sz w:val="20"/>
                <w:szCs w:val="20"/>
              </w:rPr>
            </w:pPr>
            <w:r w:rsidRPr="005A5BB7">
              <w:rPr>
                <w:rFonts w:ascii="Arial Narrow" w:eastAsia="MS Gothic" w:hAnsi="Arial Narrow"/>
                <w:sz w:val="20"/>
                <w:szCs w:val="20"/>
              </w:rPr>
              <w:t xml:space="preserve">  NIP </w:t>
            </w:r>
            <w:r w:rsidR="00476FAE" w:rsidRPr="005A5BB7">
              <w:rPr>
                <w:rFonts w:ascii="Arial Narrow" w:eastAsia="MS Gothic" w:hAnsi="Arial Narrow"/>
                <w:sz w:val="20"/>
                <w:szCs w:val="20"/>
              </w:rPr>
              <w:t>($</w:t>
            </w:r>
            <w:r w:rsidR="00F15B97" w:rsidRPr="00F15B97">
              <w:rPr>
                <w:rFonts w:ascii="Arial Narrow" w:eastAsia="MS Gothic" w:hAnsi="Arial Narrow"/>
                <w:sz w:val="2"/>
                <w:szCs w:val="20"/>
                <w:highlight w:val="black"/>
              </w:rPr>
              <w:t>redacted content</w:t>
            </w:r>
            <w:r w:rsidR="00476FAE" w:rsidRPr="005A5BB7">
              <w:rPr>
                <w:rFonts w:ascii="Arial Narrow" w:eastAsia="MS Gothic" w:hAnsi="Arial Narrow"/>
                <w:sz w:val="20"/>
                <w:szCs w:val="20"/>
              </w:rPr>
              <w:t xml:space="preserve"> per dose)</w:t>
            </w:r>
          </w:p>
        </w:tc>
        <w:tc>
          <w:tcPr>
            <w:tcW w:w="609" w:type="pct"/>
          </w:tcPr>
          <w:p w14:paraId="243A1F84" w14:textId="1A27BDB2" w:rsidR="004C397E" w:rsidRPr="00FC3250"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FC3250">
              <w:rPr>
                <w:rFonts w:ascii="Arial Narrow" w:hAnsi="Arial Narrow"/>
                <w:sz w:val="20"/>
                <w:szCs w:val="20"/>
                <w:vertAlign w:val="superscript"/>
              </w:rPr>
              <w:t>3</w:t>
            </w:r>
          </w:p>
        </w:tc>
        <w:tc>
          <w:tcPr>
            <w:tcW w:w="609" w:type="pct"/>
          </w:tcPr>
          <w:p w14:paraId="64D7C1B9" w14:textId="3C3C07DE" w:rsidR="004C397E" w:rsidRPr="000207DA"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446303">
              <w:rPr>
                <w:rFonts w:ascii="Arial Narrow" w:hAnsi="Arial Narrow"/>
                <w:sz w:val="20"/>
                <w:szCs w:val="20"/>
                <w:vertAlign w:val="superscript"/>
              </w:rPr>
              <w:t>4</w:t>
            </w:r>
          </w:p>
        </w:tc>
        <w:tc>
          <w:tcPr>
            <w:tcW w:w="609" w:type="pct"/>
          </w:tcPr>
          <w:p w14:paraId="442FCDF1" w14:textId="0B24D360" w:rsidR="004C397E" w:rsidRPr="00C55FFF"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C55FFF">
              <w:rPr>
                <w:rFonts w:ascii="Arial Narrow" w:hAnsi="Arial Narrow"/>
                <w:sz w:val="20"/>
                <w:szCs w:val="20"/>
                <w:vertAlign w:val="superscript"/>
              </w:rPr>
              <w:t>4</w:t>
            </w:r>
          </w:p>
        </w:tc>
        <w:tc>
          <w:tcPr>
            <w:tcW w:w="609" w:type="pct"/>
          </w:tcPr>
          <w:p w14:paraId="78FC7A6D" w14:textId="7FA82E35" w:rsidR="004C397E" w:rsidRPr="00C55FFF"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C55FFF">
              <w:rPr>
                <w:rFonts w:ascii="Arial Narrow" w:hAnsi="Arial Narrow"/>
                <w:sz w:val="20"/>
                <w:szCs w:val="20"/>
                <w:vertAlign w:val="superscript"/>
              </w:rPr>
              <w:t>4</w:t>
            </w:r>
          </w:p>
        </w:tc>
        <w:tc>
          <w:tcPr>
            <w:tcW w:w="611" w:type="pct"/>
          </w:tcPr>
          <w:p w14:paraId="08F1ACAD" w14:textId="15FC2F68" w:rsidR="004C397E" w:rsidRPr="00C55FFF"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C55FFF">
              <w:rPr>
                <w:rFonts w:ascii="Arial Narrow" w:hAnsi="Arial Narrow"/>
                <w:sz w:val="20"/>
                <w:szCs w:val="20"/>
                <w:vertAlign w:val="superscript"/>
              </w:rPr>
              <w:t>4</w:t>
            </w:r>
          </w:p>
        </w:tc>
        <w:tc>
          <w:tcPr>
            <w:tcW w:w="605" w:type="pct"/>
          </w:tcPr>
          <w:p w14:paraId="3A7A0CBD" w14:textId="40C0394C" w:rsidR="004C397E" w:rsidRPr="00C55FFF" w:rsidRDefault="004C397E" w:rsidP="003D3CCE">
            <w:pPr>
              <w:keepNext/>
              <w:rPr>
                <w:rFonts w:ascii="Arial Narrow" w:hAnsi="Arial Narrow"/>
                <w:sz w:val="20"/>
                <w:szCs w:val="20"/>
                <w:vertAlign w:val="superscript"/>
              </w:rPr>
            </w:pPr>
            <w:r w:rsidRPr="005A5BB7">
              <w:rPr>
                <w:rFonts w:ascii="Arial Narrow" w:hAnsi="Arial Narrow"/>
                <w:sz w:val="20"/>
                <w:szCs w:val="20"/>
              </w:rPr>
              <w:t>$</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C55FFF">
              <w:rPr>
                <w:rFonts w:ascii="Arial Narrow" w:hAnsi="Arial Narrow"/>
                <w:sz w:val="20"/>
                <w:szCs w:val="20"/>
                <w:vertAlign w:val="superscript"/>
              </w:rPr>
              <w:t>4</w:t>
            </w:r>
          </w:p>
        </w:tc>
      </w:tr>
      <w:tr w:rsidR="004C397E" w:rsidRPr="005A5BB7" w14:paraId="05E1EE59" w14:textId="77777777" w:rsidTr="00274DDD">
        <w:tc>
          <w:tcPr>
            <w:tcW w:w="1349" w:type="pct"/>
          </w:tcPr>
          <w:p w14:paraId="0E5507CA" w14:textId="77777777" w:rsidR="004C397E" w:rsidRPr="005A5BB7" w:rsidRDefault="004C397E" w:rsidP="003D3CCE">
            <w:pPr>
              <w:keepNext/>
              <w:rPr>
                <w:rFonts w:ascii="Arial Narrow" w:eastAsia="MS Gothic" w:hAnsi="Arial Narrow"/>
                <w:sz w:val="20"/>
                <w:szCs w:val="20"/>
              </w:rPr>
            </w:pPr>
            <w:r w:rsidRPr="005A5BB7">
              <w:rPr>
                <w:rFonts w:ascii="Arial Narrow" w:eastAsia="MS Gothic" w:hAnsi="Arial Narrow"/>
                <w:sz w:val="20"/>
                <w:szCs w:val="20"/>
              </w:rPr>
              <w:t>Vaccine administration</w:t>
            </w:r>
          </w:p>
        </w:tc>
        <w:tc>
          <w:tcPr>
            <w:tcW w:w="609" w:type="pct"/>
            <w:vAlign w:val="bottom"/>
          </w:tcPr>
          <w:p w14:paraId="6F18771E" w14:textId="0FD71713" w:rsidR="004C397E" w:rsidRPr="00205C6C"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205C6C">
              <w:rPr>
                <w:rFonts w:ascii="Arial Narrow" w:hAnsi="Arial Narrow"/>
                <w:sz w:val="20"/>
                <w:szCs w:val="20"/>
                <w:vertAlign w:val="superscript"/>
              </w:rPr>
              <w:t>5</w:t>
            </w:r>
          </w:p>
        </w:tc>
        <w:tc>
          <w:tcPr>
            <w:tcW w:w="609" w:type="pct"/>
            <w:vAlign w:val="bottom"/>
          </w:tcPr>
          <w:p w14:paraId="189EB695" w14:textId="533A6B5F" w:rsidR="004C397E" w:rsidRPr="008A664D"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8A664D">
              <w:rPr>
                <w:rFonts w:ascii="Arial Narrow" w:hAnsi="Arial Narrow"/>
                <w:sz w:val="20"/>
                <w:szCs w:val="20"/>
                <w:vertAlign w:val="superscript"/>
              </w:rPr>
              <w:t>5</w:t>
            </w:r>
          </w:p>
        </w:tc>
        <w:tc>
          <w:tcPr>
            <w:tcW w:w="609" w:type="pct"/>
            <w:vAlign w:val="bottom"/>
          </w:tcPr>
          <w:p w14:paraId="1BCF2F33" w14:textId="773E5D23" w:rsidR="004C397E" w:rsidRPr="008A664D"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8A664D">
              <w:rPr>
                <w:rFonts w:ascii="Arial Narrow" w:hAnsi="Arial Narrow"/>
                <w:sz w:val="20"/>
                <w:szCs w:val="20"/>
                <w:vertAlign w:val="superscript"/>
              </w:rPr>
              <w:t>5</w:t>
            </w:r>
          </w:p>
        </w:tc>
        <w:tc>
          <w:tcPr>
            <w:tcW w:w="609" w:type="pct"/>
            <w:vAlign w:val="bottom"/>
          </w:tcPr>
          <w:p w14:paraId="76526C6C" w14:textId="359D2401" w:rsidR="004C397E" w:rsidRPr="008A664D"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8A664D">
              <w:rPr>
                <w:rFonts w:ascii="Arial Narrow" w:hAnsi="Arial Narrow"/>
                <w:sz w:val="20"/>
                <w:szCs w:val="20"/>
                <w:vertAlign w:val="superscript"/>
              </w:rPr>
              <w:t>5</w:t>
            </w:r>
          </w:p>
        </w:tc>
        <w:tc>
          <w:tcPr>
            <w:tcW w:w="611" w:type="pct"/>
            <w:vAlign w:val="bottom"/>
          </w:tcPr>
          <w:p w14:paraId="53167494" w14:textId="1D244B7E" w:rsidR="004C397E" w:rsidRPr="008A664D"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8A664D">
              <w:rPr>
                <w:rFonts w:ascii="Arial Narrow" w:hAnsi="Arial Narrow"/>
                <w:sz w:val="20"/>
                <w:szCs w:val="20"/>
                <w:vertAlign w:val="superscript"/>
              </w:rPr>
              <w:t>5</w:t>
            </w:r>
          </w:p>
        </w:tc>
        <w:tc>
          <w:tcPr>
            <w:tcW w:w="605" w:type="pct"/>
            <w:vAlign w:val="bottom"/>
          </w:tcPr>
          <w:p w14:paraId="1F8329A9" w14:textId="1352C3C4" w:rsidR="004C397E" w:rsidRPr="008A664D" w:rsidRDefault="004C397E" w:rsidP="003D3CCE">
            <w:pPr>
              <w:keepNext/>
              <w:rPr>
                <w:rFonts w:ascii="Arial Narrow" w:hAnsi="Arial Narrow"/>
                <w:sz w:val="20"/>
                <w:szCs w:val="20"/>
                <w:vertAlign w:val="superscript"/>
              </w:rPr>
            </w:pPr>
            <w:r w:rsidRPr="005A5BB7">
              <w:rPr>
                <w:rFonts w:ascii="Arial Narrow" w:hAnsi="Arial Narrow"/>
                <w:sz w:val="20"/>
                <w:szCs w:val="20"/>
              </w:rPr>
              <w:t xml:space="preserve">$ </w:t>
            </w:r>
            <w:r w:rsidR="00F15B97" w:rsidRPr="00F15B97">
              <w:rPr>
                <w:rFonts w:ascii="Arial Narrow" w:hAnsi="Arial Narrow"/>
                <w:sz w:val="2"/>
                <w:szCs w:val="20"/>
                <w:highlight w:val="black"/>
              </w:rPr>
              <w:t>redacted content</w:t>
            </w:r>
            <w:r w:rsidR="00E75DE1" w:rsidRPr="00E75DE1">
              <w:rPr>
                <w:rFonts w:ascii="Arial Narrow" w:hAnsi="Arial Narrow"/>
                <w:sz w:val="20"/>
                <w:szCs w:val="20"/>
              </w:rPr>
              <w:t xml:space="preserve"> </w:t>
            </w:r>
            <w:r w:rsidR="00F15B97" w:rsidRPr="00F15B97">
              <w:rPr>
                <w:rFonts w:ascii="Arial Narrow" w:hAnsi="Arial Narrow"/>
                <w:sz w:val="2"/>
                <w:szCs w:val="20"/>
                <w:highlight w:val="black"/>
              </w:rPr>
              <w:t>REDACTED CONTENT</w:t>
            </w:r>
            <w:r w:rsidR="008A664D">
              <w:rPr>
                <w:rFonts w:ascii="Arial Narrow" w:hAnsi="Arial Narrow"/>
                <w:sz w:val="20"/>
                <w:szCs w:val="20"/>
                <w:vertAlign w:val="superscript"/>
              </w:rPr>
              <w:t>5</w:t>
            </w:r>
          </w:p>
        </w:tc>
      </w:tr>
      <w:tr w:rsidR="00476FAE" w:rsidRPr="005A5BB7" w14:paraId="05C7D2FB" w14:textId="77777777" w:rsidTr="00274DDD">
        <w:tc>
          <w:tcPr>
            <w:tcW w:w="5000" w:type="pct"/>
            <w:gridSpan w:val="7"/>
          </w:tcPr>
          <w:p w14:paraId="5333D038" w14:textId="1E42467E" w:rsidR="00476FAE" w:rsidRPr="005A5BB7" w:rsidRDefault="00476FAE" w:rsidP="003D3CCE">
            <w:pPr>
              <w:keepNext/>
              <w:rPr>
                <w:rFonts w:ascii="Arial Narrow" w:hAnsi="Arial Narrow"/>
                <w:b/>
                <w:bCs/>
                <w:iCs/>
                <w:sz w:val="20"/>
                <w:szCs w:val="20"/>
              </w:rPr>
            </w:pPr>
            <w:r w:rsidRPr="005A5BB7">
              <w:rPr>
                <w:rFonts w:ascii="Arial Narrow" w:hAnsi="Arial Narrow"/>
                <w:b/>
                <w:bCs/>
                <w:iCs/>
                <w:sz w:val="20"/>
                <w:szCs w:val="20"/>
              </w:rPr>
              <w:t>PSCR</w:t>
            </w:r>
            <w:r w:rsidR="00583F76" w:rsidRPr="005A5BB7">
              <w:rPr>
                <w:rFonts w:ascii="Arial Narrow" w:hAnsi="Arial Narrow"/>
                <w:b/>
                <w:bCs/>
                <w:iCs/>
                <w:sz w:val="20"/>
                <w:szCs w:val="20"/>
              </w:rPr>
              <w:t xml:space="preserve"> estimates</w:t>
            </w:r>
          </w:p>
        </w:tc>
      </w:tr>
      <w:tr w:rsidR="00476FAE" w:rsidRPr="005A5BB7" w14:paraId="28F0C30A" w14:textId="77777777" w:rsidTr="00274DDD">
        <w:tc>
          <w:tcPr>
            <w:tcW w:w="5000" w:type="pct"/>
            <w:gridSpan w:val="7"/>
          </w:tcPr>
          <w:p w14:paraId="79B82858" w14:textId="3B51ADA0" w:rsidR="00476FAE" w:rsidRPr="005A5BB7" w:rsidRDefault="00476FAE" w:rsidP="003D3CCE">
            <w:pPr>
              <w:keepNext/>
              <w:rPr>
                <w:rFonts w:ascii="Arial Narrow" w:hAnsi="Arial Narrow"/>
                <w:b/>
                <w:bCs/>
                <w:iCs/>
                <w:sz w:val="20"/>
                <w:szCs w:val="20"/>
              </w:rPr>
            </w:pPr>
            <w:r w:rsidRPr="005A5BB7">
              <w:rPr>
                <w:rFonts w:ascii="Arial Narrow" w:hAnsi="Arial Narrow"/>
                <w:b/>
                <w:bCs/>
                <w:iCs/>
                <w:sz w:val="20"/>
                <w:szCs w:val="20"/>
              </w:rPr>
              <w:t>Sponsor base case, Prevalence rate of at least one medical c</w:t>
            </w:r>
            <w:r w:rsidRPr="00162DD4">
              <w:rPr>
                <w:rFonts w:ascii="Arial Narrow" w:hAnsi="Arial Narrow"/>
                <w:b/>
                <w:bCs/>
                <w:iCs/>
                <w:sz w:val="20"/>
                <w:szCs w:val="20"/>
              </w:rPr>
              <w:t xml:space="preserve">ondition </w:t>
            </w:r>
            <w:r w:rsidR="000E4816" w:rsidRPr="00162DD4">
              <w:rPr>
                <w:rFonts w:ascii="Arial Narrow" w:hAnsi="Arial Narrow"/>
                <w:b/>
                <w:bCs/>
                <w:iCs/>
                <w:sz w:val="20"/>
                <w:szCs w:val="20"/>
              </w:rPr>
              <w:noBreakHyphen/>
            </w:r>
            <w:r w:rsidRPr="00162DD4">
              <w:rPr>
                <w:rFonts w:ascii="Arial Narrow" w:hAnsi="Arial Narrow"/>
                <w:b/>
                <w:bCs/>
                <w:iCs/>
                <w:sz w:val="20"/>
                <w:szCs w:val="20"/>
              </w:rPr>
              <w:t xml:space="preserve"> 40.22%</w:t>
            </w:r>
          </w:p>
        </w:tc>
      </w:tr>
      <w:tr w:rsidR="00C51994" w:rsidRPr="005A5BB7" w14:paraId="064D23EE" w14:textId="77777777" w:rsidTr="00274DDD">
        <w:tc>
          <w:tcPr>
            <w:tcW w:w="1349" w:type="pct"/>
          </w:tcPr>
          <w:p w14:paraId="4F216628" w14:textId="33358D6F" w:rsidR="00C51994" w:rsidRPr="005A5BB7" w:rsidRDefault="00C51994" w:rsidP="003D3CCE">
            <w:pPr>
              <w:keepNext/>
              <w:rPr>
                <w:rFonts w:ascii="Arial Narrow" w:eastAsia="MS Gothic" w:hAnsi="Arial Narrow"/>
                <w:iCs/>
                <w:sz w:val="20"/>
                <w:szCs w:val="20"/>
              </w:rPr>
            </w:pPr>
            <w:r w:rsidRPr="005A5BB7">
              <w:rPr>
                <w:rFonts w:ascii="Arial Narrow" w:eastAsia="MS Gothic" w:hAnsi="Arial Narrow"/>
                <w:iCs/>
                <w:sz w:val="20"/>
                <w:szCs w:val="20"/>
              </w:rPr>
              <w:t xml:space="preserve">  Vials</w:t>
            </w:r>
          </w:p>
        </w:tc>
        <w:tc>
          <w:tcPr>
            <w:tcW w:w="609" w:type="pct"/>
          </w:tcPr>
          <w:p w14:paraId="4F58FBE0" w14:textId="7D07731E" w:rsidR="00C51994" w:rsidRPr="001426E6"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1426E6">
              <w:rPr>
                <w:rFonts w:ascii="Arial Narrow" w:hAnsi="Arial Narrow"/>
                <w:iCs/>
                <w:sz w:val="20"/>
                <w:szCs w:val="20"/>
                <w:vertAlign w:val="superscript"/>
              </w:rPr>
              <w:t>1</w:t>
            </w:r>
          </w:p>
        </w:tc>
        <w:tc>
          <w:tcPr>
            <w:tcW w:w="609" w:type="pct"/>
          </w:tcPr>
          <w:p w14:paraId="23C39712" w14:textId="017EDFC4" w:rsidR="00C51994" w:rsidRPr="00DD2A9E"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9" w:type="pct"/>
          </w:tcPr>
          <w:p w14:paraId="21874716" w14:textId="6E647C83" w:rsidR="00C51994" w:rsidRPr="00DD2A9E"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9" w:type="pct"/>
          </w:tcPr>
          <w:p w14:paraId="5DBEDDA6" w14:textId="2EE1508C" w:rsidR="00C51994" w:rsidRPr="00DD2A9E"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11" w:type="pct"/>
          </w:tcPr>
          <w:p w14:paraId="7E4A0E28" w14:textId="4E720BC8" w:rsidR="00C51994" w:rsidRPr="00DD2A9E"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5" w:type="pct"/>
          </w:tcPr>
          <w:p w14:paraId="7A0E0119" w14:textId="55EDCB01" w:rsidR="00C51994" w:rsidRPr="00DD2A9E" w:rsidRDefault="00F15B97" w:rsidP="003D3CCE">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r>
      <w:tr w:rsidR="00FF0ED3" w:rsidRPr="005A5BB7" w14:paraId="08AF936E" w14:textId="77777777" w:rsidTr="00274DDD">
        <w:tc>
          <w:tcPr>
            <w:tcW w:w="1349" w:type="pct"/>
          </w:tcPr>
          <w:p w14:paraId="683AA965" w14:textId="57C2E6AD" w:rsidR="00FF0ED3" w:rsidRPr="005A5BB7" w:rsidRDefault="00FF0ED3" w:rsidP="003D3CCE">
            <w:pPr>
              <w:keepNext/>
              <w:rPr>
                <w:rFonts w:ascii="Arial Narrow" w:eastAsia="MS Gothic" w:hAnsi="Arial Narrow"/>
                <w:iCs/>
                <w:sz w:val="20"/>
                <w:szCs w:val="20"/>
              </w:rPr>
            </w:pPr>
            <w:r w:rsidRPr="005A5BB7">
              <w:rPr>
                <w:rFonts w:ascii="Arial Narrow" w:eastAsia="MS Gothic" w:hAnsi="Arial Narrow"/>
                <w:iCs/>
                <w:sz w:val="20"/>
                <w:szCs w:val="20"/>
              </w:rPr>
              <w:t xml:space="preserve">  NIP ($</w:t>
            </w:r>
            <w:r w:rsidR="00F15B97" w:rsidRPr="00F15B97">
              <w:rPr>
                <w:rFonts w:ascii="Arial Narrow" w:eastAsia="MS Gothic" w:hAnsi="Arial Narrow"/>
                <w:iCs/>
                <w:sz w:val="2"/>
                <w:szCs w:val="20"/>
                <w:highlight w:val="black"/>
              </w:rPr>
              <w:t>redacted content</w:t>
            </w:r>
            <w:r w:rsidRPr="005A5BB7">
              <w:rPr>
                <w:rFonts w:ascii="Arial Narrow" w:eastAsia="MS Gothic" w:hAnsi="Arial Narrow"/>
                <w:iCs/>
                <w:sz w:val="20"/>
                <w:szCs w:val="20"/>
              </w:rPr>
              <w:t xml:space="preserve"> per dose)</w:t>
            </w:r>
          </w:p>
        </w:tc>
        <w:tc>
          <w:tcPr>
            <w:tcW w:w="609" w:type="pct"/>
          </w:tcPr>
          <w:p w14:paraId="2D81795C" w14:textId="4E16A829" w:rsidR="00FF0ED3" w:rsidRPr="00474D04"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474D04">
              <w:rPr>
                <w:rFonts w:ascii="Arial Narrow" w:hAnsi="Arial Narrow"/>
                <w:iCs/>
                <w:sz w:val="20"/>
                <w:szCs w:val="20"/>
                <w:vertAlign w:val="superscript"/>
              </w:rPr>
              <w:t>6</w:t>
            </w:r>
          </w:p>
        </w:tc>
        <w:tc>
          <w:tcPr>
            <w:tcW w:w="609" w:type="pct"/>
          </w:tcPr>
          <w:p w14:paraId="5B1986F3" w14:textId="6B38E5D3" w:rsidR="00FF0ED3" w:rsidRPr="00205C6C"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09" w:type="pct"/>
          </w:tcPr>
          <w:p w14:paraId="7D5B11E2" w14:textId="1DA04CD8" w:rsidR="00FF0ED3" w:rsidRPr="00205C6C"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09" w:type="pct"/>
          </w:tcPr>
          <w:p w14:paraId="29CA03BD" w14:textId="0DCFE3A7" w:rsidR="00FF0ED3" w:rsidRPr="00205C6C"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11" w:type="pct"/>
          </w:tcPr>
          <w:p w14:paraId="45FE2E38" w14:textId="7042A293" w:rsidR="00FF0ED3" w:rsidRPr="00205C6C"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05" w:type="pct"/>
          </w:tcPr>
          <w:p w14:paraId="433FFBE7" w14:textId="6B407679" w:rsidR="00FF0ED3" w:rsidRPr="00205C6C" w:rsidRDefault="00FF0ED3" w:rsidP="003D3CCE">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r>
      <w:tr w:rsidR="00211348" w:rsidRPr="005A5BB7" w14:paraId="7C8541D1" w14:textId="77777777" w:rsidTr="00274DDD">
        <w:tc>
          <w:tcPr>
            <w:tcW w:w="5000" w:type="pct"/>
            <w:gridSpan w:val="7"/>
          </w:tcPr>
          <w:p w14:paraId="7B86C6CB" w14:textId="4BCE99BD" w:rsidR="00211348" w:rsidRPr="005A5BB7" w:rsidRDefault="00211348" w:rsidP="00211348">
            <w:pPr>
              <w:keepNext/>
              <w:rPr>
                <w:rFonts w:ascii="Arial Narrow" w:hAnsi="Arial Narrow"/>
                <w:b/>
                <w:bCs/>
                <w:iCs/>
                <w:sz w:val="20"/>
                <w:szCs w:val="20"/>
              </w:rPr>
            </w:pPr>
            <w:r w:rsidRPr="005A5BB7">
              <w:rPr>
                <w:rFonts w:ascii="Arial Narrow" w:hAnsi="Arial Narrow"/>
                <w:b/>
                <w:bCs/>
                <w:iCs/>
                <w:sz w:val="20"/>
                <w:szCs w:val="20"/>
              </w:rPr>
              <w:t xml:space="preserve">Clark 2020 </w:t>
            </w:r>
            <w:r w:rsidR="000E4816">
              <w:rPr>
                <w:rFonts w:ascii="Arial Narrow" w:hAnsi="Arial Narrow"/>
                <w:b/>
                <w:bCs/>
                <w:iCs/>
                <w:sz w:val="20"/>
                <w:szCs w:val="20"/>
              </w:rPr>
              <w:noBreakHyphen/>
            </w:r>
            <w:r w:rsidRPr="005A5BB7">
              <w:rPr>
                <w:rFonts w:ascii="Arial Narrow" w:hAnsi="Arial Narrow"/>
                <w:b/>
                <w:bCs/>
                <w:iCs/>
                <w:sz w:val="20"/>
                <w:szCs w:val="20"/>
              </w:rPr>
              <w:t xml:space="preserve"> 49% in 60</w:t>
            </w:r>
            <w:r w:rsidR="000E4816">
              <w:rPr>
                <w:rFonts w:ascii="Arial Narrow" w:hAnsi="Arial Narrow"/>
                <w:b/>
                <w:bCs/>
                <w:iCs/>
                <w:sz w:val="20"/>
                <w:szCs w:val="20"/>
              </w:rPr>
              <w:noBreakHyphen/>
            </w:r>
            <w:r w:rsidRPr="005A5BB7">
              <w:rPr>
                <w:rFonts w:ascii="Arial Narrow" w:hAnsi="Arial Narrow"/>
                <w:b/>
                <w:bCs/>
                <w:iCs/>
                <w:sz w:val="20"/>
                <w:szCs w:val="20"/>
              </w:rPr>
              <w:t>64 YOA, 58% in 65</w:t>
            </w:r>
            <w:r w:rsidR="000E4816">
              <w:rPr>
                <w:rFonts w:ascii="Arial Narrow" w:hAnsi="Arial Narrow"/>
                <w:b/>
                <w:bCs/>
                <w:iCs/>
                <w:sz w:val="20"/>
                <w:szCs w:val="20"/>
              </w:rPr>
              <w:noBreakHyphen/>
            </w:r>
            <w:r w:rsidRPr="005A5BB7">
              <w:rPr>
                <w:rFonts w:ascii="Arial Narrow" w:hAnsi="Arial Narrow"/>
                <w:b/>
                <w:bCs/>
                <w:iCs/>
                <w:sz w:val="20"/>
                <w:szCs w:val="20"/>
              </w:rPr>
              <w:t>69 YOA, and 67% in 70</w:t>
            </w:r>
            <w:r w:rsidR="000E4816">
              <w:rPr>
                <w:rFonts w:ascii="Arial Narrow" w:hAnsi="Arial Narrow"/>
                <w:b/>
                <w:bCs/>
                <w:iCs/>
                <w:sz w:val="20"/>
                <w:szCs w:val="20"/>
              </w:rPr>
              <w:noBreakHyphen/>
            </w:r>
            <w:r w:rsidRPr="005A5BB7">
              <w:rPr>
                <w:rFonts w:ascii="Arial Narrow" w:hAnsi="Arial Narrow"/>
                <w:b/>
                <w:bCs/>
                <w:iCs/>
                <w:sz w:val="20"/>
                <w:szCs w:val="20"/>
              </w:rPr>
              <w:t>74 YOA (</w:t>
            </w:r>
            <w:r w:rsidR="00E60E21" w:rsidRPr="005A5BB7">
              <w:rPr>
                <w:rFonts w:ascii="Arial Narrow" w:hAnsi="Arial Narrow"/>
                <w:b/>
                <w:bCs/>
                <w:iCs/>
                <w:sz w:val="20"/>
                <w:szCs w:val="20"/>
              </w:rPr>
              <w:t xml:space="preserve">sponsor’s result </w:t>
            </w:r>
            <w:r w:rsidRPr="005A5BB7">
              <w:rPr>
                <w:rFonts w:ascii="Arial Narrow" w:hAnsi="Arial Narrow"/>
                <w:b/>
                <w:bCs/>
                <w:iCs/>
                <w:sz w:val="20"/>
                <w:szCs w:val="20"/>
              </w:rPr>
              <w:t>could not be verified)</w:t>
            </w:r>
          </w:p>
        </w:tc>
      </w:tr>
      <w:tr w:rsidR="00211348" w:rsidRPr="005A5BB7" w14:paraId="615C2204" w14:textId="77777777" w:rsidTr="00274DDD">
        <w:tc>
          <w:tcPr>
            <w:tcW w:w="1349" w:type="pct"/>
          </w:tcPr>
          <w:p w14:paraId="4BAD0D98" w14:textId="4A85F658"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Vials</w:t>
            </w:r>
          </w:p>
        </w:tc>
        <w:tc>
          <w:tcPr>
            <w:tcW w:w="609" w:type="pct"/>
          </w:tcPr>
          <w:p w14:paraId="48EF5470" w14:textId="6ACFDA93" w:rsidR="00211348" w:rsidRPr="00AC7C77"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AC7C77">
              <w:rPr>
                <w:rFonts w:ascii="Arial Narrow" w:hAnsi="Arial Narrow"/>
                <w:iCs/>
                <w:sz w:val="20"/>
                <w:szCs w:val="20"/>
                <w:vertAlign w:val="superscript"/>
              </w:rPr>
              <w:t>7</w:t>
            </w:r>
          </w:p>
        </w:tc>
        <w:tc>
          <w:tcPr>
            <w:tcW w:w="609" w:type="pct"/>
          </w:tcPr>
          <w:p w14:paraId="20872CD3" w14:textId="1D208E44" w:rsidR="00211348" w:rsidRPr="00DD2A9E"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9" w:type="pct"/>
          </w:tcPr>
          <w:p w14:paraId="7CCF4FD9" w14:textId="3678F0A5" w:rsidR="00211348" w:rsidRPr="00DD2A9E"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9" w:type="pct"/>
          </w:tcPr>
          <w:p w14:paraId="383736B0" w14:textId="27FE95E5" w:rsidR="00211348" w:rsidRPr="00DD2A9E"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11" w:type="pct"/>
          </w:tcPr>
          <w:p w14:paraId="3939C558" w14:textId="7C1B7E43" w:rsidR="00211348" w:rsidRPr="00DD2A9E"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c>
          <w:tcPr>
            <w:tcW w:w="605" w:type="pct"/>
          </w:tcPr>
          <w:p w14:paraId="78549EC7" w14:textId="1EEB66FC" w:rsidR="00211348" w:rsidRPr="00DD2A9E"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DD2A9E">
              <w:rPr>
                <w:rFonts w:ascii="Arial Narrow" w:hAnsi="Arial Narrow"/>
                <w:iCs/>
                <w:sz w:val="20"/>
                <w:szCs w:val="20"/>
                <w:vertAlign w:val="superscript"/>
              </w:rPr>
              <w:t>2</w:t>
            </w:r>
          </w:p>
        </w:tc>
      </w:tr>
      <w:tr w:rsidR="00211348" w:rsidRPr="005A5BB7" w14:paraId="39E030F8" w14:textId="77777777" w:rsidTr="00274DDD">
        <w:tc>
          <w:tcPr>
            <w:tcW w:w="1349" w:type="pct"/>
          </w:tcPr>
          <w:p w14:paraId="2966CC46" w14:textId="28054822"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NIP ($</w:t>
            </w:r>
            <w:r w:rsidR="00F15B97" w:rsidRPr="00F15B97">
              <w:rPr>
                <w:rFonts w:ascii="Arial Narrow" w:eastAsia="MS Gothic" w:hAnsi="Arial Narrow"/>
                <w:iCs/>
                <w:sz w:val="2"/>
                <w:szCs w:val="20"/>
                <w:highlight w:val="black"/>
              </w:rPr>
              <w:t>redacted content</w:t>
            </w:r>
            <w:r w:rsidRPr="005A5BB7">
              <w:rPr>
                <w:rFonts w:ascii="Arial Narrow" w:eastAsia="MS Gothic" w:hAnsi="Arial Narrow"/>
                <w:iCs/>
                <w:sz w:val="20"/>
                <w:szCs w:val="20"/>
              </w:rPr>
              <w:t xml:space="preserve"> per dose)</w:t>
            </w:r>
          </w:p>
        </w:tc>
        <w:tc>
          <w:tcPr>
            <w:tcW w:w="609" w:type="pct"/>
            <w:vAlign w:val="bottom"/>
          </w:tcPr>
          <w:p w14:paraId="67B7603C" w14:textId="598082C2" w:rsidR="00211348" w:rsidRPr="00FC3250"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FC3250">
              <w:rPr>
                <w:rFonts w:ascii="Arial Narrow" w:hAnsi="Arial Narrow"/>
                <w:iCs/>
                <w:sz w:val="20"/>
                <w:szCs w:val="20"/>
                <w:vertAlign w:val="superscript"/>
              </w:rPr>
              <w:t>3</w:t>
            </w:r>
          </w:p>
        </w:tc>
        <w:tc>
          <w:tcPr>
            <w:tcW w:w="609" w:type="pct"/>
            <w:vAlign w:val="bottom"/>
          </w:tcPr>
          <w:p w14:paraId="00F3D097" w14:textId="0D2E2FCB" w:rsidR="00211348" w:rsidRPr="00205C6C"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09" w:type="pct"/>
            <w:vAlign w:val="bottom"/>
          </w:tcPr>
          <w:p w14:paraId="2495EED3" w14:textId="10C7EC23" w:rsidR="00211348" w:rsidRPr="00205C6C"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09" w:type="pct"/>
            <w:vAlign w:val="bottom"/>
          </w:tcPr>
          <w:p w14:paraId="26F7D073" w14:textId="670731EE" w:rsidR="00211348" w:rsidRPr="00205C6C"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Pr>
                <w:rFonts w:ascii="Arial Narrow" w:hAnsi="Arial Narrow"/>
                <w:iCs/>
                <w:sz w:val="20"/>
                <w:szCs w:val="20"/>
                <w:vertAlign w:val="superscript"/>
              </w:rPr>
              <w:t>4</w:t>
            </w:r>
          </w:p>
        </w:tc>
        <w:tc>
          <w:tcPr>
            <w:tcW w:w="611" w:type="pct"/>
            <w:vAlign w:val="bottom"/>
          </w:tcPr>
          <w:p w14:paraId="0C0488CF" w14:textId="6B56BF2C" w:rsidR="00211348" w:rsidRPr="00205C6C" w:rsidRDefault="00211348" w:rsidP="00211348">
            <w:pPr>
              <w:keepNext/>
              <w:rPr>
                <w:rFonts w:ascii="Arial Narrow" w:hAnsi="Arial Narrow"/>
                <w:iCs/>
                <w:sz w:val="20"/>
                <w:szCs w:val="20"/>
                <w:highlight w:val="darkGray"/>
                <w:vertAlign w:val="superscript"/>
              </w:rPr>
            </w:pPr>
            <w:r w:rsidRPr="004A55E5">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sidRPr="00205C6C">
              <w:rPr>
                <w:rFonts w:ascii="Arial Narrow" w:hAnsi="Arial Narrow"/>
                <w:iCs/>
                <w:sz w:val="20"/>
                <w:szCs w:val="20"/>
                <w:vertAlign w:val="superscript"/>
              </w:rPr>
              <w:t>4</w:t>
            </w:r>
          </w:p>
        </w:tc>
        <w:tc>
          <w:tcPr>
            <w:tcW w:w="605" w:type="pct"/>
            <w:vAlign w:val="bottom"/>
          </w:tcPr>
          <w:p w14:paraId="250131CC" w14:textId="5FE94B0A" w:rsidR="00211348" w:rsidRPr="00205C6C" w:rsidRDefault="00211348" w:rsidP="00211348">
            <w:pPr>
              <w:keepNext/>
              <w:rPr>
                <w:rFonts w:ascii="Arial Narrow" w:hAnsi="Arial Narrow"/>
                <w:iCs/>
                <w:sz w:val="20"/>
                <w:szCs w:val="20"/>
                <w:highlight w:val="darkGray"/>
                <w:vertAlign w:val="superscript"/>
              </w:rPr>
            </w:pPr>
            <w:r w:rsidRPr="004A55E5">
              <w:rPr>
                <w:rFonts w:ascii="Arial Narrow" w:hAnsi="Arial Narrow"/>
                <w:iCs/>
                <w:sz w:val="20"/>
                <w:szCs w:val="20"/>
              </w:rPr>
              <w:t>$</w:t>
            </w:r>
            <w:r w:rsidR="00F15B97" w:rsidRPr="00F15B97">
              <w:rPr>
                <w:rFonts w:ascii="Arial Narrow" w:hAnsi="Arial Narrow"/>
                <w:iCs/>
                <w:sz w:val="2"/>
                <w:szCs w:val="20"/>
                <w:highlight w:val="black"/>
              </w:rPr>
              <w:t>redacted content</w:t>
            </w:r>
            <w:r w:rsidR="00E75DE1" w:rsidRPr="00E75DE1">
              <w:rPr>
                <w:rFonts w:ascii="Arial Narrow" w:hAnsi="Arial Narrow"/>
                <w:iCs/>
                <w:sz w:val="20"/>
                <w:szCs w:val="20"/>
              </w:rPr>
              <w:t xml:space="preserve"> </w:t>
            </w:r>
            <w:r w:rsidR="00F15B97" w:rsidRPr="00F15B97">
              <w:rPr>
                <w:rFonts w:ascii="Arial Narrow" w:hAnsi="Arial Narrow"/>
                <w:iCs/>
                <w:sz w:val="2"/>
                <w:szCs w:val="20"/>
                <w:highlight w:val="black"/>
              </w:rPr>
              <w:t>REDACTED CONTENT</w:t>
            </w:r>
            <w:r w:rsidR="00205C6C" w:rsidRPr="00205C6C">
              <w:rPr>
                <w:rFonts w:ascii="Arial Narrow" w:hAnsi="Arial Narrow"/>
                <w:iCs/>
                <w:sz w:val="20"/>
                <w:szCs w:val="20"/>
                <w:vertAlign w:val="superscript"/>
              </w:rPr>
              <w:t>4</w:t>
            </w:r>
          </w:p>
        </w:tc>
      </w:tr>
      <w:tr w:rsidR="00211348" w:rsidRPr="005A5BB7" w14:paraId="60DDE7B9" w14:textId="77777777" w:rsidTr="00274DDD">
        <w:tc>
          <w:tcPr>
            <w:tcW w:w="5000" w:type="pct"/>
            <w:gridSpan w:val="7"/>
          </w:tcPr>
          <w:p w14:paraId="1E9F5072" w14:textId="436ADB60" w:rsidR="00211348" w:rsidRPr="005A5BB7" w:rsidRDefault="00211348" w:rsidP="00211348">
            <w:pPr>
              <w:keepNext/>
              <w:rPr>
                <w:rFonts w:ascii="Arial Narrow" w:hAnsi="Arial Narrow"/>
                <w:b/>
                <w:bCs/>
                <w:iCs/>
                <w:sz w:val="20"/>
                <w:szCs w:val="20"/>
              </w:rPr>
            </w:pPr>
            <w:r w:rsidRPr="005A5BB7">
              <w:rPr>
                <w:rFonts w:ascii="Arial Narrow" w:eastAsia="MS Gothic" w:hAnsi="Arial Narrow"/>
                <w:b/>
                <w:bCs/>
                <w:iCs/>
                <w:sz w:val="20"/>
                <w:szCs w:val="20"/>
              </w:rPr>
              <w:t>ESC Sensitivity Analyses</w:t>
            </w:r>
          </w:p>
        </w:tc>
      </w:tr>
      <w:tr w:rsidR="00211348" w:rsidRPr="005A5BB7" w14:paraId="79005EE6" w14:textId="77777777" w:rsidTr="00274DDD">
        <w:tc>
          <w:tcPr>
            <w:tcW w:w="5000" w:type="pct"/>
            <w:gridSpan w:val="7"/>
          </w:tcPr>
          <w:p w14:paraId="5AB1FB3E" w14:textId="5D6D9CD6" w:rsidR="00211348" w:rsidRPr="005A5BB7" w:rsidRDefault="00211348" w:rsidP="00211348">
            <w:pPr>
              <w:keepNext/>
              <w:rPr>
                <w:rFonts w:ascii="Arial Narrow" w:hAnsi="Arial Narrow"/>
                <w:b/>
                <w:bCs/>
                <w:iCs/>
                <w:sz w:val="20"/>
                <w:szCs w:val="20"/>
              </w:rPr>
            </w:pPr>
            <w:r w:rsidRPr="005A5BB7">
              <w:rPr>
                <w:rFonts w:ascii="Arial Narrow" w:eastAsia="MS Gothic" w:hAnsi="Arial Narrow"/>
                <w:b/>
                <w:bCs/>
                <w:iCs/>
                <w:sz w:val="20"/>
                <w:szCs w:val="20"/>
              </w:rPr>
              <w:t>Population excluding obesity (PSCR Clark 2020 estimates minus 9% as per resubmission estimate)</w:t>
            </w:r>
          </w:p>
        </w:tc>
      </w:tr>
      <w:tr w:rsidR="00211348" w:rsidRPr="005A5BB7" w14:paraId="7F7F91F2" w14:textId="77777777" w:rsidTr="00274DDD">
        <w:tc>
          <w:tcPr>
            <w:tcW w:w="1349" w:type="pct"/>
          </w:tcPr>
          <w:p w14:paraId="1E45948B" w14:textId="77777777"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Vials</w:t>
            </w:r>
          </w:p>
        </w:tc>
        <w:tc>
          <w:tcPr>
            <w:tcW w:w="609" w:type="pct"/>
            <w:vAlign w:val="center"/>
          </w:tcPr>
          <w:p w14:paraId="6E605D0E" w14:textId="14B0B69C" w:rsidR="00211348" w:rsidRPr="00713328"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713328">
              <w:rPr>
                <w:rFonts w:ascii="Arial Narrow" w:hAnsi="Arial Narrow"/>
                <w:iCs/>
                <w:sz w:val="20"/>
                <w:szCs w:val="20"/>
                <w:vertAlign w:val="superscript"/>
              </w:rPr>
              <w:t>8</w:t>
            </w:r>
          </w:p>
        </w:tc>
        <w:tc>
          <w:tcPr>
            <w:tcW w:w="609" w:type="pct"/>
            <w:vAlign w:val="center"/>
          </w:tcPr>
          <w:p w14:paraId="01DEC3A6" w14:textId="50F23119" w:rsidR="00211348" w:rsidRPr="006E3BE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6E3BE0">
              <w:rPr>
                <w:rFonts w:ascii="Arial Narrow" w:hAnsi="Arial Narrow"/>
                <w:iCs/>
                <w:sz w:val="20"/>
                <w:szCs w:val="20"/>
                <w:vertAlign w:val="superscript"/>
              </w:rPr>
              <w:t>2</w:t>
            </w:r>
          </w:p>
        </w:tc>
        <w:tc>
          <w:tcPr>
            <w:tcW w:w="609" w:type="pct"/>
            <w:vAlign w:val="center"/>
          </w:tcPr>
          <w:p w14:paraId="5A045799" w14:textId="521720AA" w:rsidR="00211348" w:rsidRPr="006E3BE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6E3BE0">
              <w:rPr>
                <w:rFonts w:ascii="Arial Narrow" w:hAnsi="Arial Narrow"/>
                <w:iCs/>
                <w:sz w:val="20"/>
                <w:szCs w:val="20"/>
                <w:vertAlign w:val="superscript"/>
              </w:rPr>
              <w:t>2</w:t>
            </w:r>
          </w:p>
        </w:tc>
        <w:tc>
          <w:tcPr>
            <w:tcW w:w="609" w:type="pct"/>
            <w:vAlign w:val="center"/>
          </w:tcPr>
          <w:p w14:paraId="73A16D6F" w14:textId="1054F8CF" w:rsidR="00211348" w:rsidRPr="006E3BE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6E3BE0">
              <w:rPr>
                <w:rFonts w:ascii="Arial Narrow" w:hAnsi="Arial Narrow"/>
                <w:iCs/>
                <w:sz w:val="20"/>
                <w:szCs w:val="20"/>
                <w:vertAlign w:val="superscript"/>
              </w:rPr>
              <w:t>2</w:t>
            </w:r>
          </w:p>
        </w:tc>
        <w:tc>
          <w:tcPr>
            <w:tcW w:w="611" w:type="pct"/>
            <w:vAlign w:val="center"/>
          </w:tcPr>
          <w:p w14:paraId="12F03EE7" w14:textId="0C191AAE" w:rsidR="00211348" w:rsidRPr="006E3BE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6E3BE0">
              <w:rPr>
                <w:rFonts w:ascii="Arial Narrow" w:hAnsi="Arial Narrow"/>
                <w:iCs/>
                <w:sz w:val="20"/>
                <w:szCs w:val="20"/>
                <w:vertAlign w:val="superscript"/>
              </w:rPr>
              <w:t>2</w:t>
            </w:r>
          </w:p>
        </w:tc>
        <w:tc>
          <w:tcPr>
            <w:tcW w:w="605" w:type="pct"/>
            <w:vAlign w:val="center"/>
          </w:tcPr>
          <w:p w14:paraId="25A9D5E6" w14:textId="280703EC" w:rsidR="00211348" w:rsidRPr="006E3BE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6E3BE0">
              <w:rPr>
                <w:rFonts w:ascii="Arial Narrow" w:hAnsi="Arial Narrow"/>
                <w:iCs/>
                <w:sz w:val="20"/>
                <w:szCs w:val="20"/>
                <w:vertAlign w:val="superscript"/>
              </w:rPr>
              <w:t>2</w:t>
            </w:r>
          </w:p>
        </w:tc>
      </w:tr>
      <w:tr w:rsidR="00211348" w:rsidRPr="005A5BB7" w14:paraId="61F03FA3" w14:textId="77777777" w:rsidTr="00274DDD">
        <w:tc>
          <w:tcPr>
            <w:tcW w:w="1349" w:type="pct"/>
          </w:tcPr>
          <w:p w14:paraId="5C0EF65C" w14:textId="774A9FF5"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NIP ($</w:t>
            </w:r>
            <w:r w:rsidR="00F15B97" w:rsidRPr="00F15B97">
              <w:rPr>
                <w:rFonts w:ascii="Arial Narrow" w:eastAsia="MS Gothic" w:hAnsi="Arial Narrow"/>
                <w:iCs/>
                <w:sz w:val="2"/>
                <w:szCs w:val="20"/>
                <w:highlight w:val="black"/>
              </w:rPr>
              <w:t>redacted content</w:t>
            </w:r>
            <w:r w:rsidRPr="005A5BB7">
              <w:rPr>
                <w:rFonts w:ascii="Arial Narrow" w:eastAsia="MS Gothic" w:hAnsi="Arial Narrow"/>
                <w:iCs/>
                <w:sz w:val="20"/>
                <w:szCs w:val="20"/>
              </w:rPr>
              <w:t xml:space="preserve"> per dose)</w:t>
            </w:r>
          </w:p>
        </w:tc>
        <w:tc>
          <w:tcPr>
            <w:tcW w:w="609" w:type="pct"/>
            <w:vAlign w:val="center"/>
          </w:tcPr>
          <w:p w14:paraId="450E1498" w14:textId="3CF22FE7" w:rsidR="00211348" w:rsidRPr="00FC3250"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FC3250">
              <w:rPr>
                <w:rFonts w:ascii="Arial Narrow" w:hAnsi="Arial Narrow"/>
                <w:iCs/>
                <w:sz w:val="20"/>
                <w:szCs w:val="20"/>
                <w:vertAlign w:val="superscript"/>
              </w:rPr>
              <w:t>3</w:t>
            </w:r>
          </w:p>
        </w:tc>
        <w:tc>
          <w:tcPr>
            <w:tcW w:w="609" w:type="pct"/>
            <w:vAlign w:val="center"/>
          </w:tcPr>
          <w:p w14:paraId="4838D7A5" w14:textId="3C20465A" w:rsidR="00211348" w:rsidRPr="006232ED"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6232ED">
              <w:rPr>
                <w:rFonts w:ascii="Arial Narrow" w:hAnsi="Arial Narrow"/>
                <w:iCs/>
                <w:sz w:val="20"/>
                <w:szCs w:val="20"/>
                <w:vertAlign w:val="superscript"/>
              </w:rPr>
              <w:t>4</w:t>
            </w:r>
          </w:p>
        </w:tc>
        <w:tc>
          <w:tcPr>
            <w:tcW w:w="609" w:type="pct"/>
            <w:vAlign w:val="center"/>
          </w:tcPr>
          <w:p w14:paraId="47B5B945" w14:textId="1DF77EE7" w:rsidR="00211348" w:rsidRPr="006232ED"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6232ED">
              <w:rPr>
                <w:rFonts w:ascii="Arial Narrow" w:hAnsi="Arial Narrow"/>
                <w:iCs/>
                <w:sz w:val="20"/>
                <w:szCs w:val="20"/>
                <w:vertAlign w:val="superscript"/>
              </w:rPr>
              <w:t>4</w:t>
            </w:r>
          </w:p>
        </w:tc>
        <w:tc>
          <w:tcPr>
            <w:tcW w:w="609" w:type="pct"/>
            <w:vAlign w:val="center"/>
          </w:tcPr>
          <w:p w14:paraId="21916E3A" w14:textId="457BCEE7" w:rsidR="00211348" w:rsidRPr="006232ED"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6232ED">
              <w:rPr>
                <w:rFonts w:ascii="Arial Narrow" w:hAnsi="Arial Narrow"/>
                <w:iCs/>
                <w:sz w:val="20"/>
                <w:szCs w:val="20"/>
                <w:vertAlign w:val="superscript"/>
              </w:rPr>
              <w:t>4</w:t>
            </w:r>
          </w:p>
        </w:tc>
        <w:tc>
          <w:tcPr>
            <w:tcW w:w="611" w:type="pct"/>
            <w:vAlign w:val="center"/>
          </w:tcPr>
          <w:p w14:paraId="633E5899" w14:textId="2E823B78" w:rsidR="00211348" w:rsidRPr="006232ED"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6232ED">
              <w:rPr>
                <w:rFonts w:ascii="Arial Narrow" w:hAnsi="Arial Narrow"/>
                <w:iCs/>
                <w:sz w:val="20"/>
                <w:szCs w:val="20"/>
                <w:vertAlign w:val="superscript"/>
              </w:rPr>
              <w:t>4</w:t>
            </w:r>
          </w:p>
        </w:tc>
        <w:tc>
          <w:tcPr>
            <w:tcW w:w="605" w:type="pct"/>
            <w:vAlign w:val="center"/>
          </w:tcPr>
          <w:p w14:paraId="69D9C1E4" w14:textId="35656307" w:rsidR="00211348" w:rsidRPr="006232ED"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6232ED">
              <w:rPr>
                <w:rFonts w:ascii="Arial Narrow" w:hAnsi="Arial Narrow"/>
                <w:iCs/>
                <w:sz w:val="20"/>
                <w:szCs w:val="20"/>
                <w:vertAlign w:val="superscript"/>
              </w:rPr>
              <w:t>4</w:t>
            </w:r>
          </w:p>
        </w:tc>
      </w:tr>
      <w:tr w:rsidR="00211348" w:rsidRPr="005A5BB7" w14:paraId="02DB7781" w14:textId="77777777" w:rsidTr="00274DDD">
        <w:tc>
          <w:tcPr>
            <w:tcW w:w="5000" w:type="pct"/>
            <w:gridSpan w:val="7"/>
          </w:tcPr>
          <w:p w14:paraId="2B554F99" w14:textId="41C299C6" w:rsidR="00211348" w:rsidRPr="005A5BB7" w:rsidRDefault="00211348" w:rsidP="00211348">
            <w:pPr>
              <w:keepNext/>
              <w:rPr>
                <w:rFonts w:ascii="Arial Narrow" w:hAnsi="Arial Narrow"/>
                <w:b/>
                <w:bCs/>
                <w:iCs/>
                <w:sz w:val="20"/>
                <w:szCs w:val="20"/>
              </w:rPr>
            </w:pPr>
            <w:r w:rsidRPr="005A5BB7">
              <w:rPr>
                <w:rFonts w:ascii="Arial Narrow" w:eastAsia="MS Gothic" w:hAnsi="Arial Narrow"/>
                <w:b/>
                <w:bCs/>
                <w:iCs/>
                <w:sz w:val="20"/>
                <w:szCs w:val="20"/>
              </w:rPr>
              <w:t>Entire population aged 60</w:t>
            </w:r>
            <w:r w:rsidR="000E4816">
              <w:rPr>
                <w:rFonts w:ascii="Arial Narrow" w:eastAsia="MS Gothic" w:hAnsi="Arial Narrow"/>
                <w:b/>
                <w:bCs/>
                <w:iCs/>
                <w:sz w:val="20"/>
                <w:szCs w:val="20"/>
              </w:rPr>
              <w:noBreakHyphen/>
            </w:r>
            <w:r w:rsidRPr="005A5BB7">
              <w:rPr>
                <w:rFonts w:ascii="Arial Narrow" w:eastAsia="MS Gothic" w:hAnsi="Arial Narrow"/>
                <w:b/>
                <w:bCs/>
                <w:iCs/>
                <w:sz w:val="20"/>
                <w:szCs w:val="20"/>
              </w:rPr>
              <w:t>74 assuming no change to uptake rates</w:t>
            </w:r>
            <w:r w:rsidR="00F6455D" w:rsidRPr="005A5BB7">
              <w:rPr>
                <w:rFonts w:ascii="Arial Narrow" w:eastAsia="MS Gothic" w:hAnsi="Arial Narrow"/>
                <w:b/>
                <w:bCs/>
                <w:iCs/>
                <w:sz w:val="20"/>
                <w:szCs w:val="20"/>
              </w:rPr>
              <w:t xml:space="preserve"> (all</w:t>
            </w:r>
            <w:r w:rsidR="000E4816">
              <w:rPr>
                <w:rFonts w:ascii="Arial Narrow" w:eastAsia="MS Gothic" w:hAnsi="Arial Narrow"/>
                <w:b/>
                <w:bCs/>
                <w:iCs/>
                <w:sz w:val="20"/>
                <w:szCs w:val="20"/>
              </w:rPr>
              <w:noBreakHyphen/>
            </w:r>
            <w:r w:rsidR="00F6455D" w:rsidRPr="005A5BB7">
              <w:rPr>
                <w:rFonts w:ascii="Arial Narrow" w:eastAsia="MS Gothic" w:hAnsi="Arial Narrow"/>
                <w:b/>
                <w:bCs/>
                <w:iCs/>
                <w:sz w:val="20"/>
                <w:szCs w:val="20"/>
              </w:rPr>
              <w:t>comers)</w:t>
            </w:r>
          </w:p>
        </w:tc>
      </w:tr>
      <w:tr w:rsidR="00211348" w:rsidRPr="005A5BB7" w14:paraId="29651C83" w14:textId="77777777" w:rsidTr="00274DDD">
        <w:tc>
          <w:tcPr>
            <w:tcW w:w="1349" w:type="pct"/>
          </w:tcPr>
          <w:p w14:paraId="388437F3" w14:textId="77777777"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Vials</w:t>
            </w:r>
          </w:p>
        </w:tc>
        <w:tc>
          <w:tcPr>
            <w:tcW w:w="609" w:type="pct"/>
            <w:vAlign w:val="center"/>
          </w:tcPr>
          <w:p w14:paraId="436345F0" w14:textId="1FC4CF64" w:rsidR="00211348" w:rsidRPr="005740BC"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5740BC">
              <w:rPr>
                <w:rFonts w:ascii="Arial Narrow" w:hAnsi="Arial Narrow"/>
                <w:iCs/>
                <w:sz w:val="20"/>
                <w:szCs w:val="20"/>
                <w:vertAlign w:val="superscript"/>
              </w:rPr>
              <w:t>9</w:t>
            </w:r>
          </w:p>
        </w:tc>
        <w:tc>
          <w:tcPr>
            <w:tcW w:w="609" w:type="pct"/>
            <w:vAlign w:val="center"/>
          </w:tcPr>
          <w:p w14:paraId="527EDECE" w14:textId="44423452" w:rsidR="00211348" w:rsidRPr="00C351F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C351F0">
              <w:rPr>
                <w:rFonts w:ascii="Arial Narrow" w:hAnsi="Arial Narrow"/>
                <w:iCs/>
                <w:sz w:val="20"/>
                <w:szCs w:val="20"/>
                <w:vertAlign w:val="superscript"/>
              </w:rPr>
              <w:t>10</w:t>
            </w:r>
          </w:p>
        </w:tc>
        <w:tc>
          <w:tcPr>
            <w:tcW w:w="609" w:type="pct"/>
            <w:vAlign w:val="center"/>
          </w:tcPr>
          <w:p w14:paraId="68365DC6" w14:textId="72B7DE94" w:rsidR="00211348" w:rsidRPr="00C351F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C351F0">
              <w:rPr>
                <w:rFonts w:ascii="Arial Narrow" w:hAnsi="Arial Narrow"/>
                <w:iCs/>
                <w:sz w:val="20"/>
                <w:szCs w:val="20"/>
                <w:vertAlign w:val="superscript"/>
              </w:rPr>
              <w:t>10</w:t>
            </w:r>
          </w:p>
        </w:tc>
        <w:tc>
          <w:tcPr>
            <w:tcW w:w="609" w:type="pct"/>
            <w:vAlign w:val="center"/>
          </w:tcPr>
          <w:p w14:paraId="08B86613" w14:textId="23E4B7AB" w:rsidR="00211348" w:rsidRPr="00C351F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C351F0">
              <w:rPr>
                <w:rFonts w:ascii="Arial Narrow" w:hAnsi="Arial Narrow"/>
                <w:iCs/>
                <w:sz w:val="20"/>
                <w:szCs w:val="20"/>
                <w:vertAlign w:val="superscript"/>
              </w:rPr>
              <w:t>10</w:t>
            </w:r>
          </w:p>
        </w:tc>
        <w:tc>
          <w:tcPr>
            <w:tcW w:w="611" w:type="pct"/>
            <w:vAlign w:val="center"/>
          </w:tcPr>
          <w:p w14:paraId="2530A505" w14:textId="3B1934DE" w:rsidR="00211348" w:rsidRPr="00C351F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C351F0">
              <w:rPr>
                <w:rFonts w:ascii="Arial Narrow" w:hAnsi="Arial Narrow"/>
                <w:iCs/>
                <w:sz w:val="20"/>
                <w:szCs w:val="20"/>
                <w:vertAlign w:val="superscript"/>
              </w:rPr>
              <w:t>10</w:t>
            </w:r>
          </w:p>
        </w:tc>
        <w:tc>
          <w:tcPr>
            <w:tcW w:w="605" w:type="pct"/>
            <w:vAlign w:val="center"/>
          </w:tcPr>
          <w:p w14:paraId="56377A8B" w14:textId="1F96BD33" w:rsidR="00211348" w:rsidRPr="00C351F0" w:rsidRDefault="00F15B97" w:rsidP="00211348">
            <w:pPr>
              <w:keepNext/>
              <w:rPr>
                <w:rFonts w:ascii="Arial Narrow" w:hAnsi="Arial Narrow"/>
                <w:iCs/>
                <w:sz w:val="20"/>
                <w:szCs w:val="20"/>
                <w:vertAlign w:val="superscript"/>
              </w:rPr>
            </w:pPr>
            <w:r w:rsidRPr="00F15B97">
              <w:rPr>
                <w:rFonts w:ascii="Arial Narrow" w:hAnsi="Arial Narrow"/>
                <w:iCs/>
                <w:sz w:val="2"/>
                <w:szCs w:val="20"/>
                <w:highlight w:val="black"/>
              </w:rPr>
              <w:t>redacted content</w:t>
            </w:r>
            <w:r w:rsidR="00C351F0">
              <w:rPr>
                <w:rFonts w:ascii="Arial Narrow" w:hAnsi="Arial Narrow"/>
                <w:iCs/>
                <w:sz w:val="20"/>
                <w:szCs w:val="20"/>
                <w:vertAlign w:val="superscript"/>
              </w:rPr>
              <w:t>10</w:t>
            </w:r>
          </w:p>
        </w:tc>
      </w:tr>
      <w:tr w:rsidR="00211348" w:rsidRPr="005A5BB7" w14:paraId="7F300E7E" w14:textId="77777777" w:rsidTr="00274DDD">
        <w:tc>
          <w:tcPr>
            <w:tcW w:w="1349" w:type="pct"/>
          </w:tcPr>
          <w:p w14:paraId="2703844A" w14:textId="12725D5F" w:rsidR="00211348" w:rsidRPr="005A5BB7" w:rsidRDefault="00211348" w:rsidP="00211348">
            <w:pPr>
              <w:keepNext/>
              <w:rPr>
                <w:rFonts w:ascii="Arial Narrow" w:eastAsia="MS Gothic" w:hAnsi="Arial Narrow"/>
                <w:iCs/>
                <w:sz w:val="20"/>
                <w:szCs w:val="20"/>
              </w:rPr>
            </w:pPr>
            <w:r w:rsidRPr="005A5BB7">
              <w:rPr>
                <w:rFonts w:ascii="Arial Narrow" w:eastAsia="MS Gothic" w:hAnsi="Arial Narrow"/>
                <w:iCs/>
                <w:sz w:val="20"/>
                <w:szCs w:val="20"/>
              </w:rPr>
              <w:t xml:space="preserve">  NIP ($</w:t>
            </w:r>
            <w:r w:rsidR="00F15B97" w:rsidRPr="00F15B97">
              <w:rPr>
                <w:rFonts w:ascii="Arial Narrow" w:eastAsia="MS Gothic" w:hAnsi="Arial Narrow"/>
                <w:iCs/>
                <w:sz w:val="2"/>
                <w:szCs w:val="20"/>
                <w:highlight w:val="black"/>
              </w:rPr>
              <w:t>redacted content</w:t>
            </w:r>
            <w:r w:rsidRPr="005A5BB7">
              <w:rPr>
                <w:rFonts w:ascii="Arial Narrow" w:eastAsia="MS Gothic" w:hAnsi="Arial Narrow"/>
                <w:iCs/>
                <w:sz w:val="20"/>
                <w:szCs w:val="20"/>
              </w:rPr>
              <w:t xml:space="preserve"> per dose)</w:t>
            </w:r>
          </w:p>
        </w:tc>
        <w:tc>
          <w:tcPr>
            <w:tcW w:w="609" w:type="pct"/>
            <w:vAlign w:val="center"/>
          </w:tcPr>
          <w:p w14:paraId="4CF6D549" w14:textId="42D23D99" w:rsidR="00211348" w:rsidRPr="008C364B"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8C364B">
              <w:rPr>
                <w:rFonts w:ascii="Arial Narrow" w:hAnsi="Arial Narrow"/>
                <w:iCs/>
                <w:sz w:val="20"/>
                <w:szCs w:val="20"/>
                <w:vertAlign w:val="superscript"/>
              </w:rPr>
              <w:t>11</w:t>
            </w:r>
          </w:p>
        </w:tc>
        <w:tc>
          <w:tcPr>
            <w:tcW w:w="609" w:type="pct"/>
            <w:vAlign w:val="center"/>
          </w:tcPr>
          <w:p w14:paraId="34613985" w14:textId="762EC302" w:rsidR="00211348" w:rsidRPr="00E2173A"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2173A">
              <w:rPr>
                <w:rFonts w:ascii="Arial Narrow" w:hAnsi="Arial Narrow"/>
                <w:iCs/>
                <w:sz w:val="20"/>
                <w:szCs w:val="20"/>
                <w:vertAlign w:val="superscript"/>
              </w:rPr>
              <w:t>12</w:t>
            </w:r>
          </w:p>
        </w:tc>
        <w:tc>
          <w:tcPr>
            <w:tcW w:w="609" w:type="pct"/>
            <w:vAlign w:val="center"/>
          </w:tcPr>
          <w:p w14:paraId="10E881A8" w14:textId="36237166" w:rsidR="00211348" w:rsidRPr="00E2173A"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2173A">
              <w:rPr>
                <w:rFonts w:ascii="Arial Narrow" w:hAnsi="Arial Narrow"/>
                <w:iCs/>
                <w:sz w:val="20"/>
                <w:szCs w:val="20"/>
                <w:vertAlign w:val="superscript"/>
              </w:rPr>
              <w:t>12</w:t>
            </w:r>
          </w:p>
        </w:tc>
        <w:tc>
          <w:tcPr>
            <w:tcW w:w="609" w:type="pct"/>
            <w:vAlign w:val="center"/>
          </w:tcPr>
          <w:p w14:paraId="42C2B172" w14:textId="1ACB8BDA" w:rsidR="00211348" w:rsidRPr="00E2173A"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2173A">
              <w:rPr>
                <w:rFonts w:ascii="Arial Narrow" w:hAnsi="Arial Narrow"/>
                <w:iCs/>
                <w:sz w:val="20"/>
                <w:szCs w:val="20"/>
                <w:vertAlign w:val="superscript"/>
              </w:rPr>
              <w:t>12</w:t>
            </w:r>
          </w:p>
        </w:tc>
        <w:tc>
          <w:tcPr>
            <w:tcW w:w="611" w:type="pct"/>
            <w:vAlign w:val="center"/>
          </w:tcPr>
          <w:p w14:paraId="421E2AB8" w14:textId="3C74D09A" w:rsidR="00211348" w:rsidRPr="00E2173A"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2173A">
              <w:rPr>
                <w:rFonts w:ascii="Arial Narrow" w:hAnsi="Arial Narrow"/>
                <w:iCs/>
                <w:sz w:val="20"/>
                <w:szCs w:val="20"/>
                <w:vertAlign w:val="superscript"/>
              </w:rPr>
              <w:t>12</w:t>
            </w:r>
          </w:p>
        </w:tc>
        <w:tc>
          <w:tcPr>
            <w:tcW w:w="605" w:type="pct"/>
            <w:vAlign w:val="center"/>
          </w:tcPr>
          <w:p w14:paraId="1A59B98D" w14:textId="330C09EA" w:rsidR="00211348" w:rsidRPr="00E2173A" w:rsidRDefault="00211348" w:rsidP="00211348">
            <w:pPr>
              <w:keepNext/>
              <w:rPr>
                <w:rFonts w:ascii="Arial Narrow" w:hAnsi="Arial Narrow"/>
                <w:iCs/>
                <w:sz w:val="20"/>
                <w:szCs w:val="20"/>
                <w:vertAlign w:val="superscript"/>
              </w:rPr>
            </w:pPr>
            <w:r w:rsidRPr="005A5BB7">
              <w:rPr>
                <w:rFonts w:ascii="Arial Narrow" w:hAnsi="Arial Narrow"/>
                <w:iCs/>
                <w:sz w:val="20"/>
                <w:szCs w:val="20"/>
              </w:rPr>
              <w:t>$</w:t>
            </w:r>
            <w:r w:rsidR="00F15B97" w:rsidRPr="00F15B97">
              <w:rPr>
                <w:rFonts w:ascii="Arial Narrow" w:hAnsi="Arial Narrow"/>
                <w:iCs/>
                <w:sz w:val="2"/>
                <w:szCs w:val="20"/>
                <w:highlight w:val="black"/>
              </w:rPr>
              <w:t>redacted content</w:t>
            </w:r>
            <w:r w:rsidR="00E2173A">
              <w:rPr>
                <w:rFonts w:ascii="Arial Narrow" w:hAnsi="Arial Narrow"/>
                <w:iCs/>
                <w:sz w:val="20"/>
                <w:szCs w:val="20"/>
                <w:vertAlign w:val="superscript"/>
              </w:rPr>
              <w:t>12</w:t>
            </w:r>
          </w:p>
        </w:tc>
      </w:tr>
    </w:tbl>
    <w:p w14:paraId="17A7718B" w14:textId="41DA1AD9" w:rsidR="004C397E" w:rsidRPr="005A5BB7" w:rsidRDefault="004C397E" w:rsidP="004C397E">
      <w:pPr>
        <w:pStyle w:val="TableNotesLast"/>
        <w:spacing w:after="0"/>
        <w:rPr>
          <w:szCs w:val="18"/>
        </w:rPr>
      </w:pPr>
      <w:r w:rsidRPr="005A5BB7">
        <w:t>Source: Table 4</w:t>
      </w:r>
      <w:r w:rsidR="000E4816">
        <w:noBreakHyphen/>
      </w:r>
      <w:r w:rsidRPr="005A5BB7">
        <w:t xml:space="preserve">1, </w:t>
      </w:r>
      <w:r w:rsidRPr="005A5BB7">
        <w:rPr>
          <w:rStyle w:val="CommentReference"/>
          <w:b w:val="0"/>
          <w:sz w:val="18"/>
          <w:szCs w:val="18"/>
        </w:rPr>
        <w:t>pp184</w:t>
      </w:r>
      <w:r w:rsidR="000E4816">
        <w:rPr>
          <w:rStyle w:val="CommentReference"/>
          <w:b w:val="0"/>
          <w:sz w:val="18"/>
          <w:szCs w:val="18"/>
        </w:rPr>
        <w:noBreakHyphen/>
      </w:r>
      <w:r w:rsidRPr="005A5BB7">
        <w:rPr>
          <w:rStyle w:val="CommentReference"/>
          <w:b w:val="0"/>
          <w:sz w:val="18"/>
          <w:szCs w:val="18"/>
        </w:rPr>
        <w:t>185 of the March 2026 resubmission; Table 23, Table 24, RSVPreF3 OA July 2025 minutes; Table 33, RSVPreF3 OA July 2024 minutes</w:t>
      </w:r>
    </w:p>
    <w:p w14:paraId="0DBB9BB8" w14:textId="576A981E" w:rsidR="004C397E" w:rsidRDefault="004C397E" w:rsidP="004C397E">
      <w:pPr>
        <w:pStyle w:val="TableNotesLast"/>
        <w:spacing w:after="0"/>
      </w:pPr>
      <w:r w:rsidRPr="005A5BB7">
        <w:t>M = million;</w:t>
      </w:r>
      <w:r w:rsidR="006A094D" w:rsidRPr="005A5BB7">
        <w:t xml:space="preserve"> </w:t>
      </w:r>
      <w:r w:rsidRPr="005A5BB7">
        <w:t>NIP = National Immunisation Program; PBS = Pharmaceutical Benefit Scheme; PSCR = Pre</w:t>
      </w:r>
      <w:r w:rsidR="000E4816">
        <w:noBreakHyphen/>
      </w:r>
      <w:r w:rsidRPr="005A5BB7">
        <w:t>subcommittee response; YOA = years of age.</w:t>
      </w:r>
    </w:p>
    <w:p w14:paraId="59E80816" w14:textId="77777777" w:rsidR="00615926" w:rsidRPr="00615926" w:rsidRDefault="00615926" w:rsidP="00615926">
      <w:pPr>
        <w:jc w:val="left"/>
        <w:rPr>
          <w:rFonts w:ascii="Arial Narrow" w:hAnsi="Arial Narrow" w:cstheme="minorHAnsi"/>
          <w:bCs/>
          <w:i/>
          <w:iCs/>
          <w:sz w:val="18"/>
          <w:szCs w:val="18"/>
        </w:rPr>
      </w:pPr>
      <w:r w:rsidRPr="00615926">
        <w:rPr>
          <w:rFonts w:ascii="Arial Narrow" w:hAnsi="Arial Narrow" w:cstheme="minorHAnsi"/>
          <w:bCs/>
          <w:i/>
          <w:iCs/>
          <w:sz w:val="18"/>
          <w:szCs w:val="18"/>
        </w:rPr>
        <w:t xml:space="preserve">The redacted values correspond to the following ranges: </w:t>
      </w:r>
    </w:p>
    <w:p w14:paraId="358B0CEF" w14:textId="331960A3" w:rsidR="00615926" w:rsidRPr="00615926" w:rsidRDefault="00615926" w:rsidP="00615926">
      <w:pPr>
        <w:jc w:val="left"/>
        <w:rPr>
          <w:rFonts w:ascii="Arial Narrow" w:hAnsi="Arial Narrow"/>
          <w:i/>
          <w:sz w:val="18"/>
          <w:szCs w:val="18"/>
        </w:rPr>
      </w:pPr>
      <w:r w:rsidRPr="00615926">
        <w:rPr>
          <w:rFonts w:ascii="Arial Narrow" w:hAnsi="Arial Narrow"/>
          <w:i/>
          <w:sz w:val="18"/>
          <w:szCs w:val="18"/>
          <w:vertAlign w:val="superscript"/>
        </w:rPr>
        <w:t>1</w:t>
      </w:r>
      <w:r w:rsidRPr="00615926">
        <w:rPr>
          <w:rFonts w:ascii="Arial Narrow" w:hAnsi="Arial Narrow"/>
          <w:i/>
          <w:sz w:val="18"/>
          <w:szCs w:val="18"/>
        </w:rPr>
        <w:t xml:space="preserve"> </w:t>
      </w:r>
      <w:r w:rsidR="001426E6" w:rsidRPr="001426E6">
        <w:rPr>
          <w:rFonts w:ascii="Arial Narrow" w:hAnsi="Arial Narrow"/>
          <w:i/>
          <w:sz w:val="18"/>
          <w:szCs w:val="18"/>
        </w:rPr>
        <w:t>500,000 to &lt; 600,000</w:t>
      </w:r>
    </w:p>
    <w:p w14:paraId="327BF79B" w14:textId="0CB3BC21" w:rsidR="00615926" w:rsidRPr="00615926" w:rsidRDefault="00615926" w:rsidP="00615926">
      <w:pPr>
        <w:jc w:val="left"/>
        <w:rPr>
          <w:rFonts w:ascii="Arial Narrow" w:hAnsi="Arial Narrow"/>
          <w:i/>
          <w:sz w:val="18"/>
          <w:szCs w:val="18"/>
        </w:rPr>
      </w:pPr>
      <w:r w:rsidRPr="00615926">
        <w:rPr>
          <w:rFonts w:ascii="Arial Narrow" w:hAnsi="Arial Narrow"/>
          <w:i/>
          <w:sz w:val="18"/>
          <w:szCs w:val="18"/>
          <w:vertAlign w:val="superscript"/>
        </w:rPr>
        <w:t>2</w:t>
      </w:r>
      <w:r w:rsidRPr="00615926">
        <w:rPr>
          <w:rFonts w:ascii="Arial Narrow" w:hAnsi="Arial Narrow"/>
          <w:i/>
          <w:sz w:val="18"/>
          <w:szCs w:val="18"/>
        </w:rPr>
        <w:t xml:space="preserve"> </w:t>
      </w:r>
      <w:r w:rsidR="006E3BE0" w:rsidRPr="006E3BE0">
        <w:rPr>
          <w:rFonts w:ascii="Arial Narrow" w:hAnsi="Arial Narrow"/>
          <w:i/>
          <w:sz w:val="18"/>
          <w:szCs w:val="18"/>
        </w:rPr>
        <w:t>100,000 to &lt; 200,000</w:t>
      </w:r>
    </w:p>
    <w:p w14:paraId="58D6B36C" w14:textId="7489C237" w:rsidR="00615926" w:rsidRPr="00615926" w:rsidRDefault="00615926" w:rsidP="00615926">
      <w:pPr>
        <w:jc w:val="left"/>
        <w:rPr>
          <w:rFonts w:ascii="Arial Narrow" w:hAnsi="Arial Narrow"/>
          <w:i/>
          <w:sz w:val="18"/>
          <w:szCs w:val="18"/>
        </w:rPr>
      </w:pPr>
      <w:r w:rsidRPr="00615926">
        <w:rPr>
          <w:rFonts w:ascii="Arial Narrow" w:hAnsi="Arial Narrow"/>
          <w:i/>
          <w:sz w:val="18"/>
          <w:szCs w:val="18"/>
          <w:vertAlign w:val="superscript"/>
        </w:rPr>
        <w:t>3</w:t>
      </w:r>
      <w:r w:rsidRPr="00615926">
        <w:rPr>
          <w:rFonts w:ascii="Arial Narrow" w:hAnsi="Arial Narrow"/>
          <w:i/>
          <w:sz w:val="18"/>
          <w:szCs w:val="18"/>
        </w:rPr>
        <w:t xml:space="preserve"> </w:t>
      </w:r>
      <w:r w:rsidR="00FC3250" w:rsidRPr="00FC3250">
        <w:rPr>
          <w:rFonts w:ascii="Arial Narrow" w:hAnsi="Arial Narrow"/>
          <w:i/>
          <w:sz w:val="18"/>
          <w:szCs w:val="18"/>
        </w:rPr>
        <w:t>$80 million to &lt; $90 million</w:t>
      </w:r>
    </w:p>
    <w:p w14:paraId="3FAE2654" w14:textId="4A30877F" w:rsidR="00615926" w:rsidRPr="00615926" w:rsidRDefault="00615926" w:rsidP="00615926">
      <w:pPr>
        <w:jc w:val="left"/>
        <w:rPr>
          <w:rFonts w:ascii="Arial Narrow" w:hAnsi="Arial Narrow"/>
          <w:i/>
          <w:sz w:val="18"/>
          <w:szCs w:val="18"/>
        </w:rPr>
      </w:pPr>
      <w:r w:rsidRPr="00615926">
        <w:rPr>
          <w:rFonts w:ascii="Arial Narrow" w:hAnsi="Arial Narrow"/>
          <w:i/>
          <w:sz w:val="18"/>
          <w:szCs w:val="18"/>
          <w:vertAlign w:val="superscript"/>
        </w:rPr>
        <w:t>4</w:t>
      </w:r>
      <w:r w:rsidRPr="00615926">
        <w:rPr>
          <w:rFonts w:ascii="Arial Narrow" w:hAnsi="Arial Narrow"/>
          <w:i/>
          <w:sz w:val="18"/>
          <w:szCs w:val="18"/>
        </w:rPr>
        <w:t xml:space="preserve"> </w:t>
      </w:r>
      <w:r w:rsidR="00C55FFF" w:rsidRPr="00C55FFF">
        <w:rPr>
          <w:rFonts w:ascii="Arial Narrow" w:hAnsi="Arial Narrow"/>
          <w:i/>
          <w:sz w:val="18"/>
          <w:szCs w:val="18"/>
        </w:rPr>
        <w:t>$10 million to &lt; $20 million</w:t>
      </w:r>
    </w:p>
    <w:p w14:paraId="1701342B" w14:textId="4219F7BA" w:rsidR="00615926" w:rsidRPr="00615926" w:rsidRDefault="00615926" w:rsidP="00615926">
      <w:pPr>
        <w:jc w:val="left"/>
        <w:rPr>
          <w:rFonts w:ascii="Arial Narrow" w:hAnsi="Arial Narrow"/>
          <w:bCs/>
          <w:i/>
          <w:sz w:val="18"/>
          <w:szCs w:val="18"/>
        </w:rPr>
      </w:pPr>
      <w:r w:rsidRPr="00615926">
        <w:rPr>
          <w:rFonts w:ascii="Arial Narrow" w:hAnsi="Arial Narrow"/>
          <w:i/>
          <w:sz w:val="18"/>
          <w:szCs w:val="18"/>
          <w:vertAlign w:val="superscript"/>
        </w:rPr>
        <w:t>5</w:t>
      </w:r>
      <w:r w:rsidRPr="00615926">
        <w:rPr>
          <w:rFonts w:ascii="Arial Narrow" w:hAnsi="Arial Narrow"/>
          <w:i/>
          <w:sz w:val="18"/>
          <w:szCs w:val="18"/>
        </w:rPr>
        <w:t xml:space="preserve"> </w:t>
      </w:r>
      <w:r w:rsidR="008A664D" w:rsidRPr="008A664D">
        <w:rPr>
          <w:rFonts w:ascii="Arial Narrow" w:hAnsi="Arial Narrow"/>
          <w:bCs/>
          <w:i/>
          <w:sz w:val="18"/>
          <w:szCs w:val="18"/>
        </w:rPr>
        <w:t>$0 to &lt; $10 million</w:t>
      </w:r>
    </w:p>
    <w:p w14:paraId="0F0CFC17" w14:textId="1AE25B34" w:rsidR="00C55FFF" w:rsidRPr="00474D04" w:rsidRDefault="00615926" w:rsidP="00615926">
      <w:pPr>
        <w:jc w:val="left"/>
        <w:rPr>
          <w:rFonts w:ascii="Arial Narrow" w:hAnsi="Arial Narrow"/>
          <w:i/>
          <w:sz w:val="18"/>
          <w:szCs w:val="18"/>
        </w:rPr>
      </w:pPr>
      <w:r w:rsidRPr="00615926">
        <w:rPr>
          <w:rFonts w:ascii="Arial Narrow" w:hAnsi="Arial Narrow"/>
          <w:i/>
          <w:sz w:val="18"/>
          <w:szCs w:val="18"/>
          <w:vertAlign w:val="superscript"/>
        </w:rPr>
        <w:t>6</w:t>
      </w:r>
      <w:r w:rsidR="00474D04">
        <w:rPr>
          <w:rFonts w:ascii="Arial Narrow" w:hAnsi="Arial Narrow"/>
          <w:i/>
          <w:sz w:val="18"/>
          <w:szCs w:val="18"/>
          <w:vertAlign w:val="superscript"/>
        </w:rPr>
        <w:t xml:space="preserve"> </w:t>
      </w:r>
      <w:r w:rsidR="00474D04" w:rsidRPr="00474D04">
        <w:rPr>
          <w:rFonts w:ascii="Arial Narrow" w:hAnsi="Arial Narrow"/>
          <w:i/>
          <w:sz w:val="18"/>
          <w:szCs w:val="18"/>
        </w:rPr>
        <w:t>$60 million to &lt; $70 million</w:t>
      </w:r>
    </w:p>
    <w:p w14:paraId="6D54CACE" w14:textId="65A7CF0A" w:rsidR="00C55FFF" w:rsidRPr="00AC7C77" w:rsidRDefault="00C55FFF" w:rsidP="00615926">
      <w:pPr>
        <w:jc w:val="left"/>
        <w:rPr>
          <w:rFonts w:ascii="Arial Narrow" w:hAnsi="Arial Narrow"/>
          <w:i/>
          <w:sz w:val="18"/>
          <w:szCs w:val="18"/>
        </w:rPr>
      </w:pPr>
      <w:r>
        <w:rPr>
          <w:rFonts w:ascii="Arial Narrow" w:hAnsi="Arial Narrow"/>
          <w:i/>
          <w:sz w:val="18"/>
          <w:szCs w:val="18"/>
          <w:vertAlign w:val="superscript"/>
        </w:rPr>
        <w:t>7</w:t>
      </w:r>
      <w:r w:rsidR="00AC7C77">
        <w:rPr>
          <w:rFonts w:ascii="Arial Narrow" w:hAnsi="Arial Narrow"/>
          <w:i/>
          <w:sz w:val="18"/>
          <w:szCs w:val="18"/>
          <w:vertAlign w:val="superscript"/>
        </w:rPr>
        <w:t xml:space="preserve"> </w:t>
      </w:r>
      <w:r w:rsidR="00AC7C77" w:rsidRPr="00AC7C77">
        <w:rPr>
          <w:rFonts w:ascii="Arial Narrow" w:hAnsi="Arial Narrow"/>
          <w:i/>
          <w:sz w:val="18"/>
          <w:szCs w:val="18"/>
        </w:rPr>
        <w:t>800,000 to &lt; 900,000</w:t>
      </w:r>
    </w:p>
    <w:p w14:paraId="0ECFFCF2" w14:textId="58C91414" w:rsidR="00C55FFF" w:rsidRPr="00713328" w:rsidRDefault="00C55FFF" w:rsidP="00615926">
      <w:pPr>
        <w:jc w:val="left"/>
        <w:rPr>
          <w:rFonts w:ascii="Arial Narrow" w:hAnsi="Arial Narrow"/>
          <w:i/>
          <w:sz w:val="18"/>
          <w:szCs w:val="18"/>
        </w:rPr>
      </w:pPr>
      <w:r>
        <w:rPr>
          <w:rFonts w:ascii="Arial Narrow" w:hAnsi="Arial Narrow"/>
          <w:i/>
          <w:sz w:val="18"/>
          <w:szCs w:val="18"/>
          <w:vertAlign w:val="superscript"/>
        </w:rPr>
        <w:t>8</w:t>
      </w:r>
      <w:r w:rsidR="00713328">
        <w:rPr>
          <w:rFonts w:ascii="Arial Narrow" w:hAnsi="Arial Narrow"/>
          <w:i/>
          <w:sz w:val="18"/>
          <w:szCs w:val="18"/>
          <w:vertAlign w:val="superscript"/>
        </w:rPr>
        <w:t xml:space="preserve"> </w:t>
      </w:r>
      <w:r w:rsidR="00713328" w:rsidRPr="00713328">
        <w:rPr>
          <w:rFonts w:ascii="Arial Narrow" w:hAnsi="Arial Narrow"/>
          <w:i/>
          <w:sz w:val="18"/>
          <w:szCs w:val="18"/>
        </w:rPr>
        <w:t>700,000 to &lt; 800,000</w:t>
      </w:r>
    </w:p>
    <w:p w14:paraId="697D6BF7" w14:textId="43EE5795" w:rsidR="00C55FFF" w:rsidRPr="005740BC" w:rsidRDefault="00C55FFF" w:rsidP="00615926">
      <w:pPr>
        <w:jc w:val="left"/>
        <w:rPr>
          <w:rFonts w:ascii="Arial Narrow" w:hAnsi="Arial Narrow"/>
          <w:i/>
          <w:sz w:val="18"/>
          <w:szCs w:val="18"/>
        </w:rPr>
      </w:pPr>
      <w:r>
        <w:rPr>
          <w:rFonts w:ascii="Arial Narrow" w:hAnsi="Arial Narrow"/>
          <w:i/>
          <w:sz w:val="18"/>
          <w:szCs w:val="18"/>
          <w:vertAlign w:val="superscript"/>
        </w:rPr>
        <w:t>9</w:t>
      </w:r>
      <w:r w:rsidR="005740BC">
        <w:rPr>
          <w:rFonts w:ascii="Arial Narrow" w:hAnsi="Arial Narrow"/>
          <w:i/>
          <w:sz w:val="18"/>
          <w:szCs w:val="18"/>
          <w:vertAlign w:val="superscript"/>
        </w:rPr>
        <w:t xml:space="preserve"> </w:t>
      </w:r>
      <w:r w:rsidR="005740BC" w:rsidRPr="005740BC">
        <w:rPr>
          <w:rFonts w:ascii="Arial Narrow" w:hAnsi="Arial Narrow"/>
          <w:i/>
          <w:sz w:val="18"/>
          <w:szCs w:val="18"/>
        </w:rPr>
        <w:t>1,000,000 to &lt; 2,000,000</w:t>
      </w:r>
    </w:p>
    <w:p w14:paraId="791A5747" w14:textId="017A0793" w:rsidR="00713328" w:rsidRPr="00C351F0" w:rsidRDefault="00713328" w:rsidP="00615926">
      <w:pPr>
        <w:jc w:val="left"/>
        <w:rPr>
          <w:rFonts w:ascii="Arial Narrow" w:hAnsi="Arial Narrow"/>
          <w:bCs/>
          <w:i/>
          <w:sz w:val="18"/>
          <w:szCs w:val="18"/>
        </w:rPr>
      </w:pPr>
      <w:r>
        <w:rPr>
          <w:rFonts w:ascii="Arial Narrow" w:hAnsi="Arial Narrow"/>
          <w:i/>
          <w:sz w:val="18"/>
          <w:szCs w:val="18"/>
          <w:vertAlign w:val="superscript"/>
        </w:rPr>
        <w:t>10</w:t>
      </w:r>
      <w:r w:rsidR="00C351F0">
        <w:rPr>
          <w:rFonts w:ascii="Arial Narrow" w:hAnsi="Arial Narrow"/>
          <w:i/>
          <w:sz w:val="18"/>
          <w:szCs w:val="18"/>
        </w:rPr>
        <w:t xml:space="preserve"> </w:t>
      </w:r>
      <w:r w:rsidR="00C351F0" w:rsidRPr="00C351F0">
        <w:rPr>
          <w:rFonts w:ascii="Arial Narrow" w:hAnsi="Arial Narrow"/>
          <w:bCs/>
          <w:i/>
          <w:sz w:val="18"/>
          <w:szCs w:val="18"/>
        </w:rPr>
        <w:t>200,000 to &lt; 300,000</w:t>
      </w:r>
    </w:p>
    <w:p w14:paraId="205CE8A6" w14:textId="78BE3A6F" w:rsidR="00713328" w:rsidRPr="008C364B" w:rsidRDefault="00713328" w:rsidP="00615926">
      <w:pPr>
        <w:jc w:val="left"/>
        <w:rPr>
          <w:rFonts w:ascii="Arial Narrow" w:hAnsi="Arial Narrow"/>
          <w:bCs/>
          <w:i/>
          <w:sz w:val="18"/>
          <w:szCs w:val="18"/>
        </w:rPr>
      </w:pPr>
      <w:r>
        <w:rPr>
          <w:rFonts w:ascii="Arial Narrow" w:hAnsi="Arial Narrow"/>
          <w:i/>
          <w:sz w:val="18"/>
          <w:szCs w:val="18"/>
          <w:vertAlign w:val="superscript"/>
        </w:rPr>
        <w:t>11</w:t>
      </w:r>
      <w:r w:rsidR="008C364B">
        <w:rPr>
          <w:rFonts w:ascii="Arial Narrow" w:hAnsi="Arial Narrow"/>
          <w:i/>
          <w:sz w:val="18"/>
          <w:szCs w:val="18"/>
          <w:vertAlign w:val="superscript"/>
        </w:rPr>
        <w:t xml:space="preserve"> </w:t>
      </w:r>
      <w:r w:rsidR="008C364B" w:rsidRPr="008C364B">
        <w:rPr>
          <w:rFonts w:ascii="Arial Narrow" w:hAnsi="Arial Narrow"/>
          <w:bCs/>
          <w:i/>
          <w:sz w:val="18"/>
          <w:szCs w:val="18"/>
        </w:rPr>
        <w:t>$100 million to &lt; $200 million</w:t>
      </w:r>
    </w:p>
    <w:p w14:paraId="26B0413E" w14:textId="58EB6779" w:rsidR="00713328" w:rsidRPr="00E2173A" w:rsidRDefault="00713328" w:rsidP="00615926">
      <w:pPr>
        <w:jc w:val="left"/>
        <w:rPr>
          <w:rFonts w:ascii="Arial Narrow" w:hAnsi="Arial Narrow"/>
          <w:i/>
          <w:sz w:val="18"/>
          <w:szCs w:val="18"/>
        </w:rPr>
      </w:pPr>
      <w:r>
        <w:rPr>
          <w:rFonts w:ascii="Arial Narrow" w:hAnsi="Arial Narrow"/>
          <w:i/>
          <w:sz w:val="18"/>
          <w:szCs w:val="18"/>
          <w:vertAlign w:val="superscript"/>
        </w:rPr>
        <w:t>12</w:t>
      </w:r>
      <w:r w:rsidR="00E2173A">
        <w:rPr>
          <w:rFonts w:ascii="Arial Narrow" w:hAnsi="Arial Narrow"/>
          <w:i/>
          <w:sz w:val="18"/>
          <w:szCs w:val="18"/>
          <w:vertAlign w:val="superscript"/>
        </w:rPr>
        <w:t xml:space="preserve"> </w:t>
      </w:r>
      <w:r w:rsidR="00E2173A" w:rsidRPr="00E2173A">
        <w:rPr>
          <w:rFonts w:ascii="Arial Narrow" w:hAnsi="Arial Narrow"/>
          <w:i/>
          <w:sz w:val="18"/>
          <w:szCs w:val="18"/>
        </w:rPr>
        <w:t>$30 million to &lt; $40 million</w:t>
      </w:r>
    </w:p>
    <w:p w14:paraId="7627812F" w14:textId="0AE6E4C8" w:rsidR="00476FAE" w:rsidRPr="00E2173A" w:rsidRDefault="00615926" w:rsidP="00E2173A">
      <w:pPr>
        <w:jc w:val="left"/>
        <w:rPr>
          <w:rFonts w:ascii="Arial Narrow" w:hAnsi="Arial Narrow"/>
          <w:i/>
          <w:sz w:val="18"/>
          <w:szCs w:val="18"/>
        </w:rPr>
      </w:pPr>
      <w:r w:rsidRPr="00615926">
        <w:rPr>
          <w:rFonts w:ascii="Arial Narrow" w:hAnsi="Arial Narrow"/>
          <w:i/>
          <w:sz w:val="18"/>
          <w:szCs w:val="18"/>
        </w:rPr>
        <w:t xml:space="preserve"> </w:t>
      </w:r>
    </w:p>
    <w:p w14:paraId="1797B411" w14:textId="45BCF143" w:rsidR="004C397E" w:rsidRPr="005A5BB7" w:rsidRDefault="004C397E" w:rsidP="00A45FD0">
      <w:pPr>
        <w:pStyle w:val="3-BodyText"/>
        <w:rPr>
          <w:color w:val="3366FF"/>
        </w:rPr>
      </w:pPr>
      <w:r w:rsidRPr="005A5BB7">
        <w:t xml:space="preserve">The </w:t>
      </w:r>
      <w:r w:rsidR="00A45FD0" w:rsidRPr="005A5BB7">
        <w:t xml:space="preserve">submission estimated the </w:t>
      </w:r>
      <w:r w:rsidRPr="005A5BB7">
        <w:t>total cost to the NIP of listing RSVPreF3 OA for adults 60</w:t>
      </w:r>
      <w:r w:rsidR="000E4816">
        <w:noBreakHyphen/>
      </w:r>
      <w:r w:rsidRPr="005A5BB7">
        <w:t xml:space="preserve">74 YOA at increased risk of severe RSV disease to be </w:t>
      </w:r>
      <w:r w:rsidR="003C24C7" w:rsidRPr="003C24C7">
        <w:t>$80 million to &lt; $90 million</w:t>
      </w:r>
      <w:r w:rsidR="00041CA9" w:rsidRPr="005A5BB7">
        <w:t xml:space="preserve"> in Year 1 and </w:t>
      </w:r>
      <w:r w:rsidR="00D87236" w:rsidRPr="00D87236">
        <w:t>$10 million to &lt; $20 million</w:t>
      </w:r>
      <w:r w:rsidR="00D87236" w:rsidRPr="00D87236" w:rsidDel="00D87236">
        <w:t xml:space="preserve"> </w:t>
      </w:r>
      <w:r w:rsidRPr="005A5BB7">
        <w:t xml:space="preserve">in Year 6, and a total of </w:t>
      </w:r>
      <w:r w:rsidR="00AA155E" w:rsidRPr="00AA155E">
        <w:t>$100 million to &lt; $200 million</w:t>
      </w:r>
      <w:r w:rsidRPr="005A5BB7">
        <w:t xml:space="preserve"> in the first 6 years of listing</w:t>
      </w:r>
      <w:r w:rsidR="000A52E3" w:rsidRPr="005A5BB7">
        <w:t xml:space="preserve"> at the price proposed in the resubmission of $</w:t>
      </w:r>
      <w:r w:rsidR="00F15B97" w:rsidRPr="00F15B97">
        <w:rPr>
          <w:sz w:val="2"/>
          <w:highlight w:val="black"/>
        </w:rPr>
        <w:t>redacted content</w:t>
      </w:r>
      <w:r w:rsidR="000A52E3" w:rsidRPr="00000275">
        <w:t>/</w:t>
      </w:r>
      <w:r w:rsidR="000A52E3" w:rsidRPr="005A5BB7">
        <w:t>dose</w:t>
      </w:r>
      <w:r w:rsidRPr="005A5BB7">
        <w:t>.</w:t>
      </w:r>
      <w:r w:rsidR="00DA1339">
        <w:t xml:space="preserve"> </w:t>
      </w:r>
      <w:r w:rsidR="00A45FD0" w:rsidRPr="005A5BB7">
        <w:t>The evaluation considered t</w:t>
      </w:r>
      <w:r w:rsidRPr="005A5BB7">
        <w:t>he total cost to the NIP is likely underestimated, due to the substantially</w:t>
      </w:r>
      <w:r w:rsidR="00AA155E">
        <w:t xml:space="preserve"> </w:t>
      </w:r>
      <w:r w:rsidR="00EF7CDC" w:rsidRPr="005A5BB7">
        <w:t xml:space="preserve">underestimated </w:t>
      </w:r>
      <w:r w:rsidRPr="005A5BB7">
        <w:t>eligible population for adults 60</w:t>
      </w:r>
      <w:r w:rsidR="000E4816">
        <w:noBreakHyphen/>
      </w:r>
      <w:r w:rsidRPr="005A5BB7">
        <w:t xml:space="preserve">74 YOA at increased risk of severe RSV disease in the resubmission, compared to </w:t>
      </w:r>
      <w:r w:rsidR="00D11B6E" w:rsidRPr="005A5BB7">
        <w:t xml:space="preserve">the </w:t>
      </w:r>
      <w:r w:rsidRPr="005A5BB7">
        <w:t xml:space="preserve">higher estimates accepted by ATAGI. </w:t>
      </w:r>
    </w:p>
    <w:p w14:paraId="62C0C675" w14:textId="4F4D38A0" w:rsidR="00D051AE" w:rsidRPr="005A5BB7" w:rsidRDefault="00D051AE" w:rsidP="00D051AE">
      <w:pPr>
        <w:pStyle w:val="3-BodyText"/>
      </w:pPr>
      <w:r w:rsidRPr="005A5BB7">
        <w:rPr>
          <w:iCs/>
        </w:rPr>
        <w:t xml:space="preserve">The ESC agreed with the commentary that the estimated utilisation in </w:t>
      </w:r>
      <w:r w:rsidRPr="005A5BB7">
        <w:t>adults 60</w:t>
      </w:r>
      <w:r w:rsidR="000E4816">
        <w:noBreakHyphen/>
      </w:r>
      <w:r w:rsidRPr="005A5BB7">
        <w:t xml:space="preserve">74 YOA at increased risk of severe RSV disease </w:t>
      </w:r>
      <w:r w:rsidRPr="005A5BB7">
        <w:rPr>
          <w:iCs/>
        </w:rPr>
        <w:t>was likely underestimated as it had been based on an estimate of obesity alone.</w:t>
      </w:r>
      <w:r w:rsidR="00DA1339">
        <w:rPr>
          <w:iCs/>
        </w:rPr>
        <w:t xml:space="preserve"> </w:t>
      </w:r>
      <w:r w:rsidRPr="005A5BB7">
        <w:rPr>
          <w:iCs/>
        </w:rPr>
        <w:t xml:space="preserve">As noted in the evaluation, the Clarke 2020 dataset was previously presented by the sponsor to ATAGI and accepted as suitable </w:t>
      </w:r>
      <w:r w:rsidRPr="005A5BB7">
        <w:rPr>
          <w:iCs/>
        </w:rPr>
        <w:lastRenderedPageBreak/>
        <w:t>for informing policy considerations.</w:t>
      </w:r>
      <w:r w:rsidR="00DA1339">
        <w:rPr>
          <w:iCs/>
        </w:rPr>
        <w:t xml:space="preserve"> </w:t>
      </w:r>
      <w:r w:rsidRPr="005A5BB7">
        <w:rPr>
          <w:iCs/>
        </w:rPr>
        <w:t xml:space="preserve">A revised analysis applying estimates from Clarke 2020 is provided in </w:t>
      </w:r>
      <w:r w:rsidRPr="005A5BB7">
        <w:rPr>
          <w:i/>
          <w:iCs/>
        </w:rPr>
        <w:fldChar w:fldCharType="begin"/>
      </w:r>
      <w:r w:rsidRPr="005A5BB7">
        <w:rPr>
          <w:i/>
          <w:iCs/>
        </w:rPr>
        <w:instrText xml:space="preserve"> REF _Ref222411818 \h  \* MERGEFORMAT </w:instrText>
      </w:r>
      <w:r w:rsidRPr="005A5BB7">
        <w:rPr>
          <w:i/>
          <w:iCs/>
        </w:rPr>
      </w:r>
      <w:r w:rsidRPr="005A5BB7">
        <w:rPr>
          <w:i/>
          <w:iCs/>
        </w:rPr>
        <w:fldChar w:fldCharType="separate"/>
      </w:r>
      <w:r w:rsidR="0043658C" w:rsidRPr="005A5BB7">
        <w:t xml:space="preserve">Table </w:t>
      </w:r>
      <w:r w:rsidR="0043658C">
        <w:t>26</w:t>
      </w:r>
      <w:r w:rsidRPr="005A5BB7">
        <w:rPr>
          <w:i/>
          <w:iCs/>
        </w:rPr>
        <w:fldChar w:fldCharType="end"/>
      </w:r>
      <w:r w:rsidRPr="005A5BB7">
        <w:rPr>
          <w:iCs/>
        </w:rPr>
        <w:t>.</w:t>
      </w:r>
    </w:p>
    <w:p w14:paraId="586131E5" w14:textId="70D14EA8" w:rsidR="00D051AE" w:rsidRPr="005A5BB7" w:rsidRDefault="00D051AE" w:rsidP="0090073B">
      <w:pPr>
        <w:pStyle w:val="3-BodyText"/>
      </w:pPr>
      <w:r w:rsidRPr="005A5BB7">
        <w:rPr>
          <w:iCs/>
        </w:rPr>
        <w:t xml:space="preserve">Regarding uptake rates, the ATAGI advice considered it was reasonable to assume that Year 1 uptake for RSVPreF3 OA would be half (i.e., </w:t>
      </w:r>
      <w:r w:rsidR="00F15B97" w:rsidRPr="00F15B97">
        <w:rPr>
          <w:iCs/>
          <w:sz w:val="2"/>
          <w:highlight w:val="black"/>
        </w:rPr>
        <w:t>redacted content</w:t>
      </w:r>
      <w:r w:rsidRPr="005A5BB7">
        <w:rPr>
          <w:iCs/>
        </w:rPr>
        <w:t xml:space="preserve">%) of expected uptake for influenza, and to assume increased uptake in the following years, that would reach no higher than </w:t>
      </w:r>
      <w:r w:rsidR="00F15B97" w:rsidRPr="00F15B97">
        <w:rPr>
          <w:iCs/>
          <w:sz w:val="2"/>
          <w:highlight w:val="black"/>
        </w:rPr>
        <w:t>redacted content</w:t>
      </w:r>
      <w:r w:rsidRPr="005A5BB7">
        <w:rPr>
          <w:iCs/>
        </w:rPr>
        <w:t>% of estimated influenza vaccine coverage.</w:t>
      </w:r>
      <w:r w:rsidR="00DA1339">
        <w:rPr>
          <w:iCs/>
        </w:rPr>
        <w:t xml:space="preserve"> </w:t>
      </w:r>
      <w:r w:rsidRPr="005A5BB7">
        <w:rPr>
          <w:iCs/>
        </w:rPr>
        <w:t>The ESC noted that vaccine uptake was based on ATAGI advice, but remained uncertain.</w:t>
      </w:r>
    </w:p>
    <w:p w14:paraId="07F098BA" w14:textId="5530E6A8" w:rsidR="000955A9" w:rsidRPr="005A5BB7" w:rsidRDefault="000955A9">
      <w:pPr>
        <w:pStyle w:val="3-BodyText"/>
      </w:pPr>
      <w:r w:rsidRPr="005A5BB7">
        <w:t xml:space="preserve">The </w:t>
      </w:r>
      <w:r w:rsidR="00E60E21" w:rsidRPr="005A5BB7">
        <w:t>resubmission requested a price of $</w:t>
      </w:r>
      <w:r w:rsidR="00F15B97" w:rsidRPr="00F15B97">
        <w:rPr>
          <w:sz w:val="2"/>
          <w:highlight w:val="black"/>
        </w:rPr>
        <w:t>redacted content</w:t>
      </w:r>
      <w:r w:rsidR="00E60E21" w:rsidRPr="005A5BB7">
        <w:t xml:space="preserve"> per dose for R</w:t>
      </w:r>
      <w:r w:rsidRPr="005A5BB7">
        <w:t xml:space="preserve">SVPreF3 OA </w:t>
      </w:r>
      <w:r w:rsidR="00E60E21" w:rsidRPr="005A5BB7">
        <w:t>which w</w:t>
      </w:r>
      <w:r w:rsidRPr="005A5BB7">
        <w:t xml:space="preserve">as </w:t>
      </w:r>
      <w:r w:rsidR="002F64C4" w:rsidRPr="005A5BB7">
        <w:rPr>
          <w:iCs/>
        </w:rPr>
        <w:t>revised to $</w:t>
      </w:r>
      <w:r w:rsidR="00F15B97" w:rsidRPr="00F15B97">
        <w:rPr>
          <w:iCs/>
          <w:sz w:val="2"/>
          <w:highlight w:val="black"/>
        </w:rPr>
        <w:t>redacted content</w:t>
      </w:r>
      <w:r w:rsidR="002F64C4" w:rsidRPr="005A5BB7">
        <w:rPr>
          <w:iCs/>
        </w:rPr>
        <w:t xml:space="preserve"> in the PSC</w:t>
      </w:r>
      <w:r w:rsidR="00E60E21" w:rsidRPr="005A5BB7">
        <w:rPr>
          <w:iCs/>
        </w:rPr>
        <w:t xml:space="preserve">R, which was the price </w:t>
      </w:r>
      <w:r w:rsidRPr="005A5BB7">
        <w:t>accepted by the PBAC in Dec</w:t>
      </w:r>
      <w:r w:rsidR="00E60E21" w:rsidRPr="005A5BB7">
        <w:t>ember</w:t>
      </w:r>
      <w:r w:rsidRPr="005A5BB7">
        <w:t xml:space="preserve"> 2025 for two populations (</w:t>
      </w:r>
      <w:r w:rsidR="0029725C" w:rsidRPr="005A5BB7">
        <w:rPr>
          <w:rFonts w:cstheme="minorHAnsi"/>
        </w:rPr>
        <w:t>≥</w:t>
      </w:r>
      <w:r w:rsidRPr="005A5BB7">
        <w:t xml:space="preserve">75 YOA and </w:t>
      </w:r>
      <w:r w:rsidR="0029725C" w:rsidRPr="005A5BB7">
        <w:t>Aboriginal and Torres Strait Islander people 60</w:t>
      </w:r>
      <w:r w:rsidR="000E4816">
        <w:noBreakHyphen/>
      </w:r>
      <w:r w:rsidR="0029725C" w:rsidRPr="005A5BB7">
        <w:t>74 YOA</w:t>
      </w:r>
      <w:r w:rsidRPr="005A5BB7">
        <w:t>).</w:t>
      </w:r>
    </w:p>
    <w:p w14:paraId="02308EEA" w14:textId="73B37222" w:rsidR="009D7FDD" w:rsidRPr="005A5BB7" w:rsidRDefault="004C0767" w:rsidP="00894FBB">
      <w:pPr>
        <w:pStyle w:val="3-BodyText"/>
        <w:rPr>
          <w:iCs/>
          <w:szCs w:val="24"/>
        </w:rPr>
      </w:pPr>
      <w:r w:rsidRPr="005A5BB7">
        <w:t xml:space="preserve">As mentioned in paragraph </w:t>
      </w:r>
      <w:r w:rsidR="00744CBB" w:rsidRPr="005A5BB7">
        <w:fldChar w:fldCharType="begin"/>
      </w:r>
      <w:r w:rsidR="00744CBB" w:rsidRPr="005A5BB7">
        <w:instrText xml:space="preserve"> REF _Ref224825255 \r \h </w:instrText>
      </w:r>
      <w:r w:rsidR="00744CBB" w:rsidRPr="005A5BB7">
        <w:fldChar w:fldCharType="separate"/>
      </w:r>
      <w:r w:rsidR="00511F2D">
        <w:t>3.6</w:t>
      </w:r>
      <w:r w:rsidR="00744CBB" w:rsidRPr="005A5BB7">
        <w:fldChar w:fldCharType="end"/>
      </w:r>
      <w:r w:rsidRPr="005A5BB7">
        <w:t>, the pre</w:t>
      </w:r>
      <w:r w:rsidR="000E4816">
        <w:noBreakHyphen/>
      </w:r>
      <w:r w:rsidRPr="005A5BB7">
        <w:t>PBAC response proposed a revised population for NIP listing, applying an age threshold of 65 years (instead of 60) and excluding obesity as a standalone criterion for NIP eligibility.</w:t>
      </w:r>
      <w:r w:rsidR="00DA1339">
        <w:t xml:space="preserve"> </w:t>
      </w:r>
      <w:r w:rsidRPr="005A5BB7">
        <w:t>The pre</w:t>
      </w:r>
      <w:r w:rsidR="000E4816">
        <w:noBreakHyphen/>
      </w:r>
      <w:r w:rsidRPr="005A5BB7">
        <w:t>PBAC response suggested the budget impact associated with this population</w:t>
      </w:r>
      <w:r w:rsidR="00744CBB" w:rsidRPr="005A5BB7">
        <w:t xml:space="preserve">, based on the Clark 2020 estimates would be </w:t>
      </w:r>
      <w:r w:rsidR="005644C3" w:rsidRPr="005644C3">
        <w:t>$100 million to &lt; $200 million</w:t>
      </w:r>
      <w:r w:rsidR="00744CBB" w:rsidRPr="005A5BB7">
        <w:t xml:space="preserve"> over 6 years, but would be reduced to </w:t>
      </w:r>
      <w:r w:rsidR="00922352" w:rsidRPr="00922352">
        <w:t>$70 million to &lt; $80 million</w:t>
      </w:r>
      <w:r w:rsidR="00922352">
        <w:t xml:space="preserve"> </w:t>
      </w:r>
      <w:r w:rsidR="00744CBB" w:rsidRPr="005A5BB7">
        <w:t>over 6 years if it was assumed that only 35% of the population would be eligible, rather than the higher percentages suggested by the Clark study.</w:t>
      </w:r>
      <w:r w:rsidR="00DA1339">
        <w:t xml:space="preserve"> </w:t>
      </w:r>
      <w:r w:rsidR="00744CBB" w:rsidRPr="005A5BB7">
        <w:t>These results were not verified.</w:t>
      </w:r>
      <w:r w:rsidR="00DA1339">
        <w:t xml:space="preserve"> </w:t>
      </w:r>
      <w:r w:rsidR="00894FBB" w:rsidRPr="005A5BB7">
        <w:t xml:space="preserve">The PBAC did not support this population, see paragraph </w:t>
      </w:r>
      <w:r w:rsidR="00894FBB" w:rsidRPr="005A5BB7">
        <w:fldChar w:fldCharType="begin"/>
      </w:r>
      <w:r w:rsidR="00894FBB" w:rsidRPr="005A5BB7">
        <w:instrText xml:space="preserve"> REF _Ref225518523 \r \h </w:instrText>
      </w:r>
      <w:r w:rsidR="00894FBB" w:rsidRPr="005A5BB7">
        <w:fldChar w:fldCharType="separate"/>
      </w:r>
      <w:r w:rsidR="00511F2D">
        <w:t>7.7</w:t>
      </w:r>
      <w:r w:rsidR="00894FBB" w:rsidRPr="005A5BB7">
        <w:fldChar w:fldCharType="end"/>
      </w:r>
      <w:r w:rsidR="00894FBB" w:rsidRPr="005A5BB7">
        <w:t>.</w:t>
      </w:r>
      <w:r w:rsidR="00922352">
        <w:t xml:space="preserve"> </w:t>
      </w:r>
    </w:p>
    <w:p w14:paraId="37BA42B1" w14:textId="77777777" w:rsidR="004C397E" w:rsidRPr="005A5BB7" w:rsidRDefault="004C397E" w:rsidP="00E64E39">
      <w:pPr>
        <w:pStyle w:val="4-SubsectionHeading"/>
        <w:rPr>
          <w:iCs/>
        </w:rPr>
      </w:pPr>
      <w:bookmarkStart w:id="101" w:name="_Toc22897648"/>
      <w:bookmarkStart w:id="102" w:name="_Toc219882189"/>
      <w:r w:rsidRPr="005A5BB7">
        <w:t>Quality Use of Medicines</w:t>
      </w:r>
      <w:bookmarkEnd w:id="101"/>
      <w:bookmarkEnd w:id="102"/>
    </w:p>
    <w:p w14:paraId="7F9D5591" w14:textId="6A81E58F" w:rsidR="004C397E" w:rsidRPr="005A5BB7" w:rsidRDefault="004C397E" w:rsidP="004C397E">
      <w:pPr>
        <w:pStyle w:val="3-BodyText"/>
      </w:pPr>
      <w:r w:rsidRPr="005A5BB7">
        <w:t xml:space="preserve">The March 2026 resubmission </w:t>
      </w:r>
      <w:r w:rsidR="0088265D" w:rsidRPr="005A5BB7">
        <w:t xml:space="preserve">described the following </w:t>
      </w:r>
      <w:r w:rsidRPr="005A5BB7">
        <w:t xml:space="preserve">Quality Use of Medicine </w:t>
      </w:r>
      <w:r w:rsidR="0088265D" w:rsidRPr="005A5BB7">
        <w:t xml:space="preserve">activities </w:t>
      </w:r>
      <w:r w:rsidRPr="005A5BB7">
        <w:t>:</w:t>
      </w:r>
    </w:p>
    <w:p w14:paraId="51E890A3" w14:textId="77777777" w:rsidR="004C397E" w:rsidRPr="005A5BB7" w:rsidRDefault="004C397E" w:rsidP="00E113F2">
      <w:pPr>
        <w:pStyle w:val="3-BodyText"/>
        <w:numPr>
          <w:ilvl w:val="0"/>
          <w:numId w:val="33"/>
        </w:numPr>
      </w:pPr>
      <w:r w:rsidRPr="005A5BB7">
        <w:t>Medical information responses to address enquiries to reduce prescribing and dispensing errors.</w:t>
      </w:r>
    </w:p>
    <w:p w14:paraId="6201ABE2" w14:textId="4B50F24A" w:rsidR="004C397E" w:rsidRPr="005A5BB7" w:rsidRDefault="004C397E" w:rsidP="00E113F2">
      <w:pPr>
        <w:pStyle w:val="3-BodyText"/>
        <w:numPr>
          <w:ilvl w:val="0"/>
          <w:numId w:val="33"/>
        </w:numPr>
      </w:pPr>
      <w:r w:rsidRPr="005A5BB7">
        <w:t>RSV disease awareness campaigns.</w:t>
      </w:r>
    </w:p>
    <w:p w14:paraId="752BE1CD" w14:textId="7B6BEC54" w:rsidR="004C397E" w:rsidRPr="005A5BB7" w:rsidRDefault="004C397E" w:rsidP="00E113F2">
      <w:pPr>
        <w:pStyle w:val="3-BodyText"/>
        <w:numPr>
          <w:ilvl w:val="0"/>
          <w:numId w:val="33"/>
        </w:numPr>
      </w:pPr>
      <w:r w:rsidRPr="005A5BB7">
        <w:t>Multiple educational meetings enabling HCPs to identify older adults suitable for RSVPreF3 OA and counsel them appropriately.</w:t>
      </w:r>
    </w:p>
    <w:p w14:paraId="3BA13751" w14:textId="6F825F4E" w:rsidR="004C397E" w:rsidRPr="005A5BB7" w:rsidRDefault="004C397E" w:rsidP="00E113F2">
      <w:pPr>
        <w:pStyle w:val="3-BodyText"/>
        <w:numPr>
          <w:ilvl w:val="0"/>
          <w:numId w:val="33"/>
        </w:numPr>
      </w:pPr>
      <w:r w:rsidRPr="005A5BB7">
        <w:t>Disseminating independent clinical guidance (</w:t>
      </w:r>
      <w:r w:rsidR="000A1EDF" w:rsidRPr="005A5BB7">
        <w:t>e.g.</w:t>
      </w:r>
      <w:r w:rsidRPr="005A5BB7">
        <w:t xml:space="preserve"> NCIRS, ATAGI</w:t>
      </w:r>
      <w:r w:rsidR="00D051AE" w:rsidRPr="005A5BB7">
        <w:t>, and</w:t>
      </w:r>
      <w:r w:rsidRPr="005A5BB7">
        <w:t xml:space="preserve"> TGA documents) on correct administration of RSV immunisation products and incorporation of relevant content.</w:t>
      </w:r>
    </w:p>
    <w:p w14:paraId="32D40395" w14:textId="75E10482" w:rsidR="004C397E" w:rsidRPr="005A5BB7" w:rsidRDefault="004C397E" w:rsidP="00E113F2">
      <w:pPr>
        <w:pStyle w:val="3-BodyText"/>
        <w:numPr>
          <w:ilvl w:val="0"/>
          <w:numId w:val="33"/>
        </w:numPr>
      </w:pPr>
      <w:r w:rsidRPr="005A5BB7">
        <w:t>A routine, pro</w:t>
      </w:r>
      <w:r w:rsidR="000E4816">
        <w:noBreakHyphen/>
      </w:r>
      <w:r w:rsidRPr="005A5BB7">
        <w:t>active process for identifying safety signals</w:t>
      </w:r>
      <w:r w:rsidR="00334144" w:rsidRPr="005A5BB7">
        <w:t>.</w:t>
      </w:r>
    </w:p>
    <w:p w14:paraId="0A9A26DA" w14:textId="7D120538" w:rsidR="004C397E" w:rsidRPr="005A5BB7" w:rsidRDefault="004C397E" w:rsidP="00E113F2">
      <w:pPr>
        <w:pStyle w:val="3-BodyText"/>
        <w:numPr>
          <w:ilvl w:val="0"/>
          <w:numId w:val="33"/>
        </w:numPr>
      </w:pPr>
      <w:r w:rsidRPr="005A5BB7">
        <w:t>Ongoing clinical and post</w:t>
      </w:r>
      <w:r w:rsidR="000E4816">
        <w:noBreakHyphen/>
      </w:r>
      <w:r w:rsidRPr="005A5BB7">
        <w:t>marketing program for RSVPreF3 OA which is designed to provide additional data on immune persistence, revaccination and real</w:t>
      </w:r>
      <w:r w:rsidR="000E4816">
        <w:noBreakHyphen/>
      </w:r>
      <w:r w:rsidRPr="005A5BB7">
        <w:t>world effectiveness, ensuring continued confidence in the vaccine’s value for older adults and those at increased risk for RSV disease.</w:t>
      </w:r>
    </w:p>
    <w:p w14:paraId="408D3B39" w14:textId="77777777" w:rsidR="00334144" w:rsidRPr="005A5BB7" w:rsidRDefault="00334144" w:rsidP="00334144">
      <w:pPr>
        <w:ind w:left="720"/>
      </w:pPr>
      <w:r w:rsidRPr="005A5BB7">
        <w:rPr>
          <w:i/>
        </w:rPr>
        <w:t>For more detail on PBAC’s view, see section 7 PBAC outcome.</w:t>
      </w:r>
    </w:p>
    <w:p w14:paraId="49D0A522" w14:textId="77777777" w:rsidR="00E113F2" w:rsidRPr="005A5BB7" w:rsidRDefault="00E113F2" w:rsidP="00263F06">
      <w:pPr>
        <w:contextualSpacing/>
        <w:rPr>
          <w:rFonts w:eastAsia="Calibri"/>
          <w:szCs w:val="22"/>
        </w:rPr>
      </w:pPr>
      <w:bookmarkStart w:id="103" w:name="_Hlk103934877"/>
    </w:p>
    <w:p w14:paraId="133475C1" w14:textId="77777777" w:rsidR="00E113F2" w:rsidRPr="005A5BB7" w:rsidRDefault="00E113F2" w:rsidP="00E113F2">
      <w:pPr>
        <w:pStyle w:val="2-SectionHeading"/>
        <w:numPr>
          <w:ilvl w:val="0"/>
          <w:numId w:val="1"/>
        </w:numPr>
      </w:pPr>
      <w:bookmarkStart w:id="104" w:name="_Hlk76381249"/>
      <w:bookmarkStart w:id="105" w:name="_Hlk76377955"/>
      <w:r w:rsidRPr="005A5BB7">
        <w:lastRenderedPageBreak/>
        <w:t>PBAC Outcome</w:t>
      </w:r>
    </w:p>
    <w:p w14:paraId="4BA277D8" w14:textId="49F9682A" w:rsidR="00011ABE" w:rsidRPr="005A5BB7" w:rsidRDefault="00011ABE" w:rsidP="00011ABE">
      <w:pPr>
        <w:pStyle w:val="3-BodyText"/>
        <w:numPr>
          <w:ilvl w:val="1"/>
          <w:numId w:val="1"/>
        </w:numPr>
        <w:ind w:left="720"/>
        <w:rPr>
          <w:snapToGrid w:val="0"/>
        </w:rPr>
      </w:pPr>
      <w:bookmarkStart w:id="106" w:name="_Hlk111543188"/>
      <w:r w:rsidRPr="005A5BB7">
        <w:rPr>
          <w:rFonts w:eastAsia="Times New Roman" w:cs="Arial"/>
          <w:snapToGrid w:val="0"/>
          <w:szCs w:val="24"/>
        </w:rPr>
        <w:t>The PBAC recommended a change to the previously recommended National Immunisation Program (NIP) listing for respiratory syncytial virus vaccine (RSVPreF3 OA, Arexvy®).</w:t>
      </w:r>
      <w:r w:rsidR="00DA1339">
        <w:rPr>
          <w:rFonts w:eastAsia="Times New Roman" w:cs="Arial"/>
          <w:snapToGrid w:val="0"/>
          <w:szCs w:val="24"/>
        </w:rPr>
        <w:t xml:space="preserve"> </w:t>
      </w:r>
      <w:r w:rsidRPr="005A5BB7">
        <w:rPr>
          <w:snapToGrid w:val="0"/>
        </w:rPr>
        <w:t>The submission requested NIP listing for adults aged 60</w:t>
      </w:r>
      <w:r w:rsidR="000E4816">
        <w:rPr>
          <w:snapToGrid w:val="0"/>
        </w:rPr>
        <w:noBreakHyphen/>
      </w:r>
      <w:r w:rsidRPr="005A5BB7">
        <w:rPr>
          <w:snapToGrid w:val="0"/>
        </w:rPr>
        <w:t>74 years with at least one condition associated with increased risk of severe RSV disease as described in the Australian Immunisation Handbook (AIH).</w:t>
      </w:r>
      <w:r w:rsidR="00DA1339">
        <w:rPr>
          <w:snapToGrid w:val="0"/>
        </w:rPr>
        <w:t xml:space="preserve"> </w:t>
      </w:r>
      <w:r w:rsidRPr="005A5BB7">
        <w:rPr>
          <w:snapToGrid w:val="0"/>
        </w:rPr>
        <w:t xml:space="preserve">Noting (i) the heterogeneity of the subgroups within the proposed population with respect to the extent of the increased risk of severe RSV, (ii) that it was likely that </w:t>
      </w:r>
      <w:r w:rsidR="00C8763C" w:rsidRPr="005A5BB7">
        <w:rPr>
          <w:snapToGrid w:val="0"/>
        </w:rPr>
        <w:t xml:space="preserve">more than half of </w:t>
      </w:r>
      <w:r w:rsidRPr="005A5BB7">
        <w:rPr>
          <w:snapToGrid w:val="0"/>
        </w:rPr>
        <w:t>the population aged 60</w:t>
      </w:r>
      <w:r w:rsidR="000E4816">
        <w:rPr>
          <w:snapToGrid w:val="0"/>
        </w:rPr>
        <w:noBreakHyphen/>
      </w:r>
      <w:r w:rsidRPr="005A5BB7">
        <w:rPr>
          <w:snapToGrid w:val="0"/>
        </w:rPr>
        <w:t>74 years would meet the criteria for increased risk, and (iii) the potential for improved outcomes at the population level with a broader listing, t</w:t>
      </w:r>
      <w:r w:rsidRPr="005A5BB7">
        <w:rPr>
          <w:rFonts w:eastAsia="Times New Roman" w:cs="Arial"/>
          <w:snapToGrid w:val="0"/>
          <w:szCs w:val="24"/>
        </w:rPr>
        <w:t>he PBAC recommended expanding the eligible population to include all people aged 60</w:t>
      </w:r>
      <w:r w:rsidR="000E4816">
        <w:rPr>
          <w:rFonts w:eastAsia="Times New Roman" w:cs="Arial"/>
          <w:snapToGrid w:val="0"/>
          <w:szCs w:val="24"/>
        </w:rPr>
        <w:noBreakHyphen/>
      </w:r>
      <w:r w:rsidRPr="005A5BB7">
        <w:rPr>
          <w:rFonts w:eastAsia="Times New Roman" w:cs="Arial"/>
          <w:snapToGrid w:val="0"/>
          <w:szCs w:val="24"/>
        </w:rPr>
        <w:t>74 years.</w:t>
      </w:r>
      <w:r w:rsidR="00DA1339">
        <w:rPr>
          <w:rFonts w:eastAsia="Times New Roman" w:cs="Arial"/>
          <w:snapToGrid w:val="0"/>
          <w:szCs w:val="24"/>
        </w:rPr>
        <w:t xml:space="preserve"> </w:t>
      </w:r>
      <w:r w:rsidRPr="005A5BB7">
        <w:rPr>
          <w:rFonts w:eastAsia="Times New Roman" w:cs="Arial"/>
          <w:snapToGrid w:val="0"/>
          <w:szCs w:val="24"/>
        </w:rPr>
        <w:t>As the PBAC previously recommended RSVPreF3 OA for all adults aged 75 years and above, the revised NIP listing would allow a single dose of vaccine for all people aged 60 years and above.</w:t>
      </w:r>
      <w:r w:rsidR="00DA1339">
        <w:rPr>
          <w:rFonts w:eastAsia="Times New Roman" w:cs="Arial"/>
          <w:snapToGrid w:val="0"/>
          <w:szCs w:val="24"/>
        </w:rPr>
        <w:t xml:space="preserve"> </w:t>
      </w:r>
      <w:r w:rsidRPr="005A5BB7">
        <w:rPr>
          <w:rFonts w:eastAsia="Times New Roman" w:cs="Arial"/>
          <w:snapToGrid w:val="0"/>
          <w:szCs w:val="24"/>
        </w:rPr>
        <w:t>Consistent with its previous advice, the PBAC considered that the vaccine was superior to no vaccine in terms of effectiveness with an acceptable safety profile.</w:t>
      </w:r>
      <w:r w:rsidR="00DA1339">
        <w:rPr>
          <w:rFonts w:eastAsia="Times New Roman" w:cs="Arial"/>
          <w:snapToGrid w:val="0"/>
          <w:szCs w:val="24"/>
        </w:rPr>
        <w:t xml:space="preserve"> </w:t>
      </w:r>
      <w:r w:rsidRPr="005A5BB7">
        <w:t>The PBAC advised that revised inputs were required for the economic evaluation</w:t>
      </w:r>
      <w:r w:rsidR="00C30F89" w:rsidRPr="005A5BB7">
        <w:t xml:space="preserve"> </w:t>
      </w:r>
      <w:r w:rsidRPr="005A5BB7">
        <w:t>and that the ICER based on the PBAC’s recommended inputs resulted in an ICER that was unacceptably high. On this basis, the PBAC considered that a price reduction would be required to demonstrate cost</w:t>
      </w:r>
      <w:r w:rsidR="000E4816">
        <w:noBreakHyphen/>
      </w:r>
      <w:r w:rsidRPr="005A5BB7">
        <w:t>effectiveness.</w:t>
      </w:r>
    </w:p>
    <w:p w14:paraId="32DC873D" w14:textId="1C0DF6F8" w:rsidR="00011ABE" w:rsidRPr="005A5BB7" w:rsidRDefault="00011ABE" w:rsidP="00011ABE">
      <w:pPr>
        <w:pStyle w:val="3-BodyText"/>
        <w:numPr>
          <w:ilvl w:val="1"/>
          <w:numId w:val="1"/>
        </w:numPr>
        <w:ind w:left="720"/>
        <w:rPr>
          <w:snapToGrid w:val="0"/>
        </w:rPr>
      </w:pPr>
      <w:r w:rsidRPr="005A5BB7">
        <w:rPr>
          <w:rFonts w:eastAsia="Times New Roman" w:cs="Arial"/>
          <w:snapToGrid w:val="0"/>
          <w:szCs w:val="24"/>
        </w:rPr>
        <w:t>The PBAC acknowledged comments in the pre</w:t>
      </w:r>
      <w:r w:rsidR="000E4816">
        <w:rPr>
          <w:rFonts w:eastAsia="Times New Roman" w:cs="Arial"/>
          <w:snapToGrid w:val="0"/>
          <w:szCs w:val="24"/>
        </w:rPr>
        <w:noBreakHyphen/>
      </w:r>
      <w:r w:rsidRPr="005A5BB7">
        <w:rPr>
          <w:rFonts w:eastAsia="Times New Roman" w:cs="Arial"/>
          <w:snapToGrid w:val="0"/>
          <w:szCs w:val="24"/>
        </w:rPr>
        <w:t xml:space="preserve">PBAC response that </w:t>
      </w:r>
      <w:r w:rsidR="00637EF6" w:rsidRPr="005A5BB7">
        <w:rPr>
          <w:rFonts w:eastAsia="Times New Roman" w:cs="Arial"/>
          <w:snapToGrid w:val="0"/>
          <w:szCs w:val="24"/>
        </w:rPr>
        <w:t xml:space="preserve">suggested </w:t>
      </w:r>
      <w:r w:rsidRPr="005A5BB7">
        <w:rPr>
          <w:rFonts w:eastAsia="Times New Roman" w:cs="Arial"/>
          <w:snapToGrid w:val="0"/>
          <w:szCs w:val="24"/>
        </w:rPr>
        <w:t>the sponsor may be unwilling to proceed with a recommendation for the eligible population to include all people aged 60</w:t>
      </w:r>
      <w:r w:rsidR="000E4816">
        <w:rPr>
          <w:rFonts w:eastAsia="Times New Roman" w:cs="Arial"/>
          <w:snapToGrid w:val="0"/>
          <w:szCs w:val="24"/>
        </w:rPr>
        <w:noBreakHyphen/>
      </w:r>
      <w:r w:rsidRPr="005A5BB7">
        <w:rPr>
          <w:rFonts w:eastAsia="Times New Roman" w:cs="Arial"/>
          <w:snapToGrid w:val="0"/>
          <w:szCs w:val="24"/>
        </w:rPr>
        <w:t>74 years, and its proposal to further restrict eligibility to people aged 65</w:t>
      </w:r>
      <w:r w:rsidR="000E4816">
        <w:rPr>
          <w:rFonts w:eastAsia="Times New Roman" w:cs="Arial"/>
          <w:snapToGrid w:val="0"/>
          <w:szCs w:val="24"/>
        </w:rPr>
        <w:noBreakHyphen/>
      </w:r>
      <w:r w:rsidRPr="005A5BB7">
        <w:rPr>
          <w:rFonts w:eastAsia="Times New Roman" w:cs="Arial"/>
          <w:snapToGrid w:val="0"/>
          <w:szCs w:val="24"/>
        </w:rPr>
        <w:t xml:space="preserve">74 years at increased risk of severe RSV. The PBAC did not consider there was a sound clinical basis to restrict the population at increased risk to those aged above 65 years, however accepted that the population with the highest clinical need was those with increased risk. The PBAC therefore recommended, </w:t>
      </w:r>
      <w:proofErr w:type="gramStart"/>
      <w:r w:rsidRPr="005A5BB7">
        <w:rPr>
          <w:rFonts w:eastAsia="Times New Roman" w:cs="Arial"/>
          <w:snapToGrid w:val="0"/>
          <w:szCs w:val="24"/>
        </w:rPr>
        <w:t>in the event that</w:t>
      </w:r>
      <w:proofErr w:type="gramEnd"/>
      <w:r w:rsidRPr="005A5BB7">
        <w:rPr>
          <w:rFonts w:eastAsia="Times New Roman" w:cs="Arial"/>
          <w:snapToGrid w:val="0"/>
          <w:szCs w:val="24"/>
        </w:rPr>
        <w:t xml:space="preserve"> a listing for all people aged 60</w:t>
      </w:r>
      <w:r w:rsidR="000E4816">
        <w:rPr>
          <w:rFonts w:eastAsia="Times New Roman" w:cs="Arial"/>
          <w:snapToGrid w:val="0"/>
          <w:szCs w:val="24"/>
        </w:rPr>
        <w:noBreakHyphen/>
      </w:r>
      <w:r w:rsidRPr="005A5BB7">
        <w:rPr>
          <w:rFonts w:eastAsia="Times New Roman" w:cs="Arial"/>
          <w:snapToGrid w:val="0"/>
          <w:szCs w:val="24"/>
        </w:rPr>
        <w:t>74 years was unable to be progressed, restricting the eligible population to those aged 60</w:t>
      </w:r>
      <w:r w:rsidR="000E4816">
        <w:rPr>
          <w:rFonts w:eastAsia="Times New Roman" w:cs="Arial"/>
          <w:snapToGrid w:val="0"/>
          <w:szCs w:val="24"/>
        </w:rPr>
        <w:noBreakHyphen/>
      </w:r>
      <w:r w:rsidRPr="005A5BB7">
        <w:rPr>
          <w:rFonts w:eastAsia="Times New Roman" w:cs="Arial"/>
          <w:snapToGrid w:val="0"/>
          <w:szCs w:val="24"/>
        </w:rPr>
        <w:t>74 years at increased risk of severe RSV disease as defined by ATAGI.</w:t>
      </w:r>
    </w:p>
    <w:p w14:paraId="513D0CF8" w14:textId="17938474" w:rsidR="00011ABE" w:rsidRPr="005A5BB7" w:rsidRDefault="00011ABE" w:rsidP="00011ABE">
      <w:pPr>
        <w:pStyle w:val="3-BodyText"/>
        <w:numPr>
          <w:ilvl w:val="1"/>
          <w:numId w:val="1"/>
        </w:numPr>
        <w:ind w:left="720"/>
        <w:rPr>
          <w:snapToGrid w:val="0"/>
        </w:rPr>
      </w:pPr>
      <w:r w:rsidRPr="005A5BB7">
        <w:rPr>
          <w:snapToGrid w:val="0"/>
        </w:rPr>
        <w:t>The PBAC recommended the listing of RSVPreF3 OA on the basis that it should be available through the NIP under the circumstances specified in Section 8 below, noting that two scenarios are presented</w:t>
      </w:r>
      <w:r w:rsidRPr="005A5BB7">
        <w:rPr>
          <w:bCs/>
        </w:rPr>
        <w:t>:</w:t>
      </w:r>
      <w:r w:rsidR="00DA1339">
        <w:rPr>
          <w:bCs/>
        </w:rPr>
        <w:t xml:space="preserve"> </w:t>
      </w:r>
      <w:r w:rsidRPr="005A5BB7">
        <w:rPr>
          <w:rFonts w:eastAsia="Times New Roman" w:cs="Arial"/>
          <w:snapToGrid w:val="0"/>
          <w:szCs w:val="24"/>
        </w:rPr>
        <w:t>Listing Scenario 1 (PBAC preferred scenario), and Listing Scenario 2 (as requested by sponsor).</w:t>
      </w:r>
    </w:p>
    <w:p w14:paraId="2E276FD2" w14:textId="24CB58DE" w:rsidR="00011ABE" w:rsidRPr="005A5BB7" w:rsidRDefault="00011ABE" w:rsidP="00011ABE">
      <w:pPr>
        <w:pStyle w:val="3-BodyText"/>
        <w:numPr>
          <w:ilvl w:val="1"/>
          <w:numId w:val="1"/>
        </w:numPr>
        <w:ind w:left="720"/>
        <w:rPr>
          <w:snapToGrid w:val="0"/>
        </w:rPr>
      </w:pPr>
      <w:r w:rsidRPr="005A5BB7">
        <w:rPr>
          <w:snapToGrid w:val="0"/>
        </w:rPr>
        <w:t xml:space="preserve">The resubmission also requested </w:t>
      </w:r>
      <w:r w:rsidRPr="005A5BB7">
        <w:t xml:space="preserve">further consideration of the PBAC’s July 2025 positive recommendation for </w:t>
      </w:r>
      <w:r w:rsidR="00637EF6" w:rsidRPr="005A5BB7">
        <w:rPr>
          <w:snapToGrid w:val="0"/>
        </w:rPr>
        <w:t>RSVPreF3 OA</w:t>
      </w:r>
      <w:r w:rsidRPr="005A5BB7">
        <w:t xml:space="preserve"> and presented </w:t>
      </w:r>
      <w:r w:rsidRPr="005A5BB7">
        <w:rPr>
          <w:snapToGrid w:val="0"/>
        </w:rPr>
        <w:t>economic analyses that used more favourable inputs than were accepted by the PBAC in December 2025 for hospitalisation rates, duration of protection and hospitalisation costs.</w:t>
      </w:r>
      <w:r w:rsidR="00DA1339">
        <w:rPr>
          <w:snapToGrid w:val="0"/>
        </w:rPr>
        <w:t xml:space="preserve"> </w:t>
      </w:r>
      <w:r w:rsidRPr="005A5BB7">
        <w:rPr>
          <w:snapToGrid w:val="0"/>
        </w:rPr>
        <w:t>The PBAC advised that the resubmission did not adequately justify these revisions and therefore did not support any change to the economic evaluation accepted by the PBAC in December 2025.</w:t>
      </w:r>
    </w:p>
    <w:p w14:paraId="5E5E3C89" w14:textId="7E1CF4C7" w:rsidR="00637EF6" w:rsidRPr="005A5BB7" w:rsidRDefault="00011ABE">
      <w:pPr>
        <w:pStyle w:val="3-BodyText"/>
        <w:numPr>
          <w:ilvl w:val="1"/>
          <w:numId w:val="1"/>
        </w:numPr>
        <w:ind w:left="720"/>
        <w:rPr>
          <w:snapToGrid w:val="0"/>
        </w:rPr>
      </w:pPr>
      <w:r w:rsidRPr="005A5BB7">
        <w:lastRenderedPageBreak/>
        <w:t xml:space="preserve">The PBAC noted and welcomed the advice from the ATAGI that was provided to assist with its consideration of this resubmission. The PBAC noted that ATAGI advice supported NIP listing </w:t>
      </w:r>
      <w:r w:rsidRPr="005A5BB7">
        <w:rPr>
          <w:rFonts w:eastAsia="Calibri"/>
        </w:rPr>
        <w:t xml:space="preserve">for people </w:t>
      </w:r>
      <w:r w:rsidRPr="005A5BB7">
        <w:rPr>
          <w:snapToGrid w:val="0"/>
        </w:rPr>
        <w:t>aged 60 to 74 years</w:t>
      </w:r>
      <w:r w:rsidRPr="005A5BB7">
        <w:rPr>
          <w:rFonts w:eastAsia="Calibri"/>
        </w:rPr>
        <w:t xml:space="preserve"> with increased risk of severe RSV disease due to pre</w:t>
      </w:r>
      <w:r w:rsidR="000E4816">
        <w:rPr>
          <w:rFonts w:eastAsia="Calibri"/>
        </w:rPr>
        <w:noBreakHyphen/>
      </w:r>
      <w:r w:rsidRPr="005A5BB7">
        <w:rPr>
          <w:rFonts w:eastAsia="Calibri"/>
        </w:rPr>
        <w:t>defined risk conditions</w:t>
      </w:r>
      <w:r w:rsidRPr="005A5BB7">
        <w:t>.</w:t>
      </w:r>
      <w:r w:rsidR="00DA1339">
        <w:t xml:space="preserve"> </w:t>
      </w:r>
      <w:r w:rsidR="00637EF6" w:rsidRPr="005A5BB7">
        <w:rPr>
          <w:iCs/>
          <w:lang w:eastAsia="en-US"/>
        </w:rPr>
        <w:t>ATAGI also advises that non</w:t>
      </w:r>
      <w:r w:rsidR="000E4816">
        <w:rPr>
          <w:iCs/>
          <w:lang w:eastAsia="en-US"/>
        </w:rPr>
        <w:noBreakHyphen/>
      </w:r>
      <w:r w:rsidR="00637EF6" w:rsidRPr="005A5BB7">
        <w:rPr>
          <w:iCs/>
          <w:lang w:eastAsia="en-US"/>
        </w:rPr>
        <w:t>Indigenous adults aged 60–74 years who do not have a medical risk factor for severe RSV disease may consider vaccination as there are benefits of vaccination in this age group, however the benefits may be less than for those aged ≥75 years, because of a comparatively lower risk of severe RSV disease.</w:t>
      </w:r>
    </w:p>
    <w:p w14:paraId="5A64B16F" w14:textId="095ACC87" w:rsidR="00011ABE" w:rsidRPr="005A5BB7" w:rsidRDefault="00011ABE" w:rsidP="00011ABE">
      <w:pPr>
        <w:pStyle w:val="3-BodyText"/>
        <w:numPr>
          <w:ilvl w:val="1"/>
          <w:numId w:val="1"/>
        </w:numPr>
        <w:ind w:left="720"/>
        <w:rPr>
          <w:snapToGrid w:val="0"/>
        </w:rPr>
      </w:pPr>
      <w:r w:rsidRPr="005A5BB7">
        <w:t>The PBAC noted the proposed listing of RSVPreF3 OA vaccine was supported by the consumer comments received for this resubmission.</w:t>
      </w:r>
      <w:r w:rsidR="00DA1339">
        <w:t xml:space="preserve"> </w:t>
      </w:r>
      <w:r w:rsidRPr="005A5BB7">
        <w:t xml:space="preserve">It was noted that 15 different organisations submitted input for PBAC consideration, advocating for RSVPreF3 OA to be made available via the NIP, especially for </w:t>
      </w:r>
      <w:r w:rsidRPr="005A5BB7">
        <w:rPr>
          <w:snapToGrid w:val="0"/>
        </w:rPr>
        <w:t>patients with underlying medical conditions which have a high</w:t>
      </w:r>
      <w:r w:rsidR="00FA5CAA">
        <w:rPr>
          <w:snapToGrid w:val="0"/>
        </w:rPr>
        <w:t>er</w:t>
      </w:r>
      <w:r w:rsidRPr="005A5BB7">
        <w:rPr>
          <w:snapToGrid w:val="0"/>
        </w:rPr>
        <w:t xml:space="preserve"> clinical need for protection from severe RSV infection.</w:t>
      </w:r>
    </w:p>
    <w:p w14:paraId="63F7C2D4" w14:textId="7EEC2F01" w:rsidR="00011ABE" w:rsidRPr="005A5BB7" w:rsidRDefault="00011ABE" w:rsidP="00011ABE">
      <w:pPr>
        <w:pStyle w:val="3-BodyText"/>
        <w:numPr>
          <w:ilvl w:val="1"/>
          <w:numId w:val="1"/>
        </w:numPr>
        <w:ind w:left="720"/>
        <w:rPr>
          <w:rFonts w:eastAsia="Times New Roman" w:cs="Arial"/>
          <w:snapToGrid w:val="0"/>
          <w:szCs w:val="24"/>
        </w:rPr>
      </w:pPr>
      <w:bookmarkStart w:id="107" w:name="_Ref225518523"/>
      <w:r w:rsidRPr="005A5BB7">
        <w:rPr>
          <w:rFonts w:eastAsia="Times New Roman" w:cs="Arial"/>
          <w:snapToGrid w:val="0"/>
          <w:szCs w:val="24"/>
        </w:rPr>
        <w:t>Regarding definition of the population for NIP listing, the resubmission requested expansion of the previous PBAC recommendation to include adults 60</w:t>
      </w:r>
      <w:r w:rsidR="000E4816">
        <w:rPr>
          <w:rFonts w:eastAsia="Times New Roman" w:cs="Arial"/>
          <w:snapToGrid w:val="0"/>
          <w:szCs w:val="24"/>
        </w:rPr>
        <w:noBreakHyphen/>
      </w:r>
      <w:r w:rsidRPr="005A5BB7">
        <w:rPr>
          <w:rFonts w:eastAsia="Times New Roman" w:cs="Arial"/>
          <w:snapToGrid w:val="0"/>
          <w:szCs w:val="24"/>
        </w:rPr>
        <w:t>74 YOA with medical conditions associated with increased risk of severe RSV disease, based on the definition of risk factors provided by the ATAGI. The AIH provides a list of example conditions indicating adults ‘at increased risk of severe RSV disease’, leaving some ambiguity about the patients that would meet eligibility requirements.</w:t>
      </w:r>
      <w:r w:rsidR="00DA1339">
        <w:rPr>
          <w:rFonts w:eastAsia="Times New Roman" w:cs="Arial"/>
          <w:snapToGrid w:val="0"/>
          <w:szCs w:val="24"/>
        </w:rPr>
        <w:t xml:space="preserve"> </w:t>
      </w:r>
      <w:r w:rsidRPr="005A5BB7">
        <w:rPr>
          <w:rFonts w:eastAsia="Times New Roman" w:cs="Arial"/>
          <w:snapToGrid w:val="0"/>
          <w:szCs w:val="24"/>
        </w:rPr>
        <w:t>The PBAC considered the proposed approach to listing based on AIH categories was reasonable, and that obesity should be retained as a criterion for NIP eligibility.</w:t>
      </w:r>
      <w:r w:rsidR="00DA1339">
        <w:rPr>
          <w:rFonts w:eastAsia="Times New Roman" w:cs="Arial"/>
          <w:snapToGrid w:val="0"/>
          <w:szCs w:val="24"/>
        </w:rPr>
        <w:t xml:space="preserve"> </w:t>
      </w:r>
      <w:r w:rsidRPr="005A5BB7">
        <w:rPr>
          <w:rFonts w:eastAsia="Times New Roman" w:cs="Arial"/>
          <w:snapToGrid w:val="0"/>
          <w:szCs w:val="24"/>
        </w:rPr>
        <w:t xml:space="preserve">The PBAC noted that ATAGI supported the threshold of BMI </w:t>
      </w:r>
      <w:r w:rsidRPr="005A5BB7">
        <w:rPr>
          <w:rFonts w:eastAsia="Times New Roman" w:cstheme="minorHAnsi"/>
          <w:snapToGrid w:val="0"/>
          <w:szCs w:val="24"/>
        </w:rPr>
        <w:t>≥</w:t>
      </w:r>
      <w:r w:rsidRPr="005A5BB7">
        <w:t>30 mg</w:t>
      </w:r>
      <w:r w:rsidRPr="005A5BB7">
        <w:rPr>
          <w:rFonts w:eastAsia="Times New Roman" w:cs="Arial"/>
          <w:snapToGrid w:val="0"/>
          <w:szCs w:val="24"/>
        </w:rPr>
        <w:t>/m</w:t>
      </w:r>
      <w:r w:rsidRPr="005A5BB7">
        <w:rPr>
          <w:rFonts w:eastAsia="Times New Roman" w:cs="Arial"/>
          <w:snapToGrid w:val="0"/>
          <w:szCs w:val="24"/>
          <w:vertAlign w:val="superscript"/>
        </w:rPr>
        <w:t>2</w:t>
      </w:r>
      <w:r w:rsidRPr="005A5BB7">
        <w:rPr>
          <w:rFonts w:eastAsia="Times New Roman" w:cs="Arial"/>
          <w:snapToGrid w:val="0"/>
          <w:szCs w:val="24"/>
        </w:rPr>
        <w:t xml:space="preserve"> as a risk factor for severe RSV disease in adults 60</w:t>
      </w:r>
      <w:r w:rsidR="000E4816">
        <w:rPr>
          <w:rFonts w:eastAsia="Times New Roman" w:cs="Arial"/>
          <w:snapToGrid w:val="0"/>
          <w:szCs w:val="24"/>
        </w:rPr>
        <w:noBreakHyphen/>
      </w:r>
      <w:r w:rsidRPr="005A5BB7">
        <w:rPr>
          <w:rFonts w:eastAsia="Times New Roman" w:cs="Arial"/>
          <w:snapToGrid w:val="0"/>
          <w:szCs w:val="24"/>
        </w:rPr>
        <w:t xml:space="preserve">74 years, and clinical evidence supporting efficacy of RSVPreF3 OA for individuals with </w:t>
      </w:r>
      <w:r w:rsidRPr="005A5BB7">
        <w:rPr>
          <w:iCs/>
        </w:rPr>
        <w:t xml:space="preserve">obesity was provided in the PSCR (paragraph </w:t>
      </w:r>
      <w:r w:rsidRPr="005A5BB7">
        <w:rPr>
          <w:iCs/>
        </w:rPr>
        <w:fldChar w:fldCharType="begin"/>
      </w:r>
      <w:r w:rsidRPr="005A5BB7">
        <w:rPr>
          <w:iCs/>
        </w:rPr>
        <w:instrText xml:space="preserve"> REF _Ref224729541 \r \h </w:instrText>
      </w:r>
      <w:r w:rsidRPr="005A5BB7">
        <w:rPr>
          <w:iCs/>
        </w:rPr>
      </w:r>
      <w:r w:rsidRPr="005A5BB7">
        <w:rPr>
          <w:iCs/>
        </w:rPr>
        <w:fldChar w:fldCharType="separate"/>
      </w:r>
      <w:r w:rsidR="00511F2D">
        <w:rPr>
          <w:iCs/>
        </w:rPr>
        <w:t>6.11</w:t>
      </w:r>
      <w:r w:rsidRPr="005A5BB7">
        <w:rPr>
          <w:iCs/>
        </w:rPr>
        <w:fldChar w:fldCharType="end"/>
      </w:r>
      <w:r w:rsidRPr="005A5BB7">
        <w:rPr>
          <w:iCs/>
        </w:rPr>
        <w:t>)</w:t>
      </w:r>
      <w:r w:rsidRPr="005A5BB7">
        <w:rPr>
          <w:rFonts w:eastAsia="Times New Roman" w:cs="Arial"/>
          <w:snapToGrid w:val="0"/>
          <w:szCs w:val="24"/>
        </w:rPr>
        <w:t>.</w:t>
      </w:r>
      <w:r w:rsidR="00DA1339">
        <w:rPr>
          <w:rFonts w:eastAsia="Times New Roman" w:cs="Arial"/>
          <w:snapToGrid w:val="0"/>
          <w:szCs w:val="24"/>
        </w:rPr>
        <w:t xml:space="preserve"> </w:t>
      </w:r>
      <w:r w:rsidRPr="005A5BB7">
        <w:rPr>
          <w:rFonts w:eastAsia="Times New Roman" w:cs="Arial"/>
          <w:snapToGrid w:val="0"/>
          <w:szCs w:val="24"/>
        </w:rPr>
        <w:t>However, as mentioned above, the PBAC’s preferred listing scenario would not be limited to specific medical conditions.</w:t>
      </w:r>
      <w:r w:rsidR="00DA1339">
        <w:rPr>
          <w:rFonts w:eastAsia="Times New Roman" w:cs="Arial"/>
          <w:snapToGrid w:val="0"/>
          <w:szCs w:val="24"/>
        </w:rPr>
        <w:t xml:space="preserve"> </w:t>
      </w:r>
      <w:r w:rsidRPr="005A5BB7">
        <w:rPr>
          <w:iCs/>
        </w:rPr>
        <w:t>The PBAC noted the suggestion in the pre</w:t>
      </w:r>
      <w:r w:rsidR="000E4816">
        <w:rPr>
          <w:iCs/>
        </w:rPr>
        <w:noBreakHyphen/>
      </w:r>
      <w:r w:rsidRPr="005A5BB7">
        <w:rPr>
          <w:iCs/>
        </w:rPr>
        <w:t>PBAC response to limit eligibility to those aged at least 65 years</w:t>
      </w:r>
      <w:r w:rsidRPr="005A5BB7">
        <w:rPr>
          <w:rFonts w:ascii="Segoe UI" w:hAnsi="Segoe UI" w:cs="Segoe UI"/>
          <w:kern w:val="2"/>
          <w:sz w:val="18"/>
          <w:szCs w:val="18"/>
          <w:lang w:eastAsia="en-US"/>
          <w14:ligatures w14:val="standardContextual"/>
        </w:rPr>
        <w:t xml:space="preserve"> </w:t>
      </w:r>
      <w:r w:rsidRPr="005A5BB7">
        <w:rPr>
          <w:iCs/>
        </w:rPr>
        <w:t>at increased risk of severe RSV disease, however the PBAC considered that there was not a strong clinical rationale to increase the age threshold to 65 years.</w:t>
      </w:r>
      <w:r w:rsidR="00DA1339">
        <w:rPr>
          <w:iCs/>
        </w:rPr>
        <w:t xml:space="preserve"> </w:t>
      </w:r>
      <w:r w:rsidRPr="005A5BB7">
        <w:rPr>
          <w:iCs/>
        </w:rPr>
        <w:t>Likewise, the PBAC considered that obesity should not be removed from the eligibility criteria.</w:t>
      </w:r>
      <w:bookmarkEnd w:id="107"/>
    </w:p>
    <w:p w14:paraId="46CCB8CC" w14:textId="483F55A5" w:rsidR="00011ABE" w:rsidRPr="005A5BB7" w:rsidRDefault="00011ABE" w:rsidP="00011ABE">
      <w:pPr>
        <w:pStyle w:val="3-BodyText"/>
        <w:numPr>
          <w:ilvl w:val="1"/>
          <w:numId w:val="1"/>
        </w:numPr>
        <w:ind w:left="720"/>
        <w:rPr>
          <w:snapToGrid w:val="0"/>
        </w:rPr>
      </w:pPr>
      <w:r w:rsidRPr="005A5BB7">
        <w:rPr>
          <w:snapToGrid w:val="0"/>
        </w:rPr>
        <w:t xml:space="preserve">The PBAC </w:t>
      </w:r>
      <w:r w:rsidRPr="005A5BB7">
        <w:rPr>
          <w:iCs/>
        </w:rPr>
        <w:t>advised that ‘no vaccine’ is the appropriate comparator for the population of adults 60</w:t>
      </w:r>
      <w:r w:rsidR="000E4816">
        <w:rPr>
          <w:iCs/>
        </w:rPr>
        <w:noBreakHyphen/>
      </w:r>
      <w:r w:rsidRPr="005A5BB7">
        <w:rPr>
          <w:iCs/>
        </w:rPr>
        <w:t>74 YOA, including for the proposed population with medical conditions associated with increased risk of severe RSV disease.</w:t>
      </w:r>
    </w:p>
    <w:p w14:paraId="36DA5329" w14:textId="4A40CDEC" w:rsidR="00011ABE" w:rsidRPr="005A5BB7" w:rsidRDefault="00011ABE" w:rsidP="00011ABE">
      <w:pPr>
        <w:pStyle w:val="3-BodyText"/>
        <w:numPr>
          <w:ilvl w:val="1"/>
          <w:numId w:val="1"/>
        </w:numPr>
        <w:ind w:left="720"/>
        <w:rPr>
          <w:rFonts w:cstheme="minorHAnsi"/>
        </w:rPr>
      </w:pPr>
      <w:r w:rsidRPr="005A5BB7">
        <w:rPr>
          <w:snapToGrid w:val="0"/>
        </w:rPr>
        <w:t>Consistent with previous advice, the PBAC considered that the claim of superior comparative effectiveness was reasonable for the comparison with no vaccination, based on the randomised placebo</w:t>
      </w:r>
      <w:r w:rsidR="000E4816">
        <w:rPr>
          <w:snapToGrid w:val="0"/>
        </w:rPr>
        <w:noBreakHyphen/>
      </w:r>
      <w:r w:rsidRPr="005A5BB7">
        <w:rPr>
          <w:snapToGrid w:val="0"/>
        </w:rPr>
        <w:t xml:space="preserve">controlled </w:t>
      </w:r>
      <w:r w:rsidRPr="005A5BB7">
        <w:t>trial AreSVi</w:t>
      </w:r>
      <w:r w:rsidR="000E4816">
        <w:noBreakHyphen/>
      </w:r>
      <w:r w:rsidRPr="005A5BB7">
        <w:t xml:space="preserve">006, albeit with uncertainty regarding the duration of benefit given that VE waned over time </w:t>
      </w:r>
      <w:r w:rsidRPr="005A5BB7">
        <w:rPr>
          <w:iCs/>
        </w:rPr>
        <w:t xml:space="preserve">(paragraph 7.10, </w:t>
      </w:r>
      <w:r w:rsidRPr="005A5BB7">
        <w:rPr>
          <w:rFonts w:cstheme="minorHAnsi"/>
        </w:rPr>
        <w:t>RSVPreF3 OA PSD, July 2025)</w:t>
      </w:r>
      <w:r w:rsidRPr="005A5BB7">
        <w:rPr>
          <w:snapToGrid w:val="0"/>
        </w:rPr>
        <w:t>.</w:t>
      </w:r>
      <w:r w:rsidR="00DA1339">
        <w:rPr>
          <w:snapToGrid w:val="0"/>
        </w:rPr>
        <w:t xml:space="preserve"> </w:t>
      </w:r>
      <w:r w:rsidRPr="005A5BB7">
        <w:rPr>
          <w:rFonts w:cstheme="minorHAnsi"/>
        </w:rPr>
        <w:t xml:space="preserve">The PBAC noted that the resubmission presented data from the </w:t>
      </w:r>
      <w:r w:rsidRPr="005A5BB7">
        <w:t>AReSVi</w:t>
      </w:r>
      <w:r w:rsidR="000E4816">
        <w:noBreakHyphen/>
      </w:r>
      <w:r w:rsidRPr="005A5BB7">
        <w:t xml:space="preserve">006 </w:t>
      </w:r>
      <w:r w:rsidRPr="005A5BB7">
        <w:rPr>
          <w:rFonts w:cstheme="minorHAnsi"/>
        </w:rPr>
        <w:t>trial corresponding to median follow</w:t>
      </w:r>
      <w:r w:rsidR="000E4816">
        <w:rPr>
          <w:rFonts w:cstheme="minorHAnsi"/>
        </w:rPr>
        <w:noBreakHyphen/>
      </w:r>
      <w:r w:rsidRPr="005A5BB7">
        <w:rPr>
          <w:rFonts w:cstheme="minorHAnsi"/>
        </w:rPr>
        <w:t xml:space="preserve">up of 30.6 months. </w:t>
      </w:r>
      <w:r w:rsidRPr="005A5BB7">
        <w:rPr>
          <w:snapToGrid w:val="0"/>
        </w:rPr>
        <w:t>The PBAC was satisfied that RSVPreF3 OA provides, for some patients, a significant improvement in efficacy over no vaccine based on the results of AReSVi</w:t>
      </w:r>
      <w:r w:rsidR="000E4816">
        <w:rPr>
          <w:snapToGrid w:val="0"/>
        </w:rPr>
        <w:noBreakHyphen/>
      </w:r>
      <w:r w:rsidRPr="005A5BB7">
        <w:rPr>
          <w:snapToGrid w:val="0"/>
        </w:rPr>
        <w:t>006.</w:t>
      </w:r>
    </w:p>
    <w:p w14:paraId="70B518B2" w14:textId="37D7AC1E" w:rsidR="00011ABE" w:rsidRPr="005A5BB7" w:rsidRDefault="00011ABE" w:rsidP="00011ABE">
      <w:pPr>
        <w:pStyle w:val="3-BodyText"/>
        <w:numPr>
          <w:ilvl w:val="1"/>
          <w:numId w:val="1"/>
        </w:numPr>
        <w:ind w:left="720"/>
        <w:rPr>
          <w:rFonts w:eastAsia="Times New Roman" w:cs="Arial"/>
          <w:snapToGrid w:val="0"/>
          <w:szCs w:val="24"/>
        </w:rPr>
      </w:pPr>
      <w:r w:rsidRPr="005A5BB7">
        <w:rPr>
          <w:rFonts w:eastAsia="Times New Roman" w:cs="Arial"/>
          <w:snapToGrid w:val="0"/>
          <w:szCs w:val="24"/>
        </w:rPr>
        <w:lastRenderedPageBreak/>
        <w:t xml:space="preserve">The extent to which the results from the trial population, with comorbidities of interest, can be generalised to the proposed population at </w:t>
      </w:r>
      <w:r w:rsidRPr="005A5BB7">
        <w:rPr>
          <w:iCs/>
        </w:rPr>
        <w:t>increased risk of severe RSV disease</w:t>
      </w:r>
      <w:r w:rsidRPr="005A5BB7">
        <w:rPr>
          <w:rFonts w:eastAsia="Times New Roman" w:cs="Arial"/>
          <w:snapToGrid w:val="0"/>
          <w:szCs w:val="24"/>
        </w:rPr>
        <w:t xml:space="preserve"> remains uncertain, especially for patients with immunocompromise given that adults with immunocompromising medical conditions, or who were receiving immunosuppressant or immunomodulatory medications, were excluded from AReSVi</w:t>
      </w:r>
      <w:r w:rsidR="000E4816">
        <w:rPr>
          <w:rFonts w:eastAsia="Times New Roman" w:cs="Arial"/>
          <w:snapToGrid w:val="0"/>
          <w:szCs w:val="24"/>
        </w:rPr>
        <w:noBreakHyphen/>
      </w:r>
      <w:r w:rsidRPr="005A5BB7">
        <w:rPr>
          <w:rFonts w:eastAsia="Times New Roman" w:cs="Arial"/>
          <w:snapToGrid w:val="0"/>
          <w:szCs w:val="24"/>
        </w:rPr>
        <w:t>006.</w:t>
      </w:r>
      <w:r w:rsidR="00DA1339">
        <w:rPr>
          <w:rFonts w:eastAsia="Times New Roman" w:cs="Arial"/>
          <w:snapToGrid w:val="0"/>
          <w:szCs w:val="24"/>
        </w:rPr>
        <w:t xml:space="preserve"> </w:t>
      </w:r>
      <w:r w:rsidRPr="005A5BB7">
        <w:rPr>
          <w:rFonts w:eastAsia="Times New Roman" w:cs="Arial"/>
          <w:snapToGrid w:val="0"/>
          <w:szCs w:val="24"/>
        </w:rPr>
        <w:t>The results of study RSV OA=ADJ</w:t>
      </w:r>
      <w:r w:rsidR="000E4816">
        <w:rPr>
          <w:rFonts w:eastAsia="Times New Roman" w:cs="Arial"/>
          <w:snapToGrid w:val="0"/>
          <w:szCs w:val="24"/>
        </w:rPr>
        <w:noBreakHyphen/>
      </w:r>
      <w:r w:rsidRPr="005A5BB7">
        <w:rPr>
          <w:rFonts w:eastAsia="Times New Roman" w:cs="Arial"/>
          <w:snapToGrid w:val="0"/>
          <w:szCs w:val="24"/>
        </w:rPr>
        <w:t>023 showed that RSV</w:t>
      </w:r>
      <w:r w:rsidR="000E4816">
        <w:rPr>
          <w:rFonts w:eastAsia="Times New Roman" w:cs="Arial"/>
          <w:snapToGrid w:val="0"/>
          <w:szCs w:val="24"/>
        </w:rPr>
        <w:noBreakHyphen/>
      </w:r>
      <w:r w:rsidRPr="005A5BB7">
        <w:rPr>
          <w:rFonts w:eastAsia="Times New Roman" w:cs="Arial"/>
          <w:snapToGrid w:val="0"/>
          <w:szCs w:val="24"/>
        </w:rPr>
        <w:t>A and RSV</w:t>
      </w:r>
      <w:r w:rsidR="000E4816">
        <w:rPr>
          <w:rFonts w:eastAsia="Times New Roman" w:cs="Arial"/>
          <w:snapToGrid w:val="0"/>
          <w:szCs w:val="24"/>
        </w:rPr>
        <w:noBreakHyphen/>
      </w:r>
      <w:r w:rsidRPr="005A5BB7">
        <w:rPr>
          <w:rFonts w:eastAsia="Times New Roman" w:cs="Arial"/>
          <w:snapToGrid w:val="0"/>
          <w:szCs w:val="24"/>
        </w:rPr>
        <w:t xml:space="preserve">B neutralising titres in the immunocompromised </w:t>
      </w:r>
      <w:r w:rsidR="0057582A" w:rsidRPr="005A5BB7">
        <w:rPr>
          <w:rFonts w:eastAsia="Times New Roman" w:cs="Arial"/>
          <w:snapToGrid w:val="0"/>
          <w:szCs w:val="24"/>
        </w:rPr>
        <w:t>population</w:t>
      </w:r>
      <w:r w:rsidRPr="005A5BB7">
        <w:rPr>
          <w:rFonts w:eastAsia="Times New Roman" w:cs="Arial"/>
          <w:snapToGrid w:val="0"/>
          <w:szCs w:val="24"/>
        </w:rPr>
        <w:t xml:space="preserve"> didn’t reach the same level observed in the healthy adult comparator </w:t>
      </w:r>
      <w:r w:rsidR="0057582A" w:rsidRPr="005A5BB7">
        <w:rPr>
          <w:rFonts w:eastAsia="Times New Roman" w:cs="Arial"/>
          <w:snapToGrid w:val="0"/>
          <w:szCs w:val="24"/>
        </w:rPr>
        <w:t>population</w:t>
      </w:r>
      <w:r w:rsidRPr="005A5BB7">
        <w:rPr>
          <w:rFonts w:eastAsia="Times New Roman" w:cs="Arial"/>
          <w:snapToGrid w:val="0"/>
          <w:szCs w:val="24"/>
        </w:rPr>
        <w:t>.</w:t>
      </w:r>
      <w:r w:rsidR="00DA1339">
        <w:rPr>
          <w:rFonts w:eastAsia="Times New Roman" w:cs="Arial"/>
          <w:snapToGrid w:val="0"/>
          <w:szCs w:val="24"/>
        </w:rPr>
        <w:t xml:space="preserve"> </w:t>
      </w:r>
      <w:r w:rsidRPr="005A5BB7">
        <w:rPr>
          <w:rFonts w:eastAsia="Times New Roman" w:cs="Arial"/>
          <w:snapToGrid w:val="0"/>
          <w:szCs w:val="24"/>
        </w:rPr>
        <w:t xml:space="preserve">However, the PBAC advised that the data did not justify exclusion of these patients from NIP access, in the context of the clinical need in this population. </w:t>
      </w:r>
    </w:p>
    <w:p w14:paraId="338CF94B" w14:textId="7430A526" w:rsidR="00CE3485" w:rsidRPr="005A5BB7" w:rsidRDefault="00011ABE">
      <w:pPr>
        <w:pStyle w:val="3-BodyText"/>
        <w:numPr>
          <w:ilvl w:val="1"/>
          <w:numId w:val="1"/>
        </w:numPr>
        <w:ind w:left="720"/>
        <w:rPr>
          <w:rFonts w:eastAsia="Times New Roman" w:cs="Arial"/>
          <w:snapToGrid w:val="0"/>
          <w:szCs w:val="24"/>
        </w:rPr>
      </w:pPr>
      <w:r w:rsidRPr="005A5BB7">
        <w:rPr>
          <w:rFonts w:eastAsia="Times New Roman" w:cs="Arial"/>
          <w:snapToGrid w:val="0"/>
          <w:szCs w:val="24"/>
        </w:rPr>
        <w:t>The resubmission presented subgroup analyses of AReSVi</w:t>
      </w:r>
      <w:r w:rsidR="000E4816">
        <w:rPr>
          <w:rFonts w:eastAsia="Times New Roman" w:cs="Arial"/>
          <w:snapToGrid w:val="0"/>
          <w:szCs w:val="24"/>
        </w:rPr>
        <w:noBreakHyphen/>
      </w:r>
      <w:r w:rsidRPr="005A5BB7">
        <w:rPr>
          <w:rFonts w:eastAsia="Times New Roman" w:cs="Arial"/>
          <w:snapToGrid w:val="0"/>
          <w:szCs w:val="24"/>
        </w:rPr>
        <w:t>006 for participants with comorbidities, including two broad categories namely ‘cardiopulmonary’ and ‘endocrinometabolic’. Additionally, the PSCR presented data for participants with obesity.</w:t>
      </w:r>
      <w:r w:rsidR="00DA1339">
        <w:rPr>
          <w:rFonts w:eastAsia="Times New Roman" w:cs="Arial"/>
          <w:snapToGrid w:val="0"/>
          <w:szCs w:val="24"/>
        </w:rPr>
        <w:t xml:space="preserve"> </w:t>
      </w:r>
      <w:r w:rsidRPr="005A5BB7">
        <w:rPr>
          <w:rFonts w:eastAsia="Times New Roman" w:cs="Arial"/>
          <w:snapToGrid w:val="0"/>
          <w:szCs w:val="24"/>
        </w:rPr>
        <w:t>The resubmission also presented subgroup analyses for individuals with ≥1 or ≥2 comorbidities of interest.</w:t>
      </w:r>
      <w:r w:rsidR="00DA1339">
        <w:rPr>
          <w:rFonts w:eastAsia="Times New Roman" w:cs="Arial"/>
          <w:snapToGrid w:val="0"/>
          <w:szCs w:val="24"/>
        </w:rPr>
        <w:t xml:space="preserve"> </w:t>
      </w:r>
      <w:r w:rsidRPr="005A5BB7">
        <w:rPr>
          <w:rFonts w:eastAsia="Times New Roman" w:cs="Arial"/>
          <w:snapToGrid w:val="0"/>
          <w:szCs w:val="24"/>
        </w:rPr>
        <w:t>The PBAC considered that the subgroup analyses indicated VE that was broadly consistent with that for the overall trial population.</w:t>
      </w:r>
      <w:r w:rsidR="00DA1339">
        <w:rPr>
          <w:rFonts w:eastAsia="Times New Roman" w:cs="Arial"/>
          <w:snapToGrid w:val="0"/>
          <w:szCs w:val="24"/>
        </w:rPr>
        <w:t xml:space="preserve"> </w:t>
      </w:r>
      <w:r w:rsidRPr="005A5BB7">
        <w:rPr>
          <w:rFonts w:eastAsia="Times New Roman" w:cs="Arial"/>
          <w:snapToGrid w:val="0"/>
          <w:szCs w:val="24"/>
        </w:rPr>
        <w:t xml:space="preserve">The PBAC noted </w:t>
      </w:r>
      <w:r w:rsidR="00CE3485" w:rsidRPr="005A5BB7">
        <w:rPr>
          <w:rFonts w:eastAsia="Times New Roman" w:cs="Arial"/>
          <w:snapToGrid w:val="0"/>
          <w:szCs w:val="24"/>
        </w:rPr>
        <w:t>that the subgroup analyses of AReSVi</w:t>
      </w:r>
      <w:r w:rsidR="000E4816">
        <w:rPr>
          <w:rFonts w:eastAsia="Times New Roman" w:cs="Arial"/>
          <w:snapToGrid w:val="0"/>
          <w:szCs w:val="24"/>
        </w:rPr>
        <w:noBreakHyphen/>
      </w:r>
      <w:r w:rsidR="00CE3485" w:rsidRPr="005A5BB7">
        <w:rPr>
          <w:rFonts w:eastAsia="Times New Roman" w:cs="Arial"/>
          <w:snapToGrid w:val="0"/>
          <w:szCs w:val="24"/>
        </w:rPr>
        <w:t>006 revealed heterogeneity in the incidence of RSV</w:t>
      </w:r>
      <w:r w:rsidR="000E4816">
        <w:rPr>
          <w:rFonts w:eastAsia="Times New Roman" w:cs="Arial"/>
          <w:snapToGrid w:val="0"/>
          <w:szCs w:val="24"/>
        </w:rPr>
        <w:noBreakHyphen/>
      </w:r>
      <w:r w:rsidR="00CE3485" w:rsidRPr="005A5BB7">
        <w:rPr>
          <w:rFonts w:eastAsia="Times New Roman" w:cs="Arial"/>
          <w:snapToGrid w:val="0"/>
          <w:szCs w:val="24"/>
        </w:rPr>
        <w:t>LRTD for the various subgroups. For example, based on the end of study analysis (with median follow</w:t>
      </w:r>
      <w:r w:rsidR="000E4816">
        <w:rPr>
          <w:rFonts w:eastAsia="Times New Roman" w:cs="Arial"/>
          <w:snapToGrid w:val="0"/>
          <w:szCs w:val="24"/>
        </w:rPr>
        <w:noBreakHyphen/>
      </w:r>
      <w:r w:rsidR="00CE3485" w:rsidRPr="005A5BB7">
        <w:rPr>
          <w:rFonts w:eastAsia="Times New Roman" w:cs="Arial"/>
          <w:snapToGrid w:val="0"/>
          <w:szCs w:val="24"/>
        </w:rPr>
        <w:t>up of 30.6 months) the incidence of RSV</w:t>
      </w:r>
      <w:r w:rsidR="000E4816">
        <w:rPr>
          <w:rFonts w:eastAsia="Times New Roman" w:cs="Arial"/>
          <w:snapToGrid w:val="0"/>
          <w:szCs w:val="24"/>
        </w:rPr>
        <w:noBreakHyphen/>
      </w:r>
      <w:r w:rsidR="00CE3485" w:rsidRPr="005A5BB7">
        <w:rPr>
          <w:rFonts w:eastAsia="Times New Roman" w:cs="Arial"/>
          <w:snapToGrid w:val="0"/>
          <w:szCs w:val="24"/>
        </w:rPr>
        <w:t>LRTD in the placebo arm was reported to be 6.0 events per 1,000 person years in participants with no pre</w:t>
      </w:r>
      <w:r w:rsidR="000E4816">
        <w:rPr>
          <w:rFonts w:eastAsia="Times New Roman" w:cs="Arial"/>
          <w:snapToGrid w:val="0"/>
          <w:szCs w:val="24"/>
        </w:rPr>
        <w:noBreakHyphen/>
      </w:r>
      <w:r w:rsidR="00CE3485" w:rsidRPr="005A5BB7">
        <w:rPr>
          <w:rFonts w:eastAsia="Times New Roman" w:cs="Arial"/>
          <w:snapToGrid w:val="0"/>
          <w:szCs w:val="24"/>
        </w:rPr>
        <w:t xml:space="preserve">existing comorbidities of interest compared with 10.8 events per 1,000 person years in participants with </w:t>
      </w:r>
      <w:r w:rsidR="00CE3485" w:rsidRPr="005A5BB7">
        <w:rPr>
          <w:rFonts w:eastAsia="Times New Roman" w:cstheme="minorHAnsi"/>
          <w:snapToGrid w:val="0"/>
          <w:szCs w:val="24"/>
        </w:rPr>
        <w:t>≥</w:t>
      </w:r>
      <w:r w:rsidR="00CE3485" w:rsidRPr="005A5BB7">
        <w:rPr>
          <w:rFonts w:eastAsia="Times New Roman" w:cs="Arial"/>
          <w:snapToGrid w:val="0"/>
          <w:szCs w:val="24"/>
        </w:rPr>
        <w:t xml:space="preserve"> 1 pre</w:t>
      </w:r>
      <w:r w:rsidR="000E4816">
        <w:rPr>
          <w:rFonts w:eastAsia="Times New Roman" w:cs="Arial"/>
          <w:snapToGrid w:val="0"/>
          <w:szCs w:val="24"/>
        </w:rPr>
        <w:noBreakHyphen/>
      </w:r>
      <w:r w:rsidR="00CE3485" w:rsidRPr="005A5BB7">
        <w:rPr>
          <w:rFonts w:eastAsia="Times New Roman" w:cs="Arial"/>
          <w:snapToGrid w:val="0"/>
          <w:szCs w:val="24"/>
        </w:rPr>
        <w:t>existing comorbidity of interest.</w:t>
      </w:r>
      <w:r w:rsidR="00DA1339">
        <w:rPr>
          <w:rFonts w:eastAsia="Times New Roman" w:cs="Arial"/>
          <w:snapToGrid w:val="0"/>
          <w:szCs w:val="24"/>
        </w:rPr>
        <w:t xml:space="preserve"> </w:t>
      </w:r>
      <w:proofErr w:type="gramStart"/>
      <w:r w:rsidR="00CE3485" w:rsidRPr="005A5BB7">
        <w:rPr>
          <w:rFonts w:eastAsia="Times New Roman" w:cs="Arial"/>
          <w:snapToGrid w:val="0"/>
          <w:szCs w:val="24"/>
        </w:rPr>
        <w:t>However</w:t>
      </w:r>
      <w:proofErr w:type="gramEnd"/>
      <w:r w:rsidR="00CE3485" w:rsidRPr="005A5BB7">
        <w:rPr>
          <w:rFonts w:eastAsia="Times New Roman" w:cs="Arial"/>
          <w:snapToGrid w:val="0"/>
          <w:szCs w:val="24"/>
        </w:rPr>
        <w:t xml:space="preserve"> the incidence of RSV</w:t>
      </w:r>
      <w:r w:rsidR="000E4816">
        <w:rPr>
          <w:rFonts w:eastAsia="Times New Roman" w:cs="Arial"/>
          <w:snapToGrid w:val="0"/>
          <w:szCs w:val="24"/>
        </w:rPr>
        <w:noBreakHyphen/>
      </w:r>
      <w:r w:rsidR="00CE3485" w:rsidRPr="005A5BB7">
        <w:rPr>
          <w:rFonts w:eastAsia="Times New Roman" w:cs="Arial"/>
          <w:snapToGrid w:val="0"/>
          <w:szCs w:val="24"/>
        </w:rPr>
        <w:t>LRTD varied for different comorbidities, noting a higher rate of 15.8 per 1000 person years was reported for participants with ≥1 cardiorespiratory condition, and a lower rate of 7.7 per 1,000 person years was reported for participants with ≥1 pre</w:t>
      </w:r>
      <w:r w:rsidR="000E4816">
        <w:rPr>
          <w:rFonts w:eastAsia="Times New Roman" w:cs="Arial"/>
          <w:snapToGrid w:val="0"/>
          <w:szCs w:val="24"/>
        </w:rPr>
        <w:noBreakHyphen/>
      </w:r>
      <w:r w:rsidR="00CE3485" w:rsidRPr="005A5BB7">
        <w:rPr>
          <w:rFonts w:eastAsia="Times New Roman" w:cs="Arial"/>
          <w:snapToGrid w:val="0"/>
          <w:szCs w:val="24"/>
        </w:rPr>
        <w:t xml:space="preserve">existing endocrinometabolic condition. The PBAC noted that the </w:t>
      </w:r>
      <w:r w:rsidR="000472E0" w:rsidRPr="005A5BB7">
        <w:rPr>
          <w:rFonts w:eastAsia="Times New Roman" w:cs="Arial"/>
          <w:snapToGrid w:val="0"/>
          <w:szCs w:val="24"/>
        </w:rPr>
        <w:t>re</w:t>
      </w:r>
      <w:r w:rsidR="00CE3485" w:rsidRPr="005A5BB7">
        <w:rPr>
          <w:rFonts w:eastAsia="Times New Roman" w:cs="Arial"/>
          <w:snapToGrid w:val="0"/>
          <w:szCs w:val="24"/>
        </w:rPr>
        <w:t xml:space="preserve">submission reported a wide range of estimates sourced from the </w:t>
      </w:r>
      <w:r w:rsidR="000472E0" w:rsidRPr="005A5BB7">
        <w:rPr>
          <w:rFonts w:eastAsia="Times New Roman" w:cs="Arial"/>
          <w:snapToGrid w:val="0"/>
          <w:szCs w:val="24"/>
        </w:rPr>
        <w:t>literature, and this varied both within and across risk categories</w:t>
      </w:r>
      <w:r w:rsidR="00271AA7" w:rsidRPr="005A5BB7">
        <w:rPr>
          <w:rFonts w:eastAsia="Times New Roman" w:cs="Arial"/>
          <w:snapToGrid w:val="0"/>
          <w:szCs w:val="24"/>
        </w:rPr>
        <w:t xml:space="preserve"> (</w:t>
      </w:r>
      <w:r w:rsidR="00271AA7" w:rsidRPr="005A5BB7">
        <w:rPr>
          <w:i/>
          <w:iCs/>
        </w:rPr>
        <w:fldChar w:fldCharType="begin"/>
      </w:r>
      <w:r w:rsidR="00271AA7" w:rsidRPr="005A5BB7">
        <w:rPr>
          <w:i/>
          <w:iCs/>
        </w:rPr>
        <w:instrText xml:space="preserve"> REF _Ref219307823 \h </w:instrText>
      </w:r>
      <w:r w:rsidR="00271AA7" w:rsidRPr="005A5BB7">
        <w:rPr>
          <w:i/>
          <w:iCs/>
        </w:rPr>
      </w:r>
      <w:r w:rsidR="00271AA7" w:rsidRPr="005A5BB7">
        <w:rPr>
          <w:i/>
          <w:iCs/>
        </w:rPr>
        <w:fldChar w:fldCharType="separate"/>
      </w:r>
      <w:r w:rsidR="0043658C" w:rsidRPr="005A5BB7">
        <w:t xml:space="preserve">Table </w:t>
      </w:r>
      <w:r w:rsidR="0043658C">
        <w:rPr>
          <w:noProof/>
        </w:rPr>
        <w:t>21</w:t>
      </w:r>
      <w:r w:rsidR="00271AA7" w:rsidRPr="005A5BB7">
        <w:rPr>
          <w:i/>
          <w:iCs/>
        </w:rPr>
        <w:fldChar w:fldCharType="end"/>
      </w:r>
      <w:r w:rsidR="00271AA7" w:rsidRPr="005A5BB7">
        <w:rPr>
          <w:iCs/>
        </w:rPr>
        <w:t>)</w:t>
      </w:r>
      <w:r w:rsidR="000472E0" w:rsidRPr="005A5BB7">
        <w:rPr>
          <w:rFonts w:eastAsia="Times New Roman" w:cs="Arial"/>
          <w:snapToGrid w:val="0"/>
          <w:szCs w:val="24"/>
        </w:rPr>
        <w:t>.</w:t>
      </w:r>
      <w:r w:rsidR="00DA1339">
        <w:rPr>
          <w:rFonts w:eastAsia="Times New Roman" w:cs="Arial"/>
          <w:snapToGrid w:val="0"/>
          <w:szCs w:val="24"/>
        </w:rPr>
        <w:t xml:space="preserve"> </w:t>
      </w:r>
      <w:r w:rsidR="000472E0" w:rsidRPr="005A5BB7">
        <w:rPr>
          <w:rFonts w:eastAsia="Times New Roman" w:cs="Arial"/>
          <w:snapToGrid w:val="0"/>
          <w:szCs w:val="24"/>
        </w:rPr>
        <w:t xml:space="preserve">For example, the </w:t>
      </w:r>
      <w:r w:rsidR="00271AA7" w:rsidRPr="005A5BB7">
        <w:rPr>
          <w:rFonts w:eastAsia="Times New Roman" w:cs="Arial"/>
          <w:snapToGrid w:val="0"/>
          <w:szCs w:val="24"/>
        </w:rPr>
        <w:t xml:space="preserve">EHM ranges derived from studies assessing </w:t>
      </w:r>
      <w:r w:rsidR="000472E0" w:rsidRPr="005A5BB7">
        <w:rPr>
          <w:rFonts w:eastAsia="Times New Roman" w:cs="Arial"/>
          <w:snapToGrid w:val="0"/>
          <w:szCs w:val="24"/>
        </w:rPr>
        <w:t xml:space="preserve">chronic respiratory conditions </w:t>
      </w:r>
      <w:r w:rsidR="00271AA7" w:rsidRPr="005A5BB7">
        <w:rPr>
          <w:rFonts w:eastAsia="Times New Roman" w:cs="Arial"/>
          <w:snapToGrid w:val="0"/>
          <w:szCs w:val="24"/>
        </w:rPr>
        <w:t xml:space="preserve">or cardiac disease </w:t>
      </w:r>
      <w:r w:rsidR="000472E0" w:rsidRPr="005A5BB7">
        <w:rPr>
          <w:rFonts w:eastAsia="Times New Roman" w:cs="Arial"/>
          <w:snapToGrid w:val="0"/>
          <w:szCs w:val="24"/>
        </w:rPr>
        <w:t>w</w:t>
      </w:r>
      <w:r w:rsidR="00271AA7" w:rsidRPr="005A5BB7">
        <w:rPr>
          <w:rFonts w:eastAsia="Times New Roman" w:cs="Arial"/>
          <w:snapToGrid w:val="0"/>
          <w:szCs w:val="24"/>
        </w:rPr>
        <w:t>ere</w:t>
      </w:r>
      <w:r w:rsidR="000472E0" w:rsidRPr="005A5BB7">
        <w:rPr>
          <w:rFonts w:eastAsia="Times New Roman" w:cs="Arial"/>
          <w:snapToGrid w:val="0"/>
          <w:szCs w:val="24"/>
        </w:rPr>
        <w:t xml:space="preserve"> 1.63</w:t>
      </w:r>
      <w:r w:rsidR="000E4816">
        <w:rPr>
          <w:rFonts w:eastAsia="Times New Roman" w:cs="Arial"/>
          <w:snapToGrid w:val="0"/>
          <w:szCs w:val="24"/>
        </w:rPr>
        <w:noBreakHyphen/>
      </w:r>
      <w:r w:rsidR="000472E0" w:rsidRPr="005A5BB7">
        <w:rPr>
          <w:rFonts w:eastAsia="Times New Roman" w:cs="Arial"/>
          <w:snapToGrid w:val="0"/>
          <w:szCs w:val="24"/>
        </w:rPr>
        <w:t>7.80</w:t>
      </w:r>
      <w:r w:rsidR="000472E0" w:rsidRPr="005A5BB7">
        <w:rPr>
          <w:iCs/>
        </w:rPr>
        <w:t xml:space="preserve"> and</w:t>
      </w:r>
      <w:r w:rsidR="00271AA7" w:rsidRPr="005A5BB7">
        <w:rPr>
          <w:iCs/>
        </w:rPr>
        <w:t xml:space="preserve"> </w:t>
      </w:r>
      <w:r w:rsidR="00271AA7" w:rsidRPr="005A5BB7">
        <w:rPr>
          <w:rFonts w:eastAsia="Times New Roman" w:cs="Arial"/>
          <w:snapToGrid w:val="0"/>
          <w:szCs w:val="24"/>
        </w:rPr>
        <w:t>1.45</w:t>
      </w:r>
      <w:r w:rsidR="000E4816">
        <w:rPr>
          <w:rFonts w:eastAsia="Times New Roman" w:cs="Arial"/>
          <w:snapToGrid w:val="0"/>
          <w:szCs w:val="24"/>
        </w:rPr>
        <w:noBreakHyphen/>
      </w:r>
      <w:r w:rsidR="00271AA7" w:rsidRPr="005A5BB7">
        <w:rPr>
          <w:rFonts w:eastAsia="Times New Roman" w:cs="Arial"/>
          <w:snapToGrid w:val="0"/>
          <w:szCs w:val="24"/>
        </w:rPr>
        <w:t>9.03, respectively.</w:t>
      </w:r>
      <w:r w:rsidR="00DA1339">
        <w:rPr>
          <w:rFonts w:eastAsia="Times New Roman" w:cs="Arial"/>
          <w:snapToGrid w:val="0"/>
          <w:szCs w:val="24"/>
        </w:rPr>
        <w:t xml:space="preserve"> </w:t>
      </w:r>
      <w:r w:rsidR="00271AA7" w:rsidRPr="005A5BB7">
        <w:rPr>
          <w:iCs/>
        </w:rPr>
        <w:t>The broadest EHM range was reported for immunocompromising conditions, which spanned 2.57 to 17.3.</w:t>
      </w:r>
      <w:r w:rsidR="00DA1339">
        <w:rPr>
          <w:iCs/>
        </w:rPr>
        <w:t xml:space="preserve"> </w:t>
      </w:r>
      <w:r w:rsidR="00271AA7" w:rsidRPr="005A5BB7">
        <w:rPr>
          <w:rFonts w:eastAsia="Times New Roman" w:cs="Arial"/>
          <w:snapToGrid w:val="0"/>
          <w:szCs w:val="24"/>
        </w:rPr>
        <w:t xml:space="preserve">The reported EHM range for obesity was </w:t>
      </w:r>
      <w:r w:rsidR="00271AA7" w:rsidRPr="005A5BB7">
        <w:rPr>
          <w:iCs/>
        </w:rPr>
        <w:t>0.61</w:t>
      </w:r>
      <w:r w:rsidR="000E4816">
        <w:rPr>
          <w:iCs/>
        </w:rPr>
        <w:noBreakHyphen/>
      </w:r>
      <w:r w:rsidR="00271AA7" w:rsidRPr="005A5BB7">
        <w:rPr>
          <w:iCs/>
        </w:rPr>
        <w:t>3.23.</w:t>
      </w:r>
    </w:p>
    <w:p w14:paraId="70530081" w14:textId="42E28850" w:rsidR="00011ABE" w:rsidRPr="005A5BB7" w:rsidRDefault="00011ABE" w:rsidP="310F0368">
      <w:pPr>
        <w:pStyle w:val="3-BodyText"/>
        <w:rPr>
          <w:rFonts w:eastAsia="Times New Roman" w:cs="Arial"/>
          <w:snapToGrid w:val="0"/>
        </w:rPr>
      </w:pPr>
      <w:r w:rsidRPr="310F0368">
        <w:rPr>
          <w:rFonts w:eastAsia="Times New Roman" w:cs="Arial"/>
          <w:snapToGrid w:val="0"/>
        </w:rPr>
        <w:t xml:space="preserve">The resubmission presented updated immunogenicity results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00F15B97" w:rsidRPr="00F15B97">
        <w:rPr>
          <w:rFonts w:eastAsia="Times New Roman" w:cs="Arial"/>
          <w:snapToGrid w:val="0"/>
          <w:sz w:val="2"/>
          <w:highlight w:val="black"/>
        </w:rPr>
        <w:t>redacted content</w:t>
      </w:r>
      <w:r w:rsidR="00E75DE1" w:rsidRPr="00E75DE1">
        <w:rPr>
          <w:rFonts w:eastAsia="Times New Roman" w:cs="Arial"/>
          <w:snapToGrid w:val="0"/>
        </w:rPr>
        <w:t xml:space="preserve"> </w:t>
      </w:r>
      <w:r w:rsidRPr="002A373D">
        <w:rPr>
          <w:rFonts w:eastAsia="Times New Roman" w:cs="Arial"/>
          <w:snapToGrid w:val="0"/>
        </w:rPr>
        <w:t>that was considered by the PBAC in July 2025.</w:t>
      </w:r>
      <w:r w:rsidRPr="00162DD4">
        <w:rPr>
          <w:rFonts w:eastAsia="Times New Roman" w:cs="Arial"/>
          <w:snapToGrid w:val="0"/>
        </w:rPr>
        <w:t xml:space="preserve"> The PBAC noted ATAGI’s advice that clinical protection beyond 3 years remains uncertain due to lack of efficacy data or validated immunological</w:t>
      </w:r>
      <w:r w:rsidRPr="310F0368">
        <w:rPr>
          <w:rFonts w:eastAsia="Times New Roman" w:cs="Arial"/>
          <w:snapToGrid w:val="0"/>
        </w:rPr>
        <w:t xml:space="preserve"> correlate of protection.</w:t>
      </w:r>
    </w:p>
    <w:p w14:paraId="3B475511" w14:textId="0C01676C" w:rsidR="00011ABE" w:rsidRPr="005A5BB7" w:rsidRDefault="00011ABE" w:rsidP="310F0368">
      <w:pPr>
        <w:pStyle w:val="3-BodyText"/>
      </w:pPr>
      <w:bookmarkStart w:id="108" w:name="_Ref225509067"/>
      <w:r w:rsidRPr="310F0368">
        <w:rPr>
          <w:rFonts w:eastAsia="Times New Roman" w:cs="Arial"/>
          <w:snapToGrid w:val="0"/>
        </w:rPr>
        <w:t>The resubmission applied the estimate of VE from the overall population to the economic model.</w:t>
      </w:r>
      <w:r w:rsidR="00DA1339" w:rsidRPr="310F0368">
        <w:rPr>
          <w:rFonts w:eastAsia="Times New Roman" w:cs="Arial"/>
          <w:snapToGrid w:val="0"/>
        </w:rPr>
        <w:t xml:space="preserve"> </w:t>
      </w:r>
      <w:r w:rsidRPr="310F0368">
        <w:rPr>
          <w:rFonts w:eastAsia="Times New Roman" w:cs="Arial"/>
          <w:snapToGrid w:val="0"/>
        </w:rPr>
        <w:t xml:space="preserve">The PBAC considered the VE is uncertain for the population with comorbidities, however </w:t>
      </w:r>
      <w:r w:rsidRPr="005A5BB7">
        <w:t>advised that it would be reasonable to accept VE over a period of three years based on three seasons of data for AreSVi</w:t>
      </w:r>
      <w:r w:rsidR="000E4816">
        <w:noBreakHyphen/>
      </w:r>
      <w:r w:rsidRPr="005A5BB7">
        <w:t>006 in the model.</w:t>
      </w:r>
      <w:r w:rsidR="00DA1339">
        <w:t xml:space="preserve"> </w:t>
      </w:r>
      <w:r w:rsidRPr="005A5BB7">
        <w:t>T</w:t>
      </w:r>
      <w:r w:rsidRPr="005A5BB7">
        <w:rPr>
          <w:snapToGrid w:val="0"/>
        </w:rPr>
        <w:t xml:space="preserve">he PBAC considered that the </w:t>
      </w:r>
      <w:r w:rsidRPr="005A5BB7">
        <w:t>duration of benefit remained uncertain, and noted that VE against first occurrence of RSV</w:t>
      </w:r>
      <w:r w:rsidR="000E4816">
        <w:noBreakHyphen/>
      </w:r>
      <w:r w:rsidRPr="005A5BB7">
        <w:t xml:space="preserve">LRTD was 81% for Season 1, 61% for Season 2, and 47% for </w:t>
      </w:r>
      <w:r w:rsidRPr="005A5BB7">
        <w:lastRenderedPageBreak/>
        <w:t>Season 3.</w:t>
      </w:r>
      <w:r w:rsidR="006918EE">
        <w:t xml:space="preserve"> </w:t>
      </w:r>
      <w:r w:rsidR="006918EE" w:rsidRPr="006918EE">
        <w:t>For the Season 3 individual results, the PBAC noted that the lower bound of the 95% CI was below 20% for first occurrence of RSV-LRTD and severe RSV-LRTD</w:t>
      </w:r>
      <w:r w:rsidRPr="005A5BB7">
        <w:t xml:space="preserve">. </w:t>
      </w:r>
      <w:r w:rsidRPr="005A5BB7">
        <w:rPr>
          <w:snapToGrid w:val="0"/>
        </w:rPr>
        <w:t>The PBAC noted that ATAGI’s recommendations remain unchanged and that ATAGI is awaiting confirmatory efficacy or effectiveness data before being confident of protection beyond 3 years.</w:t>
      </w:r>
      <w:bookmarkEnd w:id="108"/>
    </w:p>
    <w:p w14:paraId="3A973EEC" w14:textId="7A9A16DE" w:rsidR="00011ABE" w:rsidRPr="005A5BB7" w:rsidRDefault="00011ABE" w:rsidP="00011ABE">
      <w:pPr>
        <w:pStyle w:val="3-BodyText"/>
        <w:numPr>
          <w:ilvl w:val="1"/>
          <w:numId w:val="1"/>
        </w:numPr>
        <w:ind w:left="720"/>
        <w:rPr>
          <w:rFonts w:eastAsia="Times New Roman" w:cs="Arial"/>
          <w:snapToGrid w:val="0"/>
          <w:szCs w:val="24"/>
        </w:rPr>
      </w:pPr>
      <w:proofErr w:type="gramStart"/>
      <w:r w:rsidRPr="005A5BB7">
        <w:t>In regard to</w:t>
      </w:r>
      <w:proofErr w:type="gramEnd"/>
      <w:r w:rsidRPr="005A5BB7">
        <w:t xml:space="preserve"> the economic evaluation provided in the resubmission, t</w:t>
      </w:r>
      <w:r w:rsidRPr="005A5BB7">
        <w:rPr>
          <w:snapToGrid w:val="0"/>
        </w:rPr>
        <w:t>he PBAC advised it was reasonable to model VE over a period of three years as discussed in paragraph</w:t>
      </w:r>
      <w:r w:rsidR="008B199A" w:rsidRPr="005A5BB7">
        <w:rPr>
          <w:snapToGrid w:val="0"/>
        </w:rPr>
        <w:t xml:space="preserve"> </w:t>
      </w:r>
      <w:r w:rsidR="008B199A" w:rsidRPr="005A5BB7">
        <w:rPr>
          <w:snapToGrid w:val="0"/>
        </w:rPr>
        <w:fldChar w:fldCharType="begin"/>
      </w:r>
      <w:r w:rsidR="008B199A" w:rsidRPr="005A5BB7">
        <w:rPr>
          <w:snapToGrid w:val="0"/>
        </w:rPr>
        <w:instrText xml:space="preserve"> REF _Ref225509067 \r \h </w:instrText>
      </w:r>
      <w:r w:rsidR="008B199A" w:rsidRPr="005A5BB7">
        <w:rPr>
          <w:snapToGrid w:val="0"/>
        </w:rPr>
      </w:r>
      <w:r w:rsidR="008B199A" w:rsidRPr="005A5BB7">
        <w:rPr>
          <w:snapToGrid w:val="0"/>
        </w:rPr>
        <w:fldChar w:fldCharType="separate"/>
      </w:r>
      <w:r w:rsidR="00511F2D">
        <w:rPr>
          <w:snapToGrid w:val="0"/>
        </w:rPr>
        <w:t>7.13</w:t>
      </w:r>
      <w:r w:rsidR="008B199A" w:rsidRPr="005A5BB7">
        <w:rPr>
          <w:snapToGrid w:val="0"/>
        </w:rPr>
        <w:fldChar w:fldCharType="end"/>
      </w:r>
      <w:r w:rsidRPr="005A5BB7">
        <w:rPr>
          <w:snapToGrid w:val="0"/>
        </w:rPr>
        <w:t xml:space="preserve"> rather than 4 or 5 years as had been proposed by the sponsor.</w:t>
      </w:r>
      <w:r w:rsidR="00DA1339">
        <w:rPr>
          <w:snapToGrid w:val="0"/>
        </w:rPr>
        <w:t xml:space="preserve"> </w:t>
      </w:r>
      <w:r w:rsidRPr="005A5BB7">
        <w:rPr>
          <w:snapToGrid w:val="0"/>
        </w:rPr>
        <w:t>T</w:t>
      </w:r>
      <w:r w:rsidRPr="005A5BB7">
        <w:t>he PBAC considered that key inputs should align with the accepted parameters for RSVpreF3 OA at the December 2025 PBAC meeting which related to the population aged 75 years or above, except for the necessary adjustments to reflect the target population.</w:t>
      </w:r>
      <w:r w:rsidR="00DA1339">
        <w:t xml:space="preserve"> </w:t>
      </w:r>
      <w:r w:rsidRPr="005A5BB7">
        <w:t>The corresponding amendments to the resubmission’s model included 1) use AIHW data from 2016</w:t>
      </w:r>
      <w:r w:rsidR="000E4816">
        <w:noBreakHyphen/>
      </w:r>
      <w:r w:rsidRPr="005A5BB7">
        <w:t>2019 for the population aged 60</w:t>
      </w:r>
      <w:r w:rsidR="000E4816">
        <w:noBreakHyphen/>
      </w:r>
      <w:r w:rsidRPr="005A5BB7">
        <w:t xml:space="preserve">74 years to estimate hospitalisation rates, consistent with ATAGI advice; 2) reduction of </w:t>
      </w:r>
      <w:r w:rsidRPr="005A5BB7">
        <w:rPr>
          <w:rFonts w:cs="Calibri"/>
        </w:rPr>
        <w:t xml:space="preserve">hospital costs from $13,967 to $10,045; and 3) VE of 3 years. For </w:t>
      </w:r>
      <w:proofErr w:type="gramStart"/>
      <w:r w:rsidRPr="005A5BB7">
        <w:rPr>
          <w:rFonts w:cs="Calibri"/>
        </w:rPr>
        <w:t>the all</w:t>
      </w:r>
      <w:proofErr w:type="gramEnd"/>
      <w:r w:rsidR="000E4816">
        <w:rPr>
          <w:rFonts w:cs="Calibri"/>
        </w:rPr>
        <w:noBreakHyphen/>
      </w:r>
      <w:r w:rsidRPr="005A5BB7">
        <w:rPr>
          <w:rFonts w:cs="Calibri"/>
        </w:rPr>
        <w:t>comers population the excess hospital multiplier (EHM) should be removed (i.e. set to 1).</w:t>
      </w:r>
      <w:r w:rsidR="00DA1339">
        <w:rPr>
          <w:rFonts w:cs="Calibri"/>
        </w:rPr>
        <w:t xml:space="preserve"> </w:t>
      </w:r>
      <w:r w:rsidRPr="005A5BB7">
        <w:rPr>
          <w:rFonts w:cs="Calibri"/>
        </w:rPr>
        <w:t>For the population aged 60</w:t>
      </w:r>
      <w:r w:rsidR="000E4816">
        <w:rPr>
          <w:rFonts w:cs="Calibri"/>
        </w:rPr>
        <w:noBreakHyphen/>
      </w:r>
      <w:r w:rsidRPr="005A5BB7">
        <w:rPr>
          <w:rFonts w:cs="Calibri"/>
        </w:rPr>
        <w:t>74 years at increased risk of severe RSV, the</w:t>
      </w:r>
      <w:r w:rsidRPr="005A5BB7" w:rsidDel="00E04C8A">
        <w:rPr>
          <w:rFonts w:cs="Calibri"/>
        </w:rPr>
        <w:t xml:space="preserve"> </w:t>
      </w:r>
      <w:r w:rsidRPr="005A5BB7">
        <w:rPr>
          <w:rFonts w:cs="Calibri"/>
        </w:rPr>
        <w:t>EHM should be no more than 1.79 (see below)</w:t>
      </w:r>
      <w:r w:rsidR="00C30F89" w:rsidRPr="005A5BB7">
        <w:rPr>
          <w:rFonts w:cs="Calibri"/>
        </w:rPr>
        <w:t>.</w:t>
      </w:r>
    </w:p>
    <w:p w14:paraId="5755C417" w14:textId="39D736EA" w:rsidR="00011ABE" w:rsidRPr="005A5BB7" w:rsidRDefault="00011ABE" w:rsidP="00CC2659">
      <w:pPr>
        <w:pStyle w:val="3-BodyText"/>
        <w:numPr>
          <w:ilvl w:val="1"/>
          <w:numId w:val="1"/>
        </w:numPr>
        <w:ind w:left="720"/>
        <w:rPr>
          <w:iCs/>
        </w:rPr>
      </w:pPr>
      <w:r w:rsidRPr="005A5BB7">
        <w:rPr>
          <w:iCs/>
        </w:rPr>
        <w:t>The PBAC noted that the resultant ICER for the all</w:t>
      </w:r>
      <w:r w:rsidR="000E4816">
        <w:rPr>
          <w:iCs/>
        </w:rPr>
        <w:noBreakHyphen/>
      </w:r>
      <w:r w:rsidRPr="005A5BB7">
        <w:rPr>
          <w:iCs/>
        </w:rPr>
        <w:t>comers (60</w:t>
      </w:r>
      <w:r w:rsidR="000E4816">
        <w:rPr>
          <w:iCs/>
        </w:rPr>
        <w:noBreakHyphen/>
      </w:r>
      <w:r w:rsidRPr="005A5BB7">
        <w:rPr>
          <w:iCs/>
        </w:rPr>
        <w:t xml:space="preserve">74 years) </w:t>
      </w:r>
      <w:r w:rsidR="00DB62E8" w:rsidRPr="005A5BB7">
        <w:rPr>
          <w:iCs/>
        </w:rPr>
        <w:t>population</w:t>
      </w:r>
      <w:r w:rsidRPr="005A5BB7">
        <w:rPr>
          <w:iCs/>
        </w:rPr>
        <w:t xml:space="preserve"> was </w:t>
      </w:r>
      <w:r w:rsidR="00252941" w:rsidRPr="00252941">
        <w:rPr>
          <w:iCs/>
        </w:rPr>
        <w:t xml:space="preserve">$55,000 to &lt; $75,000 </w:t>
      </w:r>
      <w:r w:rsidRPr="005A5BB7">
        <w:rPr>
          <w:iCs/>
        </w:rPr>
        <w:t xml:space="preserve">/QALY (PBAC scenario 1, </w:t>
      </w:r>
      <w:r w:rsidRPr="005A5BB7">
        <w:rPr>
          <w:rFonts w:cs="Calibri"/>
        </w:rPr>
        <w:fldChar w:fldCharType="begin"/>
      </w:r>
      <w:r w:rsidRPr="005A5BB7">
        <w:rPr>
          <w:rFonts w:cs="Calibri"/>
        </w:rPr>
        <w:instrText xml:space="preserve"> REF _Ref216287804 \h </w:instrText>
      </w:r>
      <w:r w:rsidRPr="005A5BB7">
        <w:rPr>
          <w:rFonts w:cs="Calibri"/>
        </w:rPr>
      </w:r>
      <w:r w:rsidRPr="005A5BB7">
        <w:rPr>
          <w:rFonts w:cs="Calibri"/>
        </w:rPr>
        <w:fldChar w:fldCharType="separate"/>
      </w:r>
      <w:r w:rsidR="0043658C" w:rsidRPr="005A5BB7">
        <w:rPr>
          <w:rFonts w:cs="Times New Roman"/>
          <w:szCs w:val="20"/>
        </w:rPr>
        <w:t xml:space="preserve">Table </w:t>
      </w:r>
      <w:r w:rsidR="0043658C">
        <w:rPr>
          <w:rFonts w:cs="Times New Roman"/>
          <w:noProof/>
          <w:szCs w:val="20"/>
        </w:rPr>
        <w:t>23</w:t>
      </w:r>
      <w:r w:rsidRPr="005A5BB7">
        <w:rPr>
          <w:rFonts w:cs="Calibri"/>
        </w:rPr>
        <w:fldChar w:fldCharType="end"/>
      </w:r>
      <w:r w:rsidRPr="005A5BB7">
        <w:rPr>
          <w:rFonts w:cs="Calibri"/>
        </w:rPr>
        <w:t xml:space="preserve">), </w:t>
      </w:r>
      <w:r w:rsidRPr="005A5BB7">
        <w:rPr>
          <w:iCs/>
        </w:rPr>
        <w:t xml:space="preserve">and recalled that </w:t>
      </w:r>
      <w:r w:rsidR="00C30F89" w:rsidRPr="005A5BB7">
        <w:t xml:space="preserve">it had previously considered that an ICER of less than </w:t>
      </w:r>
      <w:r w:rsidR="00C41889" w:rsidRPr="00C41889">
        <w:t>$15,000 to &lt; $25,000</w:t>
      </w:r>
      <w:r w:rsidR="00C30F89" w:rsidRPr="005A5BB7">
        <w:t>/QALY would be required to demonstrate cost</w:t>
      </w:r>
      <w:r w:rsidR="000E4816">
        <w:noBreakHyphen/>
      </w:r>
      <w:r w:rsidR="00C30F89" w:rsidRPr="005A5BB7">
        <w:t xml:space="preserve">effectiveness for </w:t>
      </w:r>
      <w:r w:rsidR="008405FE" w:rsidRPr="005A5BB7">
        <w:rPr>
          <w:rFonts w:eastAsia="Times New Roman" w:cs="Arial"/>
          <w:snapToGrid w:val="0"/>
          <w:szCs w:val="24"/>
        </w:rPr>
        <w:t>adults aged 75 years and above</w:t>
      </w:r>
      <w:r w:rsidR="00CC2659" w:rsidRPr="005A5BB7">
        <w:rPr>
          <w:rFonts w:eastAsia="Times New Roman" w:cs="Arial"/>
          <w:snapToGrid w:val="0"/>
          <w:szCs w:val="24"/>
        </w:rPr>
        <w:t xml:space="preserve"> (</w:t>
      </w:r>
      <w:r w:rsidR="00CC2659" w:rsidRPr="005A5BB7">
        <w:rPr>
          <w:iCs/>
        </w:rPr>
        <w:t>paragraph 12.5, RSVPreF3 OA, December 2025 PBAC meeting)</w:t>
      </w:r>
      <w:r w:rsidR="008405FE" w:rsidRPr="005A5BB7">
        <w:rPr>
          <w:rFonts w:eastAsia="Times New Roman" w:cs="Arial"/>
          <w:snapToGrid w:val="0"/>
          <w:szCs w:val="24"/>
        </w:rPr>
        <w:t>.</w:t>
      </w:r>
      <w:r w:rsidR="00DA1339">
        <w:rPr>
          <w:iCs/>
        </w:rPr>
        <w:t xml:space="preserve"> </w:t>
      </w:r>
      <w:r w:rsidR="00CC2659" w:rsidRPr="005A5BB7">
        <w:rPr>
          <w:iCs/>
        </w:rPr>
        <w:t>T</w:t>
      </w:r>
      <w:r w:rsidRPr="005A5BB7">
        <w:rPr>
          <w:iCs/>
        </w:rPr>
        <w:t xml:space="preserve">he PBAC noted that the increase in the ICER was driven by the reduced incidence of RSV hospitalisation in the younger </w:t>
      </w:r>
      <w:r w:rsidR="00DB62E8" w:rsidRPr="005A5BB7">
        <w:rPr>
          <w:iCs/>
        </w:rPr>
        <w:t>population</w:t>
      </w:r>
      <w:r w:rsidRPr="005A5BB7">
        <w:rPr>
          <w:iCs/>
        </w:rPr>
        <w:t xml:space="preserve"> (average of </w:t>
      </w:r>
      <w:r w:rsidR="00664ECA" w:rsidRPr="005A5BB7">
        <w:rPr>
          <w:iCs/>
        </w:rPr>
        <w:t>101</w:t>
      </w:r>
      <w:r w:rsidRPr="005A5BB7">
        <w:rPr>
          <w:iCs/>
        </w:rPr>
        <w:t xml:space="preserve"> versus 384 per 100,000 person years). On this basis the PBAC considered the cost</w:t>
      </w:r>
      <w:r w:rsidR="000E4816">
        <w:rPr>
          <w:iCs/>
        </w:rPr>
        <w:noBreakHyphen/>
      </w:r>
      <w:r w:rsidRPr="005A5BB7">
        <w:rPr>
          <w:iCs/>
        </w:rPr>
        <w:t xml:space="preserve">effective price for </w:t>
      </w:r>
      <w:r w:rsidRPr="005A5BB7">
        <w:t xml:space="preserve">RSVpreF3 OA in the younger </w:t>
      </w:r>
      <w:r w:rsidR="00DB62E8" w:rsidRPr="005A5BB7">
        <w:t>population</w:t>
      </w:r>
      <w:r w:rsidRPr="005A5BB7">
        <w:t xml:space="preserve"> would be lower than for the older </w:t>
      </w:r>
      <w:r w:rsidR="00DB62E8" w:rsidRPr="005A5BB7">
        <w:t>population</w:t>
      </w:r>
      <w:r w:rsidRPr="005A5BB7">
        <w:t>. The PBAC advised that RSVpreF3 OA would be cost</w:t>
      </w:r>
      <w:r w:rsidR="000E4816">
        <w:noBreakHyphen/>
      </w:r>
      <w:r w:rsidRPr="005A5BB7">
        <w:t xml:space="preserve">effective in the </w:t>
      </w:r>
      <w:r w:rsidR="00DB62E8" w:rsidRPr="005A5BB7">
        <w:t>population</w:t>
      </w:r>
      <w:r w:rsidRPr="005A5BB7">
        <w:t xml:space="preserve"> aged 60</w:t>
      </w:r>
      <w:r w:rsidR="000E4816">
        <w:noBreakHyphen/>
      </w:r>
      <w:r w:rsidRPr="005A5BB7">
        <w:t xml:space="preserve">74 years if the ICER was consistent with that for the 75 years and above </w:t>
      </w:r>
      <w:r w:rsidR="00DB62E8" w:rsidRPr="005A5BB7">
        <w:t>population</w:t>
      </w:r>
      <w:r w:rsidRPr="005A5BB7">
        <w:t>.</w:t>
      </w:r>
    </w:p>
    <w:p w14:paraId="105096D3" w14:textId="7EF62748" w:rsidR="00011ABE" w:rsidRPr="005A5BB7" w:rsidRDefault="00011ABE">
      <w:pPr>
        <w:pStyle w:val="3-BodyText"/>
        <w:numPr>
          <w:ilvl w:val="1"/>
          <w:numId w:val="1"/>
        </w:numPr>
        <w:ind w:left="720"/>
        <w:rPr>
          <w:rFonts w:eastAsia="Times New Roman" w:cs="Arial"/>
          <w:snapToGrid w:val="0"/>
          <w:szCs w:val="24"/>
        </w:rPr>
      </w:pPr>
      <w:r w:rsidRPr="005A5BB7">
        <w:t xml:space="preserve">For the economic models for each of the eight AIH risk categories, the PBAC noted the EHMs </w:t>
      </w:r>
      <w:r w:rsidR="000472E0" w:rsidRPr="005A5BB7">
        <w:t xml:space="preserve">applied in the resubmission </w:t>
      </w:r>
      <w:r w:rsidRPr="005A5BB7">
        <w:t xml:space="preserve">varied substantially (from 1.84 for chronic metabolic disorders to 12.25 for immunocompromising conditions, </w:t>
      </w:r>
      <w:r w:rsidR="000472E0" w:rsidRPr="005A5BB7">
        <w:t>derived from studies of transplant recipients</w:t>
      </w:r>
      <w:r w:rsidRPr="005A5BB7">
        <w:t>). However, there were limited data to inform the EHM estimates, including the need to use proxy values for some of the categories. Additional concerns with the estimates included omission of comorbidities, lack of methodological transparency, simplistic approaches to combining estimates, and potential bias in the selection of the data.</w:t>
      </w:r>
      <w:r w:rsidR="00DA1339">
        <w:t xml:space="preserve"> </w:t>
      </w:r>
      <w:r w:rsidR="00C60113" w:rsidRPr="005A5BB7">
        <w:rPr>
          <w:rFonts w:eastAsia="Times New Roman"/>
          <w:snapToGrid w:val="0"/>
          <w:szCs w:val="24"/>
        </w:rPr>
        <w:t>The PBAC considered that some of the EHMs applied in the resubmission were likely overestimated.</w:t>
      </w:r>
      <w:r w:rsidR="00DA1339">
        <w:rPr>
          <w:rFonts w:eastAsia="Times New Roman"/>
          <w:snapToGrid w:val="0"/>
          <w:szCs w:val="24"/>
        </w:rPr>
        <w:t xml:space="preserve"> </w:t>
      </w:r>
      <w:r w:rsidRPr="005A5BB7">
        <w:t>The PBAC advised that the economic model results for the individual risk categories were not suitable for decision making due to the uncertainty in the applied EHMs.</w:t>
      </w:r>
      <w:r w:rsidR="00DA1339">
        <w:t xml:space="preserve"> </w:t>
      </w:r>
      <w:r w:rsidRPr="005A5BB7">
        <w:t>The PBAC noted however, that the analysis demonstrated that the proposed population consist</w:t>
      </w:r>
      <w:r w:rsidR="00C60113" w:rsidRPr="005A5BB7">
        <w:t>ed</w:t>
      </w:r>
      <w:r w:rsidRPr="005A5BB7">
        <w:t xml:space="preserve"> of heterogenous subgroups with a wide range in</w:t>
      </w:r>
      <w:r w:rsidR="00C60113" w:rsidRPr="005A5BB7">
        <w:t xml:space="preserve"> terms of their </w:t>
      </w:r>
      <w:r w:rsidRPr="005A5BB7">
        <w:t>risk of severe RSV.</w:t>
      </w:r>
    </w:p>
    <w:p w14:paraId="712369E2" w14:textId="106274FE" w:rsidR="00011ABE" w:rsidRPr="005A5BB7" w:rsidRDefault="00011ABE" w:rsidP="00EA2A10">
      <w:pPr>
        <w:pStyle w:val="3-BodyText"/>
        <w:numPr>
          <w:ilvl w:val="1"/>
          <w:numId w:val="1"/>
        </w:numPr>
        <w:ind w:left="720"/>
        <w:rPr>
          <w:rFonts w:eastAsia="Times New Roman" w:cs="Arial"/>
          <w:snapToGrid w:val="0"/>
          <w:szCs w:val="24"/>
        </w:rPr>
      </w:pPr>
      <w:r w:rsidRPr="005A5BB7">
        <w:rPr>
          <w:rFonts w:eastAsia="Times New Roman" w:cs="Arial"/>
          <w:snapToGrid w:val="0"/>
          <w:szCs w:val="24"/>
        </w:rPr>
        <w:lastRenderedPageBreak/>
        <w:t xml:space="preserve">For the economic model for the </w:t>
      </w:r>
      <w:r w:rsidR="00C60113" w:rsidRPr="005A5BB7">
        <w:rPr>
          <w:rFonts w:eastAsia="Times New Roman" w:cs="Arial"/>
          <w:snapToGrid w:val="0"/>
          <w:szCs w:val="24"/>
        </w:rPr>
        <w:t xml:space="preserve">proposed </w:t>
      </w:r>
      <w:r w:rsidRPr="005A5BB7">
        <w:rPr>
          <w:rFonts w:eastAsia="Times New Roman" w:cs="Arial"/>
          <w:snapToGrid w:val="0"/>
          <w:szCs w:val="24"/>
        </w:rPr>
        <w:t>population with at least one at</w:t>
      </w:r>
      <w:r w:rsidR="000E4816">
        <w:rPr>
          <w:rFonts w:eastAsia="Times New Roman" w:cs="Arial"/>
          <w:snapToGrid w:val="0"/>
          <w:szCs w:val="24"/>
        </w:rPr>
        <w:noBreakHyphen/>
      </w:r>
      <w:r w:rsidRPr="005A5BB7">
        <w:rPr>
          <w:rFonts w:eastAsia="Times New Roman" w:cs="Arial"/>
          <w:snapToGrid w:val="0"/>
          <w:szCs w:val="24"/>
        </w:rPr>
        <w:t>risk medical condition, the PBAC considered that the EMH applied in the resubmission’s base case (2.29) was overestimated. The EHM was sourced from Carlin et al., 2024, which derived its estimate from Belongia et al., 2018. The estimate was based on a narrower population than the AIH target population and inappropriately calculated using the 'not at</w:t>
      </w:r>
      <w:r w:rsidR="000E4816">
        <w:rPr>
          <w:rFonts w:eastAsia="Times New Roman" w:cs="Arial"/>
          <w:snapToGrid w:val="0"/>
          <w:szCs w:val="24"/>
        </w:rPr>
        <w:noBreakHyphen/>
      </w:r>
      <w:r w:rsidRPr="005A5BB7">
        <w:rPr>
          <w:rFonts w:eastAsia="Times New Roman" w:cs="Arial"/>
          <w:snapToGrid w:val="0"/>
          <w:szCs w:val="24"/>
        </w:rPr>
        <w:t>risk' population as the reference rather than the general population. This inflates the multiplier, as the model applies the EHM relative to the hospitalisation rates of the general population. Noting the proportion of the population with at least one at</w:t>
      </w:r>
      <w:r w:rsidR="000E4816">
        <w:rPr>
          <w:rFonts w:eastAsia="Times New Roman" w:cs="Arial"/>
          <w:snapToGrid w:val="0"/>
          <w:szCs w:val="24"/>
        </w:rPr>
        <w:noBreakHyphen/>
      </w:r>
      <w:r w:rsidRPr="005A5BB7">
        <w:rPr>
          <w:rFonts w:eastAsia="Times New Roman" w:cs="Arial"/>
          <w:snapToGrid w:val="0"/>
          <w:szCs w:val="24"/>
        </w:rPr>
        <w:t>risk medical condition was likely to exceed 50%, the PBAC considered an EHM of more than 2 to be implausible. The PBAC agreed with ATAGI that an EHM of 1.79 was not conservative (ATAGI Advice, March 2025) and advised that the EHM applied in the economic evaluation should be no higher than 1.79.</w:t>
      </w:r>
    </w:p>
    <w:p w14:paraId="539EEBCB" w14:textId="223D973B" w:rsidR="00011ABE" w:rsidRPr="005A5BB7" w:rsidRDefault="00011ABE" w:rsidP="00D92CA1">
      <w:pPr>
        <w:pStyle w:val="3-BodyText"/>
        <w:numPr>
          <w:ilvl w:val="1"/>
          <w:numId w:val="1"/>
        </w:numPr>
        <w:ind w:left="720"/>
        <w:rPr>
          <w:iCs/>
        </w:rPr>
      </w:pPr>
      <w:r w:rsidRPr="005A5BB7">
        <w:rPr>
          <w:iCs/>
        </w:rPr>
        <w:t xml:space="preserve">The PBAC noted that when using an EHM of 1.79 and not adjusting the background mortality rate, the ICER for </w:t>
      </w:r>
      <w:r w:rsidRPr="005A5BB7">
        <w:rPr>
          <w:rFonts w:cs="Calibri"/>
        </w:rPr>
        <w:t xml:space="preserve">the </w:t>
      </w:r>
      <w:r w:rsidR="00DB62E8" w:rsidRPr="005A5BB7">
        <w:rPr>
          <w:rFonts w:cs="Calibri"/>
        </w:rPr>
        <w:t>population</w:t>
      </w:r>
      <w:r w:rsidRPr="005A5BB7">
        <w:rPr>
          <w:rFonts w:cs="Calibri"/>
        </w:rPr>
        <w:t xml:space="preserve"> aged 60</w:t>
      </w:r>
      <w:r w:rsidR="000E4816">
        <w:rPr>
          <w:rFonts w:cs="Calibri"/>
        </w:rPr>
        <w:noBreakHyphen/>
      </w:r>
      <w:r w:rsidRPr="005A5BB7">
        <w:rPr>
          <w:rFonts w:cs="Calibri"/>
        </w:rPr>
        <w:t xml:space="preserve">74 years at increased risk of severe RSV was </w:t>
      </w:r>
      <w:r w:rsidR="00BE3703" w:rsidRPr="00BE3703">
        <w:rPr>
          <w:rFonts w:cs="Calibri"/>
        </w:rPr>
        <w:t>$35,000 to &lt; $45,000</w:t>
      </w:r>
      <w:r w:rsidRPr="005A5BB7">
        <w:rPr>
          <w:rFonts w:cs="Calibri"/>
        </w:rPr>
        <w:t>/QALY (</w:t>
      </w:r>
      <w:r w:rsidRPr="005A5BB7">
        <w:rPr>
          <w:iCs/>
        </w:rPr>
        <w:t xml:space="preserve">PBAC scenario 2, </w:t>
      </w:r>
      <w:r w:rsidRPr="005A5BB7">
        <w:rPr>
          <w:rFonts w:cs="Calibri"/>
        </w:rPr>
        <w:fldChar w:fldCharType="begin"/>
      </w:r>
      <w:r w:rsidRPr="005A5BB7">
        <w:rPr>
          <w:rFonts w:cs="Calibri"/>
        </w:rPr>
        <w:instrText xml:space="preserve"> REF _Ref216287804 \h </w:instrText>
      </w:r>
      <w:r w:rsidRPr="005A5BB7">
        <w:rPr>
          <w:rFonts w:cs="Calibri"/>
        </w:rPr>
      </w:r>
      <w:r w:rsidRPr="005A5BB7">
        <w:rPr>
          <w:rFonts w:cs="Calibri"/>
        </w:rPr>
        <w:fldChar w:fldCharType="separate"/>
      </w:r>
      <w:r w:rsidR="0043658C" w:rsidRPr="005A5BB7">
        <w:rPr>
          <w:rFonts w:cs="Times New Roman"/>
          <w:szCs w:val="20"/>
        </w:rPr>
        <w:t xml:space="preserve">Table </w:t>
      </w:r>
      <w:r w:rsidR="0043658C">
        <w:rPr>
          <w:rFonts w:cs="Times New Roman"/>
          <w:noProof/>
          <w:szCs w:val="20"/>
        </w:rPr>
        <w:t>23</w:t>
      </w:r>
      <w:r w:rsidRPr="005A5BB7">
        <w:rPr>
          <w:rFonts w:cs="Calibri"/>
        </w:rPr>
        <w:fldChar w:fldCharType="end"/>
      </w:r>
      <w:r w:rsidRPr="005A5BB7">
        <w:rPr>
          <w:rFonts w:cs="Calibri"/>
        </w:rPr>
        <w:t>)</w:t>
      </w:r>
      <w:r w:rsidR="008A3E8B" w:rsidRPr="005A5BB7">
        <w:rPr>
          <w:rFonts w:cs="Calibri"/>
        </w:rPr>
        <w:t>.</w:t>
      </w:r>
      <w:r w:rsidRPr="005A5BB7">
        <w:rPr>
          <w:rFonts w:cs="Calibri"/>
        </w:rPr>
        <w:t xml:space="preserve"> </w:t>
      </w:r>
      <w:r w:rsidRPr="005A5BB7">
        <w:rPr>
          <w:iCs/>
        </w:rPr>
        <w:t xml:space="preserve">The PBAC </w:t>
      </w:r>
      <w:r w:rsidR="006954FC" w:rsidRPr="005A5BB7">
        <w:rPr>
          <w:iCs/>
        </w:rPr>
        <w:t xml:space="preserve">recalled that </w:t>
      </w:r>
      <w:r w:rsidR="006954FC" w:rsidRPr="005A5BB7">
        <w:t xml:space="preserve">it had previously considered that an ICER of less than </w:t>
      </w:r>
      <w:r w:rsidR="004F6E7F" w:rsidRPr="004F6E7F">
        <w:t>$15,000 to &lt; $25,000</w:t>
      </w:r>
      <w:r w:rsidR="006954FC" w:rsidRPr="005A5BB7">
        <w:t>/QALY would be required to demonstrate cost</w:t>
      </w:r>
      <w:r w:rsidR="000E4816">
        <w:noBreakHyphen/>
      </w:r>
      <w:r w:rsidR="006954FC" w:rsidRPr="005A5BB7">
        <w:t xml:space="preserve">effectiveness for </w:t>
      </w:r>
      <w:r w:rsidR="006954FC" w:rsidRPr="005A5BB7">
        <w:rPr>
          <w:rFonts w:eastAsia="Times New Roman" w:cs="Arial"/>
          <w:snapToGrid w:val="0"/>
          <w:szCs w:val="24"/>
        </w:rPr>
        <w:t>adults aged 75 years and above (</w:t>
      </w:r>
      <w:r w:rsidR="006954FC" w:rsidRPr="005A5BB7">
        <w:rPr>
          <w:iCs/>
        </w:rPr>
        <w:t>paragraph 12.5, RSVPreF3 OA, December 2025 PBAC meeting)</w:t>
      </w:r>
      <w:r w:rsidR="006954FC" w:rsidRPr="005A5BB7">
        <w:rPr>
          <w:rFonts w:eastAsia="Times New Roman" w:cs="Arial"/>
          <w:snapToGrid w:val="0"/>
          <w:szCs w:val="24"/>
        </w:rPr>
        <w:t>.</w:t>
      </w:r>
      <w:r w:rsidR="00DA1339">
        <w:rPr>
          <w:iCs/>
        </w:rPr>
        <w:t xml:space="preserve"> </w:t>
      </w:r>
      <w:r w:rsidRPr="005A5BB7">
        <w:rPr>
          <w:iCs/>
        </w:rPr>
        <w:t xml:space="preserve">The PBAC noted the higher ICER </w:t>
      </w:r>
      <w:r w:rsidR="008A3E8B" w:rsidRPr="005A5BB7">
        <w:rPr>
          <w:iCs/>
        </w:rPr>
        <w:t>for 60</w:t>
      </w:r>
      <w:r w:rsidR="000E4816">
        <w:rPr>
          <w:iCs/>
        </w:rPr>
        <w:noBreakHyphen/>
      </w:r>
      <w:r w:rsidR="008A3E8B" w:rsidRPr="005A5BB7">
        <w:rPr>
          <w:iCs/>
        </w:rPr>
        <w:t xml:space="preserve">74 year olds </w:t>
      </w:r>
      <w:r w:rsidRPr="005A5BB7">
        <w:rPr>
          <w:iCs/>
        </w:rPr>
        <w:t xml:space="preserve">was due to the incidence of RSV hospitalisation in the younger increased risk </w:t>
      </w:r>
      <w:r w:rsidR="00DB62E8" w:rsidRPr="005A5BB7">
        <w:rPr>
          <w:iCs/>
        </w:rPr>
        <w:t>population</w:t>
      </w:r>
      <w:r w:rsidRPr="005A5BB7">
        <w:rPr>
          <w:iCs/>
        </w:rPr>
        <w:t xml:space="preserve"> being lower than in the </w:t>
      </w:r>
      <w:r w:rsidR="00DB62E8" w:rsidRPr="005A5BB7">
        <w:rPr>
          <w:iCs/>
        </w:rPr>
        <w:t>population</w:t>
      </w:r>
      <w:r w:rsidRPr="005A5BB7">
        <w:rPr>
          <w:iCs/>
        </w:rPr>
        <w:t xml:space="preserve"> aged 75 years and above (average of </w:t>
      </w:r>
      <w:r w:rsidR="006954FC" w:rsidRPr="005A5BB7">
        <w:rPr>
          <w:iCs/>
        </w:rPr>
        <w:t>181</w:t>
      </w:r>
      <w:r w:rsidRPr="005A5BB7">
        <w:rPr>
          <w:iCs/>
        </w:rPr>
        <w:t xml:space="preserve"> versus 384 per 100,000 person years). On this basis the PBAC considered the cost</w:t>
      </w:r>
      <w:r w:rsidR="000E4816">
        <w:rPr>
          <w:iCs/>
        </w:rPr>
        <w:noBreakHyphen/>
      </w:r>
      <w:r w:rsidRPr="005A5BB7">
        <w:rPr>
          <w:iCs/>
        </w:rPr>
        <w:t xml:space="preserve">effective price for </w:t>
      </w:r>
      <w:r w:rsidRPr="005A5BB7">
        <w:t xml:space="preserve">RSVpreF3 OA in the younger </w:t>
      </w:r>
      <w:r w:rsidR="00DB62E8" w:rsidRPr="005A5BB7">
        <w:t>population</w:t>
      </w:r>
      <w:r w:rsidRPr="005A5BB7">
        <w:t xml:space="preserve"> at increased risk of severe RSV would be lower than for </w:t>
      </w:r>
      <w:proofErr w:type="gramStart"/>
      <w:r w:rsidRPr="005A5BB7">
        <w:t>the all</w:t>
      </w:r>
      <w:proofErr w:type="gramEnd"/>
      <w:r w:rsidRPr="005A5BB7">
        <w:t xml:space="preserve"> comers </w:t>
      </w:r>
      <w:r w:rsidR="00DB62E8" w:rsidRPr="005A5BB7">
        <w:t>population</w:t>
      </w:r>
      <w:r w:rsidRPr="005A5BB7">
        <w:t xml:space="preserve"> aged 75 years above. The PBAC advised that RSVpreF3 OA would be cost</w:t>
      </w:r>
      <w:r w:rsidR="000E4816">
        <w:noBreakHyphen/>
      </w:r>
      <w:r w:rsidRPr="005A5BB7">
        <w:t xml:space="preserve">effective in the </w:t>
      </w:r>
      <w:r w:rsidR="00DB62E8" w:rsidRPr="005A5BB7">
        <w:t>population</w:t>
      </w:r>
      <w:r w:rsidRPr="005A5BB7">
        <w:t xml:space="preserve"> aged 60</w:t>
      </w:r>
      <w:r w:rsidR="000E4816">
        <w:noBreakHyphen/>
      </w:r>
      <w:r w:rsidRPr="005A5BB7">
        <w:t xml:space="preserve">74 years at increased risk of severe RSV if the ICER was consistent with that for the above 75 years </w:t>
      </w:r>
      <w:r w:rsidR="00DB62E8" w:rsidRPr="005A5BB7">
        <w:t>population</w:t>
      </w:r>
      <w:r w:rsidRPr="005A5BB7">
        <w:t>.</w:t>
      </w:r>
    </w:p>
    <w:p w14:paraId="3713F804" w14:textId="7F20D6CF" w:rsidR="00011ABE" w:rsidRPr="005A5BB7" w:rsidRDefault="00011ABE" w:rsidP="00011ABE">
      <w:pPr>
        <w:pStyle w:val="3-BodyText"/>
        <w:numPr>
          <w:ilvl w:val="1"/>
          <w:numId w:val="1"/>
        </w:numPr>
        <w:ind w:left="720"/>
        <w:rPr>
          <w:snapToGrid w:val="0"/>
        </w:rPr>
      </w:pPr>
      <w:r w:rsidRPr="005A5BB7">
        <w:rPr>
          <w:rFonts w:eastAsia="Times New Roman" w:cs="Arial"/>
          <w:snapToGrid w:val="0"/>
          <w:szCs w:val="24"/>
        </w:rPr>
        <w:t>On the basis</w:t>
      </w:r>
      <w:r w:rsidRPr="005A5BB7">
        <w:rPr>
          <w:snapToGrid w:val="0"/>
        </w:rPr>
        <w:t xml:space="preserve"> that the cost</w:t>
      </w:r>
      <w:r w:rsidR="000E4816">
        <w:rPr>
          <w:snapToGrid w:val="0"/>
        </w:rPr>
        <w:noBreakHyphen/>
      </w:r>
      <w:r w:rsidRPr="005A5BB7">
        <w:rPr>
          <w:snapToGrid w:val="0"/>
        </w:rPr>
        <w:t>effective price for</w:t>
      </w:r>
      <w:r w:rsidRPr="005A5BB7">
        <w:rPr>
          <w:rFonts w:eastAsia="Times New Roman" w:cs="Arial"/>
          <w:snapToGrid w:val="0"/>
          <w:szCs w:val="24"/>
        </w:rPr>
        <w:t xml:space="preserve"> both listing scenarios would require a lower price than</w:t>
      </w:r>
      <w:r w:rsidR="00DA1339">
        <w:rPr>
          <w:rFonts w:eastAsia="Times New Roman" w:cs="Arial"/>
          <w:snapToGrid w:val="0"/>
          <w:szCs w:val="24"/>
        </w:rPr>
        <w:t xml:space="preserve"> </w:t>
      </w:r>
      <w:r w:rsidRPr="005A5BB7">
        <w:rPr>
          <w:rFonts w:eastAsia="Times New Roman" w:cs="Arial"/>
          <w:snapToGrid w:val="0"/>
          <w:szCs w:val="24"/>
        </w:rPr>
        <w:t>the recommended cost</w:t>
      </w:r>
      <w:r w:rsidR="000E4816">
        <w:rPr>
          <w:rFonts w:eastAsia="Times New Roman" w:cs="Arial"/>
          <w:snapToGrid w:val="0"/>
          <w:szCs w:val="24"/>
        </w:rPr>
        <w:noBreakHyphen/>
      </w:r>
      <w:r w:rsidRPr="005A5BB7">
        <w:rPr>
          <w:rFonts w:eastAsia="Times New Roman" w:cs="Arial"/>
          <w:snapToGrid w:val="0"/>
          <w:szCs w:val="24"/>
        </w:rPr>
        <w:t>effective price in December 2025 for the</w:t>
      </w:r>
      <w:r w:rsidRPr="005A5BB7">
        <w:t xml:space="preserve"> population aged at least 75 years and First Nations adults 60</w:t>
      </w:r>
      <w:r w:rsidR="000E4816">
        <w:noBreakHyphen/>
      </w:r>
      <w:r w:rsidRPr="005A5BB7">
        <w:t>74 years, the PBAC noted a weighted price based on estimated utilisation would be necessary</w:t>
      </w:r>
      <w:r w:rsidRPr="005A5BB7">
        <w:rPr>
          <w:rFonts w:eastAsia="Times New Roman" w:cs="Arial"/>
          <w:snapToGrid w:val="0"/>
          <w:szCs w:val="24"/>
        </w:rPr>
        <w:t xml:space="preserve">. </w:t>
      </w:r>
    </w:p>
    <w:p w14:paraId="141E93C3" w14:textId="7A509D46" w:rsidR="00011ABE" w:rsidRPr="005A5BB7" w:rsidRDefault="00011ABE" w:rsidP="00011ABE">
      <w:pPr>
        <w:pStyle w:val="3-BodyText"/>
        <w:numPr>
          <w:ilvl w:val="1"/>
          <w:numId w:val="1"/>
        </w:numPr>
        <w:ind w:left="720"/>
        <w:rPr>
          <w:rFonts w:eastAsia="Times New Roman" w:cs="Arial"/>
          <w:snapToGrid w:val="0"/>
          <w:szCs w:val="24"/>
        </w:rPr>
      </w:pPr>
      <w:r w:rsidRPr="005A5BB7">
        <w:rPr>
          <w:rFonts w:eastAsia="Times New Roman" w:cs="Arial"/>
          <w:snapToGrid w:val="0"/>
          <w:szCs w:val="24"/>
        </w:rPr>
        <w:t xml:space="preserve">The resubmission </w:t>
      </w:r>
      <w:r w:rsidRPr="003D5761">
        <w:rPr>
          <w:rFonts w:eastAsia="Times New Roman" w:cs="Arial"/>
          <w:snapToGrid w:val="0"/>
          <w:szCs w:val="24"/>
        </w:rPr>
        <w:t>estimated that 40.22% of the population aged 60</w:t>
      </w:r>
      <w:r w:rsidR="000E4816" w:rsidRPr="003D5761">
        <w:rPr>
          <w:rFonts w:eastAsia="Times New Roman" w:cs="Arial"/>
          <w:snapToGrid w:val="0"/>
          <w:szCs w:val="24"/>
        </w:rPr>
        <w:noBreakHyphen/>
      </w:r>
      <w:r w:rsidRPr="003D5761">
        <w:rPr>
          <w:rFonts w:eastAsia="Times New Roman" w:cs="Arial"/>
          <w:snapToGrid w:val="0"/>
          <w:szCs w:val="24"/>
        </w:rPr>
        <w:t>74 years would meet the proposed eligibility criteria, however the PBAC considered that this proportion was underestimated, and the estimates based on the</w:t>
      </w:r>
      <w:r w:rsidRPr="005A5BB7">
        <w:rPr>
          <w:rFonts w:eastAsia="Times New Roman" w:cs="Arial"/>
          <w:snapToGrid w:val="0"/>
          <w:szCs w:val="24"/>
        </w:rPr>
        <w:t xml:space="preserve"> Clark 2020 study would be more reliable for estimating the population aged 60</w:t>
      </w:r>
      <w:r w:rsidR="000E4816">
        <w:rPr>
          <w:rFonts w:eastAsia="Times New Roman" w:cs="Arial"/>
          <w:snapToGrid w:val="0"/>
          <w:szCs w:val="24"/>
        </w:rPr>
        <w:noBreakHyphen/>
      </w:r>
      <w:r w:rsidRPr="005A5BB7">
        <w:rPr>
          <w:rFonts w:eastAsia="Times New Roman" w:cs="Arial"/>
          <w:snapToGrid w:val="0"/>
          <w:szCs w:val="24"/>
        </w:rPr>
        <w:t>74 years who would meet the AIH criteria for risk of severe RSV (49% in 60</w:t>
      </w:r>
      <w:r w:rsidR="000E4816">
        <w:rPr>
          <w:rFonts w:eastAsia="Times New Roman" w:cs="Arial"/>
          <w:snapToGrid w:val="0"/>
          <w:szCs w:val="24"/>
        </w:rPr>
        <w:noBreakHyphen/>
      </w:r>
      <w:r w:rsidRPr="005A5BB7">
        <w:rPr>
          <w:rFonts w:eastAsia="Times New Roman" w:cs="Arial"/>
          <w:snapToGrid w:val="0"/>
          <w:szCs w:val="24"/>
        </w:rPr>
        <w:t>64 YOA, 58% in 65</w:t>
      </w:r>
      <w:r w:rsidR="000E4816">
        <w:rPr>
          <w:rFonts w:eastAsia="Times New Roman" w:cs="Arial"/>
          <w:snapToGrid w:val="0"/>
          <w:szCs w:val="24"/>
        </w:rPr>
        <w:noBreakHyphen/>
      </w:r>
      <w:r w:rsidRPr="005A5BB7">
        <w:rPr>
          <w:rFonts w:eastAsia="Times New Roman" w:cs="Arial"/>
          <w:snapToGrid w:val="0"/>
          <w:szCs w:val="24"/>
        </w:rPr>
        <w:t>69 YOA, and 67% in 70</w:t>
      </w:r>
      <w:r w:rsidR="000E4816">
        <w:rPr>
          <w:rFonts w:eastAsia="Times New Roman" w:cs="Arial"/>
          <w:snapToGrid w:val="0"/>
          <w:szCs w:val="24"/>
        </w:rPr>
        <w:noBreakHyphen/>
      </w:r>
      <w:r w:rsidRPr="005A5BB7">
        <w:rPr>
          <w:rFonts w:eastAsia="Times New Roman" w:cs="Arial"/>
          <w:snapToGrid w:val="0"/>
          <w:szCs w:val="24"/>
        </w:rPr>
        <w:t>74 YOA).</w:t>
      </w:r>
      <w:r w:rsidR="00DA1339">
        <w:rPr>
          <w:rFonts w:eastAsia="Times New Roman" w:cs="Arial"/>
          <w:snapToGrid w:val="0"/>
          <w:szCs w:val="24"/>
        </w:rPr>
        <w:t xml:space="preserve"> </w:t>
      </w:r>
      <w:r w:rsidRPr="005A5BB7">
        <w:rPr>
          <w:rFonts w:eastAsia="Times New Roman" w:cs="Arial"/>
          <w:snapToGrid w:val="0"/>
          <w:szCs w:val="24"/>
        </w:rPr>
        <w:t>The PBAC noted that the assumed vaccine uptake was based on ATAGI advice, and was reasonable although it remained uncertain.</w:t>
      </w:r>
      <w:r w:rsidR="00DA1339">
        <w:rPr>
          <w:rFonts w:eastAsia="Times New Roman" w:cs="Arial"/>
          <w:snapToGrid w:val="0"/>
          <w:szCs w:val="24"/>
        </w:rPr>
        <w:t xml:space="preserve"> </w:t>
      </w:r>
      <w:r w:rsidRPr="005A5BB7">
        <w:rPr>
          <w:rFonts w:eastAsia="Times New Roman" w:cs="Arial"/>
          <w:snapToGrid w:val="0"/>
          <w:szCs w:val="24"/>
        </w:rPr>
        <w:t>The PBAC noted that analyses reflecting the PBAC’s preferred listing scenario (all</w:t>
      </w:r>
      <w:r w:rsidR="000E4816">
        <w:rPr>
          <w:rFonts w:eastAsia="Times New Roman" w:cs="Arial"/>
          <w:snapToGrid w:val="0"/>
          <w:szCs w:val="24"/>
        </w:rPr>
        <w:noBreakHyphen/>
      </w:r>
      <w:r w:rsidRPr="005A5BB7">
        <w:rPr>
          <w:rFonts w:eastAsia="Times New Roman" w:cs="Arial"/>
          <w:snapToGrid w:val="0"/>
          <w:szCs w:val="24"/>
        </w:rPr>
        <w:t xml:space="preserve">comers) and the at risk population based on the Clark 2020 estimates are presented in </w:t>
      </w:r>
      <w:r w:rsidRPr="005A5BB7">
        <w:rPr>
          <w:rFonts w:eastAsia="Times New Roman" w:cs="Arial"/>
          <w:snapToGrid w:val="0"/>
          <w:szCs w:val="24"/>
        </w:rPr>
        <w:fldChar w:fldCharType="begin"/>
      </w:r>
      <w:r w:rsidRPr="005A5BB7">
        <w:rPr>
          <w:rFonts w:eastAsia="Times New Roman" w:cs="Arial"/>
          <w:snapToGrid w:val="0"/>
          <w:szCs w:val="24"/>
        </w:rPr>
        <w:instrText xml:space="preserve"> REF _Ref216287804 \h </w:instrText>
      </w:r>
      <w:r w:rsidRPr="005A5BB7">
        <w:rPr>
          <w:rFonts w:eastAsia="Times New Roman" w:cs="Arial"/>
          <w:snapToGrid w:val="0"/>
          <w:szCs w:val="24"/>
        </w:rPr>
      </w:r>
      <w:r w:rsidRPr="005A5BB7">
        <w:rPr>
          <w:rFonts w:eastAsia="Times New Roman" w:cs="Arial"/>
          <w:snapToGrid w:val="0"/>
          <w:szCs w:val="24"/>
        </w:rPr>
        <w:fldChar w:fldCharType="separate"/>
      </w:r>
      <w:r w:rsidR="0043658C" w:rsidRPr="005A5BB7">
        <w:rPr>
          <w:rFonts w:cs="Times New Roman"/>
          <w:szCs w:val="20"/>
        </w:rPr>
        <w:t xml:space="preserve">Table </w:t>
      </w:r>
      <w:r w:rsidR="0043658C">
        <w:rPr>
          <w:rFonts w:cs="Times New Roman"/>
          <w:noProof/>
          <w:szCs w:val="20"/>
        </w:rPr>
        <w:t>23</w:t>
      </w:r>
      <w:r w:rsidRPr="005A5BB7">
        <w:rPr>
          <w:rFonts w:eastAsia="Times New Roman" w:cs="Arial"/>
          <w:snapToGrid w:val="0"/>
          <w:szCs w:val="24"/>
        </w:rPr>
        <w:fldChar w:fldCharType="end"/>
      </w:r>
      <w:r w:rsidRPr="005A5BB7">
        <w:rPr>
          <w:rFonts w:eastAsia="Times New Roman" w:cs="Arial"/>
          <w:snapToGrid w:val="0"/>
          <w:szCs w:val="24"/>
        </w:rPr>
        <w:t>.</w:t>
      </w:r>
    </w:p>
    <w:p w14:paraId="3FB00768" w14:textId="14662840" w:rsidR="00011ABE" w:rsidRPr="005A5BB7" w:rsidRDefault="00011ABE" w:rsidP="00011ABE">
      <w:pPr>
        <w:pStyle w:val="3-BodyText"/>
        <w:numPr>
          <w:ilvl w:val="1"/>
          <w:numId w:val="1"/>
        </w:numPr>
        <w:ind w:left="720"/>
        <w:rPr>
          <w:rStyle w:val="ui-provider"/>
        </w:rPr>
      </w:pPr>
      <w:r w:rsidRPr="005A5BB7">
        <w:t xml:space="preserve">The PBAC noted the need for revaccination has not been established and that the ATAGI will make </w:t>
      </w:r>
      <w:r w:rsidRPr="005A5BB7">
        <w:rPr>
          <w:iCs/>
        </w:rPr>
        <w:t>recommendations for subsequent doses when this is sought by the sponsor.</w:t>
      </w:r>
      <w:r w:rsidR="00DA1339">
        <w:rPr>
          <w:iCs/>
        </w:rPr>
        <w:t xml:space="preserve"> </w:t>
      </w:r>
      <w:r w:rsidRPr="005A5BB7">
        <w:rPr>
          <w:iCs/>
        </w:rPr>
        <w:t xml:space="preserve">The PBAC noted that </w:t>
      </w:r>
      <w:r w:rsidRPr="005A5BB7">
        <w:rPr>
          <w:rFonts w:eastAsia="Calibri"/>
        </w:rPr>
        <w:t xml:space="preserve">alternate revaccination schedules up to Month 60 after </w:t>
      </w:r>
      <w:r w:rsidRPr="005A5BB7">
        <w:rPr>
          <w:rFonts w:eastAsia="Calibri"/>
        </w:rPr>
        <w:lastRenderedPageBreak/>
        <w:t xml:space="preserve">initial vaccination </w:t>
      </w:r>
      <w:r w:rsidRPr="005A5BB7">
        <w:t>are being assessed in ongoing clinical studies.</w:t>
      </w:r>
      <w:r w:rsidR="00DA1339">
        <w:t xml:space="preserve"> </w:t>
      </w:r>
      <w:r w:rsidRPr="005A5BB7">
        <w:t>The PBAC noted that if revaccination is requested in the future, this would impact cost</w:t>
      </w:r>
      <w:r w:rsidR="000E4816">
        <w:noBreakHyphen/>
      </w:r>
      <w:r w:rsidRPr="005A5BB7">
        <w:t>effectiveness and financial implications, and a new submission would be required.</w:t>
      </w:r>
    </w:p>
    <w:p w14:paraId="5F18F320" w14:textId="77777777" w:rsidR="00011ABE" w:rsidRPr="005A5BB7" w:rsidRDefault="00011ABE" w:rsidP="00011ABE">
      <w:pPr>
        <w:pStyle w:val="3-BodyText"/>
        <w:numPr>
          <w:ilvl w:val="1"/>
          <w:numId w:val="1"/>
        </w:numPr>
        <w:ind w:left="720"/>
      </w:pPr>
      <w:r w:rsidRPr="005A5BB7">
        <w:t>The PBAC noted that this submission is not eligible for an Independent Review because it is only relevant to submissions requesting a listing (or change to a listing) on the PBS.</w:t>
      </w:r>
    </w:p>
    <w:p w14:paraId="5B34045D" w14:textId="77777777" w:rsidR="00011ABE" w:rsidRPr="005A5BB7" w:rsidRDefault="00011ABE" w:rsidP="00011ABE"/>
    <w:bookmarkEnd w:id="106"/>
    <w:p w14:paraId="565C8D0F" w14:textId="77777777" w:rsidR="00E113F2" w:rsidRPr="005A5BB7" w:rsidRDefault="00E113F2" w:rsidP="00E113F2">
      <w:pPr>
        <w:spacing w:before="240"/>
        <w:rPr>
          <w:rFonts w:asciiTheme="minorHAnsi" w:hAnsiTheme="minorHAnsi"/>
          <w:b/>
          <w:bCs/>
          <w:snapToGrid w:val="0"/>
        </w:rPr>
      </w:pPr>
      <w:r w:rsidRPr="005A5BB7">
        <w:rPr>
          <w:rFonts w:asciiTheme="minorHAnsi" w:hAnsiTheme="minorHAnsi"/>
          <w:b/>
          <w:bCs/>
          <w:snapToGrid w:val="0"/>
        </w:rPr>
        <w:t>Outcome:</w:t>
      </w:r>
    </w:p>
    <w:p w14:paraId="02167DAE" w14:textId="396C63CF" w:rsidR="00E113F2" w:rsidRPr="00501D3F" w:rsidRDefault="00E113F2" w:rsidP="00501D3F">
      <w:pPr>
        <w:rPr>
          <w:rFonts w:asciiTheme="minorHAnsi" w:hAnsiTheme="minorHAnsi"/>
          <w:bCs/>
          <w:snapToGrid w:val="0"/>
        </w:rPr>
      </w:pPr>
      <w:r w:rsidRPr="005A5BB7">
        <w:rPr>
          <w:rFonts w:asciiTheme="minorHAnsi" w:hAnsiTheme="minorHAnsi"/>
          <w:bCs/>
          <w:snapToGrid w:val="0"/>
        </w:rPr>
        <w:t xml:space="preserve">Recommended </w:t>
      </w:r>
    </w:p>
    <w:bookmarkEnd w:id="104"/>
    <w:p w14:paraId="13BDD3E9" w14:textId="77777777" w:rsidR="00E113F2" w:rsidRPr="005A5BB7" w:rsidRDefault="00E113F2" w:rsidP="00E113F2">
      <w:pPr>
        <w:pStyle w:val="2-SectionHeading"/>
        <w:numPr>
          <w:ilvl w:val="0"/>
          <w:numId w:val="1"/>
        </w:numPr>
      </w:pPr>
      <w:r w:rsidRPr="005A5BB7">
        <w:t>Recommended listing</w:t>
      </w:r>
    </w:p>
    <w:p w14:paraId="6A36BAC2" w14:textId="09B2F2F8" w:rsidR="00DF3838" w:rsidRPr="005A5BB7" w:rsidRDefault="009B597A" w:rsidP="00DF3838">
      <w:pPr>
        <w:pStyle w:val="3-BodyText"/>
      </w:pPr>
      <w:r w:rsidRPr="005A5BB7">
        <w:t>A</w:t>
      </w:r>
      <w:r w:rsidR="00E113F2" w:rsidRPr="005A5BB7">
        <w:t xml:space="preserve">mend </w:t>
      </w:r>
      <w:r w:rsidRPr="005A5BB7">
        <w:t>existing/</w:t>
      </w:r>
      <w:r w:rsidR="00E113F2" w:rsidRPr="005A5BB7">
        <w:t xml:space="preserve">recommended listing </w:t>
      </w:r>
      <w:r w:rsidRPr="005A5BB7">
        <w:t>in the Determination</w:t>
      </w:r>
      <w:r w:rsidR="006C4A3A" w:rsidRPr="005A5BB7">
        <w:t>. The two listing scenarios described in Section 7 are provided below.</w:t>
      </w:r>
      <w:r w:rsidR="00DA1339">
        <w:t xml:space="preserve"> </w:t>
      </w:r>
      <w:r w:rsidR="006C4A3A" w:rsidRPr="005A5BB7">
        <w:t xml:space="preserve">New text is </w:t>
      </w:r>
      <w:r w:rsidR="006D6988" w:rsidRPr="005A5BB7">
        <w:t xml:space="preserve">added </w:t>
      </w:r>
      <w:r w:rsidR="006C4A3A" w:rsidRPr="005A5BB7">
        <w:t xml:space="preserve">in italics and deletions </w:t>
      </w:r>
      <w:r w:rsidR="006D6988" w:rsidRPr="005A5BB7">
        <w:t xml:space="preserve">are crossed out with </w:t>
      </w:r>
      <w:r w:rsidR="006C4A3A" w:rsidRPr="005A5BB7">
        <w:t>strikethrough.</w:t>
      </w:r>
    </w:p>
    <w:p w14:paraId="58F0CC04" w14:textId="64DADAA6" w:rsidR="00D31F7C" w:rsidRPr="00AE0457" w:rsidRDefault="00D31F7C" w:rsidP="00A70DB4">
      <w:pPr>
        <w:keepNext/>
        <w:spacing w:before="120"/>
        <w:rPr>
          <w:rFonts w:asciiTheme="minorHAnsi" w:hAnsiTheme="minorHAnsi"/>
          <w:b/>
          <w:snapToGrid w:val="0"/>
        </w:rPr>
      </w:pPr>
      <w:r w:rsidRPr="00AE0457">
        <w:rPr>
          <w:rFonts w:asciiTheme="minorHAnsi" w:hAnsiTheme="minorHAnsi"/>
          <w:b/>
          <w:snapToGrid w:val="0"/>
        </w:rPr>
        <w:t>Listing Scenario 1</w:t>
      </w:r>
      <w:r w:rsidR="00946D8E" w:rsidRPr="00AE0457">
        <w:rPr>
          <w:rFonts w:asciiTheme="minorHAnsi" w:hAnsiTheme="minorHAnsi"/>
          <w:b/>
          <w:snapToGrid w:val="0"/>
        </w:rPr>
        <w:t xml:space="preserve"> (PBAC preferred scenario)</w:t>
      </w:r>
    </w:p>
    <w:tbl>
      <w:tblPr>
        <w:tblW w:w="0" w:type="auto"/>
        <w:tblBorders>
          <w:top w:val="single" w:sz="4" w:space="0" w:color="808080"/>
          <w:bottom w:val="single" w:sz="4" w:space="0" w:color="808080"/>
          <w:insideH w:val="single" w:sz="4" w:space="0" w:color="808080"/>
        </w:tblBorders>
        <w:tblLook w:val="04A0" w:firstRow="1" w:lastRow="0" w:firstColumn="1" w:lastColumn="0" w:noHBand="0" w:noVBand="1"/>
        <w:tblCaption w:val="Recommended listing - PBAC preferred scenario"/>
      </w:tblPr>
      <w:tblGrid>
        <w:gridCol w:w="3088"/>
        <w:gridCol w:w="718"/>
        <w:gridCol w:w="1251"/>
        <w:gridCol w:w="2615"/>
        <w:gridCol w:w="1345"/>
      </w:tblGrid>
      <w:tr w:rsidR="00AE0457" w:rsidRPr="00AE0457" w14:paraId="188D051F" w14:textId="77777777">
        <w:trPr>
          <w:tblHeader/>
        </w:trPr>
        <w:tc>
          <w:tcPr>
            <w:tcW w:w="0" w:type="auto"/>
            <w:tcBorders>
              <w:top w:val="single" w:sz="4" w:space="0" w:color="auto"/>
              <w:left w:val="single" w:sz="4" w:space="0" w:color="auto"/>
              <w:bottom w:val="single" w:sz="4" w:space="0" w:color="auto"/>
              <w:right w:val="single" w:sz="4" w:space="0" w:color="auto"/>
            </w:tcBorders>
          </w:tcPr>
          <w:p w14:paraId="28CFA6E5" w14:textId="77777777" w:rsidR="00D31F7C" w:rsidRPr="00AE0457" w:rsidRDefault="00D31F7C">
            <w:pPr>
              <w:pStyle w:val="TableText0"/>
              <w:rPr>
                <w:b/>
                <w:bCs w:val="0"/>
                <w:snapToGrid w:val="0"/>
              </w:rPr>
            </w:pPr>
            <w:r w:rsidRPr="00AE0457">
              <w:rPr>
                <w:b/>
                <w:bCs w:val="0"/>
                <w:snapToGrid w:val="0"/>
              </w:rPr>
              <w:t>Vaccine and the circumstances in which vaccine may be provided</w:t>
            </w:r>
          </w:p>
        </w:tc>
        <w:tc>
          <w:tcPr>
            <w:tcW w:w="0" w:type="auto"/>
            <w:tcBorders>
              <w:top w:val="single" w:sz="4" w:space="0" w:color="auto"/>
              <w:left w:val="single" w:sz="4" w:space="0" w:color="auto"/>
              <w:bottom w:val="single" w:sz="4" w:space="0" w:color="auto"/>
              <w:right w:val="single" w:sz="4" w:space="0" w:color="auto"/>
            </w:tcBorders>
          </w:tcPr>
          <w:p w14:paraId="4142792E" w14:textId="77777777" w:rsidR="00D31F7C" w:rsidRPr="00AE0457" w:rsidRDefault="00D31F7C">
            <w:pPr>
              <w:pStyle w:val="TableText0"/>
              <w:rPr>
                <w:b/>
                <w:bCs w:val="0"/>
                <w:snapToGrid w:val="0"/>
              </w:rPr>
            </w:pPr>
            <w:r w:rsidRPr="00AE0457">
              <w:rPr>
                <w:b/>
                <w:bCs w:val="0"/>
                <w:snapToGrid w:val="0"/>
              </w:rPr>
              <w:t xml:space="preserve">Brand </w:t>
            </w:r>
          </w:p>
        </w:tc>
        <w:tc>
          <w:tcPr>
            <w:tcW w:w="0" w:type="auto"/>
            <w:tcBorders>
              <w:top w:val="single" w:sz="4" w:space="0" w:color="auto"/>
              <w:left w:val="single" w:sz="4" w:space="0" w:color="auto"/>
              <w:bottom w:val="single" w:sz="4" w:space="0" w:color="auto"/>
              <w:right w:val="single" w:sz="4" w:space="0" w:color="auto"/>
            </w:tcBorders>
          </w:tcPr>
          <w:p w14:paraId="2E2FB952" w14:textId="77777777" w:rsidR="00D31F7C" w:rsidRPr="00AE0457" w:rsidRDefault="00D31F7C">
            <w:pPr>
              <w:pStyle w:val="TableText0"/>
              <w:rPr>
                <w:b/>
                <w:bCs w:val="0"/>
                <w:snapToGrid w:val="0"/>
              </w:rPr>
            </w:pPr>
            <w:r w:rsidRPr="00AE0457">
              <w:rPr>
                <w:b/>
                <w:bCs w:val="0"/>
                <w:snapToGrid w:val="0"/>
              </w:rPr>
              <w:t xml:space="preserve">Formulation </w:t>
            </w:r>
          </w:p>
        </w:tc>
        <w:tc>
          <w:tcPr>
            <w:tcW w:w="0" w:type="auto"/>
            <w:tcBorders>
              <w:top w:val="single" w:sz="4" w:space="0" w:color="auto"/>
              <w:left w:val="single" w:sz="4" w:space="0" w:color="auto"/>
              <w:bottom w:val="single" w:sz="4" w:space="0" w:color="auto"/>
              <w:right w:val="single" w:sz="4" w:space="0" w:color="auto"/>
            </w:tcBorders>
          </w:tcPr>
          <w:p w14:paraId="77E54FEF" w14:textId="77777777" w:rsidR="00D31F7C" w:rsidRPr="00AE0457" w:rsidRDefault="00D31F7C">
            <w:pPr>
              <w:pStyle w:val="TableText0"/>
              <w:rPr>
                <w:b/>
                <w:bCs w:val="0"/>
                <w:snapToGrid w:val="0"/>
              </w:rPr>
            </w:pPr>
            <w:r w:rsidRPr="00AE0457">
              <w:rPr>
                <w:b/>
                <w:bCs w:val="0"/>
                <w:snapToGrid w:val="0"/>
              </w:rPr>
              <w:t>Active ingredient and strength</w:t>
            </w:r>
          </w:p>
        </w:tc>
        <w:tc>
          <w:tcPr>
            <w:tcW w:w="0" w:type="auto"/>
            <w:tcBorders>
              <w:top w:val="single" w:sz="4" w:space="0" w:color="auto"/>
              <w:left w:val="single" w:sz="4" w:space="0" w:color="auto"/>
              <w:bottom w:val="single" w:sz="4" w:space="0" w:color="auto"/>
              <w:right w:val="single" w:sz="4" w:space="0" w:color="auto"/>
            </w:tcBorders>
          </w:tcPr>
          <w:p w14:paraId="3338792A" w14:textId="77777777" w:rsidR="00D31F7C" w:rsidRPr="00AE0457" w:rsidRDefault="00D31F7C">
            <w:pPr>
              <w:pStyle w:val="TableText0"/>
              <w:rPr>
                <w:b/>
                <w:bCs w:val="0"/>
                <w:snapToGrid w:val="0"/>
              </w:rPr>
            </w:pPr>
            <w:r w:rsidRPr="00AE0457">
              <w:rPr>
                <w:b/>
                <w:bCs w:val="0"/>
                <w:snapToGrid w:val="0"/>
              </w:rPr>
              <w:t>Number and timing of doses</w:t>
            </w:r>
          </w:p>
        </w:tc>
      </w:tr>
      <w:tr w:rsidR="00AE0457" w:rsidRPr="00AE0457" w14:paraId="638CBD5B" w14:textId="77777777">
        <w:tc>
          <w:tcPr>
            <w:tcW w:w="0" w:type="auto"/>
            <w:tcBorders>
              <w:top w:val="single" w:sz="4" w:space="0" w:color="auto"/>
              <w:left w:val="single" w:sz="4" w:space="0" w:color="auto"/>
              <w:bottom w:val="single" w:sz="4" w:space="0" w:color="auto"/>
              <w:right w:val="single" w:sz="4" w:space="0" w:color="auto"/>
            </w:tcBorders>
          </w:tcPr>
          <w:p w14:paraId="750A26F6" w14:textId="77777777" w:rsidR="00D31F7C" w:rsidRPr="00AE0457" w:rsidRDefault="00D31F7C">
            <w:pPr>
              <w:pStyle w:val="TableText0"/>
              <w:rPr>
                <w:rFonts w:eastAsia="MS Gothic"/>
                <w:u w:val="single"/>
              </w:rPr>
            </w:pPr>
            <w:r w:rsidRPr="00AE0457">
              <w:rPr>
                <w:rFonts w:eastAsia="MS Gothic"/>
                <w:u w:val="single"/>
              </w:rPr>
              <w:t>Vaccine</w:t>
            </w:r>
          </w:p>
          <w:p w14:paraId="2185AE1F" w14:textId="77777777" w:rsidR="00D31F7C" w:rsidRPr="00AE0457" w:rsidRDefault="00D31F7C">
            <w:pPr>
              <w:pStyle w:val="Tabletext"/>
              <w:keepNext/>
              <w:keepLines/>
              <w:rPr>
                <w:bCs/>
              </w:rPr>
            </w:pPr>
            <w:r w:rsidRPr="00AE0457">
              <w:rPr>
                <w:bCs/>
              </w:rPr>
              <w:t xml:space="preserve">respiratory syncytial virus (RSV) stabilised prefusion F </w:t>
            </w:r>
            <w:r w:rsidRPr="00AE0457">
              <w:t>protein vaccine (AS01</w:t>
            </w:r>
            <w:r w:rsidRPr="00AE0457">
              <w:rPr>
                <w:vertAlign w:val="subscript"/>
              </w:rPr>
              <w:t>E</w:t>
            </w:r>
            <w:r w:rsidRPr="00AE0457">
              <w:t xml:space="preserve"> adjuvanted)</w:t>
            </w:r>
          </w:p>
        </w:tc>
        <w:tc>
          <w:tcPr>
            <w:tcW w:w="0" w:type="auto"/>
            <w:tcBorders>
              <w:top w:val="single" w:sz="4" w:space="0" w:color="auto"/>
              <w:left w:val="single" w:sz="4" w:space="0" w:color="auto"/>
              <w:bottom w:val="single" w:sz="4" w:space="0" w:color="auto"/>
              <w:right w:val="single" w:sz="4" w:space="0" w:color="auto"/>
            </w:tcBorders>
          </w:tcPr>
          <w:p w14:paraId="20758D64" w14:textId="77777777" w:rsidR="00D31F7C" w:rsidRPr="00AE0457" w:rsidRDefault="00D31F7C">
            <w:pPr>
              <w:pStyle w:val="TableText0"/>
            </w:pPr>
            <w:r w:rsidRPr="00AE0457">
              <w:rPr>
                <w:rFonts w:eastAsia="MS Gothic"/>
              </w:rPr>
              <w:t>Arexvy</w:t>
            </w:r>
          </w:p>
        </w:tc>
        <w:tc>
          <w:tcPr>
            <w:tcW w:w="0" w:type="auto"/>
            <w:tcBorders>
              <w:top w:val="single" w:sz="4" w:space="0" w:color="auto"/>
              <w:left w:val="single" w:sz="4" w:space="0" w:color="auto"/>
              <w:bottom w:val="single" w:sz="4" w:space="0" w:color="auto"/>
              <w:right w:val="single" w:sz="4" w:space="0" w:color="auto"/>
            </w:tcBorders>
          </w:tcPr>
          <w:p w14:paraId="58BDFCA9" w14:textId="77777777" w:rsidR="00D31F7C" w:rsidRPr="00AE0457" w:rsidRDefault="00D31F7C">
            <w:pPr>
              <w:pStyle w:val="TableText0"/>
            </w:pPr>
            <w:r w:rsidRPr="00AE0457">
              <w:t>Injection (0.5mL)</w:t>
            </w:r>
          </w:p>
        </w:tc>
        <w:tc>
          <w:tcPr>
            <w:tcW w:w="0" w:type="auto"/>
            <w:tcBorders>
              <w:top w:val="single" w:sz="4" w:space="0" w:color="auto"/>
              <w:left w:val="single" w:sz="4" w:space="0" w:color="auto"/>
              <w:bottom w:val="single" w:sz="4" w:space="0" w:color="auto"/>
              <w:right w:val="single" w:sz="4" w:space="0" w:color="auto"/>
            </w:tcBorders>
          </w:tcPr>
          <w:p w14:paraId="0B92B63D" w14:textId="77777777" w:rsidR="00D31F7C" w:rsidRPr="00AE0457" w:rsidRDefault="00D31F7C">
            <w:pPr>
              <w:pStyle w:val="Tabletext"/>
              <w:keepNext/>
              <w:keepLines/>
            </w:pPr>
            <w:r w:rsidRPr="00AE0457">
              <w:rPr>
                <w:iCs/>
              </w:rPr>
              <w:t>Each 0.5mL dose contains 120 μg of</w:t>
            </w:r>
            <w:r w:rsidRPr="00AE0457">
              <w:t xml:space="preserve"> </w:t>
            </w:r>
            <w:r w:rsidRPr="00AE0457">
              <w:rPr>
                <w:iCs/>
              </w:rPr>
              <w:t>RSVPreF3 antigen adjuvanted with</w:t>
            </w:r>
            <w:r w:rsidRPr="00AE0457">
              <w:t xml:space="preserve"> AS01</w:t>
            </w:r>
            <w:r w:rsidRPr="00AE0457">
              <w:rPr>
                <w:vertAlign w:val="subscript"/>
              </w:rPr>
              <w:t>E.</w:t>
            </w:r>
          </w:p>
        </w:tc>
        <w:tc>
          <w:tcPr>
            <w:tcW w:w="0" w:type="auto"/>
            <w:tcBorders>
              <w:top w:val="single" w:sz="4" w:space="0" w:color="auto"/>
              <w:left w:val="single" w:sz="4" w:space="0" w:color="auto"/>
              <w:bottom w:val="single" w:sz="4" w:space="0" w:color="auto"/>
              <w:right w:val="single" w:sz="4" w:space="0" w:color="auto"/>
            </w:tcBorders>
          </w:tcPr>
          <w:p w14:paraId="166609A5" w14:textId="77777777" w:rsidR="00D31F7C" w:rsidRPr="00AE0457" w:rsidRDefault="00D31F7C">
            <w:pPr>
              <w:pStyle w:val="TableText0"/>
            </w:pPr>
            <w:r w:rsidRPr="00AE0457">
              <w:t xml:space="preserve">1 dose </w:t>
            </w:r>
          </w:p>
        </w:tc>
      </w:tr>
      <w:tr w:rsidR="00D31F7C" w:rsidRPr="00AE0457" w14:paraId="13B59E26" w14:textId="77777777">
        <w:tc>
          <w:tcPr>
            <w:tcW w:w="0" w:type="auto"/>
            <w:gridSpan w:val="5"/>
            <w:tcBorders>
              <w:top w:val="single" w:sz="4" w:space="0" w:color="auto"/>
              <w:left w:val="single" w:sz="4" w:space="0" w:color="auto"/>
              <w:bottom w:val="single" w:sz="4" w:space="0" w:color="auto"/>
              <w:right w:val="single" w:sz="4" w:space="0" w:color="auto"/>
            </w:tcBorders>
          </w:tcPr>
          <w:p w14:paraId="294931AA" w14:textId="77777777" w:rsidR="00D31F7C" w:rsidRPr="00AE0457" w:rsidRDefault="00D31F7C">
            <w:pPr>
              <w:pStyle w:val="TableText0"/>
              <w:rPr>
                <w:u w:val="single"/>
              </w:rPr>
            </w:pPr>
            <w:r w:rsidRPr="00AE0457">
              <w:rPr>
                <w:u w:val="single"/>
              </w:rPr>
              <w:t>Circumstances</w:t>
            </w:r>
          </w:p>
          <w:p w14:paraId="780305EB" w14:textId="59FA58FE" w:rsidR="00D31F7C" w:rsidRPr="00AE0457" w:rsidRDefault="00D31F7C">
            <w:pPr>
              <w:pStyle w:val="Tabletext"/>
              <w:keepNext/>
              <w:keepLines/>
              <w:numPr>
                <w:ilvl w:val="0"/>
                <w:numId w:val="35"/>
              </w:numPr>
            </w:pPr>
            <w:r w:rsidRPr="00AE0457">
              <w:t xml:space="preserve">A person who is at least </w:t>
            </w:r>
            <w:r w:rsidRPr="00AE0457">
              <w:rPr>
                <w:i/>
                <w:iCs/>
              </w:rPr>
              <w:t>60</w:t>
            </w:r>
            <w:r w:rsidRPr="00AE0457">
              <w:rPr>
                <w:strike/>
              </w:rPr>
              <w:t xml:space="preserve"> 75</w:t>
            </w:r>
            <w:r w:rsidRPr="00AE0457">
              <w:t xml:space="preserve"> years of age;</w:t>
            </w:r>
          </w:p>
          <w:p w14:paraId="5495D913" w14:textId="62C03974" w:rsidR="00D31F7C" w:rsidRPr="00AE0457" w:rsidRDefault="00D31F7C" w:rsidP="00D31F7C">
            <w:pPr>
              <w:pStyle w:val="TableText0"/>
              <w:numPr>
                <w:ilvl w:val="0"/>
                <w:numId w:val="35"/>
              </w:numPr>
              <w:contextualSpacing w:val="0"/>
              <w:rPr>
                <w:i/>
                <w:iCs/>
                <w:strike/>
              </w:rPr>
            </w:pPr>
            <w:r w:rsidRPr="00AE0457">
              <w:rPr>
                <w:strike/>
              </w:rPr>
              <w:t>A person who is an Aboriginal and/or Torres Strait Islander and aged 60 to 74 years.</w:t>
            </w:r>
          </w:p>
        </w:tc>
      </w:tr>
    </w:tbl>
    <w:p w14:paraId="161599D6" w14:textId="1B495524" w:rsidR="009B597A" w:rsidRPr="00AE0457" w:rsidRDefault="00D31F7C" w:rsidP="002F0A95">
      <w:pPr>
        <w:keepNext/>
        <w:spacing w:before="120"/>
        <w:rPr>
          <w:rFonts w:asciiTheme="minorHAnsi" w:hAnsiTheme="minorHAnsi"/>
          <w:b/>
          <w:snapToGrid w:val="0"/>
        </w:rPr>
      </w:pPr>
      <w:r w:rsidRPr="00AE0457">
        <w:rPr>
          <w:rFonts w:asciiTheme="minorHAnsi" w:hAnsiTheme="minorHAnsi"/>
          <w:b/>
          <w:snapToGrid w:val="0"/>
        </w:rPr>
        <w:t>Listing Scenario 2</w:t>
      </w:r>
      <w:r w:rsidR="00946D8E" w:rsidRPr="00AE0457">
        <w:rPr>
          <w:rFonts w:asciiTheme="minorHAnsi" w:hAnsiTheme="minorHAnsi"/>
          <w:b/>
          <w:snapToGrid w:val="0"/>
        </w:rPr>
        <w:t xml:space="preserve"> (as requested by sponsor)</w:t>
      </w:r>
    </w:p>
    <w:tbl>
      <w:tblPr>
        <w:tblW w:w="0" w:type="auto"/>
        <w:tblBorders>
          <w:top w:val="single" w:sz="4" w:space="0" w:color="808080"/>
          <w:bottom w:val="single" w:sz="4" w:space="0" w:color="808080"/>
          <w:insideH w:val="single" w:sz="4" w:space="0" w:color="808080"/>
        </w:tblBorders>
        <w:tblLook w:val="04A0" w:firstRow="1" w:lastRow="0" w:firstColumn="1" w:lastColumn="0" w:noHBand="0" w:noVBand="1"/>
        <w:tblCaption w:val="Recommended listing - As requested by sponsor"/>
      </w:tblPr>
      <w:tblGrid>
        <w:gridCol w:w="3061"/>
        <w:gridCol w:w="740"/>
        <w:gridCol w:w="1284"/>
        <w:gridCol w:w="2582"/>
        <w:gridCol w:w="1350"/>
      </w:tblGrid>
      <w:tr w:rsidR="00AE0457" w:rsidRPr="00AE0457" w14:paraId="0478B07C" w14:textId="77777777">
        <w:trPr>
          <w:tblHeader/>
        </w:trPr>
        <w:tc>
          <w:tcPr>
            <w:tcW w:w="0" w:type="auto"/>
            <w:tcBorders>
              <w:top w:val="single" w:sz="4" w:space="0" w:color="auto"/>
              <w:left w:val="single" w:sz="4" w:space="0" w:color="auto"/>
              <w:bottom w:val="single" w:sz="4" w:space="0" w:color="auto"/>
              <w:right w:val="single" w:sz="4" w:space="0" w:color="auto"/>
            </w:tcBorders>
          </w:tcPr>
          <w:p w14:paraId="3028F689" w14:textId="77777777" w:rsidR="009B597A" w:rsidRPr="00AE0457" w:rsidRDefault="009B597A">
            <w:pPr>
              <w:pStyle w:val="TableText0"/>
              <w:rPr>
                <w:b/>
                <w:bCs w:val="0"/>
                <w:snapToGrid w:val="0"/>
              </w:rPr>
            </w:pPr>
            <w:r w:rsidRPr="00AE0457">
              <w:rPr>
                <w:b/>
                <w:bCs w:val="0"/>
                <w:snapToGrid w:val="0"/>
              </w:rPr>
              <w:t>Vaccine and the circumstances in which vaccine may be provided</w:t>
            </w:r>
          </w:p>
        </w:tc>
        <w:tc>
          <w:tcPr>
            <w:tcW w:w="0" w:type="auto"/>
            <w:tcBorders>
              <w:top w:val="single" w:sz="4" w:space="0" w:color="auto"/>
              <w:left w:val="single" w:sz="4" w:space="0" w:color="auto"/>
              <w:bottom w:val="single" w:sz="4" w:space="0" w:color="auto"/>
              <w:right w:val="single" w:sz="4" w:space="0" w:color="auto"/>
            </w:tcBorders>
          </w:tcPr>
          <w:p w14:paraId="2E86C082" w14:textId="77777777" w:rsidR="009B597A" w:rsidRPr="00AE0457" w:rsidRDefault="009B597A">
            <w:pPr>
              <w:pStyle w:val="TableText0"/>
              <w:rPr>
                <w:b/>
                <w:bCs w:val="0"/>
                <w:snapToGrid w:val="0"/>
              </w:rPr>
            </w:pPr>
            <w:r w:rsidRPr="00AE0457">
              <w:rPr>
                <w:b/>
                <w:bCs w:val="0"/>
                <w:snapToGrid w:val="0"/>
              </w:rPr>
              <w:t xml:space="preserve">Brand </w:t>
            </w:r>
          </w:p>
        </w:tc>
        <w:tc>
          <w:tcPr>
            <w:tcW w:w="0" w:type="auto"/>
            <w:tcBorders>
              <w:top w:val="single" w:sz="4" w:space="0" w:color="auto"/>
              <w:left w:val="single" w:sz="4" w:space="0" w:color="auto"/>
              <w:bottom w:val="single" w:sz="4" w:space="0" w:color="auto"/>
              <w:right w:val="single" w:sz="4" w:space="0" w:color="auto"/>
            </w:tcBorders>
          </w:tcPr>
          <w:p w14:paraId="029413CC" w14:textId="77777777" w:rsidR="009B597A" w:rsidRPr="00AE0457" w:rsidRDefault="009B597A">
            <w:pPr>
              <w:pStyle w:val="TableText0"/>
              <w:rPr>
                <w:b/>
                <w:bCs w:val="0"/>
                <w:snapToGrid w:val="0"/>
              </w:rPr>
            </w:pPr>
            <w:r w:rsidRPr="00AE0457">
              <w:rPr>
                <w:b/>
                <w:bCs w:val="0"/>
                <w:snapToGrid w:val="0"/>
              </w:rPr>
              <w:t xml:space="preserve">Formulation </w:t>
            </w:r>
          </w:p>
        </w:tc>
        <w:tc>
          <w:tcPr>
            <w:tcW w:w="0" w:type="auto"/>
            <w:tcBorders>
              <w:top w:val="single" w:sz="4" w:space="0" w:color="auto"/>
              <w:left w:val="single" w:sz="4" w:space="0" w:color="auto"/>
              <w:bottom w:val="single" w:sz="4" w:space="0" w:color="auto"/>
              <w:right w:val="single" w:sz="4" w:space="0" w:color="auto"/>
            </w:tcBorders>
          </w:tcPr>
          <w:p w14:paraId="05C8210D" w14:textId="77777777" w:rsidR="009B597A" w:rsidRPr="00AE0457" w:rsidRDefault="009B597A">
            <w:pPr>
              <w:pStyle w:val="TableText0"/>
              <w:rPr>
                <w:b/>
                <w:bCs w:val="0"/>
                <w:snapToGrid w:val="0"/>
              </w:rPr>
            </w:pPr>
            <w:r w:rsidRPr="00AE0457">
              <w:rPr>
                <w:b/>
                <w:bCs w:val="0"/>
                <w:snapToGrid w:val="0"/>
              </w:rPr>
              <w:t>Active ingredient and strength</w:t>
            </w:r>
          </w:p>
        </w:tc>
        <w:tc>
          <w:tcPr>
            <w:tcW w:w="0" w:type="auto"/>
            <w:tcBorders>
              <w:top w:val="single" w:sz="4" w:space="0" w:color="auto"/>
              <w:left w:val="single" w:sz="4" w:space="0" w:color="auto"/>
              <w:bottom w:val="single" w:sz="4" w:space="0" w:color="auto"/>
              <w:right w:val="single" w:sz="4" w:space="0" w:color="auto"/>
            </w:tcBorders>
          </w:tcPr>
          <w:p w14:paraId="69A89C15" w14:textId="77777777" w:rsidR="009B597A" w:rsidRPr="00AE0457" w:rsidRDefault="009B597A">
            <w:pPr>
              <w:pStyle w:val="TableText0"/>
              <w:rPr>
                <w:b/>
                <w:bCs w:val="0"/>
                <w:snapToGrid w:val="0"/>
              </w:rPr>
            </w:pPr>
            <w:r w:rsidRPr="00AE0457">
              <w:rPr>
                <w:b/>
                <w:bCs w:val="0"/>
                <w:snapToGrid w:val="0"/>
              </w:rPr>
              <w:t>Number and timing of doses</w:t>
            </w:r>
          </w:p>
        </w:tc>
      </w:tr>
      <w:tr w:rsidR="00AE0457" w:rsidRPr="00AE0457" w14:paraId="2650CA6D" w14:textId="77777777">
        <w:tc>
          <w:tcPr>
            <w:tcW w:w="0" w:type="auto"/>
            <w:tcBorders>
              <w:top w:val="single" w:sz="4" w:space="0" w:color="auto"/>
              <w:left w:val="single" w:sz="4" w:space="0" w:color="auto"/>
              <w:bottom w:val="single" w:sz="4" w:space="0" w:color="auto"/>
              <w:right w:val="single" w:sz="4" w:space="0" w:color="auto"/>
            </w:tcBorders>
          </w:tcPr>
          <w:p w14:paraId="25172797" w14:textId="77777777" w:rsidR="009B597A" w:rsidRPr="00AE0457" w:rsidRDefault="009B597A">
            <w:pPr>
              <w:pStyle w:val="TableText0"/>
              <w:rPr>
                <w:rFonts w:eastAsia="MS Gothic"/>
                <w:u w:val="single"/>
              </w:rPr>
            </w:pPr>
            <w:r w:rsidRPr="00AE0457">
              <w:rPr>
                <w:rFonts w:eastAsia="MS Gothic"/>
                <w:u w:val="single"/>
              </w:rPr>
              <w:t>Vaccine</w:t>
            </w:r>
          </w:p>
          <w:p w14:paraId="04569B95" w14:textId="77777777" w:rsidR="009B597A" w:rsidRPr="00AE0457" w:rsidRDefault="009B597A">
            <w:pPr>
              <w:pStyle w:val="Tabletext"/>
              <w:keepNext/>
              <w:keepLines/>
              <w:rPr>
                <w:bCs/>
              </w:rPr>
            </w:pPr>
            <w:r w:rsidRPr="00AE0457">
              <w:rPr>
                <w:bCs/>
              </w:rPr>
              <w:t xml:space="preserve">respiratory syncytial virus (RSV) stabilised prefusion F </w:t>
            </w:r>
            <w:r w:rsidRPr="00AE0457">
              <w:t>protein vaccine (AS01</w:t>
            </w:r>
            <w:r w:rsidRPr="00AE0457">
              <w:rPr>
                <w:vertAlign w:val="subscript"/>
              </w:rPr>
              <w:t>E</w:t>
            </w:r>
            <w:r w:rsidRPr="00AE0457">
              <w:t xml:space="preserve"> adjuvanted)</w:t>
            </w:r>
          </w:p>
        </w:tc>
        <w:tc>
          <w:tcPr>
            <w:tcW w:w="0" w:type="auto"/>
            <w:tcBorders>
              <w:top w:val="single" w:sz="4" w:space="0" w:color="auto"/>
              <w:left w:val="single" w:sz="4" w:space="0" w:color="auto"/>
              <w:bottom w:val="single" w:sz="4" w:space="0" w:color="auto"/>
              <w:right w:val="single" w:sz="4" w:space="0" w:color="auto"/>
            </w:tcBorders>
          </w:tcPr>
          <w:p w14:paraId="099B60CC" w14:textId="77777777" w:rsidR="009B597A" w:rsidRPr="00AE0457" w:rsidRDefault="009B597A">
            <w:pPr>
              <w:pStyle w:val="TableText0"/>
            </w:pPr>
            <w:r w:rsidRPr="00AE0457">
              <w:rPr>
                <w:rFonts w:eastAsia="MS Gothic"/>
              </w:rPr>
              <w:t>Arexvy</w:t>
            </w:r>
          </w:p>
        </w:tc>
        <w:tc>
          <w:tcPr>
            <w:tcW w:w="0" w:type="auto"/>
            <w:tcBorders>
              <w:top w:val="single" w:sz="4" w:space="0" w:color="auto"/>
              <w:left w:val="single" w:sz="4" w:space="0" w:color="auto"/>
              <w:bottom w:val="single" w:sz="4" w:space="0" w:color="auto"/>
              <w:right w:val="single" w:sz="4" w:space="0" w:color="auto"/>
            </w:tcBorders>
          </w:tcPr>
          <w:p w14:paraId="28DD3865" w14:textId="77777777" w:rsidR="009B597A" w:rsidRPr="00AE0457" w:rsidRDefault="009B597A">
            <w:pPr>
              <w:pStyle w:val="TableText0"/>
            </w:pPr>
            <w:r w:rsidRPr="00AE0457">
              <w:t>Injection (0.5mL)</w:t>
            </w:r>
          </w:p>
        </w:tc>
        <w:tc>
          <w:tcPr>
            <w:tcW w:w="0" w:type="auto"/>
            <w:tcBorders>
              <w:top w:val="single" w:sz="4" w:space="0" w:color="auto"/>
              <w:left w:val="single" w:sz="4" w:space="0" w:color="auto"/>
              <w:bottom w:val="single" w:sz="4" w:space="0" w:color="auto"/>
              <w:right w:val="single" w:sz="4" w:space="0" w:color="auto"/>
            </w:tcBorders>
          </w:tcPr>
          <w:p w14:paraId="49C93CB4" w14:textId="77777777" w:rsidR="009B597A" w:rsidRPr="00AE0457" w:rsidRDefault="009B597A">
            <w:pPr>
              <w:pStyle w:val="Tabletext"/>
              <w:keepNext/>
              <w:keepLines/>
            </w:pPr>
            <w:r w:rsidRPr="00AE0457">
              <w:rPr>
                <w:iCs/>
              </w:rPr>
              <w:t>Each 0.5mL dose contains 120 μg of</w:t>
            </w:r>
            <w:r w:rsidRPr="00AE0457">
              <w:t xml:space="preserve"> </w:t>
            </w:r>
            <w:r w:rsidRPr="00AE0457">
              <w:rPr>
                <w:iCs/>
              </w:rPr>
              <w:t>RSVPreF3 antigen adjuvanted with</w:t>
            </w:r>
            <w:r w:rsidRPr="00AE0457">
              <w:t xml:space="preserve"> AS01</w:t>
            </w:r>
            <w:r w:rsidRPr="00AE0457">
              <w:rPr>
                <w:vertAlign w:val="subscript"/>
              </w:rPr>
              <w:t>E.</w:t>
            </w:r>
          </w:p>
        </w:tc>
        <w:tc>
          <w:tcPr>
            <w:tcW w:w="0" w:type="auto"/>
            <w:tcBorders>
              <w:top w:val="single" w:sz="4" w:space="0" w:color="auto"/>
              <w:left w:val="single" w:sz="4" w:space="0" w:color="auto"/>
              <w:bottom w:val="single" w:sz="4" w:space="0" w:color="auto"/>
              <w:right w:val="single" w:sz="4" w:space="0" w:color="auto"/>
            </w:tcBorders>
          </w:tcPr>
          <w:p w14:paraId="482AA034" w14:textId="77777777" w:rsidR="009B597A" w:rsidRPr="00AE0457" w:rsidRDefault="009B597A">
            <w:pPr>
              <w:pStyle w:val="TableText0"/>
            </w:pPr>
            <w:r w:rsidRPr="00AE0457">
              <w:t xml:space="preserve">1 dose </w:t>
            </w:r>
          </w:p>
        </w:tc>
      </w:tr>
      <w:tr w:rsidR="009B597A" w:rsidRPr="00AE0457" w14:paraId="57114704" w14:textId="77777777">
        <w:tc>
          <w:tcPr>
            <w:tcW w:w="0" w:type="auto"/>
            <w:gridSpan w:val="5"/>
            <w:tcBorders>
              <w:top w:val="single" w:sz="4" w:space="0" w:color="auto"/>
              <w:left w:val="single" w:sz="4" w:space="0" w:color="auto"/>
              <w:bottom w:val="single" w:sz="4" w:space="0" w:color="auto"/>
              <w:right w:val="single" w:sz="4" w:space="0" w:color="auto"/>
            </w:tcBorders>
          </w:tcPr>
          <w:p w14:paraId="047281C8" w14:textId="77777777" w:rsidR="009B597A" w:rsidRPr="00AE0457" w:rsidRDefault="009B597A">
            <w:pPr>
              <w:pStyle w:val="TableText0"/>
              <w:rPr>
                <w:u w:val="single"/>
              </w:rPr>
            </w:pPr>
            <w:r w:rsidRPr="00AE0457">
              <w:rPr>
                <w:u w:val="single"/>
              </w:rPr>
              <w:t>Circumstances</w:t>
            </w:r>
          </w:p>
          <w:p w14:paraId="37E98264" w14:textId="77777777" w:rsidR="009B597A" w:rsidRPr="00AE0457" w:rsidRDefault="009B597A" w:rsidP="009B597A">
            <w:pPr>
              <w:pStyle w:val="Tabletext"/>
              <w:keepNext/>
              <w:keepLines/>
              <w:numPr>
                <w:ilvl w:val="0"/>
                <w:numId w:val="35"/>
              </w:numPr>
            </w:pPr>
            <w:r w:rsidRPr="00AE0457">
              <w:t>A person who is at least 75 years of age;</w:t>
            </w:r>
          </w:p>
          <w:p w14:paraId="143BFAAA" w14:textId="77777777" w:rsidR="009B597A" w:rsidRPr="00AE0457" w:rsidRDefault="009B597A" w:rsidP="009B597A">
            <w:pPr>
              <w:pStyle w:val="TableText0"/>
              <w:numPr>
                <w:ilvl w:val="0"/>
                <w:numId w:val="35"/>
              </w:numPr>
              <w:contextualSpacing w:val="0"/>
            </w:pPr>
            <w:r w:rsidRPr="00AE0457">
              <w:t>A person who is an Aboriginal and/or Torres Strait Islander and aged 60 to 74 years.</w:t>
            </w:r>
          </w:p>
          <w:p w14:paraId="5C0C1868" w14:textId="2ABACDB9" w:rsidR="009B597A" w:rsidRPr="00AE0457" w:rsidRDefault="009B597A" w:rsidP="009B597A">
            <w:pPr>
              <w:pStyle w:val="TableText0"/>
              <w:numPr>
                <w:ilvl w:val="0"/>
                <w:numId w:val="35"/>
              </w:numPr>
              <w:rPr>
                <w:i/>
                <w:iCs/>
              </w:rPr>
            </w:pPr>
            <w:r w:rsidRPr="00AE0457">
              <w:rPr>
                <w:i/>
                <w:iCs/>
              </w:rPr>
              <w:t>A person who is aged between 60 and 74 years and is at increased risk of severe RSV disease (Defined as having at least one condition associated with increased risk of severe RSV disease in adults as defined in the Australian Immunisation Handbook)</w:t>
            </w:r>
          </w:p>
        </w:tc>
      </w:tr>
    </w:tbl>
    <w:p w14:paraId="5428FF74" w14:textId="672B3BE7" w:rsidR="00E113F2" w:rsidRDefault="00E113F2" w:rsidP="00E113F2">
      <w:pPr>
        <w:spacing w:before="120"/>
        <w:rPr>
          <w:rFonts w:asciiTheme="minorHAnsi" w:hAnsiTheme="minorHAnsi"/>
          <w:b/>
          <w:i/>
          <w:iCs/>
          <w:snapToGrid w:val="0"/>
        </w:rPr>
      </w:pPr>
      <w:r w:rsidRPr="005A5BB7">
        <w:rPr>
          <w:rFonts w:asciiTheme="minorHAnsi" w:hAnsiTheme="minorHAnsi"/>
          <w:b/>
          <w:i/>
          <w:iCs/>
          <w:snapToGrid w:val="0"/>
        </w:rPr>
        <w:t>Th</w:t>
      </w:r>
      <w:r w:rsidR="009B597A" w:rsidRPr="005A5BB7">
        <w:rPr>
          <w:rFonts w:asciiTheme="minorHAnsi" w:hAnsiTheme="minorHAnsi"/>
          <w:b/>
          <w:i/>
          <w:iCs/>
          <w:snapToGrid w:val="0"/>
        </w:rPr>
        <w:t>i</w:t>
      </w:r>
      <w:r w:rsidRPr="005A5BB7">
        <w:rPr>
          <w:rFonts w:asciiTheme="minorHAnsi" w:hAnsiTheme="minorHAnsi"/>
          <w:b/>
          <w:i/>
          <w:iCs/>
          <w:snapToGrid w:val="0"/>
        </w:rPr>
        <w:t>s restriction may be subject to further review. Should there be any changes made to the restriction the sponsor will be informed.</w:t>
      </w:r>
    </w:p>
    <w:p w14:paraId="4153C739" w14:textId="72335A12" w:rsidR="00E73252" w:rsidRPr="00E73252" w:rsidRDefault="00E73252" w:rsidP="00E73252">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E73252">
        <w:rPr>
          <w:rFonts w:asciiTheme="minorHAnsi" w:hAnsiTheme="minorHAnsi"/>
          <w:b/>
          <w:snapToGrid w:val="0"/>
          <w:sz w:val="32"/>
          <w:szCs w:val="32"/>
          <w:lang w:eastAsia="en-US"/>
        </w:rPr>
        <w:tab/>
        <w:t>Context for Decision</w:t>
      </w:r>
    </w:p>
    <w:p w14:paraId="460EA19C" w14:textId="77777777" w:rsidR="00E73252" w:rsidRPr="00E73252" w:rsidRDefault="00E73252" w:rsidP="00E73252">
      <w:pPr>
        <w:spacing w:after="120"/>
        <w:ind w:left="720"/>
        <w:rPr>
          <w:rFonts w:cs="Calibri"/>
          <w:bCs/>
          <w:szCs w:val="22"/>
          <w:lang w:val="en-GB"/>
        </w:rPr>
      </w:pPr>
      <w:r w:rsidRPr="00E73252">
        <w:rPr>
          <w:rFonts w:cs="Calibri"/>
          <w:bCs/>
          <w:szCs w:val="22"/>
          <w:lang w:val="en-GB"/>
        </w:rPr>
        <w:t xml:space="preserve">The PBAC helps decide whether and, if so, how medicines should be subsidised through the Pharmaceutical Benefits Scheme (PBS) in Australia. It considers </w:t>
      </w:r>
      <w:r w:rsidRPr="00E73252">
        <w:rPr>
          <w:rFonts w:cs="Calibri"/>
          <w:bCs/>
          <w:szCs w:val="22"/>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A5AB796" w14:textId="0B3150A1" w:rsidR="00E73252" w:rsidRPr="00E73252" w:rsidRDefault="00E73252" w:rsidP="00E73252">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Pr="00E73252">
        <w:rPr>
          <w:rFonts w:asciiTheme="minorHAnsi" w:hAnsiTheme="minorHAnsi"/>
          <w:b/>
          <w:snapToGrid w:val="0"/>
          <w:sz w:val="32"/>
          <w:szCs w:val="32"/>
          <w:lang w:eastAsia="en-US"/>
        </w:rPr>
        <w:tab/>
        <w:t>Sponsor’s Comment</w:t>
      </w:r>
    </w:p>
    <w:p w14:paraId="26B72996" w14:textId="708C4D52" w:rsidR="00956748" w:rsidRPr="0018341D" w:rsidRDefault="009C2C63" w:rsidP="0018341D">
      <w:pPr>
        <w:ind w:left="720"/>
        <w:jc w:val="left"/>
      </w:pPr>
      <w:r>
        <w:t>GSK welcomes PBAC’s recommendation and we are committed to ensuring all vulnerable older Australians, including those that are at severe risk, are protected against lower respiratory tract illness caused by RSV.</w:t>
      </w:r>
    </w:p>
    <w:bookmarkEnd w:id="103"/>
    <w:bookmarkEnd w:id="105"/>
    <w:p w14:paraId="74FF4658" w14:textId="77777777" w:rsidR="00942F1C" w:rsidRPr="005A5BB7" w:rsidRDefault="00942F1C" w:rsidP="00942F1C"/>
    <w:sectPr w:rsidR="00942F1C" w:rsidRPr="005A5BB7" w:rsidSect="007B2CE1">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6316" w14:textId="77777777" w:rsidR="005001AE" w:rsidRDefault="005001AE" w:rsidP="00124A51">
      <w:r>
        <w:separator/>
      </w:r>
    </w:p>
    <w:p w14:paraId="6BDEF0FF" w14:textId="77777777" w:rsidR="005001AE" w:rsidRDefault="005001AE"/>
  </w:endnote>
  <w:endnote w:type="continuationSeparator" w:id="0">
    <w:p w14:paraId="6D4E7726" w14:textId="77777777" w:rsidR="005001AE" w:rsidRDefault="005001AE" w:rsidP="00124A51">
      <w:r>
        <w:continuationSeparator/>
      </w:r>
    </w:p>
    <w:p w14:paraId="763DCD02" w14:textId="77777777" w:rsidR="005001AE" w:rsidRDefault="005001AE"/>
  </w:endnote>
  <w:endnote w:type="continuationNotice" w:id="1">
    <w:p w14:paraId="53797E34" w14:textId="77777777" w:rsidR="005001AE" w:rsidRDefault="00500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eXGyrePagella-Regular">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6CA4" w14:textId="23995B08" w:rsidR="00722C8A" w:rsidRDefault="00AB15AE">
    <w:pPr>
      <w:pStyle w:val="Footer"/>
    </w:pPr>
    <w:r>
      <w:rPr>
        <w:noProof/>
      </w:rPr>
      <mc:AlternateContent>
        <mc:Choice Requires="wps">
          <w:drawing>
            <wp:anchor distT="0" distB="0" distL="0" distR="0" simplePos="0" relativeHeight="251658244" behindDoc="0" locked="0" layoutInCell="1" allowOverlap="1" wp14:anchorId="4D461779" wp14:editId="1557C1D8">
              <wp:simplePos x="635" y="635"/>
              <wp:positionH relativeFrom="page">
                <wp:align>center</wp:align>
              </wp:positionH>
              <wp:positionV relativeFrom="page">
                <wp:align>bottom</wp:align>
              </wp:positionV>
              <wp:extent cx="622300" cy="376555"/>
              <wp:effectExtent l="0" t="0" r="6350" b="0"/>
              <wp:wrapNone/>
              <wp:docPr id="17647268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2FC513" w14:textId="34A822C6"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6177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52FC513" w14:textId="34A822C6"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97DB" w14:textId="3468B7DF" w:rsidR="00632206" w:rsidRDefault="00AB15AE" w:rsidP="00632206">
    <w:pPr>
      <w:pStyle w:val="Footer"/>
      <w:jc w:val="center"/>
    </w:pPr>
    <w:r>
      <w:rPr>
        <w:noProof/>
      </w:rPr>
      <mc:AlternateContent>
        <mc:Choice Requires="wps">
          <w:drawing>
            <wp:anchor distT="0" distB="0" distL="0" distR="0" simplePos="0" relativeHeight="251658245" behindDoc="0" locked="0" layoutInCell="1" allowOverlap="1" wp14:anchorId="3062C745" wp14:editId="7A1D852F">
              <wp:simplePos x="635" y="635"/>
              <wp:positionH relativeFrom="page">
                <wp:align>center</wp:align>
              </wp:positionH>
              <wp:positionV relativeFrom="page">
                <wp:align>bottom</wp:align>
              </wp:positionV>
              <wp:extent cx="622300" cy="376555"/>
              <wp:effectExtent l="0" t="0" r="6350" b="0"/>
              <wp:wrapNone/>
              <wp:docPr id="5696822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E21437" w14:textId="0D2E4EEF"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2C74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5E21437" w14:textId="0D2E4EEF"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p>
  <w:p w14:paraId="238357D8" w14:textId="07623873" w:rsidR="00632206" w:rsidRDefault="005001AE" w:rsidP="00420918">
    <w:pPr>
      <w:pStyle w:val="PageFooter"/>
    </w:pPr>
    <w:sdt>
      <w:sdtPr>
        <w:id w:val="-1773854036"/>
        <w:docPartObj>
          <w:docPartGallery w:val="Page Numbers (Bottom of Page)"/>
          <w:docPartUnique/>
        </w:docPartObj>
      </w:sdtPr>
      <w:sdtEndPr>
        <w:rPr>
          <w:noProof/>
        </w:rPr>
      </w:sdtEndPr>
      <w:sdtContent>
        <w:r w:rsidR="00632206">
          <w:fldChar w:fldCharType="begin"/>
        </w:r>
        <w:r w:rsidR="00632206">
          <w:instrText xml:space="preserve"> PAGE   \* MERGEFORMAT </w:instrText>
        </w:r>
        <w:r w:rsidR="00632206">
          <w:fldChar w:fldCharType="separate"/>
        </w:r>
        <w:r w:rsidR="00632206">
          <w:t>ii</w:t>
        </w:r>
        <w:r w:rsidR="0063220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BE04" w14:textId="1493AFDC" w:rsidR="00722C8A" w:rsidRDefault="00AB15AE">
    <w:pPr>
      <w:pStyle w:val="Footer"/>
    </w:pPr>
    <w:r>
      <w:rPr>
        <w:noProof/>
      </w:rPr>
      <mc:AlternateContent>
        <mc:Choice Requires="wps">
          <w:drawing>
            <wp:anchor distT="0" distB="0" distL="0" distR="0" simplePos="0" relativeHeight="251658243" behindDoc="0" locked="0" layoutInCell="1" allowOverlap="1" wp14:anchorId="00CE473E" wp14:editId="6B14873B">
              <wp:simplePos x="635" y="635"/>
              <wp:positionH relativeFrom="page">
                <wp:align>center</wp:align>
              </wp:positionH>
              <wp:positionV relativeFrom="page">
                <wp:align>bottom</wp:align>
              </wp:positionV>
              <wp:extent cx="622300" cy="376555"/>
              <wp:effectExtent l="0" t="0" r="6350" b="0"/>
              <wp:wrapNone/>
              <wp:docPr id="13350923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63A810" w14:textId="36332704"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E473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C63A810" w14:textId="36332704"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AD27" w14:textId="77777777" w:rsidR="005001AE" w:rsidRDefault="005001AE" w:rsidP="00124A51">
      <w:r>
        <w:separator/>
      </w:r>
    </w:p>
    <w:p w14:paraId="5664707C" w14:textId="77777777" w:rsidR="005001AE" w:rsidRDefault="005001AE"/>
  </w:footnote>
  <w:footnote w:type="continuationSeparator" w:id="0">
    <w:p w14:paraId="2BF83673" w14:textId="77777777" w:rsidR="005001AE" w:rsidRDefault="005001AE" w:rsidP="00124A51">
      <w:r>
        <w:continuationSeparator/>
      </w:r>
    </w:p>
    <w:p w14:paraId="6C4D974B" w14:textId="77777777" w:rsidR="005001AE" w:rsidRDefault="005001AE"/>
  </w:footnote>
  <w:footnote w:type="continuationNotice" w:id="1">
    <w:p w14:paraId="015BDF43" w14:textId="77777777" w:rsidR="005001AE" w:rsidRDefault="005001AE"/>
  </w:footnote>
  <w:footnote w:id="2">
    <w:p w14:paraId="6380DB19" w14:textId="0089CDD9" w:rsidR="007F2084" w:rsidRPr="007F2084" w:rsidRDefault="007F2084">
      <w:pPr>
        <w:pStyle w:val="FootnoteText"/>
        <w:rPr>
          <w:lang w:val="en-US"/>
        </w:rPr>
      </w:pPr>
      <w:r>
        <w:rPr>
          <w:rStyle w:val="FootnoteReference"/>
        </w:rPr>
        <w:footnoteRef/>
      </w:r>
      <w:r>
        <w:t xml:space="preserve"> </w:t>
      </w:r>
      <w:r w:rsidRPr="007F2084">
        <w:t>https://www.tga.gov.au/resources/prescription</w:t>
      </w:r>
      <w:r w:rsidR="000E4816">
        <w:noBreakHyphen/>
      </w:r>
      <w:r w:rsidRPr="007F2084">
        <w:t>medicines</w:t>
      </w:r>
      <w:r w:rsidR="000E4816">
        <w:noBreakHyphen/>
      </w:r>
      <w:r w:rsidRPr="007F2084">
        <w:t>registrations/arexvy</w:t>
      </w:r>
      <w:r w:rsidR="000E4816">
        <w:noBreakHyphen/>
      </w:r>
      <w:r w:rsidRPr="007F2084">
        <w:t>glaxosmithkline</w:t>
      </w:r>
      <w:r w:rsidR="000E4816">
        <w:noBreakHyphen/>
      </w:r>
      <w:r w:rsidRPr="007F2084">
        <w:t>australia</w:t>
      </w:r>
      <w:r w:rsidR="000E4816">
        <w:noBreakHyphen/>
      </w:r>
      <w:r w:rsidRPr="007F2084">
        <w:t>pty</w:t>
      </w:r>
      <w:r w:rsidR="000E4816">
        <w:noBreakHyphen/>
      </w:r>
      <w:r w:rsidRPr="007F2084">
        <w:t>ltd</w:t>
      </w:r>
      <w:r w:rsidR="000E4816">
        <w:noBreakHyphen/>
      </w:r>
      <w:r w:rsidRPr="007F2084">
        <w:t>0</w:t>
      </w:r>
    </w:p>
  </w:footnote>
  <w:footnote w:id="3">
    <w:p w14:paraId="3D56ED86" w14:textId="13ECAB5A" w:rsidR="00D57A14" w:rsidRDefault="00D57A14">
      <w:pPr>
        <w:pStyle w:val="FootnoteText"/>
      </w:pPr>
      <w:r>
        <w:rPr>
          <w:rStyle w:val="FootnoteReference"/>
        </w:rPr>
        <w:footnoteRef/>
      </w:r>
      <w:r>
        <w:t xml:space="preserve"> </w:t>
      </w:r>
      <w:hyperlink r:id="rId1" w:history="1">
        <w:r w:rsidRPr="009A7A82">
          <w:rPr>
            <w:rStyle w:val="Hyperlink"/>
          </w:rPr>
          <w:t>https://immunisationhandbook.health.gov.au/contents/vaccine</w:t>
        </w:r>
        <w:r w:rsidR="000E4816">
          <w:rPr>
            <w:rStyle w:val="Hyperlink"/>
          </w:rPr>
          <w:noBreakHyphen/>
        </w:r>
        <w:r w:rsidRPr="009A7A82">
          <w:rPr>
            <w:rStyle w:val="Hyperlink"/>
          </w:rPr>
          <w:t>preventable</w:t>
        </w:r>
        <w:r w:rsidR="000E4816">
          <w:rPr>
            <w:rStyle w:val="Hyperlink"/>
          </w:rPr>
          <w:noBreakHyphen/>
        </w:r>
        <w:r w:rsidRPr="009A7A82">
          <w:rPr>
            <w:rStyle w:val="Hyperlink"/>
          </w:rPr>
          <w:t>diseases/respiratory</w:t>
        </w:r>
        <w:r w:rsidR="000E4816">
          <w:rPr>
            <w:rStyle w:val="Hyperlink"/>
          </w:rPr>
          <w:noBreakHyphen/>
        </w:r>
        <w:r w:rsidRPr="009A7A82">
          <w:rPr>
            <w:rStyle w:val="Hyperlink"/>
          </w:rPr>
          <w:t>syncytial</w:t>
        </w:r>
        <w:r w:rsidR="000E4816">
          <w:rPr>
            <w:rStyle w:val="Hyperlink"/>
          </w:rPr>
          <w:noBreakHyphen/>
        </w:r>
        <w:r w:rsidRPr="009A7A82">
          <w:rPr>
            <w:rStyle w:val="Hyperlink"/>
          </w:rPr>
          <w:t>virus</w:t>
        </w:r>
        <w:r w:rsidR="000E4816">
          <w:rPr>
            <w:rStyle w:val="Hyperlink"/>
          </w:rPr>
          <w:noBreakHyphen/>
        </w:r>
        <w:r w:rsidRPr="009A7A82">
          <w:rPr>
            <w:rStyle w:val="Hyperlink"/>
          </w:rPr>
          <w:t>rsv</w:t>
        </w:r>
      </w:hyperlink>
    </w:p>
  </w:footnote>
  <w:footnote w:id="4">
    <w:p w14:paraId="49967DD5" w14:textId="5DD1814F" w:rsidR="007F1F4D" w:rsidRDefault="007F1F4D" w:rsidP="00FB4D3D">
      <w:pPr>
        <w:pStyle w:val="FootnoteText"/>
        <w:jc w:val="left"/>
      </w:pPr>
      <w:r>
        <w:rPr>
          <w:rStyle w:val="FootnoteReference"/>
        </w:rPr>
        <w:footnoteRef/>
      </w:r>
      <w:r w:rsidR="00FB4D3D">
        <w:t xml:space="preserve"> </w:t>
      </w:r>
      <w:hyperlink r:id="rId2" w:history="1">
        <w:r w:rsidR="00FB4D3D" w:rsidRPr="00D84B16">
          <w:rPr>
            <w:rStyle w:val="Hyperlink"/>
          </w:rPr>
          <w:t>https://immunisationhandbook.health.gov.au/resources/tables/table</w:t>
        </w:r>
        <w:r w:rsidR="000E4816">
          <w:rPr>
            <w:rStyle w:val="Hyperlink"/>
          </w:rPr>
          <w:noBreakHyphen/>
        </w:r>
        <w:r w:rsidR="00FB4D3D" w:rsidRPr="00D84B16">
          <w:rPr>
            <w:rStyle w:val="Hyperlink"/>
          </w:rPr>
          <w:t>specified</w:t>
        </w:r>
        <w:r w:rsidR="000E4816">
          <w:rPr>
            <w:rStyle w:val="Hyperlink"/>
          </w:rPr>
          <w:noBreakHyphen/>
        </w:r>
        <w:r w:rsidR="00FB4D3D" w:rsidRPr="00D84B16">
          <w:rPr>
            <w:rStyle w:val="Hyperlink"/>
          </w:rPr>
          <w:t>medical</w:t>
        </w:r>
        <w:r w:rsidR="000E4816">
          <w:rPr>
            <w:rStyle w:val="Hyperlink"/>
          </w:rPr>
          <w:noBreakHyphen/>
        </w:r>
        <w:r w:rsidR="00FB4D3D" w:rsidRPr="00D84B16">
          <w:rPr>
            <w:rStyle w:val="Hyperlink"/>
          </w:rPr>
          <w:t>conditions</w:t>
        </w:r>
        <w:r w:rsidR="000E4816">
          <w:rPr>
            <w:rStyle w:val="Hyperlink"/>
          </w:rPr>
          <w:noBreakHyphen/>
        </w:r>
        <w:r w:rsidR="00FB4D3D" w:rsidRPr="00D84B16">
          <w:rPr>
            <w:rStyle w:val="Hyperlink"/>
          </w:rPr>
          <w:t>associated</w:t>
        </w:r>
        <w:r w:rsidR="000E4816">
          <w:rPr>
            <w:rStyle w:val="Hyperlink"/>
          </w:rPr>
          <w:noBreakHyphen/>
        </w:r>
        <w:r w:rsidR="00FB4D3D" w:rsidRPr="00D84B16">
          <w:rPr>
            <w:rStyle w:val="Hyperlink"/>
          </w:rPr>
          <w:t>with</w:t>
        </w:r>
        <w:r w:rsidR="000E4816">
          <w:rPr>
            <w:rStyle w:val="Hyperlink"/>
          </w:rPr>
          <w:noBreakHyphen/>
        </w:r>
        <w:r w:rsidR="00FB4D3D" w:rsidRPr="00D84B16">
          <w:rPr>
            <w:rStyle w:val="Hyperlink"/>
          </w:rPr>
          <w:t>increased</w:t>
        </w:r>
        <w:r w:rsidR="000E4816">
          <w:rPr>
            <w:rStyle w:val="Hyperlink"/>
          </w:rPr>
          <w:noBreakHyphen/>
        </w:r>
        <w:r w:rsidR="00FB4D3D" w:rsidRPr="00D84B16">
          <w:rPr>
            <w:rStyle w:val="Hyperlink"/>
          </w:rPr>
          <w:t>risk</w:t>
        </w:r>
        <w:r w:rsidR="000E4816">
          <w:rPr>
            <w:rStyle w:val="Hyperlink"/>
          </w:rPr>
          <w:noBreakHyphen/>
        </w:r>
        <w:r w:rsidR="00FB4D3D" w:rsidRPr="00D84B16">
          <w:rPr>
            <w:rStyle w:val="Hyperlink"/>
          </w:rPr>
          <w:t>of</w:t>
        </w:r>
        <w:r w:rsidR="000E4816">
          <w:rPr>
            <w:rStyle w:val="Hyperlink"/>
          </w:rPr>
          <w:noBreakHyphen/>
        </w:r>
        <w:r w:rsidR="00FB4D3D" w:rsidRPr="00D84B16">
          <w:rPr>
            <w:rStyle w:val="Hyperlink"/>
          </w:rPr>
          <w:t>influenza</w:t>
        </w:r>
        <w:r w:rsidR="000E4816">
          <w:rPr>
            <w:rStyle w:val="Hyperlink"/>
          </w:rPr>
          <w:noBreakHyphen/>
        </w:r>
        <w:r w:rsidR="00FB4D3D" w:rsidRPr="00D84B16">
          <w:rPr>
            <w:rStyle w:val="Hyperlink"/>
          </w:rPr>
          <w:t>disease</w:t>
        </w:r>
        <w:r w:rsidR="000E4816">
          <w:rPr>
            <w:rStyle w:val="Hyperlink"/>
          </w:rPr>
          <w:noBreakHyphen/>
        </w:r>
        <w:r w:rsidR="00FB4D3D" w:rsidRPr="00D84B16">
          <w:rPr>
            <w:rStyle w:val="Hyperlink"/>
          </w:rPr>
          <w:t>and</w:t>
        </w:r>
        <w:r w:rsidR="000E4816">
          <w:rPr>
            <w:rStyle w:val="Hyperlink"/>
          </w:rPr>
          <w:noBreakHyphen/>
        </w:r>
        <w:r w:rsidR="00FB4D3D" w:rsidRPr="00D84B16">
          <w:rPr>
            <w:rStyle w:val="Hyperlink"/>
          </w:rPr>
          <w:t>severe</w:t>
        </w:r>
        <w:r w:rsidR="000E4816">
          <w:rPr>
            <w:rStyle w:val="Hyperlink"/>
          </w:rPr>
          <w:noBreakHyphen/>
        </w:r>
        <w:r w:rsidR="00FB4D3D" w:rsidRPr="00D84B16">
          <w:rPr>
            <w:rStyle w:val="Hyperlink"/>
          </w:rPr>
          <w:t>outcomes</w:t>
        </w:r>
      </w:hyperlink>
      <w:r w:rsidR="00D42850">
        <w:t xml:space="preserve"> </w:t>
      </w:r>
    </w:p>
  </w:footnote>
  <w:footnote w:id="5">
    <w:p w14:paraId="795A3BD9" w14:textId="43825F51" w:rsidR="00A60650" w:rsidRDefault="00A60650">
      <w:pPr>
        <w:pStyle w:val="FootnoteText"/>
      </w:pPr>
      <w:r>
        <w:rPr>
          <w:rStyle w:val="FootnoteReference"/>
        </w:rPr>
        <w:footnoteRef/>
      </w:r>
      <w:r>
        <w:t xml:space="preserve"> </w:t>
      </w:r>
      <w:hyperlink r:id="rId3" w:history="1">
        <w:r w:rsidRPr="00C004AF">
          <w:rPr>
            <w:rStyle w:val="Hyperlink"/>
          </w:rPr>
          <w:t>https://immunisationhandbook.health.gov.au/resources/tables/table</w:t>
        </w:r>
        <w:r w:rsidR="000E4816">
          <w:rPr>
            <w:rStyle w:val="Hyperlink"/>
          </w:rPr>
          <w:noBreakHyphen/>
        </w:r>
        <w:r w:rsidRPr="00C004AF">
          <w:rPr>
            <w:rStyle w:val="Hyperlink"/>
          </w:rPr>
          <w:t>conditions</w:t>
        </w:r>
        <w:r w:rsidR="000E4816">
          <w:rPr>
            <w:rStyle w:val="Hyperlink"/>
          </w:rPr>
          <w:noBreakHyphen/>
        </w:r>
        <w:r w:rsidRPr="00C004AF">
          <w:rPr>
            <w:rStyle w:val="Hyperlink"/>
          </w:rPr>
          <w:t>associated</w:t>
        </w:r>
        <w:r w:rsidR="000E4816">
          <w:rPr>
            <w:rStyle w:val="Hyperlink"/>
          </w:rPr>
          <w:noBreakHyphen/>
        </w:r>
        <w:r w:rsidRPr="00C004AF">
          <w:rPr>
            <w:rStyle w:val="Hyperlink"/>
          </w:rPr>
          <w:t>with</w:t>
        </w:r>
        <w:r w:rsidR="000E4816">
          <w:rPr>
            <w:rStyle w:val="Hyperlink"/>
          </w:rPr>
          <w:noBreakHyphen/>
        </w:r>
        <w:r w:rsidRPr="00C004AF">
          <w:rPr>
            <w:rStyle w:val="Hyperlink"/>
          </w:rPr>
          <w:t>increased</w:t>
        </w:r>
        <w:r w:rsidR="000E4816">
          <w:rPr>
            <w:rStyle w:val="Hyperlink"/>
          </w:rPr>
          <w:noBreakHyphen/>
        </w:r>
        <w:r w:rsidRPr="00C004AF">
          <w:rPr>
            <w:rStyle w:val="Hyperlink"/>
          </w:rPr>
          <w:t>risk</w:t>
        </w:r>
        <w:r w:rsidR="000E4816">
          <w:rPr>
            <w:rStyle w:val="Hyperlink"/>
          </w:rPr>
          <w:noBreakHyphen/>
        </w:r>
        <w:r w:rsidRPr="00C004AF">
          <w:rPr>
            <w:rStyle w:val="Hyperlink"/>
          </w:rPr>
          <w:t>of</w:t>
        </w:r>
        <w:r w:rsidR="000E4816">
          <w:rPr>
            <w:rStyle w:val="Hyperlink"/>
          </w:rPr>
          <w:noBreakHyphen/>
        </w:r>
        <w:r w:rsidRPr="00C004AF">
          <w:rPr>
            <w:rStyle w:val="Hyperlink"/>
          </w:rPr>
          <w:t>severe</w:t>
        </w:r>
        <w:r w:rsidR="000E4816">
          <w:rPr>
            <w:rStyle w:val="Hyperlink"/>
          </w:rPr>
          <w:noBreakHyphen/>
        </w:r>
        <w:r w:rsidRPr="00C004AF">
          <w:rPr>
            <w:rStyle w:val="Hyperlink"/>
          </w:rPr>
          <w:t>rsv</w:t>
        </w:r>
        <w:r w:rsidR="000E4816">
          <w:rPr>
            <w:rStyle w:val="Hyperlink"/>
          </w:rPr>
          <w:noBreakHyphen/>
        </w:r>
        <w:r w:rsidRPr="00C004AF">
          <w:rPr>
            <w:rStyle w:val="Hyperlink"/>
          </w:rPr>
          <w:t>disease</w:t>
        </w:r>
        <w:r w:rsidR="000E4816">
          <w:rPr>
            <w:rStyle w:val="Hyperlink"/>
          </w:rPr>
          <w:noBreakHyphen/>
        </w:r>
        <w:r w:rsidRPr="00C004AF">
          <w:rPr>
            <w:rStyle w:val="Hyperlink"/>
          </w:rPr>
          <w:t>in</w:t>
        </w:r>
        <w:r w:rsidR="000E4816">
          <w:rPr>
            <w:rStyle w:val="Hyperlink"/>
          </w:rPr>
          <w:noBreakHyphen/>
        </w:r>
        <w:r w:rsidRPr="00C004AF">
          <w:rPr>
            <w:rStyle w:val="Hyperlink"/>
          </w:rPr>
          <w:t>adults</w:t>
        </w:r>
      </w:hyperlink>
    </w:p>
  </w:footnote>
  <w:footnote w:id="6">
    <w:p w14:paraId="62B9B5FB" w14:textId="1AA0E466" w:rsidR="00296EA9" w:rsidRDefault="00296EA9">
      <w:pPr>
        <w:pStyle w:val="FootnoteText"/>
      </w:pPr>
      <w:r>
        <w:rPr>
          <w:rStyle w:val="FootnoteReference"/>
        </w:rPr>
        <w:footnoteRef/>
      </w:r>
      <w:r>
        <w:t xml:space="preserve"> </w:t>
      </w:r>
      <w:r w:rsidRPr="00296EA9">
        <w:t xml:space="preserve">Robert G Feldman, </w:t>
      </w:r>
      <w:r>
        <w:t>et al.</w:t>
      </w:r>
      <w:r w:rsidRPr="00296EA9">
        <w:t xml:space="preserve"> Respiratory Syncytial Virus Prefusion F Protein Vaccine Is Efficacious in Older Adults With Underlying Medical Conditions, </w:t>
      </w:r>
      <w:r w:rsidRPr="00296EA9">
        <w:rPr>
          <w:i/>
          <w:iCs/>
        </w:rPr>
        <w:t>Clinical Infectious Diseases</w:t>
      </w:r>
      <w:r w:rsidRPr="00296EA9">
        <w:t>, Volume 78, Issue 1, 15 January 2024, Pages 202–209</w:t>
      </w:r>
      <w:r w:rsidR="00E129C1">
        <w:t>.</w:t>
      </w:r>
    </w:p>
  </w:footnote>
  <w:footnote w:id="7">
    <w:p w14:paraId="79599D7D" w14:textId="231B41FB" w:rsidR="001F70B3" w:rsidRPr="001F70B3" w:rsidRDefault="001F70B3">
      <w:pPr>
        <w:pStyle w:val="FootnoteText"/>
        <w:rPr>
          <w:lang w:val="en-US"/>
        </w:rPr>
      </w:pPr>
      <w:r>
        <w:rPr>
          <w:rStyle w:val="FootnoteReference"/>
        </w:rPr>
        <w:footnoteRef/>
      </w:r>
      <w:r>
        <w:t xml:space="preserve"> </w:t>
      </w:r>
      <w:r w:rsidRPr="00330CD7">
        <w:t xml:space="preserve">Yu J, </w:t>
      </w:r>
      <w:r w:rsidR="00385636">
        <w:t>et al</w:t>
      </w:r>
      <w:r w:rsidRPr="00330CD7">
        <w:t>. Evaluation of Efficacy Endpoints for a Phase IIb Study of a Respiratory Syncytial Virus Vaccine in Older Adults Using Patient</w:t>
      </w:r>
      <w:r w:rsidR="000E4816">
        <w:noBreakHyphen/>
      </w:r>
      <w:r w:rsidRPr="00330CD7">
        <w:t>Reported Outcomes With Laboratory Confirmation. Value Health. 2020 Feb;23(2):227</w:t>
      </w:r>
      <w:r w:rsidR="000E4816">
        <w:noBreakHyphen/>
      </w:r>
      <w:r w:rsidRPr="00330CD7">
        <w:t>235. doi: 10.1016/j.jval.2019.09.2747. Epub 2019 Nov 21. PMID: 32113628.</w:t>
      </w:r>
    </w:p>
  </w:footnote>
  <w:footnote w:id="8">
    <w:p w14:paraId="511BD4F3" w14:textId="25B85B26" w:rsidR="00B51BE3" w:rsidRDefault="00B51BE3">
      <w:pPr>
        <w:pStyle w:val="FootnoteText"/>
      </w:pPr>
      <w:r>
        <w:rPr>
          <w:rStyle w:val="FootnoteReference"/>
        </w:rPr>
        <w:footnoteRef/>
      </w:r>
      <w:r>
        <w:t xml:space="preserve"> </w:t>
      </w:r>
      <w:r w:rsidRPr="00B51BE3">
        <w:t xml:space="preserve">Feldman, R. G. </w:t>
      </w:r>
      <w:r>
        <w:t>et al</w:t>
      </w:r>
      <w:r w:rsidRPr="00B51BE3">
        <w:t>, &amp; AReSVi</w:t>
      </w:r>
      <w:r w:rsidR="000E4816">
        <w:noBreakHyphen/>
      </w:r>
      <w:r w:rsidRPr="00B51BE3">
        <w:t>006 Study Group (2024). Respiratory Syncytial Virus Prefusion F Protein Vaccine Is Efficacious in Older Adults With Underlying Medical Conditions. Clinical infectious diseases : an official publication of the Infectious Diseases Society of America, 78(1), 202–209.</w:t>
      </w:r>
    </w:p>
  </w:footnote>
  <w:footnote w:id="9">
    <w:p w14:paraId="144A5417" w14:textId="0D954AF3" w:rsidR="00E82C05" w:rsidRPr="00E82C05" w:rsidRDefault="00E82C05">
      <w:pPr>
        <w:pStyle w:val="FootnoteText"/>
        <w:rPr>
          <w:lang w:val="en-US"/>
        </w:rPr>
      </w:pPr>
      <w:r>
        <w:rPr>
          <w:rStyle w:val="FootnoteReference"/>
        </w:rPr>
        <w:footnoteRef/>
      </w:r>
      <w:r w:rsidR="002C347E">
        <w:t xml:space="preserve"> </w:t>
      </w:r>
      <w:hyperlink r:id="rId4" w:history="1">
        <w:r w:rsidR="002C347E" w:rsidRPr="00204293">
          <w:rPr>
            <w:rStyle w:val="Hyperlink"/>
          </w:rPr>
          <w:t>https://www.fda.gov/vaccines</w:t>
        </w:r>
        <w:r w:rsidR="000E4816">
          <w:rPr>
            <w:rStyle w:val="Hyperlink"/>
          </w:rPr>
          <w:noBreakHyphen/>
        </w:r>
        <w:r w:rsidR="002C347E" w:rsidRPr="00204293">
          <w:rPr>
            <w:rStyle w:val="Hyperlink"/>
          </w:rPr>
          <w:t>blood</w:t>
        </w:r>
        <w:r w:rsidR="000E4816">
          <w:rPr>
            <w:rStyle w:val="Hyperlink"/>
          </w:rPr>
          <w:noBreakHyphen/>
        </w:r>
        <w:r w:rsidR="002C347E" w:rsidRPr="00204293">
          <w:rPr>
            <w:rStyle w:val="Hyperlink"/>
          </w:rPr>
          <w:t>biologics/safety</w:t>
        </w:r>
        <w:r w:rsidR="000E4816">
          <w:rPr>
            <w:rStyle w:val="Hyperlink"/>
          </w:rPr>
          <w:noBreakHyphen/>
        </w:r>
        <w:r w:rsidR="002C347E" w:rsidRPr="00204293">
          <w:rPr>
            <w:rStyle w:val="Hyperlink"/>
          </w:rPr>
          <w:t>availability</w:t>
        </w:r>
        <w:r w:rsidR="000E4816">
          <w:rPr>
            <w:rStyle w:val="Hyperlink"/>
          </w:rPr>
          <w:noBreakHyphen/>
        </w:r>
        <w:r w:rsidR="002C347E" w:rsidRPr="00204293">
          <w:rPr>
            <w:rStyle w:val="Hyperlink"/>
          </w:rPr>
          <w:t>biologics/fda</w:t>
        </w:r>
        <w:r w:rsidR="000E4816">
          <w:rPr>
            <w:rStyle w:val="Hyperlink"/>
          </w:rPr>
          <w:noBreakHyphen/>
        </w:r>
        <w:r w:rsidR="002C347E" w:rsidRPr="00204293">
          <w:rPr>
            <w:rStyle w:val="Hyperlink"/>
          </w:rPr>
          <w:t>requires</w:t>
        </w:r>
        <w:r w:rsidR="000E4816">
          <w:rPr>
            <w:rStyle w:val="Hyperlink"/>
          </w:rPr>
          <w:noBreakHyphen/>
        </w:r>
        <w:r w:rsidR="002C347E" w:rsidRPr="00204293">
          <w:rPr>
            <w:rStyle w:val="Hyperlink"/>
          </w:rPr>
          <w:t>guillain</w:t>
        </w:r>
        <w:r w:rsidR="000E4816">
          <w:rPr>
            <w:rStyle w:val="Hyperlink"/>
          </w:rPr>
          <w:noBreakHyphen/>
        </w:r>
        <w:r w:rsidR="002C347E" w:rsidRPr="00204293">
          <w:rPr>
            <w:rStyle w:val="Hyperlink"/>
          </w:rPr>
          <w:t>barre</w:t>
        </w:r>
        <w:r w:rsidR="000E4816">
          <w:rPr>
            <w:rStyle w:val="Hyperlink"/>
          </w:rPr>
          <w:noBreakHyphen/>
        </w:r>
        <w:r w:rsidR="002C347E" w:rsidRPr="00204293">
          <w:rPr>
            <w:rStyle w:val="Hyperlink"/>
          </w:rPr>
          <w:t>syndrome</w:t>
        </w:r>
        <w:r w:rsidR="000E4816">
          <w:rPr>
            <w:rStyle w:val="Hyperlink"/>
          </w:rPr>
          <w:noBreakHyphen/>
        </w:r>
        <w:r w:rsidR="002C347E" w:rsidRPr="00204293">
          <w:rPr>
            <w:rStyle w:val="Hyperlink"/>
          </w:rPr>
          <w:t>gbs</w:t>
        </w:r>
        <w:r w:rsidR="000E4816">
          <w:rPr>
            <w:rStyle w:val="Hyperlink"/>
          </w:rPr>
          <w:noBreakHyphen/>
        </w:r>
        <w:r w:rsidR="002C347E" w:rsidRPr="00204293">
          <w:rPr>
            <w:rStyle w:val="Hyperlink"/>
          </w:rPr>
          <w:t>warning</w:t>
        </w:r>
        <w:r w:rsidR="000E4816">
          <w:rPr>
            <w:rStyle w:val="Hyperlink"/>
          </w:rPr>
          <w:noBreakHyphen/>
        </w:r>
        <w:r w:rsidR="002C347E" w:rsidRPr="00204293">
          <w:rPr>
            <w:rStyle w:val="Hyperlink"/>
          </w:rPr>
          <w:t>prescribing</w:t>
        </w:r>
        <w:r w:rsidR="000E4816">
          <w:rPr>
            <w:rStyle w:val="Hyperlink"/>
          </w:rPr>
          <w:noBreakHyphen/>
        </w:r>
        <w:r w:rsidR="002C347E" w:rsidRPr="00204293">
          <w:rPr>
            <w:rStyle w:val="Hyperlink"/>
          </w:rPr>
          <w:t>information</w:t>
        </w:r>
        <w:r w:rsidR="000E4816">
          <w:rPr>
            <w:rStyle w:val="Hyperlink"/>
          </w:rPr>
          <w:noBreakHyphen/>
        </w:r>
        <w:r w:rsidR="002C347E" w:rsidRPr="00204293">
          <w:rPr>
            <w:rStyle w:val="Hyperlink"/>
          </w:rPr>
          <w:t>rsv</w:t>
        </w:r>
        <w:r w:rsidR="000E4816">
          <w:rPr>
            <w:rStyle w:val="Hyperlink"/>
          </w:rPr>
          <w:noBreakHyphen/>
        </w:r>
        <w:r w:rsidR="002C347E" w:rsidRPr="00204293">
          <w:rPr>
            <w:rStyle w:val="Hyperlink"/>
          </w:rPr>
          <w:t>vaccines</w:t>
        </w:r>
        <w:r w:rsidR="000E4816">
          <w:rPr>
            <w:rStyle w:val="Hyperlink"/>
          </w:rPr>
          <w:noBreakHyphen/>
        </w:r>
        <w:r w:rsidR="002C347E" w:rsidRPr="00204293">
          <w:rPr>
            <w:rStyle w:val="Hyperlink"/>
          </w:rPr>
          <w:t>abrysvo</w:t>
        </w:r>
        <w:r w:rsidR="000E4816">
          <w:rPr>
            <w:rStyle w:val="Hyperlink"/>
          </w:rPr>
          <w:noBreakHyphen/>
        </w:r>
        <w:r w:rsidR="002C347E" w:rsidRPr="00204293">
          <w:rPr>
            <w:rStyle w:val="Hyperlink"/>
          </w:rPr>
          <w:t>and</w:t>
        </w:r>
      </w:hyperlink>
      <w:r w:rsidR="002C347E">
        <w:t xml:space="preserve"> </w:t>
      </w:r>
    </w:p>
  </w:footnote>
  <w:footnote w:id="10">
    <w:p w14:paraId="501784F1" w14:textId="6553070C" w:rsidR="00F27C88" w:rsidRPr="00547CA6" w:rsidRDefault="00F27C88" w:rsidP="00F27C88">
      <w:pPr>
        <w:pStyle w:val="FootnoteText"/>
        <w:rPr>
          <w:lang w:val="en-US"/>
        </w:rPr>
      </w:pPr>
      <w:r>
        <w:rPr>
          <w:rStyle w:val="FootnoteReference"/>
        </w:rPr>
        <w:footnoteRef/>
      </w:r>
      <w:r>
        <w:t xml:space="preserve"> </w:t>
      </w:r>
      <w:hyperlink r:id="rId5" w:history="1">
        <w:r w:rsidRPr="00CC2E20">
          <w:rPr>
            <w:rStyle w:val="Hyperlink"/>
          </w:rPr>
          <w:t>https://www.tga.gov.au/news/safety</w:t>
        </w:r>
        <w:r w:rsidR="000E4816">
          <w:rPr>
            <w:rStyle w:val="Hyperlink"/>
          </w:rPr>
          <w:noBreakHyphen/>
        </w:r>
        <w:r w:rsidRPr="00CC2E20">
          <w:rPr>
            <w:rStyle w:val="Hyperlink"/>
          </w:rPr>
          <w:t>updates/updated</w:t>
        </w:r>
        <w:r w:rsidR="000E4816">
          <w:rPr>
            <w:rStyle w:val="Hyperlink"/>
          </w:rPr>
          <w:noBreakHyphen/>
        </w:r>
        <w:r w:rsidRPr="00CC2E20">
          <w:rPr>
            <w:rStyle w:val="Hyperlink"/>
          </w:rPr>
          <w:t>warnings</w:t>
        </w:r>
        <w:r w:rsidR="000E4816">
          <w:rPr>
            <w:rStyle w:val="Hyperlink"/>
          </w:rPr>
          <w:noBreakHyphen/>
        </w:r>
        <w:r w:rsidRPr="00CC2E20">
          <w:rPr>
            <w:rStyle w:val="Hyperlink"/>
          </w:rPr>
          <w:t>respiratory</w:t>
        </w:r>
        <w:r w:rsidR="000E4816">
          <w:rPr>
            <w:rStyle w:val="Hyperlink"/>
          </w:rPr>
          <w:noBreakHyphen/>
        </w:r>
        <w:r w:rsidRPr="00CC2E20">
          <w:rPr>
            <w:rStyle w:val="Hyperlink"/>
          </w:rPr>
          <w:t>syncytial</w:t>
        </w:r>
        <w:r w:rsidR="000E4816">
          <w:rPr>
            <w:rStyle w:val="Hyperlink"/>
          </w:rPr>
          <w:noBreakHyphen/>
        </w:r>
        <w:r w:rsidRPr="00CC2E20">
          <w:rPr>
            <w:rStyle w:val="Hyperlink"/>
          </w:rPr>
          <w:t>virus</w:t>
        </w:r>
        <w:r w:rsidR="000E4816">
          <w:rPr>
            <w:rStyle w:val="Hyperlink"/>
          </w:rPr>
          <w:noBreakHyphen/>
        </w:r>
        <w:r w:rsidRPr="00CC2E20">
          <w:rPr>
            <w:rStyle w:val="Hyperlink"/>
          </w:rPr>
          <w:t>vaccines</w:t>
        </w:r>
        <w:r w:rsidR="000E4816">
          <w:rPr>
            <w:rStyle w:val="Hyperlink"/>
          </w:rPr>
          <w:noBreakHyphen/>
        </w:r>
        <w:r w:rsidRPr="00CC2E20">
          <w:rPr>
            <w:rStyle w:val="Hyperlink"/>
          </w:rPr>
          <w:t>arexvy</w:t>
        </w:r>
        <w:r w:rsidR="000E4816">
          <w:rPr>
            <w:rStyle w:val="Hyperlink"/>
          </w:rPr>
          <w:noBreakHyphen/>
        </w:r>
        <w:r w:rsidRPr="00CC2E20">
          <w:rPr>
            <w:rStyle w:val="Hyperlink"/>
          </w:rPr>
          <w:t>and</w:t>
        </w:r>
        <w:r w:rsidR="000E4816">
          <w:rPr>
            <w:rStyle w:val="Hyperlink"/>
          </w:rPr>
          <w:noBreakHyphen/>
        </w:r>
        <w:r w:rsidRPr="00CC2E20">
          <w:rPr>
            <w:rStyle w:val="Hyperlink"/>
          </w:rPr>
          <w:t>abrysvo</w:t>
        </w:r>
      </w:hyperlink>
      <w:r>
        <w:t xml:space="preserve"> </w:t>
      </w:r>
    </w:p>
  </w:footnote>
  <w:footnote w:id="11">
    <w:p w14:paraId="23506B37" w14:textId="3029E8D6" w:rsidR="00254902" w:rsidRDefault="00254902">
      <w:pPr>
        <w:pStyle w:val="FootnoteText"/>
      </w:pPr>
      <w:r>
        <w:rPr>
          <w:rStyle w:val="FootnoteReference"/>
        </w:rPr>
        <w:footnoteRef/>
      </w:r>
      <w:r>
        <w:t xml:space="preserve"> </w:t>
      </w:r>
      <w:hyperlink r:id="rId6" w:history="1">
        <w:r w:rsidRPr="00C45AB6">
          <w:rPr>
            <w:rStyle w:val="Hyperlink"/>
          </w:rPr>
          <w:t>Vaccine</w:t>
        </w:r>
        <w:r w:rsidR="000E4816">
          <w:rPr>
            <w:rStyle w:val="Hyperlink"/>
          </w:rPr>
          <w:noBreakHyphen/>
        </w:r>
        <w:r w:rsidRPr="00C45AB6">
          <w:rPr>
            <w:rStyle w:val="Hyperlink"/>
          </w:rPr>
          <w:t xml:space="preserve">preventable diseases in Australia, Summary </w:t>
        </w:r>
        <w:r w:rsidR="000E4816">
          <w:rPr>
            <w:rStyle w:val="Hyperlink"/>
          </w:rPr>
          <w:noBreakHyphen/>
        </w:r>
        <w:r w:rsidRPr="00C45AB6">
          <w:rPr>
            <w:rStyle w:val="Hyperlink"/>
          </w:rPr>
          <w:t xml:space="preserve"> Australian Institute of Health and Welfare</w:t>
        </w:r>
      </w:hyperlink>
      <w:r>
        <w:t>.</w:t>
      </w:r>
      <w:r w:rsidR="0018341D">
        <w:t xml:space="preserve"> </w:t>
      </w:r>
      <w:hyperlink r:id="rId7" w:history="1">
        <w:r w:rsidRPr="00C004AF">
          <w:rPr>
            <w:rStyle w:val="Hyperlink"/>
          </w:rPr>
          <w:t>https://www.aihw.gov.au/reports/immunisation/vaccine</w:t>
        </w:r>
        <w:r w:rsidR="000E4816">
          <w:rPr>
            <w:rStyle w:val="Hyperlink"/>
          </w:rPr>
          <w:noBreakHyphen/>
        </w:r>
        <w:r w:rsidRPr="00C004AF">
          <w:rPr>
            <w:rStyle w:val="Hyperlink"/>
          </w:rPr>
          <w:t>preventable</w:t>
        </w:r>
        <w:r w:rsidR="000E4816">
          <w:rPr>
            <w:rStyle w:val="Hyperlink"/>
          </w:rPr>
          <w:noBreakHyphen/>
        </w:r>
        <w:r w:rsidRPr="00C004AF">
          <w:rPr>
            <w:rStyle w:val="Hyperlink"/>
          </w:rPr>
          <w:t>diseases/contents/summary</w:t>
        </w:r>
      </w:hyperlink>
      <w:r>
        <w:t>, accessed 12 Jan 2025.</w:t>
      </w:r>
    </w:p>
  </w:footnote>
  <w:footnote w:id="12">
    <w:p w14:paraId="2A3AF3D3" w14:textId="5FBC2610" w:rsidR="0024324D" w:rsidRDefault="0024324D">
      <w:pPr>
        <w:pStyle w:val="FootnoteText"/>
      </w:pPr>
      <w:r>
        <w:rPr>
          <w:rStyle w:val="FootnoteReference"/>
        </w:rPr>
        <w:footnoteRef/>
      </w:r>
      <w:r>
        <w:t xml:space="preserve"> </w:t>
      </w:r>
      <w:r w:rsidRPr="0024324D">
        <w:t>https://www.aihw.gov.au/reports/immunisation/vaccine</w:t>
      </w:r>
      <w:r w:rsidR="000E4816">
        <w:noBreakHyphen/>
      </w:r>
      <w:r w:rsidRPr="0024324D">
        <w:t>preventable</w:t>
      </w:r>
      <w:r w:rsidR="000E4816">
        <w:noBreakHyphen/>
      </w:r>
      <w:r w:rsidRPr="0024324D">
        <w:t>diseases/contents/data</w:t>
      </w:r>
      <w:r w:rsidR="000E4816">
        <w:noBreakHyphen/>
      </w:r>
      <w:r w:rsidRPr="0024324D">
        <w:t>visualisations</w:t>
      </w:r>
    </w:p>
  </w:footnote>
  <w:footnote w:id="13">
    <w:p w14:paraId="43DE1A69" w14:textId="77E1B6FD" w:rsidR="005D4E07" w:rsidRDefault="005D4E07">
      <w:pPr>
        <w:pStyle w:val="FootnoteText"/>
      </w:pPr>
      <w:r>
        <w:rPr>
          <w:rStyle w:val="FootnoteReference"/>
        </w:rPr>
        <w:footnoteRef/>
      </w:r>
      <w:r>
        <w:t xml:space="preserve"> </w:t>
      </w:r>
      <w:r w:rsidR="00787BA5">
        <w:t xml:space="preserve">Referred in the resubmission as the </w:t>
      </w:r>
      <w:r w:rsidR="00A60077" w:rsidRPr="00A60077">
        <w:t xml:space="preserve">National Centre for Immunisation Research and Surveillance </w:t>
      </w:r>
      <w:r w:rsidR="00787BA5">
        <w:t>(</w:t>
      </w:r>
      <w:r w:rsidRPr="005D4E07">
        <w:t>NCIRS</w:t>
      </w:r>
      <w:r w:rsidR="00787BA5">
        <w:t>)</w:t>
      </w:r>
      <w:r w:rsidRPr="005D4E07">
        <w:t xml:space="preserve"> analysis of AIHW RSV</w:t>
      </w:r>
      <w:r w:rsidR="000E4816">
        <w:noBreakHyphen/>
      </w:r>
      <w:r w:rsidRPr="005D4E07">
        <w:t>coded hospitalisations (Dr Jen Kok Webinar. Available at https://ncirs.org.au/ncirs</w:t>
      </w:r>
      <w:r w:rsidR="000E4816">
        <w:noBreakHyphen/>
      </w:r>
      <w:r w:rsidRPr="005D4E07">
        <w:t>webinar</w:t>
      </w:r>
      <w:r w:rsidR="000E4816">
        <w:noBreakHyphen/>
      </w:r>
      <w:r w:rsidRPr="005D4E07">
        <w:t>series/07032024</w:t>
      </w:r>
      <w:r w:rsidR="000E4816">
        <w:noBreakHyphen/>
      </w:r>
      <w:r w:rsidRPr="005D4E07">
        <w:t>rsv</w:t>
      </w:r>
      <w:r w:rsidR="000E4816">
        <w:noBreakHyphen/>
      </w:r>
      <w:r w:rsidRPr="005D4E07">
        <w:t>vaccines</w:t>
      </w:r>
      <w:r w:rsidR="000E4816">
        <w:noBreakHyphen/>
      </w:r>
      <w:r w:rsidRPr="005D4E07">
        <w:t>protection</w:t>
      </w:r>
      <w:r w:rsidR="000E4816">
        <w:noBreakHyphen/>
      </w:r>
      <w:r w:rsidRPr="005D4E07">
        <w:t>older</w:t>
      </w:r>
      <w:r w:rsidR="000E4816">
        <w:noBreakHyphen/>
      </w:r>
      <w:r w:rsidRPr="005D4E07">
        <w:t>adults)</w:t>
      </w:r>
    </w:p>
  </w:footnote>
  <w:footnote w:id="14">
    <w:p w14:paraId="6F17D7EB" w14:textId="23D3BE6B" w:rsidR="000B65C6" w:rsidRDefault="000B65C6">
      <w:pPr>
        <w:pStyle w:val="FootnoteText"/>
      </w:pPr>
      <w:r>
        <w:rPr>
          <w:rStyle w:val="FootnoteReference"/>
        </w:rPr>
        <w:footnoteRef/>
      </w:r>
      <w:r>
        <w:t xml:space="preserve"> </w:t>
      </w:r>
      <w:r w:rsidRPr="00FD265B">
        <w:t xml:space="preserve">Australian Bureau of Statistics. National Health Survey 2022. </w:t>
      </w:r>
      <w:hyperlink r:id="rId8" w:history="1">
        <w:r w:rsidRPr="00C6503D">
          <w:rPr>
            <w:rStyle w:val="Hyperlink"/>
          </w:rPr>
          <w:t>https://www.abs.gov.au/statistics/health/health</w:t>
        </w:r>
        <w:r w:rsidR="000E4816">
          <w:rPr>
            <w:rStyle w:val="Hyperlink"/>
          </w:rPr>
          <w:noBreakHyphen/>
        </w:r>
        <w:r w:rsidRPr="00C6503D">
          <w:rPr>
            <w:rStyle w:val="Hyperlink"/>
          </w:rPr>
          <w:t>conditions</w:t>
        </w:r>
        <w:r w:rsidR="000E4816">
          <w:rPr>
            <w:rStyle w:val="Hyperlink"/>
          </w:rPr>
          <w:noBreakHyphen/>
        </w:r>
        <w:r w:rsidRPr="00C6503D">
          <w:rPr>
            <w:rStyle w:val="Hyperlink"/>
          </w:rPr>
          <w:t>and</w:t>
        </w:r>
        <w:r w:rsidR="000E4816">
          <w:rPr>
            <w:rStyle w:val="Hyperlink"/>
          </w:rPr>
          <w:noBreakHyphen/>
        </w:r>
        <w:r w:rsidRPr="00C6503D">
          <w:rPr>
            <w:rStyle w:val="Hyperlink"/>
          </w:rPr>
          <w:t>risks/national</w:t>
        </w:r>
        <w:r w:rsidR="000E4816">
          <w:rPr>
            <w:rStyle w:val="Hyperlink"/>
          </w:rPr>
          <w:noBreakHyphen/>
        </w:r>
        <w:r w:rsidRPr="00C6503D">
          <w:rPr>
            <w:rStyle w:val="Hyperlink"/>
          </w:rPr>
          <w:t>health</w:t>
        </w:r>
        <w:r w:rsidR="000E4816">
          <w:rPr>
            <w:rStyle w:val="Hyperlink"/>
          </w:rPr>
          <w:noBreakHyphen/>
        </w:r>
        <w:r w:rsidRPr="00C6503D">
          <w:rPr>
            <w:rStyle w:val="Hyperlink"/>
          </w:rPr>
          <w:t>survey/2022</w:t>
        </w:r>
      </w:hyperlink>
    </w:p>
  </w:footnote>
  <w:footnote w:id="15">
    <w:p w14:paraId="6185FC79" w14:textId="77777777" w:rsidR="00400599" w:rsidRDefault="00400599" w:rsidP="00400599">
      <w:pPr>
        <w:pStyle w:val="FootnoteText"/>
        <w:jc w:val="left"/>
      </w:pPr>
      <w:r>
        <w:rPr>
          <w:rStyle w:val="FootnoteReference"/>
        </w:rPr>
        <w:footnoteRef/>
      </w:r>
      <w:r>
        <w:t xml:space="preserve"> </w:t>
      </w:r>
      <w:r w:rsidRPr="00BB412A">
        <w:t>Australasian Bone Marrow Transplant Recipient Registry</w:t>
      </w:r>
      <w:r>
        <w:t xml:space="preserve"> (</w:t>
      </w:r>
      <w:r w:rsidRPr="00F069E5">
        <w:t>https://anztct.org.au/registry</w:t>
      </w:r>
      <w:r>
        <w:t>).</w:t>
      </w:r>
    </w:p>
  </w:footnote>
  <w:footnote w:id="16">
    <w:p w14:paraId="1719D29E" w14:textId="705A3218" w:rsidR="0072492F" w:rsidRPr="00904BFC" w:rsidRDefault="0072492F">
      <w:pPr>
        <w:pStyle w:val="FootnoteText"/>
      </w:pPr>
      <w:r>
        <w:rPr>
          <w:rStyle w:val="FootnoteReference"/>
        </w:rPr>
        <w:footnoteRef/>
      </w:r>
      <w:r>
        <w:t xml:space="preserve"> </w:t>
      </w:r>
      <w:r w:rsidRPr="0072492F">
        <w:t>Kabir A</w:t>
      </w:r>
      <w:r>
        <w:t xml:space="preserve"> et al</w:t>
      </w:r>
      <w:r w:rsidRPr="0072492F">
        <w:t>. Impact of multimorbidity and complex multimorbidity on mortality among older Australians aged 45 years and over: a large population</w:t>
      </w:r>
      <w:r w:rsidR="000E4816">
        <w:noBreakHyphen/>
      </w:r>
      <w:r w:rsidRPr="0072492F">
        <w:t>based record linkage study.</w:t>
      </w:r>
      <w:r w:rsidRPr="00904BFC">
        <w:t xml:space="preserve"> BMJ Open. 2022 Jul 26;12(7):e060001.</w:t>
      </w:r>
    </w:p>
  </w:footnote>
  <w:footnote w:id="17">
    <w:p w14:paraId="719746FA" w14:textId="01381848" w:rsidR="00A56162" w:rsidRDefault="00A56162">
      <w:pPr>
        <w:pStyle w:val="FootnoteText"/>
      </w:pPr>
      <w:r w:rsidRPr="00904BFC">
        <w:rPr>
          <w:rStyle w:val="FootnoteReference"/>
        </w:rPr>
        <w:footnoteRef/>
      </w:r>
      <w:r w:rsidRPr="00904BFC">
        <w:t xml:space="preserve"> An SME of 2.00 has been assumed as the evaluators note that the estimate in Kabir et al. (</w:t>
      </w:r>
      <w:r w:rsidR="007D4AD2" w:rsidRPr="00904BFC">
        <w:t xml:space="preserve">SMR = </w:t>
      </w:r>
      <w:r w:rsidRPr="00904BFC">
        <w:t>1.49) appears to reflect general multimorbidity in the population (as the study included conditions like depression or anxiety, and allergic rhinitis that might has low association with mortalities), not clinically defined risk groups like the AIH categories. The AIH risk categories are specific high</w:t>
      </w:r>
      <w:r w:rsidR="000E4816">
        <w:noBreakHyphen/>
      </w:r>
      <w:r w:rsidRPr="00904BFC">
        <w:t>risk medical conditions, so their mortality risk is expected to be higher than the multimorbidity groups reported by Kabir.</w:t>
      </w:r>
    </w:p>
  </w:footnote>
  <w:footnote w:id="18">
    <w:p w14:paraId="6047186F" w14:textId="58F83FA1" w:rsidR="00A137C0" w:rsidRDefault="00A137C0">
      <w:pPr>
        <w:pStyle w:val="FootnoteText"/>
      </w:pPr>
      <w:r>
        <w:rPr>
          <w:rStyle w:val="FootnoteReference"/>
        </w:rPr>
        <w:footnoteRef/>
      </w:r>
      <w:r>
        <w:t xml:space="preserve"> </w:t>
      </w:r>
      <w:r w:rsidRPr="00D8726C">
        <w:t>The prevalence reported here appears to reflect metabolically healthy obesity (obesity without other comorbidities). Evidence suggests a general prevalence of around 5–7%, or roughly 30% among those with obesity. The estimate of 9% in this high</w:t>
      </w:r>
      <w:r w:rsidRPr="00D8726C">
        <w:rPr>
          <w:rFonts w:ascii="Cambria Math" w:hAnsi="Cambria Math" w:cs="Cambria Math"/>
        </w:rPr>
        <w:t>‑</w:t>
      </w:r>
      <w:r w:rsidRPr="00D8726C">
        <w:t>risk group would be lower once non</w:t>
      </w:r>
      <w:r w:rsidRPr="00D8726C">
        <w:rPr>
          <w:rFonts w:ascii="Cambria Math" w:hAnsi="Cambria Math" w:cs="Cambria Math"/>
        </w:rPr>
        <w:t>‑</w:t>
      </w:r>
      <w:r w:rsidR="002C7C2E" w:rsidRPr="00D8726C">
        <w:t>at</w:t>
      </w:r>
      <w:r w:rsidRPr="00D8726C">
        <w:rPr>
          <w:rFonts w:ascii="Cambria Math" w:hAnsi="Cambria Math" w:cs="Cambria Math"/>
        </w:rPr>
        <w:t>‑</w:t>
      </w:r>
      <w:r w:rsidRPr="00D8726C">
        <w:t>risk individuals are considered and remains within a reasonable range.</w:t>
      </w:r>
      <w:r w:rsidR="00532E4E" w:rsidRPr="00D8726C">
        <w:t xml:space="preserve"> (Wang, Jiang</w:t>
      </w:r>
      <w:r w:rsidR="000E4816">
        <w:noBreakHyphen/>
      </w:r>
      <w:r w:rsidR="00532E4E" w:rsidRPr="00D8726C">
        <w:t>Shui, et al. "Trends in the prevalence of metabolically healthy obesity among US adults, 1999</w:t>
      </w:r>
      <w:r w:rsidR="000E4816">
        <w:noBreakHyphen/>
      </w:r>
      <w:r w:rsidR="00532E4E" w:rsidRPr="00D8726C">
        <w:t>2018." JAMA Network Open 6.3 (2023): e232145</w:t>
      </w:r>
      <w:r w:rsidR="000E4816">
        <w:noBreakHyphen/>
      </w:r>
      <w:r w:rsidR="00532E4E" w:rsidRPr="00D8726C">
        <w:t>e232145).</w:t>
      </w:r>
    </w:p>
  </w:footnote>
  <w:footnote w:id="19">
    <w:p w14:paraId="3AE0EA30" w14:textId="71A6759D" w:rsidR="004C397E" w:rsidRDefault="004C397E" w:rsidP="004C397E">
      <w:pPr>
        <w:pStyle w:val="FootnoteText"/>
      </w:pPr>
      <w:r>
        <w:rPr>
          <w:rStyle w:val="FootnoteReference"/>
        </w:rPr>
        <w:footnoteRef/>
      </w:r>
      <w:r>
        <w:t xml:space="preserve"> </w:t>
      </w:r>
      <w:r w:rsidRPr="004705B9">
        <w:t>Clark, Andrew, et al. "Global, regional, and national estimates of the population at increased risk of severe COVID</w:t>
      </w:r>
      <w:r w:rsidR="000E4816">
        <w:noBreakHyphen/>
      </w:r>
      <w:r w:rsidRPr="004705B9">
        <w:t>19 due to underlying health conditions in 2020: a modelling study." </w:t>
      </w:r>
      <w:r w:rsidRPr="004705B9">
        <w:rPr>
          <w:i/>
          <w:iCs/>
        </w:rPr>
        <w:t>The Lancet Global Health</w:t>
      </w:r>
      <w:r w:rsidRPr="004705B9">
        <w:t> 8.8 (2020): e1003</w:t>
      </w:r>
      <w:r w:rsidR="000E4816">
        <w:noBreakHyphen/>
      </w:r>
      <w:r w:rsidRPr="004705B9">
        <w:t>e1017.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BDF6" w14:textId="6656D0B3" w:rsidR="00722C8A" w:rsidRDefault="00AB15AE">
    <w:pPr>
      <w:pStyle w:val="Header"/>
    </w:pPr>
    <w:r>
      <w:rPr>
        <w:noProof/>
      </w:rPr>
      <mc:AlternateContent>
        <mc:Choice Requires="wps">
          <w:drawing>
            <wp:anchor distT="0" distB="0" distL="0" distR="0" simplePos="0" relativeHeight="251658241" behindDoc="0" locked="0" layoutInCell="1" allowOverlap="1" wp14:anchorId="2B91560B" wp14:editId="37D13980">
              <wp:simplePos x="635" y="635"/>
              <wp:positionH relativeFrom="page">
                <wp:align>center</wp:align>
              </wp:positionH>
              <wp:positionV relativeFrom="page">
                <wp:align>top</wp:align>
              </wp:positionV>
              <wp:extent cx="622300" cy="376555"/>
              <wp:effectExtent l="0" t="0" r="6350" b="4445"/>
              <wp:wrapNone/>
              <wp:docPr id="1032107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DA3871" w14:textId="0EB42012"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1560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0DA3871" w14:textId="0EB42012"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D652" w14:textId="1FDC0764" w:rsidR="007357F1" w:rsidRPr="00195452" w:rsidRDefault="00AB15AE" w:rsidP="007357F1">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2D7951EB" wp14:editId="02A3D092">
              <wp:simplePos x="635" y="635"/>
              <wp:positionH relativeFrom="page">
                <wp:align>center</wp:align>
              </wp:positionH>
              <wp:positionV relativeFrom="page">
                <wp:align>top</wp:align>
              </wp:positionV>
              <wp:extent cx="622300" cy="376555"/>
              <wp:effectExtent l="0" t="0" r="6350" b="4445"/>
              <wp:wrapNone/>
              <wp:docPr id="562190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DF9DA5" w14:textId="2DAF9969"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951E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0DF9DA5" w14:textId="2DAF9969"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r w:rsidR="000336C2">
      <w:rPr>
        <w:rFonts w:asciiTheme="minorHAnsi" w:hAnsiTheme="minorHAnsi"/>
        <w:color w:val="808080"/>
      </w:rPr>
      <w:t>Public Summary Document</w:t>
    </w:r>
    <w:r w:rsidR="009439C8">
      <w:rPr>
        <w:rFonts w:asciiTheme="minorHAnsi" w:hAnsiTheme="minorHAnsi"/>
        <w:color w:val="808080"/>
      </w:rPr>
      <w:t xml:space="preserve"> </w:t>
    </w:r>
    <w:r w:rsidR="00050B53" w:rsidRPr="00056684">
      <w:rPr>
        <w:rFonts w:asciiTheme="minorHAnsi" w:hAnsiTheme="minorHAnsi"/>
        <w:color w:val="808080"/>
      </w:rPr>
      <w:t>–</w:t>
    </w:r>
    <w:r w:rsidR="009439C8">
      <w:rPr>
        <w:rFonts w:asciiTheme="minorHAnsi" w:hAnsiTheme="minorHAnsi"/>
        <w:color w:val="808080"/>
      </w:rPr>
      <w:t xml:space="preserve"> </w:t>
    </w:r>
    <w:r w:rsidR="007357F1">
      <w:rPr>
        <w:rFonts w:asciiTheme="minorHAnsi" w:hAnsiTheme="minorHAnsi"/>
        <w:color w:val="808080"/>
      </w:rPr>
      <w:t xml:space="preserve">March 2026 </w:t>
    </w:r>
    <w:r w:rsidR="007357F1" w:rsidRPr="00195452">
      <w:rPr>
        <w:rFonts w:asciiTheme="minorHAnsi" w:hAnsiTheme="minorHAnsi"/>
        <w:color w:val="808080"/>
      </w:rPr>
      <w:t>PBAC Meeting</w:t>
    </w:r>
  </w:p>
  <w:p w14:paraId="566611DD" w14:textId="77777777" w:rsidR="009A0948" w:rsidRDefault="009A0948" w:rsidP="00D56B26">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DD8E" w14:textId="1E016423" w:rsidR="00722C8A" w:rsidRDefault="00AB15AE">
    <w:pPr>
      <w:pStyle w:val="Header"/>
    </w:pPr>
    <w:r>
      <w:rPr>
        <w:noProof/>
      </w:rPr>
      <mc:AlternateContent>
        <mc:Choice Requires="wps">
          <w:drawing>
            <wp:anchor distT="0" distB="0" distL="0" distR="0" simplePos="0" relativeHeight="251658240" behindDoc="0" locked="0" layoutInCell="1" allowOverlap="1" wp14:anchorId="366B467E" wp14:editId="1376E482">
              <wp:simplePos x="635" y="635"/>
              <wp:positionH relativeFrom="page">
                <wp:align>center</wp:align>
              </wp:positionH>
              <wp:positionV relativeFrom="page">
                <wp:align>top</wp:align>
              </wp:positionV>
              <wp:extent cx="622300" cy="376555"/>
              <wp:effectExtent l="0" t="0" r="6350" b="4445"/>
              <wp:wrapNone/>
              <wp:docPr id="15921247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897DE9" w14:textId="68B0235E"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6B467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F897DE9" w14:textId="68B0235E" w:rsidR="00AB15AE" w:rsidRPr="00AB15AE" w:rsidRDefault="00AB15AE" w:rsidP="00AB15AE">
                    <w:pPr>
                      <w:rPr>
                        <w:rFonts w:ascii="Aptos" w:eastAsia="Aptos" w:hAnsi="Aptos" w:cs="Aptos"/>
                        <w:noProof/>
                        <w:color w:val="FF0000"/>
                      </w:rPr>
                    </w:pPr>
                    <w:r w:rsidRPr="00AB15AE">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CF6F814"/>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C6B48AAC"/>
    <w:lvl w:ilvl="0">
      <w:start w:val="1"/>
      <w:numFmt w:val="bullet"/>
      <w:pStyle w:val="Bullet1"/>
      <w:lvlText w:val=""/>
      <w:lvlJc w:val="left"/>
      <w:pPr>
        <w:ind w:left="360" w:hanging="360"/>
      </w:pPr>
      <w:rPr>
        <w:rFonts w:ascii="Symbol" w:hAnsi="Symbol" w:hint="default"/>
        <w:sz w:val="22"/>
      </w:rPr>
    </w:lvl>
  </w:abstractNum>
  <w:abstractNum w:abstractNumId="2"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564C3"/>
    <w:multiLevelType w:val="hybridMultilevel"/>
    <w:tmpl w:val="CAE43212"/>
    <w:lvl w:ilvl="0" w:tplc="63EE262E">
      <w:start w:val="1"/>
      <w:numFmt w:val="bullet"/>
      <w:lvlText w:val="•"/>
      <w:lvlJc w:val="left"/>
      <w:pPr>
        <w:tabs>
          <w:tab w:val="num" w:pos="720"/>
        </w:tabs>
        <w:ind w:left="720" w:hanging="360"/>
      </w:pPr>
      <w:rPr>
        <w:rFonts w:ascii="Arial" w:hAnsi="Arial" w:hint="default"/>
      </w:rPr>
    </w:lvl>
    <w:lvl w:ilvl="1" w:tplc="216EE0CA" w:tentative="1">
      <w:start w:val="1"/>
      <w:numFmt w:val="bullet"/>
      <w:lvlText w:val="•"/>
      <w:lvlJc w:val="left"/>
      <w:pPr>
        <w:tabs>
          <w:tab w:val="num" w:pos="1440"/>
        </w:tabs>
        <w:ind w:left="1440" w:hanging="360"/>
      </w:pPr>
      <w:rPr>
        <w:rFonts w:ascii="Arial" w:hAnsi="Arial" w:hint="default"/>
      </w:rPr>
    </w:lvl>
    <w:lvl w:ilvl="2" w:tplc="67F49112" w:tentative="1">
      <w:start w:val="1"/>
      <w:numFmt w:val="bullet"/>
      <w:lvlText w:val="•"/>
      <w:lvlJc w:val="left"/>
      <w:pPr>
        <w:tabs>
          <w:tab w:val="num" w:pos="2160"/>
        </w:tabs>
        <w:ind w:left="2160" w:hanging="360"/>
      </w:pPr>
      <w:rPr>
        <w:rFonts w:ascii="Arial" w:hAnsi="Arial" w:hint="default"/>
      </w:rPr>
    </w:lvl>
    <w:lvl w:ilvl="3" w:tplc="04B25848" w:tentative="1">
      <w:start w:val="1"/>
      <w:numFmt w:val="bullet"/>
      <w:lvlText w:val="•"/>
      <w:lvlJc w:val="left"/>
      <w:pPr>
        <w:tabs>
          <w:tab w:val="num" w:pos="2880"/>
        </w:tabs>
        <w:ind w:left="2880" w:hanging="360"/>
      </w:pPr>
      <w:rPr>
        <w:rFonts w:ascii="Arial" w:hAnsi="Arial" w:hint="default"/>
      </w:rPr>
    </w:lvl>
    <w:lvl w:ilvl="4" w:tplc="2C728864" w:tentative="1">
      <w:start w:val="1"/>
      <w:numFmt w:val="bullet"/>
      <w:lvlText w:val="•"/>
      <w:lvlJc w:val="left"/>
      <w:pPr>
        <w:tabs>
          <w:tab w:val="num" w:pos="3600"/>
        </w:tabs>
        <w:ind w:left="3600" w:hanging="360"/>
      </w:pPr>
      <w:rPr>
        <w:rFonts w:ascii="Arial" w:hAnsi="Arial" w:hint="default"/>
      </w:rPr>
    </w:lvl>
    <w:lvl w:ilvl="5" w:tplc="0B2ACFE2" w:tentative="1">
      <w:start w:val="1"/>
      <w:numFmt w:val="bullet"/>
      <w:lvlText w:val="•"/>
      <w:lvlJc w:val="left"/>
      <w:pPr>
        <w:tabs>
          <w:tab w:val="num" w:pos="4320"/>
        </w:tabs>
        <w:ind w:left="4320" w:hanging="360"/>
      </w:pPr>
      <w:rPr>
        <w:rFonts w:ascii="Arial" w:hAnsi="Arial" w:hint="default"/>
      </w:rPr>
    </w:lvl>
    <w:lvl w:ilvl="6" w:tplc="B75025CE" w:tentative="1">
      <w:start w:val="1"/>
      <w:numFmt w:val="bullet"/>
      <w:lvlText w:val="•"/>
      <w:lvlJc w:val="left"/>
      <w:pPr>
        <w:tabs>
          <w:tab w:val="num" w:pos="5040"/>
        </w:tabs>
        <w:ind w:left="5040" w:hanging="360"/>
      </w:pPr>
      <w:rPr>
        <w:rFonts w:ascii="Arial" w:hAnsi="Arial" w:hint="default"/>
      </w:rPr>
    </w:lvl>
    <w:lvl w:ilvl="7" w:tplc="A3C08CFA" w:tentative="1">
      <w:start w:val="1"/>
      <w:numFmt w:val="bullet"/>
      <w:lvlText w:val="•"/>
      <w:lvlJc w:val="left"/>
      <w:pPr>
        <w:tabs>
          <w:tab w:val="num" w:pos="5760"/>
        </w:tabs>
        <w:ind w:left="5760" w:hanging="360"/>
      </w:pPr>
      <w:rPr>
        <w:rFonts w:ascii="Arial" w:hAnsi="Arial" w:hint="default"/>
      </w:rPr>
    </w:lvl>
    <w:lvl w:ilvl="8" w:tplc="F72C1C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EF078C"/>
    <w:multiLevelType w:val="hybridMultilevel"/>
    <w:tmpl w:val="8C10CFBA"/>
    <w:lvl w:ilvl="0" w:tplc="0C4E4756">
      <w:start w:val="1"/>
      <w:numFmt w:val="lowerLetter"/>
      <w:pStyle w:val="LetteredList"/>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D27AC9"/>
    <w:multiLevelType w:val="hybridMultilevel"/>
    <w:tmpl w:val="86D03B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E5602C"/>
    <w:multiLevelType w:val="hybridMultilevel"/>
    <w:tmpl w:val="71C27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5469D"/>
    <w:multiLevelType w:val="hybridMultilevel"/>
    <w:tmpl w:val="602010A6"/>
    <w:styleLink w:val="PBACstandardnumberstyle1"/>
    <w:lvl w:ilvl="0" w:tplc="0C090001">
      <w:start w:val="1"/>
      <w:numFmt w:val="bullet"/>
      <w:lvlText w:val=""/>
      <w:lvlJc w:val="left"/>
      <w:pPr>
        <w:ind w:left="720" w:hanging="360"/>
      </w:pPr>
      <w:rPr>
        <w:rFonts w:ascii="Symbol" w:hAnsi="Symbol" w:hint="default"/>
      </w:rPr>
    </w:lvl>
    <w:lvl w:ilvl="1" w:tplc="C2BC38A2">
      <w:numFmt w:val="bullet"/>
      <w:lvlText w:val="•"/>
      <w:lvlJc w:val="left"/>
      <w:pPr>
        <w:ind w:left="1440" w:hanging="360"/>
      </w:pPr>
      <w:rPr>
        <w:rFonts w:ascii="MS Mincho" w:eastAsia="MS Mincho" w:hAnsi="MS Mincho" w:cs="Times New Roman" w:hint="eastAsi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5D25F5"/>
    <w:multiLevelType w:val="hybridMultilevel"/>
    <w:tmpl w:val="AE0E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174BE2"/>
    <w:multiLevelType w:val="hybridMultilevel"/>
    <w:tmpl w:val="AECC3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D383609"/>
    <w:multiLevelType w:val="hybridMultilevel"/>
    <w:tmpl w:val="A5146D9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F93A30"/>
    <w:multiLevelType w:val="hybridMultilevel"/>
    <w:tmpl w:val="F0849C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3787956"/>
    <w:multiLevelType w:val="hybridMultilevel"/>
    <w:tmpl w:val="773820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035190D"/>
    <w:multiLevelType w:val="singleLevel"/>
    <w:tmpl w:val="E6B41D3E"/>
    <w:lvl w:ilvl="0">
      <w:start w:val="1"/>
      <w:numFmt w:val="bullet"/>
      <w:pStyle w:val="listbull"/>
      <w:lvlText w:val=""/>
      <w:lvlJc w:val="left"/>
      <w:pPr>
        <w:tabs>
          <w:tab w:val="num" w:pos="432"/>
        </w:tabs>
        <w:ind w:left="432" w:hanging="432"/>
      </w:pPr>
      <w:rPr>
        <w:rFonts w:ascii="Symbol" w:hAnsi="Symbol" w:cs="Symbol" w:hint="default"/>
        <w:sz w:val="24"/>
        <w:szCs w:val="24"/>
      </w:rPr>
    </w:lvl>
  </w:abstractNum>
  <w:abstractNum w:abstractNumId="23"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FB3060"/>
    <w:multiLevelType w:val="hybridMultilevel"/>
    <w:tmpl w:val="117AD41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26" w15:restartNumberingAfterBreak="0">
    <w:nsid w:val="420B6ECC"/>
    <w:multiLevelType w:val="hybridMultilevel"/>
    <w:tmpl w:val="FCF03FF6"/>
    <w:lvl w:ilvl="0" w:tplc="ED1E5F1E">
      <w:start w:val="1"/>
      <w:numFmt w:val="bullet"/>
      <w:pStyle w:val="BulletedList"/>
      <w:lvlText w:val=""/>
      <w:lvlJc w:val="left"/>
      <w:pPr>
        <w:ind w:left="1080" w:hanging="360"/>
      </w:pPr>
      <w:rPr>
        <w:rFonts w:ascii="Symbol" w:hAnsi="Symbol" w:hint="default"/>
      </w:rPr>
    </w:lvl>
    <w:lvl w:ilvl="1" w:tplc="9452778A">
      <w:start w:val="1"/>
      <w:numFmt w:val="bullet"/>
      <w:lvlText w:val="o"/>
      <w:lvlJc w:val="left"/>
      <w:pPr>
        <w:ind w:left="1800" w:hanging="360"/>
      </w:pPr>
      <w:rPr>
        <w:rFonts w:ascii="Courier New" w:hAnsi="Courier New" w:hint="default"/>
      </w:rPr>
    </w:lvl>
    <w:lvl w:ilvl="2" w:tplc="87E4D1D6">
      <w:start w:val="1"/>
      <w:numFmt w:val="bullet"/>
      <w:lvlText w:val=""/>
      <w:lvlJc w:val="left"/>
      <w:pPr>
        <w:ind w:left="2520" w:hanging="360"/>
      </w:pPr>
      <w:rPr>
        <w:rFonts w:ascii="Wingdings" w:hAnsi="Wingdings" w:hint="default"/>
      </w:rPr>
    </w:lvl>
    <w:lvl w:ilvl="3" w:tplc="B26EBE3C" w:tentative="1">
      <w:start w:val="1"/>
      <w:numFmt w:val="bullet"/>
      <w:lvlText w:val=""/>
      <w:lvlJc w:val="left"/>
      <w:pPr>
        <w:ind w:left="3240" w:hanging="360"/>
      </w:pPr>
      <w:rPr>
        <w:rFonts w:ascii="Symbol" w:hAnsi="Symbol" w:hint="default"/>
      </w:rPr>
    </w:lvl>
    <w:lvl w:ilvl="4" w:tplc="AF3E72D2" w:tentative="1">
      <w:start w:val="1"/>
      <w:numFmt w:val="bullet"/>
      <w:lvlText w:val="o"/>
      <w:lvlJc w:val="left"/>
      <w:pPr>
        <w:ind w:left="3960" w:hanging="360"/>
      </w:pPr>
      <w:rPr>
        <w:rFonts w:ascii="Courier New" w:hAnsi="Courier New" w:hint="default"/>
      </w:rPr>
    </w:lvl>
    <w:lvl w:ilvl="5" w:tplc="79F2BED2" w:tentative="1">
      <w:start w:val="1"/>
      <w:numFmt w:val="bullet"/>
      <w:lvlText w:val=""/>
      <w:lvlJc w:val="left"/>
      <w:pPr>
        <w:ind w:left="4680" w:hanging="360"/>
      </w:pPr>
      <w:rPr>
        <w:rFonts w:ascii="Wingdings" w:hAnsi="Wingdings" w:hint="default"/>
      </w:rPr>
    </w:lvl>
    <w:lvl w:ilvl="6" w:tplc="19321076" w:tentative="1">
      <w:start w:val="1"/>
      <w:numFmt w:val="bullet"/>
      <w:lvlText w:val=""/>
      <w:lvlJc w:val="left"/>
      <w:pPr>
        <w:ind w:left="5400" w:hanging="360"/>
      </w:pPr>
      <w:rPr>
        <w:rFonts w:ascii="Symbol" w:hAnsi="Symbol" w:hint="default"/>
      </w:rPr>
    </w:lvl>
    <w:lvl w:ilvl="7" w:tplc="C7A826BC" w:tentative="1">
      <w:start w:val="1"/>
      <w:numFmt w:val="bullet"/>
      <w:lvlText w:val="o"/>
      <w:lvlJc w:val="left"/>
      <w:pPr>
        <w:ind w:left="6120" w:hanging="360"/>
      </w:pPr>
      <w:rPr>
        <w:rFonts w:ascii="Courier New" w:hAnsi="Courier New" w:hint="default"/>
      </w:rPr>
    </w:lvl>
    <w:lvl w:ilvl="8" w:tplc="6F3A9138" w:tentative="1">
      <w:start w:val="1"/>
      <w:numFmt w:val="bullet"/>
      <w:lvlText w:val=""/>
      <w:lvlJc w:val="left"/>
      <w:pPr>
        <w:ind w:left="6840" w:hanging="360"/>
      </w:pPr>
      <w:rPr>
        <w:rFonts w:ascii="Wingdings" w:hAnsi="Wingdings" w:hint="default"/>
      </w:rPr>
    </w:lvl>
  </w:abstractNum>
  <w:abstractNum w:abstractNumId="2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D5DAE"/>
    <w:multiLevelType w:val="hybridMultilevel"/>
    <w:tmpl w:val="7222DB7A"/>
    <w:lvl w:ilvl="0" w:tplc="BDB8DD26">
      <w:start w:val="1"/>
      <w:numFmt w:val="decimal"/>
      <w:pStyle w:val="FigureTitle"/>
      <w:lvlText w:val="Figure %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D3098D"/>
    <w:multiLevelType w:val="hybridMultilevel"/>
    <w:tmpl w:val="FFFFFFFF"/>
    <w:styleLink w:val="Style1"/>
    <w:lvl w:ilvl="0" w:tplc="D3760B68">
      <w:start w:val="1"/>
      <w:numFmt w:val="bullet"/>
      <w:lvlText w:val=""/>
      <w:lvlJc w:val="left"/>
      <w:pPr>
        <w:ind w:left="720" w:hanging="360"/>
      </w:pPr>
      <w:rPr>
        <w:rFonts w:ascii="Symbol" w:hAnsi="Symbol" w:hint="default"/>
      </w:rPr>
    </w:lvl>
    <w:lvl w:ilvl="1" w:tplc="F030248A">
      <w:start w:val="1"/>
      <w:numFmt w:val="bullet"/>
      <w:lvlText w:val="o"/>
      <w:lvlJc w:val="left"/>
      <w:pPr>
        <w:ind w:left="1440" w:hanging="360"/>
      </w:pPr>
      <w:rPr>
        <w:rFonts w:ascii="Courier New" w:hAnsi="Courier New" w:hint="default"/>
      </w:rPr>
    </w:lvl>
    <w:lvl w:ilvl="2" w:tplc="4038FF4A">
      <w:start w:val="1"/>
      <w:numFmt w:val="bullet"/>
      <w:lvlText w:val=""/>
      <w:lvlJc w:val="left"/>
      <w:pPr>
        <w:ind w:left="2160" w:hanging="360"/>
      </w:pPr>
      <w:rPr>
        <w:rFonts w:ascii="Wingdings" w:hAnsi="Wingdings" w:hint="default"/>
      </w:rPr>
    </w:lvl>
    <w:lvl w:ilvl="3" w:tplc="4D0C4FE0">
      <w:start w:val="1"/>
      <w:numFmt w:val="bullet"/>
      <w:lvlText w:val=""/>
      <w:lvlJc w:val="left"/>
      <w:pPr>
        <w:ind w:left="2880" w:hanging="360"/>
      </w:pPr>
      <w:rPr>
        <w:rFonts w:ascii="Symbol" w:hAnsi="Symbol" w:hint="default"/>
      </w:rPr>
    </w:lvl>
    <w:lvl w:ilvl="4" w:tplc="D34EEC30">
      <w:start w:val="1"/>
      <w:numFmt w:val="bullet"/>
      <w:lvlText w:val="o"/>
      <w:lvlJc w:val="left"/>
      <w:pPr>
        <w:ind w:left="3600" w:hanging="360"/>
      </w:pPr>
      <w:rPr>
        <w:rFonts w:ascii="Courier New" w:hAnsi="Courier New" w:hint="default"/>
      </w:rPr>
    </w:lvl>
    <w:lvl w:ilvl="5" w:tplc="99A6EB70">
      <w:start w:val="1"/>
      <w:numFmt w:val="bullet"/>
      <w:lvlText w:val=""/>
      <w:lvlJc w:val="left"/>
      <w:pPr>
        <w:ind w:left="4320" w:hanging="360"/>
      </w:pPr>
      <w:rPr>
        <w:rFonts w:ascii="Wingdings" w:hAnsi="Wingdings" w:hint="default"/>
      </w:rPr>
    </w:lvl>
    <w:lvl w:ilvl="6" w:tplc="A6AEF48E">
      <w:start w:val="1"/>
      <w:numFmt w:val="bullet"/>
      <w:lvlText w:val=""/>
      <w:lvlJc w:val="left"/>
      <w:pPr>
        <w:ind w:left="5040" w:hanging="360"/>
      </w:pPr>
      <w:rPr>
        <w:rFonts w:ascii="Symbol" w:hAnsi="Symbol" w:hint="default"/>
      </w:rPr>
    </w:lvl>
    <w:lvl w:ilvl="7" w:tplc="766C8C68">
      <w:start w:val="1"/>
      <w:numFmt w:val="bullet"/>
      <w:lvlText w:val="o"/>
      <w:lvlJc w:val="left"/>
      <w:pPr>
        <w:ind w:left="5760" w:hanging="360"/>
      </w:pPr>
      <w:rPr>
        <w:rFonts w:ascii="Courier New" w:hAnsi="Courier New" w:hint="default"/>
      </w:rPr>
    </w:lvl>
    <w:lvl w:ilvl="8" w:tplc="1714AD4E">
      <w:start w:val="1"/>
      <w:numFmt w:val="bullet"/>
      <w:lvlText w:val=""/>
      <w:lvlJc w:val="left"/>
      <w:pPr>
        <w:ind w:left="6480" w:hanging="360"/>
      </w:pPr>
      <w:rPr>
        <w:rFonts w:ascii="Wingdings" w:hAnsi="Wingdings" w:hint="default"/>
      </w:rPr>
    </w:lvl>
  </w:abstractNum>
  <w:abstractNum w:abstractNumId="30" w15:restartNumberingAfterBreak="0">
    <w:nsid w:val="52E26026"/>
    <w:multiLevelType w:val="hybridMultilevel"/>
    <w:tmpl w:val="B69651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893EC1"/>
    <w:multiLevelType w:val="hybridMultilevel"/>
    <w:tmpl w:val="8F8ED0B6"/>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B715AF"/>
    <w:multiLevelType w:val="multilevel"/>
    <w:tmpl w:val="32263FD4"/>
    <w:lvl w:ilvl="0">
      <w:start w:val="1"/>
      <w:numFmt w:val="decimal"/>
      <w:pStyle w:val="Heading11"/>
      <w:lvlText w:val="%1"/>
      <w:lvlJc w:val="left"/>
      <w:pPr>
        <w:tabs>
          <w:tab w:val="num" w:pos="737"/>
        </w:tabs>
        <w:ind w:left="737" w:hanging="737"/>
      </w:pPr>
      <w:rPr>
        <w:rFonts w:hint="default"/>
      </w:rPr>
    </w:lvl>
    <w:lvl w:ilvl="1">
      <w:start w:val="1"/>
      <w:numFmt w:val="decimal"/>
      <w:pStyle w:val="Heading21"/>
      <w:lvlText w:val="%1.%2."/>
      <w:lvlJc w:val="left"/>
      <w:pPr>
        <w:tabs>
          <w:tab w:val="num" w:pos="737"/>
        </w:tabs>
        <w:ind w:left="737" w:hanging="737"/>
      </w:pPr>
      <w:rPr>
        <w:rFonts w:hint="default"/>
      </w:rPr>
    </w:lvl>
    <w:lvl w:ilvl="2">
      <w:start w:val="1"/>
      <w:numFmt w:val="decimal"/>
      <w:pStyle w:val="Heading31"/>
      <w:lvlText w:val="%1.%2.%3."/>
      <w:lvlJc w:val="left"/>
      <w:pPr>
        <w:tabs>
          <w:tab w:val="num" w:pos="737"/>
        </w:tabs>
        <w:ind w:left="737" w:hanging="737"/>
      </w:pPr>
      <w:rPr>
        <w:rFonts w:hint="default"/>
        <w:b/>
        <w:bCs w:val="0"/>
      </w:rPr>
    </w:lvl>
    <w:lvl w:ilvl="3">
      <w:start w:val="1"/>
      <w:numFmt w:val="decimal"/>
      <w:pStyle w:val="Heading41"/>
      <w:lvlText w:val="%1.%2.%3.%4."/>
      <w:lvlJc w:val="left"/>
      <w:pPr>
        <w:tabs>
          <w:tab w:val="num" w:pos="737"/>
        </w:tabs>
        <w:ind w:left="737" w:hanging="737"/>
      </w:pPr>
      <w:rPr>
        <w:rFonts w:ascii="Arial" w:hAnsi="Arial" w:cs="Arial" w:hint="default"/>
        <w:color w:val="325F91"/>
        <w:sz w:val="20"/>
        <w:szCs w:val="2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5E287C25"/>
    <w:multiLevelType w:val="hybridMultilevel"/>
    <w:tmpl w:val="F634A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2744CAC"/>
    <w:multiLevelType w:val="hybridMultilevel"/>
    <w:tmpl w:val="EA323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2E74AF"/>
    <w:multiLevelType w:val="hybridMultilevel"/>
    <w:tmpl w:val="48CE5FD2"/>
    <w:lvl w:ilvl="0" w:tplc="DC0AEA28">
      <w:start w:val="1"/>
      <w:numFmt w:val="lowerLetter"/>
      <w:pStyle w:val="Table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402D21"/>
    <w:multiLevelType w:val="hybridMultilevel"/>
    <w:tmpl w:val="23A6FC22"/>
    <w:lvl w:ilvl="0" w:tplc="6AB05694">
      <w:start w:val="1"/>
      <w:numFmt w:val="bullet"/>
      <w:lvlText w:val="•"/>
      <w:lvlJc w:val="left"/>
      <w:pPr>
        <w:tabs>
          <w:tab w:val="num" w:pos="720"/>
        </w:tabs>
        <w:ind w:left="720" w:hanging="360"/>
      </w:pPr>
      <w:rPr>
        <w:rFonts w:ascii="Arial" w:hAnsi="Arial" w:hint="default"/>
      </w:rPr>
    </w:lvl>
    <w:lvl w:ilvl="1" w:tplc="D2407204" w:tentative="1">
      <w:start w:val="1"/>
      <w:numFmt w:val="bullet"/>
      <w:lvlText w:val="•"/>
      <w:lvlJc w:val="left"/>
      <w:pPr>
        <w:tabs>
          <w:tab w:val="num" w:pos="1440"/>
        </w:tabs>
        <w:ind w:left="1440" w:hanging="360"/>
      </w:pPr>
      <w:rPr>
        <w:rFonts w:ascii="Arial" w:hAnsi="Arial" w:hint="default"/>
      </w:rPr>
    </w:lvl>
    <w:lvl w:ilvl="2" w:tplc="A1D4CBD8" w:tentative="1">
      <w:start w:val="1"/>
      <w:numFmt w:val="bullet"/>
      <w:lvlText w:val="•"/>
      <w:lvlJc w:val="left"/>
      <w:pPr>
        <w:tabs>
          <w:tab w:val="num" w:pos="2160"/>
        </w:tabs>
        <w:ind w:left="2160" w:hanging="360"/>
      </w:pPr>
      <w:rPr>
        <w:rFonts w:ascii="Arial" w:hAnsi="Arial" w:hint="default"/>
      </w:rPr>
    </w:lvl>
    <w:lvl w:ilvl="3" w:tplc="C63ED1B0" w:tentative="1">
      <w:start w:val="1"/>
      <w:numFmt w:val="bullet"/>
      <w:lvlText w:val="•"/>
      <w:lvlJc w:val="left"/>
      <w:pPr>
        <w:tabs>
          <w:tab w:val="num" w:pos="2880"/>
        </w:tabs>
        <w:ind w:left="2880" w:hanging="360"/>
      </w:pPr>
      <w:rPr>
        <w:rFonts w:ascii="Arial" w:hAnsi="Arial" w:hint="default"/>
      </w:rPr>
    </w:lvl>
    <w:lvl w:ilvl="4" w:tplc="FDC89C8E" w:tentative="1">
      <w:start w:val="1"/>
      <w:numFmt w:val="bullet"/>
      <w:lvlText w:val="•"/>
      <w:lvlJc w:val="left"/>
      <w:pPr>
        <w:tabs>
          <w:tab w:val="num" w:pos="3600"/>
        </w:tabs>
        <w:ind w:left="3600" w:hanging="360"/>
      </w:pPr>
      <w:rPr>
        <w:rFonts w:ascii="Arial" w:hAnsi="Arial" w:hint="default"/>
      </w:rPr>
    </w:lvl>
    <w:lvl w:ilvl="5" w:tplc="5AA29232" w:tentative="1">
      <w:start w:val="1"/>
      <w:numFmt w:val="bullet"/>
      <w:lvlText w:val="•"/>
      <w:lvlJc w:val="left"/>
      <w:pPr>
        <w:tabs>
          <w:tab w:val="num" w:pos="4320"/>
        </w:tabs>
        <w:ind w:left="4320" w:hanging="360"/>
      </w:pPr>
      <w:rPr>
        <w:rFonts w:ascii="Arial" w:hAnsi="Arial" w:hint="default"/>
      </w:rPr>
    </w:lvl>
    <w:lvl w:ilvl="6" w:tplc="F94EC252" w:tentative="1">
      <w:start w:val="1"/>
      <w:numFmt w:val="bullet"/>
      <w:lvlText w:val="•"/>
      <w:lvlJc w:val="left"/>
      <w:pPr>
        <w:tabs>
          <w:tab w:val="num" w:pos="5040"/>
        </w:tabs>
        <w:ind w:left="5040" w:hanging="360"/>
      </w:pPr>
      <w:rPr>
        <w:rFonts w:ascii="Arial" w:hAnsi="Arial" w:hint="default"/>
      </w:rPr>
    </w:lvl>
    <w:lvl w:ilvl="7" w:tplc="6944B9E2" w:tentative="1">
      <w:start w:val="1"/>
      <w:numFmt w:val="bullet"/>
      <w:lvlText w:val="•"/>
      <w:lvlJc w:val="left"/>
      <w:pPr>
        <w:tabs>
          <w:tab w:val="num" w:pos="5760"/>
        </w:tabs>
        <w:ind w:left="5760" w:hanging="360"/>
      </w:pPr>
      <w:rPr>
        <w:rFonts w:ascii="Arial" w:hAnsi="Arial" w:hint="default"/>
      </w:rPr>
    </w:lvl>
    <w:lvl w:ilvl="8" w:tplc="8594FE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2D163E"/>
    <w:multiLevelType w:val="multilevel"/>
    <w:tmpl w:val="BFDCE252"/>
    <w:lvl w:ilvl="0">
      <w:start w:val="1"/>
      <w:numFmt w:val="decimal"/>
      <w:pStyle w:val="AppendixHeading1"/>
      <w:lvlText w:val="A%1."/>
      <w:lvlJc w:val="left"/>
      <w:pPr>
        <w:ind w:left="357" w:hanging="357"/>
      </w:pPr>
      <w:rPr>
        <w:rFonts w:hint="default"/>
      </w:rPr>
    </w:lvl>
    <w:lvl w:ilvl="1">
      <w:start w:val="1"/>
      <w:numFmt w:val="decimal"/>
      <w:pStyle w:val="AppendixHeading2"/>
      <w:lvlText w:val="A%1.%2."/>
      <w:lvlJc w:val="left"/>
      <w:pPr>
        <w:ind w:left="357" w:hanging="357"/>
      </w:pPr>
      <w:rPr>
        <w:rFonts w:hint="default"/>
      </w:rPr>
    </w:lvl>
    <w:lvl w:ilvl="2">
      <w:start w:val="1"/>
      <w:numFmt w:val="decimal"/>
      <w:pStyle w:val="AppendixHeading3"/>
      <w:lvlText w:val="A%1.%2.%3."/>
      <w:lvlJc w:val="left"/>
      <w:pPr>
        <w:ind w:left="357" w:hanging="357"/>
      </w:pPr>
      <w:rPr>
        <w:rFonts w:hint="default"/>
      </w:rPr>
    </w:lvl>
    <w:lvl w:ilvl="3">
      <w:start w:val="1"/>
      <w:numFmt w:val="decimal"/>
      <w:pStyle w:val="AppendixHeading4"/>
      <w:lvlText w:val="A%1.%2.%3.%4."/>
      <w:lvlJc w:val="left"/>
      <w:pPr>
        <w:ind w:left="357" w:hanging="357"/>
      </w:pPr>
      <w:rPr>
        <w:rFonts w:hint="default"/>
      </w:rPr>
    </w:lvl>
    <w:lvl w:ilvl="4">
      <w:start w:val="1"/>
      <w:numFmt w:val="decimal"/>
      <w:pStyle w:val="AppendixHeading5"/>
      <w:lvlText w:val="A%1.%2.%3.%4.%5."/>
      <w:lvlJc w:val="left"/>
      <w:pPr>
        <w:ind w:left="357" w:hanging="357"/>
      </w:pPr>
      <w:rPr>
        <w:rFonts w:hint="default"/>
      </w:rPr>
    </w:lvl>
    <w:lvl w:ilvl="5">
      <w:start w:val="1"/>
      <w:numFmt w:val="decimal"/>
      <w:pStyle w:val="AppendixHeading6"/>
      <w:lvlText w:val="A%1.%2.%3.%4.%5.%6."/>
      <w:lvlJc w:val="left"/>
      <w:pPr>
        <w:ind w:left="357" w:hanging="357"/>
      </w:pPr>
      <w:rPr>
        <w:rFonts w:hint="default"/>
      </w:rPr>
    </w:lvl>
    <w:lvl w:ilvl="6">
      <w:start w:val="1"/>
      <w:numFmt w:val="decimal"/>
      <w:lvlText w:val="%7."/>
      <w:lvlJc w:val="left"/>
      <w:pPr>
        <w:ind w:left="2175" w:hanging="471"/>
      </w:pPr>
      <w:rPr>
        <w:rFonts w:hint="default"/>
      </w:rPr>
    </w:lvl>
    <w:lvl w:ilvl="7">
      <w:start w:val="1"/>
      <w:numFmt w:val="lowerLetter"/>
      <w:lvlText w:val="%8."/>
      <w:lvlJc w:val="left"/>
      <w:pPr>
        <w:ind w:left="2459" w:hanging="471"/>
      </w:pPr>
      <w:rPr>
        <w:rFonts w:hint="default"/>
      </w:rPr>
    </w:lvl>
    <w:lvl w:ilvl="8">
      <w:start w:val="1"/>
      <w:numFmt w:val="lowerRoman"/>
      <w:lvlText w:val="%9."/>
      <w:lvlJc w:val="right"/>
      <w:pPr>
        <w:ind w:left="2743" w:hanging="471"/>
      </w:pPr>
      <w:rPr>
        <w:rFonts w:hint="default"/>
      </w:rPr>
    </w:lvl>
  </w:abstractNum>
  <w:abstractNum w:abstractNumId="4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1E77C7"/>
    <w:multiLevelType w:val="hybridMultilevel"/>
    <w:tmpl w:val="D45A18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84D033C"/>
    <w:multiLevelType w:val="multilevel"/>
    <w:tmpl w:val="FFBC9A6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570" w:hanging="720"/>
      </w:pPr>
      <w:rPr>
        <w:rFonts w:asciiTheme="minorHAnsi" w:hAnsiTheme="minorHAnsi" w:cstheme="minorHAnsi" w:hint="default"/>
        <w:b w:val="0"/>
        <w:bCs w:val="0"/>
        <w:i w:val="0"/>
        <w:color w:val="auto"/>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EC272B"/>
    <w:multiLevelType w:val="hybridMultilevel"/>
    <w:tmpl w:val="65889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46"/>
  </w:num>
  <w:num w:numId="2" w16cid:durableId="917793048">
    <w:abstractNumId w:val="27"/>
  </w:num>
  <w:num w:numId="3" w16cid:durableId="263461728">
    <w:abstractNumId w:val="2"/>
  </w:num>
  <w:num w:numId="4" w16cid:durableId="139346788">
    <w:abstractNumId w:val="47"/>
  </w:num>
  <w:num w:numId="5" w16cid:durableId="220360847">
    <w:abstractNumId w:val="40"/>
  </w:num>
  <w:num w:numId="6" w16cid:durableId="268196418">
    <w:abstractNumId w:val="21"/>
  </w:num>
  <w:num w:numId="7" w16cid:durableId="1048839230">
    <w:abstractNumId w:val="46"/>
  </w:num>
  <w:num w:numId="8" w16cid:durableId="550388232">
    <w:abstractNumId w:val="26"/>
  </w:num>
  <w:num w:numId="9" w16cid:durableId="2041739209">
    <w:abstractNumId w:val="14"/>
  </w:num>
  <w:num w:numId="10" w16cid:durableId="721100362">
    <w:abstractNumId w:val="25"/>
  </w:num>
  <w:num w:numId="11" w16cid:durableId="1586723377">
    <w:abstractNumId w:val="5"/>
  </w:num>
  <w:num w:numId="12" w16cid:durableId="429473096">
    <w:abstractNumId w:val="39"/>
  </w:num>
  <w:num w:numId="13" w16cid:durableId="408499412">
    <w:abstractNumId w:val="15"/>
  </w:num>
  <w:num w:numId="14" w16cid:durableId="217472450">
    <w:abstractNumId w:val="23"/>
  </w:num>
  <w:num w:numId="15" w16cid:durableId="1784305714">
    <w:abstractNumId w:val="10"/>
  </w:num>
  <w:num w:numId="16" w16cid:durableId="64770154">
    <w:abstractNumId w:val="8"/>
  </w:num>
  <w:num w:numId="17" w16cid:durableId="1854758123">
    <w:abstractNumId w:val="36"/>
  </w:num>
  <w:num w:numId="18" w16cid:durableId="117142838">
    <w:abstractNumId w:val="43"/>
  </w:num>
  <w:num w:numId="19" w16cid:durableId="1500197652">
    <w:abstractNumId w:val="48"/>
  </w:num>
  <w:num w:numId="20" w16cid:durableId="1138110846">
    <w:abstractNumId w:val="0"/>
  </w:num>
  <w:num w:numId="21" w16cid:durableId="2082289274">
    <w:abstractNumId w:val="1"/>
  </w:num>
  <w:num w:numId="22" w16cid:durableId="696195966">
    <w:abstractNumId w:val="29"/>
  </w:num>
  <w:num w:numId="23" w16cid:durableId="9991033">
    <w:abstractNumId w:val="34"/>
  </w:num>
  <w:num w:numId="24" w16cid:durableId="20796714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0998485">
    <w:abstractNumId w:val="12"/>
  </w:num>
  <w:num w:numId="26" w16cid:durableId="283193413">
    <w:abstractNumId w:val="22"/>
  </w:num>
  <w:num w:numId="27" w16cid:durableId="2142961817">
    <w:abstractNumId w:val="11"/>
  </w:num>
  <w:num w:numId="28" w16cid:durableId="906263602">
    <w:abstractNumId w:val="45"/>
  </w:num>
  <w:num w:numId="29" w16cid:durableId="800809911">
    <w:abstractNumId w:val="17"/>
  </w:num>
  <w:num w:numId="30" w16cid:durableId="521283353">
    <w:abstractNumId w:val="24"/>
  </w:num>
  <w:num w:numId="31" w16cid:durableId="1199320605">
    <w:abstractNumId w:val="30"/>
  </w:num>
  <w:num w:numId="32" w16cid:durableId="251091473">
    <w:abstractNumId w:val="9"/>
  </w:num>
  <w:num w:numId="33" w16cid:durableId="331687416">
    <w:abstractNumId w:val="35"/>
  </w:num>
  <w:num w:numId="34" w16cid:durableId="1279408690">
    <w:abstractNumId w:val="46"/>
  </w:num>
  <w:num w:numId="35" w16cid:durableId="21367346">
    <w:abstractNumId w:val="38"/>
  </w:num>
  <w:num w:numId="36" w16cid:durableId="126240624">
    <w:abstractNumId w:val="41"/>
  </w:num>
  <w:num w:numId="37" w16cid:durableId="11021469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0116426">
    <w:abstractNumId w:val="6"/>
  </w:num>
  <w:num w:numId="39" w16cid:durableId="1573005167">
    <w:abstractNumId w:val="31"/>
  </w:num>
  <w:num w:numId="40" w16cid:durableId="408699874">
    <w:abstractNumId w:val="32"/>
  </w:num>
  <w:num w:numId="41" w16cid:durableId="1569418770">
    <w:abstractNumId w:val="7"/>
  </w:num>
  <w:num w:numId="42" w16cid:durableId="705176722">
    <w:abstractNumId w:val="4"/>
  </w:num>
  <w:num w:numId="43" w16cid:durableId="1926569401">
    <w:abstractNumId w:val="19"/>
  </w:num>
  <w:num w:numId="44" w16cid:durableId="1979457665">
    <w:abstractNumId w:val="20"/>
  </w:num>
  <w:num w:numId="45" w16cid:durableId="2038313566">
    <w:abstractNumId w:val="18"/>
  </w:num>
  <w:num w:numId="46" w16cid:durableId="129744317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997201">
    <w:abstractNumId w:val="44"/>
  </w:num>
  <w:num w:numId="48" w16cid:durableId="1860004965">
    <w:abstractNumId w:val="3"/>
  </w:num>
  <w:num w:numId="49" w16cid:durableId="499123760">
    <w:abstractNumId w:val="42"/>
  </w:num>
  <w:num w:numId="50" w16cid:durableId="758521116">
    <w:abstractNumId w:val="33"/>
  </w:num>
  <w:num w:numId="51" w16cid:durableId="704404786">
    <w:abstractNumId w:val="16"/>
  </w:num>
  <w:num w:numId="52" w16cid:durableId="798718804">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NTcytzA0NDQ1NzVQ0lEKTi0uzszPAykwrAUAWIv6jCwAAAA="/>
  </w:docVars>
  <w:rsids>
    <w:rsidRoot w:val="00E65E79"/>
    <w:rsid w:val="000000AF"/>
    <w:rsid w:val="00000275"/>
    <w:rsid w:val="00000621"/>
    <w:rsid w:val="0000067D"/>
    <w:rsid w:val="00000790"/>
    <w:rsid w:val="0000091B"/>
    <w:rsid w:val="00000969"/>
    <w:rsid w:val="00000974"/>
    <w:rsid w:val="00000B47"/>
    <w:rsid w:val="00000CE7"/>
    <w:rsid w:val="00000D15"/>
    <w:rsid w:val="00000E14"/>
    <w:rsid w:val="00000F82"/>
    <w:rsid w:val="0000110B"/>
    <w:rsid w:val="000012C9"/>
    <w:rsid w:val="0000194F"/>
    <w:rsid w:val="00001D42"/>
    <w:rsid w:val="00001F6E"/>
    <w:rsid w:val="000020A3"/>
    <w:rsid w:val="000021B9"/>
    <w:rsid w:val="0000238E"/>
    <w:rsid w:val="0000250B"/>
    <w:rsid w:val="0000280A"/>
    <w:rsid w:val="0000287C"/>
    <w:rsid w:val="000029C8"/>
    <w:rsid w:val="00002A2E"/>
    <w:rsid w:val="00002BCD"/>
    <w:rsid w:val="00002BFD"/>
    <w:rsid w:val="000030B6"/>
    <w:rsid w:val="00003499"/>
    <w:rsid w:val="00003804"/>
    <w:rsid w:val="00003987"/>
    <w:rsid w:val="000039B7"/>
    <w:rsid w:val="00003AE1"/>
    <w:rsid w:val="00003DAF"/>
    <w:rsid w:val="0000409E"/>
    <w:rsid w:val="0000411B"/>
    <w:rsid w:val="00004325"/>
    <w:rsid w:val="00004A87"/>
    <w:rsid w:val="00004B55"/>
    <w:rsid w:val="00004BC6"/>
    <w:rsid w:val="00004E64"/>
    <w:rsid w:val="00005458"/>
    <w:rsid w:val="00005502"/>
    <w:rsid w:val="00005529"/>
    <w:rsid w:val="000056B9"/>
    <w:rsid w:val="000056E5"/>
    <w:rsid w:val="00005747"/>
    <w:rsid w:val="00005A78"/>
    <w:rsid w:val="000060DC"/>
    <w:rsid w:val="00006140"/>
    <w:rsid w:val="0000639A"/>
    <w:rsid w:val="000063CC"/>
    <w:rsid w:val="00006885"/>
    <w:rsid w:val="00006C14"/>
    <w:rsid w:val="00006D1B"/>
    <w:rsid w:val="00006EC6"/>
    <w:rsid w:val="00007036"/>
    <w:rsid w:val="000074C0"/>
    <w:rsid w:val="000074EB"/>
    <w:rsid w:val="0000754F"/>
    <w:rsid w:val="0000776A"/>
    <w:rsid w:val="00007C30"/>
    <w:rsid w:val="00007F7C"/>
    <w:rsid w:val="00010026"/>
    <w:rsid w:val="0001002D"/>
    <w:rsid w:val="000103D9"/>
    <w:rsid w:val="00010879"/>
    <w:rsid w:val="00010BA1"/>
    <w:rsid w:val="00010C97"/>
    <w:rsid w:val="00010D56"/>
    <w:rsid w:val="00010D86"/>
    <w:rsid w:val="00010E43"/>
    <w:rsid w:val="00011197"/>
    <w:rsid w:val="000111DA"/>
    <w:rsid w:val="00011550"/>
    <w:rsid w:val="000118AA"/>
    <w:rsid w:val="000118D3"/>
    <w:rsid w:val="000119A5"/>
    <w:rsid w:val="00011ABE"/>
    <w:rsid w:val="00011C55"/>
    <w:rsid w:val="00011CA5"/>
    <w:rsid w:val="000121C3"/>
    <w:rsid w:val="000121E4"/>
    <w:rsid w:val="00012899"/>
    <w:rsid w:val="00012907"/>
    <w:rsid w:val="00012CD7"/>
    <w:rsid w:val="00012ED9"/>
    <w:rsid w:val="0001312B"/>
    <w:rsid w:val="0001320A"/>
    <w:rsid w:val="00013247"/>
    <w:rsid w:val="000132AB"/>
    <w:rsid w:val="000133A6"/>
    <w:rsid w:val="000135E0"/>
    <w:rsid w:val="0001360D"/>
    <w:rsid w:val="000137F0"/>
    <w:rsid w:val="00013964"/>
    <w:rsid w:val="00013FBA"/>
    <w:rsid w:val="0001411F"/>
    <w:rsid w:val="00014A5E"/>
    <w:rsid w:val="00014A8D"/>
    <w:rsid w:val="00014C9E"/>
    <w:rsid w:val="00014D4D"/>
    <w:rsid w:val="00014F5C"/>
    <w:rsid w:val="00015673"/>
    <w:rsid w:val="00015886"/>
    <w:rsid w:val="000158D0"/>
    <w:rsid w:val="0001596B"/>
    <w:rsid w:val="000162EF"/>
    <w:rsid w:val="000166DA"/>
    <w:rsid w:val="000168AE"/>
    <w:rsid w:val="00016D4B"/>
    <w:rsid w:val="00017145"/>
    <w:rsid w:val="00017181"/>
    <w:rsid w:val="0001734D"/>
    <w:rsid w:val="00017597"/>
    <w:rsid w:val="000177D5"/>
    <w:rsid w:val="000178EF"/>
    <w:rsid w:val="000178F5"/>
    <w:rsid w:val="00017B98"/>
    <w:rsid w:val="00017C0D"/>
    <w:rsid w:val="00017C58"/>
    <w:rsid w:val="000201CD"/>
    <w:rsid w:val="0002021F"/>
    <w:rsid w:val="00020499"/>
    <w:rsid w:val="0002079E"/>
    <w:rsid w:val="000207BF"/>
    <w:rsid w:val="000207C9"/>
    <w:rsid w:val="000207DA"/>
    <w:rsid w:val="00020B2A"/>
    <w:rsid w:val="00020BE9"/>
    <w:rsid w:val="00020E35"/>
    <w:rsid w:val="00020EF7"/>
    <w:rsid w:val="00020F92"/>
    <w:rsid w:val="00020F9B"/>
    <w:rsid w:val="000212DA"/>
    <w:rsid w:val="0002137E"/>
    <w:rsid w:val="00021518"/>
    <w:rsid w:val="000215B0"/>
    <w:rsid w:val="00021603"/>
    <w:rsid w:val="00021DB2"/>
    <w:rsid w:val="00021DD3"/>
    <w:rsid w:val="00021F43"/>
    <w:rsid w:val="00021F5C"/>
    <w:rsid w:val="0002225F"/>
    <w:rsid w:val="0002236D"/>
    <w:rsid w:val="00022973"/>
    <w:rsid w:val="000229AD"/>
    <w:rsid w:val="00022CC8"/>
    <w:rsid w:val="00022DAF"/>
    <w:rsid w:val="00022E5E"/>
    <w:rsid w:val="000231EF"/>
    <w:rsid w:val="000232B5"/>
    <w:rsid w:val="00023365"/>
    <w:rsid w:val="000234CD"/>
    <w:rsid w:val="00023763"/>
    <w:rsid w:val="000238C7"/>
    <w:rsid w:val="00023F81"/>
    <w:rsid w:val="00024036"/>
    <w:rsid w:val="000241B1"/>
    <w:rsid w:val="000247CC"/>
    <w:rsid w:val="00024853"/>
    <w:rsid w:val="00024D09"/>
    <w:rsid w:val="00024EB5"/>
    <w:rsid w:val="00024F0D"/>
    <w:rsid w:val="00025335"/>
    <w:rsid w:val="000254CC"/>
    <w:rsid w:val="00025906"/>
    <w:rsid w:val="00025D41"/>
    <w:rsid w:val="00025DF0"/>
    <w:rsid w:val="00025E04"/>
    <w:rsid w:val="000261C0"/>
    <w:rsid w:val="0002643A"/>
    <w:rsid w:val="0002675D"/>
    <w:rsid w:val="00026892"/>
    <w:rsid w:val="000268CD"/>
    <w:rsid w:val="00026B82"/>
    <w:rsid w:val="00026CB9"/>
    <w:rsid w:val="000270D8"/>
    <w:rsid w:val="0002732C"/>
    <w:rsid w:val="000274B8"/>
    <w:rsid w:val="0002754A"/>
    <w:rsid w:val="00027B0E"/>
    <w:rsid w:val="00027D97"/>
    <w:rsid w:val="00027F47"/>
    <w:rsid w:val="000302F5"/>
    <w:rsid w:val="000309D3"/>
    <w:rsid w:val="00030E76"/>
    <w:rsid w:val="00030F3E"/>
    <w:rsid w:val="000311C3"/>
    <w:rsid w:val="000316E1"/>
    <w:rsid w:val="00031749"/>
    <w:rsid w:val="000318F8"/>
    <w:rsid w:val="00031954"/>
    <w:rsid w:val="00031A6D"/>
    <w:rsid w:val="00031C33"/>
    <w:rsid w:val="00031C80"/>
    <w:rsid w:val="00031E14"/>
    <w:rsid w:val="0003233D"/>
    <w:rsid w:val="0003251E"/>
    <w:rsid w:val="00032557"/>
    <w:rsid w:val="00032A46"/>
    <w:rsid w:val="00032AF6"/>
    <w:rsid w:val="00032C42"/>
    <w:rsid w:val="00032CBD"/>
    <w:rsid w:val="00033185"/>
    <w:rsid w:val="000332BA"/>
    <w:rsid w:val="00033314"/>
    <w:rsid w:val="00033568"/>
    <w:rsid w:val="00033641"/>
    <w:rsid w:val="000336C2"/>
    <w:rsid w:val="00033863"/>
    <w:rsid w:val="000339F6"/>
    <w:rsid w:val="00033E3F"/>
    <w:rsid w:val="00033FF2"/>
    <w:rsid w:val="00033FFA"/>
    <w:rsid w:val="0003408F"/>
    <w:rsid w:val="00034240"/>
    <w:rsid w:val="00034529"/>
    <w:rsid w:val="000346D2"/>
    <w:rsid w:val="0003486E"/>
    <w:rsid w:val="00034BD4"/>
    <w:rsid w:val="00034DC6"/>
    <w:rsid w:val="00034FFC"/>
    <w:rsid w:val="000350F5"/>
    <w:rsid w:val="0003550F"/>
    <w:rsid w:val="0003579D"/>
    <w:rsid w:val="00035AD3"/>
    <w:rsid w:val="00035B57"/>
    <w:rsid w:val="00035B5C"/>
    <w:rsid w:val="00035C12"/>
    <w:rsid w:val="00035CE2"/>
    <w:rsid w:val="00035DC0"/>
    <w:rsid w:val="000362F8"/>
    <w:rsid w:val="00036402"/>
    <w:rsid w:val="0003652B"/>
    <w:rsid w:val="0003669F"/>
    <w:rsid w:val="00036829"/>
    <w:rsid w:val="00036843"/>
    <w:rsid w:val="00036A90"/>
    <w:rsid w:val="00036AE4"/>
    <w:rsid w:val="00037015"/>
    <w:rsid w:val="00037308"/>
    <w:rsid w:val="0003757A"/>
    <w:rsid w:val="000375E1"/>
    <w:rsid w:val="00037973"/>
    <w:rsid w:val="00037C0A"/>
    <w:rsid w:val="00037D0A"/>
    <w:rsid w:val="00037D32"/>
    <w:rsid w:val="000405A6"/>
    <w:rsid w:val="000406B1"/>
    <w:rsid w:val="00040895"/>
    <w:rsid w:val="00040A1F"/>
    <w:rsid w:val="00040B66"/>
    <w:rsid w:val="00040EE5"/>
    <w:rsid w:val="00041001"/>
    <w:rsid w:val="000410A0"/>
    <w:rsid w:val="000412AF"/>
    <w:rsid w:val="000414C4"/>
    <w:rsid w:val="0004151B"/>
    <w:rsid w:val="00041953"/>
    <w:rsid w:val="00041991"/>
    <w:rsid w:val="00041CA9"/>
    <w:rsid w:val="00042308"/>
    <w:rsid w:val="0004231F"/>
    <w:rsid w:val="000423B9"/>
    <w:rsid w:val="00042A34"/>
    <w:rsid w:val="00042AF2"/>
    <w:rsid w:val="00042B19"/>
    <w:rsid w:val="00042C73"/>
    <w:rsid w:val="00042D34"/>
    <w:rsid w:val="00042F0E"/>
    <w:rsid w:val="000435D9"/>
    <w:rsid w:val="000435EE"/>
    <w:rsid w:val="000438EB"/>
    <w:rsid w:val="00043C37"/>
    <w:rsid w:val="00044104"/>
    <w:rsid w:val="00044497"/>
    <w:rsid w:val="000448B0"/>
    <w:rsid w:val="000449AA"/>
    <w:rsid w:val="00044A13"/>
    <w:rsid w:val="00044C6E"/>
    <w:rsid w:val="00044ED8"/>
    <w:rsid w:val="00045017"/>
    <w:rsid w:val="00045045"/>
    <w:rsid w:val="00045138"/>
    <w:rsid w:val="0004521B"/>
    <w:rsid w:val="00045515"/>
    <w:rsid w:val="000458CC"/>
    <w:rsid w:val="000458FC"/>
    <w:rsid w:val="00045A2B"/>
    <w:rsid w:val="00045A37"/>
    <w:rsid w:val="00045AC5"/>
    <w:rsid w:val="00045B09"/>
    <w:rsid w:val="00045B5A"/>
    <w:rsid w:val="00045CAF"/>
    <w:rsid w:val="00045CBA"/>
    <w:rsid w:val="00045DFD"/>
    <w:rsid w:val="00045E65"/>
    <w:rsid w:val="0004630E"/>
    <w:rsid w:val="00046496"/>
    <w:rsid w:val="00046605"/>
    <w:rsid w:val="00046696"/>
    <w:rsid w:val="0004698F"/>
    <w:rsid w:val="00046A04"/>
    <w:rsid w:val="00046AD8"/>
    <w:rsid w:val="00046B6F"/>
    <w:rsid w:val="00046C6A"/>
    <w:rsid w:val="00046CDB"/>
    <w:rsid w:val="00046D64"/>
    <w:rsid w:val="00046E9E"/>
    <w:rsid w:val="00046F6A"/>
    <w:rsid w:val="00047033"/>
    <w:rsid w:val="000472E0"/>
    <w:rsid w:val="000478C6"/>
    <w:rsid w:val="00047BE4"/>
    <w:rsid w:val="00047E67"/>
    <w:rsid w:val="00050087"/>
    <w:rsid w:val="000503B9"/>
    <w:rsid w:val="000504DB"/>
    <w:rsid w:val="000508C2"/>
    <w:rsid w:val="00050B53"/>
    <w:rsid w:val="00050D06"/>
    <w:rsid w:val="00050D2B"/>
    <w:rsid w:val="00050EA0"/>
    <w:rsid w:val="00050F60"/>
    <w:rsid w:val="00050FC1"/>
    <w:rsid w:val="00051239"/>
    <w:rsid w:val="000512D2"/>
    <w:rsid w:val="00051303"/>
    <w:rsid w:val="000514C0"/>
    <w:rsid w:val="00051934"/>
    <w:rsid w:val="00051B67"/>
    <w:rsid w:val="00052096"/>
    <w:rsid w:val="0005232F"/>
    <w:rsid w:val="000523CD"/>
    <w:rsid w:val="0005251A"/>
    <w:rsid w:val="0005277B"/>
    <w:rsid w:val="000527CF"/>
    <w:rsid w:val="000529F1"/>
    <w:rsid w:val="0005307E"/>
    <w:rsid w:val="000534F8"/>
    <w:rsid w:val="0005357E"/>
    <w:rsid w:val="000536D8"/>
    <w:rsid w:val="00053916"/>
    <w:rsid w:val="000539D0"/>
    <w:rsid w:val="00053A35"/>
    <w:rsid w:val="00053E08"/>
    <w:rsid w:val="00053ECD"/>
    <w:rsid w:val="00054130"/>
    <w:rsid w:val="000544C9"/>
    <w:rsid w:val="00054621"/>
    <w:rsid w:val="000546D7"/>
    <w:rsid w:val="00054A8D"/>
    <w:rsid w:val="00054AA0"/>
    <w:rsid w:val="00054B70"/>
    <w:rsid w:val="00054E8E"/>
    <w:rsid w:val="00055122"/>
    <w:rsid w:val="00055320"/>
    <w:rsid w:val="00055341"/>
    <w:rsid w:val="000553BA"/>
    <w:rsid w:val="000557DD"/>
    <w:rsid w:val="00055973"/>
    <w:rsid w:val="0005598B"/>
    <w:rsid w:val="00055AF2"/>
    <w:rsid w:val="00055B4B"/>
    <w:rsid w:val="0005612F"/>
    <w:rsid w:val="000562DE"/>
    <w:rsid w:val="000563D9"/>
    <w:rsid w:val="0005647D"/>
    <w:rsid w:val="00056616"/>
    <w:rsid w:val="00056636"/>
    <w:rsid w:val="00056A57"/>
    <w:rsid w:val="00056A61"/>
    <w:rsid w:val="00056C00"/>
    <w:rsid w:val="00056E5A"/>
    <w:rsid w:val="00056ECF"/>
    <w:rsid w:val="00056F4A"/>
    <w:rsid w:val="000571CE"/>
    <w:rsid w:val="000572CB"/>
    <w:rsid w:val="000576E9"/>
    <w:rsid w:val="000577D3"/>
    <w:rsid w:val="00057C0F"/>
    <w:rsid w:val="00057E7D"/>
    <w:rsid w:val="000600E6"/>
    <w:rsid w:val="0006013E"/>
    <w:rsid w:val="0006043E"/>
    <w:rsid w:val="000604DF"/>
    <w:rsid w:val="00060610"/>
    <w:rsid w:val="0006061F"/>
    <w:rsid w:val="00060695"/>
    <w:rsid w:val="00060A9A"/>
    <w:rsid w:val="00060BB9"/>
    <w:rsid w:val="00060D07"/>
    <w:rsid w:val="00060DC2"/>
    <w:rsid w:val="00060FC7"/>
    <w:rsid w:val="0006103C"/>
    <w:rsid w:val="00061116"/>
    <w:rsid w:val="0006130A"/>
    <w:rsid w:val="00061416"/>
    <w:rsid w:val="00061496"/>
    <w:rsid w:val="0006151E"/>
    <w:rsid w:val="000618F0"/>
    <w:rsid w:val="000619CB"/>
    <w:rsid w:val="00061B82"/>
    <w:rsid w:val="00061CB5"/>
    <w:rsid w:val="00061DE5"/>
    <w:rsid w:val="00061F15"/>
    <w:rsid w:val="00061FD9"/>
    <w:rsid w:val="000620E2"/>
    <w:rsid w:val="00062324"/>
    <w:rsid w:val="0006232A"/>
    <w:rsid w:val="0006253D"/>
    <w:rsid w:val="00062C65"/>
    <w:rsid w:val="00062CA4"/>
    <w:rsid w:val="00062E0C"/>
    <w:rsid w:val="00062E59"/>
    <w:rsid w:val="00062EE9"/>
    <w:rsid w:val="000633FB"/>
    <w:rsid w:val="000634C3"/>
    <w:rsid w:val="000636F4"/>
    <w:rsid w:val="0006379D"/>
    <w:rsid w:val="000638FD"/>
    <w:rsid w:val="00063916"/>
    <w:rsid w:val="00063C32"/>
    <w:rsid w:val="00063D72"/>
    <w:rsid w:val="00063E01"/>
    <w:rsid w:val="00063E9E"/>
    <w:rsid w:val="00063EC3"/>
    <w:rsid w:val="00064482"/>
    <w:rsid w:val="000644A3"/>
    <w:rsid w:val="000645B8"/>
    <w:rsid w:val="00064781"/>
    <w:rsid w:val="00064A8D"/>
    <w:rsid w:val="00064D37"/>
    <w:rsid w:val="00065043"/>
    <w:rsid w:val="000650A9"/>
    <w:rsid w:val="00065152"/>
    <w:rsid w:val="0006519B"/>
    <w:rsid w:val="000653B5"/>
    <w:rsid w:val="000655A7"/>
    <w:rsid w:val="00065632"/>
    <w:rsid w:val="00065A26"/>
    <w:rsid w:val="00065B98"/>
    <w:rsid w:val="00066087"/>
    <w:rsid w:val="000660A1"/>
    <w:rsid w:val="00066230"/>
    <w:rsid w:val="00066243"/>
    <w:rsid w:val="00066360"/>
    <w:rsid w:val="0006652F"/>
    <w:rsid w:val="000665D2"/>
    <w:rsid w:val="00066834"/>
    <w:rsid w:val="00066AF8"/>
    <w:rsid w:val="00067021"/>
    <w:rsid w:val="000670A5"/>
    <w:rsid w:val="000670DC"/>
    <w:rsid w:val="000670F6"/>
    <w:rsid w:val="000672F2"/>
    <w:rsid w:val="000673D8"/>
    <w:rsid w:val="0006752D"/>
    <w:rsid w:val="0006785C"/>
    <w:rsid w:val="00067A7F"/>
    <w:rsid w:val="00067B1F"/>
    <w:rsid w:val="00067BD2"/>
    <w:rsid w:val="00067F55"/>
    <w:rsid w:val="00067F5A"/>
    <w:rsid w:val="0007008A"/>
    <w:rsid w:val="00070178"/>
    <w:rsid w:val="000701B2"/>
    <w:rsid w:val="000704F8"/>
    <w:rsid w:val="00070B4A"/>
    <w:rsid w:val="00070F27"/>
    <w:rsid w:val="00071048"/>
    <w:rsid w:val="00071107"/>
    <w:rsid w:val="00071248"/>
    <w:rsid w:val="0007134C"/>
    <w:rsid w:val="00071770"/>
    <w:rsid w:val="000718AF"/>
    <w:rsid w:val="000719AB"/>
    <w:rsid w:val="000719B3"/>
    <w:rsid w:val="00071FB7"/>
    <w:rsid w:val="000720B9"/>
    <w:rsid w:val="000722D5"/>
    <w:rsid w:val="00072310"/>
    <w:rsid w:val="0007249C"/>
    <w:rsid w:val="000724E9"/>
    <w:rsid w:val="00072571"/>
    <w:rsid w:val="000725DF"/>
    <w:rsid w:val="00072919"/>
    <w:rsid w:val="00072B28"/>
    <w:rsid w:val="00072EA8"/>
    <w:rsid w:val="000734F6"/>
    <w:rsid w:val="000737F7"/>
    <w:rsid w:val="00073962"/>
    <w:rsid w:val="00073C00"/>
    <w:rsid w:val="00073DC0"/>
    <w:rsid w:val="00073E24"/>
    <w:rsid w:val="0007405E"/>
    <w:rsid w:val="000742C0"/>
    <w:rsid w:val="0007454C"/>
    <w:rsid w:val="0007466F"/>
    <w:rsid w:val="0007474E"/>
    <w:rsid w:val="000747A0"/>
    <w:rsid w:val="000747D0"/>
    <w:rsid w:val="000748C2"/>
    <w:rsid w:val="0007502C"/>
    <w:rsid w:val="0007513B"/>
    <w:rsid w:val="0007518D"/>
    <w:rsid w:val="00075198"/>
    <w:rsid w:val="000751AB"/>
    <w:rsid w:val="000751C9"/>
    <w:rsid w:val="00075996"/>
    <w:rsid w:val="00075BA2"/>
    <w:rsid w:val="00075BFB"/>
    <w:rsid w:val="00076079"/>
    <w:rsid w:val="00076269"/>
    <w:rsid w:val="00076380"/>
    <w:rsid w:val="0007651A"/>
    <w:rsid w:val="0007672F"/>
    <w:rsid w:val="00076B54"/>
    <w:rsid w:val="00076DB5"/>
    <w:rsid w:val="00076E79"/>
    <w:rsid w:val="00076F37"/>
    <w:rsid w:val="00077474"/>
    <w:rsid w:val="000774F0"/>
    <w:rsid w:val="00077702"/>
    <w:rsid w:val="000777E7"/>
    <w:rsid w:val="00077AD8"/>
    <w:rsid w:val="00077E01"/>
    <w:rsid w:val="00080169"/>
    <w:rsid w:val="0008017D"/>
    <w:rsid w:val="000802FF"/>
    <w:rsid w:val="00080394"/>
    <w:rsid w:val="000803DD"/>
    <w:rsid w:val="00080458"/>
    <w:rsid w:val="00080559"/>
    <w:rsid w:val="000806A6"/>
    <w:rsid w:val="000808C7"/>
    <w:rsid w:val="00080909"/>
    <w:rsid w:val="00081182"/>
    <w:rsid w:val="000812CA"/>
    <w:rsid w:val="000814D3"/>
    <w:rsid w:val="000818FD"/>
    <w:rsid w:val="00081AF0"/>
    <w:rsid w:val="00081E63"/>
    <w:rsid w:val="00082181"/>
    <w:rsid w:val="0008258D"/>
    <w:rsid w:val="00082726"/>
    <w:rsid w:val="00082999"/>
    <w:rsid w:val="000831DA"/>
    <w:rsid w:val="00083315"/>
    <w:rsid w:val="000839F7"/>
    <w:rsid w:val="00083E99"/>
    <w:rsid w:val="00083EB9"/>
    <w:rsid w:val="000840BD"/>
    <w:rsid w:val="00084334"/>
    <w:rsid w:val="000843AC"/>
    <w:rsid w:val="000843F3"/>
    <w:rsid w:val="0008443C"/>
    <w:rsid w:val="00084891"/>
    <w:rsid w:val="00084C31"/>
    <w:rsid w:val="00084FA8"/>
    <w:rsid w:val="00085150"/>
    <w:rsid w:val="00085280"/>
    <w:rsid w:val="0008537B"/>
    <w:rsid w:val="00085488"/>
    <w:rsid w:val="000856C5"/>
    <w:rsid w:val="0008599F"/>
    <w:rsid w:val="00085A36"/>
    <w:rsid w:val="00085B30"/>
    <w:rsid w:val="00085C31"/>
    <w:rsid w:val="00085C72"/>
    <w:rsid w:val="00085F6C"/>
    <w:rsid w:val="00086332"/>
    <w:rsid w:val="000865AF"/>
    <w:rsid w:val="000867DD"/>
    <w:rsid w:val="00086BA4"/>
    <w:rsid w:val="00086F00"/>
    <w:rsid w:val="000871FB"/>
    <w:rsid w:val="000872EC"/>
    <w:rsid w:val="0008757E"/>
    <w:rsid w:val="00087588"/>
    <w:rsid w:val="0008759A"/>
    <w:rsid w:val="00087FA5"/>
    <w:rsid w:val="000902A0"/>
    <w:rsid w:val="000902D9"/>
    <w:rsid w:val="000902E4"/>
    <w:rsid w:val="00090531"/>
    <w:rsid w:val="000905F4"/>
    <w:rsid w:val="00090731"/>
    <w:rsid w:val="00090747"/>
    <w:rsid w:val="000907FA"/>
    <w:rsid w:val="000908F4"/>
    <w:rsid w:val="00090ADF"/>
    <w:rsid w:val="00090C7E"/>
    <w:rsid w:val="00090E3A"/>
    <w:rsid w:val="00090F1E"/>
    <w:rsid w:val="00090FA4"/>
    <w:rsid w:val="000911AC"/>
    <w:rsid w:val="000912D4"/>
    <w:rsid w:val="00091314"/>
    <w:rsid w:val="0009150B"/>
    <w:rsid w:val="0009167E"/>
    <w:rsid w:val="000917D1"/>
    <w:rsid w:val="000918C9"/>
    <w:rsid w:val="00091AA2"/>
    <w:rsid w:val="00091B5A"/>
    <w:rsid w:val="00091C87"/>
    <w:rsid w:val="000920CC"/>
    <w:rsid w:val="0009230D"/>
    <w:rsid w:val="00092523"/>
    <w:rsid w:val="00092600"/>
    <w:rsid w:val="0009262B"/>
    <w:rsid w:val="000928DE"/>
    <w:rsid w:val="00092A00"/>
    <w:rsid w:val="00092C35"/>
    <w:rsid w:val="00092CB2"/>
    <w:rsid w:val="00092CEB"/>
    <w:rsid w:val="00092F8B"/>
    <w:rsid w:val="0009308C"/>
    <w:rsid w:val="00093310"/>
    <w:rsid w:val="0009355B"/>
    <w:rsid w:val="00093815"/>
    <w:rsid w:val="000939AF"/>
    <w:rsid w:val="00094192"/>
    <w:rsid w:val="000942F1"/>
    <w:rsid w:val="0009445C"/>
    <w:rsid w:val="000944F9"/>
    <w:rsid w:val="00094609"/>
    <w:rsid w:val="000946A2"/>
    <w:rsid w:val="00094725"/>
    <w:rsid w:val="00094AB6"/>
    <w:rsid w:val="00094B8D"/>
    <w:rsid w:val="000951EA"/>
    <w:rsid w:val="00095200"/>
    <w:rsid w:val="000952CB"/>
    <w:rsid w:val="00095329"/>
    <w:rsid w:val="00095571"/>
    <w:rsid w:val="000955A9"/>
    <w:rsid w:val="000956FA"/>
    <w:rsid w:val="00095748"/>
    <w:rsid w:val="00095768"/>
    <w:rsid w:val="000958BB"/>
    <w:rsid w:val="000958CD"/>
    <w:rsid w:val="00095D68"/>
    <w:rsid w:val="00095DBB"/>
    <w:rsid w:val="00095F12"/>
    <w:rsid w:val="00095FC5"/>
    <w:rsid w:val="00095FE5"/>
    <w:rsid w:val="00095FFB"/>
    <w:rsid w:val="000960B7"/>
    <w:rsid w:val="000960E7"/>
    <w:rsid w:val="00096221"/>
    <w:rsid w:val="00096284"/>
    <w:rsid w:val="000963C6"/>
    <w:rsid w:val="0009682B"/>
    <w:rsid w:val="00096962"/>
    <w:rsid w:val="00096CE2"/>
    <w:rsid w:val="0009762E"/>
    <w:rsid w:val="000976D3"/>
    <w:rsid w:val="000978BE"/>
    <w:rsid w:val="00097A2E"/>
    <w:rsid w:val="00097A46"/>
    <w:rsid w:val="00097AD9"/>
    <w:rsid w:val="00097F0B"/>
    <w:rsid w:val="000A0321"/>
    <w:rsid w:val="000A055D"/>
    <w:rsid w:val="000A06D8"/>
    <w:rsid w:val="000A0A0F"/>
    <w:rsid w:val="000A0C20"/>
    <w:rsid w:val="000A117E"/>
    <w:rsid w:val="000A1444"/>
    <w:rsid w:val="000A1486"/>
    <w:rsid w:val="000A1BB5"/>
    <w:rsid w:val="000A1BC0"/>
    <w:rsid w:val="000A1D77"/>
    <w:rsid w:val="000A1EDF"/>
    <w:rsid w:val="000A22B1"/>
    <w:rsid w:val="000A23B0"/>
    <w:rsid w:val="000A24D0"/>
    <w:rsid w:val="000A255D"/>
    <w:rsid w:val="000A2888"/>
    <w:rsid w:val="000A28F1"/>
    <w:rsid w:val="000A2AA9"/>
    <w:rsid w:val="000A2B1E"/>
    <w:rsid w:val="000A2B32"/>
    <w:rsid w:val="000A2B49"/>
    <w:rsid w:val="000A2E6A"/>
    <w:rsid w:val="000A2F16"/>
    <w:rsid w:val="000A2F9E"/>
    <w:rsid w:val="000A30ED"/>
    <w:rsid w:val="000A3294"/>
    <w:rsid w:val="000A32D8"/>
    <w:rsid w:val="000A3496"/>
    <w:rsid w:val="000A3834"/>
    <w:rsid w:val="000A3D84"/>
    <w:rsid w:val="000A3DB8"/>
    <w:rsid w:val="000A3E47"/>
    <w:rsid w:val="000A3EA7"/>
    <w:rsid w:val="000A41A9"/>
    <w:rsid w:val="000A43D1"/>
    <w:rsid w:val="000A496F"/>
    <w:rsid w:val="000A49FD"/>
    <w:rsid w:val="000A4ADD"/>
    <w:rsid w:val="000A4B73"/>
    <w:rsid w:val="000A4BE4"/>
    <w:rsid w:val="000A4D2C"/>
    <w:rsid w:val="000A4E95"/>
    <w:rsid w:val="000A50DD"/>
    <w:rsid w:val="000A522B"/>
    <w:rsid w:val="000A52E3"/>
    <w:rsid w:val="000A536C"/>
    <w:rsid w:val="000A56E8"/>
    <w:rsid w:val="000A5772"/>
    <w:rsid w:val="000A59E6"/>
    <w:rsid w:val="000A5AF7"/>
    <w:rsid w:val="000A5C53"/>
    <w:rsid w:val="000A5EDA"/>
    <w:rsid w:val="000A602C"/>
    <w:rsid w:val="000A6039"/>
    <w:rsid w:val="000A61D0"/>
    <w:rsid w:val="000A6271"/>
    <w:rsid w:val="000A62AC"/>
    <w:rsid w:val="000A631F"/>
    <w:rsid w:val="000A6334"/>
    <w:rsid w:val="000A64EC"/>
    <w:rsid w:val="000A667B"/>
    <w:rsid w:val="000A66BD"/>
    <w:rsid w:val="000A6709"/>
    <w:rsid w:val="000A6C31"/>
    <w:rsid w:val="000A6C79"/>
    <w:rsid w:val="000A6D0C"/>
    <w:rsid w:val="000A6DED"/>
    <w:rsid w:val="000A6EF6"/>
    <w:rsid w:val="000A6FC9"/>
    <w:rsid w:val="000A70FE"/>
    <w:rsid w:val="000A7453"/>
    <w:rsid w:val="000A747F"/>
    <w:rsid w:val="000A7530"/>
    <w:rsid w:val="000A75A1"/>
    <w:rsid w:val="000A7A56"/>
    <w:rsid w:val="000A7D08"/>
    <w:rsid w:val="000A7EA2"/>
    <w:rsid w:val="000A7F43"/>
    <w:rsid w:val="000B0121"/>
    <w:rsid w:val="000B0450"/>
    <w:rsid w:val="000B05FF"/>
    <w:rsid w:val="000B0670"/>
    <w:rsid w:val="000B06D2"/>
    <w:rsid w:val="000B0816"/>
    <w:rsid w:val="000B08AC"/>
    <w:rsid w:val="000B09AA"/>
    <w:rsid w:val="000B0ACD"/>
    <w:rsid w:val="000B0D44"/>
    <w:rsid w:val="000B0E75"/>
    <w:rsid w:val="000B108E"/>
    <w:rsid w:val="000B108F"/>
    <w:rsid w:val="000B13CA"/>
    <w:rsid w:val="000B1EB5"/>
    <w:rsid w:val="000B201B"/>
    <w:rsid w:val="000B231C"/>
    <w:rsid w:val="000B24A2"/>
    <w:rsid w:val="000B2598"/>
    <w:rsid w:val="000B2658"/>
    <w:rsid w:val="000B269F"/>
    <w:rsid w:val="000B26B0"/>
    <w:rsid w:val="000B26F9"/>
    <w:rsid w:val="000B27C0"/>
    <w:rsid w:val="000B2DCB"/>
    <w:rsid w:val="000B2FB6"/>
    <w:rsid w:val="000B2FC7"/>
    <w:rsid w:val="000B30C3"/>
    <w:rsid w:val="000B32CF"/>
    <w:rsid w:val="000B32F9"/>
    <w:rsid w:val="000B336D"/>
    <w:rsid w:val="000B366B"/>
    <w:rsid w:val="000B36A8"/>
    <w:rsid w:val="000B3714"/>
    <w:rsid w:val="000B3A3A"/>
    <w:rsid w:val="000B3A7C"/>
    <w:rsid w:val="000B3D72"/>
    <w:rsid w:val="000B3F99"/>
    <w:rsid w:val="000B42F9"/>
    <w:rsid w:val="000B42FC"/>
    <w:rsid w:val="000B4779"/>
    <w:rsid w:val="000B47AD"/>
    <w:rsid w:val="000B4813"/>
    <w:rsid w:val="000B4AC3"/>
    <w:rsid w:val="000B506F"/>
    <w:rsid w:val="000B520F"/>
    <w:rsid w:val="000B532F"/>
    <w:rsid w:val="000B5361"/>
    <w:rsid w:val="000B55AD"/>
    <w:rsid w:val="000B576A"/>
    <w:rsid w:val="000B5887"/>
    <w:rsid w:val="000B5C35"/>
    <w:rsid w:val="000B5CBF"/>
    <w:rsid w:val="000B5CE0"/>
    <w:rsid w:val="000B5DB9"/>
    <w:rsid w:val="000B5EA1"/>
    <w:rsid w:val="000B60F7"/>
    <w:rsid w:val="000B61C2"/>
    <w:rsid w:val="000B6307"/>
    <w:rsid w:val="000B6379"/>
    <w:rsid w:val="000B63E1"/>
    <w:rsid w:val="000B65C6"/>
    <w:rsid w:val="000B67E2"/>
    <w:rsid w:val="000B687D"/>
    <w:rsid w:val="000B68C6"/>
    <w:rsid w:val="000B68C7"/>
    <w:rsid w:val="000B6B4D"/>
    <w:rsid w:val="000B6C39"/>
    <w:rsid w:val="000B6C44"/>
    <w:rsid w:val="000B6CAC"/>
    <w:rsid w:val="000B70A9"/>
    <w:rsid w:val="000B70FC"/>
    <w:rsid w:val="000B7154"/>
    <w:rsid w:val="000B722B"/>
    <w:rsid w:val="000B7612"/>
    <w:rsid w:val="000B7694"/>
    <w:rsid w:val="000B7701"/>
    <w:rsid w:val="000B78AE"/>
    <w:rsid w:val="000B7A6C"/>
    <w:rsid w:val="000B7E21"/>
    <w:rsid w:val="000C0146"/>
    <w:rsid w:val="000C04F6"/>
    <w:rsid w:val="000C0F67"/>
    <w:rsid w:val="000C0FD5"/>
    <w:rsid w:val="000C10E1"/>
    <w:rsid w:val="000C113C"/>
    <w:rsid w:val="000C137C"/>
    <w:rsid w:val="000C162B"/>
    <w:rsid w:val="000C16E2"/>
    <w:rsid w:val="000C194F"/>
    <w:rsid w:val="000C1B94"/>
    <w:rsid w:val="000C1CBC"/>
    <w:rsid w:val="000C1EF4"/>
    <w:rsid w:val="000C283F"/>
    <w:rsid w:val="000C2B9B"/>
    <w:rsid w:val="000C3DF9"/>
    <w:rsid w:val="000C3F63"/>
    <w:rsid w:val="000C4296"/>
    <w:rsid w:val="000C429A"/>
    <w:rsid w:val="000C4414"/>
    <w:rsid w:val="000C4773"/>
    <w:rsid w:val="000C4CF2"/>
    <w:rsid w:val="000C4F29"/>
    <w:rsid w:val="000C5481"/>
    <w:rsid w:val="000C5569"/>
    <w:rsid w:val="000C55BC"/>
    <w:rsid w:val="000C55D5"/>
    <w:rsid w:val="000C5675"/>
    <w:rsid w:val="000C56CE"/>
    <w:rsid w:val="000C5745"/>
    <w:rsid w:val="000C592D"/>
    <w:rsid w:val="000C59D3"/>
    <w:rsid w:val="000C5ADE"/>
    <w:rsid w:val="000C6051"/>
    <w:rsid w:val="000C6496"/>
    <w:rsid w:val="000C64C1"/>
    <w:rsid w:val="000C653F"/>
    <w:rsid w:val="000C65B1"/>
    <w:rsid w:val="000C6713"/>
    <w:rsid w:val="000C6E5B"/>
    <w:rsid w:val="000C708F"/>
    <w:rsid w:val="000C72C6"/>
    <w:rsid w:val="000C7621"/>
    <w:rsid w:val="000C76D1"/>
    <w:rsid w:val="000C7AD0"/>
    <w:rsid w:val="000C7B63"/>
    <w:rsid w:val="000C7B64"/>
    <w:rsid w:val="000C7B88"/>
    <w:rsid w:val="000D012F"/>
    <w:rsid w:val="000D06D5"/>
    <w:rsid w:val="000D08BE"/>
    <w:rsid w:val="000D0AE8"/>
    <w:rsid w:val="000D0B5B"/>
    <w:rsid w:val="000D0BD8"/>
    <w:rsid w:val="000D0BEB"/>
    <w:rsid w:val="000D103E"/>
    <w:rsid w:val="000D106A"/>
    <w:rsid w:val="000D1621"/>
    <w:rsid w:val="000D16A2"/>
    <w:rsid w:val="000D1A96"/>
    <w:rsid w:val="000D1BFC"/>
    <w:rsid w:val="000D1D5D"/>
    <w:rsid w:val="000D1E70"/>
    <w:rsid w:val="000D20D2"/>
    <w:rsid w:val="000D22A7"/>
    <w:rsid w:val="000D276B"/>
    <w:rsid w:val="000D281A"/>
    <w:rsid w:val="000D2848"/>
    <w:rsid w:val="000D2ED5"/>
    <w:rsid w:val="000D2F00"/>
    <w:rsid w:val="000D3028"/>
    <w:rsid w:val="000D309A"/>
    <w:rsid w:val="000D326A"/>
    <w:rsid w:val="000D35A3"/>
    <w:rsid w:val="000D35F5"/>
    <w:rsid w:val="000D3748"/>
    <w:rsid w:val="000D3830"/>
    <w:rsid w:val="000D3936"/>
    <w:rsid w:val="000D3AB3"/>
    <w:rsid w:val="000D3B9C"/>
    <w:rsid w:val="000D3C97"/>
    <w:rsid w:val="000D43A9"/>
    <w:rsid w:val="000D4415"/>
    <w:rsid w:val="000D446F"/>
    <w:rsid w:val="000D44A6"/>
    <w:rsid w:val="000D4654"/>
    <w:rsid w:val="000D484B"/>
    <w:rsid w:val="000D4AA8"/>
    <w:rsid w:val="000D4E50"/>
    <w:rsid w:val="000D4EC2"/>
    <w:rsid w:val="000D50DE"/>
    <w:rsid w:val="000D50EF"/>
    <w:rsid w:val="000D51FB"/>
    <w:rsid w:val="000D55A6"/>
    <w:rsid w:val="000D5A9D"/>
    <w:rsid w:val="000D5AD9"/>
    <w:rsid w:val="000D5BC1"/>
    <w:rsid w:val="000D5CBA"/>
    <w:rsid w:val="000D60FF"/>
    <w:rsid w:val="000D6350"/>
    <w:rsid w:val="000D6486"/>
    <w:rsid w:val="000D6800"/>
    <w:rsid w:val="000D6A05"/>
    <w:rsid w:val="000D6A49"/>
    <w:rsid w:val="000D6A63"/>
    <w:rsid w:val="000D6D3B"/>
    <w:rsid w:val="000D6D9F"/>
    <w:rsid w:val="000D6E24"/>
    <w:rsid w:val="000D6EBD"/>
    <w:rsid w:val="000D6F73"/>
    <w:rsid w:val="000D6F9A"/>
    <w:rsid w:val="000D6FB4"/>
    <w:rsid w:val="000D70BC"/>
    <w:rsid w:val="000D70E9"/>
    <w:rsid w:val="000D70FF"/>
    <w:rsid w:val="000D7331"/>
    <w:rsid w:val="000D75C5"/>
    <w:rsid w:val="000D7678"/>
    <w:rsid w:val="000D77E5"/>
    <w:rsid w:val="000D7AAF"/>
    <w:rsid w:val="000D7F7B"/>
    <w:rsid w:val="000E0640"/>
    <w:rsid w:val="000E08E7"/>
    <w:rsid w:val="000E08F0"/>
    <w:rsid w:val="000E0954"/>
    <w:rsid w:val="000E0B92"/>
    <w:rsid w:val="000E0C86"/>
    <w:rsid w:val="000E0D53"/>
    <w:rsid w:val="000E0E95"/>
    <w:rsid w:val="000E0EAC"/>
    <w:rsid w:val="000E0F7A"/>
    <w:rsid w:val="000E11F3"/>
    <w:rsid w:val="000E125A"/>
    <w:rsid w:val="000E12F5"/>
    <w:rsid w:val="000E1338"/>
    <w:rsid w:val="000E134B"/>
    <w:rsid w:val="000E135D"/>
    <w:rsid w:val="000E17BF"/>
    <w:rsid w:val="000E1D73"/>
    <w:rsid w:val="000E1F04"/>
    <w:rsid w:val="000E2097"/>
    <w:rsid w:val="000E23AA"/>
    <w:rsid w:val="000E2600"/>
    <w:rsid w:val="000E2860"/>
    <w:rsid w:val="000E2868"/>
    <w:rsid w:val="000E2C90"/>
    <w:rsid w:val="000E2D48"/>
    <w:rsid w:val="000E2D76"/>
    <w:rsid w:val="000E2E4E"/>
    <w:rsid w:val="000E357A"/>
    <w:rsid w:val="000E36EB"/>
    <w:rsid w:val="000E370F"/>
    <w:rsid w:val="000E3C31"/>
    <w:rsid w:val="000E3E13"/>
    <w:rsid w:val="000E3EB1"/>
    <w:rsid w:val="000E3EB5"/>
    <w:rsid w:val="000E4670"/>
    <w:rsid w:val="000E4816"/>
    <w:rsid w:val="000E49D3"/>
    <w:rsid w:val="000E4DD8"/>
    <w:rsid w:val="000E4FF4"/>
    <w:rsid w:val="000E5127"/>
    <w:rsid w:val="000E517B"/>
    <w:rsid w:val="000E526C"/>
    <w:rsid w:val="000E52E5"/>
    <w:rsid w:val="000E52F9"/>
    <w:rsid w:val="000E5345"/>
    <w:rsid w:val="000E5452"/>
    <w:rsid w:val="000E5476"/>
    <w:rsid w:val="000E5613"/>
    <w:rsid w:val="000E5962"/>
    <w:rsid w:val="000E5BB9"/>
    <w:rsid w:val="000E5BE6"/>
    <w:rsid w:val="000E5F3B"/>
    <w:rsid w:val="000E6070"/>
    <w:rsid w:val="000E6225"/>
    <w:rsid w:val="000E62C8"/>
    <w:rsid w:val="000E62E8"/>
    <w:rsid w:val="000E63B6"/>
    <w:rsid w:val="000E67D1"/>
    <w:rsid w:val="000E68FC"/>
    <w:rsid w:val="000E6BB5"/>
    <w:rsid w:val="000E6C8E"/>
    <w:rsid w:val="000E6CEB"/>
    <w:rsid w:val="000E6CF5"/>
    <w:rsid w:val="000E6EA6"/>
    <w:rsid w:val="000E6EBA"/>
    <w:rsid w:val="000E7203"/>
    <w:rsid w:val="000E746A"/>
    <w:rsid w:val="000E75EC"/>
    <w:rsid w:val="000E7642"/>
    <w:rsid w:val="000E77FD"/>
    <w:rsid w:val="000E7A7E"/>
    <w:rsid w:val="000E7DA9"/>
    <w:rsid w:val="000E7F17"/>
    <w:rsid w:val="000F00BA"/>
    <w:rsid w:val="000F0198"/>
    <w:rsid w:val="000F01B5"/>
    <w:rsid w:val="000F0260"/>
    <w:rsid w:val="000F03A9"/>
    <w:rsid w:val="000F05B6"/>
    <w:rsid w:val="000F066F"/>
    <w:rsid w:val="000F0676"/>
    <w:rsid w:val="000F0765"/>
    <w:rsid w:val="000F07C7"/>
    <w:rsid w:val="000F0B30"/>
    <w:rsid w:val="000F0CD8"/>
    <w:rsid w:val="000F0D56"/>
    <w:rsid w:val="000F0F83"/>
    <w:rsid w:val="000F116E"/>
    <w:rsid w:val="000F178D"/>
    <w:rsid w:val="000F17D7"/>
    <w:rsid w:val="000F17F2"/>
    <w:rsid w:val="000F20D8"/>
    <w:rsid w:val="000F2206"/>
    <w:rsid w:val="000F22FB"/>
    <w:rsid w:val="000F2383"/>
    <w:rsid w:val="000F2410"/>
    <w:rsid w:val="000F256A"/>
    <w:rsid w:val="000F28EB"/>
    <w:rsid w:val="000F2A39"/>
    <w:rsid w:val="000F2B11"/>
    <w:rsid w:val="000F2BAC"/>
    <w:rsid w:val="000F2F7C"/>
    <w:rsid w:val="000F2FC7"/>
    <w:rsid w:val="000F3141"/>
    <w:rsid w:val="000F316A"/>
    <w:rsid w:val="000F335F"/>
    <w:rsid w:val="000F3484"/>
    <w:rsid w:val="000F34A9"/>
    <w:rsid w:val="000F36A8"/>
    <w:rsid w:val="000F3A5E"/>
    <w:rsid w:val="000F3B39"/>
    <w:rsid w:val="000F3C74"/>
    <w:rsid w:val="000F41EF"/>
    <w:rsid w:val="000F44EF"/>
    <w:rsid w:val="000F4BB8"/>
    <w:rsid w:val="000F4BC2"/>
    <w:rsid w:val="000F4C73"/>
    <w:rsid w:val="000F4E48"/>
    <w:rsid w:val="000F4FA9"/>
    <w:rsid w:val="000F5069"/>
    <w:rsid w:val="000F5150"/>
    <w:rsid w:val="000F53FB"/>
    <w:rsid w:val="000F5578"/>
    <w:rsid w:val="000F57EE"/>
    <w:rsid w:val="000F597B"/>
    <w:rsid w:val="000F5A37"/>
    <w:rsid w:val="000F5AF9"/>
    <w:rsid w:val="000F5B01"/>
    <w:rsid w:val="000F5BDF"/>
    <w:rsid w:val="000F5C01"/>
    <w:rsid w:val="000F5C94"/>
    <w:rsid w:val="000F605D"/>
    <w:rsid w:val="000F61AD"/>
    <w:rsid w:val="000F6432"/>
    <w:rsid w:val="000F6491"/>
    <w:rsid w:val="000F656B"/>
    <w:rsid w:val="000F6733"/>
    <w:rsid w:val="000F6D63"/>
    <w:rsid w:val="000F6E25"/>
    <w:rsid w:val="000F7127"/>
    <w:rsid w:val="000F712C"/>
    <w:rsid w:val="000F7472"/>
    <w:rsid w:val="000F76DD"/>
    <w:rsid w:val="000F7A46"/>
    <w:rsid w:val="000F7B54"/>
    <w:rsid w:val="000F7CD1"/>
    <w:rsid w:val="00100054"/>
    <w:rsid w:val="001000B3"/>
    <w:rsid w:val="001004BE"/>
    <w:rsid w:val="0010080E"/>
    <w:rsid w:val="00100B88"/>
    <w:rsid w:val="00100F8A"/>
    <w:rsid w:val="00100FCD"/>
    <w:rsid w:val="001014E4"/>
    <w:rsid w:val="0010160A"/>
    <w:rsid w:val="00101693"/>
    <w:rsid w:val="001016F0"/>
    <w:rsid w:val="00101B74"/>
    <w:rsid w:val="001020BF"/>
    <w:rsid w:val="00102193"/>
    <w:rsid w:val="00102797"/>
    <w:rsid w:val="00102986"/>
    <w:rsid w:val="00102AEF"/>
    <w:rsid w:val="00102CE6"/>
    <w:rsid w:val="00102EDC"/>
    <w:rsid w:val="00103229"/>
    <w:rsid w:val="00103588"/>
    <w:rsid w:val="00103590"/>
    <w:rsid w:val="0010399C"/>
    <w:rsid w:val="00103AC5"/>
    <w:rsid w:val="00103B1C"/>
    <w:rsid w:val="00103BAF"/>
    <w:rsid w:val="0010452E"/>
    <w:rsid w:val="0010468F"/>
    <w:rsid w:val="001047D9"/>
    <w:rsid w:val="00104838"/>
    <w:rsid w:val="00104B06"/>
    <w:rsid w:val="00104B25"/>
    <w:rsid w:val="0010548F"/>
    <w:rsid w:val="001057CC"/>
    <w:rsid w:val="0010581A"/>
    <w:rsid w:val="00105878"/>
    <w:rsid w:val="00105AE2"/>
    <w:rsid w:val="001060C6"/>
    <w:rsid w:val="00106147"/>
    <w:rsid w:val="001068BF"/>
    <w:rsid w:val="00106AD5"/>
    <w:rsid w:val="00106B80"/>
    <w:rsid w:val="00106C46"/>
    <w:rsid w:val="001071B9"/>
    <w:rsid w:val="001073D7"/>
    <w:rsid w:val="001076BA"/>
    <w:rsid w:val="00107C66"/>
    <w:rsid w:val="00107D29"/>
    <w:rsid w:val="00107F30"/>
    <w:rsid w:val="0011032E"/>
    <w:rsid w:val="0011082C"/>
    <w:rsid w:val="00110886"/>
    <w:rsid w:val="001108E7"/>
    <w:rsid w:val="00110C84"/>
    <w:rsid w:val="00110C86"/>
    <w:rsid w:val="00110D9C"/>
    <w:rsid w:val="00110EA5"/>
    <w:rsid w:val="00111361"/>
    <w:rsid w:val="00111391"/>
    <w:rsid w:val="00111419"/>
    <w:rsid w:val="0011142C"/>
    <w:rsid w:val="001117B7"/>
    <w:rsid w:val="00111862"/>
    <w:rsid w:val="00111CF6"/>
    <w:rsid w:val="00111E67"/>
    <w:rsid w:val="00111FAA"/>
    <w:rsid w:val="00111FE0"/>
    <w:rsid w:val="00111FE3"/>
    <w:rsid w:val="0011224A"/>
    <w:rsid w:val="0011258D"/>
    <w:rsid w:val="0011261D"/>
    <w:rsid w:val="00112643"/>
    <w:rsid w:val="001126F0"/>
    <w:rsid w:val="00112836"/>
    <w:rsid w:val="00112908"/>
    <w:rsid w:val="00112953"/>
    <w:rsid w:val="0011297C"/>
    <w:rsid w:val="00112A93"/>
    <w:rsid w:val="00112AB3"/>
    <w:rsid w:val="00112D5E"/>
    <w:rsid w:val="00112EAC"/>
    <w:rsid w:val="00112EF9"/>
    <w:rsid w:val="00112FFB"/>
    <w:rsid w:val="0011326A"/>
    <w:rsid w:val="0011348B"/>
    <w:rsid w:val="0011372F"/>
    <w:rsid w:val="001137BE"/>
    <w:rsid w:val="0011388E"/>
    <w:rsid w:val="00113A07"/>
    <w:rsid w:val="00113B5A"/>
    <w:rsid w:val="001144FD"/>
    <w:rsid w:val="0011476F"/>
    <w:rsid w:val="00114879"/>
    <w:rsid w:val="00114981"/>
    <w:rsid w:val="00114F9F"/>
    <w:rsid w:val="00115220"/>
    <w:rsid w:val="00115229"/>
    <w:rsid w:val="001153ED"/>
    <w:rsid w:val="001155E2"/>
    <w:rsid w:val="001155F5"/>
    <w:rsid w:val="00115982"/>
    <w:rsid w:val="00115FEB"/>
    <w:rsid w:val="0011628D"/>
    <w:rsid w:val="00116391"/>
    <w:rsid w:val="001166F5"/>
    <w:rsid w:val="001167DC"/>
    <w:rsid w:val="00116C03"/>
    <w:rsid w:val="00116C53"/>
    <w:rsid w:val="001171B2"/>
    <w:rsid w:val="001174CF"/>
    <w:rsid w:val="00117537"/>
    <w:rsid w:val="001175B8"/>
    <w:rsid w:val="001178D9"/>
    <w:rsid w:val="001179A5"/>
    <w:rsid w:val="00117A65"/>
    <w:rsid w:val="00117DA8"/>
    <w:rsid w:val="00117DBD"/>
    <w:rsid w:val="001203C4"/>
    <w:rsid w:val="0012040E"/>
    <w:rsid w:val="0012067A"/>
    <w:rsid w:val="001206C0"/>
    <w:rsid w:val="001206FC"/>
    <w:rsid w:val="00120B90"/>
    <w:rsid w:val="00120D2C"/>
    <w:rsid w:val="00121799"/>
    <w:rsid w:val="00121F06"/>
    <w:rsid w:val="00122027"/>
    <w:rsid w:val="00122211"/>
    <w:rsid w:val="001222FC"/>
    <w:rsid w:val="00122559"/>
    <w:rsid w:val="0012296E"/>
    <w:rsid w:val="00122D94"/>
    <w:rsid w:val="001231C9"/>
    <w:rsid w:val="001231EE"/>
    <w:rsid w:val="001232B7"/>
    <w:rsid w:val="0012352B"/>
    <w:rsid w:val="00123547"/>
    <w:rsid w:val="00123870"/>
    <w:rsid w:val="00123902"/>
    <w:rsid w:val="00123A3A"/>
    <w:rsid w:val="00123B10"/>
    <w:rsid w:val="00123E6D"/>
    <w:rsid w:val="0012461E"/>
    <w:rsid w:val="00124A51"/>
    <w:rsid w:val="00125028"/>
    <w:rsid w:val="001250C6"/>
    <w:rsid w:val="001250E3"/>
    <w:rsid w:val="00125662"/>
    <w:rsid w:val="00125A4D"/>
    <w:rsid w:val="00126140"/>
    <w:rsid w:val="00126197"/>
    <w:rsid w:val="001264DB"/>
    <w:rsid w:val="00126621"/>
    <w:rsid w:val="0012680D"/>
    <w:rsid w:val="00126A64"/>
    <w:rsid w:val="00126B1D"/>
    <w:rsid w:val="00126E90"/>
    <w:rsid w:val="00127056"/>
    <w:rsid w:val="001270DE"/>
    <w:rsid w:val="0012713E"/>
    <w:rsid w:val="001271CD"/>
    <w:rsid w:val="001272E3"/>
    <w:rsid w:val="0012759B"/>
    <w:rsid w:val="001277A7"/>
    <w:rsid w:val="00127869"/>
    <w:rsid w:val="001279E6"/>
    <w:rsid w:val="00127B7B"/>
    <w:rsid w:val="00127F02"/>
    <w:rsid w:val="001301E9"/>
    <w:rsid w:val="0013040E"/>
    <w:rsid w:val="00130AB5"/>
    <w:rsid w:val="00130FD0"/>
    <w:rsid w:val="00130FE7"/>
    <w:rsid w:val="0013108B"/>
    <w:rsid w:val="00131295"/>
    <w:rsid w:val="00131C1D"/>
    <w:rsid w:val="00131CD6"/>
    <w:rsid w:val="00131D5E"/>
    <w:rsid w:val="00131D82"/>
    <w:rsid w:val="00131E4F"/>
    <w:rsid w:val="0013212B"/>
    <w:rsid w:val="00132404"/>
    <w:rsid w:val="00132643"/>
    <w:rsid w:val="0013265B"/>
    <w:rsid w:val="0013282C"/>
    <w:rsid w:val="00132911"/>
    <w:rsid w:val="00132B22"/>
    <w:rsid w:val="00132EC5"/>
    <w:rsid w:val="001332EC"/>
    <w:rsid w:val="0013334F"/>
    <w:rsid w:val="00133381"/>
    <w:rsid w:val="00133713"/>
    <w:rsid w:val="0013382C"/>
    <w:rsid w:val="00133893"/>
    <w:rsid w:val="0013392F"/>
    <w:rsid w:val="001339ED"/>
    <w:rsid w:val="00133AD9"/>
    <w:rsid w:val="00133CD7"/>
    <w:rsid w:val="00133D36"/>
    <w:rsid w:val="00133E40"/>
    <w:rsid w:val="00133EF6"/>
    <w:rsid w:val="00133F69"/>
    <w:rsid w:val="001346AC"/>
    <w:rsid w:val="00134776"/>
    <w:rsid w:val="0013492B"/>
    <w:rsid w:val="001349F4"/>
    <w:rsid w:val="00134D9A"/>
    <w:rsid w:val="00134FD5"/>
    <w:rsid w:val="0013543D"/>
    <w:rsid w:val="001354AF"/>
    <w:rsid w:val="001359C1"/>
    <w:rsid w:val="00135DDD"/>
    <w:rsid w:val="00136170"/>
    <w:rsid w:val="00136216"/>
    <w:rsid w:val="001363A0"/>
    <w:rsid w:val="0013640D"/>
    <w:rsid w:val="0013660B"/>
    <w:rsid w:val="00136B7C"/>
    <w:rsid w:val="00136D5C"/>
    <w:rsid w:val="00136DAB"/>
    <w:rsid w:val="001370F4"/>
    <w:rsid w:val="0013757C"/>
    <w:rsid w:val="00137645"/>
    <w:rsid w:val="0013773B"/>
    <w:rsid w:val="00137EE0"/>
    <w:rsid w:val="00140031"/>
    <w:rsid w:val="0014015A"/>
    <w:rsid w:val="001403CE"/>
    <w:rsid w:val="0014067F"/>
    <w:rsid w:val="0014080E"/>
    <w:rsid w:val="00140A1E"/>
    <w:rsid w:val="00140B53"/>
    <w:rsid w:val="00140C3F"/>
    <w:rsid w:val="00140E99"/>
    <w:rsid w:val="00141429"/>
    <w:rsid w:val="001414EE"/>
    <w:rsid w:val="001418E7"/>
    <w:rsid w:val="00141903"/>
    <w:rsid w:val="001419FD"/>
    <w:rsid w:val="00141B23"/>
    <w:rsid w:val="00141BC0"/>
    <w:rsid w:val="00141C99"/>
    <w:rsid w:val="00141D2C"/>
    <w:rsid w:val="00141DE4"/>
    <w:rsid w:val="00141E4A"/>
    <w:rsid w:val="00141FC6"/>
    <w:rsid w:val="001422FA"/>
    <w:rsid w:val="00142488"/>
    <w:rsid w:val="001426E6"/>
    <w:rsid w:val="00142A22"/>
    <w:rsid w:val="00142A6C"/>
    <w:rsid w:val="00142D3B"/>
    <w:rsid w:val="0014312B"/>
    <w:rsid w:val="001431C7"/>
    <w:rsid w:val="001431E8"/>
    <w:rsid w:val="00143565"/>
    <w:rsid w:val="0014379B"/>
    <w:rsid w:val="00143978"/>
    <w:rsid w:val="00143E9C"/>
    <w:rsid w:val="00143F67"/>
    <w:rsid w:val="001440BB"/>
    <w:rsid w:val="001440C3"/>
    <w:rsid w:val="001440F7"/>
    <w:rsid w:val="0014410B"/>
    <w:rsid w:val="00144122"/>
    <w:rsid w:val="001442F3"/>
    <w:rsid w:val="00144897"/>
    <w:rsid w:val="00144AC1"/>
    <w:rsid w:val="00144FF1"/>
    <w:rsid w:val="0014514A"/>
    <w:rsid w:val="00145234"/>
    <w:rsid w:val="00145241"/>
    <w:rsid w:val="001452DE"/>
    <w:rsid w:val="00145540"/>
    <w:rsid w:val="001456B0"/>
    <w:rsid w:val="00145D14"/>
    <w:rsid w:val="00145EA7"/>
    <w:rsid w:val="00145F9C"/>
    <w:rsid w:val="00146172"/>
    <w:rsid w:val="001461DF"/>
    <w:rsid w:val="001463E5"/>
    <w:rsid w:val="001465B4"/>
    <w:rsid w:val="00146637"/>
    <w:rsid w:val="001466A7"/>
    <w:rsid w:val="001468AE"/>
    <w:rsid w:val="001469A5"/>
    <w:rsid w:val="00146B4F"/>
    <w:rsid w:val="00146CE3"/>
    <w:rsid w:val="00146EBF"/>
    <w:rsid w:val="00147014"/>
    <w:rsid w:val="00147219"/>
    <w:rsid w:val="00147262"/>
    <w:rsid w:val="00147530"/>
    <w:rsid w:val="001478EF"/>
    <w:rsid w:val="00147B28"/>
    <w:rsid w:val="00147C91"/>
    <w:rsid w:val="00147FA3"/>
    <w:rsid w:val="00150208"/>
    <w:rsid w:val="00150415"/>
    <w:rsid w:val="001505D4"/>
    <w:rsid w:val="001506D5"/>
    <w:rsid w:val="00150811"/>
    <w:rsid w:val="00150AE9"/>
    <w:rsid w:val="00150D56"/>
    <w:rsid w:val="00151242"/>
    <w:rsid w:val="00151BBC"/>
    <w:rsid w:val="00151BC0"/>
    <w:rsid w:val="00151D74"/>
    <w:rsid w:val="00152150"/>
    <w:rsid w:val="0015233C"/>
    <w:rsid w:val="00152389"/>
    <w:rsid w:val="001524CD"/>
    <w:rsid w:val="0015251F"/>
    <w:rsid w:val="0015267D"/>
    <w:rsid w:val="001527AA"/>
    <w:rsid w:val="00152AD2"/>
    <w:rsid w:val="00152E6E"/>
    <w:rsid w:val="00152E93"/>
    <w:rsid w:val="00152EDC"/>
    <w:rsid w:val="00153300"/>
    <w:rsid w:val="001533DE"/>
    <w:rsid w:val="0015396E"/>
    <w:rsid w:val="001539D3"/>
    <w:rsid w:val="00153BF8"/>
    <w:rsid w:val="00153F63"/>
    <w:rsid w:val="001540EE"/>
    <w:rsid w:val="001542F6"/>
    <w:rsid w:val="00154348"/>
    <w:rsid w:val="0015450B"/>
    <w:rsid w:val="0015458B"/>
    <w:rsid w:val="00154720"/>
    <w:rsid w:val="001547AB"/>
    <w:rsid w:val="00154990"/>
    <w:rsid w:val="00154A14"/>
    <w:rsid w:val="00154F61"/>
    <w:rsid w:val="001550FC"/>
    <w:rsid w:val="001551F3"/>
    <w:rsid w:val="001558C8"/>
    <w:rsid w:val="00155A21"/>
    <w:rsid w:val="00155FE9"/>
    <w:rsid w:val="0015618F"/>
    <w:rsid w:val="001562C6"/>
    <w:rsid w:val="001562E4"/>
    <w:rsid w:val="0015646B"/>
    <w:rsid w:val="00156559"/>
    <w:rsid w:val="00156689"/>
    <w:rsid w:val="001568C2"/>
    <w:rsid w:val="00156A90"/>
    <w:rsid w:val="00156F8F"/>
    <w:rsid w:val="00156F93"/>
    <w:rsid w:val="00156F97"/>
    <w:rsid w:val="001570E6"/>
    <w:rsid w:val="00157130"/>
    <w:rsid w:val="00157167"/>
    <w:rsid w:val="001571E1"/>
    <w:rsid w:val="001572C1"/>
    <w:rsid w:val="001576B1"/>
    <w:rsid w:val="001576B9"/>
    <w:rsid w:val="00157704"/>
    <w:rsid w:val="00157770"/>
    <w:rsid w:val="001578BF"/>
    <w:rsid w:val="00157D5D"/>
    <w:rsid w:val="00157E3B"/>
    <w:rsid w:val="00160200"/>
    <w:rsid w:val="0016025D"/>
    <w:rsid w:val="0016047B"/>
    <w:rsid w:val="001606AE"/>
    <w:rsid w:val="001607F0"/>
    <w:rsid w:val="001609FD"/>
    <w:rsid w:val="00160A4C"/>
    <w:rsid w:val="00160DBC"/>
    <w:rsid w:val="00161253"/>
    <w:rsid w:val="00161312"/>
    <w:rsid w:val="001613E6"/>
    <w:rsid w:val="00161425"/>
    <w:rsid w:val="0016174D"/>
    <w:rsid w:val="00161899"/>
    <w:rsid w:val="00161965"/>
    <w:rsid w:val="00161A23"/>
    <w:rsid w:val="00161E8E"/>
    <w:rsid w:val="00161F14"/>
    <w:rsid w:val="0016220A"/>
    <w:rsid w:val="001623C0"/>
    <w:rsid w:val="001624D9"/>
    <w:rsid w:val="00162913"/>
    <w:rsid w:val="001629A4"/>
    <w:rsid w:val="00162AA2"/>
    <w:rsid w:val="00162DD4"/>
    <w:rsid w:val="00162E78"/>
    <w:rsid w:val="00162EC3"/>
    <w:rsid w:val="00162FCB"/>
    <w:rsid w:val="00163084"/>
    <w:rsid w:val="0016309B"/>
    <w:rsid w:val="001630A4"/>
    <w:rsid w:val="00163104"/>
    <w:rsid w:val="001631C1"/>
    <w:rsid w:val="00163345"/>
    <w:rsid w:val="00163363"/>
    <w:rsid w:val="001638CD"/>
    <w:rsid w:val="00163B19"/>
    <w:rsid w:val="00163B9B"/>
    <w:rsid w:val="00163CC5"/>
    <w:rsid w:val="00163EFF"/>
    <w:rsid w:val="00163F66"/>
    <w:rsid w:val="00164014"/>
    <w:rsid w:val="00164151"/>
    <w:rsid w:val="001646AB"/>
    <w:rsid w:val="00164789"/>
    <w:rsid w:val="0016478E"/>
    <w:rsid w:val="0016478F"/>
    <w:rsid w:val="001647A4"/>
    <w:rsid w:val="001648BE"/>
    <w:rsid w:val="00164918"/>
    <w:rsid w:val="00164AF9"/>
    <w:rsid w:val="00164F00"/>
    <w:rsid w:val="00165970"/>
    <w:rsid w:val="00165AA6"/>
    <w:rsid w:val="00165B84"/>
    <w:rsid w:val="00165EC4"/>
    <w:rsid w:val="00166113"/>
    <w:rsid w:val="001661AC"/>
    <w:rsid w:val="001661FB"/>
    <w:rsid w:val="00166449"/>
    <w:rsid w:val="00166504"/>
    <w:rsid w:val="00166785"/>
    <w:rsid w:val="00166EFD"/>
    <w:rsid w:val="00166F45"/>
    <w:rsid w:val="00167079"/>
    <w:rsid w:val="001671A0"/>
    <w:rsid w:val="001671F7"/>
    <w:rsid w:val="001675AE"/>
    <w:rsid w:val="0016767F"/>
    <w:rsid w:val="001676FE"/>
    <w:rsid w:val="00167C2D"/>
    <w:rsid w:val="00170422"/>
    <w:rsid w:val="00170471"/>
    <w:rsid w:val="00170A3B"/>
    <w:rsid w:val="00170CD5"/>
    <w:rsid w:val="001710D9"/>
    <w:rsid w:val="001711CF"/>
    <w:rsid w:val="00171282"/>
    <w:rsid w:val="00171373"/>
    <w:rsid w:val="00171A48"/>
    <w:rsid w:val="00171A92"/>
    <w:rsid w:val="00171B03"/>
    <w:rsid w:val="00171B5D"/>
    <w:rsid w:val="00172388"/>
    <w:rsid w:val="00172780"/>
    <w:rsid w:val="00172A02"/>
    <w:rsid w:val="00172B8C"/>
    <w:rsid w:val="00172CB3"/>
    <w:rsid w:val="00172CB8"/>
    <w:rsid w:val="00172E1C"/>
    <w:rsid w:val="001730AB"/>
    <w:rsid w:val="00173316"/>
    <w:rsid w:val="00173565"/>
    <w:rsid w:val="00173568"/>
    <w:rsid w:val="00173943"/>
    <w:rsid w:val="00173A1F"/>
    <w:rsid w:val="00173B07"/>
    <w:rsid w:val="00173C8D"/>
    <w:rsid w:val="0017429D"/>
    <w:rsid w:val="00174568"/>
    <w:rsid w:val="0017463A"/>
    <w:rsid w:val="00174710"/>
    <w:rsid w:val="00174AE1"/>
    <w:rsid w:val="00174B10"/>
    <w:rsid w:val="00174BAF"/>
    <w:rsid w:val="00174F85"/>
    <w:rsid w:val="001751FA"/>
    <w:rsid w:val="00175440"/>
    <w:rsid w:val="00175461"/>
    <w:rsid w:val="00175678"/>
    <w:rsid w:val="00175924"/>
    <w:rsid w:val="00175C52"/>
    <w:rsid w:val="001766B9"/>
    <w:rsid w:val="001766C5"/>
    <w:rsid w:val="00176794"/>
    <w:rsid w:val="00176850"/>
    <w:rsid w:val="0017685B"/>
    <w:rsid w:val="001768B9"/>
    <w:rsid w:val="001768C1"/>
    <w:rsid w:val="00176BA6"/>
    <w:rsid w:val="00176E53"/>
    <w:rsid w:val="00176EDB"/>
    <w:rsid w:val="001771F6"/>
    <w:rsid w:val="00177356"/>
    <w:rsid w:val="001773E3"/>
    <w:rsid w:val="00177643"/>
    <w:rsid w:val="0017776D"/>
    <w:rsid w:val="0017783F"/>
    <w:rsid w:val="00177932"/>
    <w:rsid w:val="00177933"/>
    <w:rsid w:val="00177C46"/>
    <w:rsid w:val="00177CDE"/>
    <w:rsid w:val="00177ECC"/>
    <w:rsid w:val="00177F67"/>
    <w:rsid w:val="00180425"/>
    <w:rsid w:val="0018057E"/>
    <w:rsid w:val="0018075C"/>
    <w:rsid w:val="00180D7A"/>
    <w:rsid w:val="00180F6E"/>
    <w:rsid w:val="00180FCD"/>
    <w:rsid w:val="00181445"/>
    <w:rsid w:val="00181457"/>
    <w:rsid w:val="0018152A"/>
    <w:rsid w:val="001815BA"/>
    <w:rsid w:val="001816B0"/>
    <w:rsid w:val="00181794"/>
    <w:rsid w:val="00181ACC"/>
    <w:rsid w:val="00181C10"/>
    <w:rsid w:val="00181C21"/>
    <w:rsid w:val="00181C78"/>
    <w:rsid w:val="00181D9C"/>
    <w:rsid w:val="0018207F"/>
    <w:rsid w:val="0018248E"/>
    <w:rsid w:val="0018283E"/>
    <w:rsid w:val="00182DCD"/>
    <w:rsid w:val="00182F03"/>
    <w:rsid w:val="001830BE"/>
    <w:rsid w:val="00183295"/>
    <w:rsid w:val="00183388"/>
    <w:rsid w:val="001833AB"/>
    <w:rsid w:val="0018341D"/>
    <w:rsid w:val="00183738"/>
    <w:rsid w:val="001837FF"/>
    <w:rsid w:val="00183802"/>
    <w:rsid w:val="00183B41"/>
    <w:rsid w:val="00183E11"/>
    <w:rsid w:val="0018404F"/>
    <w:rsid w:val="001841E8"/>
    <w:rsid w:val="0018457A"/>
    <w:rsid w:val="00184AA2"/>
    <w:rsid w:val="00184B0E"/>
    <w:rsid w:val="00184CF0"/>
    <w:rsid w:val="00184DBF"/>
    <w:rsid w:val="0018501C"/>
    <w:rsid w:val="0018559A"/>
    <w:rsid w:val="00185661"/>
    <w:rsid w:val="001858FB"/>
    <w:rsid w:val="00185C52"/>
    <w:rsid w:val="0018665A"/>
    <w:rsid w:val="00186660"/>
    <w:rsid w:val="00186676"/>
    <w:rsid w:val="001867F7"/>
    <w:rsid w:val="001868E1"/>
    <w:rsid w:val="00186A1E"/>
    <w:rsid w:val="00186F97"/>
    <w:rsid w:val="00187091"/>
    <w:rsid w:val="00187369"/>
    <w:rsid w:val="00187470"/>
    <w:rsid w:val="0018752F"/>
    <w:rsid w:val="0018755C"/>
    <w:rsid w:val="00187B2C"/>
    <w:rsid w:val="00187DAB"/>
    <w:rsid w:val="001900EE"/>
    <w:rsid w:val="0019022A"/>
    <w:rsid w:val="00190311"/>
    <w:rsid w:val="0019087F"/>
    <w:rsid w:val="00190B6E"/>
    <w:rsid w:val="00190D37"/>
    <w:rsid w:val="00190ED5"/>
    <w:rsid w:val="00191017"/>
    <w:rsid w:val="0019117D"/>
    <w:rsid w:val="001912E8"/>
    <w:rsid w:val="0019131B"/>
    <w:rsid w:val="00191359"/>
    <w:rsid w:val="0019155A"/>
    <w:rsid w:val="0019174E"/>
    <w:rsid w:val="00191A19"/>
    <w:rsid w:val="00191A6C"/>
    <w:rsid w:val="00191C61"/>
    <w:rsid w:val="00192575"/>
    <w:rsid w:val="00192660"/>
    <w:rsid w:val="00192761"/>
    <w:rsid w:val="00192E1F"/>
    <w:rsid w:val="00192FE0"/>
    <w:rsid w:val="00193510"/>
    <w:rsid w:val="001935A7"/>
    <w:rsid w:val="00193838"/>
    <w:rsid w:val="0019383D"/>
    <w:rsid w:val="00193894"/>
    <w:rsid w:val="001938E3"/>
    <w:rsid w:val="001939DB"/>
    <w:rsid w:val="00193E6A"/>
    <w:rsid w:val="001940B4"/>
    <w:rsid w:val="00194478"/>
    <w:rsid w:val="00194A06"/>
    <w:rsid w:val="00194AD8"/>
    <w:rsid w:val="00194CFF"/>
    <w:rsid w:val="00194D06"/>
    <w:rsid w:val="00195222"/>
    <w:rsid w:val="00195452"/>
    <w:rsid w:val="001958A1"/>
    <w:rsid w:val="00195C23"/>
    <w:rsid w:val="00195C9B"/>
    <w:rsid w:val="0019614A"/>
    <w:rsid w:val="001962CE"/>
    <w:rsid w:val="0019678B"/>
    <w:rsid w:val="001967F4"/>
    <w:rsid w:val="00196803"/>
    <w:rsid w:val="00196830"/>
    <w:rsid w:val="00196866"/>
    <w:rsid w:val="00196A13"/>
    <w:rsid w:val="00196D42"/>
    <w:rsid w:val="00196E07"/>
    <w:rsid w:val="00196EBF"/>
    <w:rsid w:val="001970C3"/>
    <w:rsid w:val="001970DE"/>
    <w:rsid w:val="001975D8"/>
    <w:rsid w:val="00197787"/>
    <w:rsid w:val="00197B4A"/>
    <w:rsid w:val="00197D1C"/>
    <w:rsid w:val="00197D68"/>
    <w:rsid w:val="00197F5D"/>
    <w:rsid w:val="001A021F"/>
    <w:rsid w:val="001A0639"/>
    <w:rsid w:val="001A089A"/>
    <w:rsid w:val="001A0C08"/>
    <w:rsid w:val="001A0C5E"/>
    <w:rsid w:val="001A133E"/>
    <w:rsid w:val="001A13D7"/>
    <w:rsid w:val="001A178E"/>
    <w:rsid w:val="001A19F8"/>
    <w:rsid w:val="001A1A22"/>
    <w:rsid w:val="001A1BA4"/>
    <w:rsid w:val="001A1BB9"/>
    <w:rsid w:val="001A1C50"/>
    <w:rsid w:val="001A1C62"/>
    <w:rsid w:val="001A241E"/>
    <w:rsid w:val="001A258A"/>
    <w:rsid w:val="001A27C0"/>
    <w:rsid w:val="001A27EB"/>
    <w:rsid w:val="001A2BEF"/>
    <w:rsid w:val="001A2C13"/>
    <w:rsid w:val="001A2CEF"/>
    <w:rsid w:val="001A303B"/>
    <w:rsid w:val="001A312D"/>
    <w:rsid w:val="001A3623"/>
    <w:rsid w:val="001A36EE"/>
    <w:rsid w:val="001A37D9"/>
    <w:rsid w:val="001A3AED"/>
    <w:rsid w:val="001A3BAF"/>
    <w:rsid w:val="001A41DD"/>
    <w:rsid w:val="001A42E3"/>
    <w:rsid w:val="001A43FA"/>
    <w:rsid w:val="001A4435"/>
    <w:rsid w:val="001A47C5"/>
    <w:rsid w:val="001A4979"/>
    <w:rsid w:val="001A4B41"/>
    <w:rsid w:val="001A5140"/>
    <w:rsid w:val="001A527F"/>
    <w:rsid w:val="001A5446"/>
    <w:rsid w:val="001A59D6"/>
    <w:rsid w:val="001A59FB"/>
    <w:rsid w:val="001A5A4C"/>
    <w:rsid w:val="001A5E9E"/>
    <w:rsid w:val="001A6354"/>
    <w:rsid w:val="001A6366"/>
    <w:rsid w:val="001A6638"/>
    <w:rsid w:val="001A6BDA"/>
    <w:rsid w:val="001A6CA1"/>
    <w:rsid w:val="001A6D66"/>
    <w:rsid w:val="001A6FD5"/>
    <w:rsid w:val="001A74FC"/>
    <w:rsid w:val="001A76DC"/>
    <w:rsid w:val="001A76EC"/>
    <w:rsid w:val="001A7742"/>
    <w:rsid w:val="001A78B8"/>
    <w:rsid w:val="001A79CC"/>
    <w:rsid w:val="001A7AE8"/>
    <w:rsid w:val="001A7BD7"/>
    <w:rsid w:val="001A7F5F"/>
    <w:rsid w:val="001B00C6"/>
    <w:rsid w:val="001B0149"/>
    <w:rsid w:val="001B0208"/>
    <w:rsid w:val="001B020B"/>
    <w:rsid w:val="001B0562"/>
    <w:rsid w:val="001B075D"/>
    <w:rsid w:val="001B080A"/>
    <w:rsid w:val="001B0913"/>
    <w:rsid w:val="001B0969"/>
    <w:rsid w:val="001B0BA2"/>
    <w:rsid w:val="001B0F17"/>
    <w:rsid w:val="001B16AC"/>
    <w:rsid w:val="001B1750"/>
    <w:rsid w:val="001B1951"/>
    <w:rsid w:val="001B1962"/>
    <w:rsid w:val="001B1C00"/>
    <w:rsid w:val="001B1D3B"/>
    <w:rsid w:val="001B1DCD"/>
    <w:rsid w:val="001B1E2E"/>
    <w:rsid w:val="001B1FE5"/>
    <w:rsid w:val="001B204E"/>
    <w:rsid w:val="001B2350"/>
    <w:rsid w:val="001B2372"/>
    <w:rsid w:val="001B23D6"/>
    <w:rsid w:val="001B251A"/>
    <w:rsid w:val="001B25F3"/>
    <w:rsid w:val="001B2631"/>
    <w:rsid w:val="001B2919"/>
    <w:rsid w:val="001B2F87"/>
    <w:rsid w:val="001B3443"/>
    <w:rsid w:val="001B3455"/>
    <w:rsid w:val="001B39D7"/>
    <w:rsid w:val="001B3C96"/>
    <w:rsid w:val="001B3CE6"/>
    <w:rsid w:val="001B4309"/>
    <w:rsid w:val="001B43E2"/>
    <w:rsid w:val="001B48A1"/>
    <w:rsid w:val="001B48D7"/>
    <w:rsid w:val="001B48F2"/>
    <w:rsid w:val="001B4ADD"/>
    <w:rsid w:val="001B4D20"/>
    <w:rsid w:val="001B54EB"/>
    <w:rsid w:val="001B54F0"/>
    <w:rsid w:val="001B5A6A"/>
    <w:rsid w:val="001B5B3C"/>
    <w:rsid w:val="001B60D9"/>
    <w:rsid w:val="001B61BD"/>
    <w:rsid w:val="001B636C"/>
    <w:rsid w:val="001B6829"/>
    <w:rsid w:val="001B69B8"/>
    <w:rsid w:val="001B6A20"/>
    <w:rsid w:val="001B6AC4"/>
    <w:rsid w:val="001B6BE0"/>
    <w:rsid w:val="001B6BF6"/>
    <w:rsid w:val="001B6D0D"/>
    <w:rsid w:val="001B6DFE"/>
    <w:rsid w:val="001B712B"/>
    <w:rsid w:val="001B7274"/>
    <w:rsid w:val="001B734B"/>
    <w:rsid w:val="001B745C"/>
    <w:rsid w:val="001B775B"/>
    <w:rsid w:val="001B7D2C"/>
    <w:rsid w:val="001B7E4C"/>
    <w:rsid w:val="001B7F84"/>
    <w:rsid w:val="001C02AB"/>
    <w:rsid w:val="001C043A"/>
    <w:rsid w:val="001C0505"/>
    <w:rsid w:val="001C05A6"/>
    <w:rsid w:val="001C061E"/>
    <w:rsid w:val="001C0663"/>
    <w:rsid w:val="001C0728"/>
    <w:rsid w:val="001C0916"/>
    <w:rsid w:val="001C1340"/>
    <w:rsid w:val="001C1703"/>
    <w:rsid w:val="001C1A43"/>
    <w:rsid w:val="001C1E30"/>
    <w:rsid w:val="001C1E44"/>
    <w:rsid w:val="001C1F4F"/>
    <w:rsid w:val="001C1FD9"/>
    <w:rsid w:val="001C23F9"/>
    <w:rsid w:val="001C256E"/>
    <w:rsid w:val="001C257C"/>
    <w:rsid w:val="001C275E"/>
    <w:rsid w:val="001C291E"/>
    <w:rsid w:val="001C2A9B"/>
    <w:rsid w:val="001C2B99"/>
    <w:rsid w:val="001C2DF2"/>
    <w:rsid w:val="001C2DF8"/>
    <w:rsid w:val="001C31D4"/>
    <w:rsid w:val="001C3265"/>
    <w:rsid w:val="001C3306"/>
    <w:rsid w:val="001C34BE"/>
    <w:rsid w:val="001C3640"/>
    <w:rsid w:val="001C383E"/>
    <w:rsid w:val="001C3ABA"/>
    <w:rsid w:val="001C3B20"/>
    <w:rsid w:val="001C3D30"/>
    <w:rsid w:val="001C3D64"/>
    <w:rsid w:val="001C3DD6"/>
    <w:rsid w:val="001C4299"/>
    <w:rsid w:val="001C4837"/>
    <w:rsid w:val="001C4874"/>
    <w:rsid w:val="001C4904"/>
    <w:rsid w:val="001C4CF2"/>
    <w:rsid w:val="001C5094"/>
    <w:rsid w:val="001C50EC"/>
    <w:rsid w:val="001C51F9"/>
    <w:rsid w:val="001C53BC"/>
    <w:rsid w:val="001C58FB"/>
    <w:rsid w:val="001C5C7A"/>
    <w:rsid w:val="001C5DF3"/>
    <w:rsid w:val="001C5EB3"/>
    <w:rsid w:val="001C5F94"/>
    <w:rsid w:val="001C65A3"/>
    <w:rsid w:val="001C6622"/>
    <w:rsid w:val="001C6640"/>
    <w:rsid w:val="001C68DD"/>
    <w:rsid w:val="001C6A43"/>
    <w:rsid w:val="001C6B9A"/>
    <w:rsid w:val="001C6D23"/>
    <w:rsid w:val="001C6E66"/>
    <w:rsid w:val="001C6EED"/>
    <w:rsid w:val="001C71C9"/>
    <w:rsid w:val="001C7357"/>
    <w:rsid w:val="001C736E"/>
    <w:rsid w:val="001C7384"/>
    <w:rsid w:val="001C73CA"/>
    <w:rsid w:val="001C774C"/>
    <w:rsid w:val="001C793F"/>
    <w:rsid w:val="001C7E56"/>
    <w:rsid w:val="001C7F6D"/>
    <w:rsid w:val="001D00D3"/>
    <w:rsid w:val="001D029A"/>
    <w:rsid w:val="001D038C"/>
    <w:rsid w:val="001D041F"/>
    <w:rsid w:val="001D047F"/>
    <w:rsid w:val="001D0772"/>
    <w:rsid w:val="001D0798"/>
    <w:rsid w:val="001D0CFA"/>
    <w:rsid w:val="001D0D53"/>
    <w:rsid w:val="001D0E8D"/>
    <w:rsid w:val="001D10DD"/>
    <w:rsid w:val="001D1100"/>
    <w:rsid w:val="001D1110"/>
    <w:rsid w:val="001D12E2"/>
    <w:rsid w:val="001D1391"/>
    <w:rsid w:val="001D148B"/>
    <w:rsid w:val="001D1681"/>
    <w:rsid w:val="001D16DD"/>
    <w:rsid w:val="001D1811"/>
    <w:rsid w:val="001D1B88"/>
    <w:rsid w:val="001D1F99"/>
    <w:rsid w:val="001D2390"/>
    <w:rsid w:val="001D2405"/>
    <w:rsid w:val="001D24B6"/>
    <w:rsid w:val="001D25D7"/>
    <w:rsid w:val="001D264E"/>
    <w:rsid w:val="001D2D8D"/>
    <w:rsid w:val="001D2DDA"/>
    <w:rsid w:val="001D2F2A"/>
    <w:rsid w:val="001D4A19"/>
    <w:rsid w:val="001D4F04"/>
    <w:rsid w:val="001D50AC"/>
    <w:rsid w:val="001D50B2"/>
    <w:rsid w:val="001D52F2"/>
    <w:rsid w:val="001D5515"/>
    <w:rsid w:val="001D5965"/>
    <w:rsid w:val="001D5C47"/>
    <w:rsid w:val="001D5E51"/>
    <w:rsid w:val="001D5FD1"/>
    <w:rsid w:val="001D62A6"/>
    <w:rsid w:val="001D63B6"/>
    <w:rsid w:val="001D6440"/>
    <w:rsid w:val="001D68C5"/>
    <w:rsid w:val="001D69DE"/>
    <w:rsid w:val="001D6C2B"/>
    <w:rsid w:val="001D6D48"/>
    <w:rsid w:val="001D6E2E"/>
    <w:rsid w:val="001D7120"/>
    <w:rsid w:val="001D71DA"/>
    <w:rsid w:val="001D71F4"/>
    <w:rsid w:val="001D7319"/>
    <w:rsid w:val="001D7591"/>
    <w:rsid w:val="001D7645"/>
    <w:rsid w:val="001D76D3"/>
    <w:rsid w:val="001D7B16"/>
    <w:rsid w:val="001D7EEC"/>
    <w:rsid w:val="001D7EFF"/>
    <w:rsid w:val="001E0030"/>
    <w:rsid w:val="001E0053"/>
    <w:rsid w:val="001E0542"/>
    <w:rsid w:val="001E086C"/>
    <w:rsid w:val="001E0AF7"/>
    <w:rsid w:val="001E12BF"/>
    <w:rsid w:val="001E1304"/>
    <w:rsid w:val="001E136C"/>
    <w:rsid w:val="001E16DC"/>
    <w:rsid w:val="001E1AF6"/>
    <w:rsid w:val="001E1CE3"/>
    <w:rsid w:val="001E1CEB"/>
    <w:rsid w:val="001E1D5F"/>
    <w:rsid w:val="001E1D8C"/>
    <w:rsid w:val="001E1DF0"/>
    <w:rsid w:val="001E1DF4"/>
    <w:rsid w:val="001E1E86"/>
    <w:rsid w:val="001E208E"/>
    <w:rsid w:val="001E2145"/>
    <w:rsid w:val="001E2212"/>
    <w:rsid w:val="001E2327"/>
    <w:rsid w:val="001E238E"/>
    <w:rsid w:val="001E2483"/>
    <w:rsid w:val="001E26F8"/>
    <w:rsid w:val="001E2711"/>
    <w:rsid w:val="001E278D"/>
    <w:rsid w:val="001E2B1E"/>
    <w:rsid w:val="001E2BC2"/>
    <w:rsid w:val="001E2C3E"/>
    <w:rsid w:val="001E2CFF"/>
    <w:rsid w:val="001E2F24"/>
    <w:rsid w:val="001E308C"/>
    <w:rsid w:val="001E30D4"/>
    <w:rsid w:val="001E323D"/>
    <w:rsid w:val="001E33F8"/>
    <w:rsid w:val="001E34DF"/>
    <w:rsid w:val="001E358A"/>
    <w:rsid w:val="001E389A"/>
    <w:rsid w:val="001E3AA3"/>
    <w:rsid w:val="001E3E88"/>
    <w:rsid w:val="001E4787"/>
    <w:rsid w:val="001E4868"/>
    <w:rsid w:val="001E4888"/>
    <w:rsid w:val="001E49E9"/>
    <w:rsid w:val="001E4AFE"/>
    <w:rsid w:val="001E4D56"/>
    <w:rsid w:val="001E519E"/>
    <w:rsid w:val="001E52EB"/>
    <w:rsid w:val="001E553B"/>
    <w:rsid w:val="001E56FA"/>
    <w:rsid w:val="001E59D3"/>
    <w:rsid w:val="001E5A0C"/>
    <w:rsid w:val="001E5ADD"/>
    <w:rsid w:val="001E5C8D"/>
    <w:rsid w:val="001E5DBE"/>
    <w:rsid w:val="001E60E5"/>
    <w:rsid w:val="001E61D2"/>
    <w:rsid w:val="001E634C"/>
    <w:rsid w:val="001E6456"/>
    <w:rsid w:val="001E657B"/>
    <w:rsid w:val="001E65C3"/>
    <w:rsid w:val="001E6B85"/>
    <w:rsid w:val="001E6C20"/>
    <w:rsid w:val="001E6D3F"/>
    <w:rsid w:val="001E6DD8"/>
    <w:rsid w:val="001E6DF9"/>
    <w:rsid w:val="001E6ECD"/>
    <w:rsid w:val="001E7069"/>
    <w:rsid w:val="001E720C"/>
    <w:rsid w:val="001E7238"/>
    <w:rsid w:val="001E740C"/>
    <w:rsid w:val="001E755A"/>
    <w:rsid w:val="001E77EB"/>
    <w:rsid w:val="001E7B40"/>
    <w:rsid w:val="001E7BD3"/>
    <w:rsid w:val="001E7C15"/>
    <w:rsid w:val="001E7D92"/>
    <w:rsid w:val="001F0102"/>
    <w:rsid w:val="001F037D"/>
    <w:rsid w:val="001F040B"/>
    <w:rsid w:val="001F040D"/>
    <w:rsid w:val="001F0515"/>
    <w:rsid w:val="001F059E"/>
    <w:rsid w:val="001F0769"/>
    <w:rsid w:val="001F0A78"/>
    <w:rsid w:val="001F0B86"/>
    <w:rsid w:val="001F0BA7"/>
    <w:rsid w:val="001F0BFC"/>
    <w:rsid w:val="001F0D42"/>
    <w:rsid w:val="001F0E9E"/>
    <w:rsid w:val="001F1149"/>
    <w:rsid w:val="001F1235"/>
    <w:rsid w:val="001F132E"/>
    <w:rsid w:val="001F165F"/>
    <w:rsid w:val="001F1845"/>
    <w:rsid w:val="001F1866"/>
    <w:rsid w:val="001F1A17"/>
    <w:rsid w:val="001F1AE4"/>
    <w:rsid w:val="001F1CB3"/>
    <w:rsid w:val="001F1D13"/>
    <w:rsid w:val="001F24BA"/>
    <w:rsid w:val="001F2778"/>
    <w:rsid w:val="001F297E"/>
    <w:rsid w:val="001F2C2F"/>
    <w:rsid w:val="001F2CE8"/>
    <w:rsid w:val="001F332E"/>
    <w:rsid w:val="001F337A"/>
    <w:rsid w:val="001F33FF"/>
    <w:rsid w:val="001F3486"/>
    <w:rsid w:val="001F34AA"/>
    <w:rsid w:val="001F37ED"/>
    <w:rsid w:val="001F38B5"/>
    <w:rsid w:val="001F3FDA"/>
    <w:rsid w:val="001F4081"/>
    <w:rsid w:val="001F430C"/>
    <w:rsid w:val="001F430D"/>
    <w:rsid w:val="001F43C6"/>
    <w:rsid w:val="001F4517"/>
    <w:rsid w:val="001F4766"/>
    <w:rsid w:val="001F4A3D"/>
    <w:rsid w:val="001F4F99"/>
    <w:rsid w:val="001F4FCD"/>
    <w:rsid w:val="001F5543"/>
    <w:rsid w:val="001F557A"/>
    <w:rsid w:val="001F5633"/>
    <w:rsid w:val="001F5B10"/>
    <w:rsid w:val="001F5B55"/>
    <w:rsid w:val="001F5CA9"/>
    <w:rsid w:val="001F6022"/>
    <w:rsid w:val="001F6374"/>
    <w:rsid w:val="001F6821"/>
    <w:rsid w:val="001F7033"/>
    <w:rsid w:val="001F70B3"/>
    <w:rsid w:val="001F7361"/>
    <w:rsid w:val="001F7547"/>
    <w:rsid w:val="001F7709"/>
    <w:rsid w:val="001F7E6C"/>
    <w:rsid w:val="001F7F65"/>
    <w:rsid w:val="00200164"/>
    <w:rsid w:val="002002A3"/>
    <w:rsid w:val="002006A8"/>
    <w:rsid w:val="00200739"/>
    <w:rsid w:val="00200AB7"/>
    <w:rsid w:val="00200BA1"/>
    <w:rsid w:val="00201077"/>
    <w:rsid w:val="00201153"/>
    <w:rsid w:val="002011B0"/>
    <w:rsid w:val="002018DF"/>
    <w:rsid w:val="00201934"/>
    <w:rsid w:val="00201E1B"/>
    <w:rsid w:val="00201F2B"/>
    <w:rsid w:val="00201F97"/>
    <w:rsid w:val="002023F4"/>
    <w:rsid w:val="0020241A"/>
    <w:rsid w:val="0020244D"/>
    <w:rsid w:val="0020263B"/>
    <w:rsid w:val="002026AC"/>
    <w:rsid w:val="00202A2B"/>
    <w:rsid w:val="00202BD9"/>
    <w:rsid w:val="00202E3B"/>
    <w:rsid w:val="00203181"/>
    <w:rsid w:val="00203274"/>
    <w:rsid w:val="00203624"/>
    <w:rsid w:val="00203735"/>
    <w:rsid w:val="00203783"/>
    <w:rsid w:val="0020385F"/>
    <w:rsid w:val="0020422E"/>
    <w:rsid w:val="002047C5"/>
    <w:rsid w:val="00204874"/>
    <w:rsid w:val="00204877"/>
    <w:rsid w:val="00204931"/>
    <w:rsid w:val="00204A18"/>
    <w:rsid w:val="00204C47"/>
    <w:rsid w:val="00204D54"/>
    <w:rsid w:val="00204D92"/>
    <w:rsid w:val="00204F51"/>
    <w:rsid w:val="00204FEA"/>
    <w:rsid w:val="002050C8"/>
    <w:rsid w:val="0020531A"/>
    <w:rsid w:val="002054DE"/>
    <w:rsid w:val="00205547"/>
    <w:rsid w:val="0020581E"/>
    <w:rsid w:val="00205C6C"/>
    <w:rsid w:val="00205C9C"/>
    <w:rsid w:val="00205CC1"/>
    <w:rsid w:val="00205E0D"/>
    <w:rsid w:val="00205E88"/>
    <w:rsid w:val="00205F2B"/>
    <w:rsid w:val="0020610C"/>
    <w:rsid w:val="0020625A"/>
    <w:rsid w:val="002063A8"/>
    <w:rsid w:val="00206447"/>
    <w:rsid w:val="00206486"/>
    <w:rsid w:val="00206594"/>
    <w:rsid w:val="00206708"/>
    <w:rsid w:val="00206711"/>
    <w:rsid w:val="00206729"/>
    <w:rsid w:val="00206869"/>
    <w:rsid w:val="002068A0"/>
    <w:rsid w:val="00206C71"/>
    <w:rsid w:val="00206CE0"/>
    <w:rsid w:val="00206F26"/>
    <w:rsid w:val="00207021"/>
    <w:rsid w:val="002072BE"/>
    <w:rsid w:val="0020732F"/>
    <w:rsid w:val="002076F0"/>
    <w:rsid w:val="002076F3"/>
    <w:rsid w:val="00207983"/>
    <w:rsid w:val="00207CA4"/>
    <w:rsid w:val="00207D00"/>
    <w:rsid w:val="00207FA6"/>
    <w:rsid w:val="00210017"/>
    <w:rsid w:val="00210453"/>
    <w:rsid w:val="002105B6"/>
    <w:rsid w:val="002105C1"/>
    <w:rsid w:val="00210CA9"/>
    <w:rsid w:val="00210CB2"/>
    <w:rsid w:val="00210DC5"/>
    <w:rsid w:val="002110CF"/>
    <w:rsid w:val="00211348"/>
    <w:rsid w:val="0021136E"/>
    <w:rsid w:val="0021147C"/>
    <w:rsid w:val="0021154A"/>
    <w:rsid w:val="00211594"/>
    <w:rsid w:val="002116FD"/>
    <w:rsid w:val="00211A7D"/>
    <w:rsid w:val="00211E10"/>
    <w:rsid w:val="00211FA5"/>
    <w:rsid w:val="002121A2"/>
    <w:rsid w:val="00212256"/>
    <w:rsid w:val="002123DE"/>
    <w:rsid w:val="002125F7"/>
    <w:rsid w:val="002126A9"/>
    <w:rsid w:val="0021274A"/>
    <w:rsid w:val="00212861"/>
    <w:rsid w:val="002128D8"/>
    <w:rsid w:val="002129DE"/>
    <w:rsid w:val="00212AE3"/>
    <w:rsid w:val="00212E08"/>
    <w:rsid w:val="0021308B"/>
    <w:rsid w:val="0021309A"/>
    <w:rsid w:val="00213180"/>
    <w:rsid w:val="00213551"/>
    <w:rsid w:val="002135E3"/>
    <w:rsid w:val="0021366B"/>
    <w:rsid w:val="00213A81"/>
    <w:rsid w:val="00213EF5"/>
    <w:rsid w:val="00213F20"/>
    <w:rsid w:val="00214276"/>
    <w:rsid w:val="00214361"/>
    <w:rsid w:val="00214495"/>
    <w:rsid w:val="00214645"/>
    <w:rsid w:val="002147D1"/>
    <w:rsid w:val="00214888"/>
    <w:rsid w:val="0021495F"/>
    <w:rsid w:val="002149F6"/>
    <w:rsid w:val="00214A7E"/>
    <w:rsid w:val="00214A8A"/>
    <w:rsid w:val="00214C28"/>
    <w:rsid w:val="00214DAA"/>
    <w:rsid w:val="0021532A"/>
    <w:rsid w:val="00215873"/>
    <w:rsid w:val="002158CA"/>
    <w:rsid w:val="00215927"/>
    <w:rsid w:val="00215F12"/>
    <w:rsid w:val="00215F37"/>
    <w:rsid w:val="002162E8"/>
    <w:rsid w:val="0021642D"/>
    <w:rsid w:val="0021650D"/>
    <w:rsid w:val="0021676A"/>
    <w:rsid w:val="00216A8A"/>
    <w:rsid w:val="00216BF5"/>
    <w:rsid w:val="00216C02"/>
    <w:rsid w:val="0021743D"/>
    <w:rsid w:val="002174DF"/>
    <w:rsid w:val="002174FF"/>
    <w:rsid w:val="0021760C"/>
    <w:rsid w:val="002177A8"/>
    <w:rsid w:val="00217852"/>
    <w:rsid w:val="002179BB"/>
    <w:rsid w:val="00217E30"/>
    <w:rsid w:val="00217F75"/>
    <w:rsid w:val="00217F8A"/>
    <w:rsid w:val="00217FFB"/>
    <w:rsid w:val="00220027"/>
    <w:rsid w:val="002204A9"/>
    <w:rsid w:val="00220702"/>
    <w:rsid w:val="0022078A"/>
    <w:rsid w:val="00220815"/>
    <w:rsid w:val="002208DF"/>
    <w:rsid w:val="002209A0"/>
    <w:rsid w:val="00220CD4"/>
    <w:rsid w:val="00220D6F"/>
    <w:rsid w:val="00220DA3"/>
    <w:rsid w:val="00220E18"/>
    <w:rsid w:val="0022166E"/>
    <w:rsid w:val="002217B5"/>
    <w:rsid w:val="00221A46"/>
    <w:rsid w:val="00221BD5"/>
    <w:rsid w:val="00221C2F"/>
    <w:rsid w:val="00221E88"/>
    <w:rsid w:val="00221EAA"/>
    <w:rsid w:val="00221F0A"/>
    <w:rsid w:val="0022233E"/>
    <w:rsid w:val="002224B8"/>
    <w:rsid w:val="002224D1"/>
    <w:rsid w:val="0022290B"/>
    <w:rsid w:val="00222C38"/>
    <w:rsid w:val="00223836"/>
    <w:rsid w:val="0022396E"/>
    <w:rsid w:val="00223A01"/>
    <w:rsid w:val="00223B49"/>
    <w:rsid w:val="00223D5A"/>
    <w:rsid w:val="00223D78"/>
    <w:rsid w:val="00223DBA"/>
    <w:rsid w:val="00223DE7"/>
    <w:rsid w:val="00223F13"/>
    <w:rsid w:val="002241AB"/>
    <w:rsid w:val="00224254"/>
    <w:rsid w:val="0022438E"/>
    <w:rsid w:val="002245CD"/>
    <w:rsid w:val="002246AC"/>
    <w:rsid w:val="00224849"/>
    <w:rsid w:val="00224B8A"/>
    <w:rsid w:val="00224DD4"/>
    <w:rsid w:val="002251C3"/>
    <w:rsid w:val="0022535D"/>
    <w:rsid w:val="0022547D"/>
    <w:rsid w:val="0022570A"/>
    <w:rsid w:val="0022574A"/>
    <w:rsid w:val="00226848"/>
    <w:rsid w:val="00226AA2"/>
    <w:rsid w:val="00226C9F"/>
    <w:rsid w:val="00227159"/>
    <w:rsid w:val="002275ED"/>
    <w:rsid w:val="00227699"/>
    <w:rsid w:val="002276CD"/>
    <w:rsid w:val="002278A0"/>
    <w:rsid w:val="00227990"/>
    <w:rsid w:val="00227C54"/>
    <w:rsid w:val="00227C8A"/>
    <w:rsid w:val="00227DAE"/>
    <w:rsid w:val="00227DBA"/>
    <w:rsid w:val="0023011A"/>
    <w:rsid w:val="002301EB"/>
    <w:rsid w:val="00230646"/>
    <w:rsid w:val="002308D0"/>
    <w:rsid w:val="00230914"/>
    <w:rsid w:val="00230987"/>
    <w:rsid w:val="002309CC"/>
    <w:rsid w:val="00230BB2"/>
    <w:rsid w:val="00230DEB"/>
    <w:rsid w:val="0023189C"/>
    <w:rsid w:val="002318DE"/>
    <w:rsid w:val="00231974"/>
    <w:rsid w:val="00231B08"/>
    <w:rsid w:val="00231BA9"/>
    <w:rsid w:val="00231EA6"/>
    <w:rsid w:val="0023209F"/>
    <w:rsid w:val="00232732"/>
    <w:rsid w:val="002328D8"/>
    <w:rsid w:val="0023299B"/>
    <w:rsid w:val="00232E53"/>
    <w:rsid w:val="00232F12"/>
    <w:rsid w:val="00232FD7"/>
    <w:rsid w:val="0023304B"/>
    <w:rsid w:val="00233072"/>
    <w:rsid w:val="002331C5"/>
    <w:rsid w:val="00233279"/>
    <w:rsid w:val="00233544"/>
    <w:rsid w:val="0023367D"/>
    <w:rsid w:val="002336EE"/>
    <w:rsid w:val="002338A1"/>
    <w:rsid w:val="002339D1"/>
    <w:rsid w:val="00233AAC"/>
    <w:rsid w:val="00233AD8"/>
    <w:rsid w:val="00233B4A"/>
    <w:rsid w:val="00233C01"/>
    <w:rsid w:val="00233CD4"/>
    <w:rsid w:val="00233DB2"/>
    <w:rsid w:val="00233E58"/>
    <w:rsid w:val="00233EF0"/>
    <w:rsid w:val="00233F95"/>
    <w:rsid w:val="0023403F"/>
    <w:rsid w:val="00234068"/>
    <w:rsid w:val="0023413C"/>
    <w:rsid w:val="0023444B"/>
    <w:rsid w:val="002346F0"/>
    <w:rsid w:val="00234720"/>
    <w:rsid w:val="00234BC6"/>
    <w:rsid w:val="00234D2E"/>
    <w:rsid w:val="00234E1F"/>
    <w:rsid w:val="00234EA8"/>
    <w:rsid w:val="00235105"/>
    <w:rsid w:val="00235425"/>
    <w:rsid w:val="00235481"/>
    <w:rsid w:val="00235585"/>
    <w:rsid w:val="002356AB"/>
    <w:rsid w:val="002356FE"/>
    <w:rsid w:val="00235DF7"/>
    <w:rsid w:val="00236060"/>
    <w:rsid w:val="0023606B"/>
    <w:rsid w:val="002360C3"/>
    <w:rsid w:val="00236213"/>
    <w:rsid w:val="0023629D"/>
    <w:rsid w:val="002363ED"/>
    <w:rsid w:val="00236AEC"/>
    <w:rsid w:val="00236B11"/>
    <w:rsid w:val="00236BE1"/>
    <w:rsid w:val="00236CA2"/>
    <w:rsid w:val="00237255"/>
    <w:rsid w:val="00237513"/>
    <w:rsid w:val="00237547"/>
    <w:rsid w:val="00237AD8"/>
    <w:rsid w:val="00240287"/>
    <w:rsid w:val="0024029A"/>
    <w:rsid w:val="002407BF"/>
    <w:rsid w:val="002407FE"/>
    <w:rsid w:val="00240B12"/>
    <w:rsid w:val="00240B84"/>
    <w:rsid w:val="00240D6E"/>
    <w:rsid w:val="00240D7E"/>
    <w:rsid w:val="00240F43"/>
    <w:rsid w:val="00241038"/>
    <w:rsid w:val="00241104"/>
    <w:rsid w:val="002411C0"/>
    <w:rsid w:val="00241338"/>
    <w:rsid w:val="0024181C"/>
    <w:rsid w:val="00241D91"/>
    <w:rsid w:val="00241F61"/>
    <w:rsid w:val="0024200B"/>
    <w:rsid w:val="0024213A"/>
    <w:rsid w:val="00242295"/>
    <w:rsid w:val="002424AF"/>
    <w:rsid w:val="002426B7"/>
    <w:rsid w:val="0024284E"/>
    <w:rsid w:val="00242861"/>
    <w:rsid w:val="00242CE8"/>
    <w:rsid w:val="00242D54"/>
    <w:rsid w:val="00242EEF"/>
    <w:rsid w:val="00242EF6"/>
    <w:rsid w:val="00242F90"/>
    <w:rsid w:val="0024324D"/>
    <w:rsid w:val="0024339F"/>
    <w:rsid w:val="00243444"/>
    <w:rsid w:val="0024366D"/>
    <w:rsid w:val="002439DC"/>
    <w:rsid w:val="00243A2F"/>
    <w:rsid w:val="00244067"/>
    <w:rsid w:val="00244072"/>
    <w:rsid w:val="002440BC"/>
    <w:rsid w:val="00244182"/>
    <w:rsid w:val="002441D2"/>
    <w:rsid w:val="00244413"/>
    <w:rsid w:val="00244791"/>
    <w:rsid w:val="00244A48"/>
    <w:rsid w:val="00244ACD"/>
    <w:rsid w:val="00244DC8"/>
    <w:rsid w:val="002458BA"/>
    <w:rsid w:val="002458F2"/>
    <w:rsid w:val="00245A43"/>
    <w:rsid w:val="00245B0C"/>
    <w:rsid w:val="00245BB8"/>
    <w:rsid w:val="00245CE9"/>
    <w:rsid w:val="00245D0B"/>
    <w:rsid w:val="00245F4B"/>
    <w:rsid w:val="00245FAC"/>
    <w:rsid w:val="0024617F"/>
    <w:rsid w:val="0024622D"/>
    <w:rsid w:val="0024636C"/>
    <w:rsid w:val="0024695A"/>
    <w:rsid w:val="00246A02"/>
    <w:rsid w:val="00246BEF"/>
    <w:rsid w:val="00246C5C"/>
    <w:rsid w:val="00246EFA"/>
    <w:rsid w:val="002474D2"/>
    <w:rsid w:val="00247825"/>
    <w:rsid w:val="00247925"/>
    <w:rsid w:val="00247FA1"/>
    <w:rsid w:val="00250017"/>
    <w:rsid w:val="00250489"/>
    <w:rsid w:val="0025059C"/>
    <w:rsid w:val="00250664"/>
    <w:rsid w:val="0025072E"/>
    <w:rsid w:val="0025073B"/>
    <w:rsid w:val="00250978"/>
    <w:rsid w:val="002509CF"/>
    <w:rsid w:val="00250B5E"/>
    <w:rsid w:val="00250B8C"/>
    <w:rsid w:val="00250D26"/>
    <w:rsid w:val="00251006"/>
    <w:rsid w:val="00251113"/>
    <w:rsid w:val="00251500"/>
    <w:rsid w:val="00251650"/>
    <w:rsid w:val="002516D4"/>
    <w:rsid w:val="00251814"/>
    <w:rsid w:val="00251918"/>
    <w:rsid w:val="00251DE2"/>
    <w:rsid w:val="00251E19"/>
    <w:rsid w:val="00251F0B"/>
    <w:rsid w:val="002522D3"/>
    <w:rsid w:val="00252310"/>
    <w:rsid w:val="0025235A"/>
    <w:rsid w:val="00252436"/>
    <w:rsid w:val="0025243D"/>
    <w:rsid w:val="002524D5"/>
    <w:rsid w:val="00252941"/>
    <w:rsid w:val="00252B3A"/>
    <w:rsid w:val="0025300F"/>
    <w:rsid w:val="0025339A"/>
    <w:rsid w:val="002533A6"/>
    <w:rsid w:val="00253404"/>
    <w:rsid w:val="002535DC"/>
    <w:rsid w:val="00253B1D"/>
    <w:rsid w:val="00253DF4"/>
    <w:rsid w:val="00253F83"/>
    <w:rsid w:val="00254009"/>
    <w:rsid w:val="0025448B"/>
    <w:rsid w:val="00254803"/>
    <w:rsid w:val="00254902"/>
    <w:rsid w:val="00254948"/>
    <w:rsid w:val="00254B3E"/>
    <w:rsid w:val="00254D18"/>
    <w:rsid w:val="00254DCF"/>
    <w:rsid w:val="00254E91"/>
    <w:rsid w:val="00254F9B"/>
    <w:rsid w:val="00255052"/>
    <w:rsid w:val="0025534B"/>
    <w:rsid w:val="0025568D"/>
    <w:rsid w:val="002556EF"/>
    <w:rsid w:val="00255BB7"/>
    <w:rsid w:val="00255BC0"/>
    <w:rsid w:val="00255C1A"/>
    <w:rsid w:val="00255FAC"/>
    <w:rsid w:val="00256264"/>
    <w:rsid w:val="002562E8"/>
    <w:rsid w:val="0025642E"/>
    <w:rsid w:val="00256628"/>
    <w:rsid w:val="00256637"/>
    <w:rsid w:val="00256B1C"/>
    <w:rsid w:val="00256E6B"/>
    <w:rsid w:val="00256F39"/>
    <w:rsid w:val="00257285"/>
    <w:rsid w:val="002572E4"/>
    <w:rsid w:val="002573DF"/>
    <w:rsid w:val="00257541"/>
    <w:rsid w:val="0025777B"/>
    <w:rsid w:val="00257A39"/>
    <w:rsid w:val="00257A9A"/>
    <w:rsid w:val="00257AC4"/>
    <w:rsid w:val="00257AE3"/>
    <w:rsid w:val="00257BBE"/>
    <w:rsid w:val="00260295"/>
    <w:rsid w:val="002602A1"/>
    <w:rsid w:val="0026045D"/>
    <w:rsid w:val="0026084D"/>
    <w:rsid w:val="00260A8E"/>
    <w:rsid w:val="00260AF6"/>
    <w:rsid w:val="00260D71"/>
    <w:rsid w:val="0026129F"/>
    <w:rsid w:val="00261336"/>
    <w:rsid w:val="0026154E"/>
    <w:rsid w:val="0026157F"/>
    <w:rsid w:val="002619E6"/>
    <w:rsid w:val="00261CAA"/>
    <w:rsid w:val="00261EEF"/>
    <w:rsid w:val="002622CB"/>
    <w:rsid w:val="0026299B"/>
    <w:rsid w:val="00262A1A"/>
    <w:rsid w:val="00262A73"/>
    <w:rsid w:val="00262A87"/>
    <w:rsid w:val="00262B6E"/>
    <w:rsid w:val="00262BCD"/>
    <w:rsid w:val="00262C3B"/>
    <w:rsid w:val="0026309D"/>
    <w:rsid w:val="00263926"/>
    <w:rsid w:val="002639CE"/>
    <w:rsid w:val="00263B4A"/>
    <w:rsid w:val="00263DEA"/>
    <w:rsid w:val="00263EAD"/>
    <w:rsid w:val="00263F06"/>
    <w:rsid w:val="0026406F"/>
    <w:rsid w:val="0026477B"/>
    <w:rsid w:val="002647A3"/>
    <w:rsid w:val="002647BD"/>
    <w:rsid w:val="00264D26"/>
    <w:rsid w:val="00264D6D"/>
    <w:rsid w:val="00264DDD"/>
    <w:rsid w:val="00264ED3"/>
    <w:rsid w:val="00264ED6"/>
    <w:rsid w:val="002651A5"/>
    <w:rsid w:val="002653CE"/>
    <w:rsid w:val="0026569C"/>
    <w:rsid w:val="00265CD7"/>
    <w:rsid w:val="00265E69"/>
    <w:rsid w:val="00265F40"/>
    <w:rsid w:val="00266154"/>
    <w:rsid w:val="00266605"/>
    <w:rsid w:val="00266BC0"/>
    <w:rsid w:val="00266BD9"/>
    <w:rsid w:val="00266BF7"/>
    <w:rsid w:val="00266D24"/>
    <w:rsid w:val="00266DDF"/>
    <w:rsid w:val="00266F49"/>
    <w:rsid w:val="0026721B"/>
    <w:rsid w:val="00267642"/>
    <w:rsid w:val="00267742"/>
    <w:rsid w:val="00267813"/>
    <w:rsid w:val="002678CC"/>
    <w:rsid w:val="00267AE7"/>
    <w:rsid w:val="00267AEA"/>
    <w:rsid w:val="00267B7F"/>
    <w:rsid w:val="00267E52"/>
    <w:rsid w:val="00270020"/>
    <w:rsid w:val="002700E6"/>
    <w:rsid w:val="0027058D"/>
    <w:rsid w:val="002705B4"/>
    <w:rsid w:val="0027064D"/>
    <w:rsid w:val="002712F7"/>
    <w:rsid w:val="002713A6"/>
    <w:rsid w:val="002715C9"/>
    <w:rsid w:val="00271736"/>
    <w:rsid w:val="00271AA7"/>
    <w:rsid w:val="00271BC5"/>
    <w:rsid w:val="00271D80"/>
    <w:rsid w:val="00271E92"/>
    <w:rsid w:val="00272230"/>
    <w:rsid w:val="00272675"/>
    <w:rsid w:val="002727E0"/>
    <w:rsid w:val="0027294B"/>
    <w:rsid w:val="0027316B"/>
    <w:rsid w:val="0027332F"/>
    <w:rsid w:val="002738AA"/>
    <w:rsid w:val="002738E7"/>
    <w:rsid w:val="0027397E"/>
    <w:rsid w:val="00273BAD"/>
    <w:rsid w:val="00273EB4"/>
    <w:rsid w:val="00274540"/>
    <w:rsid w:val="002745A8"/>
    <w:rsid w:val="00274682"/>
    <w:rsid w:val="00274777"/>
    <w:rsid w:val="00274AA1"/>
    <w:rsid w:val="00274B40"/>
    <w:rsid w:val="00274B99"/>
    <w:rsid w:val="00274D45"/>
    <w:rsid w:val="00274D6D"/>
    <w:rsid w:val="00274DDD"/>
    <w:rsid w:val="00275153"/>
    <w:rsid w:val="00275158"/>
    <w:rsid w:val="002751A5"/>
    <w:rsid w:val="002754C4"/>
    <w:rsid w:val="00275A4F"/>
    <w:rsid w:val="00275ADB"/>
    <w:rsid w:val="00275C5A"/>
    <w:rsid w:val="002760C3"/>
    <w:rsid w:val="0027611B"/>
    <w:rsid w:val="00276167"/>
    <w:rsid w:val="0027639E"/>
    <w:rsid w:val="002767CB"/>
    <w:rsid w:val="00276C6A"/>
    <w:rsid w:val="00276C82"/>
    <w:rsid w:val="00276DD3"/>
    <w:rsid w:val="00276DE2"/>
    <w:rsid w:val="00276E40"/>
    <w:rsid w:val="00277142"/>
    <w:rsid w:val="002771E5"/>
    <w:rsid w:val="00277279"/>
    <w:rsid w:val="002772CA"/>
    <w:rsid w:val="002772D6"/>
    <w:rsid w:val="00277AE8"/>
    <w:rsid w:val="00277CBF"/>
    <w:rsid w:val="00277D6C"/>
    <w:rsid w:val="00277EFC"/>
    <w:rsid w:val="00277F1F"/>
    <w:rsid w:val="00280289"/>
    <w:rsid w:val="00280A0B"/>
    <w:rsid w:val="00280A9B"/>
    <w:rsid w:val="00280AAC"/>
    <w:rsid w:val="00280D38"/>
    <w:rsid w:val="00280E0B"/>
    <w:rsid w:val="00280E56"/>
    <w:rsid w:val="00281014"/>
    <w:rsid w:val="0028103D"/>
    <w:rsid w:val="002813FD"/>
    <w:rsid w:val="00281C4A"/>
    <w:rsid w:val="00281D39"/>
    <w:rsid w:val="00281E6A"/>
    <w:rsid w:val="0028222F"/>
    <w:rsid w:val="00282568"/>
    <w:rsid w:val="0028259E"/>
    <w:rsid w:val="002825D5"/>
    <w:rsid w:val="00282648"/>
    <w:rsid w:val="0028282C"/>
    <w:rsid w:val="00282912"/>
    <w:rsid w:val="00282BFC"/>
    <w:rsid w:val="00282CB0"/>
    <w:rsid w:val="00283325"/>
    <w:rsid w:val="00283612"/>
    <w:rsid w:val="002838F3"/>
    <w:rsid w:val="00283D68"/>
    <w:rsid w:val="00284243"/>
    <w:rsid w:val="00284480"/>
    <w:rsid w:val="0028467C"/>
    <w:rsid w:val="002849A5"/>
    <w:rsid w:val="002849B2"/>
    <w:rsid w:val="00284A6A"/>
    <w:rsid w:val="00285068"/>
    <w:rsid w:val="00285392"/>
    <w:rsid w:val="002853BD"/>
    <w:rsid w:val="00285485"/>
    <w:rsid w:val="002856A7"/>
    <w:rsid w:val="00285960"/>
    <w:rsid w:val="00285BCE"/>
    <w:rsid w:val="00285E38"/>
    <w:rsid w:val="00285F03"/>
    <w:rsid w:val="00285F28"/>
    <w:rsid w:val="00285FE5"/>
    <w:rsid w:val="00285FE8"/>
    <w:rsid w:val="0028611F"/>
    <w:rsid w:val="00286503"/>
    <w:rsid w:val="0028665D"/>
    <w:rsid w:val="002866B7"/>
    <w:rsid w:val="00286773"/>
    <w:rsid w:val="002868EB"/>
    <w:rsid w:val="00286BF7"/>
    <w:rsid w:val="00286C1A"/>
    <w:rsid w:val="00286C3C"/>
    <w:rsid w:val="00286D49"/>
    <w:rsid w:val="00286D4C"/>
    <w:rsid w:val="00287605"/>
    <w:rsid w:val="00287676"/>
    <w:rsid w:val="0028776D"/>
    <w:rsid w:val="00287A89"/>
    <w:rsid w:val="00287BCD"/>
    <w:rsid w:val="00287C6A"/>
    <w:rsid w:val="00287FCB"/>
    <w:rsid w:val="00290428"/>
    <w:rsid w:val="0029048C"/>
    <w:rsid w:val="00290C0D"/>
    <w:rsid w:val="00290C80"/>
    <w:rsid w:val="0029105A"/>
    <w:rsid w:val="0029136B"/>
    <w:rsid w:val="002916ED"/>
    <w:rsid w:val="00291971"/>
    <w:rsid w:val="00291C8B"/>
    <w:rsid w:val="00291DC7"/>
    <w:rsid w:val="00291E4A"/>
    <w:rsid w:val="00291F80"/>
    <w:rsid w:val="00291FF9"/>
    <w:rsid w:val="0029226D"/>
    <w:rsid w:val="00292396"/>
    <w:rsid w:val="0029286F"/>
    <w:rsid w:val="00292F27"/>
    <w:rsid w:val="00293021"/>
    <w:rsid w:val="00293026"/>
    <w:rsid w:val="002932C5"/>
    <w:rsid w:val="00293514"/>
    <w:rsid w:val="00293868"/>
    <w:rsid w:val="00293891"/>
    <w:rsid w:val="002939E5"/>
    <w:rsid w:val="00293C67"/>
    <w:rsid w:val="00293CC9"/>
    <w:rsid w:val="00293FCF"/>
    <w:rsid w:val="00294080"/>
    <w:rsid w:val="00294111"/>
    <w:rsid w:val="00294434"/>
    <w:rsid w:val="002946AC"/>
    <w:rsid w:val="00294BD3"/>
    <w:rsid w:val="00294D24"/>
    <w:rsid w:val="00294D86"/>
    <w:rsid w:val="0029503C"/>
    <w:rsid w:val="0029523B"/>
    <w:rsid w:val="00295365"/>
    <w:rsid w:val="00295A1D"/>
    <w:rsid w:val="00295B87"/>
    <w:rsid w:val="00295C09"/>
    <w:rsid w:val="00295EAF"/>
    <w:rsid w:val="00295F7A"/>
    <w:rsid w:val="002960C4"/>
    <w:rsid w:val="002962BD"/>
    <w:rsid w:val="00296374"/>
    <w:rsid w:val="002968F6"/>
    <w:rsid w:val="00296B11"/>
    <w:rsid w:val="00296D84"/>
    <w:rsid w:val="00296D96"/>
    <w:rsid w:val="00296E4A"/>
    <w:rsid w:val="00296EA9"/>
    <w:rsid w:val="002971FC"/>
    <w:rsid w:val="0029725C"/>
    <w:rsid w:val="00297543"/>
    <w:rsid w:val="00297C12"/>
    <w:rsid w:val="00297D88"/>
    <w:rsid w:val="002A034B"/>
    <w:rsid w:val="002A056E"/>
    <w:rsid w:val="002A060A"/>
    <w:rsid w:val="002A0681"/>
    <w:rsid w:val="002A0741"/>
    <w:rsid w:val="002A081F"/>
    <w:rsid w:val="002A08C0"/>
    <w:rsid w:val="002A09EE"/>
    <w:rsid w:val="002A0B9E"/>
    <w:rsid w:val="002A0D75"/>
    <w:rsid w:val="002A11EB"/>
    <w:rsid w:val="002A125F"/>
    <w:rsid w:val="002A14AB"/>
    <w:rsid w:val="002A1525"/>
    <w:rsid w:val="002A15E7"/>
    <w:rsid w:val="002A19E9"/>
    <w:rsid w:val="002A1AF1"/>
    <w:rsid w:val="002A207C"/>
    <w:rsid w:val="002A2193"/>
    <w:rsid w:val="002A238A"/>
    <w:rsid w:val="002A2427"/>
    <w:rsid w:val="002A24CD"/>
    <w:rsid w:val="002A24DC"/>
    <w:rsid w:val="002A281A"/>
    <w:rsid w:val="002A2ADE"/>
    <w:rsid w:val="002A2EE4"/>
    <w:rsid w:val="002A2F50"/>
    <w:rsid w:val="002A2F62"/>
    <w:rsid w:val="002A33CB"/>
    <w:rsid w:val="002A354B"/>
    <w:rsid w:val="002A3681"/>
    <w:rsid w:val="002A373D"/>
    <w:rsid w:val="002A37AF"/>
    <w:rsid w:val="002A3808"/>
    <w:rsid w:val="002A38BE"/>
    <w:rsid w:val="002A3C5A"/>
    <w:rsid w:val="002A3CEE"/>
    <w:rsid w:val="002A3D88"/>
    <w:rsid w:val="002A3E35"/>
    <w:rsid w:val="002A3FE1"/>
    <w:rsid w:val="002A42B9"/>
    <w:rsid w:val="002A43D2"/>
    <w:rsid w:val="002A4623"/>
    <w:rsid w:val="002A4EE2"/>
    <w:rsid w:val="002A4F7D"/>
    <w:rsid w:val="002A5006"/>
    <w:rsid w:val="002A5427"/>
    <w:rsid w:val="002A552D"/>
    <w:rsid w:val="002A5686"/>
    <w:rsid w:val="002A58E4"/>
    <w:rsid w:val="002A58E8"/>
    <w:rsid w:val="002A5BB7"/>
    <w:rsid w:val="002A5C8A"/>
    <w:rsid w:val="002A64D4"/>
    <w:rsid w:val="002A6858"/>
    <w:rsid w:val="002A69CB"/>
    <w:rsid w:val="002A6AE4"/>
    <w:rsid w:val="002A6E05"/>
    <w:rsid w:val="002A714A"/>
    <w:rsid w:val="002A7472"/>
    <w:rsid w:val="002A7475"/>
    <w:rsid w:val="002A7703"/>
    <w:rsid w:val="002A77DF"/>
    <w:rsid w:val="002A7923"/>
    <w:rsid w:val="002A7943"/>
    <w:rsid w:val="002A7C2D"/>
    <w:rsid w:val="002A7D8E"/>
    <w:rsid w:val="002A7EA8"/>
    <w:rsid w:val="002B01DE"/>
    <w:rsid w:val="002B0205"/>
    <w:rsid w:val="002B04AF"/>
    <w:rsid w:val="002B05A1"/>
    <w:rsid w:val="002B0627"/>
    <w:rsid w:val="002B082A"/>
    <w:rsid w:val="002B090F"/>
    <w:rsid w:val="002B099A"/>
    <w:rsid w:val="002B09A4"/>
    <w:rsid w:val="002B0B43"/>
    <w:rsid w:val="002B11A8"/>
    <w:rsid w:val="002B128C"/>
    <w:rsid w:val="002B1398"/>
    <w:rsid w:val="002B1411"/>
    <w:rsid w:val="002B1B5D"/>
    <w:rsid w:val="002B1C1F"/>
    <w:rsid w:val="002B1D44"/>
    <w:rsid w:val="002B1DE2"/>
    <w:rsid w:val="002B1E34"/>
    <w:rsid w:val="002B207B"/>
    <w:rsid w:val="002B257F"/>
    <w:rsid w:val="002B28BE"/>
    <w:rsid w:val="002B2B28"/>
    <w:rsid w:val="002B2B3F"/>
    <w:rsid w:val="002B2D6C"/>
    <w:rsid w:val="002B2E8B"/>
    <w:rsid w:val="002B304E"/>
    <w:rsid w:val="002B30C8"/>
    <w:rsid w:val="002B3325"/>
    <w:rsid w:val="002B3345"/>
    <w:rsid w:val="002B3793"/>
    <w:rsid w:val="002B3AFC"/>
    <w:rsid w:val="002B3EEC"/>
    <w:rsid w:val="002B418E"/>
    <w:rsid w:val="002B432F"/>
    <w:rsid w:val="002B45B0"/>
    <w:rsid w:val="002B4669"/>
    <w:rsid w:val="002B4806"/>
    <w:rsid w:val="002B489D"/>
    <w:rsid w:val="002B4C5A"/>
    <w:rsid w:val="002B4D46"/>
    <w:rsid w:val="002B4DB0"/>
    <w:rsid w:val="002B4F83"/>
    <w:rsid w:val="002B51D8"/>
    <w:rsid w:val="002B5931"/>
    <w:rsid w:val="002B5A41"/>
    <w:rsid w:val="002B5BE2"/>
    <w:rsid w:val="002B5C5E"/>
    <w:rsid w:val="002B62B3"/>
    <w:rsid w:val="002B6754"/>
    <w:rsid w:val="002B6C74"/>
    <w:rsid w:val="002B6CCE"/>
    <w:rsid w:val="002B7353"/>
    <w:rsid w:val="002B7358"/>
    <w:rsid w:val="002B7430"/>
    <w:rsid w:val="002B79FA"/>
    <w:rsid w:val="002B7A52"/>
    <w:rsid w:val="002B7C58"/>
    <w:rsid w:val="002B7D19"/>
    <w:rsid w:val="002B7E9A"/>
    <w:rsid w:val="002C009C"/>
    <w:rsid w:val="002C0217"/>
    <w:rsid w:val="002C02C5"/>
    <w:rsid w:val="002C0315"/>
    <w:rsid w:val="002C09F2"/>
    <w:rsid w:val="002C0BE8"/>
    <w:rsid w:val="002C1211"/>
    <w:rsid w:val="002C1253"/>
    <w:rsid w:val="002C169B"/>
    <w:rsid w:val="002C16E6"/>
    <w:rsid w:val="002C1CFB"/>
    <w:rsid w:val="002C1CFC"/>
    <w:rsid w:val="002C1D8C"/>
    <w:rsid w:val="002C2032"/>
    <w:rsid w:val="002C2510"/>
    <w:rsid w:val="002C255D"/>
    <w:rsid w:val="002C2775"/>
    <w:rsid w:val="002C27C1"/>
    <w:rsid w:val="002C2904"/>
    <w:rsid w:val="002C2AF8"/>
    <w:rsid w:val="002C2CC0"/>
    <w:rsid w:val="002C2EDF"/>
    <w:rsid w:val="002C3113"/>
    <w:rsid w:val="002C335A"/>
    <w:rsid w:val="002C347E"/>
    <w:rsid w:val="002C353B"/>
    <w:rsid w:val="002C36E3"/>
    <w:rsid w:val="002C371E"/>
    <w:rsid w:val="002C3835"/>
    <w:rsid w:val="002C3B1D"/>
    <w:rsid w:val="002C3B37"/>
    <w:rsid w:val="002C4048"/>
    <w:rsid w:val="002C4159"/>
    <w:rsid w:val="002C48FA"/>
    <w:rsid w:val="002C4AFD"/>
    <w:rsid w:val="002C4C4E"/>
    <w:rsid w:val="002C4DE3"/>
    <w:rsid w:val="002C4F85"/>
    <w:rsid w:val="002C5004"/>
    <w:rsid w:val="002C5099"/>
    <w:rsid w:val="002C54F9"/>
    <w:rsid w:val="002C556C"/>
    <w:rsid w:val="002C5586"/>
    <w:rsid w:val="002C564A"/>
    <w:rsid w:val="002C5694"/>
    <w:rsid w:val="002C5889"/>
    <w:rsid w:val="002C59DD"/>
    <w:rsid w:val="002C5AAA"/>
    <w:rsid w:val="002C6015"/>
    <w:rsid w:val="002C60AA"/>
    <w:rsid w:val="002C61DC"/>
    <w:rsid w:val="002C6221"/>
    <w:rsid w:val="002C62DA"/>
    <w:rsid w:val="002C6487"/>
    <w:rsid w:val="002C64EF"/>
    <w:rsid w:val="002C6523"/>
    <w:rsid w:val="002C675E"/>
    <w:rsid w:val="002C6899"/>
    <w:rsid w:val="002C6A4B"/>
    <w:rsid w:val="002C6AA7"/>
    <w:rsid w:val="002C6BD5"/>
    <w:rsid w:val="002C6C87"/>
    <w:rsid w:val="002C6CC7"/>
    <w:rsid w:val="002C6CE2"/>
    <w:rsid w:val="002C6F67"/>
    <w:rsid w:val="002C7023"/>
    <w:rsid w:val="002C7056"/>
    <w:rsid w:val="002C713E"/>
    <w:rsid w:val="002C71CE"/>
    <w:rsid w:val="002C7233"/>
    <w:rsid w:val="002C760C"/>
    <w:rsid w:val="002C7757"/>
    <w:rsid w:val="002C785B"/>
    <w:rsid w:val="002C7C2E"/>
    <w:rsid w:val="002C7E50"/>
    <w:rsid w:val="002C7FE1"/>
    <w:rsid w:val="002D0021"/>
    <w:rsid w:val="002D036C"/>
    <w:rsid w:val="002D0647"/>
    <w:rsid w:val="002D08F8"/>
    <w:rsid w:val="002D0C5C"/>
    <w:rsid w:val="002D0E32"/>
    <w:rsid w:val="002D1035"/>
    <w:rsid w:val="002D113B"/>
    <w:rsid w:val="002D12E5"/>
    <w:rsid w:val="002D12F3"/>
    <w:rsid w:val="002D14F1"/>
    <w:rsid w:val="002D16DA"/>
    <w:rsid w:val="002D1D79"/>
    <w:rsid w:val="002D20AD"/>
    <w:rsid w:val="002D2261"/>
    <w:rsid w:val="002D24BB"/>
    <w:rsid w:val="002D2AA8"/>
    <w:rsid w:val="002D3150"/>
    <w:rsid w:val="002D31A1"/>
    <w:rsid w:val="002D34C9"/>
    <w:rsid w:val="002D35DF"/>
    <w:rsid w:val="002D35FD"/>
    <w:rsid w:val="002D384D"/>
    <w:rsid w:val="002D38C7"/>
    <w:rsid w:val="002D3A0E"/>
    <w:rsid w:val="002D3E53"/>
    <w:rsid w:val="002D3F4A"/>
    <w:rsid w:val="002D3F50"/>
    <w:rsid w:val="002D411B"/>
    <w:rsid w:val="002D43D9"/>
    <w:rsid w:val="002D45FA"/>
    <w:rsid w:val="002D487E"/>
    <w:rsid w:val="002D4895"/>
    <w:rsid w:val="002D49A3"/>
    <w:rsid w:val="002D51DA"/>
    <w:rsid w:val="002D5235"/>
    <w:rsid w:val="002D54C8"/>
    <w:rsid w:val="002D5543"/>
    <w:rsid w:val="002D577C"/>
    <w:rsid w:val="002D5858"/>
    <w:rsid w:val="002D5952"/>
    <w:rsid w:val="002D5A61"/>
    <w:rsid w:val="002D5CED"/>
    <w:rsid w:val="002D5D50"/>
    <w:rsid w:val="002D6512"/>
    <w:rsid w:val="002D686E"/>
    <w:rsid w:val="002D6994"/>
    <w:rsid w:val="002D6B08"/>
    <w:rsid w:val="002D6C82"/>
    <w:rsid w:val="002D6C8B"/>
    <w:rsid w:val="002D6DB7"/>
    <w:rsid w:val="002D70B0"/>
    <w:rsid w:val="002D768D"/>
    <w:rsid w:val="002D7832"/>
    <w:rsid w:val="002D787C"/>
    <w:rsid w:val="002D788A"/>
    <w:rsid w:val="002D7CD5"/>
    <w:rsid w:val="002D7D53"/>
    <w:rsid w:val="002D7F21"/>
    <w:rsid w:val="002E00A8"/>
    <w:rsid w:val="002E0310"/>
    <w:rsid w:val="002E04C2"/>
    <w:rsid w:val="002E057C"/>
    <w:rsid w:val="002E07F2"/>
    <w:rsid w:val="002E0A65"/>
    <w:rsid w:val="002E0AD7"/>
    <w:rsid w:val="002E0B1B"/>
    <w:rsid w:val="002E0FA9"/>
    <w:rsid w:val="002E0FAE"/>
    <w:rsid w:val="002E1071"/>
    <w:rsid w:val="002E13FA"/>
    <w:rsid w:val="002E15B9"/>
    <w:rsid w:val="002E1AC3"/>
    <w:rsid w:val="002E1D12"/>
    <w:rsid w:val="002E1D60"/>
    <w:rsid w:val="002E1FB2"/>
    <w:rsid w:val="002E210D"/>
    <w:rsid w:val="002E210F"/>
    <w:rsid w:val="002E2136"/>
    <w:rsid w:val="002E2158"/>
    <w:rsid w:val="002E221F"/>
    <w:rsid w:val="002E2395"/>
    <w:rsid w:val="002E24F5"/>
    <w:rsid w:val="002E2985"/>
    <w:rsid w:val="002E2A6D"/>
    <w:rsid w:val="002E2E0C"/>
    <w:rsid w:val="002E2F2F"/>
    <w:rsid w:val="002E2F59"/>
    <w:rsid w:val="002E32D9"/>
    <w:rsid w:val="002E3350"/>
    <w:rsid w:val="002E33EB"/>
    <w:rsid w:val="002E36BA"/>
    <w:rsid w:val="002E37BF"/>
    <w:rsid w:val="002E3963"/>
    <w:rsid w:val="002E3A6B"/>
    <w:rsid w:val="002E3CFA"/>
    <w:rsid w:val="002E40D6"/>
    <w:rsid w:val="002E438F"/>
    <w:rsid w:val="002E47C2"/>
    <w:rsid w:val="002E493A"/>
    <w:rsid w:val="002E49AF"/>
    <w:rsid w:val="002E4CD0"/>
    <w:rsid w:val="002E4DC2"/>
    <w:rsid w:val="002E4F02"/>
    <w:rsid w:val="002E4F9C"/>
    <w:rsid w:val="002E50DD"/>
    <w:rsid w:val="002E524A"/>
    <w:rsid w:val="002E53C6"/>
    <w:rsid w:val="002E54C8"/>
    <w:rsid w:val="002E57DA"/>
    <w:rsid w:val="002E5BDD"/>
    <w:rsid w:val="002E5CBB"/>
    <w:rsid w:val="002E5D99"/>
    <w:rsid w:val="002E6ABB"/>
    <w:rsid w:val="002E6BCF"/>
    <w:rsid w:val="002E6BFB"/>
    <w:rsid w:val="002E6C60"/>
    <w:rsid w:val="002E6EC7"/>
    <w:rsid w:val="002E6ECE"/>
    <w:rsid w:val="002E71DB"/>
    <w:rsid w:val="002E72A4"/>
    <w:rsid w:val="002E73A2"/>
    <w:rsid w:val="002E7709"/>
    <w:rsid w:val="002E7722"/>
    <w:rsid w:val="002E7A80"/>
    <w:rsid w:val="002E7CAC"/>
    <w:rsid w:val="002E7CDC"/>
    <w:rsid w:val="002F018C"/>
    <w:rsid w:val="002F03B2"/>
    <w:rsid w:val="002F07BA"/>
    <w:rsid w:val="002F096E"/>
    <w:rsid w:val="002F0A95"/>
    <w:rsid w:val="002F0B3D"/>
    <w:rsid w:val="002F0BA0"/>
    <w:rsid w:val="002F0BA3"/>
    <w:rsid w:val="002F0DA9"/>
    <w:rsid w:val="002F1014"/>
    <w:rsid w:val="002F1055"/>
    <w:rsid w:val="002F1182"/>
    <w:rsid w:val="002F14D8"/>
    <w:rsid w:val="002F191F"/>
    <w:rsid w:val="002F1D7D"/>
    <w:rsid w:val="002F1E16"/>
    <w:rsid w:val="002F1E3B"/>
    <w:rsid w:val="002F2176"/>
    <w:rsid w:val="002F21B4"/>
    <w:rsid w:val="002F2208"/>
    <w:rsid w:val="002F225C"/>
    <w:rsid w:val="002F261D"/>
    <w:rsid w:val="002F28BD"/>
    <w:rsid w:val="002F2CA0"/>
    <w:rsid w:val="002F2CF1"/>
    <w:rsid w:val="002F3840"/>
    <w:rsid w:val="002F3AB1"/>
    <w:rsid w:val="002F3F74"/>
    <w:rsid w:val="002F4196"/>
    <w:rsid w:val="002F43B6"/>
    <w:rsid w:val="002F46BD"/>
    <w:rsid w:val="002F496C"/>
    <w:rsid w:val="002F4B11"/>
    <w:rsid w:val="002F4EE5"/>
    <w:rsid w:val="002F4F01"/>
    <w:rsid w:val="002F5084"/>
    <w:rsid w:val="002F5195"/>
    <w:rsid w:val="002F52EA"/>
    <w:rsid w:val="002F5567"/>
    <w:rsid w:val="002F5FC0"/>
    <w:rsid w:val="002F5FFC"/>
    <w:rsid w:val="002F615C"/>
    <w:rsid w:val="002F6361"/>
    <w:rsid w:val="002F643C"/>
    <w:rsid w:val="002F64C4"/>
    <w:rsid w:val="002F6914"/>
    <w:rsid w:val="002F6A6F"/>
    <w:rsid w:val="002F6B25"/>
    <w:rsid w:val="002F6B7E"/>
    <w:rsid w:val="002F70A1"/>
    <w:rsid w:val="002F70EB"/>
    <w:rsid w:val="002F7198"/>
    <w:rsid w:val="002F71C0"/>
    <w:rsid w:val="002F7200"/>
    <w:rsid w:val="002F73CB"/>
    <w:rsid w:val="002F7461"/>
    <w:rsid w:val="002F74F1"/>
    <w:rsid w:val="002F7B4D"/>
    <w:rsid w:val="00300186"/>
    <w:rsid w:val="00300221"/>
    <w:rsid w:val="003009F5"/>
    <w:rsid w:val="00300B07"/>
    <w:rsid w:val="00301017"/>
    <w:rsid w:val="003014B9"/>
    <w:rsid w:val="0030155F"/>
    <w:rsid w:val="00301929"/>
    <w:rsid w:val="00301C00"/>
    <w:rsid w:val="00301C92"/>
    <w:rsid w:val="00301FF1"/>
    <w:rsid w:val="0030248A"/>
    <w:rsid w:val="003026D9"/>
    <w:rsid w:val="003027F5"/>
    <w:rsid w:val="00302873"/>
    <w:rsid w:val="00302973"/>
    <w:rsid w:val="00302A6C"/>
    <w:rsid w:val="00302EF1"/>
    <w:rsid w:val="00302FAE"/>
    <w:rsid w:val="00303605"/>
    <w:rsid w:val="0030364E"/>
    <w:rsid w:val="003037C9"/>
    <w:rsid w:val="00303A6C"/>
    <w:rsid w:val="00303CA6"/>
    <w:rsid w:val="003042A8"/>
    <w:rsid w:val="003046A0"/>
    <w:rsid w:val="00304913"/>
    <w:rsid w:val="00304BD4"/>
    <w:rsid w:val="00304CF1"/>
    <w:rsid w:val="00304D58"/>
    <w:rsid w:val="0030587B"/>
    <w:rsid w:val="003058FB"/>
    <w:rsid w:val="003058FD"/>
    <w:rsid w:val="0030612D"/>
    <w:rsid w:val="00306361"/>
    <w:rsid w:val="00306393"/>
    <w:rsid w:val="00306920"/>
    <w:rsid w:val="00306D98"/>
    <w:rsid w:val="00306FB1"/>
    <w:rsid w:val="0030723F"/>
    <w:rsid w:val="0030775F"/>
    <w:rsid w:val="003077AF"/>
    <w:rsid w:val="0030786C"/>
    <w:rsid w:val="003078FB"/>
    <w:rsid w:val="00307BB1"/>
    <w:rsid w:val="00307FAD"/>
    <w:rsid w:val="00310259"/>
    <w:rsid w:val="0031031A"/>
    <w:rsid w:val="0031034E"/>
    <w:rsid w:val="00310560"/>
    <w:rsid w:val="003106B0"/>
    <w:rsid w:val="0031075E"/>
    <w:rsid w:val="00310769"/>
    <w:rsid w:val="00310981"/>
    <w:rsid w:val="00310AD5"/>
    <w:rsid w:val="003110D1"/>
    <w:rsid w:val="00311200"/>
    <w:rsid w:val="0031120D"/>
    <w:rsid w:val="0031159D"/>
    <w:rsid w:val="003116E7"/>
    <w:rsid w:val="0031181B"/>
    <w:rsid w:val="00311878"/>
    <w:rsid w:val="00311C1B"/>
    <w:rsid w:val="00311D9B"/>
    <w:rsid w:val="00311E34"/>
    <w:rsid w:val="00311ED3"/>
    <w:rsid w:val="00312159"/>
    <w:rsid w:val="003121D9"/>
    <w:rsid w:val="003121DC"/>
    <w:rsid w:val="003122C3"/>
    <w:rsid w:val="003123B9"/>
    <w:rsid w:val="003124D9"/>
    <w:rsid w:val="00312594"/>
    <w:rsid w:val="00312CFC"/>
    <w:rsid w:val="00312E1C"/>
    <w:rsid w:val="003138F0"/>
    <w:rsid w:val="0031408A"/>
    <w:rsid w:val="00314482"/>
    <w:rsid w:val="00314A07"/>
    <w:rsid w:val="00314A4E"/>
    <w:rsid w:val="00314C88"/>
    <w:rsid w:val="00314EA7"/>
    <w:rsid w:val="00315498"/>
    <w:rsid w:val="00315A10"/>
    <w:rsid w:val="00315BB9"/>
    <w:rsid w:val="003160A9"/>
    <w:rsid w:val="00316474"/>
    <w:rsid w:val="00316652"/>
    <w:rsid w:val="00316961"/>
    <w:rsid w:val="003169CB"/>
    <w:rsid w:val="00316CE5"/>
    <w:rsid w:val="00316FF9"/>
    <w:rsid w:val="00317516"/>
    <w:rsid w:val="003177FA"/>
    <w:rsid w:val="003178AB"/>
    <w:rsid w:val="00317AA2"/>
    <w:rsid w:val="00317BCC"/>
    <w:rsid w:val="00317C89"/>
    <w:rsid w:val="00317E13"/>
    <w:rsid w:val="00320463"/>
    <w:rsid w:val="00320C7B"/>
    <w:rsid w:val="003216FF"/>
    <w:rsid w:val="0032191E"/>
    <w:rsid w:val="0032207C"/>
    <w:rsid w:val="00322107"/>
    <w:rsid w:val="00322355"/>
    <w:rsid w:val="00322846"/>
    <w:rsid w:val="00322AC4"/>
    <w:rsid w:val="00322CD8"/>
    <w:rsid w:val="00322E0E"/>
    <w:rsid w:val="0032329C"/>
    <w:rsid w:val="003232BB"/>
    <w:rsid w:val="00323859"/>
    <w:rsid w:val="0032400D"/>
    <w:rsid w:val="003241BA"/>
    <w:rsid w:val="0032422B"/>
    <w:rsid w:val="003242F4"/>
    <w:rsid w:val="00324341"/>
    <w:rsid w:val="003243A0"/>
    <w:rsid w:val="0032450E"/>
    <w:rsid w:val="003245D2"/>
    <w:rsid w:val="003246AD"/>
    <w:rsid w:val="0032477B"/>
    <w:rsid w:val="0032493C"/>
    <w:rsid w:val="00324A25"/>
    <w:rsid w:val="00324BB9"/>
    <w:rsid w:val="00324CE6"/>
    <w:rsid w:val="00324D7E"/>
    <w:rsid w:val="00324F88"/>
    <w:rsid w:val="00324FD0"/>
    <w:rsid w:val="00324FF2"/>
    <w:rsid w:val="003250D2"/>
    <w:rsid w:val="003251C5"/>
    <w:rsid w:val="0032524A"/>
    <w:rsid w:val="00325273"/>
    <w:rsid w:val="003254A4"/>
    <w:rsid w:val="00325624"/>
    <w:rsid w:val="003256FC"/>
    <w:rsid w:val="00325755"/>
    <w:rsid w:val="003259DE"/>
    <w:rsid w:val="00325A25"/>
    <w:rsid w:val="00325CC7"/>
    <w:rsid w:val="00325EAC"/>
    <w:rsid w:val="00325FE1"/>
    <w:rsid w:val="0032610D"/>
    <w:rsid w:val="003264CB"/>
    <w:rsid w:val="003265BA"/>
    <w:rsid w:val="00326617"/>
    <w:rsid w:val="00326733"/>
    <w:rsid w:val="00326A01"/>
    <w:rsid w:val="00326BBD"/>
    <w:rsid w:val="00326D0B"/>
    <w:rsid w:val="00326DA7"/>
    <w:rsid w:val="00327029"/>
    <w:rsid w:val="003270AC"/>
    <w:rsid w:val="003270E4"/>
    <w:rsid w:val="003271BF"/>
    <w:rsid w:val="00327300"/>
    <w:rsid w:val="003277AD"/>
    <w:rsid w:val="003278AA"/>
    <w:rsid w:val="00327F61"/>
    <w:rsid w:val="003307E7"/>
    <w:rsid w:val="00330CF2"/>
    <w:rsid w:val="00330DAA"/>
    <w:rsid w:val="00330F5C"/>
    <w:rsid w:val="00330FB3"/>
    <w:rsid w:val="0033137E"/>
    <w:rsid w:val="00331751"/>
    <w:rsid w:val="003318FD"/>
    <w:rsid w:val="003319A0"/>
    <w:rsid w:val="00331A54"/>
    <w:rsid w:val="00331B1A"/>
    <w:rsid w:val="00331D92"/>
    <w:rsid w:val="00331FB0"/>
    <w:rsid w:val="003320D9"/>
    <w:rsid w:val="003322DF"/>
    <w:rsid w:val="00332556"/>
    <w:rsid w:val="00332593"/>
    <w:rsid w:val="003327D1"/>
    <w:rsid w:val="0033291A"/>
    <w:rsid w:val="00332A7A"/>
    <w:rsid w:val="00332B04"/>
    <w:rsid w:val="00332B59"/>
    <w:rsid w:val="00332CDC"/>
    <w:rsid w:val="00333221"/>
    <w:rsid w:val="003333F6"/>
    <w:rsid w:val="003337C6"/>
    <w:rsid w:val="003337F3"/>
    <w:rsid w:val="0033382D"/>
    <w:rsid w:val="003338DC"/>
    <w:rsid w:val="00333ABC"/>
    <w:rsid w:val="00333D16"/>
    <w:rsid w:val="00333D25"/>
    <w:rsid w:val="00333D7F"/>
    <w:rsid w:val="00333E25"/>
    <w:rsid w:val="00333EC7"/>
    <w:rsid w:val="00334144"/>
    <w:rsid w:val="0033434B"/>
    <w:rsid w:val="003346D6"/>
    <w:rsid w:val="003349CF"/>
    <w:rsid w:val="00334A9B"/>
    <w:rsid w:val="00334B9C"/>
    <w:rsid w:val="00334D82"/>
    <w:rsid w:val="003352D1"/>
    <w:rsid w:val="003354EB"/>
    <w:rsid w:val="00335589"/>
    <w:rsid w:val="00335713"/>
    <w:rsid w:val="00335996"/>
    <w:rsid w:val="00335A4D"/>
    <w:rsid w:val="00335C55"/>
    <w:rsid w:val="00335C57"/>
    <w:rsid w:val="00335D2F"/>
    <w:rsid w:val="00335E23"/>
    <w:rsid w:val="00335E25"/>
    <w:rsid w:val="00336030"/>
    <w:rsid w:val="00336057"/>
    <w:rsid w:val="0033655A"/>
    <w:rsid w:val="003366C9"/>
    <w:rsid w:val="003366F6"/>
    <w:rsid w:val="00336776"/>
    <w:rsid w:val="003369A2"/>
    <w:rsid w:val="003369DC"/>
    <w:rsid w:val="00336B65"/>
    <w:rsid w:val="00336BE9"/>
    <w:rsid w:val="00336D18"/>
    <w:rsid w:val="00336D71"/>
    <w:rsid w:val="003370EC"/>
    <w:rsid w:val="00337158"/>
    <w:rsid w:val="003371B0"/>
    <w:rsid w:val="0033739A"/>
    <w:rsid w:val="00337468"/>
    <w:rsid w:val="0033776F"/>
    <w:rsid w:val="00337786"/>
    <w:rsid w:val="00337788"/>
    <w:rsid w:val="0033785C"/>
    <w:rsid w:val="00337A49"/>
    <w:rsid w:val="00337ACF"/>
    <w:rsid w:val="00337DA2"/>
    <w:rsid w:val="00337DB2"/>
    <w:rsid w:val="00337F4A"/>
    <w:rsid w:val="00337F4F"/>
    <w:rsid w:val="0034009E"/>
    <w:rsid w:val="003402D6"/>
    <w:rsid w:val="00340395"/>
    <w:rsid w:val="003403CD"/>
    <w:rsid w:val="00340615"/>
    <w:rsid w:val="003406D5"/>
    <w:rsid w:val="0034070D"/>
    <w:rsid w:val="003407C7"/>
    <w:rsid w:val="003408EE"/>
    <w:rsid w:val="003409DB"/>
    <w:rsid w:val="00340A8A"/>
    <w:rsid w:val="00340BD6"/>
    <w:rsid w:val="00340D05"/>
    <w:rsid w:val="00340DF1"/>
    <w:rsid w:val="0034120E"/>
    <w:rsid w:val="0034124F"/>
    <w:rsid w:val="00341476"/>
    <w:rsid w:val="0034188E"/>
    <w:rsid w:val="00341A61"/>
    <w:rsid w:val="00341B0D"/>
    <w:rsid w:val="00341B9D"/>
    <w:rsid w:val="00341BB8"/>
    <w:rsid w:val="00341C09"/>
    <w:rsid w:val="00341CA5"/>
    <w:rsid w:val="00341D29"/>
    <w:rsid w:val="00341E5D"/>
    <w:rsid w:val="00341F3E"/>
    <w:rsid w:val="00342211"/>
    <w:rsid w:val="00342492"/>
    <w:rsid w:val="0034254A"/>
    <w:rsid w:val="0034274D"/>
    <w:rsid w:val="003428AE"/>
    <w:rsid w:val="00342C4E"/>
    <w:rsid w:val="00343110"/>
    <w:rsid w:val="00343262"/>
    <w:rsid w:val="00343342"/>
    <w:rsid w:val="00343773"/>
    <w:rsid w:val="003439D4"/>
    <w:rsid w:val="00343A49"/>
    <w:rsid w:val="00343ADD"/>
    <w:rsid w:val="00343C78"/>
    <w:rsid w:val="00343E14"/>
    <w:rsid w:val="003440D8"/>
    <w:rsid w:val="0034443D"/>
    <w:rsid w:val="0034447F"/>
    <w:rsid w:val="003445B6"/>
    <w:rsid w:val="0034463D"/>
    <w:rsid w:val="00344897"/>
    <w:rsid w:val="0034489C"/>
    <w:rsid w:val="00344910"/>
    <w:rsid w:val="00344D70"/>
    <w:rsid w:val="00344D81"/>
    <w:rsid w:val="00344F76"/>
    <w:rsid w:val="00345145"/>
    <w:rsid w:val="0034542C"/>
    <w:rsid w:val="00345712"/>
    <w:rsid w:val="00345A7A"/>
    <w:rsid w:val="00345B90"/>
    <w:rsid w:val="00345B9D"/>
    <w:rsid w:val="00345C98"/>
    <w:rsid w:val="00345E77"/>
    <w:rsid w:val="00345FE1"/>
    <w:rsid w:val="0034631B"/>
    <w:rsid w:val="0034683D"/>
    <w:rsid w:val="00346A85"/>
    <w:rsid w:val="00346DB9"/>
    <w:rsid w:val="003475F7"/>
    <w:rsid w:val="003476AA"/>
    <w:rsid w:val="003476E6"/>
    <w:rsid w:val="00347896"/>
    <w:rsid w:val="003478CF"/>
    <w:rsid w:val="003479B9"/>
    <w:rsid w:val="003479C4"/>
    <w:rsid w:val="00347A81"/>
    <w:rsid w:val="00347FC5"/>
    <w:rsid w:val="003507B9"/>
    <w:rsid w:val="00350845"/>
    <w:rsid w:val="00350972"/>
    <w:rsid w:val="00350B8B"/>
    <w:rsid w:val="00350F45"/>
    <w:rsid w:val="003517F9"/>
    <w:rsid w:val="00351BA9"/>
    <w:rsid w:val="00351FB1"/>
    <w:rsid w:val="0035210F"/>
    <w:rsid w:val="003523A4"/>
    <w:rsid w:val="003528E6"/>
    <w:rsid w:val="003529D3"/>
    <w:rsid w:val="00352A30"/>
    <w:rsid w:val="00352B66"/>
    <w:rsid w:val="00352DFA"/>
    <w:rsid w:val="00352F54"/>
    <w:rsid w:val="0035317D"/>
    <w:rsid w:val="00353196"/>
    <w:rsid w:val="00353437"/>
    <w:rsid w:val="003534F5"/>
    <w:rsid w:val="003534F7"/>
    <w:rsid w:val="003536EF"/>
    <w:rsid w:val="00353757"/>
    <w:rsid w:val="00353CBD"/>
    <w:rsid w:val="003540FA"/>
    <w:rsid w:val="003541B2"/>
    <w:rsid w:val="003541C0"/>
    <w:rsid w:val="0035423E"/>
    <w:rsid w:val="00354458"/>
    <w:rsid w:val="00354556"/>
    <w:rsid w:val="00354638"/>
    <w:rsid w:val="00354A5C"/>
    <w:rsid w:val="00354F64"/>
    <w:rsid w:val="00355129"/>
    <w:rsid w:val="0035522F"/>
    <w:rsid w:val="003556ED"/>
    <w:rsid w:val="003559A0"/>
    <w:rsid w:val="00355A7D"/>
    <w:rsid w:val="00355AA0"/>
    <w:rsid w:val="00355D82"/>
    <w:rsid w:val="0035620E"/>
    <w:rsid w:val="00356672"/>
    <w:rsid w:val="003567E6"/>
    <w:rsid w:val="0035697F"/>
    <w:rsid w:val="003569CA"/>
    <w:rsid w:val="00356C88"/>
    <w:rsid w:val="00356F7A"/>
    <w:rsid w:val="0035724F"/>
    <w:rsid w:val="003572E3"/>
    <w:rsid w:val="0035739C"/>
    <w:rsid w:val="003575BE"/>
    <w:rsid w:val="00357953"/>
    <w:rsid w:val="00357A88"/>
    <w:rsid w:val="00357AE3"/>
    <w:rsid w:val="00357C69"/>
    <w:rsid w:val="00357FB0"/>
    <w:rsid w:val="0036015A"/>
    <w:rsid w:val="00360345"/>
    <w:rsid w:val="0036034A"/>
    <w:rsid w:val="00360993"/>
    <w:rsid w:val="003609A3"/>
    <w:rsid w:val="00360AD7"/>
    <w:rsid w:val="00360C3D"/>
    <w:rsid w:val="00360F58"/>
    <w:rsid w:val="003611A9"/>
    <w:rsid w:val="0036157E"/>
    <w:rsid w:val="0036160C"/>
    <w:rsid w:val="00361843"/>
    <w:rsid w:val="003619DE"/>
    <w:rsid w:val="00361A05"/>
    <w:rsid w:val="00361F54"/>
    <w:rsid w:val="00361FFA"/>
    <w:rsid w:val="0036200F"/>
    <w:rsid w:val="00362371"/>
    <w:rsid w:val="003624C4"/>
    <w:rsid w:val="0036266C"/>
    <w:rsid w:val="0036270B"/>
    <w:rsid w:val="00362812"/>
    <w:rsid w:val="00362892"/>
    <w:rsid w:val="00362A1B"/>
    <w:rsid w:val="00362A5B"/>
    <w:rsid w:val="00362B0F"/>
    <w:rsid w:val="00362B62"/>
    <w:rsid w:val="00362B98"/>
    <w:rsid w:val="00362BFF"/>
    <w:rsid w:val="00362D9A"/>
    <w:rsid w:val="00362DD7"/>
    <w:rsid w:val="00363182"/>
    <w:rsid w:val="0036335B"/>
    <w:rsid w:val="00363706"/>
    <w:rsid w:val="00363744"/>
    <w:rsid w:val="00363A61"/>
    <w:rsid w:val="00363B00"/>
    <w:rsid w:val="00363B2A"/>
    <w:rsid w:val="00364011"/>
    <w:rsid w:val="003641AE"/>
    <w:rsid w:val="003642C3"/>
    <w:rsid w:val="00364316"/>
    <w:rsid w:val="003645BC"/>
    <w:rsid w:val="003647B2"/>
    <w:rsid w:val="00364836"/>
    <w:rsid w:val="00364C86"/>
    <w:rsid w:val="00364E11"/>
    <w:rsid w:val="00364FC4"/>
    <w:rsid w:val="00365018"/>
    <w:rsid w:val="00365069"/>
    <w:rsid w:val="0036507A"/>
    <w:rsid w:val="0036517A"/>
    <w:rsid w:val="00365469"/>
    <w:rsid w:val="003654AC"/>
    <w:rsid w:val="003656A7"/>
    <w:rsid w:val="00365C52"/>
    <w:rsid w:val="00365D24"/>
    <w:rsid w:val="00366060"/>
    <w:rsid w:val="00366072"/>
    <w:rsid w:val="003661A1"/>
    <w:rsid w:val="00366225"/>
    <w:rsid w:val="00366266"/>
    <w:rsid w:val="0036698F"/>
    <w:rsid w:val="00366BC2"/>
    <w:rsid w:val="00366F99"/>
    <w:rsid w:val="003670E6"/>
    <w:rsid w:val="003673C0"/>
    <w:rsid w:val="003676D1"/>
    <w:rsid w:val="00367815"/>
    <w:rsid w:val="00367D4D"/>
    <w:rsid w:val="00367D87"/>
    <w:rsid w:val="00370320"/>
    <w:rsid w:val="00370353"/>
    <w:rsid w:val="0037097B"/>
    <w:rsid w:val="00370A01"/>
    <w:rsid w:val="003710CF"/>
    <w:rsid w:val="003710D8"/>
    <w:rsid w:val="00371251"/>
    <w:rsid w:val="003713D3"/>
    <w:rsid w:val="00371542"/>
    <w:rsid w:val="00371763"/>
    <w:rsid w:val="00371DB2"/>
    <w:rsid w:val="00371F33"/>
    <w:rsid w:val="00372030"/>
    <w:rsid w:val="00372AA6"/>
    <w:rsid w:val="00372DCE"/>
    <w:rsid w:val="00372ED0"/>
    <w:rsid w:val="00372F46"/>
    <w:rsid w:val="003732A4"/>
    <w:rsid w:val="00373311"/>
    <w:rsid w:val="0037346C"/>
    <w:rsid w:val="0037358A"/>
    <w:rsid w:val="003736EC"/>
    <w:rsid w:val="00373C0B"/>
    <w:rsid w:val="00373D6B"/>
    <w:rsid w:val="00373DC4"/>
    <w:rsid w:val="00373ED5"/>
    <w:rsid w:val="00373FBD"/>
    <w:rsid w:val="0037414C"/>
    <w:rsid w:val="003741DC"/>
    <w:rsid w:val="0037439B"/>
    <w:rsid w:val="00374470"/>
    <w:rsid w:val="00374492"/>
    <w:rsid w:val="00374DF3"/>
    <w:rsid w:val="003750F6"/>
    <w:rsid w:val="00375127"/>
    <w:rsid w:val="003754EF"/>
    <w:rsid w:val="00375B05"/>
    <w:rsid w:val="00375E74"/>
    <w:rsid w:val="00376096"/>
    <w:rsid w:val="003760FC"/>
    <w:rsid w:val="00376904"/>
    <w:rsid w:val="00376A44"/>
    <w:rsid w:val="00376BD4"/>
    <w:rsid w:val="00376DCB"/>
    <w:rsid w:val="00377023"/>
    <w:rsid w:val="003771A7"/>
    <w:rsid w:val="00377480"/>
    <w:rsid w:val="0037766A"/>
    <w:rsid w:val="00377A7E"/>
    <w:rsid w:val="003800EF"/>
    <w:rsid w:val="003801F7"/>
    <w:rsid w:val="00380224"/>
    <w:rsid w:val="00380281"/>
    <w:rsid w:val="00380701"/>
    <w:rsid w:val="00380AE5"/>
    <w:rsid w:val="00380DE5"/>
    <w:rsid w:val="00380FE0"/>
    <w:rsid w:val="00381018"/>
    <w:rsid w:val="0038114E"/>
    <w:rsid w:val="00381295"/>
    <w:rsid w:val="00381465"/>
    <w:rsid w:val="00381D4B"/>
    <w:rsid w:val="003820C4"/>
    <w:rsid w:val="00382E31"/>
    <w:rsid w:val="00382FB0"/>
    <w:rsid w:val="00382FD6"/>
    <w:rsid w:val="003835B7"/>
    <w:rsid w:val="0038365C"/>
    <w:rsid w:val="0038369B"/>
    <w:rsid w:val="003837B1"/>
    <w:rsid w:val="00383837"/>
    <w:rsid w:val="00383946"/>
    <w:rsid w:val="00383B78"/>
    <w:rsid w:val="00383CFA"/>
    <w:rsid w:val="00383ED8"/>
    <w:rsid w:val="00384117"/>
    <w:rsid w:val="0038423F"/>
    <w:rsid w:val="0038455E"/>
    <w:rsid w:val="00384563"/>
    <w:rsid w:val="003845DA"/>
    <w:rsid w:val="003847B9"/>
    <w:rsid w:val="00384A32"/>
    <w:rsid w:val="00384C46"/>
    <w:rsid w:val="00384D59"/>
    <w:rsid w:val="003853E7"/>
    <w:rsid w:val="00385636"/>
    <w:rsid w:val="003859CC"/>
    <w:rsid w:val="00385A9D"/>
    <w:rsid w:val="00385AA5"/>
    <w:rsid w:val="0038615B"/>
    <w:rsid w:val="003865C3"/>
    <w:rsid w:val="003866B3"/>
    <w:rsid w:val="003868CE"/>
    <w:rsid w:val="003869EF"/>
    <w:rsid w:val="00386C7C"/>
    <w:rsid w:val="00386C8C"/>
    <w:rsid w:val="00386C8E"/>
    <w:rsid w:val="00386DEE"/>
    <w:rsid w:val="00386EC5"/>
    <w:rsid w:val="00387121"/>
    <w:rsid w:val="00387191"/>
    <w:rsid w:val="00387496"/>
    <w:rsid w:val="00387545"/>
    <w:rsid w:val="003877A2"/>
    <w:rsid w:val="00387856"/>
    <w:rsid w:val="0038792C"/>
    <w:rsid w:val="0038792E"/>
    <w:rsid w:val="00387935"/>
    <w:rsid w:val="00387BEE"/>
    <w:rsid w:val="00387CBD"/>
    <w:rsid w:val="00387D7C"/>
    <w:rsid w:val="00387F42"/>
    <w:rsid w:val="0039018A"/>
    <w:rsid w:val="003902B1"/>
    <w:rsid w:val="003903A5"/>
    <w:rsid w:val="00390520"/>
    <w:rsid w:val="00390574"/>
    <w:rsid w:val="0039096F"/>
    <w:rsid w:val="00390976"/>
    <w:rsid w:val="003909FC"/>
    <w:rsid w:val="00391121"/>
    <w:rsid w:val="0039112C"/>
    <w:rsid w:val="0039132B"/>
    <w:rsid w:val="0039145D"/>
    <w:rsid w:val="0039179C"/>
    <w:rsid w:val="003917ED"/>
    <w:rsid w:val="00391B18"/>
    <w:rsid w:val="00391DCD"/>
    <w:rsid w:val="00391E50"/>
    <w:rsid w:val="00391FE9"/>
    <w:rsid w:val="0039213D"/>
    <w:rsid w:val="00392473"/>
    <w:rsid w:val="00392586"/>
    <w:rsid w:val="003927F9"/>
    <w:rsid w:val="00392D8C"/>
    <w:rsid w:val="00393102"/>
    <w:rsid w:val="0039336E"/>
    <w:rsid w:val="00393877"/>
    <w:rsid w:val="003939EF"/>
    <w:rsid w:val="00393A6D"/>
    <w:rsid w:val="00393C53"/>
    <w:rsid w:val="00394214"/>
    <w:rsid w:val="00394272"/>
    <w:rsid w:val="00394515"/>
    <w:rsid w:val="00394582"/>
    <w:rsid w:val="003945F8"/>
    <w:rsid w:val="00394893"/>
    <w:rsid w:val="003948F2"/>
    <w:rsid w:val="00394A42"/>
    <w:rsid w:val="00394D86"/>
    <w:rsid w:val="0039501C"/>
    <w:rsid w:val="0039527F"/>
    <w:rsid w:val="003952DF"/>
    <w:rsid w:val="00395981"/>
    <w:rsid w:val="00396038"/>
    <w:rsid w:val="00396555"/>
    <w:rsid w:val="00396572"/>
    <w:rsid w:val="0039666C"/>
    <w:rsid w:val="00396896"/>
    <w:rsid w:val="003968B7"/>
    <w:rsid w:val="00396B40"/>
    <w:rsid w:val="00396B53"/>
    <w:rsid w:val="00396EE8"/>
    <w:rsid w:val="00396FD0"/>
    <w:rsid w:val="00397061"/>
    <w:rsid w:val="0039711A"/>
    <w:rsid w:val="00397327"/>
    <w:rsid w:val="0039756C"/>
    <w:rsid w:val="00397701"/>
    <w:rsid w:val="0039789E"/>
    <w:rsid w:val="00397946"/>
    <w:rsid w:val="003A02B8"/>
    <w:rsid w:val="003A040D"/>
    <w:rsid w:val="003A0412"/>
    <w:rsid w:val="003A07DC"/>
    <w:rsid w:val="003A08FF"/>
    <w:rsid w:val="003A0F1C"/>
    <w:rsid w:val="003A0FD1"/>
    <w:rsid w:val="003A124B"/>
    <w:rsid w:val="003A1631"/>
    <w:rsid w:val="003A1644"/>
    <w:rsid w:val="003A17C0"/>
    <w:rsid w:val="003A17FA"/>
    <w:rsid w:val="003A18FF"/>
    <w:rsid w:val="003A19BF"/>
    <w:rsid w:val="003A1A7A"/>
    <w:rsid w:val="003A1A9B"/>
    <w:rsid w:val="003A2252"/>
    <w:rsid w:val="003A2390"/>
    <w:rsid w:val="003A2392"/>
    <w:rsid w:val="003A26EA"/>
    <w:rsid w:val="003A2831"/>
    <w:rsid w:val="003A28AB"/>
    <w:rsid w:val="003A2C52"/>
    <w:rsid w:val="003A2CAE"/>
    <w:rsid w:val="003A2D4F"/>
    <w:rsid w:val="003A2DFB"/>
    <w:rsid w:val="003A2EA7"/>
    <w:rsid w:val="003A301F"/>
    <w:rsid w:val="003A32C6"/>
    <w:rsid w:val="003A33DD"/>
    <w:rsid w:val="003A3CB6"/>
    <w:rsid w:val="003A3ED1"/>
    <w:rsid w:val="003A4021"/>
    <w:rsid w:val="003A4423"/>
    <w:rsid w:val="003A445F"/>
    <w:rsid w:val="003A44DB"/>
    <w:rsid w:val="003A4C14"/>
    <w:rsid w:val="003A4F17"/>
    <w:rsid w:val="003A4FDA"/>
    <w:rsid w:val="003A5075"/>
    <w:rsid w:val="003A50D7"/>
    <w:rsid w:val="003A52FF"/>
    <w:rsid w:val="003A53C9"/>
    <w:rsid w:val="003A549C"/>
    <w:rsid w:val="003A54E1"/>
    <w:rsid w:val="003A588C"/>
    <w:rsid w:val="003A5AEC"/>
    <w:rsid w:val="003A5F80"/>
    <w:rsid w:val="003A6137"/>
    <w:rsid w:val="003A637C"/>
    <w:rsid w:val="003A673C"/>
    <w:rsid w:val="003A6F9F"/>
    <w:rsid w:val="003A72C5"/>
    <w:rsid w:val="003A7356"/>
    <w:rsid w:val="003A75BA"/>
    <w:rsid w:val="003A75BD"/>
    <w:rsid w:val="003A7924"/>
    <w:rsid w:val="003A7ABF"/>
    <w:rsid w:val="003A7AC9"/>
    <w:rsid w:val="003A7ADF"/>
    <w:rsid w:val="003A7C94"/>
    <w:rsid w:val="003A7E65"/>
    <w:rsid w:val="003A7F39"/>
    <w:rsid w:val="003A7F97"/>
    <w:rsid w:val="003B02D7"/>
    <w:rsid w:val="003B08FA"/>
    <w:rsid w:val="003B0AB8"/>
    <w:rsid w:val="003B1124"/>
    <w:rsid w:val="003B119E"/>
    <w:rsid w:val="003B129D"/>
    <w:rsid w:val="003B12F7"/>
    <w:rsid w:val="003B13DA"/>
    <w:rsid w:val="003B1405"/>
    <w:rsid w:val="003B1427"/>
    <w:rsid w:val="003B1674"/>
    <w:rsid w:val="003B1B03"/>
    <w:rsid w:val="003B1E97"/>
    <w:rsid w:val="003B1F6F"/>
    <w:rsid w:val="003B2291"/>
    <w:rsid w:val="003B2293"/>
    <w:rsid w:val="003B2555"/>
    <w:rsid w:val="003B2572"/>
    <w:rsid w:val="003B2D51"/>
    <w:rsid w:val="003B30EF"/>
    <w:rsid w:val="003B3439"/>
    <w:rsid w:val="003B38DE"/>
    <w:rsid w:val="003B3971"/>
    <w:rsid w:val="003B3AB7"/>
    <w:rsid w:val="003B3BD3"/>
    <w:rsid w:val="003B3BEC"/>
    <w:rsid w:val="003B3C9D"/>
    <w:rsid w:val="003B465C"/>
    <w:rsid w:val="003B46E9"/>
    <w:rsid w:val="003B476B"/>
    <w:rsid w:val="003B4889"/>
    <w:rsid w:val="003B488D"/>
    <w:rsid w:val="003B4A2C"/>
    <w:rsid w:val="003B4C87"/>
    <w:rsid w:val="003B5094"/>
    <w:rsid w:val="003B539F"/>
    <w:rsid w:val="003B53EC"/>
    <w:rsid w:val="003B548B"/>
    <w:rsid w:val="003B55D1"/>
    <w:rsid w:val="003B57EE"/>
    <w:rsid w:val="003B5B61"/>
    <w:rsid w:val="003B5EDC"/>
    <w:rsid w:val="003B62D5"/>
    <w:rsid w:val="003B6306"/>
    <w:rsid w:val="003B63F1"/>
    <w:rsid w:val="003B6764"/>
    <w:rsid w:val="003B677F"/>
    <w:rsid w:val="003B678E"/>
    <w:rsid w:val="003B68B4"/>
    <w:rsid w:val="003B6C39"/>
    <w:rsid w:val="003B7461"/>
    <w:rsid w:val="003B74AC"/>
    <w:rsid w:val="003B7821"/>
    <w:rsid w:val="003B79B1"/>
    <w:rsid w:val="003B7A29"/>
    <w:rsid w:val="003B7A85"/>
    <w:rsid w:val="003B7E42"/>
    <w:rsid w:val="003B7EB5"/>
    <w:rsid w:val="003B7FAE"/>
    <w:rsid w:val="003C038F"/>
    <w:rsid w:val="003C043B"/>
    <w:rsid w:val="003C0722"/>
    <w:rsid w:val="003C07A0"/>
    <w:rsid w:val="003C0817"/>
    <w:rsid w:val="003C0986"/>
    <w:rsid w:val="003C0CFB"/>
    <w:rsid w:val="003C1020"/>
    <w:rsid w:val="003C1060"/>
    <w:rsid w:val="003C114D"/>
    <w:rsid w:val="003C15AC"/>
    <w:rsid w:val="003C15DD"/>
    <w:rsid w:val="003C1654"/>
    <w:rsid w:val="003C168F"/>
    <w:rsid w:val="003C17EC"/>
    <w:rsid w:val="003C1A57"/>
    <w:rsid w:val="003C1DCB"/>
    <w:rsid w:val="003C22D6"/>
    <w:rsid w:val="003C24C7"/>
    <w:rsid w:val="003C2792"/>
    <w:rsid w:val="003C2A02"/>
    <w:rsid w:val="003C2CFF"/>
    <w:rsid w:val="003C2D36"/>
    <w:rsid w:val="003C2DCA"/>
    <w:rsid w:val="003C2EA8"/>
    <w:rsid w:val="003C2F29"/>
    <w:rsid w:val="003C318C"/>
    <w:rsid w:val="003C31EE"/>
    <w:rsid w:val="003C32AD"/>
    <w:rsid w:val="003C3A1C"/>
    <w:rsid w:val="003C44D6"/>
    <w:rsid w:val="003C4A7B"/>
    <w:rsid w:val="003C4B33"/>
    <w:rsid w:val="003C4BAD"/>
    <w:rsid w:val="003C4CB3"/>
    <w:rsid w:val="003C4E92"/>
    <w:rsid w:val="003C4EE6"/>
    <w:rsid w:val="003C4FCD"/>
    <w:rsid w:val="003C52E1"/>
    <w:rsid w:val="003C5542"/>
    <w:rsid w:val="003C5785"/>
    <w:rsid w:val="003C5C05"/>
    <w:rsid w:val="003C6206"/>
    <w:rsid w:val="003C6349"/>
    <w:rsid w:val="003C6525"/>
    <w:rsid w:val="003C6802"/>
    <w:rsid w:val="003C6AB5"/>
    <w:rsid w:val="003C6ABC"/>
    <w:rsid w:val="003C6F3F"/>
    <w:rsid w:val="003C709F"/>
    <w:rsid w:val="003C7131"/>
    <w:rsid w:val="003C720F"/>
    <w:rsid w:val="003C7337"/>
    <w:rsid w:val="003C74AF"/>
    <w:rsid w:val="003C7554"/>
    <w:rsid w:val="003C7735"/>
    <w:rsid w:val="003C7823"/>
    <w:rsid w:val="003C7995"/>
    <w:rsid w:val="003C7C15"/>
    <w:rsid w:val="003C7D19"/>
    <w:rsid w:val="003C7D2F"/>
    <w:rsid w:val="003D008B"/>
    <w:rsid w:val="003D039B"/>
    <w:rsid w:val="003D0611"/>
    <w:rsid w:val="003D0768"/>
    <w:rsid w:val="003D087B"/>
    <w:rsid w:val="003D0A2D"/>
    <w:rsid w:val="003D0A63"/>
    <w:rsid w:val="003D0C5A"/>
    <w:rsid w:val="003D150C"/>
    <w:rsid w:val="003D160C"/>
    <w:rsid w:val="003D1694"/>
    <w:rsid w:val="003D179C"/>
    <w:rsid w:val="003D1828"/>
    <w:rsid w:val="003D1880"/>
    <w:rsid w:val="003D1C0B"/>
    <w:rsid w:val="003D1DE4"/>
    <w:rsid w:val="003D1E9A"/>
    <w:rsid w:val="003D1EBA"/>
    <w:rsid w:val="003D2201"/>
    <w:rsid w:val="003D224E"/>
    <w:rsid w:val="003D227C"/>
    <w:rsid w:val="003D2337"/>
    <w:rsid w:val="003D236F"/>
    <w:rsid w:val="003D2422"/>
    <w:rsid w:val="003D275A"/>
    <w:rsid w:val="003D2775"/>
    <w:rsid w:val="003D2B5A"/>
    <w:rsid w:val="003D2D2B"/>
    <w:rsid w:val="003D2FAC"/>
    <w:rsid w:val="003D3469"/>
    <w:rsid w:val="003D3998"/>
    <w:rsid w:val="003D39A1"/>
    <w:rsid w:val="003D3CCE"/>
    <w:rsid w:val="003D3F4A"/>
    <w:rsid w:val="003D3FBF"/>
    <w:rsid w:val="003D42AA"/>
    <w:rsid w:val="003D4684"/>
    <w:rsid w:val="003D49DB"/>
    <w:rsid w:val="003D49FC"/>
    <w:rsid w:val="003D4A30"/>
    <w:rsid w:val="003D5275"/>
    <w:rsid w:val="003D529E"/>
    <w:rsid w:val="003D5702"/>
    <w:rsid w:val="003D5761"/>
    <w:rsid w:val="003D577D"/>
    <w:rsid w:val="003D5832"/>
    <w:rsid w:val="003D58D8"/>
    <w:rsid w:val="003D591A"/>
    <w:rsid w:val="003D5C1E"/>
    <w:rsid w:val="003D5FA8"/>
    <w:rsid w:val="003D634A"/>
    <w:rsid w:val="003D649A"/>
    <w:rsid w:val="003D670E"/>
    <w:rsid w:val="003D69F7"/>
    <w:rsid w:val="003D6A30"/>
    <w:rsid w:val="003D6B34"/>
    <w:rsid w:val="003D6B66"/>
    <w:rsid w:val="003D6CE6"/>
    <w:rsid w:val="003D6EB8"/>
    <w:rsid w:val="003D6FDD"/>
    <w:rsid w:val="003D7452"/>
    <w:rsid w:val="003D7793"/>
    <w:rsid w:val="003D7942"/>
    <w:rsid w:val="003D79BB"/>
    <w:rsid w:val="003D79DF"/>
    <w:rsid w:val="003D79EF"/>
    <w:rsid w:val="003D7A17"/>
    <w:rsid w:val="003D7AA0"/>
    <w:rsid w:val="003D7BD4"/>
    <w:rsid w:val="003D7C45"/>
    <w:rsid w:val="003D7C98"/>
    <w:rsid w:val="003D7D9D"/>
    <w:rsid w:val="003D7E5C"/>
    <w:rsid w:val="003D7F5B"/>
    <w:rsid w:val="003E01E8"/>
    <w:rsid w:val="003E03B7"/>
    <w:rsid w:val="003E040C"/>
    <w:rsid w:val="003E0543"/>
    <w:rsid w:val="003E05FD"/>
    <w:rsid w:val="003E066C"/>
    <w:rsid w:val="003E06F2"/>
    <w:rsid w:val="003E0CD9"/>
    <w:rsid w:val="003E0CEF"/>
    <w:rsid w:val="003E0DA4"/>
    <w:rsid w:val="003E0F16"/>
    <w:rsid w:val="003E10BB"/>
    <w:rsid w:val="003E1248"/>
    <w:rsid w:val="003E1278"/>
    <w:rsid w:val="003E1557"/>
    <w:rsid w:val="003E17BC"/>
    <w:rsid w:val="003E189B"/>
    <w:rsid w:val="003E1CE9"/>
    <w:rsid w:val="003E1EC0"/>
    <w:rsid w:val="003E1FA7"/>
    <w:rsid w:val="003E2022"/>
    <w:rsid w:val="003E20F5"/>
    <w:rsid w:val="003E2306"/>
    <w:rsid w:val="003E2359"/>
    <w:rsid w:val="003E23B2"/>
    <w:rsid w:val="003E2C53"/>
    <w:rsid w:val="003E2E5C"/>
    <w:rsid w:val="003E2E8F"/>
    <w:rsid w:val="003E2FAC"/>
    <w:rsid w:val="003E3458"/>
    <w:rsid w:val="003E36DA"/>
    <w:rsid w:val="003E36FA"/>
    <w:rsid w:val="003E3A46"/>
    <w:rsid w:val="003E3C1F"/>
    <w:rsid w:val="003E43BE"/>
    <w:rsid w:val="003E4698"/>
    <w:rsid w:val="003E4C72"/>
    <w:rsid w:val="003E4D79"/>
    <w:rsid w:val="003E4FCF"/>
    <w:rsid w:val="003E50F1"/>
    <w:rsid w:val="003E52E3"/>
    <w:rsid w:val="003E5603"/>
    <w:rsid w:val="003E5738"/>
    <w:rsid w:val="003E58E7"/>
    <w:rsid w:val="003E5B54"/>
    <w:rsid w:val="003E5DFE"/>
    <w:rsid w:val="003E6668"/>
    <w:rsid w:val="003E6D82"/>
    <w:rsid w:val="003E6F77"/>
    <w:rsid w:val="003E714F"/>
    <w:rsid w:val="003E7196"/>
    <w:rsid w:val="003E7218"/>
    <w:rsid w:val="003E731D"/>
    <w:rsid w:val="003E731F"/>
    <w:rsid w:val="003E749E"/>
    <w:rsid w:val="003E754B"/>
    <w:rsid w:val="003E7570"/>
    <w:rsid w:val="003E75F8"/>
    <w:rsid w:val="003E7E3F"/>
    <w:rsid w:val="003F0181"/>
    <w:rsid w:val="003F0659"/>
    <w:rsid w:val="003F0957"/>
    <w:rsid w:val="003F0B00"/>
    <w:rsid w:val="003F1845"/>
    <w:rsid w:val="003F18C6"/>
    <w:rsid w:val="003F18ED"/>
    <w:rsid w:val="003F1A47"/>
    <w:rsid w:val="003F1CBD"/>
    <w:rsid w:val="003F20E4"/>
    <w:rsid w:val="003F2822"/>
    <w:rsid w:val="003F28B8"/>
    <w:rsid w:val="003F2F6F"/>
    <w:rsid w:val="003F3200"/>
    <w:rsid w:val="003F3237"/>
    <w:rsid w:val="003F3363"/>
    <w:rsid w:val="003F33CB"/>
    <w:rsid w:val="003F3955"/>
    <w:rsid w:val="003F3C38"/>
    <w:rsid w:val="003F3F21"/>
    <w:rsid w:val="003F4156"/>
    <w:rsid w:val="003F4316"/>
    <w:rsid w:val="003F43DA"/>
    <w:rsid w:val="003F45D4"/>
    <w:rsid w:val="003F461F"/>
    <w:rsid w:val="003F484A"/>
    <w:rsid w:val="003F4A05"/>
    <w:rsid w:val="003F4CAC"/>
    <w:rsid w:val="003F524B"/>
    <w:rsid w:val="003F5338"/>
    <w:rsid w:val="003F557C"/>
    <w:rsid w:val="003F57C6"/>
    <w:rsid w:val="003F5ADF"/>
    <w:rsid w:val="003F5E26"/>
    <w:rsid w:val="003F5F4C"/>
    <w:rsid w:val="003F60F0"/>
    <w:rsid w:val="003F65F3"/>
    <w:rsid w:val="003F6621"/>
    <w:rsid w:val="003F67F9"/>
    <w:rsid w:val="003F6A19"/>
    <w:rsid w:val="003F6BD7"/>
    <w:rsid w:val="003F7078"/>
    <w:rsid w:val="003F7369"/>
    <w:rsid w:val="003F7571"/>
    <w:rsid w:val="003F75E1"/>
    <w:rsid w:val="003F7A85"/>
    <w:rsid w:val="003F7EB9"/>
    <w:rsid w:val="003F7F2C"/>
    <w:rsid w:val="003F7FA6"/>
    <w:rsid w:val="00400350"/>
    <w:rsid w:val="00400599"/>
    <w:rsid w:val="00400A2B"/>
    <w:rsid w:val="00400B29"/>
    <w:rsid w:val="00400F79"/>
    <w:rsid w:val="00400FDB"/>
    <w:rsid w:val="0040115E"/>
    <w:rsid w:val="0040150E"/>
    <w:rsid w:val="0040176F"/>
    <w:rsid w:val="00401847"/>
    <w:rsid w:val="00401B73"/>
    <w:rsid w:val="00401CB0"/>
    <w:rsid w:val="00401E11"/>
    <w:rsid w:val="00401F2F"/>
    <w:rsid w:val="00401FB6"/>
    <w:rsid w:val="004023A2"/>
    <w:rsid w:val="00402812"/>
    <w:rsid w:val="00402963"/>
    <w:rsid w:val="00402E82"/>
    <w:rsid w:val="004030AF"/>
    <w:rsid w:val="004031BA"/>
    <w:rsid w:val="0040345A"/>
    <w:rsid w:val="0040367B"/>
    <w:rsid w:val="004037ED"/>
    <w:rsid w:val="00403ABF"/>
    <w:rsid w:val="00403B10"/>
    <w:rsid w:val="00403D74"/>
    <w:rsid w:val="00403D87"/>
    <w:rsid w:val="00403E01"/>
    <w:rsid w:val="00404057"/>
    <w:rsid w:val="00404254"/>
    <w:rsid w:val="004045A2"/>
    <w:rsid w:val="004045D9"/>
    <w:rsid w:val="00404686"/>
    <w:rsid w:val="0040473F"/>
    <w:rsid w:val="0040489B"/>
    <w:rsid w:val="00404A13"/>
    <w:rsid w:val="0040504B"/>
    <w:rsid w:val="00405190"/>
    <w:rsid w:val="0040529E"/>
    <w:rsid w:val="00405425"/>
    <w:rsid w:val="004055B6"/>
    <w:rsid w:val="0040572C"/>
    <w:rsid w:val="00405781"/>
    <w:rsid w:val="004059F4"/>
    <w:rsid w:val="00405AD6"/>
    <w:rsid w:val="00405F8D"/>
    <w:rsid w:val="00406285"/>
    <w:rsid w:val="004064DA"/>
    <w:rsid w:val="0040653E"/>
    <w:rsid w:val="00406964"/>
    <w:rsid w:val="00406981"/>
    <w:rsid w:val="004069A4"/>
    <w:rsid w:val="00406A16"/>
    <w:rsid w:val="00406B90"/>
    <w:rsid w:val="00406D52"/>
    <w:rsid w:val="00406DFB"/>
    <w:rsid w:val="00406EDE"/>
    <w:rsid w:val="00407221"/>
    <w:rsid w:val="0040760A"/>
    <w:rsid w:val="0040775E"/>
    <w:rsid w:val="004077C1"/>
    <w:rsid w:val="00407DBE"/>
    <w:rsid w:val="00407FE5"/>
    <w:rsid w:val="004101B0"/>
    <w:rsid w:val="0041023A"/>
    <w:rsid w:val="004102C2"/>
    <w:rsid w:val="00410326"/>
    <w:rsid w:val="0041034A"/>
    <w:rsid w:val="0041050D"/>
    <w:rsid w:val="00410639"/>
    <w:rsid w:val="004106BD"/>
    <w:rsid w:val="00410708"/>
    <w:rsid w:val="0041088E"/>
    <w:rsid w:val="004109BE"/>
    <w:rsid w:val="00410C7F"/>
    <w:rsid w:val="00410EC7"/>
    <w:rsid w:val="00410FBC"/>
    <w:rsid w:val="00410FFD"/>
    <w:rsid w:val="004110AC"/>
    <w:rsid w:val="004112DE"/>
    <w:rsid w:val="0041144D"/>
    <w:rsid w:val="004116FA"/>
    <w:rsid w:val="00411A8E"/>
    <w:rsid w:val="00411AB2"/>
    <w:rsid w:val="00411B39"/>
    <w:rsid w:val="00411B77"/>
    <w:rsid w:val="00411C61"/>
    <w:rsid w:val="00411F8F"/>
    <w:rsid w:val="004126BD"/>
    <w:rsid w:val="00412745"/>
    <w:rsid w:val="004127A7"/>
    <w:rsid w:val="00412AB5"/>
    <w:rsid w:val="00412C14"/>
    <w:rsid w:val="0041317C"/>
    <w:rsid w:val="004133DE"/>
    <w:rsid w:val="00413785"/>
    <w:rsid w:val="004138AC"/>
    <w:rsid w:val="00413A1E"/>
    <w:rsid w:val="004140B2"/>
    <w:rsid w:val="00414118"/>
    <w:rsid w:val="00414476"/>
    <w:rsid w:val="004144D8"/>
    <w:rsid w:val="00414664"/>
    <w:rsid w:val="00414888"/>
    <w:rsid w:val="00414AE1"/>
    <w:rsid w:val="00414B54"/>
    <w:rsid w:val="00414C2E"/>
    <w:rsid w:val="00414CE4"/>
    <w:rsid w:val="00414D55"/>
    <w:rsid w:val="00414EFF"/>
    <w:rsid w:val="00414F63"/>
    <w:rsid w:val="00414F82"/>
    <w:rsid w:val="00414F87"/>
    <w:rsid w:val="00414FD0"/>
    <w:rsid w:val="004151CF"/>
    <w:rsid w:val="0041523D"/>
    <w:rsid w:val="0041537A"/>
    <w:rsid w:val="00415512"/>
    <w:rsid w:val="004156CC"/>
    <w:rsid w:val="004158E0"/>
    <w:rsid w:val="00415C75"/>
    <w:rsid w:val="00415F4B"/>
    <w:rsid w:val="00415F6C"/>
    <w:rsid w:val="0041600A"/>
    <w:rsid w:val="00416135"/>
    <w:rsid w:val="00416339"/>
    <w:rsid w:val="00416364"/>
    <w:rsid w:val="00416435"/>
    <w:rsid w:val="00416495"/>
    <w:rsid w:val="0041667F"/>
    <w:rsid w:val="00416995"/>
    <w:rsid w:val="004169F4"/>
    <w:rsid w:val="00416AA6"/>
    <w:rsid w:val="00416F36"/>
    <w:rsid w:val="00416FFB"/>
    <w:rsid w:val="00417275"/>
    <w:rsid w:val="00417554"/>
    <w:rsid w:val="004177FC"/>
    <w:rsid w:val="00417B4E"/>
    <w:rsid w:val="00417D27"/>
    <w:rsid w:val="004201C6"/>
    <w:rsid w:val="0042031A"/>
    <w:rsid w:val="0042047F"/>
    <w:rsid w:val="00420531"/>
    <w:rsid w:val="00420806"/>
    <w:rsid w:val="00420918"/>
    <w:rsid w:val="00420AA6"/>
    <w:rsid w:val="00420B9F"/>
    <w:rsid w:val="00420D70"/>
    <w:rsid w:val="00420FF2"/>
    <w:rsid w:val="004214DC"/>
    <w:rsid w:val="004215FC"/>
    <w:rsid w:val="004216C1"/>
    <w:rsid w:val="004218EE"/>
    <w:rsid w:val="0042192C"/>
    <w:rsid w:val="00421933"/>
    <w:rsid w:val="00421C80"/>
    <w:rsid w:val="00421D60"/>
    <w:rsid w:val="00421DBC"/>
    <w:rsid w:val="00421FFB"/>
    <w:rsid w:val="004220E4"/>
    <w:rsid w:val="00422260"/>
    <w:rsid w:val="00422557"/>
    <w:rsid w:val="00422A1D"/>
    <w:rsid w:val="00422D19"/>
    <w:rsid w:val="00422D66"/>
    <w:rsid w:val="00422D77"/>
    <w:rsid w:val="004230A2"/>
    <w:rsid w:val="0042323F"/>
    <w:rsid w:val="0042354F"/>
    <w:rsid w:val="0042376C"/>
    <w:rsid w:val="004238AC"/>
    <w:rsid w:val="00423930"/>
    <w:rsid w:val="00423998"/>
    <w:rsid w:val="00423AAF"/>
    <w:rsid w:val="00423CD0"/>
    <w:rsid w:val="00423D39"/>
    <w:rsid w:val="004240D8"/>
    <w:rsid w:val="0042413F"/>
    <w:rsid w:val="00424197"/>
    <w:rsid w:val="004241FF"/>
    <w:rsid w:val="0042469F"/>
    <w:rsid w:val="004246F1"/>
    <w:rsid w:val="00424801"/>
    <w:rsid w:val="00424B53"/>
    <w:rsid w:val="00424BFF"/>
    <w:rsid w:val="00424E36"/>
    <w:rsid w:val="004251AA"/>
    <w:rsid w:val="00425229"/>
    <w:rsid w:val="00425385"/>
    <w:rsid w:val="0042564D"/>
    <w:rsid w:val="00425B6A"/>
    <w:rsid w:val="00425BE9"/>
    <w:rsid w:val="00425E7F"/>
    <w:rsid w:val="00426590"/>
    <w:rsid w:val="004266B1"/>
    <w:rsid w:val="0042674A"/>
    <w:rsid w:val="0042696B"/>
    <w:rsid w:val="004269DE"/>
    <w:rsid w:val="00426B0B"/>
    <w:rsid w:val="00426F5C"/>
    <w:rsid w:val="004270C5"/>
    <w:rsid w:val="00427ACD"/>
    <w:rsid w:val="00427BD3"/>
    <w:rsid w:val="00427D8D"/>
    <w:rsid w:val="004301D7"/>
    <w:rsid w:val="004306A9"/>
    <w:rsid w:val="004308BD"/>
    <w:rsid w:val="00430E0B"/>
    <w:rsid w:val="00430E4E"/>
    <w:rsid w:val="004311A7"/>
    <w:rsid w:val="00431222"/>
    <w:rsid w:val="00431361"/>
    <w:rsid w:val="004314CE"/>
    <w:rsid w:val="00431833"/>
    <w:rsid w:val="004319AA"/>
    <w:rsid w:val="004319F8"/>
    <w:rsid w:val="00431A4B"/>
    <w:rsid w:val="00431DE6"/>
    <w:rsid w:val="00431E55"/>
    <w:rsid w:val="00431EDA"/>
    <w:rsid w:val="00432030"/>
    <w:rsid w:val="004321F6"/>
    <w:rsid w:val="00432419"/>
    <w:rsid w:val="004325E0"/>
    <w:rsid w:val="00432A97"/>
    <w:rsid w:val="00432B3C"/>
    <w:rsid w:val="00432B65"/>
    <w:rsid w:val="00432EF7"/>
    <w:rsid w:val="00433044"/>
    <w:rsid w:val="004331CD"/>
    <w:rsid w:val="00433336"/>
    <w:rsid w:val="004333B0"/>
    <w:rsid w:val="0043350B"/>
    <w:rsid w:val="00433706"/>
    <w:rsid w:val="00433719"/>
    <w:rsid w:val="00433764"/>
    <w:rsid w:val="004339A6"/>
    <w:rsid w:val="00433BC3"/>
    <w:rsid w:val="00433CDF"/>
    <w:rsid w:val="00434088"/>
    <w:rsid w:val="00434139"/>
    <w:rsid w:val="0043428D"/>
    <w:rsid w:val="004344A6"/>
    <w:rsid w:val="00434763"/>
    <w:rsid w:val="004349D4"/>
    <w:rsid w:val="00434ACB"/>
    <w:rsid w:val="00435532"/>
    <w:rsid w:val="00435961"/>
    <w:rsid w:val="00435BE5"/>
    <w:rsid w:val="00435C49"/>
    <w:rsid w:val="00435E13"/>
    <w:rsid w:val="0043658C"/>
    <w:rsid w:val="00436637"/>
    <w:rsid w:val="00436D31"/>
    <w:rsid w:val="00436E62"/>
    <w:rsid w:val="00436F25"/>
    <w:rsid w:val="0043716B"/>
    <w:rsid w:val="0043719D"/>
    <w:rsid w:val="004373FA"/>
    <w:rsid w:val="00437420"/>
    <w:rsid w:val="004375B9"/>
    <w:rsid w:val="00437747"/>
    <w:rsid w:val="004377A0"/>
    <w:rsid w:val="004377D5"/>
    <w:rsid w:val="00437F5E"/>
    <w:rsid w:val="0044005D"/>
    <w:rsid w:val="00440063"/>
    <w:rsid w:val="004403B7"/>
    <w:rsid w:val="00440562"/>
    <w:rsid w:val="00441159"/>
    <w:rsid w:val="004414E2"/>
    <w:rsid w:val="004417E7"/>
    <w:rsid w:val="00441921"/>
    <w:rsid w:val="00441EC1"/>
    <w:rsid w:val="00442775"/>
    <w:rsid w:val="00442801"/>
    <w:rsid w:val="004428D0"/>
    <w:rsid w:val="00443411"/>
    <w:rsid w:val="004436D8"/>
    <w:rsid w:val="00443BC4"/>
    <w:rsid w:val="00443C4A"/>
    <w:rsid w:val="00444008"/>
    <w:rsid w:val="00444025"/>
    <w:rsid w:val="0044413A"/>
    <w:rsid w:val="00444185"/>
    <w:rsid w:val="004443A7"/>
    <w:rsid w:val="004443CA"/>
    <w:rsid w:val="0044442C"/>
    <w:rsid w:val="00444A42"/>
    <w:rsid w:val="00444ED6"/>
    <w:rsid w:val="00445005"/>
    <w:rsid w:val="0044518A"/>
    <w:rsid w:val="004451E3"/>
    <w:rsid w:val="00445507"/>
    <w:rsid w:val="00445584"/>
    <w:rsid w:val="00445622"/>
    <w:rsid w:val="00445852"/>
    <w:rsid w:val="00445941"/>
    <w:rsid w:val="004459F4"/>
    <w:rsid w:val="00445B68"/>
    <w:rsid w:val="00445CBC"/>
    <w:rsid w:val="00445CFE"/>
    <w:rsid w:val="00445DED"/>
    <w:rsid w:val="00446011"/>
    <w:rsid w:val="0044617E"/>
    <w:rsid w:val="00446303"/>
    <w:rsid w:val="0044631B"/>
    <w:rsid w:val="0044632D"/>
    <w:rsid w:val="004464EB"/>
    <w:rsid w:val="004464FF"/>
    <w:rsid w:val="00446664"/>
    <w:rsid w:val="004466B6"/>
    <w:rsid w:val="00446702"/>
    <w:rsid w:val="00446DE3"/>
    <w:rsid w:val="00446E8B"/>
    <w:rsid w:val="004471A4"/>
    <w:rsid w:val="004472F6"/>
    <w:rsid w:val="00447D26"/>
    <w:rsid w:val="00447DFC"/>
    <w:rsid w:val="004500ED"/>
    <w:rsid w:val="0045024E"/>
    <w:rsid w:val="004502B2"/>
    <w:rsid w:val="0045040D"/>
    <w:rsid w:val="004504F9"/>
    <w:rsid w:val="004507DC"/>
    <w:rsid w:val="00450893"/>
    <w:rsid w:val="004509ED"/>
    <w:rsid w:val="00450BAD"/>
    <w:rsid w:val="00450C74"/>
    <w:rsid w:val="00450E1B"/>
    <w:rsid w:val="004513D7"/>
    <w:rsid w:val="00451415"/>
    <w:rsid w:val="0045146B"/>
    <w:rsid w:val="0045173A"/>
    <w:rsid w:val="00451960"/>
    <w:rsid w:val="004520BB"/>
    <w:rsid w:val="00452BA3"/>
    <w:rsid w:val="00452C6A"/>
    <w:rsid w:val="00452CEA"/>
    <w:rsid w:val="00452D8F"/>
    <w:rsid w:val="00452EBB"/>
    <w:rsid w:val="00453047"/>
    <w:rsid w:val="00453268"/>
    <w:rsid w:val="00453435"/>
    <w:rsid w:val="0045345E"/>
    <w:rsid w:val="00453732"/>
    <w:rsid w:val="0045387B"/>
    <w:rsid w:val="004538C0"/>
    <w:rsid w:val="004539E5"/>
    <w:rsid w:val="00453F06"/>
    <w:rsid w:val="00454307"/>
    <w:rsid w:val="00454370"/>
    <w:rsid w:val="004543D6"/>
    <w:rsid w:val="00454426"/>
    <w:rsid w:val="00454464"/>
    <w:rsid w:val="00454552"/>
    <w:rsid w:val="00454785"/>
    <w:rsid w:val="0045491A"/>
    <w:rsid w:val="00454F29"/>
    <w:rsid w:val="0045516A"/>
    <w:rsid w:val="004553E1"/>
    <w:rsid w:val="004553E7"/>
    <w:rsid w:val="00455828"/>
    <w:rsid w:val="0045594A"/>
    <w:rsid w:val="004559A1"/>
    <w:rsid w:val="00455AE4"/>
    <w:rsid w:val="00455D45"/>
    <w:rsid w:val="00456960"/>
    <w:rsid w:val="00457099"/>
    <w:rsid w:val="004573B8"/>
    <w:rsid w:val="00457C6A"/>
    <w:rsid w:val="00457DBD"/>
    <w:rsid w:val="00457DDC"/>
    <w:rsid w:val="00457F05"/>
    <w:rsid w:val="00460062"/>
    <w:rsid w:val="004602E6"/>
    <w:rsid w:val="0046070B"/>
    <w:rsid w:val="00460742"/>
    <w:rsid w:val="0046085D"/>
    <w:rsid w:val="00460920"/>
    <w:rsid w:val="004609EB"/>
    <w:rsid w:val="00460A76"/>
    <w:rsid w:val="00460ABF"/>
    <w:rsid w:val="00460D40"/>
    <w:rsid w:val="00460F53"/>
    <w:rsid w:val="00460F9C"/>
    <w:rsid w:val="0046131D"/>
    <w:rsid w:val="0046199F"/>
    <w:rsid w:val="00461F7B"/>
    <w:rsid w:val="004620E0"/>
    <w:rsid w:val="0046236A"/>
    <w:rsid w:val="004623FD"/>
    <w:rsid w:val="004625E8"/>
    <w:rsid w:val="004627DF"/>
    <w:rsid w:val="00462803"/>
    <w:rsid w:val="00462C35"/>
    <w:rsid w:val="00462F4D"/>
    <w:rsid w:val="00463004"/>
    <w:rsid w:val="0046306F"/>
    <w:rsid w:val="0046329E"/>
    <w:rsid w:val="00463603"/>
    <w:rsid w:val="004636E3"/>
    <w:rsid w:val="00463801"/>
    <w:rsid w:val="00463A7D"/>
    <w:rsid w:val="00463C74"/>
    <w:rsid w:val="00463F44"/>
    <w:rsid w:val="004640DA"/>
    <w:rsid w:val="00464200"/>
    <w:rsid w:val="004643AF"/>
    <w:rsid w:val="00464595"/>
    <w:rsid w:val="004645E3"/>
    <w:rsid w:val="0046469D"/>
    <w:rsid w:val="004648D0"/>
    <w:rsid w:val="004649BA"/>
    <w:rsid w:val="00464A75"/>
    <w:rsid w:val="00464EF5"/>
    <w:rsid w:val="00464FBB"/>
    <w:rsid w:val="004651B6"/>
    <w:rsid w:val="004655E6"/>
    <w:rsid w:val="00465642"/>
    <w:rsid w:val="0046570D"/>
    <w:rsid w:val="004658B5"/>
    <w:rsid w:val="004658B6"/>
    <w:rsid w:val="00465D45"/>
    <w:rsid w:val="00465D8C"/>
    <w:rsid w:val="004664BE"/>
    <w:rsid w:val="004667DA"/>
    <w:rsid w:val="00466843"/>
    <w:rsid w:val="00466AD6"/>
    <w:rsid w:val="00466ADA"/>
    <w:rsid w:val="00466C08"/>
    <w:rsid w:val="00466E8E"/>
    <w:rsid w:val="00466F26"/>
    <w:rsid w:val="004671B0"/>
    <w:rsid w:val="00467325"/>
    <w:rsid w:val="0046732C"/>
    <w:rsid w:val="00467382"/>
    <w:rsid w:val="004674BE"/>
    <w:rsid w:val="0046766E"/>
    <w:rsid w:val="004677DA"/>
    <w:rsid w:val="00467854"/>
    <w:rsid w:val="00467880"/>
    <w:rsid w:val="00467A94"/>
    <w:rsid w:val="00467C0D"/>
    <w:rsid w:val="00467CC1"/>
    <w:rsid w:val="00467E0E"/>
    <w:rsid w:val="004702F5"/>
    <w:rsid w:val="0047046C"/>
    <w:rsid w:val="004705B9"/>
    <w:rsid w:val="0047064A"/>
    <w:rsid w:val="00470918"/>
    <w:rsid w:val="00470C08"/>
    <w:rsid w:val="00470D6A"/>
    <w:rsid w:val="00470E48"/>
    <w:rsid w:val="00471249"/>
    <w:rsid w:val="004712C6"/>
    <w:rsid w:val="00471BD1"/>
    <w:rsid w:val="00471CD1"/>
    <w:rsid w:val="00471EA5"/>
    <w:rsid w:val="0047240F"/>
    <w:rsid w:val="004724F1"/>
    <w:rsid w:val="0047253A"/>
    <w:rsid w:val="004726EA"/>
    <w:rsid w:val="00472996"/>
    <w:rsid w:val="004729F3"/>
    <w:rsid w:val="00472A79"/>
    <w:rsid w:val="00472EE4"/>
    <w:rsid w:val="00472F5D"/>
    <w:rsid w:val="00472F9A"/>
    <w:rsid w:val="00473468"/>
    <w:rsid w:val="004738B1"/>
    <w:rsid w:val="00473C05"/>
    <w:rsid w:val="00473D8B"/>
    <w:rsid w:val="00473DE6"/>
    <w:rsid w:val="00473F19"/>
    <w:rsid w:val="00474258"/>
    <w:rsid w:val="0047443D"/>
    <w:rsid w:val="0047464A"/>
    <w:rsid w:val="00474ABA"/>
    <w:rsid w:val="00474B44"/>
    <w:rsid w:val="00474D04"/>
    <w:rsid w:val="00474D88"/>
    <w:rsid w:val="00474E83"/>
    <w:rsid w:val="00475068"/>
    <w:rsid w:val="00475087"/>
    <w:rsid w:val="00475099"/>
    <w:rsid w:val="00475383"/>
    <w:rsid w:val="0047563B"/>
    <w:rsid w:val="004756E0"/>
    <w:rsid w:val="004756F9"/>
    <w:rsid w:val="00475936"/>
    <w:rsid w:val="004759E2"/>
    <w:rsid w:val="00475BB2"/>
    <w:rsid w:val="00475C94"/>
    <w:rsid w:val="00475E22"/>
    <w:rsid w:val="00476009"/>
    <w:rsid w:val="00476321"/>
    <w:rsid w:val="004764F3"/>
    <w:rsid w:val="0047656E"/>
    <w:rsid w:val="0047663E"/>
    <w:rsid w:val="00476CDC"/>
    <w:rsid w:val="00476D6E"/>
    <w:rsid w:val="00476FAE"/>
    <w:rsid w:val="004771BE"/>
    <w:rsid w:val="0047744B"/>
    <w:rsid w:val="00477583"/>
    <w:rsid w:val="004776E2"/>
    <w:rsid w:val="004778DF"/>
    <w:rsid w:val="00477A61"/>
    <w:rsid w:val="00477AE8"/>
    <w:rsid w:val="00477DBE"/>
    <w:rsid w:val="00477F10"/>
    <w:rsid w:val="00480084"/>
    <w:rsid w:val="004805BA"/>
    <w:rsid w:val="004806A9"/>
    <w:rsid w:val="004807C7"/>
    <w:rsid w:val="0048085C"/>
    <w:rsid w:val="0048088E"/>
    <w:rsid w:val="00480D93"/>
    <w:rsid w:val="00480DD9"/>
    <w:rsid w:val="00480F2B"/>
    <w:rsid w:val="00481092"/>
    <w:rsid w:val="004811CE"/>
    <w:rsid w:val="00481611"/>
    <w:rsid w:val="00481953"/>
    <w:rsid w:val="00481956"/>
    <w:rsid w:val="00481F4F"/>
    <w:rsid w:val="004823BB"/>
    <w:rsid w:val="00482504"/>
    <w:rsid w:val="00482568"/>
    <w:rsid w:val="004825EA"/>
    <w:rsid w:val="00482720"/>
    <w:rsid w:val="00482F24"/>
    <w:rsid w:val="004835E7"/>
    <w:rsid w:val="00483657"/>
    <w:rsid w:val="00483A51"/>
    <w:rsid w:val="00483A82"/>
    <w:rsid w:val="00483AB4"/>
    <w:rsid w:val="00483B0B"/>
    <w:rsid w:val="00483EE3"/>
    <w:rsid w:val="0048476F"/>
    <w:rsid w:val="00484C3B"/>
    <w:rsid w:val="00484E48"/>
    <w:rsid w:val="004851D2"/>
    <w:rsid w:val="0048579F"/>
    <w:rsid w:val="00485988"/>
    <w:rsid w:val="004859E1"/>
    <w:rsid w:val="00485D67"/>
    <w:rsid w:val="00485F86"/>
    <w:rsid w:val="00485F9B"/>
    <w:rsid w:val="0048604C"/>
    <w:rsid w:val="004860A3"/>
    <w:rsid w:val="004860C6"/>
    <w:rsid w:val="00486151"/>
    <w:rsid w:val="00486198"/>
    <w:rsid w:val="004867E2"/>
    <w:rsid w:val="00486A8F"/>
    <w:rsid w:val="00487395"/>
    <w:rsid w:val="00487534"/>
    <w:rsid w:val="00487753"/>
    <w:rsid w:val="00487AB7"/>
    <w:rsid w:val="00487FBF"/>
    <w:rsid w:val="0049004B"/>
    <w:rsid w:val="0049007A"/>
    <w:rsid w:val="00490210"/>
    <w:rsid w:val="0049029A"/>
    <w:rsid w:val="0049045B"/>
    <w:rsid w:val="004904CC"/>
    <w:rsid w:val="004908F5"/>
    <w:rsid w:val="004908FE"/>
    <w:rsid w:val="00490B17"/>
    <w:rsid w:val="00490C23"/>
    <w:rsid w:val="00490DD9"/>
    <w:rsid w:val="0049119F"/>
    <w:rsid w:val="004912E1"/>
    <w:rsid w:val="004916A2"/>
    <w:rsid w:val="004917CC"/>
    <w:rsid w:val="00491AF8"/>
    <w:rsid w:val="00491B3A"/>
    <w:rsid w:val="00491B3C"/>
    <w:rsid w:val="00491B67"/>
    <w:rsid w:val="004920D3"/>
    <w:rsid w:val="004922F3"/>
    <w:rsid w:val="0049234A"/>
    <w:rsid w:val="00492532"/>
    <w:rsid w:val="00492562"/>
    <w:rsid w:val="00492677"/>
    <w:rsid w:val="00492806"/>
    <w:rsid w:val="00492CFD"/>
    <w:rsid w:val="0049319F"/>
    <w:rsid w:val="004933F6"/>
    <w:rsid w:val="0049358B"/>
    <w:rsid w:val="0049385F"/>
    <w:rsid w:val="004938B7"/>
    <w:rsid w:val="00493E9A"/>
    <w:rsid w:val="00493F90"/>
    <w:rsid w:val="00494035"/>
    <w:rsid w:val="00494207"/>
    <w:rsid w:val="00494386"/>
    <w:rsid w:val="004944EA"/>
    <w:rsid w:val="0049488F"/>
    <w:rsid w:val="004948DC"/>
    <w:rsid w:val="00494C89"/>
    <w:rsid w:val="00494D78"/>
    <w:rsid w:val="00494DD5"/>
    <w:rsid w:val="0049500F"/>
    <w:rsid w:val="0049502A"/>
    <w:rsid w:val="004951D1"/>
    <w:rsid w:val="0049526A"/>
    <w:rsid w:val="004952EA"/>
    <w:rsid w:val="0049593B"/>
    <w:rsid w:val="00496140"/>
    <w:rsid w:val="00496178"/>
    <w:rsid w:val="0049625B"/>
    <w:rsid w:val="004962D2"/>
    <w:rsid w:val="004964D1"/>
    <w:rsid w:val="004965F4"/>
    <w:rsid w:val="0049672B"/>
    <w:rsid w:val="0049680F"/>
    <w:rsid w:val="00496C59"/>
    <w:rsid w:val="00496DC9"/>
    <w:rsid w:val="0049711D"/>
    <w:rsid w:val="0049718C"/>
    <w:rsid w:val="00497332"/>
    <w:rsid w:val="00497AA8"/>
    <w:rsid w:val="00497D66"/>
    <w:rsid w:val="00497F88"/>
    <w:rsid w:val="00497FAF"/>
    <w:rsid w:val="004A0072"/>
    <w:rsid w:val="004A0091"/>
    <w:rsid w:val="004A054A"/>
    <w:rsid w:val="004A0A37"/>
    <w:rsid w:val="004A0DA1"/>
    <w:rsid w:val="004A110E"/>
    <w:rsid w:val="004A13D6"/>
    <w:rsid w:val="004A1657"/>
    <w:rsid w:val="004A16BF"/>
    <w:rsid w:val="004A1874"/>
    <w:rsid w:val="004A1942"/>
    <w:rsid w:val="004A1BC3"/>
    <w:rsid w:val="004A1C38"/>
    <w:rsid w:val="004A1C70"/>
    <w:rsid w:val="004A2184"/>
    <w:rsid w:val="004A23E0"/>
    <w:rsid w:val="004A24B9"/>
    <w:rsid w:val="004A2858"/>
    <w:rsid w:val="004A2925"/>
    <w:rsid w:val="004A295F"/>
    <w:rsid w:val="004A2D1F"/>
    <w:rsid w:val="004A2F9C"/>
    <w:rsid w:val="004A3375"/>
    <w:rsid w:val="004A361B"/>
    <w:rsid w:val="004A3711"/>
    <w:rsid w:val="004A377B"/>
    <w:rsid w:val="004A3D66"/>
    <w:rsid w:val="004A3F73"/>
    <w:rsid w:val="004A4091"/>
    <w:rsid w:val="004A420B"/>
    <w:rsid w:val="004A4211"/>
    <w:rsid w:val="004A4865"/>
    <w:rsid w:val="004A49B9"/>
    <w:rsid w:val="004A49D9"/>
    <w:rsid w:val="004A4D45"/>
    <w:rsid w:val="004A4EC0"/>
    <w:rsid w:val="004A50F8"/>
    <w:rsid w:val="004A5216"/>
    <w:rsid w:val="004A526B"/>
    <w:rsid w:val="004A52E9"/>
    <w:rsid w:val="004A55E5"/>
    <w:rsid w:val="004A5687"/>
    <w:rsid w:val="004A58D1"/>
    <w:rsid w:val="004A58D6"/>
    <w:rsid w:val="004A5917"/>
    <w:rsid w:val="004A59D4"/>
    <w:rsid w:val="004A5D4D"/>
    <w:rsid w:val="004A5D7A"/>
    <w:rsid w:val="004A5DCC"/>
    <w:rsid w:val="004A6040"/>
    <w:rsid w:val="004A609E"/>
    <w:rsid w:val="004A6274"/>
    <w:rsid w:val="004A652A"/>
    <w:rsid w:val="004A6597"/>
    <w:rsid w:val="004A664E"/>
    <w:rsid w:val="004A6786"/>
    <w:rsid w:val="004A68FF"/>
    <w:rsid w:val="004A6B20"/>
    <w:rsid w:val="004A6E69"/>
    <w:rsid w:val="004A6F2F"/>
    <w:rsid w:val="004A700E"/>
    <w:rsid w:val="004A736A"/>
    <w:rsid w:val="004A7457"/>
    <w:rsid w:val="004A75ED"/>
    <w:rsid w:val="004A7848"/>
    <w:rsid w:val="004A793B"/>
    <w:rsid w:val="004A7AB9"/>
    <w:rsid w:val="004A7C5A"/>
    <w:rsid w:val="004A7C73"/>
    <w:rsid w:val="004A7E17"/>
    <w:rsid w:val="004A7E9F"/>
    <w:rsid w:val="004A7F58"/>
    <w:rsid w:val="004A7FCE"/>
    <w:rsid w:val="004A7FD4"/>
    <w:rsid w:val="004B0096"/>
    <w:rsid w:val="004B0200"/>
    <w:rsid w:val="004B02B7"/>
    <w:rsid w:val="004B07C9"/>
    <w:rsid w:val="004B08E1"/>
    <w:rsid w:val="004B0A3F"/>
    <w:rsid w:val="004B0C80"/>
    <w:rsid w:val="004B0D67"/>
    <w:rsid w:val="004B0E64"/>
    <w:rsid w:val="004B10FE"/>
    <w:rsid w:val="004B1400"/>
    <w:rsid w:val="004B17E2"/>
    <w:rsid w:val="004B181D"/>
    <w:rsid w:val="004B1CB4"/>
    <w:rsid w:val="004B1EA6"/>
    <w:rsid w:val="004B2390"/>
    <w:rsid w:val="004B2412"/>
    <w:rsid w:val="004B296B"/>
    <w:rsid w:val="004B2974"/>
    <w:rsid w:val="004B2B1B"/>
    <w:rsid w:val="004B2C0E"/>
    <w:rsid w:val="004B2C56"/>
    <w:rsid w:val="004B2E40"/>
    <w:rsid w:val="004B2E75"/>
    <w:rsid w:val="004B2F18"/>
    <w:rsid w:val="004B2F72"/>
    <w:rsid w:val="004B35EF"/>
    <w:rsid w:val="004B36A1"/>
    <w:rsid w:val="004B37E7"/>
    <w:rsid w:val="004B380A"/>
    <w:rsid w:val="004B3C7E"/>
    <w:rsid w:val="004B3D77"/>
    <w:rsid w:val="004B3DDB"/>
    <w:rsid w:val="004B4054"/>
    <w:rsid w:val="004B44FD"/>
    <w:rsid w:val="004B49B2"/>
    <w:rsid w:val="004B4BF4"/>
    <w:rsid w:val="004B4E7B"/>
    <w:rsid w:val="004B50B0"/>
    <w:rsid w:val="004B5389"/>
    <w:rsid w:val="004B595A"/>
    <w:rsid w:val="004B5CFC"/>
    <w:rsid w:val="004B5E17"/>
    <w:rsid w:val="004B5E28"/>
    <w:rsid w:val="004B5FC6"/>
    <w:rsid w:val="004B63A3"/>
    <w:rsid w:val="004B6493"/>
    <w:rsid w:val="004B681E"/>
    <w:rsid w:val="004B687A"/>
    <w:rsid w:val="004B6BC7"/>
    <w:rsid w:val="004B6DFC"/>
    <w:rsid w:val="004B6F79"/>
    <w:rsid w:val="004B70B2"/>
    <w:rsid w:val="004B7691"/>
    <w:rsid w:val="004B774D"/>
    <w:rsid w:val="004B7965"/>
    <w:rsid w:val="004B7A6F"/>
    <w:rsid w:val="004B7C01"/>
    <w:rsid w:val="004B7DC3"/>
    <w:rsid w:val="004B7EC0"/>
    <w:rsid w:val="004C0767"/>
    <w:rsid w:val="004C0849"/>
    <w:rsid w:val="004C0B10"/>
    <w:rsid w:val="004C0C2C"/>
    <w:rsid w:val="004C1011"/>
    <w:rsid w:val="004C1175"/>
    <w:rsid w:val="004C122D"/>
    <w:rsid w:val="004C1240"/>
    <w:rsid w:val="004C1666"/>
    <w:rsid w:val="004C17BC"/>
    <w:rsid w:val="004C1C97"/>
    <w:rsid w:val="004C1EA2"/>
    <w:rsid w:val="004C2595"/>
    <w:rsid w:val="004C2701"/>
    <w:rsid w:val="004C2873"/>
    <w:rsid w:val="004C29EE"/>
    <w:rsid w:val="004C2AC2"/>
    <w:rsid w:val="004C2AE2"/>
    <w:rsid w:val="004C2CC3"/>
    <w:rsid w:val="004C2D84"/>
    <w:rsid w:val="004C3172"/>
    <w:rsid w:val="004C3210"/>
    <w:rsid w:val="004C3826"/>
    <w:rsid w:val="004C397E"/>
    <w:rsid w:val="004C3A0F"/>
    <w:rsid w:val="004C3B02"/>
    <w:rsid w:val="004C3F14"/>
    <w:rsid w:val="004C409E"/>
    <w:rsid w:val="004C4577"/>
    <w:rsid w:val="004C4803"/>
    <w:rsid w:val="004C4921"/>
    <w:rsid w:val="004C4AED"/>
    <w:rsid w:val="004C5052"/>
    <w:rsid w:val="004C51BC"/>
    <w:rsid w:val="004C530E"/>
    <w:rsid w:val="004C56CD"/>
    <w:rsid w:val="004C5AAE"/>
    <w:rsid w:val="004C5FC2"/>
    <w:rsid w:val="004C6166"/>
    <w:rsid w:val="004C6279"/>
    <w:rsid w:val="004C6538"/>
    <w:rsid w:val="004C67BF"/>
    <w:rsid w:val="004C67F3"/>
    <w:rsid w:val="004C6A51"/>
    <w:rsid w:val="004C6D02"/>
    <w:rsid w:val="004C6E42"/>
    <w:rsid w:val="004C705D"/>
    <w:rsid w:val="004C720F"/>
    <w:rsid w:val="004C741D"/>
    <w:rsid w:val="004C784E"/>
    <w:rsid w:val="004C7950"/>
    <w:rsid w:val="004C7951"/>
    <w:rsid w:val="004C7C30"/>
    <w:rsid w:val="004C7FFC"/>
    <w:rsid w:val="004D0510"/>
    <w:rsid w:val="004D05AB"/>
    <w:rsid w:val="004D060B"/>
    <w:rsid w:val="004D07C9"/>
    <w:rsid w:val="004D0802"/>
    <w:rsid w:val="004D0AE3"/>
    <w:rsid w:val="004D0AE9"/>
    <w:rsid w:val="004D1396"/>
    <w:rsid w:val="004D14A4"/>
    <w:rsid w:val="004D153A"/>
    <w:rsid w:val="004D160F"/>
    <w:rsid w:val="004D183E"/>
    <w:rsid w:val="004D1995"/>
    <w:rsid w:val="004D1BD9"/>
    <w:rsid w:val="004D1D67"/>
    <w:rsid w:val="004D2041"/>
    <w:rsid w:val="004D240F"/>
    <w:rsid w:val="004D2921"/>
    <w:rsid w:val="004D2935"/>
    <w:rsid w:val="004D2942"/>
    <w:rsid w:val="004D2C2D"/>
    <w:rsid w:val="004D30C1"/>
    <w:rsid w:val="004D341C"/>
    <w:rsid w:val="004D342E"/>
    <w:rsid w:val="004D35D9"/>
    <w:rsid w:val="004D3635"/>
    <w:rsid w:val="004D397E"/>
    <w:rsid w:val="004D3C27"/>
    <w:rsid w:val="004D41E8"/>
    <w:rsid w:val="004D42FC"/>
    <w:rsid w:val="004D46BD"/>
    <w:rsid w:val="004D4982"/>
    <w:rsid w:val="004D49B9"/>
    <w:rsid w:val="004D4AA8"/>
    <w:rsid w:val="004D4EDB"/>
    <w:rsid w:val="004D4F16"/>
    <w:rsid w:val="004D4FA0"/>
    <w:rsid w:val="004D535C"/>
    <w:rsid w:val="004D5429"/>
    <w:rsid w:val="004D54E9"/>
    <w:rsid w:val="004D5741"/>
    <w:rsid w:val="004D5A3D"/>
    <w:rsid w:val="004D5DEF"/>
    <w:rsid w:val="004D5E60"/>
    <w:rsid w:val="004D5F2A"/>
    <w:rsid w:val="004D6030"/>
    <w:rsid w:val="004D6341"/>
    <w:rsid w:val="004D64EA"/>
    <w:rsid w:val="004D656D"/>
    <w:rsid w:val="004D67DF"/>
    <w:rsid w:val="004D6955"/>
    <w:rsid w:val="004D6993"/>
    <w:rsid w:val="004D69B5"/>
    <w:rsid w:val="004D6AC8"/>
    <w:rsid w:val="004D6B7C"/>
    <w:rsid w:val="004D6E29"/>
    <w:rsid w:val="004D6FCC"/>
    <w:rsid w:val="004D7002"/>
    <w:rsid w:val="004D710D"/>
    <w:rsid w:val="004D7219"/>
    <w:rsid w:val="004D7227"/>
    <w:rsid w:val="004D7648"/>
    <w:rsid w:val="004D77FF"/>
    <w:rsid w:val="004D793D"/>
    <w:rsid w:val="004D7ABF"/>
    <w:rsid w:val="004D7B5E"/>
    <w:rsid w:val="004D7BB8"/>
    <w:rsid w:val="004D7E35"/>
    <w:rsid w:val="004D7F59"/>
    <w:rsid w:val="004E010B"/>
    <w:rsid w:val="004E026A"/>
    <w:rsid w:val="004E0544"/>
    <w:rsid w:val="004E0962"/>
    <w:rsid w:val="004E0AA4"/>
    <w:rsid w:val="004E0B34"/>
    <w:rsid w:val="004E0E7F"/>
    <w:rsid w:val="004E0EB8"/>
    <w:rsid w:val="004E13CB"/>
    <w:rsid w:val="004E148F"/>
    <w:rsid w:val="004E18E9"/>
    <w:rsid w:val="004E19C5"/>
    <w:rsid w:val="004E2150"/>
    <w:rsid w:val="004E2348"/>
    <w:rsid w:val="004E2373"/>
    <w:rsid w:val="004E2423"/>
    <w:rsid w:val="004E2942"/>
    <w:rsid w:val="004E2ADC"/>
    <w:rsid w:val="004E2BF4"/>
    <w:rsid w:val="004E2F40"/>
    <w:rsid w:val="004E2FEE"/>
    <w:rsid w:val="004E2FFD"/>
    <w:rsid w:val="004E30A8"/>
    <w:rsid w:val="004E30C4"/>
    <w:rsid w:val="004E3128"/>
    <w:rsid w:val="004E31EC"/>
    <w:rsid w:val="004E323D"/>
    <w:rsid w:val="004E3583"/>
    <w:rsid w:val="004E35EB"/>
    <w:rsid w:val="004E37B0"/>
    <w:rsid w:val="004E3858"/>
    <w:rsid w:val="004E391A"/>
    <w:rsid w:val="004E4158"/>
    <w:rsid w:val="004E41F4"/>
    <w:rsid w:val="004E43B2"/>
    <w:rsid w:val="004E45B8"/>
    <w:rsid w:val="004E470B"/>
    <w:rsid w:val="004E48F2"/>
    <w:rsid w:val="004E499B"/>
    <w:rsid w:val="004E49A4"/>
    <w:rsid w:val="004E49BF"/>
    <w:rsid w:val="004E4D98"/>
    <w:rsid w:val="004E4F6A"/>
    <w:rsid w:val="004E512A"/>
    <w:rsid w:val="004E5214"/>
    <w:rsid w:val="004E563A"/>
    <w:rsid w:val="004E57BB"/>
    <w:rsid w:val="004E57D0"/>
    <w:rsid w:val="004E5A4C"/>
    <w:rsid w:val="004E5AE9"/>
    <w:rsid w:val="004E5DE4"/>
    <w:rsid w:val="004E5E5C"/>
    <w:rsid w:val="004E5E9B"/>
    <w:rsid w:val="004E5EF4"/>
    <w:rsid w:val="004E604B"/>
    <w:rsid w:val="004E64A6"/>
    <w:rsid w:val="004E65B5"/>
    <w:rsid w:val="004E65D4"/>
    <w:rsid w:val="004E6685"/>
    <w:rsid w:val="004E67D0"/>
    <w:rsid w:val="004E68AD"/>
    <w:rsid w:val="004E711E"/>
    <w:rsid w:val="004E71F4"/>
    <w:rsid w:val="004E7228"/>
    <w:rsid w:val="004E751E"/>
    <w:rsid w:val="004E76CE"/>
    <w:rsid w:val="004E7AD9"/>
    <w:rsid w:val="004E7BF5"/>
    <w:rsid w:val="004E7D36"/>
    <w:rsid w:val="004E7D48"/>
    <w:rsid w:val="004E7EC4"/>
    <w:rsid w:val="004E7F99"/>
    <w:rsid w:val="004F03D5"/>
    <w:rsid w:val="004F0592"/>
    <w:rsid w:val="004F0D39"/>
    <w:rsid w:val="004F10D2"/>
    <w:rsid w:val="004F1223"/>
    <w:rsid w:val="004F1253"/>
    <w:rsid w:val="004F131B"/>
    <w:rsid w:val="004F1913"/>
    <w:rsid w:val="004F197E"/>
    <w:rsid w:val="004F1A46"/>
    <w:rsid w:val="004F1D02"/>
    <w:rsid w:val="004F1D8F"/>
    <w:rsid w:val="004F1F9E"/>
    <w:rsid w:val="004F2055"/>
    <w:rsid w:val="004F23FF"/>
    <w:rsid w:val="004F243A"/>
    <w:rsid w:val="004F24F7"/>
    <w:rsid w:val="004F2679"/>
    <w:rsid w:val="004F274D"/>
    <w:rsid w:val="004F28BA"/>
    <w:rsid w:val="004F29DC"/>
    <w:rsid w:val="004F2D4F"/>
    <w:rsid w:val="004F2EB6"/>
    <w:rsid w:val="004F2EBC"/>
    <w:rsid w:val="004F2F21"/>
    <w:rsid w:val="004F2FF1"/>
    <w:rsid w:val="004F3070"/>
    <w:rsid w:val="004F327B"/>
    <w:rsid w:val="004F3480"/>
    <w:rsid w:val="004F35C0"/>
    <w:rsid w:val="004F368B"/>
    <w:rsid w:val="004F371F"/>
    <w:rsid w:val="004F3871"/>
    <w:rsid w:val="004F3A63"/>
    <w:rsid w:val="004F3AAD"/>
    <w:rsid w:val="004F3D12"/>
    <w:rsid w:val="004F3DCC"/>
    <w:rsid w:val="004F3DE5"/>
    <w:rsid w:val="004F437D"/>
    <w:rsid w:val="004F44CF"/>
    <w:rsid w:val="004F4F6F"/>
    <w:rsid w:val="004F4FF0"/>
    <w:rsid w:val="004F5008"/>
    <w:rsid w:val="004F50A5"/>
    <w:rsid w:val="004F5163"/>
    <w:rsid w:val="004F58A6"/>
    <w:rsid w:val="004F59F6"/>
    <w:rsid w:val="004F623E"/>
    <w:rsid w:val="004F6317"/>
    <w:rsid w:val="004F6786"/>
    <w:rsid w:val="004F68E5"/>
    <w:rsid w:val="004F6913"/>
    <w:rsid w:val="004F6971"/>
    <w:rsid w:val="004F6A26"/>
    <w:rsid w:val="004F6A98"/>
    <w:rsid w:val="004F6DB6"/>
    <w:rsid w:val="004F6DC0"/>
    <w:rsid w:val="004F6DF2"/>
    <w:rsid w:val="004F6E7F"/>
    <w:rsid w:val="004F6FC8"/>
    <w:rsid w:val="004F719F"/>
    <w:rsid w:val="004F73B0"/>
    <w:rsid w:val="004F7551"/>
    <w:rsid w:val="004F761B"/>
    <w:rsid w:val="004F76FB"/>
    <w:rsid w:val="004F77EA"/>
    <w:rsid w:val="004F7865"/>
    <w:rsid w:val="004F7912"/>
    <w:rsid w:val="004F7AC8"/>
    <w:rsid w:val="004F7D5D"/>
    <w:rsid w:val="004F7FF9"/>
    <w:rsid w:val="00500048"/>
    <w:rsid w:val="00500130"/>
    <w:rsid w:val="005001AE"/>
    <w:rsid w:val="005001FB"/>
    <w:rsid w:val="0050047D"/>
    <w:rsid w:val="00500605"/>
    <w:rsid w:val="00500652"/>
    <w:rsid w:val="0050087B"/>
    <w:rsid w:val="005008FE"/>
    <w:rsid w:val="0050095F"/>
    <w:rsid w:val="00500BDE"/>
    <w:rsid w:val="00500D5A"/>
    <w:rsid w:val="00500FD7"/>
    <w:rsid w:val="00501039"/>
    <w:rsid w:val="005010AB"/>
    <w:rsid w:val="005012A5"/>
    <w:rsid w:val="005013B2"/>
    <w:rsid w:val="0050143C"/>
    <w:rsid w:val="00501443"/>
    <w:rsid w:val="005016FF"/>
    <w:rsid w:val="0050174E"/>
    <w:rsid w:val="00501854"/>
    <w:rsid w:val="00501900"/>
    <w:rsid w:val="00501B6B"/>
    <w:rsid w:val="00501BBD"/>
    <w:rsid w:val="00501BC2"/>
    <w:rsid w:val="00501D3F"/>
    <w:rsid w:val="0050219B"/>
    <w:rsid w:val="0050223B"/>
    <w:rsid w:val="00502365"/>
    <w:rsid w:val="0050277A"/>
    <w:rsid w:val="00502BF1"/>
    <w:rsid w:val="00502DC1"/>
    <w:rsid w:val="00502E3F"/>
    <w:rsid w:val="00502E56"/>
    <w:rsid w:val="005033C5"/>
    <w:rsid w:val="005039A7"/>
    <w:rsid w:val="00503B26"/>
    <w:rsid w:val="00503F17"/>
    <w:rsid w:val="00503F3A"/>
    <w:rsid w:val="00504323"/>
    <w:rsid w:val="00504773"/>
    <w:rsid w:val="0050483C"/>
    <w:rsid w:val="005049AE"/>
    <w:rsid w:val="005049B8"/>
    <w:rsid w:val="00504CF0"/>
    <w:rsid w:val="00504D1F"/>
    <w:rsid w:val="00504DBA"/>
    <w:rsid w:val="0050537F"/>
    <w:rsid w:val="005054B1"/>
    <w:rsid w:val="00505835"/>
    <w:rsid w:val="00505942"/>
    <w:rsid w:val="005059EB"/>
    <w:rsid w:val="00505B81"/>
    <w:rsid w:val="00505B8D"/>
    <w:rsid w:val="00505BA4"/>
    <w:rsid w:val="00505BB9"/>
    <w:rsid w:val="00505EEE"/>
    <w:rsid w:val="00506334"/>
    <w:rsid w:val="00506734"/>
    <w:rsid w:val="005067C3"/>
    <w:rsid w:val="00506824"/>
    <w:rsid w:val="00506928"/>
    <w:rsid w:val="00506AF4"/>
    <w:rsid w:val="00506B7D"/>
    <w:rsid w:val="00506CDE"/>
    <w:rsid w:val="00507243"/>
    <w:rsid w:val="005073F2"/>
    <w:rsid w:val="00507408"/>
    <w:rsid w:val="00507555"/>
    <w:rsid w:val="005075E9"/>
    <w:rsid w:val="005077EF"/>
    <w:rsid w:val="00507914"/>
    <w:rsid w:val="00507967"/>
    <w:rsid w:val="00507980"/>
    <w:rsid w:val="00507A81"/>
    <w:rsid w:val="00507AB9"/>
    <w:rsid w:val="00507CB5"/>
    <w:rsid w:val="00507EA0"/>
    <w:rsid w:val="00507F2F"/>
    <w:rsid w:val="0051009E"/>
    <w:rsid w:val="00510538"/>
    <w:rsid w:val="005105B5"/>
    <w:rsid w:val="0051080C"/>
    <w:rsid w:val="00510866"/>
    <w:rsid w:val="00510973"/>
    <w:rsid w:val="00510B4F"/>
    <w:rsid w:val="00510C60"/>
    <w:rsid w:val="00510C7C"/>
    <w:rsid w:val="00510E56"/>
    <w:rsid w:val="00510F62"/>
    <w:rsid w:val="00510F78"/>
    <w:rsid w:val="005112CF"/>
    <w:rsid w:val="00511375"/>
    <w:rsid w:val="0051146E"/>
    <w:rsid w:val="00511AD5"/>
    <w:rsid w:val="00511BB3"/>
    <w:rsid w:val="00511DC7"/>
    <w:rsid w:val="00511F2D"/>
    <w:rsid w:val="00511F30"/>
    <w:rsid w:val="0051204C"/>
    <w:rsid w:val="00512199"/>
    <w:rsid w:val="005122B2"/>
    <w:rsid w:val="00512934"/>
    <w:rsid w:val="00512A7C"/>
    <w:rsid w:val="00512C7B"/>
    <w:rsid w:val="00512CCF"/>
    <w:rsid w:val="00512E02"/>
    <w:rsid w:val="00512EEC"/>
    <w:rsid w:val="005132BF"/>
    <w:rsid w:val="005134C5"/>
    <w:rsid w:val="005138BD"/>
    <w:rsid w:val="00513AD1"/>
    <w:rsid w:val="005142C5"/>
    <w:rsid w:val="00514792"/>
    <w:rsid w:val="005147CA"/>
    <w:rsid w:val="005148F7"/>
    <w:rsid w:val="00514C97"/>
    <w:rsid w:val="00514E6F"/>
    <w:rsid w:val="00515000"/>
    <w:rsid w:val="0051501B"/>
    <w:rsid w:val="005152B5"/>
    <w:rsid w:val="00515328"/>
    <w:rsid w:val="00515472"/>
    <w:rsid w:val="00515886"/>
    <w:rsid w:val="00515D21"/>
    <w:rsid w:val="00515E6F"/>
    <w:rsid w:val="00515ED0"/>
    <w:rsid w:val="00515F33"/>
    <w:rsid w:val="00515FCE"/>
    <w:rsid w:val="005165FF"/>
    <w:rsid w:val="00516E19"/>
    <w:rsid w:val="00516F95"/>
    <w:rsid w:val="0051708F"/>
    <w:rsid w:val="00517247"/>
    <w:rsid w:val="005176AE"/>
    <w:rsid w:val="005176C7"/>
    <w:rsid w:val="005178AF"/>
    <w:rsid w:val="005179DC"/>
    <w:rsid w:val="005201C3"/>
    <w:rsid w:val="005201D5"/>
    <w:rsid w:val="00520656"/>
    <w:rsid w:val="00520743"/>
    <w:rsid w:val="0052084F"/>
    <w:rsid w:val="00520994"/>
    <w:rsid w:val="005209EA"/>
    <w:rsid w:val="00520A49"/>
    <w:rsid w:val="00520AE2"/>
    <w:rsid w:val="00520FD9"/>
    <w:rsid w:val="005210A0"/>
    <w:rsid w:val="0052123C"/>
    <w:rsid w:val="00521319"/>
    <w:rsid w:val="00521366"/>
    <w:rsid w:val="005214E6"/>
    <w:rsid w:val="005215E5"/>
    <w:rsid w:val="0052174F"/>
    <w:rsid w:val="00521761"/>
    <w:rsid w:val="005219CF"/>
    <w:rsid w:val="00521A31"/>
    <w:rsid w:val="00521D56"/>
    <w:rsid w:val="0052221B"/>
    <w:rsid w:val="005228BA"/>
    <w:rsid w:val="00522BC8"/>
    <w:rsid w:val="00522D8E"/>
    <w:rsid w:val="005231A3"/>
    <w:rsid w:val="00523529"/>
    <w:rsid w:val="0052370B"/>
    <w:rsid w:val="00523721"/>
    <w:rsid w:val="00523898"/>
    <w:rsid w:val="005239C3"/>
    <w:rsid w:val="005239C4"/>
    <w:rsid w:val="00523C28"/>
    <w:rsid w:val="00523E0E"/>
    <w:rsid w:val="00523E5F"/>
    <w:rsid w:val="00523FA6"/>
    <w:rsid w:val="00524023"/>
    <w:rsid w:val="0052489F"/>
    <w:rsid w:val="005249BE"/>
    <w:rsid w:val="00524D04"/>
    <w:rsid w:val="00524D2D"/>
    <w:rsid w:val="00524F5F"/>
    <w:rsid w:val="00525738"/>
    <w:rsid w:val="00525944"/>
    <w:rsid w:val="00525A23"/>
    <w:rsid w:val="0052608D"/>
    <w:rsid w:val="005262EF"/>
    <w:rsid w:val="00526991"/>
    <w:rsid w:val="00527792"/>
    <w:rsid w:val="0052782D"/>
    <w:rsid w:val="00527A3E"/>
    <w:rsid w:val="00527AFB"/>
    <w:rsid w:val="00527BDD"/>
    <w:rsid w:val="00527C82"/>
    <w:rsid w:val="00527CAF"/>
    <w:rsid w:val="00527CF3"/>
    <w:rsid w:val="00527FE1"/>
    <w:rsid w:val="00530419"/>
    <w:rsid w:val="0053077E"/>
    <w:rsid w:val="005307D1"/>
    <w:rsid w:val="005308A6"/>
    <w:rsid w:val="00530B52"/>
    <w:rsid w:val="00530B8B"/>
    <w:rsid w:val="00530D02"/>
    <w:rsid w:val="00530D7A"/>
    <w:rsid w:val="00530EFB"/>
    <w:rsid w:val="00530F07"/>
    <w:rsid w:val="0053129F"/>
    <w:rsid w:val="00531398"/>
    <w:rsid w:val="005315F2"/>
    <w:rsid w:val="0053176B"/>
    <w:rsid w:val="00531A67"/>
    <w:rsid w:val="00531CEC"/>
    <w:rsid w:val="00531D0B"/>
    <w:rsid w:val="00532009"/>
    <w:rsid w:val="005321FC"/>
    <w:rsid w:val="0053253D"/>
    <w:rsid w:val="005326D0"/>
    <w:rsid w:val="00532A79"/>
    <w:rsid w:val="00532D4D"/>
    <w:rsid w:val="00532E4E"/>
    <w:rsid w:val="00532EFD"/>
    <w:rsid w:val="0053328F"/>
    <w:rsid w:val="00533322"/>
    <w:rsid w:val="005334D3"/>
    <w:rsid w:val="005338F1"/>
    <w:rsid w:val="0053391D"/>
    <w:rsid w:val="005339D9"/>
    <w:rsid w:val="00533B4E"/>
    <w:rsid w:val="00533B9A"/>
    <w:rsid w:val="00534111"/>
    <w:rsid w:val="005341B3"/>
    <w:rsid w:val="0053434D"/>
    <w:rsid w:val="005348C1"/>
    <w:rsid w:val="00534B3D"/>
    <w:rsid w:val="00534C44"/>
    <w:rsid w:val="00534FD8"/>
    <w:rsid w:val="00535105"/>
    <w:rsid w:val="005352FA"/>
    <w:rsid w:val="00535503"/>
    <w:rsid w:val="005355C0"/>
    <w:rsid w:val="005355F4"/>
    <w:rsid w:val="00535A6A"/>
    <w:rsid w:val="00535B0D"/>
    <w:rsid w:val="00535C05"/>
    <w:rsid w:val="00535ED0"/>
    <w:rsid w:val="00535F50"/>
    <w:rsid w:val="005361D5"/>
    <w:rsid w:val="005362CD"/>
    <w:rsid w:val="0053632B"/>
    <w:rsid w:val="0053645B"/>
    <w:rsid w:val="005364C5"/>
    <w:rsid w:val="0053660E"/>
    <w:rsid w:val="00536666"/>
    <w:rsid w:val="005369A5"/>
    <w:rsid w:val="00536B22"/>
    <w:rsid w:val="00536B86"/>
    <w:rsid w:val="00536C1C"/>
    <w:rsid w:val="00536F31"/>
    <w:rsid w:val="00536F42"/>
    <w:rsid w:val="00536FC0"/>
    <w:rsid w:val="00537182"/>
    <w:rsid w:val="0053725B"/>
    <w:rsid w:val="0053733A"/>
    <w:rsid w:val="005376C8"/>
    <w:rsid w:val="005376F1"/>
    <w:rsid w:val="00537834"/>
    <w:rsid w:val="00537C83"/>
    <w:rsid w:val="00537EC0"/>
    <w:rsid w:val="005402CC"/>
    <w:rsid w:val="0054036C"/>
    <w:rsid w:val="00540559"/>
    <w:rsid w:val="00540744"/>
    <w:rsid w:val="00540A8F"/>
    <w:rsid w:val="00540CA4"/>
    <w:rsid w:val="005410C2"/>
    <w:rsid w:val="00541106"/>
    <w:rsid w:val="00541552"/>
    <w:rsid w:val="005417AA"/>
    <w:rsid w:val="00541848"/>
    <w:rsid w:val="005419B5"/>
    <w:rsid w:val="00541C21"/>
    <w:rsid w:val="00541C4D"/>
    <w:rsid w:val="00541EDD"/>
    <w:rsid w:val="00542067"/>
    <w:rsid w:val="00542743"/>
    <w:rsid w:val="00542862"/>
    <w:rsid w:val="005428BE"/>
    <w:rsid w:val="00542C2D"/>
    <w:rsid w:val="00542C76"/>
    <w:rsid w:val="00542CB9"/>
    <w:rsid w:val="00542CD9"/>
    <w:rsid w:val="0054304F"/>
    <w:rsid w:val="0054312E"/>
    <w:rsid w:val="00543B38"/>
    <w:rsid w:val="00543CE8"/>
    <w:rsid w:val="00543F09"/>
    <w:rsid w:val="00544382"/>
    <w:rsid w:val="00544659"/>
    <w:rsid w:val="00544EEA"/>
    <w:rsid w:val="00545080"/>
    <w:rsid w:val="00545208"/>
    <w:rsid w:val="00545422"/>
    <w:rsid w:val="005456EA"/>
    <w:rsid w:val="0054594D"/>
    <w:rsid w:val="00545BA9"/>
    <w:rsid w:val="00545C2C"/>
    <w:rsid w:val="00545C79"/>
    <w:rsid w:val="00545D0C"/>
    <w:rsid w:val="00545DDA"/>
    <w:rsid w:val="00545F84"/>
    <w:rsid w:val="00546017"/>
    <w:rsid w:val="00546076"/>
    <w:rsid w:val="00546664"/>
    <w:rsid w:val="005468C8"/>
    <w:rsid w:val="00546EA2"/>
    <w:rsid w:val="00546F80"/>
    <w:rsid w:val="005478BD"/>
    <w:rsid w:val="005479E3"/>
    <w:rsid w:val="00547BEF"/>
    <w:rsid w:val="00547CA6"/>
    <w:rsid w:val="00547D1D"/>
    <w:rsid w:val="0055018A"/>
    <w:rsid w:val="005501A1"/>
    <w:rsid w:val="00550478"/>
    <w:rsid w:val="00550874"/>
    <w:rsid w:val="005509AD"/>
    <w:rsid w:val="00550A13"/>
    <w:rsid w:val="00550A1A"/>
    <w:rsid w:val="00550F5D"/>
    <w:rsid w:val="00551231"/>
    <w:rsid w:val="00551406"/>
    <w:rsid w:val="005516CE"/>
    <w:rsid w:val="0055180E"/>
    <w:rsid w:val="00551985"/>
    <w:rsid w:val="00551D53"/>
    <w:rsid w:val="00551DC9"/>
    <w:rsid w:val="00551E2D"/>
    <w:rsid w:val="00551E5D"/>
    <w:rsid w:val="00551F84"/>
    <w:rsid w:val="00551FDC"/>
    <w:rsid w:val="005523A4"/>
    <w:rsid w:val="00552471"/>
    <w:rsid w:val="0055252D"/>
    <w:rsid w:val="00552532"/>
    <w:rsid w:val="00552708"/>
    <w:rsid w:val="00552971"/>
    <w:rsid w:val="00552BD3"/>
    <w:rsid w:val="00553165"/>
    <w:rsid w:val="0055316F"/>
    <w:rsid w:val="0055325E"/>
    <w:rsid w:val="005532A0"/>
    <w:rsid w:val="005532BC"/>
    <w:rsid w:val="0055355C"/>
    <w:rsid w:val="005537C6"/>
    <w:rsid w:val="00553D93"/>
    <w:rsid w:val="0055402E"/>
    <w:rsid w:val="00554044"/>
    <w:rsid w:val="00554490"/>
    <w:rsid w:val="005547AF"/>
    <w:rsid w:val="00554843"/>
    <w:rsid w:val="005549C1"/>
    <w:rsid w:val="005549CF"/>
    <w:rsid w:val="00554BD1"/>
    <w:rsid w:val="00554D95"/>
    <w:rsid w:val="00554E0E"/>
    <w:rsid w:val="00554E6E"/>
    <w:rsid w:val="00554F99"/>
    <w:rsid w:val="00555025"/>
    <w:rsid w:val="00555109"/>
    <w:rsid w:val="00555C0E"/>
    <w:rsid w:val="00555EAA"/>
    <w:rsid w:val="0055615D"/>
    <w:rsid w:val="00556305"/>
    <w:rsid w:val="00556390"/>
    <w:rsid w:val="0055650B"/>
    <w:rsid w:val="00556B35"/>
    <w:rsid w:val="00556BE5"/>
    <w:rsid w:val="00556E3B"/>
    <w:rsid w:val="0055741A"/>
    <w:rsid w:val="00557C05"/>
    <w:rsid w:val="00557DEC"/>
    <w:rsid w:val="0056005F"/>
    <w:rsid w:val="00560124"/>
    <w:rsid w:val="00560218"/>
    <w:rsid w:val="00560276"/>
    <w:rsid w:val="0056027B"/>
    <w:rsid w:val="00560462"/>
    <w:rsid w:val="005604C4"/>
    <w:rsid w:val="005605DA"/>
    <w:rsid w:val="0056088B"/>
    <w:rsid w:val="00560A72"/>
    <w:rsid w:val="005611B7"/>
    <w:rsid w:val="00561614"/>
    <w:rsid w:val="00561698"/>
    <w:rsid w:val="005617EB"/>
    <w:rsid w:val="005618D4"/>
    <w:rsid w:val="00561A8B"/>
    <w:rsid w:val="005622AA"/>
    <w:rsid w:val="00562442"/>
    <w:rsid w:val="005626F4"/>
    <w:rsid w:val="00562DAC"/>
    <w:rsid w:val="00562E42"/>
    <w:rsid w:val="00562FAF"/>
    <w:rsid w:val="00563149"/>
    <w:rsid w:val="0056320A"/>
    <w:rsid w:val="0056341D"/>
    <w:rsid w:val="00563683"/>
    <w:rsid w:val="00563929"/>
    <w:rsid w:val="00563985"/>
    <w:rsid w:val="00563AB4"/>
    <w:rsid w:val="00563F02"/>
    <w:rsid w:val="00564127"/>
    <w:rsid w:val="00564185"/>
    <w:rsid w:val="00564213"/>
    <w:rsid w:val="005643E2"/>
    <w:rsid w:val="00564442"/>
    <w:rsid w:val="005644C3"/>
    <w:rsid w:val="0056480D"/>
    <w:rsid w:val="00564866"/>
    <w:rsid w:val="00564867"/>
    <w:rsid w:val="00564C09"/>
    <w:rsid w:val="00564D5B"/>
    <w:rsid w:val="00565214"/>
    <w:rsid w:val="00565543"/>
    <w:rsid w:val="005655EE"/>
    <w:rsid w:val="0056566B"/>
    <w:rsid w:val="00565AC5"/>
    <w:rsid w:val="00565AEB"/>
    <w:rsid w:val="00565C79"/>
    <w:rsid w:val="00565DF0"/>
    <w:rsid w:val="0056677D"/>
    <w:rsid w:val="0056686F"/>
    <w:rsid w:val="005668D6"/>
    <w:rsid w:val="0056696F"/>
    <w:rsid w:val="00566E1A"/>
    <w:rsid w:val="00566E78"/>
    <w:rsid w:val="0056754F"/>
    <w:rsid w:val="0056782B"/>
    <w:rsid w:val="00567915"/>
    <w:rsid w:val="00567CC4"/>
    <w:rsid w:val="005700B6"/>
    <w:rsid w:val="005700DE"/>
    <w:rsid w:val="005701A6"/>
    <w:rsid w:val="00570314"/>
    <w:rsid w:val="00570497"/>
    <w:rsid w:val="005704B2"/>
    <w:rsid w:val="005704BF"/>
    <w:rsid w:val="005705BA"/>
    <w:rsid w:val="00570860"/>
    <w:rsid w:val="005708E6"/>
    <w:rsid w:val="00570991"/>
    <w:rsid w:val="00570B04"/>
    <w:rsid w:val="00570BBD"/>
    <w:rsid w:val="00570CCE"/>
    <w:rsid w:val="00570CF0"/>
    <w:rsid w:val="00570D8A"/>
    <w:rsid w:val="00570FD6"/>
    <w:rsid w:val="0057114F"/>
    <w:rsid w:val="005711A4"/>
    <w:rsid w:val="00571351"/>
    <w:rsid w:val="005713B0"/>
    <w:rsid w:val="005717FF"/>
    <w:rsid w:val="00571A2E"/>
    <w:rsid w:val="00571C7B"/>
    <w:rsid w:val="00571D8B"/>
    <w:rsid w:val="00572269"/>
    <w:rsid w:val="0057244A"/>
    <w:rsid w:val="005726DB"/>
    <w:rsid w:val="00572ACF"/>
    <w:rsid w:val="00572ADF"/>
    <w:rsid w:val="00572B6C"/>
    <w:rsid w:val="00572F26"/>
    <w:rsid w:val="00572F6C"/>
    <w:rsid w:val="0057303F"/>
    <w:rsid w:val="0057304A"/>
    <w:rsid w:val="005730FF"/>
    <w:rsid w:val="0057322A"/>
    <w:rsid w:val="005735EC"/>
    <w:rsid w:val="0057399F"/>
    <w:rsid w:val="00573A11"/>
    <w:rsid w:val="00573C4A"/>
    <w:rsid w:val="00573F52"/>
    <w:rsid w:val="005740BC"/>
    <w:rsid w:val="00574AEA"/>
    <w:rsid w:val="00574F09"/>
    <w:rsid w:val="00574F75"/>
    <w:rsid w:val="005750C5"/>
    <w:rsid w:val="00575116"/>
    <w:rsid w:val="005752DE"/>
    <w:rsid w:val="005757CC"/>
    <w:rsid w:val="0057582A"/>
    <w:rsid w:val="00575D60"/>
    <w:rsid w:val="00575D8D"/>
    <w:rsid w:val="00576615"/>
    <w:rsid w:val="00576972"/>
    <w:rsid w:val="00576C98"/>
    <w:rsid w:val="00576E46"/>
    <w:rsid w:val="0057718C"/>
    <w:rsid w:val="00577248"/>
    <w:rsid w:val="005772BF"/>
    <w:rsid w:val="005776A8"/>
    <w:rsid w:val="00577C3F"/>
    <w:rsid w:val="00577C65"/>
    <w:rsid w:val="00577C67"/>
    <w:rsid w:val="00577CBD"/>
    <w:rsid w:val="00577FC0"/>
    <w:rsid w:val="00577FE9"/>
    <w:rsid w:val="00580041"/>
    <w:rsid w:val="00580071"/>
    <w:rsid w:val="00580545"/>
    <w:rsid w:val="005805FC"/>
    <w:rsid w:val="0058067E"/>
    <w:rsid w:val="00580752"/>
    <w:rsid w:val="005809EA"/>
    <w:rsid w:val="00580F95"/>
    <w:rsid w:val="0058105B"/>
    <w:rsid w:val="005810F4"/>
    <w:rsid w:val="00581444"/>
    <w:rsid w:val="0058145A"/>
    <w:rsid w:val="005815CE"/>
    <w:rsid w:val="00581617"/>
    <w:rsid w:val="00581B9D"/>
    <w:rsid w:val="00581C5A"/>
    <w:rsid w:val="00581D23"/>
    <w:rsid w:val="00581DC7"/>
    <w:rsid w:val="00581E7E"/>
    <w:rsid w:val="005821D3"/>
    <w:rsid w:val="005822AF"/>
    <w:rsid w:val="00582630"/>
    <w:rsid w:val="005826ED"/>
    <w:rsid w:val="00582745"/>
    <w:rsid w:val="00582980"/>
    <w:rsid w:val="0058298D"/>
    <w:rsid w:val="00582C47"/>
    <w:rsid w:val="00582DBB"/>
    <w:rsid w:val="00583264"/>
    <w:rsid w:val="00583330"/>
    <w:rsid w:val="00583699"/>
    <w:rsid w:val="00583816"/>
    <w:rsid w:val="005839DD"/>
    <w:rsid w:val="00583AD1"/>
    <w:rsid w:val="00583B78"/>
    <w:rsid w:val="00583F76"/>
    <w:rsid w:val="005841F1"/>
    <w:rsid w:val="00584301"/>
    <w:rsid w:val="00584433"/>
    <w:rsid w:val="00584604"/>
    <w:rsid w:val="0058477D"/>
    <w:rsid w:val="00584ABC"/>
    <w:rsid w:val="00584BFC"/>
    <w:rsid w:val="005850EB"/>
    <w:rsid w:val="00585113"/>
    <w:rsid w:val="005855B2"/>
    <w:rsid w:val="00585763"/>
    <w:rsid w:val="00585AC0"/>
    <w:rsid w:val="00585CB3"/>
    <w:rsid w:val="00585CDD"/>
    <w:rsid w:val="00585E1B"/>
    <w:rsid w:val="00585EB6"/>
    <w:rsid w:val="0058645C"/>
    <w:rsid w:val="00586723"/>
    <w:rsid w:val="005868D4"/>
    <w:rsid w:val="00586A7E"/>
    <w:rsid w:val="00586B65"/>
    <w:rsid w:val="00586EBC"/>
    <w:rsid w:val="00587027"/>
    <w:rsid w:val="00587058"/>
    <w:rsid w:val="005870F1"/>
    <w:rsid w:val="00587359"/>
    <w:rsid w:val="0058757E"/>
    <w:rsid w:val="005875A2"/>
    <w:rsid w:val="005876C3"/>
    <w:rsid w:val="005877C2"/>
    <w:rsid w:val="00587B0F"/>
    <w:rsid w:val="00587CFB"/>
    <w:rsid w:val="00587E48"/>
    <w:rsid w:val="00590034"/>
    <w:rsid w:val="0059013E"/>
    <w:rsid w:val="00590639"/>
    <w:rsid w:val="0059074B"/>
    <w:rsid w:val="00590803"/>
    <w:rsid w:val="00590B72"/>
    <w:rsid w:val="00590D5C"/>
    <w:rsid w:val="00591224"/>
    <w:rsid w:val="005918E4"/>
    <w:rsid w:val="00591957"/>
    <w:rsid w:val="00591AB9"/>
    <w:rsid w:val="00591BAC"/>
    <w:rsid w:val="00591BF1"/>
    <w:rsid w:val="00591C81"/>
    <w:rsid w:val="00591CB2"/>
    <w:rsid w:val="00591CC0"/>
    <w:rsid w:val="00591CD3"/>
    <w:rsid w:val="00591D3E"/>
    <w:rsid w:val="00591EE3"/>
    <w:rsid w:val="005920A5"/>
    <w:rsid w:val="00592537"/>
    <w:rsid w:val="0059269B"/>
    <w:rsid w:val="00592BC4"/>
    <w:rsid w:val="00592EB1"/>
    <w:rsid w:val="005930EA"/>
    <w:rsid w:val="00593310"/>
    <w:rsid w:val="005936E5"/>
    <w:rsid w:val="0059370A"/>
    <w:rsid w:val="00593CF4"/>
    <w:rsid w:val="00593D1F"/>
    <w:rsid w:val="00593EBB"/>
    <w:rsid w:val="00594223"/>
    <w:rsid w:val="0059423C"/>
    <w:rsid w:val="005943E0"/>
    <w:rsid w:val="005945B3"/>
    <w:rsid w:val="005946C4"/>
    <w:rsid w:val="005946D3"/>
    <w:rsid w:val="00594DBA"/>
    <w:rsid w:val="00594E82"/>
    <w:rsid w:val="00595090"/>
    <w:rsid w:val="0059516C"/>
    <w:rsid w:val="00595221"/>
    <w:rsid w:val="00595680"/>
    <w:rsid w:val="00595AF1"/>
    <w:rsid w:val="00595EC0"/>
    <w:rsid w:val="00596154"/>
    <w:rsid w:val="005961D0"/>
    <w:rsid w:val="0059625C"/>
    <w:rsid w:val="0059681E"/>
    <w:rsid w:val="00596F52"/>
    <w:rsid w:val="00596FA0"/>
    <w:rsid w:val="00597060"/>
    <w:rsid w:val="005972AF"/>
    <w:rsid w:val="00597483"/>
    <w:rsid w:val="00597556"/>
    <w:rsid w:val="0059796A"/>
    <w:rsid w:val="00597BF9"/>
    <w:rsid w:val="00597C32"/>
    <w:rsid w:val="00597C4C"/>
    <w:rsid w:val="00597C86"/>
    <w:rsid w:val="005A07AB"/>
    <w:rsid w:val="005A0A2B"/>
    <w:rsid w:val="005A0C11"/>
    <w:rsid w:val="005A0CEA"/>
    <w:rsid w:val="005A0F97"/>
    <w:rsid w:val="005A1128"/>
    <w:rsid w:val="005A180E"/>
    <w:rsid w:val="005A18D4"/>
    <w:rsid w:val="005A1AA5"/>
    <w:rsid w:val="005A1D55"/>
    <w:rsid w:val="005A2510"/>
    <w:rsid w:val="005A2822"/>
    <w:rsid w:val="005A2CF6"/>
    <w:rsid w:val="005A2F66"/>
    <w:rsid w:val="005A2FE2"/>
    <w:rsid w:val="005A309A"/>
    <w:rsid w:val="005A313D"/>
    <w:rsid w:val="005A3163"/>
    <w:rsid w:val="005A31DA"/>
    <w:rsid w:val="005A31E4"/>
    <w:rsid w:val="005A323F"/>
    <w:rsid w:val="005A373D"/>
    <w:rsid w:val="005A3920"/>
    <w:rsid w:val="005A39EB"/>
    <w:rsid w:val="005A3DC8"/>
    <w:rsid w:val="005A41EE"/>
    <w:rsid w:val="005A44C5"/>
    <w:rsid w:val="005A474F"/>
    <w:rsid w:val="005A47B0"/>
    <w:rsid w:val="005A499D"/>
    <w:rsid w:val="005A4A19"/>
    <w:rsid w:val="005A4E65"/>
    <w:rsid w:val="005A51C0"/>
    <w:rsid w:val="005A5729"/>
    <w:rsid w:val="005A576E"/>
    <w:rsid w:val="005A5893"/>
    <w:rsid w:val="005A58B4"/>
    <w:rsid w:val="005A58E6"/>
    <w:rsid w:val="005A5A39"/>
    <w:rsid w:val="005A5BB7"/>
    <w:rsid w:val="005A5D1E"/>
    <w:rsid w:val="005A5D72"/>
    <w:rsid w:val="005A5DA7"/>
    <w:rsid w:val="005A5FA2"/>
    <w:rsid w:val="005A61D4"/>
    <w:rsid w:val="005A63A8"/>
    <w:rsid w:val="005A64FA"/>
    <w:rsid w:val="005A66D0"/>
    <w:rsid w:val="005A6930"/>
    <w:rsid w:val="005A69FE"/>
    <w:rsid w:val="005A6C6C"/>
    <w:rsid w:val="005A6D36"/>
    <w:rsid w:val="005A6D51"/>
    <w:rsid w:val="005A6EF9"/>
    <w:rsid w:val="005A6F5E"/>
    <w:rsid w:val="005A70ED"/>
    <w:rsid w:val="005A78D8"/>
    <w:rsid w:val="005A7D58"/>
    <w:rsid w:val="005A7F27"/>
    <w:rsid w:val="005B0115"/>
    <w:rsid w:val="005B0400"/>
    <w:rsid w:val="005B0443"/>
    <w:rsid w:val="005B0445"/>
    <w:rsid w:val="005B054C"/>
    <w:rsid w:val="005B0787"/>
    <w:rsid w:val="005B0932"/>
    <w:rsid w:val="005B0B58"/>
    <w:rsid w:val="005B0FB6"/>
    <w:rsid w:val="005B11D4"/>
    <w:rsid w:val="005B194B"/>
    <w:rsid w:val="005B1AEF"/>
    <w:rsid w:val="005B1D2A"/>
    <w:rsid w:val="005B1D99"/>
    <w:rsid w:val="005B2169"/>
    <w:rsid w:val="005B22CE"/>
    <w:rsid w:val="005B2320"/>
    <w:rsid w:val="005B2502"/>
    <w:rsid w:val="005B2713"/>
    <w:rsid w:val="005B2787"/>
    <w:rsid w:val="005B29C4"/>
    <w:rsid w:val="005B2E8D"/>
    <w:rsid w:val="005B2E8E"/>
    <w:rsid w:val="005B2F0D"/>
    <w:rsid w:val="005B321E"/>
    <w:rsid w:val="005B35C6"/>
    <w:rsid w:val="005B36A7"/>
    <w:rsid w:val="005B36E2"/>
    <w:rsid w:val="005B3710"/>
    <w:rsid w:val="005B3760"/>
    <w:rsid w:val="005B3981"/>
    <w:rsid w:val="005B3FDA"/>
    <w:rsid w:val="005B42C9"/>
    <w:rsid w:val="005B43F1"/>
    <w:rsid w:val="005B45B6"/>
    <w:rsid w:val="005B4A70"/>
    <w:rsid w:val="005B4E53"/>
    <w:rsid w:val="005B5238"/>
    <w:rsid w:val="005B5452"/>
    <w:rsid w:val="005B548F"/>
    <w:rsid w:val="005B566C"/>
    <w:rsid w:val="005B5672"/>
    <w:rsid w:val="005B5857"/>
    <w:rsid w:val="005B5E44"/>
    <w:rsid w:val="005B5F78"/>
    <w:rsid w:val="005B6332"/>
    <w:rsid w:val="005B650A"/>
    <w:rsid w:val="005B66CC"/>
    <w:rsid w:val="005B69BA"/>
    <w:rsid w:val="005B6D2A"/>
    <w:rsid w:val="005B7132"/>
    <w:rsid w:val="005B71B5"/>
    <w:rsid w:val="005B73EF"/>
    <w:rsid w:val="005B74B3"/>
    <w:rsid w:val="005B74F0"/>
    <w:rsid w:val="005B78CB"/>
    <w:rsid w:val="005B79E8"/>
    <w:rsid w:val="005B7AFE"/>
    <w:rsid w:val="005B7E50"/>
    <w:rsid w:val="005C0012"/>
    <w:rsid w:val="005C0330"/>
    <w:rsid w:val="005C043B"/>
    <w:rsid w:val="005C04B6"/>
    <w:rsid w:val="005C059C"/>
    <w:rsid w:val="005C0677"/>
    <w:rsid w:val="005C0802"/>
    <w:rsid w:val="005C0954"/>
    <w:rsid w:val="005C0986"/>
    <w:rsid w:val="005C09DE"/>
    <w:rsid w:val="005C0DE6"/>
    <w:rsid w:val="005C10DE"/>
    <w:rsid w:val="005C1244"/>
    <w:rsid w:val="005C1533"/>
    <w:rsid w:val="005C17C4"/>
    <w:rsid w:val="005C190C"/>
    <w:rsid w:val="005C1929"/>
    <w:rsid w:val="005C19C4"/>
    <w:rsid w:val="005C1B83"/>
    <w:rsid w:val="005C1C8A"/>
    <w:rsid w:val="005C23A6"/>
    <w:rsid w:val="005C25FF"/>
    <w:rsid w:val="005C2725"/>
    <w:rsid w:val="005C2950"/>
    <w:rsid w:val="005C2CF9"/>
    <w:rsid w:val="005C2D55"/>
    <w:rsid w:val="005C2E42"/>
    <w:rsid w:val="005C2F24"/>
    <w:rsid w:val="005C346B"/>
    <w:rsid w:val="005C3626"/>
    <w:rsid w:val="005C3671"/>
    <w:rsid w:val="005C3793"/>
    <w:rsid w:val="005C37AC"/>
    <w:rsid w:val="005C3A0D"/>
    <w:rsid w:val="005C3A8A"/>
    <w:rsid w:val="005C404F"/>
    <w:rsid w:val="005C45AA"/>
    <w:rsid w:val="005C4B93"/>
    <w:rsid w:val="005C4BE9"/>
    <w:rsid w:val="005C4C1E"/>
    <w:rsid w:val="005C52FE"/>
    <w:rsid w:val="005C5330"/>
    <w:rsid w:val="005C540B"/>
    <w:rsid w:val="005C5ABC"/>
    <w:rsid w:val="005C5D65"/>
    <w:rsid w:val="005C6033"/>
    <w:rsid w:val="005C6490"/>
    <w:rsid w:val="005C6635"/>
    <w:rsid w:val="005C67A8"/>
    <w:rsid w:val="005C6B34"/>
    <w:rsid w:val="005C7573"/>
    <w:rsid w:val="005C7705"/>
    <w:rsid w:val="005C7E14"/>
    <w:rsid w:val="005C7EEC"/>
    <w:rsid w:val="005D00E5"/>
    <w:rsid w:val="005D0308"/>
    <w:rsid w:val="005D044D"/>
    <w:rsid w:val="005D0891"/>
    <w:rsid w:val="005D0ABD"/>
    <w:rsid w:val="005D0DB4"/>
    <w:rsid w:val="005D0DD1"/>
    <w:rsid w:val="005D0E81"/>
    <w:rsid w:val="005D0F4C"/>
    <w:rsid w:val="005D0F96"/>
    <w:rsid w:val="005D112E"/>
    <w:rsid w:val="005D114B"/>
    <w:rsid w:val="005D1455"/>
    <w:rsid w:val="005D146E"/>
    <w:rsid w:val="005D1710"/>
    <w:rsid w:val="005D1761"/>
    <w:rsid w:val="005D17B8"/>
    <w:rsid w:val="005D18AD"/>
    <w:rsid w:val="005D1B5D"/>
    <w:rsid w:val="005D1F45"/>
    <w:rsid w:val="005D2107"/>
    <w:rsid w:val="005D2128"/>
    <w:rsid w:val="005D218C"/>
    <w:rsid w:val="005D2548"/>
    <w:rsid w:val="005D26B4"/>
    <w:rsid w:val="005D2AA8"/>
    <w:rsid w:val="005D2B0E"/>
    <w:rsid w:val="005D2F89"/>
    <w:rsid w:val="005D3332"/>
    <w:rsid w:val="005D3625"/>
    <w:rsid w:val="005D3777"/>
    <w:rsid w:val="005D37AA"/>
    <w:rsid w:val="005D393F"/>
    <w:rsid w:val="005D4118"/>
    <w:rsid w:val="005D437D"/>
    <w:rsid w:val="005D448A"/>
    <w:rsid w:val="005D4904"/>
    <w:rsid w:val="005D4B93"/>
    <w:rsid w:val="005D4E07"/>
    <w:rsid w:val="005D4F26"/>
    <w:rsid w:val="005D5369"/>
    <w:rsid w:val="005D58DA"/>
    <w:rsid w:val="005D5C42"/>
    <w:rsid w:val="005D5F05"/>
    <w:rsid w:val="005D6432"/>
    <w:rsid w:val="005D64E0"/>
    <w:rsid w:val="005D66FC"/>
    <w:rsid w:val="005D6965"/>
    <w:rsid w:val="005D69B2"/>
    <w:rsid w:val="005D6AFD"/>
    <w:rsid w:val="005D6C26"/>
    <w:rsid w:val="005D6F05"/>
    <w:rsid w:val="005D70A3"/>
    <w:rsid w:val="005D755C"/>
    <w:rsid w:val="005D75B3"/>
    <w:rsid w:val="005D77A7"/>
    <w:rsid w:val="005D7C10"/>
    <w:rsid w:val="005E0112"/>
    <w:rsid w:val="005E01DC"/>
    <w:rsid w:val="005E0556"/>
    <w:rsid w:val="005E05A5"/>
    <w:rsid w:val="005E0659"/>
    <w:rsid w:val="005E0CCE"/>
    <w:rsid w:val="005E12C1"/>
    <w:rsid w:val="005E1642"/>
    <w:rsid w:val="005E164E"/>
    <w:rsid w:val="005E17AC"/>
    <w:rsid w:val="005E1995"/>
    <w:rsid w:val="005E1A2A"/>
    <w:rsid w:val="005E1B6D"/>
    <w:rsid w:val="005E1DE4"/>
    <w:rsid w:val="005E2148"/>
    <w:rsid w:val="005E2172"/>
    <w:rsid w:val="005E2565"/>
    <w:rsid w:val="005E26D0"/>
    <w:rsid w:val="005E2905"/>
    <w:rsid w:val="005E2E3E"/>
    <w:rsid w:val="005E2F92"/>
    <w:rsid w:val="005E303D"/>
    <w:rsid w:val="005E32CA"/>
    <w:rsid w:val="005E34F7"/>
    <w:rsid w:val="005E35F6"/>
    <w:rsid w:val="005E35FF"/>
    <w:rsid w:val="005E3961"/>
    <w:rsid w:val="005E3BAD"/>
    <w:rsid w:val="005E3D5B"/>
    <w:rsid w:val="005E43B3"/>
    <w:rsid w:val="005E472E"/>
    <w:rsid w:val="005E48D6"/>
    <w:rsid w:val="005E4AA3"/>
    <w:rsid w:val="005E4B4F"/>
    <w:rsid w:val="005E4D3C"/>
    <w:rsid w:val="005E4DCE"/>
    <w:rsid w:val="005E4DFF"/>
    <w:rsid w:val="005E50B8"/>
    <w:rsid w:val="005E521F"/>
    <w:rsid w:val="005E537B"/>
    <w:rsid w:val="005E53F2"/>
    <w:rsid w:val="005E5484"/>
    <w:rsid w:val="005E5638"/>
    <w:rsid w:val="005E58CE"/>
    <w:rsid w:val="005E5A52"/>
    <w:rsid w:val="005E5C6C"/>
    <w:rsid w:val="005E6041"/>
    <w:rsid w:val="005E62C9"/>
    <w:rsid w:val="005E64B9"/>
    <w:rsid w:val="005E6765"/>
    <w:rsid w:val="005E68E8"/>
    <w:rsid w:val="005E69DE"/>
    <w:rsid w:val="005E6A43"/>
    <w:rsid w:val="005E6AED"/>
    <w:rsid w:val="005E6C41"/>
    <w:rsid w:val="005E6CBC"/>
    <w:rsid w:val="005E6F64"/>
    <w:rsid w:val="005E72FF"/>
    <w:rsid w:val="005E73C0"/>
    <w:rsid w:val="005E770F"/>
    <w:rsid w:val="005E77F5"/>
    <w:rsid w:val="005E798D"/>
    <w:rsid w:val="005E79E1"/>
    <w:rsid w:val="005E7A54"/>
    <w:rsid w:val="005E7BD0"/>
    <w:rsid w:val="005E7E8E"/>
    <w:rsid w:val="005E7EC6"/>
    <w:rsid w:val="005E7F90"/>
    <w:rsid w:val="005F003A"/>
    <w:rsid w:val="005F0238"/>
    <w:rsid w:val="005F0278"/>
    <w:rsid w:val="005F0364"/>
    <w:rsid w:val="005F07ED"/>
    <w:rsid w:val="005F0BA4"/>
    <w:rsid w:val="005F0DD1"/>
    <w:rsid w:val="005F127C"/>
    <w:rsid w:val="005F129A"/>
    <w:rsid w:val="005F12FC"/>
    <w:rsid w:val="005F13A1"/>
    <w:rsid w:val="005F1488"/>
    <w:rsid w:val="005F1B8C"/>
    <w:rsid w:val="005F1D03"/>
    <w:rsid w:val="005F1D32"/>
    <w:rsid w:val="005F1FB0"/>
    <w:rsid w:val="005F2706"/>
    <w:rsid w:val="005F2731"/>
    <w:rsid w:val="005F2D77"/>
    <w:rsid w:val="005F2DA2"/>
    <w:rsid w:val="005F318E"/>
    <w:rsid w:val="005F324A"/>
    <w:rsid w:val="005F32BA"/>
    <w:rsid w:val="005F3349"/>
    <w:rsid w:val="005F39F8"/>
    <w:rsid w:val="005F3B27"/>
    <w:rsid w:val="005F3C69"/>
    <w:rsid w:val="005F3E6C"/>
    <w:rsid w:val="005F4080"/>
    <w:rsid w:val="005F429F"/>
    <w:rsid w:val="005F42D2"/>
    <w:rsid w:val="005F442B"/>
    <w:rsid w:val="005F48AB"/>
    <w:rsid w:val="005F495D"/>
    <w:rsid w:val="005F4A6D"/>
    <w:rsid w:val="005F4C46"/>
    <w:rsid w:val="005F4C7B"/>
    <w:rsid w:val="005F5226"/>
    <w:rsid w:val="005F5389"/>
    <w:rsid w:val="005F552A"/>
    <w:rsid w:val="005F571E"/>
    <w:rsid w:val="005F5BDF"/>
    <w:rsid w:val="005F5F80"/>
    <w:rsid w:val="005F60AB"/>
    <w:rsid w:val="005F610F"/>
    <w:rsid w:val="005F6166"/>
    <w:rsid w:val="005F61A4"/>
    <w:rsid w:val="005F63B3"/>
    <w:rsid w:val="005F6403"/>
    <w:rsid w:val="005F641B"/>
    <w:rsid w:val="005F644A"/>
    <w:rsid w:val="005F6481"/>
    <w:rsid w:val="005F64B8"/>
    <w:rsid w:val="005F6511"/>
    <w:rsid w:val="005F65ED"/>
    <w:rsid w:val="005F6683"/>
    <w:rsid w:val="005F66FA"/>
    <w:rsid w:val="005F6A8F"/>
    <w:rsid w:val="005F6B4B"/>
    <w:rsid w:val="005F6BB7"/>
    <w:rsid w:val="005F7069"/>
    <w:rsid w:val="005F7332"/>
    <w:rsid w:val="005F733B"/>
    <w:rsid w:val="005F7387"/>
    <w:rsid w:val="005F7588"/>
    <w:rsid w:val="005F7649"/>
    <w:rsid w:val="00600042"/>
    <w:rsid w:val="0060042F"/>
    <w:rsid w:val="00600C61"/>
    <w:rsid w:val="00600FF4"/>
    <w:rsid w:val="00601100"/>
    <w:rsid w:val="00601144"/>
    <w:rsid w:val="006012D7"/>
    <w:rsid w:val="00601441"/>
    <w:rsid w:val="00601718"/>
    <w:rsid w:val="006017E1"/>
    <w:rsid w:val="006018C3"/>
    <w:rsid w:val="00601D3D"/>
    <w:rsid w:val="0060206A"/>
    <w:rsid w:val="006021E7"/>
    <w:rsid w:val="006023DE"/>
    <w:rsid w:val="006023E3"/>
    <w:rsid w:val="00602447"/>
    <w:rsid w:val="0060270B"/>
    <w:rsid w:val="00602718"/>
    <w:rsid w:val="006028D3"/>
    <w:rsid w:val="00602955"/>
    <w:rsid w:val="00602A74"/>
    <w:rsid w:val="00602E59"/>
    <w:rsid w:val="00602F5F"/>
    <w:rsid w:val="00602FAA"/>
    <w:rsid w:val="00602FDF"/>
    <w:rsid w:val="0060306B"/>
    <w:rsid w:val="0060315B"/>
    <w:rsid w:val="0060319D"/>
    <w:rsid w:val="006037D6"/>
    <w:rsid w:val="00603803"/>
    <w:rsid w:val="00603AB4"/>
    <w:rsid w:val="00603DB9"/>
    <w:rsid w:val="00603FB5"/>
    <w:rsid w:val="00604113"/>
    <w:rsid w:val="006041C8"/>
    <w:rsid w:val="006041F5"/>
    <w:rsid w:val="00604449"/>
    <w:rsid w:val="00604A29"/>
    <w:rsid w:val="00604B64"/>
    <w:rsid w:val="00604E73"/>
    <w:rsid w:val="0060500C"/>
    <w:rsid w:val="006052D5"/>
    <w:rsid w:val="006053F3"/>
    <w:rsid w:val="0060546E"/>
    <w:rsid w:val="00605615"/>
    <w:rsid w:val="006059F5"/>
    <w:rsid w:val="00605AEA"/>
    <w:rsid w:val="00605CA1"/>
    <w:rsid w:val="00606198"/>
    <w:rsid w:val="0060646B"/>
    <w:rsid w:val="00606855"/>
    <w:rsid w:val="0060693F"/>
    <w:rsid w:val="00606B57"/>
    <w:rsid w:val="00606D68"/>
    <w:rsid w:val="00606E63"/>
    <w:rsid w:val="00606FBA"/>
    <w:rsid w:val="00607407"/>
    <w:rsid w:val="00607669"/>
    <w:rsid w:val="006076F4"/>
    <w:rsid w:val="00607AFD"/>
    <w:rsid w:val="00607B8D"/>
    <w:rsid w:val="006101AF"/>
    <w:rsid w:val="00610238"/>
    <w:rsid w:val="006106E8"/>
    <w:rsid w:val="00610779"/>
    <w:rsid w:val="00610E06"/>
    <w:rsid w:val="00610EEF"/>
    <w:rsid w:val="00610F39"/>
    <w:rsid w:val="00610FDF"/>
    <w:rsid w:val="00611203"/>
    <w:rsid w:val="006112EA"/>
    <w:rsid w:val="00611319"/>
    <w:rsid w:val="006114DE"/>
    <w:rsid w:val="00611525"/>
    <w:rsid w:val="006116BF"/>
    <w:rsid w:val="00611704"/>
    <w:rsid w:val="00611712"/>
    <w:rsid w:val="00611922"/>
    <w:rsid w:val="006119E6"/>
    <w:rsid w:val="00611B12"/>
    <w:rsid w:val="00611CF0"/>
    <w:rsid w:val="00611E07"/>
    <w:rsid w:val="00611E11"/>
    <w:rsid w:val="00611E5C"/>
    <w:rsid w:val="00611EED"/>
    <w:rsid w:val="00612024"/>
    <w:rsid w:val="00612190"/>
    <w:rsid w:val="006124D2"/>
    <w:rsid w:val="006124D7"/>
    <w:rsid w:val="0061284D"/>
    <w:rsid w:val="00612888"/>
    <w:rsid w:val="00612D7D"/>
    <w:rsid w:val="00612E06"/>
    <w:rsid w:val="00612F1B"/>
    <w:rsid w:val="00612F97"/>
    <w:rsid w:val="006131A1"/>
    <w:rsid w:val="0061343A"/>
    <w:rsid w:val="0061345D"/>
    <w:rsid w:val="006137F1"/>
    <w:rsid w:val="0061393B"/>
    <w:rsid w:val="00613B3F"/>
    <w:rsid w:val="00613D04"/>
    <w:rsid w:val="00613DE6"/>
    <w:rsid w:val="006144EF"/>
    <w:rsid w:val="006146FA"/>
    <w:rsid w:val="0061474B"/>
    <w:rsid w:val="00614952"/>
    <w:rsid w:val="00614A5D"/>
    <w:rsid w:val="00614A65"/>
    <w:rsid w:val="00614B2B"/>
    <w:rsid w:val="006150B8"/>
    <w:rsid w:val="00615176"/>
    <w:rsid w:val="0061531F"/>
    <w:rsid w:val="0061549B"/>
    <w:rsid w:val="006157DE"/>
    <w:rsid w:val="00615926"/>
    <w:rsid w:val="00615950"/>
    <w:rsid w:val="00615B09"/>
    <w:rsid w:val="00615BF8"/>
    <w:rsid w:val="00615E83"/>
    <w:rsid w:val="006161D0"/>
    <w:rsid w:val="00616700"/>
    <w:rsid w:val="00616802"/>
    <w:rsid w:val="0061687A"/>
    <w:rsid w:val="006168D1"/>
    <w:rsid w:val="00616938"/>
    <w:rsid w:val="00616A4B"/>
    <w:rsid w:val="00616B9C"/>
    <w:rsid w:val="00616C67"/>
    <w:rsid w:val="00616DB2"/>
    <w:rsid w:val="006171A6"/>
    <w:rsid w:val="006171C1"/>
    <w:rsid w:val="00617323"/>
    <w:rsid w:val="006179E0"/>
    <w:rsid w:val="00617C9C"/>
    <w:rsid w:val="00617C9E"/>
    <w:rsid w:val="00617D8C"/>
    <w:rsid w:val="00617E12"/>
    <w:rsid w:val="00617ECC"/>
    <w:rsid w:val="00617FD0"/>
    <w:rsid w:val="006208B5"/>
    <w:rsid w:val="00620C25"/>
    <w:rsid w:val="00620F9B"/>
    <w:rsid w:val="0062133F"/>
    <w:rsid w:val="00621477"/>
    <w:rsid w:val="00621613"/>
    <w:rsid w:val="006218CD"/>
    <w:rsid w:val="006218CF"/>
    <w:rsid w:val="00621949"/>
    <w:rsid w:val="00621ADA"/>
    <w:rsid w:val="00621EC9"/>
    <w:rsid w:val="00622109"/>
    <w:rsid w:val="00622237"/>
    <w:rsid w:val="00622255"/>
    <w:rsid w:val="0062245C"/>
    <w:rsid w:val="00622690"/>
    <w:rsid w:val="006226EF"/>
    <w:rsid w:val="0062273A"/>
    <w:rsid w:val="0062286C"/>
    <w:rsid w:val="006229FB"/>
    <w:rsid w:val="00622CCB"/>
    <w:rsid w:val="00622DE4"/>
    <w:rsid w:val="00622E18"/>
    <w:rsid w:val="00622FA9"/>
    <w:rsid w:val="006230C2"/>
    <w:rsid w:val="006232B0"/>
    <w:rsid w:val="006232ED"/>
    <w:rsid w:val="006232F5"/>
    <w:rsid w:val="0062332B"/>
    <w:rsid w:val="00623506"/>
    <w:rsid w:val="0062353D"/>
    <w:rsid w:val="0062384C"/>
    <w:rsid w:val="006239B1"/>
    <w:rsid w:val="00623F7B"/>
    <w:rsid w:val="0062411E"/>
    <w:rsid w:val="006244F7"/>
    <w:rsid w:val="00624692"/>
    <w:rsid w:val="006247D9"/>
    <w:rsid w:val="00624817"/>
    <w:rsid w:val="00624A2F"/>
    <w:rsid w:val="00624BD4"/>
    <w:rsid w:val="00624BE5"/>
    <w:rsid w:val="00624D28"/>
    <w:rsid w:val="00624F16"/>
    <w:rsid w:val="00624FEB"/>
    <w:rsid w:val="00625560"/>
    <w:rsid w:val="006255A7"/>
    <w:rsid w:val="00625645"/>
    <w:rsid w:val="006256EA"/>
    <w:rsid w:val="006257DD"/>
    <w:rsid w:val="00625DC3"/>
    <w:rsid w:val="00625EF1"/>
    <w:rsid w:val="0062601D"/>
    <w:rsid w:val="00626690"/>
    <w:rsid w:val="00626965"/>
    <w:rsid w:val="00626A9F"/>
    <w:rsid w:val="0062719B"/>
    <w:rsid w:val="00627DA3"/>
    <w:rsid w:val="00627E82"/>
    <w:rsid w:val="0063015D"/>
    <w:rsid w:val="006301C3"/>
    <w:rsid w:val="0063030E"/>
    <w:rsid w:val="00630607"/>
    <w:rsid w:val="00630699"/>
    <w:rsid w:val="00630967"/>
    <w:rsid w:val="006309C1"/>
    <w:rsid w:val="00630A8F"/>
    <w:rsid w:val="00630BA9"/>
    <w:rsid w:val="006310DA"/>
    <w:rsid w:val="00631499"/>
    <w:rsid w:val="006314B1"/>
    <w:rsid w:val="0063158F"/>
    <w:rsid w:val="00631701"/>
    <w:rsid w:val="00631940"/>
    <w:rsid w:val="0063195E"/>
    <w:rsid w:val="00631ADD"/>
    <w:rsid w:val="00631D6B"/>
    <w:rsid w:val="00631E6F"/>
    <w:rsid w:val="00631F39"/>
    <w:rsid w:val="00632057"/>
    <w:rsid w:val="00632183"/>
    <w:rsid w:val="00632206"/>
    <w:rsid w:val="006322BC"/>
    <w:rsid w:val="00632316"/>
    <w:rsid w:val="00632403"/>
    <w:rsid w:val="00632430"/>
    <w:rsid w:val="0063243C"/>
    <w:rsid w:val="0063246E"/>
    <w:rsid w:val="00632561"/>
    <w:rsid w:val="006329B5"/>
    <w:rsid w:val="006329FF"/>
    <w:rsid w:val="00632CE1"/>
    <w:rsid w:val="00632D11"/>
    <w:rsid w:val="00632F2A"/>
    <w:rsid w:val="0063302F"/>
    <w:rsid w:val="006330A1"/>
    <w:rsid w:val="006330C4"/>
    <w:rsid w:val="00633193"/>
    <w:rsid w:val="0063369B"/>
    <w:rsid w:val="006338C8"/>
    <w:rsid w:val="006338CD"/>
    <w:rsid w:val="00633D3D"/>
    <w:rsid w:val="00633DAA"/>
    <w:rsid w:val="006341E3"/>
    <w:rsid w:val="0063479F"/>
    <w:rsid w:val="00634837"/>
    <w:rsid w:val="00634909"/>
    <w:rsid w:val="00634C62"/>
    <w:rsid w:val="00634F95"/>
    <w:rsid w:val="00634F9F"/>
    <w:rsid w:val="006353F0"/>
    <w:rsid w:val="006356E0"/>
    <w:rsid w:val="006357B5"/>
    <w:rsid w:val="006357FF"/>
    <w:rsid w:val="00635CA7"/>
    <w:rsid w:val="006364A1"/>
    <w:rsid w:val="00636549"/>
    <w:rsid w:val="0063678E"/>
    <w:rsid w:val="0063695C"/>
    <w:rsid w:val="00636CF5"/>
    <w:rsid w:val="00636DE4"/>
    <w:rsid w:val="006372D3"/>
    <w:rsid w:val="00637492"/>
    <w:rsid w:val="0063758B"/>
    <w:rsid w:val="0063763F"/>
    <w:rsid w:val="006376C6"/>
    <w:rsid w:val="00637ADB"/>
    <w:rsid w:val="00637BFD"/>
    <w:rsid w:val="00637C13"/>
    <w:rsid w:val="00637C40"/>
    <w:rsid w:val="00637C5C"/>
    <w:rsid w:val="00637EF6"/>
    <w:rsid w:val="00637F5D"/>
    <w:rsid w:val="006403CA"/>
    <w:rsid w:val="00640644"/>
    <w:rsid w:val="006408C9"/>
    <w:rsid w:val="00640953"/>
    <w:rsid w:val="00640ADD"/>
    <w:rsid w:val="00640B5F"/>
    <w:rsid w:val="00641028"/>
    <w:rsid w:val="006410BD"/>
    <w:rsid w:val="006415F2"/>
    <w:rsid w:val="00641A3E"/>
    <w:rsid w:val="00641A85"/>
    <w:rsid w:val="00641B58"/>
    <w:rsid w:val="00641C4E"/>
    <w:rsid w:val="00641C5E"/>
    <w:rsid w:val="00641FB3"/>
    <w:rsid w:val="006420A7"/>
    <w:rsid w:val="006427A5"/>
    <w:rsid w:val="00642814"/>
    <w:rsid w:val="006429F8"/>
    <w:rsid w:val="00642CED"/>
    <w:rsid w:val="00642F7D"/>
    <w:rsid w:val="00642F99"/>
    <w:rsid w:val="0064337B"/>
    <w:rsid w:val="0064339B"/>
    <w:rsid w:val="00643622"/>
    <w:rsid w:val="00644068"/>
    <w:rsid w:val="0064425F"/>
    <w:rsid w:val="0064434C"/>
    <w:rsid w:val="00644708"/>
    <w:rsid w:val="00644787"/>
    <w:rsid w:val="00644A08"/>
    <w:rsid w:val="00645966"/>
    <w:rsid w:val="00645A21"/>
    <w:rsid w:val="00645A5A"/>
    <w:rsid w:val="00645ACE"/>
    <w:rsid w:val="00645CFE"/>
    <w:rsid w:val="00645F2F"/>
    <w:rsid w:val="00645FDD"/>
    <w:rsid w:val="006464AB"/>
    <w:rsid w:val="00646B23"/>
    <w:rsid w:val="00646BCB"/>
    <w:rsid w:val="00647052"/>
    <w:rsid w:val="006471CC"/>
    <w:rsid w:val="006472FE"/>
    <w:rsid w:val="006475AC"/>
    <w:rsid w:val="006475C7"/>
    <w:rsid w:val="00647608"/>
    <w:rsid w:val="00647693"/>
    <w:rsid w:val="00647696"/>
    <w:rsid w:val="00647922"/>
    <w:rsid w:val="00647A29"/>
    <w:rsid w:val="00647D25"/>
    <w:rsid w:val="00647E00"/>
    <w:rsid w:val="00647E25"/>
    <w:rsid w:val="00650370"/>
    <w:rsid w:val="006503D3"/>
    <w:rsid w:val="00650614"/>
    <w:rsid w:val="0065079F"/>
    <w:rsid w:val="006508D1"/>
    <w:rsid w:val="00650B0A"/>
    <w:rsid w:val="00650B15"/>
    <w:rsid w:val="00650B1F"/>
    <w:rsid w:val="00650F0E"/>
    <w:rsid w:val="00650F3F"/>
    <w:rsid w:val="00651202"/>
    <w:rsid w:val="006516B0"/>
    <w:rsid w:val="006518A9"/>
    <w:rsid w:val="00651E57"/>
    <w:rsid w:val="00651FC7"/>
    <w:rsid w:val="00652771"/>
    <w:rsid w:val="00652799"/>
    <w:rsid w:val="0065287C"/>
    <w:rsid w:val="00652A28"/>
    <w:rsid w:val="00652ABE"/>
    <w:rsid w:val="00652D42"/>
    <w:rsid w:val="00652D6E"/>
    <w:rsid w:val="00652DB2"/>
    <w:rsid w:val="00652E09"/>
    <w:rsid w:val="00652ED5"/>
    <w:rsid w:val="00653105"/>
    <w:rsid w:val="006533DC"/>
    <w:rsid w:val="00653533"/>
    <w:rsid w:val="0065358C"/>
    <w:rsid w:val="00653591"/>
    <w:rsid w:val="0065379F"/>
    <w:rsid w:val="00653BCF"/>
    <w:rsid w:val="00653D3F"/>
    <w:rsid w:val="00653F58"/>
    <w:rsid w:val="0065401D"/>
    <w:rsid w:val="00654077"/>
    <w:rsid w:val="006541D1"/>
    <w:rsid w:val="00654260"/>
    <w:rsid w:val="00654349"/>
    <w:rsid w:val="006544EF"/>
    <w:rsid w:val="00654517"/>
    <w:rsid w:val="006545C5"/>
    <w:rsid w:val="00654620"/>
    <w:rsid w:val="00654866"/>
    <w:rsid w:val="00654BCB"/>
    <w:rsid w:val="00654CBE"/>
    <w:rsid w:val="00654D85"/>
    <w:rsid w:val="00654EF1"/>
    <w:rsid w:val="006550AC"/>
    <w:rsid w:val="0065523F"/>
    <w:rsid w:val="00655300"/>
    <w:rsid w:val="00655774"/>
    <w:rsid w:val="006557B0"/>
    <w:rsid w:val="006558E9"/>
    <w:rsid w:val="00656188"/>
    <w:rsid w:val="0065627E"/>
    <w:rsid w:val="0065628F"/>
    <w:rsid w:val="006567DC"/>
    <w:rsid w:val="00656AB6"/>
    <w:rsid w:val="00656BFA"/>
    <w:rsid w:val="00656D6E"/>
    <w:rsid w:val="00656DCE"/>
    <w:rsid w:val="00656DEC"/>
    <w:rsid w:val="00656FC1"/>
    <w:rsid w:val="00657016"/>
    <w:rsid w:val="00657024"/>
    <w:rsid w:val="00657095"/>
    <w:rsid w:val="0065715A"/>
    <w:rsid w:val="0065760B"/>
    <w:rsid w:val="006577CC"/>
    <w:rsid w:val="006579B3"/>
    <w:rsid w:val="00657D49"/>
    <w:rsid w:val="0066014D"/>
    <w:rsid w:val="0066018E"/>
    <w:rsid w:val="006605B5"/>
    <w:rsid w:val="00660697"/>
    <w:rsid w:val="0066076A"/>
    <w:rsid w:val="00660D88"/>
    <w:rsid w:val="006610F1"/>
    <w:rsid w:val="00661440"/>
    <w:rsid w:val="00661895"/>
    <w:rsid w:val="006618C7"/>
    <w:rsid w:val="00661C6B"/>
    <w:rsid w:val="00661CB0"/>
    <w:rsid w:val="0066220C"/>
    <w:rsid w:val="00662532"/>
    <w:rsid w:val="0066290D"/>
    <w:rsid w:val="00662A89"/>
    <w:rsid w:val="00662CA7"/>
    <w:rsid w:val="00662D3E"/>
    <w:rsid w:val="00663195"/>
    <w:rsid w:val="006633F1"/>
    <w:rsid w:val="00663486"/>
    <w:rsid w:val="00663A69"/>
    <w:rsid w:val="00663DEC"/>
    <w:rsid w:val="00664059"/>
    <w:rsid w:val="00664084"/>
    <w:rsid w:val="00664349"/>
    <w:rsid w:val="00664452"/>
    <w:rsid w:val="006645D1"/>
    <w:rsid w:val="00664985"/>
    <w:rsid w:val="006649BF"/>
    <w:rsid w:val="00664D23"/>
    <w:rsid w:val="00664ECA"/>
    <w:rsid w:val="006651DC"/>
    <w:rsid w:val="00665320"/>
    <w:rsid w:val="00665467"/>
    <w:rsid w:val="006656BD"/>
    <w:rsid w:val="0066586F"/>
    <w:rsid w:val="006658F9"/>
    <w:rsid w:val="00665A79"/>
    <w:rsid w:val="00665AE5"/>
    <w:rsid w:val="00665B26"/>
    <w:rsid w:val="00665BE0"/>
    <w:rsid w:val="00665CA4"/>
    <w:rsid w:val="00666018"/>
    <w:rsid w:val="006660E8"/>
    <w:rsid w:val="00666138"/>
    <w:rsid w:val="006661A5"/>
    <w:rsid w:val="006662F7"/>
    <w:rsid w:val="00666669"/>
    <w:rsid w:val="006666B6"/>
    <w:rsid w:val="00666921"/>
    <w:rsid w:val="00666DFC"/>
    <w:rsid w:val="006671D6"/>
    <w:rsid w:val="00667236"/>
    <w:rsid w:val="00667388"/>
    <w:rsid w:val="0066749E"/>
    <w:rsid w:val="0066753F"/>
    <w:rsid w:val="00667813"/>
    <w:rsid w:val="00667836"/>
    <w:rsid w:val="0066798E"/>
    <w:rsid w:val="006679AC"/>
    <w:rsid w:val="00667BE3"/>
    <w:rsid w:val="00667F84"/>
    <w:rsid w:val="00670023"/>
    <w:rsid w:val="00670061"/>
    <w:rsid w:val="0067013E"/>
    <w:rsid w:val="006706DA"/>
    <w:rsid w:val="00670705"/>
    <w:rsid w:val="00670A37"/>
    <w:rsid w:val="00670B5C"/>
    <w:rsid w:val="00670D1A"/>
    <w:rsid w:val="00670D9B"/>
    <w:rsid w:val="00671004"/>
    <w:rsid w:val="00671008"/>
    <w:rsid w:val="006711A4"/>
    <w:rsid w:val="006715CB"/>
    <w:rsid w:val="0067198D"/>
    <w:rsid w:val="00671DDD"/>
    <w:rsid w:val="00672064"/>
    <w:rsid w:val="006721BD"/>
    <w:rsid w:val="00672321"/>
    <w:rsid w:val="00672646"/>
    <w:rsid w:val="00672D3B"/>
    <w:rsid w:val="00672ECB"/>
    <w:rsid w:val="00672F00"/>
    <w:rsid w:val="00673009"/>
    <w:rsid w:val="006731F4"/>
    <w:rsid w:val="0067322C"/>
    <w:rsid w:val="006732FC"/>
    <w:rsid w:val="00673360"/>
    <w:rsid w:val="006733B5"/>
    <w:rsid w:val="006736B1"/>
    <w:rsid w:val="0067370E"/>
    <w:rsid w:val="00673E83"/>
    <w:rsid w:val="006740F2"/>
    <w:rsid w:val="0067413B"/>
    <w:rsid w:val="006741F5"/>
    <w:rsid w:val="00674381"/>
    <w:rsid w:val="00674785"/>
    <w:rsid w:val="006749C9"/>
    <w:rsid w:val="00674A60"/>
    <w:rsid w:val="00674A91"/>
    <w:rsid w:val="00674B7D"/>
    <w:rsid w:val="00674E42"/>
    <w:rsid w:val="0067518E"/>
    <w:rsid w:val="00675B8D"/>
    <w:rsid w:val="00675C37"/>
    <w:rsid w:val="00675D2F"/>
    <w:rsid w:val="00675F1A"/>
    <w:rsid w:val="0067653F"/>
    <w:rsid w:val="00676563"/>
    <w:rsid w:val="00676702"/>
    <w:rsid w:val="00676823"/>
    <w:rsid w:val="00676B5A"/>
    <w:rsid w:val="006771C8"/>
    <w:rsid w:val="00677638"/>
    <w:rsid w:val="00677957"/>
    <w:rsid w:val="006779A0"/>
    <w:rsid w:val="006779D0"/>
    <w:rsid w:val="00677C29"/>
    <w:rsid w:val="00680047"/>
    <w:rsid w:val="0068007A"/>
    <w:rsid w:val="0068071E"/>
    <w:rsid w:val="00680C0D"/>
    <w:rsid w:val="00680F10"/>
    <w:rsid w:val="00680FD7"/>
    <w:rsid w:val="00681053"/>
    <w:rsid w:val="006811EA"/>
    <w:rsid w:val="0068123B"/>
    <w:rsid w:val="00681369"/>
    <w:rsid w:val="006813AC"/>
    <w:rsid w:val="006813F8"/>
    <w:rsid w:val="0068144D"/>
    <w:rsid w:val="006819BA"/>
    <w:rsid w:val="00681A06"/>
    <w:rsid w:val="00681C57"/>
    <w:rsid w:val="00682112"/>
    <w:rsid w:val="0068239F"/>
    <w:rsid w:val="0068258C"/>
    <w:rsid w:val="006826F6"/>
    <w:rsid w:val="00682A5A"/>
    <w:rsid w:val="00682B67"/>
    <w:rsid w:val="00682BA6"/>
    <w:rsid w:val="00682E54"/>
    <w:rsid w:val="00682EC8"/>
    <w:rsid w:val="00683055"/>
    <w:rsid w:val="006835BB"/>
    <w:rsid w:val="0068392A"/>
    <w:rsid w:val="006839E1"/>
    <w:rsid w:val="00683ABB"/>
    <w:rsid w:val="00683C91"/>
    <w:rsid w:val="00683D2F"/>
    <w:rsid w:val="00683E05"/>
    <w:rsid w:val="00683EE6"/>
    <w:rsid w:val="006842BE"/>
    <w:rsid w:val="0068451C"/>
    <w:rsid w:val="00684743"/>
    <w:rsid w:val="006847CB"/>
    <w:rsid w:val="006847FB"/>
    <w:rsid w:val="0068480A"/>
    <w:rsid w:val="0068481C"/>
    <w:rsid w:val="006848AE"/>
    <w:rsid w:val="00684C44"/>
    <w:rsid w:val="00684D98"/>
    <w:rsid w:val="00684F18"/>
    <w:rsid w:val="006851FB"/>
    <w:rsid w:val="0068592B"/>
    <w:rsid w:val="00685CFF"/>
    <w:rsid w:val="00685EBE"/>
    <w:rsid w:val="006861AE"/>
    <w:rsid w:val="00686225"/>
    <w:rsid w:val="006862B9"/>
    <w:rsid w:val="00686907"/>
    <w:rsid w:val="00686957"/>
    <w:rsid w:val="00686AEF"/>
    <w:rsid w:val="00686D8D"/>
    <w:rsid w:val="00686E50"/>
    <w:rsid w:val="006872BA"/>
    <w:rsid w:val="00687821"/>
    <w:rsid w:val="006878EA"/>
    <w:rsid w:val="00687991"/>
    <w:rsid w:val="00687C2F"/>
    <w:rsid w:val="00687CAE"/>
    <w:rsid w:val="00687E3A"/>
    <w:rsid w:val="00687EE0"/>
    <w:rsid w:val="00687F06"/>
    <w:rsid w:val="00690012"/>
    <w:rsid w:val="006902F1"/>
    <w:rsid w:val="006905BE"/>
    <w:rsid w:val="006905D7"/>
    <w:rsid w:val="00690795"/>
    <w:rsid w:val="00690837"/>
    <w:rsid w:val="006909C5"/>
    <w:rsid w:val="00690B5A"/>
    <w:rsid w:val="00690D66"/>
    <w:rsid w:val="006910DC"/>
    <w:rsid w:val="00691399"/>
    <w:rsid w:val="006914C8"/>
    <w:rsid w:val="006914DA"/>
    <w:rsid w:val="00691648"/>
    <w:rsid w:val="006917D7"/>
    <w:rsid w:val="006918EE"/>
    <w:rsid w:val="00691BA0"/>
    <w:rsid w:val="00691C37"/>
    <w:rsid w:val="00691DCD"/>
    <w:rsid w:val="006921FE"/>
    <w:rsid w:val="00692233"/>
    <w:rsid w:val="0069225B"/>
    <w:rsid w:val="00692387"/>
    <w:rsid w:val="0069262E"/>
    <w:rsid w:val="00692851"/>
    <w:rsid w:val="0069296F"/>
    <w:rsid w:val="006929FE"/>
    <w:rsid w:val="00692ACA"/>
    <w:rsid w:val="00692D69"/>
    <w:rsid w:val="00693069"/>
    <w:rsid w:val="00693343"/>
    <w:rsid w:val="00693875"/>
    <w:rsid w:val="006939F2"/>
    <w:rsid w:val="00693C50"/>
    <w:rsid w:val="00693CC3"/>
    <w:rsid w:val="00693D86"/>
    <w:rsid w:val="00693DD3"/>
    <w:rsid w:val="00693EEA"/>
    <w:rsid w:val="00694116"/>
    <w:rsid w:val="0069425E"/>
    <w:rsid w:val="00694321"/>
    <w:rsid w:val="0069434C"/>
    <w:rsid w:val="0069437A"/>
    <w:rsid w:val="006943FD"/>
    <w:rsid w:val="0069455E"/>
    <w:rsid w:val="00694647"/>
    <w:rsid w:val="006949A4"/>
    <w:rsid w:val="00694DE0"/>
    <w:rsid w:val="00694F44"/>
    <w:rsid w:val="00694F9B"/>
    <w:rsid w:val="006954FC"/>
    <w:rsid w:val="006955F2"/>
    <w:rsid w:val="00695959"/>
    <w:rsid w:val="006966A6"/>
    <w:rsid w:val="0069673F"/>
    <w:rsid w:val="006967F4"/>
    <w:rsid w:val="00696B57"/>
    <w:rsid w:val="00696C8F"/>
    <w:rsid w:val="00696E5B"/>
    <w:rsid w:val="00696EF9"/>
    <w:rsid w:val="00696F51"/>
    <w:rsid w:val="00697218"/>
    <w:rsid w:val="00697349"/>
    <w:rsid w:val="00697599"/>
    <w:rsid w:val="00697631"/>
    <w:rsid w:val="00697666"/>
    <w:rsid w:val="0069779B"/>
    <w:rsid w:val="006977DE"/>
    <w:rsid w:val="006977F9"/>
    <w:rsid w:val="006979A5"/>
    <w:rsid w:val="00697D4E"/>
    <w:rsid w:val="006A016F"/>
    <w:rsid w:val="006A0351"/>
    <w:rsid w:val="006A052D"/>
    <w:rsid w:val="006A094D"/>
    <w:rsid w:val="006A09E2"/>
    <w:rsid w:val="006A0C0A"/>
    <w:rsid w:val="006A0DF7"/>
    <w:rsid w:val="006A0EA5"/>
    <w:rsid w:val="006A165D"/>
    <w:rsid w:val="006A17DE"/>
    <w:rsid w:val="006A191E"/>
    <w:rsid w:val="006A1A2A"/>
    <w:rsid w:val="006A1C50"/>
    <w:rsid w:val="006A1FB1"/>
    <w:rsid w:val="006A1FD4"/>
    <w:rsid w:val="006A20C3"/>
    <w:rsid w:val="006A20E1"/>
    <w:rsid w:val="006A2179"/>
    <w:rsid w:val="006A2206"/>
    <w:rsid w:val="006A2600"/>
    <w:rsid w:val="006A2731"/>
    <w:rsid w:val="006A2914"/>
    <w:rsid w:val="006A296C"/>
    <w:rsid w:val="006A2EE4"/>
    <w:rsid w:val="006A3483"/>
    <w:rsid w:val="006A369B"/>
    <w:rsid w:val="006A3AE7"/>
    <w:rsid w:val="006A3D06"/>
    <w:rsid w:val="006A3E9B"/>
    <w:rsid w:val="006A4125"/>
    <w:rsid w:val="006A4321"/>
    <w:rsid w:val="006A43D9"/>
    <w:rsid w:val="006A484C"/>
    <w:rsid w:val="006A4859"/>
    <w:rsid w:val="006A48A4"/>
    <w:rsid w:val="006A4B06"/>
    <w:rsid w:val="006A4BE1"/>
    <w:rsid w:val="006A4C42"/>
    <w:rsid w:val="006A4D76"/>
    <w:rsid w:val="006A4F0C"/>
    <w:rsid w:val="006A504F"/>
    <w:rsid w:val="006A5372"/>
    <w:rsid w:val="006A53CC"/>
    <w:rsid w:val="006A540C"/>
    <w:rsid w:val="006A545A"/>
    <w:rsid w:val="006A56A4"/>
    <w:rsid w:val="006A58B0"/>
    <w:rsid w:val="006A5A4C"/>
    <w:rsid w:val="006A5B60"/>
    <w:rsid w:val="006A5B74"/>
    <w:rsid w:val="006A5C10"/>
    <w:rsid w:val="006A5EAC"/>
    <w:rsid w:val="006A5F02"/>
    <w:rsid w:val="006A62C1"/>
    <w:rsid w:val="006A6385"/>
    <w:rsid w:val="006A647F"/>
    <w:rsid w:val="006A669F"/>
    <w:rsid w:val="006A6799"/>
    <w:rsid w:val="006A689A"/>
    <w:rsid w:val="006A69FB"/>
    <w:rsid w:val="006A6B99"/>
    <w:rsid w:val="006A6C0D"/>
    <w:rsid w:val="006A6C9E"/>
    <w:rsid w:val="006A6EFD"/>
    <w:rsid w:val="006A70C1"/>
    <w:rsid w:val="006A7162"/>
    <w:rsid w:val="006A72E4"/>
    <w:rsid w:val="006A73E2"/>
    <w:rsid w:val="006A7825"/>
    <w:rsid w:val="006A79CF"/>
    <w:rsid w:val="006A7A2C"/>
    <w:rsid w:val="006A7A52"/>
    <w:rsid w:val="006A7B8F"/>
    <w:rsid w:val="006A7C68"/>
    <w:rsid w:val="006A7E5F"/>
    <w:rsid w:val="006B03BA"/>
    <w:rsid w:val="006B07A1"/>
    <w:rsid w:val="006B0824"/>
    <w:rsid w:val="006B099E"/>
    <w:rsid w:val="006B0C4F"/>
    <w:rsid w:val="006B0C63"/>
    <w:rsid w:val="006B113F"/>
    <w:rsid w:val="006B11BB"/>
    <w:rsid w:val="006B1497"/>
    <w:rsid w:val="006B14A7"/>
    <w:rsid w:val="006B14B2"/>
    <w:rsid w:val="006B19CB"/>
    <w:rsid w:val="006B1AE2"/>
    <w:rsid w:val="006B1E3D"/>
    <w:rsid w:val="006B1E82"/>
    <w:rsid w:val="006B1EC5"/>
    <w:rsid w:val="006B20BE"/>
    <w:rsid w:val="006B22AE"/>
    <w:rsid w:val="006B261B"/>
    <w:rsid w:val="006B2805"/>
    <w:rsid w:val="006B298C"/>
    <w:rsid w:val="006B29BB"/>
    <w:rsid w:val="006B2A9B"/>
    <w:rsid w:val="006B2C2F"/>
    <w:rsid w:val="006B2C90"/>
    <w:rsid w:val="006B308B"/>
    <w:rsid w:val="006B3291"/>
    <w:rsid w:val="006B3452"/>
    <w:rsid w:val="006B3478"/>
    <w:rsid w:val="006B35E6"/>
    <w:rsid w:val="006B38D5"/>
    <w:rsid w:val="006B3AF4"/>
    <w:rsid w:val="006B3CC2"/>
    <w:rsid w:val="006B4077"/>
    <w:rsid w:val="006B42D8"/>
    <w:rsid w:val="006B43B3"/>
    <w:rsid w:val="006B44D2"/>
    <w:rsid w:val="006B45F6"/>
    <w:rsid w:val="006B465A"/>
    <w:rsid w:val="006B4B60"/>
    <w:rsid w:val="006B4BFD"/>
    <w:rsid w:val="006B545C"/>
    <w:rsid w:val="006B557A"/>
    <w:rsid w:val="006B5588"/>
    <w:rsid w:val="006B5676"/>
    <w:rsid w:val="006B5694"/>
    <w:rsid w:val="006B57AC"/>
    <w:rsid w:val="006B59A6"/>
    <w:rsid w:val="006B5A07"/>
    <w:rsid w:val="006B5BFE"/>
    <w:rsid w:val="006B5EE1"/>
    <w:rsid w:val="006B63D5"/>
    <w:rsid w:val="006B65B1"/>
    <w:rsid w:val="006B6905"/>
    <w:rsid w:val="006B6DBA"/>
    <w:rsid w:val="006B6DD0"/>
    <w:rsid w:val="006B6F86"/>
    <w:rsid w:val="006B711C"/>
    <w:rsid w:val="006B71AD"/>
    <w:rsid w:val="006B7644"/>
    <w:rsid w:val="006B77A0"/>
    <w:rsid w:val="006B786C"/>
    <w:rsid w:val="006B788D"/>
    <w:rsid w:val="006B79D2"/>
    <w:rsid w:val="006B7B85"/>
    <w:rsid w:val="006C023C"/>
    <w:rsid w:val="006C0314"/>
    <w:rsid w:val="006C0399"/>
    <w:rsid w:val="006C05C7"/>
    <w:rsid w:val="006C09A3"/>
    <w:rsid w:val="006C0D16"/>
    <w:rsid w:val="006C1746"/>
    <w:rsid w:val="006C192D"/>
    <w:rsid w:val="006C1C62"/>
    <w:rsid w:val="006C1F5D"/>
    <w:rsid w:val="006C2010"/>
    <w:rsid w:val="006C209A"/>
    <w:rsid w:val="006C22FD"/>
    <w:rsid w:val="006C2A8E"/>
    <w:rsid w:val="006C315E"/>
    <w:rsid w:val="006C3255"/>
    <w:rsid w:val="006C32F1"/>
    <w:rsid w:val="006C339F"/>
    <w:rsid w:val="006C35C7"/>
    <w:rsid w:val="006C3748"/>
    <w:rsid w:val="006C3B89"/>
    <w:rsid w:val="006C3E15"/>
    <w:rsid w:val="006C3ED3"/>
    <w:rsid w:val="006C3F26"/>
    <w:rsid w:val="006C422F"/>
    <w:rsid w:val="006C43F6"/>
    <w:rsid w:val="006C44BE"/>
    <w:rsid w:val="006C4578"/>
    <w:rsid w:val="006C474A"/>
    <w:rsid w:val="006C47A7"/>
    <w:rsid w:val="006C493C"/>
    <w:rsid w:val="006C4A3A"/>
    <w:rsid w:val="006C4A5D"/>
    <w:rsid w:val="006C5061"/>
    <w:rsid w:val="006C50F1"/>
    <w:rsid w:val="006C51BA"/>
    <w:rsid w:val="006C53DC"/>
    <w:rsid w:val="006C58B1"/>
    <w:rsid w:val="006C59E2"/>
    <w:rsid w:val="006C5A60"/>
    <w:rsid w:val="006C5B74"/>
    <w:rsid w:val="006C5DFE"/>
    <w:rsid w:val="006C5EA8"/>
    <w:rsid w:val="006C5F02"/>
    <w:rsid w:val="006C60A0"/>
    <w:rsid w:val="006C61AC"/>
    <w:rsid w:val="006C62E8"/>
    <w:rsid w:val="006C641E"/>
    <w:rsid w:val="006C644C"/>
    <w:rsid w:val="006C64B9"/>
    <w:rsid w:val="006C6A3C"/>
    <w:rsid w:val="006C6B2E"/>
    <w:rsid w:val="006C6D4F"/>
    <w:rsid w:val="006C6D73"/>
    <w:rsid w:val="006C6E4C"/>
    <w:rsid w:val="006C6E81"/>
    <w:rsid w:val="006C6F03"/>
    <w:rsid w:val="006C7298"/>
    <w:rsid w:val="006C72FD"/>
    <w:rsid w:val="006C76D6"/>
    <w:rsid w:val="006C7955"/>
    <w:rsid w:val="006C7C8C"/>
    <w:rsid w:val="006C7C9C"/>
    <w:rsid w:val="006C7F3B"/>
    <w:rsid w:val="006D0160"/>
    <w:rsid w:val="006D0162"/>
    <w:rsid w:val="006D0446"/>
    <w:rsid w:val="006D04E5"/>
    <w:rsid w:val="006D0A2B"/>
    <w:rsid w:val="006D0BD0"/>
    <w:rsid w:val="006D0D17"/>
    <w:rsid w:val="006D11D5"/>
    <w:rsid w:val="006D125C"/>
    <w:rsid w:val="006D127E"/>
    <w:rsid w:val="006D162A"/>
    <w:rsid w:val="006D168A"/>
    <w:rsid w:val="006D1ADD"/>
    <w:rsid w:val="006D1EBD"/>
    <w:rsid w:val="006D1EE9"/>
    <w:rsid w:val="006D1F42"/>
    <w:rsid w:val="006D20CE"/>
    <w:rsid w:val="006D211E"/>
    <w:rsid w:val="006D25B4"/>
    <w:rsid w:val="006D2739"/>
    <w:rsid w:val="006D2A0F"/>
    <w:rsid w:val="006D2AB3"/>
    <w:rsid w:val="006D2C9D"/>
    <w:rsid w:val="006D2F06"/>
    <w:rsid w:val="006D3057"/>
    <w:rsid w:val="006D31AB"/>
    <w:rsid w:val="006D32ED"/>
    <w:rsid w:val="006D3B97"/>
    <w:rsid w:val="006D3C7D"/>
    <w:rsid w:val="006D3CDF"/>
    <w:rsid w:val="006D3DAC"/>
    <w:rsid w:val="006D412F"/>
    <w:rsid w:val="006D4659"/>
    <w:rsid w:val="006D4773"/>
    <w:rsid w:val="006D4781"/>
    <w:rsid w:val="006D492E"/>
    <w:rsid w:val="006D4AAD"/>
    <w:rsid w:val="006D4ADC"/>
    <w:rsid w:val="006D4B0A"/>
    <w:rsid w:val="006D519D"/>
    <w:rsid w:val="006D5713"/>
    <w:rsid w:val="006D5740"/>
    <w:rsid w:val="006D5A05"/>
    <w:rsid w:val="006D5AB0"/>
    <w:rsid w:val="006D5D5F"/>
    <w:rsid w:val="006D6046"/>
    <w:rsid w:val="006D6208"/>
    <w:rsid w:val="006D6239"/>
    <w:rsid w:val="006D666C"/>
    <w:rsid w:val="006D6679"/>
    <w:rsid w:val="006D68FB"/>
    <w:rsid w:val="006D6988"/>
    <w:rsid w:val="006D6B52"/>
    <w:rsid w:val="006D6CC0"/>
    <w:rsid w:val="006D7007"/>
    <w:rsid w:val="006D701A"/>
    <w:rsid w:val="006D730B"/>
    <w:rsid w:val="006D75C5"/>
    <w:rsid w:val="006D7996"/>
    <w:rsid w:val="006D7DBD"/>
    <w:rsid w:val="006D7DE8"/>
    <w:rsid w:val="006E0063"/>
    <w:rsid w:val="006E01BB"/>
    <w:rsid w:val="006E0247"/>
    <w:rsid w:val="006E02C8"/>
    <w:rsid w:val="006E0371"/>
    <w:rsid w:val="006E05AB"/>
    <w:rsid w:val="006E0604"/>
    <w:rsid w:val="006E091E"/>
    <w:rsid w:val="006E0D36"/>
    <w:rsid w:val="006E0FCE"/>
    <w:rsid w:val="006E0FE2"/>
    <w:rsid w:val="006E10CF"/>
    <w:rsid w:val="006E122E"/>
    <w:rsid w:val="006E124C"/>
    <w:rsid w:val="006E17FB"/>
    <w:rsid w:val="006E1AB2"/>
    <w:rsid w:val="006E1C46"/>
    <w:rsid w:val="006E1CD2"/>
    <w:rsid w:val="006E1D30"/>
    <w:rsid w:val="006E202B"/>
    <w:rsid w:val="006E2331"/>
    <w:rsid w:val="006E2348"/>
    <w:rsid w:val="006E2610"/>
    <w:rsid w:val="006E26BA"/>
    <w:rsid w:val="006E2868"/>
    <w:rsid w:val="006E2B5D"/>
    <w:rsid w:val="006E2C20"/>
    <w:rsid w:val="006E2C9B"/>
    <w:rsid w:val="006E2D2C"/>
    <w:rsid w:val="006E2D74"/>
    <w:rsid w:val="006E2EB4"/>
    <w:rsid w:val="006E3151"/>
    <w:rsid w:val="006E3255"/>
    <w:rsid w:val="006E36AE"/>
    <w:rsid w:val="006E3A55"/>
    <w:rsid w:val="006E3B3B"/>
    <w:rsid w:val="006E3BE0"/>
    <w:rsid w:val="006E3D83"/>
    <w:rsid w:val="006E3EF1"/>
    <w:rsid w:val="006E40F5"/>
    <w:rsid w:val="006E4626"/>
    <w:rsid w:val="006E491F"/>
    <w:rsid w:val="006E4FEB"/>
    <w:rsid w:val="006E5632"/>
    <w:rsid w:val="006E5694"/>
    <w:rsid w:val="006E5750"/>
    <w:rsid w:val="006E5C03"/>
    <w:rsid w:val="006E5E8E"/>
    <w:rsid w:val="006E6318"/>
    <w:rsid w:val="006E63A4"/>
    <w:rsid w:val="006E6542"/>
    <w:rsid w:val="006E6824"/>
    <w:rsid w:val="006E6A91"/>
    <w:rsid w:val="006E6B30"/>
    <w:rsid w:val="006E6DD7"/>
    <w:rsid w:val="006E6F24"/>
    <w:rsid w:val="006E7044"/>
    <w:rsid w:val="006E70B4"/>
    <w:rsid w:val="006E73C2"/>
    <w:rsid w:val="006E73E8"/>
    <w:rsid w:val="006E7CD5"/>
    <w:rsid w:val="006E7D55"/>
    <w:rsid w:val="006E7F43"/>
    <w:rsid w:val="006F0C40"/>
    <w:rsid w:val="006F1038"/>
    <w:rsid w:val="006F1137"/>
    <w:rsid w:val="006F11B9"/>
    <w:rsid w:val="006F1223"/>
    <w:rsid w:val="006F135A"/>
    <w:rsid w:val="006F141C"/>
    <w:rsid w:val="006F1593"/>
    <w:rsid w:val="006F1A5C"/>
    <w:rsid w:val="006F1BD5"/>
    <w:rsid w:val="006F1E94"/>
    <w:rsid w:val="006F212D"/>
    <w:rsid w:val="006F258E"/>
    <w:rsid w:val="006F25B0"/>
    <w:rsid w:val="006F2A7A"/>
    <w:rsid w:val="006F2D2D"/>
    <w:rsid w:val="006F306C"/>
    <w:rsid w:val="006F306F"/>
    <w:rsid w:val="006F3541"/>
    <w:rsid w:val="006F35FD"/>
    <w:rsid w:val="006F3901"/>
    <w:rsid w:val="006F3AE0"/>
    <w:rsid w:val="006F3BE5"/>
    <w:rsid w:val="006F3BF5"/>
    <w:rsid w:val="006F3CDA"/>
    <w:rsid w:val="006F3E57"/>
    <w:rsid w:val="006F3E78"/>
    <w:rsid w:val="006F452E"/>
    <w:rsid w:val="006F49BD"/>
    <w:rsid w:val="006F4C3D"/>
    <w:rsid w:val="006F4D5B"/>
    <w:rsid w:val="006F4DAC"/>
    <w:rsid w:val="006F578D"/>
    <w:rsid w:val="006F5B6A"/>
    <w:rsid w:val="006F5D39"/>
    <w:rsid w:val="006F5DDA"/>
    <w:rsid w:val="006F5FB2"/>
    <w:rsid w:val="006F5FC9"/>
    <w:rsid w:val="006F63A5"/>
    <w:rsid w:val="006F6413"/>
    <w:rsid w:val="006F6D12"/>
    <w:rsid w:val="006F71DA"/>
    <w:rsid w:val="006F752F"/>
    <w:rsid w:val="006F7625"/>
    <w:rsid w:val="006F7809"/>
    <w:rsid w:val="006F7BF7"/>
    <w:rsid w:val="006F7D7C"/>
    <w:rsid w:val="00700074"/>
    <w:rsid w:val="00700226"/>
    <w:rsid w:val="007002F3"/>
    <w:rsid w:val="0070040C"/>
    <w:rsid w:val="00700B03"/>
    <w:rsid w:val="00700C05"/>
    <w:rsid w:val="00700CA9"/>
    <w:rsid w:val="00700F94"/>
    <w:rsid w:val="00701032"/>
    <w:rsid w:val="007010A1"/>
    <w:rsid w:val="0070142B"/>
    <w:rsid w:val="00701580"/>
    <w:rsid w:val="00701C5B"/>
    <w:rsid w:val="00701EAD"/>
    <w:rsid w:val="007020D4"/>
    <w:rsid w:val="00702688"/>
    <w:rsid w:val="0070276E"/>
    <w:rsid w:val="0070282A"/>
    <w:rsid w:val="00702C79"/>
    <w:rsid w:val="00702F8F"/>
    <w:rsid w:val="00702F96"/>
    <w:rsid w:val="00702F9E"/>
    <w:rsid w:val="007030DD"/>
    <w:rsid w:val="007038A7"/>
    <w:rsid w:val="00703AFC"/>
    <w:rsid w:val="00703BCC"/>
    <w:rsid w:val="00703E32"/>
    <w:rsid w:val="00703F13"/>
    <w:rsid w:val="0070405B"/>
    <w:rsid w:val="0070408F"/>
    <w:rsid w:val="007040E6"/>
    <w:rsid w:val="00704242"/>
    <w:rsid w:val="0070431E"/>
    <w:rsid w:val="00704327"/>
    <w:rsid w:val="007046CC"/>
    <w:rsid w:val="00704824"/>
    <w:rsid w:val="00704974"/>
    <w:rsid w:val="00704B09"/>
    <w:rsid w:val="00705107"/>
    <w:rsid w:val="0070524B"/>
    <w:rsid w:val="0070528F"/>
    <w:rsid w:val="0070563C"/>
    <w:rsid w:val="0070598B"/>
    <w:rsid w:val="0070613F"/>
    <w:rsid w:val="007061C1"/>
    <w:rsid w:val="007061FE"/>
    <w:rsid w:val="00706285"/>
    <w:rsid w:val="00706417"/>
    <w:rsid w:val="007067E3"/>
    <w:rsid w:val="007068A5"/>
    <w:rsid w:val="00706C87"/>
    <w:rsid w:val="00707075"/>
    <w:rsid w:val="007070FA"/>
    <w:rsid w:val="0070733A"/>
    <w:rsid w:val="0070737C"/>
    <w:rsid w:val="00707675"/>
    <w:rsid w:val="007079FC"/>
    <w:rsid w:val="00707C59"/>
    <w:rsid w:val="00707D6D"/>
    <w:rsid w:val="00707E9C"/>
    <w:rsid w:val="00707E9D"/>
    <w:rsid w:val="00707F46"/>
    <w:rsid w:val="00710360"/>
    <w:rsid w:val="007103DE"/>
    <w:rsid w:val="007104D0"/>
    <w:rsid w:val="0071091D"/>
    <w:rsid w:val="00710BEF"/>
    <w:rsid w:val="00710DD9"/>
    <w:rsid w:val="00710E7E"/>
    <w:rsid w:val="00711058"/>
    <w:rsid w:val="007111C9"/>
    <w:rsid w:val="007113BA"/>
    <w:rsid w:val="00711524"/>
    <w:rsid w:val="00711531"/>
    <w:rsid w:val="007115E7"/>
    <w:rsid w:val="007115FC"/>
    <w:rsid w:val="00711A36"/>
    <w:rsid w:val="00711D56"/>
    <w:rsid w:val="007124E8"/>
    <w:rsid w:val="00712581"/>
    <w:rsid w:val="007125D3"/>
    <w:rsid w:val="00712604"/>
    <w:rsid w:val="00712652"/>
    <w:rsid w:val="007127F2"/>
    <w:rsid w:val="007128AE"/>
    <w:rsid w:val="00712B66"/>
    <w:rsid w:val="00712C67"/>
    <w:rsid w:val="00712E02"/>
    <w:rsid w:val="00713005"/>
    <w:rsid w:val="00713016"/>
    <w:rsid w:val="00713058"/>
    <w:rsid w:val="0071307C"/>
    <w:rsid w:val="00713089"/>
    <w:rsid w:val="00713328"/>
    <w:rsid w:val="007134C5"/>
    <w:rsid w:val="0071368E"/>
    <w:rsid w:val="0071388B"/>
    <w:rsid w:val="00713CC9"/>
    <w:rsid w:val="00713D32"/>
    <w:rsid w:val="00713EC6"/>
    <w:rsid w:val="007142DB"/>
    <w:rsid w:val="00714323"/>
    <w:rsid w:val="007149E2"/>
    <w:rsid w:val="00714C26"/>
    <w:rsid w:val="0071514C"/>
    <w:rsid w:val="007151E5"/>
    <w:rsid w:val="0071529C"/>
    <w:rsid w:val="007152EE"/>
    <w:rsid w:val="00715775"/>
    <w:rsid w:val="007158C2"/>
    <w:rsid w:val="00715959"/>
    <w:rsid w:val="00715D12"/>
    <w:rsid w:val="007160FC"/>
    <w:rsid w:val="00716194"/>
    <w:rsid w:val="0071645B"/>
    <w:rsid w:val="00716518"/>
    <w:rsid w:val="007166CB"/>
    <w:rsid w:val="00716779"/>
    <w:rsid w:val="0071694B"/>
    <w:rsid w:val="00716EC0"/>
    <w:rsid w:val="007170DA"/>
    <w:rsid w:val="007172AD"/>
    <w:rsid w:val="00717415"/>
    <w:rsid w:val="00717546"/>
    <w:rsid w:val="00717579"/>
    <w:rsid w:val="0071797D"/>
    <w:rsid w:val="00717E7F"/>
    <w:rsid w:val="007203FD"/>
    <w:rsid w:val="007204A7"/>
    <w:rsid w:val="00720801"/>
    <w:rsid w:val="007209AA"/>
    <w:rsid w:val="00720A3A"/>
    <w:rsid w:val="00720ACF"/>
    <w:rsid w:val="00720D53"/>
    <w:rsid w:val="007210F6"/>
    <w:rsid w:val="0072113A"/>
    <w:rsid w:val="007214AC"/>
    <w:rsid w:val="00721A15"/>
    <w:rsid w:val="00721DDD"/>
    <w:rsid w:val="00721ED3"/>
    <w:rsid w:val="00721F79"/>
    <w:rsid w:val="00722205"/>
    <w:rsid w:val="0072227A"/>
    <w:rsid w:val="00722674"/>
    <w:rsid w:val="00722B1B"/>
    <w:rsid w:val="00722C8A"/>
    <w:rsid w:val="00722D9B"/>
    <w:rsid w:val="00723394"/>
    <w:rsid w:val="00723641"/>
    <w:rsid w:val="0072396C"/>
    <w:rsid w:val="007239DF"/>
    <w:rsid w:val="00723AAB"/>
    <w:rsid w:val="00723B56"/>
    <w:rsid w:val="00724082"/>
    <w:rsid w:val="0072416F"/>
    <w:rsid w:val="007241A2"/>
    <w:rsid w:val="007242E4"/>
    <w:rsid w:val="00724496"/>
    <w:rsid w:val="007244AB"/>
    <w:rsid w:val="0072492F"/>
    <w:rsid w:val="00724AAA"/>
    <w:rsid w:val="00724B04"/>
    <w:rsid w:val="00724FE8"/>
    <w:rsid w:val="00725366"/>
    <w:rsid w:val="007254DB"/>
    <w:rsid w:val="007254FD"/>
    <w:rsid w:val="007255DC"/>
    <w:rsid w:val="00725831"/>
    <w:rsid w:val="0072589D"/>
    <w:rsid w:val="00725E4C"/>
    <w:rsid w:val="00726071"/>
    <w:rsid w:val="00726176"/>
    <w:rsid w:val="007262A0"/>
    <w:rsid w:val="007266B8"/>
    <w:rsid w:val="00726E1C"/>
    <w:rsid w:val="0072717A"/>
    <w:rsid w:val="007278BC"/>
    <w:rsid w:val="00727AB2"/>
    <w:rsid w:val="00727B58"/>
    <w:rsid w:val="00727C94"/>
    <w:rsid w:val="0073003F"/>
    <w:rsid w:val="00730214"/>
    <w:rsid w:val="007307A3"/>
    <w:rsid w:val="007309DC"/>
    <w:rsid w:val="00730A06"/>
    <w:rsid w:val="00730B64"/>
    <w:rsid w:val="00731314"/>
    <w:rsid w:val="007314D9"/>
    <w:rsid w:val="00731881"/>
    <w:rsid w:val="007318DC"/>
    <w:rsid w:val="00731B0A"/>
    <w:rsid w:val="00731E85"/>
    <w:rsid w:val="00731EAE"/>
    <w:rsid w:val="00732126"/>
    <w:rsid w:val="00732626"/>
    <w:rsid w:val="00732C83"/>
    <w:rsid w:val="00732CF2"/>
    <w:rsid w:val="00732CFD"/>
    <w:rsid w:val="00732F3D"/>
    <w:rsid w:val="00733012"/>
    <w:rsid w:val="00733073"/>
    <w:rsid w:val="00733434"/>
    <w:rsid w:val="0073362A"/>
    <w:rsid w:val="00733858"/>
    <w:rsid w:val="007339F6"/>
    <w:rsid w:val="00733E7E"/>
    <w:rsid w:val="00733FCC"/>
    <w:rsid w:val="00733FE5"/>
    <w:rsid w:val="007341ED"/>
    <w:rsid w:val="0073429B"/>
    <w:rsid w:val="007342B0"/>
    <w:rsid w:val="00734472"/>
    <w:rsid w:val="007346E5"/>
    <w:rsid w:val="007348A0"/>
    <w:rsid w:val="00734CCA"/>
    <w:rsid w:val="00734E47"/>
    <w:rsid w:val="00734E8D"/>
    <w:rsid w:val="00735033"/>
    <w:rsid w:val="00735328"/>
    <w:rsid w:val="00735399"/>
    <w:rsid w:val="00735489"/>
    <w:rsid w:val="00735584"/>
    <w:rsid w:val="00735668"/>
    <w:rsid w:val="0073568F"/>
    <w:rsid w:val="007357F1"/>
    <w:rsid w:val="00735A24"/>
    <w:rsid w:val="00735A70"/>
    <w:rsid w:val="0073609D"/>
    <w:rsid w:val="007360C7"/>
    <w:rsid w:val="0073623F"/>
    <w:rsid w:val="0073646B"/>
    <w:rsid w:val="0073680F"/>
    <w:rsid w:val="0073685B"/>
    <w:rsid w:val="00736FFF"/>
    <w:rsid w:val="0073718E"/>
    <w:rsid w:val="007371BA"/>
    <w:rsid w:val="00737351"/>
    <w:rsid w:val="00737436"/>
    <w:rsid w:val="00737591"/>
    <w:rsid w:val="0073770E"/>
    <w:rsid w:val="00737A15"/>
    <w:rsid w:val="00737BC3"/>
    <w:rsid w:val="00737D02"/>
    <w:rsid w:val="00737D2C"/>
    <w:rsid w:val="00737F09"/>
    <w:rsid w:val="00740143"/>
    <w:rsid w:val="007403AC"/>
    <w:rsid w:val="00740406"/>
    <w:rsid w:val="00740587"/>
    <w:rsid w:val="00740706"/>
    <w:rsid w:val="007408C3"/>
    <w:rsid w:val="00740A26"/>
    <w:rsid w:val="00740F51"/>
    <w:rsid w:val="00740FD1"/>
    <w:rsid w:val="00741086"/>
    <w:rsid w:val="00741131"/>
    <w:rsid w:val="007411B5"/>
    <w:rsid w:val="00741574"/>
    <w:rsid w:val="00741BBC"/>
    <w:rsid w:val="007427C7"/>
    <w:rsid w:val="00742982"/>
    <w:rsid w:val="00743231"/>
    <w:rsid w:val="0074347B"/>
    <w:rsid w:val="007438C5"/>
    <w:rsid w:val="007439BF"/>
    <w:rsid w:val="00743D56"/>
    <w:rsid w:val="00743E53"/>
    <w:rsid w:val="0074420E"/>
    <w:rsid w:val="00744273"/>
    <w:rsid w:val="0074428A"/>
    <w:rsid w:val="00744468"/>
    <w:rsid w:val="0074459D"/>
    <w:rsid w:val="007446D6"/>
    <w:rsid w:val="007447BF"/>
    <w:rsid w:val="007447EA"/>
    <w:rsid w:val="0074481B"/>
    <w:rsid w:val="0074491C"/>
    <w:rsid w:val="007449BF"/>
    <w:rsid w:val="00744C96"/>
    <w:rsid w:val="00744CBB"/>
    <w:rsid w:val="00744D86"/>
    <w:rsid w:val="0074500E"/>
    <w:rsid w:val="007450DF"/>
    <w:rsid w:val="0074520C"/>
    <w:rsid w:val="00745A6F"/>
    <w:rsid w:val="00745A86"/>
    <w:rsid w:val="00745B04"/>
    <w:rsid w:val="00745BB5"/>
    <w:rsid w:val="00746309"/>
    <w:rsid w:val="007463FE"/>
    <w:rsid w:val="00746524"/>
    <w:rsid w:val="007466AE"/>
    <w:rsid w:val="0074674C"/>
    <w:rsid w:val="007467AD"/>
    <w:rsid w:val="007468A2"/>
    <w:rsid w:val="0074694E"/>
    <w:rsid w:val="00746960"/>
    <w:rsid w:val="00746BC0"/>
    <w:rsid w:val="00746C4C"/>
    <w:rsid w:val="00746E61"/>
    <w:rsid w:val="00747128"/>
    <w:rsid w:val="00747149"/>
    <w:rsid w:val="00747258"/>
    <w:rsid w:val="00747318"/>
    <w:rsid w:val="00747475"/>
    <w:rsid w:val="0074754F"/>
    <w:rsid w:val="00747739"/>
    <w:rsid w:val="007477BC"/>
    <w:rsid w:val="00747A49"/>
    <w:rsid w:val="00747BCC"/>
    <w:rsid w:val="00750499"/>
    <w:rsid w:val="00750555"/>
    <w:rsid w:val="00750603"/>
    <w:rsid w:val="0075077D"/>
    <w:rsid w:val="0075082B"/>
    <w:rsid w:val="00750939"/>
    <w:rsid w:val="00750C8D"/>
    <w:rsid w:val="00750CE8"/>
    <w:rsid w:val="00750DE6"/>
    <w:rsid w:val="00751023"/>
    <w:rsid w:val="007510B4"/>
    <w:rsid w:val="007511A5"/>
    <w:rsid w:val="00751252"/>
    <w:rsid w:val="007512B4"/>
    <w:rsid w:val="007513C5"/>
    <w:rsid w:val="00751D1F"/>
    <w:rsid w:val="00751EC5"/>
    <w:rsid w:val="00751FC5"/>
    <w:rsid w:val="00752142"/>
    <w:rsid w:val="007523F9"/>
    <w:rsid w:val="00752DCA"/>
    <w:rsid w:val="0075357E"/>
    <w:rsid w:val="00753661"/>
    <w:rsid w:val="007536CD"/>
    <w:rsid w:val="00753973"/>
    <w:rsid w:val="00753995"/>
    <w:rsid w:val="00753B11"/>
    <w:rsid w:val="00753B29"/>
    <w:rsid w:val="00753B5D"/>
    <w:rsid w:val="00753CCC"/>
    <w:rsid w:val="00753CE1"/>
    <w:rsid w:val="00753EBA"/>
    <w:rsid w:val="00754309"/>
    <w:rsid w:val="00754440"/>
    <w:rsid w:val="007547B9"/>
    <w:rsid w:val="007552ED"/>
    <w:rsid w:val="007553FE"/>
    <w:rsid w:val="00755534"/>
    <w:rsid w:val="00755546"/>
    <w:rsid w:val="00755604"/>
    <w:rsid w:val="007558F6"/>
    <w:rsid w:val="00755D43"/>
    <w:rsid w:val="00756652"/>
    <w:rsid w:val="00756675"/>
    <w:rsid w:val="0075680A"/>
    <w:rsid w:val="00756B79"/>
    <w:rsid w:val="007570D1"/>
    <w:rsid w:val="0075719C"/>
    <w:rsid w:val="0075719E"/>
    <w:rsid w:val="00757280"/>
    <w:rsid w:val="00757358"/>
    <w:rsid w:val="00757378"/>
    <w:rsid w:val="00757381"/>
    <w:rsid w:val="007573E8"/>
    <w:rsid w:val="007573F1"/>
    <w:rsid w:val="007574F9"/>
    <w:rsid w:val="007576D7"/>
    <w:rsid w:val="00757EF7"/>
    <w:rsid w:val="00757F6B"/>
    <w:rsid w:val="0076036E"/>
    <w:rsid w:val="0076073A"/>
    <w:rsid w:val="00760AF2"/>
    <w:rsid w:val="00760C4E"/>
    <w:rsid w:val="00760C79"/>
    <w:rsid w:val="00760F9E"/>
    <w:rsid w:val="00760FB1"/>
    <w:rsid w:val="00761041"/>
    <w:rsid w:val="007611B7"/>
    <w:rsid w:val="007612B0"/>
    <w:rsid w:val="007613CD"/>
    <w:rsid w:val="007616E6"/>
    <w:rsid w:val="00761751"/>
    <w:rsid w:val="0076197B"/>
    <w:rsid w:val="00761B5C"/>
    <w:rsid w:val="00761FCA"/>
    <w:rsid w:val="0076204C"/>
    <w:rsid w:val="0076218F"/>
    <w:rsid w:val="00762234"/>
    <w:rsid w:val="00762273"/>
    <w:rsid w:val="0076256E"/>
    <w:rsid w:val="007627BE"/>
    <w:rsid w:val="007628CA"/>
    <w:rsid w:val="00762B4A"/>
    <w:rsid w:val="00762F46"/>
    <w:rsid w:val="007633B3"/>
    <w:rsid w:val="007633B5"/>
    <w:rsid w:val="0076382C"/>
    <w:rsid w:val="00763884"/>
    <w:rsid w:val="007638D8"/>
    <w:rsid w:val="00763C44"/>
    <w:rsid w:val="00763E07"/>
    <w:rsid w:val="00763FE3"/>
    <w:rsid w:val="00764126"/>
    <w:rsid w:val="00764169"/>
    <w:rsid w:val="00764F03"/>
    <w:rsid w:val="0076518B"/>
    <w:rsid w:val="007651EF"/>
    <w:rsid w:val="007654EA"/>
    <w:rsid w:val="00765526"/>
    <w:rsid w:val="0076555E"/>
    <w:rsid w:val="00765569"/>
    <w:rsid w:val="0076563B"/>
    <w:rsid w:val="00765687"/>
    <w:rsid w:val="00765780"/>
    <w:rsid w:val="007658BB"/>
    <w:rsid w:val="00765B1A"/>
    <w:rsid w:val="00765B54"/>
    <w:rsid w:val="00765B6A"/>
    <w:rsid w:val="00765B85"/>
    <w:rsid w:val="00765DA9"/>
    <w:rsid w:val="00765DC1"/>
    <w:rsid w:val="00765F70"/>
    <w:rsid w:val="00765FB8"/>
    <w:rsid w:val="007662A7"/>
    <w:rsid w:val="0076638A"/>
    <w:rsid w:val="00766396"/>
    <w:rsid w:val="00766645"/>
    <w:rsid w:val="00766E49"/>
    <w:rsid w:val="00766F84"/>
    <w:rsid w:val="00767136"/>
    <w:rsid w:val="007672F3"/>
    <w:rsid w:val="00767937"/>
    <w:rsid w:val="007704B6"/>
    <w:rsid w:val="00770B36"/>
    <w:rsid w:val="00770D03"/>
    <w:rsid w:val="00770D6E"/>
    <w:rsid w:val="00770D9A"/>
    <w:rsid w:val="00770EB3"/>
    <w:rsid w:val="007711AD"/>
    <w:rsid w:val="00771661"/>
    <w:rsid w:val="0077167A"/>
    <w:rsid w:val="00771AF6"/>
    <w:rsid w:val="00771CFC"/>
    <w:rsid w:val="00771F62"/>
    <w:rsid w:val="00771FBB"/>
    <w:rsid w:val="00772063"/>
    <w:rsid w:val="00772414"/>
    <w:rsid w:val="0077245E"/>
    <w:rsid w:val="00772597"/>
    <w:rsid w:val="007725CB"/>
    <w:rsid w:val="0077298B"/>
    <w:rsid w:val="00773010"/>
    <w:rsid w:val="0077309E"/>
    <w:rsid w:val="00773348"/>
    <w:rsid w:val="007736A2"/>
    <w:rsid w:val="00773929"/>
    <w:rsid w:val="007739C9"/>
    <w:rsid w:val="00773C68"/>
    <w:rsid w:val="00774180"/>
    <w:rsid w:val="00774661"/>
    <w:rsid w:val="00774B9C"/>
    <w:rsid w:val="00774C70"/>
    <w:rsid w:val="007750AF"/>
    <w:rsid w:val="00775829"/>
    <w:rsid w:val="00775A50"/>
    <w:rsid w:val="00775B0A"/>
    <w:rsid w:val="00775CB8"/>
    <w:rsid w:val="00775D97"/>
    <w:rsid w:val="00776013"/>
    <w:rsid w:val="00776572"/>
    <w:rsid w:val="0077698B"/>
    <w:rsid w:val="007769BC"/>
    <w:rsid w:val="00776A29"/>
    <w:rsid w:val="00776BE7"/>
    <w:rsid w:val="00776E54"/>
    <w:rsid w:val="00776EB7"/>
    <w:rsid w:val="00776F41"/>
    <w:rsid w:val="007771ED"/>
    <w:rsid w:val="00777335"/>
    <w:rsid w:val="007773B6"/>
    <w:rsid w:val="00777526"/>
    <w:rsid w:val="007777F7"/>
    <w:rsid w:val="00777BC1"/>
    <w:rsid w:val="00780006"/>
    <w:rsid w:val="00780388"/>
    <w:rsid w:val="007805A2"/>
    <w:rsid w:val="007807B2"/>
    <w:rsid w:val="00780928"/>
    <w:rsid w:val="007813FD"/>
    <w:rsid w:val="007814C8"/>
    <w:rsid w:val="0078168A"/>
    <w:rsid w:val="00781F28"/>
    <w:rsid w:val="00781F44"/>
    <w:rsid w:val="00782078"/>
    <w:rsid w:val="007821EB"/>
    <w:rsid w:val="00782485"/>
    <w:rsid w:val="007828CF"/>
    <w:rsid w:val="00782988"/>
    <w:rsid w:val="007829F4"/>
    <w:rsid w:val="00782EB1"/>
    <w:rsid w:val="0078340A"/>
    <w:rsid w:val="007839C5"/>
    <w:rsid w:val="00783F0D"/>
    <w:rsid w:val="007843F0"/>
    <w:rsid w:val="007843F2"/>
    <w:rsid w:val="007846FA"/>
    <w:rsid w:val="00784FA7"/>
    <w:rsid w:val="00785228"/>
    <w:rsid w:val="007852FB"/>
    <w:rsid w:val="0078548C"/>
    <w:rsid w:val="00785739"/>
    <w:rsid w:val="0078582F"/>
    <w:rsid w:val="00785A50"/>
    <w:rsid w:val="00785A9F"/>
    <w:rsid w:val="00785B70"/>
    <w:rsid w:val="00785BCD"/>
    <w:rsid w:val="00785D67"/>
    <w:rsid w:val="00785F4C"/>
    <w:rsid w:val="0078608C"/>
    <w:rsid w:val="007867CF"/>
    <w:rsid w:val="00786B24"/>
    <w:rsid w:val="00786BDF"/>
    <w:rsid w:val="00786FFB"/>
    <w:rsid w:val="007871DA"/>
    <w:rsid w:val="007871E8"/>
    <w:rsid w:val="00787625"/>
    <w:rsid w:val="007878A8"/>
    <w:rsid w:val="00787A3C"/>
    <w:rsid w:val="00787BA5"/>
    <w:rsid w:val="00787E2F"/>
    <w:rsid w:val="00787E67"/>
    <w:rsid w:val="00787E6B"/>
    <w:rsid w:val="00787F29"/>
    <w:rsid w:val="00787FF1"/>
    <w:rsid w:val="00790016"/>
    <w:rsid w:val="00790029"/>
    <w:rsid w:val="00790079"/>
    <w:rsid w:val="00790192"/>
    <w:rsid w:val="0079022E"/>
    <w:rsid w:val="00790310"/>
    <w:rsid w:val="00790411"/>
    <w:rsid w:val="007906DA"/>
    <w:rsid w:val="007908E5"/>
    <w:rsid w:val="00790AD8"/>
    <w:rsid w:val="00790B83"/>
    <w:rsid w:val="00790D13"/>
    <w:rsid w:val="00791237"/>
    <w:rsid w:val="00791589"/>
    <w:rsid w:val="00791644"/>
    <w:rsid w:val="007917D8"/>
    <w:rsid w:val="00791A43"/>
    <w:rsid w:val="00791DF1"/>
    <w:rsid w:val="00791E55"/>
    <w:rsid w:val="00791E7A"/>
    <w:rsid w:val="0079208D"/>
    <w:rsid w:val="00792530"/>
    <w:rsid w:val="007925DF"/>
    <w:rsid w:val="0079260E"/>
    <w:rsid w:val="007927AB"/>
    <w:rsid w:val="007928DC"/>
    <w:rsid w:val="00792954"/>
    <w:rsid w:val="00792D36"/>
    <w:rsid w:val="00792DB5"/>
    <w:rsid w:val="00793401"/>
    <w:rsid w:val="007934B7"/>
    <w:rsid w:val="00793E6C"/>
    <w:rsid w:val="00793F45"/>
    <w:rsid w:val="00794177"/>
    <w:rsid w:val="007942DA"/>
    <w:rsid w:val="00794867"/>
    <w:rsid w:val="00794B5F"/>
    <w:rsid w:val="00794CA0"/>
    <w:rsid w:val="00794EC0"/>
    <w:rsid w:val="007950E2"/>
    <w:rsid w:val="007955B6"/>
    <w:rsid w:val="007959F6"/>
    <w:rsid w:val="007962D9"/>
    <w:rsid w:val="00796405"/>
    <w:rsid w:val="00796493"/>
    <w:rsid w:val="007964EC"/>
    <w:rsid w:val="0079680B"/>
    <w:rsid w:val="00796886"/>
    <w:rsid w:val="007969B2"/>
    <w:rsid w:val="00796A8F"/>
    <w:rsid w:val="00796CE3"/>
    <w:rsid w:val="0079704D"/>
    <w:rsid w:val="00797400"/>
    <w:rsid w:val="00797881"/>
    <w:rsid w:val="007979B5"/>
    <w:rsid w:val="00797B6A"/>
    <w:rsid w:val="00797E5C"/>
    <w:rsid w:val="007A08AA"/>
    <w:rsid w:val="007A0A12"/>
    <w:rsid w:val="007A0AAA"/>
    <w:rsid w:val="007A0F7A"/>
    <w:rsid w:val="007A107E"/>
    <w:rsid w:val="007A1237"/>
    <w:rsid w:val="007A132D"/>
    <w:rsid w:val="007A1345"/>
    <w:rsid w:val="007A1577"/>
    <w:rsid w:val="007A1736"/>
    <w:rsid w:val="007A1A75"/>
    <w:rsid w:val="007A1E86"/>
    <w:rsid w:val="007A1FE4"/>
    <w:rsid w:val="007A21C6"/>
    <w:rsid w:val="007A2326"/>
    <w:rsid w:val="007A27A7"/>
    <w:rsid w:val="007A297F"/>
    <w:rsid w:val="007A2A68"/>
    <w:rsid w:val="007A2A94"/>
    <w:rsid w:val="007A2CAC"/>
    <w:rsid w:val="007A2DDB"/>
    <w:rsid w:val="007A321D"/>
    <w:rsid w:val="007A3398"/>
    <w:rsid w:val="007A3498"/>
    <w:rsid w:val="007A3652"/>
    <w:rsid w:val="007A3984"/>
    <w:rsid w:val="007A3A00"/>
    <w:rsid w:val="007A3B3E"/>
    <w:rsid w:val="007A3B82"/>
    <w:rsid w:val="007A3D1B"/>
    <w:rsid w:val="007A407B"/>
    <w:rsid w:val="007A43DF"/>
    <w:rsid w:val="007A44CA"/>
    <w:rsid w:val="007A48C7"/>
    <w:rsid w:val="007A4A8F"/>
    <w:rsid w:val="007A4AF9"/>
    <w:rsid w:val="007A50D6"/>
    <w:rsid w:val="007A5332"/>
    <w:rsid w:val="007A5982"/>
    <w:rsid w:val="007A598D"/>
    <w:rsid w:val="007A5AA7"/>
    <w:rsid w:val="007A5B49"/>
    <w:rsid w:val="007A5EF7"/>
    <w:rsid w:val="007A61FC"/>
    <w:rsid w:val="007A639D"/>
    <w:rsid w:val="007A699B"/>
    <w:rsid w:val="007A69E0"/>
    <w:rsid w:val="007A6A0A"/>
    <w:rsid w:val="007A6ABB"/>
    <w:rsid w:val="007A6AF5"/>
    <w:rsid w:val="007A6BA8"/>
    <w:rsid w:val="007A6CA6"/>
    <w:rsid w:val="007A6CF1"/>
    <w:rsid w:val="007A6D23"/>
    <w:rsid w:val="007A6D3B"/>
    <w:rsid w:val="007A6D4F"/>
    <w:rsid w:val="007A6D6B"/>
    <w:rsid w:val="007A6E6F"/>
    <w:rsid w:val="007A6F4B"/>
    <w:rsid w:val="007A6F9C"/>
    <w:rsid w:val="007A70BA"/>
    <w:rsid w:val="007A7222"/>
    <w:rsid w:val="007A7334"/>
    <w:rsid w:val="007A75E8"/>
    <w:rsid w:val="007A76F7"/>
    <w:rsid w:val="007A7898"/>
    <w:rsid w:val="007A7BCF"/>
    <w:rsid w:val="007A7D8C"/>
    <w:rsid w:val="007A7E4B"/>
    <w:rsid w:val="007B008E"/>
    <w:rsid w:val="007B00FF"/>
    <w:rsid w:val="007B0236"/>
    <w:rsid w:val="007B02D3"/>
    <w:rsid w:val="007B02DF"/>
    <w:rsid w:val="007B034B"/>
    <w:rsid w:val="007B0362"/>
    <w:rsid w:val="007B05BC"/>
    <w:rsid w:val="007B0819"/>
    <w:rsid w:val="007B0D68"/>
    <w:rsid w:val="007B110A"/>
    <w:rsid w:val="007B12B1"/>
    <w:rsid w:val="007B163B"/>
    <w:rsid w:val="007B165C"/>
    <w:rsid w:val="007B17BF"/>
    <w:rsid w:val="007B1B11"/>
    <w:rsid w:val="007B1BA2"/>
    <w:rsid w:val="007B1D17"/>
    <w:rsid w:val="007B1E81"/>
    <w:rsid w:val="007B236B"/>
    <w:rsid w:val="007B251D"/>
    <w:rsid w:val="007B2552"/>
    <w:rsid w:val="007B2A91"/>
    <w:rsid w:val="007B2CE1"/>
    <w:rsid w:val="007B2F3D"/>
    <w:rsid w:val="007B2F52"/>
    <w:rsid w:val="007B2FA9"/>
    <w:rsid w:val="007B307B"/>
    <w:rsid w:val="007B3273"/>
    <w:rsid w:val="007B3533"/>
    <w:rsid w:val="007B373B"/>
    <w:rsid w:val="007B37C3"/>
    <w:rsid w:val="007B3996"/>
    <w:rsid w:val="007B3AD9"/>
    <w:rsid w:val="007B3C4E"/>
    <w:rsid w:val="007B3CAD"/>
    <w:rsid w:val="007B3F5B"/>
    <w:rsid w:val="007B403E"/>
    <w:rsid w:val="007B492D"/>
    <w:rsid w:val="007B49FA"/>
    <w:rsid w:val="007B4A2F"/>
    <w:rsid w:val="007B4E68"/>
    <w:rsid w:val="007B4E77"/>
    <w:rsid w:val="007B4F58"/>
    <w:rsid w:val="007B528D"/>
    <w:rsid w:val="007B561A"/>
    <w:rsid w:val="007B565A"/>
    <w:rsid w:val="007B5672"/>
    <w:rsid w:val="007B5820"/>
    <w:rsid w:val="007B5953"/>
    <w:rsid w:val="007B5AE9"/>
    <w:rsid w:val="007B5F9B"/>
    <w:rsid w:val="007B6182"/>
    <w:rsid w:val="007B63CA"/>
    <w:rsid w:val="007B68D5"/>
    <w:rsid w:val="007B6960"/>
    <w:rsid w:val="007B6DA9"/>
    <w:rsid w:val="007B710D"/>
    <w:rsid w:val="007B75C2"/>
    <w:rsid w:val="007B7764"/>
    <w:rsid w:val="007B77D1"/>
    <w:rsid w:val="007B7B22"/>
    <w:rsid w:val="007C0103"/>
    <w:rsid w:val="007C028F"/>
    <w:rsid w:val="007C0592"/>
    <w:rsid w:val="007C064D"/>
    <w:rsid w:val="007C06A0"/>
    <w:rsid w:val="007C0712"/>
    <w:rsid w:val="007C07C7"/>
    <w:rsid w:val="007C094F"/>
    <w:rsid w:val="007C0A58"/>
    <w:rsid w:val="007C0D99"/>
    <w:rsid w:val="007C0EAB"/>
    <w:rsid w:val="007C1525"/>
    <w:rsid w:val="007C16A9"/>
    <w:rsid w:val="007C1917"/>
    <w:rsid w:val="007C1CD9"/>
    <w:rsid w:val="007C1D69"/>
    <w:rsid w:val="007C1E52"/>
    <w:rsid w:val="007C1FCD"/>
    <w:rsid w:val="007C22CA"/>
    <w:rsid w:val="007C2834"/>
    <w:rsid w:val="007C28CF"/>
    <w:rsid w:val="007C2E7E"/>
    <w:rsid w:val="007C3195"/>
    <w:rsid w:val="007C32EF"/>
    <w:rsid w:val="007C3505"/>
    <w:rsid w:val="007C361D"/>
    <w:rsid w:val="007C3659"/>
    <w:rsid w:val="007C396A"/>
    <w:rsid w:val="007C3B7C"/>
    <w:rsid w:val="007C3F9E"/>
    <w:rsid w:val="007C3FA9"/>
    <w:rsid w:val="007C3FBC"/>
    <w:rsid w:val="007C4159"/>
    <w:rsid w:val="007C4350"/>
    <w:rsid w:val="007C4393"/>
    <w:rsid w:val="007C49A8"/>
    <w:rsid w:val="007C4AEE"/>
    <w:rsid w:val="007C4B84"/>
    <w:rsid w:val="007C4CAE"/>
    <w:rsid w:val="007C515B"/>
    <w:rsid w:val="007C539D"/>
    <w:rsid w:val="007C563F"/>
    <w:rsid w:val="007C5751"/>
    <w:rsid w:val="007C582B"/>
    <w:rsid w:val="007C58F8"/>
    <w:rsid w:val="007C5902"/>
    <w:rsid w:val="007C5905"/>
    <w:rsid w:val="007C5B31"/>
    <w:rsid w:val="007C5E6E"/>
    <w:rsid w:val="007C5F25"/>
    <w:rsid w:val="007C5FEB"/>
    <w:rsid w:val="007C6284"/>
    <w:rsid w:val="007C6296"/>
    <w:rsid w:val="007C66E2"/>
    <w:rsid w:val="007C69B3"/>
    <w:rsid w:val="007C6BF4"/>
    <w:rsid w:val="007C6D8C"/>
    <w:rsid w:val="007C6FA8"/>
    <w:rsid w:val="007C6FF1"/>
    <w:rsid w:val="007C701D"/>
    <w:rsid w:val="007C70BF"/>
    <w:rsid w:val="007C70FF"/>
    <w:rsid w:val="007C720D"/>
    <w:rsid w:val="007C73A5"/>
    <w:rsid w:val="007C76C4"/>
    <w:rsid w:val="007C7747"/>
    <w:rsid w:val="007C7A62"/>
    <w:rsid w:val="007C7C25"/>
    <w:rsid w:val="007C7D18"/>
    <w:rsid w:val="007C7E3A"/>
    <w:rsid w:val="007D004F"/>
    <w:rsid w:val="007D035F"/>
    <w:rsid w:val="007D06B2"/>
    <w:rsid w:val="007D08E4"/>
    <w:rsid w:val="007D0985"/>
    <w:rsid w:val="007D0ABE"/>
    <w:rsid w:val="007D0B38"/>
    <w:rsid w:val="007D0D72"/>
    <w:rsid w:val="007D1234"/>
    <w:rsid w:val="007D146F"/>
    <w:rsid w:val="007D1547"/>
    <w:rsid w:val="007D15FD"/>
    <w:rsid w:val="007D1658"/>
    <w:rsid w:val="007D19D1"/>
    <w:rsid w:val="007D1A33"/>
    <w:rsid w:val="007D1BF0"/>
    <w:rsid w:val="007D1D53"/>
    <w:rsid w:val="007D1E0C"/>
    <w:rsid w:val="007D1EE4"/>
    <w:rsid w:val="007D1F7D"/>
    <w:rsid w:val="007D2015"/>
    <w:rsid w:val="007D20D4"/>
    <w:rsid w:val="007D22A0"/>
    <w:rsid w:val="007D247B"/>
    <w:rsid w:val="007D2497"/>
    <w:rsid w:val="007D262A"/>
    <w:rsid w:val="007D2669"/>
    <w:rsid w:val="007D2832"/>
    <w:rsid w:val="007D298B"/>
    <w:rsid w:val="007D2AC4"/>
    <w:rsid w:val="007D2EDE"/>
    <w:rsid w:val="007D2F29"/>
    <w:rsid w:val="007D2F39"/>
    <w:rsid w:val="007D33F1"/>
    <w:rsid w:val="007D3415"/>
    <w:rsid w:val="007D3482"/>
    <w:rsid w:val="007D37C3"/>
    <w:rsid w:val="007D38E5"/>
    <w:rsid w:val="007D41D7"/>
    <w:rsid w:val="007D43FA"/>
    <w:rsid w:val="007D4430"/>
    <w:rsid w:val="007D4483"/>
    <w:rsid w:val="007D4602"/>
    <w:rsid w:val="007D46CB"/>
    <w:rsid w:val="007D48E8"/>
    <w:rsid w:val="007D49DD"/>
    <w:rsid w:val="007D4AD2"/>
    <w:rsid w:val="007D4BE4"/>
    <w:rsid w:val="007D4EC4"/>
    <w:rsid w:val="007D4EDE"/>
    <w:rsid w:val="007D51C5"/>
    <w:rsid w:val="007D537A"/>
    <w:rsid w:val="007D53EF"/>
    <w:rsid w:val="007D5440"/>
    <w:rsid w:val="007D55B9"/>
    <w:rsid w:val="007D5A35"/>
    <w:rsid w:val="007D5F7B"/>
    <w:rsid w:val="007D649B"/>
    <w:rsid w:val="007D6985"/>
    <w:rsid w:val="007D69EB"/>
    <w:rsid w:val="007D6FA5"/>
    <w:rsid w:val="007D70B6"/>
    <w:rsid w:val="007D786D"/>
    <w:rsid w:val="007D79A1"/>
    <w:rsid w:val="007D7A52"/>
    <w:rsid w:val="007D7C5C"/>
    <w:rsid w:val="007D7FD7"/>
    <w:rsid w:val="007E0169"/>
    <w:rsid w:val="007E0274"/>
    <w:rsid w:val="007E03EC"/>
    <w:rsid w:val="007E04EE"/>
    <w:rsid w:val="007E0A1F"/>
    <w:rsid w:val="007E0CD3"/>
    <w:rsid w:val="007E0F1F"/>
    <w:rsid w:val="007E1138"/>
    <w:rsid w:val="007E1178"/>
    <w:rsid w:val="007E128F"/>
    <w:rsid w:val="007E12D4"/>
    <w:rsid w:val="007E139D"/>
    <w:rsid w:val="007E1706"/>
    <w:rsid w:val="007E17AB"/>
    <w:rsid w:val="007E17C6"/>
    <w:rsid w:val="007E1895"/>
    <w:rsid w:val="007E1988"/>
    <w:rsid w:val="007E1A13"/>
    <w:rsid w:val="007E1F33"/>
    <w:rsid w:val="007E2214"/>
    <w:rsid w:val="007E253A"/>
    <w:rsid w:val="007E260F"/>
    <w:rsid w:val="007E271B"/>
    <w:rsid w:val="007E298C"/>
    <w:rsid w:val="007E2C26"/>
    <w:rsid w:val="007E2C40"/>
    <w:rsid w:val="007E2FB6"/>
    <w:rsid w:val="007E3005"/>
    <w:rsid w:val="007E3009"/>
    <w:rsid w:val="007E3142"/>
    <w:rsid w:val="007E3215"/>
    <w:rsid w:val="007E3477"/>
    <w:rsid w:val="007E34C1"/>
    <w:rsid w:val="007E350D"/>
    <w:rsid w:val="007E35AB"/>
    <w:rsid w:val="007E3776"/>
    <w:rsid w:val="007E399C"/>
    <w:rsid w:val="007E39EB"/>
    <w:rsid w:val="007E3C59"/>
    <w:rsid w:val="007E3E72"/>
    <w:rsid w:val="007E4153"/>
    <w:rsid w:val="007E4318"/>
    <w:rsid w:val="007E43E3"/>
    <w:rsid w:val="007E4465"/>
    <w:rsid w:val="007E4982"/>
    <w:rsid w:val="007E4C50"/>
    <w:rsid w:val="007E4D85"/>
    <w:rsid w:val="007E500F"/>
    <w:rsid w:val="007E5091"/>
    <w:rsid w:val="007E5363"/>
    <w:rsid w:val="007E53D8"/>
    <w:rsid w:val="007E5978"/>
    <w:rsid w:val="007E5A35"/>
    <w:rsid w:val="007E5A43"/>
    <w:rsid w:val="007E5BFF"/>
    <w:rsid w:val="007E6494"/>
    <w:rsid w:val="007E6541"/>
    <w:rsid w:val="007E6701"/>
    <w:rsid w:val="007E67B1"/>
    <w:rsid w:val="007E6865"/>
    <w:rsid w:val="007E6A6A"/>
    <w:rsid w:val="007E6BD9"/>
    <w:rsid w:val="007E6BFE"/>
    <w:rsid w:val="007E6EB0"/>
    <w:rsid w:val="007E6F44"/>
    <w:rsid w:val="007E6FFF"/>
    <w:rsid w:val="007E70BB"/>
    <w:rsid w:val="007E712A"/>
    <w:rsid w:val="007E724B"/>
    <w:rsid w:val="007E73A1"/>
    <w:rsid w:val="007E73FE"/>
    <w:rsid w:val="007E74AD"/>
    <w:rsid w:val="007E74BA"/>
    <w:rsid w:val="007E758E"/>
    <w:rsid w:val="007E7F6C"/>
    <w:rsid w:val="007F04FA"/>
    <w:rsid w:val="007F07C7"/>
    <w:rsid w:val="007F0C7F"/>
    <w:rsid w:val="007F0D1E"/>
    <w:rsid w:val="007F0F35"/>
    <w:rsid w:val="007F1017"/>
    <w:rsid w:val="007F124A"/>
    <w:rsid w:val="007F1430"/>
    <w:rsid w:val="007F14B4"/>
    <w:rsid w:val="007F14B6"/>
    <w:rsid w:val="007F1573"/>
    <w:rsid w:val="007F1690"/>
    <w:rsid w:val="007F16CD"/>
    <w:rsid w:val="007F17B4"/>
    <w:rsid w:val="007F1871"/>
    <w:rsid w:val="007F1B9A"/>
    <w:rsid w:val="007F1BF9"/>
    <w:rsid w:val="007F1DDA"/>
    <w:rsid w:val="007F1F4D"/>
    <w:rsid w:val="007F1F84"/>
    <w:rsid w:val="007F2066"/>
    <w:rsid w:val="007F2084"/>
    <w:rsid w:val="007F25A3"/>
    <w:rsid w:val="007F2A49"/>
    <w:rsid w:val="007F2AA3"/>
    <w:rsid w:val="007F2F99"/>
    <w:rsid w:val="007F2FE8"/>
    <w:rsid w:val="007F3284"/>
    <w:rsid w:val="007F3289"/>
    <w:rsid w:val="007F3439"/>
    <w:rsid w:val="007F350C"/>
    <w:rsid w:val="007F3724"/>
    <w:rsid w:val="007F3742"/>
    <w:rsid w:val="007F37E5"/>
    <w:rsid w:val="007F3BCD"/>
    <w:rsid w:val="007F4085"/>
    <w:rsid w:val="007F4382"/>
    <w:rsid w:val="007F459E"/>
    <w:rsid w:val="007F45F7"/>
    <w:rsid w:val="007F465A"/>
    <w:rsid w:val="007F47B8"/>
    <w:rsid w:val="007F4A3F"/>
    <w:rsid w:val="007F4A61"/>
    <w:rsid w:val="007F4ADB"/>
    <w:rsid w:val="007F4B12"/>
    <w:rsid w:val="007F4B54"/>
    <w:rsid w:val="007F4CC1"/>
    <w:rsid w:val="007F4CE0"/>
    <w:rsid w:val="007F4D65"/>
    <w:rsid w:val="007F4E59"/>
    <w:rsid w:val="007F4FE1"/>
    <w:rsid w:val="007F5255"/>
    <w:rsid w:val="007F53A2"/>
    <w:rsid w:val="007F56CC"/>
    <w:rsid w:val="007F58E2"/>
    <w:rsid w:val="007F5A66"/>
    <w:rsid w:val="007F61C2"/>
    <w:rsid w:val="007F6455"/>
    <w:rsid w:val="007F647D"/>
    <w:rsid w:val="007F66B3"/>
    <w:rsid w:val="007F66E3"/>
    <w:rsid w:val="007F68C1"/>
    <w:rsid w:val="007F6977"/>
    <w:rsid w:val="007F6A01"/>
    <w:rsid w:val="007F6B95"/>
    <w:rsid w:val="007F6C9B"/>
    <w:rsid w:val="007F6F82"/>
    <w:rsid w:val="007F7246"/>
    <w:rsid w:val="007F77C1"/>
    <w:rsid w:val="0080000B"/>
    <w:rsid w:val="0080042C"/>
    <w:rsid w:val="0080043B"/>
    <w:rsid w:val="00800882"/>
    <w:rsid w:val="008009D5"/>
    <w:rsid w:val="00800B79"/>
    <w:rsid w:val="00800D60"/>
    <w:rsid w:val="00800E40"/>
    <w:rsid w:val="00801247"/>
    <w:rsid w:val="008012A6"/>
    <w:rsid w:val="0080178C"/>
    <w:rsid w:val="0080182B"/>
    <w:rsid w:val="00801BB0"/>
    <w:rsid w:val="00801C1D"/>
    <w:rsid w:val="00801E91"/>
    <w:rsid w:val="008020EB"/>
    <w:rsid w:val="0080227D"/>
    <w:rsid w:val="00802341"/>
    <w:rsid w:val="00802369"/>
    <w:rsid w:val="00802446"/>
    <w:rsid w:val="00802529"/>
    <w:rsid w:val="00802606"/>
    <w:rsid w:val="0080265F"/>
    <w:rsid w:val="008027A9"/>
    <w:rsid w:val="00802969"/>
    <w:rsid w:val="00802EAB"/>
    <w:rsid w:val="008032DB"/>
    <w:rsid w:val="008033D2"/>
    <w:rsid w:val="00803569"/>
    <w:rsid w:val="008035F3"/>
    <w:rsid w:val="00803696"/>
    <w:rsid w:val="0080369C"/>
    <w:rsid w:val="00803EA0"/>
    <w:rsid w:val="008041BD"/>
    <w:rsid w:val="008042F1"/>
    <w:rsid w:val="008043E8"/>
    <w:rsid w:val="008044AA"/>
    <w:rsid w:val="0080465A"/>
    <w:rsid w:val="008046BF"/>
    <w:rsid w:val="00804917"/>
    <w:rsid w:val="008049EC"/>
    <w:rsid w:val="00804A52"/>
    <w:rsid w:val="00804A91"/>
    <w:rsid w:val="00804B47"/>
    <w:rsid w:val="00804CC3"/>
    <w:rsid w:val="00804F26"/>
    <w:rsid w:val="0080501B"/>
    <w:rsid w:val="00805142"/>
    <w:rsid w:val="00805615"/>
    <w:rsid w:val="0080566B"/>
    <w:rsid w:val="0080589C"/>
    <w:rsid w:val="00805ADE"/>
    <w:rsid w:val="00805B74"/>
    <w:rsid w:val="00805FCE"/>
    <w:rsid w:val="00805FFC"/>
    <w:rsid w:val="0080605F"/>
    <w:rsid w:val="00806069"/>
    <w:rsid w:val="00806152"/>
    <w:rsid w:val="00806252"/>
    <w:rsid w:val="008062A0"/>
    <w:rsid w:val="008062F0"/>
    <w:rsid w:val="008063E8"/>
    <w:rsid w:val="00806914"/>
    <w:rsid w:val="00806AD9"/>
    <w:rsid w:val="00806C18"/>
    <w:rsid w:val="00806E4C"/>
    <w:rsid w:val="00807A8B"/>
    <w:rsid w:val="00807CEE"/>
    <w:rsid w:val="0081028A"/>
    <w:rsid w:val="00810331"/>
    <w:rsid w:val="008105B5"/>
    <w:rsid w:val="00810625"/>
    <w:rsid w:val="00810988"/>
    <w:rsid w:val="00810D8E"/>
    <w:rsid w:val="00811201"/>
    <w:rsid w:val="008112E8"/>
    <w:rsid w:val="00811348"/>
    <w:rsid w:val="00811383"/>
    <w:rsid w:val="008114F5"/>
    <w:rsid w:val="0081150F"/>
    <w:rsid w:val="008116BB"/>
    <w:rsid w:val="008117D2"/>
    <w:rsid w:val="008117FC"/>
    <w:rsid w:val="00811E4E"/>
    <w:rsid w:val="00811F08"/>
    <w:rsid w:val="00812149"/>
    <w:rsid w:val="008128CD"/>
    <w:rsid w:val="0081298C"/>
    <w:rsid w:val="00812ABF"/>
    <w:rsid w:val="00812CAC"/>
    <w:rsid w:val="00812E01"/>
    <w:rsid w:val="00813220"/>
    <w:rsid w:val="00813335"/>
    <w:rsid w:val="008134CF"/>
    <w:rsid w:val="008134FE"/>
    <w:rsid w:val="00813837"/>
    <w:rsid w:val="0081385C"/>
    <w:rsid w:val="0081387D"/>
    <w:rsid w:val="00813A45"/>
    <w:rsid w:val="00813D07"/>
    <w:rsid w:val="00813D4E"/>
    <w:rsid w:val="00813D57"/>
    <w:rsid w:val="008141E9"/>
    <w:rsid w:val="0081435D"/>
    <w:rsid w:val="008143BF"/>
    <w:rsid w:val="00814405"/>
    <w:rsid w:val="00814B10"/>
    <w:rsid w:val="00815239"/>
    <w:rsid w:val="008153E2"/>
    <w:rsid w:val="008158EA"/>
    <w:rsid w:val="00815D36"/>
    <w:rsid w:val="008161E6"/>
    <w:rsid w:val="008162AA"/>
    <w:rsid w:val="00816361"/>
    <w:rsid w:val="008165F8"/>
    <w:rsid w:val="008166AA"/>
    <w:rsid w:val="008166EF"/>
    <w:rsid w:val="00816A2E"/>
    <w:rsid w:val="00816BC0"/>
    <w:rsid w:val="00816FEF"/>
    <w:rsid w:val="00817246"/>
    <w:rsid w:val="00817403"/>
    <w:rsid w:val="008175D3"/>
    <w:rsid w:val="008177F3"/>
    <w:rsid w:val="0081786E"/>
    <w:rsid w:val="00817927"/>
    <w:rsid w:val="00817DF2"/>
    <w:rsid w:val="0081BDE6"/>
    <w:rsid w:val="0082023D"/>
    <w:rsid w:val="0082026A"/>
    <w:rsid w:val="00820306"/>
    <w:rsid w:val="00820507"/>
    <w:rsid w:val="00820627"/>
    <w:rsid w:val="00820A3D"/>
    <w:rsid w:val="00820A8C"/>
    <w:rsid w:val="00821040"/>
    <w:rsid w:val="008210E3"/>
    <w:rsid w:val="008215C5"/>
    <w:rsid w:val="008215FB"/>
    <w:rsid w:val="008217E8"/>
    <w:rsid w:val="00821A1B"/>
    <w:rsid w:val="00821CFF"/>
    <w:rsid w:val="008220CC"/>
    <w:rsid w:val="0082240C"/>
    <w:rsid w:val="008224C3"/>
    <w:rsid w:val="00822751"/>
    <w:rsid w:val="00822DC7"/>
    <w:rsid w:val="00822E48"/>
    <w:rsid w:val="00823143"/>
    <w:rsid w:val="00823174"/>
    <w:rsid w:val="008231B2"/>
    <w:rsid w:val="008232C2"/>
    <w:rsid w:val="008232F8"/>
    <w:rsid w:val="00823699"/>
    <w:rsid w:val="0082376E"/>
    <w:rsid w:val="00824086"/>
    <w:rsid w:val="00824532"/>
    <w:rsid w:val="00824671"/>
    <w:rsid w:val="00824790"/>
    <w:rsid w:val="0082498F"/>
    <w:rsid w:val="008249FB"/>
    <w:rsid w:val="00824D4B"/>
    <w:rsid w:val="008250AE"/>
    <w:rsid w:val="00825283"/>
    <w:rsid w:val="00825369"/>
    <w:rsid w:val="0082539B"/>
    <w:rsid w:val="008253AE"/>
    <w:rsid w:val="008253C9"/>
    <w:rsid w:val="00825751"/>
    <w:rsid w:val="0082593C"/>
    <w:rsid w:val="008259DD"/>
    <w:rsid w:val="008259F6"/>
    <w:rsid w:val="00825F38"/>
    <w:rsid w:val="00825FF8"/>
    <w:rsid w:val="008262E5"/>
    <w:rsid w:val="0082645D"/>
    <w:rsid w:val="008264EB"/>
    <w:rsid w:val="00826538"/>
    <w:rsid w:val="00826612"/>
    <w:rsid w:val="00826709"/>
    <w:rsid w:val="008268BA"/>
    <w:rsid w:val="008268CE"/>
    <w:rsid w:val="00826985"/>
    <w:rsid w:val="00826D40"/>
    <w:rsid w:val="00826D9B"/>
    <w:rsid w:val="008274A3"/>
    <w:rsid w:val="008275F2"/>
    <w:rsid w:val="0082793D"/>
    <w:rsid w:val="008279D1"/>
    <w:rsid w:val="00827C23"/>
    <w:rsid w:val="00827E5E"/>
    <w:rsid w:val="00827FAF"/>
    <w:rsid w:val="00830183"/>
    <w:rsid w:val="00830294"/>
    <w:rsid w:val="00830525"/>
    <w:rsid w:val="00830577"/>
    <w:rsid w:val="00830EA4"/>
    <w:rsid w:val="00830FD8"/>
    <w:rsid w:val="008310BC"/>
    <w:rsid w:val="0083114E"/>
    <w:rsid w:val="00831392"/>
    <w:rsid w:val="0083158D"/>
    <w:rsid w:val="008317D2"/>
    <w:rsid w:val="00831AB2"/>
    <w:rsid w:val="00831AF8"/>
    <w:rsid w:val="00831B1D"/>
    <w:rsid w:val="00831C62"/>
    <w:rsid w:val="00831D3E"/>
    <w:rsid w:val="008321F3"/>
    <w:rsid w:val="0083220C"/>
    <w:rsid w:val="008327F0"/>
    <w:rsid w:val="00832A28"/>
    <w:rsid w:val="00832BB3"/>
    <w:rsid w:val="00832D24"/>
    <w:rsid w:val="00832D28"/>
    <w:rsid w:val="00832E1C"/>
    <w:rsid w:val="00832FC5"/>
    <w:rsid w:val="00832FFF"/>
    <w:rsid w:val="0083301A"/>
    <w:rsid w:val="0083317A"/>
    <w:rsid w:val="00833181"/>
    <w:rsid w:val="00833315"/>
    <w:rsid w:val="008333AC"/>
    <w:rsid w:val="00833869"/>
    <w:rsid w:val="00833A08"/>
    <w:rsid w:val="00833B05"/>
    <w:rsid w:val="00833B58"/>
    <w:rsid w:val="00833B8C"/>
    <w:rsid w:val="00833DE6"/>
    <w:rsid w:val="00833E16"/>
    <w:rsid w:val="00833E5F"/>
    <w:rsid w:val="00833EBB"/>
    <w:rsid w:val="008343E6"/>
    <w:rsid w:val="008343EC"/>
    <w:rsid w:val="00834534"/>
    <w:rsid w:val="00834EA6"/>
    <w:rsid w:val="008352F1"/>
    <w:rsid w:val="008357E2"/>
    <w:rsid w:val="008358B5"/>
    <w:rsid w:val="00835A9C"/>
    <w:rsid w:val="00835B4B"/>
    <w:rsid w:val="00835CEA"/>
    <w:rsid w:val="00835D09"/>
    <w:rsid w:val="00835DB0"/>
    <w:rsid w:val="00836204"/>
    <w:rsid w:val="00836208"/>
    <w:rsid w:val="008362B4"/>
    <w:rsid w:val="008363E0"/>
    <w:rsid w:val="00836595"/>
    <w:rsid w:val="008366BC"/>
    <w:rsid w:val="0083672E"/>
    <w:rsid w:val="00836745"/>
    <w:rsid w:val="00836979"/>
    <w:rsid w:val="00836DDD"/>
    <w:rsid w:val="00836E4E"/>
    <w:rsid w:val="0083712C"/>
    <w:rsid w:val="00837177"/>
    <w:rsid w:val="0083724F"/>
    <w:rsid w:val="00837302"/>
    <w:rsid w:val="00837399"/>
    <w:rsid w:val="008374B9"/>
    <w:rsid w:val="00837652"/>
    <w:rsid w:val="00837739"/>
    <w:rsid w:val="008377B0"/>
    <w:rsid w:val="0083791E"/>
    <w:rsid w:val="00837920"/>
    <w:rsid w:val="0083792F"/>
    <w:rsid w:val="00837A21"/>
    <w:rsid w:val="00837A91"/>
    <w:rsid w:val="00840087"/>
    <w:rsid w:val="0084011F"/>
    <w:rsid w:val="008405CD"/>
    <w:rsid w:val="008405FE"/>
    <w:rsid w:val="008409A8"/>
    <w:rsid w:val="00840AA2"/>
    <w:rsid w:val="00840B63"/>
    <w:rsid w:val="00840C74"/>
    <w:rsid w:val="00840CA2"/>
    <w:rsid w:val="00840D95"/>
    <w:rsid w:val="00840F14"/>
    <w:rsid w:val="008410F9"/>
    <w:rsid w:val="00841460"/>
    <w:rsid w:val="008414AA"/>
    <w:rsid w:val="00841698"/>
    <w:rsid w:val="008416AB"/>
    <w:rsid w:val="00841A53"/>
    <w:rsid w:val="00841B5F"/>
    <w:rsid w:val="00841B97"/>
    <w:rsid w:val="0084220C"/>
    <w:rsid w:val="00842646"/>
    <w:rsid w:val="00842655"/>
    <w:rsid w:val="0084296D"/>
    <w:rsid w:val="008429ED"/>
    <w:rsid w:val="00842C87"/>
    <w:rsid w:val="00842D56"/>
    <w:rsid w:val="00842DBE"/>
    <w:rsid w:val="00842E24"/>
    <w:rsid w:val="0084329D"/>
    <w:rsid w:val="008432C8"/>
    <w:rsid w:val="0084339A"/>
    <w:rsid w:val="0084374F"/>
    <w:rsid w:val="00843B00"/>
    <w:rsid w:val="00843B9E"/>
    <w:rsid w:val="00844071"/>
    <w:rsid w:val="008440FA"/>
    <w:rsid w:val="0084420E"/>
    <w:rsid w:val="008442DA"/>
    <w:rsid w:val="008447D9"/>
    <w:rsid w:val="00844A22"/>
    <w:rsid w:val="00844BBB"/>
    <w:rsid w:val="00844D3F"/>
    <w:rsid w:val="00844DAA"/>
    <w:rsid w:val="00844EDB"/>
    <w:rsid w:val="00845159"/>
    <w:rsid w:val="0084517B"/>
    <w:rsid w:val="0084527A"/>
    <w:rsid w:val="00845286"/>
    <w:rsid w:val="008452AA"/>
    <w:rsid w:val="00845366"/>
    <w:rsid w:val="0084563E"/>
    <w:rsid w:val="00845E1E"/>
    <w:rsid w:val="00846011"/>
    <w:rsid w:val="008463A3"/>
    <w:rsid w:val="0084642D"/>
    <w:rsid w:val="00846521"/>
    <w:rsid w:val="00846556"/>
    <w:rsid w:val="00846806"/>
    <w:rsid w:val="00846882"/>
    <w:rsid w:val="0084689A"/>
    <w:rsid w:val="0084724B"/>
    <w:rsid w:val="008473A7"/>
    <w:rsid w:val="00847541"/>
    <w:rsid w:val="0084757B"/>
    <w:rsid w:val="00847703"/>
    <w:rsid w:val="00847768"/>
    <w:rsid w:val="00847A4D"/>
    <w:rsid w:val="00847A87"/>
    <w:rsid w:val="00847C0D"/>
    <w:rsid w:val="00847D9A"/>
    <w:rsid w:val="00847DD0"/>
    <w:rsid w:val="00847DF5"/>
    <w:rsid w:val="0085017B"/>
    <w:rsid w:val="008501AD"/>
    <w:rsid w:val="008503E7"/>
    <w:rsid w:val="0085044C"/>
    <w:rsid w:val="00850572"/>
    <w:rsid w:val="008506D2"/>
    <w:rsid w:val="00850764"/>
    <w:rsid w:val="00850783"/>
    <w:rsid w:val="00850995"/>
    <w:rsid w:val="00851236"/>
    <w:rsid w:val="0085141D"/>
    <w:rsid w:val="0085143D"/>
    <w:rsid w:val="00851546"/>
    <w:rsid w:val="008515D6"/>
    <w:rsid w:val="008515F4"/>
    <w:rsid w:val="00851796"/>
    <w:rsid w:val="008517FC"/>
    <w:rsid w:val="00851AE4"/>
    <w:rsid w:val="00851AE5"/>
    <w:rsid w:val="00851F49"/>
    <w:rsid w:val="0085209E"/>
    <w:rsid w:val="008520CE"/>
    <w:rsid w:val="00852131"/>
    <w:rsid w:val="00852381"/>
    <w:rsid w:val="008524E1"/>
    <w:rsid w:val="00852746"/>
    <w:rsid w:val="00852765"/>
    <w:rsid w:val="0085287A"/>
    <w:rsid w:val="00852A58"/>
    <w:rsid w:val="00852BB3"/>
    <w:rsid w:val="00852E3A"/>
    <w:rsid w:val="00852E45"/>
    <w:rsid w:val="0085309D"/>
    <w:rsid w:val="0085347C"/>
    <w:rsid w:val="00853550"/>
    <w:rsid w:val="00853602"/>
    <w:rsid w:val="008537FB"/>
    <w:rsid w:val="008538E8"/>
    <w:rsid w:val="00853B53"/>
    <w:rsid w:val="00853C70"/>
    <w:rsid w:val="008540A6"/>
    <w:rsid w:val="008540F8"/>
    <w:rsid w:val="00854175"/>
    <w:rsid w:val="008543B0"/>
    <w:rsid w:val="00854803"/>
    <w:rsid w:val="00854E0D"/>
    <w:rsid w:val="00854E5C"/>
    <w:rsid w:val="00854EEA"/>
    <w:rsid w:val="008550A6"/>
    <w:rsid w:val="00855337"/>
    <w:rsid w:val="008553F3"/>
    <w:rsid w:val="00855569"/>
    <w:rsid w:val="008555D7"/>
    <w:rsid w:val="00855621"/>
    <w:rsid w:val="00855659"/>
    <w:rsid w:val="00855813"/>
    <w:rsid w:val="00855B99"/>
    <w:rsid w:val="00855CE6"/>
    <w:rsid w:val="00855EAE"/>
    <w:rsid w:val="00855FDA"/>
    <w:rsid w:val="0085635F"/>
    <w:rsid w:val="00856897"/>
    <w:rsid w:val="00856D20"/>
    <w:rsid w:val="00856E9A"/>
    <w:rsid w:val="008573F2"/>
    <w:rsid w:val="00857477"/>
    <w:rsid w:val="008574D6"/>
    <w:rsid w:val="00857615"/>
    <w:rsid w:val="0085780B"/>
    <w:rsid w:val="00860373"/>
    <w:rsid w:val="008603B5"/>
    <w:rsid w:val="00860504"/>
    <w:rsid w:val="0086075D"/>
    <w:rsid w:val="00860ECE"/>
    <w:rsid w:val="00860F86"/>
    <w:rsid w:val="008610D7"/>
    <w:rsid w:val="0086143C"/>
    <w:rsid w:val="00861571"/>
    <w:rsid w:val="00861A43"/>
    <w:rsid w:val="00861AC8"/>
    <w:rsid w:val="00861B74"/>
    <w:rsid w:val="00861EAC"/>
    <w:rsid w:val="00862502"/>
    <w:rsid w:val="00862596"/>
    <w:rsid w:val="008629C4"/>
    <w:rsid w:val="00862CC1"/>
    <w:rsid w:val="00862CDD"/>
    <w:rsid w:val="00862CF2"/>
    <w:rsid w:val="00862D4F"/>
    <w:rsid w:val="00862DD3"/>
    <w:rsid w:val="0086306A"/>
    <w:rsid w:val="0086348A"/>
    <w:rsid w:val="008636FB"/>
    <w:rsid w:val="00863869"/>
    <w:rsid w:val="008639B1"/>
    <w:rsid w:val="00863A99"/>
    <w:rsid w:val="00863B1F"/>
    <w:rsid w:val="00863D31"/>
    <w:rsid w:val="00863DFF"/>
    <w:rsid w:val="00864053"/>
    <w:rsid w:val="008641D1"/>
    <w:rsid w:val="008642A7"/>
    <w:rsid w:val="00864695"/>
    <w:rsid w:val="008648B1"/>
    <w:rsid w:val="00864A5E"/>
    <w:rsid w:val="00864B5C"/>
    <w:rsid w:val="00864D98"/>
    <w:rsid w:val="00864F53"/>
    <w:rsid w:val="00864F92"/>
    <w:rsid w:val="00865647"/>
    <w:rsid w:val="00865667"/>
    <w:rsid w:val="008659BE"/>
    <w:rsid w:val="008660D4"/>
    <w:rsid w:val="00866150"/>
    <w:rsid w:val="008667FA"/>
    <w:rsid w:val="00866943"/>
    <w:rsid w:val="00866AB6"/>
    <w:rsid w:val="00866CC6"/>
    <w:rsid w:val="00866EBC"/>
    <w:rsid w:val="00867013"/>
    <w:rsid w:val="0086730F"/>
    <w:rsid w:val="00867518"/>
    <w:rsid w:val="00867603"/>
    <w:rsid w:val="0086774F"/>
    <w:rsid w:val="008677D0"/>
    <w:rsid w:val="00867B87"/>
    <w:rsid w:val="00867D20"/>
    <w:rsid w:val="008702C2"/>
    <w:rsid w:val="00870306"/>
    <w:rsid w:val="008706DF"/>
    <w:rsid w:val="00870866"/>
    <w:rsid w:val="0087099F"/>
    <w:rsid w:val="00871012"/>
    <w:rsid w:val="008712EE"/>
    <w:rsid w:val="0087147C"/>
    <w:rsid w:val="00871746"/>
    <w:rsid w:val="008717A5"/>
    <w:rsid w:val="00871939"/>
    <w:rsid w:val="008719E3"/>
    <w:rsid w:val="00871E2B"/>
    <w:rsid w:val="00871FA9"/>
    <w:rsid w:val="00872396"/>
    <w:rsid w:val="008728E9"/>
    <w:rsid w:val="00872A3A"/>
    <w:rsid w:val="00872B1C"/>
    <w:rsid w:val="00872B95"/>
    <w:rsid w:val="00872EB8"/>
    <w:rsid w:val="00872ECE"/>
    <w:rsid w:val="00873368"/>
    <w:rsid w:val="008734B8"/>
    <w:rsid w:val="00873E70"/>
    <w:rsid w:val="008740C7"/>
    <w:rsid w:val="00874103"/>
    <w:rsid w:val="00874599"/>
    <w:rsid w:val="008745F8"/>
    <w:rsid w:val="0087471D"/>
    <w:rsid w:val="008748EA"/>
    <w:rsid w:val="00874901"/>
    <w:rsid w:val="00874907"/>
    <w:rsid w:val="00874960"/>
    <w:rsid w:val="008749D8"/>
    <w:rsid w:val="00874A0D"/>
    <w:rsid w:val="00874C03"/>
    <w:rsid w:val="00875AD1"/>
    <w:rsid w:val="00876121"/>
    <w:rsid w:val="00876506"/>
    <w:rsid w:val="0087676F"/>
    <w:rsid w:val="008767D5"/>
    <w:rsid w:val="008768AC"/>
    <w:rsid w:val="0087693A"/>
    <w:rsid w:val="008769C8"/>
    <w:rsid w:val="00876C13"/>
    <w:rsid w:val="00876D91"/>
    <w:rsid w:val="00876EB6"/>
    <w:rsid w:val="00876ED1"/>
    <w:rsid w:val="00876F10"/>
    <w:rsid w:val="00876F1E"/>
    <w:rsid w:val="00877015"/>
    <w:rsid w:val="00877060"/>
    <w:rsid w:val="008772A9"/>
    <w:rsid w:val="00877431"/>
    <w:rsid w:val="008774FD"/>
    <w:rsid w:val="008776D7"/>
    <w:rsid w:val="00877F7F"/>
    <w:rsid w:val="008802B3"/>
    <w:rsid w:val="008804E6"/>
    <w:rsid w:val="00880873"/>
    <w:rsid w:val="00880A60"/>
    <w:rsid w:val="00880CF7"/>
    <w:rsid w:val="00881232"/>
    <w:rsid w:val="008812BF"/>
    <w:rsid w:val="0088151B"/>
    <w:rsid w:val="008816B4"/>
    <w:rsid w:val="008818E7"/>
    <w:rsid w:val="00882413"/>
    <w:rsid w:val="008824F7"/>
    <w:rsid w:val="008825F5"/>
    <w:rsid w:val="0088265D"/>
    <w:rsid w:val="008826E1"/>
    <w:rsid w:val="00882874"/>
    <w:rsid w:val="00882E3C"/>
    <w:rsid w:val="00882E74"/>
    <w:rsid w:val="0088308A"/>
    <w:rsid w:val="00883367"/>
    <w:rsid w:val="00883404"/>
    <w:rsid w:val="00883415"/>
    <w:rsid w:val="008836F7"/>
    <w:rsid w:val="00883759"/>
    <w:rsid w:val="00883787"/>
    <w:rsid w:val="00883972"/>
    <w:rsid w:val="008839A6"/>
    <w:rsid w:val="00883D1C"/>
    <w:rsid w:val="00884085"/>
    <w:rsid w:val="008841FA"/>
    <w:rsid w:val="00884584"/>
    <w:rsid w:val="008849C5"/>
    <w:rsid w:val="00884C8F"/>
    <w:rsid w:val="0088510E"/>
    <w:rsid w:val="00885113"/>
    <w:rsid w:val="008855E4"/>
    <w:rsid w:val="0088576C"/>
    <w:rsid w:val="00885959"/>
    <w:rsid w:val="00885A1F"/>
    <w:rsid w:val="00885B0C"/>
    <w:rsid w:val="00885B34"/>
    <w:rsid w:val="00885BA9"/>
    <w:rsid w:val="00885BE4"/>
    <w:rsid w:val="00885D3D"/>
    <w:rsid w:val="00885F91"/>
    <w:rsid w:val="008860A0"/>
    <w:rsid w:val="008860DA"/>
    <w:rsid w:val="00886231"/>
    <w:rsid w:val="00886303"/>
    <w:rsid w:val="00886A5C"/>
    <w:rsid w:val="00886B03"/>
    <w:rsid w:val="00886CD2"/>
    <w:rsid w:val="00886E61"/>
    <w:rsid w:val="008870EB"/>
    <w:rsid w:val="0088737A"/>
    <w:rsid w:val="00887568"/>
    <w:rsid w:val="008875F9"/>
    <w:rsid w:val="00887794"/>
    <w:rsid w:val="0088786B"/>
    <w:rsid w:val="00887A3B"/>
    <w:rsid w:val="00887A44"/>
    <w:rsid w:val="00887AD2"/>
    <w:rsid w:val="00887C62"/>
    <w:rsid w:val="0088933F"/>
    <w:rsid w:val="008909D6"/>
    <w:rsid w:val="00890C69"/>
    <w:rsid w:val="00890E36"/>
    <w:rsid w:val="00890F93"/>
    <w:rsid w:val="00891241"/>
    <w:rsid w:val="00891603"/>
    <w:rsid w:val="008916D7"/>
    <w:rsid w:val="008916DB"/>
    <w:rsid w:val="00891CDB"/>
    <w:rsid w:val="00891E6F"/>
    <w:rsid w:val="00891E75"/>
    <w:rsid w:val="00892191"/>
    <w:rsid w:val="008922B8"/>
    <w:rsid w:val="00892344"/>
    <w:rsid w:val="00892561"/>
    <w:rsid w:val="00892661"/>
    <w:rsid w:val="0089267C"/>
    <w:rsid w:val="0089275D"/>
    <w:rsid w:val="00892A36"/>
    <w:rsid w:val="00892A56"/>
    <w:rsid w:val="00892E44"/>
    <w:rsid w:val="00893239"/>
    <w:rsid w:val="008933C3"/>
    <w:rsid w:val="008933CF"/>
    <w:rsid w:val="008936C0"/>
    <w:rsid w:val="00893A4E"/>
    <w:rsid w:val="00893B5B"/>
    <w:rsid w:val="00893FC4"/>
    <w:rsid w:val="0089415A"/>
    <w:rsid w:val="0089420E"/>
    <w:rsid w:val="00894489"/>
    <w:rsid w:val="00894520"/>
    <w:rsid w:val="00894A24"/>
    <w:rsid w:val="00894B4B"/>
    <w:rsid w:val="00894CD6"/>
    <w:rsid w:val="00894E9E"/>
    <w:rsid w:val="00894FBB"/>
    <w:rsid w:val="008953DB"/>
    <w:rsid w:val="008957E0"/>
    <w:rsid w:val="0089596C"/>
    <w:rsid w:val="00895EAF"/>
    <w:rsid w:val="008960FB"/>
    <w:rsid w:val="00896224"/>
    <w:rsid w:val="008963A5"/>
    <w:rsid w:val="008963B0"/>
    <w:rsid w:val="00896A99"/>
    <w:rsid w:val="00896CD1"/>
    <w:rsid w:val="00896D5D"/>
    <w:rsid w:val="00896D7B"/>
    <w:rsid w:val="00896FBF"/>
    <w:rsid w:val="00897094"/>
    <w:rsid w:val="00897239"/>
    <w:rsid w:val="008973BA"/>
    <w:rsid w:val="00897624"/>
    <w:rsid w:val="008976EA"/>
    <w:rsid w:val="008978FD"/>
    <w:rsid w:val="00897907"/>
    <w:rsid w:val="00897BC4"/>
    <w:rsid w:val="00897D0F"/>
    <w:rsid w:val="008A010F"/>
    <w:rsid w:val="008A0150"/>
    <w:rsid w:val="008A177F"/>
    <w:rsid w:val="008A17A1"/>
    <w:rsid w:val="008A19E8"/>
    <w:rsid w:val="008A1C57"/>
    <w:rsid w:val="008A1CD2"/>
    <w:rsid w:val="008A1FF1"/>
    <w:rsid w:val="008A236B"/>
    <w:rsid w:val="008A2432"/>
    <w:rsid w:val="008A2491"/>
    <w:rsid w:val="008A2704"/>
    <w:rsid w:val="008A275B"/>
    <w:rsid w:val="008A2B5E"/>
    <w:rsid w:val="008A2E51"/>
    <w:rsid w:val="008A2E96"/>
    <w:rsid w:val="008A3158"/>
    <w:rsid w:val="008A3363"/>
    <w:rsid w:val="008A3371"/>
    <w:rsid w:val="008A3923"/>
    <w:rsid w:val="008A3982"/>
    <w:rsid w:val="008A3BEA"/>
    <w:rsid w:val="008A3C3E"/>
    <w:rsid w:val="008A3CF7"/>
    <w:rsid w:val="008A3DDD"/>
    <w:rsid w:val="008A3E12"/>
    <w:rsid w:val="008A3E8B"/>
    <w:rsid w:val="008A3F65"/>
    <w:rsid w:val="008A41D2"/>
    <w:rsid w:val="008A44B6"/>
    <w:rsid w:val="008A4CEC"/>
    <w:rsid w:val="008A4EAE"/>
    <w:rsid w:val="008A4EE2"/>
    <w:rsid w:val="008A4F56"/>
    <w:rsid w:val="008A4FDC"/>
    <w:rsid w:val="008A54C7"/>
    <w:rsid w:val="008A55B3"/>
    <w:rsid w:val="008A5814"/>
    <w:rsid w:val="008A5A2A"/>
    <w:rsid w:val="008A5AF8"/>
    <w:rsid w:val="008A64AD"/>
    <w:rsid w:val="008A664D"/>
    <w:rsid w:val="008A69DC"/>
    <w:rsid w:val="008A6B20"/>
    <w:rsid w:val="008A6BA5"/>
    <w:rsid w:val="008A6E58"/>
    <w:rsid w:val="008A6F5A"/>
    <w:rsid w:val="008A756C"/>
    <w:rsid w:val="008A79DE"/>
    <w:rsid w:val="008A7AD3"/>
    <w:rsid w:val="008A7B07"/>
    <w:rsid w:val="008A7BF0"/>
    <w:rsid w:val="008A7E21"/>
    <w:rsid w:val="008A7EFC"/>
    <w:rsid w:val="008B0069"/>
    <w:rsid w:val="008B0154"/>
    <w:rsid w:val="008B021B"/>
    <w:rsid w:val="008B036C"/>
    <w:rsid w:val="008B0612"/>
    <w:rsid w:val="008B0D2F"/>
    <w:rsid w:val="008B10C9"/>
    <w:rsid w:val="008B1137"/>
    <w:rsid w:val="008B125D"/>
    <w:rsid w:val="008B1321"/>
    <w:rsid w:val="008B1345"/>
    <w:rsid w:val="008B1418"/>
    <w:rsid w:val="008B158A"/>
    <w:rsid w:val="008B15C3"/>
    <w:rsid w:val="008B1757"/>
    <w:rsid w:val="008B198A"/>
    <w:rsid w:val="008B199A"/>
    <w:rsid w:val="008B1C33"/>
    <w:rsid w:val="008B21EE"/>
    <w:rsid w:val="008B230A"/>
    <w:rsid w:val="008B2505"/>
    <w:rsid w:val="008B270C"/>
    <w:rsid w:val="008B27F9"/>
    <w:rsid w:val="008B289F"/>
    <w:rsid w:val="008B2A6C"/>
    <w:rsid w:val="008B2BB1"/>
    <w:rsid w:val="008B2C1B"/>
    <w:rsid w:val="008B2D56"/>
    <w:rsid w:val="008B3265"/>
    <w:rsid w:val="008B34ED"/>
    <w:rsid w:val="008B3A9D"/>
    <w:rsid w:val="008B3BEB"/>
    <w:rsid w:val="008B3D3B"/>
    <w:rsid w:val="008B3DDF"/>
    <w:rsid w:val="008B3E0F"/>
    <w:rsid w:val="008B3E3B"/>
    <w:rsid w:val="008B4142"/>
    <w:rsid w:val="008B440E"/>
    <w:rsid w:val="008B46AB"/>
    <w:rsid w:val="008B4B6F"/>
    <w:rsid w:val="008B4C4E"/>
    <w:rsid w:val="008B50EB"/>
    <w:rsid w:val="008B52BC"/>
    <w:rsid w:val="008B52F5"/>
    <w:rsid w:val="008B5620"/>
    <w:rsid w:val="008B5A4A"/>
    <w:rsid w:val="008B5B32"/>
    <w:rsid w:val="008B5B4C"/>
    <w:rsid w:val="008B5D92"/>
    <w:rsid w:val="008B61B3"/>
    <w:rsid w:val="008B64A4"/>
    <w:rsid w:val="008B64DE"/>
    <w:rsid w:val="008B69BF"/>
    <w:rsid w:val="008B6D21"/>
    <w:rsid w:val="008B705F"/>
    <w:rsid w:val="008B73DB"/>
    <w:rsid w:val="008B763C"/>
    <w:rsid w:val="008B771B"/>
    <w:rsid w:val="008B77E4"/>
    <w:rsid w:val="008B7992"/>
    <w:rsid w:val="008B79D4"/>
    <w:rsid w:val="008B7C93"/>
    <w:rsid w:val="008B7D7E"/>
    <w:rsid w:val="008B7FD2"/>
    <w:rsid w:val="008C00D9"/>
    <w:rsid w:val="008C03D5"/>
    <w:rsid w:val="008C040C"/>
    <w:rsid w:val="008C0453"/>
    <w:rsid w:val="008C076B"/>
    <w:rsid w:val="008C098F"/>
    <w:rsid w:val="008C0D19"/>
    <w:rsid w:val="008C0D9C"/>
    <w:rsid w:val="008C0DF1"/>
    <w:rsid w:val="008C0EA3"/>
    <w:rsid w:val="008C1C28"/>
    <w:rsid w:val="008C1F88"/>
    <w:rsid w:val="008C2056"/>
    <w:rsid w:val="008C21BF"/>
    <w:rsid w:val="008C227B"/>
    <w:rsid w:val="008C227D"/>
    <w:rsid w:val="008C232D"/>
    <w:rsid w:val="008C25AB"/>
    <w:rsid w:val="008C265E"/>
    <w:rsid w:val="008C2DD0"/>
    <w:rsid w:val="008C2E46"/>
    <w:rsid w:val="008C2F62"/>
    <w:rsid w:val="008C2F66"/>
    <w:rsid w:val="008C34CA"/>
    <w:rsid w:val="008C364B"/>
    <w:rsid w:val="008C3929"/>
    <w:rsid w:val="008C3AAA"/>
    <w:rsid w:val="008C3D93"/>
    <w:rsid w:val="008C3FAE"/>
    <w:rsid w:val="008C3FBB"/>
    <w:rsid w:val="008C4125"/>
    <w:rsid w:val="008C425F"/>
    <w:rsid w:val="008C474C"/>
    <w:rsid w:val="008C49DA"/>
    <w:rsid w:val="008C4D1F"/>
    <w:rsid w:val="008C4EF6"/>
    <w:rsid w:val="008C5303"/>
    <w:rsid w:val="008C54F6"/>
    <w:rsid w:val="008C5530"/>
    <w:rsid w:val="008C55B4"/>
    <w:rsid w:val="008C5610"/>
    <w:rsid w:val="008C5739"/>
    <w:rsid w:val="008C579B"/>
    <w:rsid w:val="008C5A04"/>
    <w:rsid w:val="008C5AED"/>
    <w:rsid w:val="008C5C14"/>
    <w:rsid w:val="008C66A5"/>
    <w:rsid w:val="008C67E8"/>
    <w:rsid w:val="008C6AA4"/>
    <w:rsid w:val="008C6AAB"/>
    <w:rsid w:val="008C70CF"/>
    <w:rsid w:val="008C7282"/>
    <w:rsid w:val="008C7405"/>
    <w:rsid w:val="008C745C"/>
    <w:rsid w:val="008C7566"/>
    <w:rsid w:val="008C77B5"/>
    <w:rsid w:val="008C7B11"/>
    <w:rsid w:val="008C7C12"/>
    <w:rsid w:val="008C7ECB"/>
    <w:rsid w:val="008D0260"/>
    <w:rsid w:val="008D094F"/>
    <w:rsid w:val="008D0D23"/>
    <w:rsid w:val="008D1036"/>
    <w:rsid w:val="008D122F"/>
    <w:rsid w:val="008D1410"/>
    <w:rsid w:val="008D1426"/>
    <w:rsid w:val="008D17FE"/>
    <w:rsid w:val="008D1A2C"/>
    <w:rsid w:val="008D1B58"/>
    <w:rsid w:val="008D1CE3"/>
    <w:rsid w:val="008D2170"/>
    <w:rsid w:val="008D2252"/>
    <w:rsid w:val="008D2433"/>
    <w:rsid w:val="008D243D"/>
    <w:rsid w:val="008D2892"/>
    <w:rsid w:val="008D295D"/>
    <w:rsid w:val="008D2A74"/>
    <w:rsid w:val="008D2BF5"/>
    <w:rsid w:val="008D2C05"/>
    <w:rsid w:val="008D33A1"/>
    <w:rsid w:val="008D34B4"/>
    <w:rsid w:val="008D3608"/>
    <w:rsid w:val="008D37FA"/>
    <w:rsid w:val="008D38D3"/>
    <w:rsid w:val="008D39CD"/>
    <w:rsid w:val="008D3B86"/>
    <w:rsid w:val="008D3D3F"/>
    <w:rsid w:val="008D3F23"/>
    <w:rsid w:val="008D3FCB"/>
    <w:rsid w:val="008D43FD"/>
    <w:rsid w:val="008D4688"/>
    <w:rsid w:val="008D4755"/>
    <w:rsid w:val="008D49F0"/>
    <w:rsid w:val="008D4A20"/>
    <w:rsid w:val="008D4C3D"/>
    <w:rsid w:val="008D5050"/>
    <w:rsid w:val="008D5257"/>
    <w:rsid w:val="008D52BC"/>
    <w:rsid w:val="008D53F8"/>
    <w:rsid w:val="008D5686"/>
    <w:rsid w:val="008D58E0"/>
    <w:rsid w:val="008D5B80"/>
    <w:rsid w:val="008D5CA1"/>
    <w:rsid w:val="008D5DBA"/>
    <w:rsid w:val="008D5DDC"/>
    <w:rsid w:val="008D5EE2"/>
    <w:rsid w:val="008D6099"/>
    <w:rsid w:val="008D631A"/>
    <w:rsid w:val="008D63BF"/>
    <w:rsid w:val="008D6424"/>
    <w:rsid w:val="008D6528"/>
    <w:rsid w:val="008D6672"/>
    <w:rsid w:val="008D66A9"/>
    <w:rsid w:val="008D685D"/>
    <w:rsid w:val="008D6982"/>
    <w:rsid w:val="008D6A3B"/>
    <w:rsid w:val="008D6B01"/>
    <w:rsid w:val="008D6B6F"/>
    <w:rsid w:val="008D6C23"/>
    <w:rsid w:val="008D6C4F"/>
    <w:rsid w:val="008D6D71"/>
    <w:rsid w:val="008D6EF7"/>
    <w:rsid w:val="008D7142"/>
    <w:rsid w:val="008D72D1"/>
    <w:rsid w:val="008D743C"/>
    <w:rsid w:val="008D7489"/>
    <w:rsid w:val="008D74B3"/>
    <w:rsid w:val="008D74F8"/>
    <w:rsid w:val="008D7936"/>
    <w:rsid w:val="008D7C4F"/>
    <w:rsid w:val="008E0197"/>
    <w:rsid w:val="008E0212"/>
    <w:rsid w:val="008E035A"/>
    <w:rsid w:val="008E0415"/>
    <w:rsid w:val="008E04A5"/>
    <w:rsid w:val="008E0A28"/>
    <w:rsid w:val="008E0AA5"/>
    <w:rsid w:val="008E0B9F"/>
    <w:rsid w:val="008E0D3C"/>
    <w:rsid w:val="008E0D79"/>
    <w:rsid w:val="008E104E"/>
    <w:rsid w:val="008E116E"/>
    <w:rsid w:val="008E1357"/>
    <w:rsid w:val="008E14BF"/>
    <w:rsid w:val="008E19E1"/>
    <w:rsid w:val="008E1A2C"/>
    <w:rsid w:val="008E1B9E"/>
    <w:rsid w:val="008E1CD2"/>
    <w:rsid w:val="008E1CF2"/>
    <w:rsid w:val="008E1E8F"/>
    <w:rsid w:val="008E1E90"/>
    <w:rsid w:val="008E2036"/>
    <w:rsid w:val="008E23B8"/>
    <w:rsid w:val="008E25AC"/>
    <w:rsid w:val="008E262C"/>
    <w:rsid w:val="008E2668"/>
    <w:rsid w:val="008E2732"/>
    <w:rsid w:val="008E2767"/>
    <w:rsid w:val="008E2782"/>
    <w:rsid w:val="008E2835"/>
    <w:rsid w:val="008E2A77"/>
    <w:rsid w:val="008E2B84"/>
    <w:rsid w:val="008E2DF8"/>
    <w:rsid w:val="008E3154"/>
    <w:rsid w:val="008E31CB"/>
    <w:rsid w:val="008E36BD"/>
    <w:rsid w:val="008E3710"/>
    <w:rsid w:val="008E3837"/>
    <w:rsid w:val="008E3999"/>
    <w:rsid w:val="008E3B94"/>
    <w:rsid w:val="008E3C11"/>
    <w:rsid w:val="008E3D7F"/>
    <w:rsid w:val="008E3F1C"/>
    <w:rsid w:val="008E3F8B"/>
    <w:rsid w:val="008E4358"/>
    <w:rsid w:val="008E4398"/>
    <w:rsid w:val="008E448D"/>
    <w:rsid w:val="008E44D3"/>
    <w:rsid w:val="008E45B0"/>
    <w:rsid w:val="008E4984"/>
    <w:rsid w:val="008E49A0"/>
    <w:rsid w:val="008E4E7D"/>
    <w:rsid w:val="008E4FCA"/>
    <w:rsid w:val="008E5157"/>
    <w:rsid w:val="008E529D"/>
    <w:rsid w:val="008E5485"/>
    <w:rsid w:val="008E552D"/>
    <w:rsid w:val="008E55AB"/>
    <w:rsid w:val="008E55D5"/>
    <w:rsid w:val="008E56DC"/>
    <w:rsid w:val="008E57FE"/>
    <w:rsid w:val="008E58C6"/>
    <w:rsid w:val="008E59BB"/>
    <w:rsid w:val="008E5A1B"/>
    <w:rsid w:val="008E5B2A"/>
    <w:rsid w:val="008E5B47"/>
    <w:rsid w:val="008E6164"/>
    <w:rsid w:val="008E6491"/>
    <w:rsid w:val="008E66F0"/>
    <w:rsid w:val="008E67FA"/>
    <w:rsid w:val="008E681C"/>
    <w:rsid w:val="008E6A77"/>
    <w:rsid w:val="008E6B77"/>
    <w:rsid w:val="008E6D08"/>
    <w:rsid w:val="008E6E4A"/>
    <w:rsid w:val="008E6E73"/>
    <w:rsid w:val="008E71EE"/>
    <w:rsid w:val="008E7230"/>
    <w:rsid w:val="008E723C"/>
    <w:rsid w:val="008E7241"/>
    <w:rsid w:val="008E7442"/>
    <w:rsid w:val="008E772A"/>
    <w:rsid w:val="008E7752"/>
    <w:rsid w:val="008E7A96"/>
    <w:rsid w:val="008E7D77"/>
    <w:rsid w:val="008E7DCB"/>
    <w:rsid w:val="008E7E3C"/>
    <w:rsid w:val="008F028F"/>
    <w:rsid w:val="008F029F"/>
    <w:rsid w:val="008F0474"/>
    <w:rsid w:val="008F0FA1"/>
    <w:rsid w:val="008F120A"/>
    <w:rsid w:val="008F1299"/>
    <w:rsid w:val="008F159E"/>
    <w:rsid w:val="008F15EF"/>
    <w:rsid w:val="008F1A79"/>
    <w:rsid w:val="008F1B16"/>
    <w:rsid w:val="008F1B81"/>
    <w:rsid w:val="008F1CAB"/>
    <w:rsid w:val="008F2294"/>
    <w:rsid w:val="008F23EF"/>
    <w:rsid w:val="008F2516"/>
    <w:rsid w:val="008F25E2"/>
    <w:rsid w:val="008F2729"/>
    <w:rsid w:val="008F27E0"/>
    <w:rsid w:val="008F2A60"/>
    <w:rsid w:val="008F2C6D"/>
    <w:rsid w:val="008F2E10"/>
    <w:rsid w:val="008F2F4D"/>
    <w:rsid w:val="008F3013"/>
    <w:rsid w:val="008F307A"/>
    <w:rsid w:val="008F3132"/>
    <w:rsid w:val="008F3272"/>
    <w:rsid w:val="008F33EC"/>
    <w:rsid w:val="008F3860"/>
    <w:rsid w:val="008F392B"/>
    <w:rsid w:val="008F3D0E"/>
    <w:rsid w:val="008F3DB4"/>
    <w:rsid w:val="008F4217"/>
    <w:rsid w:val="008F4444"/>
    <w:rsid w:val="008F4666"/>
    <w:rsid w:val="008F48EB"/>
    <w:rsid w:val="008F4CC0"/>
    <w:rsid w:val="008F4D0B"/>
    <w:rsid w:val="008F4DFD"/>
    <w:rsid w:val="008F4F0B"/>
    <w:rsid w:val="008F523E"/>
    <w:rsid w:val="008F53F6"/>
    <w:rsid w:val="008F5415"/>
    <w:rsid w:val="008F57F4"/>
    <w:rsid w:val="008F59E0"/>
    <w:rsid w:val="008F5EA8"/>
    <w:rsid w:val="008F6385"/>
    <w:rsid w:val="008F653E"/>
    <w:rsid w:val="008F657E"/>
    <w:rsid w:val="008F659E"/>
    <w:rsid w:val="008F6982"/>
    <w:rsid w:val="008F6AB4"/>
    <w:rsid w:val="008F6D7F"/>
    <w:rsid w:val="008F6F5A"/>
    <w:rsid w:val="008F7845"/>
    <w:rsid w:val="008F7B20"/>
    <w:rsid w:val="008F7E7A"/>
    <w:rsid w:val="009003EB"/>
    <w:rsid w:val="00900728"/>
    <w:rsid w:val="0090073B"/>
    <w:rsid w:val="00900D7A"/>
    <w:rsid w:val="00900EA3"/>
    <w:rsid w:val="00900FD1"/>
    <w:rsid w:val="0090139B"/>
    <w:rsid w:val="009017B5"/>
    <w:rsid w:val="00901924"/>
    <w:rsid w:val="00901946"/>
    <w:rsid w:val="00901A3D"/>
    <w:rsid w:val="00901B11"/>
    <w:rsid w:val="00901BAA"/>
    <w:rsid w:val="00901CF1"/>
    <w:rsid w:val="00902260"/>
    <w:rsid w:val="009022FF"/>
    <w:rsid w:val="009025F5"/>
    <w:rsid w:val="0090261C"/>
    <w:rsid w:val="00902954"/>
    <w:rsid w:val="009029A9"/>
    <w:rsid w:val="00902F48"/>
    <w:rsid w:val="009035A9"/>
    <w:rsid w:val="00903607"/>
    <w:rsid w:val="0090383C"/>
    <w:rsid w:val="00903971"/>
    <w:rsid w:val="00903A6A"/>
    <w:rsid w:val="009040B1"/>
    <w:rsid w:val="00904183"/>
    <w:rsid w:val="00904228"/>
    <w:rsid w:val="009044F1"/>
    <w:rsid w:val="009046C4"/>
    <w:rsid w:val="0090473D"/>
    <w:rsid w:val="00904956"/>
    <w:rsid w:val="00904B40"/>
    <w:rsid w:val="00904BFC"/>
    <w:rsid w:val="00904CAA"/>
    <w:rsid w:val="00904D50"/>
    <w:rsid w:val="00904E12"/>
    <w:rsid w:val="00904E1F"/>
    <w:rsid w:val="00904EA4"/>
    <w:rsid w:val="00904EA6"/>
    <w:rsid w:val="00904F58"/>
    <w:rsid w:val="009053AE"/>
    <w:rsid w:val="009054E3"/>
    <w:rsid w:val="0090550F"/>
    <w:rsid w:val="0090586B"/>
    <w:rsid w:val="009058AD"/>
    <w:rsid w:val="00905A0A"/>
    <w:rsid w:val="00905CB7"/>
    <w:rsid w:val="00905D11"/>
    <w:rsid w:val="00905D2F"/>
    <w:rsid w:val="00905D68"/>
    <w:rsid w:val="00905DF8"/>
    <w:rsid w:val="009062A5"/>
    <w:rsid w:val="00906855"/>
    <w:rsid w:val="009069D6"/>
    <w:rsid w:val="00906C40"/>
    <w:rsid w:val="00906F67"/>
    <w:rsid w:val="009072C6"/>
    <w:rsid w:val="009072C8"/>
    <w:rsid w:val="00907699"/>
    <w:rsid w:val="009079F5"/>
    <w:rsid w:val="00907A02"/>
    <w:rsid w:val="00907C29"/>
    <w:rsid w:val="00907DBC"/>
    <w:rsid w:val="00907EC5"/>
    <w:rsid w:val="00910013"/>
    <w:rsid w:val="009100D9"/>
    <w:rsid w:val="00910BA3"/>
    <w:rsid w:val="00910D76"/>
    <w:rsid w:val="00910F04"/>
    <w:rsid w:val="00910FA7"/>
    <w:rsid w:val="00910FCE"/>
    <w:rsid w:val="00911199"/>
    <w:rsid w:val="00911272"/>
    <w:rsid w:val="00911339"/>
    <w:rsid w:val="00911607"/>
    <w:rsid w:val="009118A5"/>
    <w:rsid w:val="00911E59"/>
    <w:rsid w:val="00911EC0"/>
    <w:rsid w:val="00911FF2"/>
    <w:rsid w:val="009121A5"/>
    <w:rsid w:val="009121CB"/>
    <w:rsid w:val="009129F1"/>
    <w:rsid w:val="00912DFB"/>
    <w:rsid w:val="00912E29"/>
    <w:rsid w:val="0091304C"/>
    <w:rsid w:val="00913102"/>
    <w:rsid w:val="0091316D"/>
    <w:rsid w:val="0091334E"/>
    <w:rsid w:val="009135D6"/>
    <w:rsid w:val="009135EE"/>
    <w:rsid w:val="0091378F"/>
    <w:rsid w:val="00913963"/>
    <w:rsid w:val="00913A22"/>
    <w:rsid w:val="00913DB8"/>
    <w:rsid w:val="00913E15"/>
    <w:rsid w:val="00913F80"/>
    <w:rsid w:val="00913F88"/>
    <w:rsid w:val="0091424D"/>
    <w:rsid w:val="0091435A"/>
    <w:rsid w:val="009145C0"/>
    <w:rsid w:val="009145CC"/>
    <w:rsid w:val="009147AE"/>
    <w:rsid w:val="009147F9"/>
    <w:rsid w:val="009149B5"/>
    <w:rsid w:val="00914C37"/>
    <w:rsid w:val="00914C77"/>
    <w:rsid w:val="0091516B"/>
    <w:rsid w:val="009153E4"/>
    <w:rsid w:val="00915401"/>
    <w:rsid w:val="00915402"/>
    <w:rsid w:val="00915541"/>
    <w:rsid w:val="009155E8"/>
    <w:rsid w:val="00915CB3"/>
    <w:rsid w:val="00915D3B"/>
    <w:rsid w:val="00915D47"/>
    <w:rsid w:val="00915D6E"/>
    <w:rsid w:val="00915F9F"/>
    <w:rsid w:val="009164E3"/>
    <w:rsid w:val="00916557"/>
    <w:rsid w:val="00916930"/>
    <w:rsid w:val="00916A72"/>
    <w:rsid w:val="00916CE3"/>
    <w:rsid w:val="00916CEB"/>
    <w:rsid w:val="00916DAB"/>
    <w:rsid w:val="00916E58"/>
    <w:rsid w:val="00916E76"/>
    <w:rsid w:val="009173E9"/>
    <w:rsid w:val="009178AA"/>
    <w:rsid w:val="00917B56"/>
    <w:rsid w:val="00917BE2"/>
    <w:rsid w:val="00917CED"/>
    <w:rsid w:val="00917F4F"/>
    <w:rsid w:val="00917FAE"/>
    <w:rsid w:val="00920083"/>
    <w:rsid w:val="0092045F"/>
    <w:rsid w:val="00920522"/>
    <w:rsid w:val="00920639"/>
    <w:rsid w:val="009207DA"/>
    <w:rsid w:val="00920C31"/>
    <w:rsid w:val="00920EE3"/>
    <w:rsid w:val="0092168E"/>
    <w:rsid w:val="00921935"/>
    <w:rsid w:val="00921A3C"/>
    <w:rsid w:val="00921ACB"/>
    <w:rsid w:val="00921CB3"/>
    <w:rsid w:val="00921FF3"/>
    <w:rsid w:val="00922080"/>
    <w:rsid w:val="00922235"/>
    <w:rsid w:val="0092233E"/>
    <w:rsid w:val="00922352"/>
    <w:rsid w:val="009224AA"/>
    <w:rsid w:val="009225C3"/>
    <w:rsid w:val="0092309C"/>
    <w:rsid w:val="0092315B"/>
    <w:rsid w:val="00923305"/>
    <w:rsid w:val="009233E1"/>
    <w:rsid w:val="0092369B"/>
    <w:rsid w:val="00923D1A"/>
    <w:rsid w:val="00923DA6"/>
    <w:rsid w:val="00924504"/>
    <w:rsid w:val="009245E5"/>
    <w:rsid w:val="009247F6"/>
    <w:rsid w:val="00924C2C"/>
    <w:rsid w:val="00924C8F"/>
    <w:rsid w:val="00924F27"/>
    <w:rsid w:val="009250E5"/>
    <w:rsid w:val="00925173"/>
    <w:rsid w:val="00925345"/>
    <w:rsid w:val="00925476"/>
    <w:rsid w:val="009254D8"/>
    <w:rsid w:val="00925CC4"/>
    <w:rsid w:val="00926218"/>
    <w:rsid w:val="0092656A"/>
    <w:rsid w:val="0092685B"/>
    <w:rsid w:val="00926BDA"/>
    <w:rsid w:val="00926C86"/>
    <w:rsid w:val="00926DD7"/>
    <w:rsid w:val="00926E4B"/>
    <w:rsid w:val="00926EE8"/>
    <w:rsid w:val="0092729C"/>
    <w:rsid w:val="009273F4"/>
    <w:rsid w:val="0092745A"/>
    <w:rsid w:val="009275D5"/>
    <w:rsid w:val="00927A2F"/>
    <w:rsid w:val="00927CAA"/>
    <w:rsid w:val="00927E25"/>
    <w:rsid w:val="009302C8"/>
    <w:rsid w:val="00930533"/>
    <w:rsid w:val="00930C7B"/>
    <w:rsid w:val="0093137B"/>
    <w:rsid w:val="009314CC"/>
    <w:rsid w:val="009317EC"/>
    <w:rsid w:val="009318AD"/>
    <w:rsid w:val="00931B5B"/>
    <w:rsid w:val="00931DEB"/>
    <w:rsid w:val="00931FC6"/>
    <w:rsid w:val="00932D3C"/>
    <w:rsid w:val="00932F49"/>
    <w:rsid w:val="00933BB3"/>
    <w:rsid w:val="00933C0A"/>
    <w:rsid w:val="00933C2C"/>
    <w:rsid w:val="00934121"/>
    <w:rsid w:val="00934399"/>
    <w:rsid w:val="00934423"/>
    <w:rsid w:val="009347F7"/>
    <w:rsid w:val="009348E9"/>
    <w:rsid w:val="00934988"/>
    <w:rsid w:val="00934C39"/>
    <w:rsid w:val="00934D1C"/>
    <w:rsid w:val="009352E8"/>
    <w:rsid w:val="00935C2B"/>
    <w:rsid w:val="00935F35"/>
    <w:rsid w:val="009362E3"/>
    <w:rsid w:val="0093630E"/>
    <w:rsid w:val="00936865"/>
    <w:rsid w:val="00936971"/>
    <w:rsid w:val="00936C73"/>
    <w:rsid w:val="00936C86"/>
    <w:rsid w:val="00937084"/>
    <w:rsid w:val="00937089"/>
    <w:rsid w:val="009371C4"/>
    <w:rsid w:val="00937532"/>
    <w:rsid w:val="009379B3"/>
    <w:rsid w:val="00937E62"/>
    <w:rsid w:val="00940529"/>
    <w:rsid w:val="00940557"/>
    <w:rsid w:val="00940838"/>
    <w:rsid w:val="00940A5D"/>
    <w:rsid w:val="00940AE8"/>
    <w:rsid w:val="00940C72"/>
    <w:rsid w:val="009414F6"/>
    <w:rsid w:val="00941593"/>
    <w:rsid w:val="00941853"/>
    <w:rsid w:val="0094194D"/>
    <w:rsid w:val="00941E73"/>
    <w:rsid w:val="0094202C"/>
    <w:rsid w:val="00942150"/>
    <w:rsid w:val="009421BE"/>
    <w:rsid w:val="00942269"/>
    <w:rsid w:val="009424A7"/>
    <w:rsid w:val="00942E20"/>
    <w:rsid w:val="00942F1C"/>
    <w:rsid w:val="00943106"/>
    <w:rsid w:val="009431A1"/>
    <w:rsid w:val="00943698"/>
    <w:rsid w:val="009436E6"/>
    <w:rsid w:val="009439C8"/>
    <w:rsid w:val="00944013"/>
    <w:rsid w:val="009441BF"/>
    <w:rsid w:val="00944254"/>
    <w:rsid w:val="0094444C"/>
    <w:rsid w:val="00944825"/>
    <w:rsid w:val="0094482D"/>
    <w:rsid w:val="00944876"/>
    <w:rsid w:val="00944C52"/>
    <w:rsid w:val="00944F8A"/>
    <w:rsid w:val="00945113"/>
    <w:rsid w:val="009452B6"/>
    <w:rsid w:val="00945498"/>
    <w:rsid w:val="009458F0"/>
    <w:rsid w:val="00945B22"/>
    <w:rsid w:val="00945CD7"/>
    <w:rsid w:val="00945CEF"/>
    <w:rsid w:val="00946002"/>
    <w:rsid w:val="00946224"/>
    <w:rsid w:val="009463AF"/>
    <w:rsid w:val="0094660E"/>
    <w:rsid w:val="00946691"/>
    <w:rsid w:val="009467C0"/>
    <w:rsid w:val="00946AAF"/>
    <w:rsid w:val="00946C3F"/>
    <w:rsid w:val="00946D8E"/>
    <w:rsid w:val="00946F43"/>
    <w:rsid w:val="00947031"/>
    <w:rsid w:val="009471F9"/>
    <w:rsid w:val="00947299"/>
    <w:rsid w:val="00947965"/>
    <w:rsid w:val="00947C11"/>
    <w:rsid w:val="00947CA0"/>
    <w:rsid w:val="00947CED"/>
    <w:rsid w:val="00947E64"/>
    <w:rsid w:val="00947FA1"/>
    <w:rsid w:val="009501AF"/>
    <w:rsid w:val="00950201"/>
    <w:rsid w:val="00950362"/>
    <w:rsid w:val="00950485"/>
    <w:rsid w:val="009505B1"/>
    <w:rsid w:val="0095065E"/>
    <w:rsid w:val="009506A7"/>
    <w:rsid w:val="0095077C"/>
    <w:rsid w:val="00950C91"/>
    <w:rsid w:val="00950CA8"/>
    <w:rsid w:val="00950E46"/>
    <w:rsid w:val="00950FC2"/>
    <w:rsid w:val="009510A2"/>
    <w:rsid w:val="00951134"/>
    <w:rsid w:val="009512D5"/>
    <w:rsid w:val="009514F1"/>
    <w:rsid w:val="0095159C"/>
    <w:rsid w:val="00951711"/>
    <w:rsid w:val="0095186C"/>
    <w:rsid w:val="00951885"/>
    <w:rsid w:val="00951C88"/>
    <w:rsid w:val="00951F8D"/>
    <w:rsid w:val="00951F9A"/>
    <w:rsid w:val="00952493"/>
    <w:rsid w:val="0095261A"/>
    <w:rsid w:val="00952934"/>
    <w:rsid w:val="00952C71"/>
    <w:rsid w:val="00953257"/>
    <w:rsid w:val="00953596"/>
    <w:rsid w:val="00953D4D"/>
    <w:rsid w:val="009544AF"/>
    <w:rsid w:val="00954554"/>
    <w:rsid w:val="009545F7"/>
    <w:rsid w:val="0095474C"/>
    <w:rsid w:val="009547F1"/>
    <w:rsid w:val="009548CF"/>
    <w:rsid w:val="00954987"/>
    <w:rsid w:val="00954C5F"/>
    <w:rsid w:val="00954FF1"/>
    <w:rsid w:val="0095529D"/>
    <w:rsid w:val="009552A8"/>
    <w:rsid w:val="009553EF"/>
    <w:rsid w:val="0095575D"/>
    <w:rsid w:val="0095578A"/>
    <w:rsid w:val="009559F5"/>
    <w:rsid w:val="00955A27"/>
    <w:rsid w:val="00955B07"/>
    <w:rsid w:val="00955C62"/>
    <w:rsid w:val="00955EC7"/>
    <w:rsid w:val="00955F65"/>
    <w:rsid w:val="0095611A"/>
    <w:rsid w:val="009562DA"/>
    <w:rsid w:val="00956406"/>
    <w:rsid w:val="0095654A"/>
    <w:rsid w:val="00956748"/>
    <w:rsid w:val="0095697E"/>
    <w:rsid w:val="00956B3C"/>
    <w:rsid w:val="00956D0B"/>
    <w:rsid w:val="00956DD4"/>
    <w:rsid w:val="00956E31"/>
    <w:rsid w:val="00956EA2"/>
    <w:rsid w:val="00957415"/>
    <w:rsid w:val="009574A6"/>
    <w:rsid w:val="0095751A"/>
    <w:rsid w:val="00957AFF"/>
    <w:rsid w:val="00957CB9"/>
    <w:rsid w:val="00957D92"/>
    <w:rsid w:val="00957FC3"/>
    <w:rsid w:val="0096007A"/>
    <w:rsid w:val="00960670"/>
    <w:rsid w:val="00960893"/>
    <w:rsid w:val="00960A17"/>
    <w:rsid w:val="00960D7C"/>
    <w:rsid w:val="00960E1E"/>
    <w:rsid w:val="00960F81"/>
    <w:rsid w:val="00960F8E"/>
    <w:rsid w:val="00960F93"/>
    <w:rsid w:val="00961300"/>
    <w:rsid w:val="0096131B"/>
    <w:rsid w:val="00961501"/>
    <w:rsid w:val="00961570"/>
    <w:rsid w:val="00961576"/>
    <w:rsid w:val="009615FB"/>
    <w:rsid w:val="009616B6"/>
    <w:rsid w:val="00961724"/>
    <w:rsid w:val="00961742"/>
    <w:rsid w:val="00961B30"/>
    <w:rsid w:val="00961BC5"/>
    <w:rsid w:val="00961F3C"/>
    <w:rsid w:val="00961F87"/>
    <w:rsid w:val="00962268"/>
    <w:rsid w:val="00962320"/>
    <w:rsid w:val="0096232D"/>
    <w:rsid w:val="009628BD"/>
    <w:rsid w:val="00962CB9"/>
    <w:rsid w:val="00962F33"/>
    <w:rsid w:val="0096315B"/>
    <w:rsid w:val="00963185"/>
    <w:rsid w:val="0096330B"/>
    <w:rsid w:val="0096333D"/>
    <w:rsid w:val="00963438"/>
    <w:rsid w:val="00963D1F"/>
    <w:rsid w:val="00963DC1"/>
    <w:rsid w:val="00963FE8"/>
    <w:rsid w:val="009642D7"/>
    <w:rsid w:val="009642FD"/>
    <w:rsid w:val="00964312"/>
    <w:rsid w:val="00964386"/>
    <w:rsid w:val="009643C2"/>
    <w:rsid w:val="009646B3"/>
    <w:rsid w:val="00964970"/>
    <w:rsid w:val="00964A7A"/>
    <w:rsid w:val="00964DB4"/>
    <w:rsid w:val="0096539C"/>
    <w:rsid w:val="00965545"/>
    <w:rsid w:val="00965B8A"/>
    <w:rsid w:val="00965CB1"/>
    <w:rsid w:val="00965FB2"/>
    <w:rsid w:val="00966070"/>
    <w:rsid w:val="009660B1"/>
    <w:rsid w:val="009661EB"/>
    <w:rsid w:val="00966665"/>
    <w:rsid w:val="009667C0"/>
    <w:rsid w:val="00966AC2"/>
    <w:rsid w:val="00966AFB"/>
    <w:rsid w:val="00966DE8"/>
    <w:rsid w:val="00966F83"/>
    <w:rsid w:val="009671D6"/>
    <w:rsid w:val="00967241"/>
    <w:rsid w:val="00967634"/>
    <w:rsid w:val="0096776D"/>
    <w:rsid w:val="009677DF"/>
    <w:rsid w:val="00967885"/>
    <w:rsid w:val="00967B5D"/>
    <w:rsid w:val="0097015B"/>
    <w:rsid w:val="0097027A"/>
    <w:rsid w:val="0097036C"/>
    <w:rsid w:val="0097068E"/>
    <w:rsid w:val="0097071F"/>
    <w:rsid w:val="00971173"/>
    <w:rsid w:val="00971326"/>
    <w:rsid w:val="00971352"/>
    <w:rsid w:val="009714E0"/>
    <w:rsid w:val="009715CC"/>
    <w:rsid w:val="009716EE"/>
    <w:rsid w:val="009717AC"/>
    <w:rsid w:val="00971833"/>
    <w:rsid w:val="00971C25"/>
    <w:rsid w:val="00971EE5"/>
    <w:rsid w:val="00971F0E"/>
    <w:rsid w:val="00972198"/>
    <w:rsid w:val="00972319"/>
    <w:rsid w:val="0097235A"/>
    <w:rsid w:val="00972613"/>
    <w:rsid w:val="00973395"/>
    <w:rsid w:val="00973405"/>
    <w:rsid w:val="009734EB"/>
    <w:rsid w:val="009737BD"/>
    <w:rsid w:val="009738E5"/>
    <w:rsid w:val="00973B46"/>
    <w:rsid w:val="00973B5F"/>
    <w:rsid w:val="00973C1A"/>
    <w:rsid w:val="00973C76"/>
    <w:rsid w:val="00973C88"/>
    <w:rsid w:val="00973EC1"/>
    <w:rsid w:val="0097421C"/>
    <w:rsid w:val="009743A4"/>
    <w:rsid w:val="00974835"/>
    <w:rsid w:val="0097484B"/>
    <w:rsid w:val="009749B2"/>
    <w:rsid w:val="00974C28"/>
    <w:rsid w:val="00974FCC"/>
    <w:rsid w:val="00975135"/>
    <w:rsid w:val="009751C1"/>
    <w:rsid w:val="00975507"/>
    <w:rsid w:val="00975639"/>
    <w:rsid w:val="0097565E"/>
    <w:rsid w:val="0097566B"/>
    <w:rsid w:val="00975770"/>
    <w:rsid w:val="009759FE"/>
    <w:rsid w:val="00975B92"/>
    <w:rsid w:val="00975BF4"/>
    <w:rsid w:val="00975EC2"/>
    <w:rsid w:val="00975ED4"/>
    <w:rsid w:val="00976125"/>
    <w:rsid w:val="009764F5"/>
    <w:rsid w:val="009765E9"/>
    <w:rsid w:val="00976716"/>
    <w:rsid w:val="00976ACA"/>
    <w:rsid w:val="00976BC4"/>
    <w:rsid w:val="00976E06"/>
    <w:rsid w:val="0097734F"/>
    <w:rsid w:val="00977452"/>
    <w:rsid w:val="009776DB"/>
    <w:rsid w:val="009776F3"/>
    <w:rsid w:val="0097787F"/>
    <w:rsid w:val="00977AF3"/>
    <w:rsid w:val="00977CE6"/>
    <w:rsid w:val="00977E78"/>
    <w:rsid w:val="00980021"/>
    <w:rsid w:val="009803C2"/>
    <w:rsid w:val="009803E2"/>
    <w:rsid w:val="0098049E"/>
    <w:rsid w:val="0098056A"/>
    <w:rsid w:val="009806DE"/>
    <w:rsid w:val="00980944"/>
    <w:rsid w:val="009809BA"/>
    <w:rsid w:val="00980B73"/>
    <w:rsid w:val="00980C62"/>
    <w:rsid w:val="00980CA7"/>
    <w:rsid w:val="00980D36"/>
    <w:rsid w:val="00980F3C"/>
    <w:rsid w:val="00981007"/>
    <w:rsid w:val="009811F1"/>
    <w:rsid w:val="00981359"/>
    <w:rsid w:val="009816F9"/>
    <w:rsid w:val="00981795"/>
    <w:rsid w:val="0098190E"/>
    <w:rsid w:val="00981924"/>
    <w:rsid w:val="00981A75"/>
    <w:rsid w:val="00981C01"/>
    <w:rsid w:val="00981DFF"/>
    <w:rsid w:val="00981FAF"/>
    <w:rsid w:val="0098208B"/>
    <w:rsid w:val="0098238B"/>
    <w:rsid w:val="0098262F"/>
    <w:rsid w:val="0098271D"/>
    <w:rsid w:val="0098281E"/>
    <w:rsid w:val="0098299E"/>
    <w:rsid w:val="00982F82"/>
    <w:rsid w:val="009830EB"/>
    <w:rsid w:val="009831CE"/>
    <w:rsid w:val="009831D3"/>
    <w:rsid w:val="009835C4"/>
    <w:rsid w:val="009838F0"/>
    <w:rsid w:val="00983A03"/>
    <w:rsid w:val="00983E57"/>
    <w:rsid w:val="00983E65"/>
    <w:rsid w:val="00983E7D"/>
    <w:rsid w:val="00984075"/>
    <w:rsid w:val="0098491B"/>
    <w:rsid w:val="00984948"/>
    <w:rsid w:val="00984F03"/>
    <w:rsid w:val="00984F55"/>
    <w:rsid w:val="0098511C"/>
    <w:rsid w:val="0098527E"/>
    <w:rsid w:val="00985497"/>
    <w:rsid w:val="00985B86"/>
    <w:rsid w:val="00985CC1"/>
    <w:rsid w:val="00985DE2"/>
    <w:rsid w:val="0098617E"/>
    <w:rsid w:val="00986495"/>
    <w:rsid w:val="009864D7"/>
    <w:rsid w:val="0098675D"/>
    <w:rsid w:val="00986D5D"/>
    <w:rsid w:val="00986FC7"/>
    <w:rsid w:val="00987209"/>
    <w:rsid w:val="0098787F"/>
    <w:rsid w:val="00987AC2"/>
    <w:rsid w:val="00987BA4"/>
    <w:rsid w:val="00987CC8"/>
    <w:rsid w:val="00987E7C"/>
    <w:rsid w:val="00990086"/>
    <w:rsid w:val="0099014B"/>
    <w:rsid w:val="00990608"/>
    <w:rsid w:val="00990B7F"/>
    <w:rsid w:val="00990FF5"/>
    <w:rsid w:val="0099128B"/>
    <w:rsid w:val="00991655"/>
    <w:rsid w:val="0099194D"/>
    <w:rsid w:val="00991B08"/>
    <w:rsid w:val="00991B71"/>
    <w:rsid w:val="00991CF2"/>
    <w:rsid w:val="00991DD3"/>
    <w:rsid w:val="00991E1A"/>
    <w:rsid w:val="00991EAB"/>
    <w:rsid w:val="00992403"/>
    <w:rsid w:val="00992530"/>
    <w:rsid w:val="009926D4"/>
    <w:rsid w:val="009926E0"/>
    <w:rsid w:val="00992D3A"/>
    <w:rsid w:val="00992F78"/>
    <w:rsid w:val="00993128"/>
    <w:rsid w:val="0099329C"/>
    <w:rsid w:val="00993420"/>
    <w:rsid w:val="0099359A"/>
    <w:rsid w:val="0099369E"/>
    <w:rsid w:val="00993753"/>
    <w:rsid w:val="00993D26"/>
    <w:rsid w:val="00993DBB"/>
    <w:rsid w:val="00993FED"/>
    <w:rsid w:val="009941C1"/>
    <w:rsid w:val="009942BB"/>
    <w:rsid w:val="009943F1"/>
    <w:rsid w:val="0099451E"/>
    <w:rsid w:val="00994563"/>
    <w:rsid w:val="00994623"/>
    <w:rsid w:val="00994816"/>
    <w:rsid w:val="00994945"/>
    <w:rsid w:val="00994A4F"/>
    <w:rsid w:val="00994AB7"/>
    <w:rsid w:val="00994C03"/>
    <w:rsid w:val="00994C70"/>
    <w:rsid w:val="00994D4E"/>
    <w:rsid w:val="009950F4"/>
    <w:rsid w:val="00995B02"/>
    <w:rsid w:val="00995B54"/>
    <w:rsid w:val="00995BC7"/>
    <w:rsid w:val="00995C3B"/>
    <w:rsid w:val="00995E24"/>
    <w:rsid w:val="00995E4D"/>
    <w:rsid w:val="00996549"/>
    <w:rsid w:val="00996B1A"/>
    <w:rsid w:val="00996B6F"/>
    <w:rsid w:val="00996BF1"/>
    <w:rsid w:val="009970A9"/>
    <w:rsid w:val="0099717F"/>
    <w:rsid w:val="0099782A"/>
    <w:rsid w:val="00997AF8"/>
    <w:rsid w:val="00997B41"/>
    <w:rsid w:val="00997BD4"/>
    <w:rsid w:val="00997E58"/>
    <w:rsid w:val="00997E7C"/>
    <w:rsid w:val="009A032C"/>
    <w:rsid w:val="009A032E"/>
    <w:rsid w:val="009A0359"/>
    <w:rsid w:val="009A062D"/>
    <w:rsid w:val="009A069B"/>
    <w:rsid w:val="009A0866"/>
    <w:rsid w:val="009A0948"/>
    <w:rsid w:val="009A097B"/>
    <w:rsid w:val="009A0A1D"/>
    <w:rsid w:val="009A0BE5"/>
    <w:rsid w:val="009A0DE9"/>
    <w:rsid w:val="009A104D"/>
    <w:rsid w:val="009A110A"/>
    <w:rsid w:val="009A1324"/>
    <w:rsid w:val="009A18C4"/>
    <w:rsid w:val="009A18F6"/>
    <w:rsid w:val="009A1B5B"/>
    <w:rsid w:val="009A20EF"/>
    <w:rsid w:val="009A225E"/>
    <w:rsid w:val="009A22EB"/>
    <w:rsid w:val="009A2412"/>
    <w:rsid w:val="009A2413"/>
    <w:rsid w:val="009A2D6C"/>
    <w:rsid w:val="009A2DCC"/>
    <w:rsid w:val="009A320E"/>
    <w:rsid w:val="009A33E2"/>
    <w:rsid w:val="009A3400"/>
    <w:rsid w:val="009A3552"/>
    <w:rsid w:val="009A3DA1"/>
    <w:rsid w:val="009A4484"/>
    <w:rsid w:val="009A4784"/>
    <w:rsid w:val="009A4CE9"/>
    <w:rsid w:val="009A4D1C"/>
    <w:rsid w:val="009A514E"/>
    <w:rsid w:val="009A523A"/>
    <w:rsid w:val="009A5264"/>
    <w:rsid w:val="009A53A0"/>
    <w:rsid w:val="009A55B5"/>
    <w:rsid w:val="009A56EB"/>
    <w:rsid w:val="009A58B8"/>
    <w:rsid w:val="009A58F6"/>
    <w:rsid w:val="009A5ABC"/>
    <w:rsid w:val="009A5DA8"/>
    <w:rsid w:val="009A601E"/>
    <w:rsid w:val="009A606C"/>
    <w:rsid w:val="009A60F1"/>
    <w:rsid w:val="009A6235"/>
    <w:rsid w:val="009A6384"/>
    <w:rsid w:val="009A649C"/>
    <w:rsid w:val="009A67C8"/>
    <w:rsid w:val="009A6B4E"/>
    <w:rsid w:val="009A6C87"/>
    <w:rsid w:val="009A714E"/>
    <w:rsid w:val="009A750C"/>
    <w:rsid w:val="009A7687"/>
    <w:rsid w:val="009A76C3"/>
    <w:rsid w:val="009A7786"/>
    <w:rsid w:val="009A77BA"/>
    <w:rsid w:val="009A7BC1"/>
    <w:rsid w:val="009A7CA2"/>
    <w:rsid w:val="009A7D12"/>
    <w:rsid w:val="009A7F10"/>
    <w:rsid w:val="009B02A4"/>
    <w:rsid w:val="009B057D"/>
    <w:rsid w:val="009B079D"/>
    <w:rsid w:val="009B09BD"/>
    <w:rsid w:val="009B0B32"/>
    <w:rsid w:val="009B0D31"/>
    <w:rsid w:val="009B1311"/>
    <w:rsid w:val="009B1735"/>
    <w:rsid w:val="009B18CB"/>
    <w:rsid w:val="009B1B32"/>
    <w:rsid w:val="009B1B7E"/>
    <w:rsid w:val="009B1E7B"/>
    <w:rsid w:val="009B1FF8"/>
    <w:rsid w:val="009B217A"/>
    <w:rsid w:val="009B220D"/>
    <w:rsid w:val="009B2286"/>
    <w:rsid w:val="009B28B0"/>
    <w:rsid w:val="009B2B9B"/>
    <w:rsid w:val="009B2C67"/>
    <w:rsid w:val="009B2C9B"/>
    <w:rsid w:val="009B2E1A"/>
    <w:rsid w:val="009B2E75"/>
    <w:rsid w:val="009B30C3"/>
    <w:rsid w:val="009B3581"/>
    <w:rsid w:val="009B35F4"/>
    <w:rsid w:val="009B3E26"/>
    <w:rsid w:val="009B4063"/>
    <w:rsid w:val="009B407B"/>
    <w:rsid w:val="009B423F"/>
    <w:rsid w:val="009B4381"/>
    <w:rsid w:val="009B4573"/>
    <w:rsid w:val="009B4684"/>
    <w:rsid w:val="009B4692"/>
    <w:rsid w:val="009B49C8"/>
    <w:rsid w:val="009B4A77"/>
    <w:rsid w:val="009B4DD3"/>
    <w:rsid w:val="009B4E90"/>
    <w:rsid w:val="009B5025"/>
    <w:rsid w:val="009B512E"/>
    <w:rsid w:val="009B51B0"/>
    <w:rsid w:val="009B51FD"/>
    <w:rsid w:val="009B5332"/>
    <w:rsid w:val="009B5671"/>
    <w:rsid w:val="009B568E"/>
    <w:rsid w:val="009B56B4"/>
    <w:rsid w:val="009B5813"/>
    <w:rsid w:val="009B58D0"/>
    <w:rsid w:val="009B597A"/>
    <w:rsid w:val="009B5A3B"/>
    <w:rsid w:val="009B5BF1"/>
    <w:rsid w:val="009B5CBD"/>
    <w:rsid w:val="009B5D3A"/>
    <w:rsid w:val="009B5DE5"/>
    <w:rsid w:val="009B61C4"/>
    <w:rsid w:val="009B62F2"/>
    <w:rsid w:val="009B6384"/>
    <w:rsid w:val="009B6442"/>
    <w:rsid w:val="009B698A"/>
    <w:rsid w:val="009B6A7E"/>
    <w:rsid w:val="009B7163"/>
    <w:rsid w:val="009B7457"/>
    <w:rsid w:val="009B74FC"/>
    <w:rsid w:val="009B75CE"/>
    <w:rsid w:val="009B7ADE"/>
    <w:rsid w:val="009B7CFB"/>
    <w:rsid w:val="009B7D6A"/>
    <w:rsid w:val="009B7F13"/>
    <w:rsid w:val="009C00AD"/>
    <w:rsid w:val="009C0433"/>
    <w:rsid w:val="009C04A2"/>
    <w:rsid w:val="009C091B"/>
    <w:rsid w:val="009C0924"/>
    <w:rsid w:val="009C0BAC"/>
    <w:rsid w:val="009C0BCE"/>
    <w:rsid w:val="009C0CA6"/>
    <w:rsid w:val="009C0D9C"/>
    <w:rsid w:val="009C1271"/>
    <w:rsid w:val="009C185F"/>
    <w:rsid w:val="009C191E"/>
    <w:rsid w:val="009C1AC5"/>
    <w:rsid w:val="009C1FBD"/>
    <w:rsid w:val="009C20E2"/>
    <w:rsid w:val="009C23C6"/>
    <w:rsid w:val="009C24B3"/>
    <w:rsid w:val="009C2678"/>
    <w:rsid w:val="009C2785"/>
    <w:rsid w:val="009C297F"/>
    <w:rsid w:val="009C2C63"/>
    <w:rsid w:val="009C2D08"/>
    <w:rsid w:val="009C3312"/>
    <w:rsid w:val="009C334E"/>
    <w:rsid w:val="009C33D7"/>
    <w:rsid w:val="009C33DF"/>
    <w:rsid w:val="009C36D2"/>
    <w:rsid w:val="009C3706"/>
    <w:rsid w:val="009C37F4"/>
    <w:rsid w:val="009C3A3A"/>
    <w:rsid w:val="009C3A97"/>
    <w:rsid w:val="009C3BF2"/>
    <w:rsid w:val="009C3C7C"/>
    <w:rsid w:val="009C407D"/>
    <w:rsid w:val="009C414A"/>
    <w:rsid w:val="009C426B"/>
    <w:rsid w:val="009C47B1"/>
    <w:rsid w:val="009C4CCA"/>
    <w:rsid w:val="009C5059"/>
    <w:rsid w:val="009C51C8"/>
    <w:rsid w:val="009C54B8"/>
    <w:rsid w:val="009C556E"/>
    <w:rsid w:val="009C58B3"/>
    <w:rsid w:val="009C59A7"/>
    <w:rsid w:val="009C59AC"/>
    <w:rsid w:val="009C5B37"/>
    <w:rsid w:val="009C5CFB"/>
    <w:rsid w:val="009C5D27"/>
    <w:rsid w:val="009C5E1C"/>
    <w:rsid w:val="009C5FC7"/>
    <w:rsid w:val="009C62B6"/>
    <w:rsid w:val="009C630B"/>
    <w:rsid w:val="009C6426"/>
    <w:rsid w:val="009C6789"/>
    <w:rsid w:val="009C6A2F"/>
    <w:rsid w:val="009C6CEA"/>
    <w:rsid w:val="009C6D6E"/>
    <w:rsid w:val="009C6D6F"/>
    <w:rsid w:val="009C6F6F"/>
    <w:rsid w:val="009C708A"/>
    <w:rsid w:val="009C7203"/>
    <w:rsid w:val="009C7384"/>
    <w:rsid w:val="009C74AA"/>
    <w:rsid w:val="009C74CD"/>
    <w:rsid w:val="009C76B6"/>
    <w:rsid w:val="009C7894"/>
    <w:rsid w:val="009C7B3C"/>
    <w:rsid w:val="009C7B85"/>
    <w:rsid w:val="009D0254"/>
    <w:rsid w:val="009D026E"/>
    <w:rsid w:val="009D0410"/>
    <w:rsid w:val="009D09B3"/>
    <w:rsid w:val="009D0DBD"/>
    <w:rsid w:val="009D0E4F"/>
    <w:rsid w:val="009D0EA6"/>
    <w:rsid w:val="009D0F30"/>
    <w:rsid w:val="009D102B"/>
    <w:rsid w:val="009D1091"/>
    <w:rsid w:val="009D13A3"/>
    <w:rsid w:val="009D153A"/>
    <w:rsid w:val="009D1703"/>
    <w:rsid w:val="009D1793"/>
    <w:rsid w:val="009D194B"/>
    <w:rsid w:val="009D1A64"/>
    <w:rsid w:val="009D1B53"/>
    <w:rsid w:val="009D2013"/>
    <w:rsid w:val="009D2154"/>
    <w:rsid w:val="009D2417"/>
    <w:rsid w:val="009D2752"/>
    <w:rsid w:val="009D2759"/>
    <w:rsid w:val="009D2D48"/>
    <w:rsid w:val="009D3090"/>
    <w:rsid w:val="009D3361"/>
    <w:rsid w:val="009D39DC"/>
    <w:rsid w:val="009D3CB2"/>
    <w:rsid w:val="009D40D2"/>
    <w:rsid w:val="009D410E"/>
    <w:rsid w:val="009D4142"/>
    <w:rsid w:val="009D46BC"/>
    <w:rsid w:val="009D4732"/>
    <w:rsid w:val="009D49A1"/>
    <w:rsid w:val="009D4AB2"/>
    <w:rsid w:val="009D4B32"/>
    <w:rsid w:val="009D4BA7"/>
    <w:rsid w:val="009D4ED8"/>
    <w:rsid w:val="009D4F20"/>
    <w:rsid w:val="009D5013"/>
    <w:rsid w:val="009D504E"/>
    <w:rsid w:val="009D50F7"/>
    <w:rsid w:val="009D54E9"/>
    <w:rsid w:val="009D558B"/>
    <w:rsid w:val="009D559C"/>
    <w:rsid w:val="009D55D4"/>
    <w:rsid w:val="009D55FB"/>
    <w:rsid w:val="009D5B91"/>
    <w:rsid w:val="009D5EBA"/>
    <w:rsid w:val="009D5EE7"/>
    <w:rsid w:val="009D5F27"/>
    <w:rsid w:val="009D63A9"/>
    <w:rsid w:val="009D64D9"/>
    <w:rsid w:val="009D65CC"/>
    <w:rsid w:val="009D65F1"/>
    <w:rsid w:val="009D6775"/>
    <w:rsid w:val="009D689A"/>
    <w:rsid w:val="009D68D6"/>
    <w:rsid w:val="009D6916"/>
    <w:rsid w:val="009D6BCE"/>
    <w:rsid w:val="009D6F49"/>
    <w:rsid w:val="009D71AA"/>
    <w:rsid w:val="009D7236"/>
    <w:rsid w:val="009D7888"/>
    <w:rsid w:val="009D792E"/>
    <w:rsid w:val="009D7A73"/>
    <w:rsid w:val="009D7FDD"/>
    <w:rsid w:val="009D7FE8"/>
    <w:rsid w:val="009E0299"/>
    <w:rsid w:val="009E066C"/>
    <w:rsid w:val="009E0C69"/>
    <w:rsid w:val="009E0D5C"/>
    <w:rsid w:val="009E0DFE"/>
    <w:rsid w:val="009E1B24"/>
    <w:rsid w:val="009E1B7C"/>
    <w:rsid w:val="009E1C81"/>
    <w:rsid w:val="009E1D33"/>
    <w:rsid w:val="009E1FDC"/>
    <w:rsid w:val="009E2017"/>
    <w:rsid w:val="009E21F8"/>
    <w:rsid w:val="009E2234"/>
    <w:rsid w:val="009E25A3"/>
    <w:rsid w:val="009E25B5"/>
    <w:rsid w:val="009E2603"/>
    <w:rsid w:val="009E2606"/>
    <w:rsid w:val="009E2D65"/>
    <w:rsid w:val="009E2F14"/>
    <w:rsid w:val="009E30B8"/>
    <w:rsid w:val="009E31F6"/>
    <w:rsid w:val="009E333B"/>
    <w:rsid w:val="009E351A"/>
    <w:rsid w:val="009E3572"/>
    <w:rsid w:val="009E40C5"/>
    <w:rsid w:val="009E4413"/>
    <w:rsid w:val="009E4573"/>
    <w:rsid w:val="009E46FF"/>
    <w:rsid w:val="009E4825"/>
    <w:rsid w:val="009E4C07"/>
    <w:rsid w:val="009E4C9A"/>
    <w:rsid w:val="009E4F64"/>
    <w:rsid w:val="009E520B"/>
    <w:rsid w:val="009E5247"/>
    <w:rsid w:val="009E55C5"/>
    <w:rsid w:val="009E5FC5"/>
    <w:rsid w:val="009E64F2"/>
    <w:rsid w:val="009E685B"/>
    <w:rsid w:val="009E6B1B"/>
    <w:rsid w:val="009E6B77"/>
    <w:rsid w:val="009E71B9"/>
    <w:rsid w:val="009E7263"/>
    <w:rsid w:val="009E73CC"/>
    <w:rsid w:val="009E7537"/>
    <w:rsid w:val="009E755A"/>
    <w:rsid w:val="009E777F"/>
    <w:rsid w:val="009E787B"/>
    <w:rsid w:val="009E78F4"/>
    <w:rsid w:val="009E79AC"/>
    <w:rsid w:val="009E7A1D"/>
    <w:rsid w:val="009F0093"/>
    <w:rsid w:val="009F03D2"/>
    <w:rsid w:val="009F0520"/>
    <w:rsid w:val="009F06F8"/>
    <w:rsid w:val="009F0746"/>
    <w:rsid w:val="009F08A2"/>
    <w:rsid w:val="009F0A8D"/>
    <w:rsid w:val="009F0C7A"/>
    <w:rsid w:val="009F0EAB"/>
    <w:rsid w:val="009F0FD7"/>
    <w:rsid w:val="009F136F"/>
    <w:rsid w:val="009F14DC"/>
    <w:rsid w:val="009F15CF"/>
    <w:rsid w:val="009F1A25"/>
    <w:rsid w:val="009F1E65"/>
    <w:rsid w:val="009F24A5"/>
    <w:rsid w:val="009F24D0"/>
    <w:rsid w:val="009F26D7"/>
    <w:rsid w:val="009F2968"/>
    <w:rsid w:val="009F2A40"/>
    <w:rsid w:val="009F2E4D"/>
    <w:rsid w:val="009F2F5D"/>
    <w:rsid w:val="009F3022"/>
    <w:rsid w:val="009F323E"/>
    <w:rsid w:val="009F33BF"/>
    <w:rsid w:val="009F3457"/>
    <w:rsid w:val="009F34D3"/>
    <w:rsid w:val="009F3836"/>
    <w:rsid w:val="009F3947"/>
    <w:rsid w:val="009F3ABA"/>
    <w:rsid w:val="009F3D9C"/>
    <w:rsid w:val="009F400F"/>
    <w:rsid w:val="009F4775"/>
    <w:rsid w:val="009F4CA4"/>
    <w:rsid w:val="009F4F1A"/>
    <w:rsid w:val="009F51C0"/>
    <w:rsid w:val="009F5247"/>
    <w:rsid w:val="009F52A8"/>
    <w:rsid w:val="009F548C"/>
    <w:rsid w:val="009F5634"/>
    <w:rsid w:val="009F56D1"/>
    <w:rsid w:val="009F5D79"/>
    <w:rsid w:val="009F5E32"/>
    <w:rsid w:val="009F6120"/>
    <w:rsid w:val="009F6186"/>
    <w:rsid w:val="009F61DA"/>
    <w:rsid w:val="009F629D"/>
    <w:rsid w:val="009F6356"/>
    <w:rsid w:val="009F6693"/>
    <w:rsid w:val="009F6A2A"/>
    <w:rsid w:val="009F6FB7"/>
    <w:rsid w:val="009F7226"/>
    <w:rsid w:val="009F724B"/>
    <w:rsid w:val="009F72C9"/>
    <w:rsid w:val="009F733A"/>
    <w:rsid w:val="009F7728"/>
    <w:rsid w:val="009F78A1"/>
    <w:rsid w:val="009F78B6"/>
    <w:rsid w:val="009F7912"/>
    <w:rsid w:val="009F7CAA"/>
    <w:rsid w:val="009F7F0F"/>
    <w:rsid w:val="00A000BA"/>
    <w:rsid w:val="00A000ED"/>
    <w:rsid w:val="00A00124"/>
    <w:rsid w:val="00A00343"/>
    <w:rsid w:val="00A00422"/>
    <w:rsid w:val="00A00CAC"/>
    <w:rsid w:val="00A00D76"/>
    <w:rsid w:val="00A00ED0"/>
    <w:rsid w:val="00A01184"/>
    <w:rsid w:val="00A01207"/>
    <w:rsid w:val="00A0122B"/>
    <w:rsid w:val="00A01449"/>
    <w:rsid w:val="00A014CF"/>
    <w:rsid w:val="00A017EF"/>
    <w:rsid w:val="00A01DC2"/>
    <w:rsid w:val="00A01E2D"/>
    <w:rsid w:val="00A0204F"/>
    <w:rsid w:val="00A02080"/>
    <w:rsid w:val="00A02122"/>
    <w:rsid w:val="00A0215B"/>
    <w:rsid w:val="00A021E7"/>
    <w:rsid w:val="00A02461"/>
    <w:rsid w:val="00A0275C"/>
    <w:rsid w:val="00A0280B"/>
    <w:rsid w:val="00A02835"/>
    <w:rsid w:val="00A02AFF"/>
    <w:rsid w:val="00A02D14"/>
    <w:rsid w:val="00A02D20"/>
    <w:rsid w:val="00A02DBC"/>
    <w:rsid w:val="00A02DE8"/>
    <w:rsid w:val="00A02DF8"/>
    <w:rsid w:val="00A02F49"/>
    <w:rsid w:val="00A02FA2"/>
    <w:rsid w:val="00A0335F"/>
    <w:rsid w:val="00A033FA"/>
    <w:rsid w:val="00A035F8"/>
    <w:rsid w:val="00A03772"/>
    <w:rsid w:val="00A037C2"/>
    <w:rsid w:val="00A03A66"/>
    <w:rsid w:val="00A03B91"/>
    <w:rsid w:val="00A03C4A"/>
    <w:rsid w:val="00A03CFE"/>
    <w:rsid w:val="00A03D43"/>
    <w:rsid w:val="00A03D46"/>
    <w:rsid w:val="00A03E32"/>
    <w:rsid w:val="00A03E46"/>
    <w:rsid w:val="00A03F62"/>
    <w:rsid w:val="00A0426C"/>
    <w:rsid w:val="00A04380"/>
    <w:rsid w:val="00A043BF"/>
    <w:rsid w:val="00A04778"/>
    <w:rsid w:val="00A04786"/>
    <w:rsid w:val="00A0485A"/>
    <w:rsid w:val="00A049DD"/>
    <w:rsid w:val="00A04A55"/>
    <w:rsid w:val="00A04D5A"/>
    <w:rsid w:val="00A04F85"/>
    <w:rsid w:val="00A05086"/>
    <w:rsid w:val="00A050DA"/>
    <w:rsid w:val="00A05472"/>
    <w:rsid w:val="00A05773"/>
    <w:rsid w:val="00A05A01"/>
    <w:rsid w:val="00A05B7B"/>
    <w:rsid w:val="00A05C32"/>
    <w:rsid w:val="00A05D8B"/>
    <w:rsid w:val="00A05F5F"/>
    <w:rsid w:val="00A0624F"/>
    <w:rsid w:val="00A06296"/>
    <w:rsid w:val="00A0653F"/>
    <w:rsid w:val="00A066A9"/>
    <w:rsid w:val="00A068D4"/>
    <w:rsid w:val="00A06A0A"/>
    <w:rsid w:val="00A0716A"/>
    <w:rsid w:val="00A0732A"/>
    <w:rsid w:val="00A07368"/>
    <w:rsid w:val="00A10486"/>
    <w:rsid w:val="00A1048F"/>
    <w:rsid w:val="00A10498"/>
    <w:rsid w:val="00A1052B"/>
    <w:rsid w:val="00A10646"/>
    <w:rsid w:val="00A10877"/>
    <w:rsid w:val="00A10908"/>
    <w:rsid w:val="00A10A79"/>
    <w:rsid w:val="00A10F2A"/>
    <w:rsid w:val="00A110AA"/>
    <w:rsid w:val="00A1127B"/>
    <w:rsid w:val="00A114C0"/>
    <w:rsid w:val="00A11B14"/>
    <w:rsid w:val="00A11B64"/>
    <w:rsid w:val="00A11CD0"/>
    <w:rsid w:val="00A11DDD"/>
    <w:rsid w:val="00A11EAE"/>
    <w:rsid w:val="00A1202F"/>
    <w:rsid w:val="00A12054"/>
    <w:rsid w:val="00A120FB"/>
    <w:rsid w:val="00A122C8"/>
    <w:rsid w:val="00A122D4"/>
    <w:rsid w:val="00A12486"/>
    <w:rsid w:val="00A12520"/>
    <w:rsid w:val="00A125B1"/>
    <w:rsid w:val="00A127FD"/>
    <w:rsid w:val="00A12BB3"/>
    <w:rsid w:val="00A12D42"/>
    <w:rsid w:val="00A1308B"/>
    <w:rsid w:val="00A1319F"/>
    <w:rsid w:val="00A13280"/>
    <w:rsid w:val="00A13423"/>
    <w:rsid w:val="00A13482"/>
    <w:rsid w:val="00A13786"/>
    <w:rsid w:val="00A137C0"/>
    <w:rsid w:val="00A138D8"/>
    <w:rsid w:val="00A138E2"/>
    <w:rsid w:val="00A1391E"/>
    <w:rsid w:val="00A13948"/>
    <w:rsid w:val="00A13994"/>
    <w:rsid w:val="00A13BE6"/>
    <w:rsid w:val="00A13CA5"/>
    <w:rsid w:val="00A14379"/>
    <w:rsid w:val="00A1460A"/>
    <w:rsid w:val="00A1510A"/>
    <w:rsid w:val="00A15260"/>
    <w:rsid w:val="00A15270"/>
    <w:rsid w:val="00A15488"/>
    <w:rsid w:val="00A15516"/>
    <w:rsid w:val="00A1555B"/>
    <w:rsid w:val="00A155C5"/>
    <w:rsid w:val="00A15920"/>
    <w:rsid w:val="00A159EA"/>
    <w:rsid w:val="00A15D2C"/>
    <w:rsid w:val="00A160F9"/>
    <w:rsid w:val="00A161EC"/>
    <w:rsid w:val="00A165E3"/>
    <w:rsid w:val="00A168AC"/>
    <w:rsid w:val="00A16A74"/>
    <w:rsid w:val="00A16ACA"/>
    <w:rsid w:val="00A16AD8"/>
    <w:rsid w:val="00A16C2D"/>
    <w:rsid w:val="00A16FB7"/>
    <w:rsid w:val="00A17024"/>
    <w:rsid w:val="00A17139"/>
    <w:rsid w:val="00A171AF"/>
    <w:rsid w:val="00A1743F"/>
    <w:rsid w:val="00A175DB"/>
    <w:rsid w:val="00A177F8"/>
    <w:rsid w:val="00A17954"/>
    <w:rsid w:val="00A17AB8"/>
    <w:rsid w:val="00A17F4B"/>
    <w:rsid w:val="00A2015A"/>
    <w:rsid w:val="00A2021E"/>
    <w:rsid w:val="00A203FA"/>
    <w:rsid w:val="00A21B6F"/>
    <w:rsid w:val="00A21C95"/>
    <w:rsid w:val="00A21CF3"/>
    <w:rsid w:val="00A21DAD"/>
    <w:rsid w:val="00A21F74"/>
    <w:rsid w:val="00A21FA3"/>
    <w:rsid w:val="00A22081"/>
    <w:rsid w:val="00A221CF"/>
    <w:rsid w:val="00A22F81"/>
    <w:rsid w:val="00A23019"/>
    <w:rsid w:val="00A2304A"/>
    <w:rsid w:val="00A2321C"/>
    <w:rsid w:val="00A23781"/>
    <w:rsid w:val="00A238FF"/>
    <w:rsid w:val="00A23DBC"/>
    <w:rsid w:val="00A23E55"/>
    <w:rsid w:val="00A23F0B"/>
    <w:rsid w:val="00A2417A"/>
    <w:rsid w:val="00A2418E"/>
    <w:rsid w:val="00A2425A"/>
    <w:rsid w:val="00A24312"/>
    <w:rsid w:val="00A24552"/>
    <w:rsid w:val="00A2461E"/>
    <w:rsid w:val="00A24738"/>
    <w:rsid w:val="00A24787"/>
    <w:rsid w:val="00A247D0"/>
    <w:rsid w:val="00A247F6"/>
    <w:rsid w:val="00A24813"/>
    <w:rsid w:val="00A24957"/>
    <w:rsid w:val="00A25128"/>
    <w:rsid w:val="00A25384"/>
    <w:rsid w:val="00A2565E"/>
    <w:rsid w:val="00A2566C"/>
    <w:rsid w:val="00A256A5"/>
    <w:rsid w:val="00A25768"/>
    <w:rsid w:val="00A25979"/>
    <w:rsid w:val="00A25B0A"/>
    <w:rsid w:val="00A25C58"/>
    <w:rsid w:val="00A25DCF"/>
    <w:rsid w:val="00A25E4F"/>
    <w:rsid w:val="00A26086"/>
    <w:rsid w:val="00A260F0"/>
    <w:rsid w:val="00A2622E"/>
    <w:rsid w:val="00A262E5"/>
    <w:rsid w:val="00A2634D"/>
    <w:rsid w:val="00A263DF"/>
    <w:rsid w:val="00A26723"/>
    <w:rsid w:val="00A26CF3"/>
    <w:rsid w:val="00A26DE1"/>
    <w:rsid w:val="00A273DF"/>
    <w:rsid w:val="00A2741C"/>
    <w:rsid w:val="00A27AEC"/>
    <w:rsid w:val="00A27C6C"/>
    <w:rsid w:val="00A27D67"/>
    <w:rsid w:val="00A3013B"/>
    <w:rsid w:val="00A301B1"/>
    <w:rsid w:val="00A301C0"/>
    <w:rsid w:val="00A3031C"/>
    <w:rsid w:val="00A30609"/>
    <w:rsid w:val="00A30623"/>
    <w:rsid w:val="00A30B6E"/>
    <w:rsid w:val="00A30CCA"/>
    <w:rsid w:val="00A31465"/>
    <w:rsid w:val="00A31493"/>
    <w:rsid w:val="00A31569"/>
    <w:rsid w:val="00A31594"/>
    <w:rsid w:val="00A317BA"/>
    <w:rsid w:val="00A31848"/>
    <w:rsid w:val="00A319D9"/>
    <w:rsid w:val="00A31AEA"/>
    <w:rsid w:val="00A31B4D"/>
    <w:rsid w:val="00A31C10"/>
    <w:rsid w:val="00A31D49"/>
    <w:rsid w:val="00A31DC4"/>
    <w:rsid w:val="00A320DB"/>
    <w:rsid w:val="00A3212F"/>
    <w:rsid w:val="00A322D5"/>
    <w:rsid w:val="00A32308"/>
    <w:rsid w:val="00A328C5"/>
    <w:rsid w:val="00A32D2C"/>
    <w:rsid w:val="00A33047"/>
    <w:rsid w:val="00A33433"/>
    <w:rsid w:val="00A33CED"/>
    <w:rsid w:val="00A33D93"/>
    <w:rsid w:val="00A33DC5"/>
    <w:rsid w:val="00A347A5"/>
    <w:rsid w:val="00A34882"/>
    <w:rsid w:val="00A34F5B"/>
    <w:rsid w:val="00A3511D"/>
    <w:rsid w:val="00A3571A"/>
    <w:rsid w:val="00A359D9"/>
    <w:rsid w:val="00A35AEB"/>
    <w:rsid w:val="00A35D16"/>
    <w:rsid w:val="00A35E29"/>
    <w:rsid w:val="00A35ED8"/>
    <w:rsid w:val="00A361E5"/>
    <w:rsid w:val="00A362D6"/>
    <w:rsid w:val="00A3641A"/>
    <w:rsid w:val="00A368E7"/>
    <w:rsid w:val="00A3696F"/>
    <w:rsid w:val="00A36B40"/>
    <w:rsid w:val="00A36C67"/>
    <w:rsid w:val="00A3728D"/>
    <w:rsid w:val="00A37510"/>
    <w:rsid w:val="00A37541"/>
    <w:rsid w:val="00A375E5"/>
    <w:rsid w:val="00A37A29"/>
    <w:rsid w:val="00A37BCD"/>
    <w:rsid w:val="00A37C26"/>
    <w:rsid w:val="00A40231"/>
    <w:rsid w:val="00A4027B"/>
    <w:rsid w:val="00A40372"/>
    <w:rsid w:val="00A40526"/>
    <w:rsid w:val="00A40633"/>
    <w:rsid w:val="00A406C6"/>
    <w:rsid w:val="00A40898"/>
    <w:rsid w:val="00A40A4F"/>
    <w:rsid w:val="00A40C77"/>
    <w:rsid w:val="00A40D0A"/>
    <w:rsid w:val="00A4136D"/>
    <w:rsid w:val="00A41689"/>
    <w:rsid w:val="00A416DE"/>
    <w:rsid w:val="00A4188E"/>
    <w:rsid w:val="00A41A69"/>
    <w:rsid w:val="00A41AAC"/>
    <w:rsid w:val="00A41C09"/>
    <w:rsid w:val="00A41D8D"/>
    <w:rsid w:val="00A41E82"/>
    <w:rsid w:val="00A4215C"/>
    <w:rsid w:val="00A4243D"/>
    <w:rsid w:val="00A42592"/>
    <w:rsid w:val="00A42810"/>
    <w:rsid w:val="00A428DB"/>
    <w:rsid w:val="00A42BDA"/>
    <w:rsid w:val="00A42C3E"/>
    <w:rsid w:val="00A4332A"/>
    <w:rsid w:val="00A433D2"/>
    <w:rsid w:val="00A439D6"/>
    <w:rsid w:val="00A43C59"/>
    <w:rsid w:val="00A44059"/>
    <w:rsid w:val="00A4434E"/>
    <w:rsid w:val="00A4435E"/>
    <w:rsid w:val="00A44447"/>
    <w:rsid w:val="00A44522"/>
    <w:rsid w:val="00A44867"/>
    <w:rsid w:val="00A44910"/>
    <w:rsid w:val="00A44E1C"/>
    <w:rsid w:val="00A45103"/>
    <w:rsid w:val="00A4518F"/>
    <w:rsid w:val="00A451D1"/>
    <w:rsid w:val="00A452A0"/>
    <w:rsid w:val="00A452C7"/>
    <w:rsid w:val="00A455B2"/>
    <w:rsid w:val="00A456A8"/>
    <w:rsid w:val="00A45800"/>
    <w:rsid w:val="00A45870"/>
    <w:rsid w:val="00A45BD2"/>
    <w:rsid w:val="00A45C7F"/>
    <w:rsid w:val="00A45E97"/>
    <w:rsid w:val="00A45FD0"/>
    <w:rsid w:val="00A461EC"/>
    <w:rsid w:val="00A46ADB"/>
    <w:rsid w:val="00A46E6F"/>
    <w:rsid w:val="00A46FD1"/>
    <w:rsid w:val="00A474A5"/>
    <w:rsid w:val="00A477CF"/>
    <w:rsid w:val="00A477EA"/>
    <w:rsid w:val="00A47BC8"/>
    <w:rsid w:val="00A47CC0"/>
    <w:rsid w:val="00A47E2C"/>
    <w:rsid w:val="00A502E1"/>
    <w:rsid w:val="00A5061A"/>
    <w:rsid w:val="00A506BD"/>
    <w:rsid w:val="00A50735"/>
    <w:rsid w:val="00A50AF2"/>
    <w:rsid w:val="00A50BF4"/>
    <w:rsid w:val="00A50ECD"/>
    <w:rsid w:val="00A511E6"/>
    <w:rsid w:val="00A514A4"/>
    <w:rsid w:val="00A514C8"/>
    <w:rsid w:val="00A517F7"/>
    <w:rsid w:val="00A518F3"/>
    <w:rsid w:val="00A51A5F"/>
    <w:rsid w:val="00A51A70"/>
    <w:rsid w:val="00A51AF6"/>
    <w:rsid w:val="00A51C98"/>
    <w:rsid w:val="00A51FA9"/>
    <w:rsid w:val="00A5209C"/>
    <w:rsid w:val="00A520AD"/>
    <w:rsid w:val="00A52379"/>
    <w:rsid w:val="00A52389"/>
    <w:rsid w:val="00A52661"/>
    <w:rsid w:val="00A52729"/>
    <w:rsid w:val="00A5289E"/>
    <w:rsid w:val="00A528F8"/>
    <w:rsid w:val="00A52A93"/>
    <w:rsid w:val="00A52AE9"/>
    <w:rsid w:val="00A52B54"/>
    <w:rsid w:val="00A52BE1"/>
    <w:rsid w:val="00A52DEB"/>
    <w:rsid w:val="00A53025"/>
    <w:rsid w:val="00A530C7"/>
    <w:rsid w:val="00A530D3"/>
    <w:rsid w:val="00A53225"/>
    <w:rsid w:val="00A5323F"/>
    <w:rsid w:val="00A53343"/>
    <w:rsid w:val="00A53675"/>
    <w:rsid w:val="00A536F4"/>
    <w:rsid w:val="00A53789"/>
    <w:rsid w:val="00A53860"/>
    <w:rsid w:val="00A53B61"/>
    <w:rsid w:val="00A53C87"/>
    <w:rsid w:val="00A54019"/>
    <w:rsid w:val="00A544AE"/>
    <w:rsid w:val="00A547D7"/>
    <w:rsid w:val="00A54C44"/>
    <w:rsid w:val="00A54F96"/>
    <w:rsid w:val="00A552F4"/>
    <w:rsid w:val="00A5539B"/>
    <w:rsid w:val="00A55485"/>
    <w:rsid w:val="00A55628"/>
    <w:rsid w:val="00A5566C"/>
    <w:rsid w:val="00A55744"/>
    <w:rsid w:val="00A55A36"/>
    <w:rsid w:val="00A55B7F"/>
    <w:rsid w:val="00A55C5B"/>
    <w:rsid w:val="00A56162"/>
    <w:rsid w:val="00A5617D"/>
    <w:rsid w:val="00A5619F"/>
    <w:rsid w:val="00A5644D"/>
    <w:rsid w:val="00A564D7"/>
    <w:rsid w:val="00A56978"/>
    <w:rsid w:val="00A56B51"/>
    <w:rsid w:val="00A56B6A"/>
    <w:rsid w:val="00A56D19"/>
    <w:rsid w:val="00A57261"/>
    <w:rsid w:val="00A57642"/>
    <w:rsid w:val="00A57677"/>
    <w:rsid w:val="00A578DC"/>
    <w:rsid w:val="00A578E6"/>
    <w:rsid w:val="00A579FD"/>
    <w:rsid w:val="00A57CAA"/>
    <w:rsid w:val="00A57E44"/>
    <w:rsid w:val="00A60077"/>
    <w:rsid w:val="00A60105"/>
    <w:rsid w:val="00A60391"/>
    <w:rsid w:val="00A605AC"/>
    <w:rsid w:val="00A60650"/>
    <w:rsid w:val="00A609EB"/>
    <w:rsid w:val="00A60C4C"/>
    <w:rsid w:val="00A60C4E"/>
    <w:rsid w:val="00A60C96"/>
    <w:rsid w:val="00A60DFE"/>
    <w:rsid w:val="00A60F90"/>
    <w:rsid w:val="00A61205"/>
    <w:rsid w:val="00A615B5"/>
    <w:rsid w:val="00A615BF"/>
    <w:rsid w:val="00A61E4A"/>
    <w:rsid w:val="00A61F92"/>
    <w:rsid w:val="00A61F9F"/>
    <w:rsid w:val="00A635A1"/>
    <w:rsid w:val="00A6365E"/>
    <w:rsid w:val="00A63736"/>
    <w:rsid w:val="00A63B2F"/>
    <w:rsid w:val="00A63B8D"/>
    <w:rsid w:val="00A63C97"/>
    <w:rsid w:val="00A63F48"/>
    <w:rsid w:val="00A63FB8"/>
    <w:rsid w:val="00A6408E"/>
    <w:rsid w:val="00A640E2"/>
    <w:rsid w:val="00A64240"/>
    <w:rsid w:val="00A64D65"/>
    <w:rsid w:val="00A64EE5"/>
    <w:rsid w:val="00A651BF"/>
    <w:rsid w:val="00A655A7"/>
    <w:rsid w:val="00A6563E"/>
    <w:rsid w:val="00A658E9"/>
    <w:rsid w:val="00A65BEB"/>
    <w:rsid w:val="00A6611A"/>
    <w:rsid w:val="00A66213"/>
    <w:rsid w:val="00A6640D"/>
    <w:rsid w:val="00A664AB"/>
    <w:rsid w:val="00A6651A"/>
    <w:rsid w:val="00A66EBF"/>
    <w:rsid w:val="00A6725B"/>
    <w:rsid w:val="00A673EF"/>
    <w:rsid w:val="00A67931"/>
    <w:rsid w:val="00A67987"/>
    <w:rsid w:val="00A67A21"/>
    <w:rsid w:val="00A67A4B"/>
    <w:rsid w:val="00A67E27"/>
    <w:rsid w:val="00A701B8"/>
    <w:rsid w:val="00A701B9"/>
    <w:rsid w:val="00A701DD"/>
    <w:rsid w:val="00A70252"/>
    <w:rsid w:val="00A70605"/>
    <w:rsid w:val="00A70834"/>
    <w:rsid w:val="00A70CAB"/>
    <w:rsid w:val="00A70DB4"/>
    <w:rsid w:val="00A71020"/>
    <w:rsid w:val="00A7140E"/>
    <w:rsid w:val="00A7143A"/>
    <w:rsid w:val="00A719EC"/>
    <w:rsid w:val="00A71BAC"/>
    <w:rsid w:val="00A71BCA"/>
    <w:rsid w:val="00A71CC0"/>
    <w:rsid w:val="00A71D96"/>
    <w:rsid w:val="00A71ED3"/>
    <w:rsid w:val="00A720D4"/>
    <w:rsid w:val="00A724C2"/>
    <w:rsid w:val="00A725C1"/>
    <w:rsid w:val="00A726F2"/>
    <w:rsid w:val="00A727D2"/>
    <w:rsid w:val="00A72B51"/>
    <w:rsid w:val="00A72E38"/>
    <w:rsid w:val="00A72F31"/>
    <w:rsid w:val="00A73134"/>
    <w:rsid w:val="00A73161"/>
    <w:rsid w:val="00A733B1"/>
    <w:rsid w:val="00A7365A"/>
    <w:rsid w:val="00A736A0"/>
    <w:rsid w:val="00A73731"/>
    <w:rsid w:val="00A73836"/>
    <w:rsid w:val="00A73A56"/>
    <w:rsid w:val="00A73B82"/>
    <w:rsid w:val="00A73C0C"/>
    <w:rsid w:val="00A741AA"/>
    <w:rsid w:val="00A75379"/>
    <w:rsid w:val="00A75413"/>
    <w:rsid w:val="00A7572D"/>
    <w:rsid w:val="00A7582F"/>
    <w:rsid w:val="00A759D2"/>
    <w:rsid w:val="00A75B95"/>
    <w:rsid w:val="00A76001"/>
    <w:rsid w:val="00A76396"/>
    <w:rsid w:val="00A769EB"/>
    <w:rsid w:val="00A769F2"/>
    <w:rsid w:val="00A76B4E"/>
    <w:rsid w:val="00A76B61"/>
    <w:rsid w:val="00A76DA1"/>
    <w:rsid w:val="00A76F2D"/>
    <w:rsid w:val="00A76FB1"/>
    <w:rsid w:val="00A773BF"/>
    <w:rsid w:val="00A777B2"/>
    <w:rsid w:val="00A7782C"/>
    <w:rsid w:val="00A7799F"/>
    <w:rsid w:val="00A77A79"/>
    <w:rsid w:val="00A77C63"/>
    <w:rsid w:val="00A80184"/>
    <w:rsid w:val="00A80369"/>
    <w:rsid w:val="00A80D8B"/>
    <w:rsid w:val="00A80ECF"/>
    <w:rsid w:val="00A81095"/>
    <w:rsid w:val="00A810ED"/>
    <w:rsid w:val="00A813B3"/>
    <w:rsid w:val="00A816FF"/>
    <w:rsid w:val="00A8184E"/>
    <w:rsid w:val="00A81E60"/>
    <w:rsid w:val="00A81F7E"/>
    <w:rsid w:val="00A8234D"/>
    <w:rsid w:val="00A825D4"/>
    <w:rsid w:val="00A828F6"/>
    <w:rsid w:val="00A82AE7"/>
    <w:rsid w:val="00A82B03"/>
    <w:rsid w:val="00A82B73"/>
    <w:rsid w:val="00A82C4F"/>
    <w:rsid w:val="00A82D6E"/>
    <w:rsid w:val="00A82DE4"/>
    <w:rsid w:val="00A832FE"/>
    <w:rsid w:val="00A833FB"/>
    <w:rsid w:val="00A83BB2"/>
    <w:rsid w:val="00A83E64"/>
    <w:rsid w:val="00A83F44"/>
    <w:rsid w:val="00A840F7"/>
    <w:rsid w:val="00A84376"/>
    <w:rsid w:val="00A843EB"/>
    <w:rsid w:val="00A8454E"/>
    <w:rsid w:val="00A848C6"/>
    <w:rsid w:val="00A84C89"/>
    <w:rsid w:val="00A857C5"/>
    <w:rsid w:val="00A861D8"/>
    <w:rsid w:val="00A86291"/>
    <w:rsid w:val="00A86D95"/>
    <w:rsid w:val="00A86E8B"/>
    <w:rsid w:val="00A8715C"/>
    <w:rsid w:val="00A87164"/>
    <w:rsid w:val="00A871A9"/>
    <w:rsid w:val="00A87232"/>
    <w:rsid w:val="00A87640"/>
    <w:rsid w:val="00A876C6"/>
    <w:rsid w:val="00A87737"/>
    <w:rsid w:val="00A8780A"/>
    <w:rsid w:val="00A878E8"/>
    <w:rsid w:val="00A87D6A"/>
    <w:rsid w:val="00A87F16"/>
    <w:rsid w:val="00A90749"/>
    <w:rsid w:val="00A90898"/>
    <w:rsid w:val="00A90953"/>
    <w:rsid w:val="00A90964"/>
    <w:rsid w:val="00A909BD"/>
    <w:rsid w:val="00A90A04"/>
    <w:rsid w:val="00A90A44"/>
    <w:rsid w:val="00A90BC6"/>
    <w:rsid w:val="00A90C35"/>
    <w:rsid w:val="00A90E84"/>
    <w:rsid w:val="00A912CF"/>
    <w:rsid w:val="00A912D7"/>
    <w:rsid w:val="00A91353"/>
    <w:rsid w:val="00A91545"/>
    <w:rsid w:val="00A9178B"/>
    <w:rsid w:val="00A9189C"/>
    <w:rsid w:val="00A91B16"/>
    <w:rsid w:val="00A91B32"/>
    <w:rsid w:val="00A91C30"/>
    <w:rsid w:val="00A91D62"/>
    <w:rsid w:val="00A91FB5"/>
    <w:rsid w:val="00A92088"/>
    <w:rsid w:val="00A92123"/>
    <w:rsid w:val="00A923F7"/>
    <w:rsid w:val="00A924B5"/>
    <w:rsid w:val="00A92602"/>
    <w:rsid w:val="00A92AAF"/>
    <w:rsid w:val="00A92E07"/>
    <w:rsid w:val="00A92F7E"/>
    <w:rsid w:val="00A9304E"/>
    <w:rsid w:val="00A93072"/>
    <w:rsid w:val="00A9319C"/>
    <w:rsid w:val="00A9339E"/>
    <w:rsid w:val="00A935AC"/>
    <w:rsid w:val="00A9363C"/>
    <w:rsid w:val="00A93891"/>
    <w:rsid w:val="00A938BD"/>
    <w:rsid w:val="00A93953"/>
    <w:rsid w:val="00A940F9"/>
    <w:rsid w:val="00A94329"/>
    <w:rsid w:val="00A94465"/>
    <w:rsid w:val="00A945FA"/>
    <w:rsid w:val="00A94A03"/>
    <w:rsid w:val="00A94C89"/>
    <w:rsid w:val="00A94D13"/>
    <w:rsid w:val="00A95682"/>
    <w:rsid w:val="00A956FE"/>
    <w:rsid w:val="00A95855"/>
    <w:rsid w:val="00A95866"/>
    <w:rsid w:val="00A9596A"/>
    <w:rsid w:val="00A959D8"/>
    <w:rsid w:val="00A95C8A"/>
    <w:rsid w:val="00A95D9E"/>
    <w:rsid w:val="00A95E90"/>
    <w:rsid w:val="00A96481"/>
    <w:rsid w:val="00A96499"/>
    <w:rsid w:val="00A964FE"/>
    <w:rsid w:val="00A965E1"/>
    <w:rsid w:val="00A967B7"/>
    <w:rsid w:val="00A969CD"/>
    <w:rsid w:val="00A97387"/>
    <w:rsid w:val="00A97502"/>
    <w:rsid w:val="00A978AB"/>
    <w:rsid w:val="00A97943"/>
    <w:rsid w:val="00A97AB2"/>
    <w:rsid w:val="00A97B7B"/>
    <w:rsid w:val="00A97CA0"/>
    <w:rsid w:val="00A97FB7"/>
    <w:rsid w:val="00AA001F"/>
    <w:rsid w:val="00AA005F"/>
    <w:rsid w:val="00AA00A9"/>
    <w:rsid w:val="00AA00D8"/>
    <w:rsid w:val="00AA036A"/>
    <w:rsid w:val="00AA0375"/>
    <w:rsid w:val="00AA0451"/>
    <w:rsid w:val="00AA0BA5"/>
    <w:rsid w:val="00AA0C83"/>
    <w:rsid w:val="00AA0F8B"/>
    <w:rsid w:val="00AA100C"/>
    <w:rsid w:val="00AA113D"/>
    <w:rsid w:val="00AA1293"/>
    <w:rsid w:val="00AA1444"/>
    <w:rsid w:val="00AA155E"/>
    <w:rsid w:val="00AA164F"/>
    <w:rsid w:val="00AA18D7"/>
    <w:rsid w:val="00AA19EE"/>
    <w:rsid w:val="00AA1A35"/>
    <w:rsid w:val="00AA1B4D"/>
    <w:rsid w:val="00AA1B64"/>
    <w:rsid w:val="00AA1C02"/>
    <w:rsid w:val="00AA1CE2"/>
    <w:rsid w:val="00AA1DEC"/>
    <w:rsid w:val="00AA2207"/>
    <w:rsid w:val="00AA2ADF"/>
    <w:rsid w:val="00AA2FC8"/>
    <w:rsid w:val="00AA3175"/>
    <w:rsid w:val="00AA31B3"/>
    <w:rsid w:val="00AA3386"/>
    <w:rsid w:val="00AA3505"/>
    <w:rsid w:val="00AA37C6"/>
    <w:rsid w:val="00AA3D0C"/>
    <w:rsid w:val="00AA3E15"/>
    <w:rsid w:val="00AA3F42"/>
    <w:rsid w:val="00AA40DA"/>
    <w:rsid w:val="00AA44A5"/>
    <w:rsid w:val="00AA4559"/>
    <w:rsid w:val="00AA4571"/>
    <w:rsid w:val="00AA4721"/>
    <w:rsid w:val="00AA48EA"/>
    <w:rsid w:val="00AA491E"/>
    <w:rsid w:val="00AA4A6A"/>
    <w:rsid w:val="00AA4B9B"/>
    <w:rsid w:val="00AA4C68"/>
    <w:rsid w:val="00AA4E30"/>
    <w:rsid w:val="00AA4EFE"/>
    <w:rsid w:val="00AA5116"/>
    <w:rsid w:val="00AA57E1"/>
    <w:rsid w:val="00AA5855"/>
    <w:rsid w:val="00AA5895"/>
    <w:rsid w:val="00AA5AE4"/>
    <w:rsid w:val="00AA5B8C"/>
    <w:rsid w:val="00AA5E09"/>
    <w:rsid w:val="00AA5FCC"/>
    <w:rsid w:val="00AA5FE7"/>
    <w:rsid w:val="00AA61F4"/>
    <w:rsid w:val="00AA65D7"/>
    <w:rsid w:val="00AA66FA"/>
    <w:rsid w:val="00AA6731"/>
    <w:rsid w:val="00AA678A"/>
    <w:rsid w:val="00AA679B"/>
    <w:rsid w:val="00AA685D"/>
    <w:rsid w:val="00AA6AD3"/>
    <w:rsid w:val="00AA6BD5"/>
    <w:rsid w:val="00AA6BD8"/>
    <w:rsid w:val="00AA6C7D"/>
    <w:rsid w:val="00AA6EF6"/>
    <w:rsid w:val="00AA7192"/>
    <w:rsid w:val="00AA7404"/>
    <w:rsid w:val="00AA743B"/>
    <w:rsid w:val="00AA767E"/>
    <w:rsid w:val="00AA7D2F"/>
    <w:rsid w:val="00AA7E47"/>
    <w:rsid w:val="00AA7EFF"/>
    <w:rsid w:val="00AA7F31"/>
    <w:rsid w:val="00AA7FD6"/>
    <w:rsid w:val="00AB00B5"/>
    <w:rsid w:val="00AB01DC"/>
    <w:rsid w:val="00AB01E0"/>
    <w:rsid w:val="00AB042A"/>
    <w:rsid w:val="00AB0752"/>
    <w:rsid w:val="00AB0DB9"/>
    <w:rsid w:val="00AB0E9B"/>
    <w:rsid w:val="00AB0F76"/>
    <w:rsid w:val="00AB11AD"/>
    <w:rsid w:val="00AB121B"/>
    <w:rsid w:val="00AB14A4"/>
    <w:rsid w:val="00AB15AE"/>
    <w:rsid w:val="00AB1728"/>
    <w:rsid w:val="00AB19EF"/>
    <w:rsid w:val="00AB1D82"/>
    <w:rsid w:val="00AB21A1"/>
    <w:rsid w:val="00AB2495"/>
    <w:rsid w:val="00AB2686"/>
    <w:rsid w:val="00AB2AE7"/>
    <w:rsid w:val="00AB2D34"/>
    <w:rsid w:val="00AB2D6C"/>
    <w:rsid w:val="00AB2DDF"/>
    <w:rsid w:val="00AB3430"/>
    <w:rsid w:val="00AB375C"/>
    <w:rsid w:val="00AB37B9"/>
    <w:rsid w:val="00AB387C"/>
    <w:rsid w:val="00AB39AA"/>
    <w:rsid w:val="00AB3C65"/>
    <w:rsid w:val="00AB3EFD"/>
    <w:rsid w:val="00AB4213"/>
    <w:rsid w:val="00AB4296"/>
    <w:rsid w:val="00AB4361"/>
    <w:rsid w:val="00AB457D"/>
    <w:rsid w:val="00AB471F"/>
    <w:rsid w:val="00AB4799"/>
    <w:rsid w:val="00AB47DA"/>
    <w:rsid w:val="00AB48B3"/>
    <w:rsid w:val="00AB490F"/>
    <w:rsid w:val="00AB492D"/>
    <w:rsid w:val="00AB4A4C"/>
    <w:rsid w:val="00AB4AD1"/>
    <w:rsid w:val="00AB5179"/>
    <w:rsid w:val="00AB524E"/>
    <w:rsid w:val="00AB52C4"/>
    <w:rsid w:val="00AB5A9C"/>
    <w:rsid w:val="00AB5E07"/>
    <w:rsid w:val="00AB615F"/>
    <w:rsid w:val="00AB626E"/>
    <w:rsid w:val="00AB643D"/>
    <w:rsid w:val="00AB67E4"/>
    <w:rsid w:val="00AB68BF"/>
    <w:rsid w:val="00AB6B1A"/>
    <w:rsid w:val="00AB6EAC"/>
    <w:rsid w:val="00AB6F01"/>
    <w:rsid w:val="00AB7266"/>
    <w:rsid w:val="00AB749D"/>
    <w:rsid w:val="00AB75C4"/>
    <w:rsid w:val="00AB7614"/>
    <w:rsid w:val="00AB770B"/>
    <w:rsid w:val="00AB7809"/>
    <w:rsid w:val="00AB7A94"/>
    <w:rsid w:val="00AB7CFA"/>
    <w:rsid w:val="00AC0828"/>
    <w:rsid w:val="00AC0967"/>
    <w:rsid w:val="00AC0B74"/>
    <w:rsid w:val="00AC0BF6"/>
    <w:rsid w:val="00AC0D69"/>
    <w:rsid w:val="00AC1658"/>
    <w:rsid w:val="00AC1E97"/>
    <w:rsid w:val="00AC1F3B"/>
    <w:rsid w:val="00AC204C"/>
    <w:rsid w:val="00AC2076"/>
    <w:rsid w:val="00AC210B"/>
    <w:rsid w:val="00AC22FF"/>
    <w:rsid w:val="00AC2401"/>
    <w:rsid w:val="00AC2754"/>
    <w:rsid w:val="00AC2ADC"/>
    <w:rsid w:val="00AC2EEF"/>
    <w:rsid w:val="00AC308E"/>
    <w:rsid w:val="00AC3214"/>
    <w:rsid w:val="00AC3421"/>
    <w:rsid w:val="00AC373F"/>
    <w:rsid w:val="00AC3A4E"/>
    <w:rsid w:val="00AC3AB5"/>
    <w:rsid w:val="00AC3EAD"/>
    <w:rsid w:val="00AC3EBA"/>
    <w:rsid w:val="00AC4200"/>
    <w:rsid w:val="00AC4377"/>
    <w:rsid w:val="00AC4A33"/>
    <w:rsid w:val="00AC4A4E"/>
    <w:rsid w:val="00AC4B39"/>
    <w:rsid w:val="00AC4C0E"/>
    <w:rsid w:val="00AC4D01"/>
    <w:rsid w:val="00AC516B"/>
    <w:rsid w:val="00AC5330"/>
    <w:rsid w:val="00AC5363"/>
    <w:rsid w:val="00AC544C"/>
    <w:rsid w:val="00AC54CB"/>
    <w:rsid w:val="00AC56F2"/>
    <w:rsid w:val="00AC5748"/>
    <w:rsid w:val="00AC5804"/>
    <w:rsid w:val="00AC58B8"/>
    <w:rsid w:val="00AC58F1"/>
    <w:rsid w:val="00AC5990"/>
    <w:rsid w:val="00AC5B42"/>
    <w:rsid w:val="00AC5B48"/>
    <w:rsid w:val="00AC5C7D"/>
    <w:rsid w:val="00AC5CEA"/>
    <w:rsid w:val="00AC621F"/>
    <w:rsid w:val="00AC633A"/>
    <w:rsid w:val="00AC63CF"/>
    <w:rsid w:val="00AC65BC"/>
    <w:rsid w:val="00AC674D"/>
    <w:rsid w:val="00AC6848"/>
    <w:rsid w:val="00AC6A3B"/>
    <w:rsid w:val="00AC6C17"/>
    <w:rsid w:val="00AC6C81"/>
    <w:rsid w:val="00AC6DB8"/>
    <w:rsid w:val="00AC6E52"/>
    <w:rsid w:val="00AC6F68"/>
    <w:rsid w:val="00AC7056"/>
    <w:rsid w:val="00AC710D"/>
    <w:rsid w:val="00AC712F"/>
    <w:rsid w:val="00AC74AA"/>
    <w:rsid w:val="00AC764B"/>
    <w:rsid w:val="00AC77E6"/>
    <w:rsid w:val="00AC7843"/>
    <w:rsid w:val="00AC7988"/>
    <w:rsid w:val="00AC7B77"/>
    <w:rsid w:val="00AC7C77"/>
    <w:rsid w:val="00AC7D40"/>
    <w:rsid w:val="00AC7EB7"/>
    <w:rsid w:val="00AD0412"/>
    <w:rsid w:val="00AD0466"/>
    <w:rsid w:val="00AD09AD"/>
    <w:rsid w:val="00AD0D27"/>
    <w:rsid w:val="00AD0E16"/>
    <w:rsid w:val="00AD0FBF"/>
    <w:rsid w:val="00AD0FC2"/>
    <w:rsid w:val="00AD1042"/>
    <w:rsid w:val="00AD10E4"/>
    <w:rsid w:val="00AD1314"/>
    <w:rsid w:val="00AD1450"/>
    <w:rsid w:val="00AD151D"/>
    <w:rsid w:val="00AD15BA"/>
    <w:rsid w:val="00AD15E8"/>
    <w:rsid w:val="00AD18F7"/>
    <w:rsid w:val="00AD1A91"/>
    <w:rsid w:val="00AD1C0A"/>
    <w:rsid w:val="00AD1E6F"/>
    <w:rsid w:val="00AD1E95"/>
    <w:rsid w:val="00AD20B8"/>
    <w:rsid w:val="00AD2963"/>
    <w:rsid w:val="00AD2ABA"/>
    <w:rsid w:val="00AD2B76"/>
    <w:rsid w:val="00AD2BF7"/>
    <w:rsid w:val="00AD2D58"/>
    <w:rsid w:val="00AD2F3E"/>
    <w:rsid w:val="00AD346E"/>
    <w:rsid w:val="00AD34CD"/>
    <w:rsid w:val="00AD356D"/>
    <w:rsid w:val="00AD3636"/>
    <w:rsid w:val="00AD388D"/>
    <w:rsid w:val="00AD3A52"/>
    <w:rsid w:val="00AD3B58"/>
    <w:rsid w:val="00AD3C1F"/>
    <w:rsid w:val="00AD3C47"/>
    <w:rsid w:val="00AD41A2"/>
    <w:rsid w:val="00AD41F3"/>
    <w:rsid w:val="00AD4360"/>
    <w:rsid w:val="00AD43ED"/>
    <w:rsid w:val="00AD44E0"/>
    <w:rsid w:val="00AD45CD"/>
    <w:rsid w:val="00AD45F1"/>
    <w:rsid w:val="00AD46C1"/>
    <w:rsid w:val="00AD4816"/>
    <w:rsid w:val="00AD4DA3"/>
    <w:rsid w:val="00AD4EC9"/>
    <w:rsid w:val="00AD5497"/>
    <w:rsid w:val="00AD55EA"/>
    <w:rsid w:val="00AD5B54"/>
    <w:rsid w:val="00AD5CCC"/>
    <w:rsid w:val="00AD5D4B"/>
    <w:rsid w:val="00AD5DF5"/>
    <w:rsid w:val="00AD615C"/>
    <w:rsid w:val="00AD6502"/>
    <w:rsid w:val="00AD6632"/>
    <w:rsid w:val="00AD6774"/>
    <w:rsid w:val="00AD680E"/>
    <w:rsid w:val="00AD6E29"/>
    <w:rsid w:val="00AD6F9E"/>
    <w:rsid w:val="00AD7040"/>
    <w:rsid w:val="00AD7080"/>
    <w:rsid w:val="00AD70C8"/>
    <w:rsid w:val="00AD732F"/>
    <w:rsid w:val="00AD734A"/>
    <w:rsid w:val="00AD7606"/>
    <w:rsid w:val="00AD76EA"/>
    <w:rsid w:val="00AD7900"/>
    <w:rsid w:val="00AD7938"/>
    <w:rsid w:val="00AD7A2A"/>
    <w:rsid w:val="00AD7DA9"/>
    <w:rsid w:val="00AD7EC3"/>
    <w:rsid w:val="00AE0228"/>
    <w:rsid w:val="00AE025A"/>
    <w:rsid w:val="00AE0457"/>
    <w:rsid w:val="00AE0695"/>
    <w:rsid w:val="00AE06A7"/>
    <w:rsid w:val="00AE0BE4"/>
    <w:rsid w:val="00AE0C75"/>
    <w:rsid w:val="00AE0CC9"/>
    <w:rsid w:val="00AE0F9F"/>
    <w:rsid w:val="00AE1014"/>
    <w:rsid w:val="00AE10CF"/>
    <w:rsid w:val="00AE1266"/>
    <w:rsid w:val="00AE16BB"/>
    <w:rsid w:val="00AE1A6B"/>
    <w:rsid w:val="00AE1C39"/>
    <w:rsid w:val="00AE1F62"/>
    <w:rsid w:val="00AE2153"/>
    <w:rsid w:val="00AE2602"/>
    <w:rsid w:val="00AE2A8F"/>
    <w:rsid w:val="00AE2D7D"/>
    <w:rsid w:val="00AE3090"/>
    <w:rsid w:val="00AE3180"/>
    <w:rsid w:val="00AE35C7"/>
    <w:rsid w:val="00AE3606"/>
    <w:rsid w:val="00AE39F9"/>
    <w:rsid w:val="00AE3C46"/>
    <w:rsid w:val="00AE3D20"/>
    <w:rsid w:val="00AE3E7E"/>
    <w:rsid w:val="00AE47A0"/>
    <w:rsid w:val="00AE49B0"/>
    <w:rsid w:val="00AE4C3C"/>
    <w:rsid w:val="00AE4D90"/>
    <w:rsid w:val="00AE4E20"/>
    <w:rsid w:val="00AE50DB"/>
    <w:rsid w:val="00AE529E"/>
    <w:rsid w:val="00AE54B9"/>
    <w:rsid w:val="00AE5557"/>
    <w:rsid w:val="00AE55B4"/>
    <w:rsid w:val="00AE56EC"/>
    <w:rsid w:val="00AE58B4"/>
    <w:rsid w:val="00AE5C54"/>
    <w:rsid w:val="00AE5D22"/>
    <w:rsid w:val="00AE6708"/>
    <w:rsid w:val="00AE68D5"/>
    <w:rsid w:val="00AE6D06"/>
    <w:rsid w:val="00AE6EC7"/>
    <w:rsid w:val="00AE6F20"/>
    <w:rsid w:val="00AE712D"/>
    <w:rsid w:val="00AE7279"/>
    <w:rsid w:val="00AE72A2"/>
    <w:rsid w:val="00AE7338"/>
    <w:rsid w:val="00AE7718"/>
    <w:rsid w:val="00AE77F2"/>
    <w:rsid w:val="00AE79FB"/>
    <w:rsid w:val="00AE7E32"/>
    <w:rsid w:val="00AE7E44"/>
    <w:rsid w:val="00AE7E53"/>
    <w:rsid w:val="00AE7E7F"/>
    <w:rsid w:val="00AF000C"/>
    <w:rsid w:val="00AF008C"/>
    <w:rsid w:val="00AF0276"/>
    <w:rsid w:val="00AF0473"/>
    <w:rsid w:val="00AF0A4D"/>
    <w:rsid w:val="00AF0F5C"/>
    <w:rsid w:val="00AF0FB1"/>
    <w:rsid w:val="00AF10DE"/>
    <w:rsid w:val="00AF1315"/>
    <w:rsid w:val="00AF1973"/>
    <w:rsid w:val="00AF19BF"/>
    <w:rsid w:val="00AF1BD7"/>
    <w:rsid w:val="00AF2043"/>
    <w:rsid w:val="00AF221B"/>
    <w:rsid w:val="00AF2772"/>
    <w:rsid w:val="00AF2999"/>
    <w:rsid w:val="00AF2A17"/>
    <w:rsid w:val="00AF2A1A"/>
    <w:rsid w:val="00AF2BD0"/>
    <w:rsid w:val="00AF2C43"/>
    <w:rsid w:val="00AF2DBA"/>
    <w:rsid w:val="00AF2DC3"/>
    <w:rsid w:val="00AF31AC"/>
    <w:rsid w:val="00AF3273"/>
    <w:rsid w:val="00AF344C"/>
    <w:rsid w:val="00AF34B2"/>
    <w:rsid w:val="00AF3803"/>
    <w:rsid w:val="00AF3873"/>
    <w:rsid w:val="00AF38ED"/>
    <w:rsid w:val="00AF3A40"/>
    <w:rsid w:val="00AF3C79"/>
    <w:rsid w:val="00AF3D93"/>
    <w:rsid w:val="00AF41E1"/>
    <w:rsid w:val="00AF42D3"/>
    <w:rsid w:val="00AF463F"/>
    <w:rsid w:val="00AF4649"/>
    <w:rsid w:val="00AF46E9"/>
    <w:rsid w:val="00AF46FF"/>
    <w:rsid w:val="00AF4AD5"/>
    <w:rsid w:val="00AF4EB6"/>
    <w:rsid w:val="00AF4F8E"/>
    <w:rsid w:val="00AF514A"/>
    <w:rsid w:val="00AF5716"/>
    <w:rsid w:val="00AF57B3"/>
    <w:rsid w:val="00AF6130"/>
    <w:rsid w:val="00AF63D7"/>
    <w:rsid w:val="00AF6508"/>
    <w:rsid w:val="00AF678F"/>
    <w:rsid w:val="00AF68A6"/>
    <w:rsid w:val="00AF6930"/>
    <w:rsid w:val="00AF72C8"/>
    <w:rsid w:val="00AF72D0"/>
    <w:rsid w:val="00AF72D1"/>
    <w:rsid w:val="00AF74C8"/>
    <w:rsid w:val="00AF7676"/>
    <w:rsid w:val="00AF7738"/>
    <w:rsid w:val="00AF779B"/>
    <w:rsid w:val="00AF7917"/>
    <w:rsid w:val="00AF7EE7"/>
    <w:rsid w:val="00B0019D"/>
    <w:rsid w:val="00B001CE"/>
    <w:rsid w:val="00B003CB"/>
    <w:rsid w:val="00B006AD"/>
    <w:rsid w:val="00B00767"/>
    <w:rsid w:val="00B0083D"/>
    <w:rsid w:val="00B00885"/>
    <w:rsid w:val="00B008F4"/>
    <w:rsid w:val="00B00D05"/>
    <w:rsid w:val="00B00FF0"/>
    <w:rsid w:val="00B01170"/>
    <w:rsid w:val="00B012EF"/>
    <w:rsid w:val="00B01588"/>
    <w:rsid w:val="00B016E6"/>
    <w:rsid w:val="00B018A3"/>
    <w:rsid w:val="00B01BCC"/>
    <w:rsid w:val="00B01C81"/>
    <w:rsid w:val="00B01D5E"/>
    <w:rsid w:val="00B01EC0"/>
    <w:rsid w:val="00B02535"/>
    <w:rsid w:val="00B026EB"/>
    <w:rsid w:val="00B027C0"/>
    <w:rsid w:val="00B02827"/>
    <w:rsid w:val="00B02B1F"/>
    <w:rsid w:val="00B03206"/>
    <w:rsid w:val="00B033E5"/>
    <w:rsid w:val="00B033ED"/>
    <w:rsid w:val="00B0349D"/>
    <w:rsid w:val="00B036AB"/>
    <w:rsid w:val="00B0374D"/>
    <w:rsid w:val="00B03789"/>
    <w:rsid w:val="00B0398A"/>
    <w:rsid w:val="00B03A63"/>
    <w:rsid w:val="00B04034"/>
    <w:rsid w:val="00B0431C"/>
    <w:rsid w:val="00B044D2"/>
    <w:rsid w:val="00B045DA"/>
    <w:rsid w:val="00B04644"/>
    <w:rsid w:val="00B046BB"/>
    <w:rsid w:val="00B048E9"/>
    <w:rsid w:val="00B04AE0"/>
    <w:rsid w:val="00B04DB3"/>
    <w:rsid w:val="00B04FD8"/>
    <w:rsid w:val="00B05414"/>
    <w:rsid w:val="00B0555F"/>
    <w:rsid w:val="00B055E0"/>
    <w:rsid w:val="00B05A0F"/>
    <w:rsid w:val="00B06394"/>
    <w:rsid w:val="00B0660B"/>
    <w:rsid w:val="00B06895"/>
    <w:rsid w:val="00B06BF4"/>
    <w:rsid w:val="00B07030"/>
    <w:rsid w:val="00B07778"/>
    <w:rsid w:val="00B077ED"/>
    <w:rsid w:val="00B07B46"/>
    <w:rsid w:val="00B07C0C"/>
    <w:rsid w:val="00B07C5E"/>
    <w:rsid w:val="00B07D54"/>
    <w:rsid w:val="00B1019F"/>
    <w:rsid w:val="00B101AA"/>
    <w:rsid w:val="00B102A9"/>
    <w:rsid w:val="00B105F1"/>
    <w:rsid w:val="00B106DB"/>
    <w:rsid w:val="00B1082B"/>
    <w:rsid w:val="00B10A10"/>
    <w:rsid w:val="00B10C9A"/>
    <w:rsid w:val="00B10DAF"/>
    <w:rsid w:val="00B111B2"/>
    <w:rsid w:val="00B111B6"/>
    <w:rsid w:val="00B11423"/>
    <w:rsid w:val="00B114D9"/>
    <w:rsid w:val="00B1158D"/>
    <w:rsid w:val="00B11B47"/>
    <w:rsid w:val="00B11B52"/>
    <w:rsid w:val="00B11C03"/>
    <w:rsid w:val="00B123CF"/>
    <w:rsid w:val="00B128D2"/>
    <w:rsid w:val="00B128FE"/>
    <w:rsid w:val="00B129A4"/>
    <w:rsid w:val="00B12E18"/>
    <w:rsid w:val="00B132CC"/>
    <w:rsid w:val="00B13BD9"/>
    <w:rsid w:val="00B13C29"/>
    <w:rsid w:val="00B13C5D"/>
    <w:rsid w:val="00B13DED"/>
    <w:rsid w:val="00B141DC"/>
    <w:rsid w:val="00B143BA"/>
    <w:rsid w:val="00B14807"/>
    <w:rsid w:val="00B14923"/>
    <w:rsid w:val="00B14A5B"/>
    <w:rsid w:val="00B14D0A"/>
    <w:rsid w:val="00B14DBF"/>
    <w:rsid w:val="00B14E6A"/>
    <w:rsid w:val="00B15305"/>
    <w:rsid w:val="00B1531C"/>
    <w:rsid w:val="00B15443"/>
    <w:rsid w:val="00B154F0"/>
    <w:rsid w:val="00B15798"/>
    <w:rsid w:val="00B158E6"/>
    <w:rsid w:val="00B15A93"/>
    <w:rsid w:val="00B15DAE"/>
    <w:rsid w:val="00B15E2F"/>
    <w:rsid w:val="00B1626C"/>
    <w:rsid w:val="00B163A1"/>
    <w:rsid w:val="00B166FA"/>
    <w:rsid w:val="00B16790"/>
    <w:rsid w:val="00B167DD"/>
    <w:rsid w:val="00B167EF"/>
    <w:rsid w:val="00B16C8A"/>
    <w:rsid w:val="00B171F1"/>
    <w:rsid w:val="00B17246"/>
    <w:rsid w:val="00B175AB"/>
    <w:rsid w:val="00B175BA"/>
    <w:rsid w:val="00B17698"/>
    <w:rsid w:val="00B17A4C"/>
    <w:rsid w:val="00B17B13"/>
    <w:rsid w:val="00B200C9"/>
    <w:rsid w:val="00B201A4"/>
    <w:rsid w:val="00B201D1"/>
    <w:rsid w:val="00B20282"/>
    <w:rsid w:val="00B20365"/>
    <w:rsid w:val="00B2056D"/>
    <w:rsid w:val="00B2087A"/>
    <w:rsid w:val="00B20D50"/>
    <w:rsid w:val="00B20FF4"/>
    <w:rsid w:val="00B21006"/>
    <w:rsid w:val="00B213A6"/>
    <w:rsid w:val="00B2145B"/>
    <w:rsid w:val="00B21575"/>
    <w:rsid w:val="00B2158E"/>
    <w:rsid w:val="00B21655"/>
    <w:rsid w:val="00B21682"/>
    <w:rsid w:val="00B216AC"/>
    <w:rsid w:val="00B218AA"/>
    <w:rsid w:val="00B218BF"/>
    <w:rsid w:val="00B218E2"/>
    <w:rsid w:val="00B2191B"/>
    <w:rsid w:val="00B21963"/>
    <w:rsid w:val="00B219AF"/>
    <w:rsid w:val="00B21C9A"/>
    <w:rsid w:val="00B21DC8"/>
    <w:rsid w:val="00B22082"/>
    <w:rsid w:val="00B2229A"/>
    <w:rsid w:val="00B222A7"/>
    <w:rsid w:val="00B2236A"/>
    <w:rsid w:val="00B22678"/>
    <w:rsid w:val="00B227A5"/>
    <w:rsid w:val="00B228CF"/>
    <w:rsid w:val="00B22976"/>
    <w:rsid w:val="00B22F60"/>
    <w:rsid w:val="00B2318A"/>
    <w:rsid w:val="00B232BC"/>
    <w:rsid w:val="00B233EF"/>
    <w:rsid w:val="00B235B0"/>
    <w:rsid w:val="00B237B7"/>
    <w:rsid w:val="00B239B4"/>
    <w:rsid w:val="00B23F0B"/>
    <w:rsid w:val="00B23FEB"/>
    <w:rsid w:val="00B24030"/>
    <w:rsid w:val="00B24419"/>
    <w:rsid w:val="00B24517"/>
    <w:rsid w:val="00B2476E"/>
    <w:rsid w:val="00B24796"/>
    <w:rsid w:val="00B24B66"/>
    <w:rsid w:val="00B24DF6"/>
    <w:rsid w:val="00B25117"/>
    <w:rsid w:val="00B2513A"/>
    <w:rsid w:val="00B2546A"/>
    <w:rsid w:val="00B255DF"/>
    <w:rsid w:val="00B257D8"/>
    <w:rsid w:val="00B25EB4"/>
    <w:rsid w:val="00B26431"/>
    <w:rsid w:val="00B26460"/>
    <w:rsid w:val="00B264CC"/>
    <w:rsid w:val="00B26587"/>
    <w:rsid w:val="00B267BE"/>
    <w:rsid w:val="00B268D9"/>
    <w:rsid w:val="00B26F08"/>
    <w:rsid w:val="00B26F27"/>
    <w:rsid w:val="00B26F57"/>
    <w:rsid w:val="00B27045"/>
    <w:rsid w:val="00B2714C"/>
    <w:rsid w:val="00B273DE"/>
    <w:rsid w:val="00B2749C"/>
    <w:rsid w:val="00B27A61"/>
    <w:rsid w:val="00B27CF0"/>
    <w:rsid w:val="00B27EE3"/>
    <w:rsid w:val="00B3009F"/>
    <w:rsid w:val="00B30147"/>
    <w:rsid w:val="00B3040D"/>
    <w:rsid w:val="00B304B6"/>
    <w:rsid w:val="00B305D7"/>
    <w:rsid w:val="00B306D7"/>
    <w:rsid w:val="00B3088E"/>
    <w:rsid w:val="00B3093C"/>
    <w:rsid w:val="00B309F0"/>
    <w:rsid w:val="00B30BCF"/>
    <w:rsid w:val="00B30C43"/>
    <w:rsid w:val="00B30E62"/>
    <w:rsid w:val="00B3108F"/>
    <w:rsid w:val="00B311FD"/>
    <w:rsid w:val="00B313B2"/>
    <w:rsid w:val="00B3179F"/>
    <w:rsid w:val="00B317CD"/>
    <w:rsid w:val="00B31AA9"/>
    <w:rsid w:val="00B321C9"/>
    <w:rsid w:val="00B322BD"/>
    <w:rsid w:val="00B323DB"/>
    <w:rsid w:val="00B323DF"/>
    <w:rsid w:val="00B326C7"/>
    <w:rsid w:val="00B328A6"/>
    <w:rsid w:val="00B32A53"/>
    <w:rsid w:val="00B32DD0"/>
    <w:rsid w:val="00B32ECC"/>
    <w:rsid w:val="00B331AF"/>
    <w:rsid w:val="00B33616"/>
    <w:rsid w:val="00B3376E"/>
    <w:rsid w:val="00B33795"/>
    <w:rsid w:val="00B3385B"/>
    <w:rsid w:val="00B33ACC"/>
    <w:rsid w:val="00B33F1F"/>
    <w:rsid w:val="00B34053"/>
    <w:rsid w:val="00B34429"/>
    <w:rsid w:val="00B34559"/>
    <w:rsid w:val="00B34D2A"/>
    <w:rsid w:val="00B34E6E"/>
    <w:rsid w:val="00B34FE2"/>
    <w:rsid w:val="00B35166"/>
    <w:rsid w:val="00B357D8"/>
    <w:rsid w:val="00B35AC2"/>
    <w:rsid w:val="00B35B4E"/>
    <w:rsid w:val="00B35D2D"/>
    <w:rsid w:val="00B35F72"/>
    <w:rsid w:val="00B360A4"/>
    <w:rsid w:val="00B360F4"/>
    <w:rsid w:val="00B362ED"/>
    <w:rsid w:val="00B365C4"/>
    <w:rsid w:val="00B36882"/>
    <w:rsid w:val="00B36972"/>
    <w:rsid w:val="00B36A00"/>
    <w:rsid w:val="00B36B47"/>
    <w:rsid w:val="00B36C13"/>
    <w:rsid w:val="00B37177"/>
    <w:rsid w:val="00B374FC"/>
    <w:rsid w:val="00B37608"/>
    <w:rsid w:val="00B376A3"/>
    <w:rsid w:val="00B376C3"/>
    <w:rsid w:val="00B37739"/>
    <w:rsid w:val="00B378FF"/>
    <w:rsid w:val="00B3792B"/>
    <w:rsid w:val="00B37BFC"/>
    <w:rsid w:val="00B37DF5"/>
    <w:rsid w:val="00B37F20"/>
    <w:rsid w:val="00B37FCE"/>
    <w:rsid w:val="00B4032C"/>
    <w:rsid w:val="00B40358"/>
    <w:rsid w:val="00B4049B"/>
    <w:rsid w:val="00B404D1"/>
    <w:rsid w:val="00B404FB"/>
    <w:rsid w:val="00B405DE"/>
    <w:rsid w:val="00B405F3"/>
    <w:rsid w:val="00B4065B"/>
    <w:rsid w:val="00B40828"/>
    <w:rsid w:val="00B40C15"/>
    <w:rsid w:val="00B40CF0"/>
    <w:rsid w:val="00B40D97"/>
    <w:rsid w:val="00B40EF6"/>
    <w:rsid w:val="00B41347"/>
    <w:rsid w:val="00B41477"/>
    <w:rsid w:val="00B41614"/>
    <w:rsid w:val="00B41843"/>
    <w:rsid w:val="00B41F2A"/>
    <w:rsid w:val="00B42042"/>
    <w:rsid w:val="00B4205C"/>
    <w:rsid w:val="00B42532"/>
    <w:rsid w:val="00B42851"/>
    <w:rsid w:val="00B428A1"/>
    <w:rsid w:val="00B4292F"/>
    <w:rsid w:val="00B42C7C"/>
    <w:rsid w:val="00B42ED1"/>
    <w:rsid w:val="00B42F5E"/>
    <w:rsid w:val="00B42F80"/>
    <w:rsid w:val="00B430BD"/>
    <w:rsid w:val="00B432DC"/>
    <w:rsid w:val="00B4333D"/>
    <w:rsid w:val="00B433EA"/>
    <w:rsid w:val="00B4345D"/>
    <w:rsid w:val="00B434B1"/>
    <w:rsid w:val="00B435CB"/>
    <w:rsid w:val="00B4360D"/>
    <w:rsid w:val="00B43615"/>
    <w:rsid w:val="00B43F8D"/>
    <w:rsid w:val="00B44E6E"/>
    <w:rsid w:val="00B44EF2"/>
    <w:rsid w:val="00B453E1"/>
    <w:rsid w:val="00B45405"/>
    <w:rsid w:val="00B4544B"/>
    <w:rsid w:val="00B455A8"/>
    <w:rsid w:val="00B4568F"/>
    <w:rsid w:val="00B4586C"/>
    <w:rsid w:val="00B458D5"/>
    <w:rsid w:val="00B45B93"/>
    <w:rsid w:val="00B45CF9"/>
    <w:rsid w:val="00B45DF2"/>
    <w:rsid w:val="00B45F84"/>
    <w:rsid w:val="00B4615C"/>
    <w:rsid w:val="00B461D8"/>
    <w:rsid w:val="00B46209"/>
    <w:rsid w:val="00B46470"/>
    <w:rsid w:val="00B464EE"/>
    <w:rsid w:val="00B465E3"/>
    <w:rsid w:val="00B465EC"/>
    <w:rsid w:val="00B46762"/>
    <w:rsid w:val="00B467FA"/>
    <w:rsid w:val="00B46D7B"/>
    <w:rsid w:val="00B46EF4"/>
    <w:rsid w:val="00B46FEE"/>
    <w:rsid w:val="00B47050"/>
    <w:rsid w:val="00B47128"/>
    <w:rsid w:val="00B4714E"/>
    <w:rsid w:val="00B47181"/>
    <w:rsid w:val="00B47792"/>
    <w:rsid w:val="00B47BB5"/>
    <w:rsid w:val="00B47CCF"/>
    <w:rsid w:val="00B505C8"/>
    <w:rsid w:val="00B505E7"/>
    <w:rsid w:val="00B508C2"/>
    <w:rsid w:val="00B50907"/>
    <w:rsid w:val="00B50A65"/>
    <w:rsid w:val="00B50DB8"/>
    <w:rsid w:val="00B5101D"/>
    <w:rsid w:val="00B51175"/>
    <w:rsid w:val="00B5123E"/>
    <w:rsid w:val="00B51566"/>
    <w:rsid w:val="00B51821"/>
    <w:rsid w:val="00B51906"/>
    <w:rsid w:val="00B51917"/>
    <w:rsid w:val="00B51BE3"/>
    <w:rsid w:val="00B51D2F"/>
    <w:rsid w:val="00B520F4"/>
    <w:rsid w:val="00B523C1"/>
    <w:rsid w:val="00B523F2"/>
    <w:rsid w:val="00B52457"/>
    <w:rsid w:val="00B52704"/>
    <w:rsid w:val="00B52823"/>
    <w:rsid w:val="00B52A7F"/>
    <w:rsid w:val="00B52A95"/>
    <w:rsid w:val="00B52DBE"/>
    <w:rsid w:val="00B52FF4"/>
    <w:rsid w:val="00B53344"/>
    <w:rsid w:val="00B534F4"/>
    <w:rsid w:val="00B53654"/>
    <w:rsid w:val="00B53835"/>
    <w:rsid w:val="00B53905"/>
    <w:rsid w:val="00B53A9D"/>
    <w:rsid w:val="00B53B1E"/>
    <w:rsid w:val="00B53C07"/>
    <w:rsid w:val="00B53D58"/>
    <w:rsid w:val="00B53EAF"/>
    <w:rsid w:val="00B53F66"/>
    <w:rsid w:val="00B541F0"/>
    <w:rsid w:val="00B546DB"/>
    <w:rsid w:val="00B54765"/>
    <w:rsid w:val="00B54B5B"/>
    <w:rsid w:val="00B54ED3"/>
    <w:rsid w:val="00B551A7"/>
    <w:rsid w:val="00B551AC"/>
    <w:rsid w:val="00B553A4"/>
    <w:rsid w:val="00B55473"/>
    <w:rsid w:val="00B554E5"/>
    <w:rsid w:val="00B5562E"/>
    <w:rsid w:val="00B556D8"/>
    <w:rsid w:val="00B55849"/>
    <w:rsid w:val="00B55862"/>
    <w:rsid w:val="00B55CA8"/>
    <w:rsid w:val="00B55CAC"/>
    <w:rsid w:val="00B55D11"/>
    <w:rsid w:val="00B55D4C"/>
    <w:rsid w:val="00B55D65"/>
    <w:rsid w:val="00B56305"/>
    <w:rsid w:val="00B56306"/>
    <w:rsid w:val="00B563BC"/>
    <w:rsid w:val="00B56545"/>
    <w:rsid w:val="00B56AEF"/>
    <w:rsid w:val="00B56DD5"/>
    <w:rsid w:val="00B56E0C"/>
    <w:rsid w:val="00B56F9A"/>
    <w:rsid w:val="00B57000"/>
    <w:rsid w:val="00B570AC"/>
    <w:rsid w:val="00B573B2"/>
    <w:rsid w:val="00B57449"/>
    <w:rsid w:val="00B575C1"/>
    <w:rsid w:val="00B576DC"/>
    <w:rsid w:val="00B57943"/>
    <w:rsid w:val="00B57A49"/>
    <w:rsid w:val="00B57BED"/>
    <w:rsid w:val="00B57C0A"/>
    <w:rsid w:val="00B57C51"/>
    <w:rsid w:val="00B57ED7"/>
    <w:rsid w:val="00B57FA1"/>
    <w:rsid w:val="00B57FDC"/>
    <w:rsid w:val="00B60001"/>
    <w:rsid w:val="00B60269"/>
    <w:rsid w:val="00B6029C"/>
    <w:rsid w:val="00B602A0"/>
    <w:rsid w:val="00B60336"/>
    <w:rsid w:val="00B6043E"/>
    <w:rsid w:val="00B60600"/>
    <w:rsid w:val="00B60640"/>
    <w:rsid w:val="00B60939"/>
    <w:rsid w:val="00B60A21"/>
    <w:rsid w:val="00B60AFD"/>
    <w:rsid w:val="00B60D89"/>
    <w:rsid w:val="00B60E13"/>
    <w:rsid w:val="00B60EA4"/>
    <w:rsid w:val="00B6102D"/>
    <w:rsid w:val="00B610EB"/>
    <w:rsid w:val="00B613B8"/>
    <w:rsid w:val="00B61B69"/>
    <w:rsid w:val="00B61B99"/>
    <w:rsid w:val="00B61B9B"/>
    <w:rsid w:val="00B61DA3"/>
    <w:rsid w:val="00B61ED3"/>
    <w:rsid w:val="00B62715"/>
    <w:rsid w:val="00B62798"/>
    <w:rsid w:val="00B62C80"/>
    <w:rsid w:val="00B62E6C"/>
    <w:rsid w:val="00B62FB4"/>
    <w:rsid w:val="00B62FC2"/>
    <w:rsid w:val="00B635CA"/>
    <w:rsid w:val="00B63808"/>
    <w:rsid w:val="00B63852"/>
    <w:rsid w:val="00B63970"/>
    <w:rsid w:val="00B63B1A"/>
    <w:rsid w:val="00B63E46"/>
    <w:rsid w:val="00B641A2"/>
    <w:rsid w:val="00B64331"/>
    <w:rsid w:val="00B64413"/>
    <w:rsid w:val="00B64532"/>
    <w:rsid w:val="00B646E5"/>
    <w:rsid w:val="00B6472D"/>
    <w:rsid w:val="00B64819"/>
    <w:rsid w:val="00B649F4"/>
    <w:rsid w:val="00B64BC9"/>
    <w:rsid w:val="00B64E30"/>
    <w:rsid w:val="00B64E71"/>
    <w:rsid w:val="00B64ED9"/>
    <w:rsid w:val="00B6507C"/>
    <w:rsid w:val="00B651FE"/>
    <w:rsid w:val="00B65611"/>
    <w:rsid w:val="00B65757"/>
    <w:rsid w:val="00B658DB"/>
    <w:rsid w:val="00B65AB9"/>
    <w:rsid w:val="00B65AD3"/>
    <w:rsid w:val="00B65C48"/>
    <w:rsid w:val="00B65D34"/>
    <w:rsid w:val="00B661F7"/>
    <w:rsid w:val="00B6629D"/>
    <w:rsid w:val="00B66333"/>
    <w:rsid w:val="00B66557"/>
    <w:rsid w:val="00B665E3"/>
    <w:rsid w:val="00B66864"/>
    <w:rsid w:val="00B66911"/>
    <w:rsid w:val="00B66936"/>
    <w:rsid w:val="00B66A07"/>
    <w:rsid w:val="00B66AEB"/>
    <w:rsid w:val="00B66F02"/>
    <w:rsid w:val="00B66F14"/>
    <w:rsid w:val="00B6713F"/>
    <w:rsid w:val="00B6718C"/>
    <w:rsid w:val="00B67379"/>
    <w:rsid w:val="00B675EC"/>
    <w:rsid w:val="00B677D3"/>
    <w:rsid w:val="00B67851"/>
    <w:rsid w:val="00B67860"/>
    <w:rsid w:val="00B6788F"/>
    <w:rsid w:val="00B70284"/>
    <w:rsid w:val="00B704E3"/>
    <w:rsid w:val="00B705FA"/>
    <w:rsid w:val="00B70789"/>
    <w:rsid w:val="00B70D3D"/>
    <w:rsid w:val="00B70E7B"/>
    <w:rsid w:val="00B70E8E"/>
    <w:rsid w:val="00B70EBA"/>
    <w:rsid w:val="00B70FB1"/>
    <w:rsid w:val="00B713DA"/>
    <w:rsid w:val="00B71691"/>
    <w:rsid w:val="00B71825"/>
    <w:rsid w:val="00B71A38"/>
    <w:rsid w:val="00B71AC0"/>
    <w:rsid w:val="00B71AF2"/>
    <w:rsid w:val="00B7246E"/>
    <w:rsid w:val="00B72491"/>
    <w:rsid w:val="00B728C9"/>
    <w:rsid w:val="00B7292B"/>
    <w:rsid w:val="00B72AB5"/>
    <w:rsid w:val="00B7332B"/>
    <w:rsid w:val="00B73819"/>
    <w:rsid w:val="00B73886"/>
    <w:rsid w:val="00B73AC2"/>
    <w:rsid w:val="00B73D25"/>
    <w:rsid w:val="00B73DDB"/>
    <w:rsid w:val="00B740F6"/>
    <w:rsid w:val="00B74381"/>
    <w:rsid w:val="00B7462E"/>
    <w:rsid w:val="00B748FA"/>
    <w:rsid w:val="00B74C7B"/>
    <w:rsid w:val="00B74C87"/>
    <w:rsid w:val="00B74FCE"/>
    <w:rsid w:val="00B752CA"/>
    <w:rsid w:val="00B755F8"/>
    <w:rsid w:val="00B75BC8"/>
    <w:rsid w:val="00B7667D"/>
    <w:rsid w:val="00B7688C"/>
    <w:rsid w:val="00B76C92"/>
    <w:rsid w:val="00B76D06"/>
    <w:rsid w:val="00B76E9A"/>
    <w:rsid w:val="00B77351"/>
    <w:rsid w:val="00B77967"/>
    <w:rsid w:val="00B779FF"/>
    <w:rsid w:val="00B77C02"/>
    <w:rsid w:val="00B77CA6"/>
    <w:rsid w:val="00B77CC0"/>
    <w:rsid w:val="00B77FD0"/>
    <w:rsid w:val="00B80081"/>
    <w:rsid w:val="00B801A3"/>
    <w:rsid w:val="00B802B9"/>
    <w:rsid w:val="00B80308"/>
    <w:rsid w:val="00B804DA"/>
    <w:rsid w:val="00B805FE"/>
    <w:rsid w:val="00B807BF"/>
    <w:rsid w:val="00B80CF0"/>
    <w:rsid w:val="00B80EFD"/>
    <w:rsid w:val="00B810E0"/>
    <w:rsid w:val="00B8118B"/>
    <w:rsid w:val="00B812E4"/>
    <w:rsid w:val="00B8140B"/>
    <w:rsid w:val="00B816F2"/>
    <w:rsid w:val="00B818A4"/>
    <w:rsid w:val="00B81B35"/>
    <w:rsid w:val="00B81B41"/>
    <w:rsid w:val="00B823E8"/>
    <w:rsid w:val="00B82529"/>
    <w:rsid w:val="00B82843"/>
    <w:rsid w:val="00B828CA"/>
    <w:rsid w:val="00B82975"/>
    <w:rsid w:val="00B82ADF"/>
    <w:rsid w:val="00B82B9C"/>
    <w:rsid w:val="00B82D34"/>
    <w:rsid w:val="00B82DB9"/>
    <w:rsid w:val="00B833C7"/>
    <w:rsid w:val="00B8343D"/>
    <w:rsid w:val="00B836E9"/>
    <w:rsid w:val="00B83739"/>
    <w:rsid w:val="00B838B3"/>
    <w:rsid w:val="00B83A6F"/>
    <w:rsid w:val="00B83B49"/>
    <w:rsid w:val="00B83C20"/>
    <w:rsid w:val="00B83C7E"/>
    <w:rsid w:val="00B83DA5"/>
    <w:rsid w:val="00B84117"/>
    <w:rsid w:val="00B841AA"/>
    <w:rsid w:val="00B84295"/>
    <w:rsid w:val="00B8449D"/>
    <w:rsid w:val="00B845EA"/>
    <w:rsid w:val="00B847D2"/>
    <w:rsid w:val="00B8484E"/>
    <w:rsid w:val="00B84CD2"/>
    <w:rsid w:val="00B84E4B"/>
    <w:rsid w:val="00B84F69"/>
    <w:rsid w:val="00B85421"/>
    <w:rsid w:val="00B854D0"/>
    <w:rsid w:val="00B85572"/>
    <w:rsid w:val="00B858F0"/>
    <w:rsid w:val="00B85A7B"/>
    <w:rsid w:val="00B85AA2"/>
    <w:rsid w:val="00B85EDC"/>
    <w:rsid w:val="00B8600B"/>
    <w:rsid w:val="00B86040"/>
    <w:rsid w:val="00B861CC"/>
    <w:rsid w:val="00B86494"/>
    <w:rsid w:val="00B8649C"/>
    <w:rsid w:val="00B868E8"/>
    <w:rsid w:val="00B8695D"/>
    <w:rsid w:val="00B86BB5"/>
    <w:rsid w:val="00B86F31"/>
    <w:rsid w:val="00B871E7"/>
    <w:rsid w:val="00B87303"/>
    <w:rsid w:val="00B8741E"/>
    <w:rsid w:val="00B874EE"/>
    <w:rsid w:val="00B878F4"/>
    <w:rsid w:val="00B87C96"/>
    <w:rsid w:val="00B87DFD"/>
    <w:rsid w:val="00B87F0A"/>
    <w:rsid w:val="00B900ED"/>
    <w:rsid w:val="00B90B40"/>
    <w:rsid w:val="00B90CD3"/>
    <w:rsid w:val="00B90D60"/>
    <w:rsid w:val="00B90FE0"/>
    <w:rsid w:val="00B91066"/>
    <w:rsid w:val="00B91182"/>
    <w:rsid w:val="00B911D9"/>
    <w:rsid w:val="00B913BC"/>
    <w:rsid w:val="00B915B3"/>
    <w:rsid w:val="00B91667"/>
    <w:rsid w:val="00B91671"/>
    <w:rsid w:val="00B9176D"/>
    <w:rsid w:val="00B91B1B"/>
    <w:rsid w:val="00B91B1C"/>
    <w:rsid w:val="00B91B35"/>
    <w:rsid w:val="00B91DC1"/>
    <w:rsid w:val="00B91DCF"/>
    <w:rsid w:val="00B9229A"/>
    <w:rsid w:val="00B92574"/>
    <w:rsid w:val="00B928AD"/>
    <w:rsid w:val="00B92A17"/>
    <w:rsid w:val="00B92D0B"/>
    <w:rsid w:val="00B92DB3"/>
    <w:rsid w:val="00B92DD5"/>
    <w:rsid w:val="00B9360F"/>
    <w:rsid w:val="00B93917"/>
    <w:rsid w:val="00B93E2A"/>
    <w:rsid w:val="00B93F44"/>
    <w:rsid w:val="00B94226"/>
    <w:rsid w:val="00B94340"/>
    <w:rsid w:val="00B943D0"/>
    <w:rsid w:val="00B9474E"/>
    <w:rsid w:val="00B94945"/>
    <w:rsid w:val="00B94950"/>
    <w:rsid w:val="00B94DC1"/>
    <w:rsid w:val="00B94DD6"/>
    <w:rsid w:val="00B94E51"/>
    <w:rsid w:val="00B95071"/>
    <w:rsid w:val="00B95164"/>
    <w:rsid w:val="00B951A5"/>
    <w:rsid w:val="00B952C1"/>
    <w:rsid w:val="00B953CD"/>
    <w:rsid w:val="00B95C83"/>
    <w:rsid w:val="00B95FD1"/>
    <w:rsid w:val="00B96011"/>
    <w:rsid w:val="00B96198"/>
    <w:rsid w:val="00B96411"/>
    <w:rsid w:val="00B96647"/>
    <w:rsid w:val="00B96A8B"/>
    <w:rsid w:val="00B96ABA"/>
    <w:rsid w:val="00B96E6D"/>
    <w:rsid w:val="00B97000"/>
    <w:rsid w:val="00B970AD"/>
    <w:rsid w:val="00B970F6"/>
    <w:rsid w:val="00B9717D"/>
    <w:rsid w:val="00B9746A"/>
    <w:rsid w:val="00B977F5"/>
    <w:rsid w:val="00B97929"/>
    <w:rsid w:val="00B97AB1"/>
    <w:rsid w:val="00B97E35"/>
    <w:rsid w:val="00BA01D5"/>
    <w:rsid w:val="00BA0258"/>
    <w:rsid w:val="00BA031B"/>
    <w:rsid w:val="00BA044C"/>
    <w:rsid w:val="00BA045B"/>
    <w:rsid w:val="00BA04C5"/>
    <w:rsid w:val="00BA0694"/>
    <w:rsid w:val="00BA0718"/>
    <w:rsid w:val="00BA0A1A"/>
    <w:rsid w:val="00BA0A70"/>
    <w:rsid w:val="00BA0AB4"/>
    <w:rsid w:val="00BA0D1B"/>
    <w:rsid w:val="00BA0ECC"/>
    <w:rsid w:val="00BA1634"/>
    <w:rsid w:val="00BA1C02"/>
    <w:rsid w:val="00BA1E78"/>
    <w:rsid w:val="00BA23BC"/>
    <w:rsid w:val="00BA2595"/>
    <w:rsid w:val="00BA2601"/>
    <w:rsid w:val="00BA286C"/>
    <w:rsid w:val="00BA2962"/>
    <w:rsid w:val="00BA299E"/>
    <w:rsid w:val="00BA2A08"/>
    <w:rsid w:val="00BA2AAF"/>
    <w:rsid w:val="00BA2B36"/>
    <w:rsid w:val="00BA2C01"/>
    <w:rsid w:val="00BA2D9E"/>
    <w:rsid w:val="00BA2EF8"/>
    <w:rsid w:val="00BA30A9"/>
    <w:rsid w:val="00BA30C0"/>
    <w:rsid w:val="00BA322D"/>
    <w:rsid w:val="00BA3943"/>
    <w:rsid w:val="00BA3D6A"/>
    <w:rsid w:val="00BA3D9D"/>
    <w:rsid w:val="00BA3DAF"/>
    <w:rsid w:val="00BA3EEE"/>
    <w:rsid w:val="00BA4405"/>
    <w:rsid w:val="00BA45BA"/>
    <w:rsid w:val="00BA4902"/>
    <w:rsid w:val="00BA4A47"/>
    <w:rsid w:val="00BA4A77"/>
    <w:rsid w:val="00BA4ABC"/>
    <w:rsid w:val="00BA4AFB"/>
    <w:rsid w:val="00BA4E6A"/>
    <w:rsid w:val="00BA560C"/>
    <w:rsid w:val="00BA5831"/>
    <w:rsid w:val="00BA5C43"/>
    <w:rsid w:val="00BA6047"/>
    <w:rsid w:val="00BA634B"/>
    <w:rsid w:val="00BA63FA"/>
    <w:rsid w:val="00BA64B3"/>
    <w:rsid w:val="00BA6921"/>
    <w:rsid w:val="00BA6CAA"/>
    <w:rsid w:val="00BA6D31"/>
    <w:rsid w:val="00BA6D81"/>
    <w:rsid w:val="00BA6E12"/>
    <w:rsid w:val="00BA72B2"/>
    <w:rsid w:val="00BA7380"/>
    <w:rsid w:val="00BA7390"/>
    <w:rsid w:val="00BA73AD"/>
    <w:rsid w:val="00BA74EB"/>
    <w:rsid w:val="00BA774D"/>
    <w:rsid w:val="00BA7B83"/>
    <w:rsid w:val="00BA7BF4"/>
    <w:rsid w:val="00BA7F6B"/>
    <w:rsid w:val="00BB00B3"/>
    <w:rsid w:val="00BB01DD"/>
    <w:rsid w:val="00BB07FA"/>
    <w:rsid w:val="00BB08DD"/>
    <w:rsid w:val="00BB0A22"/>
    <w:rsid w:val="00BB0AF2"/>
    <w:rsid w:val="00BB0BDD"/>
    <w:rsid w:val="00BB0BDF"/>
    <w:rsid w:val="00BB0D57"/>
    <w:rsid w:val="00BB0D8B"/>
    <w:rsid w:val="00BB0FAF"/>
    <w:rsid w:val="00BB1209"/>
    <w:rsid w:val="00BB1359"/>
    <w:rsid w:val="00BB14AE"/>
    <w:rsid w:val="00BB1645"/>
    <w:rsid w:val="00BB176C"/>
    <w:rsid w:val="00BB1FCD"/>
    <w:rsid w:val="00BB2744"/>
    <w:rsid w:val="00BB284E"/>
    <w:rsid w:val="00BB2A37"/>
    <w:rsid w:val="00BB2A73"/>
    <w:rsid w:val="00BB2A7A"/>
    <w:rsid w:val="00BB2D0A"/>
    <w:rsid w:val="00BB2FC7"/>
    <w:rsid w:val="00BB31AA"/>
    <w:rsid w:val="00BB32E3"/>
    <w:rsid w:val="00BB33AE"/>
    <w:rsid w:val="00BB35AA"/>
    <w:rsid w:val="00BB3A45"/>
    <w:rsid w:val="00BB3CD0"/>
    <w:rsid w:val="00BB4091"/>
    <w:rsid w:val="00BB412A"/>
    <w:rsid w:val="00BB4297"/>
    <w:rsid w:val="00BB4540"/>
    <w:rsid w:val="00BB4736"/>
    <w:rsid w:val="00BB4751"/>
    <w:rsid w:val="00BB49DF"/>
    <w:rsid w:val="00BB4ACC"/>
    <w:rsid w:val="00BB4D4F"/>
    <w:rsid w:val="00BB5166"/>
    <w:rsid w:val="00BB533A"/>
    <w:rsid w:val="00BB58A1"/>
    <w:rsid w:val="00BB5BFF"/>
    <w:rsid w:val="00BB5F71"/>
    <w:rsid w:val="00BB600B"/>
    <w:rsid w:val="00BB6227"/>
    <w:rsid w:val="00BB642D"/>
    <w:rsid w:val="00BB67A8"/>
    <w:rsid w:val="00BB6929"/>
    <w:rsid w:val="00BB6AA1"/>
    <w:rsid w:val="00BB6D12"/>
    <w:rsid w:val="00BB6DD2"/>
    <w:rsid w:val="00BB703E"/>
    <w:rsid w:val="00BB70CD"/>
    <w:rsid w:val="00BB719A"/>
    <w:rsid w:val="00BB732D"/>
    <w:rsid w:val="00BB7405"/>
    <w:rsid w:val="00BB7465"/>
    <w:rsid w:val="00BB7BF1"/>
    <w:rsid w:val="00BB7C6C"/>
    <w:rsid w:val="00BB7D96"/>
    <w:rsid w:val="00BB7DDD"/>
    <w:rsid w:val="00BC017D"/>
    <w:rsid w:val="00BC0206"/>
    <w:rsid w:val="00BC07E1"/>
    <w:rsid w:val="00BC0BAC"/>
    <w:rsid w:val="00BC0CB0"/>
    <w:rsid w:val="00BC1104"/>
    <w:rsid w:val="00BC1B83"/>
    <w:rsid w:val="00BC1D74"/>
    <w:rsid w:val="00BC2067"/>
    <w:rsid w:val="00BC2175"/>
    <w:rsid w:val="00BC21E0"/>
    <w:rsid w:val="00BC2313"/>
    <w:rsid w:val="00BC23D1"/>
    <w:rsid w:val="00BC23FC"/>
    <w:rsid w:val="00BC2509"/>
    <w:rsid w:val="00BC2613"/>
    <w:rsid w:val="00BC28D0"/>
    <w:rsid w:val="00BC29A7"/>
    <w:rsid w:val="00BC2CF5"/>
    <w:rsid w:val="00BC2E34"/>
    <w:rsid w:val="00BC3182"/>
    <w:rsid w:val="00BC3381"/>
    <w:rsid w:val="00BC3387"/>
    <w:rsid w:val="00BC34F3"/>
    <w:rsid w:val="00BC3631"/>
    <w:rsid w:val="00BC36DC"/>
    <w:rsid w:val="00BC3A2D"/>
    <w:rsid w:val="00BC3ABE"/>
    <w:rsid w:val="00BC4115"/>
    <w:rsid w:val="00BC44AA"/>
    <w:rsid w:val="00BC453E"/>
    <w:rsid w:val="00BC49F7"/>
    <w:rsid w:val="00BC4A0D"/>
    <w:rsid w:val="00BC4C15"/>
    <w:rsid w:val="00BC4C43"/>
    <w:rsid w:val="00BC4CDA"/>
    <w:rsid w:val="00BC4DA3"/>
    <w:rsid w:val="00BC52D5"/>
    <w:rsid w:val="00BC5545"/>
    <w:rsid w:val="00BC5660"/>
    <w:rsid w:val="00BC588A"/>
    <w:rsid w:val="00BC591F"/>
    <w:rsid w:val="00BC5B32"/>
    <w:rsid w:val="00BC66DA"/>
    <w:rsid w:val="00BC66E7"/>
    <w:rsid w:val="00BC673D"/>
    <w:rsid w:val="00BC6A2D"/>
    <w:rsid w:val="00BC6C70"/>
    <w:rsid w:val="00BC6E76"/>
    <w:rsid w:val="00BC6F73"/>
    <w:rsid w:val="00BC6FC5"/>
    <w:rsid w:val="00BC70EB"/>
    <w:rsid w:val="00BC7182"/>
    <w:rsid w:val="00BC723E"/>
    <w:rsid w:val="00BC7422"/>
    <w:rsid w:val="00BC7440"/>
    <w:rsid w:val="00BC77DB"/>
    <w:rsid w:val="00BC79C8"/>
    <w:rsid w:val="00BC7D6D"/>
    <w:rsid w:val="00BC7D8B"/>
    <w:rsid w:val="00BC7E51"/>
    <w:rsid w:val="00BD0226"/>
    <w:rsid w:val="00BD04FE"/>
    <w:rsid w:val="00BD050C"/>
    <w:rsid w:val="00BD05D6"/>
    <w:rsid w:val="00BD060E"/>
    <w:rsid w:val="00BD061C"/>
    <w:rsid w:val="00BD06BC"/>
    <w:rsid w:val="00BD0AD3"/>
    <w:rsid w:val="00BD0E04"/>
    <w:rsid w:val="00BD0EAF"/>
    <w:rsid w:val="00BD0F3F"/>
    <w:rsid w:val="00BD0F45"/>
    <w:rsid w:val="00BD1236"/>
    <w:rsid w:val="00BD135F"/>
    <w:rsid w:val="00BD1615"/>
    <w:rsid w:val="00BD167D"/>
    <w:rsid w:val="00BD199D"/>
    <w:rsid w:val="00BD1B68"/>
    <w:rsid w:val="00BD1DD3"/>
    <w:rsid w:val="00BD2108"/>
    <w:rsid w:val="00BD2602"/>
    <w:rsid w:val="00BD2964"/>
    <w:rsid w:val="00BD2983"/>
    <w:rsid w:val="00BD29F2"/>
    <w:rsid w:val="00BD2A8D"/>
    <w:rsid w:val="00BD2ABE"/>
    <w:rsid w:val="00BD2DE0"/>
    <w:rsid w:val="00BD32E7"/>
    <w:rsid w:val="00BD35F6"/>
    <w:rsid w:val="00BD3827"/>
    <w:rsid w:val="00BD39C4"/>
    <w:rsid w:val="00BD3B71"/>
    <w:rsid w:val="00BD3C63"/>
    <w:rsid w:val="00BD4107"/>
    <w:rsid w:val="00BD4631"/>
    <w:rsid w:val="00BD49E6"/>
    <w:rsid w:val="00BD4A6E"/>
    <w:rsid w:val="00BD4BF6"/>
    <w:rsid w:val="00BD51E9"/>
    <w:rsid w:val="00BD5274"/>
    <w:rsid w:val="00BD541C"/>
    <w:rsid w:val="00BD5481"/>
    <w:rsid w:val="00BD55E7"/>
    <w:rsid w:val="00BD5FA0"/>
    <w:rsid w:val="00BD6042"/>
    <w:rsid w:val="00BD615F"/>
    <w:rsid w:val="00BD63DC"/>
    <w:rsid w:val="00BD6425"/>
    <w:rsid w:val="00BD6579"/>
    <w:rsid w:val="00BD6664"/>
    <w:rsid w:val="00BD6685"/>
    <w:rsid w:val="00BD67F8"/>
    <w:rsid w:val="00BD685F"/>
    <w:rsid w:val="00BD68A3"/>
    <w:rsid w:val="00BD6938"/>
    <w:rsid w:val="00BD6CF3"/>
    <w:rsid w:val="00BD6D4B"/>
    <w:rsid w:val="00BD6DB0"/>
    <w:rsid w:val="00BD7117"/>
    <w:rsid w:val="00BD77AC"/>
    <w:rsid w:val="00BD795D"/>
    <w:rsid w:val="00BD7C64"/>
    <w:rsid w:val="00BD7C69"/>
    <w:rsid w:val="00BD7DBF"/>
    <w:rsid w:val="00BD7E21"/>
    <w:rsid w:val="00BD7E68"/>
    <w:rsid w:val="00BD7F72"/>
    <w:rsid w:val="00BE02F9"/>
    <w:rsid w:val="00BE049F"/>
    <w:rsid w:val="00BE0626"/>
    <w:rsid w:val="00BE0A19"/>
    <w:rsid w:val="00BE0C0B"/>
    <w:rsid w:val="00BE0ECA"/>
    <w:rsid w:val="00BE0F8C"/>
    <w:rsid w:val="00BE16F9"/>
    <w:rsid w:val="00BE173A"/>
    <w:rsid w:val="00BE17B9"/>
    <w:rsid w:val="00BE1C6F"/>
    <w:rsid w:val="00BE1FB5"/>
    <w:rsid w:val="00BE2180"/>
    <w:rsid w:val="00BE21F2"/>
    <w:rsid w:val="00BE271E"/>
    <w:rsid w:val="00BE2E7A"/>
    <w:rsid w:val="00BE32E4"/>
    <w:rsid w:val="00BE3319"/>
    <w:rsid w:val="00BE341D"/>
    <w:rsid w:val="00BE3557"/>
    <w:rsid w:val="00BE3703"/>
    <w:rsid w:val="00BE3C68"/>
    <w:rsid w:val="00BE3D99"/>
    <w:rsid w:val="00BE3E3F"/>
    <w:rsid w:val="00BE4275"/>
    <w:rsid w:val="00BE431A"/>
    <w:rsid w:val="00BE43C0"/>
    <w:rsid w:val="00BE4AE0"/>
    <w:rsid w:val="00BE4BFD"/>
    <w:rsid w:val="00BE4EF7"/>
    <w:rsid w:val="00BE4F4C"/>
    <w:rsid w:val="00BE5259"/>
    <w:rsid w:val="00BE52DD"/>
    <w:rsid w:val="00BE53E8"/>
    <w:rsid w:val="00BE5422"/>
    <w:rsid w:val="00BE551C"/>
    <w:rsid w:val="00BE556C"/>
    <w:rsid w:val="00BE58DA"/>
    <w:rsid w:val="00BE5992"/>
    <w:rsid w:val="00BE5A15"/>
    <w:rsid w:val="00BE5B52"/>
    <w:rsid w:val="00BE6010"/>
    <w:rsid w:val="00BE609C"/>
    <w:rsid w:val="00BE61AD"/>
    <w:rsid w:val="00BE692B"/>
    <w:rsid w:val="00BE6BC4"/>
    <w:rsid w:val="00BE6BD8"/>
    <w:rsid w:val="00BE709F"/>
    <w:rsid w:val="00BE7549"/>
    <w:rsid w:val="00BE7626"/>
    <w:rsid w:val="00BE76D4"/>
    <w:rsid w:val="00BE78F9"/>
    <w:rsid w:val="00BE7A7B"/>
    <w:rsid w:val="00BE7D15"/>
    <w:rsid w:val="00BE7E62"/>
    <w:rsid w:val="00BF0146"/>
    <w:rsid w:val="00BF04AF"/>
    <w:rsid w:val="00BF05F4"/>
    <w:rsid w:val="00BF06A0"/>
    <w:rsid w:val="00BF06AE"/>
    <w:rsid w:val="00BF0951"/>
    <w:rsid w:val="00BF0A17"/>
    <w:rsid w:val="00BF0F95"/>
    <w:rsid w:val="00BF18CA"/>
    <w:rsid w:val="00BF19D1"/>
    <w:rsid w:val="00BF1A67"/>
    <w:rsid w:val="00BF1AD0"/>
    <w:rsid w:val="00BF1E4B"/>
    <w:rsid w:val="00BF20AC"/>
    <w:rsid w:val="00BF2342"/>
    <w:rsid w:val="00BF2433"/>
    <w:rsid w:val="00BF284F"/>
    <w:rsid w:val="00BF28F5"/>
    <w:rsid w:val="00BF29EF"/>
    <w:rsid w:val="00BF2A82"/>
    <w:rsid w:val="00BF2E6E"/>
    <w:rsid w:val="00BF322E"/>
    <w:rsid w:val="00BF332D"/>
    <w:rsid w:val="00BF3543"/>
    <w:rsid w:val="00BF39B1"/>
    <w:rsid w:val="00BF3F15"/>
    <w:rsid w:val="00BF3F46"/>
    <w:rsid w:val="00BF3F95"/>
    <w:rsid w:val="00BF404D"/>
    <w:rsid w:val="00BF4388"/>
    <w:rsid w:val="00BF4AC0"/>
    <w:rsid w:val="00BF4E2C"/>
    <w:rsid w:val="00BF5228"/>
    <w:rsid w:val="00BF531B"/>
    <w:rsid w:val="00BF535B"/>
    <w:rsid w:val="00BF5B5A"/>
    <w:rsid w:val="00BF5B95"/>
    <w:rsid w:val="00BF5F22"/>
    <w:rsid w:val="00BF5FA0"/>
    <w:rsid w:val="00BF609B"/>
    <w:rsid w:val="00BF61C9"/>
    <w:rsid w:val="00BF634C"/>
    <w:rsid w:val="00BF6587"/>
    <w:rsid w:val="00BF678F"/>
    <w:rsid w:val="00BF6795"/>
    <w:rsid w:val="00BF6C94"/>
    <w:rsid w:val="00BF6FAD"/>
    <w:rsid w:val="00BF7139"/>
    <w:rsid w:val="00BF72B7"/>
    <w:rsid w:val="00BF72B9"/>
    <w:rsid w:val="00BF7898"/>
    <w:rsid w:val="00BF7E96"/>
    <w:rsid w:val="00BF7FAE"/>
    <w:rsid w:val="00C00424"/>
    <w:rsid w:val="00C00705"/>
    <w:rsid w:val="00C007BD"/>
    <w:rsid w:val="00C007CF"/>
    <w:rsid w:val="00C007FC"/>
    <w:rsid w:val="00C00979"/>
    <w:rsid w:val="00C009D7"/>
    <w:rsid w:val="00C00A3B"/>
    <w:rsid w:val="00C00AE0"/>
    <w:rsid w:val="00C00B5D"/>
    <w:rsid w:val="00C00BB0"/>
    <w:rsid w:val="00C00BF2"/>
    <w:rsid w:val="00C00EB7"/>
    <w:rsid w:val="00C0115E"/>
    <w:rsid w:val="00C01170"/>
    <w:rsid w:val="00C013B1"/>
    <w:rsid w:val="00C018EB"/>
    <w:rsid w:val="00C01CA6"/>
    <w:rsid w:val="00C02B35"/>
    <w:rsid w:val="00C02BE2"/>
    <w:rsid w:val="00C02F25"/>
    <w:rsid w:val="00C02F88"/>
    <w:rsid w:val="00C03650"/>
    <w:rsid w:val="00C03789"/>
    <w:rsid w:val="00C0387E"/>
    <w:rsid w:val="00C038DA"/>
    <w:rsid w:val="00C03C79"/>
    <w:rsid w:val="00C04313"/>
    <w:rsid w:val="00C04476"/>
    <w:rsid w:val="00C0468C"/>
    <w:rsid w:val="00C0483C"/>
    <w:rsid w:val="00C048A7"/>
    <w:rsid w:val="00C04ADD"/>
    <w:rsid w:val="00C04B61"/>
    <w:rsid w:val="00C04BC1"/>
    <w:rsid w:val="00C04BC3"/>
    <w:rsid w:val="00C04F79"/>
    <w:rsid w:val="00C04FD9"/>
    <w:rsid w:val="00C05066"/>
    <w:rsid w:val="00C050CD"/>
    <w:rsid w:val="00C050E7"/>
    <w:rsid w:val="00C05118"/>
    <w:rsid w:val="00C052F7"/>
    <w:rsid w:val="00C05430"/>
    <w:rsid w:val="00C0566D"/>
    <w:rsid w:val="00C0570F"/>
    <w:rsid w:val="00C057E9"/>
    <w:rsid w:val="00C05975"/>
    <w:rsid w:val="00C05AEE"/>
    <w:rsid w:val="00C05C9F"/>
    <w:rsid w:val="00C05EB3"/>
    <w:rsid w:val="00C06076"/>
    <w:rsid w:val="00C065E1"/>
    <w:rsid w:val="00C06A49"/>
    <w:rsid w:val="00C06CD3"/>
    <w:rsid w:val="00C070E5"/>
    <w:rsid w:val="00C0751F"/>
    <w:rsid w:val="00C07670"/>
    <w:rsid w:val="00C07748"/>
    <w:rsid w:val="00C0787E"/>
    <w:rsid w:val="00C100F4"/>
    <w:rsid w:val="00C10485"/>
    <w:rsid w:val="00C1083F"/>
    <w:rsid w:val="00C109CC"/>
    <w:rsid w:val="00C10B29"/>
    <w:rsid w:val="00C10BA3"/>
    <w:rsid w:val="00C10D87"/>
    <w:rsid w:val="00C112AE"/>
    <w:rsid w:val="00C114C3"/>
    <w:rsid w:val="00C1179F"/>
    <w:rsid w:val="00C118E5"/>
    <w:rsid w:val="00C11A2A"/>
    <w:rsid w:val="00C11CE5"/>
    <w:rsid w:val="00C11E4A"/>
    <w:rsid w:val="00C11ED4"/>
    <w:rsid w:val="00C11F28"/>
    <w:rsid w:val="00C11F67"/>
    <w:rsid w:val="00C120D0"/>
    <w:rsid w:val="00C120DC"/>
    <w:rsid w:val="00C12687"/>
    <w:rsid w:val="00C127B9"/>
    <w:rsid w:val="00C128FA"/>
    <w:rsid w:val="00C12AF1"/>
    <w:rsid w:val="00C12BC6"/>
    <w:rsid w:val="00C12C14"/>
    <w:rsid w:val="00C12C7B"/>
    <w:rsid w:val="00C12F49"/>
    <w:rsid w:val="00C13045"/>
    <w:rsid w:val="00C131A1"/>
    <w:rsid w:val="00C13729"/>
    <w:rsid w:val="00C13C83"/>
    <w:rsid w:val="00C13E38"/>
    <w:rsid w:val="00C141EF"/>
    <w:rsid w:val="00C14248"/>
    <w:rsid w:val="00C149FC"/>
    <w:rsid w:val="00C14D4C"/>
    <w:rsid w:val="00C14DBD"/>
    <w:rsid w:val="00C14F6A"/>
    <w:rsid w:val="00C14FF8"/>
    <w:rsid w:val="00C15AF3"/>
    <w:rsid w:val="00C15F04"/>
    <w:rsid w:val="00C15FB8"/>
    <w:rsid w:val="00C15FC6"/>
    <w:rsid w:val="00C15FCF"/>
    <w:rsid w:val="00C16225"/>
    <w:rsid w:val="00C1630B"/>
    <w:rsid w:val="00C165F5"/>
    <w:rsid w:val="00C167D8"/>
    <w:rsid w:val="00C1682D"/>
    <w:rsid w:val="00C16933"/>
    <w:rsid w:val="00C16CCA"/>
    <w:rsid w:val="00C16DD2"/>
    <w:rsid w:val="00C16DE5"/>
    <w:rsid w:val="00C16E94"/>
    <w:rsid w:val="00C176D5"/>
    <w:rsid w:val="00C1771F"/>
    <w:rsid w:val="00C17808"/>
    <w:rsid w:val="00C179B3"/>
    <w:rsid w:val="00C17E3F"/>
    <w:rsid w:val="00C17FE0"/>
    <w:rsid w:val="00C2006C"/>
    <w:rsid w:val="00C200AA"/>
    <w:rsid w:val="00C201B0"/>
    <w:rsid w:val="00C2032E"/>
    <w:rsid w:val="00C204D6"/>
    <w:rsid w:val="00C2073A"/>
    <w:rsid w:val="00C207B9"/>
    <w:rsid w:val="00C20A59"/>
    <w:rsid w:val="00C20AA3"/>
    <w:rsid w:val="00C20AB0"/>
    <w:rsid w:val="00C20ABA"/>
    <w:rsid w:val="00C20BBC"/>
    <w:rsid w:val="00C20E66"/>
    <w:rsid w:val="00C21118"/>
    <w:rsid w:val="00C21248"/>
    <w:rsid w:val="00C2179A"/>
    <w:rsid w:val="00C21D66"/>
    <w:rsid w:val="00C21D81"/>
    <w:rsid w:val="00C21EC8"/>
    <w:rsid w:val="00C21F0B"/>
    <w:rsid w:val="00C22C56"/>
    <w:rsid w:val="00C22C7C"/>
    <w:rsid w:val="00C231EC"/>
    <w:rsid w:val="00C237ED"/>
    <w:rsid w:val="00C23895"/>
    <w:rsid w:val="00C23F76"/>
    <w:rsid w:val="00C24157"/>
    <w:rsid w:val="00C24632"/>
    <w:rsid w:val="00C246F7"/>
    <w:rsid w:val="00C248FE"/>
    <w:rsid w:val="00C24A50"/>
    <w:rsid w:val="00C24E6B"/>
    <w:rsid w:val="00C25043"/>
    <w:rsid w:val="00C251E4"/>
    <w:rsid w:val="00C25418"/>
    <w:rsid w:val="00C2556C"/>
    <w:rsid w:val="00C25581"/>
    <w:rsid w:val="00C255D3"/>
    <w:rsid w:val="00C25A24"/>
    <w:rsid w:val="00C25B30"/>
    <w:rsid w:val="00C25C89"/>
    <w:rsid w:val="00C25CE3"/>
    <w:rsid w:val="00C25D9C"/>
    <w:rsid w:val="00C26102"/>
    <w:rsid w:val="00C2653B"/>
    <w:rsid w:val="00C26569"/>
    <w:rsid w:val="00C26695"/>
    <w:rsid w:val="00C268A6"/>
    <w:rsid w:val="00C2690A"/>
    <w:rsid w:val="00C26BD5"/>
    <w:rsid w:val="00C26D9B"/>
    <w:rsid w:val="00C27017"/>
    <w:rsid w:val="00C2727D"/>
    <w:rsid w:val="00C272FE"/>
    <w:rsid w:val="00C27452"/>
    <w:rsid w:val="00C2778B"/>
    <w:rsid w:val="00C279CB"/>
    <w:rsid w:val="00C27B92"/>
    <w:rsid w:val="00C27DAC"/>
    <w:rsid w:val="00C27F7E"/>
    <w:rsid w:val="00C3013B"/>
    <w:rsid w:val="00C30423"/>
    <w:rsid w:val="00C304DA"/>
    <w:rsid w:val="00C30721"/>
    <w:rsid w:val="00C30863"/>
    <w:rsid w:val="00C3093F"/>
    <w:rsid w:val="00C30A4F"/>
    <w:rsid w:val="00C30ABB"/>
    <w:rsid w:val="00C30CFA"/>
    <w:rsid w:val="00C30E84"/>
    <w:rsid w:val="00C30F01"/>
    <w:rsid w:val="00C30F89"/>
    <w:rsid w:val="00C31366"/>
    <w:rsid w:val="00C31649"/>
    <w:rsid w:val="00C3164F"/>
    <w:rsid w:val="00C31947"/>
    <w:rsid w:val="00C323A7"/>
    <w:rsid w:val="00C3240C"/>
    <w:rsid w:val="00C327C7"/>
    <w:rsid w:val="00C328B1"/>
    <w:rsid w:val="00C32CB1"/>
    <w:rsid w:val="00C32D64"/>
    <w:rsid w:val="00C32E94"/>
    <w:rsid w:val="00C330C4"/>
    <w:rsid w:val="00C330DD"/>
    <w:rsid w:val="00C33124"/>
    <w:rsid w:val="00C336F0"/>
    <w:rsid w:val="00C3393B"/>
    <w:rsid w:val="00C33BC2"/>
    <w:rsid w:val="00C33C6F"/>
    <w:rsid w:val="00C33D86"/>
    <w:rsid w:val="00C33DA2"/>
    <w:rsid w:val="00C33E54"/>
    <w:rsid w:val="00C34169"/>
    <w:rsid w:val="00C3419C"/>
    <w:rsid w:val="00C3434C"/>
    <w:rsid w:val="00C3453E"/>
    <w:rsid w:val="00C3457F"/>
    <w:rsid w:val="00C34645"/>
    <w:rsid w:val="00C34D60"/>
    <w:rsid w:val="00C34D73"/>
    <w:rsid w:val="00C34D94"/>
    <w:rsid w:val="00C34E28"/>
    <w:rsid w:val="00C351F0"/>
    <w:rsid w:val="00C355DD"/>
    <w:rsid w:val="00C35725"/>
    <w:rsid w:val="00C35ADE"/>
    <w:rsid w:val="00C35B29"/>
    <w:rsid w:val="00C35D6D"/>
    <w:rsid w:val="00C35E1C"/>
    <w:rsid w:val="00C35EAF"/>
    <w:rsid w:val="00C36020"/>
    <w:rsid w:val="00C36410"/>
    <w:rsid w:val="00C36575"/>
    <w:rsid w:val="00C367A1"/>
    <w:rsid w:val="00C36B08"/>
    <w:rsid w:val="00C36B6E"/>
    <w:rsid w:val="00C36CF0"/>
    <w:rsid w:val="00C36F12"/>
    <w:rsid w:val="00C36FB6"/>
    <w:rsid w:val="00C37992"/>
    <w:rsid w:val="00C37A7E"/>
    <w:rsid w:val="00C37E51"/>
    <w:rsid w:val="00C400DA"/>
    <w:rsid w:val="00C40385"/>
    <w:rsid w:val="00C40C5E"/>
    <w:rsid w:val="00C40D2F"/>
    <w:rsid w:val="00C40FF4"/>
    <w:rsid w:val="00C4125D"/>
    <w:rsid w:val="00C4152F"/>
    <w:rsid w:val="00C41768"/>
    <w:rsid w:val="00C41889"/>
    <w:rsid w:val="00C419B7"/>
    <w:rsid w:val="00C41B17"/>
    <w:rsid w:val="00C41B9B"/>
    <w:rsid w:val="00C41C66"/>
    <w:rsid w:val="00C41CCD"/>
    <w:rsid w:val="00C41F0C"/>
    <w:rsid w:val="00C42069"/>
    <w:rsid w:val="00C42281"/>
    <w:rsid w:val="00C423EE"/>
    <w:rsid w:val="00C426D8"/>
    <w:rsid w:val="00C42B19"/>
    <w:rsid w:val="00C42C26"/>
    <w:rsid w:val="00C42C7C"/>
    <w:rsid w:val="00C42DC8"/>
    <w:rsid w:val="00C430DB"/>
    <w:rsid w:val="00C43176"/>
    <w:rsid w:val="00C43179"/>
    <w:rsid w:val="00C4333E"/>
    <w:rsid w:val="00C437E0"/>
    <w:rsid w:val="00C43841"/>
    <w:rsid w:val="00C43B08"/>
    <w:rsid w:val="00C44157"/>
    <w:rsid w:val="00C44458"/>
    <w:rsid w:val="00C444CE"/>
    <w:rsid w:val="00C4451B"/>
    <w:rsid w:val="00C44542"/>
    <w:rsid w:val="00C448A3"/>
    <w:rsid w:val="00C449D7"/>
    <w:rsid w:val="00C44BA2"/>
    <w:rsid w:val="00C44CBD"/>
    <w:rsid w:val="00C44DEA"/>
    <w:rsid w:val="00C45086"/>
    <w:rsid w:val="00C45160"/>
    <w:rsid w:val="00C4516E"/>
    <w:rsid w:val="00C4527B"/>
    <w:rsid w:val="00C45661"/>
    <w:rsid w:val="00C458FE"/>
    <w:rsid w:val="00C45AB6"/>
    <w:rsid w:val="00C45B35"/>
    <w:rsid w:val="00C45D8C"/>
    <w:rsid w:val="00C4618E"/>
    <w:rsid w:val="00C47069"/>
    <w:rsid w:val="00C471F3"/>
    <w:rsid w:val="00C471F4"/>
    <w:rsid w:val="00C47591"/>
    <w:rsid w:val="00C475AA"/>
    <w:rsid w:val="00C47764"/>
    <w:rsid w:val="00C4776D"/>
    <w:rsid w:val="00C4782B"/>
    <w:rsid w:val="00C478F5"/>
    <w:rsid w:val="00C47C1C"/>
    <w:rsid w:val="00C47CA7"/>
    <w:rsid w:val="00C50695"/>
    <w:rsid w:val="00C50971"/>
    <w:rsid w:val="00C50C52"/>
    <w:rsid w:val="00C50D97"/>
    <w:rsid w:val="00C50E11"/>
    <w:rsid w:val="00C5103E"/>
    <w:rsid w:val="00C5106F"/>
    <w:rsid w:val="00C513E9"/>
    <w:rsid w:val="00C51719"/>
    <w:rsid w:val="00C51786"/>
    <w:rsid w:val="00C51799"/>
    <w:rsid w:val="00C51994"/>
    <w:rsid w:val="00C51AF0"/>
    <w:rsid w:val="00C51C0B"/>
    <w:rsid w:val="00C51E57"/>
    <w:rsid w:val="00C5204F"/>
    <w:rsid w:val="00C521DD"/>
    <w:rsid w:val="00C5221E"/>
    <w:rsid w:val="00C524A9"/>
    <w:rsid w:val="00C526E6"/>
    <w:rsid w:val="00C527C7"/>
    <w:rsid w:val="00C52C56"/>
    <w:rsid w:val="00C5341B"/>
    <w:rsid w:val="00C5387F"/>
    <w:rsid w:val="00C53A92"/>
    <w:rsid w:val="00C53C98"/>
    <w:rsid w:val="00C53EC3"/>
    <w:rsid w:val="00C53F46"/>
    <w:rsid w:val="00C53FD4"/>
    <w:rsid w:val="00C5416C"/>
    <w:rsid w:val="00C54377"/>
    <w:rsid w:val="00C548CF"/>
    <w:rsid w:val="00C549C0"/>
    <w:rsid w:val="00C54C42"/>
    <w:rsid w:val="00C54F2A"/>
    <w:rsid w:val="00C559F3"/>
    <w:rsid w:val="00C55E2F"/>
    <w:rsid w:val="00C55E7C"/>
    <w:rsid w:val="00C55FFF"/>
    <w:rsid w:val="00C561F8"/>
    <w:rsid w:val="00C5622F"/>
    <w:rsid w:val="00C56294"/>
    <w:rsid w:val="00C5651A"/>
    <w:rsid w:val="00C5654C"/>
    <w:rsid w:val="00C56620"/>
    <w:rsid w:val="00C56771"/>
    <w:rsid w:val="00C56855"/>
    <w:rsid w:val="00C56A09"/>
    <w:rsid w:val="00C56A8B"/>
    <w:rsid w:val="00C56AD3"/>
    <w:rsid w:val="00C56DBD"/>
    <w:rsid w:val="00C56E00"/>
    <w:rsid w:val="00C56FCF"/>
    <w:rsid w:val="00C57086"/>
    <w:rsid w:val="00C572F6"/>
    <w:rsid w:val="00C5747F"/>
    <w:rsid w:val="00C57497"/>
    <w:rsid w:val="00C574CD"/>
    <w:rsid w:val="00C57503"/>
    <w:rsid w:val="00C5751E"/>
    <w:rsid w:val="00C5763B"/>
    <w:rsid w:val="00C577DD"/>
    <w:rsid w:val="00C5780E"/>
    <w:rsid w:val="00C578B4"/>
    <w:rsid w:val="00C57987"/>
    <w:rsid w:val="00C57B6C"/>
    <w:rsid w:val="00C57D18"/>
    <w:rsid w:val="00C57ED3"/>
    <w:rsid w:val="00C60087"/>
    <w:rsid w:val="00C60113"/>
    <w:rsid w:val="00C6027B"/>
    <w:rsid w:val="00C60303"/>
    <w:rsid w:val="00C60619"/>
    <w:rsid w:val="00C60699"/>
    <w:rsid w:val="00C607CD"/>
    <w:rsid w:val="00C60C83"/>
    <w:rsid w:val="00C60C8B"/>
    <w:rsid w:val="00C6104B"/>
    <w:rsid w:val="00C6107D"/>
    <w:rsid w:val="00C61348"/>
    <w:rsid w:val="00C61466"/>
    <w:rsid w:val="00C61555"/>
    <w:rsid w:val="00C6168D"/>
    <w:rsid w:val="00C61A39"/>
    <w:rsid w:val="00C61A52"/>
    <w:rsid w:val="00C61A59"/>
    <w:rsid w:val="00C61C34"/>
    <w:rsid w:val="00C61D5B"/>
    <w:rsid w:val="00C6202D"/>
    <w:rsid w:val="00C62193"/>
    <w:rsid w:val="00C623BC"/>
    <w:rsid w:val="00C62404"/>
    <w:rsid w:val="00C625FF"/>
    <w:rsid w:val="00C628A6"/>
    <w:rsid w:val="00C628F5"/>
    <w:rsid w:val="00C62AF3"/>
    <w:rsid w:val="00C63211"/>
    <w:rsid w:val="00C63428"/>
    <w:rsid w:val="00C635F7"/>
    <w:rsid w:val="00C63878"/>
    <w:rsid w:val="00C63F2D"/>
    <w:rsid w:val="00C64010"/>
    <w:rsid w:val="00C64051"/>
    <w:rsid w:val="00C64344"/>
    <w:rsid w:val="00C64362"/>
    <w:rsid w:val="00C6463F"/>
    <w:rsid w:val="00C6469E"/>
    <w:rsid w:val="00C647FF"/>
    <w:rsid w:val="00C64803"/>
    <w:rsid w:val="00C648A1"/>
    <w:rsid w:val="00C64913"/>
    <w:rsid w:val="00C64A8F"/>
    <w:rsid w:val="00C64B0D"/>
    <w:rsid w:val="00C64BE9"/>
    <w:rsid w:val="00C64CE4"/>
    <w:rsid w:val="00C65108"/>
    <w:rsid w:val="00C65576"/>
    <w:rsid w:val="00C65684"/>
    <w:rsid w:val="00C65712"/>
    <w:rsid w:val="00C65B5D"/>
    <w:rsid w:val="00C66165"/>
    <w:rsid w:val="00C664D6"/>
    <w:rsid w:val="00C66660"/>
    <w:rsid w:val="00C666F1"/>
    <w:rsid w:val="00C669D0"/>
    <w:rsid w:val="00C66BD9"/>
    <w:rsid w:val="00C66C85"/>
    <w:rsid w:val="00C66D87"/>
    <w:rsid w:val="00C672D5"/>
    <w:rsid w:val="00C6739E"/>
    <w:rsid w:val="00C673AF"/>
    <w:rsid w:val="00C6746C"/>
    <w:rsid w:val="00C675F8"/>
    <w:rsid w:val="00C67838"/>
    <w:rsid w:val="00C67E32"/>
    <w:rsid w:val="00C7042C"/>
    <w:rsid w:val="00C7045F"/>
    <w:rsid w:val="00C705F0"/>
    <w:rsid w:val="00C7060A"/>
    <w:rsid w:val="00C70849"/>
    <w:rsid w:val="00C70A03"/>
    <w:rsid w:val="00C70C24"/>
    <w:rsid w:val="00C70E76"/>
    <w:rsid w:val="00C711FF"/>
    <w:rsid w:val="00C71262"/>
    <w:rsid w:val="00C712D0"/>
    <w:rsid w:val="00C7151A"/>
    <w:rsid w:val="00C717E3"/>
    <w:rsid w:val="00C71992"/>
    <w:rsid w:val="00C71A96"/>
    <w:rsid w:val="00C71F18"/>
    <w:rsid w:val="00C71F60"/>
    <w:rsid w:val="00C7202E"/>
    <w:rsid w:val="00C72106"/>
    <w:rsid w:val="00C7210C"/>
    <w:rsid w:val="00C7219E"/>
    <w:rsid w:val="00C72241"/>
    <w:rsid w:val="00C72273"/>
    <w:rsid w:val="00C723D4"/>
    <w:rsid w:val="00C72E8C"/>
    <w:rsid w:val="00C733EE"/>
    <w:rsid w:val="00C734B9"/>
    <w:rsid w:val="00C7370B"/>
    <w:rsid w:val="00C7373F"/>
    <w:rsid w:val="00C737B1"/>
    <w:rsid w:val="00C737C0"/>
    <w:rsid w:val="00C7382D"/>
    <w:rsid w:val="00C738D7"/>
    <w:rsid w:val="00C73C35"/>
    <w:rsid w:val="00C73C46"/>
    <w:rsid w:val="00C73D69"/>
    <w:rsid w:val="00C74215"/>
    <w:rsid w:val="00C743BC"/>
    <w:rsid w:val="00C746F2"/>
    <w:rsid w:val="00C7482F"/>
    <w:rsid w:val="00C74CFE"/>
    <w:rsid w:val="00C74E00"/>
    <w:rsid w:val="00C74E14"/>
    <w:rsid w:val="00C74FC0"/>
    <w:rsid w:val="00C750C8"/>
    <w:rsid w:val="00C75345"/>
    <w:rsid w:val="00C7556F"/>
    <w:rsid w:val="00C7560F"/>
    <w:rsid w:val="00C759A7"/>
    <w:rsid w:val="00C75A84"/>
    <w:rsid w:val="00C75C72"/>
    <w:rsid w:val="00C75EE1"/>
    <w:rsid w:val="00C761B7"/>
    <w:rsid w:val="00C76355"/>
    <w:rsid w:val="00C763A4"/>
    <w:rsid w:val="00C7676D"/>
    <w:rsid w:val="00C76984"/>
    <w:rsid w:val="00C76C2E"/>
    <w:rsid w:val="00C774B1"/>
    <w:rsid w:val="00C775E9"/>
    <w:rsid w:val="00C77775"/>
    <w:rsid w:val="00C77A7F"/>
    <w:rsid w:val="00C77B27"/>
    <w:rsid w:val="00C77D42"/>
    <w:rsid w:val="00C80422"/>
    <w:rsid w:val="00C807C5"/>
    <w:rsid w:val="00C80952"/>
    <w:rsid w:val="00C809A7"/>
    <w:rsid w:val="00C80A0E"/>
    <w:rsid w:val="00C80AF8"/>
    <w:rsid w:val="00C80B85"/>
    <w:rsid w:val="00C80EF7"/>
    <w:rsid w:val="00C81075"/>
    <w:rsid w:val="00C810CC"/>
    <w:rsid w:val="00C8122C"/>
    <w:rsid w:val="00C8166D"/>
    <w:rsid w:val="00C81696"/>
    <w:rsid w:val="00C8186A"/>
    <w:rsid w:val="00C81963"/>
    <w:rsid w:val="00C81B79"/>
    <w:rsid w:val="00C81C2A"/>
    <w:rsid w:val="00C81C8D"/>
    <w:rsid w:val="00C8213F"/>
    <w:rsid w:val="00C8241D"/>
    <w:rsid w:val="00C8250A"/>
    <w:rsid w:val="00C8264F"/>
    <w:rsid w:val="00C82B21"/>
    <w:rsid w:val="00C82E26"/>
    <w:rsid w:val="00C82EDB"/>
    <w:rsid w:val="00C8303F"/>
    <w:rsid w:val="00C8339D"/>
    <w:rsid w:val="00C8360C"/>
    <w:rsid w:val="00C84603"/>
    <w:rsid w:val="00C84D0B"/>
    <w:rsid w:val="00C84D6B"/>
    <w:rsid w:val="00C85154"/>
    <w:rsid w:val="00C85452"/>
    <w:rsid w:val="00C85A21"/>
    <w:rsid w:val="00C85A24"/>
    <w:rsid w:val="00C85A70"/>
    <w:rsid w:val="00C86046"/>
    <w:rsid w:val="00C86391"/>
    <w:rsid w:val="00C86447"/>
    <w:rsid w:val="00C86530"/>
    <w:rsid w:val="00C8658B"/>
    <w:rsid w:val="00C865A8"/>
    <w:rsid w:val="00C865A9"/>
    <w:rsid w:val="00C867A0"/>
    <w:rsid w:val="00C8688F"/>
    <w:rsid w:val="00C86897"/>
    <w:rsid w:val="00C868CF"/>
    <w:rsid w:val="00C86967"/>
    <w:rsid w:val="00C86B23"/>
    <w:rsid w:val="00C86BBB"/>
    <w:rsid w:val="00C86E19"/>
    <w:rsid w:val="00C86F15"/>
    <w:rsid w:val="00C87179"/>
    <w:rsid w:val="00C87296"/>
    <w:rsid w:val="00C872C8"/>
    <w:rsid w:val="00C8757D"/>
    <w:rsid w:val="00C875E3"/>
    <w:rsid w:val="00C8763C"/>
    <w:rsid w:val="00C8777A"/>
    <w:rsid w:val="00C8797A"/>
    <w:rsid w:val="00C87CAB"/>
    <w:rsid w:val="00C87D89"/>
    <w:rsid w:val="00C900B8"/>
    <w:rsid w:val="00C90197"/>
    <w:rsid w:val="00C90717"/>
    <w:rsid w:val="00C90755"/>
    <w:rsid w:val="00C90836"/>
    <w:rsid w:val="00C90943"/>
    <w:rsid w:val="00C90ACE"/>
    <w:rsid w:val="00C90C71"/>
    <w:rsid w:val="00C90CD3"/>
    <w:rsid w:val="00C90D1E"/>
    <w:rsid w:val="00C90D24"/>
    <w:rsid w:val="00C9146F"/>
    <w:rsid w:val="00C91492"/>
    <w:rsid w:val="00C9158E"/>
    <w:rsid w:val="00C917CC"/>
    <w:rsid w:val="00C91A06"/>
    <w:rsid w:val="00C91F42"/>
    <w:rsid w:val="00C91FD1"/>
    <w:rsid w:val="00C920B9"/>
    <w:rsid w:val="00C9216F"/>
    <w:rsid w:val="00C9232D"/>
    <w:rsid w:val="00C9279E"/>
    <w:rsid w:val="00C92813"/>
    <w:rsid w:val="00C92C5B"/>
    <w:rsid w:val="00C92C95"/>
    <w:rsid w:val="00C92DE3"/>
    <w:rsid w:val="00C931CF"/>
    <w:rsid w:val="00C931DA"/>
    <w:rsid w:val="00C9333F"/>
    <w:rsid w:val="00C93348"/>
    <w:rsid w:val="00C93457"/>
    <w:rsid w:val="00C935A7"/>
    <w:rsid w:val="00C935D9"/>
    <w:rsid w:val="00C938CF"/>
    <w:rsid w:val="00C93901"/>
    <w:rsid w:val="00C93932"/>
    <w:rsid w:val="00C93D4C"/>
    <w:rsid w:val="00C94053"/>
    <w:rsid w:val="00C9429B"/>
    <w:rsid w:val="00C944BC"/>
    <w:rsid w:val="00C946A5"/>
    <w:rsid w:val="00C949EA"/>
    <w:rsid w:val="00C94B5A"/>
    <w:rsid w:val="00C94C23"/>
    <w:rsid w:val="00C94D32"/>
    <w:rsid w:val="00C94D84"/>
    <w:rsid w:val="00C94EB1"/>
    <w:rsid w:val="00C94FE6"/>
    <w:rsid w:val="00C95165"/>
    <w:rsid w:val="00C95450"/>
    <w:rsid w:val="00C9563B"/>
    <w:rsid w:val="00C9566C"/>
    <w:rsid w:val="00C956EB"/>
    <w:rsid w:val="00C9576A"/>
    <w:rsid w:val="00C95CFC"/>
    <w:rsid w:val="00C95F62"/>
    <w:rsid w:val="00C96076"/>
    <w:rsid w:val="00C9624D"/>
    <w:rsid w:val="00C96495"/>
    <w:rsid w:val="00C966E7"/>
    <w:rsid w:val="00C967C3"/>
    <w:rsid w:val="00C968F5"/>
    <w:rsid w:val="00C969DA"/>
    <w:rsid w:val="00C96B38"/>
    <w:rsid w:val="00C96C49"/>
    <w:rsid w:val="00C96CB8"/>
    <w:rsid w:val="00C96DF3"/>
    <w:rsid w:val="00C97408"/>
    <w:rsid w:val="00C9756D"/>
    <w:rsid w:val="00C976F0"/>
    <w:rsid w:val="00C97ABF"/>
    <w:rsid w:val="00C97C9F"/>
    <w:rsid w:val="00CA00E3"/>
    <w:rsid w:val="00CA0725"/>
    <w:rsid w:val="00CA0B6C"/>
    <w:rsid w:val="00CA0E2B"/>
    <w:rsid w:val="00CA0FD2"/>
    <w:rsid w:val="00CA1062"/>
    <w:rsid w:val="00CA1234"/>
    <w:rsid w:val="00CA12D8"/>
    <w:rsid w:val="00CA1308"/>
    <w:rsid w:val="00CA1578"/>
    <w:rsid w:val="00CA185E"/>
    <w:rsid w:val="00CA1870"/>
    <w:rsid w:val="00CA1B32"/>
    <w:rsid w:val="00CA1D98"/>
    <w:rsid w:val="00CA20A8"/>
    <w:rsid w:val="00CA22F4"/>
    <w:rsid w:val="00CA248D"/>
    <w:rsid w:val="00CA2530"/>
    <w:rsid w:val="00CA2799"/>
    <w:rsid w:val="00CA29FE"/>
    <w:rsid w:val="00CA2B8D"/>
    <w:rsid w:val="00CA2C77"/>
    <w:rsid w:val="00CA2DEA"/>
    <w:rsid w:val="00CA2E7F"/>
    <w:rsid w:val="00CA3142"/>
    <w:rsid w:val="00CA34A1"/>
    <w:rsid w:val="00CA3966"/>
    <w:rsid w:val="00CA3A6E"/>
    <w:rsid w:val="00CA3A9E"/>
    <w:rsid w:val="00CA3BA7"/>
    <w:rsid w:val="00CA3D80"/>
    <w:rsid w:val="00CA43AB"/>
    <w:rsid w:val="00CA444F"/>
    <w:rsid w:val="00CA4861"/>
    <w:rsid w:val="00CA488C"/>
    <w:rsid w:val="00CA491D"/>
    <w:rsid w:val="00CA494E"/>
    <w:rsid w:val="00CA4976"/>
    <w:rsid w:val="00CA49FA"/>
    <w:rsid w:val="00CA5245"/>
    <w:rsid w:val="00CA5591"/>
    <w:rsid w:val="00CA58CC"/>
    <w:rsid w:val="00CA5B10"/>
    <w:rsid w:val="00CA5B2B"/>
    <w:rsid w:val="00CA5B5F"/>
    <w:rsid w:val="00CA5C9E"/>
    <w:rsid w:val="00CA5F4F"/>
    <w:rsid w:val="00CA614C"/>
    <w:rsid w:val="00CA6203"/>
    <w:rsid w:val="00CA6592"/>
    <w:rsid w:val="00CA65A8"/>
    <w:rsid w:val="00CA6913"/>
    <w:rsid w:val="00CA69EE"/>
    <w:rsid w:val="00CA6CCB"/>
    <w:rsid w:val="00CA6F06"/>
    <w:rsid w:val="00CA715C"/>
    <w:rsid w:val="00CA7166"/>
    <w:rsid w:val="00CA71F4"/>
    <w:rsid w:val="00CA7217"/>
    <w:rsid w:val="00CA725C"/>
    <w:rsid w:val="00CA79F8"/>
    <w:rsid w:val="00CA7B09"/>
    <w:rsid w:val="00CA7BA2"/>
    <w:rsid w:val="00CA7E47"/>
    <w:rsid w:val="00CB021F"/>
    <w:rsid w:val="00CB083B"/>
    <w:rsid w:val="00CB0A0D"/>
    <w:rsid w:val="00CB0B3A"/>
    <w:rsid w:val="00CB0C7F"/>
    <w:rsid w:val="00CB0CBC"/>
    <w:rsid w:val="00CB0D9B"/>
    <w:rsid w:val="00CB0EE7"/>
    <w:rsid w:val="00CB0F00"/>
    <w:rsid w:val="00CB1014"/>
    <w:rsid w:val="00CB11C3"/>
    <w:rsid w:val="00CB12A5"/>
    <w:rsid w:val="00CB17C6"/>
    <w:rsid w:val="00CB1932"/>
    <w:rsid w:val="00CB1A3D"/>
    <w:rsid w:val="00CB1B10"/>
    <w:rsid w:val="00CB1CAC"/>
    <w:rsid w:val="00CB1D54"/>
    <w:rsid w:val="00CB1EFF"/>
    <w:rsid w:val="00CB223E"/>
    <w:rsid w:val="00CB227C"/>
    <w:rsid w:val="00CB23DE"/>
    <w:rsid w:val="00CB2678"/>
    <w:rsid w:val="00CB2BCC"/>
    <w:rsid w:val="00CB2F2A"/>
    <w:rsid w:val="00CB3119"/>
    <w:rsid w:val="00CB36DA"/>
    <w:rsid w:val="00CB3CA3"/>
    <w:rsid w:val="00CB3F4C"/>
    <w:rsid w:val="00CB4CD2"/>
    <w:rsid w:val="00CB4E72"/>
    <w:rsid w:val="00CB4FB1"/>
    <w:rsid w:val="00CB5213"/>
    <w:rsid w:val="00CB54A3"/>
    <w:rsid w:val="00CB54E7"/>
    <w:rsid w:val="00CB5ADB"/>
    <w:rsid w:val="00CB5B1A"/>
    <w:rsid w:val="00CB5DE6"/>
    <w:rsid w:val="00CB615D"/>
    <w:rsid w:val="00CB62DC"/>
    <w:rsid w:val="00CB6495"/>
    <w:rsid w:val="00CB6545"/>
    <w:rsid w:val="00CB6890"/>
    <w:rsid w:val="00CB69C7"/>
    <w:rsid w:val="00CB6B22"/>
    <w:rsid w:val="00CB6E19"/>
    <w:rsid w:val="00CB702B"/>
    <w:rsid w:val="00CB7172"/>
    <w:rsid w:val="00CB7400"/>
    <w:rsid w:val="00CB7438"/>
    <w:rsid w:val="00CB7714"/>
    <w:rsid w:val="00CB77B5"/>
    <w:rsid w:val="00CB7812"/>
    <w:rsid w:val="00CB7861"/>
    <w:rsid w:val="00CB78C7"/>
    <w:rsid w:val="00CB7C16"/>
    <w:rsid w:val="00CB7DA9"/>
    <w:rsid w:val="00CB7F5F"/>
    <w:rsid w:val="00CC025B"/>
    <w:rsid w:val="00CC0290"/>
    <w:rsid w:val="00CC02F4"/>
    <w:rsid w:val="00CC035C"/>
    <w:rsid w:val="00CC0466"/>
    <w:rsid w:val="00CC0710"/>
    <w:rsid w:val="00CC0ADA"/>
    <w:rsid w:val="00CC0B87"/>
    <w:rsid w:val="00CC0BE5"/>
    <w:rsid w:val="00CC0D2B"/>
    <w:rsid w:val="00CC1123"/>
    <w:rsid w:val="00CC165D"/>
    <w:rsid w:val="00CC184B"/>
    <w:rsid w:val="00CC19AC"/>
    <w:rsid w:val="00CC1B39"/>
    <w:rsid w:val="00CC1BB8"/>
    <w:rsid w:val="00CC1BFA"/>
    <w:rsid w:val="00CC1CAA"/>
    <w:rsid w:val="00CC1E83"/>
    <w:rsid w:val="00CC225C"/>
    <w:rsid w:val="00CC2522"/>
    <w:rsid w:val="00CC2601"/>
    <w:rsid w:val="00CC2659"/>
    <w:rsid w:val="00CC2895"/>
    <w:rsid w:val="00CC29B5"/>
    <w:rsid w:val="00CC2B50"/>
    <w:rsid w:val="00CC2E9F"/>
    <w:rsid w:val="00CC3051"/>
    <w:rsid w:val="00CC3290"/>
    <w:rsid w:val="00CC334B"/>
    <w:rsid w:val="00CC355E"/>
    <w:rsid w:val="00CC35EA"/>
    <w:rsid w:val="00CC37E6"/>
    <w:rsid w:val="00CC3848"/>
    <w:rsid w:val="00CC3853"/>
    <w:rsid w:val="00CC3979"/>
    <w:rsid w:val="00CC3AEB"/>
    <w:rsid w:val="00CC3CAC"/>
    <w:rsid w:val="00CC3EF4"/>
    <w:rsid w:val="00CC3F3C"/>
    <w:rsid w:val="00CC40C8"/>
    <w:rsid w:val="00CC455A"/>
    <w:rsid w:val="00CC46E2"/>
    <w:rsid w:val="00CC476F"/>
    <w:rsid w:val="00CC4997"/>
    <w:rsid w:val="00CC49D3"/>
    <w:rsid w:val="00CC4B19"/>
    <w:rsid w:val="00CC4B48"/>
    <w:rsid w:val="00CC4E6E"/>
    <w:rsid w:val="00CC508F"/>
    <w:rsid w:val="00CC5390"/>
    <w:rsid w:val="00CC58BC"/>
    <w:rsid w:val="00CC601A"/>
    <w:rsid w:val="00CC604A"/>
    <w:rsid w:val="00CC6171"/>
    <w:rsid w:val="00CC62A7"/>
    <w:rsid w:val="00CC657B"/>
    <w:rsid w:val="00CC65A6"/>
    <w:rsid w:val="00CC6710"/>
    <w:rsid w:val="00CC6839"/>
    <w:rsid w:val="00CC698E"/>
    <w:rsid w:val="00CC6BE3"/>
    <w:rsid w:val="00CC6D2A"/>
    <w:rsid w:val="00CC6D5E"/>
    <w:rsid w:val="00CC7308"/>
    <w:rsid w:val="00CC79D2"/>
    <w:rsid w:val="00CC7C28"/>
    <w:rsid w:val="00CD0200"/>
    <w:rsid w:val="00CD0280"/>
    <w:rsid w:val="00CD02DC"/>
    <w:rsid w:val="00CD02E3"/>
    <w:rsid w:val="00CD0397"/>
    <w:rsid w:val="00CD049F"/>
    <w:rsid w:val="00CD0921"/>
    <w:rsid w:val="00CD1084"/>
    <w:rsid w:val="00CD1098"/>
    <w:rsid w:val="00CD118C"/>
    <w:rsid w:val="00CD12DC"/>
    <w:rsid w:val="00CD1322"/>
    <w:rsid w:val="00CD1563"/>
    <w:rsid w:val="00CD183F"/>
    <w:rsid w:val="00CD1A6B"/>
    <w:rsid w:val="00CD1CA3"/>
    <w:rsid w:val="00CD1FB3"/>
    <w:rsid w:val="00CD22ED"/>
    <w:rsid w:val="00CD249A"/>
    <w:rsid w:val="00CD2757"/>
    <w:rsid w:val="00CD27D4"/>
    <w:rsid w:val="00CD28AA"/>
    <w:rsid w:val="00CD2D0B"/>
    <w:rsid w:val="00CD2E30"/>
    <w:rsid w:val="00CD2FB1"/>
    <w:rsid w:val="00CD35CF"/>
    <w:rsid w:val="00CD3671"/>
    <w:rsid w:val="00CD37FE"/>
    <w:rsid w:val="00CD3C39"/>
    <w:rsid w:val="00CD3D34"/>
    <w:rsid w:val="00CD3DCE"/>
    <w:rsid w:val="00CD3E3A"/>
    <w:rsid w:val="00CD3F23"/>
    <w:rsid w:val="00CD3F6C"/>
    <w:rsid w:val="00CD3F77"/>
    <w:rsid w:val="00CD3F99"/>
    <w:rsid w:val="00CD405B"/>
    <w:rsid w:val="00CD40BE"/>
    <w:rsid w:val="00CD417F"/>
    <w:rsid w:val="00CD45CF"/>
    <w:rsid w:val="00CD4BB3"/>
    <w:rsid w:val="00CD4C2E"/>
    <w:rsid w:val="00CD5665"/>
    <w:rsid w:val="00CD5899"/>
    <w:rsid w:val="00CD5A25"/>
    <w:rsid w:val="00CD5DCF"/>
    <w:rsid w:val="00CD5FF8"/>
    <w:rsid w:val="00CD62B7"/>
    <w:rsid w:val="00CD66EC"/>
    <w:rsid w:val="00CD687B"/>
    <w:rsid w:val="00CD6893"/>
    <w:rsid w:val="00CD6A23"/>
    <w:rsid w:val="00CD6A7D"/>
    <w:rsid w:val="00CD6A89"/>
    <w:rsid w:val="00CD6ADC"/>
    <w:rsid w:val="00CD6DD4"/>
    <w:rsid w:val="00CD6E13"/>
    <w:rsid w:val="00CD6FCB"/>
    <w:rsid w:val="00CD7084"/>
    <w:rsid w:val="00CD7193"/>
    <w:rsid w:val="00CD732A"/>
    <w:rsid w:val="00CD7AF2"/>
    <w:rsid w:val="00CD7C73"/>
    <w:rsid w:val="00CD7C83"/>
    <w:rsid w:val="00CD7F44"/>
    <w:rsid w:val="00CE032D"/>
    <w:rsid w:val="00CE050F"/>
    <w:rsid w:val="00CE0555"/>
    <w:rsid w:val="00CE05DD"/>
    <w:rsid w:val="00CE0620"/>
    <w:rsid w:val="00CE068D"/>
    <w:rsid w:val="00CE07DC"/>
    <w:rsid w:val="00CE09AF"/>
    <w:rsid w:val="00CE09FF"/>
    <w:rsid w:val="00CE0DD9"/>
    <w:rsid w:val="00CE17E8"/>
    <w:rsid w:val="00CE1AC5"/>
    <w:rsid w:val="00CE1B3C"/>
    <w:rsid w:val="00CE1F97"/>
    <w:rsid w:val="00CE21AE"/>
    <w:rsid w:val="00CE23DF"/>
    <w:rsid w:val="00CE2770"/>
    <w:rsid w:val="00CE295E"/>
    <w:rsid w:val="00CE2EEC"/>
    <w:rsid w:val="00CE3216"/>
    <w:rsid w:val="00CE3269"/>
    <w:rsid w:val="00CE32F9"/>
    <w:rsid w:val="00CE3328"/>
    <w:rsid w:val="00CE3485"/>
    <w:rsid w:val="00CE355B"/>
    <w:rsid w:val="00CE38C8"/>
    <w:rsid w:val="00CE3DED"/>
    <w:rsid w:val="00CE3E4D"/>
    <w:rsid w:val="00CE400B"/>
    <w:rsid w:val="00CE41DD"/>
    <w:rsid w:val="00CE4F23"/>
    <w:rsid w:val="00CE4FF8"/>
    <w:rsid w:val="00CE507B"/>
    <w:rsid w:val="00CE51A4"/>
    <w:rsid w:val="00CE524F"/>
    <w:rsid w:val="00CE543D"/>
    <w:rsid w:val="00CE55FE"/>
    <w:rsid w:val="00CE58CC"/>
    <w:rsid w:val="00CE5B9D"/>
    <w:rsid w:val="00CE5C4D"/>
    <w:rsid w:val="00CE5CBD"/>
    <w:rsid w:val="00CE5ED0"/>
    <w:rsid w:val="00CE61E1"/>
    <w:rsid w:val="00CE6274"/>
    <w:rsid w:val="00CE657C"/>
    <w:rsid w:val="00CE66D9"/>
    <w:rsid w:val="00CE6819"/>
    <w:rsid w:val="00CE69D4"/>
    <w:rsid w:val="00CE6BF8"/>
    <w:rsid w:val="00CE6D8D"/>
    <w:rsid w:val="00CE6DB3"/>
    <w:rsid w:val="00CE7277"/>
    <w:rsid w:val="00CE7443"/>
    <w:rsid w:val="00CE76A1"/>
    <w:rsid w:val="00CE7754"/>
    <w:rsid w:val="00CE77B6"/>
    <w:rsid w:val="00CE78FE"/>
    <w:rsid w:val="00CE7A4D"/>
    <w:rsid w:val="00CE7C7B"/>
    <w:rsid w:val="00CE7F37"/>
    <w:rsid w:val="00CF0495"/>
    <w:rsid w:val="00CF0588"/>
    <w:rsid w:val="00CF0609"/>
    <w:rsid w:val="00CF071B"/>
    <w:rsid w:val="00CF0732"/>
    <w:rsid w:val="00CF0B0F"/>
    <w:rsid w:val="00CF1024"/>
    <w:rsid w:val="00CF10A3"/>
    <w:rsid w:val="00CF1CD3"/>
    <w:rsid w:val="00CF1ED4"/>
    <w:rsid w:val="00CF2179"/>
    <w:rsid w:val="00CF2199"/>
    <w:rsid w:val="00CF224E"/>
    <w:rsid w:val="00CF2308"/>
    <w:rsid w:val="00CF2359"/>
    <w:rsid w:val="00CF2B8D"/>
    <w:rsid w:val="00CF2C21"/>
    <w:rsid w:val="00CF2D72"/>
    <w:rsid w:val="00CF2DB4"/>
    <w:rsid w:val="00CF2F3A"/>
    <w:rsid w:val="00CF31CC"/>
    <w:rsid w:val="00CF34D0"/>
    <w:rsid w:val="00CF388C"/>
    <w:rsid w:val="00CF391F"/>
    <w:rsid w:val="00CF3A1B"/>
    <w:rsid w:val="00CF3A49"/>
    <w:rsid w:val="00CF3ABA"/>
    <w:rsid w:val="00CF3BA1"/>
    <w:rsid w:val="00CF3BCD"/>
    <w:rsid w:val="00CF3F07"/>
    <w:rsid w:val="00CF4003"/>
    <w:rsid w:val="00CF40B7"/>
    <w:rsid w:val="00CF4492"/>
    <w:rsid w:val="00CF456B"/>
    <w:rsid w:val="00CF4596"/>
    <w:rsid w:val="00CF47AF"/>
    <w:rsid w:val="00CF4A02"/>
    <w:rsid w:val="00CF4B64"/>
    <w:rsid w:val="00CF4CDF"/>
    <w:rsid w:val="00CF4EBD"/>
    <w:rsid w:val="00CF5045"/>
    <w:rsid w:val="00CF5379"/>
    <w:rsid w:val="00CF54A0"/>
    <w:rsid w:val="00CF55CD"/>
    <w:rsid w:val="00CF5641"/>
    <w:rsid w:val="00CF584D"/>
    <w:rsid w:val="00CF5A22"/>
    <w:rsid w:val="00CF5CF7"/>
    <w:rsid w:val="00CF6132"/>
    <w:rsid w:val="00CF62AB"/>
    <w:rsid w:val="00CF6435"/>
    <w:rsid w:val="00CF66F9"/>
    <w:rsid w:val="00CF672B"/>
    <w:rsid w:val="00CF6844"/>
    <w:rsid w:val="00CF69AA"/>
    <w:rsid w:val="00CF6C6E"/>
    <w:rsid w:val="00CF6E6F"/>
    <w:rsid w:val="00CF6F0A"/>
    <w:rsid w:val="00CF737C"/>
    <w:rsid w:val="00CF783C"/>
    <w:rsid w:val="00CF79B4"/>
    <w:rsid w:val="00D000FD"/>
    <w:rsid w:val="00D0018B"/>
    <w:rsid w:val="00D00211"/>
    <w:rsid w:val="00D00439"/>
    <w:rsid w:val="00D00501"/>
    <w:rsid w:val="00D0054A"/>
    <w:rsid w:val="00D00589"/>
    <w:rsid w:val="00D00F53"/>
    <w:rsid w:val="00D012C5"/>
    <w:rsid w:val="00D012EE"/>
    <w:rsid w:val="00D0148C"/>
    <w:rsid w:val="00D01EBD"/>
    <w:rsid w:val="00D01F2C"/>
    <w:rsid w:val="00D0206C"/>
    <w:rsid w:val="00D0262E"/>
    <w:rsid w:val="00D02711"/>
    <w:rsid w:val="00D02840"/>
    <w:rsid w:val="00D0284E"/>
    <w:rsid w:val="00D02B0D"/>
    <w:rsid w:val="00D02C74"/>
    <w:rsid w:val="00D02F07"/>
    <w:rsid w:val="00D030CB"/>
    <w:rsid w:val="00D03653"/>
    <w:rsid w:val="00D03679"/>
    <w:rsid w:val="00D03AE7"/>
    <w:rsid w:val="00D040C5"/>
    <w:rsid w:val="00D040DB"/>
    <w:rsid w:val="00D04184"/>
    <w:rsid w:val="00D04196"/>
    <w:rsid w:val="00D041F7"/>
    <w:rsid w:val="00D04209"/>
    <w:rsid w:val="00D0426A"/>
    <w:rsid w:val="00D04417"/>
    <w:rsid w:val="00D044D0"/>
    <w:rsid w:val="00D04527"/>
    <w:rsid w:val="00D046F8"/>
    <w:rsid w:val="00D047B1"/>
    <w:rsid w:val="00D047CC"/>
    <w:rsid w:val="00D047DA"/>
    <w:rsid w:val="00D0487B"/>
    <w:rsid w:val="00D04B46"/>
    <w:rsid w:val="00D04C54"/>
    <w:rsid w:val="00D04D29"/>
    <w:rsid w:val="00D04D52"/>
    <w:rsid w:val="00D04FD0"/>
    <w:rsid w:val="00D05129"/>
    <w:rsid w:val="00D051AE"/>
    <w:rsid w:val="00D0555A"/>
    <w:rsid w:val="00D0579A"/>
    <w:rsid w:val="00D05A76"/>
    <w:rsid w:val="00D05E3D"/>
    <w:rsid w:val="00D06139"/>
    <w:rsid w:val="00D061B9"/>
    <w:rsid w:val="00D0623D"/>
    <w:rsid w:val="00D064D5"/>
    <w:rsid w:val="00D066A1"/>
    <w:rsid w:val="00D06E82"/>
    <w:rsid w:val="00D06F3A"/>
    <w:rsid w:val="00D07680"/>
    <w:rsid w:val="00D07819"/>
    <w:rsid w:val="00D07A8C"/>
    <w:rsid w:val="00D07F58"/>
    <w:rsid w:val="00D100CA"/>
    <w:rsid w:val="00D1093A"/>
    <w:rsid w:val="00D10AF0"/>
    <w:rsid w:val="00D10B7E"/>
    <w:rsid w:val="00D10DD1"/>
    <w:rsid w:val="00D110BD"/>
    <w:rsid w:val="00D1120A"/>
    <w:rsid w:val="00D1176B"/>
    <w:rsid w:val="00D11833"/>
    <w:rsid w:val="00D11981"/>
    <w:rsid w:val="00D1198D"/>
    <w:rsid w:val="00D11B6E"/>
    <w:rsid w:val="00D11BAF"/>
    <w:rsid w:val="00D11C07"/>
    <w:rsid w:val="00D11F5F"/>
    <w:rsid w:val="00D120F9"/>
    <w:rsid w:val="00D1229F"/>
    <w:rsid w:val="00D1295D"/>
    <w:rsid w:val="00D12C0B"/>
    <w:rsid w:val="00D12C70"/>
    <w:rsid w:val="00D12F1F"/>
    <w:rsid w:val="00D133BD"/>
    <w:rsid w:val="00D13675"/>
    <w:rsid w:val="00D136B3"/>
    <w:rsid w:val="00D13867"/>
    <w:rsid w:val="00D13943"/>
    <w:rsid w:val="00D139AD"/>
    <w:rsid w:val="00D13C24"/>
    <w:rsid w:val="00D13C81"/>
    <w:rsid w:val="00D13E0C"/>
    <w:rsid w:val="00D13EA7"/>
    <w:rsid w:val="00D13ED8"/>
    <w:rsid w:val="00D141E1"/>
    <w:rsid w:val="00D14223"/>
    <w:rsid w:val="00D14567"/>
    <w:rsid w:val="00D145FA"/>
    <w:rsid w:val="00D14785"/>
    <w:rsid w:val="00D147E6"/>
    <w:rsid w:val="00D14824"/>
    <w:rsid w:val="00D148C0"/>
    <w:rsid w:val="00D14E9A"/>
    <w:rsid w:val="00D15090"/>
    <w:rsid w:val="00D15101"/>
    <w:rsid w:val="00D152D8"/>
    <w:rsid w:val="00D15314"/>
    <w:rsid w:val="00D1535A"/>
    <w:rsid w:val="00D154D3"/>
    <w:rsid w:val="00D15AB4"/>
    <w:rsid w:val="00D15ACC"/>
    <w:rsid w:val="00D15B3D"/>
    <w:rsid w:val="00D15B48"/>
    <w:rsid w:val="00D15DB8"/>
    <w:rsid w:val="00D160BD"/>
    <w:rsid w:val="00D1631E"/>
    <w:rsid w:val="00D16631"/>
    <w:rsid w:val="00D16877"/>
    <w:rsid w:val="00D16BF4"/>
    <w:rsid w:val="00D16C43"/>
    <w:rsid w:val="00D16E69"/>
    <w:rsid w:val="00D16F14"/>
    <w:rsid w:val="00D16FEE"/>
    <w:rsid w:val="00D17490"/>
    <w:rsid w:val="00D17686"/>
    <w:rsid w:val="00D17701"/>
    <w:rsid w:val="00D17739"/>
    <w:rsid w:val="00D177F1"/>
    <w:rsid w:val="00D17922"/>
    <w:rsid w:val="00D17D6C"/>
    <w:rsid w:val="00D17E61"/>
    <w:rsid w:val="00D2030C"/>
    <w:rsid w:val="00D203D1"/>
    <w:rsid w:val="00D207EA"/>
    <w:rsid w:val="00D20997"/>
    <w:rsid w:val="00D20C5B"/>
    <w:rsid w:val="00D213FE"/>
    <w:rsid w:val="00D2155B"/>
    <w:rsid w:val="00D219AC"/>
    <w:rsid w:val="00D219BA"/>
    <w:rsid w:val="00D21C75"/>
    <w:rsid w:val="00D21CE9"/>
    <w:rsid w:val="00D21E7B"/>
    <w:rsid w:val="00D22085"/>
    <w:rsid w:val="00D22288"/>
    <w:rsid w:val="00D2239B"/>
    <w:rsid w:val="00D225C4"/>
    <w:rsid w:val="00D225D5"/>
    <w:rsid w:val="00D2293F"/>
    <w:rsid w:val="00D22C71"/>
    <w:rsid w:val="00D23202"/>
    <w:rsid w:val="00D2347C"/>
    <w:rsid w:val="00D234BE"/>
    <w:rsid w:val="00D234FA"/>
    <w:rsid w:val="00D235A5"/>
    <w:rsid w:val="00D2387A"/>
    <w:rsid w:val="00D23AF2"/>
    <w:rsid w:val="00D23BB3"/>
    <w:rsid w:val="00D23D11"/>
    <w:rsid w:val="00D244B6"/>
    <w:rsid w:val="00D244FC"/>
    <w:rsid w:val="00D24618"/>
    <w:rsid w:val="00D246DD"/>
    <w:rsid w:val="00D24759"/>
    <w:rsid w:val="00D2478B"/>
    <w:rsid w:val="00D24B8C"/>
    <w:rsid w:val="00D24B91"/>
    <w:rsid w:val="00D24CF1"/>
    <w:rsid w:val="00D25120"/>
    <w:rsid w:val="00D25693"/>
    <w:rsid w:val="00D25806"/>
    <w:rsid w:val="00D2597D"/>
    <w:rsid w:val="00D25D1C"/>
    <w:rsid w:val="00D25FB6"/>
    <w:rsid w:val="00D2608E"/>
    <w:rsid w:val="00D26092"/>
    <w:rsid w:val="00D26271"/>
    <w:rsid w:val="00D266B5"/>
    <w:rsid w:val="00D26935"/>
    <w:rsid w:val="00D273D2"/>
    <w:rsid w:val="00D2754D"/>
    <w:rsid w:val="00D2763D"/>
    <w:rsid w:val="00D27A67"/>
    <w:rsid w:val="00D27B27"/>
    <w:rsid w:val="00D27DAB"/>
    <w:rsid w:val="00D27E53"/>
    <w:rsid w:val="00D27FF1"/>
    <w:rsid w:val="00D301BF"/>
    <w:rsid w:val="00D30222"/>
    <w:rsid w:val="00D3032A"/>
    <w:rsid w:val="00D30BBE"/>
    <w:rsid w:val="00D30D5B"/>
    <w:rsid w:val="00D310BC"/>
    <w:rsid w:val="00D3122F"/>
    <w:rsid w:val="00D31256"/>
    <w:rsid w:val="00D31298"/>
    <w:rsid w:val="00D3152B"/>
    <w:rsid w:val="00D318B0"/>
    <w:rsid w:val="00D31B7B"/>
    <w:rsid w:val="00D31CCC"/>
    <w:rsid w:val="00D31EC3"/>
    <w:rsid w:val="00D31EF7"/>
    <w:rsid w:val="00D31F7C"/>
    <w:rsid w:val="00D326F8"/>
    <w:rsid w:val="00D327D6"/>
    <w:rsid w:val="00D328B0"/>
    <w:rsid w:val="00D32C08"/>
    <w:rsid w:val="00D32E39"/>
    <w:rsid w:val="00D3316C"/>
    <w:rsid w:val="00D33304"/>
    <w:rsid w:val="00D33395"/>
    <w:rsid w:val="00D3377E"/>
    <w:rsid w:val="00D33A49"/>
    <w:rsid w:val="00D33BE9"/>
    <w:rsid w:val="00D33C16"/>
    <w:rsid w:val="00D33CE3"/>
    <w:rsid w:val="00D33F93"/>
    <w:rsid w:val="00D34134"/>
    <w:rsid w:val="00D3438F"/>
    <w:rsid w:val="00D34653"/>
    <w:rsid w:val="00D34922"/>
    <w:rsid w:val="00D34BBF"/>
    <w:rsid w:val="00D34C73"/>
    <w:rsid w:val="00D352FA"/>
    <w:rsid w:val="00D354F3"/>
    <w:rsid w:val="00D35548"/>
    <w:rsid w:val="00D35789"/>
    <w:rsid w:val="00D357FF"/>
    <w:rsid w:val="00D35904"/>
    <w:rsid w:val="00D3598D"/>
    <w:rsid w:val="00D3628A"/>
    <w:rsid w:val="00D369E5"/>
    <w:rsid w:val="00D36DEE"/>
    <w:rsid w:val="00D36FBF"/>
    <w:rsid w:val="00D36FCC"/>
    <w:rsid w:val="00D37138"/>
    <w:rsid w:val="00D371F6"/>
    <w:rsid w:val="00D372E3"/>
    <w:rsid w:val="00D374A8"/>
    <w:rsid w:val="00D37577"/>
    <w:rsid w:val="00D375D9"/>
    <w:rsid w:val="00D37625"/>
    <w:rsid w:val="00D376E3"/>
    <w:rsid w:val="00D37BD1"/>
    <w:rsid w:val="00D40225"/>
    <w:rsid w:val="00D40598"/>
    <w:rsid w:val="00D40752"/>
    <w:rsid w:val="00D4104E"/>
    <w:rsid w:val="00D41068"/>
    <w:rsid w:val="00D41407"/>
    <w:rsid w:val="00D4169D"/>
    <w:rsid w:val="00D41707"/>
    <w:rsid w:val="00D41D9D"/>
    <w:rsid w:val="00D42084"/>
    <w:rsid w:val="00D422C6"/>
    <w:rsid w:val="00D424C7"/>
    <w:rsid w:val="00D426D7"/>
    <w:rsid w:val="00D42742"/>
    <w:rsid w:val="00D427C4"/>
    <w:rsid w:val="00D42850"/>
    <w:rsid w:val="00D42900"/>
    <w:rsid w:val="00D42F3A"/>
    <w:rsid w:val="00D4337E"/>
    <w:rsid w:val="00D43391"/>
    <w:rsid w:val="00D433FD"/>
    <w:rsid w:val="00D43460"/>
    <w:rsid w:val="00D43539"/>
    <w:rsid w:val="00D43A9D"/>
    <w:rsid w:val="00D43B2A"/>
    <w:rsid w:val="00D43CF1"/>
    <w:rsid w:val="00D43CF6"/>
    <w:rsid w:val="00D43D83"/>
    <w:rsid w:val="00D43E92"/>
    <w:rsid w:val="00D4406A"/>
    <w:rsid w:val="00D4418F"/>
    <w:rsid w:val="00D4441C"/>
    <w:rsid w:val="00D44DAB"/>
    <w:rsid w:val="00D44EE8"/>
    <w:rsid w:val="00D4505C"/>
    <w:rsid w:val="00D4507D"/>
    <w:rsid w:val="00D4509A"/>
    <w:rsid w:val="00D450C5"/>
    <w:rsid w:val="00D451E7"/>
    <w:rsid w:val="00D45500"/>
    <w:rsid w:val="00D45683"/>
    <w:rsid w:val="00D456CB"/>
    <w:rsid w:val="00D45824"/>
    <w:rsid w:val="00D459D0"/>
    <w:rsid w:val="00D45CAB"/>
    <w:rsid w:val="00D45D20"/>
    <w:rsid w:val="00D45F17"/>
    <w:rsid w:val="00D45F5D"/>
    <w:rsid w:val="00D4617A"/>
    <w:rsid w:val="00D461A0"/>
    <w:rsid w:val="00D462AE"/>
    <w:rsid w:val="00D46A5D"/>
    <w:rsid w:val="00D46E86"/>
    <w:rsid w:val="00D47106"/>
    <w:rsid w:val="00D47337"/>
    <w:rsid w:val="00D473F4"/>
    <w:rsid w:val="00D4746B"/>
    <w:rsid w:val="00D47552"/>
    <w:rsid w:val="00D47575"/>
    <w:rsid w:val="00D47A1D"/>
    <w:rsid w:val="00D47A44"/>
    <w:rsid w:val="00D47ADF"/>
    <w:rsid w:val="00D47D06"/>
    <w:rsid w:val="00D47D15"/>
    <w:rsid w:val="00D47D52"/>
    <w:rsid w:val="00D5008C"/>
    <w:rsid w:val="00D5010B"/>
    <w:rsid w:val="00D50151"/>
    <w:rsid w:val="00D505DB"/>
    <w:rsid w:val="00D506BC"/>
    <w:rsid w:val="00D506BD"/>
    <w:rsid w:val="00D50740"/>
    <w:rsid w:val="00D50807"/>
    <w:rsid w:val="00D50990"/>
    <w:rsid w:val="00D50AE4"/>
    <w:rsid w:val="00D513EB"/>
    <w:rsid w:val="00D51492"/>
    <w:rsid w:val="00D514DC"/>
    <w:rsid w:val="00D51595"/>
    <w:rsid w:val="00D516B8"/>
    <w:rsid w:val="00D517E6"/>
    <w:rsid w:val="00D51D9D"/>
    <w:rsid w:val="00D51E84"/>
    <w:rsid w:val="00D522FA"/>
    <w:rsid w:val="00D5243B"/>
    <w:rsid w:val="00D52660"/>
    <w:rsid w:val="00D528E1"/>
    <w:rsid w:val="00D52AD1"/>
    <w:rsid w:val="00D52D5C"/>
    <w:rsid w:val="00D5306D"/>
    <w:rsid w:val="00D53314"/>
    <w:rsid w:val="00D533EC"/>
    <w:rsid w:val="00D538E7"/>
    <w:rsid w:val="00D539AE"/>
    <w:rsid w:val="00D53C2E"/>
    <w:rsid w:val="00D53E60"/>
    <w:rsid w:val="00D53E9F"/>
    <w:rsid w:val="00D5404F"/>
    <w:rsid w:val="00D542D9"/>
    <w:rsid w:val="00D54431"/>
    <w:rsid w:val="00D54605"/>
    <w:rsid w:val="00D54717"/>
    <w:rsid w:val="00D54B0B"/>
    <w:rsid w:val="00D54C13"/>
    <w:rsid w:val="00D54EA4"/>
    <w:rsid w:val="00D555DD"/>
    <w:rsid w:val="00D555F8"/>
    <w:rsid w:val="00D55991"/>
    <w:rsid w:val="00D55B24"/>
    <w:rsid w:val="00D55E4A"/>
    <w:rsid w:val="00D55ECC"/>
    <w:rsid w:val="00D56044"/>
    <w:rsid w:val="00D560BB"/>
    <w:rsid w:val="00D5621A"/>
    <w:rsid w:val="00D563AC"/>
    <w:rsid w:val="00D56A95"/>
    <w:rsid w:val="00D56B26"/>
    <w:rsid w:val="00D56BDF"/>
    <w:rsid w:val="00D56CB4"/>
    <w:rsid w:val="00D570B6"/>
    <w:rsid w:val="00D57266"/>
    <w:rsid w:val="00D57281"/>
    <w:rsid w:val="00D572E7"/>
    <w:rsid w:val="00D57A14"/>
    <w:rsid w:val="00D57D91"/>
    <w:rsid w:val="00D57EAD"/>
    <w:rsid w:val="00D57F9F"/>
    <w:rsid w:val="00D603B8"/>
    <w:rsid w:val="00D60427"/>
    <w:rsid w:val="00D605D0"/>
    <w:rsid w:val="00D6076E"/>
    <w:rsid w:val="00D607A8"/>
    <w:rsid w:val="00D60804"/>
    <w:rsid w:val="00D60B38"/>
    <w:rsid w:val="00D60BC2"/>
    <w:rsid w:val="00D60E40"/>
    <w:rsid w:val="00D60E4E"/>
    <w:rsid w:val="00D60EDC"/>
    <w:rsid w:val="00D6117E"/>
    <w:rsid w:val="00D619D2"/>
    <w:rsid w:val="00D61B54"/>
    <w:rsid w:val="00D61B7F"/>
    <w:rsid w:val="00D61CF6"/>
    <w:rsid w:val="00D61D7B"/>
    <w:rsid w:val="00D61F0B"/>
    <w:rsid w:val="00D62043"/>
    <w:rsid w:val="00D62217"/>
    <w:rsid w:val="00D62436"/>
    <w:rsid w:val="00D624F4"/>
    <w:rsid w:val="00D62A53"/>
    <w:rsid w:val="00D62EB0"/>
    <w:rsid w:val="00D63462"/>
    <w:rsid w:val="00D6366A"/>
    <w:rsid w:val="00D6383A"/>
    <w:rsid w:val="00D6427B"/>
    <w:rsid w:val="00D6438B"/>
    <w:rsid w:val="00D643CE"/>
    <w:rsid w:val="00D64431"/>
    <w:rsid w:val="00D64747"/>
    <w:rsid w:val="00D64A61"/>
    <w:rsid w:val="00D64ADB"/>
    <w:rsid w:val="00D64E0B"/>
    <w:rsid w:val="00D64E7D"/>
    <w:rsid w:val="00D64EF9"/>
    <w:rsid w:val="00D64EFD"/>
    <w:rsid w:val="00D64FAA"/>
    <w:rsid w:val="00D64FB7"/>
    <w:rsid w:val="00D652B7"/>
    <w:rsid w:val="00D658A1"/>
    <w:rsid w:val="00D658DE"/>
    <w:rsid w:val="00D65AFA"/>
    <w:rsid w:val="00D66010"/>
    <w:rsid w:val="00D660BE"/>
    <w:rsid w:val="00D6638F"/>
    <w:rsid w:val="00D665A4"/>
    <w:rsid w:val="00D666C2"/>
    <w:rsid w:val="00D6677F"/>
    <w:rsid w:val="00D66A00"/>
    <w:rsid w:val="00D66A4C"/>
    <w:rsid w:val="00D66B5B"/>
    <w:rsid w:val="00D66DEA"/>
    <w:rsid w:val="00D66E1E"/>
    <w:rsid w:val="00D66F2B"/>
    <w:rsid w:val="00D67115"/>
    <w:rsid w:val="00D6715D"/>
    <w:rsid w:val="00D67184"/>
    <w:rsid w:val="00D674AF"/>
    <w:rsid w:val="00D6750E"/>
    <w:rsid w:val="00D67844"/>
    <w:rsid w:val="00D67960"/>
    <w:rsid w:val="00D67C14"/>
    <w:rsid w:val="00D67D13"/>
    <w:rsid w:val="00D707E0"/>
    <w:rsid w:val="00D70800"/>
    <w:rsid w:val="00D70C1A"/>
    <w:rsid w:val="00D70CFB"/>
    <w:rsid w:val="00D70EE3"/>
    <w:rsid w:val="00D70F16"/>
    <w:rsid w:val="00D7110B"/>
    <w:rsid w:val="00D7113A"/>
    <w:rsid w:val="00D71156"/>
    <w:rsid w:val="00D7115A"/>
    <w:rsid w:val="00D71274"/>
    <w:rsid w:val="00D717DA"/>
    <w:rsid w:val="00D718CB"/>
    <w:rsid w:val="00D71967"/>
    <w:rsid w:val="00D72457"/>
    <w:rsid w:val="00D72617"/>
    <w:rsid w:val="00D72778"/>
    <w:rsid w:val="00D72839"/>
    <w:rsid w:val="00D72965"/>
    <w:rsid w:val="00D72B8B"/>
    <w:rsid w:val="00D72DD4"/>
    <w:rsid w:val="00D72E99"/>
    <w:rsid w:val="00D72F3B"/>
    <w:rsid w:val="00D72F57"/>
    <w:rsid w:val="00D734C2"/>
    <w:rsid w:val="00D73648"/>
    <w:rsid w:val="00D73742"/>
    <w:rsid w:val="00D73A93"/>
    <w:rsid w:val="00D73C49"/>
    <w:rsid w:val="00D740B0"/>
    <w:rsid w:val="00D742D3"/>
    <w:rsid w:val="00D743E4"/>
    <w:rsid w:val="00D7473A"/>
    <w:rsid w:val="00D74792"/>
    <w:rsid w:val="00D74803"/>
    <w:rsid w:val="00D74942"/>
    <w:rsid w:val="00D74A53"/>
    <w:rsid w:val="00D74A9F"/>
    <w:rsid w:val="00D74F4B"/>
    <w:rsid w:val="00D7532A"/>
    <w:rsid w:val="00D7535F"/>
    <w:rsid w:val="00D753F9"/>
    <w:rsid w:val="00D75428"/>
    <w:rsid w:val="00D7554D"/>
    <w:rsid w:val="00D75734"/>
    <w:rsid w:val="00D757E8"/>
    <w:rsid w:val="00D75835"/>
    <w:rsid w:val="00D75A4D"/>
    <w:rsid w:val="00D75BDA"/>
    <w:rsid w:val="00D75C27"/>
    <w:rsid w:val="00D75C46"/>
    <w:rsid w:val="00D75DB6"/>
    <w:rsid w:val="00D76067"/>
    <w:rsid w:val="00D7638C"/>
    <w:rsid w:val="00D76591"/>
    <w:rsid w:val="00D765EA"/>
    <w:rsid w:val="00D76780"/>
    <w:rsid w:val="00D767D4"/>
    <w:rsid w:val="00D76936"/>
    <w:rsid w:val="00D76A44"/>
    <w:rsid w:val="00D76AAA"/>
    <w:rsid w:val="00D76D90"/>
    <w:rsid w:val="00D771C3"/>
    <w:rsid w:val="00D77206"/>
    <w:rsid w:val="00D775B8"/>
    <w:rsid w:val="00D7774D"/>
    <w:rsid w:val="00D777B0"/>
    <w:rsid w:val="00D779D4"/>
    <w:rsid w:val="00D779F9"/>
    <w:rsid w:val="00D77A6B"/>
    <w:rsid w:val="00D77D04"/>
    <w:rsid w:val="00D77F48"/>
    <w:rsid w:val="00D80081"/>
    <w:rsid w:val="00D80120"/>
    <w:rsid w:val="00D80161"/>
    <w:rsid w:val="00D8028D"/>
    <w:rsid w:val="00D80457"/>
    <w:rsid w:val="00D8055F"/>
    <w:rsid w:val="00D8081F"/>
    <w:rsid w:val="00D8087B"/>
    <w:rsid w:val="00D809B7"/>
    <w:rsid w:val="00D80DDA"/>
    <w:rsid w:val="00D815EF"/>
    <w:rsid w:val="00D81690"/>
    <w:rsid w:val="00D8184B"/>
    <w:rsid w:val="00D8189A"/>
    <w:rsid w:val="00D81949"/>
    <w:rsid w:val="00D81AFF"/>
    <w:rsid w:val="00D81DB1"/>
    <w:rsid w:val="00D81F26"/>
    <w:rsid w:val="00D822E2"/>
    <w:rsid w:val="00D825E5"/>
    <w:rsid w:val="00D826F7"/>
    <w:rsid w:val="00D82F84"/>
    <w:rsid w:val="00D8357A"/>
    <w:rsid w:val="00D835F6"/>
    <w:rsid w:val="00D83671"/>
    <w:rsid w:val="00D83992"/>
    <w:rsid w:val="00D83F02"/>
    <w:rsid w:val="00D8415C"/>
    <w:rsid w:val="00D843F2"/>
    <w:rsid w:val="00D84407"/>
    <w:rsid w:val="00D848CF"/>
    <w:rsid w:val="00D84921"/>
    <w:rsid w:val="00D84972"/>
    <w:rsid w:val="00D84B87"/>
    <w:rsid w:val="00D84CE4"/>
    <w:rsid w:val="00D84CF3"/>
    <w:rsid w:val="00D84E66"/>
    <w:rsid w:val="00D8530D"/>
    <w:rsid w:val="00D8545F"/>
    <w:rsid w:val="00D85567"/>
    <w:rsid w:val="00D855DE"/>
    <w:rsid w:val="00D85842"/>
    <w:rsid w:val="00D85893"/>
    <w:rsid w:val="00D859A5"/>
    <w:rsid w:val="00D85A18"/>
    <w:rsid w:val="00D85A7E"/>
    <w:rsid w:val="00D85F91"/>
    <w:rsid w:val="00D85FE5"/>
    <w:rsid w:val="00D86231"/>
    <w:rsid w:val="00D865A3"/>
    <w:rsid w:val="00D8664F"/>
    <w:rsid w:val="00D86A2B"/>
    <w:rsid w:val="00D86FDF"/>
    <w:rsid w:val="00D86FFE"/>
    <w:rsid w:val="00D87011"/>
    <w:rsid w:val="00D87236"/>
    <w:rsid w:val="00D8726C"/>
    <w:rsid w:val="00D8745D"/>
    <w:rsid w:val="00D8786F"/>
    <w:rsid w:val="00D879EC"/>
    <w:rsid w:val="00D87AA8"/>
    <w:rsid w:val="00D87E38"/>
    <w:rsid w:val="00D87E6A"/>
    <w:rsid w:val="00D90192"/>
    <w:rsid w:val="00D905CF"/>
    <w:rsid w:val="00D906A1"/>
    <w:rsid w:val="00D90910"/>
    <w:rsid w:val="00D90C44"/>
    <w:rsid w:val="00D90E1A"/>
    <w:rsid w:val="00D91279"/>
    <w:rsid w:val="00D912AB"/>
    <w:rsid w:val="00D912AE"/>
    <w:rsid w:val="00D9136D"/>
    <w:rsid w:val="00D91923"/>
    <w:rsid w:val="00D9200F"/>
    <w:rsid w:val="00D9202D"/>
    <w:rsid w:val="00D92189"/>
    <w:rsid w:val="00D926FA"/>
    <w:rsid w:val="00D92736"/>
    <w:rsid w:val="00D92851"/>
    <w:rsid w:val="00D92A9C"/>
    <w:rsid w:val="00D92B51"/>
    <w:rsid w:val="00D92CA1"/>
    <w:rsid w:val="00D92D40"/>
    <w:rsid w:val="00D92D9D"/>
    <w:rsid w:val="00D92F25"/>
    <w:rsid w:val="00D934B2"/>
    <w:rsid w:val="00D93574"/>
    <w:rsid w:val="00D936A2"/>
    <w:rsid w:val="00D9370D"/>
    <w:rsid w:val="00D9373C"/>
    <w:rsid w:val="00D93753"/>
    <w:rsid w:val="00D93ACE"/>
    <w:rsid w:val="00D93C20"/>
    <w:rsid w:val="00D941FC"/>
    <w:rsid w:val="00D944C6"/>
    <w:rsid w:val="00D945B6"/>
    <w:rsid w:val="00D94CAA"/>
    <w:rsid w:val="00D94F49"/>
    <w:rsid w:val="00D951E9"/>
    <w:rsid w:val="00D9533C"/>
    <w:rsid w:val="00D95A97"/>
    <w:rsid w:val="00D95E33"/>
    <w:rsid w:val="00D95FFE"/>
    <w:rsid w:val="00D9623E"/>
    <w:rsid w:val="00D9633C"/>
    <w:rsid w:val="00D9635F"/>
    <w:rsid w:val="00D96744"/>
    <w:rsid w:val="00D9684F"/>
    <w:rsid w:val="00D970D4"/>
    <w:rsid w:val="00D973B7"/>
    <w:rsid w:val="00D97618"/>
    <w:rsid w:val="00D97714"/>
    <w:rsid w:val="00DA07AA"/>
    <w:rsid w:val="00DA099B"/>
    <w:rsid w:val="00DA0CFA"/>
    <w:rsid w:val="00DA0DB2"/>
    <w:rsid w:val="00DA1339"/>
    <w:rsid w:val="00DA1414"/>
    <w:rsid w:val="00DA1449"/>
    <w:rsid w:val="00DA154A"/>
    <w:rsid w:val="00DA1933"/>
    <w:rsid w:val="00DA1B00"/>
    <w:rsid w:val="00DA1C5B"/>
    <w:rsid w:val="00DA1CD8"/>
    <w:rsid w:val="00DA1D58"/>
    <w:rsid w:val="00DA211B"/>
    <w:rsid w:val="00DA2155"/>
    <w:rsid w:val="00DA22CE"/>
    <w:rsid w:val="00DA2320"/>
    <w:rsid w:val="00DA248F"/>
    <w:rsid w:val="00DA24E6"/>
    <w:rsid w:val="00DA287D"/>
    <w:rsid w:val="00DA2B5A"/>
    <w:rsid w:val="00DA2D10"/>
    <w:rsid w:val="00DA2E10"/>
    <w:rsid w:val="00DA2F18"/>
    <w:rsid w:val="00DA30B4"/>
    <w:rsid w:val="00DA30FF"/>
    <w:rsid w:val="00DA3167"/>
    <w:rsid w:val="00DA3229"/>
    <w:rsid w:val="00DA3417"/>
    <w:rsid w:val="00DA375D"/>
    <w:rsid w:val="00DA3792"/>
    <w:rsid w:val="00DA3EFD"/>
    <w:rsid w:val="00DA3F77"/>
    <w:rsid w:val="00DA4179"/>
    <w:rsid w:val="00DA4717"/>
    <w:rsid w:val="00DA4AA9"/>
    <w:rsid w:val="00DA4DC3"/>
    <w:rsid w:val="00DA4DDE"/>
    <w:rsid w:val="00DA4FB8"/>
    <w:rsid w:val="00DA522F"/>
    <w:rsid w:val="00DA5232"/>
    <w:rsid w:val="00DA5563"/>
    <w:rsid w:val="00DA56CA"/>
    <w:rsid w:val="00DA59CF"/>
    <w:rsid w:val="00DA5C2E"/>
    <w:rsid w:val="00DA5D85"/>
    <w:rsid w:val="00DA612A"/>
    <w:rsid w:val="00DA6146"/>
    <w:rsid w:val="00DA62BD"/>
    <w:rsid w:val="00DA65A0"/>
    <w:rsid w:val="00DA65D1"/>
    <w:rsid w:val="00DA6A92"/>
    <w:rsid w:val="00DA6C4E"/>
    <w:rsid w:val="00DA6D45"/>
    <w:rsid w:val="00DA7123"/>
    <w:rsid w:val="00DA7153"/>
    <w:rsid w:val="00DA778F"/>
    <w:rsid w:val="00DA77A5"/>
    <w:rsid w:val="00DA77EF"/>
    <w:rsid w:val="00DA7ACA"/>
    <w:rsid w:val="00DA7B76"/>
    <w:rsid w:val="00DA7B7B"/>
    <w:rsid w:val="00DB0020"/>
    <w:rsid w:val="00DB04AF"/>
    <w:rsid w:val="00DB04C6"/>
    <w:rsid w:val="00DB0750"/>
    <w:rsid w:val="00DB0D16"/>
    <w:rsid w:val="00DB0D79"/>
    <w:rsid w:val="00DB0E36"/>
    <w:rsid w:val="00DB0EB1"/>
    <w:rsid w:val="00DB0FF6"/>
    <w:rsid w:val="00DB1149"/>
    <w:rsid w:val="00DB121E"/>
    <w:rsid w:val="00DB1713"/>
    <w:rsid w:val="00DB17E4"/>
    <w:rsid w:val="00DB193A"/>
    <w:rsid w:val="00DB1E0A"/>
    <w:rsid w:val="00DB1E60"/>
    <w:rsid w:val="00DB248E"/>
    <w:rsid w:val="00DB269B"/>
    <w:rsid w:val="00DB2723"/>
    <w:rsid w:val="00DB2790"/>
    <w:rsid w:val="00DB29E0"/>
    <w:rsid w:val="00DB2C4D"/>
    <w:rsid w:val="00DB312A"/>
    <w:rsid w:val="00DB3212"/>
    <w:rsid w:val="00DB37A3"/>
    <w:rsid w:val="00DB3DBF"/>
    <w:rsid w:val="00DB3F9C"/>
    <w:rsid w:val="00DB430C"/>
    <w:rsid w:val="00DB484F"/>
    <w:rsid w:val="00DB499B"/>
    <w:rsid w:val="00DB49FC"/>
    <w:rsid w:val="00DB4DD1"/>
    <w:rsid w:val="00DB51C7"/>
    <w:rsid w:val="00DB5586"/>
    <w:rsid w:val="00DB5865"/>
    <w:rsid w:val="00DB5875"/>
    <w:rsid w:val="00DB5CA0"/>
    <w:rsid w:val="00DB62E8"/>
    <w:rsid w:val="00DB686A"/>
    <w:rsid w:val="00DB6B8B"/>
    <w:rsid w:val="00DB6C11"/>
    <w:rsid w:val="00DB6CD9"/>
    <w:rsid w:val="00DB6E91"/>
    <w:rsid w:val="00DB7316"/>
    <w:rsid w:val="00DB7373"/>
    <w:rsid w:val="00DB737F"/>
    <w:rsid w:val="00DB743B"/>
    <w:rsid w:val="00DB76DB"/>
    <w:rsid w:val="00DB779C"/>
    <w:rsid w:val="00DB78E6"/>
    <w:rsid w:val="00DB7F26"/>
    <w:rsid w:val="00DC00E8"/>
    <w:rsid w:val="00DC04F6"/>
    <w:rsid w:val="00DC0690"/>
    <w:rsid w:val="00DC0979"/>
    <w:rsid w:val="00DC0B72"/>
    <w:rsid w:val="00DC0D53"/>
    <w:rsid w:val="00DC0DCB"/>
    <w:rsid w:val="00DC0E66"/>
    <w:rsid w:val="00DC0E84"/>
    <w:rsid w:val="00DC0FB7"/>
    <w:rsid w:val="00DC0FC2"/>
    <w:rsid w:val="00DC11C9"/>
    <w:rsid w:val="00DC17EF"/>
    <w:rsid w:val="00DC1826"/>
    <w:rsid w:val="00DC1946"/>
    <w:rsid w:val="00DC1ABD"/>
    <w:rsid w:val="00DC1D65"/>
    <w:rsid w:val="00DC1EFC"/>
    <w:rsid w:val="00DC2484"/>
    <w:rsid w:val="00DC26A7"/>
    <w:rsid w:val="00DC28F0"/>
    <w:rsid w:val="00DC2A47"/>
    <w:rsid w:val="00DC2AF5"/>
    <w:rsid w:val="00DC2C9D"/>
    <w:rsid w:val="00DC2FD1"/>
    <w:rsid w:val="00DC32A7"/>
    <w:rsid w:val="00DC34E7"/>
    <w:rsid w:val="00DC35A3"/>
    <w:rsid w:val="00DC375A"/>
    <w:rsid w:val="00DC38C7"/>
    <w:rsid w:val="00DC391C"/>
    <w:rsid w:val="00DC3A86"/>
    <w:rsid w:val="00DC3B91"/>
    <w:rsid w:val="00DC3C57"/>
    <w:rsid w:val="00DC41AD"/>
    <w:rsid w:val="00DC41E3"/>
    <w:rsid w:val="00DC4297"/>
    <w:rsid w:val="00DC4629"/>
    <w:rsid w:val="00DC46D4"/>
    <w:rsid w:val="00DC4909"/>
    <w:rsid w:val="00DC4AAA"/>
    <w:rsid w:val="00DC4FAA"/>
    <w:rsid w:val="00DC50CF"/>
    <w:rsid w:val="00DC5354"/>
    <w:rsid w:val="00DC5501"/>
    <w:rsid w:val="00DC578C"/>
    <w:rsid w:val="00DC5A35"/>
    <w:rsid w:val="00DC5DE4"/>
    <w:rsid w:val="00DC61EF"/>
    <w:rsid w:val="00DC62EF"/>
    <w:rsid w:val="00DC6634"/>
    <w:rsid w:val="00DC68C6"/>
    <w:rsid w:val="00DC6DFA"/>
    <w:rsid w:val="00DC6F46"/>
    <w:rsid w:val="00DC6F75"/>
    <w:rsid w:val="00DC6F87"/>
    <w:rsid w:val="00DC7150"/>
    <w:rsid w:val="00DC7154"/>
    <w:rsid w:val="00DC75EF"/>
    <w:rsid w:val="00DC78DC"/>
    <w:rsid w:val="00DC79F0"/>
    <w:rsid w:val="00DC7B50"/>
    <w:rsid w:val="00DC7E02"/>
    <w:rsid w:val="00DC7E8A"/>
    <w:rsid w:val="00DC7FC6"/>
    <w:rsid w:val="00DC7FF3"/>
    <w:rsid w:val="00DD02CB"/>
    <w:rsid w:val="00DD02D3"/>
    <w:rsid w:val="00DD07D1"/>
    <w:rsid w:val="00DD0815"/>
    <w:rsid w:val="00DD0C5C"/>
    <w:rsid w:val="00DD0CCA"/>
    <w:rsid w:val="00DD0F78"/>
    <w:rsid w:val="00DD121D"/>
    <w:rsid w:val="00DD1639"/>
    <w:rsid w:val="00DD189B"/>
    <w:rsid w:val="00DD1A72"/>
    <w:rsid w:val="00DD1C81"/>
    <w:rsid w:val="00DD1E8C"/>
    <w:rsid w:val="00DD23CB"/>
    <w:rsid w:val="00DD2577"/>
    <w:rsid w:val="00DD273C"/>
    <w:rsid w:val="00DD2A9E"/>
    <w:rsid w:val="00DD2EE3"/>
    <w:rsid w:val="00DD3125"/>
    <w:rsid w:val="00DD3256"/>
    <w:rsid w:val="00DD33B6"/>
    <w:rsid w:val="00DD36CC"/>
    <w:rsid w:val="00DD3ADA"/>
    <w:rsid w:val="00DD3F28"/>
    <w:rsid w:val="00DD4446"/>
    <w:rsid w:val="00DD4448"/>
    <w:rsid w:val="00DD448C"/>
    <w:rsid w:val="00DD4537"/>
    <w:rsid w:val="00DD4A28"/>
    <w:rsid w:val="00DD4C6D"/>
    <w:rsid w:val="00DD4DF3"/>
    <w:rsid w:val="00DD4E00"/>
    <w:rsid w:val="00DD4E15"/>
    <w:rsid w:val="00DD5056"/>
    <w:rsid w:val="00DD50DC"/>
    <w:rsid w:val="00DD51AF"/>
    <w:rsid w:val="00DD53B3"/>
    <w:rsid w:val="00DD5417"/>
    <w:rsid w:val="00DD5573"/>
    <w:rsid w:val="00DD5714"/>
    <w:rsid w:val="00DD59B5"/>
    <w:rsid w:val="00DD59CE"/>
    <w:rsid w:val="00DD59EE"/>
    <w:rsid w:val="00DD5AD2"/>
    <w:rsid w:val="00DD5B42"/>
    <w:rsid w:val="00DD5B78"/>
    <w:rsid w:val="00DD5DD5"/>
    <w:rsid w:val="00DD5F23"/>
    <w:rsid w:val="00DD5F41"/>
    <w:rsid w:val="00DD5FB8"/>
    <w:rsid w:val="00DD612D"/>
    <w:rsid w:val="00DD6183"/>
    <w:rsid w:val="00DD6774"/>
    <w:rsid w:val="00DD68FD"/>
    <w:rsid w:val="00DD6946"/>
    <w:rsid w:val="00DD6A8B"/>
    <w:rsid w:val="00DD6AC5"/>
    <w:rsid w:val="00DD7133"/>
    <w:rsid w:val="00DD7357"/>
    <w:rsid w:val="00DD7931"/>
    <w:rsid w:val="00DE0086"/>
    <w:rsid w:val="00DE0174"/>
    <w:rsid w:val="00DE01F7"/>
    <w:rsid w:val="00DE0220"/>
    <w:rsid w:val="00DE03E0"/>
    <w:rsid w:val="00DE04DE"/>
    <w:rsid w:val="00DE0690"/>
    <w:rsid w:val="00DE0CDF"/>
    <w:rsid w:val="00DE0D4F"/>
    <w:rsid w:val="00DE0F68"/>
    <w:rsid w:val="00DE11CC"/>
    <w:rsid w:val="00DE133A"/>
    <w:rsid w:val="00DE16A1"/>
    <w:rsid w:val="00DE1721"/>
    <w:rsid w:val="00DE1790"/>
    <w:rsid w:val="00DE1895"/>
    <w:rsid w:val="00DE1F69"/>
    <w:rsid w:val="00DE2304"/>
    <w:rsid w:val="00DE2569"/>
    <w:rsid w:val="00DE293E"/>
    <w:rsid w:val="00DE2956"/>
    <w:rsid w:val="00DE2B72"/>
    <w:rsid w:val="00DE2DD4"/>
    <w:rsid w:val="00DE2EA4"/>
    <w:rsid w:val="00DE3138"/>
    <w:rsid w:val="00DE3275"/>
    <w:rsid w:val="00DE3525"/>
    <w:rsid w:val="00DE3643"/>
    <w:rsid w:val="00DE3730"/>
    <w:rsid w:val="00DE375C"/>
    <w:rsid w:val="00DE376D"/>
    <w:rsid w:val="00DE37C4"/>
    <w:rsid w:val="00DE37F8"/>
    <w:rsid w:val="00DE3887"/>
    <w:rsid w:val="00DE38C7"/>
    <w:rsid w:val="00DE3A2E"/>
    <w:rsid w:val="00DE3A62"/>
    <w:rsid w:val="00DE3BFF"/>
    <w:rsid w:val="00DE3E1B"/>
    <w:rsid w:val="00DE41B9"/>
    <w:rsid w:val="00DE41E4"/>
    <w:rsid w:val="00DE4273"/>
    <w:rsid w:val="00DE42A1"/>
    <w:rsid w:val="00DE43DF"/>
    <w:rsid w:val="00DE468C"/>
    <w:rsid w:val="00DE4BF7"/>
    <w:rsid w:val="00DE4C24"/>
    <w:rsid w:val="00DE4C37"/>
    <w:rsid w:val="00DE4CE2"/>
    <w:rsid w:val="00DE4FCB"/>
    <w:rsid w:val="00DE5120"/>
    <w:rsid w:val="00DE53EA"/>
    <w:rsid w:val="00DE5445"/>
    <w:rsid w:val="00DE544D"/>
    <w:rsid w:val="00DE5470"/>
    <w:rsid w:val="00DE54D9"/>
    <w:rsid w:val="00DE5642"/>
    <w:rsid w:val="00DE56F5"/>
    <w:rsid w:val="00DE577C"/>
    <w:rsid w:val="00DE5805"/>
    <w:rsid w:val="00DE5830"/>
    <w:rsid w:val="00DE5874"/>
    <w:rsid w:val="00DE5AC6"/>
    <w:rsid w:val="00DE5D07"/>
    <w:rsid w:val="00DE5ED6"/>
    <w:rsid w:val="00DE6116"/>
    <w:rsid w:val="00DE6238"/>
    <w:rsid w:val="00DE6406"/>
    <w:rsid w:val="00DE6432"/>
    <w:rsid w:val="00DE64E8"/>
    <w:rsid w:val="00DE68E9"/>
    <w:rsid w:val="00DE695E"/>
    <w:rsid w:val="00DE6A75"/>
    <w:rsid w:val="00DE6BC2"/>
    <w:rsid w:val="00DE6C0F"/>
    <w:rsid w:val="00DE6D40"/>
    <w:rsid w:val="00DE72A7"/>
    <w:rsid w:val="00DE738F"/>
    <w:rsid w:val="00DE7659"/>
    <w:rsid w:val="00DE776B"/>
    <w:rsid w:val="00DE7774"/>
    <w:rsid w:val="00DE7831"/>
    <w:rsid w:val="00DE7832"/>
    <w:rsid w:val="00DE784F"/>
    <w:rsid w:val="00DE7868"/>
    <w:rsid w:val="00DE786A"/>
    <w:rsid w:val="00DE7ABF"/>
    <w:rsid w:val="00DE7AF9"/>
    <w:rsid w:val="00DE7E17"/>
    <w:rsid w:val="00DE7F93"/>
    <w:rsid w:val="00DF0CBC"/>
    <w:rsid w:val="00DF0CEE"/>
    <w:rsid w:val="00DF1271"/>
    <w:rsid w:val="00DF12BD"/>
    <w:rsid w:val="00DF150C"/>
    <w:rsid w:val="00DF18FC"/>
    <w:rsid w:val="00DF1CE2"/>
    <w:rsid w:val="00DF1CF9"/>
    <w:rsid w:val="00DF20ED"/>
    <w:rsid w:val="00DF231F"/>
    <w:rsid w:val="00DF25B5"/>
    <w:rsid w:val="00DF2655"/>
    <w:rsid w:val="00DF268A"/>
    <w:rsid w:val="00DF2694"/>
    <w:rsid w:val="00DF26CF"/>
    <w:rsid w:val="00DF2844"/>
    <w:rsid w:val="00DF28AF"/>
    <w:rsid w:val="00DF28E1"/>
    <w:rsid w:val="00DF2933"/>
    <w:rsid w:val="00DF2999"/>
    <w:rsid w:val="00DF2C22"/>
    <w:rsid w:val="00DF2C5B"/>
    <w:rsid w:val="00DF2D89"/>
    <w:rsid w:val="00DF3005"/>
    <w:rsid w:val="00DF3584"/>
    <w:rsid w:val="00DF3655"/>
    <w:rsid w:val="00DF366B"/>
    <w:rsid w:val="00DF3676"/>
    <w:rsid w:val="00DF3838"/>
    <w:rsid w:val="00DF387D"/>
    <w:rsid w:val="00DF39BD"/>
    <w:rsid w:val="00DF3BD4"/>
    <w:rsid w:val="00DF3C99"/>
    <w:rsid w:val="00DF3D61"/>
    <w:rsid w:val="00DF3E1D"/>
    <w:rsid w:val="00DF42F1"/>
    <w:rsid w:val="00DF4354"/>
    <w:rsid w:val="00DF44D8"/>
    <w:rsid w:val="00DF4590"/>
    <w:rsid w:val="00DF45C3"/>
    <w:rsid w:val="00DF46FB"/>
    <w:rsid w:val="00DF473B"/>
    <w:rsid w:val="00DF4A4B"/>
    <w:rsid w:val="00DF4AD0"/>
    <w:rsid w:val="00DF4B0C"/>
    <w:rsid w:val="00DF4B78"/>
    <w:rsid w:val="00DF4BF5"/>
    <w:rsid w:val="00DF4D19"/>
    <w:rsid w:val="00DF4DB6"/>
    <w:rsid w:val="00DF4DE4"/>
    <w:rsid w:val="00DF4EA3"/>
    <w:rsid w:val="00DF4F05"/>
    <w:rsid w:val="00DF4FE7"/>
    <w:rsid w:val="00DF50BB"/>
    <w:rsid w:val="00DF51D2"/>
    <w:rsid w:val="00DF539B"/>
    <w:rsid w:val="00DF5756"/>
    <w:rsid w:val="00DF580E"/>
    <w:rsid w:val="00DF5904"/>
    <w:rsid w:val="00DF5ABA"/>
    <w:rsid w:val="00DF5D2B"/>
    <w:rsid w:val="00DF6341"/>
    <w:rsid w:val="00DF65D6"/>
    <w:rsid w:val="00DF67C1"/>
    <w:rsid w:val="00DF67D3"/>
    <w:rsid w:val="00DF6D9F"/>
    <w:rsid w:val="00DF744E"/>
    <w:rsid w:val="00DF775F"/>
    <w:rsid w:val="00DF7763"/>
    <w:rsid w:val="00DF7950"/>
    <w:rsid w:val="00DF7A20"/>
    <w:rsid w:val="00DF7B18"/>
    <w:rsid w:val="00DF7EBC"/>
    <w:rsid w:val="00DF7FAA"/>
    <w:rsid w:val="00E00801"/>
    <w:rsid w:val="00E008A8"/>
    <w:rsid w:val="00E00938"/>
    <w:rsid w:val="00E00A3A"/>
    <w:rsid w:val="00E00AFE"/>
    <w:rsid w:val="00E00B45"/>
    <w:rsid w:val="00E00B5E"/>
    <w:rsid w:val="00E00CBF"/>
    <w:rsid w:val="00E00E8E"/>
    <w:rsid w:val="00E00F8E"/>
    <w:rsid w:val="00E00FD9"/>
    <w:rsid w:val="00E0126F"/>
    <w:rsid w:val="00E012B9"/>
    <w:rsid w:val="00E013EB"/>
    <w:rsid w:val="00E014FE"/>
    <w:rsid w:val="00E01750"/>
    <w:rsid w:val="00E01A1B"/>
    <w:rsid w:val="00E01A20"/>
    <w:rsid w:val="00E01B3D"/>
    <w:rsid w:val="00E01DB2"/>
    <w:rsid w:val="00E01FB3"/>
    <w:rsid w:val="00E021BE"/>
    <w:rsid w:val="00E022AB"/>
    <w:rsid w:val="00E026D6"/>
    <w:rsid w:val="00E02A2E"/>
    <w:rsid w:val="00E02B60"/>
    <w:rsid w:val="00E02D19"/>
    <w:rsid w:val="00E0320F"/>
    <w:rsid w:val="00E0353A"/>
    <w:rsid w:val="00E04114"/>
    <w:rsid w:val="00E0472E"/>
    <w:rsid w:val="00E04957"/>
    <w:rsid w:val="00E04D11"/>
    <w:rsid w:val="00E04D85"/>
    <w:rsid w:val="00E04E91"/>
    <w:rsid w:val="00E05043"/>
    <w:rsid w:val="00E051C6"/>
    <w:rsid w:val="00E05630"/>
    <w:rsid w:val="00E056CE"/>
    <w:rsid w:val="00E05DFC"/>
    <w:rsid w:val="00E05E13"/>
    <w:rsid w:val="00E060DD"/>
    <w:rsid w:val="00E067BA"/>
    <w:rsid w:val="00E06951"/>
    <w:rsid w:val="00E06DBB"/>
    <w:rsid w:val="00E0704F"/>
    <w:rsid w:val="00E0753C"/>
    <w:rsid w:val="00E07FB6"/>
    <w:rsid w:val="00E07FCD"/>
    <w:rsid w:val="00E10149"/>
    <w:rsid w:val="00E103B7"/>
    <w:rsid w:val="00E109F0"/>
    <w:rsid w:val="00E10F63"/>
    <w:rsid w:val="00E11249"/>
    <w:rsid w:val="00E112E7"/>
    <w:rsid w:val="00E11340"/>
    <w:rsid w:val="00E113F2"/>
    <w:rsid w:val="00E114AF"/>
    <w:rsid w:val="00E11605"/>
    <w:rsid w:val="00E116A0"/>
    <w:rsid w:val="00E11A1D"/>
    <w:rsid w:val="00E11D08"/>
    <w:rsid w:val="00E11F6C"/>
    <w:rsid w:val="00E122A1"/>
    <w:rsid w:val="00E12425"/>
    <w:rsid w:val="00E124F7"/>
    <w:rsid w:val="00E1270B"/>
    <w:rsid w:val="00E129C1"/>
    <w:rsid w:val="00E129E2"/>
    <w:rsid w:val="00E12CFC"/>
    <w:rsid w:val="00E12E36"/>
    <w:rsid w:val="00E12E9F"/>
    <w:rsid w:val="00E12F04"/>
    <w:rsid w:val="00E1327C"/>
    <w:rsid w:val="00E13761"/>
    <w:rsid w:val="00E13C09"/>
    <w:rsid w:val="00E13C53"/>
    <w:rsid w:val="00E13E07"/>
    <w:rsid w:val="00E13F3B"/>
    <w:rsid w:val="00E1418D"/>
    <w:rsid w:val="00E1439B"/>
    <w:rsid w:val="00E14C39"/>
    <w:rsid w:val="00E14C58"/>
    <w:rsid w:val="00E14E81"/>
    <w:rsid w:val="00E14FAB"/>
    <w:rsid w:val="00E150D2"/>
    <w:rsid w:val="00E1516E"/>
    <w:rsid w:val="00E152EC"/>
    <w:rsid w:val="00E1583E"/>
    <w:rsid w:val="00E15A9C"/>
    <w:rsid w:val="00E15F8F"/>
    <w:rsid w:val="00E16372"/>
    <w:rsid w:val="00E163AB"/>
    <w:rsid w:val="00E16542"/>
    <w:rsid w:val="00E16622"/>
    <w:rsid w:val="00E16681"/>
    <w:rsid w:val="00E16AD8"/>
    <w:rsid w:val="00E16B93"/>
    <w:rsid w:val="00E16E2A"/>
    <w:rsid w:val="00E17043"/>
    <w:rsid w:val="00E17134"/>
    <w:rsid w:val="00E173A0"/>
    <w:rsid w:val="00E17608"/>
    <w:rsid w:val="00E1798A"/>
    <w:rsid w:val="00E179E3"/>
    <w:rsid w:val="00E17F2B"/>
    <w:rsid w:val="00E17FFA"/>
    <w:rsid w:val="00E20075"/>
    <w:rsid w:val="00E2032A"/>
    <w:rsid w:val="00E203F1"/>
    <w:rsid w:val="00E20542"/>
    <w:rsid w:val="00E20729"/>
    <w:rsid w:val="00E208CF"/>
    <w:rsid w:val="00E2090C"/>
    <w:rsid w:val="00E209C0"/>
    <w:rsid w:val="00E20E4D"/>
    <w:rsid w:val="00E20ED6"/>
    <w:rsid w:val="00E20FAF"/>
    <w:rsid w:val="00E212DB"/>
    <w:rsid w:val="00E21358"/>
    <w:rsid w:val="00E215B4"/>
    <w:rsid w:val="00E21708"/>
    <w:rsid w:val="00E2173A"/>
    <w:rsid w:val="00E21BD0"/>
    <w:rsid w:val="00E21C23"/>
    <w:rsid w:val="00E21E1A"/>
    <w:rsid w:val="00E21F0E"/>
    <w:rsid w:val="00E2249B"/>
    <w:rsid w:val="00E2272B"/>
    <w:rsid w:val="00E228A3"/>
    <w:rsid w:val="00E22A0D"/>
    <w:rsid w:val="00E22BFC"/>
    <w:rsid w:val="00E22CDA"/>
    <w:rsid w:val="00E22D08"/>
    <w:rsid w:val="00E22D5C"/>
    <w:rsid w:val="00E22EF1"/>
    <w:rsid w:val="00E23BC9"/>
    <w:rsid w:val="00E23DD0"/>
    <w:rsid w:val="00E23F7D"/>
    <w:rsid w:val="00E24005"/>
    <w:rsid w:val="00E243FD"/>
    <w:rsid w:val="00E244F6"/>
    <w:rsid w:val="00E24AFE"/>
    <w:rsid w:val="00E24C2B"/>
    <w:rsid w:val="00E24D89"/>
    <w:rsid w:val="00E24DF1"/>
    <w:rsid w:val="00E250EB"/>
    <w:rsid w:val="00E25190"/>
    <w:rsid w:val="00E251C0"/>
    <w:rsid w:val="00E25203"/>
    <w:rsid w:val="00E25785"/>
    <w:rsid w:val="00E258DB"/>
    <w:rsid w:val="00E25CD5"/>
    <w:rsid w:val="00E25CEB"/>
    <w:rsid w:val="00E25E3D"/>
    <w:rsid w:val="00E25EFE"/>
    <w:rsid w:val="00E26638"/>
    <w:rsid w:val="00E267B8"/>
    <w:rsid w:val="00E26BA7"/>
    <w:rsid w:val="00E26E11"/>
    <w:rsid w:val="00E26E8E"/>
    <w:rsid w:val="00E26EF5"/>
    <w:rsid w:val="00E2705C"/>
    <w:rsid w:val="00E271E9"/>
    <w:rsid w:val="00E2771E"/>
    <w:rsid w:val="00E279E6"/>
    <w:rsid w:val="00E27A27"/>
    <w:rsid w:val="00E27C57"/>
    <w:rsid w:val="00E27C7E"/>
    <w:rsid w:val="00E27F38"/>
    <w:rsid w:val="00E3030F"/>
    <w:rsid w:val="00E30363"/>
    <w:rsid w:val="00E304B2"/>
    <w:rsid w:val="00E308B9"/>
    <w:rsid w:val="00E308F9"/>
    <w:rsid w:val="00E3099B"/>
    <w:rsid w:val="00E3112B"/>
    <w:rsid w:val="00E311EF"/>
    <w:rsid w:val="00E313BB"/>
    <w:rsid w:val="00E3147B"/>
    <w:rsid w:val="00E3185F"/>
    <w:rsid w:val="00E31924"/>
    <w:rsid w:val="00E31E79"/>
    <w:rsid w:val="00E32180"/>
    <w:rsid w:val="00E321C8"/>
    <w:rsid w:val="00E323D1"/>
    <w:rsid w:val="00E32445"/>
    <w:rsid w:val="00E32ABD"/>
    <w:rsid w:val="00E32CD3"/>
    <w:rsid w:val="00E32E04"/>
    <w:rsid w:val="00E32E60"/>
    <w:rsid w:val="00E32EF2"/>
    <w:rsid w:val="00E3360E"/>
    <w:rsid w:val="00E33A00"/>
    <w:rsid w:val="00E33A3D"/>
    <w:rsid w:val="00E33BD3"/>
    <w:rsid w:val="00E33CE4"/>
    <w:rsid w:val="00E33DB9"/>
    <w:rsid w:val="00E33F1D"/>
    <w:rsid w:val="00E33F6C"/>
    <w:rsid w:val="00E3407D"/>
    <w:rsid w:val="00E3419C"/>
    <w:rsid w:val="00E34294"/>
    <w:rsid w:val="00E34487"/>
    <w:rsid w:val="00E3450A"/>
    <w:rsid w:val="00E34783"/>
    <w:rsid w:val="00E348CB"/>
    <w:rsid w:val="00E348F2"/>
    <w:rsid w:val="00E34948"/>
    <w:rsid w:val="00E3513D"/>
    <w:rsid w:val="00E3515C"/>
    <w:rsid w:val="00E35AE7"/>
    <w:rsid w:val="00E35BCF"/>
    <w:rsid w:val="00E35BD4"/>
    <w:rsid w:val="00E35DE9"/>
    <w:rsid w:val="00E35E30"/>
    <w:rsid w:val="00E35F4B"/>
    <w:rsid w:val="00E36349"/>
    <w:rsid w:val="00E364AB"/>
    <w:rsid w:val="00E365ED"/>
    <w:rsid w:val="00E3668A"/>
    <w:rsid w:val="00E366A7"/>
    <w:rsid w:val="00E3673E"/>
    <w:rsid w:val="00E36874"/>
    <w:rsid w:val="00E36A7D"/>
    <w:rsid w:val="00E36ACE"/>
    <w:rsid w:val="00E36B65"/>
    <w:rsid w:val="00E36E35"/>
    <w:rsid w:val="00E37047"/>
    <w:rsid w:val="00E37569"/>
    <w:rsid w:val="00E37628"/>
    <w:rsid w:val="00E37657"/>
    <w:rsid w:val="00E37719"/>
    <w:rsid w:val="00E37857"/>
    <w:rsid w:val="00E378B5"/>
    <w:rsid w:val="00E3791C"/>
    <w:rsid w:val="00E37ED4"/>
    <w:rsid w:val="00E400D4"/>
    <w:rsid w:val="00E401B2"/>
    <w:rsid w:val="00E40231"/>
    <w:rsid w:val="00E402E4"/>
    <w:rsid w:val="00E4047C"/>
    <w:rsid w:val="00E40594"/>
    <w:rsid w:val="00E4061A"/>
    <w:rsid w:val="00E40A57"/>
    <w:rsid w:val="00E40B8E"/>
    <w:rsid w:val="00E40D70"/>
    <w:rsid w:val="00E40E36"/>
    <w:rsid w:val="00E40EF7"/>
    <w:rsid w:val="00E40FFE"/>
    <w:rsid w:val="00E41065"/>
    <w:rsid w:val="00E41325"/>
    <w:rsid w:val="00E4148E"/>
    <w:rsid w:val="00E414A6"/>
    <w:rsid w:val="00E4161F"/>
    <w:rsid w:val="00E4163F"/>
    <w:rsid w:val="00E4195F"/>
    <w:rsid w:val="00E41CAA"/>
    <w:rsid w:val="00E41E21"/>
    <w:rsid w:val="00E41E30"/>
    <w:rsid w:val="00E41FA5"/>
    <w:rsid w:val="00E42342"/>
    <w:rsid w:val="00E42457"/>
    <w:rsid w:val="00E42788"/>
    <w:rsid w:val="00E427F1"/>
    <w:rsid w:val="00E42860"/>
    <w:rsid w:val="00E42BB4"/>
    <w:rsid w:val="00E42BE6"/>
    <w:rsid w:val="00E42D74"/>
    <w:rsid w:val="00E42E0C"/>
    <w:rsid w:val="00E42F73"/>
    <w:rsid w:val="00E4326B"/>
    <w:rsid w:val="00E434B0"/>
    <w:rsid w:val="00E434DD"/>
    <w:rsid w:val="00E43684"/>
    <w:rsid w:val="00E43691"/>
    <w:rsid w:val="00E43ACD"/>
    <w:rsid w:val="00E43C0E"/>
    <w:rsid w:val="00E43D70"/>
    <w:rsid w:val="00E43ED0"/>
    <w:rsid w:val="00E43F6A"/>
    <w:rsid w:val="00E440BF"/>
    <w:rsid w:val="00E44512"/>
    <w:rsid w:val="00E4453D"/>
    <w:rsid w:val="00E44787"/>
    <w:rsid w:val="00E44DDE"/>
    <w:rsid w:val="00E44F97"/>
    <w:rsid w:val="00E4503A"/>
    <w:rsid w:val="00E45339"/>
    <w:rsid w:val="00E45439"/>
    <w:rsid w:val="00E454EE"/>
    <w:rsid w:val="00E4559F"/>
    <w:rsid w:val="00E456B6"/>
    <w:rsid w:val="00E457FC"/>
    <w:rsid w:val="00E45CCF"/>
    <w:rsid w:val="00E45CDC"/>
    <w:rsid w:val="00E46058"/>
    <w:rsid w:val="00E46135"/>
    <w:rsid w:val="00E46350"/>
    <w:rsid w:val="00E46613"/>
    <w:rsid w:val="00E466F3"/>
    <w:rsid w:val="00E468E5"/>
    <w:rsid w:val="00E4690D"/>
    <w:rsid w:val="00E46B8D"/>
    <w:rsid w:val="00E46BFB"/>
    <w:rsid w:val="00E46C66"/>
    <w:rsid w:val="00E46CA9"/>
    <w:rsid w:val="00E47214"/>
    <w:rsid w:val="00E47349"/>
    <w:rsid w:val="00E47417"/>
    <w:rsid w:val="00E474F6"/>
    <w:rsid w:val="00E47988"/>
    <w:rsid w:val="00E47B2C"/>
    <w:rsid w:val="00E47FF6"/>
    <w:rsid w:val="00E5004E"/>
    <w:rsid w:val="00E5006E"/>
    <w:rsid w:val="00E503B7"/>
    <w:rsid w:val="00E503E7"/>
    <w:rsid w:val="00E5041A"/>
    <w:rsid w:val="00E50AFD"/>
    <w:rsid w:val="00E50B4D"/>
    <w:rsid w:val="00E50E44"/>
    <w:rsid w:val="00E50E6B"/>
    <w:rsid w:val="00E50FA2"/>
    <w:rsid w:val="00E510C3"/>
    <w:rsid w:val="00E51215"/>
    <w:rsid w:val="00E5135D"/>
    <w:rsid w:val="00E5143E"/>
    <w:rsid w:val="00E51560"/>
    <w:rsid w:val="00E51821"/>
    <w:rsid w:val="00E51B52"/>
    <w:rsid w:val="00E52164"/>
    <w:rsid w:val="00E52887"/>
    <w:rsid w:val="00E528A6"/>
    <w:rsid w:val="00E52AC8"/>
    <w:rsid w:val="00E52AEE"/>
    <w:rsid w:val="00E52BCF"/>
    <w:rsid w:val="00E52C13"/>
    <w:rsid w:val="00E52C6A"/>
    <w:rsid w:val="00E52EC5"/>
    <w:rsid w:val="00E53015"/>
    <w:rsid w:val="00E53108"/>
    <w:rsid w:val="00E53250"/>
    <w:rsid w:val="00E534AA"/>
    <w:rsid w:val="00E53522"/>
    <w:rsid w:val="00E538CC"/>
    <w:rsid w:val="00E539F6"/>
    <w:rsid w:val="00E53CA8"/>
    <w:rsid w:val="00E53D89"/>
    <w:rsid w:val="00E53FC8"/>
    <w:rsid w:val="00E542E8"/>
    <w:rsid w:val="00E54302"/>
    <w:rsid w:val="00E54343"/>
    <w:rsid w:val="00E54347"/>
    <w:rsid w:val="00E5456B"/>
    <w:rsid w:val="00E54617"/>
    <w:rsid w:val="00E546C3"/>
    <w:rsid w:val="00E54F49"/>
    <w:rsid w:val="00E55224"/>
    <w:rsid w:val="00E55424"/>
    <w:rsid w:val="00E5563E"/>
    <w:rsid w:val="00E55704"/>
    <w:rsid w:val="00E558C8"/>
    <w:rsid w:val="00E55915"/>
    <w:rsid w:val="00E55B2F"/>
    <w:rsid w:val="00E55BB5"/>
    <w:rsid w:val="00E55E69"/>
    <w:rsid w:val="00E55F08"/>
    <w:rsid w:val="00E5613D"/>
    <w:rsid w:val="00E5620E"/>
    <w:rsid w:val="00E564DC"/>
    <w:rsid w:val="00E564E7"/>
    <w:rsid w:val="00E5663D"/>
    <w:rsid w:val="00E567F5"/>
    <w:rsid w:val="00E568E1"/>
    <w:rsid w:val="00E56CCB"/>
    <w:rsid w:val="00E57187"/>
    <w:rsid w:val="00E575F2"/>
    <w:rsid w:val="00E578DB"/>
    <w:rsid w:val="00E57951"/>
    <w:rsid w:val="00E579FE"/>
    <w:rsid w:val="00E57ACA"/>
    <w:rsid w:val="00E57E9E"/>
    <w:rsid w:val="00E60009"/>
    <w:rsid w:val="00E600B7"/>
    <w:rsid w:val="00E601D1"/>
    <w:rsid w:val="00E60261"/>
    <w:rsid w:val="00E60295"/>
    <w:rsid w:val="00E603E7"/>
    <w:rsid w:val="00E60575"/>
    <w:rsid w:val="00E609BD"/>
    <w:rsid w:val="00E60E21"/>
    <w:rsid w:val="00E611A1"/>
    <w:rsid w:val="00E611DF"/>
    <w:rsid w:val="00E6139B"/>
    <w:rsid w:val="00E61419"/>
    <w:rsid w:val="00E61897"/>
    <w:rsid w:val="00E61921"/>
    <w:rsid w:val="00E61935"/>
    <w:rsid w:val="00E61FB2"/>
    <w:rsid w:val="00E620F9"/>
    <w:rsid w:val="00E62358"/>
    <w:rsid w:val="00E6276D"/>
    <w:rsid w:val="00E628FE"/>
    <w:rsid w:val="00E62A6B"/>
    <w:rsid w:val="00E62C03"/>
    <w:rsid w:val="00E62CB9"/>
    <w:rsid w:val="00E62CC7"/>
    <w:rsid w:val="00E63766"/>
    <w:rsid w:val="00E6378D"/>
    <w:rsid w:val="00E637D2"/>
    <w:rsid w:val="00E6380A"/>
    <w:rsid w:val="00E63999"/>
    <w:rsid w:val="00E63C3D"/>
    <w:rsid w:val="00E63D16"/>
    <w:rsid w:val="00E63DF5"/>
    <w:rsid w:val="00E63EB2"/>
    <w:rsid w:val="00E64028"/>
    <w:rsid w:val="00E64436"/>
    <w:rsid w:val="00E64507"/>
    <w:rsid w:val="00E6487A"/>
    <w:rsid w:val="00E64B76"/>
    <w:rsid w:val="00E64E39"/>
    <w:rsid w:val="00E64F01"/>
    <w:rsid w:val="00E64F7C"/>
    <w:rsid w:val="00E650B6"/>
    <w:rsid w:val="00E65388"/>
    <w:rsid w:val="00E6573D"/>
    <w:rsid w:val="00E658FB"/>
    <w:rsid w:val="00E658FD"/>
    <w:rsid w:val="00E65AF2"/>
    <w:rsid w:val="00E65C38"/>
    <w:rsid w:val="00E65E79"/>
    <w:rsid w:val="00E65EB1"/>
    <w:rsid w:val="00E66113"/>
    <w:rsid w:val="00E6614A"/>
    <w:rsid w:val="00E6614D"/>
    <w:rsid w:val="00E66164"/>
    <w:rsid w:val="00E6623E"/>
    <w:rsid w:val="00E66BA2"/>
    <w:rsid w:val="00E66C32"/>
    <w:rsid w:val="00E66DC1"/>
    <w:rsid w:val="00E67057"/>
    <w:rsid w:val="00E671FF"/>
    <w:rsid w:val="00E6721B"/>
    <w:rsid w:val="00E67416"/>
    <w:rsid w:val="00E675AF"/>
    <w:rsid w:val="00E6788B"/>
    <w:rsid w:val="00E679DA"/>
    <w:rsid w:val="00E67AB6"/>
    <w:rsid w:val="00E67B66"/>
    <w:rsid w:val="00E67E54"/>
    <w:rsid w:val="00E67EEA"/>
    <w:rsid w:val="00E702FA"/>
    <w:rsid w:val="00E70365"/>
    <w:rsid w:val="00E703D2"/>
    <w:rsid w:val="00E70418"/>
    <w:rsid w:val="00E708B1"/>
    <w:rsid w:val="00E70A89"/>
    <w:rsid w:val="00E70AB1"/>
    <w:rsid w:val="00E70D68"/>
    <w:rsid w:val="00E711DF"/>
    <w:rsid w:val="00E71476"/>
    <w:rsid w:val="00E71610"/>
    <w:rsid w:val="00E717EA"/>
    <w:rsid w:val="00E718B6"/>
    <w:rsid w:val="00E71AAA"/>
    <w:rsid w:val="00E71BDA"/>
    <w:rsid w:val="00E71C97"/>
    <w:rsid w:val="00E71CA1"/>
    <w:rsid w:val="00E72211"/>
    <w:rsid w:val="00E72245"/>
    <w:rsid w:val="00E723BA"/>
    <w:rsid w:val="00E7242C"/>
    <w:rsid w:val="00E7243B"/>
    <w:rsid w:val="00E72719"/>
    <w:rsid w:val="00E72804"/>
    <w:rsid w:val="00E728D4"/>
    <w:rsid w:val="00E73252"/>
    <w:rsid w:val="00E73303"/>
    <w:rsid w:val="00E73382"/>
    <w:rsid w:val="00E73581"/>
    <w:rsid w:val="00E735BF"/>
    <w:rsid w:val="00E74072"/>
    <w:rsid w:val="00E7418D"/>
    <w:rsid w:val="00E74421"/>
    <w:rsid w:val="00E7447C"/>
    <w:rsid w:val="00E745EA"/>
    <w:rsid w:val="00E747FD"/>
    <w:rsid w:val="00E7489F"/>
    <w:rsid w:val="00E74C22"/>
    <w:rsid w:val="00E74D5A"/>
    <w:rsid w:val="00E74F64"/>
    <w:rsid w:val="00E7525D"/>
    <w:rsid w:val="00E7538B"/>
    <w:rsid w:val="00E7553C"/>
    <w:rsid w:val="00E75AD4"/>
    <w:rsid w:val="00E75CE1"/>
    <w:rsid w:val="00E75DE1"/>
    <w:rsid w:val="00E76090"/>
    <w:rsid w:val="00E760E4"/>
    <w:rsid w:val="00E7648B"/>
    <w:rsid w:val="00E764F5"/>
    <w:rsid w:val="00E76C46"/>
    <w:rsid w:val="00E774D8"/>
    <w:rsid w:val="00E776B7"/>
    <w:rsid w:val="00E779FE"/>
    <w:rsid w:val="00E77BEB"/>
    <w:rsid w:val="00E77CE1"/>
    <w:rsid w:val="00E77D4D"/>
    <w:rsid w:val="00E77F69"/>
    <w:rsid w:val="00E80426"/>
    <w:rsid w:val="00E80885"/>
    <w:rsid w:val="00E81012"/>
    <w:rsid w:val="00E81465"/>
    <w:rsid w:val="00E817FD"/>
    <w:rsid w:val="00E81DBB"/>
    <w:rsid w:val="00E8257C"/>
    <w:rsid w:val="00E82767"/>
    <w:rsid w:val="00E828B4"/>
    <w:rsid w:val="00E8292B"/>
    <w:rsid w:val="00E82BAA"/>
    <w:rsid w:val="00E82C05"/>
    <w:rsid w:val="00E82F7F"/>
    <w:rsid w:val="00E8304F"/>
    <w:rsid w:val="00E83216"/>
    <w:rsid w:val="00E833B3"/>
    <w:rsid w:val="00E833F7"/>
    <w:rsid w:val="00E83A7D"/>
    <w:rsid w:val="00E83BDF"/>
    <w:rsid w:val="00E83E5F"/>
    <w:rsid w:val="00E83FB6"/>
    <w:rsid w:val="00E84083"/>
    <w:rsid w:val="00E841AB"/>
    <w:rsid w:val="00E84580"/>
    <w:rsid w:val="00E84779"/>
    <w:rsid w:val="00E849B4"/>
    <w:rsid w:val="00E84E57"/>
    <w:rsid w:val="00E8500D"/>
    <w:rsid w:val="00E856C0"/>
    <w:rsid w:val="00E85720"/>
    <w:rsid w:val="00E8577E"/>
    <w:rsid w:val="00E85A8B"/>
    <w:rsid w:val="00E85B62"/>
    <w:rsid w:val="00E85FBF"/>
    <w:rsid w:val="00E8617E"/>
    <w:rsid w:val="00E861CA"/>
    <w:rsid w:val="00E86239"/>
    <w:rsid w:val="00E867B2"/>
    <w:rsid w:val="00E86871"/>
    <w:rsid w:val="00E869D6"/>
    <w:rsid w:val="00E86B72"/>
    <w:rsid w:val="00E86D14"/>
    <w:rsid w:val="00E86DF7"/>
    <w:rsid w:val="00E86FCC"/>
    <w:rsid w:val="00E87367"/>
    <w:rsid w:val="00E873DD"/>
    <w:rsid w:val="00E87401"/>
    <w:rsid w:val="00E8761E"/>
    <w:rsid w:val="00E876F3"/>
    <w:rsid w:val="00E878C2"/>
    <w:rsid w:val="00E879E8"/>
    <w:rsid w:val="00E87A1D"/>
    <w:rsid w:val="00E87B77"/>
    <w:rsid w:val="00E90000"/>
    <w:rsid w:val="00E90484"/>
    <w:rsid w:val="00E90597"/>
    <w:rsid w:val="00E906DA"/>
    <w:rsid w:val="00E9075A"/>
    <w:rsid w:val="00E90794"/>
    <w:rsid w:val="00E90860"/>
    <w:rsid w:val="00E9090C"/>
    <w:rsid w:val="00E9094A"/>
    <w:rsid w:val="00E9094E"/>
    <w:rsid w:val="00E90AA3"/>
    <w:rsid w:val="00E90AA9"/>
    <w:rsid w:val="00E90BFE"/>
    <w:rsid w:val="00E90DB6"/>
    <w:rsid w:val="00E90EB2"/>
    <w:rsid w:val="00E912A3"/>
    <w:rsid w:val="00E91557"/>
    <w:rsid w:val="00E916C2"/>
    <w:rsid w:val="00E9195C"/>
    <w:rsid w:val="00E91D35"/>
    <w:rsid w:val="00E92512"/>
    <w:rsid w:val="00E926A5"/>
    <w:rsid w:val="00E92705"/>
    <w:rsid w:val="00E928AF"/>
    <w:rsid w:val="00E929A1"/>
    <w:rsid w:val="00E92B14"/>
    <w:rsid w:val="00E92C70"/>
    <w:rsid w:val="00E92C7F"/>
    <w:rsid w:val="00E92D26"/>
    <w:rsid w:val="00E92E32"/>
    <w:rsid w:val="00E930FC"/>
    <w:rsid w:val="00E931A1"/>
    <w:rsid w:val="00E9331B"/>
    <w:rsid w:val="00E9337D"/>
    <w:rsid w:val="00E93413"/>
    <w:rsid w:val="00E93A53"/>
    <w:rsid w:val="00E93B11"/>
    <w:rsid w:val="00E94099"/>
    <w:rsid w:val="00E946FA"/>
    <w:rsid w:val="00E94870"/>
    <w:rsid w:val="00E94C51"/>
    <w:rsid w:val="00E94E7C"/>
    <w:rsid w:val="00E95556"/>
    <w:rsid w:val="00E95580"/>
    <w:rsid w:val="00E957BA"/>
    <w:rsid w:val="00E95B7F"/>
    <w:rsid w:val="00E95B9D"/>
    <w:rsid w:val="00E95E66"/>
    <w:rsid w:val="00E962CC"/>
    <w:rsid w:val="00E96626"/>
    <w:rsid w:val="00E96AF7"/>
    <w:rsid w:val="00E96CCD"/>
    <w:rsid w:val="00E96FD3"/>
    <w:rsid w:val="00E96FFA"/>
    <w:rsid w:val="00E971C7"/>
    <w:rsid w:val="00E97324"/>
    <w:rsid w:val="00E974AA"/>
    <w:rsid w:val="00E97626"/>
    <w:rsid w:val="00E976FE"/>
    <w:rsid w:val="00E97957"/>
    <w:rsid w:val="00E97DB0"/>
    <w:rsid w:val="00E97E76"/>
    <w:rsid w:val="00E97EB5"/>
    <w:rsid w:val="00E97F62"/>
    <w:rsid w:val="00EA0095"/>
    <w:rsid w:val="00EA017D"/>
    <w:rsid w:val="00EA0270"/>
    <w:rsid w:val="00EA02AA"/>
    <w:rsid w:val="00EA02B6"/>
    <w:rsid w:val="00EA03AA"/>
    <w:rsid w:val="00EA0531"/>
    <w:rsid w:val="00EA05A5"/>
    <w:rsid w:val="00EA0788"/>
    <w:rsid w:val="00EA0892"/>
    <w:rsid w:val="00EA0B72"/>
    <w:rsid w:val="00EA0C52"/>
    <w:rsid w:val="00EA0EDC"/>
    <w:rsid w:val="00EA0F56"/>
    <w:rsid w:val="00EA11B4"/>
    <w:rsid w:val="00EA1264"/>
    <w:rsid w:val="00EA1329"/>
    <w:rsid w:val="00EA1352"/>
    <w:rsid w:val="00EA1778"/>
    <w:rsid w:val="00EA17C3"/>
    <w:rsid w:val="00EA182D"/>
    <w:rsid w:val="00EA1A62"/>
    <w:rsid w:val="00EA1A7D"/>
    <w:rsid w:val="00EA1B85"/>
    <w:rsid w:val="00EA1BCD"/>
    <w:rsid w:val="00EA1C01"/>
    <w:rsid w:val="00EA1CC5"/>
    <w:rsid w:val="00EA20BC"/>
    <w:rsid w:val="00EA234C"/>
    <w:rsid w:val="00EA236B"/>
    <w:rsid w:val="00EA279E"/>
    <w:rsid w:val="00EA27AA"/>
    <w:rsid w:val="00EA27C4"/>
    <w:rsid w:val="00EA287C"/>
    <w:rsid w:val="00EA29B1"/>
    <w:rsid w:val="00EA2A10"/>
    <w:rsid w:val="00EA2B67"/>
    <w:rsid w:val="00EA2CAA"/>
    <w:rsid w:val="00EA2F66"/>
    <w:rsid w:val="00EA372B"/>
    <w:rsid w:val="00EA3864"/>
    <w:rsid w:val="00EA3ADB"/>
    <w:rsid w:val="00EA3C2A"/>
    <w:rsid w:val="00EA3F37"/>
    <w:rsid w:val="00EA4231"/>
    <w:rsid w:val="00EA4238"/>
    <w:rsid w:val="00EA42C5"/>
    <w:rsid w:val="00EA4372"/>
    <w:rsid w:val="00EA44FF"/>
    <w:rsid w:val="00EA4C86"/>
    <w:rsid w:val="00EA4D41"/>
    <w:rsid w:val="00EA4E2D"/>
    <w:rsid w:val="00EA51F4"/>
    <w:rsid w:val="00EA5B22"/>
    <w:rsid w:val="00EA5BB8"/>
    <w:rsid w:val="00EA5C8A"/>
    <w:rsid w:val="00EA5DEE"/>
    <w:rsid w:val="00EA633E"/>
    <w:rsid w:val="00EA643A"/>
    <w:rsid w:val="00EA64C1"/>
    <w:rsid w:val="00EA67B2"/>
    <w:rsid w:val="00EA6A07"/>
    <w:rsid w:val="00EA6DEB"/>
    <w:rsid w:val="00EA6FDC"/>
    <w:rsid w:val="00EA7704"/>
    <w:rsid w:val="00EA776D"/>
    <w:rsid w:val="00EA7F1C"/>
    <w:rsid w:val="00EB0014"/>
    <w:rsid w:val="00EB0189"/>
    <w:rsid w:val="00EB0370"/>
    <w:rsid w:val="00EB068E"/>
    <w:rsid w:val="00EB085E"/>
    <w:rsid w:val="00EB0A6C"/>
    <w:rsid w:val="00EB0B5F"/>
    <w:rsid w:val="00EB147A"/>
    <w:rsid w:val="00EB15B6"/>
    <w:rsid w:val="00EB1692"/>
    <w:rsid w:val="00EB1873"/>
    <w:rsid w:val="00EB19B7"/>
    <w:rsid w:val="00EB1BBC"/>
    <w:rsid w:val="00EB1D97"/>
    <w:rsid w:val="00EB1DEE"/>
    <w:rsid w:val="00EB208F"/>
    <w:rsid w:val="00EB23B7"/>
    <w:rsid w:val="00EB25BC"/>
    <w:rsid w:val="00EB30CF"/>
    <w:rsid w:val="00EB3176"/>
    <w:rsid w:val="00EB3198"/>
    <w:rsid w:val="00EB32D3"/>
    <w:rsid w:val="00EB3476"/>
    <w:rsid w:val="00EB3B98"/>
    <w:rsid w:val="00EB3D06"/>
    <w:rsid w:val="00EB452E"/>
    <w:rsid w:val="00EB456D"/>
    <w:rsid w:val="00EB4812"/>
    <w:rsid w:val="00EB4865"/>
    <w:rsid w:val="00EB489D"/>
    <w:rsid w:val="00EB4916"/>
    <w:rsid w:val="00EB491C"/>
    <w:rsid w:val="00EB492E"/>
    <w:rsid w:val="00EB4AAB"/>
    <w:rsid w:val="00EB4AF5"/>
    <w:rsid w:val="00EB4B3B"/>
    <w:rsid w:val="00EB4CD3"/>
    <w:rsid w:val="00EB4E08"/>
    <w:rsid w:val="00EB4E78"/>
    <w:rsid w:val="00EB5164"/>
    <w:rsid w:val="00EB5176"/>
    <w:rsid w:val="00EB5190"/>
    <w:rsid w:val="00EB54A0"/>
    <w:rsid w:val="00EB5510"/>
    <w:rsid w:val="00EB5635"/>
    <w:rsid w:val="00EB5650"/>
    <w:rsid w:val="00EB56E2"/>
    <w:rsid w:val="00EB5F74"/>
    <w:rsid w:val="00EB602E"/>
    <w:rsid w:val="00EB60F3"/>
    <w:rsid w:val="00EB63A2"/>
    <w:rsid w:val="00EB63F9"/>
    <w:rsid w:val="00EB649A"/>
    <w:rsid w:val="00EB64A9"/>
    <w:rsid w:val="00EB659D"/>
    <w:rsid w:val="00EB6766"/>
    <w:rsid w:val="00EB67B4"/>
    <w:rsid w:val="00EB697C"/>
    <w:rsid w:val="00EB7285"/>
    <w:rsid w:val="00EB72F1"/>
    <w:rsid w:val="00EB75C2"/>
    <w:rsid w:val="00EB75C7"/>
    <w:rsid w:val="00EB76F5"/>
    <w:rsid w:val="00EB77DE"/>
    <w:rsid w:val="00EC00C9"/>
    <w:rsid w:val="00EC00FD"/>
    <w:rsid w:val="00EC0135"/>
    <w:rsid w:val="00EC0589"/>
    <w:rsid w:val="00EC05B0"/>
    <w:rsid w:val="00EC0DD9"/>
    <w:rsid w:val="00EC0F7F"/>
    <w:rsid w:val="00EC0FC0"/>
    <w:rsid w:val="00EC0FC5"/>
    <w:rsid w:val="00EC1077"/>
    <w:rsid w:val="00EC119B"/>
    <w:rsid w:val="00EC13B9"/>
    <w:rsid w:val="00EC1430"/>
    <w:rsid w:val="00EC1661"/>
    <w:rsid w:val="00EC1A5F"/>
    <w:rsid w:val="00EC1C06"/>
    <w:rsid w:val="00EC1C89"/>
    <w:rsid w:val="00EC1DCD"/>
    <w:rsid w:val="00EC2649"/>
    <w:rsid w:val="00EC2A8E"/>
    <w:rsid w:val="00EC31ED"/>
    <w:rsid w:val="00EC353E"/>
    <w:rsid w:val="00EC362F"/>
    <w:rsid w:val="00EC3767"/>
    <w:rsid w:val="00EC3E63"/>
    <w:rsid w:val="00EC3E99"/>
    <w:rsid w:val="00EC435E"/>
    <w:rsid w:val="00EC438F"/>
    <w:rsid w:val="00EC4423"/>
    <w:rsid w:val="00EC44E5"/>
    <w:rsid w:val="00EC45F3"/>
    <w:rsid w:val="00EC4967"/>
    <w:rsid w:val="00EC50CF"/>
    <w:rsid w:val="00EC51BD"/>
    <w:rsid w:val="00EC5442"/>
    <w:rsid w:val="00EC5836"/>
    <w:rsid w:val="00EC5D46"/>
    <w:rsid w:val="00EC5D84"/>
    <w:rsid w:val="00EC5E85"/>
    <w:rsid w:val="00EC61C1"/>
    <w:rsid w:val="00EC6665"/>
    <w:rsid w:val="00EC6806"/>
    <w:rsid w:val="00EC688C"/>
    <w:rsid w:val="00EC6911"/>
    <w:rsid w:val="00EC695C"/>
    <w:rsid w:val="00EC6A7F"/>
    <w:rsid w:val="00EC7023"/>
    <w:rsid w:val="00EC70AF"/>
    <w:rsid w:val="00EC73F6"/>
    <w:rsid w:val="00EC7536"/>
    <w:rsid w:val="00EC769E"/>
    <w:rsid w:val="00EC789D"/>
    <w:rsid w:val="00EC7AB4"/>
    <w:rsid w:val="00EC7CDF"/>
    <w:rsid w:val="00EC7E88"/>
    <w:rsid w:val="00EC7E8C"/>
    <w:rsid w:val="00ED03F1"/>
    <w:rsid w:val="00ED0616"/>
    <w:rsid w:val="00ED069A"/>
    <w:rsid w:val="00ED07B9"/>
    <w:rsid w:val="00ED0CBB"/>
    <w:rsid w:val="00ED0FAC"/>
    <w:rsid w:val="00ED11A4"/>
    <w:rsid w:val="00ED12B4"/>
    <w:rsid w:val="00ED12B8"/>
    <w:rsid w:val="00ED12BA"/>
    <w:rsid w:val="00ED12E3"/>
    <w:rsid w:val="00ED147E"/>
    <w:rsid w:val="00ED14BA"/>
    <w:rsid w:val="00ED16EF"/>
    <w:rsid w:val="00ED17F3"/>
    <w:rsid w:val="00ED18ED"/>
    <w:rsid w:val="00ED20C8"/>
    <w:rsid w:val="00ED2212"/>
    <w:rsid w:val="00ED22E4"/>
    <w:rsid w:val="00ED276B"/>
    <w:rsid w:val="00ED2C33"/>
    <w:rsid w:val="00ED2CCB"/>
    <w:rsid w:val="00ED2ED3"/>
    <w:rsid w:val="00ED2EE3"/>
    <w:rsid w:val="00ED3422"/>
    <w:rsid w:val="00ED3529"/>
    <w:rsid w:val="00ED375C"/>
    <w:rsid w:val="00ED381C"/>
    <w:rsid w:val="00ED3910"/>
    <w:rsid w:val="00ED395D"/>
    <w:rsid w:val="00ED3A2F"/>
    <w:rsid w:val="00ED3ACA"/>
    <w:rsid w:val="00ED3DA2"/>
    <w:rsid w:val="00ED3F63"/>
    <w:rsid w:val="00ED4973"/>
    <w:rsid w:val="00ED4B04"/>
    <w:rsid w:val="00ED4B95"/>
    <w:rsid w:val="00ED4C3C"/>
    <w:rsid w:val="00ED4C73"/>
    <w:rsid w:val="00ED4E2A"/>
    <w:rsid w:val="00ED5254"/>
    <w:rsid w:val="00ED5381"/>
    <w:rsid w:val="00ED5647"/>
    <w:rsid w:val="00ED56C9"/>
    <w:rsid w:val="00ED57EA"/>
    <w:rsid w:val="00ED5BD4"/>
    <w:rsid w:val="00ED5D07"/>
    <w:rsid w:val="00ED60D5"/>
    <w:rsid w:val="00ED6437"/>
    <w:rsid w:val="00ED652E"/>
    <w:rsid w:val="00ED6618"/>
    <w:rsid w:val="00ED6823"/>
    <w:rsid w:val="00ED6D53"/>
    <w:rsid w:val="00ED6DCD"/>
    <w:rsid w:val="00ED6FA4"/>
    <w:rsid w:val="00ED71F4"/>
    <w:rsid w:val="00ED7250"/>
    <w:rsid w:val="00ED75C5"/>
    <w:rsid w:val="00ED77A0"/>
    <w:rsid w:val="00ED7BF1"/>
    <w:rsid w:val="00ED7C37"/>
    <w:rsid w:val="00ED7D21"/>
    <w:rsid w:val="00ED7DE6"/>
    <w:rsid w:val="00EE01B1"/>
    <w:rsid w:val="00EE05AE"/>
    <w:rsid w:val="00EE07D3"/>
    <w:rsid w:val="00EE0832"/>
    <w:rsid w:val="00EE0930"/>
    <w:rsid w:val="00EE0BE4"/>
    <w:rsid w:val="00EE0CA3"/>
    <w:rsid w:val="00EE0CBA"/>
    <w:rsid w:val="00EE0D63"/>
    <w:rsid w:val="00EE0D64"/>
    <w:rsid w:val="00EE10E1"/>
    <w:rsid w:val="00EE1536"/>
    <w:rsid w:val="00EE16C3"/>
    <w:rsid w:val="00EE1996"/>
    <w:rsid w:val="00EE1C01"/>
    <w:rsid w:val="00EE1DD3"/>
    <w:rsid w:val="00EE1E79"/>
    <w:rsid w:val="00EE1E87"/>
    <w:rsid w:val="00EE22AF"/>
    <w:rsid w:val="00EE245B"/>
    <w:rsid w:val="00EE2752"/>
    <w:rsid w:val="00EE281E"/>
    <w:rsid w:val="00EE2971"/>
    <w:rsid w:val="00EE2A76"/>
    <w:rsid w:val="00EE2A83"/>
    <w:rsid w:val="00EE2AE9"/>
    <w:rsid w:val="00EE2D16"/>
    <w:rsid w:val="00EE2E6F"/>
    <w:rsid w:val="00EE3244"/>
    <w:rsid w:val="00EE3323"/>
    <w:rsid w:val="00EE363A"/>
    <w:rsid w:val="00EE40AE"/>
    <w:rsid w:val="00EE462D"/>
    <w:rsid w:val="00EE4868"/>
    <w:rsid w:val="00EE4CEA"/>
    <w:rsid w:val="00EE4D78"/>
    <w:rsid w:val="00EE4D92"/>
    <w:rsid w:val="00EE4DAA"/>
    <w:rsid w:val="00EE4E97"/>
    <w:rsid w:val="00EE527B"/>
    <w:rsid w:val="00EE54B7"/>
    <w:rsid w:val="00EE585A"/>
    <w:rsid w:val="00EE5CBC"/>
    <w:rsid w:val="00EE5EDF"/>
    <w:rsid w:val="00EE6449"/>
    <w:rsid w:val="00EE64FB"/>
    <w:rsid w:val="00EE651A"/>
    <w:rsid w:val="00EE675E"/>
    <w:rsid w:val="00EE694F"/>
    <w:rsid w:val="00EE6B7F"/>
    <w:rsid w:val="00EE6BC0"/>
    <w:rsid w:val="00EE6C79"/>
    <w:rsid w:val="00EE7434"/>
    <w:rsid w:val="00EE747B"/>
    <w:rsid w:val="00EE778B"/>
    <w:rsid w:val="00EE7798"/>
    <w:rsid w:val="00EE7948"/>
    <w:rsid w:val="00EE7AD4"/>
    <w:rsid w:val="00EF0171"/>
    <w:rsid w:val="00EF0914"/>
    <w:rsid w:val="00EF0B48"/>
    <w:rsid w:val="00EF0CA5"/>
    <w:rsid w:val="00EF1675"/>
    <w:rsid w:val="00EF1791"/>
    <w:rsid w:val="00EF19FE"/>
    <w:rsid w:val="00EF1B25"/>
    <w:rsid w:val="00EF1D6A"/>
    <w:rsid w:val="00EF1DA0"/>
    <w:rsid w:val="00EF2345"/>
    <w:rsid w:val="00EF25F3"/>
    <w:rsid w:val="00EF26BD"/>
    <w:rsid w:val="00EF29CE"/>
    <w:rsid w:val="00EF2A33"/>
    <w:rsid w:val="00EF2E13"/>
    <w:rsid w:val="00EF2E26"/>
    <w:rsid w:val="00EF2E72"/>
    <w:rsid w:val="00EF3063"/>
    <w:rsid w:val="00EF313C"/>
    <w:rsid w:val="00EF3221"/>
    <w:rsid w:val="00EF32B0"/>
    <w:rsid w:val="00EF354A"/>
    <w:rsid w:val="00EF3761"/>
    <w:rsid w:val="00EF3773"/>
    <w:rsid w:val="00EF3BC2"/>
    <w:rsid w:val="00EF3D5D"/>
    <w:rsid w:val="00EF3DE4"/>
    <w:rsid w:val="00EF3F06"/>
    <w:rsid w:val="00EF4741"/>
    <w:rsid w:val="00EF4747"/>
    <w:rsid w:val="00EF4AD6"/>
    <w:rsid w:val="00EF4B3B"/>
    <w:rsid w:val="00EF4BF8"/>
    <w:rsid w:val="00EF5174"/>
    <w:rsid w:val="00EF51B3"/>
    <w:rsid w:val="00EF51C7"/>
    <w:rsid w:val="00EF5302"/>
    <w:rsid w:val="00EF53D2"/>
    <w:rsid w:val="00EF53DC"/>
    <w:rsid w:val="00EF5626"/>
    <w:rsid w:val="00EF5920"/>
    <w:rsid w:val="00EF5989"/>
    <w:rsid w:val="00EF5A3A"/>
    <w:rsid w:val="00EF5F79"/>
    <w:rsid w:val="00EF654E"/>
    <w:rsid w:val="00EF6639"/>
    <w:rsid w:val="00EF6BF2"/>
    <w:rsid w:val="00EF6DE6"/>
    <w:rsid w:val="00EF7780"/>
    <w:rsid w:val="00EF78B2"/>
    <w:rsid w:val="00EF7CDC"/>
    <w:rsid w:val="00EF7E4E"/>
    <w:rsid w:val="00EF7E6F"/>
    <w:rsid w:val="00F00040"/>
    <w:rsid w:val="00F006F8"/>
    <w:rsid w:val="00F009BC"/>
    <w:rsid w:val="00F00BCB"/>
    <w:rsid w:val="00F00C38"/>
    <w:rsid w:val="00F00C51"/>
    <w:rsid w:val="00F00CFB"/>
    <w:rsid w:val="00F0116D"/>
    <w:rsid w:val="00F01207"/>
    <w:rsid w:val="00F012DF"/>
    <w:rsid w:val="00F013E6"/>
    <w:rsid w:val="00F0147E"/>
    <w:rsid w:val="00F014D6"/>
    <w:rsid w:val="00F01AFC"/>
    <w:rsid w:val="00F01E7C"/>
    <w:rsid w:val="00F02253"/>
    <w:rsid w:val="00F022E8"/>
    <w:rsid w:val="00F0236D"/>
    <w:rsid w:val="00F02548"/>
    <w:rsid w:val="00F0261E"/>
    <w:rsid w:val="00F02AF0"/>
    <w:rsid w:val="00F02C72"/>
    <w:rsid w:val="00F03710"/>
    <w:rsid w:val="00F03729"/>
    <w:rsid w:val="00F03B17"/>
    <w:rsid w:val="00F03B29"/>
    <w:rsid w:val="00F03BF2"/>
    <w:rsid w:val="00F03C2E"/>
    <w:rsid w:val="00F03CB8"/>
    <w:rsid w:val="00F03D7B"/>
    <w:rsid w:val="00F03F50"/>
    <w:rsid w:val="00F04078"/>
    <w:rsid w:val="00F04216"/>
    <w:rsid w:val="00F04336"/>
    <w:rsid w:val="00F0441E"/>
    <w:rsid w:val="00F047CE"/>
    <w:rsid w:val="00F049D7"/>
    <w:rsid w:val="00F04A66"/>
    <w:rsid w:val="00F04B4B"/>
    <w:rsid w:val="00F04DC2"/>
    <w:rsid w:val="00F04DE1"/>
    <w:rsid w:val="00F04ED0"/>
    <w:rsid w:val="00F0511A"/>
    <w:rsid w:val="00F0516C"/>
    <w:rsid w:val="00F05220"/>
    <w:rsid w:val="00F05428"/>
    <w:rsid w:val="00F0546B"/>
    <w:rsid w:val="00F0569C"/>
    <w:rsid w:val="00F05A70"/>
    <w:rsid w:val="00F05BD3"/>
    <w:rsid w:val="00F05CFA"/>
    <w:rsid w:val="00F05F72"/>
    <w:rsid w:val="00F06233"/>
    <w:rsid w:val="00F06281"/>
    <w:rsid w:val="00F0647C"/>
    <w:rsid w:val="00F06751"/>
    <w:rsid w:val="00F067A2"/>
    <w:rsid w:val="00F069B8"/>
    <w:rsid w:val="00F069E5"/>
    <w:rsid w:val="00F06B31"/>
    <w:rsid w:val="00F06FA0"/>
    <w:rsid w:val="00F072CA"/>
    <w:rsid w:val="00F073AD"/>
    <w:rsid w:val="00F0748C"/>
    <w:rsid w:val="00F078C4"/>
    <w:rsid w:val="00F079BE"/>
    <w:rsid w:val="00F07B9E"/>
    <w:rsid w:val="00F10414"/>
    <w:rsid w:val="00F10715"/>
    <w:rsid w:val="00F10841"/>
    <w:rsid w:val="00F10885"/>
    <w:rsid w:val="00F10975"/>
    <w:rsid w:val="00F10D16"/>
    <w:rsid w:val="00F10E8C"/>
    <w:rsid w:val="00F110A0"/>
    <w:rsid w:val="00F1116F"/>
    <w:rsid w:val="00F1145F"/>
    <w:rsid w:val="00F11695"/>
    <w:rsid w:val="00F1173D"/>
    <w:rsid w:val="00F11804"/>
    <w:rsid w:val="00F119DD"/>
    <w:rsid w:val="00F11D23"/>
    <w:rsid w:val="00F11DBD"/>
    <w:rsid w:val="00F11EF7"/>
    <w:rsid w:val="00F1223F"/>
    <w:rsid w:val="00F122A8"/>
    <w:rsid w:val="00F125CA"/>
    <w:rsid w:val="00F1263A"/>
    <w:rsid w:val="00F12FFA"/>
    <w:rsid w:val="00F1323C"/>
    <w:rsid w:val="00F132E2"/>
    <w:rsid w:val="00F1348D"/>
    <w:rsid w:val="00F138BC"/>
    <w:rsid w:val="00F139C5"/>
    <w:rsid w:val="00F13FA4"/>
    <w:rsid w:val="00F14513"/>
    <w:rsid w:val="00F1458D"/>
    <w:rsid w:val="00F14779"/>
    <w:rsid w:val="00F14CD1"/>
    <w:rsid w:val="00F14FC4"/>
    <w:rsid w:val="00F1519D"/>
    <w:rsid w:val="00F1533B"/>
    <w:rsid w:val="00F15697"/>
    <w:rsid w:val="00F15843"/>
    <w:rsid w:val="00F15A1E"/>
    <w:rsid w:val="00F15A35"/>
    <w:rsid w:val="00F15B77"/>
    <w:rsid w:val="00F15B97"/>
    <w:rsid w:val="00F15BB7"/>
    <w:rsid w:val="00F15C8F"/>
    <w:rsid w:val="00F15CAD"/>
    <w:rsid w:val="00F15D5C"/>
    <w:rsid w:val="00F16049"/>
    <w:rsid w:val="00F1614A"/>
    <w:rsid w:val="00F1654C"/>
    <w:rsid w:val="00F16692"/>
    <w:rsid w:val="00F16812"/>
    <w:rsid w:val="00F172F1"/>
    <w:rsid w:val="00F173F5"/>
    <w:rsid w:val="00F179D4"/>
    <w:rsid w:val="00F200BE"/>
    <w:rsid w:val="00F201FA"/>
    <w:rsid w:val="00F205DF"/>
    <w:rsid w:val="00F20666"/>
    <w:rsid w:val="00F20B1D"/>
    <w:rsid w:val="00F20B41"/>
    <w:rsid w:val="00F20B63"/>
    <w:rsid w:val="00F20BED"/>
    <w:rsid w:val="00F20CC2"/>
    <w:rsid w:val="00F20DFC"/>
    <w:rsid w:val="00F21175"/>
    <w:rsid w:val="00F21236"/>
    <w:rsid w:val="00F2129A"/>
    <w:rsid w:val="00F2185F"/>
    <w:rsid w:val="00F21A1C"/>
    <w:rsid w:val="00F21A68"/>
    <w:rsid w:val="00F21FA8"/>
    <w:rsid w:val="00F22247"/>
    <w:rsid w:val="00F22871"/>
    <w:rsid w:val="00F2292E"/>
    <w:rsid w:val="00F229C1"/>
    <w:rsid w:val="00F2394F"/>
    <w:rsid w:val="00F239DF"/>
    <w:rsid w:val="00F23BEA"/>
    <w:rsid w:val="00F23BF0"/>
    <w:rsid w:val="00F23E4C"/>
    <w:rsid w:val="00F23EA9"/>
    <w:rsid w:val="00F24446"/>
    <w:rsid w:val="00F245A7"/>
    <w:rsid w:val="00F2461D"/>
    <w:rsid w:val="00F24837"/>
    <w:rsid w:val="00F248A8"/>
    <w:rsid w:val="00F24950"/>
    <w:rsid w:val="00F24998"/>
    <w:rsid w:val="00F24A96"/>
    <w:rsid w:val="00F24AE6"/>
    <w:rsid w:val="00F24C04"/>
    <w:rsid w:val="00F24C34"/>
    <w:rsid w:val="00F24EEC"/>
    <w:rsid w:val="00F25138"/>
    <w:rsid w:val="00F25165"/>
    <w:rsid w:val="00F25489"/>
    <w:rsid w:val="00F2575F"/>
    <w:rsid w:val="00F2594B"/>
    <w:rsid w:val="00F25B7B"/>
    <w:rsid w:val="00F25B80"/>
    <w:rsid w:val="00F25E03"/>
    <w:rsid w:val="00F25E10"/>
    <w:rsid w:val="00F264DD"/>
    <w:rsid w:val="00F26507"/>
    <w:rsid w:val="00F265B9"/>
    <w:rsid w:val="00F2676A"/>
    <w:rsid w:val="00F268DA"/>
    <w:rsid w:val="00F26B44"/>
    <w:rsid w:val="00F26C2E"/>
    <w:rsid w:val="00F26E97"/>
    <w:rsid w:val="00F26F84"/>
    <w:rsid w:val="00F271B4"/>
    <w:rsid w:val="00F271B7"/>
    <w:rsid w:val="00F27282"/>
    <w:rsid w:val="00F274DD"/>
    <w:rsid w:val="00F27565"/>
    <w:rsid w:val="00F27578"/>
    <w:rsid w:val="00F277D7"/>
    <w:rsid w:val="00F2785D"/>
    <w:rsid w:val="00F27C88"/>
    <w:rsid w:val="00F30201"/>
    <w:rsid w:val="00F30339"/>
    <w:rsid w:val="00F30457"/>
    <w:rsid w:val="00F3046D"/>
    <w:rsid w:val="00F30ADF"/>
    <w:rsid w:val="00F30F1A"/>
    <w:rsid w:val="00F310D4"/>
    <w:rsid w:val="00F311D8"/>
    <w:rsid w:val="00F3125D"/>
    <w:rsid w:val="00F31379"/>
    <w:rsid w:val="00F3140E"/>
    <w:rsid w:val="00F3147C"/>
    <w:rsid w:val="00F315E3"/>
    <w:rsid w:val="00F316C9"/>
    <w:rsid w:val="00F31B23"/>
    <w:rsid w:val="00F31B4A"/>
    <w:rsid w:val="00F31C1D"/>
    <w:rsid w:val="00F31CB7"/>
    <w:rsid w:val="00F31D5A"/>
    <w:rsid w:val="00F32331"/>
    <w:rsid w:val="00F327A5"/>
    <w:rsid w:val="00F32958"/>
    <w:rsid w:val="00F32A46"/>
    <w:rsid w:val="00F32A9B"/>
    <w:rsid w:val="00F32D5A"/>
    <w:rsid w:val="00F3300D"/>
    <w:rsid w:val="00F33128"/>
    <w:rsid w:val="00F33312"/>
    <w:rsid w:val="00F3361C"/>
    <w:rsid w:val="00F33975"/>
    <w:rsid w:val="00F33DE9"/>
    <w:rsid w:val="00F33E08"/>
    <w:rsid w:val="00F341F5"/>
    <w:rsid w:val="00F34237"/>
    <w:rsid w:val="00F342C2"/>
    <w:rsid w:val="00F34313"/>
    <w:rsid w:val="00F344F0"/>
    <w:rsid w:val="00F34AAB"/>
    <w:rsid w:val="00F34C19"/>
    <w:rsid w:val="00F34E37"/>
    <w:rsid w:val="00F34F15"/>
    <w:rsid w:val="00F35215"/>
    <w:rsid w:val="00F3540B"/>
    <w:rsid w:val="00F354D9"/>
    <w:rsid w:val="00F356BE"/>
    <w:rsid w:val="00F359ED"/>
    <w:rsid w:val="00F35A09"/>
    <w:rsid w:val="00F35B12"/>
    <w:rsid w:val="00F35E4B"/>
    <w:rsid w:val="00F35E6D"/>
    <w:rsid w:val="00F35F76"/>
    <w:rsid w:val="00F3602E"/>
    <w:rsid w:val="00F3619A"/>
    <w:rsid w:val="00F3622D"/>
    <w:rsid w:val="00F364F5"/>
    <w:rsid w:val="00F366A3"/>
    <w:rsid w:val="00F36793"/>
    <w:rsid w:val="00F36948"/>
    <w:rsid w:val="00F36BA6"/>
    <w:rsid w:val="00F372BA"/>
    <w:rsid w:val="00F37827"/>
    <w:rsid w:val="00F3783A"/>
    <w:rsid w:val="00F37A34"/>
    <w:rsid w:val="00F37AFF"/>
    <w:rsid w:val="00F37B88"/>
    <w:rsid w:val="00F37C2E"/>
    <w:rsid w:val="00F37C87"/>
    <w:rsid w:val="00F37E62"/>
    <w:rsid w:val="00F37F50"/>
    <w:rsid w:val="00F4023C"/>
    <w:rsid w:val="00F402BC"/>
    <w:rsid w:val="00F40534"/>
    <w:rsid w:val="00F40715"/>
    <w:rsid w:val="00F40950"/>
    <w:rsid w:val="00F40AAA"/>
    <w:rsid w:val="00F40BA7"/>
    <w:rsid w:val="00F40BD3"/>
    <w:rsid w:val="00F40BE5"/>
    <w:rsid w:val="00F40D8D"/>
    <w:rsid w:val="00F40EE3"/>
    <w:rsid w:val="00F40F9D"/>
    <w:rsid w:val="00F410E2"/>
    <w:rsid w:val="00F411D3"/>
    <w:rsid w:val="00F4124E"/>
    <w:rsid w:val="00F41410"/>
    <w:rsid w:val="00F41622"/>
    <w:rsid w:val="00F416BF"/>
    <w:rsid w:val="00F41749"/>
    <w:rsid w:val="00F41ACD"/>
    <w:rsid w:val="00F4201F"/>
    <w:rsid w:val="00F4239A"/>
    <w:rsid w:val="00F42433"/>
    <w:rsid w:val="00F434FD"/>
    <w:rsid w:val="00F439CA"/>
    <w:rsid w:val="00F43A46"/>
    <w:rsid w:val="00F43BC7"/>
    <w:rsid w:val="00F43BD5"/>
    <w:rsid w:val="00F43DE0"/>
    <w:rsid w:val="00F44243"/>
    <w:rsid w:val="00F44319"/>
    <w:rsid w:val="00F44398"/>
    <w:rsid w:val="00F44516"/>
    <w:rsid w:val="00F44BE2"/>
    <w:rsid w:val="00F44C5D"/>
    <w:rsid w:val="00F44C62"/>
    <w:rsid w:val="00F44D76"/>
    <w:rsid w:val="00F44E17"/>
    <w:rsid w:val="00F44F23"/>
    <w:rsid w:val="00F45270"/>
    <w:rsid w:val="00F45852"/>
    <w:rsid w:val="00F46435"/>
    <w:rsid w:val="00F465D9"/>
    <w:rsid w:val="00F467C7"/>
    <w:rsid w:val="00F46A93"/>
    <w:rsid w:val="00F46AF4"/>
    <w:rsid w:val="00F46BDC"/>
    <w:rsid w:val="00F46CB6"/>
    <w:rsid w:val="00F46E94"/>
    <w:rsid w:val="00F4720C"/>
    <w:rsid w:val="00F47479"/>
    <w:rsid w:val="00F4756D"/>
    <w:rsid w:val="00F476A4"/>
    <w:rsid w:val="00F477ED"/>
    <w:rsid w:val="00F478F5"/>
    <w:rsid w:val="00F479B6"/>
    <w:rsid w:val="00F479CE"/>
    <w:rsid w:val="00F47A98"/>
    <w:rsid w:val="00F47C1E"/>
    <w:rsid w:val="00F47DE4"/>
    <w:rsid w:val="00F47DE8"/>
    <w:rsid w:val="00F47F22"/>
    <w:rsid w:val="00F503EC"/>
    <w:rsid w:val="00F50512"/>
    <w:rsid w:val="00F50883"/>
    <w:rsid w:val="00F509D5"/>
    <w:rsid w:val="00F50E3F"/>
    <w:rsid w:val="00F514A9"/>
    <w:rsid w:val="00F518AF"/>
    <w:rsid w:val="00F518F8"/>
    <w:rsid w:val="00F51B10"/>
    <w:rsid w:val="00F51BCF"/>
    <w:rsid w:val="00F51CDB"/>
    <w:rsid w:val="00F51DFF"/>
    <w:rsid w:val="00F52137"/>
    <w:rsid w:val="00F522D4"/>
    <w:rsid w:val="00F523A1"/>
    <w:rsid w:val="00F52747"/>
    <w:rsid w:val="00F528AE"/>
    <w:rsid w:val="00F529C2"/>
    <w:rsid w:val="00F52D28"/>
    <w:rsid w:val="00F53094"/>
    <w:rsid w:val="00F5365E"/>
    <w:rsid w:val="00F537A4"/>
    <w:rsid w:val="00F53994"/>
    <w:rsid w:val="00F5399C"/>
    <w:rsid w:val="00F53A22"/>
    <w:rsid w:val="00F53F9A"/>
    <w:rsid w:val="00F5427F"/>
    <w:rsid w:val="00F54297"/>
    <w:rsid w:val="00F542C1"/>
    <w:rsid w:val="00F544EE"/>
    <w:rsid w:val="00F5451B"/>
    <w:rsid w:val="00F546C1"/>
    <w:rsid w:val="00F548AC"/>
    <w:rsid w:val="00F54AB6"/>
    <w:rsid w:val="00F54C5A"/>
    <w:rsid w:val="00F550DC"/>
    <w:rsid w:val="00F550E3"/>
    <w:rsid w:val="00F55165"/>
    <w:rsid w:val="00F553EB"/>
    <w:rsid w:val="00F55B1A"/>
    <w:rsid w:val="00F55E73"/>
    <w:rsid w:val="00F55EDA"/>
    <w:rsid w:val="00F5626B"/>
    <w:rsid w:val="00F56562"/>
    <w:rsid w:val="00F5689A"/>
    <w:rsid w:val="00F56C80"/>
    <w:rsid w:val="00F56DE1"/>
    <w:rsid w:val="00F57914"/>
    <w:rsid w:val="00F57F7A"/>
    <w:rsid w:val="00F60092"/>
    <w:rsid w:val="00F60222"/>
    <w:rsid w:val="00F60655"/>
    <w:rsid w:val="00F60752"/>
    <w:rsid w:val="00F60E29"/>
    <w:rsid w:val="00F60F93"/>
    <w:rsid w:val="00F611F0"/>
    <w:rsid w:val="00F61657"/>
    <w:rsid w:val="00F6170D"/>
    <w:rsid w:val="00F61B40"/>
    <w:rsid w:val="00F61C18"/>
    <w:rsid w:val="00F61D21"/>
    <w:rsid w:val="00F62048"/>
    <w:rsid w:val="00F621AA"/>
    <w:rsid w:val="00F62469"/>
    <w:rsid w:val="00F6250A"/>
    <w:rsid w:val="00F629F9"/>
    <w:rsid w:val="00F62A17"/>
    <w:rsid w:val="00F62A29"/>
    <w:rsid w:val="00F62B12"/>
    <w:rsid w:val="00F62CF0"/>
    <w:rsid w:val="00F62D54"/>
    <w:rsid w:val="00F62DA0"/>
    <w:rsid w:val="00F6345F"/>
    <w:rsid w:val="00F637B6"/>
    <w:rsid w:val="00F63A92"/>
    <w:rsid w:val="00F63C55"/>
    <w:rsid w:val="00F63E5B"/>
    <w:rsid w:val="00F63EE3"/>
    <w:rsid w:val="00F63FC1"/>
    <w:rsid w:val="00F6402A"/>
    <w:rsid w:val="00F6427B"/>
    <w:rsid w:val="00F64440"/>
    <w:rsid w:val="00F644D5"/>
    <w:rsid w:val="00F644DF"/>
    <w:rsid w:val="00F644E3"/>
    <w:rsid w:val="00F6455D"/>
    <w:rsid w:val="00F6463B"/>
    <w:rsid w:val="00F6471C"/>
    <w:rsid w:val="00F647DE"/>
    <w:rsid w:val="00F648D4"/>
    <w:rsid w:val="00F64BA8"/>
    <w:rsid w:val="00F64BAB"/>
    <w:rsid w:val="00F64D49"/>
    <w:rsid w:val="00F65350"/>
    <w:rsid w:val="00F65661"/>
    <w:rsid w:val="00F65C61"/>
    <w:rsid w:val="00F65CE5"/>
    <w:rsid w:val="00F65F4B"/>
    <w:rsid w:val="00F65FE8"/>
    <w:rsid w:val="00F6607A"/>
    <w:rsid w:val="00F6623F"/>
    <w:rsid w:val="00F66659"/>
    <w:rsid w:val="00F66AF0"/>
    <w:rsid w:val="00F66CEC"/>
    <w:rsid w:val="00F66EC8"/>
    <w:rsid w:val="00F67007"/>
    <w:rsid w:val="00F67269"/>
    <w:rsid w:val="00F67A69"/>
    <w:rsid w:val="00F67A99"/>
    <w:rsid w:val="00F67C2E"/>
    <w:rsid w:val="00F67D0E"/>
    <w:rsid w:val="00F67EBF"/>
    <w:rsid w:val="00F704D2"/>
    <w:rsid w:val="00F704F3"/>
    <w:rsid w:val="00F70838"/>
    <w:rsid w:val="00F70A1B"/>
    <w:rsid w:val="00F70A66"/>
    <w:rsid w:val="00F70BFF"/>
    <w:rsid w:val="00F70C9D"/>
    <w:rsid w:val="00F71053"/>
    <w:rsid w:val="00F710F1"/>
    <w:rsid w:val="00F712E2"/>
    <w:rsid w:val="00F71303"/>
    <w:rsid w:val="00F713F6"/>
    <w:rsid w:val="00F715BF"/>
    <w:rsid w:val="00F7185E"/>
    <w:rsid w:val="00F7198D"/>
    <w:rsid w:val="00F71E53"/>
    <w:rsid w:val="00F71EA0"/>
    <w:rsid w:val="00F72CA1"/>
    <w:rsid w:val="00F72D28"/>
    <w:rsid w:val="00F7363D"/>
    <w:rsid w:val="00F73747"/>
    <w:rsid w:val="00F7390F"/>
    <w:rsid w:val="00F73A69"/>
    <w:rsid w:val="00F73E08"/>
    <w:rsid w:val="00F73FCF"/>
    <w:rsid w:val="00F7406A"/>
    <w:rsid w:val="00F740AF"/>
    <w:rsid w:val="00F740D4"/>
    <w:rsid w:val="00F744B9"/>
    <w:rsid w:val="00F749F6"/>
    <w:rsid w:val="00F74BE0"/>
    <w:rsid w:val="00F74CD9"/>
    <w:rsid w:val="00F74F1D"/>
    <w:rsid w:val="00F74F3B"/>
    <w:rsid w:val="00F7509C"/>
    <w:rsid w:val="00F75487"/>
    <w:rsid w:val="00F754E7"/>
    <w:rsid w:val="00F75B19"/>
    <w:rsid w:val="00F75B1E"/>
    <w:rsid w:val="00F75C43"/>
    <w:rsid w:val="00F75F87"/>
    <w:rsid w:val="00F76003"/>
    <w:rsid w:val="00F7624C"/>
    <w:rsid w:val="00F769E2"/>
    <w:rsid w:val="00F76CC7"/>
    <w:rsid w:val="00F76D64"/>
    <w:rsid w:val="00F76D87"/>
    <w:rsid w:val="00F76F97"/>
    <w:rsid w:val="00F77074"/>
    <w:rsid w:val="00F773C4"/>
    <w:rsid w:val="00F773ED"/>
    <w:rsid w:val="00F774DA"/>
    <w:rsid w:val="00F77836"/>
    <w:rsid w:val="00F77E9F"/>
    <w:rsid w:val="00F77EBB"/>
    <w:rsid w:val="00F77FC7"/>
    <w:rsid w:val="00F80058"/>
    <w:rsid w:val="00F80A7B"/>
    <w:rsid w:val="00F80E16"/>
    <w:rsid w:val="00F80E5D"/>
    <w:rsid w:val="00F812AB"/>
    <w:rsid w:val="00F81300"/>
    <w:rsid w:val="00F81392"/>
    <w:rsid w:val="00F81816"/>
    <w:rsid w:val="00F81B44"/>
    <w:rsid w:val="00F81E78"/>
    <w:rsid w:val="00F81FB9"/>
    <w:rsid w:val="00F82047"/>
    <w:rsid w:val="00F820AA"/>
    <w:rsid w:val="00F82C26"/>
    <w:rsid w:val="00F82C9F"/>
    <w:rsid w:val="00F82D47"/>
    <w:rsid w:val="00F82E60"/>
    <w:rsid w:val="00F82F4C"/>
    <w:rsid w:val="00F831A2"/>
    <w:rsid w:val="00F831AA"/>
    <w:rsid w:val="00F83346"/>
    <w:rsid w:val="00F8351B"/>
    <w:rsid w:val="00F83873"/>
    <w:rsid w:val="00F838AF"/>
    <w:rsid w:val="00F83916"/>
    <w:rsid w:val="00F841C2"/>
    <w:rsid w:val="00F84241"/>
    <w:rsid w:val="00F8442A"/>
    <w:rsid w:val="00F8475B"/>
    <w:rsid w:val="00F847EA"/>
    <w:rsid w:val="00F848A7"/>
    <w:rsid w:val="00F84A02"/>
    <w:rsid w:val="00F84AF6"/>
    <w:rsid w:val="00F84B69"/>
    <w:rsid w:val="00F851CE"/>
    <w:rsid w:val="00F8535C"/>
    <w:rsid w:val="00F856D8"/>
    <w:rsid w:val="00F857E9"/>
    <w:rsid w:val="00F85A3D"/>
    <w:rsid w:val="00F85B20"/>
    <w:rsid w:val="00F85FAD"/>
    <w:rsid w:val="00F85FBA"/>
    <w:rsid w:val="00F8607A"/>
    <w:rsid w:val="00F8618F"/>
    <w:rsid w:val="00F86746"/>
    <w:rsid w:val="00F86AF0"/>
    <w:rsid w:val="00F873E8"/>
    <w:rsid w:val="00F87B93"/>
    <w:rsid w:val="00F87FC1"/>
    <w:rsid w:val="00F90076"/>
    <w:rsid w:val="00F90098"/>
    <w:rsid w:val="00F909C6"/>
    <w:rsid w:val="00F90B21"/>
    <w:rsid w:val="00F90BFD"/>
    <w:rsid w:val="00F90C69"/>
    <w:rsid w:val="00F90E69"/>
    <w:rsid w:val="00F90E89"/>
    <w:rsid w:val="00F91219"/>
    <w:rsid w:val="00F9151A"/>
    <w:rsid w:val="00F917F6"/>
    <w:rsid w:val="00F91923"/>
    <w:rsid w:val="00F919E8"/>
    <w:rsid w:val="00F91B54"/>
    <w:rsid w:val="00F91CCE"/>
    <w:rsid w:val="00F92083"/>
    <w:rsid w:val="00F920E2"/>
    <w:rsid w:val="00F92168"/>
    <w:rsid w:val="00F921F4"/>
    <w:rsid w:val="00F92444"/>
    <w:rsid w:val="00F9246B"/>
    <w:rsid w:val="00F92614"/>
    <w:rsid w:val="00F92BF2"/>
    <w:rsid w:val="00F92F32"/>
    <w:rsid w:val="00F932B3"/>
    <w:rsid w:val="00F934FC"/>
    <w:rsid w:val="00F936AB"/>
    <w:rsid w:val="00F9393E"/>
    <w:rsid w:val="00F93962"/>
    <w:rsid w:val="00F93D02"/>
    <w:rsid w:val="00F93D6A"/>
    <w:rsid w:val="00F9451F"/>
    <w:rsid w:val="00F94548"/>
    <w:rsid w:val="00F94920"/>
    <w:rsid w:val="00F94A65"/>
    <w:rsid w:val="00F94A97"/>
    <w:rsid w:val="00F94AA7"/>
    <w:rsid w:val="00F94C11"/>
    <w:rsid w:val="00F94C9C"/>
    <w:rsid w:val="00F94E38"/>
    <w:rsid w:val="00F94E94"/>
    <w:rsid w:val="00F95180"/>
    <w:rsid w:val="00F95268"/>
    <w:rsid w:val="00F95295"/>
    <w:rsid w:val="00F95319"/>
    <w:rsid w:val="00F953A8"/>
    <w:rsid w:val="00F95611"/>
    <w:rsid w:val="00F95991"/>
    <w:rsid w:val="00F95D50"/>
    <w:rsid w:val="00F95D93"/>
    <w:rsid w:val="00F95FF3"/>
    <w:rsid w:val="00F961AF"/>
    <w:rsid w:val="00F9625F"/>
    <w:rsid w:val="00F963D5"/>
    <w:rsid w:val="00F964BC"/>
    <w:rsid w:val="00F96597"/>
    <w:rsid w:val="00F96685"/>
    <w:rsid w:val="00F9676F"/>
    <w:rsid w:val="00F9681E"/>
    <w:rsid w:val="00F968B9"/>
    <w:rsid w:val="00F96A85"/>
    <w:rsid w:val="00F96FD0"/>
    <w:rsid w:val="00F971C1"/>
    <w:rsid w:val="00F97205"/>
    <w:rsid w:val="00F97565"/>
    <w:rsid w:val="00F975F7"/>
    <w:rsid w:val="00F9797F"/>
    <w:rsid w:val="00F979A7"/>
    <w:rsid w:val="00F97A78"/>
    <w:rsid w:val="00F97B3B"/>
    <w:rsid w:val="00F97C02"/>
    <w:rsid w:val="00F97C59"/>
    <w:rsid w:val="00F97D2F"/>
    <w:rsid w:val="00F97EF1"/>
    <w:rsid w:val="00FA03B0"/>
    <w:rsid w:val="00FA04A9"/>
    <w:rsid w:val="00FA06AC"/>
    <w:rsid w:val="00FA09AD"/>
    <w:rsid w:val="00FA09E7"/>
    <w:rsid w:val="00FA0B20"/>
    <w:rsid w:val="00FA157A"/>
    <w:rsid w:val="00FA1655"/>
    <w:rsid w:val="00FA1658"/>
    <w:rsid w:val="00FA1E7C"/>
    <w:rsid w:val="00FA20B4"/>
    <w:rsid w:val="00FA228C"/>
    <w:rsid w:val="00FA23CF"/>
    <w:rsid w:val="00FA24E7"/>
    <w:rsid w:val="00FA291A"/>
    <w:rsid w:val="00FA2993"/>
    <w:rsid w:val="00FA2A7E"/>
    <w:rsid w:val="00FA2B74"/>
    <w:rsid w:val="00FA2FA8"/>
    <w:rsid w:val="00FA31FB"/>
    <w:rsid w:val="00FA32C0"/>
    <w:rsid w:val="00FA37F3"/>
    <w:rsid w:val="00FA39DE"/>
    <w:rsid w:val="00FA3A9B"/>
    <w:rsid w:val="00FA40C9"/>
    <w:rsid w:val="00FA4281"/>
    <w:rsid w:val="00FA4997"/>
    <w:rsid w:val="00FA4BE5"/>
    <w:rsid w:val="00FA4BF4"/>
    <w:rsid w:val="00FA4F09"/>
    <w:rsid w:val="00FA5030"/>
    <w:rsid w:val="00FA55B0"/>
    <w:rsid w:val="00FA58B7"/>
    <w:rsid w:val="00FA5A91"/>
    <w:rsid w:val="00FA5AA8"/>
    <w:rsid w:val="00FA5B7E"/>
    <w:rsid w:val="00FA5BDE"/>
    <w:rsid w:val="00FA5CAA"/>
    <w:rsid w:val="00FA5CC6"/>
    <w:rsid w:val="00FA5D9E"/>
    <w:rsid w:val="00FA5EE6"/>
    <w:rsid w:val="00FA615E"/>
    <w:rsid w:val="00FA626C"/>
    <w:rsid w:val="00FA63C9"/>
    <w:rsid w:val="00FA6630"/>
    <w:rsid w:val="00FA69BA"/>
    <w:rsid w:val="00FA6AC7"/>
    <w:rsid w:val="00FA6CF6"/>
    <w:rsid w:val="00FA6D2D"/>
    <w:rsid w:val="00FA71AC"/>
    <w:rsid w:val="00FA722C"/>
    <w:rsid w:val="00FA7245"/>
    <w:rsid w:val="00FA73EF"/>
    <w:rsid w:val="00FA7592"/>
    <w:rsid w:val="00FA75D6"/>
    <w:rsid w:val="00FA78B5"/>
    <w:rsid w:val="00FA7956"/>
    <w:rsid w:val="00FA7BAB"/>
    <w:rsid w:val="00FA7D48"/>
    <w:rsid w:val="00FA7D9C"/>
    <w:rsid w:val="00FB0153"/>
    <w:rsid w:val="00FB0344"/>
    <w:rsid w:val="00FB03F2"/>
    <w:rsid w:val="00FB0499"/>
    <w:rsid w:val="00FB05FA"/>
    <w:rsid w:val="00FB071D"/>
    <w:rsid w:val="00FB0824"/>
    <w:rsid w:val="00FB0FCF"/>
    <w:rsid w:val="00FB129A"/>
    <w:rsid w:val="00FB14DE"/>
    <w:rsid w:val="00FB1B17"/>
    <w:rsid w:val="00FB204C"/>
    <w:rsid w:val="00FB2344"/>
    <w:rsid w:val="00FB23D4"/>
    <w:rsid w:val="00FB24AB"/>
    <w:rsid w:val="00FB26DF"/>
    <w:rsid w:val="00FB2F02"/>
    <w:rsid w:val="00FB2F35"/>
    <w:rsid w:val="00FB2FCB"/>
    <w:rsid w:val="00FB35D4"/>
    <w:rsid w:val="00FB362E"/>
    <w:rsid w:val="00FB3796"/>
    <w:rsid w:val="00FB39C2"/>
    <w:rsid w:val="00FB3DCA"/>
    <w:rsid w:val="00FB3E30"/>
    <w:rsid w:val="00FB47A2"/>
    <w:rsid w:val="00FB483F"/>
    <w:rsid w:val="00FB4AED"/>
    <w:rsid w:val="00FB4C9C"/>
    <w:rsid w:val="00FB4D3D"/>
    <w:rsid w:val="00FB50B6"/>
    <w:rsid w:val="00FB50EB"/>
    <w:rsid w:val="00FB5399"/>
    <w:rsid w:val="00FB53D3"/>
    <w:rsid w:val="00FB5453"/>
    <w:rsid w:val="00FB5794"/>
    <w:rsid w:val="00FB5D6A"/>
    <w:rsid w:val="00FB5FD1"/>
    <w:rsid w:val="00FB61B1"/>
    <w:rsid w:val="00FB65BE"/>
    <w:rsid w:val="00FB6662"/>
    <w:rsid w:val="00FB6AF1"/>
    <w:rsid w:val="00FB7575"/>
    <w:rsid w:val="00FB75C7"/>
    <w:rsid w:val="00FB769B"/>
    <w:rsid w:val="00FB76D1"/>
    <w:rsid w:val="00FB774C"/>
    <w:rsid w:val="00FB7842"/>
    <w:rsid w:val="00FB7A97"/>
    <w:rsid w:val="00FB7C55"/>
    <w:rsid w:val="00FC0148"/>
    <w:rsid w:val="00FC050D"/>
    <w:rsid w:val="00FC0694"/>
    <w:rsid w:val="00FC0800"/>
    <w:rsid w:val="00FC0B40"/>
    <w:rsid w:val="00FC0CFA"/>
    <w:rsid w:val="00FC0D66"/>
    <w:rsid w:val="00FC0D69"/>
    <w:rsid w:val="00FC0DD6"/>
    <w:rsid w:val="00FC0F24"/>
    <w:rsid w:val="00FC1074"/>
    <w:rsid w:val="00FC11FF"/>
    <w:rsid w:val="00FC1435"/>
    <w:rsid w:val="00FC143C"/>
    <w:rsid w:val="00FC1674"/>
    <w:rsid w:val="00FC1884"/>
    <w:rsid w:val="00FC1E6A"/>
    <w:rsid w:val="00FC1FE0"/>
    <w:rsid w:val="00FC2079"/>
    <w:rsid w:val="00FC21D0"/>
    <w:rsid w:val="00FC2218"/>
    <w:rsid w:val="00FC2334"/>
    <w:rsid w:val="00FC2426"/>
    <w:rsid w:val="00FC258D"/>
    <w:rsid w:val="00FC25D5"/>
    <w:rsid w:val="00FC25E7"/>
    <w:rsid w:val="00FC27E6"/>
    <w:rsid w:val="00FC28C8"/>
    <w:rsid w:val="00FC2C07"/>
    <w:rsid w:val="00FC3250"/>
    <w:rsid w:val="00FC371D"/>
    <w:rsid w:val="00FC39C3"/>
    <w:rsid w:val="00FC3A0D"/>
    <w:rsid w:val="00FC3DC0"/>
    <w:rsid w:val="00FC4121"/>
    <w:rsid w:val="00FC420D"/>
    <w:rsid w:val="00FC436B"/>
    <w:rsid w:val="00FC45BE"/>
    <w:rsid w:val="00FC4661"/>
    <w:rsid w:val="00FC4ED1"/>
    <w:rsid w:val="00FC568D"/>
    <w:rsid w:val="00FC56CF"/>
    <w:rsid w:val="00FC5C0A"/>
    <w:rsid w:val="00FC5C57"/>
    <w:rsid w:val="00FC5CB9"/>
    <w:rsid w:val="00FC5F0B"/>
    <w:rsid w:val="00FC62A4"/>
    <w:rsid w:val="00FC6416"/>
    <w:rsid w:val="00FC6461"/>
    <w:rsid w:val="00FC661F"/>
    <w:rsid w:val="00FC66F6"/>
    <w:rsid w:val="00FC6741"/>
    <w:rsid w:val="00FC6758"/>
    <w:rsid w:val="00FC6A0B"/>
    <w:rsid w:val="00FC6DF4"/>
    <w:rsid w:val="00FC6FE8"/>
    <w:rsid w:val="00FC7090"/>
    <w:rsid w:val="00FC716A"/>
    <w:rsid w:val="00FC7300"/>
    <w:rsid w:val="00FC7343"/>
    <w:rsid w:val="00FC75D5"/>
    <w:rsid w:val="00FC7965"/>
    <w:rsid w:val="00FC79B8"/>
    <w:rsid w:val="00FD0040"/>
    <w:rsid w:val="00FD0072"/>
    <w:rsid w:val="00FD01F3"/>
    <w:rsid w:val="00FD06A5"/>
    <w:rsid w:val="00FD0CFC"/>
    <w:rsid w:val="00FD1832"/>
    <w:rsid w:val="00FD2100"/>
    <w:rsid w:val="00FD22FF"/>
    <w:rsid w:val="00FD233A"/>
    <w:rsid w:val="00FD24A0"/>
    <w:rsid w:val="00FD265B"/>
    <w:rsid w:val="00FD26F9"/>
    <w:rsid w:val="00FD2783"/>
    <w:rsid w:val="00FD2910"/>
    <w:rsid w:val="00FD30AD"/>
    <w:rsid w:val="00FD384B"/>
    <w:rsid w:val="00FD3D6C"/>
    <w:rsid w:val="00FD3E77"/>
    <w:rsid w:val="00FD4087"/>
    <w:rsid w:val="00FD4129"/>
    <w:rsid w:val="00FD436C"/>
    <w:rsid w:val="00FD446D"/>
    <w:rsid w:val="00FD4CC2"/>
    <w:rsid w:val="00FD4F2C"/>
    <w:rsid w:val="00FD501B"/>
    <w:rsid w:val="00FD511E"/>
    <w:rsid w:val="00FD5148"/>
    <w:rsid w:val="00FD533E"/>
    <w:rsid w:val="00FD5368"/>
    <w:rsid w:val="00FD53FB"/>
    <w:rsid w:val="00FD54E9"/>
    <w:rsid w:val="00FD5651"/>
    <w:rsid w:val="00FD60BF"/>
    <w:rsid w:val="00FD632A"/>
    <w:rsid w:val="00FD6394"/>
    <w:rsid w:val="00FD63CB"/>
    <w:rsid w:val="00FD6458"/>
    <w:rsid w:val="00FD6809"/>
    <w:rsid w:val="00FD689A"/>
    <w:rsid w:val="00FD6960"/>
    <w:rsid w:val="00FD6B77"/>
    <w:rsid w:val="00FD6BA9"/>
    <w:rsid w:val="00FD6E83"/>
    <w:rsid w:val="00FD72DA"/>
    <w:rsid w:val="00FD751F"/>
    <w:rsid w:val="00FD7846"/>
    <w:rsid w:val="00FD79C1"/>
    <w:rsid w:val="00FD7C98"/>
    <w:rsid w:val="00FD7CE7"/>
    <w:rsid w:val="00FD7D7E"/>
    <w:rsid w:val="00FD7E42"/>
    <w:rsid w:val="00FE0246"/>
    <w:rsid w:val="00FE02A3"/>
    <w:rsid w:val="00FE04A6"/>
    <w:rsid w:val="00FE06CC"/>
    <w:rsid w:val="00FE08B2"/>
    <w:rsid w:val="00FE0C3E"/>
    <w:rsid w:val="00FE0E6C"/>
    <w:rsid w:val="00FE0F40"/>
    <w:rsid w:val="00FE1218"/>
    <w:rsid w:val="00FE1381"/>
    <w:rsid w:val="00FE156B"/>
    <w:rsid w:val="00FE16C0"/>
    <w:rsid w:val="00FE18DC"/>
    <w:rsid w:val="00FE1C38"/>
    <w:rsid w:val="00FE1C90"/>
    <w:rsid w:val="00FE1CDC"/>
    <w:rsid w:val="00FE1EF7"/>
    <w:rsid w:val="00FE2055"/>
    <w:rsid w:val="00FE20F8"/>
    <w:rsid w:val="00FE2870"/>
    <w:rsid w:val="00FE2E5D"/>
    <w:rsid w:val="00FE3061"/>
    <w:rsid w:val="00FE3192"/>
    <w:rsid w:val="00FE33A6"/>
    <w:rsid w:val="00FE358C"/>
    <w:rsid w:val="00FE35F2"/>
    <w:rsid w:val="00FE35FF"/>
    <w:rsid w:val="00FE37D4"/>
    <w:rsid w:val="00FE3869"/>
    <w:rsid w:val="00FE38A0"/>
    <w:rsid w:val="00FE39CD"/>
    <w:rsid w:val="00FE3BCB"/>
    <w:rsid w:val="00FE451E"/>
    <w:rsid w:val="00FE4643"/>
    <w:rsid w:val="00FE4844"/>
    <w:rsid w:val="00FE49BF"/>
    <w:rsid w:val="00FE4AA1"/>
    <w:rsid w:val="00FE4CC3"/>
    <w:rsid w:val="00FE4E09"/>
    <w:rsid w:val="00FE4E28"/>
    <w:rsid w:val="00FE4E9C"/>
    <w:rsid w:val="00FE4F1F"/>
    <w:rsid w:val="00FE5766"/>
    <w:rsid w:val="00FE576B"/>
    <w:rsid w:val="00FE5891"/>
    <w:rsid w:val="00FE5B68"/>
    <w:rsid w:val="00FE605B"/>
    <w:rsid w:val="00FE60DE"/>
    <w:rsid w:val="00FE61FD"/>
    <w:rsid w:val="00FE623D"/>
    <w:rsid w:val="00FE62D6"/>
    <w:rsid w:val="00FE66EB"/>
    <w:rsid w:val="00FE678E"/>
    <w:rsid w:val="00FE693A"/>
    <w:rsid w:val="00FE6C5B"/>
    <w:rsid w:val="00FE70C3"/>
    <w:rsid w:val="00FE70FD"/>
    <w:rsid w:val="00FE72E0"/>
    <w:rsid w:val="00FE72F9"/>
    <w:rsid w:val="00FE7836"/>
    <w:rsid w:val="00FE79AE"/>
    <w:rsid w:val="00FF0788"/>
    <w:rsid w:val="00FF0A46"/>
    <w:rsid w:val="00FF0E8A"/>
    <w:rsid w:val="00FF0ED3"/>
    <w:rsid w:val="00FF0F94"/>
    <w:rsid w:val="00FF10F9"/>
    <w:rsid w:val="00FF137A"/>
    <w:rsid w:val="00FF13A8"/>
    <w:rsid w:val="00FF1691"/>
    <w:rsid w:val="00FF1785"/>
    <w:rsid w:val="00FF17E3"/>
    <w:rsid w:val="00FF1A8B"/>
    <w:rsid w:val="00FF239F"/>
    <w:rsid w:val="00FF24F3"/>
    <w:rsid w:val="00FF2527"/>
    <w:rsid w:val="00FF2825"/>
    <w:rsid w:val="00FF2AD9"/>
    <w:rsid w:val="00FF2BFB"/>
    <w:rsid w:val="00FF2CE4"/>
    <w:rsid w:val="00FF2D01"/>
    <w:rsid w:val="00FF2F13"/>
    <w:rsid w:val="00FF359F"/>
    <w:rsid w:val="00FF39FE"/>
    <w:rsid w:val="00FF3ADA"/>
    <w:rsid w:val="00FF3DCF"/>
    <w:rsid w:val="00FF4159"/>
    <w:rsid w:val="00FF4200"/>
    <w:rsid w:val="00FF4486"/>
    <w:rsid w:val="00FF45CB"/>
    <w:rsid w:val="00FF47BF"/>
    <w:rsid w:val="00FF48B7"/>
    <w:rsid w:val="00FF492C"/>
    <w:rsid w:val="00FF49A9"/>
    <w:rsid w:val="00FF4A0E"/>
    <w:rsid w:val="00FF4A21"/>
    <w:rsid w:val="00FF4A2E"/>
    <w:rsid w:val="00FF509E"/>
    <w:rsid w:val="00FF5124"/>
    <w:rsid w:val="00FF513A"/>
    <w:rsid w:val="00FF5249"/>
    <w:rsid w:val="00FF548A"/>
    <w:rsid w:val="00FF550A"/>
    <w:rsid w:val="00FF5648"/>
    <w:rsid w:val="00FF5720"/>
    <w:rsid w:val="00FF586B"/>
    <w:rsid w:val="00FF5AA3"/>
    <w:rsid w:val="00FF5AD8"/>
    <w:rsid w:val="00FF5CAE"/>
    <w:rsid w:val="00FF5F9B"/>
    <w:rsid w:val="00FF60D2"/>
    <w:rsid w:val="00FF61CD"/>
    <w:rsid w:val="00FF62B7"/>
    <w:rsid w:val="00FF6626"/>
    <w:rsid w:val="00FF6C9D"/>
    <w:rsid w:val="00FF6CAA"/>
    <w:rsid w:val="00FF6F92"/>
    <w:rsid w:val="00FF7127"/>
    <w:rsid w:val="00FF71DD"/>
    <w:rsid w:val="00FF73C5"/>
    <w:rsid w:val="00FF77DD"/>
    <w:rsid w:val="00FF7A4E"/>
    <w:rsid w:val="00FF7BF0"/>
    <w:rsid w:val="00FF7EC0"/>
    <w:rsid w:val="00FF7F1A"/>
    <w:rsid w:val="010BDEF8"/>
    <w:rsid w:val="0127FB22"/>
    <w:rsid w:val="017AB54A"/>
    <w:rsid w:val="021D38F4"/>
    <w:rsid w:val="0258067E"/>
    <w:rsid w:val="02A3BA89"/>
    <w:rsid w:val="02D6E39B"/>
    <w:rsid w:val="03902994"/>
    <w:rsid w:val="039780FA"/>
    <w:rsid w:val="03C29284"/>
    <w:rsid w:val="03C72132"/>
    <w:rsid w:val="040B3206"/>
    <w:rsid w:val="041D5A85"/>
    <w:rsid w:val="0478F445"/>
    <w:rsid w:val="04AB6436"/>
    <w:rsid w:val="04AD3004"/>
    <w:rsid w:val="05240E2F"/>
    <w:rsid w:val="0530DCAC"/>
    <w:rsid w:val="053754DB"/>
    <w:rsid w:val="05A34AD9"/>
    <w:rsid w:val="05D8BF67"/>
    <w:rsid w:val="06097F35"/>
    <w:rsid w:val="0666398C"/>
    <w:rsid w:val="06C7D64C"/>
    <w:rsid w:val="06D8C8B2"/>
    <w:rsid w:val="06FD1DED"/>
    <w:rsid w:val="0743653C"/>
    <w:rsid w:val="0794CFE1"/>
    <w:rsid w:val="079817D3"/>
    <w:rsid w:val="07D847D4"/>
    <w:rsid w:val="08054476"/>
    <w:rsid w:val="08617B2A"/>
    <w:rsid w:val="08942C16"/>
    <w:rsid w:val="08AF9AFC"/>
    <w:rsid w:val="08DE6DC6"/>
    <w:rsid w:val="092BBC7C"/>
    <w:rsid w:val="0972D10D"/>
    <w:rsid w:val="098CC936"/>
    <w:rsid w:val="09B951E0"/>
    <w:rsid w:val="09E2AC40"/>
    <w:rsid w:val="0B992A39"/>
    <w:rsid w:val="0BA256DB"/>
    <w:rsid w:val="0BC046D1"/>
    <w:rsid w:val="0C17C53D"/>
    <w:rsid w:val="0C2C75F4"/>
    <w:rsid w:val="0C415CF8"/>
    <w:rsid w:val="0C49E334"/>
    <w:rsid w:val="0D2913F7"/>
    <w:rsid w:val="0D34E9CE"/>
    <w:rsid w:val="0D4397BF"/>
    <w:rsid w:val="0D8755F6"/>
    <w:rsid w:val="0DD32ACE"/>
    <w:rsid w:val="0DFC8E55"/>
    <w:rsid w:val="0EC92045"/>
    <w:rsid w:val="0EE5BEC4"/>
    <w:rsid w:val="0FA3C368"/>
    <w:rsid w:val="0FBBA3B2"/>
    <w:rsid w:val="103585F6"/>
    <w:rsid w:val="10BBAA89"/>
    <w:rsid w:val="10EC477B"/>
    <w:rsid w:val="1125EA51"/>
    <w:rsid w:val="113D823D"/>
    <w:rsid w:val="1143936C"/>
    <w:rsid w:val="117C8505"/>
    <w:rsid w:val="119149C6"/>
    <w:rsid w:val="126AD45B"/>
    <w:rsid w:val="1365FF47"/>
    <w:rsid w:val="1379C014"/>
    <w:rsid w:val="1385CBE2"/>
    <w:rsid w:val="13EF8CE2"/>
    <w:rsid w:val="13F956DE"/>
    <w:rsid w:val="1471BB89"/>
    <w:rsid w:val="14B1973C"/>
    <w:rsid w:val="15176F7A"/>
    <w:rsid w:val="1532932F"/>
    <w:rsid w:val="15542FED"/>
    <w:rsid w:val="164E25E0"/>
    <w:rsid w:val="16FB3E34"/>
    <w:rsid w:val="175091A1"/>
    <w:rsid w:val="17588A9E"/>
    <w:rsid w:val="1768EC14"/>
    <w:rsid w:val="176DE98D"/>
    <w:rsid w:val="177154BB"/>
    <w:rsid w:val="177517B5"/>
    <w:rsid w:val="17CE54BA"/>
    <w:rsid w:val="17EF506C"/>
    <w:rsid w:val="18537D23"/>
    <w:rsid w:val="186BC4C4"/>
    <w:rsid w:val="1878800D"/>
    <w:rsid w:val="188D4CDB"/>
    <w:rsid w:val="18A0117E"/>
    <w:rsid w:val="18B41FF5"/>
    <w:rsid w:val="18B5F960"/>
    <w:rsid w:val="1900883C"/>
    <w:rsid w:val="1971A15F"/>
    <w:rsid w:val="1A2002D6"/>
    <w:rsid w:val="1A2E757D"/>
    <w:rsid w:val="1A528EFF"/>
    <w:rsid w:val="1B2BE793"/>
    <w:rsid w:val="1B2D62CE"/>
    <w:rsid w:val="1BE97F1E"/>
    <w:rsid w:val="1C33D066"/>
    <w:rsid w:val="1C6BB258"/>
    <w:rsid w:val="1C9E807B"/>
    <w:rsid w:val="1D244397"/>
    <w:rsid w:val="1D570B4C"/>
    <w:rsid w:val="1D961F30"/>
    <w:rsid w:val="1DC783BB"/>
    <w:rsid w:val="1E9BB648"/>
    <w:rsid w:val="1EB19A67"/>
    <w:rsid w:val="1EBC6C8B"/>
    <w:rsid w:val="1F32213E"/>
    <w:rsid w:val="1F6798BF"/>
    <w:rsid w:val="201BCE39"/>
    <w:rsid w:val="203159D6"/>
    <w:rsid w:val="2037E53E"/>
    <w:rsid w:val="2076A9F6"/>
    <w:rsid w:val="209DBC5C"/>
    <w:rsid w:val="21286C1A"/>
    <w:rsid w:val="214088B0"/>
    <w:rsid w:val="2144FEC6"/>
    <w:rsid w:val="2157B0AA"/>
    <w:rsid w:val="216F3945"/>
    <w:rsid w:val="21ECBE84"/>
    <w:rsid w:val="22699FAF"/>
    <w:rsid w:val="228A2D91"/>
    <w:rsid w:val="237B2EDD"/>
    <w:rsid w:val="23CCE2C1"/>
    <w:rsid w:val="23CF6AD1"/>
    <w:rsid w:val="24032F69"/>
    <w:rsid w:val="242C1076"/>
    <w:rsid w:val="244D2157"/>
    <w:rsid w:val="244E3720"/>
    <w:rsid w:val="24C565AF"/>
    <w:rsid w:val="24CAC595"/>
    <w:rsid w:val="25691F65"/>
    <w:rsid w:val="259BE2D7"/>
    <w:rsid w:val="25C9F192"/>
    <w:rsid w:val="260718CD"/>
    <w:rsid w:val="271F31A0"/>
    <w:rsid w:val="276790AE"/>
    <w:rsid w:val="27B81DB1"/>
    <w:rsid w:val="27CDED69"/>
    <w:rsid w:val="27D85D56"/>
    <w:rsid w:val="27F778BE"/>
    <w:rsid w:val="28120B09"/>
    <w:rsid w:val="28220872"/>
    <w:rsid w:val="28633830"/>
    <w:rsid w:val="2885FCE1"/>
    <w:rsid w:val="289E7CE4"/>
    <w:rsid w:val="28EBA039"/>
    <w:rsid w:val="28F7B563"/>
    <w:rsid w:val="290EF0DF"/>
    <w:rsid w:val="2916FF95"/>
    <w:rsid w:val="2926F16F"/>
    <w:rsid w:val="29367769"/>
    <w:rsid w:val="2947AAEC"/>
    <w:rsid w:val="294EE0A9"/>
    <w:rsid w:val="2A181E1B"/>
    <w:rsid w:val="2A6E9613"/>
    <w:rsid w:val="2AC17C7F"/>
    <w:rsid w:val="2B53EDBD"/>
    <w:rsid w:val="2B6E1643"/>
    <w:rsid w:val="2BAB02C0"/>
    <w:rsid w:val="2BDC580C"/>
    <w:rsid w:val="2C35D23B"/>
    <w:rsid w:val="2C7976D3"/>
    <w:rsid w:val="2C92CF90"/>
    <w:rsid w:val="2C99F41A"/>
    <w:rsid w:val="2CABE544"/>
    <w:rsid w:val="2D3D5BCE"/>
    <w:rsid w:val="2D82CC4D"/>
    <w:rsid w:val="2DB5F131"/>
    <w:rsid w:val="2E0446B5"/>
    <w:rsid w:val="2E16143A"/>
    <w:rsid w:val="2E181A22"/>
    <w:rsid w:val="2E660C80"/>
    <w:rsid w:val="2E69B089"/>
    <w:rsid w:val="2E7AF5EA"/>
    <w:rsid w:val="2EEC0333"/>
    <w:rsid w:val="2F4B4D17"/>
    <w:rsid w:val="2F604A34"/>
    <w:rsid w:val="2F8EC638"/>
    <w:rsid w:val="2F94BD2A"/>
    <w:rsid w:val="2FEB2518"/>
    <w:rsid w:val="301BFBF0"/>
    <w:rsid w:val="30526A59"/>
    <w:rsid w:val="30692539"/>
    <w:rsid w:val="30F464B2"/>
    <w:rsid w:val="3109E75B"/>
    <w:rsid w:val="310F0368"/>
    <w:rsid w:val="315A07DB"/>
    <w:rsid w:val="3169F7A2"/>
    <w:rsid w:val="31CDB5B0"/>
    <w:rsid w:val="323C8164"/>
    <w:rsid w:val="324B454D"/>
    <w:rsid w:val="32517EA3"/>
    <w:rsid w:val="32728193"/>
    <w:rsid w:val="32E8ACE0"/>
    <w:rsid w:val="3339C7BE"/>
    <w:rsid w:val="3385BF66"/>
    <w:rsid w:val="33A53F3F"/>
    <w:rsid w:val="3413E581"/>
    <w:rsid w:val="34A97F95"/>
    <w:rsid w:val="34E8260B"/>
    <w:rsid w:val="3571F9B6"/>
    <w:rsid w:val="357E299C"/>
    <w:rsid w:val="359BCFC4"/>
    <w:rsid w:val="359DE20C"/>
    <w:rsid w:val="35A41A7F"/>
    <w:rsid w:val="35B18056"/>
    <w:rsid w:val="362404C4"/>
    <w:rsid w:val="36663AC0"/>
    <w:rsid w:val="367101C9"/>
    <w:rsid w:val="369B469A"/>
    <w:rsid w:val="37AEA5C3"/>
    <w:rsid w:val="37B23221"/>
    <w:rsid w:val="37B2A23D"/>
    <w:rsid w:val="385C2684"/>
    <w:rsid w:val="386CC50F"/>
    <w:rsid w:val="387CA616"/>
    <w:rsid w:val="38886D1A"/>
    <w:rsid w:val="38CC5BDD"/>
    <w:rsid w:val="3910E5C2"/>
    <w:rsid w:val="39112AAB"/>
    <w:rsid w:val="39DECC49"/>
    <w:rsid w:val="3A211DD8"/>
    <w:rsid w:val="3A716180"/>
    <w:rsid w:val="3A84F896"/>
    <w:rsid w:val="3A96BE4B"/>
    <w:rsid w:val="3A9D6806"/>
    <w:rsid w:val="3ADDFC49"/>
    <w:rsid w:val="3AF94912"/>
    <w:rsid w:val="3B119246"/>
    <w:rsid w:val="3B1DC6FA"/>
    <w:rsid w:val="3B5AABC7"/>
    <w:rsid w:val="3BE66E53"/>
    <w:rsid w:val="3BF1C82C"/>
    <w:rsid w:val="3C2F83AB"/>
    <w:rsid w:val="3C402D8B"/>
    <w:rsid w:val="3C4F7F09"/>
    <w:rsid w:val="3CA087E2"/>
    <w:rsid w:val="3CD64866"/>
    <w:rsid w:val="3CDBD06B"/>
    <w:rsid w:val="3CFD06DD"/>
    <w:rsid w:val="3DDDCCA2"/>
    <w:rsid w:val="3E273C1C"/>
    <w:rsid w:val="3E4AFE2A"/>
    <w:rsid w:val="3E5C5BE3"/>
    <w:rsid w:val="3E9FE9DC"/>
    <w:rsid w:val="3F447CE5"/>
    <w:rsid w:val="3F5686D1"/>
    <w:rsid w:val="3F5B0103"/>
    <w:rsid w:val="3F6A36A5"/>
    <w:rsid w:val="3F71578A"/>
    <w:rsid w:val="3F90AAA7"/>
    <w:rsid w:val="3FB11931"/>
    <w:rsid w:val="3FBAF590"/>
    <w:rsid w:val="3FE3BB13"/>
    <w:rsid w:val="3FF051E5"/>
    <w:rsid w:val="400647FF"/>
    <w:rsid w:val="401A00CF"/>
    <w:rsid w:val="40907FAA"/>
    <w:rsid w:val="40A7822A"/>
    <w:rsid w:val="40DB38B8"/>
    <w:rsid w:val="41D449E1"/>
    <w:rsid w:val="41DA49F8"/>
    <w:rsid w:val="4260339D"/>
    <w:rsid w:val="42641419"/>
    <w:rsid w:val="42FC05D9"/>
    <w:rsid w:val="432B8515"/>
    <w:rsid w:val="443C7C81"/>
    <w:rsid w:val="44CCCFB4"/>
    <w:rsid w:val="455ECDFA"/>
    <w:rsid w:val="459E6DCC"/>
    <w:rsid w:val="45BD682B"/>
    <w:rsid w:val="45C3936F"/>
    <w:rsid w:val="45CD32DC"/>
    <w:rsid w:val="45E01852"/>
    <w:rsid w:val="45FEB74A"/>
    <w:rsid w:val="463E359B"/>
    <w:rsid w:val="467F02D7"/>
    <w:rsid w:val="4708FA27"/>
    <w:rsid w:val="471EAA9F"/>
    <w:rsid w:val="475E8F97"/>
    <w:rsid w:val="47753308"/>
    <w:rsid w:val="47B89A1E"/>
    <w:rsid w:val="47DECDDC"/>
    <w:rsid w:val="482AF9B4"/>
    <w:rsid w:val="490470F5"/>
    <w:rsid w:val="49630A06"/>
    <w:rsid w:val="49805372"/>
    <w:rsid w:val="4998EA65"/>
    <w:rsid w:val="49E340A1"/>
    <w:rsid w:val="49E5B2E0"/>
    <w:rsid w:val="49F1CE64"/>
    <w:rsid w:val="4A0DE844"/>
    <w:rsid w:val="4A347E8C"/>
    <w:rsid w:val="4A3BCEEC"/>
    <w:rsid w:val="4A9A312D"/>
    <w:rsid w:val="4AADB011"/>
    <w:rsid w:val="4AB8FD70"/>
    <w:rsid w:val="4AE32EFA"/>
    <w:rsid w:val="4B22CA72"/>
    <w:rsid w:val="4B4F5C50"/>
    <w:rsid w:val="4B5DDEDE"/>
    <w:rsid w:val="4BBD4CDC"/>
    <w:rsid w:val="4BC2D5F3"/>
    <w:rsid w:val="4BC473A5"/>
    <w:rsid w:val="4BE1E805"/>
    <w:rsid w:val="4C979A8A"/>
    <w:rsid w:val="4D570492"/>
    <w:rsid w:val="4D90552D"/>
    <w:rsid w:val="4DB596AD"/>
    <w:rsid w:val="4E3B9632"/>
    <w:rsid w:val="4E5AF0BC"/>
    <w:rsid w:val="4E83F71D"/>
    <w:rsid w:val="4ED066F1"/>
    <w:rsid w:val="4EE6AB49"/>
    <w:rsid w:val="4F27F275"/>
    <w:rsid w:val="4F5B7EE9"/>
    <w:rsid w:val="4F772B44"/>
    <w:rsid w:val="4F7E48D0"/>
    <w:rsid w:val="4FFC1AA1"/>
    <w:rsid w:val="503A5C30"/>
    <w:rsid w:val="50623E47"/>
    <w:rsid w:val="506A8EBD"/>
    <w:rsid w:val="509E700F"/>
    <w:rsid w:val="50B18E2F"/>
    <w:rsid w:val="5130D616"/>
    <w:rsid w:val="515BE2FE"/>
    <w:rsid w:val="51827FF6"/>
    <w:rsid w:val="519F5A28"/>
    <w:rsid w:val="52066045"/>
    <w:rsid w:val="52323199"/>
    <w:rsid w:val="529E24D4"/>
    <w:rsid w:val="52F97D01"/>
    <w:rsid w:val="5318A26F"/>
    <w:rsid w:val="53932BEE"/>
    <w:rsid w:val="53C27620"/>
    <w:rsid w:val="53E8A0C8"/>
    <w:rsid w:val="541EF823"/>
    <w:rsid w:val="5445C399"/>
    <w:rsid w:val="549EE7E4"/>
    <w:rsid w:val="54A6DC46"/>
    <w:rsid w:val="54BF8037"/>
    <w:rsid w:val="54CF298A"/>
    <w:rsid w:val="54F89F40"/>
    <w:rsid w:val="5503A275"/>
    <w:rsid w:val="553656A7"/>
    <w:rsid w:val="553C07F3"/>
    <w:rsid w:val="55B19BDC"/>
    <w:rsid w:val="55DDF5A7"/>
    <w:rsid w:val="55F72889"/>
    <w:rsid w:val="561CCC18"/>
    <w:rsid w:val="56413E9A"/>
    <w:rsid w:val="5686D08A"/>
    <w:rsid w:val="56983516"/>
    <w:rsid w:val="56984946"/>
    <w:rsid w:val="56DC558F"/>
    <w:rsid w:val="56EE20D6"/>
    <w:rsid w:val="57366F8A"/>
    <w:rsid w:val="574D3916"/>
    <w:rsid w:val="576BFC36"/>
    <w:rsid w:val="57884836"/>
    <w:rsid w:val="586ECD4B"/>
    <w:rsid w:val="58A0A84D"/>
    <w:rsid w:val="58E48C67"/>
    <w:rsid w:val="58FEBB85"/>
    <w:rsid w:val="590D3D20"/>
    <w:rsid w:val="5936EC5D"/>
    <w:rsid w:val="59752C4B"/>
    <w:rsid w:val="5981BFEB"/>
    <w:rsid w:val="5A5F3DD0"/>
    <w:rsid w:val="5AA674CD"/>
    <w:rsid w:val="5B0B72D7"/>
    <w:rsid w:val="5B1746FE"/>
    <w:rsid w:val="5B33054D"/>
    <w:rsid w:val="5B7519BF"/>
    <w:rsid w:val="5B79D7B1"/>
    <w:rsid w:val="5B89DE00"/>
    <w:rsid w:val="5BE2F8D7"/>
    <w:rsid w:val="5C93339E"/>
    <w:rsid w:val="5CB803F9"/>
    <w:rsid w:val="5CE7F812"/>
    <w:rsid w:val="5D1FBB12"/>
    <w:rsid w:val="5D322A53"/>
    <w:rsid w:val="5D5CCC08"/>
    <w:rsid w:val="5D9E99E4"/>
    <w:rsid w:val="5DA9D0FB"/>
    <w:rsid w:val="5DC8793C"/>
    <w:rsid w:val="5E1591F3"/>
    <w:rsid w:val="5E22B5F3"/>
    <w:rsid w:val="5E9BAC86"/>
    <w:rsid w:val="5F2A0450"/>
    <w:rsid w:val="5F4A0E89"/>
    <w:rsid w:val="5F62615A"/>
    <w:rsid w:val="5FB62976"/>
    <w:rsid w:val="5FC0B435"/>
    <w:rsid w:val="5FF6D9FB"/>
    <w:rsid w:val="6046F450"/>
    <w:rsid w:val="6067A962"/>
    <w:rsid w:val="60AD6F4C"/>
    <w:rsid w:val="60DB5DFD"/>
    <w:rsid w:val="60FC3D60"/>
    <w:rsid w:val="61027174"/>
    <w:rsid w:val="61AB937B"/>
    <w:rsid w:val="61DC5A45"/>
    <w:rsid w:val="61EEAD4F"/>
    <w:rsid w:val="6207CB34"/>
    <w:rsid w:val="6224EF47"/>
    <w:rsid w:val="62A4B1DB"/>
    <w:rsid w:val="62FA83AD"/>
    <w:rsid w:val="6322ED96"/>
    <w:rsid w:val="6337FC62"/>
    <w:rsid w:val="6383DAEF"/>
    <w:rsid w:val="63CBE42E"/>
    <w:rsid w:val="63EB531D"/>
    <w:rsid w:val="63F85E90"/>
    <w:rsid w:val="642449E3"/>
    <w:rsid w:val="646969B0"/>
    <w:rsid w:val="64B52883"/>
    <w:rsid w:val="650FF091"/>
    <w:rsid w:val="651449A9"/>
    <w:rsid w:val="6539C1E8"/>
    <w:rsid w:val="663BF562"/>
    <w:rsid w:val="6655F4FC"/>
    <w:rsid w:val="66A9874A"/>
    <w:rsid w:val="66D0E107"/>
    <w:rsid w:val="66FE01EE"/>
    <w:rsid w:val="671A6BAF"/>
    <w:rsid w:val="675BBF71"/>
    <w:rsid w:val="676B3B42"/>
    <w:rsid w:val="67BD8992"/>
    <w:rsid w:val="67CD1082"/>
    <w:rsid w:val="680D6A3C"/>
    <w:rsid w:val="684FA2F3"/>
    <w:rsid w:val="68AC6CD6"/>
    <w:rsid w:val="68B6B32D"/>
    <w:rsid w:val="68E5FE28"/>
    <w:rsid w:val="6955A1E5"/>
    <w:rsid w:val="6960546E"/>
    <w:rsid w:val="698DAFA4"/>
    <w:rsid w:val="69E47A79"/>
    <w:rsid w:val="6A223A07"/>
    <w:rsid w:val="6A39F144"/>
    <w:rsid w:val="6A585162"/>
    <w:rsid w:val="6A87377B"/>
    <w:rsid w:val="6A98A508"/>
    <w:rsid w:val="6A9C8702"/>
    <w:rsid w:val="6ABA3DAC"/>
    <w:rsid w:val="6ACEF969"/>
    <w:rsid w:val="6AEE7548"/>
    <w:rsid w:val="6B27BF61"/>
    <w:rsid w:val="6B3F31E9"/>
    <w:rsid w:val="6B87C6AE"/>
    <w:rsid w:val="6B98FD6E"/>
    <w:rsid w:val="6CD4DB52"/>
    <w:rsid w:val="6CDFCAFD"/>
    <w:rsid w:val="6CECC891"/>
    <w:rsid w:val="6D65589D"/>
    <w:rsid w:val="6D6DF954"/>
    <w:rsid w:val="6DB57896"/>
    <w:rsid w:val="6E0994BE"/>
    <w:rsid w:val="6E0FDEB1"/>
    <w:rsid w:val="6E4C7A0A"/>
    <w:rsid w:val="6EC497AF"/>
    <w:rsid w:val="6EFAD641"/>
    <w:rsid w:val="6EFB0A13"/>
    <w:rsid w:val="6F565114"/>
    <w:rsid w:val="6F6DD37B"/>
    <w:rsid w:val="6F903494"/>
    <w:rsid w:val="6FB1F282"/>
    <w:rsid w:val="6FE51BBF"/>
    <w:rsid w:val="6FF691C0"/>
    <w:rsid w:val="6FFAA845"/>
    <w:rsid w:val="7011FAE0"/>
    <w:rsid w:val="702B13D6"/>
    <w:rsid w:val="705D38BB"/>
    <w:rsid w:val="70DBB8B8"/>
    <w:rsid w:val="70E101C3"/>
    <w:rsid w:val="70F2D04B"/>
    <w:rsid w:val="7105DED0"/>
    <w:rsid w:val="7149EBDC"/>
    <w:rsid w:val="7154E155"/>
    <w:rsid w:val="7178338C"/>
    <w:rsid w:val="71DEDDCF"/>
    <w:rsid w:val="72347B5D"/>
    <w:rsid w:val="7240F69E"/>
    <w:rsid w:val="72754DFD"/>
    <w:rsid w:val="728EF4E5"/>
    <w:rsid w:val="72D690D3"/>
    <w:rsid w:val="72E38786"/>
    <w:rsid w:val="734FBB9A"/>
    <w:rsid w:val="73CD94C7"/>
    <w:rsid w:val="7414CF73"/>
    <w:rsid w:val="747ED035"/>
    <w:rsid w:val="74D8A25E"/>
    <w:rsid w:val="74F186FF"/>
    <w:rsid w:val="750931E6"/>
    <w:rsid w:val="7538337E"/>
    <w:rsid w:val="75400628"/>
    <w:rsid w:val="75754E4E"/>
    <w:rsid w:val="75D665AE"/>
    <w:rsid w:val="75F6C679"/>
    <w:rsid w:val="761D90BA"/>
    <w:rsid w:val="76310060"/>
    <w:rsid w:val="7651D1FB"/>
    <w:rsid w:val="768CF91F"/>
    <w:rsid w:val="77631983"/>
    <w:rsid w:val="7764BC8F"/>
    <w:rsid w:val="77BE6DEA"/>
    <w:rsid w:val="77D6F508"/>
    <w:rsid w:val="788AABE9"/>
    <w:rsid w:val="78C28299"/>
    <w:rsid w:val="78DF89E4"/>
    <w:rsid w:val="790586BD"/>
    <w:rsid w:val="79162D87"/>
    <w:rsid w:val="79217B93"/>
    <w:rsid w:val="795C1159"/>
    <w:rsid w:val="796CC3DB"/>
    <w:rsid w:val="799A1879"/>
    <w:rsid w:val="79B42BEA"/>
    <w:rsid w:val="7A38DDAF"/>
    <w:rsid w:val="7A6943EC"/>
    <w:rsid w:val="7A7F5B07"/>
    <w:rsid w:val="7A890B1D"/>
    <w:rsid w:val="7A9F2660"/>
    <w:rsid w:val="7ABD2FE2"/>
    <w:rsid w:val="7B242937"/>
    <w:rsid w:val="7B2EBCC1"/>
    <w:rsid w:val="7B47164F"/>
    <w:rsid w:val="7B6140EA"/>
    <w:rsid w:val="7B790963"/>
    <w:rsid w:val="7BEACC9D"/>
    <w:rsid w:val="7C74589C"/>
    <w:rsid w:val="7C877E8A"/>
    <w:rsid w:val="7C893BEE"/>
    <w:rsid w:val="7C985C6A"/>
    <w:rsid w:val="7CD218FE"/>
    <w:rsid w:val="7CF718CC"/>
    <w:rsid w:val="7CFF0641"/>
    <w:rsid w:val="7D385159"/>
    <w:rsid w:val="7D3C9C7B"/>
    <w:rsid w:val="7D40C550"/>
    <w:rsid w:val="7D9D6DB7"/>
    <w:rsid w:val="7D9D940A"/>
    <w:rsid w:val="7E3C02F2"/>
    <w:rsid w:val="7E6AA466"/>
    <w:rsid w:val="7EC74416"/>
    <w:rsid w:val="7F0BE917"/>
    <w:rsid w:val="7F418FE4"/>
    <w:rsid w:val="7F4C3A92"/>
    <w:rsid w:val="7F754272"/>
    <w:rsid w:val="7F7B4592"/>
    <w:rsid w:val="7F817A6D"/>
    <w:rsid w:val="7F9B567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785"/>
    <w:pPr>
      <w:jc w:val="both"/>
    </w:pPr>
    <w:rPr>
      <w:rFonts w:ascii="Calibri" w:hAnsi="Calibri" w:cs="Arial"/>
      <w:sz w:val="24"/>
      <w:szCs w:val="24"/>
    </w:rPr>
  </w:style>
  <w:style w:type="paragraph" w:styleId="Heading1">
    <w:name w:val="heading 1"/>
    <w:aliases w:val="h1,MP PARA,Para1,h11,h12,Section Heading,(Chapter Nbr),EOI - Heading 1 (Low),Heading 1 (low)"/>
    <w:basedOn w:val="Normal"/>
    <w:next w:val="Normal"/>
    <w:link w:val="Heading1Char"/>
    <w:uiPriority w:val="1"/>
    <w:qFormat/>
    <w:rsid w:val="001B204E"/>
    <w:pPr>
      <w:ind w:left="720" w:hanging="720"/>
      <w:outlineLvl w:val="0"/>
    </w:pPr>
    <w:rPr>
      <w:b/>
      <w:caps/>
      <w:sz w:val="32"/>
    </w:rPr>
  </w:style>
  <w:style w:type="paragraph" w:styleId="Heading2">
    <w:name w:val="heading 2"/>
    <w:aliases w:val="h2,Para2,h21,h22,B Sub/Bold,B Sub/Bold1,h2 main heading,H2,(Alt+2),(Alt+2)1,(Alt+2)2,Attribute Heading 2,B Sub/Bold2,B Sub/Bold11,h2 main heading1,h2 main heading2,B Sub/Bold3,B Sub/Bold12,h2 main heading3,B Sub/Bold4,B Sub/Bold13,heading 2,2m"/>
    <w:basedOn w:val="Normal"/>
    <w:next w:val="Normal"/>
    <w:link w:val="Heading2Char"/>
    <w:qFormat/>
    <w:rsid w:val="001B204E"/>
    <w:pPr>
      <w:outlineLvl w:val="1"/>
    </w:pPr>
    <w:rPr>
      <w:b/>
      <w:i/>
      <w:sz w:val="28"/>
    </w:rPr>
  </w:style>
  <w:style w:type="paragraph" w:styleId="Heading3">
    <w:name w:val="heading 3"/>
    <w:aliases w:val="h3,h31,h32,Para3,C Sub-Sub/Italic,h3 sub heading,EOI - Heading 3,heading 3,H3,H31,(Alt+3),Head 3,3m,h:3,Level 1 - 1,(Appendix Nbr),Paragraph (heading 3)"/>
    <w:basedOn w:val="Normal"/>
    <w:next w:val="Normal"/>
    <w:link w:val="Heading3Char"/>
    <w:qFormat/>
    <w:rsid w:val="001F7361"/>
    <w:pPr>
      <w:outlineLvl w:val="2"/>
    </w:pPr>
    <w:rPr>
      <w:u w:val="single"/>
    </w:rPr>
  </w:style>
  <w:style w:type="paragraph" w:styleId="Heading4">
    <w:name w:val="heading 4"/>
    <w:aliases w:val="h4,h41,h42,Para4,heading 4,Level 2 - a,(Small Appendix)"/>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Para5,h5,h51,h52, DO NOT USE"/>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aliases w:val="DO NOT USE3,DO NOT USE,DO NOT USE4,DO NOT USE31"/>
    <w:basedOn w:val="Normal"/>
    <w:next w:val="Normal"/>
    <w:link w:val="Heading7Char"/>
    <w:qFormat/>
    <w:rsid w:val="00124A51"/>
    <w:pPr>
      <w:keepNext/>
      <w:jc w:val="center"/>
      <w:outlineLvl w:val="6"/>
    </w:pPr>
    <w:rPr>
      <w:b/>
      <w:sz w:val="20"/>
    </w:rPr>
  </w:style>
  <w:style w:type="paragraph" w:styleId="Heading8">
    <w:name w:val="heading 8"/>
    <w:aliases w:val="DO NOT USE2,DO NOT USE21"/>
    <w:basedOn w:val="Normal"/>
    <w:next w:val="Normal"/>
    <w:link w:val="Heading8Char"/>
    <w:uiPriority w:val="7"/>
    <w:qFormat/>
    <w:rsid w:val="00124A51"/>
    <w:pPr>
      <w:keepNext/>
      <w:jc w:val="right"/>
      <w:outlineLvl w:val="7"/>
    </w:pPr>
    <w:rPr>
      <w:b/>
    </w:rPr>
  </w:style>
  <w:style w:type="paragraph" w:styleId="Heading9">
    <w:name w:val="heading 9"/>
    <w:aliases w:val="Heading TNR,DO NOT USE1,DO NOT USE11"/>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Para2 Char,h21 Char,h22 Char,B Sub/Bold Char,B Sub/Bold1 Char,h2 main heading Char,H2 Char,(Alt+2) Char,(Alt+2)1 Char,(Alt+2)2 Char,Attribute Heading 2 Char,B Sub/Bold2 Char,B Sub/Bold11 Char,h2 main heading1 Char,B Sub/Bold3 Char"/>
    <w:link w:val="Heading2"/>
    <w:rsid w:val="001B204E"/>
    <w:rPr>
      <w:rFonts w:ascii="Calibri" w:hAnsi="Calibri" w:cs="Arial"/>
      <w:b/>
      <w:i/>
      <w:snapToGrid w:val="0"/>
      <w:sz w:val="28"/>
      <w:szCs w:val="22"/>
      <w:lang w:eastAsia="en-US"/>
    </w:rPr>
  </w:style>
  <w:style w:type="character" w:customStyle="1" w:styleId="Heading7Char">
    <w:name w:val="Heading 7 Char"/>
    <w:aliases w:val="DO NOT USE3 Char,DO NOT USE Char,DO NOT USE4 Char,DO NOT USE31 Char"/>
    <w:basedOn w:val="DefaultParagraphFont"/>
    <w:link w:val="Heading7"/>
    <w:rsid w:val="00124A51"/>
    <w:rPr>
      <w:rFonts w:ascii="Arial" w:hAnsi="Arial"/>
      <w:b/>
      <w:snapToGrid w:val="0"/>
      <w:lang w:eastAsia="en-US"/>
    </w:rPr>
  </w:style>
  <w:style w:type="character" w:customStyle="1" w:styleId="Heading8Char">
    <w:name w:val="Heading 8 Char"/>
    <w:aliases w:val="DO NOT USE2 Char,DO NOT USE21 Char"/>
    <w:basedOn w:val="DefaultParagraphFont"/>
    <w:link w:val="Heading8"/>
    <w:rsid w:val="00124A51"/>
    <w:rPr>
      <w:b/>
      <w:snapToGrid w:val="0"/>
      <w:sz w:val="24"/>
      <w:lang w:eastAsia="en-US"/>
    </w:rPr>
  </w:style>
  <w:style w:type="character" w:customStyle="1" w:styleId="Heading9Char">
    <w:name w:val="Heading 9 Char"/>
    <w:aliases w:val="Heading TNR Char,DO NOT USE1 Char,DO NOT USE11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Ch"/>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ummary Bullets,Footer Setting,FooterText,numbered,Paragraphe de liste1,列出段落,列出段落1,リスト段落1"/>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ummary Bullets Char,numbered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Conclusion box,Table Grid nm,Header Table,NICE instructions,Source table_,HealthConsult,Dossier table,HTAtableplain,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Char7,Comment Text Char Char Char Char Char Char1 Ch,Comment Text Char Char1,Comment Text Char Char1 Char Char,Comment Text Char1 Char Char Char Char1 Char,Comment Text Char2, Char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har7 Char,Comment Text Char Char Char Char Char Char1 Ch Char,Comment Text Char Char1 Char,Comment Text Char Char1 Char Char Char,Comment Text Char2 Char"/>
    <w:basedOn w:val="DefaultParagraphFont"/>
    <w:link w:val="CommentText"/>
    <w:uiPriority w:val="99"/>
    <w:qFormat/>
    <w:rsid w:val="00FD2100"/>
    <w:rPr>
      <w:snapToGrid w:val="0"/>
      <w:lang w:eastAsia="en-US"/>
    </w:rPr>
  </w:style>
  <w:style w:type="paragraph" w:customStyle="1" w:styleId="Bulletpoints">
    <w:name w:val="Bullet points"/>
    <w:basedOn w:val="ListParagraph"/>
    <w:rsid w:val="00B70E8E"/>
    <w:pPr>
      <w:numPr>
        <w:numId w:val="2"/>
      </w:numPr>
      <w:tabs>
        <w:tab w:val="num" w:pos="720"/>
      </w:tabs>
      <w:contextualSpacing/>
    </w:pPr>
  </w:style>
  <w:style w:type="paragraph" w:customStyle="1" w:styleId="TableName">
    <w:name w:val="TableName"/>
    <w:basedOn w:val="Normal"/>
    <w:qFormat/>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578B4"/>
    <w:pPr>
      <w:keepNext/>
      <w:keepLines/>
      <w:contextualSpacing/>
    </w:pPr>
    <w:rPr>
      <w:rFonts w:ascii="Arial Narrow" w:eastAsia="Arial Narrow" w:hAnsi="Arial Narrow" w:cs="Arial Narrow"/>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4712C6"/>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34"/>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8012A6"/>
    <w:pPr>
      <w:numPr>
        <w:ilvl w:val="1"/>
        <w:numId w:val="34"/>
      </w:numPr>
      <w:spacing w:before="60"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8012A6"/>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E64E39"/>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E64E39"/>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578B4"/>
    <w:rPr>
      <w:rFonts w:ascii="Arial Narrow" w:eastAsia="Arial Narrow" w:hAnsi="Arial Narrow" w:cs="Arial Narrow"/>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5"/>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customStyle="1" w:styleId="normaltextrun">
    <w:name w:val="normaltextrun"/>
    <w:basedOn w:val="DefaultParagraphFont"/>
    <w:rsid w:val="00E25EFE"/>
  </w:style>
  <w:style w:type="paragraph" w:customStyle="1" w:styleId="TableNotes">
    <w:name w:val="Table Notes"/>
    <w:basedOn w:val="Normal"/>
    <w:link w:val="TableNotesChar"/>
    <w:uiPriority w:val="6"/>
    <w:qFormat/>
    <w:rsid w:val="00E25EFE"/>
    <w:pPr>
      <w:spacing w:after="40"/>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E25EFE"/>
    <w:rPr>
      <w:rFonts w:ascii="Arial Narrow" w:eastAsiaTheme="majorEastAsia" w:hAnsi="Arial Narrow" w:cstheme="majorBidi"/>
      <w:sz w:val="18"/>
      <w:szCs w:val="22"/>
      <w:lang w:eastAsia="en-US"/>
    </w:rPr>
  </w:style>
  <w:style w:type="character" w:styleId="Emphasis">
    <w:name w:val="Emphasis"/>
    <w:basedOn w:val="DefaultParagraphFont"/>
    <w:uiPriority w:val="20"/>
    <w:qFormat/>
    <w:rsid w:val="00E25EFE"/>
    <w:rPr>
      <w:i/>
      <w:iCs/>
    </w:rPr>
  </w:style>
  <w:style w:type="character" w:styleId="Strong">
    <w:name w:val="Strong"/>
    <w:basedOn w:val="DefaultParagraphFont"/>
    <w:uiPriority w:val="22"/>
    <w:qFormat/>
    <w:rsid w:val="00E25EFE"/>
    <w:rPr>
      <w:b/>
      <w:bCs/>
    </w:rPr>
  </w:style>
  <w:style w:type="table" w:customStyle="1" w:styleId="TableGrid0">
    <w:name w:val="Table Grid0"/>
    <w:basedOn w:val="TableNormal"/>
    <w:uiPriority w:val="39"/>
    <w:rsid w:val="00E25EF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Last">
    <w:name w:val="Table Notes Last"/>
    <w:basedOn w:val="Normal"/>
    <w:next w:val="Normal"/>
    <w:link w:val="TableNotesLastChar"/>
    <w:qFormat/>
    <w:rsid w:val="00E25EFE"/>
    <w:pPr>
      <w:spacing w:after="240"/>
      <w:contextualSpacing/>
    </w:pPr>
    <w:rPr>
      <w:rFonts w:ascii="Arial Narrow" w:eastAsiaTheme="majorEastAsia" w:hAnsi="Arial Narrow" w:cstheme="majorBidi"/>
      <w:sz w:val="18"/>
      <w:szCs w:val="22"/>
      <w:lang w:eastAsia="en-US"/>
    </w:rPr>
  </w:style>
  <w:style w:type="character" w:customStyle="1" w:styleId="TableNotesLastChar">
    <w:name w:val="Table Notes Last Char"/>
    <w:basedOn w:val="DefaultParagraphFont"/>
    <w:link w:val="TableNotesLast"/>
    <w:rsid w:val="00E25EFE"/>
    <w:rPr>
      <w:rFonts w:ascii="Arial Narrow" w:eastAsiaTheme="majorEastAsia" w:hAnsi="Arial Narrow" w:cstheme="majorBidi"/>
      <w:sz w:val="18"/>
      <w:szCs w:val="22"/>
      <w:lang w:eastAsia="en-US"/>
    </w:rPr>
  </w:style>
  <w:style w:type="paragraph" w:styleId="FootnoteText">
    <w:name w:val="footnote text"/>
    <w:aliases w:val="Char"/>
    <w:basedOn w:val="Normal"/>
    <w:link w:val="FootnoteTextChar"/>
    <w:unhideWhenUsed/>
    <w:rsid w:val="00E25EFE"/>
    <w:rPr>
      <w:sz w:val="20"/>
      <w:szCs w:val="20"/>
    </w:rPr>
  </w:style>
  <w:style w:type="character" w:customStyle="1" w:styleId="FootnoteTextChar">
    <w:name w:val="Footnote Text Char"/>
    <w:aliases w:val="Char Char"/>
    <w:basedOn w:val="DefaultParagraphFont"/>
    <w:link w:val="FootnoteText"/>
    <w:rsid w:val="00E25EFE"/>
    <w:rPr>
      <w:rFonts w:ascii="Calibri" w:hAnsi="Calibri" w:cs="Arial"/>
    </w:rPr>
  </w:style>
  <w:style w:type="character" w:styleId="FootnoteReference">
    <w:name w:val="footnote reference"/>
    <w:basedOn w:val="DefaultParagraphFont"/>
    <w:unhideWhenUsed/>
    <w:rsid w:val="00E25EFE"/>
    <w:rPr>
      <w:vertAlign w:val="superscript"/>
    </w:rPr>
  </w:style>
  <w:style w:type="character" w:styleId="UnresolvedMention">
    <w:name w:val="Unresolved Mention"/>
    <w:basedOn w:val="DefaultParagraphFont"/>
    <w:uiPriority w:val="99"/>
    <w:unhideWhenUsed/>
    <w:rsid w:val="00E25EFE"/>
    <w:rPr>
      <w:color w:val="605E5C"/>
      <w:shd w:val="clear" w:color="auto" w:fill="E1DFDD"/>
    </w:rPr>
  </w:style>
  <w:style w:type="paragraph" w:customStyle="1" w:styleId="BulletedList">
    <w:name w:val="Bulleted List"/>
    <w:basedOn w:val="Normal"/>
    <w:link w:val="BulletedListChar"/>
    <w:uiPriority w:val="3"/>
    <w:qFormat/>
    <w:rsid w:val="00445584"/>
    <w:pPr>
      <w:numPr>
        <w:numId w:val="8"/>
      </w:numPr>
      <w:spacing w:after="240"/>
      <w:ind w:left="360"/>
      <w:contextualSpacing/>
    </w:pPr>
    <w:rPr>
      <w:rFonts w:ascii="Candara" w:eastAsiaTheme="majorEastAsia" w:hAnsi="Candara" w:cstheme="majorBidi"/>
      <w:szCs w:val="22"/>
      <w:lang w:eastAsia="en-US"/>
    </w:rPr>
  </w:style>
  <w:style w:type="character" w:customStyle="1" w:styleId="BulletedListChar">
    <w:name w:val="Bulleted List Char"/>
    <w:basedOn w:val="DefaultParagraphFont"/>
    <w:link w:val="BulletedList"/>
    <w:uiPriority w:val="3"/>
    <w:rsid w:val="00E25EFE"/>
    <w:rPr>
      <w:rFonts w:ascii="Candara" w:eastAsiaTheme="majorEastAsia" w:hAnsi="Candara" w:cstheme="majorBidi"/>
      <w:sz w:val="24"/>
      <w:szCs w:val="22"/>
      <w:lang w:eastAsia="en-US"/>
    </w:rPr>
  </w:style>
  <w:style w:type="paragraph" w:customStyle="1" w:styleId="TableHeading0">
    <w:name w:val="Table Heading"/>
    <w:basedOn w:val="Normal"/>
    <w:qFormat/>
    <w:rsid w:val="00E25EFE"/>
    <w:pPr>
      <w:spacing w:after="60"/>
    </w:pPr>
    <w:rPr>
      <w:rFonts w:ascii="Arial Narrow" w:eastAsiaTheme="minorHAnsi" w:hAnsi="Arial Narrow" w:cstheme="minorBidi"/>
      <w:b/>
      <w:sz w:val="20"/>
      <w:szCs w:val="22"/>
      <w:lang w:eastAsia="en-US"/>
    </w:rPr>
  </w:style>
  <w:style w:type="paragraph" w:customStyle="1" w:styleId="TableLeft">
    <w:name w:val="Table Left"/>
    <w:basedOn w:val="Normal"/>
    <w:link w:val="TableLeftChar"/>
    <w:uiPriority w:val="5"/>
    <w:qFormat/>
    <w:rsid w:val="00E25EFE"/>
    <w:pPr>
      <w:spacing w:after="240"/>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E25EFE"/>
    <w:rPr>
      <w:rFonts w:ascii="Arial Narrow" w:eastAsiaTheme="majorEastAsia" w:hAnsi="Arial Narrow" w:cstheme="majorBidi"/>
      <w:szCs w:val="22"/>
      <w:lang w:eastAsia="en-US"/>
    </w:rPr>
  </w:style>
  <w:style w:type="table" w:customStyle="1" w:styleId="Submissionstandard">
    <w:name w:val="Submission standard"/>
    <w:basedOn w:val="TableNormal"/>
    <w:uiPriority w:val="99"/>
    <w:qFormat/>
    <w:rsid w:val="00445584"/>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Sans-Serif" w:hAnsi="Arial,Sans-Serif" w:cstheme="majorBidi"/>
        <w:b/>
        <w:sz w:val="20"/>
      </w:rPr>
      <w:tblPr/>
      <w:tcPr>
        <w:shd w:val="clear" w:color="auto" w:fill="BFBFBF" w:themeFill="background1" w:themeFillShade="BF"/>
      </w:tcPr>
    </w:tblStylePr>
  </w:style>
  <w:style w:type="paragraph" w:customStyle="1" w:styleId="PBACTabletext">
    <w:name w:val="PBAC Table text"/>
    <w:uiPriority w:val="99"/>
    <w:qFormat/>
    <w:rsid w:val="00E25EFE"/>
    <w:pPr>
      <w:keepNext/>
      <w:keepLines/>
      <w:suppressLineNumbers/>
      <w:spacing w:after="20"/>
      <w:textboxTightWrap w:val="allLines"/>
    </w:pPr>
    <w:rPr>
      <w:rFonts w:ascii="Arial" w:hAnsi="Arial" w:cs="Arial"/>
      <w:szCs w:val="24"/>
      <w:lang w:eastAsia="en-GB"/>
    </w:rPr>
  </w:style>
  <w:style w:type="character" w:customStyle="1" w:styleId="Heading1Char">
    <w:name w:val="Heading 1 Char"/>
    <w:aliases w:val="h1 Char,MP PARA Char,Para1 Char,h11 Char,h12 Char,Section Heading Char,(Chapter Nbr) Char,EOI - Heading 1 (Low) Char,Heading 1 (low) Char"/>
    <w:basedOn w:val="DefaultParagraphFont"/>
    <w:link w:val="Heading1"/>
    <w:uiPriority w:val="9"/>
    <w:rsid w:val="00E25EFE"/>
    <w:rPr>
      <w:rFonts w:ascii="Calibri" w:hAnsi="Calibri" w:cs="Arial"/>
      <w:b/>
      <w:caps/>
      <w:sz w:val="32"/>
      <w:szCs w:val="24"/>
    </w:rPr>
  </w:style>
  <w:style w:type="paragraph" w:customStyle="1" w:styleId="paragraph">
    <w:name w:val="paragraph"/>
    <w:basedOn w:val="Normal"/>
    <w:link w:val="paragraphChar2"/>
    <w:qFormat/>
    <w:rsid w:val="00E25EFE"/>
    <w:pPr>
      <w:spacing w:before="200" w:line="280" w:lineRule="exact"/>
      <w:jc w:val="left"/>
    </w:pPr>
    <w:rPr>
      <w:rFonts w:ascii="Arial" w:hAnsi="Arial" w:cs="Times New Roman"/>
      <w:sz w:val="20"/>
      <w:lang w:val="en-US" w:eastAsia="en-US"/>
    </w:rPr>
  </w:style>
  <w:style w:type="character" w:customStyle="1" w:styleId="paragraphChar2">
    <w:name w:val="paragraph Char2"/>
    <w:basedOn w:val="DefaultParagraphFont"/>
    <w:link w:val="paragraph"/>
    <w:rsid w:val="00E25EFE"/>
    <w:rPr>
      <w:rFonts w:ascii="Arial" w:hAnsi="Arial"/>
      <w:szCs w:val="24"/>
      <w:lang w:val="en-US" w:eastAsia="en-US"/>
    </w:rPr>
  </w:style>
  <w:style w:type="character" w:customStyle="1" w:styleId="TableHeadingChar">
    <w:name w:val="TableHeading Char"/>
    <w:link w:val="TableHeading"/>
    <w:locked/>
    <w:rsid w:val="00E25EFE"/>
    <w:rPr>
      <w:rFonts w:ascii="Arial Narrow" w:hAnsi="Arial Narrow" w:cs="Arial Narrow"/>
      <w:b/>
      <w:bCs/>
      <w:snapToGrid w:val="0"/>
      <w:szCs w:val="24"/>
    </w:rPr>
  </w:style>
  <w:style w:type="character" w:customStyle="1" w:styleId="eop">
    <w:name w:val="eop"/>
    <w:basedOn w:val="DefaultParagraphFont"/>
    <w:rsid w:val="00E25EFE"/>
  </w:style>
  <w:style w:type="character" w:customStyle="1" w:styleId="Normalfont">
    <w:name w:val="Normal font"/>
    <w:basedOn w:val="DefaultParagraphFont"/>
    <w:uiPriority w:val="1"/>
    <w:rsid w:val="00E25EFE"/>
    <w:rPr>
      <w:rFonts w:ascii="Candara" w:hAnsi="Candara" w:cs="Times New Roman"/>
      <w:sz w:val="24"/>
    </w:rPr>
  </w:style>
  <w:style w:type="character" w:customStyle="1" w:styleId="Heading3Char">
    <w:name w:val="Heading 3 Char"/>
    <w:aliases w:val="h3 Char,h31 Char,h32 Char,Para3 Char,C Sub-Sub/Italic Char,h3 sub heading Char,EOI - Heading 3 Char,heading 3 Char,H3 Char,H31 Char,(Alt+3) Char,Head 3 Char,3m Char,h:3 Char,Level 1 - 1 Char,(Appendix Nbr) Char,Paragraph (heading 3) Char"/>
    <w:basedOn w:val="DefaultParagraphFont"/>
    <w:link w:val="Heading3"/>
    <w:uiPriority w:val="9"/>
    <w:rsid w:val="00E25EFE"/>
    <w:rPr>
      <w:rFonts w:ascii="Calibri" w:hAnsi="Calibri" w:cs="Arial"/>
      <w:sz w:val="24"/>
      <w:szCs w:val="24"/>
      <w:u w:val="single"/>
    </w:rPr>
  </w:style>
  <w:style w:type="character" w:customStyle="1" w:styleId="Heading4Char">
    <w:name w:val="Heading 4 Char"/>
    <w:aliases w:val="h4 Char,h41 Char,h42 Char,Para4 Char,heading 4 Char,Level 2 - a Char,(Small Appendix) Char"/>
    <w:basedOn w:val="DefaultParagraphFont"/>
    <w:link w:val="Heading4"/>
    <w:uiPriority w:val="9"/>
    <w:rsid w:val="00E25EFE"/>
    <w:rPr>
      <w:rFonts w:ascii="Calibri" w:hAnsi="Calibri" w:cs="Arial"/>
      <w:b/>
      <w:bCs/>
      <w:i/>
      <w:sz w:val="26"/>
      <w:szCs w:val="28"/>
    </w:rPr>
  </w:style>
  <w:style w:type="character" w:customStyle="1" w:styleId="Heading5Char">
    <w:name w:val="Heading 5 Char"/>
    <w:aliases w:val="Para5 Char,h5 Char,h51 Char,h52 Char, DO NOT USE Char"/>
    <w:basedOn w:val="DefaultParagraphFont"/>
    <w:link w:val="Heading5"/>
    <w:uiPriority w:val="9"/>
    <w:rsid w:val="00E25EFE"/>
    <w:rPr>
      <w:rFonts w:ascii="Calibri" w:hAnsi="Calibri" w:cs="Arial"/>
      <w:b/>
      <w:bCs/>
      <w:iCs/>
      <w:sz w:val="26"/>
      <w:szCs w:val="26"/>
    </w:rPr>
  </w:style>
  <w:style w:type="character" w:customStyle="1" w:styleId="Heading6Char">
    <w:name w:val="Heading 6 Char"/>
    <w:basedOn w:val="DefaultParagraphFont"/>
    <w:link w:val="Heading6"/>
    <w:uiPriority w:val="9"/>
    <w:rsid w:val="00E25EFE"/>
    <w:rPr>
      <w:rFonts w:ascii="Calibri" w:hAnsi="Calibri" w:cs="Arial"/>
      <w:b/>
      <w:bCs/>
      <w:i/>
      <w:sz w:val="24"/>
      <w:szCs w:val="24"/>
    </w:rPr>
  </w:style>
  <w:style w:type="table" w:customStyle="1" w:styleId="TableGrid9">
    <w:name w:val="Table Grid9"/>
    <w:basedOn w:val="TableNormal"/>
    <w:next w:val="TableGrid"/>
    <w:uiPriority w:val="39"/>
    <w:rsid w:val="00E25EFE"/>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E25EFE"/>
    <w:rPr>
      <w:rFonts w:asciiTheme="minorHAnsi" w:eastAsia="PMingLiU"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basedOn w:val="TableNormal"/>
    <w:uiPriority w:val="99"/>
    <w:qFormat/>
    <w:rsid w:val="00445584"/>
    <w:rPr>
      <w:rFonts w:ascii="Arial Narrow" w:eastAsia="MS Gothic" w:hAnsi="Arial Narrow"/>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Sans-Serif" w:hAnsi="Arial,Sans-Serif" w:cs="Times New Roman" w:hint="default"/>
        <w:b/>
        <w:sz w:val="20"/>
        <w:szCs w:val="20"/>
      </w:rPr>
      <w:tblPr/>
      <w:tcPr>
        <w:shd w:val="clear" w:color="auto" w:fill="BFBFBF" w:themeFill="background1" w:themeFillShade="BF"/>
      </w:tcPr>
    </w:tblStylePr>
  </w:style>
  <w:style w:type="paragraph" w:customStyle="1" w:styleId="NumberList">
    <w:name w:val="NumberList"/>
    <w:basedOn w:val="Normal"/>
    <w:rsid w:val="00E25EFE"/>
    <w:pPr>
      <w:tabs>
        <w:tab w:val="left" w:pos="360"/>
      </w:tabs>
      <w:spacing w:after="240"/>
      <w:ind w:left="360" w:hanging="360"/>
    </w:pPr>
    <w:rPr>
      <w:rFonts w:cs="Times New Roman"/>
      <w:color w:val="000000"/>
      <w:sz w:val="22"/>
      <w:szCs w:val="20"/>
    </w:rPr>
  </w:style>
  <w:style w:type="table" w:customStyle="1" w:styleId="TableGridnm3">
    <w:name w:val="Table Grid nm3"/>
    <w:basedOn w:val="TableNormal"/>
    <w:next w:val="TableGrid"/>
    <w:uiPriority w:val="39"/>
    <w:rsid w:val="00E25EFE"/>
    <w:rPr>
      <w:rFonts w:ascii="Arial Narrow" w:eastAsia="MS Gothic" w:hAnsi="Arial Narrow"/>
      <w:szCs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D54B0B"/>
    <w:rPr>
      <w:rFonts w:asciiTheme="majorHAnsi" w:eastAsiaTheme="majorEastAsia" w:hAnsiTheme="majorHAnsi" w:cstheme="majorBidi"/>
      <w:color w:val="76923C" w:themeColor="accent3" w:themeShade="BF"/>
      <w:sz w:val="22"/>
      <w:szCs w:val="22"/>
      <w:lang w:val="en-US" w:eastAsia="en-US"/>
    </w:rPr>
    <w:tblPr>
      <w:tblInd w:w="0" w:type="nil"/>
      <w:tblCellMar>
        <w:left w:w="0" w:type="dxa"/>
        <w:right w:w="0" w:type="dxa"/>
      </w:tblCellMar>
    </w:tblPr>
    <w:tblStylePr w:type="firstRow">
      <w:pPr>
        <w:spacing w:before="0" w:after="0"/>
      </w:pPr>
      <w:rPr>
        <w:rFonts w:cstheme="majorBidi"/>
        <w:b/>
        <w:bCs/>
      </w:rPr>
    </w:tblStylePr>
    <w:tblStylePr w:type="lastRow">
      <w:pPr>
        <w:spacing w:before="0" w:after="0"/>
      </w:pPr>
      <w:rPr>
        <w:rFonts w:cstheme="majorBidi"/>
        <w:b/>
        <w:bCs/>
      </w:rPr>
    </w:tblStylePr>
    <w:tblStylePr w:type="firstCol">
      <w:rPr>
        <w:rFonts w:cstheme="majorBidi"/>
        <w:b/>
        <w:bCs/>
      </w:rPr>
    </w:tblStylePr>
    <w:tblStylePr w:type="lastCol">
      <w:rPr>
        <w:rFonts w:cstheme="majorBidi"/>
        <w:b/>
        <w:bCs/>
      </w:rPr>
    </w:tblStylePr>
    <w:tblStylePr w:type="band1Vert">
      <w:rPr>
        <w:rFonts w:cstheme="majorBidi"/>
      </w:rPr>
    </w:tblStylePr>
    <w:tblStylePr w:type="band1Horz">
      <w:rPr>
        <w:rFonts w:cstheme="majorBidi"/>
      </w:rPr>
    </w:tblStylePr>
  </w:style>
  <w:style w:type="character" w:styleId="Mention">
    <w:name w:val="Mention"/>
    <w:basedOn w:val="DefaultParagraphFont"/>
    <w:uiPriority w:val="99"/>
    <w:unhideWhenUsed/>
    <w:rsid w:val="008D63BF"/>
    <w:rPr>
      <w:color w:val="2B579A"/>
      <w:shd w:val="clear" w:color="auto" w:fill="E1DFDD"/>
    </w:rPr>
  </w:style>
  <w:style w:type="table" w:customStyle="1" w:styleId="OPTUMTableNormal">
    <w:name w:val="OPTUM Table Normal"/>
    <w:basedOn w:val="TableNormal"/>
    <w:rsid w:val="00EB54A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
    <w:name w:val="HTA Table shaded"/>
    <w:basedOn w:val="TableNormal"/>
    <w:rsid w:val="00FC0D69"/>
    <w:pPr>
      <w:spacing w:before="40" w:after="20"/>
    </w:pPr>
    <w:rPr>
      <w:rFonts w:ascii="Calibri" w:hAnsi="Calibri"/>
      <w:sz w:val="18"/>
      <w:szCs w:val="18"/>
    </w:rPr>
    <w:tblPr>
      <w:tblInd w:w="0" w:type="nil"/>
      <w:tblCellMar>
        <w:left w:w="0" w:type="dxa"/>
        <w:right w:w="0" w:type="dxa"/>
      </w:tblCellMar>
    </w:tblPr>
    <w:tblStylePr w:type="firstRow">
      <w:rPr>
        <w:rFonts w:ascii="Calibri" w:hAnsi="Calibri"/>
        <w:b w:val="0"/>
        <w:sz w:val="22"/>
      </w:rPr>
    </w:tblStylePr>
  </w:style>
  <w:style w:type="character" w:customStyle="1" w:styleId="Bold">
    <w:name w:val="Bold"/>
    <w:basedOn w:val="DefaultParagraphFont"/>
    <w:uiPriority w:val="1"/>
    <w:qFormat/>
    <w:rsid w:val="00D225C4"/>
    <w:rPr>
      <w:rFonts w:ascii="Candara" w:hAnsi="Candara" w:cs="Times New Roman"/>
      <w:b/>
      <w:sz w:val="24"/>
    </w:rPr>
  </w:style>
  <w:style w:type="character" w:customStyle="1" w:styleId="Italics">
    <w:name w:val="Italics"/>
    <w:basedOn w:val="DefaultParagraphFont"/>
    <w:uiPriority w:val="1"/>
    <w:qFormat/>
    <w:rsid w:val="00D225C4"/>
    <w:rPr>
      <w:rFonts w:ascii="Candara" w:hAnsi="Candara" w:cs="Times New Roman"/>
      <w:i/>
      <w:sz w:val="24"/>
    </w:rPr>
  </w:style>
  <w:style w:type="character" w:customStyle="1" w:styleId="Underlined">
    <w:name w:val="Underlined"/>
    <w:basedOn w:val="DefaultParagraphFont"/>
    <w:uiPriority w:val="1"/>
    <w:qFormat/>
    <w:rsid w:val="00D225C4"/>
    <w:rPr>
      <w:rFonts w:ascii="Candara" w:hAnsi="Candara" w:cs="Times New Roman"/>
      <w:sz w:val="24"/>
      <w:u w:val="single"/>
    </w:rPr>
  </w:style>
  <w:style w:type="character" w:customStyle="1" w:styleId="HighlightYellow">
    <w:name w:val="Highlight Yellow"/>
    <w:basedOn w:val="DefaultParagraphFont"/>
    <w:uiPriority w:val="2"/>
    <w:qFormat/>
    <w:rsid w:val="00D225C4"/>
    <w:rPr>
      <w:rFonts w:ascii="Candara" w:hAnsi="Candara" w:cs="Times New Roman"/>
      <w:sz w:val="24"/>
      <w:shd w:val="clear" w:color="auto" w:fill="FFFF00"/>
    </w:rPr>
  </w:style>
  <w:style w:type="character" w:customStyle="1" w:styleId="HighlightGreen">
    <w:name w:val="Highlight Green"/>
    <w:basedOn w:val="DefaultParagraphFont"/>
    <w:uiPriority w:val="2"/>
    <w:qFormat/>
    <w:rsid w:val="00D225C4"/>
    <w:rPr>
      <w:rFonts w:ascii="Candara" w:hAnsi="Candara" w:cs="Times New Roman"/>
      <w:sz w:val="24"/>
      <w:shd w:val="clear" w:color="auto" w:fill="92D050"/>
    </w:rPr>
  </w:style>
  <w:style w:type="character" w:customStyle="1" w:styleId="HighlightRed">
    <w:name w:val="Highlight Red"/>
    <w:basedOn w:val="DefaultParagraphFont"/>
    <w:uiPriority w:val="2"/>
    <w:qFormat/>
    <w:rsid w:val="00D225C4"/>
    <w:rPr>
      <w:rFonts w:ascii="Candara" w:hAnsi="Candara" w:cs="Times New Roman"/>
      <w:sz w:val="24"/>
      <w:shd w:val="clear" w:color="auto" w:fill="FF0000"/>
    </w:rPr>
  </w:style>
  <w:style w:type="character" w:customStyle="1" w:styleId="Superscript">
    <w:name w:val="Superscript"/>
    <w:basedOn w:val="DefaultParagraphFont"/>
    <w:uiPriority w:val="1"/>
    <w:qFormat/>
    <w:rsid w:val="00D225C4"/>
    <w:rPr>
      <w:rFonts w:ascii="Candara" w:hAnsi="Candara" w:cs="Times New Roman"/>
      <w:sz w:val="24"/>
      <w:vertAlign w:val="superscript"/>
    </w:rPr>
  </w:style>
  <w:style w:type="character" w:customStyle="1" w:styleId="Subscript">
    <w:name w:val="Subscript"/>
    <w:basedOn w:val="DefaultParagraphFont"/>
    <w:uiPriority w:val="1"/>
    <w:qFormat/>
    <w:rsid w:val="00D225C4"/>
    <w:rPr>
      <w:rFonts w:ascii="Candara" w:hAnsi="Candara" w:cs="Times New Roman"/>
      <w:sz w:val="24"/>
      <w:vertAlign w:val="subscript"/>
    </w:rPr>
  </w:style>
  <w:style w:type="character" w:styleId="SubtleEmphasis">
    <w:name w:val="Subtle Emphasis"/>
    <w:basedOn w:val="DefaultParagraphFont"/>
    <w:uiPriority w:val="19"/>
    <w:qFormat/>
    <w:rsid w:val="00D225C4"/>
    <w:rPr>
      <w:i/>
    </w:rPr>
  </w:style>
  <w:style w:type="character" w:styleId="IntenseEmphasis">
    <w:name w:val="Intense Emphasis"/>
    <w:basedOn w:val="DefaultParagraphFont"/>
    <w:uiPriority w:val="21"/>
    <w:qFormat/>
    <w:rsid w:val="00D225C4"/>
    <w:rPr>
      <w:b/>
      <w:i/>
    </w:rPr>
  </w:style>
  <w:style w:type="character" w:styleId="SubtleReference">
    <w:name w:val="Subtle Reference"/>
    <w:basedOn w:val="DefaultParagraphFont"/>
    <w:uiPriority w:val="31"/>
    <w:qFormat/>
    <w:rsid w:val="00D225C4"/>
    <w:rPr>
      <w:rFonts w:cs="Times New Roman"/>
      <w:smallCaps/>
    </w:rPr>
  </w:style>
  <w:style w:type="character" w:styleId="IntenseReference">
    <w:name w:val="Intense Reference"/>
    <w:basedOn w:val="DefaultParagraphFont"/>
    <w:uiPriority w:val="32"/>
    <w:rsid w:val="00D225C4"/>
    <w:rPr>
      <w:b/>
      <w:smallCaps/>
    </w:rPr>
  </w:style>
  <w:style w:type="character" w:styleId="BookTitle">
    <w:name w:val="Book Title"/>
    <w:basedOn w:val="DefaultParagraphFont"/>
    <w:uiPriority w:val="33"/>
    <w:qFormat/>
    <w:rsid w:val="00D225C4"/>
    <w:rPr>
      <w:rFonts w:cs="Times New Roman"/>
      <w:i/>
      <w:iCs/>
      <w:smallCaps/>
      <w:spacing w:val="5"/>
    </w:rPr>
  </w:style>
  <w:style w:type="paragraph" w:customStyle="1" w:styleId="NumberedList">
    <w:name w:val="Numbered List"/>
    <w:basedOn w:val="Normal"/>
    <w:uiPriority w:val="3"/>
    <w:qFormat/>
    <w:rsid w:val="00445584"/>
    <w:pPr>
      <w:numPr>
        <w:numId w:val="10"/>
      </w:numPr>
      <w:tabs>
        <w:tab w:val="num" w:pos="737"/>
      </w:tabs>
      <w:spacing w:after="240"/>
      <w:ind w:left="737" w:hanging="737"/>
      <w:contextualSpacing/>
    </w:pPr>
    <w:rPr>
      <w:rFonts w:ascii="Candara" w:eastAsiaTheme="majorEastAsia" w:hAnsi="Candara" w:cstheme="majorBidi"/>
      <w:szCs w:val="22"/>
      <w:lang w:eastAsia="en-US"/>
    </w:rPr>
  </w:style>
  <w:style w:type="paragraph" w:customStyle="1" w:styleId="LetteredList">
    <w:name w:val="Lettered List"/>
    <w:basedOn w:val="Normal"/>
    <w:uiPriority w:val="3"/>
    <w:qFormat/>
    <w:rsid w:val="00445584"/>
    <w:pPr>
      <w:numPr>
        <w:numId w:val="11"/>
      </w:numPr>
      <w:spacing w:after="240"/>
      <w:contextualSpacing/>
    </w:pPr>
    <w:rPr>
      <w:rFonts w:ascii="Candara" w:eastAsiaTheme="majorEastAsia" w:hAnsi="Candara" w:cstheme="majorBidi"/>
      <w:szCs w:val="22"/>
      <w:lang w:eastAsia="en-US"/>
    </w:rPr>
  </w:style>
  <w:style w:type="table" w:styleId="MediumList2-Accent6">
    <w:name w:val="Medium List 2 Accent 6"/>
    <w:basedOn w:val="TableNormal"/>
    <w:uiPriority w:val="66"/>
    <w:rsid w:val="00D225C4"/>
    <w:rPr>
      <w:rFonts w:asciiTheme="majorHAnsi" w:eastAsiaTheme="majorEastAsia" w:hAnsiTheme="majorHAnsi" w:cstheme="majorBidi"/>
      <w:color w:val="000000" w:themeColor="text1"/>
      <w:sz w:val="22"/>
      <w:szCs w:val="22"/>
      <w:lang w:val="en-US" w:eastAsia="en-US"/>
    </w:rPr>
    <w:tblPr>
      <w:tblStyleRowBandSize w:val="1"/>
      <w:tblStyleColBandSize w:val="1"/>
      <w:tblInd w:w="0" w:type="nil"/>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left w:w="0" w:type="dxa"/>
        <w:right w:w="0" w:type="dxa"/>
      </w:tblCellMar>
    </w:tblPr>
    <w:tblStylePr w:type="firstRow">
      <w:rPr>
        <w:rFonts w:cstheme="majorBid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heme="majorBidi"/>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heme="majorBidi"/>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FDE4D0" w:themeFill="accent6" w:themeFillTint="3F"/>
      </w:tcPr>
    </w:tblStylePr>
    <w:tblStylePr w:type="band1Horz">
      <w:rPr>
        <w:rFonts w:cstheme="majorBidi"/>
      </w:rPr>
      <w:tblPr/>
      <w:tcPr>
        <w:tcBorders>
          <w:top w:val="nil"/>
          <w:bottom w:val="nil"/>
          <w:insideH w:val="nil"/>
          <w:insideV w:val="nil"/>
        </w:tcBorders>
        <w:shd w:val="clear" w:color="auto" w:fill="FDE4D0"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table" w:styleId="MediumGrid3-Accent5">
    <w:name w:val="Medium Grid 3 Accent 5"/>
    <w:basedOn w:val="TableNormal"/>
    <w:uiPriority w:val="69"/>
    <w:rsid w:val="00D225C4"/>
    <w:rPr>
      <w:rFonts w:asciiTheme="majorHAnsi" w:eastAsiaTheme="majorEastAsia" w:hAnsiTheme="majorHAnsi" w:cstheme="majorBidi"/>
      <w:sz w:val="22"/>
      <w:szCs w:val="22"/>
      <w:lang w:val="en-US" w:eastAsia="en-US"/>
    </w:rPr>
    <w:tblPr>
      <w:tblStyleRowBandSize w:val="1"/>
      <w:tblStyleColBandSize w:val="1"/>
      <w:tblInd w:w="0" w:type="nil"/>
      <w:tblCellMar>
        <w:left w:w="0" w:type="dxa"/>
        <w:right w:w="0" w:type="dxa"/>
      </w:tblCellMa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heme="majorBidi"/>
      </w:rPr>
    </w:tblStylePr>
  </w:style>
  <w:style w:type="table" w:styleId="LightGrid-Accent5">
    <w:name w:val="Light Grid Accent 5"/>
    <w:basedOn w:val="TableNormal"/>
    <w:uiPriority w:val="62"/>
    <w:rsid w:val="00D225C4"/>
    <w:rPr>
      <w:rFonts w:asciiTheme="majorHAnsi" w:eastAsiaTheme="majorEastAsia" w:hAnsiTheme="majorHAnsi" w:cstheme="majorBidi"/>
      <w:sz w:val="22"/>
      <w:szCs w:val="22"/>
      <w:lang w:val="en-US" w:eastAsia="en-US"/>
    </w:rPr>
    <w:tblPr>
      <w:tblStyleRowBandSize w:val="1"/>
      <w:tblStyleColBandSize w:val="1"/>
      <w:tblInd w:w="0" w:type="nil"/>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heme="maj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D225C4"/>
    <w:rPr>
      <w:rFonts w:asciiTheme="majorHAnsi" w:eastAsiaTheme="majorEastAsia" w:hAnsiTheme="majorHAnsi" w:cstheme="majorBidi"/>
      <w:sz w:val="22"/>
      <w:szCs w:val="22"/>
      <w:lang w:val="en-US" w:eastAsia="en-US"/>
    </w:rPr>
    <w:tblPr>
      <w:tblStyleRowBandSize w:val="1"/>
      <w:tblStyleColBandSize w:val="1"/>
      <w:tblInd w:w="0" w:type="nil"/>
      <w:tblCellMar>
        <w:left w:w="0" w:type="dxa"/>
        <w:right w:w="0" w:type="dxa"/>
      </w:tblCellMa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pPr>
      <w:rPr>
        <w:rFonts w:cstheme="majorBidi"/>
        <w:b/>
        <w:bCs/>
        <w:color w:val="FFFFFF" w:themeColor="background1"/>
      </w:rPr>
      <w:tblPr/>
      <w:tcPr>
        <w:shd w:val="clear" w:color="auto" w:fill="F79646" w:themeFill="accent6"/>
      </w:tcPr>
    </w:tblStylePr>
    <w:tblStylePr w:type="lastRow">
      <w:pPr>
        <w:spacing w:before="0" w:after="0"/>
      </w:pPr>
      <w:rPr>
        <w:rFonts w:cstheme="majorBidi"/>
        <w:b/>
        <w:bCs/>
      </w:rPr>
    </w:tblStylePr>
    <w:tblStylePr w:type="firstCol">
      <w:rPr>
        <w:rFonts w:cstheme="majorBidi"/>
        <w:b/>
        <w:bCs/>
      </w:rPr>
    </w:tblStylePr>
    <w:tblStylePr w:type="lastCol">
      <w:rPr>
        <w:rFonts w:cstheme="majorBidi"/>
        <w:b/>
        <w:bCs/>
      </w:rPr>
    </w:tblStylePr>
    <w:tblStylePr w:type="band1Vert">
      <w:rPr>
        <w:rFonts w:cstheme="majorBidi"/>
      </w:rPr>
    </w:tblStylePr>
    <w:tblStylePr w:type="band1Horz">
      <w:rPr>
        <w:rFonts w:cstheme="majorBidi"/>
      </w:rPr>
    </w:tblStylePr>
  </w:style>
  <w:style w:type="paragraph" w:customStyle="1" w:styleId="Mainheading">
    <w:name w:val="Main heading"/>
    <w:basedOn w:val="Heading1"/>
    <w:next w:val="Normal"/>
    <w:link w:val="MainheadingChar"/>
    <w:uiPriority w:val="9"/>
    <w:qFormat/>
    <w:rsid w:val="00D225C4"/>
    <w:pPr>
      <w:pageBreakBefore/>
      <w:spacing w:after="240"/>
      <w:ind w:left="0" w:firstLine="0"/>
      <w:contextualSpacing/>
    </w:pPr>
    <w:rPr>
      <w:rFonts w:ascii="Verdana" w:eastAsiaTheme="majorEastAsia" w:hAnsi="Verdana" w:cstheme="majorBidi"/>
      <w:caps w:val="0"/>
      <w:spacing w:val="5"/>
      <w:szCs w:val="36"/>
      <w:lang w:eastAsia="en-US"/>
    </w:rPr>
  </w:style>
  <w:style w:type="paragraph" w:styleId="TableofFigures">
    <w:name w:val="table of figures"/>
    <w:basedOn w:val="Normal"/>
    <w:next w:val="Normal"/>
    <w:uiPriority w:val="99"/>
    <w:unhideWhenUsed/>
    <w:rsid w:val="00D225C4"/>
    <w:pPr>
      <w:spacing w:after="240"/>
    </w:pPr>
    <w:rPr>
      <w:rFonts w:ascii="Candara" w:eastAsiaTheme="majorEastAsia" w:hAnsi="Candara" w:cstheme="majorBidi"/>
      <w:szCs w:val="22"/>
      <w:lang w:eastAsia="en-US"/>
    </w:rPr>
  </w:style>
  <w:style w:type="paragraph" w:customStyle="1" w:styleId="Subheading">
    <w:name w:val="Sub heading"/>
    <w:basedOn w:val="Mainheading"/>
    <w:next w:val="Normal"/>
    <w:uiPriority w:val="9"/>
    <w:qFormat/>
    <w:rsid w:val="00D225C4"/>
    <w:pPr>
      <w:pageBreakBefore w:val="0"/>
    </w:pPr>
    <w:rPr>
      <w:sz w:val="28"/>
    </w:rPr>
  </w:style>
  <w:style w:type="paragraph" w:customStyle="1" w:styleId="FrontPage1">
    <w:name w:val="Front Page 1"/>
    <w:basedOn w:val="Normal"/>
    <w:next w:val="Normal"/>
    <w:link w:val="FrontPage1Char"/>
    <w:uiPriority w:val="10"/>
    <w:qFormat/>
    <w:rsid w:val="00D225C4"/>
    <w:pPr>
      <w:spacing w:after="240"/>
      <w:jc w:val="center"/>
    </w:pPr>
    <w:rPr>
      <w:rFonts w:ascii="Verdana" w:eastAsiaTheme="majorEastAsia" w:hAnsi="Verdana" w:cstheme="majorBidi"/>
      <w:b/>
      <w:sz w:val="48"/>
      <w:szCs w:val="22"/>
      <w:lang w:eastAsia="en-US"/>
    </w:rPr>
  </w:style>
  <w:style w:type="character" w:customStyle="1" w:styleId="FrontPage1Char">
    <w:name w:val="Front Page 1 Char"/>
    <w:basedOn w:val="DefaultParagraphFont"/>
    <w:link w:val="FrontPage1"/>
    <w:uiPriority w:val="10"/>
    <w:locked/>
    <w:rsid w:val="00D225C4"/>
    <w:rPr>
      <w:rFonts w:ascii="Verdana" w:eastAsiaTheme="majorEastAsia" w:hAnsi="Verdana" w:cstheme="majorBidi"/>
      <w:b/>
      <w:sz w:val="48"/>
      <w:szCs w:val="22"/>
      <w:lang w:eastAsia="en-US"/>
    </w:rPr>
  </w:style>
  <w:style w:type="paragraph" w:customStyle="1" w:styleId="FrontPage2">
    <w:name w:val="Front Page 2"/>
    <w:basedOn w:val="FrontPage1"/>
    <w:link w:val="FrontPage2Char"/>
    <w:uiPriority w:val="10"/>
    <w:qFormat/>
    <w:rsid w:val="00D225C4"/>
    <w:rPr>
      <w:sz w:val="40"/>
    </w:rPr>
  </w:style>
  <w:style w:type="character" w:customStyle="1" w:styleId="FrontPage2Char">
    <w:name w:val="Front Page 2 Char"/>
    <w:basedOn w:val="FrontPage1Char"/>
    <w:link w:val="FrontPage2"/>
    <w:uiPriority w:val="10"/>
    <w:locked/>
    <w:rsid w:val="00D225C4"/>
    <w:rPr>
      <w:rFonts w:ascii="Verdana" w:eastAsiaTheme="majorEastAsia" w:hAnsi="Verdana" w:cstheme="majorBidi"/>
      <w:b/>
      <w:sz w:val="40"/>
      <w:szCs w:val="22"/>
      <w:lang w:eastAsia="en-US"/>
    </w:rPr>
  </w:style>
  <w:style w:type="paragraph" w:customStyle="1" w:styleId="FrontPage3">
    <w:name w:val="Front Page 3"/>
    <w:basedOn w:val="FrontPage2"/>
    <w:link w:val="FrontPage3Char"/>
    <w:uiPriority w:val="10"/>
    <w:qFormat/>
    <w:rsid w:val="00D225C4"/>
    <w:rPr>
      <w:sz w:val="32"/>
    </w:rPr>
  </w:style>
  <w:style w:type="character" w:customStyle="1" w:styleId="FrontPage3Char">
    <w:name w:val="Front Page 3 Char"/>
    <w:basedOn w:val="FrontPage2Char"/>
    <w:link w:val="FrontPage3"/>
    <w:uiPriority w:val="10"/>
    <w:locked/>
    <w:rsid w:val="00D225C4"/>
    <w:rPr>
      <w:rFonts w:ascii="Verdana" w:eastAsiaTheme="majorEastAsia" w:hAnsi="Verdana" w:cstheme="majorBidi"/>
      <w:b/>
      <w:sz w:val="32"/>
      <w:szCs w:val="22"/>
      <w:lang w:eastAsia="en-US"/>
    </w:rPr>
  </w:style>
  <w:style w:type="table" w:styleId="TableGrid1">
    <w:name w:val="Table Grid 1"/>
    <w:basedOn w:val="TableNormal"/>
    <w:uiPriority w:val="99"/>
    <w:semiHidden/>
    <w:unhideWhenUsed/>
    <w:rsid w:val="00D225C4"/>
    <w:rPr>
      <w:rFonts w:asciiTheme="majorHAnsi" w:eastAsiaTheme="majorEastAsia" w:hAnsiTheme="majorHAnsi" w:cstheme="majorBidi"/>
      <w:sz w:val="22"/>
      <w:szCs w:val="22"/>
      <w:lang w:val="en-US" w:eastAsia="en-US"/>
    </w:rPr>
    <w:tblPr>
      <w:tblInd w:w="0" w:type="nil"/>
      <w:tblCellMar>
        <w:left w:w="0" w:type="dxa"/>
        <w:right w:w="0" w:type="dxa"/>
      </w:tblCellMar>
    </w:tblPr>
    <w:tblStylePr w:type="lastRow">
      <w:rPr>
        <w:rFonts w:cstheme="majorBidi"/>
        <w:i/>
        <w:iCs/>
      </w:rPr>
    </w:tblStylePr>
    <w:tblStylePr w:type="lastCol">
      <w:rPr>
        <w:rFonts w:cstheme="majorBidi"/>
        <w:i/>
        <w:iCs/>
      </w:rPr>
    </w:tblStylePr>
  </w:style>
  <w:style w:type="table" w:styleId="LightShading-Accent2">
    <w:name w:val="Light Shading Accent 2"/>
    <w:basedOn w:val="TableNormal"/>
    <w:uiPriority w:val="60"/>
    <w:rsid w:val="00D225C4"/>
    <w:rPr>
      <w:rFonts w:asciiTheme="majorHAnsi" w:eastAsiaTheme="majorEastAsia" w:hAnsiTheme="majorHAnsi" w:cstheme="majorBidi"/>
      <w:color w:val="943634" w:themeColor="accent2" w:themeShade="BF"/>
      <w:sz w:val="22"/>
      <w:szCs w:val="22"/>
      <w:lang w:val="en-US" w:eastAsia="en-US"/>
    </w:rPr>
    <w:tblPr>
      <w:tblInd w:w="0" w:type="nil"/>
      <w:tblCellMar>
        <w:left w:w="0" w:type="dxa"/>
        <w:right w:w="0" w:type="dxa"/>
      </w:tblCellMar>
    </w:tblPr>
    <w:tblStylePr w:type="firstRow">
      <w:pPr>
        <w:spacing w:before="0" w:after="0"/>
      </w:pPr>
      <w:rPr>
        <w:rFonts w:cstheme="majorBidi"/>
        <w:b/>
        <w:bCs/>
      </w:rPr>
    </w:tblStylePr>
    <w:tblStylePr w:type="lastRow">
      <w:pPr>
        <w:spacing w:before="0" w:after="0"/>
      </w:pPr>
      <w:rPr>
        <w:rFonts w:cstheme="majorBidi"/>
        <w:b/>
        <w:bCs/>
      </w:rPr>
    </w:tblStylePr>
    <w:tblStylePr w:type="firstCol">
      <w:rPr>
        <w:rFonts w:cstheme="majorBidi"/>
        <w:b/>
        <w:bCs/>
      </w:rPr>
    </w:tblStylePr>
    <w:tblStylePr w:type="lastCol">
      <w:rPr>
        <w:rFonts w:cstheme="majorBidi"/>
        <w:b/>
        <w:bCs/>
      </w:rPr>
    </w:tblStylePr>
    <w:tblStylePr w:type="band1Vert">
      <w:rPr>
        <w:rFonts w:cstheme="majorBidi"/>
      </w:rPr>
    </w:tblStylePr>
    <w:tblStylePr w:type="band1Horz">
      <w:rPr>
        <w:rFonts w:cstheme="majorBidi"/>
      </w:rPr>
    </w:tblStylePr>
  </w:style>
  <w:style w:type="table" w:styleId="LightShading-Accent4">
    <w:name w:val="Light Shading Accent 4"/>
    <w:basedOn w:val="TableNormal"/>
    <w:uiPriority w:val="60"/>
    <w:rsid w:val="00D225C4"/>
    <w:rPr>
      <w:rFonts w:asciiTheme="majorHAnsi" w:eastAsiaTheme="majorEastAsia" w:hAnsiTheme="majorHAnsi" w:cstheme="majorBidi"/>
      <w:color w:val="5F497A" w:themeColor="accent4" w:themeShade="BF"/>
      <w:sz w:val="22"/>
      <w:szCs w:val="22"/>
      <w:lang w:val="en-US" w:eastAsia="en-US"/>
    </w:rPr>
    <w:tblPr>
      <w:tblInd w:w="0" w:type="nil"/>
      <w:tblCellMar>
        <w:left w:w="0" w:type="dxa"/>
        <w:right w:w="0" w:type="dxa"/>
      </w:tblCellMar>
    </w:tblPr>
    <w:tblStylePr w:type="firstRow">
      <w:pPr>
        <w:spacing w:before="0" w:after="0"/>
      </w:pPr>
      <w:rPr>
        <w:rFonts w:cstheme="majorBidi"/>
        <w:b/>
        <w:bCs/>
      </w:rPr>
    </w:tblStylePr>
    <w:tblStylePr w:type="lastRow">
      <w:pPr>
        <w:spacing w:before="0" w:after="0"/>
      </w:pPr>
      <w:rPr>
        <w:rFonts w:cstheme="majorBidi"/>
        <w:b/>
        <w:bCs/>
      </w:rPr>
    </w:tblStylePr>
    <w:tblStylePr w:type="firstCol">
      <w:rPr>
        <w:rFonts w:cstheme="majorBidi"/>
        <w:b/>
        <w:bCs/>
      </w:rPr>
    </w:tblStylePr>
    <w:tblStylePr w:type="lastCol">
      <w:rPr>
        <w:rFonts w:cstheme="majorBidi"/>
        <w:b/>
        <w:bCs/>
      </w:rPr>
    </w:tblStylePr>
    <w:tblStylePr w:type="band1Vert">
      <w:rPr>
        <w:rFonts w:cstheme="majorBidi"/>
      </w:rPr>
    </w:tblStylePr>
    <w:tblStylePr w:type="band1Horz">
      <w:rPr>
        <w:rFonts w:cstheme="majorBidi"/>
      </w:rPr>
    </w:tblStylePr>
  </w:style>
  <w:style w:type="paragraph" w:styleId="TOAHeading">
    <w:name w:val="toa heading"/>
    <w:basedOn w:val="Normal"/>
    <w:next w:val="Normal"/>
    <w:uiPriority w:val="99"/>
    <w:semiHidden/>
    <w:rsid w:val="00D225C4"/>
    <w:pPr>
      <w:spacing w:before="120" w:after="240"/>
    </w:pPr>
    <w:rPr>
      <w:rFonts w:ascii="Arial Bold" w:eastAsiaTheme="majorEastAsia" w:hAnsi="Arial Bold"/>
      <w:b/>
      <w:bCs/>
      <w:caps/>
      <w:sz w:val="28"/>
      <w:szCs w:val="28"/>
    </w:rPr>
  </w:style>
  <w:style w:type="paragraph" w:styleId="Bibliography">
    <w:name w:val="Bibliography"/>
    <w:basedOn w:val="Normal"/>
    <w:next w:val="Normal"/>
    <w:uiPriority w:val="37"/>
    <w:unhideWhenUsed/>
    <w:rsid w:val="00D225C4"/>
    <w:pPr>
      <w:spacing w:after="240"/>
    </w:pPr>
    <w:rPr>
      <w:rFonts w:ascii="Candara" w:eastAsiaTheme="majorEastAsia" w:hAnsi="Candara" w:cstheme="majorBidi"/>
      <w:szCs w:val="22"/>
      <w:lang w:eastAsia="en-US"/>
    </w:rPr>
  </w:style>
  <w:style w:type="paragraph" w:customStyle="1" w:styleId="TableCentred">
    <w:name w:val="Table Centred"/>
    <w:basedOn w:val="Normal"/>
    <w:uiPriority w:val="5"/>
    <w:qFormat/>
    <w:rsid w:val="00D225C4"/>
    <w:pPr>
      <w:spacing w:after="240"/>
      <w:jc w:val="center"/>
    </w:pPr>
    <w:rPr>
      <w:rFonts w:ascii="Arial Narrow" w:eastAsiaTheme="majorEastAsia" w:hAnsi="Arial Narrow" w:cstheme="majorBidi"/>
      <w:sz w:val="20"/>
      <w:szCs w:val="22"/>
      <w:lang w:eastAsia="en-US"/>
    </w:rPr>
  </w:style>
  <w:style w:type="character" w:customStyle="1" w:styleId="TableBold">
    <w:name w:val="Table Bold"/>
    <w:uiPriority w:val="4"/>
    <w:qFormat/>
    <w:rsid w:val="00D225C4"/>
    <w:rPr>
      <w:rFonts w:ascii="Arial Narrow" w:hAnsi="Arial Narrow" w:cs="Times New Roman"/>
      <w:b/>
      <w:sz w:val="20"/>
      <w:lang w:val="en-AU"/>
    </w:rPr>
  </w:style>
  <w:style w:type="paragraph" w:customStyle="1" w:styleId="TableRight">
    <w:name w:val="Table Right"/>
    <w:basedOn w:val="TableCentred"/>
    <w:uiPriority w:val="5"/>
    <w:qFormat/>
    <w:rsid w:val="00D225C4"/>
    <w:pPr>
      <w:jc w:val="right"/>
    </w:pPr>
  </w:style>
  <w:style w:type="paragraph" w:customStyle="1" w:styleId="TableBullets">
    <w:name w:val="Table Bullets"/>
    <w:basedOn w:val="TableLeft"/>
    <w:uiPriority w:val="5"/>
    <w:qFormat/>
    <w:rsid w:val="00D225C4"/>
    <w:pPr>
      <w:ind w:left="170" w:hanging="170"/>
    </w:pPr>
  </w:style>
  <w:style w:type="character" w:customStyle="1" w:styleId="TableItalics">
    <w:name w:val="Table Italics"/>
    <w:uiPriority w:val="4"/>
    <w:qFormat/>
    <w:rsid w:val="00D225C4"/>
    <w:rPr>
      <w:rFonts w:ascii="Arial Narrow" w:hAnsi="Arial Narrow" w:cs="Times New Roman"/>
      <w:i/>
      <w:sz w:val="20"/>
    </w:rPr>
  </w:style>
  <w:style w:type="character" w:styleId="PlaceholderText">
    <w:name w:val="Placeholder Text"/>
    <w:basedOn w:val="DefaultParagraphFont"/>
    <w:uiPriority w:val="99"/>
    <w:semiHidden/>
    <w:rsid w:val="00D225C4"/>
    <w:rPr>
      <w:rFonts w:cs="Times New Roman"/>
      <w:color w:val="808080"/>
    </w:rPr>
  </w:style>
  <w:style w:type="character" w:customStyle="1" w:styleId="FrontPage4">
    <w:name w:val="Front Page 4"/>
    <w:basedOn w:val="FrontPage1Char"/>
    <w:uiPriority w:val="1"/>
    <w:qFormat/>
    <w:rsid w:val="00D225C4"/>
    <w:rPr>
      <w:rFonts w:ascii="Verdana" w:eastAsiaTheme="majorEastAsia" w:hAnsi="Verdana" w:cstheme="majorBidi"/>
      <w:b/>
      <w:sz w:val="48"/>
      <w:szCs w:val="22"/>
      <w:vertAlign w:val="superscript"/>
      <w:lang w:eastAsia="en-US"/>
    </w:rPr>
  </w:style>
  <w:style w:type="paragraph" w:styleId="ListNumber">
    <w:name w:val="List Number"/>
    <w:basedOn w:val="Normal"/>
    <w:uiPriority w:val="99"/>
    <w:unhideWhenUsed/>
    <w:rsid w:val="00D225C4"/>
    <w:pPr>
      <w:tabs>
        <w:tab w:val="num" w:pos="360"/>
      </w:tabs>
      <w:spacing w:after="240"/>
      <w:ind w:left="360" w:hanging="360"/>
      <w:contextualSpacing/>
    </w:pPr>
    <w:rPr>
      <w:rFonts w:asciiTheme="minorHAnsi" w:eastAsiaTheme="minorHAnsi" w:hAnsiTheme="minorHAnsi" w:cstheme="minorBidi"/>
      <w:sz w:val="22"/>
      <w:szCs w:val="22"/>
      <w:lang w:eastAsia="en-US"/>
    </w:rPr>
  </w:style>
  <w:style w:type="paragraph" w:customStyle="1" w:styleId="Tableletteredlist">
    <w:name w:val="Table lettered list"/>
    <w:basedOn w:val="TableLeft"/>
    <w:uiPriority w:val="3"/>
    <w:qFormat/>
    <w:rsid w:val="00445584"/>
    <w:pPr>
      <w:numPr>
        <w:numId w:val="12"/>
      </w:numPr>
    </w:pPr>
    <w:rPr>
      <w:lang w:bidi="en-US"/>
    </w:rPr>
  </w:style>
  <w:style w:type="paragraph" w:customStyle="1" w:styleId="TableTextCA">
    <w:name w:val="Table Text CA"/>
    <w:basedOn w:val="Normal"/>
    <w:qFormat/>
    <w:rsid w:val="00D225C4"/>
    <w:pPr>
      <w:spacing w:before="40" w:after="40"/>
      <w:jc w:val="center"/>
    </w:pPr>
    <w:rPr>
      <w:rFonts w:ascii="Arial Narrow" w:eastAsiaTheme="minorHAnsi" w:hAnsi="Arial Narrow" w:cstheme="minorBidi"/>
      <w:sz w:val="20"/>
      <w:szCs w:val="22"/>
      <w:lang w:eastAsia="en-US"/>
    </w:rPr>
  </w:style>
  <w:style w:type="paragraph" w:customStyle="1" w:styleId="TableBullet">
    <w:name w:val="Table Bullet"/>
    <w:basedOn w:val="Normal"/>
    <w:qFormat/>
    <w:rsid w:val="00445584"/>
    <w:pPr>
      <w:numPr>
        <w:numId w:val="13"/>
      </w:numPr>
      <w:tabs>
        <w:tab w:val="num" w:pos="432"/>
      </w:tabs>
      <w:spacing w:before="40" w:after="40"/>
      <w:ind w:left="432" w:hanging="432"/>
    </w:pPr>
    <w:rPr>
      <w:rFonts w:ascii="Arial Narrow" w:eastAsiaTheme="minorHAnsi" w:hAnsi="Arial Narrow" w:cstheme="minorBidi"/>
      <w:sz w:val="20"/>
      <w:szCs w:val="22"/>
      <w:lang w:eastAsia="en-US"/>
    </w:rPr>
  </w:style>
  <w:style w:type="paragraph" w:customStyle="1" w:styleId="TableFigNoteLast">
    <w:name w:val="TableFigNote Last"/>
    <w:basedOn w:val="Normal"/>
    <w:qFormat/>
    <w:rsid w:val="00D225C4"/>
    <w:pPr>
      <w:spacing w:after="360"/>
    </w:pPr>
    <w:rPr>
      <w:rFonts w:asciiTheme="minorHAnsi" w:eastAsiaTheme="minorHAnsi" w:hAnsiTheme="minorHAnsi" w:cstheme="minorBidi"/>
      <w:sz w:val="18"/>
      <w:szCs w:val="22"/>
      <w:lang w:eastAsia="en-US"/>
    </w:rPr>
  </w:style>
  <w:style w:type="paragraph" w:customStyle="1" w:styleId="TableNoteBullet">
    <w:name w:val="Table Note Bullet"/>
    <w:basedOn w:val="Normal"/>
    <w:qFormat/>
    <w:rsid w:val="00445584"/>
    <w:pPr>
      <w:numPr>
        <w:numId w:val="14"/>
      </w:numPr>
      <w:spacing w:after="60"/>
      <w:ind w:left="1440"/>
    </w:pPr>
    <w:rPr>
      <w:rFonts w:asciiTheme="minorHAnsi" w:eastAsiaTheme="minorHAnsi" w:hAnsiTheme="minorHAnsi" w:cstheme="minorBidi"/>
      <w:sz w:val="18"/>
      <w:szCs w:val="22"/>
      <w:lang w:eastAsia="en-US"/>
    </w:rPr>
  </w:style>
  <w:style w:type="paragraph" w:customStyle="1" w:styleId="TableNumbered">
    <w:name w:val="Table Numbered"/>
    <w:basedOn w:val="TableBullet"/>
    <w:qFormat/>
    <w:rsid w:val="00445584"/>
    <w:pPr>
      <w:numPr>
        <w:numId w:val="15"/>
      </w:numPr>
      <w:tabs>
        <w:tab w:val="num" w:pos="360"/>
      </w:tabs>
      <w:ind w:left="432" w:hanging="432"/>
    </w:pPr>
  </w:style>
  <w:style w:type="paragraph" w:customStyle="1" w:styleId="TableFigNoteHanging">
    <w:name w:val="TableFigNoteHanging"/>
    <w:basedOn w:val="Normal"/>
    <w:qFormat/>
    <w:rsid w:val="00D225C4"/>
    <w:pPr>
      <w:spacing w:after="240"/>
      <w:ind w:left="142" w:hanging="142"/>
    </w:pPr>
    <w:rPr>
      <w:rFonts w:asciiTheme="minorHAnsi" w:eastAsiaTheme="minorHAnsi" w:hAnsiTheme="minorHAnsi" w:cstheme="minorBidi"/>
      <w:sz w:val="18"/>
      <w:szCs w:val="22"/>
      <w:lang w:eastAsia="en-US"/>
    </w:rPr>
  </w:style>
  <w:style w:type="paragraph" w:customStyle="1" w:styleId="FigureName">
    <w:name w:val="FigureName"/>
    <w:basedOn w:val="Normal"/>
    <w:qFormat/>
    <w:rsid w:val="00D225C4"/>
    <w:pPr>
      <w:keepNext/>
      <w:spacing w:after="240"/>
      <w:ind w:left="1531" w:hanging="1531"/>
    </w:pPr>
    <w:rPr>
      <w:rFonts w:ascii="Franklin Gothic Medium" w:eastAsiaTheme="minorHAnsi" w:hAnsi="Franklin Gothic Medium" w:cstheme="minorBidi"/>
      <w:sz w:val="22"/>
      <w:szCs w:val="22"/>
      <w:lang w:eastAsia="en-US"/>
    </w:rPr>
  </w:style>
  <w:style w:type="paragraph" w:customStyle="1" w:styleId="TableFigNoteHangingLast">
    <w:name w:val="TableFigNoteHanging Last"/>
    <w:basedOn w:val="Normal"/>
    <w:qFormat/>
    <w:rsid w:val="00D225C4"/>
    <w:pPr>
      <w:spacing w:after="360"/>
      <w:ind w:left="142" w:hanging="142"/>
    </w:pPr>
    <w:rPr>
      <w:rFonts w:asciiTheme="minorHAnsi" w:eastAsiaTheme="minorHAnsi" w:hAnsiTheme="minorHAnsi" w:cstheme="minorBidi"/>
      <w:sz w:val="18"/>
      <w:szCs w:val="22"/>
      <w:lang w:eastAsia="en-US"/>
    </w:rPr>
  </w:style>
  <w:style w:type="paragraph" w:customStyle="1" w:styleId="NormalBeforeBullet">
    <w:name w:val="Normal Before Bullet"/>
    <w:basedOn w:val="Normal"/>
    <w:qFormat/>
    <w:rsid w:val="00D225C4"/>
    <w:pPr>
      <w:keepNext/>
      <w:spacing w:after="120"/>
    </w:pPr>
    <w:rPr>
      <w:rFonts w:asciiTheme="minorHAnsi" w:eastAsiaTheme="minorHAnsi" w:hAnsiTheme="minorHAnsi" w:cstheme="minorBidi"/>
      <w:sz w:val="22"/>
      <w:szCs w:val="22"/>
      <w:lang w:eastAsia="en-US"/>
    </w:rPr>
  </w:style>
  <w:style w:type="paragraph" w:customStyle="1" w:styleId="Bullet">
    <w:name w:val="Bullet"/>
    <w:basedOn w:val="Normal"/>
    <w:qFormat/>
    <w:rsid w:val="00445584"/>
    <w:pPr>
      <w:numPr>
        <w:numId w:val="16"/>
      </w:numPr>
      <w:tabs>
        <w:tab w:val="num" w:pos="360"/>
      </w:tabs>
      <w:spacing w:after="120"/>
      <w:ind w:left="0" w:firstLine="0"/>
    </w:pPr>
    <w:rPr>
      <w:rFonts w:asciiTheme="minorHAnsi" w:eastAsiaTheme="minorHAnsi" w:hAnsiTheme="minorHAnsi" w:cstheme="minorBidi"/>
      <w:sz w:val="22"/>
      <w:szCs w:val="22"/>
      <w:lang w:eastAsia="en-US"/>
    </w:rPr>
  </w:style>
  <w:style w:type="paragraph" w:customStyle="1" w:styleId="TableFigNote">
    <w:name w:val="TableFigNote"/>
    <w:basedOn w:val="Normal"/>
    <w:qFormat/>
    <w:rsid w:val="00D225C4"/>
    <w:pPr>
      <w:spacing w:after="240"/>
    </w:pPr>
    <w:rPr>
      <w:rFonts w:asciiTheme="minorHAnsi" w:eastAsiaTheme="minorHAnsi" w:hAnsiTheme="minorHAnsi" w:cstheme="minorBidi"/>
      <w:sz w:val="18"/>
      <w:szCs w:val="22"/>
      <w:lang w:eastAsia="en-US"/>
    </w:rPr>
  </w:style>
  <w:style w:type="paragraph" w:customStyle="1" w:styleId="BulletLast">
    <w:name w:val="Bullet Last"/>
    <w:basedOn w:val="Bullet"/>
    <w:qFormat/>
    <w:rsid w:val="00445584"/>
    <w:pPr>
      <w:numPr>
        <w:numId w:val="17"/>
      </w:numPr>
      <w:tabs>
        <w:tab w:val="num" w:pos="360"/>
      </w:tabs>
      <w:spacing w:after="240"/>
      <w:ind w:left="0" w:firstLine="0"/>
    </w:pPr>
  </w:style>
  <w:style w:type="paragraph" w:customStyle="1" w:styleId="TableHeadingCA">
    <w:name w:val="Table Heading CA"/>
    <w:basedOn w:val="TableHeading0"/>
    <w:qFormat/>
    <w:rsid w:val="00D225C4"/>
    <w:pPr>
      <w:jc w:val="center"/>
    </w:pPr>
  </w:style>
  <w:style w:type="paragraph" w:customStyle="1" w:styleId="TableParagraph">
    <w:name w:val="Table Paragraph"/>
    <w:basedOn w:val="Normal"/>
    <w:uiPriority w:val="1"/>
    <w:qFormat/>
    <w:rsid w:val="00D225C4"/>
    <w:pPr>
      <w:widowControl w:val="0"/>
      <w:autoSpaceDE w:val="0"/>
      <w:autoSpaceDN w:val="0"/>
      <w:adjustRightInd w:val="0"/>
      <w:spacing w:after="240"/>
    </w:pPr>
    <w:rPr>
      <w:rFonts w:ascii="Times New Roman" w:eastAsiaTheme="minorEastAsia" w:hAnsi="Times New Roman" w:cs="Times New Roman"/>
    </w:rPr>
  </w:style>
  <w:style w:type="paragraph" w:customStyle="1" w:styleId="AppendixHeading1">
    <w:name w:val="Appendix Heading 1"/>
    <w:basedOn w:val="Heading1"/>
    <w:next w:val="Normal"/>
    <w:link w:val="AppendixHeading1Char"/>
    <w:qFormat/>
    <w:rsid w:val="00445584"/>
    <w:pPr>
      <w:pageBreakBefore/>
      <w:numPr>
        <w:numId w:val="18"/>
      </w:numPr>
      <w:tabs>
        <w:tab w:val="num" w:pos="360"/>
      </w:tabs>
      <w:spacing w:after="240"/>
      <w:ind w:hanging="720"/>
      <w:contextualSpacing/>
    </w:pPr>
    <w:rPr>
      <w:rFonts w:ascii="Verdana" w:eastAsiaTheme="majorEastAsia" w:hAnsi="Verdana" w:cstheme="majorBidi"/>
      <w:caps w:val="0"/>
      <w:spacing w:val="5"/>
      <w:szCs w:val="36"/>
      <w:lang w:eastAsia="en-US"/>
    </w:rPr>
  </w:style>
  <w:style w:type="paragraph" w:customStyle="1" w:styleId="AppendixHeading2">
    <w:name w:val="Appendix Heading 2"/>
    <w:basedOn w:val="Heading2"/>
    <w:next w:val="Normal"/>
    <w:link w:val="AppendixHeading2Char"/>
    <w:qFormat/>
    <w:rsid w:val="00445584"/>
    <w:pPr>
      <w:pageBreakBefore/>
      <w:numPr>
        <w:ilvl w:val="1"/>
        <w:numId w:val="18"/>
      </w:numPr>
      <w:tabs>
        <w:tab w:val="left" w:pos="0"/>
        <w:tab w:val="num" w:pos="360"/>
      </w:tabs>
      <w:spacing w:after="240"/>
      <w:ind w:left="0" w:firstLine="0"/>
      <w:contextualSpacing/>
    </w:pPr>
    <w:rPr>
      <w:rFonts w:ascii="Verdana" w:eastAsiaTheme="majorEastAsia" w:hAnsi="Verdana" w:cstheme="majorBidi"/>
      <w:i w:val="0"/>
      <w:spacing w:val="5"/>
      <w:szCs w:val="28"/>
      <w:lang w:eastAsia="en-US"/>
    </w:rPr>
  </w:style>
  <w:style w:type="character" w:customStyle="1" w:styleId="MainheadingChar">
    <w:name w:val="Main heading Char"/>
    <w:basedOn w:val="Heading1Char"/>
    <w:link w:val="Mainheading"/>
    <w:uiPriority w:val="9"/>
    <w:rsid w:val="00D225C4"/>
    <w:rPr>
      <w:rFonts w:ascii="Verdana" w:eastAsiaTheme="majorEastAsia" w:hAnsi="Verdana" w:cstheme="majorBidi"/>
      <w:b/>
      <w:caps w:val="0"/>
      <w:spacing w:val="5"/>
      <w:sz w:val="32"/>
      <w:szCs w:val="36"/>
      <w:lang w:eastAsia="en-US"/>
    </w:rPr>
  </w:style>
  <w:style w:type="character" w:customStyle="1" w:styleId="AppendixHeading1Char">
    <w:name w:val="Appendix Heading 1 Char"/>
    <w:basedOn w:val="MainheadingChar"/>
    <w:link w:val="AppendixHeading1"/>
    <w:rsid w:val="00D225C4"/>
    <w:rPr>
      <w:rFonts w:ascii="Verdana" w:eastAsiaTheme="majorEastAsia" w:hAnsi="Verdana" w:cstheme="majorBidi"/>
      <w:b/>
      <w:caps w:val="0"/>
      <w:spacing w:val="5"/>
      <w:sz w:val="32"/>
      <w:szCs w:val="36"/>
      <w:lang w:eastAsia="en-US"/>
    </w:rPr>
  </w:style>
  <w:style w:type="paragraph" w:customStyle="1" w:styleId="AppendixHeading3">
    <w:name w:val="Appendix Heading 3"/>
    <w:basedOn w:val="Heading3"/>
    <w:next w:val="Normal"/>
    <w:link w:val="AppendixHeading3Char"/>
    <w:qFormat/>
    <w:rsid w:val="00445584"/>
    <w:pPr>
      <w:numPr>
        <w:ilvl w:val="2"/>
        <w:numId w:val="18"/>
      </w:numPr>
      <w:tabs>
        <w:tab w:val="num" w:pos="360"/>
      </w:tabs>
      <w:spacing w:after="240"/>
      <w:ind w:left="0" w:firstLine="0"/>
    </w:pPr>
    <w:rPr>
      <w:rFonts w:ascii="Verdana" w:eastAsiaTheme="majorEastAsia" w:hAnsi="Verdana" w:cstheme="majorBidi"/>
      <w:b/>
      <w:iCs/>
      <w:spacing w:val="5"/>
      <w:sz w:val="26"/>
      <w:szCs w:val="26"/>
      <w:lang w:eastAsia="en-US"/>
    </w:rPr>
  </w:style>
  <w:style w:type="character" w:customStyle="1" w:styleId="AppendixHeading2Char">
    <w:name w:val="Appendix Heading 2 Char"/>
    <w:basedOn w:val="Heading2Char"/>
    <w:link w:val="AppendixHeading2"/>
    <w:rsid w:val="00D225C4"/>
    <w:rPr>
      <w:rFonts w:ascii="Verdana" w:eastAsiaTheme="majorEastAsia" w:hAnsi="Verdana" w:cstheme="majorBidi"/>
      <w:b/>
      <w:i w:val="0"/>
      <w:snapToGrid/>
      <w:spacing w:val="5"/>
      <w:sz w:val="28"/>
      <w:szCs w:val="28"/>
      <w:lang w:eastAsia="en-US"/>
    </w:rPr>
  </w:style>
  <w:style w:type="paragraph" w:customStyle="1" w:styleId="AppendixHeading4">
    <w:name w:val="Appendix Heading 4"/>
    <w:basedOn w:val="Heading4"/>
    <w:next w:val="Normal"/>
    <w:link w:val="AppendixHeading4Char"/>
    <w:qFormat/>
    <w:rsid w:val="00445584"/>
    <w:pPr>
      <w:keepNext w:val="0"/>
      <w:numPr>
        <w:ilvl w:val="3"/>
        <w:numId w:val="18"/>
      </w:numPr>
      <w:tabs>
        <w:tab w:val="num" w:pos="360"/>
      </w:tabs>
      <w:spacing w:before="0" w:after="240"/>
      <w:ind w:left="0" w:firstLine="0"/>
    </w:pPr>
    <w:rPr>
      <w:rFonts w:ascii="Verdana" w:eastAsiaTheme="majorEastAsia" w:hAnsi="Verdana" w:cstheme="majorBidi"/>
      <w:i w:val="0"/>
      <w:spacing w:val="5"/>
      <w:sz w:val="22"/>
      <w:szCs w:val="24"/>
      <w:u w:val="single"/>
      <w:lang w:eastAsia="en-US"/>
    </w:rPr>
  </w:style>
  <w:style w:type="character" w:customStyle="1" w:styleId="AppendixHeading3Char">
    <w:name w:val="Appendix Heading 3 Char"/>
    <w:basedOn w:val="Heading3Char"/>
    <w:link w:val="AppendixHeading3"/>
    <w:rsid w:val="00D225C4"/>
    <w:rPr>
      <w:rFonts w:ascii="Verdana" w:eastAsiaTheme="majorEastAsia" w:hAnsi="Verdana" w:cstheme="majorBidi"/>
      <w:b/>
      <w:iCs/>
      <w:spacing w:val="5"/>
      <w:sz w:val="26"/>
      <w:szCs w:val="26"/>
      <w:u w:val="single"/>
      <w:lang w:eastAsia="en-US"/>
    </w:rPr>
  </w:style>
  <w:style w:type="paragraph" w:customStyle="1" w:styleId="AppendixHeading5">
    <w:name w:val="Appendix Heading 5"/>
    <w:basedOn w:val="Heading5"/>
    <w:next w:val="Normal"/>
    <w:link w:val="AppendixHeading5Char"/>
    <w:qFormat/>
    <w:rsid w:val="00445584"/>
    <w:pPr>
      <w:numPr>
        <w:ilvl w:val="4"/>
        <w:numId w:val="18"/>
      </w:numPr>
      <w:tabs>
        <w:tab w:val="num" w:pos="360"/>
      </w:tabs>
      <w:spacing w:before="0" w:after="240"/>
      <w:ind w:left="0" w:firstLine="0"/>
    </w:pPr>
    <w:rPr>
      <w:rFonts w:ascii="Candara" w:eastAsiaTheme="majorEastAsia" w:hAnsi="Candara" w:cstheme="majorBidi"/>
      <w:bCs w:val="0"/>
      <w:spacing w:val="5"/>
      <w:sz w:val="24"/>
      <w:szCs w:val="24"/>
      <w:u w:val="single"/>
      <w:lang w:eastAsia="en-US"/>
    </w:rPr>
  </w:style>
  <w:style w:type="character" w:customStyle="1" w:styleId="AppendixHeading4Char">
    <w:name w:val="Appendix Heading 4 Char"/>
    <w:basedOn w:val="AppendixHeading3Char"/>
    <w:link w:val="AppendixHeading4"/>
    <w:rsid w:val="00D225C4"/>
    <w:rPr>
      <w:rFonts w:ascii="Verdana" w:eastAsiaTheme="majorEastAsia" w:hAnsi="Verdana" w:cstheme="majorBidi"/>
      <w:b/>
      <w:bCs/>
      <w:iCs w:val="0"/>
      <w:spacing w:val="5"/>
      <w:sz w:val="22"/>
      <w:szCs w:val="24"/>
      <w:u w:val="single"/>
      <w:lang w:eastAsia="en-US"/>
    </w:rPr>
  </w:style>
  <w:style w:type="paragraph" w:customStyle="1" w:styleId="AppendixHeading6">
    <w:name w:val="Appendix Heading 6"/>
    <w:basedOn w:val="Heading6"/>
    <w:next w:val="Normal"/>
    <w:link w:val="AppendixHeading6Char"/>
    <w:qFormat/>
    <w:rsid w:val="00445584"/>
    <w:pPr>
      <w:numPr>
        <w:ilvl w:val="5"/>
        <w:numId w:val="18"/>
      </w:numPr>
      <w:shd w:val="clear" w:color="auto" w:fill="FFFFFF" w:themeFill="background1"/>
      <w:tabs>
        <w:tab w:val="num" w:pos="360"/>
      </w:tabs>
      <w:spacing w:before="0" w:after="240"/>
      <w:ind w:left="0" w:firstLine="0"/>
    </w:pPr>
    <w:rPr>
      <w:rFonts w:ascii="Candara" w:eastAsiaTheme="majorEastAsia" w:hAnsi="Candara" w:cstheme="majorBidi"/>
      <w:b w:val="0"/>
      <w:color w:val="595959" w:themeColor="text1" w:themeTint="A6"/>
      <w:spacing w:val="5"/>
      <w:szCs w:val="22"/>
      <w:u w:val="single"/>
      <w:lang w:eastAsia="en-US"/>
    </w:rPr>
  </w:style>
  <w:style w:type="character" w:customStyle="1" w:styleId="AppendixHeading5Char">
    <w:name w:val="Appendix Heading 5 Char"/>
    <w:basedOn w:val="AppendixHeading4Char"/>
    <w:link w:val="AppendixHeading5"/>
    <w:rsid w:val="00D225C4"/>
    <w:rPr>
      <w:rFonts w:ascii="Candara" w:eastAsiaTheme="majorEastAsia" w:hAnsi="Candara" w:cstheme="majorBidi"/>
      <w:b/>
      <w:bCs w:val="0"/>
      <w:iCs/>
      <w:spacing w:val="5"/>
      <w:sz w:val="24"/>
      <w:szCs w:val="24"/>
      <w:u w:val="single"/>
      <w:lang w:eastAsia="en-US"/>
    </w:rPr>
  </w:style>
  <w:style w:type="character" w:customStyle="1" w:styleId="AppendixHeading6Char">
    <w:name w:val="Appendix Heading 6 Char"/>
    <w:basedOn w:val="AppendixHeading5Char"/>
    <w:link w:val="AppendixHeading6"/>
    <w:rsid w:val="00D225C4"/>
    <w:rPr>
      <w:rFonts w:ascii="Candara" w:eastAsiaTheme="majorEastAsia" w:hAnsi="Candara" w:cstheme="majorBidi"/>
      <w:b w:val="0"/>
      <w:bCs/>
      <w:i/>
      <w:iCs w:val="0"/>
      <w:color w:val="595959" w:themeColor="text1" w:themeTint="A6"/>
      <w:spacing w:val="5"/>
      <w:sz w:val="24"/>
      <w:szCs w:val="22"/>
      <w:u w:val="single"/>
      <w:shd w:val="clear" w:color="auto" w:fill="FFFFFF" w:themeFill="background1"/>
      <w:lang w:eastAsia="en-US"/>
    </w:rPr>
  </w:style>
  <w:style w:type="paragraph" w:customStyle="1" w:styleId="PBACTblFignote">
    <w:name w:val="PBAC Tbl/Fig note"/>
    <w:uiPriority w:val="99"/>
    <w:qFormat/>
    <w:rsid w:val="00D225C4"/>
    <w:pPr>
      <w:keepNext/>
      <w:keepLines/>
      <w:spacing w:after="360"/>
      <w:contextualSpacing/>
      <w:textboxTightWrap w:val="allLines"/>
    </w:pPr>
    <w:rPr>
      <w:rFonts w:ascii="Arial" w:hAnsi="Arial" w:cs="Arial"/>
      <w:sz w:val="18"/>
      <w:szCs w:val="24"/>
      <w:lang w:eastAsia="en-GB"/>
    </w:rPr>
  </w:style>
  <w:style w:type="paragraph" w:customStyle="1" w:styleId="tabletextNS">
    <w:name w:val="table:textNS"/>
    <w:basedOn w:val="Normal"/>
    <w:link w:val="tabletextNSChar"/>
    <w:qFormat/>
    <w:rsid w:val="00D225C4"/>
    <w:pPr>
      <w:jc w:val="left"/>
    </w:pPr>
    <w:rPr>
      <w:rFonts w:ascii="Arial Narrow" w:hAnsi="Arial Narrow" w:cs="Arial Narrow"/>
      <w:sz w:val="18"/>
      <w:lang w:val="en-GB" w:eastAsia="en-US"/>
    </w:rPr>
  </w:style>
  <w:style w:type="character" w:customStyle="1" w:styleId="tabletextNSChar">
    <w:name w:val="table:textNS Char"/>
    <w:aliases w:val="Bold Char Char"/>
    <w:basedOn w:val="DefaultParagraphFont"/>
    <w:link w:val="tabletextNS"/>
    <w:qFormat/>
    <w:rsid w:val="00D225C4"/>
    <w:rPr>
      <w:rFonts w:ascii="Arial Narrow" w:hAnsi="Arial Narrow" w:cs="Arial Narrow"/>
      <w:sz w:val="18"/>
      <w:szCs w:val="24"/>
      <w:lang w:val="en-GB" w:eastAsia="en-US"/>
    </w:rPr>
  </w:style>
  <w:style w:type="paragraph" w:customStyle="1" w:styleId="TableFootnote">
    <w:name w:val="TableFootnote"/>
    <w:basedOn w:val="Normal"/>
    <w:qFormat/>
    <w:rsid w:val="00D225C4"/>
    <w:pPr>
      <w:spacing w:after="240"/>
      <w:contextualSpacing/>
    </w:pPr>
    <w:rPr>
      <w:rFonts w:ascii="Arial Narrow" w:eastAsiaTheme="majorEastAsia" w:hAnsi="Arial Narrow" w:cstheme="majorBidi"/>
      <w:sz w:val="18"/>
      <w:szCs w:val="18"/>
      <w:lang w:eastAsia="en-US"/>
    </w:rPr>
  </w:style>
  <w:style w:type="character" w:customStyle="1" w:styleId="ui-provider">
    <w:name w:val="ui-provider"/>
    <w:basedOn w:val="DefaultParagraphFont"/>
    <w:rsid w:val="00D225C4"/>
  </w:style>
  <w:style w:type="character" w:customStyle="1" w:styleId="cf01">
    <w:name w:val="cf01"/>
    <w:basedOn w:val="DefaultParagraphFont"/>
    <w:rsid w:val="00D225C4"/>
    <w:rPr>
      <w:rFonts w:ascii="Segoe UI" w:hAnsi="Segoe UI" w:cs="Segoe UI" w:hint="default"/>
      <w:sz w:val="18"/>
      <w:szCs w:val="18"/>
    </w:rPr>
  </w:style>
  <w:style w:type="character" w:customStyle="1" w:styleId="ref-lnk">
    <w:name w:val="ref-lnk"/>
    <w:basedOn w:val="DefaultParagraphFont"/>
    <w:rsid w:val="00D225C4"/>
  </w:style>
  <w:style w:type="character" w:customStyle="1" w:styleId="off-screen">
    <w:name w:val="off-screen"/>
    <w:basedOn w:val="DefaultParagraphFont"/>
    <w:rsid w:val="00D225C4"/>
  </w:style>
  <w:style w:type="paragraph" w:customStyle="1" w:styleId="PBACH4">
    <w:name w:val="PBAC H4"/>
    <w:basedOn w:val="Heading4"/>
    <w:next w:val="Normal"/>
    <w:qFormat/>
    <w:rsid w:val="00D225C4"/>
    <w:pPr>
      <w:keepLines/>
      <w:spacing w:after="120"/>
      <w:jc w:val="left"/>
    </w:pPr>
    <w:rPr>
      <w:rFonts w:eastAsiaTheme="majorEastAsia" w:cstheme="majorBidi"/>
      <w:i w:val="0"/>
      <w:iCs/>
      <w:szCs w:val="24"/>
      <w:lang w:eastAsia="en-GB"/>
    </w:rPr>
  </w:style>
  <w:style w:type="paragraph" w:styleId="EndnoteText">
    <w:name w:val="endnote text"/>
    <w:basedOn w:val="Normal"/>
    <w:link w:val="EndnoteTextChar"/>
    <w:uiPriority w:val="99"/>
    <w:semiHidden/>
    <w:unhideWhenUsed/>
    <w:rsid w:val="00D225C4"/>
    <w:rPr>
      <w:rFonts w:ascii="Candara" w:eastAsiaTheme="majorEastAsia" w:hAnsi="Candara" w:cstheme="majorBidi"/>
      <w:sz w:val="20"/>
      <w:szCs w:val="20"/>
      <w:lang w:eastAsia="en-US"/>
    </w:rPr>
  </w:style>
  <w:style w:type="character" w:customStyle="1" w:styleId="EndnoteTextChar">
    <w:name w:val="Endnote Text Char"/>
    <w:basedOn w:val="DefaultParagraphFont"/>
    <w:link w:val="EndnoteText"/>
    <w:uiPriority w:val="99"/>
    <w:semiHidden/>
    <w:rsid w:val="00D225C4"/>
    <w:rPr>
      <w:rFonts w:ascii="Candara" w:eastAsiaTheme="majorEastAsia" w:hAnsi="Candara" w:cstheme="majorBidi"/>
      <w:lang w:eastAsia="en-US"/>
    </w:rPr>
  </w:style>
  <w:style w:type="paragraph" w:styleId="Index7">
    <w:name w:val="index 7"/>
    <w:basedOn w:val="Normal"/>
    <w:next w:val="Normal"/>
    <w:autoRedefine/>
    <w:uiPriority w:val="99"/>
    <w:semiHidden/>
    <w:unhideWhenUsed/>
    <w:rsid w:val="00D225C4"/>
    <w:pPr>
      <w:ind w:left="1680" w:hanging="240"/>
    </w:pPr>
    <w:rPr>
      <w:rFonts w:ascii="Candara" w:eastAsiaTheme="majorEastAsia" w:hAnsi="Candara" w:cstheme="majorBidi"/>
      <w:szCs w:val="22"/>
      <w:lang w:eastAsia="en-US"/>
    </w:rPr>
  </w:style>
  <w:style w:type="character" w:styleId="EndnoteReference">
    <w:name w:val="endnote reference"/>
    <w:basedOn w:val="DefaultParagraphFont"/>
    <w:uiPriority w:val="99"/>
    <w:semiHidden/>
    <w:unhideWhenUsed/>
    <w:rsid w:val="00D225C4"/>
    <w:rPr>
      <w:vertAlign w:val="superscript"/>
    </w:rPr>
  </w:style>
  <w:style w:type="paragraph" w:customStyle="1" w:styleId="pf0">
    <w:name w:val="pf0"/>
    <w:basedOn w:val="Normal"/>
    <w:rsid w:val="00D225C4"/>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D225C4"/>
    <w:rPr>
      <w:rFonts w:ascii="Segoe UI" w:hAnsi="Segoe UI" w:cs="Segoe UI" w:hint="default"/>
      <w:i/>
      <w:iCs/>
      <w:sz w:val="18"/>
      <w:szCs w:val="18"/>
    </w:rPr>
  </w:style>
  <w:style w:type="character" w:customStyle="1" w:styleId="cf21">
    <w:name w:val="cf21"/>
    <w:basedOn w:val="DefaultParagraphFont"/>
    <w:rsid w:val="00D225C4"/>
    <w:rPr>
      <w:rFonts w:ascii="Segoe UI" w:hAnsi="Segoe UI" w:cs="Segoe UI" w:hint="default"/>
      <w:b/>
      <w:bCs/>
      <w:i/>
      <w:iCs/>
      <w:sz w:val="18"/>
      <w:szCs w:val="18"/>
    </w:rPr>
  </w:style>
  <w:style w:type="table" w:customStyle="1" w:styleId="ASDTable1">
    <w:name w:val="ASD Table1"/>
    <w:basedOn w:val="TableNormal"/>
    <w:next w:val="TableGrid"/>
    <w:uiPriority w:val="39"/>
    <w:rsid w:val="00D225C4"/>
    <w:rPr>
      <w:rFonts w:ascii="Calibri" w:eastAsia="Calibri" w:hAnsi="Calibri"/>
      <w:sz w:val="22"/>
      <w:szCs w:val="22"/>
      <w:lang w:eastAsia="en-US"/>
    </w:rPr>
    <w:tblPr>
      <w:tblInd w:w="0" w:type="nil"/>
      <w:tblCellMar>
        <w:left w:w="0" w:type="dxa"/>
        <w:right w:w="0" w:type="dxa"/>
      </w:tblCellMar>
    </w:tblPr>
  </w:style>
  <w:style w:type="character" w:customStyle="1" w:styleId="fieldrange">
    <w:name w:val="fieldrange"/>
    <w:basedOn w:val="DefaultParagraphFont"/>
    <w:rsid w:val="00D225C4"/>
  </w:style>
  <w:style w:type="character" w:customStyle="1" w:styleId="tabchar">
    <w:name w:val="tabchar"/>
    <w:basedOn w:val="DefaultParagraphFont"/>
    <w:rsid w:val="00D225C4"/>
  </w:style>
  <w:style w:type="paragraph" w:styleId="ListNumber2">
    <w:name w:val="List Number 2"/>
    <w:basedOn w:val="Normal"/>
    <w:uiPriority w:val="99"/>
    <w:semiHidden/>
    <w:rsid w:val="00D225C4"/>
    <w:pPr>
      <w:numPr>
        <w:numId w:val="20"/>
      </w:numPr>
      <w:tabs>
        <w:tab w:val="clear" w:pos="643"/>
        <w:tab w:val="num" w:pos="360"/>
      </w:tabs>
      <w:spacing w:after="240" w:line="276" w:lineRule="auto"/>
      <w:ind w:left="0" w:firstLine="0"/>
      <w:contextualSpacing/>
    </w:pPr>
    <w:rPr>
      <w:sz w:val="22"/>
      <w:lang w:eastAsia="en-GB"/>
    </w:rPr>
  </w:style>
  <w:style w:type="numbering" w:customStyle="1" w:styleId="Style1">
    <w:name w:val="Style1"/>
    <w:uiPriority w:val="99"/>
    <w:rsid w:val="00445584"/>
    <w:pPr>
      <w:numPr>
        <w:numId w:val="22"/>
      </w:numPr>
    </w:pPr>
  </w:style>
  <w:style w:type="table" w:styleId="LightShading">
    <w:name w:val="Light Shading"/>
    <w:basedOn w:val="TableNormal"/>
    <w:uiPriority w:val="60"/>
    <w:rsid w:val="00D225C4"/>
    <w:rPr>
      <w:rFonts w:asciiTheme="minorHAnsi" w:eastAsia="PMingLiU" w:hAnsiTheme="minorHAnsi" w:cstheme="minorBidi"/>
      <w:color w:val="000000" w:themeColor="text1" w:themeShade="BF"/>
      <w:sz w:val="22"/>
      <w:szCs w:val="22"/>
      <w:lang w:eastAsia="en-US"/>
    </w:rPr>
    <w:tblPr>
      <w:tblInd w:w="0" w:type="nil"/>
      <w:tblCellMar>
        <w:left w:w="0" w:type="dxa"/>
        <w:right w:w="0" w:type="dxa"/>
      </w:tblCellMa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Hashtag">
    <w:name w:val="Hashtag"/>
    <w:basedOn w:val="DefaultParagraphFont"/>
    <w:uiPriority w:val="99"/>
    <w:semiHidden/>
    <w:rsid w:val="00D225C4"/>
    <w:rPr>
      <w:color w:val="2B579A"/>
      <w:shd w:val="clear" w:color="auto" w:fill="E1DFDD"/>
    </w:rPr>
  </w:style>
  <w:style w:type="paragraph" w:customStyle="1" w:styleId="PBACH1">
    <w:name w:val="PBAC H1#"/>
    <w:basedOn w:val="Heading1"/>
    <w:next w:val="Normal"/>
    <w:uiPriority w:val="99"/>
    <w:qFormat/>
    <w:rsid w:val="00D225C4"/>
    <w:pPr>
      <w:keepNext/>
      <w:keepLines/>
      <w:spacing w:after="360"/>
      <w:ind w:left="0" w:firstLine="0"/>
      <w:jc w:val="left"/>
    </w:pPr>
    <w:rPr>
      <w:rFonts w:ascii="Segoe UI Emoji" w:eastAsiaTheme="majorEastAsia" w:hAnsi="Segoe UI Emoji" w:cstheme="majorBidi"/>
      <w:bCs/>
      <w:caps w:val="0"/>
      <w:sz w:val="36"/>
      <w:szCs w:val="28"/>
      <w:lang w:val="en-US" w:eastAsia="en-GB"/>
    </w:rPr>
  </w:style>
  <w:style w:type="paragraph" w:customStyle="1" w:styleId="PBACH2">
    <w:name w:val="PBAC H2#"/>
    <w:basedOn w:val="Heading2"/>
    <w:next w:val="Normal"/>
    <w:autoRedefine/>
    <w:uiPriority w:val="99"/>
    <w:qFormat/>
    <w:rsid w:val="00D225C4"/>
    <w:pPr>
      <w:keepNext/>
      <w:keepLines/>
      <w:tabs>
        <w:tab w:val="num" w:pos="851"/>
      </w:tabs>
      <w:spacing w:before="360" w:after="200"/>
    </w:pPr>
    <w:rPr>
      <w:rFonts w:asciiTheme="minorHAnsi" w:eastAsiaTheme="majorEastAsia" w:hAnsiTheme="minorHAnsi" w:cstheme="majorBidi"/>
      <w:bCs/>
      <w:i w:val="0"/>
      <w:sz w:val="32"/>
      <w:szCs w:val="26"/>
      <w:lang w:val="en-US" w:eastAsia="en-GB"/>
    </w:rPr>
  </w:style>
  <w:style w:type="table" w:customStyle="1" w:styleId="TableGrid10">
    <w:name w:val="Table Grid1"/>
    <w:basedOn w:val="TableNormal"/>
    <w:next w:val="TableGrid"/>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
    <w:name w:val="Table Grid2"/>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
    <w:name w:val="Table Grid14"/>
    <w:basedOn w:val="TableNormal"/>
    <w:next w:val="TableGrid"/>
    <w:rsid w:val="00D225C4"/>
    <w:rPr>
      <w:rFonts w:ascii="Arial" w:hAnsi="Arial"/>
    </w:rPr>
    <w:tblPr>
      <w:tblInd w:w="0" w:type="nil"/>
      <w:tblCellMar>
        <w:left w:w="0" w:type="dxa"/>
        <w:right w:w="0" w:type="dxa"/>
      </w:tblCellMar>
    </w:tblPr>
  </w:style>
  <w:style w:type="table" w:customStyle="1" w:styleId="TableGrid15">
    <w:name w:val="Table Grid15"/>
    <w:basedOn w:val="TableNormal"/>
    <w:next w:val="TableGrid"/>
    <w:rsid w:val="00D225C4"/>
    <w:rPr>
      <w:rFonts w:ascii="Arial" w:hAnsi="Arial"/>
    </w:rPr>
    <w:tblPr>
      <w:tblInd w:w="0" w:type="nil"/>
      <w:tblCellMar>
        <w:left w:w="0" w:type="dxa"/>
        <w:right w:w="0" w:type="dxa"/>
      </w:tblCellMar>
    </w:tblPr>
  </w:style>
  <w:style w:type="table" w:customStyle="1" w:styleId="TableGrid16">
    <w:name w:val="Table Grid16"/>
    <w:basedOn w:val="TableNormal"/>
    <w:next w:val="TableGrid"/>
    <w:rsid w:val="00D225C4"/>
    <w:rPr>
      <w:rFonts w:ascii="Arial" w:hAnsi="Arial"/>
    </w:rPr>
    <w:tblPr>
      <w:tblInd w:w="0" w:type="nil"/>
      <w:tblCellMar>
        <w:left w:w="0" w:type="dxa"/>
        <w:right w:w="0" w:type="dxa"/>
      </w:tblCellMar>
    </w:tblPr>
  </w:style>
  <w:style w:type="table" w:customStyle="1" w:styleId="TableGrid5">
    <w:name w:val="Table Grid5"/>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
    <w:name w:val="Table Grid3"/>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paragraph" w:customStyle="1" w:styleId="PBACH3">
    <w:name w:val="PBAC H3"/>
    <w:basedOn w:val="Heading3"/>
    <w:next w:val="Normal"/>
    <w:qFormat/>
    <w:rsid w:val="00D225C4"/>
    <w:pPr>
      <w:spacing w:before="360" w:after="120"/>
      <w:jc w:val="left"/>
    </w:pPr>
    <w:rPr>
      <w:b/>
      <w:sz w:val="28"/>
      <w:u w:val="none"/>
      <w:lang w:eastAsia="en-GB"/>
    </w:rPr>
  </w:style>
  <w:style w:type="table" w:customStyle="1" w:styleId="TableGrid6">
    <w:name w:val="Table Grid6"/>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
    <w:name w:val="Table Grid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01">
    <w:name w:val="Table Grid40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paragraph" w:customStyle="1" w:styleId="EndNoteBibliographyTitle">
    <w:name w:val="EndNote Bibliography Title"/>
    <w:basedOn w:val="Normal"/>
    <w:link w:val="EndNoteBibliographyTitleChar"/>
    <w:semiHidden/>
    <w:rsid w:val="00D225C4"/>
    <w:pPr>
      <w:spacing w:after="240" w:line="276" w:lineRule="auto"/>
      <w:jc w:val="center"/>
    </w:pPr>
    <w:rPr>
      <w:rFonts w:cs="Calibri"/>
      <w:noProof/>
      <w:sz w:val="22"/>
      <w:lang w:eastAsia="en-GB"/>
    </w:rPr>
  </w:style>
  <w:style w:type="character" w:customStyle="1" w:styleId="EndNoteBibliographyTitleChar">
    <w:name w:val="EndNote Bibliography Title Char"/>
    <w:basedOn w:val="DefaultParagraphFont"/>
    <w:link w:val="EndNoteBibliographyTitle"/>
    <w:semiHidden/>
    <w:rsid w:val="00D225C4"/>
    <w:rPr>
      <w:rFonts w:ascii="Calibri" w:hAnsi="Calibri" w:cs="Calibri"/>
      <w:noProof/>
      <w:sz w:val="22"/>
      <w:szCs w:val="24"/>
      <w:lang w:eastAsia="en-GB"/>
    </w:rPr>
  </w:style>
  <w:style w:type="paragraph" w:customStyle="1" w:styleId="EndNoteBibliography">
    <w:name w:val="EndNote Bibliography"/>
    <w:basedOn w:val="Normal"/>
    <w:link w:val="EndNoteBibliographyChar"/>
    <w:rsid w:val="00D225C4"/>
    <w:pPr>
      <w:spacing w:after="240"/>
    </w:pPr>
    <w:rPr>
      <w:rFonts w:cs="Calibri"/>
      <w:noProof/>
      <w:sz w:val="22"/>
      <w:lang w:eastAsia="en-GB"/>
    </w:rPr>
  </w:style>
  <w:style w:type="character" w:customStyle="1" w:styleId="EndNoteBibliographyChar">
    <w:name w:val="EndNote Bibliography Char"/>
    <w:basedOn w:val="DefaultParagraphFont"/>
    <w:link w:val="EndNoteBibliography"/>
    <w:rsid w:val="00D225C4"/>
    <w:rPr>
      <w:rFonts w:ascii="Calibri" w:hAnsi="Calibri" w:cs="Calibri"/>
      <w:noProof/>
      <w:sz w:val="22"/>
      <w:szCs w:val="24"/>
      <w:lang w:eastAsia="en-GB"/>
    </w:rPr>
  </w:style>
  <w:style w:type="paragraph" w:customStyle="1" w:styleId="PBACH20">
    <w:name w:val="PBAC H2"/>
    <w:basedOn w:val="Heading2"/>
    <w:next w:val="Normal"/>
    <w:qFormat/>
    <w:rsid w:val="00D225C4"/>
    <w:pPr>
      <w:keepNext/>
      <w:keepLines/>
      <w:spacing w:before="360" w:after="200"/>
      <w:jc w:val="left"/>
    </w:pPr>
    <w:rPr>
      <w:rFonts w:eastAsiaTheme="majorEastAsia" w:cstheme="majorBidi"/>
      <w:bCs/>
      <w:i w:val="0"/>
      <w:sz w:val="32"/>
      <w:szCs w:val="26"/>
      <w:lang w:eastAsia="en-GB"/>
    </w:rPr>
  </w:style>
  <w:style w:type="table" w:customStyle="1" w:styleId="TableGrid482">
    <w:name w:val="Table Grid482"/>
    <w:basedOn w:val="TableNormal"/>
    <w:next w:val="TableGrid"/>
    <w:rsid w:val="00D225C4"/>
    <w:rPr>
      <w:rFonts w:ascii="Times" w:hAnsi="Times"/>
    </w:rPr>
    <w:tblPr>
      <w:tblInd w:w="0" w:type="nil"/>
      <w:tblCellMar>
        <w:left w:w="0" w:type="dxa"/>
        <w:right w:w="0" w:type="dxa"/>
      </w:tblCellMar>
    </w:tblPr>
  </w:style>
  <w:style w:type="table" w:customStyle="1" w:styleId="TableGrid402">
    <w:name w:val="Table Grid40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8">
    <w:name w:val="Table Grid28"/>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0">
    <w:name w:val="Table Grid20"/>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1">
    <w:name w:val="Table Grid1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1">
    <w:name w:val="Summary box1"/>
    <w:basedOn w:val="TableNormal"/>
    <w:next w:val="TableGrid"/>
    <w:uiPriority w:val="59"/>
    <w:rsid w:val="00D225C4"/>
    <w:pPr>
      <w:spacing w:line="360" w:lineRule="auto"/>
      <w:jc w:val="both"/>
    </w:pPr>
    <w:tblPr>
      <w:tblInd w:w="0" w:type="nil"/>
      <w:tblCellMar>
        <w:left w:w="0" w:type="dxa"/>
        <w:right w:w="0" w:type="dxa"/>
      </w:tblCellMar>
    </w:tblPr>
  </w:style>
  <w:style w:type="paragraph" w:customStyle="1" w:styleId="PBACH30">
    <w:name w:val="PBAC H3#"/>
    <w:basedOn w:val="Heading3"/>
    <w:next w:val="Normal"/>
    <w:uiPriority w:val="99"/>
    <w:qFormat/>
    <w:rsid w:val="00D225C4"/>
    <w:pPr>
      <w:tabs>
        <w:tab w:val="left" w:pos="1418"/>
      </w:tabs>
      <w:spacing w:before="200" w:after="120"/>
      <w:jc w:val="left"/>
    </w:pPr>
    <w:rPr>
      <w:b/>
      <w:sz w:val="28"/>
      <w:u w:val="none"/>
      <w:lang w:val="en-US" w:eastAsia="en-GB"/>
    </w:rPr>
  </w:style>
  <w:style w:type="table" w:customStyle="1" w:styleId="LightShading1">
    <w:name w:val="Light Shading1"/>
    <w:basedOn w:val="TableNormal"/>
    <w:next w:val="LightShading"/>
    <w:uiPriority w:val="60"/>
    <w:rsid w:val="00D225C4"/>
    <w:rPr>
      <w:rFonts w:asciiTheme="minorHAnsi" w:eastAsia="PMingLiU" w:hAnsiTheme="minorHAnsi" w:cstheme="minorBid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
    <w:name w:val="Summary box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2">
    <w:name w:val="Table Grid1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1">
    <w:name w:val="Table Grid21"/>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1">
    <w:name w:val="Table Grid141"/>
    <w:basedOn w:val="TableNormal"/>
    <w:next w:val="TableGrid"/>
    <w:rsid w:val="00D225C4"/>
    <w:rPr>
      <w:rFonts w:ascii="Arial" w:hAnsi="Arial"/>
    </w:rPr>
    <w:tblPr>
      <w:tblInd w:w="0" w:type="nil"/>
      <w:tblCellMar>
        <w:left w:w="0" w:type="dxa"/>
        <w:right w:w="0" w:type="dxa"/>
      </w:tblCellMar>
    </w:tblPr>
  </w:style>
  <w:style w:type="table" w:customStyle="1" w:styleId="TableGrid151">
    <w:name w:val="Table Grid151"/>
    <w:basedOn w:val="TableNormal"/>
    <w:next w:val="TableGrid"/>
    <w:rsid w:val="00D225C4"/>
    <w:rPr>
      <w:rFonts w:ascii="Arial" w:hAnsi="Arial"/>
    </w:rPr>
    <w:tblPr>
      <w:tblInd w:w="0" w:type="nil"/>
      <w:tblCellMar>
        <w:left w:w="0" w:type="dxa"/>
        <w:right w:w="0" w:type="dxa"/>
      </w:tblCellMar>
    </w:tblPr>
  </w:style>
  <w:style w:type="table" w:customStyle="1" w:styleId="TableGrid161">
    <w:name w:val="Table Grid161"/>
    <w:basedOn w:val="TableNormal"/>
    <w:next w:val="TableGrid"/>
    <w:rsid w:val="00D225C4"/>
    <w:rPr>
      <w:rFonts w:ascii="Arial" w:hAnsi="Arial"/>
    </w:rPr>
    <w:tblPr>
      <w:tblInd w:w="0" w:type="nil"/>
      <w:tblCellMar>
        <w:left w:w="0" w:type="dxa"/>
        <w:right w:w="0" w:type="dxa"/>
      </w:tblCellMar>
    </w:tblPr>
  </w:style>
  <w:style w:type="table" w:customStyle="1" w:styleId="TableGrid51">
    <w:name w:val="Table Grid51"/>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1">
    <w:name w:val="Table Grid31"/>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1">
    <w:name w:val="Table Grid61"/>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1">
    <w:name w:val="Table Grid4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011">
    <w:name w:val="Table Grid401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821">
    <w:name w:val="Table Grid4821"/>
    <w:basedOn w:val="TableNormal"/>
    <w:next w:val="TableGrid"/>
    <w:rsid w:val="00D225C4"/>
    <w:rPr>
      <w:rFonts w:ascii="Times" w:hAnsi="Times"/>
    </w:rPr>
    <w:tblPr>
      <w:tblInd w:w="0" w:type="nil"/>
      <w:tblCellMar>
        <w:left w:w="0" w:type="dxa"/>
        <w:right w:w="0" w:type="dxa"/>
      </w:tblCellMar>
    </w:tblPr>
  </w:style>
  <w:style w:type="table" w:customStyle="1" w:styleId="TableGrid4021">
    <w:name w:val="Table Grid402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81">
    <w:name w:val="Table Grid28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01">
    <w:name w:val="Table Grid20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11">
    <w:name w:val="Table Grid11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paragraph" w:customStyle="1" w:styleId="Questions">
    <w:name w:val="Questions"/>
    <w:basedOn w:val="Normal"/>
    <w:uiPriority w:val="99"/>
    <w:qFormat/>
    <w:rsid w:val="00D225C4"/>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pPr>
    <w:rPr>
      <w:rFonts w:asciiTheme="minorHAnsi" w:eastAsiaTheme="minorHAnsi" w:hAnsiTheme="minorHAnsi" w:cstheme="minorBidi"/>
      <w:b/>
      <w:sz w:val="22"/>
      <w:szCs w:val="22"/>
      <w:lang w:eastAsia="en-US"/>
    </w:rPr>
  </w:style>
  <w:style w:type="table" w:customStyle="1" w:styleId="Summarybox11">
    <w:name w:val="Summary box1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3">
    <w:name w:val="Summary box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LightShading2">
    <w:name w:val="Light Shading2"/>
    <w:basedOn w:val="TableNormal"/>
    <w:next w:val="LightShading"/>
    <w:uiPriority w:val="60"/>
    <w:rsid w:val="00D225C4"/>
    <w:rPr>
      <w:rFonts w:asciiTheme="minorHAnsi" w:eastAsia="PMingLiU" w:hAnsiTheme="minorHAnsi" w:cstheme="minorBidi"/>
      <w:color w:val="000000" w:themeColor="text1" w:themeShade="BF"/>
      <w:sz w:val="22"/>
      <w:szCs w:val="22"/>
      <w:lang w:eastAsia="en-US"/>
    </w:rPr>
    <w:tblPr>
      <w:tblStyleRowBandSize w:val="1"/>
      <w:tblStyleColBandSize w:val="1"/>
      <w:tblInd w:w="0" w:type="nil"/>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4">
    <w:name w:val="Summary box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3">
    <w:name w:val="Table Grid1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2">
    <w:name w:val="Table Grid22"/>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2">
    <w:name w:val="Table Grid142"/>
    <w:basedOn w:val="TableNormal"/>
    <w:next w:val="TableGrid"/>
    <w:rsid w:val="00D225C4"/>
    <w:rPr>
      <w:rFonts w:ascii="Arial" w:hAnsi="Arial"/>
    </w:rPr>
    <w:tblPr>
      <w:tblInd w:w="0" w:type="nil"/>
      <w:tblCellMar>
        <w:left w:w="0" w:type="dxa"/>
        <w:right w:w="0" w:type="dxa"/>
      </w:tblCellMar>
    </w:tblPr>
  </w:style>
  <w:style w:type="table" w:customStyle="1" w:styleId="TableGrid152">
    <w:name w:val="Table Grid152"/>
    <w:basedOn w:val="TableNormal"/>
    <w:next w:val="TableGrid"/>
    <w:rsid w:val="00D225C4"/>
    <w:rPr>
      <w:rFonts w:ascii="Arial" w:hAnsi="Arial"/>
    </w:rPr>
    <w:tblPr>
      <w:tblInd w:w="0" w:type="nil"/>
      <w:tblCellMar>
        <w:left w:w="0" w:type="dxa"/>
        <w:right w:w="0" w:type="dxa"/>
      </w:tblCellMar>
    </w:tblPr>
  </w:style>
  <w:style w:type="table" w:customStyle="1" w:styleId="TableGrid162">
    <w:name w:val="Table Grid162"/>
    <w:basedOn w:val="TableNormal"/>
    <w:next w:val="TableGrid"/>
    <w:rsid w:val="00D225C4"/>
    <w:rPr>
      <w:rFonts w:ascii="Arial" w:hAnsi="Arial"/>
    </w:rPr>
    <w:tblPr>
      <w:tblInd w:w="0" w:type="nil"/>
      <w:tblCellMar>
        <w:left w:w="0" w:type="dxa"/>
        <w:right w:w="0" w:type="dxa"/>
      </w:tblCellMar>
    </w:tblPr>
  </w:style>
  <w:style w:type="table" w:customStyle="1" w:styleId="TableGrid52">
    <w:name w:val="Table Grid52"/>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2">
    <w:name w:val="Table Grid32"/>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2">
    <w:name w:val="Table Grid62"/>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2">
    <w:name w:val="Table Grid4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012">
    <w:name w:val="Table Grid401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822">
    <w:name w:val="Table Grid4822"/>
    <w:basedOn w:val="TableNormal"/>
    <w:next w:val="TableGrid"/>
    <w:rsid w:val="00D225C4"/>
    <w:rPr>
      <w:rFonts w:ascii="Times" w:hAnsi="Times"/>
    </w:rPr>
    <w:tblPr>
      <w:tblInd w:w="0" w:type="nil"/>
      <w:tblCellMar>
        <w:left w:w="0" w:type="dxa"/>
        <w:right w:w="0" w:type="dxa"/>
      </w:tblCellMar>
    </w:tblPr>
  </w:style>
  <w:style w:type="table" w:customStyle="1" w:styleId="TableGrid4022">
    <w:name w:val="Table Grid402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82">
    <w:name w:val="Table Grid28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02">
    <w:name w:val="Table Grid20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12">
    <w:name w:val="Table Grid11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12">
    <w:name w:val="Summary box1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21">
    <w:name w:val="Summary box21"/>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LightShading3">
    <w:name w:val="Light Shading3"/>
    <w:basedOn w:val="TableNormal"/>
    <w:next w:val="LightShading"/>
    <w:uiPriority w:val="60"/>
    <w:rsid w:val="00D225C4"/>
    <w:rPr>
      <w:rFonts w:asciiTheme="minorHAnsi" w:eastAsia="PMingLiU" w:hAnsiTheme="minorHAnsi" w:cstheme="minorBidi"/>
      <w:color w:val="000000" w:themeColor="text1" w:themeShade="BF"/>
      <w:sz w:val="22"/>
      <w:szCs w:val="22"/>
      <w:lang w:eastAsia="en-US"/>
    </w:rPr>
    <w:tblPr>
      <w:tblStyleRowBandSize w:val="1"/>
      <w:tblStyleColBandSize w:val="1"/>
      <w:tblInd w:w="0" w:type="nil"/>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5">
    <w:name w:val="Summary box5"/>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7">
    <w:name w:val="Table Grid17"/>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3">
    <w:name w:val="Table Grid23"/>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3">
    <w:name w:val="Table Grid143"/>
    <w:basedOn w:val="TableNormal"/>
    <w:next w:val="TableGrid"/>
    <w:rsid w:val="00D225C4"/>
    <w:rPr>
      <w:rFonts w:ascii="Arial" w:hAnsi="Arial"/>
    </w:rPr>
    <w:tblPr>
      <w:tblInd w:w="0" w:type="nil"/>
      <w:tblCellMar>
        <w:left w:w="0" w:type="dxa"/>
        <w:right w:w="0" w:type="dxa"/>
      </w:tblCellMar>
    </w:tblPr>
  </w:style>
  <w:style w:type="table" w:customStyle="1" w:styleId="TableGrid153">
    <w:name w:val="Table Grid153"/>
    <w:basedOn w:val="TableNormal"/>
    <w:next w:val="TableGrid"/>
    <w:rsid w:val="00D225C4"/>
    <w:rPr>
      <w:rFonts w:ascii="Arial" w:hAnsi="Arial"/>
    </w:rPr>
    <w:tblPr>
      <w:tblInd w:w="0" w:type="nil"/>
      <w:tblCellMar>
        <w:left w:w="0" w:type="dxa"/>
        <w:right w:w="0" w:type="dxa"/>
      </w:tblCellMar>
    </w:tblPr>
  </w:style>
  <w:style w:type="table" w:customStyle="1" w:styleId="TableGrid163">
    <w:name w:val="Table Grid163"/>
    <w:basedOn w:val="TableNormal"/>
    <w:next w:val="TableGrid"/>
    <w:rsid w:val="00D225C4"/>
    <w:rPr>
      <w:rFonts w:ascii="Arial" w:hAnsi="Arial"/>
    </w:rPr>
    <w:tblPr>
      <w:tblInd w:w="0" w:type="nil"/>
      <w:tblCellMar>
        <w:left w:w="0" w:type="dxa"/>
        <w:right w:w="0" w:type="dxa"/>
      </w:tblCellMar>
    </w:tblPr>
  </w:style>
  <w:style w:type="table" w:customStyle="1" w:styleId="TableGrid53">
    <w:name w:val="Table Grid53"/>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3">
    <w:name w:val="Table Grid33"/>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3">
    <w:name w:val="Table Grid63"/>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3">
    <w:name w:val="Table Grid4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013">
    <w:name w:val="Table Grid401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823">
    <w:name w:val="Table Grid4823"/>
    <w:basedOn w:val="TableNormal"/>
    <w:next w:val="TableGrid"/>
    <w:rsid w:val="00D225C4"/>
    <w:rPr>
      <w:rFonts w:ascii="Times" w:hAnsi="Times"/>
    </w:rPr>
    <w:tblPr>
      <w:tblInd w:w="0" w:type="nil"/>
      <w:tblCellMar>
        <w:left w:w="0" w:type="dxa"/>
        <w:right w:w="0" w:type="dxa"/>
      </w:tblCellMar>
    </w:tblPr>
  </w:style>
  <w:style w:type="table" w:customStyle="1" w:styleId="TableGrid4023">
    <w:name w:val="Table Grid402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83">
    <w:name w:val="Table Grid28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03">
    <w:name w:val="Table Grid20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13">
    <w:name w:val="Table Grid11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13">
    <w:name w:val="Summary box1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22">
    <w:name w:val="Summary box22"/>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LightShading4">
    <w:name w:val="Light Shading4"/>
    <w:basedOn w:val="TableNormal"/>
    <w:next w:val="LightShading"/>
    <w:uiPriority w:val="60"/>
    <w:rsid w:val="00D225C4"/>
    <w:rPr>
      <w:rFonts w:asciiTheme="minorHAnsi" w:eastAsia="PMingLiU" w:hAnsiTheme="minorHAnsi" w:cstheme="minorBid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6">
    <w:name w:val="Summary box6"/>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8">
    <w:name w:val="Table Grid18"/>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4">
    <w:name w:val="Table Grid24"/>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4">
    <w:name w:val="Table Grid144"/>
    <w:basedOn w:val="TableNormal"/>
    <w:next w:val="TableGrid"/>
    <w:rsid w:val="00D225C4"/>
    <w:rPr>
      <w:rFonts w:ascii="Arial" w:hAnsi="Arial"/>
    </w:rPr>
    <w:tblPr>
      <w:tblInd w:w="0" w:type="nil"/>
      <w:tblCellMar>
        <w:left w:w="0" w:type="dxa"/>
        <w:right w:w="0" w:type="dxa"/>
      </w:tblCellMar>
    </w:tblPr>
  </w:style>
  <w:style w:type="table" w:customStyle="1" w:styleId="TableGrid154">
    <w:name w:val="Table Grid154"/>
    <w:basedOn w:val="TableNormal"/>
    <w:next w:val="TableGrid"/>
    <w:rsid w:val="00D225C4"/>
    <w:rPr>
      <w:rFonts w:ascii="Arial" w:hAnsi="Arial"/>
    </w:rPr>
    <w:tblPr>
      <w:tblInd w:w="0" w:type="nil"/>
      <w:tblCellMar>
        <w:left w:w="0" w:type="dxa"/>
        <w:right w:w="0" w:type="dxa"/>
      </w:tblCellMar>
    </w:tblPr>
  </w:style>
  <w:style w:type="table" w:customStyle="1" w:styleId="TableGrid164">
    <w:name w:val="Table Grid164"/>
    <w:basedOn w:val="TableNormal"/>
    <w:next w:val="TableGrid"/>
    <w:rsid w:val="00D225C4"/>
    <w:rPr>
      <w:rFonts w:ascii="Arial" w:hAnsi="Arial"/>
    </w:rPr>
    <w:tblPr>
      <w:tblInd w:w="0" w:type="nil"/>
      <w:tblCellMar>
        <w:left w:w="0" w:type="dxa"/>
        <w:right w:w="0" w:type="dxa"/>
      </w:tblCellMar>
    </w:tblPr>
  </w:style>
  <w:style w:type="table" w:customStyle="1" w:styleId="TableGrid54">
    <w:name w:val="Table Grid54"/>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4">
    <w:name w:val="Table Grid34"/>
    <w:basedOn w:val="TableNormal"/>
    <w:next w:val="TableGrid"/>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4">
    <w:name w:val="Table Grid64"/>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4">
    <w:name w:val="Table Grid4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014">
    <w:name w:val="Table Grid401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4824">
    <w:name w:val="Table Grid4824"/>
    <w:basedOn w:val="TableNormal"/>
    <w:next w:val="TableGrid"/>
    <w:rsid w:val="00D225C4"/>
    <w:rPr>
      <w:rFonts w:ascii="Times" w:hAnsi="Times"/>
    </w:rPr>
    <w:tblPr>
      <w:tblInd w:w="0" w:type="nil"/>
      <w:tblCellMar>
        <w:left w:w="0" w:type="dxa"/>
        <w:right w:w="0" w:type="dxa"/>
      </w:tblCellMar>
    </w:tblPr>
  </w:style>
  <w:style w:type="table" w:customStyle="1" w:styleId="TableGrid4024">
    <w:name w:val="Table Grid402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84">
    <w:name w:val="Table Grid28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204">
    <w:name w:val="Table Grid20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TableGrid114">
    <w:name w:val="Table Grid11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14">
    <w:name w:val="Summary box14"/>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table" w:customStyle="1" w:styleId="Summarybox23">
    <w:name w:val="Summary box23"/>
    <w:basedOn w:val="TableNormal"/>
    <w:next w:val="TableGrid"/>
    <w:uiPriority w:val="59"/>
    <w:rsid w:val="00D225C4"/>
    <w:rPr>
      <w:rFonts w:asciiTheme="minorHAnsi" w:eastAsia="PMingLiU" w:hAnsiTheme="minorHAnsi" w:cstheme="minorBidi"/>
      <w:sz w:val="22"/>
      <w:szCs w:val="22"/>
      <w:lang w:eastAsia="en-US"/>
    </w:rPr>
    <w:tblPr>
      <w:tblInd w:w="0" w:type="nil"/>
      <w:tblCellMar>
        <w:left w:w="0" w:type="dxa"/>
        <w:right w:w="0" w:type="dxa"/>
      </w:tblCellMar>
    </w:tblPr>
  </w:style>
  <w:style w:type="paragraph" w:customStyle="1" w:styleId="PBACH5">
    <w:name w:val="PBAC H5"/>
    <w:basedOn w:val="Heading5"/>
    <w:next w:val="Normal"/>
    <w:uiPriority w:val="99"/>
    <w:qFormat/>
    <w:rsid w:val="00D225C4"/>
    <w:pPr>
      <w:spacing w:after="120"/>
      <w:jc w:val="left"/>
    </w:pPr>
    <w:rPr>
      <w:bCs w:val="0"/>
      <w:i/>
      <w:iCs w:val="0"/>
      <w:sz w:val="24"/>
      <w:szCs w:val="24"/>
      <w:lang w:eastAsia="en-GB"/>
    </w:rPr>
  </w:style>
  <w:style w:type="paragraph" w:customStyle="1" w:styleId="Company">
    <w:name w:val="Company"/>
    <w:basedOn w:val="Normal"/>
    <w:uiPriority w:val="8"/>
    <w:semiHidden/>
    <w:rsid w:val="00D225C4"/>
    <w:pPr>
      <w:jc w:val="center"/>
    </w:pPr>
    <w:rPr>
      <w:rFonts w:ascii="Tahoma" w:hAnsi="Tahoma" w:cs="Times New Roman"/>
      <w:b/>
      <w:bCs/>
      <w:szCs w:val="28"/>
      <w:lang w:eastAsia="en-GB"/>
    </w:rPr>
  </w:style>
  <w:style w:type="paragraph" w:styleId="Date">
    <w:name w:val="Date"/>
    <w:basedOn w:val="Normal"/>
    <w:next w:val="Normal"/>
    <w:link w:val="DateChar"/>
    <w:uiPriority w:val="6"/>
    <w:rsid w:val="00D225C4"/>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D225C4"/>
    <w:rPr>
      <w:rFonts w:ascii="Helvetica" w:hAnsi="Helvetica"/>
      <w:bCs/>
      <w:sz w:val="22"/>
      <w:szCs w:val="28"/>
      <w:lang w:eastAsia="en-GB"/>
    </w:rPr>
  </w:style>
  <w:style w:type="paragraph" w:customStyle="1" w:styleId="PBACESText">
    <w:name w:val="PBAC ES Text"/>
    <w:basedOn w:val="Normal"/>
    <w:uiPriority w:val="99"/>
    <w:qFormat/>
    <w:rsid w:val="00D225C4"/>
    <w:pPr>
      <w:spacing w:before="60" w:after="160"/>
    </w:pPr>
    <w:rPr>
      <w:sz w:val="22"/>
      <w:lang w:eastAsia="en-GB"/>
    </w:rPr>
  </w:style>
  <w:style w:type="paragraph" w:customStyle="1" w:styleId="PBACESH2">
    <w:name w:val="PBAC ES H2"/>
    <w:basedOn w:val="PBACESText"/>
    <w:next w:val="PBACESText"/>
    <w:uiPriority w:val="99"/>
    <w:qFormat/>
    <w:rsid w:val="00D225C4"/>
    <w:pPr>
      <w:spacing w:before="240" w:after="120" w:line="220" w:lineRule="exact"/>
    </w:pPr>
    <w:rPr>
      <w:rFonts w:eastAsiaTheme="majorEastAsia"/>
      <w:b/>
      <w:bCs/>
    </w:rPr>
  </w:style>
  <w:style w:type="paragraph" w:customStyle="1" w:styleId="BodyText1">
    <w:name w:val="Body Text1"/>
    <w:basedOn w:val="Normal"/>
    <w:link w:val="BodytextChar0"/>
    <w:semiHidden/>
    <w:rsid w:val="00D225C4"/>
    <w:pPr>
      <w:spacing w:after="240" w:line="300" w:lineRule="auto"/>
    </w:pPr>
    <w:rPr>
      <w:rFonts w:ascii="Arial" w:hAnsi="Arial" w:cs="Times New Roman"/>
      <w:sz w:val="22"/>
      <w:lang w:eastAsia="en-GB"/>
    </w:rPr>
  </w:style>
  <w:style w:type="character" w:customStyle="1" w:styleId="BodytextChar0">
    <w:name w:val="Body text Char"/>
    <w:link w:val="BodyText1"/>
    <w:semiHidden/>
    <w:locked/>
    <w:rsid w:val="00D225C4"/>
    <w:rPr>
      <w:rFonts w:ascii="Arial" w:hAnsi="Arial"/>
      <w:sz w:val="22"/>
      <w:szCs w:val="24"/>
      <w:lang w:eastAsia="en-GB"/>
    </w:rPr>
  </w:style>
  <w:style w:type="paragraph" w:customStyle="1" w:styleId="PBACH10">
    <w:name w:val="PBAC H1"/>
    <w:basedOn w:val="PBACH1"/>
    <w:next w:val="Normal"/>
    <w:uiPriority w:val="99"/>
    <w:qFormat/>
    <w:rsid w:val="00D225C4"/>
  </w:style>
  <w:style w:type="paragraph" w:customStyle="1" w:styleId="Tableheading1">
    <w:name w:val="Table heading"/>
    <w:basedOn w:val="Normal"/>
    <w:link w:val="TableheadingChar0"/>
    <w:semiHidden/>
    <w:rsid w:val="00D225C4"/>
    <w:pPr>
      <w:keepNext/>
      <w:keepLines/>
      <w:spacing w:before="60" w:after="60"/>
      <w:jc w:val="left"/>
    </w:pPr>
    <w:rPr>
      <w:rFonts w:ascii="Arial Narrow" w:hAnsi="Arial Narrow" w:cs="Times New Roman"/>
      <w:b/>
      <w:sz w:val="20"/>
      <w:szCs w:val="20"/>
      <w:lang w:eastAsia="en-US"/>
    </w:rPr>
  </w:style>
  <w:style w:type="character" w:customStyle="1" w:styleId="TableheadingChar0">
    <w:name w:val="Table heading Char"/>
    <w:link w:val="Tableheading1"/>
    <w:semiHidden/>
    <w:locked/>
    <w:rsid w:val="00D225C4"/>
    <w:rPr>
      <w:rFonts w:ascii="Arial Narrow" w:hAnsi="Arial Narrow"/>
      <w:b/>
      <w:lang w:eastAsia="en-US"/>
    </w:rPr>
  </w:style>
  <w:style w:type="table" w:customStyle="1" w:styleId="MSDAustralia">
    <w:name w:val="MSD Australia"/>
    <w:basedOn w:val="TableGrid"/>
    <w:uiPriority w:val="99"/>
    <w:rsid w:val="00D225C4"/>
    <w:pPr>
      <w:spacing w:before="57"/>
      <w:ind w:left="57" w:right="57"/>
    </w:pPr>
    <w:rPr>
      <w:rFonts w:ascii="Arial" w:eastAsia="PMingLiU" w:hAnsi="Arial" w:cstheme="minorBidi"/>
      <w:lang w:eastAsia="en-US"/>
    </w:rPr>
    <w:tblPr>
      <w:tblInd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ype="firstRow">
      <w:rPr>
        <w:b/>
      </w:rPr>
    </w:tblStylePr>
    <w:tblStylePr w:type="lastRow">
      <w:rPr>
        <w:b/>
      </w:rPr>
    </w:tblStylePr>
    <w:tblStylePr w:type="firstCol">
      <w:rPr>
        <w:b/>
      </w:rPr>
    </w:tblStylePr>
    <w:tblStylePr w:type="lastCol">
      <w:rPr>
        <w:b/>
      </w:rPr>
    </w:tblStylePr>
  </w:style>
  <w:style w:type="table" w:customStyle="1" w:styleId="LightShading5">
    <w:name w:val="Light Shading5"/>
    <w:basedOn w:val="TableNormal"/>
    <w:next w:val="LightShading"/>
    <w:uiPriority w:val="60"/>
    <w:semiHidden/>
    <w:unhideWhenUsed/>
    <w:rsid w:val="00D225C4"/>
    <w:rPr>
      <w:rFonts w:ascii="Calibri" w:eastAsia="Calibri" w:hAnsi="Calibri"/>
      <w:color w:val="000000" w:themeColor="text1" w:themeShade="BF"/>
      <w:sz w:val="22"/>
      <w:szCs w:val="22"/>
      <w:lang w:eastAsia="en-US"/>
    </w:rPr>
    <w:tblPr>
      <w:tblStyleRowBandSize w:val="1"/>
      <w:tblStyleColBandSize w:val="1"/>
      <w:tblInd w:w="0" w:type="nil"/>
      <w:tblCellMar>
        <w:left w:w="0" w:type="dxa"/>
        <w:right w:w="0"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9">
    <w:name w:val="Table Grid19"/>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5">
    <w:name w:val="Table Grid25"/>
    <w:basedOn w:val="TableNormal"/>
    <w:rsid w:val="00D225C4"/>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45">
    <w:name w:val="Table Grid145"/>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155">
    <w:name w:val="Table Grid155"/>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165">
    <w:name w:val="Table Grid165"/>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55">
    <w:name w:val="Table Grid55"/>
    <w:basedOn w:val="TableNormal"/>
    <w:rsid w:val="00D225C4"/>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5">
    <w:name w:val="Table Grid35"/>
    <w:basedOn w:val="TableNormal"/>
    <w:rsid w:val="00D225C4"/>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65">
    <w:name w:val="Table Grid65"/>
    <w:basedOn w:val="TableNormal"/>
    <w:rsid w:val="00D225C4"/>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5">
    <w:name w:val="Table Grid4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015">
    <w:name w:val="Table Grid401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825">
    <w:name w:val="Table Grid4825"/>
    <w:basedOn w:val="TableNormal"/>
    <w:rsid w:val="00D225C4"/>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4025">
    <w:name w:val="Table Grid402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85">
    <w:name w:val="Table Grid28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05">
    <w:name w:val="Table Grid20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5">
    <w:name w:val="Table Grid115"/>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Summarybox15">
    <w:name w:val="Summary box15"/>
    <w:basedOn w:val="TableNormal"/>
    <w:uiPriority w:val="59"/>
    <w:rsid w:val="00D225C4"/>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LightShading11">
    <w:name w:val="Light Shading11"/>
    <w:basedOn w:val="TableNormal"/>
    <w:uiPriority w:val="60"/>
    <w:rsid w:val="00D225C4"/>
    <w:rPr>
      <w:rFonts w:ascii="Calibri" w:eastAsia="Calibri" w:hAnsi="Calibri"/>
      <w:color w:val="000000" w:themeColor="text1" w:themeShade="BF"/>
      <w:sz w:val="22"/>
      <w:szCs w:val="22"/>
      <w:lang w:eastAsia="en-US"/>
    </w:rPr>
    <w:tblPr>
      <w:tblStyleRowBandSize w:val="1"/>
      <w:tblStyleColBandSize w:val="1"/>
      <w:tblInd w:w="0" w:type="nil"/>
      <w:tblCellMar>
        <w:left w:w="0" w:type="dxa"/>
        <w:right w:w="0"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4">
    <w:name w:val="Summary box24"/>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21">
    <w:name w:val="Table Grid121"/>
    <w:basedOn w:val="TableNormal"/>
    <w:uiPriority w:val="59"/>
    <w:rsid w:val="00D225C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11">
    <w:name w:val="Table Grid211"/>
    <w:basedOn w:val="TableNormal"/>
    <w:rsid w:val="00D225C4"/>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411">
    <w:name w:val="Table Grid1411"/>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1511">
    <w:name w:val="Table Grid1511"/>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1611">
    <w:name w:val="Table Grid1611"/>
    <w:basedOn w:val="TableNormal"/>
    <w:rsid w:val="00D225C4"/>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style>
  <w:style w:type="table" w:customStyle="1" w:styleId="TableGrid511">
    <w:name w:val="Table Grid511"/>
    <w:basedOn w:val="TableNormal"/>
    <w:rsid w:val="00D225C4"/>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11">
    <w:name w:val="Table Grid31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11">
    <w:name w:val="Table Grid611"/>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11">
    <w:name w:val="Table Grid4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0111">
    <w:name w:val="Table Grid401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8211">
    <w:name w:val="Table Grid48211"/>
    <w:basedOn w:val="TableNormal"/>
    <w:rsid w:val="00D225C4"/>
    <w:rPr>
      <w:rFonts w:ascii="Times" w:hAnsi="Times"/>
    </w:rPr>
    <w:tblPr>
      <w:tblInd w:w="0" w:type="nil"/>
      <w:tblCellMar>
        <w:left w:w="0" w:type="dxa"/>
        <w:right w:w="0" w:type="dxa"/>
      </w:tblCellMar>
    </w:tblPr>
  </w:style>
  <w:style w:type="table" w:customStyle="1" w:styleId="TableGrid40211">
    <w:name w:val="Table Grid402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811">
    <w:name w:val="Table Grid28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011">
    <w:name w:val="Table Grid20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111">
    <w:name w:val="Table Grid11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111">
    <w:name w:val="Summary box1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31">
    <w:name w:val="Summary box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LightShading21">
    <w:name w:val="Light Shading21"/>
    <w:basedOn w:val="TableNormal"/>
    <w:uiPriority w:val="60"/>
    <w:rsid w:val="00D225C4"/>
    <w:rPr>
      <w:rFonts w:ascii="Calibri" w:eastAsia="Calibri" w:hAnsi="Calibri"/>
      <w:color w:val="000000" w:themeColor="text1" w:themeShade="BF"/>
      <w:sz w:val="22"/>
      <w:szCs w:val="22"/>
      <w:lang w:eastAsia="en-US"/>
    </w:rPr>
    <w:tblPr>
      <w:tblInd w:w="0" w:type="nil"/>
      <w:tblCellMar>
        <w:left w:w="0" w:type="dxa"/>
        <w:right w:w="0" w:type="dxa"/>
      </w:tblCellMar>
    </w:tblPr>
    <w:tblStylePr w:type="firstRow">
      <w:pPr>
        <w:spacing w:beforeLines="0" w:before="0" w:beforeAutospacing="0" w:afterLines="0" w:after="0" w:afterAutospacing="0" w:line="240" w:lineRule="auto"/>
      </w:pPr>
      <w:rPr>
        <w:b/>
        <w:bCs/>
      </w:r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Summarybox41">
    <w:name w:val="Summary box41"/>
    <w:basedOn w:val="TableNormal"/>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31">
    <w:name w:val="Table Grid1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21">
    <w:name w:val="Table Grid22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21">
    <w:name w:val="Table Grid1421"/>
    <w:basedOn w:val="TableNormal"/>
    <w:rsid w:val="00D225C4"/>
    <w:rPr>
      <w:rFonts w:ascii="Arial" w:hAnsi="Arial"/>
    </w:rPr>
    <w:tblPr>
      <w:tblInd w:w="0" w:type="nil"/>
      <w:tblCellMar>
        <w:left w:w="0" w:type="dxa"/>
        <w:right w:w="0" w:type="dxa"/>
      </w:tblCellMar>
    </w:tblPr>
  </w:style>
  <w:style w:type="table" w:customStyle="1" w:styleId="TableGrid1521">
    <w:name w:val="Table Grid1521"/>
    <w:basedOn w:val="TableNormal"/>
    <w:rsid w:val="00D225C4"/>
    <w:rPr>
      <w:rFonts w:ascii="Arial" w:hAnsi="Arial"/>
    </w:rPr>
    <w:tblPr>
      <w:tblInd w:w="0" w:type="nil"/>
      <w:tblCellMar>
        <w:left w:w="0" w:type="dxa"/>
        <w:right w:w="0" w:type="dxa"/>
      </w:tblCellMar>
    </w:tblPr>
  </w:style>
  <w:style w:type="table" w:customStyle="1" w:styleId="TableGrid1621">
    <w:name w:val="Table Grid1621"/>
    <w:basedOn w:val="TableNormal"/>
    <w:rsid w:val="00D225C4"/>
    <w:rPr>
      <w:rFonts w:ascii="Arial" w:hAnsi="Arial"/>
    </w:rPr>
    <w:tblPr>
      <w:tblInd w:w="0" w:type="nil"/>
      <w:tblCellMar>
        <w:left w:w="0" w:type="dxa"/>
        <w:right w:w="0" w:type="dxa"/>
      </w:tblCellMar>
    </w:tblPr>
  </w:style>
  <w:style w:type="table" w:customStyle="1" w:styleId="TableGrid521">
    <w:name w:val="Table Grid52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21">
    <w:name w:val="Table Grid32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21">
    <w:name w:val="Table Grid621"/>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21">
    <w:name w:val="Table Grid4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0121">
    <w:name w:val="Table Grid401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8221">
    <w:name w:val="Table Grid48221"/>
    <w:basedOn w:val="TableNormal"/>
    <w:rsid w:val="00D225C4"/>
    <w:rPr>
      <w:rFonts w:ascii="Times" w:hAnsi="Times"/>
    </w:rPr>
    <w:tblPr>
      <w:tblInd w:w="0" w:type="nil"/>
      <w:tblCellMar>
        <w:left w:w="0" w:type="dxa"/>
        <w:right w:w="0" w:type="dxa"/>
      </w:tblCellMar>
    </w:tblPr>
  </w:style>
  <w:style w:type="table" w:customStyle="1" w:styleId="TableGrid40221">
    <w:name w:val="Table Grid402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821">
    <w:name w:val="Table Grid28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021">
    <w:name w:val="Table Grid20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121">
    <w:name w:val="Table Grid11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121">
    <w:name w:val="Summary box1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211">
    <w:name w:val="Summary box21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LightShading31">
    <w:name w:val="Light Shading31"/>
    <w:basedOn w:val="TableNormal"/>
    <w:uiPriority w:val="60"/>
    <w:rsid w:val="00D225C4"/>
    <w:rPr>
      <w:rFonts w:ascii="Calibri" w:eastAsia="Calibri" w:hAnsi="Calibri"/>
      <w:color w:val="000000" w:themeColor="text1" w:themeShade="BF"/>
      <w:sz w:val="22"/>
      <w:szCs w:val="22"/>
      <w:lang w:eastAsia="en-US"/>
    </w:rPr>
    <w:tblPr>
      <w:tblInd w:w="0" w:type="nil"/>
      <w:tblCellMar>
        <w:left w:w="0" w:type="dxa"/>
        <w:right w:w="0" w:type="dxa"/>
      </w:tblCellMar>
    </w:tblPr>
    <w:tblStylePr w:type="firstRow">
      <w:pPr>
        <w:spacing w:beforeLines="0" w:before="0" w:beforeAutospacing="0" w:afterLines="0" w:after="0" w:afterAutospacing="0" w:line="240" w:lineRule="auto"/>
      </w:pPr>
      <w:rPr>
        <w:b/>
        <w:bCs/>
      </w:r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Summarybox51">
    <w:name w:val="Summary box51"/>
    <w:basedOn w:val="TableNormal"/>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71">
    <w:name w:val="Table Grid17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31">
    <w:name w:val="Table Grid23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31">
    <w:name w:val="Table Grid1431"/>
    <w:basedOn w:val="TableNormal"/>
    <w:rsid w:val="00D225C4"/>
    <w:rPr>
      <w:rFonts w:ascii="Arial" w:hAnsi="Arial"/>
    </w:rPr>
    <w:tblPr>
      <w:tblInd w:w="0" w:type="nil"/>
      <w:tblCellMar>
        <w:left w:w="0" w:type="dxa"/>
        <w:right w:w="0" w:type="dxa"/>
      </w:tblCellMar>
    </w:tblPr>
  </w:style>
  <w:style w:type="table" w:customStyle="1" w:styleId="TableGrid1531">
    <w:name w:val="Table Grid1531"/>
    <w:basedOn w:val="TableNormal"/>
    <w:rsid w:val="00D225C4"/>
    <w:rPr>
      <w:rFonts w:ascii="Arial" w:hAnsi="Arial"/>
    </w:rPr>
    <w:tblPr>
      <w:tblInd w:w="0" w:type="nil"/>
      <w:tblCellMar>
        <w:left w:w="0" w:type="dxa"/>
        <w:right w:w="0" w:type="dxa"/>
      </w:tblCellMar>
    </w:tblPr>
  </w:style>
  <w:style w:type="table" w:customStyle="1" w:styleId="TableGrid1631">
    <w:name w:val="Table Grid1631"/>
    <w:basedOn w:val="TableNormal"/>
    <w:rsid w:val="00D225C4"/>
    <w:rPr>
      <w:rFonts w:ascii="Arial" w:hAnsi="Arial"/>
    </w:rPr>
    <w:tblPr>
      <w:tblInd w:w="0" w:type="nil"/>
      <w:tblCellMar>
        <w:left w:w="0" w:type="dxa"/>
        <w:right w:w="0" w:type="dxa"/>
      </w:tblCellMar>
    </w:tblPr>
  </w:style>
  <w:style w:type="table" w:customStyle="1" w:styleId="TableGrid531">
    <w:name w:val="Table Grid53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31">
    <w:name w:val="Table Grid33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31">
    <w:name w:val="Table Grid631"/>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31">
    <w:name w:val="Table Grid4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0131">
    <w:name w:val="Table Grid401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8231">
    <w:name w:val="Table Grid48231"/>
    <w:basedOn w:val="TableNormal"/>
    <w:rsid w:val="00D225C4"/>
    <w:rPr>
      <w:rFonts w:ascii="Times" w:hAnsi="Times"/>
    </w:rPr>
    <w:tblPr>
      <w:tblInd w:w="0" w:type="nil"/>
      <w:tblCellMar>
        <w:left w:w="0" w:type="dxa"/>
        <w:right w:w="0" w:type="dxa"/>
      </w:tblCellMar>
    </w:tblPr>
  </w:style>
  <w:style w:type="table" w:customStyle="1" w:styleId="TableGrid40231">
    <w:name w:val="Table Grid402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831">
    <w:name w:val="Table Grid28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031">
    <w:name w:val="Table Grid20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131">
    <w:name w:val="Table Grid11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131">
    <w:name w:val="Summary box1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221">
    <w:name w:val="Summary box22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LightShading41">
    <w:name w:val="Light Shading41"/>
    <w:basedOn w:val="TableNormal"/>
    <w:uiPriority w:val="60"/>
    <w:rsid w:val="00D225C4"/>
    <w:rPr>
      <w:rFonts w:ascii="Calibri" w:eastAsia="Calibri" w:hAnsi="Calibri"/>
      <w:color w:val="000000" w:themeColor="text1" w:themeShade="BF"/>
      <w:sz w:val="22"/>
      <w:szCs w:val="22"/>
      <w:lang w:eastAsia="en-US"/>
    </w:rPr>
    <w:tblPr>
      <w:tblInd w:w="0" w:type="nil"/>
      <w:tblCellMar>
        <w:left w:w="0" w:type="dxa"/>
        <w:right w:w="0" w:type="dxa"/>
      </w:tblCellMar>
    </w:tblPr>
    <w:tblStylePr w:type="firstRow">
      <w:pPr>
        <w:spacing w:beforeLines="0" w:before="0" w:beforeAutospacing="0" w:afterLines="0" w:after="0" w:afterAutospacing="0" w:line="240" w:lineRule="auto"/>
      </w:pPr>
      <w:rPr>
        <w:b/>
        <w:bCs/>
      </w:r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Summarybox61">
    <w:name w:val="Summary box61"/>
    <w:basedOn w:val="TableNormal"/>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81">
    <w:name w:val="Table Grid18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41">
    <w:name w:val="Table Grid24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1441">
    <w:name w:val="Table Grid1441"/>
    <w:basedOn w:val="TableNormal"/>
    <w:rsid w:val="00D225C4"/>
    <w:rPr>
      <w:rFonts w:ascii="Arial" w:hAnsi="Arial"/>
    </w:rPr>
    <w:tblPr>
      <w:tblInd w:w="0" w:type="nil"/>
      <w:tblCellMar>
        <w:left w:w="0" w:type="dxa"/>
        <w:right w:w="0" w:type="dxa"/>
      </w:tblCellMar>
    </w:tblPr>
  </w:style>
  <w:style w:type="table" w:customStyle="1" w:styleId="TableGrid1541">
    <w:name w:val="Table Grid1541"/>
    <w:basedOn w:val="TableNormal"/>
    <w:rsid w:val="00D225C4"/>
    <w:rPr>
      <w:rFonts w:ascii="Arial" w:hAnsi="Arial"/>
    </w:rPr>
    <w:tblPr>
      <w:tblInd w:w="0" w:type="nil"/>
      <w:tblCellMar>
        <w:left w:w="0" w:type="dxa"/>
        <w:right w:w="0" w:type="dxa"/>
      </w:tblCellMar>
    </w:tblPr>
  </w:style>
  <w:style w:type="table" w:customStyle="1" w:styleId="TableGrid1641">
    <w:name w:val="Table Grid1641"/>
    <w:basedOn w:val="TableNormal"/>
    <w:rsid w:val="00D225C4"/>
    <w:rPr>
      <w:rFonts w:ascii="Arial" w:hAnsi="Arial"/>
    </w:rPr>
    <w:tblPr>
      <w:tblInd w:w="0" w:type="nil"/>
      <w:tblCellMar>
        <w:left w:w="0" w:type="dxa"/>
        <w:right w:w="0" w:type="dxa"/>
      </w:tblCellMar>
    </w:tblPr>
  </w:style>
  <w:style w:type="table" w:customStyle="1" w:styleId="TableGrid541">
    <w:name w:val="Table Grid54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341">
    <w:name w:val="Table Grid341"/>
    <w:basedOn w:val="TableNormal"/>
    <w:rsid w:val="00D225C4"/>
    <w:pPr>
      <w:tabs>
        <w:tab w:val="left" w:pos="416"/>
        <w:tab w:val="left" w:pos="582"/>
      </w:tabs>
      <w:spacing w:line="360" w:lineRule="auto"/>
      <w:jc w:val="both"/>
    </w:pPr>
    <w:rPr>
      <w:rFonts w:ascii="Times" w:hAnsi="Times"/>
    </w:rPr>
    <w:tblPr>
      <w:tblInd w:w="0" w:type="nil"/>
      <w:tblCellMar>
        <w:left w:w="0" w:type="dxa"/>
        <w:right w:w="0" w:type="dxa"/>
      </w:tblCellMar>
    </w:tblPr>
  </w:style>
  <w:style w:type="table" w:customStyle="1" w:styleId="TableGrid641">
    <w:name w:val="Table Grid641"/>
    <w:basedOn w:val="TableNormal"/>
    <w:rsid w:val="00D225C4"/>
    <w:pPr>
      <w:tabs>
        <w:tab w:val="left" w:pos="416"/>
        <w:tab w:val="left" w:pos="582"/>
      </w:tabs>
      <w:spacing w:line="360" w:lineRule="auto"/>
      <w:jc w:val="both"/>
    </w:pPr>
    <w:rPr>
      <w:rFonts w:ascii="Times" w:hAnsi="Times"/>
      <w:lang w:eastAsia="en-US"/>
    </w:rPr>
    <w:tblPr>
      <w:tblInd w:w="0" w:type="nil"/>
      <w:tblCellMar>
        <w:left w:w="0" w:type="dxa"/>
        <w:right w:w="0" w:type="dxa"/>
      </w:tblCellMar>
    </w:tblPr>
  </w:style>
  <w:style w:type="table" w:customStyle="1" w:styleId="TableGrid441">
    <w:name w:val="Table Grid4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0141">
    <w:name w:val="Table Grid401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48241">
    <w:name w:val="Table Grid48241"/>
    <w:basedOn w:val="TableNormal"/>
    <w:rsid w:val="00D225C4"/>
    <w:rPr>
      <w:rFonts w:ascii="Times" w:hAnsi="Times"/>
    </w:rPr>
    <w:tblPr>
      <w:tblInd w:w="0" w:type="nil"/>
      <w:tblCellMar>
        <w:left w:w="0" w:type="dxa"/>
        <w:right w:w="0" w:type="dxa"/>
      </w:tblCellMar>
    </w:tblPr>
  </w:style>
  <w:style w:type="table" w:customStyle="1" w:styleId="TableGrid40241">
    <w:name w:val="Table Grid402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841">
    <w:name w:val="Table Grid28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2041">
    <w:name w:val="Table Grid20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TableGrid1141">
    <w:name w:val="Table Grid11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141">
    <w:name w:val="Summary box14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Summarybox231">
    <w:name w:val="Summary box231"/>
    <w:basedOn w:val="TableNormal"/>
    <w:uiPriority w:val="59"/>
    <w:rsid w:val="00D225C4"/>
    <w:rPr>
      <w:rFonts w:ascii="Calibri" w:eastAsia="Calibri" w:hAnsi="Calibri"/>
      <w:sz w:val="22"/>
      <w:szCs w:val="22"/>
      <w:lang w:eastAsia="en-US"/>
    </w:rPr>
    <w:tblPr>
      <w:tblInd w:w="0" w:type="nil"/>
      <w:tblCellMar>
        <w:left w:w="0" w:type="dxa"/>
        <w:right w:w="0" w:type="dxa"/>
      </w:tblCellMar>
    </w:tblPr>
  </w:style>
  <w:style w:type="table" w:customStyle="1" w:styleId="OPTUMTableNormal1">
    <w:name w:val="OPTUM Table Normal1"/>
    <w:basedOn w:val="TableNormal"/>
    <w:rsid w:val="00D225C4"/>
    <w:pPr>
      <w:spacing w:before="40" w:after="20"/>
    </w:pPr>
    <w:rPr>
      <w:rFonts w:ascii="Calibri" w:hAnsi="Calibri"/>
      <w:sz w:val="18"/>
      <w:szCs w:val="18"/>
    </w:rPr>
    <w:tblPr>
      <w:tblInd w:w="0" w:type="nil"/>
      <w:tblCellMar>
        <w:left w:w="0" w:type="dxa"/>
        <w:right w:w="0" w:type="dxa"/>
      </w:tblCellMar>
    </w:tblPr>
    <w:tblStylePr w:type="firstRow">
      <w:rPr>
        <w:rFonts w:ascii="Calibri" w:hAnsi="Calibri" w:cs="Calibri" w:hint="default"/>
        <w:b w:val="0"/>
        <w:sz w:val="22"/>
        <w:szCs w:val="22"/>
      </w:rPr>
    </w:tblStylePr>
  </w:style>
  <w:style w:type="table" w:customStyle="1" w:styleId="MSDAustralia1">
    <w:name w:val="MSD Australia1"/>
    <w:basedOn w:val="TableGrid"/>
    <w:uiPriority w:val="99"/>
    <w:rsid w:val="00D225C4"/>
    <w:pPr>
      <w:spacing w:before="57"/>
      <w:ind w:left="57" w:right="57"/>
    </w:pPr>
    <w:rPr>
      <w:rFonts w:ascii="Arial" w:eastAsia="Calibri" w:hAnsi="Arial"/>
      <w:lang w:eastAsia="en-US"/>
    </w:rPr>
    <w:tblPr>
      <w:tblInd w:w="0" w:type="nil"/>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PBACstandardnumberstyle1">
    <w:name w:val="PBAC standard number style1"/>
    <w:uiPriority w:val="99"/>
    <w:rsid w:val="00445584"/>
    <w:pPr>
      <w:numPr>
        <w:numId w:val="25"/>
      </w:numPr>
    </w:pPr>
  </w:style>
  <w:style w:type="table" w:customStyle="1" w:styleId="Icon">
    <w:name w:val="~Icon"/>
    <w:basedOn w:val="TableNormal"/>
    <w:uiPriority w:val="99"/>
    <w:rsid w:val="00D225C4"/>
    <w:pPr>
      <w:spacing w:before="180" w:line="276" w:lineRule="auto"/>
    </w:pPr>
    <w:rPr>
      <w:rFonts w:asciiTheme="minorHAnsi" w:eastAsiaTheme="minorEastAsia" w:hAnsiTheme="minorHAnsi" w:cs="System"/>
      <w:color w:val="000000" w:themeColor="text1"/>
      <w:sz w:val="21"/>
      <w:szCs w:val="21"/>
      <w:lang w:val="en-GB" w:eastAsia="en-US"/>
    </w:rPr>
    <w:tblPr>
      <w:tblInd w:w="0" w:type="nil"/>
      <w:tblCellMar>
        <w:left w:w="0" w:type="dxa"/>
        <w:right w:w="0" w:type="dxa"/>
      </w:tblCellMar>
    </w:tblPr>
  </w:style>
  <w:style w:type="character" w:customStyle="1" w:styleId="FootnoteTextChar1">
    <w:name w:val="Footnote Text Char1"/>
    <w:aliases w:val="Char Char1"/>
    <w:basedOn w:val="DefaultParagraphFont"/>
    <w:semiHidden/>
    <w:rsid w:val="00D225C4"/>
    <w:rPr>
      <w:rFonts w:ascii="Calibri" w:hAnsi="Calibri"/>
      <w:sz w:val="20"/>
      <w:szCs w:val="20"/>
    </w:rPr>
  </w:style>
  <w:style w:type="character" w:customStyle="1" w:styleId="NoteHeadingChar1">
    <w:name w:val="Note Heading Char1"/>
    <w:aliases w:val="Notes Char1"/>
    <w:basedOn w:val="DefaultParagraphFont"/>
    <w:uiPriority w:val="99"/>
    <w:semiHidden/>
    <w:rsid w:val="00D225C4"/>
    <w:rPr>
      <w:rFonts w:ascii="Calibri" w:hAnsi="Calibri"/>
    </w:rPr>
  </w:style>
  <w:style w:type="table" w:customStyle="1" w:styleId="TableGrid7">
    <w:name w:val="Table Grid7"/>
    <w:basedOn w:val="TableNormal"/>
    <w:rsid w:val="00D225C4"/>
    <w:rPr>
      <w:rFonts w:asciiTheme="minorHAnsi" w:eastAsiaTheme="minorEastAsia" w:hAnsiTheme="minorHAnsi" w:cstheme="minorBidi"/>
      <w:sz w:val="22"/>
      <w:szCs w:val="22"/>
      <w:lang w:val="en-US" w:eastAsia="en-US"/>
    </w:rPr>
    <w:tblPr>
      <w:tblInd w:w="0" w:type="nil"/>
      <w:tblCellMar>
        <w:left w:w="0" w:type="dxa"/>
        <w:right w:w="0" w:type="dxa"/>
      </w:tblCellMar>
    </w:tblPr>
  </w:style>
  <w:style w:type="paragraph" w:customStyle="1" w:styleId="PBACH6">
    <w:name w:val="PBAC H6"/>
    <w:basedOn w:val="Heading6"/>
    <w:next w:val="Normal"/>
    <w:uiPriority w:val="99"/>
    <w:qFormat/>
    <w:rsid w:val="00D225C4"/>
    <w:pPr>
      <w:keepNext/>
      <w:keepLines/>
      <w:spacing w:after="120"/>
      <w:jc w:val="left"/>
    </w:pPr>
    <w:rPr>
      <w:rFonts w:eastAsiaTheme="majorEastAsia" w:cstheme="majorBidi"/>
      <w:b w:val="0"/>
      <w:iCs/>
      <w:szCs w:val="28"/>
      <w:lang w:eastAsia="en-GB"/>
    </w:rPr>
  </w:style>
  <w:style w:type="paragraph" w:customStyle="1" w:styleId="PBACH7">
    <w:name w:val="PBAC H7"/>
    <w:basedOn w:val="Heading7"/>
    <w:next w:val="Normal"/>
    <w:uiPriority w:val="99"/>
    <w:qFormat/>
    <w:rsid w:val="00D225C4"/>
    <w:pPr>
      <w:keepLines/>
      <w:spacing w:before="240" w:after="120"/>
      <w:jc w:val="left"/>
    </w:pPr>
    <w:rPr>
      <w:rFonts w:eastAsiaTheme="majorEastAsia" w:cstheme="majorBidi"/>
      <w:b w:val="0"/>
      <w:sz w:val="22"/>
      <w:szCs w:val="26"/>
      <w:u w:val="single"/>
      <w:lang w:eastAsia="en-GB"/>
    </w:rPr>
  </w:style>
  <w:style w:type="paragraph" w:customStyle="1" w:styleId="PBACTablebullet">
    <w:name w:val="PBAC Table bullet"/>
    <w:basedOn w:val="PBACTabletext"/>
    <w:next w:val="PBACTabletext"/>
    <w:uiPriority w:val="99"/>
    <w:qFormat/>
    <w:rsid w:val="00445584"/>
    <w:pPr>
      <w:numPr>
        <w:numId w:val="19"/>
      </w:numPr>
      <w:tabs>
        <w:tab w:val="num" w:pos="360"/>
      </w:tabs>
      <w:ind w:left="0" w:firstLine="0"/>
    </w:pPr>
    <w:rPr>
      <w:rFonts w:ascii="Times" w:eastAsia="MS Mincho" w:hAnsi="Times" w:cs="Times"/>
      <w:sz w:val="24"/>
    </w:rPr>
  </w:style>
  <w:style w:type="paragraph" w:customStyle="1" w:styleId="PBACESH1">
    <w:name w:val="PBAC ES H1"/>
    <w:basedOn w:val="PBACH10"/>
    <w:next w:val="PBACESText"/>
    <w:uiPriority w:val="99"/>
    <w:qFormat/>
    <w:rsid w:val="00D225C4"/>
    <w:pPr>
      <w:spacing w:after="120"/>
    </w:pPr>
  </w:style>
  <w:style w:type="paragraph" w:customStyle="1" w:styleId="footnotedescription">
    <w:name w:val="footnote description"/>
    <w:next w:val="Normal"/>
    <w:link w:val="footnotedescriptionChar"/>
    <w:hidden/>
    <w:rsid w:val="00D225C4"/>
    <w:pPr>
      <w:spacing w:line="267" w:lineRule="auto"/>
      <w:ind w:left="77"/>
    </w:pPr>
    <w:rPr>
      <w:color w:val="000000"/>
      <w:sz w:val="18"/>
      <w:szCs w:val="22"/>
    </w:rPr>
  </w:style>
  <w:style w:type="character" w:customStyle="1" w:styleId="footnotedescriptionChar">
    <w:name w:val="footnote description Char"/>
    <w:link w:val="footnotedescription"/>
    <w:rsid w:val="00D225C4"/>
    <w:rPr>
      <w:color w:val="000000"/>
      <w:sz w:val="18"/>
      <w:szCs w:val="22"/>
    </w:rPr>
  </w:style>
  <w:style w:type="character" w:customStyle="1" w:styleId="footnotemark">
    <w:name w:val="footnote mark"/>
    <w:hidden/>
    <w:rsid w:val="00D225C4"/>
    <w:rPr>
      <w:rFonts w:ascii="Times New Roman" w:eastAsia="Times New Roman" w:hAnsi="Times New Roman" w:cs="Times New Roman"/>
      <w:color w:val="000000"/>
      <w:sz w:val="18"/>
      <w:vertAlign w:val="superscript"/>
    </w:rPr>
  </w:style>
  <w:style w:type="table" w:customStyle="1" w:styleId="TableGrid100">
    <w:name w:val="Table Grid10"/>
    <w:basedOn w:val="TableNormal"/>
    <w:next w:val="TableGrid0"/>
    <w:uiPriority w:val="59"/>
    <w:rsid w:val="00D225C4"/>
    <w:rPr>
      <w:rFonts w:ascii="Calibri" w:eastAsia="Calibri" w:hAnsi="Calibri"/>
      <w:sz w:val="22"/>
      <w:szCs w:val="22"/>
      <w:lang w:val="en-US" w:eastAsia="en-US"/>
    </w:rPr>
    <w:tblPr>
      <w:tblInd w:w="0" w:type="nil"/>
      <w:tblCellMar>
        <w:left w:w="0" w:type="dxa"/>
        <w:right w:w="0" w:type="dxa"/>
      </w:tblCellMar>
    </w:tblPr>
  </w:style>
  <w:style w:type="table" w:customStyle="1" w:styleId="NEWEvideraTable5">
    <w:name w:val="NEW Evidera Table5"/>
    <w:basedOn w:val="TableNormal"/>
    <w:uiPriority w:val="99"/>
    <w:qFormat/>
    <w:rsid w:val="00D225C4"/>
    <w:pPr>
      <w:spacing w:before="40" w:after="40"/>
    </w:pPr>
    <w:rPr>
      <w:rFonts w:ascii="Calibri Light" w:eastAsia="Calibri Light" w:hAnsi="Calibri Light"/>
      <w:sz w:val="18"/>
      <w:szCs w:val="22"/>
      <w:lang w:val="en-US" w:eastAsia="en-US"/>
    </w:rPr>
    <w:tblPr>
      <w:tblInd w:w="0" w:type="nil"/>
      <w:tblCellMar>
        <w:left w:w="0" w:type="dxa"/>
        <w:right w:w="0" w:type="dxa"/>
      </w:tblCellMar>
    </w:tblPr>
    <w:tblStylePr w:type="firstRow">
      <w:pPr>
        <w:jc w:val="center"/>
      </w:pPr>
      <w:rPr>
        <w:rFonts w:ascii="Calibri Light" w:hAnsi="Calibri Light"/>
        <w:b/>
        <w:color w:val="FFFFFF"/>
        <w:sz w:val="18"/>
      </w:rPr>
    </w:tblStylePr>
    <w:tblStylePr w:type="firstCol">
      <w:pPr>
        <w:jc w:val="left"/>
      </w:pPr>
    </w:tblStylePr>
    <w:tblStylePr w:type="band1Horz">
      <w:pPr>
        <w:jc w:val="center"/>
      </w:pPr>
    </w:tblStylePr>
    <w:tblStylePr w:type="band2Horz">
      <w:pPr>
        <w:jc w:val="center"/>
      </w:pPr>
    </w:tblStylePr>
    <w:tblStylePr w:type="nwCell">
      <w:pPr>
        <w:jc w:val="left"/>
      </w:pPr>
      <w:rPr>
        <w:rFonts w:ascii="Calibri Light" w:hAnsi="Calibri Light"/>
        <w:color w:val="FFFFFF"/>
        <w:sz w:val="18"/>
      </w:rPr>
    </w:tblStylePr>
  </w:style>
  <w:style w:type="paragraph" w:customStyle="1" w:styleId="QuotePBAC">
    <w:name w:val="QuotePBAC"/>
    <w:basedOn w:val="BodyText"/>
    <w:uiPriority w:val="99"/>
    <w:qFormat/>
    <w:rsid w:val="00D225C4"/>
    <w:pPr>
      <w:spacing w:after="240"/>
      <w:contextualSpacing/>
      <w:jc w:val="both"/>
    </w:pPr>
    <w:rPr>
      <w:rFonts w:asciiTheme="minorHAnsi" w:hAnsiTheme="minorHAnsi" w:cs="Times New Roman"/>
      <w:i/>
      <w:iCs/>
      <w:color w:val="000000"/>
      <w:sz w:val="22"/>
      <w:szCs w:val="22"/>
    </w:rPr>
  </w:style>
  <w:style w:type="paragraph" w:customStyle="1" w:styleId="xmsonormal">
    <w:name w:val="x_msonormal"/>
    <w:basedOn w:val="Normal"/>
    <w:uiPriority w:val="99"/>
    <w:rsid w:val="00D225C4"/>
    <w:pPr>
      <w:jc w:val="left"/>
    </w:pPr>
    <w:rPr>
      <w:rFonts w:eastAsiaTheme="minorHAnsi" w:cs="Calibri"/>
      <w:sz w:val="22"/>
      <w:szCs w:val="22"/>
    </w:rPr>
  </w:style>
  <w:style w:type="paragraph" w:customStyle="1" w:styleId="xmsolistparagraph">
    <w:name w:val="x_msolistparagraph"/>
    <w:basedOn w:val="Normal"/>
    <w:uiPriority w:val="99"/>
    <w:rsid w:val="00D225C4"/>
    <w:pPr>
      <w:ind w:left="720"/>
      <w:jc w:val="left"/>
    </w:pPr>
    <w:rPr>
      <w:rFonts w:eastAsiaTheme="minorHAnsi" w:cs="Calibri"/>
      <w:sz w:val="22"/>
      <w:szCs w:val="22"/>
    </w:rPr>
  </w:style>
  <w:style w:type="paragraph" w:customStyle="1" w:styleId="Bullet1">
    <w:name w:val="Bullet 1"/>
    <w:basedOn w:val="Normal"/>
    <w:link w:val="Bullet1Char"/>
    <w:uiPriority w:val="99"/>
    <w:qFormat/>
    <w:rsid w:val="00445584"/>
    <w:pPr>
      <w:numPr>
        <w:numId w:val="21"/>
      </w:numPr>
      <w:tabs>
        <w:tab w:val="num" w:pos="360"/>
      </w:tabs>
      <w:spacing w:before="120" w:line="300" w:lineRule="exact"/>
      <w:ind w:left="0" w:firstLine="0"/>
      <w:jc w:val="left"/>
    </w:pPr>
    <w:rPr>
      <w:rFonts w:ascii="Cambria Math" w:hAnsi="Cambria Math" w:cs="MS Gothic"/>
      <w:sz w:val="20"/>
      <w:lang w:val="en-US" w:eastAsia="en-US"/>
    </w:rPr>
  </w:style>
  <w:style w:type="paragraph" w:customStyle="1" w:styleId="FigureTitle">
    <w:name w:val="Figure Title"/>
    <w:basedOn w:val="Normal"/>
    <w:next w:val="Figureinsert"/>
    <w:uiPriority w:val="99"/>
    <w:rsid w:val="00D225C4"/>
    <w:pPr>
      <w:keepNext/>
      <w:keepLines/>
      <w:numPr>
        <w:numId w:val="24"/>
      </w:numPr>
      <w:tabs>
        <w:tab w:val="num" w:pos="360"/>
        <w:tab w:val="num" w:pos="765"/>
      </w:tabs>
      <w:spacing w:before="240" w:after="120"/>
      <w:ind w:left="0" w:firstLine="0"/>
      <w:jc w:val="left"/>
    </w:pPr>
    <w:rPr>
      <w:rFonts w:ascii="Cambria Math" w:hAnsi="Cambria Math" w:cs="MS Gothic"/>
      <w:b/>
      <w:sz w:val="20"/>
      <w:lang w:val="en-US" w:eastAsia="en-US"/>
    </w:rPr>
  </w:style>
  <w:style w:type="paragraph" w:customStyle="1" w:styleId="Figureinsert">
    <w:name w:val="Figure insert"/>
    <w:basedOn w:val="paragraph"/>
    <w:uiPriority w:val="99"/>
    <w:qFormat/>
    <w:rsid w:val="00D225C4"/>
    <w:pPr>
      <w:spacing w:before="40" w:after="40" w:line="500" w:lineRule="atLeast"/>
      <w:jc w:val="center"/>
    </w:pPr>
    <w:rPr>
      <w:sz w:val="18"/>
    </w:rPr>
  </w:style>
  <w:style w:type="paragraph" w:customStyle="1" w:styleId="Figurenote">
    <w:name w:val="Figure note"/>
    <w:basedOn w:val="Normal"/>
    <w:uiPriority w:val="99"/>
    <w:rsid w:val="00D225C4"/>
    <w:pPr>
      <w:keepLines/>
      <w:spacing w:before="120"/>
      <w:jc w:val="left"/>
    </w:pPr>
    <w:rPr>
      <w:rFonts w:ascii="Arial" w:hAnsi="Arial" w:cs="Times New Roman"/>
      <w:sz w:val="16"/>
      <w:lang w:val="en-US" w:eastAsia="en-US"/>
    </w:rPr>
  </w:style>
  <w:style w:type="character" w:customStyle="1" w:styleId="Bullet1Char">
    <w:name w:val="Bullet 1 Char"/>
    <w:basedOn w:val="DefaultParagraphFont"/>
    <w:link w:val="Bullet1"/>
    <w:uiPriority w:val="99"/>
    <w:rsid w:val="00D225C4"/>
    <w:rPr>
      <w:rFonts w:ascii="Cambria Math" w:hAnsi="Cambria Math" w:cs="MS Gothic"/>
      <w:szCs w:val="24"/>
      <w:lang w:val="en-US" w:eastAsia="en-US"/>
    </w:rPr>
  </w:style>
  <w:style w:type="paragraph" w:customStyle="1" w:styleId="reference">
    <w:name w:val="reference"/>
    <w:basedOn w:val="paragraph"/>
    <w:uiPriority w:val="99"/>
    <w:qFormat/>
    <w:rsid w:val="00D225C4"/>
    <w:pPr>
      <w:ind w:left="270" w:hanging="270"/>
    </w:pPr>
  </w:style>
  <w:style w:type="character" w:customStyle="1" w:styleId="author">
    <w:name w:val="author"/>
    <w:basedOn w:val="DefaultParagraphFont"/>
    <w:rsid w:val="00D225C4"/>
  </w:style>
  <w:style w:type="character" w:customStyle="1" w:styleId="articletitle">
    <w:name w:val="articletitle"/>
    <w:basedOn w:val="DefaultParagraphFont"/>
    <w:rsid w:val="00D225C4"/>
  </w:style>
  <w:style w:type="character" w:customStyle="1" w:styleId="journaltitle">
    <w:name w:val="journaltitle"/>
    <w:basedOn w:val="DefaultParagraphFont"/>
    <w:rsid w:val="00D225C4"/>
  </w:style>
  <w:style w:type="character" w:customStyle="1" w:styleId="pubyear">
    <w:name w:val="pubyear"/>
    <w:basedOn w:val="DefaultParagraphFont"/>
    <w:rsid w:val="00D225C4"/>
  </w:style>
  <w:style w:type="character" w:customStyle="1" w:styleId="vol">
    <w:name w:val="vol"/>
    <w:basedOn w:val="DefaultParagraphFont"/>
    <w:rsid w:val="00D225C4"/>
  </w:style>
  <w:style w:type="character" w:customStyle="1" w:styleId="citedissue">
    <w:name w:val="citedissue"/>
    <w:basedOn w:val="DefaultParagraphFont"/>
    <w:rsid w:val="00D225C4"/>
  </w:style>
  <w:style w:type="character" w:customStyle="1" w:styleId="pagefirst">
    <w:name w:val="pagefirst"/>
    <w:basedOn w:val="DefaultParagraphFont"/>
    <w:rsid w:val="00D225C4"/>
  </w:style>
  <w:style w:type="character" w:customStyle="1" w:styleId="pagelast">
    <w:name w:val="pagelast"/>
    <w:basedOn w:val="DefaultParagraphFont"/>
    <w:rsid w:val="00D225C4"/>
  </w:style>
  <w:style w:type="character" w:customStyle="1" w:styleId="cit-auth">
    <w:name w:val="cit-auth"/>
    <w:basedOn w:val="DefaultParagraphFont"/>
    <w:rsid w:val="00D225C4"/>
  </w:style>
  <w:style w:type="character" w:customStyle="1" w:styleId="cit-name-surname">
    <w:name w:val="cit-name-surname"/>
    <w:basedOn w:val="DefaultParagraphFont"/>
    <w:rsid w:val="00D225C4"/>
  </w:style>
  <w:style w:type="character" w:customStyle="1" w:styleId="cit-name-given-names">
    <w:name w:val="cit-name-given-names"/>
    <w:basedOn w:val="DefaultParagraphFont"/>
    <w:rsid w:val="00D225C4"/>
  </w:style>
  <w:style w:type="character" w:customStyle="1" w:styleId="cit-etal">
    <w:name w:val="cit-etal"/>
    <w:basedOn w:val="DefaultParagraphFont"/>
    <w:rsid w:val="00D225C4"/>
  </w:style>
  <w:style w:type="character" w:styleId="HTMLCite">
    <w:name w:val="HTML Cite"/>
    <w:basedOn w:val="DefaultParagraphFont"/>
    <w:uiPriority w:val="99"/>
    <w:semiHidden/>
    <w:unhideWhenUsed/>
    <w:rsid w:val="00D225C4"/>
    <w:rPr>
      <w:i/>
      <w:iCs/>
    </w:rPr>
  </w:style>
  <w:style w:type="character" w:customStyle="1" w:styleId="cit-article-title">
    <w:name w:val="cit-article-title"/>
    <w:basedOn w:val="DefaultParagraphFont"/>
    <w:rsid w:val="00D225C4"/>
  </w:style>
  <w:style w:type="character" w:customStyle="1" w:styleId="cit-pub-date">
    <w:name w:val="cit-pub-date"/>
    <w:basedOn w:val="DefaultParagraphFont"/>
    <w:rsid w:val="00D225C4"/>
  </w:style>
  <w:style w:type="character" w:customStyle="1" w:styleId="cit-vol">
    <w:name w:val="cit-vol"/>
    <w:basedOn w:val="DefaultParagraphFont"/>
    <w:rsid w:val="00D225C4"/>
  </w:style>
  <w:style w:type="character" w:customStyle="1" w:styleId="cit-fpage">
    <w:name w:val="cit-fpage"/>
    <w:basedOn w:val="DefaultParagraphFont"/>
    <w:rsid w:val="00D225C4"/>
  </w:style>
  <w:style w:type="character" w:customStyle="1" w:styleId="cit-lpage">
    <w:name w:val="cit-lpage"/>
    <w:basedOn w:val="DefaultParagraphFont"/>
    <w:rsid w:val="00D225C4"/>
  </w:style>
  <w:style w:type="table" w:customStyle="1" w:styleId="TableGrid8">
    <w:name w:val="TableGrid"/>
    <w:rsid w:val="00D225C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Normal"/>
    <w:next w:val="Normal"/>
    <w:uiPriority w:val="1"/>
    <w:qFormat/>
    <w:rsid w:val="00445584"/>
    <w:pPr>
      <w:keepNext/>
      <w:keepLines/>
      <w:pageBreakBefore/>
      <w:numPr>
        <w:numId w:val="23"/>
      </w:numPr>
      <w:tabs>
        <w:tab w:val="num" w:pos="360"/>
      </w:tabs>
      <w:spacing w:after="240" w:line="400" w:lineRule="atLeast"/>
      <w:ind w:left="0" w:firstLine="0"/>
      <w:jc w:val="left"/>
      <w:outlineLvl w:val="0"/>
    </w:pPr>
    <w:rPr>
      <w:rFonts w:ascii="Cambria Math" w:hAnsi="Cambria Math" w:cs="MS Gothic"/>
      <w:b/>
      <w:color w:val="325F91"/>
      <w:sz w:val="32"/>
      <w:szCs w:val="32"/>
      <w:lang w:val="en-US" w:eastAsia="en-US"/>
    </w:rPr>
  </w:style>
  <w:style w:type="paragraph" w:customStyle="1" w:styleId="Heading21">
    <w:name w:val="Heading 21"/>
    <w:basedOn w:val="Normal"/>
    <w:next w:val="Normal"/>
    <w:uiPriority w:val="1"/>
    <w:qFormat/>
    <w:rsid w:val="00445584"/>
    <w:pPr>
      <w:keepNext/>
      <w:keepLines/>
      <w:numPr>
        <w:ilvl w:val="1"/>
        <w:numId w:val="23"/>
      </w:numPr>
      <w:tabs>
        <w:tab w:val="num" w:pos="360"/>
      </w:tabs>
      <w:spacing w:before="240" w:after="240" w:line="320" w:lineRule="atLeast"/>
      <w:ind w:left="0" w:firstLine="0"/>
      <w:contextualSpacing/>
      <w:jc w:val="left"/>
      <w:outlineLvl w:val="1"/>
    </w:pPr>
    <w:rPr>
      <w:rFonts w:ascii="Arial" w:hAnsi="Arial" w:cs="Times New Roman"/>
      <w:b/>
      <w:color w:val="325F91"/>
      <w:szCs w:val="26"/>
      <w:lang w:val="en-US" w:eastAsia="en-US"/>
    </w:rPr>
  </w:style>
  <w:style w:type="paragraph" w:customStyle="1" w:styleId="Heading31">
    <w:name w:val="Heading 31"/>
    <w:basedOn w:val="Normal"/>
    <w:next w:val="Normal"/>
    <w:uiPriority w:val="1"/>
    <w:qFormat/>
    <w:rsid w:val="00445584"/>
    <w:pPr>
      <w:keepNext/>
      <w:keepLines/>
      <w:numPr>
        <w:ilvl w:val="2"/>
        <w:numId w:val="23"/>
      </w:numPr>
      <w:tabs>
        <w:tab w:val="num" w:pos="360"/>
      </w:tabs>
      <w:spacing w:line="240" w:lineRule="atLeast"/>
      <w:ind w:left="0" w:firstLine="0"/>
      <w:jc w:val="left"/>
      <w:outlineLvl w:val="2"/>
    </w:pPr>
    <w:rPr>
      <w:rFonts w:ascii="Arial" w:hAnsi="Arial" w:cs="Times New Roman"/>
      <w:b/>
      <w:color w:val="325F91"/>
      <w:sz w:val="20"/>
      <w:lang w:val="en-US" w:eastAsia="en-US"/>
    </w:rPr>
  </w:style>
  <w:style w:type="paragraph" w:customStyle="1" w:styleId="Heading41">
    <w:name w:val="Heading 41"/>
    <w:basedOn w:val="Normal"/>
    <w:next w:val="Normal"/>
    <w:uiPriority w:val="1"/>
    <w:qFormat/>
    <w:rsid w:val="00445584"/>
    <w:pPr>
      <w:keepNext/>
      <w:keepLines/>
      <w:numPr>
        <w:ilvl w:val="3"/>
        <w:numId w:val="23"/>
      </w:numPr>
      <w:tabs>
        <w:tab w:val="num" w:pos="360"/>
      </w:tabs>
      <w:spacing w:line="240" w:lineRule="atLeast"/>
      <w:ind w:left="0" w:firstLine="0"/>
      <w:jc w:val="left"/>
      <w:outlineLvl w:val="3"/>
    </w:pPr>
    <w:rPr>
      <w:rFonts w:ascii="Arial" w:hAnsi="Arial" w:cs="Times New Roman"/>
      <w:b/>
      <w:iCs/>
      <w:color w:val="325F91"/>
      <w:sz w:val="18"/>
      <w:szCs w:val="18"/>
      <w:lang w:val="en-US" w:eastAsia="en-US"/>
    </w:rPr>
  </w:style>
  <w:style w:type="character" w:customStyle="1" w:styleId="nlm-surname">
    <w:name w:val="nlm-surname"/>
    <w:basedOn w:val="DefaultParagraphFont"/>
    <w:rsid w:val="00D225C4"/>
  </w:style>
  <w:style w:type="table" w:customStyle="1" w:styleId="PTable">
    <w:name w:val="PTable"/>
    <w:basedOn w:val="TableNormal"/>
    <w:uiPriority w:val="99"/>
    <w:rsid w:val="00D225C4"/>
    <w:pPr>
      <w:contextualSpacing/>
    </w:pPr>
    <w:rPr>
      <w:rFonts w:asciiTheme="minorHAnsi" w:eastAsia="PMingLiU" w:hAnsiTheme="minorHAnsi" w:cstheme="minorBidi"/>
      <w:spacing w:val="-4"/>
      <w:sz w:val="14"/>
      <w:szCs w:val="18"/>
      <w:lang w:val="nl-NL" w:eastAsia="en-US"/>
    </w:rPr>
    <w:tblPr>
      <w:tblInd w:w="0" w:type="nil"/>
      <w:tblCellMar>
        <w:left w:w="0" w:type="dxa"/>
        <w:right w:w="0" w:type="dxa"/>
      </w:tblCellMar>
    </w:tblPr>
    <w:tblStylePr w:type="firstRow">
      <w:rPr>
        <w:b/>
        <w:color w:val="FFFFFF"/>
      </w:rPr>
    </w:tblStylePr>
    <w:tblStylePr w:type="lastRow">
      <w:rPr>
        <w:b w:val="0"/>
        <w:color w:val="auto"/>
      </w:rPr>
    </w:tblStylePr>
  </w:style>
  <w:style w:type="paragraph" w:customStyle="1" w:styleId="Bodycopy">
    <w:name w:val="Body copy"/>
    <w:basedOn w:val="Normal"/>
    <w:link w:val="BodycopyChar"/>
    <w:uiPriority w:val="99"/>
    <w:rsid w:val="00D225C4"/>
    <w:pPr>
      <w:jc w:val="left"/>
    </w:pPr>
    <w:rPr>
      <w:rFonts w:ascii="Arial" w:eastAsiaTheme="minorHAnsi" w:hAnsi="Arial"/>
      <w:color w:val="000000"/>
      <w:sz w:val="20"/>
      <w:szCs w:val="20"/>
      <w:lang w:eastAsia="ja-JP"/>
    </w:rPr>
  </w:style>
  <w:style w:type="character" w:customStyle="1" w:styleId="tlid-translation">
    <w:name w:val="tlid-translation"/>
    <w:basedOn w:val="DefaultParagraphFont"/>
    <w:rsid w:val="00D225C4"/>
  </w:style>
  <w:style w:type="paragraph" w:customStyle="1" w:styleId="tabfignote">
    <w:name w:val="tab/fig note"/>
    <w:link w:val="tabfignoteChar"/>
    <w:qFormat/>
    <w:rsid w:val="00D225C4"/>
    <w:pPr>
      <w:keepLines/>
      <w:spacing w:before="120" w:line="360" w:lineRule="auto"/>
    </w:pPr>
    <w:rPr>
      <w:rFonts w:ascii="Arial" w:eastAsia="SimSun" w:hAnsi="Arial"/>
      <w:sz w:val="18"/>
      <w:lang w:val="en-US" w:eastAsia="en-US"/>
    </w:rPr>
  </w:style>
  <w:style w:type="character" w:customStyle="1" w:styleId="tabfignoteChar">
    <w:name w:val="tab/fig note Char"/>
    <w:basedOn w:val="DefaultParagraphFont"/>
    <w:link w:val="tabfignote"/>
    <w:rsid w:val="00D225C4"/>
    <w:rPr>
      <w:rFonts w:ascii="Arial" w:eastAsia="SimSun" w:hAnsi="Arial"/>
      <w:sz w:val="18"/>
      <w:lang w:val="en-US" w:eastAsia="en-US"/>
    </w:rPr>
  </w:style>
  <w:style w:type="character" w:customStyle="1" w:styleId="TablenoteChar">
    <w:name w:val="Table note Char"/>
    <w:basedOn w:val="DefaultParagraphFont"/>
    <w:link w:val="Tablenote"/>
    <w:locked/>
    <w:rsid w:val="00D225C4"/>
    <w:rPr>
      <w:rFonts w:ascii="Arial" w:hAnsi="Arial" w:cs="Arial"/>
      <w:sz w:val="16"/>
      <w:szCs w:val="24"/>
    </w:rPr>
  </w:style>
  <w:style w:type="paragraph" w:customStyle="1" w:styleId="Tablenote">
    <w:name w:val="Table note"/>
    <w:basedOn w:val="Normal"/>
    <w:link w:val="TablenoteChar"/>
    <w:qFormat/>
    <w:rsid w:val="00D225C4"/>
    <w:pPr>
      <w:keepLines/>
      <w:spacing w:before="120"/>
      <w:jc w:val="left"/>
    </w:pPr>
    <w:rPr>
      <w:rFonts w:ascii="Arial" w:hAnsi="Arial"/>
      <w:sz w:val="16"/>
    </w:rPr>
  </w:style>
  <w:style w:type="character" w:customStyle="1" w:styleId="TableTitleChar">
    <w:name w:val="Table Title Char"/>
    <w:basedOn w:val="DefaultParagraphFont"/>
    <w:uiPriority w:val="99"/>
    <w:locked/>
    <w:rsid w:val="00D225C4"/>
    <w:rPr>
      <w:rFonts w:ascii="Cambria Math" w:eastAsia="TeXGyrePagella-Regular" w:hAnsi="Cambria Math" w:cs="Arial"/>
      <w:b/>
      <w:sz w:val="20"/>
      <w:szCs w:val="24"/>
    </w:rPr>
  </w:style>
  <w:style w:type="paragraph" w:customStyle="1" w:styleId="SmTableheadings">
    <w:name w:val="Sm Table headings"/>
    <w:basedOn w:val="Normal"/>
    <w:uiPriority w:val="99"/>
    <w:rsid w:val="00D225C4"/>
    <w:pPr>
      <w:keepNext/>
      <w:spacing w:before="80" w:line="240" w:lineRule="exact"/>
      <w:jc w:val="left"/>
    </w:pPr>
    <w:rPr>
      <w:rFonts w:ascii="Arial" w:hAnsi="Arial" w:cs="Times New Roman"/>
      <w:b/>
      <w:sz w:val="17"/>
      <w:lang w:val="en-US" w:eastAsia="en-US"/>
    </w:rPr>
  </w:style>
  <w:style w:type="paragraph" w:customStyle="1" w:styleId="SmTabletext">
    <w:name w:val="Sm Table text"/>
    <w:basedOn w:val="Normal"/>
    <w:uiPriority w:val="99"/>
    <w:rsid w:val="00D225C4"/>
    <w:pPr>
      <w:spacing w:before="40" w:after="40" w:line="210" w:lineRule="atLeast"/>
      <w:jc w:val="left"/>
    </w:pPr>
    <w:rPr>
      <w:rFonts w:ascii="Arial" w:hAnsi="Arial" w:cs="Times New Roman"/>
      <w:spacing w:val="-4"/>
      <w:sz w:val="17"/>
      <w:lang w:val="en-US" w:eastAsia="en-US"/>
    </w:rPr>
  </w:style>
  <w:style w:type="character" w:customStyle="1" w:styleId="BodycopyChar">
    <w:name w:val="Body copy Char"/>
    <w:basedOn w:val="DefaultParagraphFont"/>
    <w:link w:val="Bodycopy"/>
    <w:uiPriority w:val="99"/>
    <w:locked/>
    <w:rsid w:val="00D225C4"/>
    <w:rPr>
      <w:rFonts w:ascii="Arial" w:eastAsiaTheme="minorHAnsi" w:hAnsi="Arial" w:cs="Arial"/>
      <w:color w:val="000000"/>
      <w:lang w:eastAsia="ja-JP"/>
    </w:rPr>
  </w:style>
  <w:style w:type="character" w:customStyle="1" w:styleId="Heading1Char1">
    <w:name w:val="Heading 1 Char1"/>
    <w:aliases w:val="Appendix Heading 1 Char1"/>
    <w:basedOn w:val="DefaultParagraphFont"/>
    <w:uiPriority w:val="9"/>
    <w:rsid w:val="00D225C4"/>
    <w:rPr>
      <w:rFonts w:asciiTheme="majorHAnsi" w:eastAsiaTheme="majorEastAsia" w:hAnsiTheme="majorHAnsi" w:cstheme="majorBidi"/>
      <w:color w:val="365F91" w:themeColor="accent1" w:themeShade="BF"/>
      <w:sz w:val="32"/>
      <w:szCs w:val="32"/>
      <w:lang w:eastAsia="en-GB"/>
    </w:rPr>
  </w:style>
  <w:style w:type="paragraph" w:customStyle="1" w:styleId="msonormal0">
    <w:name w:val="msonormal"/>
    <w:basedOn w:val="Normal"/>
    <w:uiPriority w:val="99"/>
    <w:rsid w:val="00D225C4"/>
    <w:pPr>
      <w:spacing w:before="100" w:beforeAutospacing="1" w:after="100" w:afterAutospacing="1"/>
      <w:jc w:val="left"/>
    </w:pPr>
    <w:rPr>
      <w:rFonts w:ascii="Times New Roman" w:hAnsi="Times New Roman" w:cs="Times New Roman"/>
    </w:rPr>
  </w:style>
  <w:style w:type="character" w:customStyle="1" w:styleId="CommentTextChar1">
    <w:name w:val="Comment Text Char1"/>
    <w:aliases w:val="Comment Text Char Char Char Char1,Comment Text Char Char Char2"/>
    <w:basedOn w:val="DefaultParagraphFont"/>
    <w:uiPriority w:val="99"/>
    <w:semiHidden/>
    <w:rsid w:val="00D225C4"/>
    <w:rPr>
      <w:rFonts w:ascii="Calibri" w:eastAsia="Times New Roman" w:hAnsi="Calibri" w:cs="Arial"/>
      <w:sz w:val="20"/>
      <w:szCs w:val="20"/>
      <w:lang w:eastAsia="en-GB"/>
    </w:rPr>
  </w:style>
  <w:style w:type="paragraph" w:customStyle="1" w:styleId="TableFootnotes">
    <w:name w:val="TableFootnotes"/>
    <w:basedOn w:val="Normal"/>
    <w:qFormat/>
    <w:rsid w:val="00D225C4"/>
    <w:pPr>
      <w:spacing w:after="240"/>
      <w:contextualSpacing/>
    </w:pPr>
    <w:rPr>
      <w:rFonts w:ascii="Arial Narrow" w:eastAsiaTheme="majorEastAsia" w:hAnsi="Arial Narrow" w:cstheme="majorBidi"/>
      <w:bCs/>
      <w:sz w:val="18"/>
      <w:szCs w:val="18"/>
      <w:lang w:eastAsia="en-US"/>
    </w:rPr>
  </w:style>
  <w:style w:type="table" w:customStyle="1" w:styleId="TableGrid80">
    <w:name w:val="Table Grid8"/>
    <w:basedOn w:val="TableNormal"/>
    <w:next w:val="TableGrid"/>
    <w:uiPriority w:val="39"/>
    <w:rsid w:val="00D225C4"/>
    <w:rPr>
      <w:rFonts w:ascii="Calibri" w:eastAsia="Calibri" w:hAnsi="Calibri"/>
      <w:kern w:val="2"/>
      <w:sz w:val="22"/>
      <w:szCs w:val="22"/>
      <w:lang w:eastAsia="en-US"/>
      <w14:ligatures w14:val="standardContextual"/>
    </w:rPr>
    <w:tblPr>
      <w:tblInd w:w="0" w:type="nil"/>
      <w:tblCellMar>
        <w:left w:w="0" w:type="dxa"/>
        <w:right w:w="0" w:type="dxa"/>
      </w:tblCellMar>
    </w:tblPr>
  </w:style>
  <w:style w:type="paragraph" w:customStyle="1" w:styleId="pf1">
    <w:name w:val="pf1"/>
    <w:basedOn w:val="Normal"/>
    <w:rsid w:val="00D225C4"/>
    <w:pPr>
      <w:spacing w:before="100" w:beforeAutospacing="1" w:after="100" w:afterAutospacing="1"/>
      <w:jc w:val="left"/>
    </w:pPr>
    <w:rPr>
      <w:rFonts w:ascii="Times New Roman" w:hAnsi="Times New Roman" w:cs="Times New Roman"/>
    </w:rPr>
  </w:style>
  <w:style w:type="character" w:customStyle="1" w:styleId="scxp23760159">
    <w:name w:val="scxp23760159"/>
    <w:basedOn w:val="DefaultParagraphFont"/>
    <w:rsid w:val="00D225C4"/>
  </w:style>
  <w:style w:type="character" w:customStyle="1" w:styleId="scxw162802910">
    <w:name w:val="scxw162802910"/>
    <w:basedOn w:val="DefaultParagraphFont"/>
    <w:rsid w:val="00D225C4"/>
  </w:style>
  <w:style w:type="character" w:customStyle="1" w:styleId="mi">
    <w:name w:val="mi"/>
    <w:basedOn w:val="DefaultParagraphFont"/>
    <w:rsid w:val="00D225C4"/>
  </w:style>
  <w:style w:type="character" w:customStyle="1" w:styleId="mo">
    <w:name w:val="mo"/>
    <w:basedOn w:val="DefaultParagraphFont"/>
    <w:rsid w:val="00D225C4"/>
  </w:style>
  <w:style w:type="character" w:customStyle="1" w:styleId="mn">
    <w:name w:val="mn"/>
    <w:basedOn w:val="DefaultParagraphFont"/>
    <w:rsid w:val="00D225C4"/>
  </w:style>
  <w:style w:type="character" w:customStyle="1" w:styleId="mjxassistivemathml">
    <w:name w:val="mjx_assistive_mathml"/>
    <w:basedOn w:val="DefaultParagraphFont"/>
    <w:rsid w:val="00D225C4"/>
  </w:style>
  <w:style w:type="paragraph" w:customStyle="1" w:styleId="Body">
    <w:name w:val="Body"/>
    <w:basedOn w:val="Normal"/>
    <w:link w:val="BodyChar"/>
    <w:qFormat/>
    <w:rsid w:val="00D225C4"/>
    <w:pPr>
      <w:spacing w:after="120" w:line="259" w:lineRule="auto"/>
      <w:jc w:val="left"/>
    </w:pPr>
    <w:rPr>
      <w:rFonts w:ascii="Arial" w:eastAsia="Calibri" w:hAnsi="Arial"/>
      <w:kern w:val="2"/>
      <w:sz w:val="22"/>
      <w:szCs w:val="22"/>
      <w:lang w:eastAsia="en-US"/>
      <w14:ligatures w14:val="standardContextual"/>
    </w:rPr>
  </w:style>
  <w:style w:type="character" w:customStyle="1" w:styleId="BodyChar">
    <w:name w:val="Body Char"/>
    <w:basedOn w:val="DefaultParagraphFont"/>
    <w:link w:val="Body"/>
    <w:locked/>
    <w:rsid w:val="00D225C4"/>
    <w:rPr>
      <w:rFonts w:ascii="Arial" w:eastAsia="Calibri" w:hAnsi="Arial" w:cs="Arial"/>
      <w:kern w:val="2"/>
      <w:sz w:val="22"/>
      <w:szCs w:val="22"/>
      <w:lang w:eastAsia="en-US"/>
      <w14:ligatures w14:val="standardContextual"/>
    </w:rPr>
  </w:style>
  <w:style w:type="paragraph" w:customStyle="1" w:styleId="TableTitleTemplate">
    <w:name w:val="Table Title_Template"/>
    <w:basedOn w:val="Caption"/>
    <w:link w:val="TableTitleTemplateChar"/>
    <w:autoRedefine/>
    <w:qFormat/>
    <w:rsid w:val="00D225C4"/>
    <w:pPr>
      <w:keepLines w:val="0"/>
      <w:tabs>
        <w:tab w:val="left" w:pos="900"/>
        <w:tab w:val="right" w:leader="dot" w:pos="9000"/>
      </w:tabs>
      <w:spacing w:before="120" w:after="80" w:line="259" w:lineRule="auto"/>
      <w:jc w:val="left"/>
    </w:pPr>
    <w:rPr>
      <w:rFonts w:ascii="Times New Roman" w:eastAsia="Calibri" w:hAnsi="Times New Roman" w:cstheme="minorBidi"/>
      <w:b w:val="0"/>
      <w:color w:val="63666A"/>
      <w:kern w:val="2"/>
      <w:sz w:val="24"/>
      <w:szCs w:val="24"/>
      <w:lang w:eastAsia="en-US"/>
      <w14:ligatures w14:val="standardContextual"/>
    </w:rPr>
  </w:style>
  <w:style w:type="character" w:customStyle="1" w:styleId="TableTitleTemplateChar">
    <w:name w:val="Table Title_Template Char"/>
    <w:link w:val="TableTitleTemplate"/>
    <w:rsid w:val="00D225C4"/>
    <w:rPr>
      <w:rFonts w:eastAsia="Calibri" w:cstheme="minorBidi"/>
      <w:bCs/>
      <w:color w:val="63666A"/>
      <w:kern w:val="2"/>
      <w:sz w:val="24"/>
      <w:szCs w:val="24"/>
      <w:lang w:eastAsia="en-US"/>
      <w14:ligatures w14:val="standardContextual"/>
    </w:rPr>
  </w:style>
  <w:style w:type="paragraph" w:customStyle="1" w:styleId="Resubmissiontext">
    <w:name w:val="Resubmission text"/>
    <w:basedOn w:val="Normal"/>
    <w:qFormat/>
    <w:rsid w:val="00D225C4"/>
    <w:pPr>
      <w:spacing w:after="240" w:line="276" w:lineRule="auto"/>
    </w:pPr>
    <w:rPr>
      <w:rFonts w:asciiTheme="minorHAnsi" w:hAnsiTheme="minorHAnsi"/>
      <w:iCs/>
      <w:color w:val="4F81BD" w:themeColor="accent1"/>
      <w:sz w:val="22"/>
      <w:lang w:eastAsia="en-GB"/>
    </w:rPr>
  </w:style>
  <w:style w:type="paragraph" w:customStyle="1" w:styleId="tableref">
    <w:name w:val="table:ref"/>
    <w:basedOn w:val="Normal"/>
    <w:link w:val="tablerefChar"/>
    <w:rsid w:val="00D225C4"/>
    <w:pPr>
      <w:tabs>
        <w:tab w:val="left" w:pos="360"/>
      </w:tabs>
      <w:ind w:left="360" w:hanging="360"/>
      <w:jc w:val="left"/>
    </w:pPr>
    <w:rPr>
      <w:rFonts w:ascii="Arial Narrow" w:eastAsia="MS Mincho" w:hAnsi="Arial Narrow" w:cs="Arial Narrow"/>
      <w:sz w:val="20"/>
      <w:szCs w:val="20"/>
      <w:lang w:val="en-US" w:eastAsia="ja-JP"/>
    </w:rPr>
  </w:style>
  <w:style w:type="character" w:customStyle="1" w:styleId="tablerefChar">
    <w:name w:val="table:ref Char"/>
    <w:basedOn w:val="DefaultParagraphFont"/>
    <w:link w:val="tableref"/>
    <w:rsid w:val="00D225C4"/>
    <w:rPr>
      <w:rFonts w:ascii="Arial Narrow" w:eastAsia="MS Mincho" w:hAnsi="Arial Narrow" w:cs="Arial Narrow"/>
      <w:lang w:val="en-US" w:eastAsia="ja-JP"/>
    </w:rPr>
  </w:style>
  <w:style w:type="paragraph" w:customStyle="1" w:styleId="listbull">
    <w:name w:val="list:bull"/>
    <w:basedOn w:val="Normal"/>
    <w:link w:val="listbullChar"/>
    <w:rsid w:val="00445584"/>
    <w:pPr>
      <w:numPr>
        <w:numId w:val="26"/>
      </w:numPr>
      <w:tabs>
        <w:tab w:val="num" w:pos="360"/>
      </w:tabs>
      <w:spacing w:after="120"/>
      <w:ind w:left="0" w:firstLine="0"/>
      <w:jc w:val="left"/>
    </w:pPr>
    <w:rPr>
      <w:rFonts w:ascii="Times New Roman" w:eastAsia="MS Mincho" w:hAnsi="Times New Roman" w:cs="Times New Roman"/>
      <w:lang w:val="en-US" w:eastAsia="ja-JP"/>
    </w:rPr>
  </w:style>
  <w:style w:type="character" w:customStyle="1" w:styleId="listbullChar">
    <w:name w:val="list:bull Char"/>
    <w:basedOn w:val="DefaultParagraphFont"/>
    <w:link w:val="listbull"/>
    <w:rsid w:val="00D225C4"/>
    <w:rPr>
      <w:rFonts w:eastAsia="MS Mincho"/>
      <w:sz w:val="24"/>
      <w:szCs w:val="24"/>
      <w:lang w:val="en-US" w:eastAsia="ja-JP"/>
    </w:rPr>
  </w:style>
  <w:style w:type="table" w:customStyle="1" w:styleId="TableGridnm1">
    <w:name w:val="Table Grid nm1"/>
    <w:basedOn w:val="TableNormal"/>
    <w:next w:val="TableGrid"/>
    <w:uiPriority w:val="39"/>
    <w:rsid w:val="00D225C4"/>
    <w:rPr>
      <w:rFonts w:ascii="Arial Narrow" w:eastAsia="MS Gothic" w:hAnsi="Arial Narrow"/>
      <w:szCs w:val="22"/>
      <w:lang w:val="en-US" w:eastAsia="en-US"/>
    </w:rPr>
    <w:tblPr>
      <w:tblInd w:w="0" w:type="nil"/>
      <w:tblCellMar>
        <w:left w:w="0" w:type="dxa"/>
        <w:right w:w="0" w:type="dxa"/>
      </w:tblCellMar>
    </w:tblPr>
  </w:style>
  <w:style w:type="table" w:customStyle="1" w:styleId="TableGridnm2">
    <w:name w:val="Table Grid nm2"/>
    <w:basedOn w:val="TableNormal"/>
    <w:next w:val="TableGrid"/>
    <w:uiPriority w:val="39"/>
    <w:rsid w:val="00D225C4"/>
    <w:rPr>
      <w:rFonts w:ascii="Arial Narrow" w:eastAsia="MS Gothic" w:hAnsi="Arial Narrow"/>
      <w:szCs w:val="22"/>
      <w:lang w:val="en-US" w:eastAsia="en-US"/>
    </w:rPr>
    <w:tblPr>
      <w:tblInd w:w="0" w:type="nil"/>
      <w:tblCellMar>
        <w:left w:w="0" w:type="dxa"/>
        <w:right w:w="0" w:type="dxa"/>
      </w:tblCellMar>
    </w:tblPr>
  </w:style>
  <w:style w:type="table" w:customStyle="1" w:styleId="LashStyleTable1">
    <w:name w:val="Lash Style Table1"/>
    <w:basedOn w:val="TableNormal"/>
    <w:next w:val="TableGrid"/>
    <w:uiPriority w:val="39"/>
    <w:rsid w:val="00D225C4"/>
    <w:rPr>
      <w:rFonts w:ascii="Aptos" w:eastAsia="MS Mincho" w:hAnsi="Aptos" w:cs="Arial"/>
      <w:sz w:val="24"/>
      <w:szCs w:val="24"/>
      <w:lang w:val="en-US" w:eastAsia="ja-JP"/>
    </w:rPr>
    <w:tblPr>
      <w:tblInd w:w="0" w:type="nil"/>
      <w:tblCellMar>
        <w:left w:w="0" w:type="dxa"/>
        <w:right w:w="0" w:type="dxa"/>
      </w:tblCellMar>
    </w:tblPr>
  </w:style>
  <w:style w:type="table" w:customStyle="1" w:styleId="LashStyleTable2">
    <w:name w:val="Lash Style Table2"/>
    <w:basedOn w:val="TableNormal"/>
    <w:next w:val="TableGrid"/>
    <w:uiPriority w:val="39"/>
    <w:rsid w:val="00D225C4"/>
    <w:rPr>
      <w:rFonts w:ascii="Aptos" w:eastAsia="MS Mincho" w:hAnsi="Aptos" w:cs="Arial"/>
      <w:sz w:val="24"/>
      <w:szCs w:val="24"/>
      <w:lang w:val="en-US" w:eastAsia="ja-JP"/>
    </w:rPr>
    <w:tblPr>
      <w:tblInd w:w="0" w:type="nil"/>
      <w:tblCellMar>
        <w:left w:w="0" w:type="dxa"/>
        <w:right w:w="0" w:type="dxa"/>
      </w:tblCellMar>
    </w:tblPr>
  </w:style>
  <w:style w:type="table" w:customStyle="1" w:styleId="Submissionstandard2">
    <w:name w:val="Submission standard2"/>
    <w:basedOn w:val="TableNormal"/>
    <w:uiPriority w:val="99"/>
    <w:qFormat/>
    <w:rsid w:val="00445584"/>
    <w:rPr>
      <w:rFonts w:ascii="Arial Narrow" w:eastAsiaTheme="majorEastAsia" w:hAnsi="Arial Narrow" w:cstheme="majorBidi"/>
      <w:szCs w:val="22"/>
      <w:lang w:val="en-US" w:eastAsia="en-US"/>
    </w:rPr>
    <w:tblPr>
      <w:tblInd w:w="0" w:type="nil"/>
      <w:tblCellMar>
        <w:left w:w="0" w:type="dxa"/>
        <w:right w:w="0" w:type="dxa"/>
      </w:tblCellMar>
    </w:tblPr>
    <w:tblStylePr w:type="firstRow">
      <w:rPr>
        <w:rFonts w:ascii="Arial,Sans-Serif" w:hAnsi="Arial,Sans-Serif" w:cstheme="majorBidi"/>
        <w:b/>
        <w:sz w:val="20"/>
      </w:rPr>
    </w:tblStylePr>
  </w:style>
  <w:style w:type="table" w:customStyle="1" w:styleId="ASDTable21">
    <w:name w:val="ASD Table21"/>
    <w:basedOn w:val="TableNormal"/>
    <w:next w:val="TableGrid"/>
    <w:uiPriority w:val="39"/>
    <w:rsid w:val="00A02DBC"/>
    <w:rPr>
      <w:rFonts w:ascii="Calibri" w:eastAsia="PMingLiU" w:hAnsi="Calibri" w:cs="Arial"/>
      <w:sz w:val="22"/>
      <w:szCs w:val="22"/>
      <w:lang w:eastAsia="en-US"/>
    </w:rPr>
    <w:tblPr>
      <w:tblInd w:w="0" w:type="nil"/>
      <w:tblCellMar>
        <w:left w:w="0" w:type="dxa"/>
        <w:right w:w="0" w:type="dxa"/>
      </w:tblCellMar>
    </w:tblPr>
  </w:style>
  <w:style w:type="paragraph" w:customStyle="1" w:styleId="COMtablefigcaption">
    <w:name w:val="COM table/fig caption"/>
    <w:next w:val="Normal"/>
    <w:link w:val="COMtablefigcaptionChar"/>
    <w:rsid w:val="000A61D0"/>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0A61D0"/>
    <w:rPr>
      <w:rFonts w:ascii="Arial Narrow" w:eastAsiaTheme="majorEastAsia" w:hAnsi="Arial Narrow"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035921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17825815">
      <w:bodyDiv w:val="1"/>
      <w:marLeft w:val="0"/>
      <w:marRight w:val="0"/>
      <w:marTop w:val="0"/>
      <w:marBottom w:val="0"/>
      <w:divBdr>
        <w:top w:val="none" w:sz="0" w:space="0" w:color="auto"/>
        <w:left w:val="none" w:sz="0" w:space="0" w:color="auto"/>
        <w:bottom w:val="none" w:sz="0" w:space="0" w:color="auto"/>
        <w:right w:val="none" w:sz="0" w:space="0" w:color="auto"/>
      </w:divBdr>
      <w:divsChild>
        <w:div w:id="1838377392">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health/health-conditions-and-risks/national-health-survey/2022" TargetMode="External"/><Relationship Id="rId3" Type="http://schemas.openxmlformats.org/officeDocument/2006/relationships/hyperlink" Target="https://immunisationhandbook.health.gov.au/resources/tables/table-conditions-associated-with-increased-risk-of-severe-rsv-disease-in-adults" TargetMode="External"/><Relationship Id="rId7" Type="http://schemas.openxmlformats.org/officeDocument/2006/relationships/hyperlink" Target="https://www.aihw.gov.au/reports/immunisation/vaccine-preventable-diseases/contents/summary" TargetMode="External"/><Relationship Id="rId2" Type="http://schemas.openxmlformats.org/officeDocument/2006/relationships/hyperlink" Target="https://immunisationhandbook.health.gov.au/resources/tables/table-specified-medical-conditions-associated-with-increased-risk-of-influenza-disease-and-severe-outcomes" TargetMode="External"/><Relationship Id="rId1" Type="http://schemas.openxmlformats.org/officeDocument/2006/relationships/hyperlink" Target="https://immunisationhandbook.health.gov.au/contents/vaccine-preventable-diseases/respiratory-syncytial-virus-rsv" TargetMode="External"/><Relationship Id="rId6" Type="http://schemas.openxmlformats.org/officeDocument/2006/relationships/hyperlink" Target="https://www.aihw.gov.au/reports/immunisation/vaccine-preventable-diseases/contents/summary" TargetMode="External"/><Relationship Id="rId5" Type="http://schemas.openxmlformats.org/officeDocument/2006/relationships/hyperlink" Target="https://www.tga.gov.au/news/safety-updates/updated-warnings-respiratory-syncytial-virus-vaccines-arexvy-and-abrysvo" TargetMode="External"/><Relationship Id="rId4" Type="http://schemas.openxmlformats.org/officeDocument/2006/relationships/hyperlink" Target="https://www.fda.gov/vaccines-blood-biologics/safety-availability-biologics/fda-requires-guillain-barre-syndrome-gbs-warning-prescribing-information-rsv-vaccines-abrysvo-a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EC6B1C1D3499187C73A7B1B4037E2"/>
        <w:category>
          <w:name w:val="General"/>
          <w:gallery w:val="placeholder"/>
        </w:category>
        <w:types>
          <w:type w:val="bbPlcHdr"/>
        </w:types>
        <w:behaviors>
          <w:behavior w:val="content"/>
        </w:behaviors>
        <w:guid w:val="{A6F241EE-3498-4B61-89BB-4B6598CDCB32}"/>
      </w:docPartPr>
      <w:docPartBody>
        <w:p w:rsidR="00884187" w:rsidRDefault="0011326A">
          <w:pPr>
            <w:pStyle w:val="2FCEC6B1C1D3499187C73A7B1B4037E2"/>
          </w:pPr>
          <w:r w:rsidRPr="009A0053">
            <w:rPr>
              <w:rStyle w:val="PlaceholderText"/>
            </w:rPr>
            <w:t>Click or tap here to enter text.</w:t>
          </w:r>
        </w:p>
      </w:docPartBody>
    </w:docPart>
    <w:docPart>
      <w:docPartPr>
        <w:name w:val="A44809F1BAB34BECA72F7602E4C5B71E"/>
        <w:category>
          <w:name w:val="General"/>
          <w:gallery w:val="placeholder"/>
        </w:category>
        <w:types>
          <w:type w:val="bbPlcHdr"/>
        </w:types>
        <w:behaviors>
          <w:behavior w:val="content"/>
        </w:behaviors>
        <w:guid w:val="{9EC3C865-99B8-4EAB-BF8F-6FB0BCE07060}"/>
      </w:docPartPr>
      <w:docPartBody>
        <w:p w:rsidR="00884187" w:rsidRDefault="0011326A">
          <w:pPr>
            <w:pStyle w:val="A44809F1BAB34BECA72F7602E4C5B71E"/>
          </w:pPr>
          <w:r w:rsidRPr="009A0053">
            <w:rPr>
              <w:rStyle w:val="PlaceholderText"/>
            </w:rPr>
            <w:t>Click or tap here to enter text.</w:t>
          </w:r>
        </w:p>
      </w:docPartBody>
    </w:docPart>
    <w:docPart>
      <w:docPartPr>
        <w:name w:val="22CE5FF5D48D483E8C02B829C4036392"/>
        <w:category>
          <w:name w:val="General"/>
          <w:gallery w:val="placeholder"/>
        </w:category>
        <w:types>
          <w:type w:val="bbPlcHdr"/>
        </w:types>
        <w:behaviors>
          <w:behavior w:val="content"/>
        </w:behaviors>
        <w:guid w:val="{CE098945-9CD0-462A-B364-2DB5F53171A6}"/>
      </w:docPartPr>
      <w:docPartBody>
        <w:p w:rsidR="00884187" w:rsidRDefault="0011326A">
          <w:pPr>
            <w:pStyle w:val="22CE5FF5D48D483E8C02B829C4036392"/>
          </w:pPr>
          <w:r w:rsidRPr="009A0053">
            <w:rPr>
              <w:rStyle w:val="PlaceholderText"/>
            </w:rPr>
            <w:t>Click or tap here to enter text.</w:t>
          </w:r>
        </w:p>
      </w:docPartBody>
    </w:docPart>
    <w:docPart>
      <w:docPartPr>
        <w:name w:val="2799220CCE0A4F99AA80A0484E0680BF"/>
        <w:category>
          <w:name w:val="General"/>
          <w:gallery w:val="placeholder"/>
        </w:category>
        <w:types>
          <w:type w:val="bbPlcHdr"/>
        </w:types>
        <w:behaviors>
          <w:behavior w:val="content"/>
        </w:behaviors>
        <w:guid w:val="{27E18D9B-6000-4627-9449-AD81A55EE490}"/>
      </w:docPartPr>
      <w:docPartBody>
        <w:p w:rsidR="00884187" w:rsidRDefault="0011326A">
          <w:pPr>
            <w:pStyle w:val="2799220CCE0A4F99AA80A0484E0680BF"/>
          </w:pPr>
          <w:r w:rsidRPr="009A00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eXGyrePagella-Regular">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B4"/>
    <w:rsid w:val="000069A2"/>
    <w:rsid w:val="0000706C"/>
    <w:rsid w:val="000115DE"/>
    <w:rsid w:val="0002224C"/>
    <w:rsid w:val="00024A5D"/>
    <w:rsid w:val="00044A13"/>
    <w:rsid w:val="00057E7D"/>
    <w:rsid w:val="0006043E"/>
    <w:rsid w:val="00062222"/>
    <w:rsid w:val="00076CDB"/>
    <w:rsid w:val="00092A00"/>
    <w:rsid w:val="00094A5F"/>
    <w:rsid w:val="000D429C"/>
    <w:rsid w:val="000D4415"/>
    <w:rsid w:val="000E2D48"/>
    <w:rsid w:val="000F2A39"/>
    <w:rsid w:val="0011326A"/>
    <w:rsid w:val="001348C9"/>
    <w:rsid w:val="001537BD"/>
    <w:rsid w:val="001609FD"/>
    <w:rsid w:val="00173EE2"/>
    <w:rsid w:val="00177643"/>
    <w:rsid w:val="00177933"/>
    <w:rsid w:val="00177DB6"/>
    <w:rsid w:val="001A01BE"/>
    <w:rsid w:val="001B075D"/>
    <w:rsid w:val="001B0969"/>
    <w:rsid w:val="001C2FFF"/>
    <w:rsid w:val="001C7E8F"/>
    <w:rsid w:val="001D69DE"/>
    <w:rsid w:val="001D75C8"/>
    <w:rsid w:val="001E2327"/>
    <w:rsid w:val="001E6B85"/>
    <w:rsid w:val="001E72A6"/>
    <w:rsid w:val="001F078E"/>
    <w:rsid w:val="00214124"/>
    <w:rsid w:val="00217852"/>
    <w:rsid w:val="002241FA"/>
    <w:rsid w:val="00232FD7"/>
    <w:rsid w:val="00236B11"/>
    <w:rsid w:val="00242B87"/>
    <w:rsid w:val="00245A43"/>
    <w:rsid w:val="00265E69"/>
    <w:rsid w:val="00265F8A"/>
    <w:rsid w:val="002853BD"/>
    <w:rsid w:val="00286960"/>
    <w:rsid w:val="00287C6A"/>
    <w:rsid w:val="0029174E"/>
    <w:rsid w:val="00291B18"/>
    <w:rsid w:val="00297C12"/>
    <w:rsid w:val="002B5EB0"/>
    <w:rsid w:val="002C41EF"/>
    <w:rsid w:val="002C5573"/>
    <w:rsid w:val="002D2B47"/>
    <w:rsid w:val="002E0048"/>
    <w:rsid w:val="002F072C"/>
    <w:rsid w:val="0031120D"/>
    <w:rsid w:val="00324FF2"/>
    <w:rsid w:val="00325273"/>
    <w:rsid w:val="003262A3"/>
    <w:rsid w:val="003361F2"/>
    <w:rsid w:val="003534F7"/>
    <w:rsid w:val="003659BD"/>
    <w:rsid w:val="00371062"/>
    <w:rsid w:val="00384C46"/>
    <w:rsid w:val="003A18FF"/>
    <w:rsid w:val="003B3C5A"/>
    <w:rsid w:val="003C6977"/>
    <w:rsid w:val="003D179C"/>
    <w:rsid w:val="003D2D2B"/>
    <w:rsid w:val="003E4374"/>
    <w:rsid w:val="004064DA"/>
    <w:rsid w:val="00406B90"/>
    <w:rsid w:val="004125F0"/>
    <w:rsid w:val="00413FDA"/>
    <w:rsid w:val="00415F6C"/>
    <w:rsid w:val="00416135"/>
    <w:rsid w:val="00421E13"/>
    <w:rsid w:val="00431D6E"/>
    <w:rsid w:val="00437C9C"/>
    <w:rsid w:val="00460D40"/>
    <w:rsid w:val="004664BE"/>
    <w:rsid w:val="00496C59"/>
    <w:rsid w:val="004A0091"/>
    <w:rsid w:val="004A23E0"/>
    <w:rsid w:val="004A4648"/>
    <w:rsid w:val="004E40BC"/>
    <w:rsid w:val="004E5EFE"/>
    <w:rsid w:val="004F2DC2"/>
    <w:rsid w:val="004F3D12"/>
    <w:rsid w:val="004F6971"/>
    <w:rsid w:val="00506FAA"/>
    <w:rsid w:val="005105B5"/>
    <w:rsid w:val="0052715D"/>
    <w:rsid w:val="0053391D"/>
    <w:rsid w:val="0053434D"/>
    <w:rsid w:val="005361D5"/>
    <w:rsid w:val="00553165"/>
    <w:rsid w:val="00584301"/>
    <w:rsid w:val="0058757E"/>
    <w:rsid w:val="0059486F"/>
    <w:rsid w:val="005B00D4"/>
    <w:rsid w:val="005B3073"/>
    <w:rsid w:val="005C23A6"/>
    <w:rsid w:val="005C328A"/>
    <w:rsid w:val="005E13C5"/>
    <w:rsid w:val="005E7669"/>
    <w:rsid w:val="006022BC"/>
    <w:rsid w:val="00612E06"/>
    <w:rsid w:val="006208B5"/>
    <w:rsid w:val="006315A8"/>
    <w:rsid w:val="0063647D"/>
    <w:rsid w:val="00636B2F"/>
    <w:rsid w:val="00636F94"/>
    <w:rsid w:val="006645D1"/>
    <w:rsid w:val="006662F7"/>
    <w:rsid w:val="00673E83"/>
    <w:rsid w:val="00693069"/>
    <w:rsid w:val="006A7ADD"/>
    <w:rsid w:val="006B308B"/>
    <w:rsid w:val="006D43C7"/>
    <w:rsid w:val="006F3BF5"/>
    <w:rsid w:val="00711ADC"/>
    <w:rsid w:val="00713D32"/>
    <w:rsid w:val="00722205"/>
    <w:rsid w:val="0072589D"/>
    <w:rsid w:val="00734CCA"/>
    <w:rsid w:val="007352CD"/>
    <w:rsid w:val="00735303"/>
    <w:rsid w:val="00735CF1"/>
    <w:rsid w:val="00741086"/>
    <w:rsid w:val="007468D0"/>
    <w:rsid w:val="0075082B"/>
    <w:rsid w:val="007529AA"/>
    <w:rsid w:val="0076206A"/>
    <w:rsid w:val="00785A50"/>
    <w:rsid w:val="00795237"/>
    <w:rsid w:val="007B2F52"/>
    <w:rsid w:val="007C257A"/>
    <w:rsid w:val="007D0D72"/>
    <w:rsid w:val="007E6EB0"/>
    <w:rsid w:val="007E7BA9"/>
    <w:rsid w:val="007F2477"/>
    <w:rsid w:val="007F2FE8"/>
    <w:rsid w:val="00814C09"/>
    <w:rsid w:val="0082240C"/>
    <w:rsid w:val="008268BA"/>
    <w:rsid w:val="00856FCD"/>
    <w:rsid w:val="0087205B"/>
    <w:rsid w:val="00876506"/>
    <w:rsid w:val="00882413"/>
    <w:rsid w:val="008825F5"/>
    <w:rsid w:val="00884187"/>
    <w:rsid w:val="0089267C"/>
    <w:rsid w:val="00892E44"/>
    <w:rsid w:val="00893616"/>
    <w:rsid w:val="008A19E8"/>
    <w:rsid w:val="008A3957"/>
    <w:rsid w:val="008A3BEA"/>
    <w:rsid w:val="008D1E3F"/>
    <w:rsid w:val="008E3D2D"/>
    <w:rsid w:val="008E589B"/>
    <w:rsid w:val="0090576F"/>
    <w:rsid w:val="00910EB4"/>
    <w:rsid w:val="00915CB3"/>
    <w:rsid w:val="00960937"/>
    <w:rsid w:val="00961724"/>
    <w:rsid w:val="009A062D"/>
    <w:rsid w:val="009B2D32"/>
    <w:rsid w:val="009E21F8"/>
    <w:rsid w:val="009F4A03"/>
    <w:rsid w:val="00A11F8D"/>
    <w:rsid w:val="00A16CB1"/>
    <w:rsid w:val="00A45673"/>
    <w:rsid w:val="00A46788"/>
    <w:rsid w:val="00A77E9D"/>
    <w:rsid w:val="00A82DE4"/>
    <w:rsid w:val="00A832FE"/>
    <w:rsid w:val="00A94B76"/>
    <w:rsid w:val="00A94D13"/>
    <w:rsid w:val="00AA4CFC"/>
    <w:rsid w:val="00AA4E30"/>
    <w:rsid w:val="00AA7FFB"/>
    <w:rsid w:val="00AB615F"/>
    <w:rsid w:val="00AC08B5"/>
    <w:rsid w:val="00AC65BC"/>
    <w:rsid w:val="00AE56EC"/>
    <w:rsid w:val="00B01EC0"/>
    <w:rsid w:val="00B04313"/>
    <w:rsid w:val="00B06895"/>
    <w:rsid w:val="00B22C69"/>
    <w:rsid w:val="00B35B4E"/>
    <w:rsid w:val="00B52EF2"/>
    <w:rsid w:val="00B6643E"/>
    <w:rsid w:val="00B7722D"/>
    <w:rsid w:val="00B7771D"/>
    <w:rsid w:val="00B77BCB"/>
    <w:rsid w:val="00B86D3D"/>
    <w:rsid w:val="00B8713A"/>
    <w:rsid w:val="00BB1043"/>
    <w:rsid w:val="00BB49DF"/>
    <w:rsid w:val="00BC3AAC"/>
    <w:rsid w:val="00BC7D8B"/>
    <w:rsid w:val="00BD383E"/>
    <w:rsid w:val="00BD6830"/>
    <w:rsid w:val="00C022A2"/>
    <w:rsid w:val="00C201B0"/>
    <w:rsid w:val="00C35725"/>
    <w:rsid w:val="00C478F5"/>
    <w:rsid w:val="00C50971"/>
    <w:rsid w:val="00C65245"/>
    <w:rsid w:val="00C66878"/>
    <w:rsid w:val="00C746F2"/>
    <w:rsid w:val="00C828A8"/>
    <w:rsid w:val="00C944BC"/>
    <w:rsid w:val="00C97ABF"/>
    <w:rsid w:val="00CD1084"/>
    <w:rsid w:val="00CD2D0B"/>
    <w:rsid w:val="00CD6893"/>
    <w:rsid w:val="00CE51A4"/>
    <w:rsid w:val="00CF0732"/>
    <w:rsid w:val="00D12075"/>
    <w:rsid w:val="00D328B0"/>
    <w:rsid w:val="00D41D9D"/>
    <w:rsid w:val="00D451E7"/>
    <w:rsid w:val="00D506BC"/>
    <w:rsid w:val="00D72778"/>
    <w:rsid w:val="00DA3417"/>
    <w:rsid w:val="00DA375D"/>
    <w:rsid w:val="00DA3792"/>
    <w:rsid w:val="00DB6E91"/>
    <w:rsid w:val="00DD1E41"/>
    <w:rsid w:val="00DE133A"/>
    <w:rsid w:val="00DE2569"/>
    <w:rsid w:val="00DE41B9"/>
    <w:rsid w:val="00E2302D"/>
    <w:rsid w:val="00E409FC"/>
    <w:rsid w:val="00E44512"/>
    <w:rsid w:val="00E44DDE"/>
    <w:rsid w:val="00E4796A"/>
    <w:rsid w:val="00E6614A"/>
    <w:rsid w:val="00E7243B"/>
    <w:rsid w:val="00E90694"/>
    <w:rsid w:val="00E9321F"/>
    <w:rsid w:val="00E96FFA"/>
    <w:rsid w:val="00E97324"/>
    <w:rsid w:val="00EB13E3"/>
    <w:rsid w:val="00EB1692"/>
    <w:rsid w:val="00ED0B35"/>
    <w:rsid w:val="00EE045C"/>
    <w:rsid w:val="00EF38A4"/>
    <w:rsid w:val="00EF5D61"/>
    <w:rsid w:val="00F22554"/>
    <w:rsid w:val="00F24C34"/>
    <w:rsid w:val="00F85A3D"/>
    <w:rsid w:val="00F9593B"/>
    <w:rsid w:val="00F97C59"/>
    <w:rsid w:val="00FD637B"/>
    <w:rsid w:val="00FE35F2"/>
    <w:rsid w:val="00FE576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93"/>
    <w:rPr>
      <w:color w:val="808080"/>
    </w:rPr>
  </w:style>
  <w:style w:type="paragraph" w:customStyle="1" w:styleId="2FCEC6B1C1D3499187C73A7B1B4037E2">
    <w:name w:val="2FCEC6B1C1D3499187C73A7B1B4037E2"/>
  </w:style>
  <w:style w:type="paragraph" w:customStyle="1" w:styleId="A44809F1BAB34BECA72F7602E4C5B71E">
    <w:name w:val="A44809F1BAB34BECA72F7602E4C5B71E"/>
  </w:style>
  <w:style w:type="paragraph" w:customStyle="1" w:styleId="22CE5FF5D48D483E8C02B829C4036392">
    <w:name w:val="22CE5FF5D48D483E8C02B829C4036392"/>
  </w:style>
  <w:style w:type="paragraph" w:customStyle="1" w:styleId="2799220CCE0A4F99AA80A0484E0680BF">
    <w:name w:val="2799220CCE0A4F99AA80A0484E068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644AF15A-D10A-4652-889E-56C20C90B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FD6BFBE7-C140-44E6-AFEA-F3F6A2599811}">
  <ds:schemaRefs>
    <ds:schemaRef ds:uri="http://schemas.microsoft.com/sharepoint/v3/contenttype/forms"/>
  </ds:schemaRefs>
</ds:datastoreItem>
</file>

<file path=customXml/itemProps4.xml><?xml version="1.0" encoding="utf-8"?>
<ds:datastoreItem xmlns:ds="http://schemas.openxmlformats.org/officeDocument/2006/customXml" ds:itemID="{42B3D5F1-652D-4530-9E40-E08AC26B060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0df3522f-8c42-44b0-bea3-7f162a60ea50}" enabled="1" method="Standard" siteId="{63982aff-fb6c-4c22-973b-70e4acfb63e6}" removed="0"/>
  <clbl:label id="{e8911c26-cf9f-4a9c-878e-527807be8791}" enabled="0" method="" siteId="{e8911c26-cf9f-4a9c-878e-527807be879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28690</Words>
  <Characters>159232</Characters>
  <Application>Microsoft Office Word</Application>
  <DocSecurity>0</DocSecurity>
  <Lines>4549</Lines>
  <Paragraphs>2891</Paragraphs>
  <ScaleCrop>false</ScaleCrop>
  <Company/>
  <LinksUpToDate>false</LinksUpToDate>
  <CharactersWithSpaces>185031</CharactersWithSpaces>
  <SharedDoc>false</SharedDoc>
  <HLinks>
    <vt:vector size="48" baseType="variant">
      <vt:variant>
        <vt:i4>4653143</vt:i4>
      </vt:variant>
      <vt:variant>
        <vt:i4>21</vt:i4>
      </vt:variant>
      <vt:variant>
        <vt:i4>0</vt:i4>
      </vt:variant>
      <vt:variant>
        <vt:i4>5</vt:i4>
      </vt:variant>
      <vt:variant>
        <vt:lpwstr>https://www.abs.gov.au/statistics/health/health-conditions-and-risks/national-health-survey/2022</vt:lpwstr>
      </vt:variant>
      <vt:variant>
        <vt:lpwstr/>
      </vt:variant>
      <vt:variant>
        <vt:i4>6881315</vt:i4>
      </vt:variant>
      <vt:variant>
        <vt:i4>18</vt:i4>
      </vt:variant>
      <vt:variant>
        <vt:i4>0</vt:i4>
      </vt:variant>
      <vt:variant>
        <vt:i4>5</vt:i4>
      </vt:variant>
      <vt:variant>
        <vt:lpwstr>https://www.aihw.gov.au/reports/immunisation/vaccine-preventable-diseases/contents/summary</vt:lpwstr>
      </vt:variant>
      <vt:variant>
        <vt:lpwstr/>
      </vt:variant>
      <vt:variant>
        <vt:i4>6881315</vt:i4>
      </vt:variant>
      <vt:variant>
        <vt:i4>15</vt:i4>
      </vt:variant>
      <vt:variant>
        <vt:i4>0</vt:i4>
      </vt:variant>
      <vt:variant>
        <vt:i4>5</vt:i4>
      </vt:variant>
      <vt:variant>
        <vt:lpwstr>https://www.aihw.gov.au/reports/immunisation/vaccine-preventable-diseases/contents/summary</vt:lpwstr>
      </vt:variant>
      <vt:variant>
        <vt:lpwstr/>
      </vt:variant>
      <vt:variant>
        <vt:i4>8257643</vt:i4>
      </vt:variant>
      <vt:variant>
        <vt:i4>12</vt:i4>
      </vt:variant>
      <vt:variant>
        <vt:i4>0</vt:i4>
      </vt:variant>
      <vt:variant>
        <vt:i4>5</vt:i4>
      </vt:variant>
      <vt:variant>
        <vt:lpwstr>https://www.tga.gov.au/news/safety-updates/updated-warnings-respiratory-syncytial-virus-vaccines-arexvy-and-abrysvo</vt:lpwstr>
      </vt:variant>
      <vt:variant>
        <vt:lpwstr/>
      </vt:variant>
      <vt:variant>
        <vt:i4>5636182</vt:i4>
      </vt:variant>
      <vt:variant>
        <vt:i4>9</vt:i4>
      </vt:variant>
      <vt:variant>
        <vt:i4>0</vt:i4>
      </vt:variant>
      <vt:variant>
        <vt:i4>5</vt:i4>
      </vt:variant>
      <vt:variant>
        <vt:lpwstr>https://www.fda.gov/vaccines-blood-biologics/safety-availability-biologics/fda-requires-guillain-barre-syndrome-gbs-warning-prescribing-information-rsv-vaccines-abrysvo-and</vt:lpwstr>
      </vt:variant>
      <vt:variant>
        <vt:lpwstr/>
      </vt:variant>
      <vt:variant>
        <vt:i4>2621480</vt:i4>
      </vt:variant>
      <vt:variant>
        <vt:i4>6</vt:i4>
      </vt:variant>
      <vt:variant>
        <vt:i4>0</vt:i4>
      </vt:variant>
      <vt:variant>
        <vt:i4>5</vt:i4>
      </vt:variant>
      <vt:variant>
        <vt:lpwstr>https://immunisationhandbook.health.gov.au/resources/tables/table-conditions-associated-with-increased-risk-of-severe-rsv-disease-in-adults</vt:lpwstr>
      </vt:variant>
      <vt:variant>
        <vt:lpwstr/>
      </vt:variant>
      <vt:variant>
        <vt:i4>3932215</vt:i4>
      </vt:variant>
      <vt:variant>
        <vt:i4>3</vt:i4>
      </vt:variant>
      <vt:variant>
        <vt:i4>0</vt:i4>
      </vt:variant>
      <vt:variant>
        <vt:i4>5</vt:i4>
      </vt:variant>
      <vt:variant>
        <vt:lpwstr>https://immunisationhandbook.health.gov.au/resources/tables/table-specified-medical-conditions-associated-with-increased-risk-of-influenza-disease-and-severe-outcomes</vt:lpwstr>
      </vt:variant>
      <vt:variant>
        <vt:lpwstr/>
      </vt:variant>
      <vt:variant>
        <vt:i4>5832789</vt:i4>
      </vt:variant>
      <vt:variant>
        <vt:i4>0</vt:i4>
      </vt:variant>
      <vt:variant>
        <vt:i4>0</vt:i4>
      </vt:variant>
      <vt:variant>
        <vt:i4>5</vt:i4>
      </vt:variant>
      <vt:variant>
        <vt:lpwstr>https://immunisationhandbook.health.gov.au/contents/vaccine-preventable-diseases/respiratory-syncytial-virus-rsv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2026-05-29T03:52:00Z</dcterms:created>
  <dcterms:modified xsi:type="dcterms:W3CDTF">2026-07-08T05:54:00Z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5ee5e565,626df23,359d5be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4f93e4a5,692f983a,21f4a924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2026-04-01T22:59:40Z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0dddf024-f5d2-4ef2-938a-fec2ef7ef152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454fd80-e2ff-40dc-a7ce-a8751429c4f7_SiteId">
    <vt:lpwstr>e8911c26-cf9f-4a9c-878e-527807be8791</vt:lpwstr>
  </property>
  <property fmtid="{D5CDD505-2E9C-101B-9397-08002B2CF9AE}" pid="17" name="MSIP_Label_7454fd80-e2ff-40dc-a7ce-a8751429c4f7_Method">
    <vt:lpwstr>Privileged</vt:lpwstr>
  </property>
  <property fmtid="{D5CDD505-2E9C-101B-9397-08002B2CF9AE}" pid="18" name="MSIP_Label_7454fd80-e2ff-40dc-a7ce-a8751429c4f7_ContentBits">
    <vt:lpwstr>0</vt:lpwstr>
  </property>
  <property fmtid="{D5CDD505-2E9C-101B-9397-08002B2CF9AE}" pid="19" name="MSIP_Label_7454fd80-e2ff-40dc-a7ce-a8751429c4f7_ActionId">
    <vt:lpwstr>bad9766a-0503-4bdb-945a-e8ae0b67bda6</vt:lpwstr>
  </property>
  <property fmtid="{D5CDD505-2E9C-101B-9397-08002B2CF9AE}" pid="20" name="MediaServiceImageTags">
    <vt:lpwstr/>
  </property>
  <property fmtid="{D5CDD505-2E9C-101B-9397-08002B2CF9AE}" pid="21" name="ContentTypeId">
    <vt:lpwstr>0x0101007FED174C5281F747A8037A05221D6DBD</vt:lpwstr>
  </property>
  <property fmtid="{D5CDD505-2E9C-101B-9397-08002B2CF9AE}" pid="22" name="MSIP_Label_7454fd80-e2ff-40dc-a7ce-a8751429c4f7_Name">
    <vt:lpwstr>UTS-Confidential</vt:lpwstr>
  </property>
  <property fmtid="{D5CDD505-2E9C-101B-9397-08002B2CF9AE}" pid="23" name="MSIP_Label_7454fd80-e2ff-40dc-a7ce-a8751429c4f7_Enabled">
    <vt:lpwstr>true</vt:lpwstr>
  </property>
  <property fmtid="{D5CDD505-2E9C-101B-9397-08002B2CF9AE}" pid="24" name="MSIP_Label_7454fd80-e2ff-40dc-a7ce-a8751429c4f7_SetDate">
    <vt:lpwstr>2025-12-15T23:28:36Z</vt:lpwstr>
  </property>
  <property fmtid="{D5CDD505-2E9C-101B-9397-08002B2CF9AE}" pid="25" name="docLang">
    <vt:lpwstr>en</vt:lpwstr>
  </property>
  <property fmtid="{D5CDD505-2E9C-101B-9397-08002B2CF9AE}" pid="26" name="Order">
    <vt:r8>59902100</vt:r8>
  </property>
  <property fmtid="{D5CDD505-2E9C-101B-9397-08002B2CF9AE}" pid="27" name="xd_Signature">
    <vt:bool>false</vt:bool>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ies>
</file>