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9A86" w14:textId="644DA394" w:rsidR="00490CEB" w:rsidRDefault="00972E27" w:rsidP="009706F5">
      <w:pPr>
        <w:pStyle w:val="1MainTitle"/>
        <w:jc w:val="left"/>
      </w:pPr>
      <w:r>
        <w:t>6.15</w:t>
      </w:r>
      <w:r w:rsidR="00872E8F" w:rsidRPr="00A6439B">
        <w:tab/>
      </w:r>
      <w:r w:rsidR="004641FA">
        <w:t>ASCIMINIB</w:t>
      </w:r>
      <w:r w:rsidR="70971A32" w:rsidRPr="00A6439B">
        <w:t>,</w:t>
      </w:r>
      <w:r w:rsidR="00872E8F" w:rsidRPr="00A6439B">
        <w:br/>
      </w:r>
      <w:r w:rsidR="00490CEB">
        <w:t>Tablet 20 mg,</w:t>
      </w:r>
    </w:p>
    <w:p w14:paraId="181DB627" w14:textId="3959919B" w:rsidR="00872E8F" w:rsidRDefault="00490CEB" w:rsidP="00490CEB">
      <w:pPr>
        <w:pStyle w:val="1MainTitle"/>
        <w:ind w:firstLine="0"/>
        <w:jc w:val="left"/>
      </w:pPr>
      <w:r>
        <w:t xml:space="preserve">Tablet 40 mg, </w:t>
      </w:r>
      <w:r>
        <w:br/>
      </w:r>
      <w:r w:rsidR="004641FA">
        <w:t>Scembli</w:t>
      </w:r>
      <w:r w:rsidR="247E43CE">
        <w:t>x</w:t>
      </w:r>
      <w:r w:rsidR="70971A32">
        <w:t>®</w:t>
      </w:r>
      <w:r w:rsidR="004641FA">
        <w:t>,</w:t>
      </w:r>
      <w:r>
        <w:br/>
      </w:r>
      <w:r w:rsidR="004C7A74">
        <w:t>Novartis Pharmaceuticals Australia Pty Ltd</w:t>
      </w:r>
    </w:p>
    <w:p w14:paraId="5E08E8B1" w14:textId="79CB718C" w:rsidR="001B0767" w:rsidRPr="00483289" w:rsidRDefault="001B0767" w:rsidP="0077326E">
      <w:pPr>
        <w:pStyle w:val="2-SectionHeading"/>
        <w:numPr>
          <w:ilvl w:val="0"/>
          <w:numId w:val="2"/>
        </w:numPr>
        <w:rPr>
          <w:color w:val="FF0000"/>
        </w:rPr>
      </w:pPr>
      <w:r>
        <w:t xml:space="preserve">Purpose of Submission </w:t>
      </w:r>
    </w:p>
    <w:p w14:paraId="6C01B5BD" w14:textId="647B7B64" w:rsidR="001B0767" w:rsidRPr="008A63B1" w:rsidRDefault="001B0767" w:rsidP="00BC7856">
      <w:pPr>
        <w:pStyle w:val="3-BodyText"/>
        <w:numPr>
          <w:ilvl w:val="1"/>
          <w:numId w:val="2"/>
        </w:numPr>
        <w:ind w:left="709" w:hanging="709"/>
      </w:pPr>
      <w:r w:rsidRPr="00A6439B">
        <w:t xml:space="preserve">The </w:t>
      </w:r>
      <w:r w:rsidR="00B27C26">
        <w:t>Category</w:t>
      </w:r>
      <w:r w:rsidRPr="00A6439B">
        <w:t xml:space="preserve"> </w:t>
      </w:r>
      <w:r w:rsidR="008A63B1">
        <w:t xml:space="preserve">4 </w:t>
      </w:r>
      <w:r w:rsidRPr="00A6439B">
        <w:t>submission requested to</w:t>
      </w:r>
      <w:r w:rsidR="008A63B1">
        <w:t xml:space="preserve"> </w:t>
      </w:r>
      <w:r w:rsidRPr="008A63B1">
        <w:rPr>
          <w:rFonts w:cstheme="minorHAnsi"/>
          <w:szCs w:val="24"/>
        </w:rPr>
        <w:t xml:space="preserve">add </w:t>
      </w:r>
      <w:r w:rsidR="002035D3">
        <w:rPr>
          <w:rFonts w:cstheme="minorHAnsi"/>
          <w:szCs w:val="24"/>
        </w:rPr>
        <w:t>nurse practitioner</w:t>
      </w:r>
      <w:r w:rsidR="0029299C">
        <w:rPr>
          <w:rFonts w:cstheme="minorHAnsi"/>
          <w:szCs w:val="24"/>
        </w:rPr>
        <w:t xml:space="preserve">s </w:t>
      </w:r>
      <w:r w:rsidR="002035D3">
        <w:rPr>
          <w:rFonts w:cstheme="minorHAnsi"/>
          <w:szCs w:val="24"/>
        </w:rPr>
        <w:t xml:space="preserve">(NPs) </w:t>
      </w:r>
      <w:r w:rsidRPr="008A63B1">
        <w:rPr>
          <w:rFonts w:cstheme="minorHAnsi"/>
          <w:szCs w:val="24"/>
        </w:rPr>
        <w:t xml:space="preserve">to the prescriber type of </w:t>
      </w:r>
      <w:r w:rsidR="0029299C">
        <w:rPr>
          <w:rFonts w:cstheme="minorHAnsi"/>
          <w:szCs w:val="24"/>
        </w:rPr>
        <w:t>Pharmaceutical Benefits Scheme (</w:t>
      </w:r>
      <w:r w:rsidRPr="008A63B1">
        <w:rPr>
          <w:rFonts w:cstheme="minorHAnsi"/>
          <w:szCs w:val="24"/>
        </w:rPr>
        <w:t>PBS</w:t>
      </w:r>
      <w:r w:rsidR="0029299C">
        <w:rPr>
          <w:rFonts w:cstheme="minorHAnsi"/>
          <w:szCs w:val="24"/>
        </w:rPr>
        <w:t>)</w:t>
      </w:r>
      <w:r w:rsidR="009075DA">
        <w:rPr>
          <w:rFonts w:cstheme="minorHAnsi"/>
          <w:szCs w:val="24"/>
        </w:rPr>
        <w:noBreakHyphen/>
      </w:r>
      <w:r w:rsidRPr="008A63B1">
        <w:rPr>
          <w:rFonts w:cstheme="minorHAnsi"/>
          <w:szCs w:val="24"/>
        </w:rPr>
        <w:t>listed</w:t>
      </w:r>
      <w:r w:rsidR="00533E41">
        <w:rPr>
          <w:rFonts w:cstheme="minorHAnsi"/>
          <w:szCs w:val="24"/>
        </w:rPr>
        <w:t xml:space="preserve"> asciminib 20 mg</w:t>
      </w:r>
      <w:r w:rsidR="0095364C">
        <w:rPr>
          <w:rFonts w:cstheme="minorHAnsi"/>
          <w:szCs w:val="24"/>
        </w:rPr>
        <w:t>,</w:t>
      </w:r>
      <w:r w:rsidR="00533E41">
        <w:rPr>
          <w:rFonts w:cstheme="minorHAnsi"/>
          <w:szCs w:val="24"/>
        </w:rPr>
        <w:t xml:space="preserve"> 40 mg</w:t>
      </w:r>
      <w:r w:rsidR="00997F84">
        <w:rPr>
          <w:rFonts w:cstheme="minorHAnsi"/>
          <w:szCs w:val="24"/>
        </w:rPr>
        <w:t xml:space="preserve"> </w:t>
      </w:r>
      <w:r w:rsidR="00511804">
        <w:rPr>
          <w:rFonts w:cstheme="minorHAnsi"/>
          <w:szCs w:val="24"/>
        </w:rPr>
        <w:t xml:space="preserve">for all current </w:t>
      </w:r>
      <w:r w:rsidR="00441491">
        <w:rPr>
          <w:rFonts w:cstheme="minorHAnsi"/>
          <w:szCs w:val="24"/>
        </w:rPr>
        <w:t>indications</w:t>
      </w:r>
      <w:r w:rsidR="00511804">
        <w:rPr>
          <w:rFonts w:cstheme="minorHAnsi"/>
          <w:szCs w:val="24"/>
        </w:rPr>
        <w:t xml:space="preserve">, both in </w:t>
      </w:r>
      <w:r w:rsidR="00997F84">
        <w:rPr>
          <w:rFonts w:cstheme="minorHAnsi"/>
          <w:szCs w:val="24"/>
        </w:rPr>
        <w:t xml:space="preserve">initiation and continuation phases of treatment. </w:t>
      </w:r>
      <w:r w:rsidR="0029299C">
        <w:rPr>
          <w:rFonts w:cstheme="minorHAnsi"/>
          <w:szCs w:val="24"/>
        </w:rPr>
        <w:t>Currently, only Medical Practitioners can prescribe asciminib under the PBS.</w:t>
      </w:r>
    </w:p>
    <w:p w14:paraId="7D0908BE" w14:textId="77777777" w:rsidR="002506AE" w:rsidRDefault="001B0767" w:rsidP="002506AE">
      <w:pPr>
        <w:pStyle w:val="2-SectionHeading"/>
        <w:numPr>
          <w:ilvl w:val="0"/>
          <w:numId w:val="2"/>
        </w:numPr>
      </w:pPr>
      <w:r w:rsidRPr="00A6439B">
        <w:t xml:space="preserve">Background </w:t>
      </w:r>
    </w:p>
    <w:p w14:paraId="51082535" w14:textId="62E4C290" w:rsidR="00D740C6" w:rsidRPr="002506AE" w:rsidRDefault="2294D947" w:rsidP="00BC7856">
      <w:pPr>
        <w:pStyle w:val="3Bodytext"/>
        <w:numPr>
          <w:ilvl w:val="1"/>
          <w:numId w:val="24"/>
        </w:numPr>
        <w:ind w:left="709" w:hanging="709"/>
      </w:pPr>
      <w:r>
        <w:t>Asciminib</w:t>
      </w:r>
      <w:r w:rsidRPr="002506AE">
        <w:rPr>
          <w:color w:val="FF0000"/>
        </w:rPr>
        <w:t xml:space="preserve"> </w:t>
      </w:r>
      <w:r w:rsidR="655FF20A" w:rsidRPr="002506AE">
        <w:rPr>
          <w:color w:val="000000" w:themeColor="text1"/>
        </w:rPr>
        <w:t xml:space="preserve">is </w:t>
      </w:r>
      <w:r w:rsidR="655FF20A" w:rsidRPr="002506AE">
        <w:t xml:space="preserve">currently listed on the PBS </w:t>
      </w:r>
      <w:r w:rsidR="13328A77" w:rsidRPr="002506AE">
        <w:t xml:space="preserve">as a </w:t>
      </w:r>
      <w:r w:rsidR="6BA135DA" w:rsidRPr="002506AE">
        <w:t>General Schedule (</w:t>
      </w:r>
      <w:r w:rsidR="13328A77" w:rsidRPr="002506AE">
        <w:t>Authority Required</w:t>
      </w:r>
      <w:r w:rsidR="6BA135DA" w:rsidRPr="002506AE">
        <w:t>)</w:t>
      </w:r>
      <w:r w:rsidR="13328A77" w:rsidRPr="002506AE">
        <w:t xml:space="preserve"> listing for the treatment of</w:t>
      </w:r>
      <w:r w:rsidR="6BA135DA" w:rsidRPr="002506AE">
        <w:t>:</w:t>
      </w:r>
      <w:r w:rsidR="13328A77" w:rsidRPr="002506AE">
        <w:rPr>
          <w:color w:val="000000" w:themeColor="text1"/>
        </w:rPr>
        <w:t xml:space="preserve"> </w:t>
      </w:r>
    </w:p>
    <w:p w14:paraId="6731F4BF" w14:textId="356CB34E" w:rsidR="465B67C7" w:rsidRDefault="465B67C7" w:rsidP="009B1B6C">
      <w:pPr>
        <w:pStyle w:val="3-BodyText"/>
        <w:numPr>
          <w:ilvl w:val="0"/>
          <w:numId w:val="8"/>
        </w:numPr>
      </w:pPr>
      <w:r w:rsidRPr="6469453E">
        <w:rPr>
          <w:color w:val="000000" w:themeColor="text1"/>
        </w:rPr>
        <w:t>patients with Philadelphia chromosome</w:t>
      </w:r>
      <w:r w:rsidR="009075DA">
        <w:rPr>
          <w:color w:val="000000" w:themeColor="text1"/>
        </w:rPr>
        <w:noBreakHyphen/>
      </w:r>
      <w:r w:rsidRPr="6469453E">
        <w:rPr>
          <w:color w:val="000000" w:themeColor="text1"/>
        </w:rPr>
        <w:t>positive chronic myeloid leukaemia (Ph+ CML) in chronic phase (CP) or accelerated phase (AP), who had been previously treated with two or more tyrosine kinase inhibitors (TKIs</w:t>
      </w:r>
      <w:r w:rsidR="03445D08" w:rsidRPr="6AFBE8EB">
        <w:rPr>
          <w:color w:val="000000" w:themeColor="text1"/>
        </w:rPr>
        <w:t>)</w:t>
      </w:r>
      <w:r w:rsidR="4196D8D0" w:rsidRPr="6AFBE8EB">
        <w:rPr>
          <w:color w:val="000000" w:themeColor="text1"/>
        </w:rPr>
        <w:t>. This is in the third</w:t>
      </w:r>
      <w:r w:rsidR="009075DA">
        <w:rPr>
          <w:color w:val="000000" w:themeColor="text1"/>
        </w:rPr>
        <w:noBreakHyphen/>
      </w:r>
      <w:r w:rsidR="4196D8D0" w:rsidRPr="6AFBE8EB">
        <w:rPr>
          <w:color w:val="000000" w:themeColor="text1"/>
        </w:rPr>
        <w:t xml:space="preserve">line setting or beyond. </w:t>
      </w:r>
    </w:p>
    <w:p w14:paraId="365C17CC" w14:textId="556F6EBC" w:rsidR="465B67C7" w:rsidRDefault="0DC8FC55" w:rsidP="009B1B6C">
      <w:pPr>
        <w:pStyle w:val="3-BodyText"/>
        <w:numPr>
          <w:ilvl w:val="0"/>
          <w:numId w:val="8"/>
        </w:numPr>
        <w:rPr>
          <w:color w:val="000000" w:themeColor="text1"/>
        </w:rPr>
      </w:pPr>
      <w:r w:rsidRPr="13668A0E">
        <w:rPr>
          <w:color w:val="000000" w:themeColor="text1"/>
        </w:rPr>
        <w:t>patients with Ph+ CML in CP or AP, who had been previously treated with one or more TKIs and harbouring the T315I mutation</w:t>
      </w:r>
      <w:r w:rsidR="5588431F" w:rsidRPr="13668A0E">
        <w:rPr>
          <w:color w:val="000000" w:themeColor="text1"/>
        </w:rPr>
        <w:t>. This is in the second</w:t>
      </w:r>
      <w:r w:rsidR="009075DA">
        <w:rPr>
          <w:color w:val="000000" w:themeColor="text1"/>
        </w:rPr>
        <w:noBreakHyphen/>
      </w:r>
      <w:r w:rsidR="5588431F" w:rsidRPr="13668A0E">
        <w:rPr>
          <w:color w:val="000000" w:themeColor="text1"/>
        </w:rPr>
        <w:t xml:space="preserve">line setting or beyond. </w:t>
      </w:r>
    </w:p>
    <w:p w14:paraId="74B46A6A" w14:textId="2F203344" w:rsidR="6469453E" w:rsidRDefault="6469453E" w:rsidP="6469453E">
      <w:pPr>
        <w:pStyle w:val="3-BodyText"/>
        <w:rPr>
          <w:color w:val="000000" w:themeColor="text1"/>
        </w:rPr>
      </w:pPr>
    </w:p>
    <w:p w14:paraId="4D4A2910" w14:textId="4D9E5F83" w:rsidR="001B0767" w:rsidRPr="00A6439B" w:rsidRDefault="001B0767" w:rsidP="001B0767">
      <w:pPr>
        <w:pStyle w:val="4-SubsectionHeading"/>
      </w:pPr>
      <w:r w:rsidRPr="00691A2C">
        <w:t>Registration</w:t>
      </w:r>
      <w:r w:rsidRPr="00A6439B">
        <w:t xml:space="preserve"> status</w:t>
      </w:r>
    </w:p>
    <w:p w14:paraId="136AA278" w14:textId="71E562D6" w:rsidR="00D54F50" w:rsidRDefault="00D54F50" w:rsidP="007170AA">
      <w:pPr>
        <w:pStyle w:val="3-BodyText"/>
        <w:numPr>
          <w:ilvl w:val="1"/>
          <w:numId w:val="28"/>
        </w:numPr>
        <w:ind w:left="709" w:hanging="709"/>
      </w:pPr>
      <w:r w:rsidRPr="00D54F50">
        <w:t>Asciminib was TGA registered on 31 August 2022 for</w:t>
      </w:r>
      <w:r>
        <w:t>:</w:t>
      </w:r>
    </w:p>
    <w:p w14:paraId="092A8AF0" w14:textId="4A709EA0" w:rsidR="00D54F50" w:rsidRDefault="00D54F50" w:rsidP="001601DF">
      <w:pPr>
        <w:pStyle w:val="3-BodyText"/>
        <w:numPr>
          <w:ilvl w:val="0"/>
          <w:numId w:val="18"/>
        </w:numPr>
      </w:pPr>
      <w:r w:rsidRPr="00D54F50">
        <w:t>the treatment of patients 18 years of age and above with newly diagnosed Ph+ CML</w:t>
      </w:r>
      <w:r w:rsidR="00DB07EA">
        <w:t xml:space="preserve"> </w:t>
      </w:r>
      <w:r w:rsidRPr="00D54F50">
        <w:t xml:space="preserve">in </w:t>
      </w:r>
      <w:r w:rsidR="00DB07EA">
        <w:t>CP</w:t>
      </w:r>
    </w:p>
    <w:p w14:paraId="42B744D8" w14:textId="6DE2AB1F" w:rsidR="00D54F50" w:rsidRPr="00D54F50" w:rsidRDefault="00D54F50" w:rsidP="001601DF">
      <w:pPr>
        <w:pStyle w:val="3-BodyText"/>
        <w:numPr>
          <w:ilvl w:val="0"/>
          <w:numId w:val="18"/>
        </w:numPr>
      </w:pPr>
      <w:r w:rsidRPr="00D54F50">
        <w:t>the treatment of patients 18 years of age and above with Ph+ CML in CP previously treated with two or more tyrosine kinase inhibitors</w:t>
      </w:r>
      <w:r>
        <w:rPr>
          <w:i/>
          <w:iCs/>
        </w:rPr>
        <w:t>.</w:t>
      </w:r>
    </w:p>
    <w:p w14:paraId="35B9EE23" w14:textId="6DA9F846" w:rsidR="00C233C1" w:rsidRDefault="00C233C1" w:rsidP="007170AA">
      <w:pPr>
        <w:pStyle w:val="3-BodyText"/>
        <w:numPr>
          <w:ilvl w:val="1"/>
          <w:numId w:val="28"/>
        </w:numPr>
        <w:ind w:left="709" w:hanging="709"/>
      </w:pPr>
      <w:r w:rsidRPr="00C233C1">
        <w:t>Asciminib was TGA registered on 1 July 2025 for the treatment of patients 18 years of age and above with Ph+ CML in CP with the T315I mutation.</w:t>
      </w:r>
    </w:p>
    <w:p w14:paraId="746DDC62" w14:textId="77777777" w:rsidR="0071736F" w:rsidRDefault="0071736F" w:rsidP="0071736F">
      <w:pPr>
        <w:pStyle w:val="3-BodyText"/>
        <w:ind w:left="709"/>
      </w:pPr>
    </w:p>
    <w:p w14:paraId="30588249" w14:textId="77777777" w:rsidR="001B0767" w:rsidRPr="00A6439B" w:rsidRDefault="001B0767" w:rsidP="001B0767">
      <w:pPr>
        <w:pStyle w:val="4-SubsectionHeading"/>
      </w:pPr>
      <w:r w:rsidRPr="00A6439B">
        <w:lastRenderedPageBreak/>
        <w:t xml:space="preserve">Previous PBAC </w:t>
      </w:r>
      <w:r w:rsidRPr="00691A2C">
        <w:t>consideration</w:t>
      </w:r>
      <w:r w:rsidRPr="00A6439B">
        <w:t xml:space="preserve"> </w:t>
      </w:r>
    </w:p>
    <w:p w14:paraId="53DD4918" w14:textId="77777777" w:rsidR="00BC2DC5" w:rsidRPr="00BC2DC5" w:rsidRDefault="00CD2B87" w:rsidP="007170AA">
      <w:pPr>
        <w:pStyle w:val="3-BodyText"/>
        <w:numPr>
          <w:ilvl w:val="1"/>
          <w:numId w:val="28"/>
        </w:numPr>
        <w:ind w:left="709" w:hanging="709"/>
      </w:pPr>
      <w:bookmarkStart w:id="0" w:name="_Hlk221611176"/>
      <w:r>
        <w:t>Initially, the PBAC did not recommend a</w:t>
      </w:r>
      <w:r w:rsidR="009A1655">
        <w:t xml:space="preserve">sciminib </w:t>
      </w:r>
      <w:r>
        <w:t xml:space="preserve">for listing </w:t>
      </w:r>
      <w:r w:rsidR="001B0767" w:rsidRPr="00A6439B">
        <w:t>at its</w:t>
      </w:r>
      <w:r w:rsidR="000F1481">
        <w:t xml:space="preserve"> July 2022</w:t>
      </w:r>
      <w:r w:rsidR="000F1481">
        <w:rPr>
          <w:color w:val="FF0000"/>
        </w:rPr>
        <w:t xml:space="preserve"> </w:t>
      </w:r>
      <w:r w:rsidR="001B0767" w:rsidRPr="00A6439B">
        <w:t>meeting</w:t>
      </w:r>
      <w:r w:rsidR="00B32783">
        <w:t xml:space="preserve"> for </w:t>
      </w:r>
      <w:bookmarkEnd w:id="0"/>
      <w:r w:rsidR="00B32783">
        <w:t xml:space="preserve">patients with </w:t>
      </w:r>
      <w:r w:rsidR="00B32783" w:rsidRPr="00B32783">
        <w:t>Ph+ CML</w:t>
      </w:r>
      <w:r w:rsidR="00B32783">
        <w:t xml:space="preserve"> in </w:t>
      </w:r>
      <w:r w:rsidR="00B32783" w:rsidRPr="00B32783">
        <w:t>CP, who had been previously treated with two or more TKIs</w:t>
      </w:r>
      <w:r w:rsidR="00B32783">
        <w:t xml:space="preserve">. </w:t>
      </w:r>
    </w:p>
    <w:p w14:paraId="14831ABD" w14:textId="1351C049" w:rsidR="00285D09" w:rsidRPr="00285D09" w:rsidRDefault="00BC2DC5" w:rsidP="007170AA">
      <w:pPr>
        <w:pStyle w:val="3-BodyText"/>
        <w:numPr>
          <w:ilvl w:val="1"/>
          <w:numId w:val="28"/>
        </w:numPr>
        <w:ind w:left="709" w:hanging="709"/>
      </w:pPr>
      <w:r>
        <w:t xml:space="preserve">In its </w:t>
      </w:r>
      <w:r w:rsidR="00285D09">
        <w:t>decision, t</w:t>
      </w:r>
      <w:r w:rsidR="00CD2B87">
        <w:t xml:space="preserve">he </w:t>
      </w:r>
      <w:r w:rsidR="009E1E46">
        <w:t xml:space="preserve">PBAC </w:t>
      </w:r>
      <w:r w:rsidR="00285D09">
        <w:t xml:space="preserve">stated it would consider recommending </w:t>
      </w:r>
      <w:r w:rsidR="00B32783">
        <w:t xml:space="preserve">a </w:t>
      </w:r>
      <w:r w:rsidR="00005C51">
        <w:t xml:space="preserve">resubmission </w:t>
      </w:r>
      <w:r w:rsidR="00285D09">
        <w:t>that provided:</w:t>
      </w:r>
    </w:p>
    <w:p w14:paraId="52786303" w14:textId="78C11813" w:rsidR="00285D09" w:rsidRPr="00285D09" w:rsidRDefault="00285D09" w:rsidP="001601DF">
      <w:pPr>
        <w:pStyle w:val="3-BodyText"/>
        <w:numPr>
          <w:ilvl w:val="0"/>
          <w:numId w:val="19"/>
        </w:numPr>
      </w:pPr>
      <w:r>
        <w:t xml:space="preserve">expanded restrictions to include </w:t>
      </w:r>
      <w:r w:rsidR="00495E37">
        <w:t>a</w:t>
      </w:r>
      <w:r w:rsidR="00B32783">
        <w:t xml:space="preserve"> second indication</w:t>
      </w:r>
      <w:r w:rsidR="009E1E46">
        <w:t xml:space="preserve"> for patients with the T315I mutation</w:t>
      </w:r>
    </w:p>
    <w:p w14:paraId="3469C167" w14:textId="7E9E4DB2" w:rsidR="001B0767" w:rsidRPr="008139A5" w:rsidRDefault="00495E37" w:rsidP="001601DF">
      <w:pPr>
        <w:pStyle w:val="3-BodyText"/>
        <w:numPr>
          <w:ilvl w:val="0"/>
          <w:numId w:val="19"/>
        </w:numPr>
      </w:pPr>
      <w:r>
        <w:t xml:space="preserve">additional </w:t>
      </w:r>
      <w:r w:rsidR="009E1E46">
        <w:t xml:space="preserve">clinical data showing asciminib </w:t>
      </w:r>
      <w:r w:rsidR="00C70E8E">
        <w:t>to be non</w:t>
      </w:r>
      <w:r w:rsidR="009075DA">
        <w:noBreakHyphen/>
      </w:r>
      <w:r w:rsidR="00C70E8E">
        <w:t xml:space="preserve">inferior to ponatinib in </w:t>
      </w:r>
      <w:r w:rsidR="00A01325">
        <w:t>this</w:t>
      </w:r>
      <w:r w:rsidR="00C70E8E">
        <w:t xml:space="preserve"> population. </w:t>
      </w:r>
    </w:p>
    <w:p w14:paraId="6198164E" w14:textId="3C324562" w:rsidR="609305FF" w:rsidRDefault="609305FF" w:rsidP="007562D5">
      <w:pPr>
        <w:pStyle w:val="3-BodyText"/>
        <w:ind w:left="709"/>
      </w:pPr>
      <w:r>
        <w:t>The sponsor did not request nurse practitioner prescribing nor discuss nurse practitioner prescribing in its submission (July 2022 Public Summary Document).</w:t>
      </w:r>
    </w:p>
    <w:p w14:paraId="580ABAC0" w14:textId="67D33B17" w:rsidR="007341C1" w:rsidRDefault="628AA4B8" w:rsidP="007170AA">
      <w:pPr>
        <w:pStyle w:val="3-BodyText"/>
        <w:numPr>
          <w:ilvl w:val="1"/>
          <w:numId w:val="28"/>
        </w:numPr>
        <w:ind w:left="709" w:hanging="709"/>
      </w:pPr>
      <w:r>
        <w:t>At its November 2022</w:t>
      </w:r>
      <w:r w:rsidR="003A7599">
        <w:t xml:space="preserve"> meeting</w:t>
      </w:r>
      <w:r>
        <w:t>, t</w:t>
      </w:r>
      <w:r w:rsidR="043EF900">
        <w:t xml:space="preserve">he PBAC considered that the resubmission </w:t>
      </w:r>
      <w:r>
        <w:t>for asciminib addressed these issues and recommended its listing</w:t>
      </w:r>
      <w:r w:rsidR="2031DCB2">
        <w:t xml:space="preserve"> for both indications.</w:t>
      </w:r>
      <w:r w:rsidR="5EAF26BC">
        <w:t xml:space="preserve"> </w:t>
      </w:r>
      <w:r w:rsidR="007341C1">
        <w:t>PBS listing became effective from 1 May 2023.</w:t>
      </w:r>
    </w:p>
    <w:p w14:paraId="53A5CCE5" w14:textId="361F5636" w:rsidR="008139A5" w:rsidRPr="00BC1F4D" w:rsidRDefault="007341C1" w:rsidP="007170AA">
      <w:pPr>
        <w:pStyle w:val="3-BodyText"/>
        <w:numPr>
          <w:ilvl w:val="1"/>
          <w:numId w:val="28"/>
        </w:numPr>
        <w:ind w:left="709" w:hanging="709"/>
      </w:pPr>
      <w:r>
        <w:t xml:space="preserve">In its </w:t>
      </w:r>
      <w:r w:rsidR="006B3E1C">
        <w:t>decision, t</w:t>
      </w:r>
      <w:r w:rsidR="5EAF26BC">
        <w:t xml:space="preserve">he PBAC advised that asciminib is not suitable for prescribing by nurse practitioners, noting that </w:t>
      </w:r>
      <w:r w:rsidR="79480F7D">
        <w:t>existing tyrosine kinase inhibitors listed at the time were not available for nurse practitioner prescribing (November 2022 Public Summary Document</w:t>
      </w:r>
      <w:r w:rsidR="002B6984">
        <w:t xml:space="preserve"> [PSD]</w:t>
      </w:r>
      <w:r w:rsidR="79480F7D">
        <w:t>).</w:t>
      </w:r>
      <w:r w:rsidR="5EAF26BC">
        <w:t xml:space="preserve"> </w:t>
      </w:r>
      <w:r w:rsidR="0E1BD73B">
        <w:t xml:space="preserve">No further elaboration on this unsuitability is provided in the November 2022 meeting minutes or </w:t>
      </w:r>
      <w:r w:rsidR="003123AD">
        <w:t>PSD</w:t>
      </w:r>
      <w:r w:rsidR="0E1BD73B">
        <w:t>.</w:t>
      </w:r>
    </w:p>
    <w:p w14:paraId="1BC4DE93" w14:textId="197699A3" w:rsidR="00136031" w:rsidRPr="00136031" w:rsidRDefault="00BC1F4D" w:rsidP="007170AA">
      <w:pPr>
        <w:pStyle w:val="3-BodyText"/>
        <w:numPr>
          <w:ilvl w:val="1"/>
          <w:numId w:val="28"/>
        </w:numPr>
        <w:ind w:left="709" w:hanging="709"/>
        <w:rPr>
          <w:i/>
          <w:iCs/>
        </w:rPr>
      </w:pPr>
      <w:r>
        <w:t xml:space="preserve">At its March 2026 meeting, the PBAC </w:t>
      </w:r>
      <w:r w:rsidR="00994D87">
        <w:t xml:space="preserve">was to consider </w:t>
      </w:r>
      <w:r w:rsidR="008744D1">
        <w:t>a Category 2 submission requesting a change</w:t>
      </w:r>
      <w:r w:rsidR="008F5015">
        <w:t xml:space="preserve"> </w:t>
      </w:r>
      <w:r w:rsidR="008744D1">
        <w:t>of</w:t>
      </w:r>
      <w:r w:rsidR="008F5015">
        <w:t xml:space="preserve"> indication for asciminib for its use as a first</w:t>
      </w:r>
      <w:r w:rsidR="009075DA">
        <w:noBreakHyphen/>
      </w:r>
      <w:r w:rsidR="008F5015">
        <w:t>line therapy.</w:t>
      </w:r>
      <w:r w:rsidR="00B721AF">
        <w:t xml:space="preserve"> </w:t>
      </w:r>
      <w:r w:rsidR="00994D87">
        <w:t xml:space="preserve">However, this </w:t>
      </w:r>
      <w:r w:rsidR="00136031">
        <w:t xml:space="preserve">submission was withdrawn prior to the meeting. </w:t>
      </w:r>
    </w:p>
    <w:p w14:paraId="0E6FADFD" w14:textId="77777777" w:rsidR="00136031" w:rsidRPr="00136031" w:rsidRDefault="00136031" w:rsidP="00136031">
      <w:pPr>
        <w:pStyle w:val="3-BodyText"/>
        <w:ind w:left="709"/>
        <w:rPr>
          <w:i/>
          <w:iCs/>
        </w:rPr>
      </w:pPr>
    </w:p>
    <w:p w14:paraId="7435D111" w14:textId="2DA5426A" w:rsidR="008744D1" w:rsidRDefault="513D4BB2" w:rsidP="00587118">
      <w:pPr>
        <w:pStyle w:val="4-SubsectionHeading"/>
      </w:pPr>
      <w:r>
        <w:t xml:space="preserve">Updates to </w:t>
      </w:r>
      <w:r w:rsidR="0802306B">
        <w:t>Line</w:t>
      </w:r>
      <w:r w:rsidR="009075DA">
        <w:noBreakHyphen/>
      </w:r>
      <w:r w:rsidR="0802306B">
        <w:t xml:space="preserve">Agnostic listing of </w:t>
      </w:r>
      <w:r w:rsidR="2B314C02">
        <w:t xml:space="preserve">TKI </w:t>
      </w:r>
      <w:r w:rsidR="1A42ED04">
        <w:t>medicines for CML</w:t>
      </w:r>
    </w:p>
    <w:p w14:paraId="603E0E0C" w14:textId="72891421" w:rsidR="008744D1" w:rsidRDefault="0802306B" w:rsidP="007170AA">
      <w:pPr>
        <w:pStyle w:val="3-BodyText"/>
        <w:numPr>
          <w:ilvl w:val="1"/>
          <w:numId w:val="28"/>
        </w:numPr>
        <w:ind w:left="709" w:hanging="709"/>
        <w:rPr>
          <w:rFonts w:ascii="Calibri" w:eastAsia="Calibri" w:hAnsi="Calibri" w:cs="Arial"/>
        </w:rPr>
      </w:pPr>
      <w:r w:rsidRPr="53B64491">
        <w:rPr>
          <w:rFonts w:ascii="Calibri" w:eastAsia="Calibri" w:hAnsi="Calibri" w:cs="Arial"/>
        </w:rPr>
        <w:t xml:space="preserve">At its December 2023 </w:t>
      </w:r>
      <w:r w:rsidR="005F1912" w:rsidRPr="53B64491">
        <w:rPr>
          <w:rFonts w:ascii="Calibri" w:eastAsia="Calibri" w:hAnsi="Calibri" w:cs="Arial"/>
        </w:rPr>
        <w:t>meeting</w:t>
      </w:r>
      <w:r w:rsidR="00DA7BB8" w:rsidRPr="53B64491">
        <w:rPr>
          <w:rFonts w:ascii="Calibri" w:eastAsia="Calibri" w:hAnsi="Calibri" w:cs="Arial"/>
        </w:rPr>
        <w:t xml:space="preserve">, the PBAC reviewed </w:t>
      </w:r>
      <w:r w:rsidR="0009792C" w:rsidRPr="53B64491">
        <w:rPr>
          <w:rFonts w:ascii="Calibri" w:eastAsia="Calibri" w:hAnsi="Calibri" w:cs="Arial"/>
        </w:rPr>
        <w:t>some proposed updates to the restrictions for</w:t>
      </w:r>
      <w:r w:rsidR="009B2E6D" w:rsidRPr="53B64491">
        <w:rPr>
          <w:rFonts w:ascii="Calibri" w:eastAsia="Calibri" w:hAnsi="Calibri" w:cs="Arial"/>
        </w:rPr>
        <w:t xml:space="preserve"> </w:t>
      </w:r>
      <w:r w:rsidRPr="53B64491">
        <w:rPr>
          <w:rFonts w:ascii="Calibri" w:eastAsia="Calibri" w:hAnsi="Calibri" w:cs="Arial"/>
        </w:rPr>
        <w:t>tyrosine kinase inhibitor</w:t>
      </w:r>
      <w:r w:rsidR="72422D19" w:rsidRPr="53B64491">
        <w:rPr>
          <w:rFonts w:ascii="Calibri" w:eastAsia="Calibri" w:hAnsi="Calibri" w:cs="Arial"/>
        </w:rPr>
        <w:t>s</w:t>
      </w:r>
      <w:r w:rsidRPr="53B64491">
        <w:rPr>
          <w:rFonts w:ascii="Calibri" w:eastAsia="Calibri" w:hAnsi="Calibri" w:cs="Arial"/>
        </w:rPr>
        <w:t xml:space="preserve"> (TKI)</w:t>
      </w:r>
      <w:r w:rsidR="0009792C" w:rsidRPr="53B64491">
        <w:rPr>
          <w:rFonts w:ascii="Calibri" w:eastAsia="Calibri" w:hAnsi="Calibri" w:cs="Arial"/>
        </w:rPr>
        <w:t xml:space="preserve"> for the treatment of</w:t>
      </w:r>
      <w:r w:rsidRPr="53B64491">
        <w:rPr>
          <w:rFonts w:ascii="Calibri" w:eastAsia="Calibri" w:hAnsi="Calibri" w:cs="Arial"/>
        </w:rPr>
        <w:t xml:space="preserve"> CML</w:t>
      </w:r>
      <w:r w:rsidR="0009792C" w:rsidRPr="53B64491">
        <w:rPr>
          <w:rFonts w:ascii="Calibri" w:eastAsia="Calibri" w:hAnsi="Calibri" w:cs="Arial"/>
        </w:rPr>
        <w:t>. In its advice,</w:t>
      </w:r>
      <w:r w:rsidR="65EC1D65" w:rsidRPr="53B64491">
        <w:rPr>
          <w:rFonts w:ascii="Calibri" w:eastAsia="Calibri" w:hAnsi="Calibri" w:cs="Arial"/>
        </w:rPr>
        <w:t xml:space="preserve"> the PBAC recommended updating </w:t>
      </w:r>
      <w:r w:rsidR="72EE6090" w:rsidRPr="53B64491">
        <w:rPr>
          <w:rFonts w:ascii="Calibri" w:eastAsia="Calibri" w:hAnsi="Calibri" w:cs="Arial"/>
        </w:rPr>
        <w:t>the listings for TKI medicines imatinib, das</w:t>
      </w:r>
      <w:r w:rsidR="497DFA51" w:rsidRPr="53B64491">
        <w:rPr>
          <w:rFonts w:ascii="Calibri" w:eastAsia="Calibri" w:hAnsi="Calibri" w:cs="Arial"/>
        </w:rPr>
        <w:t>a</w:t>
      </w:r>
      <w:r w:rsidR="72EE6090" w:rsidRPr="53B64491">
        <w:rPr>
          <w:rFonts w:ascii="Calibri" w:eastAsia="Calibri" w:hAnsi="Calibri" w:cs="Arial"/>
        </w:rPr>
        <w:t>tinib and nilotinib for CML</w:t>
      </w:r>
      <w:r w:rsidR="310C8389" w:rsidRPr="53B64491">
        <w:rPr>
          <w:rFonts w:ascii="Calibri" w:eastAsia="Calibri" w:hAnsi="Calibri" w:cs="Arial"/>
        </w:rPr>
        <w:t xml:space="preserve">, regardless of line </w:t>
      </w:r>
      <w:r w:rsidR="00101CF2" w:rsidRPr="53B64491">
        <w:rPr>
          <w:rFonts w:ascii="Calibri" w:eastAsia="Calibri" w:hAnsi="Calibri" w:cs="Arial"/>
        </w:rPr>
        <w:t xml:space="preserve">of </w:t>
      </w:r>
      <w:r w:rsidR="310C8389" w:rsidRPr="53B64491">
        <w:rPr>
          <w:rFonts w:ascii="Calibri" w:eastAsia="Calibri" w:hAnsi="Calibri" w:cs="Arial"/>
        </w:rPr>
        <w:t>therapy or phase (accelerated/chronic/blast):</w:t>
      </w:r>
    </w:p>
    <w:p w14:paraId="1D657420" w14:textId="2AF53528" w:rsidR="008744D1" w:rsidRDefault="0802306B" w:rsidP="001601DF">
      <w:pPr>
        <w:pStyle w:val="3-BodyText"/>
        <w:numPr>
          <w:ilvl w:val="0"/>
          <w:numId w:val="20"/>
        </w:numPr>
        <w:rPr>
          <w:rFonts w:ascii="Calibri" w:eastAsia="Calibri" w:hAnsi="Calibri" w:cs="Arial"/>
        </w:rPr>
      </w:pPr>
      <w:r w:rsidRPr="46FF861F">
        <w:rPr>
          <w:rFonts w:ascii="Calibri" w:eastAsia="Calibri" w:hAnsi="Calibri" w:cs="Arial"/>
        </w:rPr>
        <w:t>to list initial treatment as telephone/online with Streamlined listings for Continuing treatment</w:t>
      </w:r>
    </w:p>
    <w:p w14:paraId="71CA5FCA" w14:textId="4DF61120" w:rsidR="008744D1" w:rsidRDefault="0802306B" w:rsidP="001601DF">
      <w:pPr>
        <w:pStyle w:val="3-BodyText"/>
        <w:numPr>
          <w:ilvl w:val="0"/>
          <w:numId w:val="20"/>
        </w:numPr>
        <w:rPr>
          <w:rFonts w:ascii="Calibri" w:eastAsia="Calibri" w:hAnsi="Calibri" w:cs="Arial"/>
        </w:rPr>
      </w:pPr>
      <w:r w:rsidRPr="00CC75A6">
        <w:rPr>
          <w:rFonts w:ascii="Calibri" w:eastAsia="Calibri" w:hAnsi="Calibri" w:cs="Arial"/>
        </w:rPr>
        <w:t>to remove prescribing/administrative advice around diagnosis, and definitions of response/non</w:t>
      </w:r>
      <w:r w:rsidR="009075DA">
        <w:rPr>
          <w:rFonts w:ascii="Calibri" w:eastAsia="Calibri" w:hAnsi="Calibri" w:cs="Arial"/>
        </w:rPr>
        <w:noBreakHyphen/>
      </w:r>
      <w:r w:rsidRPr="00CC75A6">
        <w:rPr>
          <w:rFonts w:ascii="Calibri" w:eastAsia="Calibri" w:hAnsi="Calibri" w:cs="Arial"/>
        </w:rPr>
        <w:t>response from restrictions</w:t>
      </w:r>
      <w:r w:rsidR="74E2C338" w:rsidRPr="00CC75A6">
        <w:rPr>
          <w:rFonts w:ascii="Calibri" w:eastAsia="Calibri" w:hAnsi="Calibri" w:cs="Arial"/>
        </w:rPr>
        <w:t>.</w:t>
      </w:r>
    </w:p>
    <w:p w14:paraId="33E02724" w14:textId="6367669E" w:rsidR="00DA7F11" w:rsidRDefault="00DA7F11" w:rsidP="00DA7F11">
      <w:pPr>
        <w:pStyle w:val="3-BodyText"/>
        <w:ind w:left="720"/>
        <w:rPr>
          <w:rFonts w:ascii="Calibri" w:eastAsia="Calibri" w:hAnsi="Calibri" w:cs="Arial"/>
        </w:rPr>
      </w:pPr>
      <w:r>
        <w:rPr>
          <w:rFonts w:ascii="Calibri" w:eastAsia="Calibri" w:hAnsi="Calibri" w:cs="Arial"/>
        </w:rPr>
        <w:t>This recommendation has not yet been implemented.</w:t>
      </w:r>
    </w:p>
    <w:p w14:paraId="6FB6FB02" w14:textId="39CE45A4" w:rsidR="008744D1" w:rsidRPr="00725C42" w:rsidRDefault="1561DB6A" w:rsidP="00587118">
      <w:pPr>
        <w:pStyle w:val="3-BodyText"/>
        <w:numPr>
          <w:ilvl w:val="1"/>
          <w:numId w:val="28"/>
        </w:numPr>
        <w:ind w:left="709" w:hanging="709"/>
        <w:rPr>
          <w:rFonts w:ascii="Calibri" w:eastAsia="Calibri" w:hAnsi="Calibri" w:cs="Arial"/>
        </w:rPr>
      </w:pPr>
      <w:r w:rsidRPr="3956DAE6">
        <w:rPr>
          <w:rFonts w:ascii="Calibri" w:eastAsia="Calibri" w:hAnsi="Calibri" w:cs="Arial"/>
        </w:rPr>
        <w:t>The PBAC considered that these changes should not be extended to asc</w:t>
      </w:r>
      <w:r w:rsidR="0087260E">
        <w:rPr>
          <w:rFonts w:ascii="Calibri" w:eastAsia="Calibri" w:hAnsi="Calibri" w:cs="Arial"/>
        </w:rPr>
        <w:t>i</w:t>
      </w:r>
      <w:r w:rsidRPr="3956DAE6">
        <w:rPr>
          <w:rFonts w:ascii="Calibri" w:eastAsia="Calibri" w:hAnsi="Calibri" w:cs="Arial"/>
        </w:rPr>
        <w:t xml:space="preserve">minib, as the evidence base for asciminib was not as mature as that for imatinib, dasatinib or nilotinib at the time of recommendation. </w:t>
      </w:r>
      <w:r w:rsidR="2E5179F2" w:rsidRPr="3956DAE6">
        <w:rPr>
          <w:rFonts w:ascii="Calibri" w:eastAsia="Calibri" w:hAnsi="Calibri" w:cs="Arial"/>
        </w:rPr>
        <w:t xml:space="preserve">For asciminib (3L setting or beyond; 2L </w:t>
      </w:r>
      <w:r w:rsidR="2E5179F2" w:rsidRPr="3956DAE6">
        <w:rPr>
          <w:rFonts w:ascii="Calibri" w:eastAsia="Calibri" w:hAnsi="Calibri" w:cs="Arial"/>
        </w:rPr>
        <w:lastRenderedPageBreak/>
        <w:t xml:space="preserve">setting or beyond with T315I </w:t>
      </w:r>
      <w:r w:rsidR="37FB7A66" w:rsidRPr="474F99E4">
        <w:rPr>
          <w:rFonts w:ascii="Calibri" w:eastAsia="Calibri" w:hAnsi="Calibri" w:cs="Arial"/>
        </w:rPr>
        <w:t>mutation</w:t>
      </w:r>
      <w:r w:rsidR="2E5179F2" w:rsidRPr="3956DAE6">
        <w:rPr>
          <w:rFonts w:ascii="Calibri" w:eastAsia="Calibri" w:hAnsi="Calibri" w:cs="Arial"/>
        </w:rPr>
        <w:t>), the PBAC advised that the restriction criteria should continue to specify “CML not blast phase (BP)”. Also</w:t>
      </w:r>
      <w:r w:rsidR="36966B1E" w:rsidRPr="3956DAE6">
        <w:rPr>
          <w:rFonts w:ascii="Calibri" w:eastAsia="Calibri" w:hAnsi="Calibri" w:cs="Arial"/>
        </w:rPr>
        <w:t xml:space="preserve">, the PBAC advised that </w:t>
      </w:r>
      <w:r w:rsidR="36966B1E" w:rsidRPr="4359DD3B">
        <w:rPr>
          <w:rFonts w:ascii="Calibri" w:eastAsia="Calibri" w:hAnsi="Calibri" w:cs="Arial"/>
        </w:rPr>
        <w:t>treatment with asciminib should</w:t>
      </w:r>
      <w:r w:rsidR="2E5179F2" w:rsidRPr="3956DAE6">
        <w:rPr>
          <w:rFonts w:ascii="Calibri" w:eastAsia="Calibri" w:hAnsi="Calibri" w:cs="Arial"/>
        </w:rPr>
        <w:t xml:space="preserve"> not </w:t>
      </w:r>
      <w:r w:rsidR="36966B1E" w:rsidRPr="3034FAD8">
        <w:rPr>
          <w:rFonts w:ascii="Calibri" w:eastAsia="Calibri" w:hAnsi="Calibri" w:cs="Arial"/>
        </w:rPr>
        <w:t>be</w:t>
      </w:r>
      <w:r w:rsidR="2E5179F2" w:rsidRPr="4359DD3B">
        <w:rPr>
          <w:rFonts w:ascii="Calibri" w:eastAsia="Calibri" w:hAnsi="Calibri" w:cs="Arial"/>
        </w:rPr>
        <w:t xml:space="preserve"> </w:t>
      </w:r>
      <w:r w:rsidR="2E5179F2" w:rsidRPr="3956DAE6">
        <w:rPr>
          <w:rFonts w:ascii="Calibri" w:eastAsia="Calibri" w:hAnsi="Calibri" w:cs="Arial"/>
        </w:rPr>
        <w:t>line agnostic.</w:t>
      </w:r>
    </w:p>
    <w:p w14:paraId="39A6328A" w14:textId="6C58D810" w:rsidR="008744D1" w:rsidRDefault="337A017F" w:rsidP="00587118">
      <w:pPr>
        <w:pStyle w:val="4-SubsectionHeading"/>
      </w:pPr>
      <w:r>
        <w:t>PBS Review of Prescribing by Nurse Practitioners</w:t>
      </w:r>
    </w:p>
    <w:p w14:paraId="216D5BAE" w14:textId="3D145639" w:rsidR="00B51FAB" w:rsidRPr="00806EEE" w:rsidRDefault="00B51FAB" w:rsidP="00754B26">
      <w:pPr>
        <w:pStyle w:val="3-BodyText"/>
        <w:numPr>
          <w:ilvl w:val="1"/>
          <w:numId w:val="28"/>
        </w:numPr>
        <w:ind w:left="709" w:hanging="709"/>
        <w:rPr>
          <w:rFonts w:ascii="Calibri" w:eastAsia="Calibri" w:hAnsi="Calibri" w:cs="Arial"/>
          <w:szCs w:val="24"/>
        </w:rPr>
      </w:pPr>
      <w:r>
        <w:rPr>
          <w:rFonts w:ascii="Calibri" w:eastAsia="Calibri" w:hAnsi="Calibri" w:cs="Arial"/>
          <w:szCs w:val="24"/>
        </w:rPr>
        <w:t xml:space="preserve">The PBAC </w:t>
      </w:r>
      <w:r w:rsidR="00806EEE">
        <w:rPr>
          <w:rFonts w:ascii="Calibri" w:eastAsia="Calibri" w:hAnsi="Calibri" w:cs="Arial"/>
          <w:szCs w:val="24"/>
        </w:rPr>
        <w:t xml:space="preserve">recalled </w:t>
      </w:r>
      <w:r w:rsidR="00021611">
        <w:rPr>
          <w:rFonts w:ascii="Calibri" w:eastAsia="Calibri" w:hAnsi="Calibri" w:cs="Arial"/>
          <w:szCs w:val="24"/>
        </w:rPr>
        <w:t xml:space="preserve">from its March 2024 meeting </w:t>
      </w:r>
      <w:r w:rsidR="00806EEE">
        <w:rPr>
          <w:rFonts w:ascii="Calibri" w:eastAsia="Calibri" w:hAnsi="Calibri" w:cs="Arial"/>
          <w:szCs w:val="24"/>
        </w:rPr>
        <w:t xml:space="preserve">its </w:t>
      </w:r>
      <w:r w:rsidR="00F51129">
        <w:rPr>
          <w:rFonts w:ascii="Calibri" w:eastAsia="Calibri" w:hAnsi="Calibri" w:cs="Arial"/>
          <w:szCs w:val="24"/>
        </w:rPr>
        <w:t xml:space="preserve">General Principles for </w:t>
      </w:r>
      <w:r w:rsidR="00806EEE">
        <w:rPr>
          <w:rFonts w:ascii="Calibri" w:eastAsia="Calibri" w:hAnsi="Calibri" w:cs="Arial"/>
          <w:szCs w:val="24"/>
        </w:rPr>
        <w:t>Prescriber Type Determination</w:t>
      </w:r>
      <w:r w:rsidR="00021611">
        <w:rPr>
          <w:rFonts w:ascii="Calibri" w:eastAsia="Calibri" w:hAnsi="Calibri" w:cs="Arial"/>
          <w:szCs w:val="24"/>
        </w:rPr>
        <w:t>. Under these Principles</w:t>
      </w:r>
      <w:r w:rsidR="00806EEE">
        <w:rPr>
          <w:rFonts w:ascii="Calibri" w:eastAsia="Calibri" w:hAnsi="Calibri" w:cs="Arial"/>
          <w:szCs w:val="24"/>
        </w:rPr>
        <w:t xml:space="preserve">, the PBAC is to consider whether </w:t>
      </w:r>
      <w:r w:rsidR="00F31151">
        <w:rPr>
          <w:rFonts w:ascii="Calibri" w:eastAsia="Calibri" w:hAnsi="Calibri" w:cs="Arial"/>
          <w:szCs w:val="24"/>
        </w:rPr>
        <w:t>prescriber</w:t>
      </w:r>
      <w:r w:rsidR="00806EEE">
        <w:rPr>
          <w:rFonts w:ascii="Calibri" w:eastAsia="Calibri" w:hAnsi="Calibri" w:cs="Arial"/>
          <w:szCs w:val="24"/>
        </w:rPr>
        <w:t xml:space="preserve"> groups (e.g., optometrists, nurse practitioners, endorsed midwives) are </w:t>
      </w:r>
      <w:r w:rsidR="00F51129">
        <w:rPr>
          <w:rFonts w:ascii="Calibri" w:eastAsia="Calibri" w:hAnsi="Calibri" w:cs="Arial"/>
          <w:szCs w:val="24"/>
        </w:rPr>
        <w:t xml:space="preserve">to be excluded from prescribing. This </w:t>
      </w:r>
      <w:r w:rsidR="00F77D78">
        <w:rPr>
          <w:rFonts w:ascii="Calibri" w:eastAsia="Calibri" w:hAnsi="Calibri" w:cs="Arial"/>
          <w:szCs w:val="24"/>
        </w:rPr>
        <w:t xml:space="preserve">consideration is to be cited in minutes and </w:t>
      </w:r>
      <w:r w:rsidR="003123AD">
        <w:rPr>
          <w:rFonts w:ascii="Calibri" w:eastAsia="Calibri" w:hAnsi="Calibri" w:cs="Arial"/>
          <w:szCs w:val="24"/>
        </w:rPr>
        <w:t xml:space="preserve">PSDs </w:t>
      </w:r>
      <w:r w:rsidR="00F77D78">
        <w:rPr>
          <w:rFonts w:ascii="Calibri" w:eastAsia="Calibri" w:hAnsi="Calibri" w:cs="Arial"/>
          <w:szCs w:val="24"/>
        </w:rPr>
        <w:t xml:space="preserve">for PBAC items. </w:t>
      </w:r>
    </w:p>
    <w:p w14:paraId="37EDAD8D" w14:textId="201361E7" w:rsidR="008744D1" w:rsidRDefault="337A017F" w:rsidP="007170AA">
      <w:pPr>
        <w:pStyle w:val="3-BodyText"/>
        <w:numPr>
          <w:ilvl w:val="1"/>
          <w:numId w:val="28"/>
        </w:numPr>
        <w:ind w:left="709" w:hanging="709"/>
        <w:rPr>
          <w:rFonts w:ascii="Calibri" w:eastAsia="Calibri" w:hAnsi="Calibri" w:cs="Arial"/>
          <w:szCs w:val="24"/>
        </w:rPr>
      </w:pPr>
      <w:r>
        <w:t xml:space="preserve">The department has </w:t>
      </w:r>
      <w:r w:rsidR="4FF90AEF">
        <w:t>recently completed</w:t>
      </w:r>
      <w:r>
        <w:t xml:space="preserve"> a review of PBS prescribing by NPs and endorsed midwives. This is in response to Item 4.1.2 of the Nurse Practitioner Workforce Plan released by the </w:t>
      </w:r>
      <w:r w:rsidR="74663549">
        <w:t xml:space="preserve">Australian </w:t>
      </w:r>
      <w:r>
        <w:t>Government in May 2023.</w:t>
      </w:r>
      <w:r w:rsidR="01651A0F">
        <w:t xml:space="preserve"> </w:t>
      </w:r>
      <w:r w:rsidR="352041E0" w:rsidRPr="00CC75A6">
        <w:rPr>
          <w:rFonts w:ascii="Calibri" w:eastAsia="Calibri" w:hAnsi="Calibri" w:cs="Arial"/>
          <w:szCs w:val="24"/>
        </w:rPr>
        <w:t>In early 2024, the then</w:t>
      </w:r>
      <w:r w:rsidR="009075DA">
        <w:rPr>
          <w:rFonts w:ascii="Calibri" w:eastAsia="Calibri" w:hAnsi="Calibri" w:cs="Arial"/>
          <w:szCs w:val="24"/>
        </w:rPr>
        <w:noBreakHyphen/>
      </w:r>
      <w:r w:rsidR="352041E0" w:rsidRPr="00CC75A6">
        <w:rPr>
          <w:rFonts w:ascii="Calibri" w:eastAsia="Calibri" w:hAnsi="Calibri" w:cs="Arial"/>
          <w:szCs w:val="24"/>
        </w:rPr>
        <w:t>PBAC Chair consulted with health professional groups (nurse practitioner, midwifery, medical and rural/remote medicine) in the development of general principles for determining prescriber types for PBS listings. Whil</w:t>
      </w:r>
      <w:r w:rsidR="00460DE2">
        <w:rPr>
          <w:rFonts w:ascii="Calibri" w:eastAsia="Calibri" w:hAnsi="Calibri" w:cs="Arial"/>
          <w:szCs w:val="24"/>
        </w:rPr>
        <w:t>e</w:t>
      </w:r>
      <w:r w:rsidR="352041E0" w:rsidRPr="00CC75A6">
        <w:rPr>
          <w:rFonts w:ascii="Calibri" w:eastAsia="Calibri" w:hAnsi="Calibri" w:cs="Arial"/>
          <w:szCs w:val="24"/>
        </w:rPr>
        <w:t xml:space="preserve"> the draft guidance principles were developed in the context of this PBS Review, the guidance principles were intended to be applicable to all PBS prescribers. The PBAC endorsed the guidance principles for determining PBS prescriber type eligibility at its March 2024 meeting</w:t>
      </w:r>
      <w:r w:rsidR="00943D50">
        <w:rPr>
          <w:rFonts w:ascii="Calibri" w:eastAsia="Calibri" w:hAnsi="Calibri" w:cs="Arial"/>
          <w:szCs w:val="24"/>
        </w:rPr>
        <w:t>.</w:t>
      </w:r>
      <w:r w:rsidR="00C41484">
        <w:rPr>
          <w:rFonts w:ascii="Calibri" w:eastAsia="Calibri" w:hAnsi="Calibri" w:cs="Arial"/>
          <w:szCs w:val="24"/>
        </w:rPr>
        <w:t xml:space="preserve"> </w:t>
      </w:r>
      <w:r w:rsidR="00943D50">
        <w:rPr>
          <w:rFonts w:ascii="Calibri" w:eastAsia="Calibri" w:hAnsi="Calibri" w:cs="Arial"/>
          <w:szCs w:val="24"/>
        </w:rPr>
        <w:t>A</w:t>
      </w:r>
      <w:r w:rsidR="352041E0" w:rsidRPr="00CC75A6">
        <w:rPr>
          <w:rFonts w:ascii="Calibri" w:eastAsia="Calibri" w:hAnsi="Calibri" w:cs="Arial"/>
          <w:szCs w:val="24"/>
        </w:rPr>
        <w:t>n abridged version is shown in Table 1.</w:t>
      </w:r>
    </w:p>
    <w:p w14:paraId="0884F82F" w14:textId="2CBDFE6C" w:rsidR="003123AD" w:rsidRDefault="000F3060" w:rsidP="000F3060">
      <w:pPr>
        <w:pStyle w:val="Caption"/>
        <w:keepNext/>
      </w:pPr>
      <w:r>
        <w:t xml:space="preserve">Table </w:t>
      </w:r>
      <w:fldSimple w:instr=" SEQ Table \* ARABIC ">
        <w:r w:rsidR="00725C42">
          <w:rPr>
            <w:noProof/>
          </w:rPr>
          <w:t>1</w:t>
        </w:r>
      </w:fldSimple>
      <w:r>
        <w:t xml:space="preserve">: </w:t>
      </w:r>
      <w:r w:rsidR="352041E0">
        <w:t>PBAC general principles for guiding PBS prescriber type eligibility (abridged)</w:t>
      </w:r>
    </w:p>
    <w:tbl>
      <w:tblPr>
        <w:tblStyle w:val="TableGrid"/>
        <w:tblW w:w="5000" w:type="pct"/>
        <w:tblLook w:val="06A0" w:firstRow="1" w:lastRow="0" w:firstColumn="1" w:lastColumn="0" w:noHBand="1" w:noVBand="1"/>
        <w:tblCaption w:val="Table 1: PBAC general principles for guiding PBS prescriber type eligibility (abridged)"/>
      </w:tblPr>
      <w:tblGrid>
        <w:gridCol w:w="332"/>
        <w:gridCol w:w="2021"/>
        <w:gridCol w:w="6663"/>
      </w:tblGrid>
      <w:tr w:rsidR="00C222A4" w14:paraId="559A339D" w14:textId="77777777" w:rsidTr="000F3060">
        <w:trPr>
          <w:trHeight w:val="208"/>
        </w:trPr>
        <w:tc>
          <w:tcPr>
            <w:tcW w:w="1305" w:type="pct"/>
            <w:gridSpan w:val="2"/>
          </w:tcPr>
          <w:p w14:paraId="5916E450" w14:textId="65E83E67" w:rsidR="00CC75A6" w:rsidRDefault="00CC75A6" w:rsidP="000F3060">
            <w:pPr>
              <w:pStyle w:val="In-tableHeading"/>
            </w:pPr>
            <w:r w:rsidRPr="00CC75A6">
              <w:t>Principle</w:t>
            </w:r>
          </w:p>
        </w:tc>
        <w:tc>
          <w:tcPr>
            <w:tcW w:w="3695" w:type="pct"/>
          </w:tcPr>
          <w:p w14:paraId="09BFD8A1" w14:textId="20A4B708" w:rsidR="00CC75A6" w:rsidRDefault="00CC75A6" w:rsidP="000F3060">
            <w:pPr>
              <w:pStyle w:val="In-tableHeading"/>
            </w:pPr>
            <w:r w:rsidRPr="00CC75A6">
              <w:t>Considerations may include (but are not limited to):</w:t>
            </w:r>
          </w:p>
        </w:tc>
      </w:tr>
      <w:tr w:rsidR="00C222A4" w14:paraId="54D84CDA" w14:textId="77777777" w:rsidTr="000F3060">
        <w:trPr>
          <w:trHeight w:val="300"/>
        </w:trPr>
        <w:tc>
          <w:tcPr>
            <w:tcW w:w="184" w:type="pct"/>
          </w:tcPr>
          <w:p w14:paraId="01FA93A4" w14:textId="384E8017" w:rsidR="00CC75A6" w:rsidRDefault="00CC75A6" w:rsidP="000F3060">
            <w:pPr>
              <w:pStyle w:val="TableText0"/>
            </w:pPr>
            <w:r w:rsidRPr="00CC75A6">
              <w:t>1</w:t>
            </w:r>
          </w:p>
        </w:tc>
        <w:tc>
          <w:tcPr>
            <w:tcW w:w="1120" w:type="pct"/>
          </w:tcPr>
          <w:p w14:paraId="2EA69041" w14:textId="76A43022" w:rsidR="00CC75A6" w:rsidRDefault="00CC75A6" w:rsidP="000F3060">
            <w:pPr>
              <w:pStyle w:val="TableText0"/>
            </w:pPr>
            <w:r w:rsidRPr="00CC75A6">
              <w:t>Scope of practice of the health practitioner group</w:t>
            </w:r>
          </w:p>
        </w:tc>
        <w:tc>
          <w:tcPr>
            <w:tcW w:w="3695" w:type="pct"/>
          </w:tcPr>
          <w:p w14:paraId="203ADE0C" w14:textId="7D3CB055" w:rsidR="00CC75A6" w:rsidRDefault="00CC75A6" w:rsidP="000F3060">
            <w:pPr>
              <w:pStyle w:val="TableText0"/>
            </w:pPr>
            <w:r w:rsidRPr="00CC75A6">
              <w:t>Consider if the prescriber group is likely to be required to treat patients with this medicine.</w:t>
            </w:r>
          </w:p>
        </w:tc>
      </w:tr>
      <w:tr w:rsidR="00C222A4" w14:paraId="25B69568" w14:textId="77777777" w:rsidTr="000F3060">
        <w:trPr>
          <w:trHeight w:val="300"/>
        </w:trPr>
        <w:tc>
          <w:tcPr>
            <w:tcW w:w="184" w:type="pct"/>
          </w:tcPr>
          <w:p w14:paraId="45388B55" w14:textId="048215AA" w:rsidR="00CC75A6" w:rsidRDefault="00CC75A6" w:rsidP="000F3060">
            <w:pPr>
              <w:pStyle w:val="TableText0"/>
            </w:pPr>
            <w:r w:rsidRPr="00CC75A6">
              <w:t>2</w:t>
            </w:r>
          </w:p>
        </w:tc>
        <w:tc>
          <w:tcPr>
            <w:tcW w:w="1120" w:type="pct"/>
          </w:tcPr>
          <w:p w14:paraId="5304E8DC" w14:textId="0F1AA167" w:rsidR="00CC75A6" w:rsidRDefault="00CC75A6" w:rsidP="000F3060">
            <w:pPr>
              <w:pStyle w:val="TableText0"/>
            </w:pPr>
            <w:r w:rsidRPr="00CC75A6">
              <w:t>Scope of practice of individual health practitioners</w:t>
            </w:r>
          </w:p>
        </w:tc>
        <w:tc>
          <w:tcPr>
            <w:tcW w:w="3695" w:type="pct"/>
          </w:tcPr>
          <w:p w14:paraId="096B1A32" w14:textId="0FA274CF" w:rsidR="00CC75A6" w:rsidRDefault="00CC75A6" w:rsidP="000F3060">
            <w:pPr>
              <w:pStyle w:val="TableText0"/>
            </w:pPr>
            <w:r w:rsidRPr="00CC75A6">
              <w:t>Consider whether a subset of prescribers within the health practitioner group have an extended or specialised scope of practice. Consider what education, training or experience may be required, how this is recognised, and the context of practice for these health practitioners.</w:t>
            </w:r>
          </w:p>
        </w:tc>
      </w:tr>
      <w:tr w:rsidR="00C222A4" w14:paraId="09B0A228" w14:textId="77777777" w:rsidTr="000F3060">
        <w:trPr>
          <w:trHeight w:val="300"/>
        </w:trPr>
        <w:tc>
          <w:tcPr>
            <w:tcW w:w="184" w:type="pct"/>
          </w:tcPr>
          <w:p w14:paraId="04C8F3BB" w14:textId="13B8BEAC" w:rsidR="00CC75A6" w:rsidRDefault="00CC75A6" w:rsidP="000F3060">
            <w:pPr>
              <w:pStyle w:val="TableText0"/>
            </w:pPr>
            <w:r w:rsidRPr="00CC75A6">
              <w:t>3</w:t>
            </w:r>
          </w:p>
        </w:tc>
        <w:tc>
          <w:tcPr>
            <w:tcW w:w="1120" w:type="pct"/>
          </w:tcPr>
          <w:p w14:paraId="3F300A31" w14:textId="059144F5" w:rsidR="00CC75A6" w:rsidRDefault="00CC75A6" w:rsidP="000F3060">
            <w:pPr>
              <w:pStyle w:val="TableText0"/>
            </w:pPr>
            <w:r w:rsidRPr="00CC75A6">
              <w:t>Medicine specific considerations</w:t>
            </w:r>
          </w:p>
        </w:tc>
        <w:tc>
          <w:tcPr>
            <w:tcW w:w="3695" w:type="pct"/>
          </w:tcPr>
          <w:p w14:paraId="27461A9A" w14:textId="6134672F" w:rsidR="00CC75A6" w:rsidRDefault="00CC75A6" w:rsidP="000F3060">
            <w:pPr>
              <w:pStyle w:val="TableText0"/>
            </w:pPr>
            <w:r w:rsidRPr="00CC75A6">
              <w:t>Consider any medicine</w:t>
            </w:r>
            <w:r w:rsidR="009075DA">
              <w:noBreakHyphen/>
            </w:r>
            <w:r w:rsidRPr="00CC75A6">
              <w:t>specific risks for prescribing e.g. narrow therapeutic index, addiction/diversion risks, dosing error risks, severe side effects, medicine scheduling. Consider medicine cost/overall Government budget impact.</w:t>
            </w:r>
          </w:p>
        </w:tc>
      </w:tr>
      <w:tr w:rsidR="00C222A4" w14:paraId="6E3A6E83" w14:textId="77777777" w:rsidTr="000F3060">
        <w:trPr>
          <w:trHeight w:val="300"/>
        </w:trPr>
        <w:tc>
          <w:tcPr>
            <w:tcW w:w="184" w:type="pct"/>
          </w:tcPr>
          <w:p w14:paraId="1157C41D" w14:textId="3F364FCE" w:rsidR="00CC75A6" w:rsidRDefault="00CC75A6" w:rsidP="000F3060">
            <w:pPr>
              <w:pStyle w:val="TableText0"/>
            </w:pPr>
            <w:r w:rsidRPr="00CC75A6">
              <w:t>4</w:t>
            </w:r>
          </w:p>
        </w:tc>
        <w:tc>
          <w:tcPr>
            <w:tcW w:w="1120" w:type="pct"/>
          </w:tcPr>
          <w:p w14:paraId="0519B991" w14:textId="5E96955C" w:rsidR="00CC75A6" w:rsidRDefault="00CC75A6" w:rsidP="000F3060">
            <w:pPr>
              <w:pStyle w:val="TableText0"/>
            </w:pPr>
            <w:r w:rsidRPr="00CC75A6">
              <w:t>Health condition specific considerations</w:t>
            </w:r>
          </w:p>
        </w:tc>
        <w:tc>
          <w:tcPr>
            <w:tcW w:w="3695" w:type="pct"/>
          </w:tcPr>
          <w:p w14:paraId="700ADA1E" w14:textId="17ED4C1A" w:rsidR="00CC75A6" w:rsidRDefault="00CC75A6" w:rsidP="000F3060">
            <w:pPr>
              <w:pStyle w:val="TableText0"/>
            </w:pPr>
            <w:r w:rsidRPr="00CC75A6">
              <w:t>Consider the complexity of the condition the medicine is used for, risk and implications of misdiagnosis or mismanagement, and consequences of possible treatment delay.</w:t>
            </w:r>
          </w:p>
        </w:tc>
      </w:tr>
    </w:tbl>
    <w:p w14:paraId="5FDB07AD" w14:textId="758C306B" w:rsidR="2E780AF1" w:rsidRDefault="2E780AF1" w:rsidP="007170AA">
      <w:pPr>
        <w:pStyle w:val="3-BodyText"/>
        <w:numPr>
          <w:ilvl w:val="1"/>
          <w:numId w:val="28"/>
        </w:numPr>
        <w:ind w:left="709" w:hanging="709"/>
        <w:rPr>
          <w:rFonts w:ascii="Calibri" w:eastAsia="Calibri" w:hAnsi="Calibri" w:cs="Arial"/>
          <w:szCs w:val="24"/>
        </w:rPr>
      </w:pPr>
      <w:r w:rsidRPr="00CC75A6">
        <w:rPr>
          <w:rFonts w:ascii="Calibri" w:eastAsia="Calibri" w:hAnsi="Calibri" w:cs="Arial"/>
          <w:szCs w:val="24"/>
        </w:rPr>
        <w:t xml:space="preserve">Between 1 March – 1 April 2024, the </w:t>
      </w:r>
      <w:r w:rsidR="008033F3">
        <w:rPr>
          <w:rFonts w:ascii="Calibri" w:eastAsia="Calibri" w:hAnsi="Calibri" w:cs="Arial"/>
          <w:szCs w:val="24"/>
        </w:rPr>
        <w:t>d</w:t>
      </w:r>
      <w:r w:rsidRPr="00CC75A6">
        <w:rPr>
          <w:rFonts w:ascii="Calibri" w:eastAsia="Calibri" w:hAnsi="Calibri" w:cs="Arial"/>
          <w:szCs w:val="24"/>
        </w:rPr>
        <w:t xml:space="preserve">epartment published a </w:t>
      </w:r>
      <w:hyperlink r:id="rId11" w:history="1">
        <w:r w:rsidRPr="00CC75A6">
          <w:rPr>
            <w:rStyle w:val="Hyperlink"/>
            <w:rFonts w:ascii="Calibri" w:eastAsia="Calibri" w:hAnsi="Calibri" w:cs="Arial"/>
            <w:szCs w:val="24"/>
          </w:rPr>
          <w:t>consultation survey</w:t>
        </w:r>
      </w:hyperlink>
      <w:r w:rsidRPr="00CC75A6">
        <w:rPr>
          <w:rFonts w:ascii="Calibri" w:eastAsia="Calibri" w:hAnsi="Calibri" w:cs="Arial"/>
          <w:szCs w:val="24"/>
        </w:rPr>
        <w:t xml:space="preserve"> to inform the PBS Review, to collect data on which medicines are frequently being prescribed privately by nurse practitioners and endorsed midwives that are subsidised through the PBS when prescribed by another prescriber type, and the settings in which this is occurring. The survey received feedback from consumers, carers, health professionals, consumer groups and peak representative organisations</w:t>
      </w:r>
    </w:p>
    <w:p w14:paraId="3427D6C3" w14:textId="71F20B0F" w:rsidR="008744D1" w:rsidRDefault="00BD7CCA" w:rsidP="007170AA">
      <w:pPr>
        <w:pStyle w:val="3-BodyText"/>
        <w:numPr>
          <w:ilvl w:val="1"/>
          <w:numId w:val="28"/>
        </w:numPr>
        <w:ind w:left="709" w:hanging="709"/>
      </w:pPr>
      <w:r>
        <w:t xml:space="preserve">Under this </w:t>
      </w:r>
      <w:hyperlink r:id="rId12" w:history="1">
        <w:r w:rsidRPr="005863AF">
          <w:rPr>
            <w:rStyle w:val="Hyperlink"/>
          </w:rPr>
          <w:t>review</w:t>
        </w:r>
      </w:hyperlink>
      <w:r>
        <w:t>, a</w:t>
      </w:r>
      <w:r w:rsidR="008744D1">
        <w:t xml:space="preserve">t its July 2025 meeting, the PBAC considered a tranche of identified medicines for the Review consisting of General Schedule oncology, haematology, and S100 HSD medicines. </w:t>
      </w:r>
      <w:r w:rsidR="004F5109">
        <w:t xml:space="preserve">The PBAC considered whether </w:t>
      </w:r>
      <w:r w:rsidR="1E3994BB">
        <w:t>stakeholder</w:t>
      </w:r>
      <w:r w:rsidR="009075DA">
        <w:noBreakHyphen/>
      </w:r>
      <w:r w:rsidR="1E3994BB">
        <w:t>identified</w:t>
      </w:r>
      <w:r w:rsidR="00740EA6">
        <w:t xml:space="preserve"> medicines</w:t>
      </w:r>
      <w:r w:rsidR="00993952">
        <w:t xml:space="preserve"> </w:t>
      </w:r>
      <w:r w:rsidR="5A9F0081">
        <w:t xml:space="preserve">should be </w:t>
      </w:r>
      <w:r w:rsidR="008F4FDA">
        <w:t xml:space="preserve">eligible for NP prescribing. </w:t>
      </w:r>
      <w:r w:rsidR="00DB07EA">
        <w:t xml:space="preserve">Asciminib </w:t>
      </w:r>
      <w:r w:rsidR="008744D1">
        <w:t xml:space="preserve">was </w:t>
      </w:r>
      <w:r w:rsidR="008744D1">
        <w:lastRenderedPageBreak/>
        <w:t xml:space="preserve">not considered at this meeting as it had not been identified for review by stakeholders. </w:t>
      </w:r>
      <w:r w:rsidR="4299D2D8">
        <w:t xml:space="preserve">Given that asciminib was first listed on 1 May 2023 and the NP/MW online consultation survey only opened in March 2024, NP experience </w:t>
      </w:r>
      <w:r w:rsidR="1672EBF2">
        <w:t xml:space="preserve">and awareness of asciminib on the PBS may have been low and therefore not identified widely by nurse practitioners in the responses to the survey. </w:t>
      </w:r>
      <w:r w:rsidR="26B10E43">
        <w:t>Instead, long</w:t>
      </w:r>
      <w:r w:rsidR="009075DA">
        <w:noBreakHyphen/>
      </w:r>
      <w:r w:rsidR="26B10E43">
        <w:t xml:space="preserve">standing CML treatments such as imatinib, dasatinib and nilotinib, as well as others, were identified by </w:t>
      </w:r>
      <w:r w:rsidR="75F81A8F">
        <w:t>nurse practitioner survey respondents.</w:t>
      </w:r>
    </w:p>
    <w:p w14:paraId="73EE5C2F" w14:textId="67C1689F" w:rsidR="006C48DC" w:rsidRDefault="008744D1" w:rsidP="007170AA">
      <w:pPr>
        <w:pStyle w:val="3-BodyText"/>
        <w:numPr>
          <w:ilvl w:val="1"/>
          <w:numId w:val="28"/>
        </w:numPr>
        <w:ind w:left="709" w:hanging="709"/>
      </w:pPr>
      <w:r>
        <w:t>For oncological or haematological conditions</w:t>
      </w:r>
      <w:r w:rsidR="3AB7F903">
        <w:t xml:space="preserve"> in general</w:t>
      </w:r>
      <w:r>
        <w:t xml:space="preserve">, the PBAC considered that the clinical work up required for a diagnosis and differential diagnosis may be complex and likely require that a patient’s care be overseen by an oncologist or haematologist. </w:t>
      </w:r>
      <w:r w:rsidR="006C48DC">
        <w:t>As such, the PBAC was of a view that limiting nurse practitioner prescribing to continuing therapy</w:t>
      </w:r>
      <w:r w:rsidR="7C461266">
        <w:t xml:space="preserve"> with a specific medicine</w:t>
      </w:r>
      <w:r w:rsidR="006C48DC">
        <w:t>, and where patient care is shared with a medical practitioner, would assist in mitigating potential risks</w:t>
      </w:r>
      <w:r w:rsidR="00F31151">
        <w:t>.</w:t>
      </w:r>
      <w:r w:rsidR="28748E0F">
        <w:t xml:space="preserve"> </w:t>
      </w:r>
      <w:r w:rsidR="000657A1">
        <w:t xml:space="preserve">These considerations </w:t>
      </w:r>
      <w:r w:rsidR="006C48DC">
        <w:t xml:space="preserve">applied to </w:t>
      </w:r>
      <w:r w:rsidR="000657A1">
        <w:t>the</w:t>
      </w:r>
      <w:r w:rsidR="006C48DC">
        <w:t xml:space="preserve"> </w:t>
      </w:r>
      <w:r w:rsidR="000657A1">
        <w:t xml:space="preserve">TKIs </w:t>
      </w:r>
      <w:r w:rsidR="00783A78">
        <w:t xml:space="preserve">treating </w:t>
      </w:r>
      <w:r w:rsidR="006C48DC">
        <w:t>CML</w:t>
      </w:r>
      <w:r w:rsidR="00B721AF">
        <w:t xml:space="preserve"> </w:t>
      </w:r>
      <w:r w:rsidR="005C7783">
        <w:t xml:space="preserve">that were specifically identified by </w:t>
      </w:r>
      <w:r w:rsidR="007A18E2">
        <w:t>nurse practitioners from the online consultation survey open throughout March 2024</w:t>
      </w:r>
      <w:r w:rsidR="00483059">
        <w:t xml:space="preserve"> (</w:t>
      </w:r>
      <w:r w:rsidR="006C48DC">
        <w:t xml:space="preserve">imatinib, dasatinib, nilotinib, </w:t>
      </w:r>
      <w:r w:rsidR="00993952">
        <w:t xml:space="preserve">and </w:t>
      </w:r>
      <w:r w:rsidR="006C48DC">
        <w:t>ponatinib</w:t>
      </w:r>
      <w:r w:rsidR="00483059">
        <w:t>)</w:t>
      </w:r>
      <w:r w:rsidR="006C48DC">
        <w:t>.</w:t>
      </w:r>
    </w:p>
    <w:p w14:paraId="3386F2CB" w14:textId="2CE7C20B" w:rsidR="008744D1" w:rsidRDefault="28E08795" w:rsidP="007170AA">
      <w:pPr>
        <w:pStyle w:val="3-BodyText"/>
        <w:numPr>
          <w:ilvl w:val="1"/>
          <w:numId w:val="28"/>
        </w:numPr>
        <w:ind w:left="709" w:hanging="709"/>
      </w:pPr>
      <w:r>
        <w:t xml:space="preserve">These July 2025 PBAC recommendations for oncology and haematology </w:t>
      </w:r>
      <w:r w:rsidR="488A90DF">
        <w:t xml:space="preserve">General Schedule medicines </w:t>
      </w:r>
      <w:r>
        <w:t>were implemented on 1 February 2026.</w:t>
      </w:r>
      <w:r w:rsidR="3743373C">
        <w:t xml:space="preserve"> The following treatment criterion was added:</w:t>
      </w:r>
    </w:p>
    <w:p w14:paraId="6C955CB3" w14:textId="71F0C307" w:rsidR="00E82AFD" w:rsidRPr="0069315F" w:rsidRDefault="4527B42A" w:rsidP="00725C42">
      <w:pPr>
        <w:pStyle w:val="3Bodytext"/>
        <w:keepNext/>
        <w:ind w:left="720" w:hanging="11"/>
        <w:rPr>
          <w:rFonts w:ascii="Arial Narrow" w:hAnsi="Arial Narrow"/>
          <w:b/>
          <w:bCs/>
          <w:sz w:val="20"/>
          <w:szCs w:val="20"/>
        </w:rPr>
      </w:pPr>
      <w:r w:rsidRPr="00CC75A6">
        <w:rPr>
          <w:rFonts w:ascii="Arial Narrow" w:hAnsi="Arial Narrow"/>
          <w:b/>
          <w:bCs/>
          <w:sz w:val="20"/>
          <w:szCs w:val="20"/>
        </w:rPr>
        <w:t>Treatment criteria:</w:t>
      </w:r>
    </w:p>
    <w:p w14:paraId="391236D7" w14:textId="5F58FF9C" w:rsidR="00E82AFD" w:rsidRPr="0069315F" w:rsidRDefault="00E82AFD" w:rsidP="00725C42">
      <w:pPr>
        <w:pStyle w:val="3Bodytext"/>
        <w:keepNext/>
        <w:ind w:left="720" w:hanging="11"/>
        <w:rPr>
          <w:rFonts w:ascii="Arial Narrow" w:hAnsi="Arial Narrow"/>
          <w:sz w:val="20"/>
          <w:szCs w:val="20"/>
        </w:rPr>
      </w:pPr>
      <w:r w:rsidRPr="00CC75A6">
        <w:rPr>
          <w:rFonts w:ascii="Arial Narrow" w:hAnsi="Arial Narrow"/>
          <w:sz w:val="20"/>
          <w:szCs w:val="20"/>
        </w:rPr>
        <w:t>Must be treated by a medical practitioner; or</w:t>
      </w:r>
    </w:p>
    <w:p w14:paraId="0ACE9AAB" w14:textId="39E79C7B" w:rsidR="00E82AFD" w:rsidRDefault="00E82AFD" w:rsidP="00725C42">
      <w:pPr>
        <w:pStyle w:val="3Bodytext"/>
        <w:keepNext/>
        <w:ind w:left="720" w:hanging="11"/>
        <w:rPr>
          <w:rFonts w:ascii="Arial Narrow" w:hAnsi="Arial Narrow"/>
          <w:sz w:val="20"/>
          <w:szCs w:val="20"/>
        </w:rPr>
      </w:pPr>
      <w:r w:rsidRPr="00CC75A6">
        <w:rPr>
          <w:rFonts w:ascii="Arial Narrow" w:hAnsi="Arial Narrow"/>
          <w:sz w:val="20"/>
          <w:szCs w:val="20"/>
        </w:rPr>
        <w:t>Must be treated by a nurse practitioner where both of the following are occurring: (i) patient care is being shared with a medical practitioner, (ii) the prescription continues existing therapy with this medicine</w:t>
      </w:r>
    </w:p>
    <w:p w14:paraId="3B477CF4" w14:textId="74201380" w:rsidR="001B0767" w:rsidRPr="00A6439B" w:rsidRDefault="001B0767" w:rsidP="007170AA">
      <w:pPr>
        <w:pStyle w:val="2-SectionHeading"/>
        <w:numPr>
          <w:ilvl w:val="0"/>
          <w:numId w:val="28"/>
        </w:numPr>
      </w:pPr>
      <w:r>
        <w:t xml:space="preserve">Requested listing </w:t>
      </w:r>
    </w:p>
    <w:p w14:paraId="4C3767FE" w14:textId="65A1C054" w:rsidR="00844DB3" w:rsidRPr="00844DB3" w:rsidRDefault="00FA6B8B" w:rsidP="00FA6B8B">
      <w:pPr>
        <w:pStyle w:val="3-BodyText"/>
        <w:ind w:left="709" w:hanging="709"/>
      </w:pPr>
      <w:r>
        <w:t>3.1</w:t>
      </w:r>
      <w:r>
        <w:tab/>
      </w:r>
      <w:r w:rsidR="00A76272" w:rsidRPr="00844DB3">
        <w:t xml:space="preserve">The sponsor requested the addition of NPs as a prescriber type to all existing asciminib listings for both initial and continuing treatment phases. </w:t>
      </w:r>
    </w:p>
    <w:p w14:paraId="0A8D215D" w14:textId="43A1B147" w:rsidR="000F1C6E" w:rsidRPr="00844DB3" w:rsidRDefault="000F1C6E" w:rsidP="000F1C6E">
      <w:pPr>
        <w:pStyle w:val="3-BodyText"/>
        <w:ind w:left="709"/>
      </w:pPr>
      <w:r w:rsidRPr="00844DB3">
        <w:t xml:space="preserve">The Secretariat proposed </w:t>
      </w:r>
      <w:r w:rsidR="00C073DB" w:rsidRPr="00844DB3">
        <w:t xml:space="preserve">to add ‘NP – nurse practitioner’ prescriber type to the existing </w:t>
      </w:r>
      <w:r w:rsidR="00CD40A4">
        <w:t xml:space="preserve">continuing treatment </w:t>
      </w:r>
      <w:r w:rsidR="00775AAC">
        <w:t>phase listings</w:t>
      </w:r>
      <w:r w:rsidR="00B721AF">
        <w:t xml:space="preserve"> </w:t>
      </w:r>
      <w:r w:rsidR="00C073DB" w:rsidRPr="00844DB3">
        <w:t>as follows:</w:t>
      </w:r>
    </w:p>
    <w:p w14:paraId="1B8C14F6" w14:textId="41A4E3F2" w:rsidR="006A6E6A" w:rsidRPr="00C073DB" w:rsidRDefault="00725C42" w:rsidP="00725C42">
      <w:pPr>
        <w:pStyle w:val="Caption"/>
      </w:pPr>
      <w:r>
        <w:t xml:space="preserve">Table </w:t>
      </w:r>
      <w:fldSimple w:instr=" SEQ Table \* ARABIC ">
        <w:r>
          <w:rPr>
            <w:noProof/>
          </w:rPr>
          <w:t>2</w:t>
        </w:r>
      </w:fldSimple>
      <w:r>
        <w:t>:</w:t>
      </w:r>
      <w:r w:rsidR="00C862D1">
        <w:t xml:space="preserve"> </w:t>
      </w:r>
      <w:r w:rsidR="00C1519F">
        <w:t>PBS items</w:t>
      </w:r>
      <w:r w:rsidR="00145B2A" w:rsidRPr="00145B2A">
        <w:t xml:space="preserve"> </w:t>
      </w:r>
      <w:r w:rsidR="005F6193">
        <w:t xml:space="preserve">and treatment phases </w:t>
      </w:r>
      <w:r w:rsidR="00145B2A" w:rsidRPr="00145B2A">
        <w:t>for which </w:t>
      </w:r>
      <w:r w:rsidR="005F6193">
        <w:t>NPs</w:t>
      </w:r>
      <w:r w:rsidR="00145B2A" w:rsidRPr="00145B2A">
        <w:t xml:space="preserve"> are to be added as a prescriber type</w:t>
      </w:r>
    </w:p>
    <w:tbl>
      <w:tblPr>
        <w:tblStyle w:val="TableGrid"/>
        <w:tblW w:w="5000" w:type="pct"/>
        <w:tblLook w:val="04A0" w:firstRow="1" w:lastRow="0" w:firstColumn="1" w:lastColumn="0" w:noHBand="0" w:noVBand="1"/>
        <w:tblCaption w:val="Table 2: PBS items and treatment phases for which NPs are to be added as a prescriber type"/>
      </w:tblPr>
      <w:tblGrid>
        <w:gridCol w:w="1070"/>
        <w:gridCol w:w="1232"/>
        <w:gridCol w:w="1232"/>
        <w:gridCol w:w="5482"/>
      </w:tblGrid>
      <w:tr w:rsidR="00C862D1" w14:paraId="04A92510" w14:textId="7D678628" w:rsidTr="00725C42">
        <w:tc>
          <w:tcPr>
            <w:tcW w:w="594" w:type="pct"/>
          </w:tcPr>
          <w:p w14:paraId="7E70AD75" w14:textId="64F8F1BB" w:rsidR="00C862D1" w:rsidRPr="006A6E6A" w:rsidRDefault="00EA23AD" w:rsidP="00C862D1">
            <w:pPr>
              <w:pStyle w:val="In-tableHeading"/>
            </w:pPr>
            <w:r>
              <w:t>PBS item codes</w:t>
            </w:r>
          </w:p>
        </w:tc>
        <w:tc>
          <w:tcPr>
            <w:tcW w:w="683" w:type="pct"/>
          </w:tcPr>
          <w:p w14:paraId="208DACD4" w14:textId="41053AEF" w:rsidR="00EA23AD" w:rsidRDefault="00FF02A8" w:rsidP="00C862D1">
            <w:pPr>
              <w:pStyle w:val="In-tableHeading"/>
            </w:pPr>
            <w:r>
              <w:t>Restriction summary</w:t>
            </w:r>
          </w:p>
        </w:tc>
        <w:tc>
          <w:tcPr>
            <w:tcW w:w="683" w:type="pct"/>
          </w:tcPr>
          <w:p w14:paraId="43BB5498" w14:textId="654FC82B" w:rsidR="00C862D1" w:rsidRDefault="00FF02A8" w:rsidP="00C862D1">
            <w:pPr>
              <w:pStyle w:val="In-tableHeading"/>
            </w:pPr>
            <w:r>
              <w:t>Treatment of concept</w:t>
            </w:r>
          </w:p>
        </w:tc>
        <w:tc>
          <w:tcPr>
            <w:tcW w:w="3041" w:type="pct"/>
          </w:tcPr>
          <w:p w14:paraId="638B309E" w14:textId="30155491" w:rsidR="00FF02A8" w:rsidRDefault="00FF02A8" w:rsidP="00C862D1">
            <w:pPr>
              <w:pStyle w:val="In-tableHeading"/>
            </w:pPr>
            <w:r>
              <w:t>Treatment phase</w:t>
            </w:r>
          </w:p>
        </w:tc>
      </w:tr>
      <w:tr w:rsidR="00C862D1" w14:paraId="51CBACE4" w14:textId="39DD9799" w:rsidTr="00725C42">
        <w:tc>
          <w:tcPr>
            <w:tcW w:w="594" w:type="pct"/>
          </w:tcPr>
          <w:p w14:paraId="67FF821E" w14:textId="5C2B5908" w:rsidR="00C862D1" w:rsidRDefault="00D2314B" w:rsidP="006A6E6A">
            <w:pPr>
              <w:pStyle w:val="TableText0"/>
            </w:pPr>
            <w:r>
              <w:t>13268H</w:t>
            </w:r>
          </w:p>
        </w:tc>
        <w:tc>
          <w:tcPr>
            <w:tcW w:w="683" w:type="pct"/>
          </w:tcPr>
          <w:p w14:paraId="269CAD8D" w14:textId="35631EF3" w:rsidR="00EA23AD" w:rsidRDefault="00C507F1" w:rsidP="006A6E6A">
            <w:pPr>
              <w:pStyle w:val="TableText0"/>
            </w:pPr>
            <w:r>
              <w:t>13923</w:t>
            </w:r>
          </w:p>
        </w:tc>
        <w:tc>
          <w:tcPr>
            <w:tcW w:w="683" w:type="pct"/>
          </w:tcPr>
          <w:p w14:paraId="502FB8A7" w14:textId="1B4F3AA7" w:rsidR="00C862D1" w:rsidRDefault="00C507F1" w:rsidP="006A6E6A">
            <w:pPr>
              <w:pStyle w:val="TableText0"/>
            </w:pPr>
            <w:r>
              <w:t>13923</w:t>
            </w:r>
          </w:p>
        </w:tc>
        <w:tc>
          <w:tcPr>
            <w:tcW w:w="3041" w:type="pct"/>
          </w:tcPr>
          <w:p w14:paraId="2873711F" w14:textId="45B15C07" w:rsidR="00FF02A8" w:rsidRDefault="00C507F1" w:rsidP="006A6E6A">
            <w:pPr>
              <w:pStyle w:val="TableText0"/>
            </w:pPr>
            <w:r>
              <w:t>Continuing treatment for patients without T315I mutation</w:t>
            </w:r>
          </w:p>
        </w:tc>
      </w:tr>
      <w:tr w:rsidR="00020A01" w14:paraId="7513D602" w14:textId="77777777" w:rsidTr="00725C42">
        <w:tc>
          <w:tcPr>
            <w:tcW w:w="594" w:type="pct"/>
          </w:tcPr>
          <w:p w14:paraId="3FFCF6FF" w14:textId="0FB4E4BD" w:rsidR="00020A01" w:rsidRDefault="00020A01" w:rsidP="00020A01">
            <w:pPr>
              <w:pStyle w:val="TableText0"/>
            </w:pPr>
            <w:r w:rsidRPr="00020A01">
              <w:t>13259W</w:t>
            </w:r>
          </w:p>
        </w:tc>
        <w:tc>
          <w:tcPr>
            <w:tcW w:w="683" w:type="pct"/>
          </w:tcPr>
          <w:p w14:paraId="669C6F39" w14:textId="42649F50" w:rsidR="00020A01" w:rsidRDefault="00020A01" w:rsidP="00020A01">
            <w:pPr>
              <w:pStyle w:val="TableText0"/>
            </w:pPr>
            <w:r>
              <w:t>13923</w:t>
            </w:r>
          </w:p>
        </w:tc>
        <w:tc>
          <w:tcPr>
            <w:tcW w:w="683" w:type="pct"/>
          </w:tcPr>
          <w:p w14:paraId="1A63CEB4" w14:textId="2940964F" w:rsidR="00020A01" w:rsidRDefault="00020A01" w:rsidP="00020A01">
            <w:pPr>
              <w:pStyle w:val="TableText0"/>
            </w:pPr>
            <w:r>
              <w:t>13923</w:t>
            </w:r>
          </w:p>
        </w:tc>
        <w:tc>
          <w:tcPr>
            <w:tcW w:w="3041" w:type="pct"/>
          </w:tcPr>
          <w:p w14:paraId="01FD7F93" w14:textId="584C62B1" w:rsidR="00020A01" w:rsidRDefault="00020A01" w:rsidP="00020A01">
            <w:pPr>
              <w:pStyle w:val="TableText0"/>
            </w:pPr>
            <w:r>
              <w:t>Continuing treatment for patients without T315I mutation</w:t>
            </w:r>
          </w:p>
        </w:tc>
      </w:tr>
      <w:tr w:rsidR="00020A01" w14:paraId="31C276FF" w14:textId="77777777" w:rsidTr="00725C42">
        <w:tc>
          <w:tcPr>
            <w:tcW w:w="594" w:type="pct"/>
          </w:tcPr>
          <w:p w14:paraId="4C34304D" w14:textId="7E370240" w:rsidR="00020A01" w:rsidRDefault="00020A01" w:rsidP="00020A01">
            <w:pPr>
              <w:pStyle w:val="TableText0"/>
            </w:pPr>
            <w:r>
              <w:t>13260X</w:t>
            </w:r>
          </w:p>
        </w:tc>
        <w:tc>
          <w:tcPr>
            <w:tcW w:w="683" w:type="pct"/>
          </w:tcPr>
          <w:p w14:paraId="092DDCCF" w14:textId="5B992171" w:rsidR="00020A01" w:rsidRDefault="00651F05" w:rsidP="00020A01">
            <w:pPr>
              <w:pStyle w:val="TableText0"/>
            </w:pPr>
            <w:r>
              <w:t>13987</w:t>
            </w:r>
            <w:r w:rsidR="00E55B6B">
              <w:t xml:space="preserve"> </w:t>
            </w:r>
          </w:p>
        </w:tc>
        <w:tc>
          <w:tcPr>
            <w:tcW w:w="683" w:type="pct"/>
          </w:tcPr>
          <w:p w14:paraId="3F7C94B7" w14:textId="6C3D8142" w:rsidR="00020A01" w:rsidRDefault="00C34724" w:rsidP="00020A01">
            <w:pPr>
              <w:pStyle w:val="TableText0"/>
            </w:pPr>
            <w:r>
              <w:t xml:space="preserve">14008 </w:t>
            </w:r>
          </w:p>
        </w:tc>
        <w:tc>
          <w:tcPr>
            <w:tcW w:w="3041" w:type="pct"/>
          </w:tcPr>
          <w:p w14:paraId="29620E11" w14:textId="02B9EEFA" w:rsidR="00020A01" w:rsidRDefault="00020A01" w:rsidP="00020A01">
            <w:pPr>
              <w:pStyle w:val="TableText0"/>
            </w:pPr>
            <w:r>
              <w:t>Continuing treatment for patients with T315I mutation</w:t>
            </w:r>
          </w:p>
        </w:tc>
      </w:tr>
    </w:tbl>
    <w:p w14:paraId="6A6AC521" w14:textId="4C241BDF" w:rsidR="00A45FA9" w:rsidRPr="00844DB3" w:rsidRDefault="00010269" w:rsidP="00725C42">
      <w:pPr>
        <w:pStyle w:val="3-BodyText"/>
      </w:pPr>
      <w:r w:rsidRPr="00844DB3">
        <w:t xml:space="preserve">To the </w:t>
      </w:r>
      <w:r w:rsidR="00FF3642" w:rsidRPr="00844DB3">
        <w:t>concepts</w:t>
      </w:r>
      <w:r w:rsidR="00FB3E88" w:rsidRPr="00844DB3">
        <w:t xml:space="preserve"> above, </w:t>
      </w:r>
      <w:r w:rsidR="00EA23AD" w:rsidRPr="00844DB3">
        <w:t>the Secretariat proposed that the following treatment criteria be applied:</w:t>
      </w:r>
    </w:p>
    <w:tbl>
      <w:tblPr>
        <w:tblW w:w="0" w:type="auto"/>
        <w:tblLook w:val="06A0" w:firstRow="1" w:lastRow="0" w:firstColumn="1" w:lastColumn="0" w:noHBand="1" w:noVBand="1"/>
      </w:tblPr>
      <w:tblGrid>
        <w:gridCol w:w="6889"/>
      </w:tblGrid>
      <w:tr w:rsidR="00010269" w:rsidRPr="7093FE7D" w14:paraId="4607F8E8" w14:textId="77777777" w:rsidTr="00725C42">
        <w:trPr>
          <w:trHeight w:val="290"/>
        </w:trPr>
        <w:tc>
          <w:tcPr>
            <w:tcW w:w="6889" w:type="dxa"/>
            <w:tcMar>
              <w:top w:w="15" w:type="dxa"/>
              <w:left w:w="108" w:type="dxa"/>
              <w:bottom w:w="15" w:type="dxa"/>
              <w:right w:w="108" w:type="dxa"/>
            </w:tcMar>
            <w:vAlign w:val="center"/>
          </w:tcPr>
          <w:p w14:paraId="77EFCFE8" w14:textId="77777777" w:rsidR="00010269" w:rsidRPr="7093FE7D" w:rsidRDefault="00010269">
            <w:pPr>
              <w:rPr>
                <w:rFonts w:ascii="Arial Narrow" w:eastAsia="Arial Narrow" w:hAnsi="Arial Narrow" w:cs="Arial Narrow"/>
                <w:b/>
                <w:bCs/>
                <w:sz w:val="20"/>
                <w:szCs w:val="20"/>
              </w:rPr>
            </w:pPr>
            <w:r>
              <w:rPr>
                <w:rFonts w:ascii="Arial Narrow" w:eastAsia="Arial Narrow" w:hAnsi="Arial Narrow" w:cs="Arial Narrow"/>
                <w:b/>
                <w:bCs/>
                <w:i/>
                <w:iCs/>
                <w:sz w:val="20"/>
                <w:szCs w:val="20"/>
              </w:rPr>
              <w:t xml:space="preserve">Treatment criteria: </w:t>
            </w:r>
          </w:p>
        </w:tc>
      </w:tr>
      <w:tr w:rsidR="00010269" w14:paraId="749004E5" w14:textId="77777777" w:rsidTr="00725C42">
        <w:trPr>
          <w:trHeight w:val="238"/>
        </w:trPr>
        <w:tc>
          <w:tcPr>
            <w:tcW w:w="6889" w:type="dxa"/>
            <w:tcMar>
              <w:top w:w="15" w:type="dxa"/>
              <w:left w:w="108" w:type="dxa"/>
              <w:bottom w:w="15" w:type="dxa"/>
              <w:right w:w="108" w:type="dxa"/>
            </w:tcMar>
            <w:vAlign w:val="center"/>
          </w:tcPr>
          <w:p w14:paraId="3AE4BF69" w14:textId="77777777" w:rsidR="00010269" w:rsidRDefault="00010269">
            <w:pPr>
              <w:rPr>
                <w:rFonts w:ascii="Arial Narrow" w:eastAsia="Arial Narrow" w:hAnsi="Arial Narrow" w:cs="Arial Narrow"/>
                <w:b/>
                <w:bCs/>
                <w:i/>
                <w:iCs/>
                <w:sz w:val="20"/>
                <w:szCs w:val="20"/>
              </w:rPr>
            </w:pPr>
            <w:r w:rsidRPr="000A47DF">
              <w:rPr>
                <w:rFonts w:ascii="Arial Narrow" w:eastAsia="Arial Narrow" w:hAnsi="Arial Narrow" w:cs="Arial Narrow"/>
                <w:i/>
                <w:iCs/>
                <w:sz w:val="20"/>
                <w:szCs w:val="20"/>
              </w:rPr>
              <w:t>Must be treated by a medical practitioner; or </w:t>
            </w:r>
          </w:p>
        </w:tc>
      </w:tr>
      <w:tr w:rsidR="00010269" w14:paraId="5370DB6C" w14:textId="77777777" w:rsidTr="00725C42">
        <w:trPr>
          <w:trHeight w:val="45"/>
        </w:trPr>
        <w:tc>
          <w:tcPr>
            <w:tcW w:w="6889" w:type="dxa"/>
            <w:tcMar>
              <w:top w:w="15" w:type="dxa"/>
              <w:left w:w="108" w:type="dxa"/>
              <w:bottom w:w="15" w:type="dxa"/>
              <w:right w:w="108" w:type="dxa"/>
            </w:tcMar>
            <w:vAlign w:val="center"/>
          </w:tcPr>
          <w:p w14:paraId="5418B8A8" w14:textId="77777777" w:rsidR="00010269" w:rsidRDefault="00010269">
            <w:pPr>
              <w:rPr>
                <w:rFonts w:ascii="Arial Narrow" w:eastAsia="Arial Narrow" w:hAnsi="Arial Narrow" w:cs="Arial Narrow"/>
                <w:b/>
                <w:bCs/>
                <w:i/>
                <w:iCs/>
                <w:sz w:val="20"/>
                <w:szCs w:val="20"/>
              </w:rPr>
            </w:pPr>
            <w:r w:rsidRPr="000A47DF">
              <w:rPr>
                <w:rFonts w:ascii="Arial Narrow" w:eastAsia="Arial Narrow" w:hAnsi="Arial Narrow" w:cs="Arial Narrow"/>
                <w:i/>
                <w:iCs/>
                <w:sz w:val="20"/>
                <w:szCs w:val="20"/>
              </w:rPr>
              <w:lastRenderedPageBreak/>
              <w:t>Must be treated by a nurse practitioner where both of the following are occurring: (i) patient care is being shared with a medical practitioner, (ii) the prescription continues existing therapy with this medicine </w:t>
            </w:r>
          </w:p>
        </w:tc>
      </w:tr>
    </w:tbl>
    <w:p w14:paraId="44C722F8" w14:textId="755634B9" w:rsidR="00844DB3" w:rsidRDefault="00844DB3">
      <w:pPr>
        <w:jc w:val="left"/>
        <w:rPr>
          <w:rFonts w:asciiTheme="minorHAnsi" w:eastAsiaTheme="minorHAnsi" w:hAnsiTheme="minorHAnsi" w:cstheme="minorBidi"/>
          <w:szCs w:val="22"/>
        </w:rPr>
      </w:pPr>
    </w:p>
    <w:p w14:paraId="0E07AF94" w14:textId="5AA6D788" w:rsidR="001B0767" w:rsidRPr="00A6439B" w:rsidRDefault="0066566B" w:rsidP="007170AA">
      <w:pPr>
        <w:pStyle w:val="Heading1"/>
        <w:keepLines/>
        <w:numPr>
          <w:ilvl w:val="0"/>
          <w:numId w:val="28"/>
        </w:numPr>
        <w:spacing w:before="240"/>
        <w:ind w:left="709" w:hanging="709"/>
        <w:rPr>
          <w:sz w:val="32"/>
          <w:szCs w:val="32"/>
        </w:rPr>
      </w:pPr>
      <w:r>
        <w:rPr>
          <w:sz w:val="32"/>
          <w:szCs w:val="32"/>
        </w:rPr>
        <w:t>C</w:t>
      </w:r>
      <w:r w:rsidR="001B0767" w:rsidRPr="00A6439B">
        <w:rPr>
          <w:sz w:val="32"/>
          <w:szCs w:val="32"/>
        </w:rPr>
        <w:t>onsideration of the evidence</w:t>
      </w:r>
    </w:p>
    <w:p w14:paraId="3A193C54" w14:textId="3D6E806C" w:rsidR="00DA2F19" w:rsidRDefault="00DA2F19" w:rsidP="001B0767">
      <w:pPr>
        <w:pStyle w:val="4-SubsectionHeading"/>
        <w:rPr>
          <w:lang w:eastAsia="en-US"/>
        </w:rPr>
      </w:pPr>
      <w:r>
        <w:rPr>
          <w:lang w:eastAsia="en-US"/>
        </w:rPr>
        <w:t>Sponsor hearing</w:t>
      </w:r>
    </w:p>
    <w:p w14:paraId="7D95699F" w14:textId="61252D96" w:rsidR="00A216B5" w:rsidRPr="00DA2F19" w:rsidRDefault="00A216B5" w:rsidP="00A216B5">
      <w:pPr>
        <w:pStyle w:val="3-BodyText"/>
        <w:numPr>
          <w:ilvl w:val="1"/>
          <w:numId w:val="30"/>
        </w:numPr>
        <w:ind w:left="709" w:hanging="709"/>
        <w:rPr>
          <w:lang w:eastAsia="en-US"/>
        </w:rPr>
      </w:pPr>
      <w:r>
        <w:rPr>
          <w:lang w:eastAsia="en-US"/>
        </w:rPr>
        <w:t xml:space="preserve">There was no hearing for this item. </w:t>
      </w:r>
    </w:p>
    <w:p w14:paraId="5306A4E2" w14:textId="38048434" w:rsidR="00DA2F19" w:rsidRDefault="00DA2F19" w:rsidP="001B0767">
      <w:pPr>
        <w:pStyle w:val="4-SubsectionHeading"/>
        <w:rPr>
          <w:lang w:eastAsia="en-US"/>
        </w:rPr>
      </w:pPr>
      <w:r>
        <w:rPr>
          <w:lang w:eastAsia="en-US"/>
        </w:rPr>
        <w:t xml:space="preserve">Consumer </w:t>
      </w:r>
      <w:r w:rsidR="00863C75">
        <w:rPr>
          <w:lang w:eastAsia="en-US"/>
        </w:rPr>
        <w:t>inputs</w:t>
      </w:r>
    </w:p>
    <w:p w14:paraId="5E92833A" w14:textId="3DAE78D5" w:rsidR="00DA2F19" w:rsidRPr="00446305" w:rsidRDefault="00446305" w:rsidP="00215DF9">
      <w:pPr>
        <w:pStyle w:val="3-BodyText"/>
        <w:numPr>
          <w:ilvl w:val="1"/>
          <w:numId w:val="30"/>
        </w:numPr>
        <w:ind w:left="709" w:hanging="709"/>
        <w:rPr>
          <w:lang w:eastAsia="en-US"/>
        </w:rPr>
      </w:pPr>
      <w:r w:rsidRPr="426A0440">
        <w:rPr>
          <w:lang w:eastAsia="en-US"/>
        </w:rPr>
        <w:t xml:space="preserve">The PBAC noted and welcomed </w:t>
      </w:r>
      <w:r w:rsidR="0040745B" w:rsidRPr="426A0440">
        <w:rPr>
          <w:lang w:eastAsia="en-US"/>
        </w:rPr>
        <w:t xml:space="preserve">the </w:t>
      </w:r>
      <w:r w:rsidRPr="426A0440">
        <w:rPr>
          <w:lang w:eastAsia="en-US"/>
        </w:rPr>
        <w:t xml:space="preserve">input from </w:t>
      </w:r>
      <w:r w:rsidR="0040745B" w:rsidRPr="426A0440">
        <w:rPr>
          <w:lang w:eastAsia="en-US"/>
        </w:rPr>
        <w:t xml:space="preserve">individuals (2) via the </w:t>
      </w:r>
      <w:r w:rsidR="00E8604F" w:rsidRPr="00E8604F">
        <w:rPr>
          <w:lang w:eastAsia="en-US"/>
        </w:rPr>
        <w:t>Office of Health Technology Assessment Consultation Hub</w:t>
      </w:r>
      <w:r w:rsidR="0040745B" w:rsidRPr="426A0440">
        <w:rPr>
          <w:lang w:eastAsia="en-US"/>
        </w:rPr>
        <w:t xml:space="preserve">. </w:t>
      </w:r>
      <w:r w:rsidR="00B92C5B" w:rsidRPr="426A0440">
        <w:rPr>
          <w:lang w:eastAsia="en-US"/>
        </w:rPr>
        <w:t xml:space="preserve">The </w:t>
      </w:r>
      <w:r w:rsidR="009C35DC" w:rsidRPr="426A0440">
        <w:rPr>
          <w:lang w:eastAsia="en-US"/>
        </w:rPr>
        <w:t xml:space="preserve">PBAC </w:t>
      </w:r>
      <w:r w:rsidR="009E56DA" w:rsidRPr="426A0440">
        <w:rPr>
          <w:lang w:eastAsia="en-US"/>
        </w:rPr>
        <w:t>acknowledged</w:t>
      </w:r>
      <w:r w:rsidR="00DF1BE4" w:rsidRPr="426A0440">
        <w:rPr>
          <w:lang w:eastAsia="en-US"/>
        </w:rPr>
        <w:t xml:space="preserve"> CML as an insidious disease that brings emotional and physical pain to both patients and families. </w:t>
      </w:r>
      <w:r w:rsidR="00B92C5B" w:rsidRPr="426A0440">
        <w:rPr>
          <w:lang w:eastAsia="en-US"/>
        </w:rPr>
        <w:t>It</w:t>
      </w:r>
      <w:r w:rsidR="00B7497C" w:rsidRPr="426A0440">
        <w:rPr>
          <w:lang w:eastAsia="en-US"/>
        </w:rPr>
        <w:t xml:space="preserve"> noted</w:t>
      </w:r>
      <w:r w:rsidR="009C35DC" w:rsidRPr="426A0440">
        <w:rPr>
          <w:lang w:eastAsia="en-US"/>
        </w:rPr>
        <w:t xml:space="preserve"> consumer input describing</w:t>
      </w:r>
      <w:r w:rsidR="00B7497C" w:rsidRPr="426A0440">
        <w:rPr>
          <w:lang w:eastAsia="en-US"/>
        </w:rPr>
        <w:t xml:space="preserve"> </w:t>
      </w:r>
      <w:r w:rsidR="00B92C5B" w:rsidRPr="426A0440">
        <w:rPr>
          <w:lang w:eastAsia="en-US"/>
        </w:rPr>
        <w:t xml:space="preserve">asciminib </w:t>
      </w:r>
      <w:r w:rsidR="009C35DC" w:rsidRPr="426A0440">
        <w:rPr>
          <w:lang w:eastAsia="en-US"/>
        </w:rPr>
        <w:t xml:space="preserve">as </w:t>
      </w:r>
      <w:r w:rsidR="00B92C5B" w:rsidRPr="426A0440">
        <w:rPr>
          <w:lang w:eastAsia="en-US"/>
        </w:rPr>
        <w:t>offer</w:t>
      </w:r>
      <w:r w:rsidR="009C35DC" w:rsidRPr="426A0440">
        <w:rPr>
          <w:lang w:eastAsia="en-US"/>
        </w:rPr>
        <w:t>ing</w:t>
      </w:r>
      <w:r w:rsidR="00B92C5B" w:rsidRPr="426A0440">
        <w:rPr>
          <w:lang w:eastAsia="en-US"/>
        </w:rPr>
        <w:t xml:space="preserve"> treatment with milder side effects</w:t>
      </w:r>
      <w:r w:rsidR="00717F04" w:rsidRPr="426A0440">
        <w:rPr>
          <w:lang w:eastAsia="en-US"/>
        </w:rPr>
        <w:t xml:space="preserve"> and the </w:t>
      </w:r>
      <w:r w:rsidR="00192B3B" w:rsidRPr="426A0440">
        <w:rPr>
          <w:lang w:eastAsia="en-US"/>
        </w:rPr>
        <w:t>possibility of a longer life.</w:t>
      </w:r>
      <w:r w:rsidR="00B92C5B" w:rsidRPr="426A0440">
        <w:rPr>
          <w:lang w:eastAsia="en-US"/>
        </w:rPr>
        <w:t xml:space="preserve"> The input described asciminib as unaffordable without PBS listing.</w:t>
      </w:r>
      <w:r w:rsidR="009075DA">
        <w:rPr>
          <w:lang w:eastAsia="en-US"/>
        </w:rPr>
        <w:t xml:space="preserve"> </w:t>
      </w:r>
    </w:p>
    <w:p w14:paraId="2BFF4D64" w14:textId="40F0524F" w:rsidR="001B0767" w:rsidRDefault="004C0FDA" w:rsidP="001B0767">
      <w:pPr>
        <w:pStyle w:val="4-SubsectionHeading"/>
        <w:rPr>
          <w:lang w:eastAsia="en-US"/>
        </w:rPr>
      </w:pPr>
      <w:r>
        <w:rPr>
          <w:lang w:eastAsia="en-US"/>
        </w:rPr>
        <w:t>Basis of the request</w:t>
      </w:r>
    </w:p>
    <w:p w14:paraId="11922D6E" w14:textId="6CD5F3CF" w:rsidR="00C5232C" w:rsidRDefault="005D2435" w:rsidP="00A216B5">
      <w:pPr>
        <w:pStyle w:val="3-BodyText"/>
        <w:numPr>
          <w:ilvl w:val="1"/>
          <w:numId w:val="30"/>
        </w:numPr>
        <w:ind w:left="709" w:hanging="709"/>
        <w:rPr>
          <w:lang w:eastAsia="en-US"/>
        </w:rPr>
      </w:pPr>
      <w:r>
        <w:rPr>
          <w:lang w:eastAsia="en-US"/>
        </w:rPr>
        <w:t>The submission present</w:t>
      </w:r>
      <w:r w:rsidR="005F2826">
        <w:rPr>
          <w:lang w:eastAsia="en-US"/>
        </w:rPr>
        <w:t>ed</w:t>
      </w:r>
      <w:r>
        <w:rPr>
          <w:lang w:eastAsia="en-US"/>
        </w:rPr>
        <w:t xml:space="preserve"> </w:t>
      </w:r>
      <w:r w:rsidR="008555F3">
        <w:rPr>
          <w:lang w:eastAsia="en-US"/>
        </w:rPr>
        <w:t xml:space="preserve">a </w:t>
      </w:r>
      <w:r w:rsidR="004C68AF">
        <w:rPr>
          <w:lang w:eastAsia="en-US"/>
        </w:rPr>
        <w:t>narrative</w:t>
      </w:r>
      <w:r w:rsidR="008555F3">
        <w:rPr>
          <w:lang w:eastAsia="en-US"/>
        </w:rPr>
        <w:t xml:space="preserve"> </w:t>
      </w:r>
      <w:r w:rsidR="004C68AF">
        <w:rPr>
          <w:lang w:eastAsia="en-US"/>
        </w:rPr>
        <w:t xml:space="preserve">of </w:t>
      </w:r>
      <w:r w:rsidR="00FB37D9">
        <w:rPr>
          <w:lang w:eastAsia="en-US"/>
        </w:rPr>
        <w:t xml:space="preserve">the role </w:t>
      </w:r>
      <w:r w:rsidR="001F20AD">
        <w:rPr>
          <w:lang w:eastAsia="en-US"/>
        </w:rPr>
        <w:t>of NPs</w:t>
      </w:r>
      <w:r w:rsidR="00664EBF">
        <w:rPr>
          <w:lang w:eastAsia="en-US"/>
        </w:rPr>
        <w:t xml:space="preserve"> in the clinical management algorithm</w:t>
      </w:r>
      <w:r w:rsidR="00830B7E">
        <w:rPr>
          <w:lang w:eastAsia="en-US"/>
        </w:rPr>
        <w:t xml:space="preserve"> </w:t>
      </w:r>
      <w:r w:rsidR="00664EBF">
        <w:rPr>
          <w:lang w:eastAsia="en-US"/>
        </w:rPr>
        <w:t xml:space="preserve">for </w:t>
      </w:r>
      <w:r w:rsidR="00592AAD">
        <w:rPr>
          <w:lang w:eastAsia="en-US"/>
        </w:rPr>
        <w:t>CML and</w:t>
      </w:r>
      <w:r w:rsidR="00830B7E">
        <w:rPr>
          <w:lang w:eastAsia="en-US"/>
        </w:rPr>
        <w:t xml:space="preserve"> thus proposes a </w:t>
      </w:r>
      <w:r w:rsidR="004D1D2F">
        <w:rPr>
          <w:lang w:eastAsia="en-US"/>
        </w:rPr>
        <w:t>new prescribing model</w:t>
      </w:r>
      <w:r w:rsidR="00611973">
        <w:rPr>
          <w:lang w:eastAsia="en-US"/>
        </w:rPr>
        <w:t xml:space="preserve">. This was </w:t>
      </w:r>
      <w:r w:rsidR="00664EBF">
        <w:rPr>
          <w:lang w:eastAsia="en-US"/>
        </w:rPr>
        <w:t>based on</w:t>
      </w:r>
      <w:r w:rsidR="0049664C">
        <w:rPr>
          <w:lang w:eastAsia="en-US"/>
        </w:rPr>
        <w:t xml:space="preserve"> anecdotal evidence from</w:t>
      </w:r>
      <w:r w:rsidR="00664EBF">
        <w:rPr>
          <w:lang w:eastAsia="en-US"/>
        </w:rPr>
        <w:t xml:space="preserve"> the sponsor’s conversations with current haematology </w:t>
      </w:r>
      <w:r w:rsidR="0049664C">
        <w:rPr>
          <w:lang w:eastAsia="en-US"/>
        </w:rPr>
        <w:t>NPs</w:t>
      </w:r>
      <w:r w:rsidR="00664EBF">
        <w:rPr>
          <w:lang w:eastAsia="en-US"/>
        </w:rPr>
        <w:t xml:space="preserve">. </w:t>
      </w:r>
    </w:p>
    <w:p w14:paraId="771D9038" w14:textId="0E1FC1DA" w:rsidR="00C83D87" w:rsidRDefault="00647FB6" w:rsidP="00A216B5">
      <w:pPr>
        <w:pStyle w:val="3-BodyText"/>
        <w:numPr>
          <w:ilvl w:val="1"/>
          <w:numId w:val="30"/>
        </w:numPr>
        <w:ind w:left="709" w:hanging="709"/>
        <w:rPr>
          <w:lang w:eastAsia="en-US"/>
        </w:rPr>
      </w:pPr>
      <w:r>
        <w:rPr>
          <w:lang w:eastAsia="en-US"/>
        </w:rPr>
        <w:t xml:space="preserve">The submission presented </w:t>
      </w:r>
      <w:r w:rsidR="001F20AD">
        <w:rPr>
          <w:lang w:eastAsia="en-US"/>
        </w:rPr>
        <w:t>NPs</w:t>
      </w:r>
      <w:r w:rsidR="00A163C9">
        <w:rPr>
          <w:lang w:eastAsia="en-US"/>
        </w:rPr>
        <w:t xml:space="preserve"> </w:t>
      </w:r>
      <w:r>
        <w:rPr>
          <w:lang w:eastAsia="en-US"/>
        </w:rPr>
        <w:t xml:space="preserve">as </w:t>
      </w:r>
      <w:r w:rsidR="008A02FE">
        <w:rPr>
          <w:lang w:eastAsia="en-US"/>
        </w:rPr>
        <w:t xml:space="preserve">key members of </w:t>
      </w:r>
      <w:r w:rsidR="00DE0F77">
        <w:rPr>
          <w:lang w:eastAsia="en-US"/>
        </w:rPr>
        <w:t xml:space="preserve">multidisciplinary teams, where treatment decisions are made </w:t>
      </w:r>
      <w:r w:rsidR="007C4319">
        <w:rPr>
          <w:lang w:eastAsia="en-US"/>
        </w:rPr>
        <w:t xml:space="preserve">collaboratively. While the </w:t>
      </w:r>
      <w:r w:rsidR="007C3B72">
        <w:rPr>
          <w:lang w:eastAsia="en-US"/>
        </w:rPr>
        <w:t xml:space="preserve">clinical </w:t>
      </w:r>
      <w:r w:rsidR="007C4319">
        <w:rPr>
          <w:lang w:eastAsia="en-US"/>
        </w:rPr>
        <w:t xml:space="preserve">haematologist </w:t>
      </w:r>
      <w:r w:rsidR="007C3B72">
        <w:rPr>
          <w:lang w:eastAsia="en-US"/>
        </w:rPr>
        <w:t>diagnos</w:t>
      </w:r>
      <w:r w:rsidR="00E80DBD">
        <w:rPr>
          <w:lang w:eastAsia="en-US"/>
        </w:rPr>
        <w:t>es</w:t>
      </w:r>
      <w:r w:rsidR="007C3B72">
        <w:rPr>
          <w:lang w:eastAsia="en-US"/>
        </w:rPr>
        <w:t xml:space="preserve">, </w:t>
      </w:r>
      <w:r w:rsidR="007D14F5">
        <w:rPr>
          <w:lang w:eastAsia="en-US"/>
        </w:rPr>
        <w:t>the NP carries out and interprets tests</w:t>
      </w:r>
      <w:r w:rsidR="00E80DBD">
        <w:rPr>
          <w:lang w:eastAsia="en-US"/>
        </w:rPr>
        <w:t xml:space="preserve"> under</w:t>
      </w:r>
      <w:r w:rsidR="00AB5AF3">
        <w:rPr>
          <w:lang w:eastAsia="en-US"/>
        </w:rPr>
        <w:t xml:space="preserve"> their direction</w:t>
      </w:r>
      <w:r w:rsidR="00E80DBD">
        <w:rPr>
          <w:lang w:eastAsia="en-US"/>
        </w:rPr>
        <w:t xml:space="preserve">. </w:t>
      </w:r>
      <w:r w:rsidR="00AB5AF3">
        <w:rPr>
          <w:lang w:eastAsia="en-US"/>
        </w:rPr>
        <w:t xml:space="preserve">These tests can </w:t>
      </w:r>
      <w:r w:rsidR="00E80DBD">
        <w:rPr>
          <w:lang w:eastAsia="en-US"/>
        </w:rPr>
        <w:t>determine the phase of disease.</w:t>
      </w:r>
      <w:r w:rsidR="003906C9">
        <w:rPr>
          <w:lang w:eastAsia="en-US"/>
        </w:rPr>
        <w:t xml:space="preserve"> The patient</w:t>
      </w:r>
      <w:r w:rsidR="00D94FD2">
        <w:rPr>
          <w:lang w:eastAsia="en-US"/>
        </w:rPr>
        <w:t xml:space="preserve"> would also regularly attend follow</w:t>
      </w:r>
      <w:r w:rsidR="009075DA">
        <w:rPr>
          <w:lang w:eastAsia="en-US"/>
        </w:rPr>
        <w:noBreakHyphen/>
      </w:r>
      <w:r w:rsidR="00D94FD2">
        <w:rPr>
          <w:lang w:eastAsia="en-US"/>
        </w:rPr>
        <w:t xml:space="preserve">up appointments with the NP to monitor disease progression and manage any symptoms resulting from disease or treatment. </w:t>
      </w:r>
    </w:p>
    <w:p w14:paraId="3C1B237B" w14:textId="417C5F11" w:rsidR="00DF3299" w:rsidRDefault="006917B0" w:rsidP="00A216B5">
      <w:pPr>
        <w:pStyle w:val="3-BodyText"/>
        <w:numPr>
          <w:ilvl w:val="1"/>
          <w:numId w:val="30"/>
        </w:numPr>
        <w:ind w:left="709" w:hanging="709"/>
        <w:rPr>
          <w:lang w:eastAsia="en-US"/>
        </w:rPr>
      </w:pPr>
      <w:r>
        <w:rPr>
          <w:lang w:eastAsia="en-US"/>
        </w:rPr>
        <w:t>Asciminib is currently prescribed as a third</w:t>
      </w:r>
      <w:r w:rsidR="009075DA">
        <w:rPr>
          <w:lang w:eastAsia="en-US"/>
        </w:rPr>
        <w:noBreakHyphen/>
      </w:r>
      <w:r>
        <w:rPr>
          <w:lang w:eastAsia="en-US"/>
        </w:rPr>
        <w:t>line therapy for CML</w:t>
      </w:r>
      <w:r w:rsidR="00813476">
        <w:rPr>
          <w:lang w:eastAsia="en-US"/>
        </w:rPr>
        <w:t xml:space="preserve"> for patients without the T315I mutation</w:t>
      </w:r>
      <w:r w:rsidR="00C83D87">
        <w:rPr>
          <w:lang w:eastAsia="en-US"/>
        </w:rPr>
        <w:t xml:space="preserve">. </w:t>
      </w:r>
      <w:r w:rsidR="008F582B">
        <w:rPr>
          <w:lang w:eastAsia="en-US"/>
        </w:rPr>
        <w:t xml:space="preserve">The </w:t>
      </w:r>
      <w:r w:rsidR="000830FE">
        <w:rPr>
          <w:lang w:eastAsia="en-US"/>
        </w:rPr>
        <w:t>submission argued that w</w:t>
      </w:r>
      <w:r w:rsidR="00E5775B">
        <w:rPr>
          <w:lang w:eastAsia="en-US"/>
        </w:rPr>
        <w:t>here</w:t>
      </w:r>
      <w:r w:rsidR="009B3FAF" w:rsidRPr="009B3FAF">
        <w:rPr>
          <w:lang w:eastAsia="en-US"/>
        </w:rPr>
        <w:t xml:space="preserve"> a patient has failed first and second line TKIs, the NP would have already been extensively involved in their care</w:t>
      </w:r>
      <w:r w:rsidR="00E5775B">
        <w:rPr>
          <w:lang w:eastAsia="en-US"/>
        </w:rPr>
        <w:t xml:space="preserve">. </w:t>
      </w:r>
      <w:r w:rsidR="00813476">
        <w:rPr>
          <w:lang w:eastAsia="en-US"/>
        </w:rPr>
        <w:t>With this experience, t</w:t>
      </w:r>
      <w:r w:rsidR="00911020">
        <w:rPr>
          <w:lang w:eastAsia="en-US"/>
        </w:rPr>
        <w:t>he NP would</w:t>
      </w:r>
      <w:r w:rsidR="000830FE">
        <w:rPr>
          <w:lang w:eastAsia="en-US"/>
        </w:rPr>
        <w:t xml:space="preserve"> </w:t>
      </w:r>
      <w:r w:rsidR="00911020">
        <w:rPr>
          <w:lang w:eastAsia="en-US"/>
        </w:rPr>
        <w:t xml:space="preserve">be able to </w:t>
      </w:r>
      <w:r w:rsidR="006637F7">
        <w:rPr>
          <w:lang w:eastAsia="en-US"/>
        </w:rPr>
        <w:t>identify changes in disease progression and the need to initiate asciminib.</w:t>
      </w:r>
      <w:r w:rsidR="006834D4">
        <w:rPr>
          <w:lang w:eastAsia="en-US"/>
        </w:rPr>
        <w:t xml:space="preserve"> </w:t>
      </w:r>
    </w:p>
    <w:p w14:paraId="26658BB8" w14:textId="6B0009EF" w:rsidR="000830FE" w:rsidRPr="000830FE" w:rsidRDefault="000830FE" w:rsidP="000830FE">
      <w:pPr>
        <w:pStyle w:val="5-SubsectionSubheading"/>
        <w:rPr>
          <w:lang w:eastAsia="en-US"/>
        </w:rPr>
      </w:pPr>
      <w:r>
        <w:rPr>
          <w:lang w:eastAsia="en-US"/>
        </w:rPr>
        <w:t>Basis of request for Initiation Phase</w:t>
      </w:r>
    </w:p>
    <w:p w14:paraId="7A9B8D75" w14:textId="0E4410AB" w:rsidR="00E5775B" w:rsidRDefault="00DF3299" w:rsidP="00A216B5">
      <w:pPr>
        <w:pStyle w:val="3-BodyText"/>
        <w:numPr>
          <w:ilvl w:val="1"/>
          <w:numId w:val="30"/>
        </w:numPr>
        <w:ind w:left="709" w:hanging="709"/>
        <w:rPr>
          <w:lang w:eastAsia="en-US"/>
        </w:rPr>
      </w:pPr>
      <w:r w:rsidRPr="00CC75A6">
        <w:rPr>
          <w:lang w:eastAsia="en-US"/>
        </w:rPr>
        <w:t>During the initial appointment, the NP would spend time running tests to confirm a diagnosis as well as understand the patient holistically. All results from these tests, as well as any other necessary information would be taken to discussion with the haematologist and other members of the multidisciplinary team to determine the best treatment for the patient.</w:t>
      </w:r>
      <w:r w:rsidR="003B7EA0" w:rsidRPr="00CC75A6">
        <w:rPr>
          <w:lang w:eastAsia="en-US"/>
        </w:rPr>
        <w:t xml:space="preserve"> Based on this treatment algorithm, the submission argued for NPs to be able to initiate prescription of asciminib.</w:t>
      </w:r>
    </w:p>
    <w:p w14:paraId="1B3F17C0" w14:textId="4C902A35" w:rsidR="003C205C" w:rsidRDefault="000F454D" w:rsidP="00A216B5">
      <w:pPr>
        <w:pStyle w:val="3-BodyText"/>
        <w:numPr>
          <w:ilvl w:val="1"/>
          <w:numId w:val="30"/>
        </w:numPr>
        <w:ind w:left="709" w:hanging="709"/>
        <w:rPr>
          <w:lang w:eastAsia="en-US"/>
        </w:rPr>
      </w:pPr>
      <w:r w:rsidRPr="00CC75A6">
        <w:rPr>
          <w:lang w:eastAsia="en-US"/>
        </w:rPr>
        <w:lastRenderedPageBreak/>
        <w:t>T</w:t>
      </w:r>
      <w:r w:rsidR="002978FB" w:rsidRPr="00CC75A6">
        <w:rPr>
          <w:lang w:eastAsia="en-US"/>
        </w:rPr>
        <w:t xml:space="preserve">he submission </w:t>
      </w:r>
      <w:r w:rsidR="005F2826" w:rsidRPr="00CC75A6">
        <w:rPr>
          <w:lang w:eastAsia="en-US"/>
        </w:rPr>
        <w:t>argued that a</w:t>
      </w:r>
      <w:r w:rsidR="00EC5964" w:rsidRPr="00CC75A6">
        <w:rPr>
          <w:lang w:eastAsia="en-US"/>
        </w:rPr>
        <w:t xml:space="preserve">llowing haematology NPs to initiate asciminib would not change the current treatment decision processes, </w:t>
      </w:r>
      <w:r w:rsidR="005F2826" w:rsidRPr="00CC75A6">
        <w:rPr>
          <w:lang w:eastAsia="en-US"/>
        </w:rPr>
        <w:t xml:space="preserve">but </w:t>
      </w:r>
      <w:r w:rsidR="00EC5964" w:rsidRPr="00CC75A6">
        <w:rPr>
          <w:lang w:eastAsia="en-US"/>
        </w:rPr>
        <w:t>it would just allow NPs to see their patients as soon as a</w:t>
      </w:r>
      <w:r w:rsidR="1A493C9F" w:rsidRPr="00CC75A6">
        <w:rPr>
          <w:lang w:eastAsia="en-US"/>
        </w:rPr>
        <w:t xml:space="preserve"> </w:t>
      </w:r>
      <w:r w:rsidR="00F70FF4" w:rsidRPr="00CC75A6">
        <w:rPr>
          <w:lang w:eastAsia="en-US"/>
        </w:rPr>
        <w:t>multidisciplinary team</w:t>
      </w:r>
      <w:r w:rsidR="00EC5964" w:rsidRPr="00CC75A6">
        <w:rPr>
          <w:lang w:eastAsia="en-US"/>
        </w:rPr>
        <w:t xml:space="preserve"> treatment decision is made</w:t>
      </w:r>
      <w:r w:rsidR="00F70FF4" w:rsidRPr="00CC75A6">
        <w:rPr>
          <w:lang w:eastAsia="en-US"/>
        </w:rPr>
        <w:t>. Rather than sending their patient back to a haematologist for a script, the NP, after consultation with the MDT, would be able to write the initiation script in clinic.</w:t>
      </w:r>
      <w:r w:rsidR="009457F8" w:rsidRPr="00CC75A6">
        <w:rPr>
          <w:lang w:eastAsia="en-US"/>
        </w:rPr>
        <w:t xml:space="preserve"> </w:t>
      </w:r>
      <w:r w:rsidR="00DA25C7">
        <w:rPr>
          <w:lang w:eastAsia="en-US"/>
        </w:rPr>
        <w:t xml:space="preserve">This would lower the administrative burden for the haematologist. </w:t>
      </w:r>
    </w:p>
    <w:p w14:paraId="21EE45F3" w14:textId="54C724D1" w:rsidR="0081798B" w:rsidRPr="00B433C9" w:rsidRDefault="00B433C9" w:rsidP="00A216B5">
      <w:pPr>
        <w:pStyle w:val="3-BodyText"/>
        <w:numPr>
          <w:ilvl w:val="1"/>
          <w:numId w:val="30"/>
        </w:numPr>
        <w:ind w:left="709" w:hanging="709"/>
        <w:rPr>
          <w:lang w:eastAsia="en-US"/>
        </w:rPr>
      </w:pPr>
      <w:r w:rsidRPr="00CC75A6">
        <w:rPr>
          <w:lang w:eastAsia="en-US"/>
        </w:rPr>
        <w:t>However, t</w:t>
      </w:r>
      <w:r w:rsidR="0081798B" w:rsidRPr="00CC75A6">
        <w:rPr>
          <w:lang w:eastAsia="en-US"/>
        </w:rPr>
        <w:t>he proposed NP</w:t>
      </w:r>
      <w:r w:rsidR="009075DA">
        <w:rPr>
          <w:lang w:eastAsia="en-US"/>
        </w:rPr>
        <w:noBreakHyphen/>
      </w:r>
      <w:r w:rsidR="0081798B" w:rsidRPr="00CC75A6">
        <w:rPr>
          <w:lang w:eastAsia="en-US"/>
        </w:rPr>
        <w:t xml:space="preserve">initiated, multidisciplinary team treatment decision process may be incongruous with PBAC’s </w:t>
      </w:r>
      <w:r w:rsidR="11594E7A" w:rsidRPr="00CC75A6">
        <w:rPr>
          <w:lang w:eastAsia="en-US"/>
        </w:rPr>
        <w:t>July 2025 recommendations</w:t>
      </w:r>
      <w:r w:rsidR="009F2463">
        <w:rPr>
          <w:lang w:eastAsia="en-US"/>
        </w:rPr>
        <w:t xml:space="preserve"> for other TKI</w:t>
      </w:r>
      <w:r w:rsidR="00F86686">
        <w:rPr>
          <w:lang w:eastAsia="en-US"/>
        </w:rPr>
        <w:t xml:space="preserve"> medicines</w:t>
      </w:r>
      <w:r w:rsidR="0081798B" w:rsidRPr="00CC75A6">
        <w:rPr>
          <w:lang w:eastAsia="en-US"/>
        </w:rPr>
        <w:t xml:space="preserve"> (see paragraph 2.1</w:t>
      </w:r>
      <w:r w:rsidR="004E2B41">
        <w:rPr>
          <w:lang w:eastAsia="en-US"/>
        </w:rPr>
        <w:t>5</w:t>
      </w:r>
      <w:r w:rsidR="0081798B" w:rsidRPr="00CC75A6">
        <w:rPr>
          <w:lang w:eastAsia="en-US"/>
        </w:rPr>
        <w:t>)</w:t>
      </w:r>
      <w:r w:rsidR="004E2B41">
        <w:rPr>
          <w:lang w:eastAsia="en-US"/>
        </w:rPr>
        <w:t>, that</w:t>
      </w:r>
      <w:r w:rsidR="00DA25C7">
        <w:rPr>
          <w:lang w:eastAsia="en-US"/>
        </w:rPr>
        <w:t xml:space="preserve"> limits NP prescribing to continuing therapy</w:t>
      </w:r>
      <w:r w:rsidR="0081798B" w:rsidRPr="00CC75A6">
        <w:rPr>
          <w:lang w:eastAsia="en-US"/>
        </w:rPr>
        <w:t>.</w:t>
      </w:r>
      <w:r w:rsidR="0081798B" w:rsidRPr="00CC75A6">
        <w:rPr>
          <w:rFonts w:eastAsiaTheme="minorEastAsia"/>
        </w:rPr>
        <w:t xml:space="preserve"> Additionally, NP</w:t>
      </w:r>
      <w:r w:rsidR="55D9C166" w:rsidRPr="00CC75A6">
        <w:rPr>
          <w:rFonts w:eastAsiaTheme="minorEastAsia"/>
        </w:rPr>
        <w:t>s</w:t>
      </w:r>
      <w:r w:rsidR="0081798B" w:rsidRPr="00CC75A6">
        <w:rPr>
          <w:rFonts w:eastAsiaTheme="minorEastAsia"/>
        </w:rPr>
        <w:t xml:space="preserve"> may not be an appropriate proxy for the haematologist in prescribing and providing patient advice on the new asciminib treatment.</w:t>
      </w:r>
    </w:p>
    <w:p w14:paraId="79BDE0BC" w14:textId="57CE7B87" w:rsidR="000830FE" w:rsidRPr="000830FE" w:rsidRDefault="000830FE" w:rsidP="000830FE">
      <w:pPr>
        <w:pStyle w:val="5-SubsectionSubheading"/>
        <w:rPr>
          <w:lang w:eastAsia="en-US"/>
        </w:rPr>
      </w:pPr>
      <w:r>
        <w:rPr>
          <w:lang w:eastAsia="en-US"/>
        </w:rPr>
        <w:t>Basis of request for Continuing Phase</w:t>
      </w:r>
    </w:p>
    <w:p w14:paraId="3013FC8A" w14:textId="0732C233" w:rsidR="00E43779" w:rsidRDefault="000830FE" w:rsidP="00A216B5">
      <w:pPr>
        <w:pStyle w:val="3-BodyText"/>
        <w:numPr>
          <w:ilvl w:val="1"/>
          <w:numId w:val="30"/>
        </w:numPr>
        <w:ind w:left="709" w:hanging="709"/>
        <w:rPr>
          <w:lang w:eastAsia="en-US"/>
        </w:rPr>
      </w:pPr>
      <w:r>
        <w:rPr>
          <w:lang w:eastAsia="en-US"/>
        </w:rPr>
        <w:t xml:space="preserve">The submission argued that </w:t>
      </w:r>
      <w:r w:rsidR="00E43779">
        <w:rPr>
          <w:lang w:eastAsia="en-US"/>
        </w:rPr>
        <w:t>NPs</w:t>
      </w:r>
      <w:r w:rsidR="00CF39DD" w:rsidRPr="00CF39DD">
        <w:rPr>
          <w:lang w:eastAsia="en-US"/>
        </w:rPr>
        <w:t xml:space="preserve"> already have prescribing power </w:t>
      </w:r>
      <w:r w:rsidR="00D86FEB">
        <w:rPr>
          <w:lang w:eastAsia="en-US"/>
        </w:rPr>
        <w:t>for other</w:t>
      </w:r>
      <w:r w:rsidR="00CF39DD" w:rsidRPr="00CF39DD">
        <w:rPr>
          <w:lang w:eastAsia="en-US"/>
        </w:rPr>
        <w:t xml:space="preserve"> therapies for CML</w:t>
      </w:r>
      <w:r w:rsidR="002E1904">
        <w:rPr>
          <w:lang w:eastAsia="en-US"/>
        </w:rPr>
        <w:t xml:space="preserve">, as well as </w:t>
      </w:r>
      <w:r w:rsidR="00F84573">
        <w:rPr>
          <w:lang w:eastAsia="en-US"/>
        </w:rPr>
        <w:t xml:space="preserve">medications to manage </w:t>
      </w:r>
      <w:r w:rsidR="00D60D11">
        <w:rPr>
          <w:lang w:eastAsia="en-US"/>
        </w:rPr>
        <w:t xml:space="preserve">patients’ </w:t>
      </w:r>
      <w:r w:rsidR="00F84573">
        <w:rPr>
          <w:lang w:eastAsia="en-US"/>
        </w:rPr>
        <w:t>disease, such as</w:t>
      </w:r>
      <w:r w:rsidR="00D86FEB">
        <w:rPr>
          <w:lang w:eastAsia="en-US"/>
        </w:rPr>
        <w:t xml:space="preserve"> anti</w:t>
      </w:r>
      <w:r w:rsidR="009075DA">
        <w:rPr>
          <w:lang w:eastAsia="en-US"/>
        </w:rPr>
        <w:noBreakHyphen/>
      </w:r>
      <w:r w:rsidR="00D86FEB">
        <w:rPr>
          <w:lang w:eastAsia="en-US"/>
        </w:rPr>
        <w:t>nausea, pain medications and anti</w:t>
      </w:r>
      <w:r w:rsidR="009075DA">
        <w:rPr>
          <w:lang w:eastAsia="en-US"/>
        </w:rPr>
        <w:noBreakHyphen/>
      </w:r>
      <w:r w:rsidR="00D86FEB">
        <w:rPr>
          <w:lang w:eastAsia="en-US"/>
        </w:rPr>
        <w:t xml:space="preserve">hypertensives. </w:t>
      </w:r>
      <w:r w:rsidR="00830B7E">
        <w:rPr>
          <w:lang w:eastAsia="en-US"/>
        </w:rPr>
        <w:t>The submission argued that prescribing these additional agents require a high working knowledge of the disease and asciminib to ensure the avoidance of any drug interactions.</w:t>
      </w:r>
    </w:p>
    <w:p w14:paraId="15E2C31E" w14:textId="7960A010" w:rsidR="00664EBF" w:rsidRPr="00C5232C" w:rsidRDefault="00E43779" w:rsidP="00A216B5">
      <w:pPr>
        <w:pStyle w:val="3-BodyText"/>
        <w:numPr>
          <w:ilvl w:val="1"/>
          <w:numId w:val="30"/>
        </w:numPr>
        <w:ind w:left="709" w:hanging="709"/>
        <w:rPr>
          <w:lang w:eastAsia="en-US"/>
        </w:rPr>
      </w:pPr>
      <w:r>
        <w:rPr>
          <w:lang w:eastAsia="en-US"/>
        </w:rPr>
        <w:t xml:space="preserve">It is also in line with the PBAC’s July 2025 decision for similar </w:t>
      </w:r>
      <w:r>
        <w:t>General Schedule oncology and haematology medicines. These were recommended to allow NPs to continue existing therapy, where</w:t>
      </w:r>
      <w:r w:rsidRPr="00FC02FC">
        <w:t xml:space="preserve"> patient care is being shared with a medical practitioner</w:t>
      </w:r>
      <w:r>
        <w:t xml:space="preserve"> (see paragraph 2.1</w:t>
      </w:r>
      <w:r w:rsidR="007F0345">
        <w:t>5</w:t>
      </w:r>
      <w:r>
        <w:t>).</w:t>
      </w:r>
    </w:p>
    <w:p w14:paraId="350F583B" w14:textId="77777777" w:rsidR="00D730C9" w:rsidRPr="00A6439B" w:rsidRDefault="00D730C9" w:rsidP="00D730C9">
      <w:pPr>
        <w:pStyle w:val="4-SubsectionHeading"/>
        <w:rPr>
          <w:lang w:eastAsia="en-US"/>
        </w:rPr>
      </w:pPr>
      <w:r w:rsidRPr="00A6439B">
        <w:rPr>
          <w:lang w:eastAsia="en-US"/>
        </w:rPr>
        <w:t>Estimated financial implications</w:t>
      </w:r>
    </w:p>
    <w:p w14:paraId="724942BE" w14:textId="7BC50437" w:rsidR="00320CEF" w:rsidRDefault="00D730C9" w:rsidP="00A216B5">
      <w:pPr>
        <w:pStyle w:val="3-BodyText"/>
        <w:numPr>
          <w:ilvl w:val="1"/>
          <w:numId w:val="30"/>
        </w:numPr>
        <w:ind w:left="709" w:hanging="709"/>
        <w:rPr>
          <w:lang w:eastAsia="en-US"/>
        </w:rPr>
      </w:pPr>
      <w:r w:rsidRPr="61811320">
        <w:rPr>
          <w:lang w:eastAsia="en-US"/>
        </w:rPr>
        <w:t xml:space="preserve">The submission stated that it is not expected that the requested change will result in an increase in </w:t>
      </w:r>
      <w:r w:rsidR="00257BCD" w:rsidRPr="61811320">
        <w:rPr>
          <w:lang w:eastAsia="en-US"/>
        </w:rPr>
        <w:t>asciminib</w:t>
      </w:r>
      <w:r w:rsidRPr="61811320">
        <w:rPr>
          <w:lang w:eastAsia="en-US"/>
        </w:rPr>
        <w:t xml:space="preserve"> utilisation</w:t>
      </w:r>
      <w:r w:rsidR="00320CEF" w:rsidRPr="61811320">
        <w:rPr>
          <w:lang w:eastAsia="en-US"/>
        </w:rPr>
        <w:t>. This was due to:</w:t>
      </w:r>
    </w:p>
    <w:p w14:paraId="07E12F7D" w14:textId="62556102" w:rsidR="00320CEF" w:rsidRDefault="00320CEF" w:rsidP="001601DF">
      <w:pPr>
        <w:pStyle w:val="3-BodyText"/>
        <w:numPr>
          <w:ilvl w:val="1"/>
          <w:numId w:val="16"/>
        </w:numPr>
        <w:ind w:left="851"/>
        <w:rPr>
          <w:lang w:eastAsia="en-US"/>
        </w:rPr>
      </w:pPr>
      <w:r>
        <w:rPr>
          <w:lang w:eastAsia="en-US"/>
        </w:rPr>
        <w:t>No change to size of patient population (no change in market size</w:t>
      </w:r>
      <w:r w:rsidRPr="6B395260">
        <w:rPr>
          <w:lang w:eastAsia="en-US"/>
        </w:rPr>
        <w:t>)</w:t>
      </w:r>
    </w:p>
    <w:p w14:paraId="64E78183" w14:textId="5E906EAB" w:rsidR="00320CEF" w:rsidRDefault="00320CEF" w:rsidP="001601DF">
      <w:pPr>
        <w:pStyle w:val="3-BodyText"/>
        <w:numPr>
          <w:ilvl w:val="1"/>
          <w:numId w:val="16"/>
        </w:numPr>
        <w:ind w:left="851"/>
        <w:rPr>
          <w:lang w:eastAsia="en-US"/>
        </w:rPr>
      </w:pPr>
      <w:r>
        <w:rPr>
          <w:lang w:eastAsia="en-US"/>
        </w:rPr>
        <w:t>No change to the current treatment algorithm (no change in annual packs consumed</w:t>
      </w:r>
      <w:r w:rsidRPr="6B395260">
        <w:rPr>
          <w:lang w:eastAsia="en-US"/>
        </w:rPr>
        <w:t>)</w:t>
      </w:r>
    </w:p>
    <w:p w14:paraId="07A22AB1" w14:textId="77777777" w:rsidR="00320CEF" w:rsidRDefault="00320CEF" w:rsidP="001601DF">
      <w:pPr>
        <w:pStyle w:val="3-BodyText"/>
        <w:numPr>
          <w:ilvl w:val="1"/>
          <w:numId w:val="16"/>
        </w:numPr>
        <w:ind w:left="851"/>
        <w:rPr>
          <w:lang w:eastAsia="en-US"/>
        </w:rPr>
      </w:pPr>
      <w:r>
        <w:rPr>
          <w:lang w:eastAsia="en-US"/>
        </w:rPr>
        <w:t>No change to the price per unit of existing medications (no change in total cost</w:t>
      </w:r>
      <w:r w:rsidRPr="6B395260">
        <w:rPr>
          <w:lang w:eastAsia="en-US"/>
        </w:rPr>
        <w:t>)</w:t>
      </w:r>
    </w:p>
    <w:p w14:paraId="37101114" w14:textId="238BBCCD" w:rsidR="00686CC7" w:rsidRDefault="00320CEF" w:rsidP="001601DF">
      <w:pPr>
        <w:pStyle w:val="3-BodyText"/>
        <w:numPr>
          <w:ilvl w:val="1"/>
          <w:numId w:val="16"/>
        </w:numPr>
        <w:ind w:left="851"/>
        <w:rPr>
          <w:lang w:eastAsia="en-US"/>
        </w:rPr>
      </w:pPr>
      <w:r w:rsidRPr="6B395260">
        <w:rPr>
          <w:lang w:eastAsia="en-US"/>
        </w:rPr>
        <w:t>No change to the service delivery arrangements (no flow</w:t>
      </w:r>
      <w:r w:rsidR="009075DA">
        <w:rPr>
          <w:lang w:eastAsia="en-US"/>
        </w:rPr>
        <w:noBreakHyphen/>
      </w:r>
      <w:r w:rsidRPr="6B395260">
        <w:rPr>
          <w:lang w:eastAsia="en-US"/>
        </w:rPr>
        <w:t>on change to Services Australia)</w:t>
      </w:r>
    </w:p>
    <w:p w14:paraId="7E6EA743" w14:textId="451ED723" w:rsidR="00320CEF" w:rsidRDefault="00320CEF" w:rsidP="001601DF">
      <w:pPr>
        <w:pStyle w:val="3-BodyText"/>
        <w:numPr>
          <w:ilvl w:val="1"/>
          <w:numId w:val="16"/>
        </w:numPr>
        <w:ind w:left="851"/>
        <w:rPr>
          <w:lang w:eastAsia="en-US"/>
        </w:rPr>
      </w:pPr>
      <w:r>
        <w:rPr>
          <w:lang w:eastAsia="en-US"/>
        </w:rPr>
        <w:t>No change to the utilisation of testing or medical imaging (no flow</w:t>
      </w:r>
      <w:r w:rsidR="009075DA">
        <w:rPr>
          <w:lang w:eastAsia="en-US"/>
        </w:rPr>
        <w:noBreakHyphen/>
      </w:r>
      <w:r>
        <w:rPr>
          <w:lang w:eastAsia="en-US"/>
        </w:rPr>
        <w:t>on change to Medical Benefits Schedule).</w:t>
      </w:r>
    </w:p>
    <w:p w14:paraId="3FACFDBA" w14:textId="23763B2E" w:rsidR="00D730C9" w:rsidRDefault="00D730C9" w:rsidP="007056D7">
      <w:pPr>
        <w:pStyle w:val="3-BodyText"/>
        <w:ind w:firstLine="491"/>
        <w:rPr>
          <w:lang w:eastAsia="en-US"/>
        </w:rPr>
      </w:pPr>
      <w:r w:rsidRPr="00C811B0">
        <w:rPr>
          <w:lang w:eastAsia="en-US"/>
        </w:rPr>
        <w:t>As such, the submission estimated that there will be no additional</w:t>
      </w:r>
      <w:r w:rsidR="00F26339">
        <w:rPr>
          <w:lang w:eastAsia="en-US"/>
        </w:rPr>
        <w:t xml:space="preserve"> cost to the PBS. </w:t>
      </w:r>
    </w:p>
    <w:p w14:paraId="4234808B" w14:textId="126F263C" w:rsidR="001B0767" w:rsidRDefault="00ED17A9" w:rsidP="00A216B5">
      <w:pPr>
        <w:pStyle w:val="2-SectionHeading"/>
        <w:numPr>
          <w:ilvl w:val="0"/>
          <w:numId w:val="30"/>
        </w:numPr>
        <w:ind w:left="567" w:hanging="567"/>
      </w:pPr>
      <w:r>
        <w:t>PBAC Outcome</w:t>
      </w:r>
    </w:p>
    <w:p w14:paraId="5B72A36B" w14:textId="64101B65" w:rsidR="00F31151" w:rsidRDefault="00774A06" w:rsidP="00F31151">
      <w:pPr>
        <w:pStyle w:val="3-BodyText"/>
        <w:numPr>
          <w:ilvl w:val="1"/>
          <w:numId w:val="29"/>
        </w:numPr>
        <w:ind w:left="709" w:hanging="709"/>
      </w:pPr>
      <w:r>
        <w:t xml:space="preserve">The PBAC recommended </w:t>
      </w:r>
      <w:r w:rsidR="001B3FD7">
        <w:t xml:space="preserve">amending </w:t>
      </w:r>
      <w:r w:rsidR="00E17E62">
        <w:t>ascimin</w:t>
      </w:r>
      <w:r w:rsidR="006C12DC">
        <w:t>ib</w:t>
      </w:r>
      <w:r w:rsidR="001B3FD7">
        <w:t>’s listing to add</w:t>
      </w:r>
      <w:r w:rsidR="006C12DC">
        <w:t xml:space="preserve"> </w:t>
      </w:r>
      <w:r w:rsidR="00127CB1">
        <w:t>nurse practitioners as eligible prescribers</w:t>
      </w:r>
      <w:r w:rsidR="00701642">
        <w:t>,</w:t>
      </w:r>
      <w:r w:rsidR="00AA3FC6">
        <w:t xml:space="preserve"> but for </w:t>
      </w:r>
      <w:r w:rsidR="000C3034">
        <w:t xml:space="preserve">the </w:t>
      </w:r>
      <w:r w:rsidR="006C12DC">
        <w:t>continuing</w:t>
      </w:r>
      <w:r w:rsidR="00F31151">
        <w:t xml:space="preserve"> phase </w:t>
      </w:r>
      <w:r w:rsidR="007E117D">
        <w:t>only</w:t>
      </w:r>
      <w:r w:rsidR="00C93ACE">
        <w:t xml:space="preserve"> for both</w:t>
      </w:r>
      <w:r w:rsidR="007E117D">
        <w:t xml:space="preserve"> indications. </w:t>
      </w:r>
    </w:p>
    <w:p w14:paraId="415AC566" w14:textId="79D880AF" w:rsidR="00F31151" w:rsidRPr="00F31151" w:rsidRDefault="00F31151" w:rsidP="00F31151">
      <w:pPr>
        <w:pStyle w:val="3-BodyText"/>
        <w:numPr>
          <w:ilvl w:val="1"/>
          <w:numId w:val="29"/>
        </w:numPr>
        <w:ind w:left="709" w:hanging="709"/>
        <w:rPr>
          <w:rStyle w:val="cf01"/>
          <w:rFonts w:asciiTheme="minorHAnsi" w:hAnsiTheme="minorHAnsi" w:cstheme="minorBidi"/>
          <w:sz w:val="24"/>
          <w:szCs w:val="22"/>
        </w:rPr>
      </w:pPr>
      <w:r w:rsidRPr="00F31151">
        <w:rPr>
          <w:rStyle w:val="cf01"/>
          <w:rFonts w:asciiTheme="minorHAnsi" w:hAnsiTheme="minorHAnsi" w:cstheme="minorHAnsi"/>
          <w:sz w:val="24"/>
          <w:szCs w:val="24"/>
        </w:rPr>
        <w:lastRenderedPageBreak/>
        <w:t xml:space="preserve">Consistent with its July 2025 consideration, the PBAC gave particular attention to the </w:t>
      </w:r>
      <w:r>
        <w:rPr>
          <w:rStyle w:val="cf01"/>
          <w:rFonts w:asciiTheme="minorHAnsi" w:hAnsiTheme="minorHAnsi" w:cstheme="minorHAnsi"/>
          <w:sz w:val="24"/>
          <w:szCs w:val="24"/>
        </w:rPr>
        <w:t>G</w:t>
      </w:r>
      <w:r w:rsidRPr="00F31151">
        <w:rPr>
          <w:rStyle w:val="cf01"/>
          <w:rFonts w:asciiTheme="minorHAnsi" w:hAnsiTheme="minorHAnsi" w:cstheme="minorHAnsi"/>
          <w:sz w:val="24"/>
          <w:szCs w:val="24"/>
        </w:rPr>
        <w:t xml:space="preserve">eneral </w:t>
      </w:r>
      <w:r>
        <w:rPr>
          <w:rStyle w:val="cf01"/>
          <w:rFonts w:asciiTheme="minorHAnsi" w:hAnsiTheme="minorHAnsi" w:cstheme="minorHAnsi"/>
          <w:sz w:val="24"/>
          <w:szCs w:val="24"/>
        </w:rPr>
        <w:t>G</w:t>
      </w:r>
      <w:r w:rsidRPr="00F31151">
        <w:rPr>
          <w:rStyle w:val="cf01"/>
          <w:rFonts w:asciiTheme="minorHAnsi" w:hAnsiTheme="minorHAnsi" w:cstheme="minorHAnsi"/>
          <w:sz w:val="24"/>
          <w:szCs w:val="24"/>
        </w:rPr>
        <w:t xml:space="preserve">uidance </w:t>
      </w:r>
      <w:r>
        <w:rPr>
          <w:rStyle w:val="cf01"/>
          <w:rFonts w:asciiTheme="minorHAnsi" w:hAnsiTheme="minorHAnsi" w:cstheme="minorHAnsi"/>
          <w:sz w:val="24"/>
          <w:szCs w:val="24"/>
        </w:rPr>
        <w:t>P</w:t>
      </w:r>
      <w:r w:rsidRPr="00F31151">
        <w:rPr>
          <w:rStyle w:val="cf01"/>
          <w:rFonts w:asciiTheme="minorHAnsi" w:hAnsiTheme="minorHAnsi" w:cstheme="minorHAnsi"/>
          <w:sz w:val="24"/>
          <w:szCs w:val="24"/>
        </w:rPr>
        <w:t xml:space="preserve">rinciple 4 and the specific considerations in the diagnosis and management of chronic myeloid leukaemia. </w:t>
      </w:r>
    </w:p>
    <w:p w14:paraId="70FB006B" w14:textId="01CDB210" w:rsidR="00F31151" w:rsidRPr="00F31151" w:rsidRDefault="00F31151" w:rsidP="00F31151">
      <w:pPr>
        <w:pStyle w:val="3-BodyText"/>
        <w:numPr>
          <w:ilvl w:val="1"/>
          <w:numId w:val="29"/>
        </w:numPr>
        <w:ind w:left="709" w:hanging="709"/>
        <w:rPr>
          <w:rStyle w:val="cf01"/>
          <w:rFonts w:asciiTheme="minorHAnsi" w:hAnsiTheme="minorHAnsi" w:cstheme="minorBidi"/>
          <w:sz w:val="24"/>
          <w:szCs w:val="22"/>
        </w:rPr>
      </w:pPr>
      <w:r>
        <w:rPr>
          <w:rStyle w:val="cf01"/>
          <w:rFonts w:asciiTheme="minorHAnsi" w:hAnsiTheme="minorHAnsi" w:cstheme="minorHAnsi"/>
          <w:sz w:val="24"/>
          <w:szCs w:val="24"/>
        </w:rPr>
        <w:t>T</w:t>
      </w:r>
      <w:r w:rsidRPr="00F31151">
        <w:rPr>
          <w:rStyle w:val="cf01"/>
          <w:rFonts w:asciiTheme="minorHAnsi" w:hAnsiTheme="minorHAnsi" w:cstheme="minorHAnsi"/>
          <w:sz w:val="24"/>
          <w:szCs w:val="24"/>
        </w:rPr>
        <w:t xml:space="preserve">he PBAC considered that the clinical expertise required in determining whether a patient is in the blast phase or not, as well as assessing for a haematological or cytogenetic response or disease progression to prior tyrosine kinase inhibitor treatment as all required in the initial treatment restriction, likely requires that a patient’s care be overseen by a haematologist. </w:t>
      </w:r>
    </w:p>
    <w:p w14:paraId="38007A7C" w14:textId="10B2BD3B" w:rsidR="00F31151" w:rsidRPr="00F31151" w:rsidRDefault="00F31151" w:rsidP="00F31151">
      <w:pPr>
        <w:pStyle w:val="3-BodyText"/>
        <w:numPr>
          <w:ilvl w:val="1"/>
          <w:numId w:val="29"/>
        </w:numPr>
        <w:ind w:left="709" w:hanging="709"/>
      </w:pPr>
      <w:r w:rsidRPr="00F31151">
        <w:rPr>
          <w:rStyle w:val="cf01"/>
          <w:rFonts w:asciiTheme="minorHAnsi" w:hAnsiTheme="minorHAnsi" w:cstheme="minorHAnsi"/>
          <w:sz w:val="24"/>
          <w:szCs w:val="24"/>
        </w:rPr>
        <w:t>As such, the PBAC was of a view that limiting nurse practitioner prescribing to continuing therapy with asciminib and where patient care is shared with a medical practitioner (haematologist), would assist in mitigating potential risks of non</w:t>
      </w:r>
      <w:r w:rsidR="009075DA">
        <w:rPr>
          <w:rStyle w:val="cf01"/>
          <w:rFonts w:asciiTheme="minorHAnsi" w:hAnsiTheme="minorHAnsi" w:cstheme="minorHAnsi"/>
          <w:sz w:val="24"/>
          <w:szCs w:val="24"/>
        </w:rPr>
        <w:noBreakHyphen/>
      </w:r>
      <w:r w:rsidRPr="00F31151">
        <w:rPr>
          <w:rStyle w:val="cf01"/>
          <w:rFonts w:asciiTheme="minorHAnsi" w:hAnsiTheme="minorHAnsi" w:cstheme="minorHAnsi"/>
          <w:sz w:val="24"/>
          <w:szCs w:val="24"/>
        </w:rPr>
        <w:t>compliance with the initial treatment restriction requirements.</w:t>
      </w:r>
    </w:p>
    <w:p w14:paraId="7A2E6F6B" w14:textId="01E651EC" w:rsidR="00424FA4" w:rsidRDefault="00B44F2B" w:rsidP="00774A06">
      <w:pPr>
        <w:pStyle w:val="3-BodyText"/>
        <w:numPr>
          <w:ilvl w:val="1"/>
          <w:numId w:val="29"/>
        </w:numPr>
        <w:ind w:left="709" w:hanging="709"/>
      </w:pPr>
      <w:r>
        <w:t xml:space="preserve">The PBAC advised that </w:t>
      </w:r>
      <w:r w:rsidR="001A659F">
        <w:t xml:space="preserve">listing for asciminib should follow precedent for other </w:t>
      </w:r>
      <w:r w:rsidR="006C3EFD">
        <w:t>NP</w:t>
      </w:r>
      <w:r w:rsidR="001A659F">
        <w:t xml:space="preserve"> prescribing items for other drugs in the same class</w:t>
      </w:r>
      <w:r w:rsidR="00141480">
        <w:t xml:space="preserve">, recalling its June 2025 decision for other CML medicines. </w:t>
      </w:r>
    </w:p>
    <w:p w14:paraId="5F10278C" w14:textId="77777777" w:rsidR="006C3EFD" w:rsidRDefault="00BE4131" w:rsidP="006C3EFD">
      <w:pPr>
        <w:pStyle w:val="3-BodyText"/>
        <w:numPr>
          <w:ilvl w:val="1"/>
          <w:numId w:val="29"/>
        </w:numPr>
        <w:ind w:left="709" w:hanging="709"/>
      </w:pPr>
      <w:r>
        <w:t xml:space="preserve">The PBAC </w:t>
      </w:r>
      <w:r w:rsidR="00033920">
        <w:t xml:space="preserve">considered that there would be no additional cost to the PBS. </w:t>
      </w:r>
    </w:p>
    <w:p w14:paraId="26A51CEA" w14:textId="77777777" w:rsidR="00A76466" w:rsidRPr="00A76466" w:rsidRDefault="006C3EFD" w:rsidP="00A76466">
      <w:pPr>
        <w:pStyle w:val="3-BodyText"/>
        <w:numPr>
          <w:ilvl w:val="1"/>
          <w:numId w:val="29"/>
        </w:numPr>
        <w:ind w:left="709" w:hanging="709"/>
      </w:pPr>
      <w:r w:rsidRPr="006C3EFD">
        <w:rPr>
          <w:rFonts w:cstheme="minorHAnsi"/>
        </w:rPr>
        <w:t xml:space="preserve">The PBAC found that the criteria prescribed by the </w:t>
      </w:r>
      <w:r w:rsidRPr="006C3EFD">
        <w:rPr>
          <w:rFonts w:cstheme="minorHAnsi"/>
          <w:i/>
        </w:rPr>
        <w:t>National Health (Pharmaceuticals and Vaccines – Cost Recovery) Regulations 2022</w:t>
      </w:r>
      <w:r w:rsidRPr="006C3EFD">
        <w:rPr>
          <w:rFonts w:cstheme="minorHAnsi"/>
        </w:rPr>
        <w:t xml:space="preserve"> for Pricing Pathway A were not met. Specifically, the PBAC found that in the circumstances of its recommendation for amendment to the NP prescribing arrangements, </w:t>
      </w:r>
      <w:r>
        <w:rPr>
          <w:rFonts w:cstheme="minorHAnsi"/>
        </w:rPr>
        <w:t>it</w:t>
      </w:r>
      <w:r w:rsidRPr="006C3EFD">
        <w:rPr>
          <w:rFonts w:cstheme="minorHAnsi"/>
        </w:rPr>
        <w:t xml:space="preserve"> is not expected to address a high and urgent unmet clinical need.</w:t>
      </w:r>
    </w:p>
    <w:p w14:paraId="6143550A" w14:textId="39AC6B82" w:rsidR="00A76466" w:rsidRPr="00A76466" w:rsidRDefault="00A76466" w:rsidP="00A76466">
      <w:pPr>
        <w:pStyle w:val="3-BodyText"/>
        <w:numPr>
          <w:ilvl w:val="1"/>
          <w:numId w:val="29"/>
        </w:numPr>
        <w:ind w:left="709" w:hanging="709"/>
      </w:pPr>
      <w:r w:rsidRPr="00A76466">
        <w:rPr>
          <w:rFonts w:cs="Arial"/>
          <w:bCs/>
          <w:snapToGrid w:val="0"/>
        </w:rPr>
        <w:t>The PBAC noted that this submission is not eligible for an Independent Review as it received a positive recommendation.</w:t>
      </w:r>
    </w:p>
    <w:p w14:paraId="17E35D36" w14:textId="77777777" w:rsidR="00922DB2" w:rsidRDefault="00922DB2" w:rsidP="00922DB2">
      <w:pPr>
        <w:rPr>
          <w:b/>
          <w:bCs/>
          <w:snapToGrid w:val="0"/>
          <w:lang w:val="en-GB"/>
        </w:rPr>
      </w:pPr>
    </w:p>
    <w:p w14:paraId="5A5F564F" w14:textId="421417D7" w:rsidR="00922DB2" w:rsidRPr="00922DB2" w:rsidRDefault="00922DB2" w:rsidP="00922DB2">
      <w:pPr>
        <w:rPr>
          <w:b/>
          <w:bCs/>
          <w:lang w:val="en-GB"/>
        </w:rPr>
      </w:pPr>
      <w:r w:rsidRPr="00922DB2">
        <w:rPr>
          <w:b/>
          <w:bCs/>
          <w:snapToGrid w:val="0"/>
          <w:lang w:val="en-GB"/>
        </w:rPr>
        <w:t>Outcome:</w:t>
      </w:r>
    </w:p>
    <w:p w14:paraId="75453004" w14:textId="004B0DDC" w:rsidR="00033920" w:rsidRPr="00922DB2" w:rsidRDefault="00922DB2" w:rsidP="00922DB2">
      <w:pPr>
        <w:rPr>
          <w:b/>
          <w:bCs/>
          <w:lang w:val="en-GB"/>
        </w:rPr>
      </w:pPr>
      <w:r w:rsidRPr="00922DB2">
        <w:rPr>
          <w:bCs/>
          <w:snapToGrid w:val="0"/>
          <w:lang w:val="en-GB"/>
        </w:rPr>
        <w:t>Recommended</w:t>
      </w:r>
    </w:p>
    <w:p w14:paraId="30015D44" w14:textId="60639B02" w:rsidR="003F295B" w:rsidRPr="002A4002" w:rsidRDefault="003F295B" w:rsidP="003F295B">
      <w:pPr>
        <w:pStyle w:val="Heading1"/>
        <w:keepNext/>
        <w:keepLines/>
        <w:numPr>
          <w:ilvl w:val="0"/>
          <w:numId w:val="29"/>
        </w:numPr>
        <w:spacing w:before="240"/>
        <w:rPr>
          <w:sz w:val="32"/>
          <w:szCs w:val="32"/>
        </w:rPr>
      </w:pPr>
      <w:r w:rsidRPr="002A4002">
        <w:rPr>
          <w:sz w:val="32"/>
          <w:szCs w:val="32"/>
        </w:rPr>
        <w:t>Recommended listing</w:t>
      </w:r>
    </w:p>
    <w:p w14:paraId="353ECC1D" w14:textId="7E095BE0" w:rsidR="00996D49" w:rsidRDefault="0039042E" w:rsidP="007511A1">
      <w:pPr>
        <w:widowControl w:val="0"/>
        <w:spacing w:after="120"/>
        <w:rPr>
          <w:rFonts w:asciiTheme="minorHAnsi" w:hAnsiTheme="minorHAnsi" w:cs="Arial"/>
          <w:bCs/>
          <w:snapToGrid w:val="0"/>
        </w:rPr>
      </w:pPr>
      <w:r>
        <w:rPr>
          <w:rFonts w:asciiTheme="minorHAnsi" w:hAnsiTheme="minorHAnsi" w:cs="Arial"/>
          <w:bCs/>
          <w:snapToGrid w:val="0"/>
        </w:rPr>
        <w:t>6.1</w:t>
      </w:r>
      <w:r>
        <w:rPr>
          <w:rFonts w:asciiTheme="minorHAnsi" w:hAnsiTheme="minorHAnsi" w:cs="Arial"/>
          <w:bCs/>
          <w:snapToGrid w:val="0"/>
        </w:rPr>
        <w:tab/>
      </w:r>
      <w:r w:rsidR="003F295B" w:rsidRPr="002A4002">
        <w:rPr>
          <w:rFonts w:asciiTheme="minorHAnsi" w:hAnsiTheme="minorHAnsi" w:cs="Arial"/>
          <w:bCs/>
          <w:snapToGrid w:val="0"/>
        </w:rPr>
        <w:t>A</w:t>
      </w:r>
      <w:r>
        <w:rPr>
          <w:rFonts w:asciiTheme="minorHAnsi" w:hAnsiTheme="minorHAnsi" w:cs="Arial"/>
          <w:bCs/>
          <w:snapToGrid w:val="0"/>
        </w:rPr>
        <w:t>dd</w:t>
      </w:r>
      <w:r w:rsidR="003F295B" w:rsidRPr="002A4002">
        <w:rPr>
          <w:rFonts w:asciiTheme="minorHAnsi" w:hAnsiTheme="minorHAnsi" w:cs="Arial"/>
          <w:bCs/>
          <w:snapToGrid w:val="0"/>
        </w:rPr>
        <w:t xml:space="preserve"> Nurse Practitioner </w:t>
      </w:r>
      <w:r>
        <w:rPr>
          <w:rFonts w:asciiTheme="minorHAnsi" w:hAnsiTheme="minorHAnsi" w:cs="Arial"/>
          <w:bCs/>
          <w:snapToGrid w:val="0"/>
        </w:rPr>
        <w:t>(NP) prescriber type</w:t>
      </w:r>
      <w:r w:rsidR="00F279D8">
        <w:rPr>
          <w:rFonts w:asciiTheme="minorHAnsi" w:hAnsiTheme="minorHAnsi" w:cs="Arial"/>
          <w:bCs/>
          <w:snapToGrid w:val="0"/>
        </w:rPr>
        <w:t xml:space="preserve"> </w:t>
      </w:r>
      <w:r w:rsidR="00A34079">
        <w:rPr>
          <w:rFonts w:asciiTheme="minorHAnsi" w:hAnsiTheme="minorHAnsi" w:cs="Arial"/>
          <w:bCs/>
          <w:snapToGrid w:val="0"/>
        </w:rPr>
        <w:t xml:space="preserve">to the </w:t>
      </w:r>
      <w:r w:rsidR="003739D8">
        <w:rPr>
          <w:rFonts w:asciiTheme="minorHAnsi" w:hAnsiTheme="minorHAnsi" w:cs="Arial"/>
          <w:bCs/>
          <w:snapToGrid w:val="0"/>
        </w:rPr>
        <w:t>Continuing treatment phases only</w:t>
      </w:r>
      <w:r w:rsidR="00996D49">
        <w:rPr>
          <w:rFonts w:asciiTheme="minorHAnsi" w:hAnsiTheme="minorHAnsi" w:cs="Arial"/>
          <w:bCs/>
          <w:snapToGrid w:val="0"/>
        </w:rPr>
        <w:t>.</w:t>
      </w:r>
    </w:p>
    <w:p w14:paraId="540D6953" w14:textId="1034F7E9" w:rsidR="008C5B52" w:rsidRDefault="00996D49" w:rsidP="00B721AF">
      <w:pPr>
        <w:widowControl w:val="0"/>
        <w:spacing w:after="120"/>
        <w:ind w:left="720" w:hanging="720"/>
        <w:rPr>
          <w:rFonts w:asciiTheme="minorHAnsi" w:hAnsiTheme="minorHAnsi" w:cs="Arial"/>
          <w:bCs/>
          <w:snapToGrid w:val="0"/>
        </w:rPr>
      </w:pPr>
      <w:r>
        <w:rPr>
          <w:rFonts w:asciiTheme="minorHAnsi" w:hAnsiTheme="minorHAnsi" w:cs="Arial"/>
          <w:bCs/>
          <w:snapToGrid w:val="0"/>
        </w:rPr>
        <w:t>6.2</w:t>
      </w:r>
      <w:r>
        <w:rPr>
          <w:rFonts w:asciiTheme="minorHAnsi" w:hAnsiTheme="minorHAnsi" w:cs="Arial"/>
          <w:bCs/>
          <w:snapToGrid w:val="0"/>
        </w:rPr>
        <w:tab/>
        <w:t xml:space="preserve">Add </w:t>
      </w:r>
      <w:r w:rsidR="00872433">
        <w:rPr>
          <w:rFonts w:asciiTheme="minorHAnsi" w:hAnsiTheme="minorHAnsi" w:cs="Arial"/>
          <w:bCs/>
          <w:snapToGrid w:val="0"/>
        </w:rPr>
        <w:t>Treatment criteria as described below</w:t>
      </w:r>
      <w:r w:rsidR="00EC75B0">
        <w:rPr>
          <w:rFonts w:asciiTheme="minorHAnsi" w:hAnsiTheme="minorHAnsi" w:cs="Arial"/>
          <w:bCs/>
          <w:snapToGrid w:val="0"/>
        </w:rPr>
        <w:t xml:space="preserve"> to the Continuing treatment phases only</w:t>
      </w:r>
      <w:r w:rsidR="002A2D61">
        <w:rPr>
          <w:rFonts w:asciiTheme="minorHAnsi" w:hAnsiTheme="minorHAnsi" w:cs="Arial"/>
          <w:bCs/>
          <w:snapToGrid w:val="0"/>
        </w:rPr>
        <w:t xml:space="preserve"> – only the </w:t>
      </w:r>
      <w:r w:rsidR="00125301">
        <w:rPr>
          <w:rFonts w:asciiTheme="minorHAnsi" w:hAnsiTheme="minorHAnsi" w:cs="Arial"/>
          <w:bCs/>
          <w:snapToGrid w:val="0"/>
        </w:rPr>
        <w:t>added treatment criteria are shown below</w:t>
      </w:r>
      <w:r w:rsidR="00E01EF6">
        <w:rPr>
          <w:rFonts w:asciiTheme="minorHAnsi" w:hAnsiTheme="minorHAnsi" w:cs="Arial"/>
          <w:bCs/>
          <w:snapToGrid w:val="0"/>
        </w:rPr>
        <w:t xml:space="preserve">; all other </w:t>
      </w:r>
      <w:r w:rsidR="0086407B">
        <w:rPr>
          <w:rFonts w:asciiTheme="minorHAnsi" w:hAnsiTheme="minorHAnsi" w:cs="Arial"/>
          <w:bCs/>
          <w:snapToGrid w:val="0"/>
        </w:rPr>
        <w:t xml:space="preserve">existing </w:t>
      </w:r>
      <w:r w:rsidR="00E01EF6">
        <w:rPr>
          <w:rFonts w:asciiTheme="minorHAnsi" w:hAnsiTheme="minorHAnsi" w:cs="Arial"/>
          <w:bCs/>
          <w:snapToGrid w:val="0"/>
        </w:rPr>
        <w:t xml:space="preserve">eligibility </w:t>
      </w:r>
      <w:r w:rsidR="00E80F03">
        <w:rPr>
          <w:rFonts w:asciiTheme="minorHAnsi" w:hAnsiTheme="minorHAnsi" w:cs="Arial"/>
          <w:bCs/>
          <w:snapToGrid w:val="0"/>
        </w:rPr>
        <w:t>criteria are to remain</w:t>
      </w:r>
      <w:r w:rsidR="003F295B" w:rsidRPr="002A4002">
        <w:rPr>
          <w:rFonts w:asciiTheme="minorHAnsi" w:hAnsiTheme="minorHAnsi" w:cs="Arial"/>
          <w:bCs/>
          <w:snapToGrid w:val="0"/>
        </w:rPr>
        <w:t>:</w:t>
      </w:r>
    </w:p>
    <w:p w14:paraId="6277278B" w14:textId="0C187391" w:rsidR="00E201C1" w:rsidRPr="007511A1" w:rsidRDefault="008C5B52" w:rsidP="008C5B52">
      <w:pPr>
        <w:jc w:val="left"/>
        <w:rPr>
          <w:rFonts w:asciiTheme="minorHAnsi" w:hAnsiTheme="minorHAnsi" w:cs="Arial"/>
          <w:bCs/>
          <w:snapToGrid w:val="0"/>
        </w:rPr>
      </w:pPr>
      <w:r>
        <w:rPr>
          <w:rFonts w:asciiTheme="minorHAnsi" w:hAnsiTheme="minorHAnsi" w:cs="Arial"/>
          <w:bCs/>
          <w:snapToGrid w:val="0"/>
        </w:rPr>
        <w:br w:type="page"/>
      </w:r>
    </w:p>
    <w:p w14:paraId="08D6553B" w14:textId="77777777" w:rsidR="00E201C1" w:rsidRPr="00E201C1" w:rsidRDefault="00E201C1" w:rsidP="00E201C1">
      <w:pPr>
        <w:pStyle w:val="3-BodyText"/>
        <w:rPr>
          <w:b/>
        </w:rPr>
      </w:pPr>
      <w:r w:rsidRPr="00E201C1">
        <w:rPr>
          <w:b/>
        </w:rPr>
        <w:lastRenderedPageBreak/>
        <w:t xml:space="preserve">Continuing treatment for patients </w:t>
      </w:r>
      <w:r w:rsidRPr="00E201C1">
        <w:rPr>
          <w:b/>
          <w:i/>
          <w:iCs/>
        </w:rPr>
        <w:t>without</w:t>
      </w:r>
      <w:r w:rsidRPr="00E201C1">
        <w:rPr>
          <w:b/>
        </w:rPr>
        <w:t> T315I mutation </w:t>
      </w:r>
    </w:p>
    <w:tbl>
      <w:tblPr>
        <w:tblW w:w="0" w:type="auto"/>
        <w:tblLook w:val="06A0" w:firstRow="1" w:lastRow="0" w:firstColumn="1" w:lastColumn="0" w:noHBand="1" w:noVBand="1"/>
        <w:tblCaption w:val="Recommended listing - Continuing treatment for patients without T315I mutation "/>
      </w:tblPr>
      <w:tblGrid>
        <w:gridCol w:w="1274"/>
        <w:gridCol w:w="3096"/>
        <w:gridCol w:w="1094"/>
        <w:gridCol w:w="765"/>
        <w:gridCol w:w="690"/>
        <w:gridCol w:w="765"/>
        <w:gridCol w:w="1322"/>
      </w:tblGrid>
      <w:tr w:rsidR="00E201C1" w:rsidRPr="00E201C1" w14:paraId="6DADD587" w14:textId="77777777">
        <w:trPr>
          <w:trHeight w:val="15"/>
        </w:trPr>
        <w:tc>
          <w:tcPr>
            <w:tcW w:w="4370" w:type="dxa"/>
            <w:gridSpan w:val="2"/>
            <w:tcBorders>
              <w:top w:val="single" w:sz="8" w:space="0" w:color="auto"/>
              <w:left w:val="single" w:sz="8" w:space="0" w:color="auto"/>
              <w:bottom w:val="single" w:sz="8" w:space="0" w:color="auto"/>
              <w:right w:val="single" w:sz="8" w:space="0" w:color="auto"/>
            </w:tcBorders>
            <w:vAlign w:val="center"/>
            <w:hideMark/>
          </w:tcPr>
          <w:p w14:paraId="2190720E" w14:textId="77777777" w:rsidR="00E201C1" w:rsidRPr="00E201C1" w:rsidRDefault="00E201C1" w:rsidP="002F4BAC">
            <w:pPr>
              <w:pStyle w:val="In-tableHeading"/>
            </w:pPr>
            <w:r w:rsidRPr="00E201C1">
              <w:t>MEDICINAL PRODUCT</w:t>
            </w:r>
          </w:p>
          <w:p w14:paraId="3D7450B6" w14:textId="77777777" w:rsidR="00E201C1" w:rsidRPr="00E201C1" w:rsidRDefault="00E201C1" w:rsidP="002F4BAC">
            <w:pPr>
              <w:pStyle w:val="In-tableHeading"/>
            </w:pPr>
            <w:r w:rsidRPr="00E201C1">
              <w:t>medicinal product pack</w:t>
            </w:r>
          </w:p>
        </w:tc>
        <w:tc>
          <w:tcPr>
            <w:tcW w:w="1094" w:type="dxa"/>
            <w:tcBorders>
              <w:top w:val="single" w:sz="8" w:space="0" w:color="auto"/>
              <w:left w:val="nil"/>
              <w:bottom w:val="single" w:sz="8" w:space="0" w:color="auto"/>
              <w:right w:val="single" w:sz="8" w:space="0" w:color="auto"/>
            </w:tcBorders>
            <w:vAlign w:val="center"/>
            <w:hideMark/>
          </w:tcPr>
          <w:p w14:paraId="324936DA" w14:textId="77777777" w:rsidR="00E201C1" w:rsidRPr="00E201C1" w:rsidRDefault="00E201C1" w:rsidP="002F4BAC">
            <w:pPr>
              <w:pStyle w:val="In-tableHeading"/>
            </w:pPr>
            <w:r w:rsidRPr="00E201C1">
              <w:t>PBS item code</w:t>
            </w:r>
          </w:p>
        </w:tc>
        <w:tc>
          <w:tcPr>
            <w:tcW w:w="765" w:type="dxa"/>
            <w:tcBorders>
              <w:top w:val="single" w:sz="8" w:space="0" w:color="auto"/>
              <w:left w:val="single" w:sz="8" w:space="0" w:color="auto"/>
              <w:bottom w:val="single" w:sz="8" w:space="0" w:color="auto"/>
              <w:right w:val="single" w:sz="8" w:space="0" w:color="auto"/>
            </w:tcBorders>
            <w:vAlign w:val="center"/>
            <w:hideMark/>
          </w:tcPr>
          <w:p w14:paraId="3DCA0FC7" w14:textId="77777777" w:rsidR="00E201C1" w:rsidRPr="00E201C1" w:rsidRDefault="00E201C1" w:rsidP="002F4BAC">
            <w:pPr>
              <w:pStyle w:val="In-tableHeading"/>
            </w:pPr>
            <w:r w:rsidRPr="00E201C1">
              <w:t>Max. qty packs</w:t>
            </w:r>
          </w:p>
        </w:tc>
        <w:tc>
          <w:tcPr>
            <w:tcW w:w="690" w:type="dxa"/>
            <w:tcBorders>
              <w:top w:val="single" w:sz="8" w:space="0" w:color="auto"/>
              <w:left w:val="single" w:sz="8" w:space="0" w:color="auto"/>
              <w:bottom w:val="single" w:sz="8" w:space="0" w:color="auto"/>
              <w:right w:val="single" w:sz="8" w:space="0" w:color="auto"/>
            </w:tcBorders>
            <w:vAlign w:val="center"/>
            <w:hideMark/>
          </w:tcPr>
          <w:p w14:paraId="0BCC232E" w14:textId="77777777" w:rsidR="00E201C1" w:rsidRPr="00E201C1" w:rsidRDefault="00E201C1" w:rsidP="002F4BAC">
            <w:pPr>
              <w:pStyle w:val="In-tableHeading"/>
            </w:pPr>
            <w:r w:rsidRPr="00E201C1">
              <w:t>Max. qty units</w:t>
            </w:r>
          </w:p>
        </w:tc>
        <w:tc>
          <w:tcPr>
            <w:tcW w:w="765" w:type="dxa"/>
            <w:tcBorders>
              <w:top w:val="single" w:sz="8" w:space="0" w:color="auto"/>
              <w:left w:val="single" w:sz="8" w:space="0" w:color="auto"/>
              <w:bottom w:val="single" w:sz="8" w:space="0" w:color="auto"/>
              <w:right w:val="single" w:sz="8" w:space="0" w:color="auto"/>
            </w:tcBorders>
            <w:vAlign w:val="center"/>
            <w:hideMark/>
          </w:tcPr>
          <w:p w14:paraId="316E660B" w14:textId="77777777" w:rsidR="00E201C1" w:rsidRPr="00E201C1" w:rsidRDefault="00E201C1" w:rsidP="002F4BAC">
            <w:pPr>
              <w:pStyle w:val="In-tableHeading"/>
            </w:pPr>
            <w:r w:rsidRPr="00E201C1">
              <w:t>№.of</w:t>
            </w:r>
          </w:p>
          <w:p w14:paraId="734D6EAA" w14:textId="77777777" w:rsidR="00E201C1" w:rsidRPr="00E201C1" w:rsidRDefault="00E201C1" w:rsidP="002F4BAC">
            <w:pPr>
              <w:pStyle w:val="In-tableHeading"/>
            </w:pPr>
            <w:r w:rsidRPr="00E201C1">
              <w:t>Rpts</w:t>
            </w:r>
          </w:p>
        </w:tc>
        <w:tc>
          <w:tcPr>
            <w:tcW w:w="1322" w:type="dxa"/>
            <w:tcBorders>
              <w:top w:val="single" w:sz="8" w:space="0" w:color="auto"/>
              <w:left w:val="single" w:sz="8" w:space="0" w:color="auto"/>
              <w:bottom w:val="single" w:sz="8" w:space="0" w:color="auto"/>
              <w:right w:val="single" w:sz="8" w:space="0" w:color="auto"/>
            </w:tcBorders>
            <w:vAlign w:val="center"/>
            <w:hideMark/>
          </w:tcPr>
          <w:p w14:paraId="7C9B5236" w14:textId="77777777" w:rsidR="00E201C1" w:rsidRPr="00E201C1" w:rsidRDefault="00E201C1" w:rsidP="002F4BAC">
            <w:pPr>
              <w:pStyle w:val="In-tableHeading"/>
            </w:pPr>
            <w:r w:rsidRPr="00E201C1">
              <w:t>Available brands</w:t>
            </w:r>
          </w:p>
        </w:tc>
      </w:tr>
      <w:tr w:rsidR="00E201C1" w:rsidRPr="00E201C1" w14:paraId="43A7EEA2" w14:textId="77777777">
        <w:trPr>
          <w:trHeight w:val="15"/>
        </w:trPr>
        <w:tc>
          <w:tcPr>
            <w:tcW w:w="9006" w:type="dxa"/>
            <w:gridSpan w:val="7"/>
            <w:tcBorders>
              <w:top w:val="single" w:sz="8" w:space="0" w:color="auto"/>
              <w:left w:val="single" w:sz="8" w:space="0" w:color="auto"/>
              <w:bottom w:val="single" w:sz="8" w:space="0" w:color="auto"/>
              <w:right w:val="single" w:sz="8" w:space="0" w:color="auto"/>
            </w:tcBorders>
            <w:vAlign w:val="center"/>
            <w:hideMark/>
          </w:tcPr>
          <w:p w14:paraId="40E59C3F" w14:textId="77777777" w:rsidR="00E201C1" w:rsidRPr="00E201C1" w:rsidRDefault="00E201C1" w:rsidP="002F4BAC">
            <w:pPr>
              <w:pStyle w:val="TableText0"/>
            </w:pPr>
            <w:r w:rsidRPr="00E201C1">
              <w:t>ASCMINIB</w:t>
            </w:r>
          </w:p>
        </w:tc>
      </w:tr>
      <w:tr w:rsidR="00E201C1" w:rsidRPr="00E201C1" w14:paraId="383DDCF8" w14:textId="77777777">
        <w:trPr>
          <w:trHeight w:val="15"/>
        </w:trPr>
        <w:tc>
          <w:tcPr>
            <w:tcW w:w="4370" w:type="dxa"/>
            <w:gridSpan w:val="2"/>
            <w:tcBorders>
              <w:top w:val="single" w:sz="8" w:space="0" w:color="auto"/>
              <w:left w:val="single" w:sz="8" w:space="0" w:color="auto"/>
              <w:bottom w:val="single" w:sz="8" w:space="0" w:color="auto"/>
              <w:right w:val="single" w:sz="8" w:space="0" w:color="auto"/>
            </w:tcBorders>
            <w:vAlign w:val="center"/>
            <w:hideMark/>
          </w:tcPr>
          <w:p w14:paraId="1C7A9D36" w14:textId="77777777" w:rsidR="00E201C1" w:rsidRPr="00E201C1" w:rsidRDefault="00E201C1" w:rsidP="002F4BAC">
            <w:pPr>
              <w:pStyle w:val="TableText0"/>
            </w:pPr>
            <w:r w:rsidRPr="00E201C1">
              <w:t>asciminib 20 mg tablet, 60</w:t>
            </w:r>
          </w:p>
        </w:tc>
        <w:tc>
          <w:tcPr>
            <w:tcW w:w="1094" w:type="dxa"/>
            <w:tcBorders>
              <w:top w:val="nil"/>
              <w:left w:val="nil"/>
              <w:bottom w:val="single" w:sz="8" w:space="0" w:color="auto"/>
              <w:right w:val="single" w:sz="8" w:space="0" w:color="auto"/>
            </w:tcBorders>
            <w:vAlign w:val="center"/>
            <w:hideMark/>
          </w:tcPr>
          <w:p w14:paraId="26EDEAB9" w14:textId="77777777" w:rsidR="00E201C1" w:rsidRPr="00E201C1" w:rsidRDefault="00E201C1" w:rsidP="002F4BAC">
            <w:pPr>
              <w:pStyle w:val="TableText0"/>
            </w:pPr>
            <w:r w:rsidRPr="00E201C1">
              <w:t>13268H</w:t>
            </w:r>
          </w:p>
        </w:tc>
        <w:tc>
          <w:tcPr>
            <w:tcW w:w="765" w:type="dxa"/>
            <w:tcBorders>
              <w:top w:val="nil"/>
              <w:left w:val="single" w:sz="8" w:space="0" w:color="auto"/>
              <w:bottom w:val="single" w:sz="8" w:space="0" w:color="auto"/>
              <w:right w:val="single" w:sz="8" w:space="0" w:color="auto"/>
            </w:tcBorders>
            <w:vAlign w:val="center"/>
            <w:hideMark/>
          </w:tcPr>
          <w:p w14:paraId="10528756" w14:textId="77777777" w:rsidR="00E201C1" w:rsidRPr="00E201C1" w:rsidRDefault="00E201C1" w:rsidP="002F4BAC">
            <w:pPr>
              <w:pStyle w:val="TableText0"/>
            </w:pPr>
            <w:r w:rsidRPr="00E201C1">
              <w:t>1</w:t>
            </w:r>
          </w:p>
        </w:tc>
        <w:tc>
          <w:tcPr>
            <w:tcW w:w="690" w:type="dxa"/>
            <w:tcBorders>
              <w:top w:val="nil"/>
              <w:left w:val="single" w:sz="8" w:space="0" w:color="auto"/>
              <w:bottom w:val="single" w:sz="8" w:space="0" w:color="auto"/>
              <w:right w:val="single" w:sz="8" w:space="0" w:color="auto"/>
            </w:tcBorders>
            <w:vAlign w:val="center"/>
            <w:hideMark/>
          </w:tcPr>
          <w:p w14:paraId="491EB6B3" w14:textId="77777777" w:rsidR="00E201C1" w:rsidRPr="00E201C1" w:rsidRDefault="00E201C1" w:rsidP="002F4BAC">
            <w:pPr>
              <w:pStyle w:val="TableText0"/>
            </w:pPr>
            <w:r w:rsidRPr="00E201C1">
              <w:t>60</w:t>
            </w:r>
          </w:p>
        </w:tc>
        <w:tc>
          <w:tcPr>
            <w:tcW w:w="765" w:type="dxa"/>
            <w:tcBorders>
              <w:top w:val="nil"/>
              <w:left w:val="single" w:sz="8" w:space="0" w:color="auto"/>
              <w:bottom w:val="single" w:sz="8" w:space="0" w:color="auto"/>
              <w:right w:val="single" w:sz="8" w:space="0" w:color="auto"/>
            </w:tcBorders>
            <w:vAlign w:val="center"/>
            <w:hideMark/>
          </w:tcPr>
          <w:p w14:paraId="3A53BD4E" w14:textId="77777777" w:rsidR="00E201C1" w:rsidRPr="00E201C1" w:rsidRDefault="00E201C1" w:rsidP="002F4BAC">
            <w:pPr>
              <w:pStyle w:val="TableText0"/>
            </w:pPr>
            <w:r w:rsidRPr="00E201C1">
              <w:t>5</w:t>
            </w:r>
          </w:p>
        </w:tc>
        <w:tc>
          <w:tcPr>
            <w:tcW w:w="1322" w:type="dxa"/>
            <w:tcBorders>
              <w:top w:val="nil"/>
              <w:left w:val="single" w:sz="8" w:space="0" w:color="auto"/>
              <w:bottom w:val="single" w:sz="8" w:space="0" w:color="auto"/>
              <w:right w:val="single" w:sz="8" w:space="0" w:color="auto"/>
            </w:tcBorders>
            <w:vAlign w:val="center"/>
            <w:hideMark/>
          </w:tcPr>
          <w:p w14:paraId="39922FBB" w14:textId="77777777" w:rsidR="00E201C1" w:rsidRPr="00E201C1" w:rsidRDefault="00E201C1" w:rsidP="002F4BAC">
            <w:pPr>
              <w:pStyle w:val="TableText0"/>
            </w:pPr>
            <w:r w:rsidRPr="00E201C1">
              <w:t>SCEMBLIX</w:t>
            </w:r>
          </w:p>
        </w:tc>
      </w:tr>
      <w:tr w:rsidR="00E201C1" w:rsidRPr="00E201C1" w14:paraId="5B1EA106" w14:textId="77777777">
        <w:trPr>
          <w:trHeight w:val="15"/>
        </w:trPr>
        <w:tc>
          <w:tcPr>
            <w:tcW w:w="4370" w:type="dxa"/>
            <w:gridSpan w:val="2"/>
            <w:tcBorders>
              <w:top w:val="single" w:sz="8" w:space="0" w:color="auto"/>
              <w:left w:val="single" w:sz="8" w:space="0" w:color="auto"/>
              <w:bottom w:val="single" w:sz="8" w:space="0" w:color="auto"/>
              <w:right w:val="single" w:sz="8" w:space="0" w:color="auto"/>
            </w:tcBorders>
            <w:vAlign w:val="center"/>
            <w:hideMark/>
          </w:tcPr>
          <w:p w14:paraId="3852ED3C" w14:textId="77777777" w:rsidR="00E201C1" w:rsidRPr="00E201C1" w:rsidRDefault="00E201C1" w:rsidP="002F4BAC">
            <w:pPr>
              <w:pStyle w:val="TableText0"/>
            </w:pPr>
            <w:r w:rsidRPr="00E201C1">
              <w:t>asciminib 40 mg tablet, 60</w:t>
            </w:r>
          </w:p>
        </w:tc>
        <w:tc>
          <w:tcPr>
            <w:tcW w:w="1094" w:type="dxa"/>
            <w:tcBorders>
              <w:top w:val="single" w:sz="8" w:space="0" w:color="auto"/>
              <w:left w:val="nil"/>
              <w:bottom w:val="single" w:sz="8" w:space="0" w:color="auto"/>
              <w:right w:val="single" w:sz="8" w:space="0" w:color="auto"/>
            </w:tcBorders>
            <w:vAlign w:val="center"/>
            <w:hideMark/>
          </w:tcPr>
          <w:p w14:paraId="6063FA26" w14:textId="77777777" w:rsidR="00E201C1" w:rsidRPr="00E201C1" w:rsidRDefault="00E201C1" w:rsidP="002F4BAC">
            <w:pPr>
              <w:pStyle w:val="TableText0"/>
            </w:pPr>
            <w:r w:rsidRPr="00E201C1">
              <w:t>13259W</w:t>
            </w:r>
          </w:p>
        </w:tc>
        <w:tc>
          <w:tcPr>
            <w:tcW w:w="765" w:type="dxa"/>
            <w:tcBorders>
              <w:top w:val="single" w:sz="8" w:space="0" w:color="auto"/>
              <w:left w:val="single" w:sz="8" w:space="0" w:color="auto"/>
              <w:bottom w:val="single" w:sz="8" w:space="0" w:color="auto"/>
              <w:right w:val="single" w:sz="8" w:space="0" w:color="auto"/>
            </w:tcBorders>
            <w:vAlign w:val="center"/>
            <w:hideMark/>
          </w:tcPr>
          <w:p w14:paraId="76807E76" w14:textId="77777777" w:rsidR="00E201C1" w:rsidRPr="00E201C1" w:rsidRDefault="00E201C1" w:rsidP="002F4BAC">
            <w:pPr>
              <w:pStyle w:val="TableText0"/>
            </w:pPr>
            <w:r w:rsidRPr="00E201C1">
              <w:t>1</w:t>
            </w:r>
          </w:p>
        </w:tc>
        <w:tc>
          <w:tcPr>
            <w:tcW w:w="690" w:type="dxa"/>
            <w:tcBorders>
              <w:top w:val="single" w:sz="8" w:space="0" w:color="auto"/>
              <w:left w:val="single" w:sz="8" w:space="0" w:color="auto"/>
              <w:bottom w:val="single" w:sz="8" w:space="0" w:color="auto"/>
              <w:right w:val="single" w:sz="8" w:space="0" w:color="auto"/>
            </w:tcBorders>
            <w:vAlign w:val="center"/>
            <w:hideMark/>
          </w:tcPr>
          <w:p w14:paraId="3A805BF8" w14:textId="77777777" w:rsidR="00E201C1" w:rsidRPr="00E201C1" w:rsidRDefault="00E201C1" w:rsidP="002F4BAC">
            <w:pPr>
              <w:pStyle w:val="TableText0"/>
            </w:pPr>
            <w:r w:rsidRPr="00E201C1">
              <w:t>60</w:t>
            </w:r>
          </w:p>
        </w:tc>
        <w:tc>
          <w:tcPr>
            <w:tcW w:w="765" w:type="dxa"/>
            <w:tcBorders>
              <w:top w:val="single" w:sz="8" w:space="0" w:color="auto"/>
              <w:left w:val="single" w:sz="8" w:space="0" w:color="auto"/>
              <w:bottom w:val="single" w:sz="8" w:space="0" w:color="auto"/>
              <w:right w:val="single" w:sz="8" w:space="0" w:color="auto"/>
            </w:tcBorders>
            <w:vAlign w:val="center"/>
            <w:hideMark/>
          </w:tcPr>
          <w:p w14:paraId="69551088" w14:textId="77777777" w:rsidR="00E201C1" w:rsidRPr="00E201C1" w:rsidRDefault="00E201C1" w:rsidP="002F4BAC">
            <w:pPr>
              <w:pStyle w:val="TableText0"/>
            </w:pPr>
            <w:r w:rsidRPr="00E201C1">
              <w:t>5</w:t>
            </w:r>
          </w:p>
        </w:tc>
        <w:tc>
          <w:tcPr>
            <w:tcW w:w="1322" w:type="dxa"/>
            <w:tcBorders>
              <w:top w:val="single" w:sz="8" w:space="0" w:color="auto"/>
              <w:left w:val="single" w:sz="8" w:space="0" w:color="auto"/>
              <w:bottom w:val="single" w:sz="8" w:space="0" w:color="auto"/>
              <w:right w:val="single" w:sz="8" w:space="0" w:color="auto"/>
            </w:tcBorders>
            <w:vAlign w:val="center"/>
            <w:hideMark/>
          </w:tcPr>
          <w:p w14:paraId="7F6830A2" w14:textId="77777777" w:rsidR="00E201C1" w:rsidRPr="00E201C1" w:rsidRDefault="00E201C1" w:rsidP="002F4BAC">
            <w:pPr>
              <w:pStyle w:val="TableText0"/>
            </w:pPr>
            <w:r w:rsidRPr="00E201C1">
              <w:t>SCEMBLIX</w:t>
            </w:r>
          </w:p>
        </w:tc>
      </w:tr>
      <w:tr w:rsidR="00E201C1" w:rsidRPr="00E201C1" w14:paraId="42AEE0E2" w14:textId="77777777">
        <w:trPr>
          <w:trHeight w:val="15"/>
        </w:trPr>
        <w:tc>
          <w:tcPr>
            <w:tcW w:w="9006" w:type="dxa"/>
            <w:gridSpan w:val="7"/>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1144BDB" w14:textId="77777777" w:rsidR="00E201C1" w:rsidRPr="00E201C1" w:rsidRDefault="00E201C1" w:rsidP="002F4BAC">
            <w:pPr>
              <w:pStyle w:val="TableText0"/>
            </w:pPr>
          </w:p>
        </w:tc>
      </w:tr>
      <w:tr w:rsidR="00E201C1" w:rsidRPr="00E201C1" w14:paraId="5A098C30" w14:textId="77777777">
        <w:trPr>
          <w:trHeight w:val="396"/>
        </w:trPr>
        <w:tc>
          <w:tcPr>
            <w:tcW w:w="1274" w:type="dxa"/>
            <w:vMerge w:val="restart"/>
            <w:tcBorders>
              <w:top w:val="single" w:sz="8" w:space="0" w:color="auto"/>
              <w:left w:val="single" w:sz="8" w:space="0" w:color="auto"/>
              <w:bottom w:val="nil"/>
              <w:right w:val="single" w:sz="8" w:space="0" w:color="auto"/>
            </w:tcBorders>
            <w:tcMar>
              <w:top w:w="15" w:type="dxa"/>
              <w:left w:w="108" w:type="dxa"/>
              <w:bottom w:w="15" w:type="dxa"/>
              <w:right w:w="108" w:type="dxa"/>
            </w:tcMar>
            <w:hideMark/>
          </w:tcPr>
          <w:p w14:paraId="21EDB5D8" w14:textId="77777777" w:rsidR="00E201C1" w:rsidRPr="00E201C1" w:rsidRDefault="00E201C1" w:rsidP="002F4BAC">
            <w:pPr>
              <w:pStyle w:val="TableText0"/>
            </w:pPr>
            <w:r w:rsidRPr="0000024E">
              <w:rPr>
                <w:b/>
              </w:rPr>
              <w:t>Concept ID</w:t>
            </w:r>
            <w:r w:rsidRPr="00E201C1">
              <w:t xml:space="preserve"> (for internal Dept. use)</w:t>
            </w:r>
          </w:p>
        </w:tc>
        <w:tc>
          <w:tcPr>
            <w:tcW w:w="7732"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765DE2F" w14:textId="39A8FFF4" w:rsidR="00E201C1" w:rsidRPr="00E201C1" w:rsidRDefault="00E201C1" w:rsidP="002F4BAC">
            <w:pPr>
              <w:pStyle w:val="TableText0"/>
            </w:pPr>
            <w:r w:rsidRPr="0000024E">
              <w:rPr>
                <w:b/>
              </w:rPr>
              <w:t>Category / Program:</w:t>
            </w:r>
            <w:r w:rsidRPr="00E201C1">
              <w:t xml:space="preserve"> </w:t>
            </w:r>
            <w:r w:rsidRPr="00E201C1">
              <w:fldChar w:fldCharType="begin">
                <w:ffData>
                  <w:name w:val=""/>
                  <w:enabled/>
                  <w:calcOnExit w:val="0"/>
                  <w:checkBox>
                    <w:sizeAuto/>
                    <w:default w:val="1"/>
                  </w:checkBox>
                </w:ffData>
              </w:fldChar>
            </w:r>
            <w:r w:rsidRPr="00E201C1">
              <w:instrText xml:space="preserve"> FORMCHECKBOX </w:instrText>
            </w:r>
            <w:r w:rsidRPr="00E201C1">
              <w:fldChar w:fldCharType="separate"/>
            </w:r>
            <w:r w:rsidRPr="00E201C1">
              <w:fldChar w:fldCharType="end"/>
            </w:r>
            <w:r w:rsidRPr="00E201C1">
              <w:t xml:space="preserve"> GENERAL </w:t>
            </w:r>
            <w:r w:rsidR="009075DA">
              <w:noBreakHyphen/>
            </w:r>
            <w:r w:rsidRPr="00E201C1">
              <w:t xml:space="preserve"> </w:t>
            </w:r>
            <w:proofErr w:type="spellStart"/>
            <w:r w:rsidRPr="00E201C1">
              <w:t>General</w:t>
            </w:r>
            <w:proofErr w:type="spellEnd"/>
            <w:r w:rsidRPr="00E201C1">
              <w:t xml:space="preserve"> Schedule (Code GE) </w:t>
            </w:r>
          </w:p>
        </w:tc>
      </w:tr>
      <w:tr w:rsidR="00E201C1" w:rsidRPr="00E201C1" w14:paraId="3BD3159E" w14:textId="77777777">
        <w:trPr>
          <w:trHeight w:val="15"/>
        </w:trPr>
        <w:tc>
          <w:tcPr>
            <w:tcW w:w="0" w:type="auto"/>
            <w:vMerge/>
            <w:tcBorders>
              <w:top w:val="single" w:sz="8" w:space="0" w:color="auto"/>
              <w:left w:val="single" w:sz="8" w:space="0" w:color="auto"/>
              <w:bottom w:val="nil"/>
              <w:right w:val="single" w:sz="8" w:space="0" w:color="auto"/>
            </w:tcBorders>
            <w:vAlign w:val="center"/>
            <w:hideMark/>
          </w:tcPr>
          <w:p w14:paraId="3B53E27B" w14:textId="77777777" w:rsidR="00E201C1" w:rsidRPr="00E201C1" w:rsidRDefault="00E201C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1C2468BF" w14:textId="060251DE" w:rsidR="00E201C1" w:rsidRPr="00E201C1" w:rsidRDefault="00E201C1" w:rsidP="002F4BAC">
            <w:pPr>
              <w:pStyle w:val="TableText0"/>
            </w:pPr>
            <w:r w:rsidRPr="0000024E">
              <w:rPr>
                <w:b/>
              </w:rPr>
              <w:t>Prescriber type:</w:t>
            </w:r>
            <w:r w:rsidRPr="00E201C1">
              <w:t xml:space="preserve"> </w:t>
            </w:r>
            <w:r w:rsidRPr="00E201C1">
              <w:fldChar w:fldCharType="begin">
                <w:ffData>
                  <w:name w:val=""/>
                  <w:enabled/>
                  <w:calcOnExit w:val="0"/>
                  <w:checkBox>
                    <w:sizeAuto/>
                    <w:default w:val="1"/>
                  </w:checkBox>
                </w:ffData>
              </w:fldChar>
            </w:r>
            <w:r w:rsidRPr="00E201C1">
              <w:instrText xml:space="preserve"> FORMCHECKBOX </w:instrText>
            </w:r>
            <w:r w:rsidRPr="00E201C1">
              <w:fldChar w:fldCharType="separate"/>
            </w:r>
            <w:r w:rsidRPr="00E201C1">
              <w:fldChar w:fldCharType="end"/>
            </w:r>
            <w:r w:rsidRPr="00E201C1">
              <w:t>Medical Practitioners</w:t>
            </w:r>
            <w:r w:rsidR="00684BE3">
              <w:t xml:space="preserve"> </w:t>
            </w:r>
            <w:r w:rsidRPr="0000024E">
              <w:rPr>
                <w:i/>
              </w:rPr>
              <w:fldChar w:fldCharType="begin">
                <w:ffData>
                  <w:name w:val=""/>
                  <w:enabled/>
                  <w:calcOnExit w:val="0"/>
                  <w:checkBox>
                    <w:sizeAuto/>
                    <w:default w:val="1"/>
                  </w:checkBox>
                </w:ffData>
              </w:fldChar>
            </w:r>
            <w:r w:rsidRPr="0000024E">
              <w:rPr>
                <w:i/>
              </w:rPr>
              <w:instrText xml:space="preserve"> FORMCHECKBOX </w:instrText>
            </w:r>
            <w:r w:rsidRPr="0000024E">
              <w:rPr>
                <w:i/>
              </w:rPr>
            </w:r>
            <w:r w:rsidRPr="0000024E">
              <w:rPr>
                <w:i/>
              </w:rPr>
              <w:fldChar w:fldCharType="separate"/>
            </w:r>
            <w:r w:rsidRPr="0000024E">
              <w:rPr>
                <w:i/>
              </w:rPr>
              <w:fldChar w:fldCharType="end"/>
            </w:r>
            <w:r w:rsidRPr="0000024E">
              <w:rPr>
                <w:i/>
              </w:rPr>
              <w:t>Nurse Practitioners</w:t>
            </w:r>
            <w:r w:rsidRPr="00E201C1">
              <w:t xml:space="preserve"> </w:t>
            </w:r>
          </w:p>
        </w:tc>
      </w:tr>
      <w:tr w:rsidR="00E201C1" w:rsidRPr="00E201C1" w14:paraId="07927BBA" w14:textId="77777777">
        <w:trPr>
          <w:trHeight w:val="15"/>
        </w:trPr>
        <w:tc>
          <w:tcPr>
            <w:tcW w:w="0" w:type="auto"/>
            <w:vMerge/>
            <w:tcBorders>
              <w:top w:val="single" w:sz="8" w:space="0" w:color="auto"/>
              <w:left w:val="single" w:sz="8" w:space="0" w:color="auto"/>
              <w:bottom w:val="nil"/>
              <w:right w:val="single" w:sz="8" w:space="0" w:color="auto"/>
            </w:tcBorders>
            <w:vAlign w:val="center"/>
            <w:hideMark/>
          </w:tcPr>
          <w:p w14:paraId="2BF12B03" w14:textId="77777777" w:rsidR="00E201C1" w:rsidRPr="00E201C1" w:rsidRDefault="00E201C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5E0BD90C" w14:textId="77777777" w:rsidR="00E201C1" w:rsidRPr="00E201C1" w:rsidRDefault="00E201C1" w:rsidP="002F4BAC">
            <w:pPr>
              <w:pStyle w:val="TableText0"/>
            </w:pPr>
            <w:r w:rsidRPr="0000024E">
              <w:rPr>
                <w:b/>
              </w:rPr>
              <w:t>Restriction type:</w:t>
            </w:r>
            <w:r w:rsidRPr="00E201C1">
              <w:t xml:space="preserve"> </w:t>
            </w:r>
            <w:r w:rsidRPr="00E201C1">
              <w:fldChar w:fldCharType="begin">
                <w:ffData>
                  <w:name w:val=""/>
                  <w:enabled/>
                  <w:calcOnExit w:val="0"/>
                  <w:checkBox>
                    <w:sizeAuto/>
                    <w:default w:val="1"/>
                  </w:checkBox>
                </w:ffData>
              </w:fldChar>
            </w:r>
            <w:r w:rsidRPr="00E201C1">
              <w:instrText xml:space="preserve"> FORMCHECKBOX </w:instrText>
            </w:r>
            <w:r w:rsidRPr="00E201C1">
              <w:fldChar w:fldCharType="separate"/>
            </w:r>
            <w:r w:rsidRPr="00E201C1">
              <w:fldChar w:fldCharType="end"/>
            </w:r>
            <w:r w:rsidRPr="00E201C1">
              <w:t xml:space="preserve"> Authority Required (Streamlined)</w:t>
            </w:r>
          </w:p>
        </w:tc>
      </w:tr>
      <w:tr w:rsidR="004A3E11" w:rsidRPr="00E201C1" w14:paraId="47DB4672" w14:textId="77777777">
        <w:trPr>
          <w:trHeight w:val="15"/>
        </w:trPr>
        <w:tc>
          <w:tcPr>
            <w:tcW w:w="0" w:type="auto"/>
            <w:tcBorders>
              <w:top w:val="single" w:sz="8" w:space="0" w:color="auto"/>
              <w:left w:val="single" w:sz="8" w:space="0" w:color="auto"/>
              <w:bottom w:val="nil"/>
              <w:right w:val="single" w:sz="8" w:space="0" w:color="auto"/>
            </w:tcBorders>
            <w:vAlign w:val="center"/>
          </w:tcPr>
          <w:p w14:paraId="289350CF" w14:textId="77777777" w:rsidR="004A3E11" w:rsidRPr="00E201C1" w:rsidRDefault="004A3E1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tcPr>
          <w:p w14:paraId="368FDB42" w14:textId="77777777" w:rsidR="004A3E11" w:rsidRPr="004A3E11" w:rsidRDefault="004A3E11" w:rsidP="002F4BAC">
            <w:pPr>
              <w:pStyle w:val="TableText0"/>
              <w:rPr>
                <w:b/>
              </w:rPr>
            </w:pPr>
          </w:p>
        </w:tc>
      </w:tr>
      <w:tr w:rsidR="00E201C1" w:rsidRPr="00E201C1" w14:paraId="7268AD03" w14:textId="77777777">
        <w:trPr>
          <w:trHeight w:val="212"/>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19A1444C" w14:textId="5E645DB2" w:rsidR="00E201C1" w:rsidRPr="00E201C1" w:rsidRDefault="00E201C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5AC5D426" w14:textId="77777777" w:rsidR="00E201C1" w:rsidRPr="00E201C1" w:rsidRDefault="00E201C1" w:rsidP="002F4BAC">
            <w:pPr>
              <w:pStyle w:val="TableText0"/>
            </w:pPr>
            <w:r w:rsidRPr="0000024E">
              <w:rPr>
                <w:b/>
              </w:rPr>
              <w:t>Indication:</w:t>
            </w:r>
            <w:r w:rsidRPr="00E201C1">
              <w:t xml:space="preserve"> Chronic myeloid leukemia </w:t>
            </w:r>
          </w:p>
        </w:tc>
      </w:tr>
      <w:tr w:rsidR="004A3E11" w:rsidRPr="00E201C1" w14:paraId="4FEB65AD" w14:textId="77777777">
        <w:trPr>
          <w:trHeight w:val="212"/>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B341C62" w14:textId="77777777" w:rsidR="004A3E11" w:rsidRPr="00E201C1" w:rsidRDefault="004A3E1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tcPr>
          <w:p w14:paraId="0931A09D" w14:textId="77777777" w:rsidR="004A3E11" w:rsidRPr="004A3E11" w:rsidRDefault="004A3E11" w:rsidP="002F4BAC">
            <w:pPr>
              <w:pStyle w:val="TableText0"/>
              <w:rPr>
                <w:b/>
              </w:rPr>
            </w:pPr>
          </w:p>
        </w:tc>
      </w:tr>
      <w:tr w:rsidR="00E201C1" w:rsidRPr="00E201C1" w14:paraId="7050810C" w14:textId="77777777">
        <w:trPr>
          <w:trHeight w:val="247"/>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4C24BEB" w14:textId="77777777" w:rsidR="00E201C1" w:rsidRPr="00E201C1" w:rsidRDefault="00E201C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1CE74BB8" w14:textId="77777777" w:rsidR="00E201C1" w:rsidRPr="00E201C1" w:rsidRDefault="00E201C1" w:rsidP="002F4BAC">
            <w:pPr>
              <w:pStyle w:val="TableText0"/>
            </w:pPr>
            <w:r w:rsidRPr="0000024E">
              <w:rPr>
                <w:b/>
              </w:rPr>
              <w:t>Treatment phase:</w:t>
            </w:r>
            <w:r w:rsidRPr="00E201C1">
              <w:t xml:space="preserve"> Continuing treatment for patients without T315I mutation</w:t>
            </w:r>
          </w:p>
        </w:tc>
      </w:tr>
      <w:tr w:rsidR="004A3E11" w:rsidRPr="00E201C1" w14:paraId="3571509E" w14:textId="77777777">
        <w:trPr>
          <w:trHeight w:val="247"/>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35805C5" w14:textId="77777777" w:rsidR="004A3E11" w:rsidRPr="00E201C1" w:rsidRDefault="004A3E1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tcPr>
          <w:p w14:paraId="02E20F4B" w14:textId="77777777" w:rsidR="004A3E11" w:rsidRPr="004A3E11" w:rsidRDefault="004A3E11" w:rsidP="002F4BAC">
            <w:pPr>
              <w:pStyle w:val="TableText0"/>
              <w:rPr>
                <w:b/>
              </w:rPr>
            </w:pPr>
          </w:p>
        </w:tc>
      </w:tr>
      <w:tr w:rsidR="00E201C1" w:rsidRPr="00E201C1" w14:paraId="6E82EA83" w14:textId="77777777">
        <w:trPr>
          <w:trHeight w:val="184"/>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5B7393D5" w14:textId="7802F2BB" w:rsidR="00E201C1" w:rsidRPr="00E201C1" w:rsidRDefault="00E201C1" w:rsidP="002F4BAC">
            <w:pPr>
              <w:pStyle w:val="TableText0"/>
              <w:rPr>
                <w:i/>
                <w:iCs/>
              </w:rPr>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7BFB308F" w14:textId="77777777" w:rsidR="00E201C1" w:rsidRPr="0000024E" w:rsidRDefault="00E201C1" w:rsidP="002F4BAC">
            <w:pPr>
              <w:pStyle w:val="TableText0"/>
              <w:rPr>
                <w:b/>
                <w:i/>
              </w:rPr>
            </w:pPr>
            <w:r w:rsidRPr="0000024E">
              <w:rPr>
                <w:b/>
                <w:i/>
              </w:rPr>
              <w:t xml:space="preserve">Treatment criteria: </w:t>
            </w:r>
          </w:p>
        </w:tc>
      </w:tr>
      <w:tr w:rsidR="00E201C1" w:rsidRPr="00E201C1" w14:paraId="4AA19BB0" w14:textId="77777777">
        <w:trPr>
          <w:trHeight w:val="218"/>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2F6B9A81" w14:textId="30F33E2E" w:rsidR="00E201C1" w:rsidRPr="00E201C1" w:rsidRDefault="00E201C1" w:rsidP="002F4BAC">
            <w:pPr>
              <w:pStyle w:val="TableText0"/>
              <w:rPr>
                <w:i/>
                <w:iCs/>
              </w:rPr>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4E130487" w14:textId="77777777" w:rsidR="00E201C1" w:rsidRPr="00E201C1" w:rsidRDefault="00E201C1" w:rsidP="002F4BAC">
            <w:pPr>
              <w:pStyle w:val="TableText0"/>
              <w:rPr>
                <w:i/>
                <w:iCs/>
              </w:rPr>
            </w:pPr>
            <w:r w:rsidRPr="00E201C1">
              <w:rPr>
                <w:i/>
                <w:iCs/>
              </w:rPr>
              <w:t>Must be treated by a medical practitioner; or </w:t>
            </w:r>
          </w:p>
        </w:tc>
      </w:tr>
      <w:tr w:rsidR="00E201C1" w:rsidRPr="00E201C1" w14:paraId="245E1AE9" w14:textId="77777777">
        <w:trPr>
          <w:trHeight w:val="218"/>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34DE9750" w14:textId="1B50E7D8" w:rsidR="00E201C1" w:rsidRPr="00E201C1" w:rsidRDefault="00E201C1" w:rsidP="002F4BAC">
            <w:pPr>
              <w:pStyle w:val="TableText0"/>
              <w:rPr>
                <w:i/>
                <w:iCs/>
              </w:rPr>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5A5FB2E0" w14:textId="77777777" w:rsidR="00E201C1" w:rsidRPr="00E201C1" w:rsidRDefault="00E201C1" w:rsidP="002F4BAC">
            <w:pPr>
              <w:pStyle w:val="TableText0"/>
              <w:rPr>
                <w:i/>
                <w:iCs/>
              </w:rPr>
            </w:pPr>
            <w:r w:rsidRPr="00E201C1">
              <w:rPr>
                <w:i/>
                <w:iCs/>
              </w:rPr>
              <w:t>Must be treated by a nurse practitioner where both of the following are occurring: (i) patient care is being shared with a medical practitioner, (ii) the prescription continues existing therapy with this medicine </w:t>
            </w:r>
          </w:p>
        </w:tc>
      </w:tr>
    </w:tbl>
    <w:p w14:paraId="56D43D76" w14:textId="77777777" w:rsidR="00F27D1F" w:rsidRDefault="00F27D1F" w:rsidP="0056256F">
      <w:pPr>
        <w:pStyle w:val="3-BodyText"/>
        <w:rPr>
          <w:b/>
        </w:rPr>
      </w:pPr>
    </w:p>
    <w:p w14:paraId="61131C48" w14:textId="0AE98F9C" w:rsidR="00F27D1F" w:rsidRDefault="00F27D1F">
      <w:pPr>
        <w:jc w:val="left"/>
        <w:rPr>
          <w:rFonts w:asciiTheme="minorHAnsi" w:eastAsiaTheme="minorHAnsi" w:hAnsiTheme="minorHAnsi" w:cstheme="minorBidi"/>
          <w:b/>
          <w:szCs w:val="22"/>
        </w:rPr>
      </w:pPr>
    </w:p>
    <w:p w14:paraId="2ADF29F0" w14:textId="2746C57D" w:rsidR="0056256F" w:rsidRPr="00E201C1" w:rsidRDefault="00E201C1" w:rsidP="00725C42">
      <w:pPr>
        <w:pStyle w:val="3-BodyText"/>
        <w:keepNext/>
        <w:rPr>
          <w:lang w:eastAsia="en-US"/>
        </w:rPr>
      </w:pPr>
      <w:r w:rsidRPr="00E201C1">
        <w:rPr>
          <w:b/>
        </w:rPr>
        <w:lastRenderedPageBreak/>
        <w:t xml:space="preserve">Continuing treatment for patients </w:t>
      </w:r>
      <w:r w:rsidRPr="00E201C1">
        <w:rPr>
          <w:b/>
          <w:i/>
          <w:iCs/>
        </w:rPr>
        <w:t>with</w:t>
      </w:r>
      <w:r w:rsidRPr="00E201C1">
        <w:rPr>
          <w:b/>
        </w:rPr>
        <w:t xml:space="preserve"> T315I mutation</w:t>
      </w:r>
    </w:p>
    <w:tbl>
      <w:tblPr>
        <w:tblW w:w="0" w:type="auto"/>
        <w:tblLook w:val="06A0" w:firstRow="1" w:lastRow="0" w:firstColumn="1" w:lastColumn="0" w:noHBand="1" w:noVBand="1"/>
        <w:tblCaption w:val="Recommended listing - Continuing treatment for patients with T315I mutation"/>
      </w:tblPr>
      <w:tblGrid>
        <w:gridCol w:w="1274"/>
        <w:gridCol w:w="3096"/>
        <w:gridCol w:w="1094"/>
        <w:gridCol w:w="765"/>
        <w:gridCol w:w="690"/>
        <w:gridCol w:w="765"/>
        <w:gridCol w:w="1322"/>
      </w:tblGrid>
      <w:tr w:rsidR="00E201C1" w:rsidRPr="00E201C1" w14:paraId="519C3479" w14:textId="77777777">
        <w:trPr>
          <w:trHeight w:val="15"/>
        </w:trPr>
        <w:tc>
          <w:tcPr>
            <w:tcW w:w="4370" w:type="dxa"/>
            <w:gridSpan w:val="2"/>
            <w:tcBorders>
              <w:top w:val="single" w:sz="8" w:space="0" w:color="auto"/>
              <w:left w:val="single" w:sz="8" w:space="0" w:color="auto"/>
              <w:bottom w:val="single" w:sz="8" w:space="0" w:color="auto"/>
              <w:right w:val="single" w:sz="8" w:space="0" w:color="auto"/>
            </w:tcBorders>
            <w:vAlign w:val="center"/>
            <w:hideMark/>
          </w:tcPr>
          <w:p w14:paraId="17936D16" w14:textId="77777777" w:rsidR="00E201C1" w:rsidRPr="00E201C1" w:rsidRDefault="00E201C1" w:rsidP="00725C42">
            <w:pPr>
              <w:pStyle w:val="In-tableHeading"/>
            </w:pPr>
            <w:r w:rsidRPr="00E201C1">
              <w:t>MEDICINAL PRODUCT</w:t>
            </w:r>
          </w:p>
          <w:p w14:paraId="0DCCB1A6" w14:textId="77777777" w:rsidR="00E201C1" w:rsidRPr="00E201C1" w:rsidRDefault="00E201C1" w:rsidP="00725C42">
            <w:pPr>
              <w:pStyle w:val="In-tableHeading"/>
            </w:pPr>
            <w:r w:rsidRPr="00E201C1">
              <w:t>medicinal product pack</w:t>
            </w:r>
          </w:p>
        </w:tc>
        <w:tc>
          <w:tcPr>
            <w:tcW w:w="1094" w:type="dxa"/>
            <w:tcBorders>
              <w:top w:val="single" w:sz="8" w:space="0" w:color="auto"/>
              <w:left w:val="nil"/>
              <w:bottom w:val="single" w:sz="8" w:space="0" w:color="auto"/>
              <w:right w:val="single" w:sz="8" w:space="0" w:color="auto"/>
            </w:tcBorders>
            <w:vAlign w:val="center"/>
            <w:hideMark/>
          </w:tcPr>
          <w:p w14:paraId="00C7D9D1" w14:textId="77777777" w:rsidR="00E201C1" w:rsidRPr="00E201C1" w:rsidRDefault="00E201C1" w:rsidP="00725C42">
            <w:pPr>
              <w:pStyle w:val="In-tableHeading"/>
            </w:pPr>
            <w:r w:rsidRPr="00E201C1">
              <w:t>PBS item code</w:t>
            </w:r>
          </w:p>
        </w:tc>
        <w:tc>
          <w:tcPr>
            <w:tcW w:w="765" w:type="dxa"/>
            <w:tcBorders>
              <w:top w:val="single" w:sz="8" w:space="0" w:color="auto"/>
              <w:left w:val="single" w:sz="8" w:space="0" w:color="auto"/>
              <w:bottom w:val="single" w:sz="8" w:space="0" w:color="auto"/>
              <w:right w:val="single" w:sz="8" w:space="0" w:color="auto"/>
            </w:tcBorders>
            <w:vAlign w:val="center"/>
            <w:hideMark/>
          </w:tcPr>
          <w:p w14:paraId="0DFBD65C" w14:textId="77777777" w:rsidR="00E201C1" w:rsidRPr="00E201C1" w:rsidRDefault="00E201C1" w:rsidP="00725C42">
            <w:pPr>
              <w:pStyle w:val="In-tableHeading"/>
            </w:pPr>
            <w:r w:rsidRPr="00E201C1">
              <w:t>Max. qty packs</w:t>
            </w:r>
          </w:p>
        </w:tc>
        <w:tc>
          <w:tcPr>
            <w:tcW w:w="690" w:type="dxa"/>
            <w:tcBorders>
              <w:top w:val="single" w:sz="8" w:space="0" w:color="auto"/>
              <w:left w:val="single" w:sz="8" w:space="0" w:color="auto"/>
              <w:bottom w:val="single" w:sz="8" w:space="0" w:color="auto"/>
              <w:right w:val="single" w:sz="8" w:space="0" w:color="auto"/>
            </w:tcBorders>
            <w:vAlign w:val="center"/>
            <w:hideMark/>
          </w:tcPr>
          <w:p w14:paraId="115B3A14" w14:textId="77777777" w:rsidR="00E201C1" w:rsidRPr="00E201C1" w:rsidRDefault="00E201C1" w:rsidP="00725C42">
            <w:pPr>
              <w:pStyle w:val="In-tableHeading"/>
            </w:pPr>
            <w:r w:rsidRPr="00E201C1">
              <w:t>Max. qty units</w:t>
            </w:r>
          </w:p>
        </w:tc>
        <w:tc>
          <w:tcPr>
            <w:tcW w:w="765" w:type="dxa"/>
            <w:tcBorders>
              <w:top w:val="single" w:sz="8" w:space="0" w:color="auto"/>
              <w:left w:val="single" w:sz="8" w:space="0" w:color="auto"/>
              <w:bottom w:val="single" w:sz="8" w:space="0" w:color="auto"/>
              <w:right w:val="single" w:sz="8" w:space="0" w:color="auto"/>
            </w:tcBorders>
            <w:vAlign w:val="center"/>
            <w:hideMark/>
          </w:tcPr>
          <w:p w14:paraId="73CFC826" w14:textId="77777777" w:rsidR="00E201C1" w:rsidRPr="00E201C1" w:rsidRDefault="00E201C1" w:rsidP="00725C42">
            <w:pPr>
              <w:pStyle w:val="In-tableHeading"/>
            </w:pPr>
            <w:r w:rsidRPr="00E201C1">
              <w:t>№.of</w:t>
            </w:r>
          </w:p>
          <w:p w14:paraId="053E48D1" w14:textId="77777777" w:rsidR="00E201C1" w:rsidRPr="00E201C1" w:rsidRDefault="00E201C1" w:rsidP="00725C42">
            <w:pPr>
              <w:pStyle w:val="In-tableHeading"/>
            </w:pPr>
            <w:r w:rsidRPr="00E201C1">
              <w:t>Rpts</w:t>
            </w:r>
          </w:p>
        </w:tc>
        <w:tc>
          <w:tcPr>
            <w:tcW w:w="1322" w:type="dxa"/>
            <w:tcBorders>
              <w:top w:val="single" w:sz="8" w:space="0" w:color="auto"/>
              <w:left w:val="single" w:sz="8" w:space="0" w:color="auto"/>
              <w:bottom w:val="single" w:sz="8" w:space="0" w:color="auto"/>
              <w:right w:val="single" w:sz="8" w:space="0" w:color="auto"/>
            </w:tcBorders>
            <w:vAlign w:val="center"/>
            <w:hideMark/>
          </w:tcPr>
          <w:p w14:paraId="417C1E1E" w14:textId="77777777" w:rsidR="00E201C1" w:rsidRPr="00E201C1" w:rsidRDefault="00E201C1" w:rsidP="00725C42">
            <w:pPr>
              <w:pStyle w:val="In-tableHeading"/>
            </w:pPr>
            <w:r w:rsidRPr="00E201C1">
              <w:t>Available brands</w:t>
            </w:r>
          </w:p>
        </w:tc>
      </w:tr>
      <w:tr w:rsidR="00E201C1" w:rsidRPr="00E201C1" w14:paraId="4027AD3F" w14:textId="77777777">
        <w:trPr>
          <w:trHeight w:val="15"/>
        </w:trPr>
        <w:tc>
          <w:tcPr>
            <w:tcW w:w="9006" w:type="dxa"/>
            <w:gridSpan w:val="7"/>
            <w:tcBorders>
              <w:top w:val="single" w:sz="8" w:space="0" w:color="auto"/>
              <w:left w:val="single" w:sz="8" w:space="0" w:color="auto"/>
              <w:bottom w:val="single" w:sz="8" w:space="0" w:color="auto"/>
              <w:right w:val="single" w:sz="8" w:space="0" w:color="auto"/>
            </w:tcBorders>
            <w:vAlign w:val="center"/>
            <w:hideMark/>
          </w:tcPr>
          <w:p w14:paraId="7095DC0C" w14:textId="77777777" w:rsidR="00E201C1" w:rsidRPr="00E201C1" w:rsidRDefault="00E201C1" w:rsidP="00725C42">
            <w:pPr>
              <w:pStyle w:val="TableText0"/>
            </w:pPr>
            <w:r w:rsidRPr="00E201C1">
              <w:t>ASCMINIB</w:t>
            </w:r>
          </w:p>
        </w:tc>
      </w:tr>
      <w:tr w:rsidR="00E201C1" w:rsidRPr="00E201C1" w14:paraId="17F02B86" w14:textId="77777777">
        <w:trPr>
          <w:trHeight w:val="15"/>
        </w:trPr>
        <w:tc>
          <w:tcPr>
            <w:tcW w:w="4370" w:type="dxa"/>
            <w:gridSpan w:val="2"/>
            <w:tcBorders>
              <w:top w:val="single" w:sz="8" w:space="0" w:color="auto"/>
              <w:left w:val="single" w:sz="8" w:space="0" w:color="auto"/>
              <w:bottom w:val="single" w:sz="8" w:space="0" w:color="auto"/>
              <w:right w:val="single" w:sz="8" w:space="0" w:color="auto"/>
            </w:tcBorders>
            <w:vAlign w:val="center"/>
            <w:hideMark/>
          </w:tcPr>
          <w:p w14:paraId="4D2E3183" w14:textId="77777777" w:rsidR="00E201C1" w:rsidRPr="00E201C1" w:rsidRDefault="00E201C1" w:rsidP="00725C42">
            <w:pPr>
              <w:pStyle w:val="TableText0"/>
            </w:pPr>
            <w:r w:rsidRPr="00E201C1">
              <w:t>asciminib 40 mg tablet, 60</w:t>
            </w:r>
          </w:p>
        </w:tc>
        <w:tc>
          <w:tcPr>
            <w:tcW w:w="1094" w:type="dxa"/>
            <w:tcBorders>
              <w:top w:val="single" w:sz="8" w:space="0" w:color="auto"/>
              <w:left w:val="nil"/>
              <w:bottom w:val="single" w:sz="8" w:space="0" w:color="auto"/>
              <w:right w:val="single" w:sz="8" w:space="0" w:color="auto"/>
            </w:tcBorders>
            <w:vAlign w:val="center"/>
            <w:hideMark/>
          </w:tcPr>
          <w:p w14:paraId="002E5073" w14:textId="77777777" w:rsidR="00E201C1" w:rsidRPr="00E201C1" w:rsidRDefault="00E201C1" w:rsidP="00725C42">
            <w:pPr>
              <w:pStyle w:val="TableText0"/>
            </w:pPr>
            <w:r w:rsidRPr="00E201C1">
              <w:t>13260X </w:t>
            </w:r>
          </w:p>
        </w:tc>
        <w:tc>
          <w:tcPr>
            <w:tcW w:w="765" w:type="dxa"/>
            <w:tcBorders>
              <w:top w:val="single" w:sz="8" w:space="0" w:color="auto"/>
              <w:left w:val="single" w:sz="8" w:space="0" w:color="auto"/>
              <w:bottom w:val="single" w:sz="8" w:space="0" w:color="auto"/>
              <w:right w:val="single" w:sz="8" w:space="0" w:color="auto"/>
            </w:tcBorders>
            <w:vAlign w:val="center"/>
            <w:hideMark/>
          </w:tcPr>
          <w:p w14:paraId="0BD107CC" w14:textId="77777777" w:rsidR="00E201C1" w:rsidRPr="00E201C1" w:rsidRDefault="00E201C1" w:rsidP="00725C42">
            <w:pPr>
              <w:pStyle w:val="TableText0"/>
            </w:pPr>
            <w:r w:rsidRPr="00E201C1">
              <w:t>5 </w:t>
            </w:r>
          </w:p>
        </w:tc>
        <w:tc>
          <w:tcPr>
            <w:tcW w:w="690" w:type="dxa"/>
            <w:tcBorders>
              <w:top w:val="single" w:sz="8" w:space="0" w:color="auto"/>
              <w:left w:val="single" w:sz="8" w:space="0" w:color="auto"/>
              <w:bottom w:val="single" w:sz="8" w:space="0" w:color="auto"/>
              <w:right w:val="single" w:sz="8" w:space="0" w:color="auto"/>
            </w:tcBorders>
            <w:vAlign w:val="center"/>
            <w:hideMark/>
          </w:tcPr>
          <w:p w14:paraId="6D24E38A" w14:textId="77777777" w:rsidR="00E201C1" w:rsidRPr="00E201C1" w:rsidRDefault="00E201C1" w:rsidP="00725C42">
            <w:pPr>
              <w:pStyle w:val="TableText0"/>
            </w:pPr>
            <w:r w:rsidRPr="00E201C1">
              <w:t>300 </w:t>
            </w:r>
          </w:p>
        </w:tc>
        <w:tc>
          <w:tcPr>
            <w:tcW w:w="765" w:type="dxa"/>
            <w:tcBorders>
              <w:top w:val="single" w:sz="8" w:space="0" w:color="auto"/>
              <w:left w:val="single" w:sz="8" w:space="0" w:color="auto"/>
              <w:bottom w:val="single" w:sz="8" w:space="0" w:color="auto"/>
              <w:right w:val="single" w:sz="8" w:space="0" w:color="auto"/>
            </w:tcBorders>
            <w:vAlign w:val="center"/>
            <w:hideMark/>
          </w:tcPr>
          <w:p w14:paraId="3B3A29D2" w14:textId="77777777" w:rsidR="00E201C1" w:rsidRPr="00E201C1" w:rsidRDefault="00E201C1" w:rsidP="00725C42">
            <w:pPr>
              <w:pStyle w:val="TableText0"/>
            </w:pPr>
            <w:r w:rsidRPr="00E201C1">
              <w:t>5</w:t>
            </w:r>
          </w:p>
        </w:tc>
        <w:tc>
          <w:tcPr>
            <w:tcW w:w="1322" w:type="dxa"/>
            <w:tcBorders>
              <w:top w:val="single" w:sz="8" w:space="0" w:color="auto"/>
              <w:left w:val="single" w:sz="8" w:space="0" w:color="auto"/>
              <w:bottom w:val="single" w:sz="8" w:space="0" w:color="auto"/>
              <w:right w:val="single" w:sz="8" w:space="0" w:color="auto"/>
            </w:tcBorders>
            <w:vAlign w:val="center"/>
            <w:hideMark/>
          </w:tcPr>
          <w:p w14:paraId="41634238" w14:textId="77777777" w:rsidR="00E201C1" w:rsidRPr="00E201C1" w:rsidRDefault="00E201C1" w:rsidP="00725C42">
            <w:pPr>
              <w:pStyle w:val="TableText0"/>
            </w:pPr>
            <w:r w:rsidRPr="00E201C1">
              <w:t>SCEMBLIX</w:t>
            </w:r>
          </w:p>
        </w:tc>
      </w:tr>
      <w:tr w:rsidR="00E201C1" w:rsidRPr="00E201C1" w14:paraId="04807542" w14:textId="77777777">
        <w:trPr>
          <w:trHeight w:val="15"/>
        </w:trPr>
        <w:tc>
          <w:tcPr>
            <w:tcW w:w="9006" w:type="dxa"/>
            <w:gridSpan w:val="7"/>
            <w:tcBorders>
              <w:top w:val="single" w:sz="8" w:space="0" w:color="auto"/>
              <w:left w:val="single" w:sz="8" w:space="0" w:color="auto"/>
              <w:bottom w:val="single" w:sz="8" w:space="0" w:color="auto"/>
              <w:right w:val="single" w:sz="8" w:space="0" w:color="auto"/>
            </w:tcBorders>
            <w:vAlign w:val="center"/>
          </w:tcPr>
          <w:p w14:paraId="73C26A99" w14:textId="77777777" w:rsidR="00E201C1" w:rsidRPr="00E201C1" w:rsidRDefault="00E201C1" w:rsidP="00725C42">
            <w:pPr>
              <w:pStyle w:val="TableText0"/>
            </w:pPr>
          </w:p>
        </w:tc>
      </w:tr>
      <w:tr w:rsidR="00E201C1" w:rsidRPr="00E201C1" w14:paraId="03250222" w14:textId="77777777">
        <w:trPr>
          <w:trHeight w:val="355"/>
        </w:trPr>
        <w:tc>
          <w:tcPr>
            <w:tcW w:w="1274"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3725154" w14:textId="277D10DF" w:rsidR="00E201C1" w:rsidRPr="00E201C1" w:rsidRDefault="00E201C1" w:rsidP="002F4BAC">
            <w:pPr>
              <w:pStyle w:val="TableText0"/>
            </w:pPr>
          </w:p>
        </w:tc>
        <w:tc>
          <w:tcPr>
            <w:tcW w:w="7732" w:type="dxa"/>
            <w:gridSpan w:val="6"/>
            <w:tcBorders>
              <w:top w:val="nil"/>
              <w:left w:val="single" w:sz="4" w:space="0" w:color="auto"/>
              <w:bottom w:val="single" w:sz="8" w:space="0" w:color="auto"/>
              <w:right w:val="single" w:sz="8" w:space="0" w:color="auto"/>
            </w:tcBorders>
            <w:tcMar>
              <w:top w:w="15" w:type="dxa"/>
              <w:left w:w="108" w:type="dxa"/>
              <w:bottom w:w="15" w:type="dxa"/>
              <w:right w:w="108" w:type="dxa"/>
            </w:tcMar>
            <w:vAlign w:val="center"/>
            <w:hideMark/>
          </w:tcPr>
          <w:p w14:paraId="13A6DACF" w14:textId="1DE16C6D" w:rsidR="00E201C1" w:rsidRPr="00E201C1" w:rsidRDefault="00E201C1" w:rsidP="002F4BAC">
            <w:pPr>
              <w:pStyle w:val="TableText0"/>
            </w:pPr>
            <w:r w:rsidRPr="0000024E">
              <w:rPr>
                <w:b/>
              </w:rPr>
              <w:t>Category / Program</w:t>
            </w:r>
            <w:r w:rsidRPr="00E201C1">
              <w:t xml:space="preserve">: </w:t>
            </w:r>
            <w:r w:rsidRPr="00E201C1">
              <w:fldChar w:fldCharType="begin">
                <w:ffData>
                  <w:name w:val=""/>
                  <w:enabled/>
                  <w:calcOnExit w:val="0"/>
                  <w:checkBox>
                    <w:sizeAuto/>
                    <w:default w:val="1"/>
                  </w:checkBox>
                </w:ffData>
              </w:fldChar>
            </w:r>
            <w:r w:rsidRPr="00E201C1">
              <w:instrText xml:space="preserve"> FORMCHECKBOX </w:instrText>
            </w:r>
            <w:r w:rsidRPr="00E201C1">
              <w:fldChar w:fldCharType="separate"/>
            </w:r>
            <w:r w:rsidRPr="00E201C1">
              <w:fldChar w:fldCharType="end"/>
            </w:r>
            <w:r w:rsidRPr="00E201C1">
              <w:t xml:space="preserve">GENERAL </w:t>
            </w:r>
            <w:r w:rsidR="009075DA">
              <w:noBreakHyphen/>
            </w:r>
            <w:r w:rsidRPr="00E201C1">
              <w:t xml:space="preserve"> </w:t>
            </w:r>
            <w:proofErr w:type="spellStart"/>
            <w:r w:rsidRPr="00E201C1">
              <w:t>General</w:t>
            </w:r>
            <w:proofErr w:type="spellEnd"/>
            <w:r w:rsidRPr="00E201C1">
              <w:t xml:space="preserve"> Schedule (Code GE) </w:t>
            </w:r>
          </w:p>
        </w:tc>
      </w:tr>
      <w:tr w:rsidR="00E201C1" w:rsidRPr="00E201C1" w14:paraId="4E221F73" w14:textId="77777777">
        <w:trPr>
          <w:trHeight w:val="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F780A" w14:textId="77777777" w:rsidR="00E201C1" w:rsidRPr="00E201C1" w:rsidRDefault="00E201C1" w:rsidP="002F4BAC">
            <w:pPr>
              <w:pStyle w:val="TableText0"/>
            </w:pPr>
          </w:p>
        </w:tc>
        <w:tc>
          <w:tcPr>
            <w:tcW w:w="7732" w:type="dxa"/>
            <w:gridSpan w:val="6"/>
            <w:tcBorders>
              <w:top w:val="single" w:sz="8" w:space="0" w:color="auto"/>
              <w:left w:val="single" w:sz="4" w:space="0" w:color="auto"/>
              <w:bottom w:val="single" w:sz="8" w:space="0" w:color="auto"/>
              <w:right w:val="single" w:sz="8" w:space="0" w:color="auto"/>
            </w:tcBorders>
            <w:tcMar>
              <w:top w:w="15" w:type="dxa"/>
              <w:left w:w="108" w:type="dxa"/>
              <w:bottom w:w="15" w:type="dxa"/>
              <w:right w:w="108" w:type="dxa"/>
            </w:tcMar>
            <w:vAlign w:val="center"/>
            <w:hideMark/>
          </w:tcPr>
          <w:p w14:paraId="5B3CFF7C" w14:textId="2A220F13" w:rsidR="00E201C1" w:rsidRPr="00E201C1" w:rsidRDefault="00E201C1" w:rsidP="002F4BAC">
            <w:pPr>
              <w:pStyle w:val="TableText0"/>
            </w:pPr>
            <w:r w:rsidRPr="0000024E">
              <w:rPr>
                <w:b/>
              </w:rPr>
              <w:t>Prescriber type</w:t>
            </w:r>
            <w:r w:rsidRPr="00E201C1">
              <w:t xml:space="preserve">: </w:t>
            </w:r>
            <w:r w:rsidRPr="00E201C1">
              <w:fldChar w:fldCharType="begin">
                <w:ffData>
                  <w:name w:val=""/>
                  <w:enabled/>
                  <w:calcOnExit w:val="0"/>
                  <w:checkBox>
                    <w:sizeAuto/>
                    <w:default w:val="1"/>
                  </w:checkBox>
                </w:ffData>
              </w:fldChar>
            </w:r>
            <w:r w:rsidRPr="00E201C1">
              <w:instrText xml:space="preserve"> FORMCHECKBOX </w:instrText>
            </w:r>
            <w:r w:rsidRPr="00E201C1">
              <w:fldChar w:fldCharType="separate"/>
            </w:r>
            <w:r w:rsidRPr="00E201C1">
              <w:fldChar w:fldCharType="end"/>
            </w:r>
            <w:r w:rsidRPr="00E201C1">
              <w:t>Medical Practitioners</w:t>
            </w:r>
            <w:r w:rsidR="00684BE3">
              <w:t xml:space="preserve"> </w:t>
            </w:r>
            <w:r w:rsidRPr="0000024E">
              <w:rPr>
                <w:i/>
              </w:rPr>
              <w:fldChar w:fldCharType="begin">
                <w:ffData>
                  <w:name w:val=""/>
                  <w:enabled/>
                  <w:calcOnExit w:val="0"/>
                  <w:checkBox>
                    <w:sizeAuto/>
                    <w:default w:val="1"/>
                  </w:checkBox>
                </w:ffData>
              </w:fldChar>
            </w:r>
            <w:r w:rsidRPr="0000024E">
              <w:rPr>
                <w:i/>
              </w:rPr>
              <w:instrText xml:space="preserve"> FORMCHECKBOX </w:instrText>
            </w:r>
            <w:r w:rsidRPr="0000024E">
              <w:rPr>
                <w:i/>
              </w:rPr>
            </w:r>
            <w:r w:rsidRPr="0000024E">
              <w:rPr>
                <w:i/>
              </w:rPr>
              <w:fldChar w:fldCharType="separate"/>
            </w:r>
            <w:r w:rsidRPr="0000024E">
              <w:rPr>
                <w:i/>
              </w:rPr>
              <w:fldChar w:fldCharType="end"/>
            </w:r>
            <w:r w:rsidRPr="0000024E">
              <w:rPr>
                <w:i/>
              </w:rPr>
              <w:t>Nurse Practitioners</w:t>
            </w:r>
            <w:r w:rsidRPr="00E201C1">
              <w:t xml:space="preserve"> </w:t>
            </w:r>
          </w:p>
        </w:tc>
      </w:tr>
      <w:tr w:rsidR="00E201C1" w:rsidRPr="00E201C1" w14:paraId="31DEA1BC" w14:textId="77777777">
        <w:trPr>
          <w:trHeight w:val="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D4BBB" w14:textId="77777777" w:rsidR="00E201C1" w:rsidRPr="00E201C1" w:rsidRDefault="00E201C1" w:rsidP="002F4BAC">
            <w:pPr>
              <w:pStyle w:val="TableText0"/>
            </w:pPr>
          </w:p>
        </w:tc>
        <w:tc>
          <w:tcPr>
            <w:tcW w:w="7732" w:type="dxa"/>
            <w:gridSpan w:val="6"/>
            <w:tcBorders>
              <w:top w:val="single" w:sz="8" w:space="0" w:color="auto"/>
              <w:left w:val="single" w:sz="4" w:space="0" w:color="auto"/>
              <w:bottom w:val="single" w:sz="8" w:space="0" w:color="auto"/>
              <w:right w:val="single" w:sz="8" w:space="0" w:color="auto"/>
            </w:tcBorders>
            <w:tcMar>
              <w:top w:w="15" w:type="dxa"/>
              <w:left w:w="108" w:type="dxa"/>
              <w:bottom w:w="15" w:type="dxa"/>
              <w:right w:w="108" w:type="dxa"/>
            </w:tcMar>
            <w:vAlign w:val="center"/>
            <w:hideMark/>
          </w:tcPr>
          <w:p w14:paraId="14EF0D51" w14:textId="77777777" w:rsidR="00E201C1" w:rsidRPr="00E201C1" w:rsidRDefault="00E201C1" w:rsidP="002F4BAC">
            <w:pPr>
              <w:pStyle w:val="TableText0"/>
            </w:pPr>
            <w:r w:rsidRPr="0000024E">
              <w:rPr>
                <w:b/>
              </w:rPr>
              <w:t>Restriction type</w:t>
            </w:r>
            <w:r w:rsidRPr="00E201C1">
              <w:t xml:space="preserve">: </w:t>
            </w:r>
            <w:r w:rsidRPr="00E201C1">
              <w:fldChar w:fldCharType="begin">
                <w:ffData>
                  <w:name w:val=""/>
                  <w:enabled/>
                  <w:calcOnExit w:val="0"/>
                  <w:checkBox>
                    <w:sizeAuto/>
                    <w:default w:val="1"/>
                  </w:checkBox>
                </w:ffData>
              </w:fldChar>
            </w:r>
            <w:r w:rsidRPr="00E201C1">
              <w:instrText xml:space="preserve"> FORMCHECKBOX </w:instrText>
            </w:r>
            <w:r w:rsidRPr="00E201C1">
              <w:fldChar w:fldCharType="separate"/>
            </w:r>
            <w:r w:rsidRPr="00E201C1">
              <w:fldChar w:fldCharType="end"/>
            </w:r>
            <w:r w:rsidRPr="00E201C1">
              <w:t xml:space="preserve"> Authority Required </w:t>
            </w:r>
          </w:p>
        </w:tc>
      </w:tr>
      <w:tr w:rsidR="004A3E11" w:rsidRPr="00E201C1" w14:paraId="5B28639B" w14:textId="77777777">
        <w:trPr>
          <w:trHeight w:val="15"/>
        </w:trPr>
        <w:tc>
          <w:tcPr>
            <w:tcW w:w="0" w:type="auto"/>
            <w:tcBorders>
              <w:top w:val="single" w:sz="4" w:space="0" w:color="auto"/>
              <w:left w:val="single" w:sz="4" w:space="0" w:color="auto"/>
              <w:bottom w:val="single" w:sz="4" w:space="0" w:color="auto"/>
              <w:right w:val="single" w:sz="4" w:space="0" w:color="auto"/>
            </w:tcBorders>
            <w:vAlign w:val="center"/>
          </w:tcPr>
          <w:p w14:paraId="5966F186" w14:textId="77777777" w:rsidR="004A3E11" w:rsidRPr="00E201C1" w:rsidRDefault="004A3E11" w:rsidP="002F4BAC">
            <w:pPr>
              <w:pStyle w:val="TableText0"/>
            </w:pPr>
          </w:p>
        </w:tc>
        <w:tc>
          <w:tcPr>
            <w:tcW w:w="7732" w:type="dxa"/>
            <w:gridSpan w:val="6"/>
            <w:tcBorders>
              <w:top w:val="single" w:sz="8" w:space="0" w:color="auto"/>
              <w:left w:val="single" w:sz="4" w:space="0" w:color="auto"/>
              <w:bottom w:val="single" w:sz="8" w:space="0" w:color="auto"/>
              <w:right w:val="single" w:sz="8" w:space="0" w:color="auto"/>
            </w:tcBorders>
            <w:tcMar>
              <w:top w:w="15" w:type="dxa"/>
              <w:left w:w="108" w:type="dxa"/>
              <w:bottom w:w="15" w:type="dxa"/>
              <w:right w:w="108" w:type="dxa"/>
            </w:tcMar>
            <w:vAlign w:val="center"/>
          </w:tcPr>
          <w:p w14:paraId="5D4C821C" w14:textId="77777777" w:rsidR="004A3E11" w:rsidRPr="004A3E11" w:rsidRDefault="004A3E11" w:rsidP="002F4BAC">
            <w:pPr>
              <w:pStyle w:val="TableText0"/>
              <w:rPr>
                <w:b/>
              </w:rPr>
            </w:pPr>
          </w:p>
        </w:tc>
      </w:tr>
      <w:tr w:rsidR="00E201C1" w:rsidRPr="00E201C1" w14:paraId="304A135F" w14:textId="77777777">
        <w:trPr>
          <w:trHeight w:val="326"/>
        </w:trPr>
        <w:tc>
          <w:tcPr>
            <w:tcW w:w="1274" w:type="dxa"/>
            <w:tcBorders>
              <w:top w:val="single" w:sz="4"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44EF83CF" w14:textId="0C0F6E82" w:rsidR="00E201C1" w:rsidRPr="00E201C1" w:rsidRDefault="00E201C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33A08639" w14:textId="77777777" w:rsidR="00E201C1" w:rsidRPr="00E201C1" w:rsidRDefault="00E201C1" w:rsidP="002F4BAC">
            <w:pPr>
              <w:pStyle w:val="TableText0"/>
            </w:pPr>
            <w:r w:rsidRPr="0000024E">
              <w:rPr>
                <w:b/>
              </w:rPr>
              <w:t>Indication:</w:t>
            </w:r>
            <w:r w:rsidRPr="00E201C1">
              <w:t xml:space="preserve"> Chronic myeloid leukemia </w:t>
            </w:r>
          </w:p>
        </w:tc>
      </w:tr>
      <w:tr w:rsidR="004A3E11" w:rsidRPr="00E201C1" w14:paraId="729D3802" w14:textId="77777777">
        <w:trPr>
          <w:trHeight w:val="326"/>
        </w:trPr>
        <w:tc>
          <w:tcPr>
            <w:tcW w:w="1274" w:type="dxa"/>
            <w:tcBorders>
              <w:top w:val="single" w:sz="4"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18F3DDF" w14:textId="77777777" w:rsidR="004A3E11" w:rsidRPr="00E201C1" w:rsidRDefault="004A3E1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tcPr>
          <w:p w14:paraId="0F455A13" w14:textId="77777777" w:rsidR="004A3E11" w:rsidRPr="004A3E11" w:rsidRDefault="004A3E11" w:rsidP="002F4BAC">
            <w:pPr>
              <w:pStyle w:val="TableText0"/>
              <w:rPr>
                <w:b/>
              </w:rPr>
            </w:pPr>
          </w:p>
        </w:tc>
      </w:tr>
      <w:tr w:rsidR="00E201C1" w:rsidRPr="00E201C1" w14:paraId="23C86A91" w14:textId="77777777">
        <w:trPr>
          <w:trHeight w:val="362"/>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4D5F51C" w14:textId="77777777" w:rsidR="00E201C1" w:rsidRPr="00E201C1" w:rsidRDefault="00E201C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3F290598" w14:textId="3C15EB48" w:rsidR="00E201C1" w:rsidRPr="00E201C1" w:rsidRDefault="00E201C1" w:rsidP="002F4BAC">
            <w:pPr>
              <w:pStyle w:val="TableText0"/>
            </w:pPr>
            <w:r w:rsidRPr="0000024E">
              <w:rPr>
                <w:b/>
              </w:rPr>
              <w:t>Treatment Phase:</w:t>
            </w:r>
            <w:r w:rsidRPr="00E201C1">
              <w:t xml:space="preserve"> Continuing PBS</w:t>
            </w:r>
            <w:r w:rsidR="009075DA">
              <w:noBreakHyphen/>
            </w:r>
            <w:r w:rsidRPr="00E201C1">
              <w:t>subsidised treatment for patients with T315I mutation</w:t>
            </w:r>
          </w:p>
        </w:tc>
      </w:tr>
      <w:tr w:rsidR="004A3E11" w:rsidRPr="00E201C1" w14:paraId="277E3A5F" w14:textId="77777777" w:rsidTr="0000024E">
        <w:trPr>
          <w:trHeight w:val="234"/>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CC2CA34" w14:textId="77777777" w:rsidR="004A3E11" w:rsidRPr="00E201C1" w:rsidRDefault="004A3E1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tcPr>
          <w:p w14:paraId="47D3E829" w14:textId="77777777" w:rsidR="004A3E11" w:rsidRPr="004A3E11" w:rsidRDefault="004A3E11" w:rsidP="002F4BAC">
            <w:pPr>
              <w:pStyle w:val="TableText0"/>
              <w:rPr>
                <w:b/>
              </w:rPr>
            </w:pPr>
          </w:p>
        </w:tc>
      </w:tr>
      <w:tr w:rsidR="00E201C1" w:rsidRPr="00E201C1" w14:paraId="0EC0D99F" w14:textId="77777777">
        <w:trPr>
          <w:trHeight w:val="290"/>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5AAD080D" w14:textId="66562D26" w:rsidR="00E201C1" w:rsidRPr="00E201C1" w:rsidRDefault="00E201C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3B1AD096" w14:textId="77777777" w:rsidR="00E201C1" w:rsidRPr="0000024E" w:rsidRDefault="00E201C1" w:rsidP="002F4BAC">
            <w:pPr>
              <w:pStyle w:val="TableText0"/>
              <w:rPr>
                <w:b/>
              </w:rPr>
            </w:pPr>
            <w:r w:rsidRPr="0000024E">
              <w:rPr>
                <w:b/>
                <w:i/>
              </w:rPr>
              <w:t xml:space="preserve">Treatment criteria: </w:t>
            </w:r>
          </w:p>
        </w:tc>
      </w:tr>
      <w:tr w:rsidR="00E201C1" w:rsidRPr="00E201C1" w14:paraId="28C24C44" w14:textId="77777777">
        <w:trPr>
          <w:trHeight w:val="238"/>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1769550C" w14:textId="3DF6D9B8" w:rsidR="00E201C1" w:rsidRPr="00E201C1" w:rsidRDefault="00E201C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3EF06E3F" w14:textId="77777777" w:rsidR="00E201C1" w:rsidRPr="00E201C1" w:rsidRDefault="00E201C1" w:rsidP="002F4BAC">
            <w:pPr>
              <w:pStyle w:val="TableText0"/>
              <w:rPr>
                <w:i/>
                <w:iCs/>
              </w:rPr>
            </w:pPr>
            <w:r w:rsidRPr="00E201C1">
              <w:rPr>
                <w:i/>
                <w:iCs/>
              </w:rPr>
              <w:t>Must be treated by a medical practitioner; or </w:t>
            </w:r>
          </w:p>
        </w:tc>
      </w:tr>
      <w:tr w:rsidR="00E201C1" w:rsidRPr="00E201C1" w14:paraId="71C00E75" w14:textId="77777777">
        <w:trPr>
          <w:trHeight w:val="480"/>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40F49D54" w14:textId="10300DB4" w:rsidR="00E201C1" w:rsidRPr="00E201C1" w:rsidRDefault="00E201C1" w:rsidP="002F4BAC">
            <w:pPr>
              <w:pStyle w:val="TableText0"/>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03446414" w14:textId="77777777" w:rsidR="00E201C1" w:rsidRPr="00E201C1" w:rsidRDefault="00E201C1" w:rsidP="002F4BAC">
            <w:pPr>
              <w:pStyle w:val="TableText0"/>
              <w:rPr>
                <w:i/>
                <w:iCs/>
              </w:rPr>
            </w:pPr>
            <w:r w:rsidRPr="00E201C1">
              <w:rPr>
                <w:i/>
                <w:iCs/>
              </w:rPr>
              <w:t>Must be treated by a nurse practitioner where both of the following are occurring: (i) patient care is being shared with a medical practitioner, (ii) the prescription continues existing therapy with this medicine </w:t>
            </w:r>
          </w:p>
        </w:tc>
      </w:tr>
    </w:tbl>
    <w:p w14:paraId="1C06CD40" w14:textId="1D0F9345" w:rsidR="000873E2" w:rsidRDefault="000873E2" w:rsidP="00ED17A9">
      <w:pPr>
        <w:pStyle w:val="3-BodyText"/>
        <w:rPr>
          <w:b/>
          <w:bCs/>
          <w:i/>
          <w:iCs/>
        </w:rPr>
      </w:pPr>
      <w:r w:rsidRPr="002A4002">
        <w:rPr>
          <w:b/>
          <w:bCs/>
          <w:i/>
          <w:iCs/>
        </w:rPr>
        <w:t>These restrictions may be subject to further review. Should there be any changes made to the restriction the sponsor will be informed.</w:t>
      </w:r>
    </w:p>
    <w:p w14:paraId="555E6F93" w14:textId="392134B9" w:rsidR="005F6E33" w:rsidRPr="005F6E33" w:rsidRDefault="005F6E33" w:rsidP="005F6E33">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t>7</w:t>
      </w:r>
      <w:r w:rsidRPr="005F6E33">
        <w:rPr>
          <w:rFonts w:asciiTheme="minorHAnsi" w:hAnsiTheme="minorHAnsi" w:cs="Arial"/>
          <w:b/>
          <w:snapToGrid w:val="0"/>
          <w:sz w:val="32"/>
          <w:szCs w:val="32"/>
          <w:lang w:eastAsia="en-US"/>
        </w:rPr>
        <w:tab/>
        <w:t>Context for Decision</w:t>
      </w:r>
    </w:p>
    <w:p w14:paraId="22EB3059" w14:textId="77777777" w:rsidR="005F6E33" w:rsidRPr="005F6E33" w:rsidRDefault="005F6E33" w:rsidP="005F6E33">
      <w:pPr>
        <w:spacing w:after="120"/>
        <w:ind w:left="720"/>
        <w:rPr>
          <w:rFonts w:cs="Calibri"/>
          <w:bCs/>
          <w:szCs w:val="22"/>
          <w:lang w:val="en-GB"/>
        </w:rPr>
      </w:pPr>
      <w:r w:rsidRPr="005F6E33">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3AA86EC" w14:textId="5D00ABC7" w:rsidR="005F6E33" w:rsidRPr="005F6E33" w:rsidRDefault="005F6E33" w:rsidP="005F6E33">
      <w:pPr>
        <w:keepNext/>
        <w:spacing w:before="240" w:after="120"/>
        <w:ind w:left="720" w:hanging="720"/>
        <w:jc w:val="left"/>
        <w:outlineLvl w:val="0"/>
        <w:rPr>
          <w:rFonts w:asciiTheme="minorHAnsi" w:hAnsiTheme="minorHAnsi" w:cs="Arial"/>
          <w:b/>
          <w:snapToGrid w:val="0"/>
          <w:sz w:val="32"/>
          <w:szCs w:val="32"/>
          <w:lang w:eastAsia="en-US"/>
        </w:rPr>
      </w:pPr>
      <w:r>
        <w:rPr>
          <w:rFonts w:asciiTheme="minorHAnsi" w:hAnsiTheme="minorHAnsi" w:cs="Arial"/>
          <w:b/>
          <w:snapToGrid w:val="0"/>
          <w:sz w:val="32"/>
          <w:szCs w:val="32"/>
          <w:lang w:eastAsia="en-US"/>
        </w:rPr>
        <w:t>8</w:t>
      </w:r>
      <w:r w:rsidRPr="005F6E33">
        <w:rPr>
          <w:rFonts w:asciiTheme="minorHAnsi" w:hAnsiTheme="minorHAnsi" w:cs="Arial"/>
          <w:b/>
          <w:snapToGrid w:val="0"/>
          <w:sz w:val="32"/>
          <w:szCs w:val="32"/>
          <w:lang w:eastAsia="en-US"/>
        </w:rPr>
        <w:tab/>
        <w:t>Sponsor’s Comment</w:t>
      </w:r>
    </w:p>
    <w:p w14:paraId="671864E8" w14:textId="112F6645" w:rsidR="005F6E33" w:rsidRPr="009215EE" w:rsidRDefault="005F6E33" w:rsidP="008C5B52">
      <w:pPr>
        <w:pStyle w:val="3-BodyText"/>
        <w:ind w:firstLine="720"/>
        <w:rPr>
          <w:b/>
          <w:bCs/>
          <w:i/>
          <w:iCs/>
        </w:rPr>
      </w:pPr>
      <w:r w:rsidRPr="005F6E33">
        <w:rPr>
          <w:rFonts w:ascii="Calibri" w:eastAsia="Times New Roman" w:hAnsi="Calibri" w:cs="Calibri"/>
          <w:bCs/>
          <w:lang w:eastAsia="en-US"/>
        </w:rPr>
        <w:t>The sponsor had no comment.</w:t>
      </w:r>
    </w:p>
    <w:sectPr w:rsidR="005F6E33" w:rsidRPr="009215EE" w:rsidSect="00606A7B">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BABC" w14:textId="77777777" w:rsidR="00DC6233" w:rsidRDefault="00DC6233">
      <w:r>
        <w:separator/>
      </w:r>
    </w:p>
    <w:p w14:paraId="78EE80AE" w14:textId="77777777" w:rsidR="00DC6233" w:rsidRDefault="00DC6233"/>
  </w:endnote>
  <w:endnote w:type="continuationSeparator" w:id="0">
    <w:p w14:paraId="4C815FA7" w14:textId="77777777" w:rsidR="00DC6233" w:rsidRDefault="00DC6233">
      <w:r>
        <w:continuationSeparator/>
      </w:r>
    </w:p>
    <w:p w14:paraId="1A3F5CC4" w14:textId="77777777" w:rsidR="00DC6233" w:rsidRDefault="00DC6233"/>
  </w:endnote>
  <w:endnote w:type="continuationNotice" w:id="1">
    <w:p w14:paraId="414D6DC9" w14:textId="77777777" w:rsidR="00DC6233" w:rsidRDefault="00DC6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412A0CA9" w:rsidR="009C26AA" w:rsidRPr="005A3173" w:rsidRDefault="009215EE"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3365" behindDoc="0" locked="0" layoutInCell="1" allowOverlap="1" wp14:anchorId="05347AED" wp14:editId="2A2AD2A6">
                    <wp:simplePos x="635" y="635"/>
                    <wp:positionH relativeFrom="page">
                      <wp:align>center</wp:align>
                    </wp:positionH>
                    <wp:positionV relativeFrom="page">
                      <wp:align>bottom</wp:align>
                    </wp:positionV>
                    <wp:extent cx="622300" cy="376555"/>
                    <wp:effectExtent l="0" t="0" r="6350" b="0"/>
                    <wp:wrapNone/>
                    <wp:docPr id="17531039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A097DD" w14:textId="71EEF30A"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47AED"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EA097DD" w14:textId="71EEF30A"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6A1A168" w:rsidR="009C26AA" w:rsidRPr="00D429EC" w:rsidRDefault="009215EE"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4389" behindDoc="0" locked="0" layoutInCell="1" allowOverlap="1" wp14:anchorId="31BA00B4" wp14:editId="627E0F4D">
              <wp:simplePos x="635" y="635"/>
              <wp:positionH relativeFrom="page">
                <wp:align>center</wp:align>
              </wp:positionH>
              <wp:positionV relativeFrom="page">
                <wp:align>bottom</wp:align>
              </wp:positionV>
              <wp:extent cx="622300" cy="376555"/>
              <wp:effectExtent l="0" t="0" r="6350" b="0"/>
              <wp:wrapNone/>
              <wp:docPr id="14544615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DB7348" w14:textId="6CE272EF"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A00B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BDB7348" w14:textId="6CE272EF"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FE55" w14:textId="06A76D12" w:rsidR="00527C08" w:rsidRDefault="009215EE">
    <w:pPr>
      <w:pStyle w:val="Footer"/>
    </w:pPr>
    <w:r>
      <w:rPr>
        <w:noProof/>
      </w:rPr>
      <mc:AlternateContent>
        <mc:Choice Requires="wps">
          <w:drawing>
            <wp:anchor distT="0" distB="0" distL="0" distR="0" simplePos="0" relativeHeight="251662341" behindDoc="0" locked="0" layoutInCell="1" allowOverlap="1" wp14:anchorId="60100C33" wp14:editId="58A0CD60">
              <wp:simplePos x="635" y="635"/>
              <wp:positionH relativeFrom="page">
                <wp:align>center</wp:align>
              </wp:positionH>
              <wp:positionV relativeFrom="page">
                <wp:align>bottom</wp:align>
              </wp:positionV>
              <wp:extent cx="622300" cy="376555"/>
              <wp:effectExtent l="0" t="0" r="6350" b="0"/>
              <wp:wrapNone/>
              <wp:docPr id="14355356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0E87C6" w14:textId="5A7B7A5D"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100C33"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A0E87C6" w14:textId="5A7B7A5D"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A96B" w14:textId="77777777" w:rsidR="00DC6233" w:rsidRDefault="00DC6233">
      <w:r>
        <w:separator/>
      </w:r>
    </w:p>
    <w:p w14:paraId="3EA967A1" w14:textId="77777777" w:rsidR="00DC6233" w:rsidRDefault="00DC6233"/>
  </w:footnote>
  <w:footnote w:type="continuationSeparator" w:id="0">
    <w:p w14:paraId="12A84E12" w14:textId="77777777" w:rsidR="00DC6233" w:rsidRDefault="00DC6233">
      <w:r>
        <w:continuationSeparator/>
      </w:r>
    </w:p>
    <w:p w14:paraId="5DC7B26C" w14:textId="77777777" w:rsidR="00DC6233" w:rsidRDefault="00DC6233"/>
  </w:footnote>
  <w:footnote w:type="continuationNotice" w:id="1">
    <w:p w14:paraId="253D2E03" w14:textId="77777777" w:rsidR="00DC6233" w:rsidRDefault="00DC6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4F96A7AB" w:rsidR="009C26AA" w:rsidRPr="00A06225" w:rsidRDefault="009215EE">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0293" behindDoc="0" locked="0" layoutInCell="1" allowOverlap="1" wp14:anchorId="61AB19F2" wp14:editId="390CCA20">
                    <wp:simplePos x="635" y="635"/>
                    <wp:positionH relativeFrom="page">
                      <wp:align>center</wp:align>
                    </wp:positionH>
                    <wp:positionV relativeFrom="page">
                      <wp:align>top</wp:align>
                    </wp:positionV>
                    <wp:extent cx="622300" cy="376555"/>
                    <wp:effectExtent l="0" t="0" r="6350" b="4445"/>
                    <wp:wrapNone/>
                    <wp:docPr id="4561893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996218" w14:textId="0D5516C0"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B19F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E996218" w14:textId="0D5516C0"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3D0D433" w:rsidR="00C56D78" w:rsidRPr="00C56D78" w:rsidRDefault="009215EE"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61317" behindDoc="0" locked="0" layoutInCell="1" allowOverlap="1" wp14:anchorId="7E2DB8BB" wp14:editId="7923347D">
              <wp:simplePos x="635" y="635"/>
              <wp:positionH relativeFrom="page">
                <wp:align>center</wp:align>
              </wp:positionH>
              <wp:positionV relativeFrom="page">
                <wp:align>top</wp:align>
              </wp:positionV>
              <wp:extent cx="622300" cy="376555"/>
              <wp:effectExtent l="0" t="0" r="6350" b="4445"/>
              <wp:wrapNone/>
              <wp:docPr id="3767630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866BDC" w14:textId="5EE49842"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DB8B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B866BDC" w14:textId="5EE49842"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v:textbox>
              <w10:wrap anchorx="page" anchory="page"/>
            </v:shape>
          </w:pict>
        </mc:Fallback>
      </mc:AlternateContent>
    </w:r>
    <w:r w:rsidR="001B68BA">
      <w:rPr>
        <w:rFonts w:asciiTheme="minorHAnsi" w:eastAsiaTheme="minorEastAsia" w:hAnsiTheme="minorHAnsi" w:cstheme="minorHAnsi"/>
        <w:i/>
        <w:color w:val="808080"/>
      </w:rPr>
      <w:t>Public Summary Document</w:t>
    </w:r>
    <w:r w:rsidR="004D6994">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4641FA">
      <w:rPr>
        <w:rFonts w:asciiTheme="minorHAnsi" w:eastAsiaTheme="minorEastAsia" w:hAnsiTheme="minorHAnsi" w:cstheme="minorHAnsi"/>
        <w:i/>
        <w:color w:val="808080"/>
      </w:rPr>
      <w:t>March 2026</w:t>
    </w:r>
    <w:r w:rsidR="00C56D78" w:rsidRPr="00C56D78">
      <w:rPr>
        <w:rFonts w:asciiTheme="minorHAnsi" w:eastAsiaTheme="minorEastAsia" w:hAnsiTheme="minorHAnsi" w:cstheme="minorHAnsi"/>
        <w:i/>
        <w:color w:val="808080"/>
      </w:rPr>
      <w:t xml:space="preserve"> PBAC Meeting</w:t>
    </w:r>
  </w:p>
  <w:p w14:paraId="49E1B9F5" w14:textId="7F421224" w:rsidR="009C26AA" w:rsidRPr="00C56D78" w:rsidRDefault="009C26AA" w:rsidP="00C56D78">
    <w:pPr>
      <w:pStyle w:val="NoSpacing"/>
      <w:jc w:val="center"/>
      <w:rPr>
        <w:rFonts w:asciiTheme="minorHAnsi" w:hAnsiTheme="minorHAnsi" w:cstheme="minorHAnsi"/>
        <w:sz w:val="24"/>
        <w:szCs w:val="24"/>
      </w:rPr>
    </w:pP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BBDD" w14:textId="68FA5423" w:rsidR="00527C08" w:rsidRDefault="009215EE">
    <w:pPr>
      <w:pStyle w:val="Header"/>
    </w:pPr>
    <w:r>
      <w:rPr>
        <w:noProof/>
      </w:rPr>
      <mc:AlternateContent>
        <mc:Choice Requires="wps">
          <w:drawing>
            <wp:anchor distT="0" distB="0" distL="0" distR="0" simplePos="0" relativeHeight="251659269" behindDoc="0" locked="0" layoutInCell="1" allowOverlap="1" wp14:anchorId="667ABA39" wp14:editId="462C39A5">
              <wp:simplePos x="635" y="635"/>
              <wp:positionH relativeFrom="page">
                <wp:align>center</wp:align>
              </wp:positionH>
              <wp:positionV relativeFrom="page">
                <wp:align>top</wp:align>
              </wp:positionV>
              <wp:extent cx="622300" cy="376555"/>
              <wp:effectExtent l="0" t="0" r="6350" b="4445"/>
              <wp:wrapNone/>
              <wp:docPr id="945718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8C1B11" w14:textId="6BF74AAB"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7ABA3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A8C1B11" w14:textId="6BF74AAB" w:rsidR="009215EE" w:rsidRPr="009215EE" w:rsidRDefault="009215EE" w:rsidP="009215EE">
                    <w:pPr>
                      <w:rPr>
                        <w:rFonts w:ascii="Aptos" w:eastAsia="Aptos" w:hAnsi="Aptos" w:cs="Aptos"/>
                        <w:noProof/>
                        <w:color w:val="FF0000"/>
                      </w:rPr>
                    </w:pPr>
                    <w:r w:rsidRPr="009215E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C7EA4"/>
    <w:multiLevelType w:val="hybridMultilevel"/>
    <w:tmpl w:val="07022646"/>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984375D"/>
    <w:multiLevelType w:val="hybridMultilevel"/>
    <w:tmpl w:val="797CE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C693E"/>
    <w:multiLevelType w:val="multilevel"/>
    <w:tmpl w:val="2B2A45F2"/>
    <w:lvl w:ilvl="0">
      <w:start w:val="2"/>
      <w:numFmt w:val="decimal"/>
      <w:lvlText w:val="%1"/>
      <w:lvlJc w:val="left"/>
      <w:pPr>
        <w:ind w:left="720" w:hanging="720"/>
      </w:pPr>
      <w:rPr>
        <w:rFonts w:hint="default"/>
        <w:b/>
        <w:color w:val="auto"/>
      </w:rPr>
    </w:lvl>
    <w:lvl w:ilvl="1">
      <w:start w:val="2"/>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F1EE0"/>
    <w:multiLevelType w:val="hybridMultilevel"/>
    <w:tmpl w:val="56DEF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D33CDC"/>
    <w:multiLevelType w:val="multilevel"/>
    <w:tmpl w:val="6820EA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D41D0"/>
    <w:multiLevelType w:val="multilevel"/>
    <w:tmpl w:val="F00229C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31F0D0D"/>
    <w:multiLevelType w:val="multilevel"/>
    <w:tmpl w:val="CD90C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07759"/>
    <w:multiLevelType w:val="hybridMultilevel"/>
    <w:tmpl w:val="07022646"/>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7B34A0D"/>
    <w:multiLevelType w:val="hybridMultilevel"/>
    <w:tmpl w:val="18921D10"/>
    <w:lvl w:ilvl="0" w:tplc="FFFFFFFF">
      <w:start w:val="1"/>
      <w:numFmt w:val="lowerLetter"/>
      <w:lvlText w:val="%1."/>
      <w:lvlJc w:val="left"/>
      <w:pPr>
        <w:ind w:left="1080" w:hanging="720"/>
      </w:pPr>
      <w:rPr>
        <w:rFonts w:hint="default"/>
      </w:rPr>
    </w:lvl>
    <w:lvl w:ilvl="1" w:tplc="A3FECD54">
      <w:start w:val="1"/>
      <w:numFmt w:val="lowerRoman"/>
      <w:lvlText w:val="%2."/>
      <w:lvlJc w:val="left"/>
      <w:pPr>
        <w:ind w:left="1440" w:hanging="360"/>
      </w:pPr>
      <w:rPr>
        <w:rFonts w:asciiTheme="minorHAnsi" w:eastAsia="Times New Roman" w:hAnsiTheme="minorHAnsi"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6B6974"/>
    <w:multiLevelType w:val="hybridMultilevel"/>
    <w:tmpl w:val="AC96A648"/>
    <w:lvl w:ilvl="0" w:tplc="C526E8EC">
      <w:start w:val="1"/>
      <w:numFmt w:val="bullet"/>
      <w:lvlText w:val=""/>
      <w:lvlJc w:val="left"/>
      <w:pPr>
        <w:ind w:left="720" w:hanging="360"/>
      </w:pPr>
      <w:rPr>
        <w:rFonts w:ascii="Symbol" w:hAnsi="Symbol"/>
      </w:rPr>
    </w:lvl>
    <w:lvl w:ilvl="1" w:tplc="5A20F318">
      <w:start w:val="1"/>
      <w:numFmt w:val="bullet"/>
      <w:lvlText w:val=""/>
      <w:lvlJc w:val="left"/>
      <w:pPr>
        <w:ind w:left="720" w:hanging="360"/>
      </w:pPr>
      <w:rPr>
        <w:rFonts w:ascii="Symbol" w:hAnsi="Symbol"/>
      </w:rPr>
    </w:lvl>
    <w:lvl w:ilvl="2" w:tplc="607E156A">
      <w:start w:val="1"/>
      <w:numFmt w:val="bullet"/>
      <w:lvlText w:val=""/>
      <w:lvlJc w:val="left"/>
      <w:pPr>
        <w:ind w:left="720" w:hanging="360"/>
      </w:pPr>
      <w:rPr>
        <w:rFonts w:ascii="Symbol" w:hAnsi="Symbol"/>
      </w:rPr>
    </w:lvl>
    <w:lvl w:ilvl="3" w:tplc="E0C8EE22">
      <w:start w:val="1"/>
      <w:numFmt w:val="bullet"/>
      <w:lvlText w:val=""/>
      <w:lvlJc w:val="left"/>
      <w:pPr>
        <w:ind w:left="720" w:hanging="360"/>
      </w:pPr>
      <w:rPr>
        <w:rFonts w:ascii="Symbol" w:hAnsi="Symbol"/>
      </w:rPr>
    </w:lvl>
    <w:lvl w:ilvl="4" w:tplc="33D4A154">
      <w:start w:val="1"/>
      <w:numFmt w:val="bullet"/>
      <w:lvlText w:val=""/>
      <w:lvlJc w:val="left"/>
      <w:pPr>
        <w:ind w:left="720" w:hanging="360"/>
      </w:pPr>
      <w:rPr>
        <w:rFonts w:ascii="Symbol" w:hAnsi="Symbol"/>
      </w:rPr>
    </w:lvl>
    <w:lvl w:ilvl="5" w:tplc="8C7E4122">
      <w:start w:val="1"/>
      <w:numFmt w:val="bullet"/>
      <w:lvlText w:val=""/>
      <w:lvlJc w:val="left"/>
      <w:pPr>
        <w:ind w:left="720" w:hanging="360"/>
      </w:pPr>
      <w:rPr>
        <w:rFonts w:ascii="Symbol" w:hAnsi="Symbol"/>
      </w:rPr>
    </w:lvl>
    <w:lvl w:ilvl="6" w:tplc="49CEF00E">
      <w:start w:val="1"/>
      <w:numFmt w:val="bullet"/>
      <w:lvlText w:val=""/>
      <w:lvlJc w:val="left"/>
      <w:pPr>
        <w:ind w:left="720" w:hanging="360"/>
      </w:pPr>
      <w:rPr>
        <w:rFonts w:ascii="Symbol" w:hAnsi="Symbol"/>
      </w:rPr>
    </w:lvl>
    <w:lvl w:ilvl="7" w:tplc="EED03422">
      <w:start w:val="1"/>
      <w:numFmt w:val="bullet"/>
      <w:lvlText w:val=""/>
      <w:lvlJc w:val="left"/>
      <w:pPr>
        <w:ind w:left="720" w:hanging="360"/>
      </w:pPr>
      <w:rPr>
        <w:rFonts w:ascii="Symbol" w:hAnsi="Symbol"/>
      </w:rPr>
    </w:lvl>
    <w:lvl w:ilvl="8" w:tplc="76784596">
      <w:start w:val="1"/>
      <w:numFmt w:val="bullet"/>
      <w:lvlText w:val=""/>
      <w:lvlJc w:val="left"/>
      <w:pPr>
        <w:ind w:left="720" w:hanging="360"/>
      </w:pPr>
      <w:rPr>
        <w:rFonts w:ascii="Symbol" w:hAnsi="Symbol"/>
      </w:rPr>
    </w:lvl>
  </w:abstractNum>
  <w:abstractNum w:abstractNumId="11"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D50825F6"/>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7C11AF5"/>
    <w:multiLevelType w:val="multilevel"/>
    <w:tmpl w:val="D076B8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3F6E2AEF"/>
    <w:multiLevelType w:val="hybridMultilevel"/>
    <w:tmpl w:val="BCE8C7CA"/>
    <w:lvl w:ilvl="0" w:tplc="1134749C">
      <w:start w:val="1"/>
      <w:numFmt w:val="bullet"/>
      <w:lvlText w:val=""/>
      <w:lvlJc w:val="left"/>
      <w:pPr>
        <w:ind w:left="1020" w:hanging="360"/>
      </w:pPr>
      <w:rPr>
        <w:rFonts w:ascii="Symbol" w:hAnsi="Symbol"/>
      </w:rPr>
    </w:lvl>
    <w:lvl w:ilvl="1" w:tplc="0F8CCEDA">
      <w:start w:val="1"/>
      <w:numFmt w:val="bullet"/>
      <w:lvlText w:val=""/>
      <w:lvlJc w:val="left"/>
      <w:pPr>
        <w:ind w:left="1020" w:hanging="360"/>
      </w:pPr>
      <w:rPr>
        <w:rFonts w:ascii="Symbol" w:hAnsi="Symbol"/>
      </w:rPr>
    </w:lvl>
    <w:lvl w:ilvl="2" w:tplc="0D6EAB30">
      <w:start w:val="1"/>
      <w:numFmt w:val="bullet"/>
      <w:lvlText w:val=""/>
      <w:lvlJc w:val="left"/>
      <w:pPr>
        <w:ind w:left="1020" w:hanging="360"/>
      </w:pPr>
      <w:rPr>
        <w:rFonts w:ascii="Symbol" w:hAnsi="Symbol"/>
      </w:rPr>
    </w:lvl>
    <w:lvl w:ilvl="3" w:tplc="D8C47A20">
      <w:start w:val="1"/>
      <w:numFmt w:val="bullet"/>
      <w:lvlText w:val=""/>
      <w:lvlJc w:val="left"/>
      <w:pPr>
        <w:ind w:left="1020" w:hanging="360"/>
      </w:pPr>
      <w:rPr>
        <w:rFonts w:ascii="Symbol" w:hAnsi="Symbol"/>
      </w:rPr>
    </w:lvl>
    <w:lvl w:ilvl="4" w:tplc="922E806A">
      <w:start w:val="1"/>
      <w:numFmt w:val="bullet"/>
      <w:lvlText w:val=""/>
      <w:lvlJc w:val="left"/>
      <w:pPr>
        <w:ind w:left="1020" w:hanging="360"/>
      </w:pPr>
      <w:rPr>
        <w:rFonts w:ascii="Symbol" w:hAnsi="Symbol"/>
      </w:rPr>
    </w:lvl>
    <w:lvl w:ilvl="5" w:tplc="0782850E">
      <w:start w:val="1"/>
      <w:numFmt w:val="bullet"/>
      <w:lvlText w:val=""/>
      <w:lvlJc w:val="left"/>
      <w:pPr>
        <w:ind w:left="1020" w:hanging="360"/>
      </w:pPr>
      <w:rPr>
        <w:rFonts w:ascii="Symbol" w:hAnsi="Symbol"/>
      </w:rPr>
    </w:lvl>
    <w:lvl w:ilvl="6" w:tplc="D7AC6068">
      <w:start w:val="1"/>
      <w:numFmt w:val="bullet"/>
      <w:lvlText w:val=""/>
      <w:lvlJc w:val="left"/>
      <w:pPr>
        <w:ind w:left="1020" w:hanging="360"/>
      </w:pPr>
      <w:rPr>
        <w:rFonts w:ascii="Symbol" w:hAnsi="Symbol"/>
      </w:rPr>
    </w:lvl>
    <w:lvl w:ilvl="7" w:tplc="F536C86C">
      <w:start w:val="1"/>
      <w:numFmt w:val="bullet"/>
      <w:lvlText w:val=""/>
      <w:lvlJc w:val="left"/>
      <w:pPr>
        <w:ind w:left="1020" w:hanging="360"/>
      </w:pPr>
      <w:rPr>
        <w:rFonts w:ascii="Symbol" w:hAnsi="Symbol"/>
      </w:rPr>
    </w:lvl>
    <w:lvl w:ilvl="8" w:tplc="6816A1B0">
      <w:start w:val="1"/>
      <w:numFmt w:val="bullet"/>
      <w:lvlText w:val=""/>
      <w:lvlJc w:val="left"/>
      <w:pPr>
        <w:ind w:left="1020" w:hanging="360"/>
      </w:pPr>
      <w:rPr>
        <w:rFonts w:ascii="Symbol" w:hAnsi="Symbol"/>
      </w:rPr>
    </w:lvl>
  </w:abstractNum>
  <w:abstractNum w:abstractNumId="16" w15:restartNumberingAfterBreak="0">
    <w:nsid w:val="465E4D28"/>
    <w:multiLevelType w:val="multilevel"/>
    <w:tmpl w:val="E4A4EC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09B72B9"/>
    <w:multiLevelType w:val="hybridMultilevel"/>
    <w:tmpl w:val="74AEB4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FA785A"/>
    <w:multiLevelType w:val="hybridMultilevel"/>
    <w:tmpl w:val="B0DC6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FD46B7"/>
    <w:multiLevelType w:val="multilevel"/>
    <w:tmpl w:val="2F82063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63866235"/>
    <w:multiLevelType w:val="multilevel"/>
    <w:tmpl w:val="F00229C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BED40A1"/>
    <w:multiLevelType w:val="multilevel"/>
    <w:tmpl w:val="01847FA4"/>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652F21"/>
    <w:multiLevelType w:val="multilevel"/>
    <w:tmpl w:val="6820EA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8006B8"/>
    <w:multiLevelType w:val="hybridMultilevel"/>
    <w:tmpl w:val="DF08D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83886160"/>
    <w:lvl w:ilvl="0">
      <w:start w:val="1"/>
      <w:numFmt w:val="decimal"/>
      <w:lvlText w:val="%1"/>
      <w:lvlJc w:val="left"/>
      <w:pPr>
        <w:ind w:left="720" w:hanging="720"/>
      </w:pPr>
      <w:rPr>
        <w:rFonts w:hint="default"/>
        <w:b/>
        <w:color w:val="auto"/>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925230"/>
    <w:multiLevelType w:val="multilevel"/>
    <w:tmpl w:val="68B8FC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3498588">
    <w:abstractNumId w:val="12"/>
  </w:num>
  <w:num w:numId="2" w16cid:durableId="957570559">
    <w:abstractNumId w:val="28"/>
  </w:num>
  <w:num w:numId="3" w16cid:durableId="1159004663">
    <w:abstractNumId w:val="19"/>
  </w:num>
  <w:num w:numId="4" w16cid:durableId="1279799443">
    <w:abstractNumId w:val="18"/>
  </w:num>
  <w:num w:numId="5" w16cid:durableId="495537779">
    <w:abstractNumId w:val="14"/>
  </w:num>
  <w:num w:numId="6" w16cid:durableId="1468400811">
    <w:abstractNumId w:val="0"/>
  </w:num>
  <w:num w:numId="7" w16cid:durableId="1915313393">
    <w:abstractNumId w:val="24"/>
  </w:num>
  <w:num w:numId="8" w16cid:durableId="1662348298">
    <w:abstractNumId w:val="17"/>
  </w:num>
  <w:num w:numId="9" w16cid:durableId="1103570019">
    <w:abstractNumId w:val="11"/>
  </w:num>
  <w:num w:numId="10" w16cid:durableId="2126461934">
    <w:abstractNumId w:val="20"/>
  </w:num>
  <w:num w:numId="11" w16cid:durableId="490491275">
    <w:abstractNumId w:val="9"/>
  </w:num>
  <w:num w:numId="12" w16cid:durableId="985089713">
    <w:abstractNumId w:val="1"/>
  </w:num>
  <w:num w:numId="13" w16cid:durableId="1960987311">
    <w:abstractNumId w:val="8"/>
  </w:num>
  <w:num w:numId="14" w16cid:durableId="1112627211">
    <w:abstractNumId w:val="15"/>
  </w:num>
  <w:num w:numId="15" w16cid:durableId="46227362">
    <w:abstractNumId w:val="10"/>
  </w:num>
  <w:num w:numId="16" w16cid:durableId="438530809">
    <w:abstractNumId w:val="25"/>
  </w:num>
  <w:num w:numId="17" w16cid:durableId="1572235149">
    <w:abstractNumId w:val="22"/>
  </w:num>
  <w:num w:numId="18" w16cid:durableId="429357683">
    <w:abstractNumId w:val="21"/>
  </w:num>
  <w:num w:numId="19" w16cid:durableId="714698339">
    <w:abstractNumId w:val="2"/>
  </w:num>
  <w:num w:numId="20" w16cid:durableId="2027629763">
    <w:abstractNumId w:val="27"/>
  </w:num>
  <w:num w:numId="21" w16cid:durableId="887453305">
    <w:abstractNumId w:val="26"/>
  </w:num>
  <w:num w:numId="22" w16cid:durableId="1903785081">
    <w:abstractNumId w:val="4"/>
  </w:num>
  <w:num w:numId="23" w16cid:durableId="1591234162">
    <w:abstractNumId w:val="5"/>
  </w:num>
  <w:num w:numId="24" w16cid:durableId="1931542781">
    <w:abstractNumId w:val="3"/>
  </w:num>
  <w:num w:numId="25" w16cid:durableId="296689411">
    <w:abstractNumId w:val="6"/>
  </w:num>
  <w:num w:numId="26" w16cid:durableId="1051926301">
    <w:abstractNumId w:val="23"/>
  </w:num>
  <w:num w:numId="27" w16cid:durableId="1769501864">
    <w:abstractNumId w:val="29"/>
  </w:num>
  <w:num w:numId="28" w16cid:durableId="1295330284">
    <w:abstractNumId w:val="13"/>
  </w:num>
  <w:num w:numId="29" w16cid:durableId="352269590">
    <w:abstractNumId w:val="16"/>
  </w:num>
  <w:num w:numId="30" w16cid:durableId="184039199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24E"/>
    <w:rsid w:val="0000080A"/>
    <w:rsid w:val="0000096D"/>
    <w:rsid w:val="00001663"/>
    <w:rsid w:val="0000231E"/>
    <w:rsid w:val="000025AD"/>
    <w:rsid w:val="0000335D"/>
    <w:rsid w:val="00003EC5"/>
    <w:rsid w:val="00004DE9"/>
    <w:rsid w:val="00005C51"/>
    <w:rsid w:val="00005D27"/>
    <w:rsid w:val="00006782"/>
    <w:rsid w:val="00010269"/>
    <w:rsid w:val="0001179A"/>
    <w:rsid w:val="00011A59"/>
    <w:rsid w:val="000124B2"/>
    <w:rsid w:val="000126B4"/>
    <w:rsid w:val="00014600"/>
    <w:rsid w:val="00014D69"/>
    <w:rsid w:val="00016A41"/>
    <w:rsid w:val="00016C1E"/>
    <w:rsid w:val="000201BF"/>
    <w:rsid w:val="000207C5"/>
    <w:rsid w:val="00020A01"/>
    <w:rsid w:val="000214D1"/>
    <w:rsid w:val="00021611"/>
    <w:rsid w:val="00021F20"/>
    <w:rsid w:val="000220AE"/>
    <w:rsid w:val="00022921"/>
    <w:rsid w:val="00022C60"/>
    <w:rsid w:val="00023F76"/>
    <w:rsid w:val="000240A7"/>
    <w:rsid w:val="0002464A"/>
    <w:rsid w:val="00024770"/>
    <w:rsid w:val="00025A04"/>
    <w:rsid w:val="0002693D"/>
    <w:rsid w:val="00027A58"/>
    <w:rsid w:val="00027F9C"/>
    <w:rsid w:val="0003050E"/>
    <w:rsid w:val="0003106B"/>
    <w:rsid w:val="00031375"/>
    <w:rsid w:val="00031E1E"/>
    <w:rsid w:val="00033416"/>
    <w:rsid w:val="000335B9"/>
    <w:rsid w:val="00033920"/>
    <w:rsid w:val="00034905"/>
    <w:rsid w:val="000358E7"/>
    <w:rsid w:val="00035AEB"/>
    <w:rsid w:val="00037906"/>
    <w:rsid w:val="00037D27"/>
    <w:rsid w:val="000404BC"/>
    <w:rsid w:val="00040A30"/>
    <w:rsid w:val="000414C9"/>
    <w:rsid w:val="000414DB"/>
    <w:rsid w:val="000418A0"/>
    <w:rsid w:val="00041CEE"/>
    <w:rsid w:val="000421A1"/>
    <w:rsid w:val="0004240E"/>
    <w:rsid w:val="000425A2"/>
    <w:rsid w:val="00044BBD"/>
    <w:rsid w:val="00044E52"/>
    <w:rsid w:val="00044EC4"/>
    <w:rsid w:val="00045250"/>
    <w:rsid w:val="00045E26"/>
    <w:rsid w:val="00046779"/>
    <w:rsid w:val="00046903"/>
    <w:rsid w:val="00047247"/>
    <w:rsid w:val="000514B5"/>
    <w:rsid w:val="000521ED"/>
    <w:rsid w:val="0005322E"/>
    <w:rsid w:val="00054010"/>
    <w:rsid w:val="000546CF"/>
    <w:rsid w:val="00054E2B"/>
    <w:rsid w:val="00055A8E"/>
    <w:rsid w:val="00056382"/>
    <w:rsid w:val="00060E64"/>
    <w:rsid w:val="000621AB"/>
    <w:rsid w:val="00062C03"/>
    <w:rsid w:val="00062E88"/>
    <w:rsid w:val="000657A1"/>
    <w:rsid w:val="00065B11"/>
    <w:rsid w:val="00066193"/>
    <w:rsid w:val="00066755"/>
    <w:rsid w:val="0007105E"/>
    <w:rsid w:val="000714DD"/>
    <w:rsid w:val="00071A5B"/>
    <w:rsid w:val="00072730"/>
    <w:rsid w:val="0007337F"/>
    <w:rsid w:val="00074320"/>
    <w:rsid w:val="000749ED"/>
    <w:rsid w:val="000763D5"/>
    <w:rsid w:val="00076C38"/>
    <w:rsid w:val="00077143"/>
    <w:rsid w:val="0007756A"/>
    <w:rsid w:val="00077DF7"/>
    <w:rsid w:val="0008050C"/>
    <w:rsid w:val="00080E21"/>
    <w:rsid w:val="00080FE7"/>
    <w:rsid w:val="00082169"/>
    <w:rsid w:val="000830FE"/>
    <w:rsid w:val="000834BE"/>
    <w:rsid w:val="00083AD4"/>
    <w:rsid w:val="00083F01"/>
    <w:rsid w:val="000873E2"/>
    <w:rsid w:val="00087C4C"/>
    <w:rsid w:val="00087E15"/>
    <w:rsid w:val="0009040B"/>
    <w:rsid w:val="000907AA"/>
    <w:rsid w:val="000918CB"/>
    <w:rsid w:val="00091B06"/>
    <w:rsid w:val="000934AB"/>
    <w:rsid w:val="000951C4"/>
    <w:rsid w:val="00095ADA"/>
    <w:rsid w:val="00095F3A"/>
    <w:rsid w:val="000969AD"/>
    <w:rsid w:val="000975FB"/>
    <w:rsid w:val="0009792C"/>
    <w:rsid w:val="00097CFA"/>
    <w:rsid w:val="000A02F8"/>
    <w:rsid w:val="000A0CD2"/>
    <w:rsid w:val="000A3AA2"/>
    <w:rsid w:val="000A4027"/>
    <w:rsid w:val="000A42EF"/>
    <w:rsid w:val="000A44B2"/>
    <w:rsid w:val="000A47DF"/>
    <w:rsid w:val="000A52F6"/>
    <w:rsid w:val="000A5413"/>
    <w:rsid w:val="000A58B8"/>
    <w:rsid w:val="000A78B8"/>
    <w:rsid w:val="000B2566"/>
    <w:rsid w:val="000B44C3"/>
    <w:rsid w:val="000B4FA6"/>
    <w:rsid w:val="000B558D"/>
    <w:rsid w:val="000B5A89"/>
    <w:rsid w:val="000B65F6"/>
    <w:rsid w:val="000B754F"/>
    <w:rsid w:val="000B7767"/>
    <w:rsid w:val="000B77E1"/>
    <w:rsid w:val="000C1AFF"/>
    <w:rsid w:val="000C3034"/>
    <w:rsid w:val="000C4E9F"/>
    <w:rsid w:val="000C4F67"/>
    <w:rsid w:val="000C5740"/>
    <w:rsid w:val="000C5F95"/>
    <w:rsid w:val="000C6996"/>
    <w:rsid w:val="000C7BCF"/>
    <w:rsid w:val="000C7C46"/>
    <w:rsid w:val="000D09E9"/>
    <w:rsid w:val="000D0B0F"/>
    <w:rsid w:val="000D113F"/>
    <w:rsid w:val="000D175C"/>
    <w:rsid w:val="000D23BA"/>
    <w:rsid w:val="000D2736"/>
    <w:rsid w:val="000D31FA"/>
    <w:rsid w:val="000D352A"/>
    <w:rsid w:val="000D4F18"/>
    <w:rsid w:val="000D71D0"/>
    <w:rsid w:val="000D73B4"/>
    <w:rsid w:val="000E014A"/>
    <w:rsid w:val="000E19B7"/>
    <w:rsid w:val="000E20FC"/>
    <w:rsid w:val="000E2A06"/>
    <w:rsid w:val="000E3168"/>
    <w:rsid w:val="000E3C1D"/>
    <w:rsid w:val="000E3DFB"/>
    <w:rsid w:val="000E5EA1"/>
    <w:rsid w:val="000E5F3F"/>
    <w:rsid w:val="000E681E"/>
    <w:rsid w:val="000E696B"/>
    <w:rsid w:val="000E71C6"/>
    <w:rsid w:val="000E7E52"/>
    <w:rsid w:val="000E7E90"/>
    <w:rsid w:val="000EE1C7"/>
    <w:rsid w:val="000F0003"/>
    <w:rsid w:val="000F020D"/>
    <w:rsid w:val="000F1254"/>
    <w:rsid w:val="000F1481"/>
    <w:rsid w:val="000F1C6E"/>
    <w:rsid w:val="000F3060"/>
    <w:rsid w:val="000F3384"/>
    <w:rsid w:val="000F3438"/>
    <w:rsid w:val="000F3966"/>
    <w:rsid w:val="000F3A10"/>
    <w:rsid w:val="000F3C9E"/>
    <w:rsid w:val="000F3F6A"/>
    <w:rsid w:val="000F454D"/>
    <w:rsid w:val="000F4E6A"/>
    <w:rsid w:val="000F559C"/>
    <w:rsid w:val="000F5645"/>
    <w:rsid w:val="000F593D"/>
    <w:rsid w:val="000F6ABB"/>
    <w:rsid w:val="000F7045"/>
    <w:rsid w:val="000F7354"/>
    <w:rsid w:val="000F7689"/>
    <w:rsid w:val="000F7699"/>
    <w:rsid w:val="000F7B17"/>
    <w:rsid w:val="000F7C27"/>
    <w:rsid w:val="001017FB"/>
    <w:rsid w:val="00101ABE"/>
    <w:rsid w:val="00101CF2"/>
    <w:rsid w:val="00102202"/>
    <w:rsid w:val="00102700"/>
    <w:rsid w:val="00102A78"/>
    <w:rsid w:val="00102D89"/>
    <w:rsid w:val="00102DC0"/>
    <w:rsid w:val="00103118"/>
    <w:rsid w:val="00103F1B"/>
    <w:rsid w:val="00104227"/>
    <w:rsid w:val="001053D5"/>
    <w:rsid w:val="001060B0"/>
    <w:rsid w:val="00106E39"/>
    <w:rsid w:val="00107409"/>
    <w:rsid w:val="00107988"/>
    <w:rsid w:val="0011042D"/>
    <w:rsid w:val="001107BF"/>
    <w:rsid w:val="0011093D"/>
    <w:rsid w:val="00112B6C"/>
    <w:rsid w:val="00113649"/>
    <w:rsid w:val="00113D5C"/>
    <w:rsid w:val="00115B88"/>
    <w:rsid w:val="00115DFF"/>
    <w:rsid w:val="00116B03"/>
    <w:rsid w:val="001176D6"/>
    <w:rsid w:val="00120AA6"/>
    <w:rsid w:val="001223A8"/>
    <w:rsid w:val="00122587"/>
    <w:rsid w:val="001239DB"/>
    <w:rsid w:val="0012417C"/>
    <w:rsid w:val="00124BF2"/>
    <w:rsid w:val="00125301"/>
    <w:rsid w:val="0012560D"/>
    <w:rsid w:val="00125837"/>
    <w:rsid w:val="0012597F"/>
    <w:rsid w:val="00126B19"/>
    <w:rsid w:val="00126D3A"/>
    <w:rsid w:val="0012749D"/>
    <w:rsid w:val="00127A23"/>
    <w:rsid w:val="00127CB1"/>
    <w:rsid w:val="001306A5"/>
    <w:rsid w:val="00130918"/>
    <w:rsid w:val="00130A29"/>
    <w:rsid w:val="001311AE"/>
    <w:rsid w:val="00132CD4"/>
    <w:rsid w:val="00132F62"/>
    <w:rsid w:val="00133ABC"/>
    <w:rsid w:val="00134994"/>
    <w:rsid w:val="001355D3"/>
    <w:rsid w:val="00136031"/>
    <w:rsid w:val="001366C2"/>
    <w:rsid w:val="001367AB"/>
    <w:rsid w:val="00136C17"/>
    <w:rsid w:val="001379C3"/>
    <w:rsid w:val="00140B74"/>
    <w:rsid w:val="00140CFC"/>
    <w:rsid w:val="00140D94"/>
    <w:rsid w:val="00141480"/>
    <w:rsid w:val="00142393"/>
    <w:rsid w:val="00142395"/>
    <w:rsid w:val="0014250D"/>
    <w:rsid w:val="00142714"/>
    <w:rsid w:val="0014361B"/>
    <w:rsid w:val="00143E93"/>
    <w:rsid w:val="00144621"/>
    <w:rsid w:val="00144D09"/>
    <w:rsid w:val="00144E06"/>
    <w:rsid w:val="00145068"/>
    <w:rsid w:val="001452ED"/>
    <w:rsid w:val="00145B2A"/>
    <w:rsid w:val="001461D6"/>
    <w:rsid w:val="00147235"/>
    <w:rsid w:val="00147D84"/>
    <w:rsid w:val="00150363"/>
    <w:rsid w:val="00150980"/>
    <w:rsid w:val="00150E3B"/>
    <w:rsid w:val="001514D6"/>
    <w:rsid w:val="00151CBD"/>
    <w:rsid w:val="001520D0"/>
    <w:rsid w:val="001520F6"/>
    <w:rsid w:val="001525C5"/>
    <w:rsid w:val="00152736"/>
    <w:rsid w:val="00153009"/>
    <w:rsid w:val="001533C3"/>
    <w:rsid w:val="00153F01"/>
    <w:rsid w:val="00154251"/>
    <w:rsid w:val="00154874"/>
    <w:rsid w:val="001549C1"/>
    <w:rsid w:val="001557B6"/>
    <w:rsid w:val="00155E7B"/>
    <w:rsid w:val="001562AB"/>
    <w:rsid w:val="00156C8D"/>
    <w:rsid w:val="00157CDA"/>
    <w:rsid w:val="001601DF"/>
    <w:rsid w:val="00160F4D"/>
    <w:rsid w:val="001617A0"/>
    <w:rsid w:val="001619E3"/>
    <w:rsid w:val="00161ED2"/>
    <w:rsid w:val="00162966"/>
    <w:rsid w:val="00162BDD"/>
    <w:rsid w:val="00162D4E"/>
    <w:rsid w:val="00163329"/>
    <w:rsid w:val="00163EBF"/>
    <w:rsid w:val="00164623"/>
    <w:rsid w:val="001652DE"/>
    <w:rsid w:val="001653EC"/>
    <w:rsid w:val="00165B64"/>
    <w:rsid w:val="001661F3"/>
    <w:rsid w:val="00167C39"/>
    <w:rsid w:val="00170A79"/>
    <w:rsid w:val="00170C4D"/>
    <w:rsid w:val="0017240A"/>
    <w:rsid w:val="00174EB8"/>
    <w:rsid w:val="001754C0"/>
    <w:rsid w:val="001756CB"/>
    <w:rsid w:val="00175DB3"/>
    <w:rsid w:val="00176AC6"/>
    <w:rsid w:val="00176B9D"/>
    <w:rsid w:val="00176F98"/>
    <w:rsid w:val="00177933"/>
    <w:rsid w:val="00180713"/>
    <w:rsid w:val="00180720"/>
    <w:rsid w:val="00180AA4"/>
    <w:rsid w:val="00182180"/>
    <w:rsid w:val="001830CE"/>
    <w:rsid w:val="001836E3"/>
    <w:rsid w:val="00184659"/>
    <w:rsid w:val="001858B0"/>
    <w:rsid w:val="001860E5"/>
    <w:rsid w:val="0018643B"/>
    <w:rsid w:val="0019120F"/>
    <w:rsid w:val="00191577"/>
    <w:rsid w:val="0019161D"/>
    <w:rsid w:val="00191D8E"/>
    <w:rsid w:val="001924D8"/>
    <w:rsid w:val="00192B3B"/>
    <w:rsid w:val="00192BB3"/>
    <w:rsid w:val="00193040"/>
    <w:rsid w:val="00193E3B"/>
    <w:rsid w:val="00196307"/>
    <w:rsid w:val="001966D7"/>
    <w:rsid w:val="00197C70"/>
    <w:rsid w:val="00197DF4"/>
    <w:rsid w:val="00197F03"/>
    <w:rsid w:val="00197F45"/>
    <w:rsid w:val="001A0D10"/>
    <w:rsid w:val="001A2203"/>
    <w:rsid w:val="001A24C5"/>
    <w:rsid w:val="001A33EA"/>
    <w:rsid w:val="001A3615"/>
    <w:rsid w:val="001A3901"/>
    <w:rsid w:val="001A4413"/>
    <w:rsid w:val="001A4529"/>
    <w:rsid w:val="001A4C4F"/>
    <w:rsid w:val="001A5A2B"/>
    <w:rsid w:val="001A659F"/>
    <w:rsid w:val="001A76FB"/>
    <w:rsid w:val="001A7F21"/>
    <w:rsid w:val="001B017F"/>
    <w:rsid w:val="001B0767"/>
    <w:rsid w:val="001B0B79"/>
    <w:rsid w:val="001B19EA"/>
    <w:rsid w:val="001B2BBC"/>
    <w:rsid w:val="001B2BCD"/>
    <w:rsid w:val="001B36F2"/>
    <w:rsid w:val="001B3A40"/>
    <w:rsid w:val="001B3FD7"/>
    <w:rsid w:val="001B3FFE"/>
    <w:rsid w:val="001B5129"/>
    <w:rsid w:val="001B68BA"/>
    <w:rsid w:val="001B7F8E"/>
    <w:rsid w:val="001C0B4C"/>
    <w:rsid w:val="001C0EC4"/>
    <w:rsid w:val="001C1195"/>
    <w:rsid w:val="001C12AE"/>
    <w:rsid w:val="001C1E84"/>
    <w:rsid w:val="001C20E1"/>
    <w:rsid w:val="001C2197"/>
    <w:rsid w:val="001C2A0F"/>
    <w:rsid w:val="001C2A51"/>
    <w:rsid w:val="001C2E42"/>
    <w:rsid w:val="001C4806"/>
    <w:rsid w:val="001C5F6F"/>
    <w:rsid w:val="001C7D5C"/>
    <w:rsid w:val="001D1F5F"/>
    <w:rsid w:val="001D2EB5"/>
    <w:rsid w:val="001D595B"/>
    <w:rsid w:val="001D6F7C"/>
    <w:rsid w:val="001E06D2"/>
    <w:rsid w:val="001E17C4"/>
    <w:rsid w:val="001E2A47"/>
    <w:rsid w:val="001E2C02"/>
    <w:rsid w:val="001E2D65"/>
    <w:rsid w:val="001E3279"/>
    <w:rsid w:val="001E47BB"/>
    <w:rsid w:val="001E4EC9"/>
    <w:rsid w:val="001F005B"/>
    <w:rsid w:val="001F0266"/>
    <w:rsid w:val="001F1850"/>
    <w:rsid w:val="001F1E51"/>
    <w:rsid w:val="001F1FBF"/>
    <w:rsid w:val="001F20AD"/>
    <w:rsid w:val="001F216E"/>
    <w:rsid w:val="001F2311"/>
    <w:rsid w:val="001F2B80"/>
    <w:rsid w:val="001F2E1B"/>
    <w:rsid w:val="001F2F1C"/>
    <w:rsid w:val="001F3189"/>
    <w:rsid w:val="001F3D97"/>
    <w:rsid w:val="001F4B52"/>
    <w:rsid w:val="0020061D"/>
    <w:rsid w:val="00200BEA"/>
    <w:rsid w:val="00201DF4"/>
    <w:rsid w:val="00201FB8"/>
    <w:rsid w:val="00202041"/>
    <w:rsid w:val="0020288F"/>
    <w:rsid w:val="002028A3"/>
    <w:rsid w:val="002032DB"/>
    <w:rsid w:val="002035D3"/>
    <w:rsid w:val="00203FAC"/>
    <w:rsid w:val="0020445E"/>
    <w:rsid w:val="0020529E"/>
    <w:rsid w:val="0020637C"/>
    <w:rsid w:val="00206A17"/>
    <w:rsid w:val="002071F4"/>
    <w:rsid w:val="002120B6"/>
    <w:rsid w:val="0021237B"/>
    <w:rsid w:val="002133FB"/>
    <w:rsid w:val="00213CFB"/>
    <w:rsid w:val="00213E5C"/>
    <w:rsid w:val="00213E9A"/>
    <w:rsid w:val="0021433F"/>
    <w:rsid w:val="00214687"/>
    <w:rsid w:val="00214D11"/>
    <w:rsid w:val="0021553C"/>
    <w:rsid w:val="0021557B"/>
    <w:rsid w:val="00215DF9"/>
    <w:rsid w:val="00216B87"/>
    <w:rsid w:val="002174FD"/>
    <w:rsid w:val="00217B5E"/>
    <w:rsid w:val="00217BE1"/>
    <w:rsid w:val="002206D5"/>
    <w:rsid w:val="00221361"/>
    <w:rsid w:val="002214B9"/>
    <w:rsid w:val="00222680"/>
    <w:rsid w:val="00223370"/>
    <w:rsid w:val="00223AC0"/>
    <w:rsid w:val="00223FBF"/>
    <w:rsid w:val="00224D1E"/>
    <w:rsid w:val="002250BA"/>
    <w:rsid w:val="00226611"/>
    <w:rsid w:val="00227BC5"/>
    <w:rsid w:val="00227D75"/>
    <w:rsid w:val="00230173"/>
    <w:rsid w:val="00230F63"/>
    <w:rsid w:val="00233B34"/>
    <w:rsid w:val="00234252"/>
    <w:rsid w:val="0023466E"/>
    <w:rsid w:val="00236DE2"/>
    <w:rsid w:val="00237AC6"/>
    <w:rsid w:val="002402F7"/>
    <w:rsid w:val="00242B64"/>
    <w:rsid w:val="00242BFD"/>
    <w:rsid w:val="00244139"/>
    <w:rsid w:val="002441E6"/>
    <w:rsid w:val="00244490"/>
    <w:rsid w:val="002445BC"/>
    <w:rsid w:val="00244A89"/>
    <w:rsid w:val="00244AF5"/>
    <w:rsid w:val="00244BEC"/>
    <w:rsid w:val="00245444"/>
    <w:rsid w:val="00245B9C"/>
    <w:rsid w:val="00246C90"/>
    <w:rsid w:val="002506AE"/>
    <w:rsid w:val="00250874"/>
    <w:rsid w:val="0025159C"/>
    <w:rsid w:val="00251B85"/>
    <w:rsid w:val="0025226E"/>
    <w:rsid w:val="00252587"/>
    <w:rsid w:val="002529CF"/>
    <w:rsid w:val="00253401"/>
    <w:rsid w:val="00253499"/>
    <w:rsid w:val="002537BD"/>
    <w:rsid w:val="002551A4"/>
    <w:rsid w:val="00255BA3"/>
    <w:rsid w:val="00255BBF"/>
    <w:rsid w:val="00257664"/>
    <w:rsid w:val="00257BCD"/>
    <w:rsid w:val="00257D6F"/>
    <w:rsid w:val="00260165"/>
    <w:rsid w:val="002620DC"/>
    <w:rsid w:val="00264DE3"/>
    <w:rsid w:val="00265151"/>
    <w:rsid w:val="00265C2C"/>
    <w:rsid w:val="00265D08"/>
    <w:rsid w:val="00266509"/>
    <w:rsid w:val="00267098"/>
    <w:rsid w:val="00267B42"/>
    <w:rsid w:val="00267CEF"/>
    <w:rsid w:val="002718BD"/>
    <w:rsid w:val="00271B5D"/>
    <w:rsid w:val="00271BA1"/>
    <w:rsid w:val="00272AA2"/>
    <w:rsid w:val="00272BEA"/>
    <w:rsid w:val="00272DE5"/>
    <w:rsid w:val="00272F1B"/>
    <w:rsid w:val="00273AC5"/>
    <w:rsid w:val="002742E8"/>
    <w:rsid w:val="0027568A"/>
    <w:rsid w:val="002762FA"/>
    <w:rsid w:val="00276BE3"/>
    <w:rsid w:val="00277505"/>
    <w:rsid w:val="00277873"/>
    <w:rsid w:val="00277A13"/>
    <w:rsid w:val="00277C96"/>
    <w:rsid w:val="002809E5"/>
    <w:rsid w:val="00280F15"/>
    <w:rsid w:val="0028158C"/>
    <w:rsid w:val="002823B6"/>
    <w:rsid w:val="00282963"/>
    <w:rsid w:val="00283AD6"/>
    <w:rsid w:val="00285B2A"/>
    <w:rsid w:val="00285D09"/>
    <w:rsid w:val="00286744"/>
    <w:rsid w:val="00286DEF"/>
    <w:rsid w:val="00287190"/>
    <w:rsid w:val="002876FA"/>
    <w:rsid w:val="00287C6A"/>
    <w:rsid w:val="00287DF1"/>
    <w:rsid w:val="0029011C"/>
    <w:rsid w:val="002909A7"/>
    <w:rsid w:val="00290C03"/>
    <w:rsid w:val="00290D15"/>
    <w:rsid w:val="002911EA"/>
    <w:rsid w:val="00292392"/>
    <w:rsid w:val="0029299C"/>
    <w:rsid w:val="00292E3B"/>
    <w:rsid w:val="002930E9"/>
    <w:rsid w:val="002933A8"/>
    <w:rsid w:val="002936B2"/>
    <w:rsid w:val="00294274"/>
    <w:rsid w:val="0029458F"/>
    <w:rsid w:val="00294EF2"/>
    <w:rsid w:val="00295D04"/>
    <w:rsid w:val="00295D19"/>
    <w:rsid w:val="002960F3"/>
    <w:rsid w:val="00296C51"/>
    <w:rsid w:val="002978FB"/>
    <w:rsid w:val="00297A63"/>
    <w:rsid w:val="002A018F"/>
    <w:rsid w:val="002A0E04"/>
    <w:rsid w:val="002A104C"/>
    <w:rsid w:val="002A1EF7"/>
    <w:rsid w:val="002A21CF"/>
    <w:rsid w:val="002A2B7B"/>
    <w:rsid w:val="002A2D61"/>
    <w:rsid w:val="002A42B0"/>
    <w:rsid w:val="002A494D"/>
    <w:rsid w:val="002A4960"/>
    <w:rsid w:val="002A636A"/>
    <w:rsid w:val="002A6B36"/>
    <w:rsid w:val="002A755F"/>
    <w:rsid w:val="002A75EB"/>
    <w:rsid w:val="002A761E"/>
    <w:rsid w:val="002A7F97"/>
    <w:rsid w:val="002B034B"/>
    <w:rsid w:val="002B0AE0"/>
    <w:rsid w:val="002B0B2B"/>
    <w:rsid w:val="002B1AE6"/>
    <w:rsid w:val="002B1D51"/>
    <w:rsid w:val="002B1F4A"/>
    <w:rsid w:val="002B2749"/>
    <w:rsid w:val="002B2DE8"/>
    <w:rsid w:val="002B30F8"/>
    <w:rsid w:val="002B388A"/>
    <w:rsid w:val="002B3BFE"/>
    <w:rsid w:val="002B3C1A"/>
    <w:rsid w:val="002B4C2A"/>
    <w:rsid w:val="002B5596"/>
    <w:rsid w:val="002B6407"/>
    <w:rsid w:val="002B6984"/>
    <w:rsid w:val="002B77D7"/>
    <w:rsid w:val="002B786E"/>
    <w:rsid w:val="002C0763"/>
    <w:rsid w:val="002C1EE0"/>
    <w:rsid w:val="002C212F"/>
    <w:rsid w:val="002C2F35"/>
    <w:rsid w:val="002C427D"/>
    <w:rsid w:val="002C57A2"/>
    <w:rsid w:val="002C5850"/>
    <w:rsid w:val="002C6AA9"/>
    <w:rsid w:val="002C7485"/>
    <w:rsid w:val="002D1907"/>
    <w:rsid w:val="002D25CB"/>
    <w:rsid w:val="002D2641"/>
    <w:rsid w:val="002D283A"/>
    <w:rsid w:val="002D2AD3"/>
    <w:rsid w:val="002D321F"/>
    <w:rsid w:val="002D36BB"/>
    <w:rsid w:val="002D4543"/>
    <w:rsid w:val="002D6014"/>
    <w:rsid w:val="002D6CE9"/>
    <w:rsid w:val="002D715F"/>
    <w:rsid w:val="002D7276"/>
    <w:rsid w:val="002D7AC3"/>
    <w:rsid w:val="002E022A"/>
    <w:rsid w:val="002E043F"/>
    <w:rsid w:val="002E072C"/>
    <w:rsid w:val="002E09CF"/>
    <w:rsid w:val="002E1904"/>
    <w:rsid w:val="002E3153"/>
    <w:rsid w:val="002E3911"/>
    <w:rsid w:val="002E395E"/>
    <w:rsid w:val="002E3FD4"/>
    <w:rsid w:val="002E4A02"/>
    <w:rsid w:val="002E4D91"/>
    <w:rsid w:val="002E511D"/>
    <w:rsid w:val="002E5292"/>
    <w:rsid w:val="002E55F1"/>
    <w:rsid w:val="002E592D"/>
    <w:rsid w:val="002E6CC5"/>
    <w:rsid w:val="002E72CA"/>
    <w:rsid w:val="002E754C"/>
    <w:rsid w:val="002E75DD"/>
    <w:rsid w:val="002F1437"/>
    <w:rsid w:val="002F1D07"/>
    <w:rsid w:val="002F1E79"/>
    <w:rsid w:val="002F1FA4"/>
    <w:rsid w:val="002F23FA"/>
    <w:rsid w:val="002F3549"/>
    <w:rsid w:val="002F45C8"/>
    <w:rsid w:val="002F4BAC"/>
    <w:rsid w:val="002F5B67"/>
    <w:rsid w:val="002F5C5B"/>
    <w:rsid w:val="002F600D"/>
    <w:rsid w:val="002F6F0F"/>
    <w:rsid w:val="002F72D2"/>
    <w:rsid w:val="002F736F"/>
    <w:rsid w:val="002F7E47"/>
    <w:rsid w:val="00300AD6"/>
    <w:rsid w:val="00300B1B"/>
    <w:rsid w:val="00300CE3"/>
    <w:rsid w:val="003019D0"/>
    <w:rsid w:val="003019DE"/>
    <w:rsid w:val="0030311E"/>
    <w:rsid w:val="003033DA"/>
    <w:rsid w:val="00303CE5"/>
    <w:rsid w:val="00303CFE"/>
    <w:rsid w:val="00304195"/>
    <w:rsid w:val="00304995"/>
    <w:rsid w:val="00305313"/>
    <w:rsid w:val="003060C4"/>
    <w:rsid w:val="003064AF"/>
    <w:rsid w:val="00307DC6"/>
    <w:rsid w:val="00310A8B"/>
    <w:rsid w:val="00310B68"/>
    <w:rsid w:val="003113A3"/>
    <w:rsid w:val="003123AD"/>
    <w:rsid w:val="003160D2"/>
    <w:rsid w:val="0031622F"/>
    <w:rsid w:val="00316DB0"/>
    <w:rsid w:val="0031702C"/>
    <w:rsid w:val="003173FC"/>
    <w:rsid w:val="00317C6C"/>
    <w:rsid w:val="00320B80"/>
    <w:rsid w:val="00320CD3"/>
    <w:rsid w:val="00320CEF"/>
    <w:rsid w:val="00321349"/>
    <w:rsid w:val="003215FF"/>
    <w:rsid w:val="00321BBE"/>
    <w:rsid w:val="00322667"/>
    <w:rsid w:val="003229FD"/>
    <w:rsid w:val="003235EF"/>
    <w:rsid w:val="00323912"/>
    <w:rsid w:val="00324091"/>
    <w:rsid w:val="00324219"/>
    <w:rsid w:val="003254DA"/>
    <w:rsid w:val="0032607C"/>
    <w:rsid w:val="00326484"/>
    <w:rsid w:val="00326E79"/>
    <w:rsid w:val="00326F15"/>
    <w:rsid w:val="0032748A"/>
    <w:rsid w:val="003301B1"/>
    <w:rsid w:val="00331189"/>
    <w:rsid w:val="00331482"/>
    <w:rsid w:val="0033263D"/>
    <w:rsid w:val="00332BE6"/>
    <w:rsid w:val="00333958"/>
    <w:rsid w:val="00334E69"/>
    <w:rsid w:val="0033518A"/>
    <w:rsid w:val="00335535"/>
    <w:rsid w:val="00335E32"/>
    <w:rsid w:val="003367EF"/>
    <w:rsid w:val="00336ADE"/>
    <w:rsid w:val="00337623"/>
    <w:rsid w:val="00340167"/>
    <w:rsid w:val="00340620"/>
    <w:rsid w:val="003418D2"/>
    <w:rsid w:val="00341AE4"/>
    <w:rsid w:val="003425CA"/>
    <w:rsid w:val="0034372A"/>
    <w:rsid w:val="00343C03"/>
    <w:rsid w:val="00343FB7"/>
    <w:rsid w:val="00347051"/>
    <w:rsid w:val="003476EE"/>
    <w:rsid w:val="00347E16"/>
    <w:rsid w:val="00350661"/>
    <w:rsid w:val="003534E0"/>
    <w:rsid w:val="0035376E"/>
    <w:rsid w:val="003541DD"/>
    <w:rsid w:val="00354E72"/>
    <w:rsid w:val="003558D9"/>
    <w:rsid w:val="00356E5B"/>
    <w:rsid w:val="00356F02"/>
    <w:rsid w:val="00356F24"/>
    <w:rsid w:val="003570EA"/>
    <w:rsid w:val="00360159"/>
    <w:rsid w:val="003605BE"/>
    <w:rsid w:val="00360887"/>
    <w:rsid w:val="00361A19"/>
    <w:rsid w:val="0036249F"/>
    <w:rsid w:val="003635C7"/>
    <w:rsid w:val="003664B2"/>
    <w:rsid w:val="00366C48"/>
    <w:rsid w:val="0036718C"/>
    <w:rsid w:val="00371246"/>
    <w:rsid w:val="003736C9"/>
    <w:rsid w:val="003739D8"/>
    <w:rsid w:val="003769E5"/>
    <w:rsid w:val="00377AE9"/>
    <w:rsid w:val="00380995"/>
    <w:rsid w:val="00381621"/>
    <w:rsid w:val="00381C35"/>
    <w:rsid w:val="00383B77"/>
    <w:rsid w:val="00384462"/>
    <w:rsid w:val="00384988"/>
    <w:rsid w:val="003872CF"/>
    <w:rsid w:val="003874CB"/>
    <w:rsid w:val="0039042E"/>
    <w:rsid w:val="003906C9"/>
    <w:rsid w:val="003928C5"/>
    <w:rsid w:val="003947BD"/>
    <w:rsid w:val="00395C13"/>
    <w:rsid w:val="00395E26"/>
    <w:rsid w:val="00396E08"/>
    <w:rsid w:val="003970DD"/>
    <w:rsid w:val="0039782C"/>
    <w:rsid w:val="00397AF9"/>
    <w:rsid w:val="00397C90"/>
    <w:rsid w:val="00397EAA"/>
    <w:rsid w:val="00397F98"/>
    <w:rsid w:val="003A13A6"/>
    <w:rsid w:val="003A1B0A"/>
    <w:rsid w:val="003A2165"/>
    <w:rsid w:val="003A223E"/>
    <w:rsid w:val="003A2C1A"/>
    <w:rsid w:val="003A307E"/>
    <w:rsid w:val="003A3AF3"/>
    <w:rsid w:val="003A3FD4"/>
    <w:rsid w:val="003A586A"/>
    <w:rsid w:val="003A5B4A"/>
    <w:rsid w:val="003A5D95"/>
    <w:rsid w:val="003A5FB9"/>
    <w:rsid w:val="003A64D9"/>
    <w:rsid w:val="003A6510"/>
    <w:rsid w:val="003A74E2"/>
    <w:rsid w:val="003A7599"/>
    <w:rsid w:val="003A7DF2"/>
    <w:rsid w:val="003B056A"/>
    <w:rsid w:val="003B0D3A"/>
    <w:rsid w:val="003B2302"/>
    <w:rsid w:val="003B23C5"/>
    <w:rsid w:val="003B2A75"/>
    <w:rsid w:val="003B49B2"/>
    <w:rsid w:val="003B6124"/>
    <w:rsid w:val="003B61B1"/>
    <w:rsid w:val="003B6954"/>
    <w:rsid w:val="003B7635"/>
    <w:rsid w:val="003B772B"/>
    <w:rsid w:val="003B7960"/>
    <w:rsid w:val="003B7EA0"/>
    <w:rsid w:val="003C08CE"/>
    <w:rsid w:val="003C0908"/>
    <w:rsid w:val="003C093A"/>
    <w:rsid w:val="003C1ECF"/>
    <w:rsid w:val="003C205C"/>
    <w:rsid w:val="003C26E9"/>
    <w:rsid w:val="003C2FB5"/>
    <w:rsid w:val="003C4746"/>
    <w:rsid w:val="003C5CD8"/>
    <w:rsid w:val="003D24C5"/>
    <w:rsid w:val="003D345F"/>
    <w:rsid w:val="003D3D55"/>
    <w:rsid w:val="003D4208"/>
    <w:rsid w:val="003D4594"/>
    <w:rsid w:val="003D4AC4"/>
    <w:rsid w:val="003D504E"/>
    <w:rsid w:val="003D5433"/>
    <w:rsid w:val="003D63B7"/>
    <w:rsid w:val="003D74C5"/>
    <w:rsid w:val="003D7C48"/>
    <w:rsid w:val="003E222A"/>
    <w:rsid w:val="003E2248"/>
    <w:rsid w:val="003E272C"/>
    <w:rsid w:val="003E3825"/>
    <w:rsid w:val="003E4374"/>
    <w:rsid w:val="003E468B"/>
    <w:rsid w:val="003E49B9"/>
    <w:rsid w:val="003E4DA3"/>
    <w:rsid w:val="003E62BD"/>
    <w:rsid w:val="003E658D"/>
    <w:rsid w:val="003E69AA"/>
    <w:rsid w:val="003E6D88"/>
    <w:rsid w:val="003E79D7"/>
    <w:rsid w:val="003E7FC6"/>
    <w:rsid w:val="003F044F"/>
    <w:rsid w:val="003F0C3A"/>
    <w:rsid w:val="003F15F0"/>
    <w:rsid w:val="003F295B"/>
    <w:rsid w:val="003F2A56"/>
    <w:rsid w:val="003F2AD9"/>
    <w:rsid w:val="003F3228"/>
    <w:rsid w:val="003F4EFA"/>
    <w:rsid w:val="003F54EE"/>
    <w:rsid w:val="003F5C8C"/>
    <w:rsid w:val="003F63CE"/>
    <w:rsid w:val="003F775A"/>
    <w:rsid w:val="00400042"/>
    <w:rsid w:val="00400709"/>
    <w:rsid w:val="00400E55"/>
    <w:rsid w:val="0040128E"/>
    <w:rsid w:val="00401640"/>
    <w:rsid w:val="0040195E"/>
    <w:rsid w:val="0040216B"/>
    <w:rsid w:val="004043E3"/>
    <w:rsid w:val="00404852"/>
    <w:rsid w:val="00405299"/>
    <w:rsid w:val="0040590E"/>
    <w:rsid w:val="004067E7"/>
    <w:rsid w:val="0040745B"/>
    <w:rsid w:val="00407532"/>
    <w:rsid w:val="004077E6"/>
    <w:rsid w:val="00407CC8"/>
    <w:rsid w:val="00410580"/>
    <w:rsid w:val="0041094B"/>
    <w:rsid w:val="00411D3A"/>
    <w:rsid w:val="00413374"/>
    <w:rsid w:val="00413EE0"/>
    <w:rsid w:val="0041431A"/>
    <w:rsid w:val="00414F0C"/>
    <w:rsid w:val="00417703"/>
    <w:rsid w:val="00420400"/>
    <w:rsid w:val="00421E08"/>
    <w:rsid w:val="00423E78"/>
    <w:rsid w:val="00423EE5"/>
    <w:rsid w:val="00424B48"/>
    <w:rsid w:val="00424E8F"/>
    <w:rsid w:val="00424FA4"/>
    <w:rsid w:val="004252EC"/>
    <w:rsid w:val="00425B02"/>
    <w:rsid w:val="00425E1C"/>
    <w:rsid w:val="00427120"/>
    <w:rsid w:val="00430ACF"/>
    <w:rsid w:val="00430D39"/>
    <w:rsid w:val="00432EBF"/>
    <w:rsid w:val="00433E29"/>
    <w:rsid w:val="00434034"/>
    <w:rsid w:val="0043518E"/>
    <w:rsid w:val="004368C9"/>
    <w:rsid w:val="0044018F"/>
    <w:rsid w:val="004402FB"/>
    <w:rsid w:val="00440A49"/>
    <w:rsid w:val="0044119A"/>
    <w:rsid w:val="00441491"/>
    <w:rsid w:val="004416D5"/>
    <w:rsid w:val="00442C91"/>
    <w:rsid w:val="00443A53"/>
    <w:rsid w:val="004446AA"/>
    <w:rsid w:val="00444E9D"/>
    <w:rsid w:val="00446305"/>
    <w:rsid w:val="004465BD"/>
    <w:rsid w:val="00446774"/>
    <w:rsid w:val="00446938"/>
    <w:rsid w:val="00450E40"/>
    <w:rsid w:val="0045120F"/>
    <w:rsid w:val="0045275E"/>
    <w:rsid w:val="004528FA"/>
    <w:rsid w:val="00452A6C"/>
    <w:rsid w:val="004533BC"/>
    <w:rsid w:val="004535C1"/>
    <w:rsid w:val="00455DB7"/>
    <w:rsid w:val="00456ED1"/>
    <w:rsid w:val="0045731D"/>
    <w:rsid w:val="0046009E"/>
    <w:rsid w:val="0046072F"/>
    <w:rsid w:val="00460DE2"/>
    <w:rsid w:val="00461A44"/>
    <w:rsid w:val="00462D26"/>
    <w:rsid w:val="00462E3B"/>
    <w:rsid w:val="0046368B"/>
    <w:rsid w:val="0046385A"/>
    <w:rsid w:val="00464039"/>
    <w:rsid w:val="004641FA"/>
    <w:rsid w:val="00466ADA"/>
    <w:rsid w:val="00466D0E"/>
    <w:rsid w:val="0046737B"/>
    <w:rsid w:val="00467BD4"/>
    <w:rsid w:val="00467C4C"/>
    <w:rsid w:val="00467DB0"/>
    <w:rsid w:val="004702BB"/>
    <w:rsid w:val="0047211D"/>
    <w:rsid w:val="00472780"/>
    <w:rsid w:val="004748B4"/>
    <w:rsid w:val="0047494B"/>
    <w:rsid w:val="00476245"/>
    <w:rsid w:val="0047731D"/>
    <w:rsid w:val="004773C4"/>
    <w:rsid w:val="00477467"/>
    <w:rsid w:val="00477A9B"/>
    <w:rsid w:val="00480CFA"/>
    <w:rsid w:val="0048115B"/>
    <w:rsid w:val="0048147E"/>
    <w:rsid w:val="0048167E"/>
    <w:rsid w:val="00482387"/>
    <w:rsid w:val="00482AE4"/>
    <w:rsid w:val="00483035"/>
    <w:rsid w:val="00483059"/>
    <w:rsid w:val="00483289"/>
    <w:rsid w:val="0048455A"/>
    <w:rsid w:val="00485940"/>
    <w:rsid w:val="00485C4A"/>
    <w:rsid w:val="00486AE7"/>
    <w:rsid w:val="00486C95"/>
    <w:rsid w:val="004877C2"/>
    <w:rsid w:val="004904B9"/>
    <w:rsid w:val="00490BB6"/>
    <w:rsid w:val="00490CEB"/>
    <w:rsid w:val="00491EDC"/>
    <w:rsid w:val="0049245D"/>
    <w:rsid w:val="00492511"/>
    <w:rsid w:val="004928E1"/>
    <w:rsid w:val="00492A06"/>
    <w:rsid w:val="00492D8D"/>
    <w:rsid w:val="0049512A"/>
    <w:rsid w:val="004951DB"/>
    <w:rsid w:val="004954E9"/>
    <w:rsid w:val="0049556D"/>
    <w:rsid w:val="00495AC1"/>
    <w:rsid w:val="00495E37"/>
    <w:rsid w:val="0049664C"/>
    <w:rsid w:val="00496662"/>
    <w:rsid w:val="004966F2"/>
    <w:rsid w:val="004978AB"/>
    <w:rsid w:val="00497F5C"/>
    <w:rsid w:val="004A10DF"/>
    <w:rsid w:val="004A1431"/>
    <w:rsid w:val="004A2484"/>
    <w:rsid w:val="004A276D"/>
    <w:rsid w:val="004A2D3E"/>
    <w:rsid w:val="004A348D"/>
    <w:rsid w:val="004A378E"/>
    <w:rsid w:val="004A3E11"/>
    <w:rsid w:val="004A43FE"/>
    <w:rsid w:val="004A59FB"/>
    <w:rsid w:val="004A5A85"/>
    <w:rsid w:val="004A6CDC"/>
    <w:rsid w:val="004A71D1"/>
    <w:rsid w:val="004A7C5B"/>
    <w:rsid w:val="004B1786"/>
    <w:rsid w:val="004B1845"/>
    <w:rsid w:val="004B2348"/>
    <w:rsid w:val="004B2530"/>
    <w:rsid w:val="004B2E01"/>
    <w:rsid w:val="004B2E98"/>
    <w:rsid w:val="004B5047"/>
    <w:rsid w:val="004B5640"/>
    <w:rsid w:val="004B6084"/>
    <w:rsid w:val="004BCF29"/>
    <w:rsid w:val="004C0206"/>
    <w:rsid w:val="004C03D0"/>
    <w:rsid w:val="004C03F9"/>
    <w:rsid w:val="004C0C90"/>
    <w:rsid w:val="004C0D4E"/>
    <w:rsid w:val="004C0FDA"/>
    <w:rsid w:val="004C183F"/>
    <w:rsid w:val="004C1BD7"/>
    <w:rsid w:val="004C1BF2"/>
    <w:rsid w:val="004C239C"/>
    <w:rsid w:val="004C28EC"/>
    <w:rsid w:val="004C2DCA"/>
    <w:rsid w:val="004C31FE"/>
    <w:rsid w:val="004C524C"/>
    <w:rsid w:val="004C5A16"/>
    <w:rsid w:val="004C5EDD"/>
    <w:rsid w:val="004C5FFA"/>
    <w:rsid w:val="004C635D"/>
    <w:rsid w:val="004C68AF"/>
    <w:rsid w:val="004C691D"/>
    <w:rsid w:val="004C6C07"/>
    <w:rsid w:val="004C7A74"/>
    <w:rsid w:val="004C7E15"/>
    <w:rsid w:val="004C7EC6"/>
    <w:rsid w:val="004D170E"/>
    <w:rsid w:val="004D1790"/>
    <w:rsid w:val="004D1D2F"/>
    <w:rsid w:val="004D29BB"/>
    <w:rsid w:val="004D2CD1"/>
    <w:rsid w:val="004D365C"/>
    <w:rsid w:val="004D3C85"/>
    <w:rsid w:val="004D4C31"/>
    <w:rsid w:val="004D4FF6"/>
    <w:rsid w:val="004D5ADD"/>
    <w:rsid w:val="004D6994"/>
    <w:rsid w:val="004D74EC"/>
    <w:rsid w:val="004E0873"/>
    <w:rsid w:val="004E0B00"/>
    <w:rsid w:val="004E0CC3"/>
    <w:rsid w:val="004E1A68"/>
    <w:rsid w:val="004E20B6"/>
    <w:rsid w:val="004E2B41"/>
    <w:rsid w:val="004E3D0D"/>
    <w:rsid w:val="004E4246"/>
    <w:rsid w:val="004E518B"/>
    <w:rsid w:val="004E6618"/>
    <w:rsid w:val="004E692D"/>
    <w:rsid w:val="004E7230"/>
    <w:rsid w:val="004E7D86"/>
    <w:rsid w:val="004E7D87"/>
    <w:rsid w:val="004F253A"/>
    <w:rsid w:val="004F2553"/>
    <w:rsid w:val="004F2DCA"/>
    <w:rsid w:val="004F306A"/>
    <w:rsid w:val="004F38F6"/>
    <w:rsid w:val="004F43C9"/>
    <w:rsid w:val="004F4F16"/>
    <w:rsid w:val="004F4F33"/>
    <w:rsid w:val="004F5109"/>
    <w:rsid w:val="004F600C"/>
    <w:rsid w:val="00501503"/>
    <w:rsid w:val="00501554"/>
    <w:rsid w:val="00502AFE"/>
    <w:rsid w:val="00502E64"/>
    <w:rsid w:val="00503AD7"/>
    <w:rsid w:val="00503CB0"/>
    <w:rsid w:val="00503E89"/>
    <w:rsid w:val="00504D97"/>
    <w:rsid w:val="00504E0C"/>
    <w:rsid w:val="00504E13"/>
    <w:rsid w:val="00505066"/>
    <w:rsid w:val="005050EB"/>
    <w:rsid w:val="00505ACA"/>
    <w:rsid w:val="00510875"/>
    <w:rsid w:val="00510965"/>
    <w:rsid w:val="005109D4"/>
    <w:rsid w:val="0051111D"/>
    <w:rsid w:val="00511804"/>
    <w:rsid w:val="00511D8D"/>
    <w:rsid w:val="0051230A"/>
    <w:rsid w:val="00512871"/>
    <w:rsid w:val="00512DCC"/>
    <w:rsid w:val="00514AAB"/>
    <w:rsid w:val="00514CD7"/>
    <w:rsid w:val="005167EC"/>
    <w:rsid w:val="005170DA"/>
    <w:rsid w:val="00517572"/>
    <w:rsid w:val="005203F5"/>
    <w:rsid w:val="00520D6A"/>
    <w:rsid w:val="00521063"/>
    <w:rsid w:val="0052148E"/>
    <w:rsid w:val="00522DB6"/>
    <w:rsid w:val="00522F39"/>
    <w:rsid w:val="0052315A"/>
    <w:rsid w:val="005239E4"/>
    <w:rsid w:val="005249CD"/>
    <w:rsid w:val="00525C74"/>
    <w:rsid w:val="0052604B"/>
    <w:rsid w:val="005260B4"/>
    <w:rsid w:val="005264A7"/>
    <w:rsid w:val="00526E05"/>
    <w:rsid w:val="0052729B"/>
    <w:rsid w:val="0052792D"/>
    <w:rsid w:val="00527C08"/>
    <w:rsid w:val="00527C9C"/>
    <w:rsid w:val="005304D7"/>
    <w:rsid w:val="005312C8"/>
    <w:rsid w:val="005319B2"/>
    <w:rsid w:val="00532402"/>
    <w:rsid w:val="00532C74"/>
    <w:rsid w:val="0053319E"/>
    <w:rsid w:val="00533239"/>
    <w:rsid w:val="00533E41"/>
    <w:rsid w:val="00534C8A"/>
    <w:rsid w:val="00534E2E"/>
    <w:rsid w:val="00535133"/>
    <w:rsid w:val="00535380"/>
    <w:rsid w:val="0054064C"/>
    <w:rsid w:val="00540F20"/>
    <w:rsid w:val="00541E54"/>
    <w:rsid w:val="0054293E"/>
    <w:rsid w:val="00542BBA"/>
    <w:rsid w:val="00544552"/>
    <w:rsid w:val="00545130"/>
    <w:rsid w:val="00546258"/>
    <w:rsid w:val="0054644B"/>
    <w:rsid w:val="0054666F"/>
    <w:rsid w:val="00546B36"/>
    <w:rsid w:val="0055043D"/>
    <w:rsid w:val="0055286A"/>
    <w:rsid w:val="00553077"/>
    <w:rsid w:val="00555745"/>
    <w:rsid w:val="005571A0"/>
    <w:rsid w:val="00557D4F"/>
    <w:rsid w:val="005601B8"/>
    <w:rsid w:val="0056122E"/>
    <w:rsid w:val="0056256F"/>
    <w:rsid w:val="00563352"/>
    <w:rsid w:val="005647BA"/>
    <w:rsid w:val="0056484E"/>
    <w:rsid w:val="00564DFE"/>
    <w:rsid w:val="00565999"/>
    <w:rsid w:val="00567D8A"/>
    <w:rsid w:val="00570231"/>
    <w:rsid w:val="005714B7"/>
    <w:rsid w:val="005742A9"/>
    <w:rsid w:val="00574A9F"/>
    <w:rsid w:val="005750E9"/>
    <w:rsid w:val="005762A6"/>
    <w:rsid w:val="005764CD"/>
    <w:rsid w:val="00576B2D"/>
    <w:rsid w:val="0057703E"/>
    <w:rsid w:val="0057736E"/>
    <w:rsid w:val="00577C4D"/>
    <w:rsid w:val="00580346"/>
    <w:rsid w:val="00580532"/>
    <w:rsid w:val="00581932"/>
    <w:rsid w:val="00583002"/>
    <w:rsid w:val="00583281"/>
    <w:rsid w:val="00584C28"/>
    <w:rsid w:val="00584F7A"/>
    <w:rsid w:val="00585244"/>
    <w:rsid w:val="005856BA"/>
    <w:rsid w:val="005856E2"/>
    <w:rsid w:val="005857B3"/>
    <w:rsid w:val="00585E08"/>
    <w:rsid w:val="005863AF"/>
    <w:rsid w:val="00586FA8"/>
    <w:rsid w:val="00587118"/>
    <w:rsid w:val="005873A4"/>
    <w:rsid w:val="00587503"/>
    <w:rsid w:val="00587727"/>
    <w:rsid w:val="005903BB"/>
    <w:rsid w:val="005907C8"/>
    <w:rsid w:val="00591239"/>
    <w:rsid w:val="0059154B"/>
    <w:rsid w:val="00592AAD"/>
    <w:rsid w:val="00593893"/>
    <w:rsid w:val="00593BD1"/>
    <w:rsid w:val="00594262"/>
    <w:rsid w:val="00594DF4"/>
    <w:rsid w:val="00595977"/>
    <w:rsid w:val="005963BB"/>
    <w:rsid w:val="0059645C"/>
    <w:rsid w:val="00596A34"/>
    <w:rsid w:val="00596D37"/>
    <w:rsid w:val="00597200"/>
    <w:rsid w:val="00597223"/>
    <w:rsid w:val="005A15D2"/>
    <w:rsid w:val="005A1CB3"/>
    <w:rsid w:val="005A1E7A"/>
    <w:rsid w:val="005A2CA9"/>
    <w:rsid w:val="005A2E3C"/>
    <w:rsid w:val="005A3173"/>
    <w:rsid w:val="005A3223"/>
    <w:rsid w:val="005A3DA3"/>
    <w:rsid w:val="005A3FEC"/>
    <w:rsid w:val="005A52C4"/>
    <w:rsid w:val="005A63A1"/>
    <w:rsid w:val="005A7F51"/>
    <w:rsid w:val="005B0486"/>
    <w:rsid w:val="005B0815"/>
    <w:rsid w:val="005B1032"/>
    <w:rsid w:val="005B1473"/>
    <w:rsid w:val="005B162A"/>
    <w:rsid w:val="005B2D74"/>
    <w:rsid w:val="005B2E3D"/>
    <w:rsid w:val="005B36FA"/>
    <w:rsid w:val="005B64B8"/>
    <w:rsid w:val="005C28C9"/>
    <w:rsid w:val="005C28E1"/>
    <w:rsid w:val="005C2CCF"/>
    <w:rsid w:val="005C3C80"/>
    <w:rsid w:val="005C3F54"/>
    <w:rsid w:val="005C4672"/>
    <w:rsid w:val="005C4F73"/>
    <w:rsid w:val="005C7581"/>
    <w:rsid w:val="005C7783"/>
    <w:rsid w:val="005D03AB"/>
    <w:rsid w:val="005D0CD8"/>
    <w:rsid w:val="005D0D8F"/>
    <w:rsid w:val="005D23AC"/>
    <w:rsid w:val="005D2435"/>
    <w:rsid w:val="005D396F"/>
    <w:rsid w:val="005D3E62"/>
    <w:rsid w:val="005D401D"/>
    <w:rsid w:val="005D5017"/>
    <w:rsid w:val="005D5708"/>
    <w:rsid w:val="005D61AB"/>
    <w:rsid w:val="005D63FA"/>
    <w:rsid w:val="005D643D"/>
    <w:rsid w:val="005D6EEB"/>
    <w:rsid w:val="005D73C7"/>
    <w:rsid w:val="005D78CA"/>
    <w:rsid w:val="005D7E9E"/>
    <w:rsid w:val="005D7EF4"/>
    <w:rsid w:val="005E0050"/>
    <w:rsid w:val="005E0C2D"/>
    <w:rsid w:val="005E0D82"/>
    <w:rsid w:val="005E0F59"/>
    <w:rsid w:val="005E1333"/>
    <w:rsid w:val="005E1548"/>
    <w:rsid w:val="005E3136"/>
    <w:rsid w:val="005E335D"/>
    <w:rsid w:val="005E3CDA"/>
    <w:rsid w:val="005E4280"/>
    <w:rsid w:val="005E507D"/>
    <w:rsid w:val="005E72DA"/>
    <w:rsid w:val="005E7E10"/>
    <w:rsid w:val="005F0AD0"/>
    <w:rsid w:val="005F0C3F"/>
    <w:rsid w:val="005F1912"/>
    <w:rsid w:val="005F2826"/>
    <w:rsid w:val="005F2CCD"/>
    <w:rsid w:val="005F3BC8"/>
    <w:rsid w:val="005F3ED8"/>
    <w:rsid w:val="005F49A3"/>
    <w:rsid w:val="005F4E93"/>
    <w:rsid w:val="005F5E21"/>
    <w:rsid w:val="005F5F02"/>
    <w:rsid w:val="005F6193"/>
    <w:rsid w:val="005F6E33"/>
    <w:rsid w:val="005F781F"/>
    <w:rsid w:val="00600A18"/>
    <w:rsid w:val="00601A91"/>
    <w:rsid w:val="00602063"/>
    <w:rsid w:val="00602BA3"/>
    <w:rsid w:val="00604940"/>
    <w:rsid w:val="00605B63"/>
    <w:rsid w:val="00605F9A"/>
    <w:rsid w:val="00606442"/>
    <w:rsid w:val="00606A7B"/>
    <w:rsid w:val="00606EED"/>
    <w:rsid w:val="00607DDB"/>
    <w:rsid w:val="006103B9"/>
    <w:rsid w:val="00611973"/>
    <w:rsid w:val="00612A95"/>
    <w:rsid w:val="00612C07"/>
    <w:rsid w:val="00612DAF"/>
    <w:rsid w:val="00612E34"/>
    <w:rsid w:val="0061361C"/>
    <w:rsid w:val="00613CF6"/>
    <w:rsid w:val="00614159"/>
    <w:rsid w:val="006158A3"/>
    <w:rsid w:val="00616C5F"/>
    <w:rsid w:val="00616DAC"/>
    <w:rsid w:val="00617415"/>
    <w:rsid w:val="00617725"/>
    <w:rsid w:val="00617C00"/>
    <w:rsid w:val="00620489"/>
    <w:rsid w:val="00621422"/>
    <w:rsid w:val="006218C6"/>
    <w:rsid w:val="0062316F"/>
    <w:rsid w:val="00624574"/>
    <w:rsid w:val="006245D6"/>
    <w:rsid w:val="006256B9"/>
    <w:rsid w:val="006263BF"/>
    <w:rsid w:val="0062690C"/>
    <w:rsid w:val="0062748A"/>
    <w:rsid w:val="006303D8"/>
    <w:rsid w:val="00630546"/>
    <w:rsid w:val="00630A2C"/>
    <w:rsid w:val="00632180"/>
    <w:rsid w:val="00633289"/>
    <w:rsid w:val="0063474A"/>
    <w:rsid w:val="006347D5"/>
    <w:rsid w:val="00634A75"/>
    <w:rsid w:val="0063556B"/>
    <w:rsid w:val="0063682E"/>
    <w:rsid w:val="006368F4"/>
    <w:rsid w:val="00636D93"/>
    <w:rsid w:val="00640088"/>
    <w:rsid w:val="00640D16"/>
    <w:rsid w:val="00641833"/>
    <w:rsid w:val="00642419"/>
    <w:rsid w:val="00642672"/>
    <w:rsid w:val="00642DA8"/>
    <w:rsid w:val="00643092"/>
    <w:rsid w:val="006436CD"/>
    <w:rsid w:val="00644753"/>
    <w:rsid w:val="00647E5E"/>
    <w:rsid w:val="00647FB6"/>
    <w:rsid w:val="006508A7"/>
    <w:rsid w:val="00650976"/>
    <w:rsid w:val="00651169"/>
    <w:rsid w:val="00651F05"/>
    <w:rsid w:val="00652D44"/>
    <w:rsid w:val="00653D69"/>
    <w:rsid w:val="006552E6"/>
    <w:rsid w:val="00655794"/>
    <w:rsid w:val="006560C4"/>
    <w:rsid w:val="0065631B"/>
    <w:rsid w:val="00656F2F"/>
    <w:rsid w:val="00657C63"/>
    <w:rsid w:val="00661BE5"/>
    <w:rsid w:val="00661CBC"/>
    <w:rsid w:val="00662B85"/>
    <w:rsid w:val="006637F7"/>
    <w:rsid w:val="00663EE9"/>
    <w:rsid w:val="006640CE"/>
    <w:rsid w:val="00664658"/>
    <w:rsid w:val="00664987"/>
    <w:rsid w:val="00664EBF"/>
    <w:rsid w:val="0066566B"/>
    <w:rsid w:val="0066571E"/>
    <w:rsid w:val="00665720"/>
    <w:rsid w:val="006657D8"/>
    <w:rsid w:val="006670B3"/>
    <w:rsid w:val="006670BE"/>
    <w:rsid w:val="00670A76"/>
    <w:rsid w:val="006711AA"/>
    <w:rsid w:val="00672B57"/>
    <w:rsid w:val="00673AFB"/>
    <w:rsid w:val="00673C98"/>
    <w:rsid w:val="00673F1F"/>
    <w:rsid w:val="00675622"/>
    <w:rsid w:val="00675DEB"/>
    <w:rsid w:val="00676A82"/>
    <w:rsid w:val="00676C1A"/>
    <w:rsid w:val="0067747D"/>
    <w:rsid w:val="0067CF76"/>
    <w:rsid w:val="006810B9"/>
    <w:rsid w:val="006818D5"/>
    <w:rsid w:val="00681CA4"/>
    <w:rsid w:val="006833A4"/>
    <w:rsid w:val="006834D4"/>
    <w:rsid w:val="00684BE3"/>
    <w:rsid w:val="00686239"/>
    <w:rsid w:val="00686559"/>
    <w:rsid w:val="00686CC7"/>
    <w:rsid w:val="006877AB"/>
    <w:rsid w:val="0069039D"/>
    <w:rsid w:val="006906DB"/>
    <w:rsid w:val="006906FE"/>
    <w:rsid w:val="00690E63"/>
    <w:rsid w:val="006917B0"/>
    <w:rsid w:val="00691900"/>
    <w:rsid w:val="00691A2C"/>
    <w:rsid w:val="00691E6C"/>
    <w:rsid w:val="0069286D"/>
    <w:rsid w:val="00693425"/>
    <w:rsid w:val="0069342D"/>
    <w:rsid w:val="00693613"/>
    <w:rsid w:val="00693DFB"/>
    <w:rsid w:val="00694FD5"/>
    <w:rsid w:val="0069501D"/>
    <w:rsid w:val="00695BFE"/>
    <w:rsid w:val="00696129"/>
    <w:rsid w:val="00696692"/>
    <w:rsid w:val="00697CF2"/>
    <w:rsid w:val="00697F0B"/>
    <w:rsid w:val="006A0F6F"/>
    <w:rsid w:val="006A11F6"/>
    <w:rsid w:val="006A12A5"/>
    <w:rsid w:val="006A1E27"/>
    <w:rsid w:val="006A2515"/>
    <w:rsid w:val="006A28B2"/>
    <w:rsid w:val="006A2928"/>
    <w:rsid w:val="006A2C02"/>
    <w:rsid w:val="006A40B5"/>
    <w:rsid w:val="006A5616"/>
    <w:rsid w:val="006A565B"/>
    <w:rsid w:val="006A56BD"/>
    <w:rsid w:val="006A572D"/>
    <w:rsid w:val="006A5E20"/>
    <w:rsid w:val="006A679B"/>
    <w:rsid w:val="006A6E6A"/>
    <w:rsid w:val="006A790C"/>
    <w:rsid w:val="006B0D94"/>
    <w:rsid w:val="006B16B6"/>
    <w:rsid w:val="006B28B7"/>
    <w:rsid w:val="006B314A"/>
    <w:rsid w:val="006B3E1C"/>
    <w:rsid w:val="006B485D"/>
    <w:rsid w:val="006B4D12"/>
    <w:rsid w:val="006B6EA5"/>
    <w:rsid w:val="006B7DDA"/>
    <w:rsid w:val="006B7F9B"/>
    <w:rsid w:val="006C032D"/>
    <w:rsid w:val="006C0A94"/>
    <w:rsid w:val="006C0B57"/>
    <w:rsid w:val="006C0C45"/>
    <w:rsid w:val="006C12DC"/>
    <w:rsid w:val="006C2806"/>
    <w:rsid w:val="006C334C"/>
    <w:rsid w:val="006C3EFD"/>
    <w:rsid w:val="006C4074"/>
    <w:rsid w:val="006C48DC"/>
    <w:rsid w:val="006C499F"/>
    <w:rsid w:val="006C4C89"/>
    <w:rsid w:val="006C5669"/>
    <w:rsid w:val="006C5F92"/>
    <w:rsid w:val="006C6C10"/>
    <w:rsid w:val="006C708E"/>
    <w:rsid w:val="006C77B0"/>
    <w:rsid w:val="006D04C5"/>
    <w:rsid w:val="006D0965"/>
    <w:rsid w:val="006D14E7"/>
    <w:rsid w:val="006D1B44"/>
    <w:rsid w:val="006D2C88"/>
    <w:rsid w:val="006D401B"/>
    <w:rsid w:val="006D4444"/>
    <w:rsid w:val="006D4B7B"/>
    <w:rsid w:val="006D57DD"/>
    <w:rsid w:val="006D6493"/>
    <w:rsid w:val="006D6EC7"/>
    <w:rsid w:val="006D7B05"/>
    <w:rsid w:val="006D7E45"/>
    <w:rsid w:val="006E1143"/>
    <w:rsid w:val="006E1BCD"/>
    <w:rsid w:val="006E271E"/>
    <w:rsid w:val="006E2732"/>
    <w:rsid w:val="006E57A6"/>
    <w:rsid w:val="006E59CD"/>
    <w:rsid w:val="006F00ED"/>
    <w:rsid w:val="006F026F"/>
    <w:rsid w:val="006F05D9"/>
    <w:rsid w:val="006F0A71"/>
    <w:rsid w:val="006F1571"/>
    <w:rsid w:val="006F1C6B"/>
    <w:rsid w:val="006F2477"/>
    <w:rsid w:val="006F2ECE"/>
    <w:rsid w:val="006F40C2"/>
    <w:rsid w:val="006F5125"/>
    <w:rsid w:val="006F531B"/>
    <w:rsid w:val="006F53EA"/>
    <w:rsid w:val="006F69B5"/>
    <w:rsid w:val="006F6D41"/>
    <w:rsid w:val="006F733D"/>
    <w:rsid w:val="006F7AA0"/>
    <w:rsid w:val="00700765"/>
    <w:rsid w:val="00701642"/>
    <w:rsid w:val="00701C98"/>
    <w:rsid w:val="007023CF"/>
    <w:rsid w:val="00702959"/>
    <w:rsid w:val="00702B6F"/>
    <w:rsid w:val="00702B8C"/>
    <w:rsid w:val="007030B4"/>
    <w:rsid w:val="00703919"/>
    <w:rsid w:val="00703B86"/>
    <w:rsid w:val="00704069"/>
    <w:rsid w:val="007056D7"/>
    <w:rsid w:val="00705916"/>
    <w:rsid w:val="00705C94"/>
    <w:rsid w:val="00706A2F"/>
    <w:rsid w:val="0070718E"/>
    <w:rsid w:val="00707E52"/>
    <w:rsid w:val="00710259"/>
    <w:rsid w:val="0071031F"/>
    <w:rsid w:val="00710737"/>
    <w:rsid w:val="00711EBF"/>
    <w:rsid w:val="007129BD"/>
    <w:rsid w:val="0071340B"/>
    <w:rsid w:val="00713C50"/>
    <w:rsid w:val="0071436D"/>
    <w:rsid w:val="0071508D"/>
    <w:rsid w:val="00715BBB"/>
    <w:rsid w:val="007170AA"/>
    <w:rsid w:val="0071736F"/>
    <w:rsid w:val="007174BB"/>
    <w:rsid w:val="00717F04"/>
    <w:rsid w:val="0072025D"/>
    <w:rsid w:val="00720AEA"/>
    <w:rsid w:val="00720F25"/>
    <w:rsid w:val="007220A3"/>
    <w:rsid w:val="007232C8"/>
    <w:rsid w:val="00723328"/>
    <w:rsid w:val="007237DE"/>
    <w:rsid w:val="0072502E"/>
    <w:rsid w:val="00725C42"/>
    <w:rsid w:val="00725D33"/>
    <w:rsid w:val="00726E44"/>
    <w:rsid w:val="007307DC"/>
    <w:rsid w:val="00730DB3"/>
    <w:rsid w:val="0073137C"/>
    <w:rsid w:val="00732787"/>
    <w:rsid w:val="007338F3"/>
    <w:rsid w:val="007340B9"/>
    <w:rsid w:val="007341C1"/>
    <w:rsid w:val="007353D3"/>
    <w:rsid w:val="00735A29"/>
    <w:rsid w:val="00735F61"/>
    <w:rsid w:val="0073736F"/>
    <w:rsid w:val="007408A5"/>
    <w:rsid w:val="00740EA6"/>
    <w:rsid w:val="00741261"/>
    <w:rsid w:val="007412FE"/>
    <w:rsid w:val="0074156B"/>
    <w:rsid w:val="00741619"/>
    <w:rsid w:val="00741885"/>
    <w:rsid w:val="00742885"/>
    <w:rsid w:val="00744AB0"/>
    <w:rsid w:val="00747092"/>
    <w:rsid w:val="007477FF"/>
    <w:rsid w:val="0075060F"/>
    <w:rsid w:val="007511A1"/>
    <w:rsid w:val="007526E6"/>
    <w:rsid w:val="00753A51"/>
    <w:rsid w:val="0075438C"/>
    <w:rsid w:val="00754B26"/>
    <w:rsid w:val="00754C18"/>
    <w:rsid w:val="00754DF9"/>
    <w:rsid w:val="007555E8"/>
    <w:rsid w:val="00755CC5"/>
    <w:rsid w:val="007562D5"/>
    <w:rsid w:val="00760066"/>
    <w:rsid w:val="007603F8"/>
    <w:rsid w:val="007625E0"/>
    <w:rsid w:val="00762862"/>
    <w:rsid w:val="0076420C"/>
    <w:rsid w:val="00766510"/>
    <w:rsid w:val="007668BD"/>
    <w:rsid w:val="0076707C"/>
    <w:rsid w:val="00767EC8"/>
    <w:rsid w:val="007706DB"/>
    <w:rsid w:val="00771557"/>
    <w:rsid w:val="00771D07"/>
    <w:rsid w:val="00772649"/>
    <w:rsid w:val="00772F5D"/>
    <w:rsid w:val="0077326E"/>
    <w:rsid w:val="0077392A"/>
    <w:rsid w:val="00773BE3"/>
    <w:rsid w:val="007743DD"/>
    <w:rsid w:val="00774A06"/>
    <w:rsid w:val="00774B3A"/>
    <w:rsid w:val="00774E2C"/>
    <w:rsid w:val="0077503C"/>
    <w:rsid w:val="0077518D"/>
    <w:rsid w:val="007753C2"/>
    <w:rsid w:val="00775AAC"/>
    <w:rsid w:val="00776068"/>
    <w:rsid w:val="00776DC2"/>
    <w:rsid w:val="007771A6"/>
    <w:rsid w:val="00777945"/>
    <w:rsid w:val="007821C4"/>
    <w:rsid w:val="007838B8"/>
    <w:rsid w:val="00783A78"/>
    <w:rsid w:val="00784639"/>
    <w:rsid w:val="00785218"/>
    <w:rsid w:val="00785779"/>
    <w:rsid w:val="00786A74"/>
    <w:rsid w:val="00787FD8"/>
    <w:rsid w:val="007908C1"/>
    <w:rsid w:val="007915BA"/>
    <w:rsid w:val="0079176E"/>
    <w:rsid w:val="0079179C"/>
    <w:rsid w:val="00791844"/>
    <w:rsid w:val="00791A7F"/>
    <w:rsid w:val="0079250E"/>
    <w:rsid w:val="00793CE9"/>
    <w:rsid w:val="00796667"/>
    <w:rsid w:val="0079673D"/>
    <w:rsid w:val="00797068"/>
    <w:rsid w:val="00797342"/>
    <w:rsid w:val="007979BD"/>
    <w:rsid w:val="00797AAA"/>
    <w:rsid w:val="007A071E"/>
    <w:rsid w:val="007A18E2"/>
    <w:rsid w:val="007A19B1"/>
    <w:rsid w:val="007A3A8C"/>
    <w:rsid w:val="007A3C47"/>
    <w:rsid w:val="007A3D8E"/>
    <w:rsid w:val="007A4034"/>
    <w:rsid w:val="007A5395"/>
    <w:rsid w:val="007A53D5"/>
    <w:rsid w:val="007A5C88"/>
    <w:rsid w:val="007A6031"/>
    <w:rsid w:val="007A692D"/>
    <w:rsid w:val="007A6A2F"/>
    <w:rsid w:val="007A7273"/>
    <w:rsid w:val="007B024E"/>
    <w:rsid w:val="007B0C8A"/>
    <w:rsid w:val="007B1888"/>
    <w:rsid w:val="007B1CB9"/>
    <w:rsid w:val="007B23D0"/>
    <w:rsid w:val="007B3062"/>
    <w:rsid w:val="007B3BAF"/>
    <w:rsid w:val="007B3DDC"/>
    <w:rsid w:val="007B4A91"/>
    <w:rsid w:val="007B4E70"/>
    <w:rsid w:val="007B5839"/>
    <w:rsid w:val="007B5F07"/>
    <w:rsid w:val="007B698D"/>
    <w:rsid w:val="007B72A6"/>
    <w:rsid w:val="007B7BF1"/>
    <w:rsid w:val="007B7EC1"/>
    <w:rsid w:val="007C06D2"/>
    <w:rsid w:val="007C08E0"/>
    <w:rsid w:val="007C0F57"/>
    <w:rsid w:val="007C2F17"/>
    <w:rsid w:val="007C2F4B"/>
    <w:rsid w:val="007C3B72"/>
    <w:rsid w:val="007C40B6"/>
    <w:rsid w:val="007C4319"/>
    <w:rsid w:val="007C51D3"/>
    <w:rsid w:val="007C5975"/>
    <w:rsid w:val="007C5E19"/>
    <w:rsid w:val="007C7263"/>
    <w:rsid w:val="007C729F"/>
    <w:rsid w:val="007C72AD"/>
    <w:rsid w:val="007C7DD4"/>
    <w:rsid w:val="007D14F5"/>
    <w:rsid w:val="007D1A6F"/>
    <w:rsid w:val="007D22C6"/>
    <w:rsid w:val="007D3150"/>
    <w:rsid w:val="007D3F55"/>
    <w:rsid w:val="007D4019"/>
    <w:rsid w:val="007D503D"/>
    <w:rsid w:val="007D59E7"/>
    <w:rsid w:val="007D5F2A"/>
    <w:rsid w:val="007D5FEC"/>
    <w:rsid w:val="007D736A"/>
    <w:rsid w:val="007E07AC"/>
    <w:rsid w:val="007E0C3B"/>
    <w:rsid w:val="007E1014"/>
    <w:rsid w:val="007E117D"/>
    <w:rsid w:val="007E12F8"/>
    <w:rsid w:val="007E14EB"/>
    <w:rsid w:val="007E1673"/>
    <w:rsid w:val="007E1D28"/>
    <w:rsid w:val="007E2E1A"/>
    <w:rsid w:val="007E4564"/>
    <w:rsid w:val="007E490F"/>
    <w:rsid w:val="007E6533"/>
    <w:rsid w:val="007E654D"/>
    <w:rsid w:val="007E7E0B"/>
    <w:rsid w:val="007F0021"/>
    <w:rsid w:val="007F0345"/>
    <w:rsid w:val="007F0854"/>
    <w:rsid w:val="007F1007"/>
    <w:rsid w:val="007F2641"/>
    <w:rsid w:val="007F3496"/>
    <w:rsid w:val="007F4938"/>
    <w:rsid w:val="007F4974"/>
    <w:rsid w:val="007F7C36"/>
    <w:rsid w:val="007F7F45"/>
    <w:rsid w:val="0080001F"/>
    <w:rsid w:val="00800442"/>
    <w:rsid w:val="00801238"/>
    <w:rsid w:val="00801958"/>
    <w:rsid w:val="008033F3"/>
    <w:rsid w:val="00803DB8"/>
    <w:rsid w:val="008055AF"/>
    <w:rsid w:val="008057CD"/>
    <w:rsid w:val="00806323"/>
    <w:rsid w:val="008066B8"/>
    <w:rsid w:val="00806796"/>
    <w:rsid w:val="00806EEE"/>
    <w:rsid w:val="00807872"/>
    <w:rsid w:val="00810167"/>
    <w:rsid w:val="008104D0"/>
    <w:rsid w:val="00810680"/>
    <w:rsid w:val="00810F5A"/>
    <w:rsid w:val="00811CC0"/>
    <w:rsid w:val="0081218E"/>
    <w:rsid w:val="00813476"/>
    <w:rsid w:val="008139A5"/>
    <w:rsid w:val="00814276"/>
    <w:rsid w:val="008151D6"/>
    <w:rsid w:val="0081557F"/>
    <w:rsid w:val="00815E96"/>
    <w:rsid w:val="00816322"/>
    <w:rsid w:val="00817013"/>
    <w:rsid w:val="0081798B"/>
    <w:rsid w:val="00820803"/>
    <w:rsid w:val="00821527"/>
    <w:rsid w:val="00821C1D"/>
    <w:rsid w:val="00821EFC"/>
    <w:rsid w:val="00822162"/>
    <w:rsid w:val="008225CE"/>
    <w:rsid w:val="00822696"/>
    <w:rsid w:val="008227FE"/>
    <w:rsid w:val="00825A6C"/>
    <w:rsid w:val="0082617E"/>
    <w:rsid w:val="0082689C"/>
    <w:rsid w:val="008268BB"/>
    <w:rsid w:val="00826F6D"/>
    <w:rsid w:val="00826FE1"/>
    <w:rsid w:val="00827097"/>
    <w:rsid w:val="008301B2"/>
    <w:rsid w:val="008306F3"/>
    <w:rsid w:val="008309CE"/>
    <w:rsid w:val="008309E5"/>
    <w:rsid w:val="00830B7E"/>
    <w:rsid w:val="00830E40"/>
    <w:rsid w:val="00831B88"/>
    <w:rsid w:val="00832D92"/>
    <w:rsid w:val="00832D9A"/>
    <w:rsid w:val="00834AAE"/>
    <w:rsid w:val="0083519A"/>
    <w:rsid w:val="00835670"/>
    <w:rsid w:val="0083570A"/>
    <w:rsid w:val="00835C62"/>
    <w:rsid w:val="008368A1"/>
    <w:rsid w:val="008377BB"/>
    <w:rsid w:val="0083799C"/>
    <w:rsid w:val="00837B7F"/>
    <w:rsid w:val="00840421"/>
    <w:rsid w:val="00840A1B"/>
    <w:rsid w:val="00840EE4"/>
    <w:rsid w:val="00840EF7"/>
    <w:rsid w:val="00841146"/>
    <w:rsid w:val="00844C0A"/>
    <w:rsid w:val="00844DB3"/>
    <w:rsid w:val="00844E29"/>
    <w:rsid w:val="00846056"/>
    <w:rsid w:val="0084681F"/>
    <w:rsid w:val="008476E6"/>
    <w:rsid w:val="00847D08"/>
    <w:rsid w:val="00847EC0"/>
    <w:rsid w:val="008515DB"/>
    <w:rsid w:val="00854506"/>
    <w:rsid w:val="008555F3"/>
    <w:rsid w:val="008556F8"/>
    <w:rsid w:val="00855EC8"/>
    <w:rsid w:val="00855FD6"/>
    <w:rsid w:val="00856568"/>
    <w:rsid w:val="00856DDD"/>
    <w:rsid w:val="008574C1"/>
    <w:rsid w:val="00860233"/>
    <w:rsid w:val="00860C50"/>
    <w:rsid w:val="00863C75"/>
    <w:rsid w:val="00863E68"/>
    <w:rsid w:val="0086407B"/>
    <w:rsid w:val="008647B5"/>
    <w:rsid w:val="00864A11"/>
    <w:rsid w:val="00865DE6"/>
    <w:rsid w:val="00867D64"/>
    <w:rsid w:val="00867D85"/>
    <w:rsid w:val="00871899"/>
    <w:rsid w:val="00871B5D"/>
    <w:rsid w:val="00872433"/>
    <w:rsid w:val="0087260E"/>
    <w:rsid w:val="00872E8F"/>
    <w:rsid w:val="00873F90"/>
    <w:rsid w:val="008741D8"/>
    <w:rsid w:val="008744D1"/>
    <w:rsid w:val="008749B1"/>
    <w:rsid w:val="00874AE6"/>
    <w:rsid w:val="00875DCB"/>
    <w:rsid w:val="00876035"/>
    <w:rsid w:val="00876FBF"/>
    <w:rsid w:val="0087755A"/>
    <w:rsid w:val="0088028E"/>
    <w:rsid w:val="00880D61"/>
    <w:rsid w:val="00880E3E"/>
    <w:rsid w:val="00882085"/>
    <w:rsid w:val="00883188"/>
    <w:rsid w:val="008841E6"/>
    <w:rsid w:val="0088445C"/>
    <w:rsid w:val="00884A0C"/>
    <w:rsid w:val="00886A6A"/>
    <w:rsid w:val="00886ACA"/>
    <w:rsid w:val="00886B01"/>
    <w:rsid w:val="0089031E"/>
    <w:rsid w:val="0089109A"/>
    <w:rsid w:val="00893D5C"/>
    <w:rsid w:val="0089460B"/>
    <w:rsid w:val="00896E9F"/>
    <w:rsid w:val="00897D58"/>
    <w:rsid w:val="00897F22"/>
    <w:rsid w:val="008A02FE"/>
    <w:rsid w:val="008A0B39"/>
    <w:rsid w:val="008A0C38"/>
    <w:rsid w:val="008A0CBE"/>
    <w:rsid w:val="008A17A3"/>
    <w:rsid w:val="008A1956"/>
    <w:rsid w:val="008A1E85"/>
    <w:rsid w:val="008A2419"/>
    <w:rsid w:val="008A2E98"/>
    <w:rsid w:val="008A35DA"/>
    <w:rsid w:val="008A39A0"/>
    <w:rsid w:val="008A4663"/>
    <w:rsid w:val="008A4937"/>
    <w:rsid w:val="008A50F1"/>
    <w:rsid w:val="008A5607"/>
    <w:rsid w:val="008A59D9"/>
    <w:rsid w:val="008A63B1"/>
    <w:rsid w:val="008A643E"/>
    <w:rsid w:val="008A678C"/>
    <w:rsid w:val="008A6819"/>
    <w:rsid w:val="008A6B2D"/>
    <w:rsid w:val="008B007A"/>
    <w:rsid w:val="008B00EC"/>
    <w:rsid w:val="008B0C61"/>
    <w:rsid w:val="008B1D2D"/>
    <w:rsid w:val="008B1E97"/>
    <w:rsid w:val="008B2EC0"/>
    <w:rsid w:val="008B3223"/>
    <w:rsid w:val="008B45EE"/>
    <w:rsid w:val="008B4F4C"/>
    <w:rsid w:val="008B6D53"/>
    <w:rsid w:val="008B6DCF"/>
    <w:rsid w:val="008B6FC0"/>
    <w:rsid w:val="008C0D13"/>
    <w:rsid w:val="008C4D49"/>
    <w:rsid w:val="008C502E"/>
    <w:rsid w:val="008C51E5"/>
    <w:rsid w:val="008C577A"/>
    <w:rsid w:val="008C578A"/>
    <w:rsid w:val="008C5B52"/>
    <w:rsid w:val="008C62A2"/>
    <w:rsid w:val="008C772E"/>
    <w:rsid w:val="008D0531"/>
    <w:rsid w:val="008D0945"/>
    <w:rsid w:val="008D1409"/>
    <w:rsid w:val="008D15CC"/>
    <w:rsid w:val="008D1729"/>
    <w:rsid w:val="008D1B5C"/>
    <w:rsid w:val="008D3A90"/>
    <w:rsid w:val="008D3C7C"/>
    <w:rsid w:val="008D3C82"/>
    <w:rsid w:val="008D447E"/>
    <w:rsid w:val="008D580B"/>
    <w:rsid w:val="008D677F"/>
    <w:rsid w:val="008D6A14"/>
    <w:rsid w:val="008D6ACF"/>
    <w:rsid w:val="008D75FE"/>
    <w:rsid w:val="008D7A41"/>
    <w:rsid w:val="008E039B"/>
    <w:rsid w:val="008E2C72"/>
    <w:rsid w:val="008E3680"/>
    <w:rsid w:val="008E4F87"/>
    <w:rsid w:val="008E5870"/>
    <w:rsid w:val="008E59F7"/>
    <w:rsid w:val="008E613C"/>
    <w:rsid w:val="008E6484"/>
    <w:rsid w:val="008E6E7E"/>
    <w:rsid w:val="008E77E4"/>
    <w:rsid w:val="008F0213"/>
    <w:rsid w:val="008F0536"/>
    <w:rsid w:val="008F07ED"/>
    <w:rsid w:val="008F11F8"/>
    <w:rsid w:val="008F1434"/>
    <w:rsid w:val="008F2BB9"/>
    <w:rsid w:val="008F3D6A"/>
    <w:rsid w:val="008F3E2B"/>
    <w:rsid w:val="008F45EC"/>
    <w:rsid w:val="008F4FDA"/>
    <w:rsid w:val="008F5015"/>
    <w:rsid w:val="008F53A0"/>
    <w:rsid w:val="008F54C3"/>
    <w:rsid w:val="008F582B"/>
    <w:rsid w:val="008F594F"/>
    <w:rsid w:val="008F7355"/>
    <w:rsid w:val="008F7CCA"/>
    <w:rsid w:val="00901682"/>
    <w:rsid w:val="00902077"/>
    <w:rsid w:val="009023DC"/>
    <w:rsid w:val="009027C5"/>
    <w:rsid w:val="00902C93"/>
    <w:rsid w:val="00904413"/>
    <w:rsid w:val="00904832"/>
    <w:rsid w:val="009067B7"/>
    <w:rsid w:val="00906E7A"/>
    <w:rsid w:val="00906E7F"/>
    <w:rsid w:val="0090727F"/>
    <w:rsid w:val="009075DA"/>
    <w:rsid w:val="0090775A"/>
    <w:rsid w:val="00907DFD"/>
    <w:rsid w:val="00910BC8"/>
    <w:rsid w:val="00911020"/>
    <w:rsid w:val="00911106"/>
    <w:rsid w:val="009112FB"/>
    <w:rsid w:val="009124B9"/>
    <w:rsid w:val="00912B48"/>
    <w:rsid w:val="009135CE"/>
    <w:rsid w:val="00913C99"/>
    <w:rsid w:val="009154BA"/>
    <w:rsid w:val="009166DB"/>
    <w:rsid w:val="00916EFC"/>
    <w:rsid w:val="0091717B"/>
    <w:rsid w:val="00917462"/>
    <w:rsid w:val="00917D69"/>
    <w:rsid w:val="0092050B"/>
    <w:rsid w:val="00920A03"/>
    <w:rsid w:val="00920B6D"/>
    <w:rsid w:val="00921091"/>
    <w:rsid w:val="009215EE"/>
    <w:rsid w:val="00922133"/>
    <w:rsid w:val="0092213F"/>
    <w:rsid w:val="00922DB2"/>
    <w:rsid w:val="00926560"/>
    <w:rsid w:val="009268CC"/>
    <w:rsid w:val="00926B15"/>
    <w:rsid w:val="009272E1"/>
    <w:rsid w:val="00930291"/>
    <w:rsid w:val="00930746"/>
    <w:rsid w:val="00930937"/>
    <w:rsid w:val="009324A6"/>
    <w:rsid w:val="00933157"/>
    <w:rsid w:val="00933B7D"/>
    <w:rsid w:val="00933E6C"/>
    <w:rsid w:val="00934CFC"/>
    <w:rsid w:val="00935A6E"/>
    <w:rsid w:val="00936771"/>
    <w:rsid w:val="009376B8"/>
    <w:rsid w:val="00937958"/>
    <w:rsid w:val="009406E5"/>
    <w:rsid w:val="00940DB4"/>
    <w:rsid w:val="00941602"/>
    <w:rsid w:val="00942160"/>
    <w:rsid w:val="00943D50"/>
    <w:rsid w:val="00943EFE"/>
    <w:rsid w:val="009448AE"/>
    <w:rsid w:val="009450E5"/>
    <w:rsid w:val="009457F8"/>
    <w:rsid w:val="00946223"/>
    <w:rsid w:val="00946921"/>
    <w:rsid w:val="00947343"/>
    <w:rsid w:val="009506C3"/>
    <w:rsid w:val="0095146F"/>
    <w:rsid w:val="00951966"/>
    <w:rsid w:val="00951A07"/>
    <w:rsid w:val="00951F2D"/>
    <w:rsid w:val="00952839"/>
    <w:rsid w:val="0095344C"/>
    <w:rsid w:val="009534C7"/>
    <w:rsid w:val="0095364C"/>
    <w:rsid w:val="00955091"/>
    <w:rsid w:val="00955654"/>
    <w:rsid w:val="00955929"/>
    <w:rsid w:val="00955985"/>
    <w:rsid w:val="00955B1F"/>
    <w:rsid w:val="00957944"/>
    <w:rsid w:val="009602C5"/>
    <w:rsid w:val="0096103A"/>
    <w:rsid w:val="00962223"/>
    <w:rsid w:val="0096252B"/>
    <w:rsid w:val="009644D9"/>
    <w:rsid w:val="00964A9F"/>
    <w:rsid w:val="00965266"/>
    <w:rsid w:val="00965362"/>
    <w:rsid w:val="0096571E"/>
    <w:rsid w:val="00966D0D"/>
    <w:rsid w:val="0096744E"/>
    <w:rsid w:val="0096766B"/>
    <w:rsid w:val="00967732"/>
    <w:rsid w:val="0096783C"/>
    <w:rsid w:val="00970023"/>
    <w:rsid w:val="009706F5"/>
    <w:rsid w:val="0097087D"/>
    <w:rsid w:val="009722B3"/>
    <w:rsid w:val="00972B50"/>
    <w:rsid w:val="00972E27"/>
    <w:rsid w:val="00973DD4"/>
    <w:rsid w:val="00973E24"/>
    <w:rsid w:val="00973F3A"/>
    <w:rsid w:val="00974C21"/>
    <w:rsid w:val="00974D5F"/>
    <w:rsid w:val="0097553D"/>
    <w:rsid w:val="00975948"/>
    <w:rsid w:val="009769EC"/>
    <w:rsid w:val="009772FD"/>
    <w:rsid w:val="00977BF3"/>
    <w:rsid w:val="00977F33"/>
    <w:rsid w:val="009803E4"/>
    <w:rsid w:val="00980711"/>
    <w:rsid w:val="009807F2"/>
    <w:rsid w:val="00980B0E"/>
    <w:rsid w:val="0098285B"/>
    <w:rsid w:val="00982B39"/>
    <w:rsid w:val="00983167"/>
    <w:rsid w:val="00983408"/>
    <w:rsid w:val="009836A3"/>
    <w:rsid w:val="009838A8"/>
    <w:rsid w:val="00983DCF"/>
    <w:rsid w:val="0098419C"/>
    <w:rsid w:val="00984235"/>
    <w:rsid w:val="00984C58"/>
    <w:rsid w:val="009855A8"/>
    <w:rsid w:val="00985CBE"/>
    <w:rsid w:val="00985D1A"/>
    <w:rsid w:val="00987DBD"/>
    <w:rsid w:val="009904C2"/>
    <w:rsid w:val="00990CF8"/>
    <w:rsid w:val="00991343"/>
    <w:rsid w:val="009913F4"/>
    <w:rsid w:val="00991782"/>
    <w:rsid w:val="009924DE"/>
    <w:rsid w:val="0099305F"/>
    <w:rsid w:val="00993597"/>
    <w:rsid w:val="009937F7"/>
    <w:rsid w:val="00993952"/>
    <w:rsid w:val="0099465B"/>
    <w:rsid w:val="00994D87"/>
    <w:rsid w:val="009951A1"/>
    <w:rsid w:val="00996D49"/>
    <w:rsid w:val="00996F5D"/>
    <w:rsid w:val="0099731F"/>
    <w:rsid w:val="009976E1"/>
    <w:rsid w:val="00997A44"/>
    <w:rsid w:val="00997A82"/>
    <w:rsid w:val="00997F84"/>
    <w:rsid w:val="009A0833"/>
    <w:rsid w:val="009A0CDD"/>
    <w:rsid w:val="009A1655"/>
    <w:rsid w:val="009A2C6B"/>
    <w:rsid w:val="009A3168"/>
    <w:rsid w:val="009A4621"/>
    <w:rsid w:val="009A4BDF"/>
    <w:rsid w:val="009A5D04"/>
    <w:rsid w:val="009A61CA"/>
    <w:rsid w:val="009A6A39"/>
    <w:rsid w:val="009B0062"/>
    <w:rsid w:val="009B0354"/>
    <w:rsid w:val="009B0C64"/>
    <w:rsid w:val="009B0F67"/>
    <w:rsid w:val="009B1777"/>
    <w:rsid w:val="009B1B6C"/>
    <w:rsid w:val="009B1D05"/>
    <w:rsid w:val="009B208A"/>
    <w:rsid w:val="009B2756"/>
    <w:rsid w:val="009B2E6D"/>
    <w:rsid w:val="009B34F3"/>
    <w:rsid w:val="009B3D56"/>
    <w:rsid w:val="009B3F8C"/>
    <w:rsid w:val="009B3FAF"/>
    <w:rsid w:val="009B4028"/>
    <w:rsid w:val="009B402A"/>
    <w:rsid w:val="009B533B"/>
    <w:rsid w:val="009B546B"/>
    <w:rsid w:val="009B5AA9"/>
    <w:rsid w:val="009B6490"/>
    <w:rsid w:val="009B6B74"/>
    <w:rsid w:val="009B6FF3"/>
    <w:rsid w:val="009C17E0"/>
    <w:rsid w:val="009C26AA"/>
    <w:rsid w:val="009C35DC"/>
    <w:rsid w:val="009C3987"/>
    <w:rsid w:val="009C3EE6"/>
    <w:rsid w:val="009C4DE9"/>
    <w:rsid w:val="009C606E"/>
    <w:rsid w:val="009C6A80"/>
    <w:rsid w:val="009C6E80"/>
    <w:rsid w:val="009C703C"/>
    <w:rsid w:val="009D0C29"/>
    <w:rsid w:val="009D147C"/>
    <w:rsid w:val="009D18CC"/>
    <w:rsid w:val="009D206E"/>
    <w:rsid w:val="009D387D"/>
    <w:rsid w:val="009D3882"/>
    <w:rsid w:val="009D3CAA"/>
    <w:rsid w:val="009D507A"/>
    <w:rsid w:val="009D6532"/>
    <w:rsid w:val="009D6E94"/>
    <w:rsid w:val="009D71FD"/>
    <w:rsid w:val="009E03E6"/>
    <w:rsid w:val="009E06F0"/>
    <w:rsid w:val="009E0755"/>
    <w:rsid w:val="009E0BCD"/>
    <w:rsid w:val="009E10AD"/>
    <w:rsid w:val="009E18F3"/>
    <w:rsid w:val="009E1E46"/>
    <w:rsid w:val="009E1E7C"/>
    <w:rsid w:val="009E2588"/>
    <w:rsid w:val="009E2E8E"/>
    <w:rsid w:val="009E3526"/>
    <w:rsid w:val="009E40E1"/>
    <w:rsid w:val="009E48EC"/>
    <w:rsid w:val="009E53F2"/>
    <w:rsid w:val="009E56DA"/>
    <w:rsid w:val="009F0EFA"/>
    <w:rsid w:val="009F2463"/>
    <w:rsid w:val="009F45CE"/>
    <w:rsid w:val="009F4780"/>
    <w:rsid w:val="009F4E46"/>
    <w:rsid w:val="009F52BA"/>
    <w:rsid w:val="009F5B65"/>
    <w:rsid w:val="009F5F2E"/>
    <w:rsid w:val="009F62C4"/>
    <w:rsid w:val="009F65EB"/>
    <w:rsid w:val="009F6DDD"/>
    <w:rsid w:val="009F778C"/>
    <w:rsid w:val="00A01325"/>
    <w:rsid w:val="00A013E9"/>
    <w:rsid w:val="00A01432"/>
    <w:rsid w:val="00A0167A"/>
    <w:rsid w:val="00A01822"/>
    <w:rsid w:val="00A01980"/>
    <w:rsid w:val="00A04BA2"/>
    <w:rsid w:val="00A06225"/>
    <w:rsid w:val="00A066E6"/>
    <w:rsid w:val="00A06888"/>
    <w:rsid w:val="00A110D1"/>
    <w:rsid w:val="00A12587"/>
    <w:rsid w:val="00A127F6"/>
    <w:rsid w:val="00A128E6"/>
    <w:rsid w:val="00A144D3"/>
    <w:rsid w:val="00A15409"/>
    <w:rsid w:val="00A155A4"/>
    <w:rsid w:val="00A163C9"/>
    <w:rsid w:val="00A1676F"/>
    <w:rsid w:val="00A168C0"/>
    <w:rsid w:val="00A17495"/>
    <w:rsid w:val="00A17EA7"/>
    <w:rsid w:val="00A213AA"/>
    <w:rsid w:val="00A214C1"/>
    <w:rsid w:val="00A21610"/>
    <w:rsid w:val="00A216B5"/>
    <w:rsid w:val="00A21D7D"/>
    <w:rsid w:val="00A22AC3"/>
    <w:rsid w:val="00A2351E"/>
    <w:rsid w:val="00A23F3F"/>
    <w:rsid w:val="00A24067"/>
    <w:rsid w:val="00A24A4B"/>
    <w:rsid w:val="00A261ED"/>
    <w:rsid w:val="00A2744D"/>
    <w:rsid w:val="00A27EF5"/>
    <w:rsid w:val="00A306F6"/>
    <w:rsid w:val="00A308E5"/>
    <w:rsid w:val="00A30D16"/>
    <w:rsid w:val="00A315A3"/>
    <w:rsid w:val="00A31A7B"/>
    <w:rsid w:val="00A3311A"/>
    <w:rsid w:val="00A33EB7"/>
    <w:rsid w:val="00A34079"/>
    <w:rsid w:val="00A348AB"/>
    <w:rsid w:val="00A34E6C"/>
    <w:rsid w:val="00A34FD0"/>
    <w:rsid w:val="00A35C71"/>
    <w:rsid w:val="00A361EA"/>
    <w:rsid w:val="00A36398"/>
    <w:rsid w:val="00A36CC1"/>
    <w:rsid w:val="00A37350"/>
    <w:rsid w:val="00A37C8D"/>
    <w:rsid w:val="00A4020E"/>
    <w:rsid w:val="00A40493"/>
    <w:rsid w:val="00A408E8"/>
    <w:rsid w:val="00A40FB5"/>
    <w:rsid w:val="00A4226D"/>
    <w:rsid w:val="00A4259D"/>
    <w:rsid w:val="00A42826"/>
    <w:rsid w:val="00A429B3"/>
    <w:rsid w:val="00A44EC1"/>
    <w:rsid w:val="00A4531D"/>
    <w:rsid w:val="00A45FA9"/>
    <w:rsid w:val="00A47D90"/>
    <w:rsid w:val="00A509B5"/>
    <w:rsid w:val="00A50A50"/>
    <w:rsid w:val="00A510E4"/>
    <w:rsid w:val="00A51F8C"/>
    <w:rsid w:val="00A522D7"/>
    <w:rsid w:val="00A52513"/>
    <w:rsid w:val="00A526F7"/>
    <w:rsid w:val="00A5273B"/>
    <w:rsid w:val="00A52C47"/>
    <w:rsid w:val="00A52DAA"/>
    <w:rsid w:val="00A53A9D"/>
    <w:rsid w:val="00A53AC6"/>
    <w:rsid w:val="00A55FEE"/>
    <w:rsid w:val="00A56304"/>
    <w:rsid w:val="00A568CF"/>
    <w:rsid w:val="00A56959"/>
    <w:rsid w:val="00A57422"/>
    <w:rsid w:val="00A57753"/>
    <w:rsid w:val="00A609D4"/>
    <w:rsid w:val="00A60AED"/>
    <w:rsid w:val="00A61D19"/>
    <w:rsid w:val="00A62C19"/>
    <w:rsid w:val="00A62C1A"/>
    <w:rsid w:val="00A62CC0"/>
    <w:rsid w:val="00A63BA5"/>
    <w:rsid w:val="00A63CA2"/>
    <w:rsid w:val="00A6426D"/>
    <w:rsid w:val="00A6439B"/>
    <w:rsid w:val="00A64A0F"/>
    <w:rsid w:val="00A64C39"/>
    <w:rsid w:val="00A65793"/>
    <w:rsid w:val="00A6659F"/>
    <w:rsid w:val="00A665C1"/>
    <w:rsid w:val="00A66AB6"/>
    <w:rsid w:val="00A66D76"/>
    <w:rsid w:val="00A6710B"/>
    <w:rsid w:val="00A673A4"/>
    <w:rsid w:val="00A67F7F"/>
    <w:rsid w:val="00A7001A"/>
    <w:rsid w:val="00A70622"/>
    <w:rsid w:val="00A70977"/>
    <w:rsid w:val="00A70A11"/>
    <w:rsid w:val="00A70D58"/>
    <w:rsid w:val="00A71E8A"/>
    <w:rsid w:val="00A737FF"/>
    <w:rsid w:val="00A74174"/>
    <w:rsid w:val="00A744F9"/>
    <w:rsid w:val="00A74AF3"/>
    <w:rsid w:val="00A7501F"/>
    <w:rsid w:val="00A753A1"/>
    <w:rsid w:val="00A76272"/>
    <w:rsid w:val="00A76466"/>
    <w:rsid w:val="00A76D44"/>
    <w:rsid w:val="00A77613"/>
    <w:rsid w:val="00A77B87"/>
    <w:rsid w:val="00A77E01"/>
    <w:rsid w:val="00A801AD"/>
    <w:rsid w:val="00A81851"/>
    <w:rsid w:val="00A81BC3"/>
    <w:rsid w:val="00A82567"/>
    <w:rsid w:val="00A835C9"/>
    <w:rsid w:val="00A8390C"/>
    <w:rsid w:val="00A84892"/>
    <w:rsid w:val="00A86AE0"/>
    <w:rsid w:val="00A90E85"/>
    <w:rsid w:val="00A91293"/>
    <w:rsid w:val="00A912B0"/>
    <w:rsid w:val="00A912EF"/>
    <w:rsid w:val="00A91362"/>
    <w:rsid w:val="00A9151C"/>
    <w:rsid w:val="00A919C6"/>
    <w:rsid w:val="00A928BD"/>
    <w:rsid w:val="00A92D61"/>
    <w:rsid w:val="00A93376"/>
    <w:rsid w:val="00A93575"/>
    <w:rsid w:val="00A936B6"/>
    <w:rsid w:val="00A9393E"/>
    <w:rsid w:val="00A943E4"/>
    <w:rsid w:val="00A94D02"/>
    <w:rsid w:val="00A961CA"/>
    <w:rsid w:val="00A9718B"/>
    <w:rsid w:val="00A979D5"/>
    <w:rsid w:val="00A97DE9"/>
    <w:rsid w:val="00AA12CD"/>
    <w:rsid w:val="00AA24E9"/>
    <w:rsid w:val="00AA3FC6"/>
    <w:rsid w:val="00AA45EC"/>
    <w:rsid w:val="00AA4D1C"/>
    <w:rsid w:val="00AA52FD"/>
    <w:rsid w:val="00AA54DC"/>
    <w:rsid w:val="00AA5D40"/>
    <w:rsid w:val="00AA6128"/>
    <w:rsid w:val="00AA7006"/>
    <w:rsid w:val="00AA7AA9"/>
    <w:rsid w:val="00AB0636"/>
    <w:rsid w:val="00AB0E2F"/>
    <w:rsid w:val="00AB3138"/>
    <w:rsid w:val="00AB323C"/>
    <w:rsid w:val="00AB4202"/>
    <w:rsid w:val="00AB463D"/>
    <w:rsid w:val="00AB4684"/>
    <w:rsid w:val="00AB49D6"/>
    <w:rsid w:val="00AB4AAD"/>
    <w:rsid w:val="00AB5856"/>
    <w:rsid w:val="00AB5AF3"/>
    <w:rsid w:val="00AB6A80"/>
    <w:rsid w:val="00AB7A1A"/>
    <w:rsid w:val="00AB7A6E"/>
    <w:rsid w:val="00AC081D"/>
    <w:rsid w:val="00AC0C6F"/>
    <w:rsid w:val="00AC1266"/>
    <w:rsid w:val="00AC193C"/>
    <w:rsid w:val="00AC30C1"/>
    <w:rsid w:val="00AC4DE5"/>
    <w:rsid w:val="00AC5206"/>
    <w:rsid w:val="00AC6B25"/>
    <w:rsid w:val="00AC6CFD"/>
    <w:rsid w:val="00AC7347"/>
    <w:rsid w:val="00AC7DB5"/>
    <w:rsid w:val="00AC7E63"/>
    <w:rsid w:val="00AD095B"/>
    <w:rsid w:val="00AD3106"/>
    <w:rsid w:val="00AD42B2"/>
    <w:rsid w:val="00AD4322"/>
    <w:rsid w:val="00AD4CB6"/>
    <w:rsid w:val="00AD5046"/>
    <w:rsid w:val="00AD50AF"/>
    <w:rsid w:val="00AD5C6E"/>
    <w:rsid w:val="00AD6540"/>
    <w:rsid w:val="00AD6719"/>
    <w:rsid w:val="00AE11A5"/>
    <w:rsid w:val="00AE13E2"/>
    <w:rsid w:val="00AE1944"/>
    <w:rsid w:val="00AE2025"/>
    <w:rsid w:val="00AE22D3"/>
    <w:rsid w:val="00AE4DF9"/>
    <w:rsid w:val="00AE5941"/>
    <w:rsid w:val="00AE5987"/>
    <w:rsid w:val="00AE5A49"/>
    <w:rsid w:val="00AE6C4F"/>
    <w:rsid w:val="00AF03E6"/>
    <w:rsid w:val="00AF11D8"/>
    <w:rsid w:val="00AF1C26"/>
    <w:rsid w:val="00AF4653"/>
    <w:rsid w:val="00AF5867"/>
    <w:rsid w:val="00AF5934"/>
    <w:rsid w:val="00AF62DF"/>
    <w:rsid w:val="00AF68CC"/>
    <w:rsid w:val="00AF6E5C"/>
    <w:rsid w:val="00AF70D7"/>
    <w:rsid w:val="00B00086"/>
    <w:rsid w:val="00B00CD0"/>
    <w:rsid w:val="00B00E7F"/>
    <w:rsid w:val="00B01303"/>
    <w:rsid w:val="00B01FF4"/>
    <w:rsid w:val="00B02B9D"/>
    <w:rsid w:val="00B0326D"/>
    <w:rsid w:val="00B04FA9"/>
    <w:rsid w:val="00B05453"/>
    <w:rsid w:val="00B06037"/>
    <w:rsid w:val="00B061D0"/>
    <w:rsid w:val="00B062E6"/>
    <w:rsid w:val="00B06478"/>
    <w:rsid w:val="00B06CE5"/>
    <w:rsid w:val="00B070C2"/>
    <w:rsid w:val="00B07533"/>
    <w:rsid w:val="00B07CFB"/>
    <w:rsid w:val="00B1059E"/>
    <w:rsid w:val="00B10D19"/>
    <w:rsid w:val="00B135A1"/>
    <w:rsid w:val="00B13AD1"/>
    <w:rsid w:val="00B149BA"/>
    <w:rsid w:val="00B14A36"/>
    <w:rsid w:val="00B16004"/>
    <w:rsid w:val="00B16273"/>
    <w:rsid w:val="00B164B4"/>
    <w:rsid w:val="00B170A5"/>
    <w:rsid w:val="00B1725F"/>
    <w:rsid w:val="00B176C8"/>
    <w:rsid w:val="00B17EE5"/>
    <w:rsid w:val="00B205AA"/>
    <w:rsid w:val="00B2100A"/>
    <w:rsid w:val="00B218D2"/>
    <w:rsid w:val="00B21A91"/>
    <w:rsid w:val="00B21AFC"/>
    <w:rsid w:val="00B22E84"/>
    <w:rsid w:val="00B231A9"/>
    <w:rsid w:val="00B233AD"/>
    <w:rsid w:val="00B23E25"/>
    <w:rsid w:val="00B24B6C"/>
    <w:rsid w:val="00B25283"/>
    <w:rsid w:val="00B25F75"/>
    <w:rsid w:val="00B26B3F"/>
    <w:rsid w:val="00B2778F"/>
    <w:rsid w:val="00B27C26"/>
    <w:rsid w:val="00B30CEA"/>
    <w:rsid w:val="00B30E1D"/>
    <w:rsid w:val="00B32783"/>
    <w:rsid w:val="00B327E2"/>
    <w:rsid w:val="00B33606"/>
    <w:rsid w:val="00B33635"/>
    <w:rsid w:val="00B34D07"/>
    <w:rsid w:val="00B35268"/>
    <w:rsid w:val="00B3669B"/>
    <w:rsid w:val="00B37A23"/>
    <w:rsid w:val="00B37CF8"/>
    <w:rsid w:val="00B42AF4"/>
    <w:rsid w:val="00B433C9"/>
    <w:rsid w:val="00B43E90"/>
    <w:rsid w:val="00B44308"/>
    <w:rsid w:val="00B44F2B"/>
    <w:rsid w:val="00B4553D"/>
    <w:rsid w:val="00B45722"/>
    <w:rsid w:val="00B45840"/>
    <w:rsid w:val="00B460F4"/>
    <w:rsid w:val="00B467DC"/>
    <w:rsid w:val="00B47897"/>
    <w:rsid w:val="00B47A88"/>
    <w:rsid w:val="00B47E3C"/>
    <w:rsid w:val="00B512CF"/>
    <w:rsid w:val="00B51A73"/>
    <w:rsid w:val="00B51E09"/>
    <w:rsid w:val="00B51FAB"/>
    <w:rsid w:val="00B52303"/>
    <w:rsid w:val="00B5271B"/>
    <w:rsid w:val="00B52828"/>
    <w:rsid w:val="00B5285D"/>
    <w:rsid w:val="00B52B23"/>
    <w:rsid w:val="00B5392A"/>
    <w:rsid w:val="00B539EF"/>
    <w:rsid w:val="00B54FF3"/>
    <w:rsid w:val="00B55A63"/>
    <w:rsid w:val="00B56118"/>
    <w:rsid w:val="00B566E1"/>
    <w:rsid w:val="00B567F0"/>
    <w:rsid w:val="00B568BA"/>
    <w:rsid w:val="00B56AFB"/>
    <w:rsid w:val="00B572BE"/>
    <w:rsid w:val="00B57D7B"/>
    <w:rsid w:val="00B602F6"/>
    <w:rsid w:val="00B60ED3"/>
    <w:rsid w:val="00B610BF"/>
    <w:rsid w:val="00B61A54"/>
    <w:rsid w:val="00B62EC1"/>
    <w:rsid w:val="00B63251"/>
    <w:rsid w:val="00B63AF7"/>
    <w:rsid w:val="00B64A96"/>
    <w:rsid w:val="00B64E2C"/>
    <w:rsid w:val="00B6533B"/>
    <w:rsid w:val="00B6641E"/>
    <w:rsid w:val="00B6730C"/>
    <w:rsid w:val="00B6773F"/>
    <w:rsid w:val="00B70EB3"/>
    <w:rsid w:val="00B71F8B"/>
    <w:rsid w:val="00B721AF"/>
    <w:rsid w:val="00B72906"/>
    <w:rsid w:val="00B7497C"/>
    <w:rsid w:val="00B74F48"/>
    <w:rsid w:val="00B7525E"/>
    <w:rsid w:val="00B75433"/>
    <w:rsid w:val="00B75862"/>
    <w:rsid w:val="00B75A5A"/>
    <w:rsid w:val="00B75ADF"/>
    <w:rsid w:val="00B75F70"/>
    <w:rsid w:val="00B760FB"/>
    <w:rsid w:val="00B76765"/>
    <w:rsid w:val="00B767AB"/>
    <w:rsid w:val="00B76B19"/>
    <w:rsid w:val="00B7763C"/>
    <w:rsid w:val="00B777ED"/>
    <w:rsid w:val="00B801BA"/>
    <w:rsid w:val="00B80D50"/>
    <w:rsid w:val="00B812D6"/>
    <w:rsid w:val="00B81A99"/>
    <w:rsid w:val="00B846E6"/>
    <w:rsid w:val="00B84D12"/>
    <w:rsid w:val="00B84D5C"/>
    <w:rsid w:val="00B84EDB"/>
    <w:rsid w:val="00B85AF6"/>
    <w:rsid w:val="00B86603"/>
    <w:rsid w:val="00B86976"/>
    <w:rsid w:val="00B86A10"/>
    <w:rsid w:val="00B903DB"/>
    <w:rsid w:val="00B92C5B"/>
    <w:rsid w:val="00B92CC8"/>
    <w:rsid w:val="00B92E46"/>
    <w:rsid w:val="00B9337B"/>
    <w:rsid w:val="00B941ED"/>
    <w:rsid w:val="00B956ED"/>
    <w:rsid w:val="00B9671E"/>
    <w:rsid w:val="00B96A76"/>
    <w:rsid w:val="00B975B9"/>
    <w:rsid w:val="00BA1FC7"/>
    <w:rsid w:val="00BA22BF"/>
    <w:rsid w:val="00BA238B"/>
    <w:rsid w:val="00BA2B88"/>
    <w:rsid w:val="00BA2DA8"/>
    <w:rsid w:val="00BA347C"/>
    <w:rsid w:val="00BA4C79"/>
    <w:rsid w:val="00BA4D84"/>
    <w:rsid w:val="00BA513A"/>
    <w:rsid w:val="00BA6C7C"/>
    <w:rsid w:val="00BA6D98"/>
    <w:rsid w:val="00BA7C07"/>
    <w:rsid w:val="00BB0FDC"/>
    <w:rsid w:val="00BB1A97"/>
    <w:rsid w:val="00BB298A"/>
    <w:rsid w:val="00BB2C83"/>
    <w:rsid w:val="00BB3469"/>
    <w:rsid w:val="00BB37EB"/>
    <w:rsid w:val="00BB4625"/>
    <w:rsid w:val="00BB48BB"/>
    <w:rsid w:val="00BB5C49"/>
    <w:rsid w:val="00BB6240"/>
    <w:rsid w:val="00BB6285"/>
    <w:rsid w:val="00BB69F5"/>
    <w:rsid w:val="00BB6E48"/>
    <w:rsid w:val="00BB6F26"/>
    <w:rsid w:val="00BB7E5A"/>
    <w:rsid w:val="00BB7EC3"/>
    <w:rsid w:val="00BC043C"/>
    <w:rsid w:val="00BC04B1"/>
    <w:rsid w:val="00BC0F29"/>
    <w:rsid w:val="00BC1F4D"/>
    <w:rsid w:val="00BC2A74"/>
    <w:rsid w:val="00BC2DC5"/>
    <w:rsid w:val="00BC470E"/>
    <w:rsid w:val="00BC4B9A"/>
    <w:rsid w:val="00BC50C1"/>
    <w:rsid w:val="00BC7856"/>
    <w:rsid w:val="00BC7D82"/>
    <w:rsid w:val="00BD02C3"/>
    <w:rsid w:val="00BD3119"/>
    <w:rsid w:val="00BD3BAB"/>
    <w:rsid w:val="00BD3DD4"/>
    <w:rsid w:val="00BD73FA"/>
    <w:rsid w:val="00BD7483"/>
    <w:rsid w:val="00BD773F"/>
    <w:rsid w:val="00BD784C"/>
    <w:rsid w:val="00BD7CCA"/>
    <w:rsid w:val="00BE020A"/>
    <w:rsid w:val="00BE07CA"/>
    <w:rsid w:val="00BE084F"/>
    <w:rsid w:val="00BE0AC2"/>
    <w:rsid w:val="00BE1101"/>
    <w:rsid w:val="00BE13DF"/>
    <w:rsid w:val="00BE1EF0"/>
    <w:rsid w:val="00BE25D7"/>
    <w:rsid w:val="00BE4131"/>
    <w:rsid w:val="00BE7A59"/>
    <w:rsid w:val="00BF092C"/>
    <w:rsid w:val="00BF13E5"/>
    <w:rsid w:val="00BF21D1"/>
    <w:rsid w:val="00BF27A0"/>
    <w:rsid w:val="00BF38A6"/>
    <w:rsid w:val="00BF3DD4"/>
    <w:rsid w:val="00BF40E6"/>
    <w:rsid w:val="00BF4333"/>
    <w:rsid w:val="00BF4CB6"/>
    <w:rsid w:val="00BF51E1"/>
    <w:rsid w:val="00BF5D23"/>
    <w:rsid w:val="00BF6CBD"/>
    <w:rsid w:val="00C00DA7"/>
    <w:rsid w:val="00C01EE8"/>
    <w:rsid w:val="00C022A2"/>
    <w:rsid w:val="00C034FB"/>
    <w:rsid w:val="00C034FE"/>
    <w:rsid w:val="00C04CDE"/>
    <w:rsid w:val="00C059D5"/>
    <w:rsid w:val="00C05D77"/>
    <w:rsid w:val="00C064E2"/>
    <w:rsid w:val="00C068A6"/>
    <w:rsid w:val="00C073DB"/>
    <w:rsid w:val="00C11DEA"/>
    <w:rsid w:val="00C1231F"/>
    <w:rsid w:val="00C12768"/>
    <w:rsid w:val="00C12D70"/>
    <w:rsid w:val="00C13371"/>
    <w:rsid w:val="00C13500"/>
    <w:rsid w:val="00C14C53"/>
    <w:rsid w:val="00C1519F"/>
    <w:rsid w:val="00C16724"/>
    <w:rsid w:val="00C16EE8"/>
    <w:rsid w:val="00C178FD"/>
    <w:rsid w:val="00C2012C"/>
    <w:rsid w:val="00C21B09"/>
    <w:rsid w:val="00C222A4"/>
    <w:rsid w:val="00C22343"/>
    <w:rsid w:val="00C233C1"/>
    <w:rsid w:val="00C23E07"/>
    <w:rsid w:val="00C2552E"/>
    <w:rsid w:val="00C25676"/>
    <w:rsid w:val="00C25EFF"/>
    <w:rsid w:val="00C2673A"/>
    <w:rsid w:val="00C2678C"/>
    <w:rsid w:val="00C26B46"/>
    <w:rsid w:val="00C274CB"/>
    <w:rsid w:val="00C278CD"/>
    <w:rsid w:val="00C27B58"/>
    <w:rsid w:val="00C27C1C"/>
    <w:rsid w:val="00C30ABF"/>
    <w:rsid w:val="00C3166C"/>
    <w:rsid w:val="00C33186"/>
    <w:rsid w:val="00C33540"/>
    <w:rsid w:val="00C34724"/>
    <w:rsid w:val="00C35996"/>
    <w:rsid w:val="00C35C6F"/>
    <w:rsid w:val="00C370CE"/>
    <w:rsid w:val="00C41484"/>
    <w:rsid w:val="00C4171E"/>
    <w:rsid w:val="00C42BCD"/>
    <w:rsid w:val="00C430C5"/>
    <w:rsid w:val="00C43A4A"/>
    <w:rsid w:val="00C4485F"/>
    <w:rsid w:val="00C44DED"/>
    <w:rsid w:val="00C45990"/>
    <w:rsid w:val="00C46142"/>
    <w:rsid w:val="00C4692F"/>
    <w:rsid w:val="00C46A0D"/>
    <w:rsid w:val="00C46C13"/>
    <w:rsid w:val="00C4747E"/>
    <w:rsid w:val="00C4789E"/>
    <w:rsid w:val="00C50182"/>
    <w:rsid w:val="00C507F1"/>
    <w:rsid w:val="00C50D59"/>
    <w:rsid w:val="00C5151E"/>
    <w:rsid w:val="00C51D51"/>
    <w:rsid w:val="00C52256"/>
    <w:rsid w:val="00C5232C"/>
    <w:rsid w:val="00C5342C"/>
    <w:rsid w:val="00C53B2B"/>
    <w:rsid w:val="00C53FE0"/>
    <w:rsid w:val="00C547CA"/>
    <w:rsid w:val="00C547F5"/>
    <w:rsid w:val="00C5534A"/>
    <w:rsid w:val="00C55668"/>
    <w:rsid w:val="00C56854"/>
    <w:rsid w:val="00C56D78"/>
    <w:rsid w:val="00C57245"/>
    <w:rsid w:val="00C57465"/>
    <w:rsid w:val="00C57695"/>
    <w:rsid w:val="00C60272"/>
    <w:rsid w:val="00C603D4"/>
    <w:rsid w:val="00C61730"/>
    <w:rsid w:val="00C61BFF"/>
    <w:rsid w:val="00C6256A"/>
    <w:rsid w:val="00C62CDF"/>
    <w:rsid w:val="00C62F85"/>
    <w:rsid w:val="00C63FDA"/>
    <w:rsid w:val="00C647E2"/>
    <w:rsid w:val="00C64EBC"/>
    <w:rsid w:val="00C65057"/>
    <w:rsid w:val="00C65411"/>
    <w:rsid w:val="00C65804"/>
    <w:rsid w:val="00C664D2"/>
    <w:rsid w:val="00C677E1"/>
    <w:rsid w:val="00C70495"/>
    <w:rsid w:val="00C70E6E"/>
    <w:rsid w:val="00C70E8E"/>
    <w:rsid w:val="00C710E2"/>
    <w:rsid w:val="00C719DE"/>
    <w:rsid w:val="00C71C3F"/>
    <w:rsid w:val="00C7241E"/>
    <w:rsid w:val="00C7409E"/>
    <w:rsid w:val="00C74D6D"/>
    <w:rsid w:val="00C74FEF"/>
    <w:rsid w:val="00C76C4D"/>
    <w:rsid w:val="00C76E76"/>
    <w:rsid w:val="00C77891"/>
    <w:rsid w:val="00C77B74"/>
    <w:rsid w:val="00C82062"/>
    <w:rsid w:val="00C829A9"/>
    <w:rsid w:val="00C83D87"/>
    <w:rsid w:val="00C860B7"/>
    <w:rsid w:val="00C862D1"/>
    <w:rsid w:val="00C86460"/>
    <w:rsid w:val="00C867AB"/>
    <w:rsid w:val="00C87682"/>
    <w:rsid w:val="00C87B80"/>
    <w:rsid w:val="00C90330"/>
    <w:rsid w:val="00C91115"/>
    <w:rsid w:val="00C91449"/>
    <w:rsid w:val="00C92672"/>
    <w:rsid w:val="00C92D10"/>
    <w:rsid w:val="00C92F60"/>
    <w:rsid w:val="00C92F79"/>
    <w:rsid w:val="00C93034"/>
    <w:rsid w:val="00C9343A"/>
    <w:rsid w:val="00C93963"/>
    <w:rsid w:val="00C93ACE"/>
    <w:rsid w:val="00C93EFA"/>
    <w:rsid w:val="00C95200"/>
    <w:rsid w:val="00C95B2B"/>
    <w:rsid w:val="00C96EC0"/>
    <w:rsid w:val="00C96FD1"/>
    <w:rsid w:val="00C97DA8"/>
    <w:rsid w:val="00CA06F9"/>
    <w:rsid w:val="00CA14BB"/>
    <w:rsid w:val="00CA230C"/>
    <w:rsid w:val="00CA48D9"/>
    <w:rsid w:val="00CB1193"/>
    <w:rsid w:val="00CB1D62"/>
    <w:rsid w:val="00CB28D5"/>
    <w:rsid w:val="00CB358A"/>
    <w:rsid w:val="00CB4767"/>
    <w:rsid w:val="00CB493D"/>
    <w:rsid w:val="00CB6235"/>
    <w:rsid w:val="00CB68E2"/>
    <w:rsid w:val="00CB7456"/>
    <w:rsid w:val="00CB79B2"/>
    <w:rsid w:val="00CC14DE"/>
    <w:rsid w:val="00CC2224"/>
    <w:rsid w:val="00CC3323"/>
    <w:rsid w:val="00CC3B97"/>
    <w:rsid w:val="00CC4C29"/>
    <w:rsid w:val="00CC75A6"/>
    <w:rsid w:val="00CD0BE0"/>
    <w:rsid w:val="00CD103A"/>
    <w:rsid w:val="00CD16E8"/>
    <w:rsid w:val="00CD2B87"/>
    <w:rsid w:val="00CD3751"/>
    <w:rsid w:val="00CD38D1"/>
    <w:rsid w:val="00CD40A4"/>
    <w:rsid w:val="00CD470E"/>
    <w:rsid w:val="00CD4A8C"/>
    <w:rsid w:val="00CD4C45"/>
    <w:rsid w:val="00CD5A18"/>
    <w:rsid w:val="00CD5B62"/>
    <w:rsid w:val="00CD6257"/>
    <w:rsid w:val="00CD64B0"/>
    <w:rsid w:val="00CD7C0B"/>
    <w:rsid w:val="00CE05C0"/>
    <w:rsid w:val="00CE10C4"/>
    <w:rsid w:val="00CE2114"/>
    <w:rsid w:val="00CE2343"/>
    <w:rsid w:val="00CE27B5"/>
    <w:rsid w:val="00CE2BDF"/>
    <w:rsid w:val="00CE48D2"/>
    <w:rsid w:val="00CE6D24"/>
    <w:rsid w:val="00CE6DAF"/>
    <w:rsid w:val="00CF1743"/>
    <w:rsid w:val="00CF3409"/>
    <w:rsid w:val="00CF39DD"/>
    <w:rsid w:val="00CF410A"/>
    <w:rsid w:val="00CF47B8"/>
    <w:rsid w:val="00CF6ADF"/>
    <w:rsid w:val="00CF7003"/>
    <w:rsid w:val="00CF7528"/>
    <w:rsid w:val="00CF7FDE"/>
    <w:rsid w:val="00D012AF"/>
    <w:rsid w:val="00D01605"/>
    <w:rsid w:val="00D01BF9"/>
    <w:rsid w:val="00D02B4C"/>
    <w:rsid w:val="00D0321E"/>
    <w:rsid w:val="00D05457"/>
    <w:rsid w:val="00D0673C"/>
    <w:rsid w:val="00D069EB"/>
    <w:rsid w:val="00D07A8A"/>
    <w:rsid w:val="00D07D7B"/>
    <w:rsid w:val="00D07E9D"/>
    <w:rsid w:val="00D10724"/>
    <w:rsid w:val="00D10C29"/>
    <w:rsid w:val="00D10DBB"/>
    <w:rsid w:val="00D10E31"/>
    <w:rsid w:val="00D11199"/>
    <w:rsid w:val="00D1455A"/>
    <w:rsid w:val="00D14573"/>
    <w:rsid w:val="00D14A70"/>
    <w:rsid w:val="00D14C42"/>
    <w:rsid w:val="00D156B0"/>
    <w:rsid w:val="00D15F6A"/>
    <w:rsid w:val="00D16031"/>
    <w:rsid w:val="00D203BF"/>
    <w:rsid w:val="00D207EA"/>
    <w:rsid w:val="00D211FB"/>
    <w:rsid w:val="00D22093"/>
    <w:rsid w:val="00D2314B"/>
    <w:rsid w:val="00D245D6"/>
    <w:rsid w:val="00D25B0C"/>
    <w:rsid w:val="00D27A9C"/>
    <w:rsid w:val="00D30106"/>
    <w:rsid w:val="00D31150"/>
    <w:rsid w:val="00D3138B"/>
    <w:rsid w:val="00D318ED"/>
    <w:rsid w:val="00D31FCE"/>
    <w:rsid w:val="00D3280C"/>
    <w:rsid w:val="00D3406A"/>
    <w:rsid w:val="00D34D24"/>
    <w:rsid w:val="00D40B11"/>
    <w:rsid w:val="00D41530"/>
    <w:rsid w:val="00D4189E"/>
    <w:rsid w:val="00D41D43"/>
    <w:rsid w:val="00D42864"/>
    <w:rsid w:val="00D429EC"/>
    <w:rsid w:val="00D43415"/>
    <w:rsid w:val="00D441F1"/>
    <w:rsid w:val="00D4572C"/>
    <w:rsid w:val="00D45D0B"/>
    <w:rsid w:val="00D4608D"/>
    <w:rsid w:val="00D469B2"/>
    <w:rsid w:val="00D52506"/>
    <w:rsid w:val="00D52B24"/>
    <w:rsid w:val="00D52EAA"/>
    <w:rsid w:val="00D52ECF"/>
    <w:rsid w:val="00D53F0C"/>
    <w:rsid w:val="00D5411A"/>
    <w:rsid w:val="00D54B09"/>
    <w:rsid w:val="00D54F50"/>
    <w:rsid w:val="00D55D5F"/>
    <w:rsid w:val="00D579A8"/>
    <w:rsid w:val="00D60D11"/>
    <w:rsid w:val="00D6230D"/>
    <w:rsid w:val="00D6243E"/>
    <w:rsid w:val="00D63285"/>
    <w:rsid w:val="00D64120"/>
    <w:rsid w:val="00D65658"/>
    <w:rsid w:val="00D65E61"/>
    <w:rsid w:val="00D67EB2"/>
    <w:rsid w:val="00D70312"/>
    <w:rsid w:val="00D70349"/>
    <w:rsid w:val="00D712AA"/>
    <w:rsid w:val="00D72B1E"/>
    <w:rsid w:val="00D72B6F"/>
    <w:rsid w:val="00D730C9"/>
    <w:rsid w:val="00D73646"/>
    <w:rsid w:val="00D737DF"/>
    <w:rsid w:val="00D740C6"/>
    <w:rsid w:val="00D741EB"/>
    <w:rsid w:val="00D746BB"/>
    <w:rsid w:val="00D74CEA"/>
    <w:rsid w:val="00D75EC0"/>
    <w:rsid w:val="00D7679C"/>
    <w:rsid w:val="00D769A9"/>
    <w:rsid w:val="00D76CE5"/>
    <w:rsid w:val="00D775B9"/>
    <w:rsid w:val="00D8144B"/>
    <w:rsid w:val="00D817A9"/>
    <w:rsid w:val="00D81EBD"/>
    <w:rsid w:val="00D81F2B"/>
    <w:rsid w:val="00D820F3"/>
    <w:rsid w:val="00D82A2C"/>
    <w:rsid w:val="00D83605"/>
    <w:rsid w:val="00D846A5"/>
    <w:rsid w:val="00D84934"/>
    <w:rsid w:val="00D84FFF"/>
    <w:rsid w:val="00D866EB"/>
    <w:rsid w:val="00D86C52"/>
    <w:rsid w:val="00D86FEB"/>
    <w:rsid w:val="00D87D1A"/>
    <w:rsid w:val="00D906DA"/>
    <w:rsid w:val="00D90E90"/>
    <w:rsid w:val="00D91271"/>
    <w:rsid w:val="00D9175B"/>
    <w:rsid w:val="00D919F5"/>
    <w:rsid w:val="00D92518"/>
    <w:rsid w:val="00D930BA"/>
    <w:rsid w:val="00D933A4"/>
    <w:rsid w:val="00D945F6"/>
    <w:rsid w:val="00D94F03"/>
    <w:rsid w:val="00D94FD2"/>
    <w:rsid w:val="00D95161"/>
    <w:rsid w:val="00D95C23"/>
    <w:rsid w:val="00D964E2"/>
    <w:rsid w:val="00DA0A82"/>
    <w:rsid w:val="00DA0D14"/>
    <w:rsid w:val="00DA1419"/>
    <w:rsid w:val="00DA1FC9"/>
    <w:rsid w:val="00DA250F"/>
    <w:rsid w:val="00DA25C7"/>
    <w:rsid w:val="00DA2CB5"/>
    <w:rsid w:val="00DA2F19"/>
    <w:rsid w:val="00DA32AE"/>
    <w:rsid w:val="00DA358F"/>
    <w:rsid w:val="00DA383E"/>
    <w:rsid w:val="00DA4BAC"/>
    <w:rsid w:val="00DA722E"/>
    <w:rsid w:val="00DA72D4"/>
    <w:rsid w:val="00DA792A"/>
    <w:rsid w:val="00DA7BB8"/>
    <w:rsid w:val="00DA7F11"/>
    <w:rsid w:val="00DB0151"/>
    <w:rsid w:val="00DB0160"/>
    <w:rsid w:val="00DB0263"/>
    <w:rsid w:val="00DB04D7"/>
    <w:rsid w:val="00DB07EA"/>
    <w:rsid w:val="00DB4D02"/>
    <w:rsid w:val="00DB50E1"/>
    <w:rsid w:val="00DB5619"/>
    <w:rsid w:val="00DC0566"/>
    <w:rsid w:val="00DC05E1"/>
    <w:rsid w:val="00DC1499"/>
    <w:rsid w:val="00DC16CF"/>
    <w:rsid w:val="00DC263D"/>
    <w:rsid w:val="00DC266A"/>
    <w:rsid w:val="00DC2C3E"/>
    <w:rsid w:val="00DC3137"/>
    <w:rsid w:val="00DC3A71"/>
    <w:rsid w:val="00DC44F2"/>
    <w:rsid w:val="00DC4880"/>
    <w:rsid w:val="00DC581F"/>
    <w:rsid w:val="00DC5E90"/>
    <w:rsid w:val="00DC5F79"/>
    <w:rsid w:val="00DC6233"/>
    <w:rsid w:val="00DC6EC3"/>
    <w:rsid w:val="00DC732A"/>
    <w:rsid w:val="00DCD3CD"/>
    <w:rsid w:val="00DD009D"/>
    <w:rsid w:val="00DD04D7"/>
    <w:rsid w:val="00DD0BE9"/>
    <w:rsid w:val="00DD15F9"/>
    <w:rsid w:val="00DD22FE"/>
    <w:rsid w:val="00DD26F9"/>
    <w:rsid w:val="00DD350E"/>
    <w:rsid w:val="00DD42AB"/>
    <w:rsid w:val="00DD6E29"/>
    <w:rsid w:val="00DD74AD"/>
    <w:rsid w:val="00DE06AF"/>
    <w:rsid w:val="00DE0F77"/>
    <w:rsid w:val="00DE3B2D"/>
    <w:rsid w:val="00DE3C8B"/>
    <w:rsid w:val="00DE49FF"/>
    <w:rsid w:val="00DE51EE"/>
    <w:rsid w:val="00DE6D27"/>
    <w:rsid w:val="00DE76EA"/>
    <w:rsid w:val="00DE78CA"/>
    <w:rsid w:val="00DF01F8"/>
    <w:rsid w:val="00DF021D"/>
    <w:rsid w:val="00DF0B47"/>
    <w:rsid w:val="00DF0FAC"/>
    <w:rsid w:val="00DF12B8"/>
    <w:rsid w:val="00DF14EE"/>
    <w:rsid w:val="00DF1BE4"/>
    <w:rsid w:val="00DF217D"/>
    <w:rsid w:val="00DF26A7"/>
    <w:rsid w:val="00DF3277"/>
    <w:rsid w:val="00DF3299"/>
    <w:rsid w:val="00DF32E6"/>
    <w:rsid w:val="00DF3915"/>
    <w:rsid w:val="00DF3A95"/>
    <w:rsid w:val="00DF6A31"/>
    <w:rsid w:val="00DF7407"/>
    <w:rsid w:val="00DF77A1"/>
    <w:rsid w:val="00DF7919"/>
    <w:rsid w:val="00E01EF6"/>
    <w:rsid w:val="00E0207E"/>
    <w:rsid w:val="00E022DB"/>
    <w:rsid w:val="00E02AE6"/>
    <w:rsid w:val="00E03912"/>
    <w:rsid w:val="00E04602"/>
    <w:rsid w:val="00E04748"/>
    <w:rsid w:val="00E04BF9"/>
    <w:rsid w:val="00E04CB8"/>
    <w:rsid w:val="00E05BA9"/>
    <w:rsid w:val="00E060AF"/>
    <w:rsid w:val="00E078D9"/>
    <w:rsid w:val="00E10293"/>
    <w:rsid w:val="00E103A0"/>
    <w:rsid w:val="00E1043F"/>
    <w:rsid w:val="00E10468"/>
    <w:rsid w:val="00E10C82"/>
    <w:rsid w:val="00E1157E"/>
    <w:rsid w:val="00E11F44"/>
    <w:rsid w:val="00E13E60"/>
    <w:rsid w:val="00E15627"/>
    <w:rsid w:val="00E15EE7"/>
    <w:rsid w:val="00E164B3"/>
    <w:rsid w:val="00E16910"/>
    <w:rsid w:val="00E17634"/>
    <w:rsid w:val="00E17A9E"/>
    <w:rsid w:val="00E17E62"/>
    <w:rsid w:val="00E201C1"/>
    <w:rsid w:val="00E20483"/>
    <w:rsid w:val="00E210F2"/>
    <w:rsid w:val="00E21164"/>
    <w:rsid w:val="00E239E2"/>
    <w:rsid w:val="00E24E09"/>
    <w:rsid w:val="00E26D29"/>
    <w:rsid w:val="00E27234"/>
    <w:rsid w:val="00E3175A"/>
    <w:rsid w:val="00E31838"/>
    <w:rsid w:val="00E3397A"/>
    <w:rsid w:val="00E3495C"/>
    <w:rsid w:val="00E40831"/>
    <w:rsid w:val="00E40CFC"/>
    <w:rsid w:val="00E4258D"/>
    <w:rsid w:val="00E42BDB"/>
    <w:rsid w:val="00E42EEB"/>
    <w:rsid w:val="00E43779"/>
    <w:rsid w:val="00E4382E"/>
    <w:rsid w:val="00E44753"/>
    <w:rsid w:val="00E44AE5"/>
    <w:rsid w:val="00E45410"/>
    <w:rsid w:val="00E45ECE"/>
    <w:rsid w:val="00E50B79"/>
    <w:rsid w:val="00E50E40"/>
    <w:rsid w:val="00E50F18"/>
    <w:rsid w:val="00E5175F"/>
    <w:rsid w:val="00E524A9"/>
    <w:rsid w:val="00E52FC6"/>
    <w:rsid w:val="00E53F1A"/>
    <w:rsid w:val="00E55161"/>
    <w:rsid w:val="00E551E4"/>
    <w:rsid w:val="00E55B6B"/>
    <w:rsid w:val="00E55CD5"/>
    <w:rsid w:val="00E5726D"/>
    <w:rsid w:val="00E5775B"/>
    <w:rsid w:val="00E57D3F"/>
    <w:rsid w:val="00E57EEB"/>
    <w:rsid w:val="00E60C04"/>
    <w:rsid w:val="00E6118C"/>
    <w:rsid w:val="00E61967"/>
    <w:rsid w:val="00E62D94"/>
    <w:rsid w:val="00E62ECC"/>
    <w:rsid w:val="00E63ECE"/>
    <w:rsid w:val="00E64F37"/>
    <w:rsid w:val="00E65091"/>
    <w:rsid w:val="00E65393"/>
    <w:rsid w:val="00E658B8"/>
    <w:rsid w:val="00E65E54"/>
    <w:rsid w:val="00E661C7"/>
    <w:rsid w:val="00E66679"/>
    <w:rsid w:val="00E66714"/>
    <w:rsid w:val="00E673DD"/>
    <w:rsid w:val="00E673DE"/>
    <w:rsid w:val="00E67A7B"/>
    <w:rsid w:val="00E70D33"/>
    <w:rsid w:val="00E70D4A"/>
    <w:rsid w:val="00E70E22"/>
    <w:rsid w:val="00E732C4"/>
    <w:rsid w:val="00E73BA7"/>
    <w:rsid w:val="00E74E41"/>
    <w:rsid w:val="00E74FB2"/>
    <w:rsid w:val="00E75151"/>
    <w:rsid w:val="00E76367"/>
    <w:rsid w:val="00E766D4"/>
    <w:rsid w:val="00E773AD"/>
    <w:rsid w:val="00E774C9"/>
    <w:rsid w:val="00E80155"/>
    <w:rsid w:val="00E805BC"/>
    <w:rsid w:val="00E80DBD"/>
    <w:rsid w:val="00E80F03"/>
    <w:rsid w:val="00E8134B"/>
    <w:rsid w:val="00E81E0D"/>
    <w:rsid w:val="00E81F28"/>
    <w:rsid w:val="00E82089"/>
    <w:rsid w:val="00E82774"/>
    <w:rsid w:val="00E82798"/>
    <w:rsid w:val="00E828AE"/>
    <w:rsid w:val="00E82AFD"/>
    <w:rsid w:val="00E82B71"/>
    <w:rsid w:val="00E82D57"/>
    <w:rsid w:val="00E83881"/>
    <w:rsid w:val="00E84464"/>
    <w:rsid w:val="00E848C0"/>
    <w:rsid w:val="00E84BB8"/>
    <w:rsid w:val="00E8604F"/>
    <w:rsid w:val="00E8641F"/>
    <w:rsid w:val="00E86C45"/>
    <w:rsid w:val="00E86F92"/>
    <w:rsid w:val="00E91B96"/>
    <w:rsid w:val="00E92F2E"/>
    <w:rsid w:val="00E935DA"/>
    <w:rsid w:val="00E93D1E"/>
    <w:rsid w:val="00E93E70"/>
    <w:rsid w:val="00E941A1"/>
    <w:rsid w:val="00E955E6"/>
    <w:rsid w:val="00E959B7"/>
    <w:rsid w:val="00E95CE3"/>
    <w:rsid w:val="00E95F9A"/>
    <w:rsid w:val="00E96C5C"/>
    <w:rsid w:val="00E96E99"/>
    <w:rsid w:val="00E97C1B"/>
    <w:rsid w:val="00EA0856"/>
    <w:rsid w:val="00EA1DC4"/>
    <w:rsid w:val="00EA1FC1"/>
    <w:rsid w:val="00EA22EE"/>
    <w:rsid w:val="00EA23AD"/>
    <w:rsid w:val="00EA252F"/>
    <w:rsid w:val="00EA2825"/>
    <w:rsid w:val="00EA2D31"/>
    <w:rsid w:val="00EA3322"/>
    <w:rsid w:val="00EA5027"/>
    <w:rsid w:val="00EA5A68"/>
    <w:rsid w:val="00EA64C2"/>
    <w:rsid w:val="00EA6518"/>
    <w:rsid w:val="00EA71A2"/>
    <w:rsid w:val="00EA73AA"/>
    <w:rsid w:val="00EA7466"/>
    <w:rsid w:val="00EA7A66"/>
    <w:rsid w:val="00EA7EDE"/>
    <w:rsid w:val="00EB0B63"/>
    <w:rsid w:val="00EB0EB5"/>
    <w:rsid w:val="00EB1936"/>
    <w:rsid w:val="00EB251E"/>
    <w:rsid w:val="00EB2B24"/>
    <w:rsid w:val="00EB3545"/>
    <w:rsid w:val="00EB35A1"/>
    <w:rsid w:val="00EB37BE"/>
    <w:rsid w:val="00EB4BAE"/>
    <w:rsid w:val="00EB5088"/>
    <w:rsid w:val="00EB5413"/>
    <w:rsid w:val="00EB6423"/>
    <w:rsid w:val="00EB7145"/>
    <w:rsid w:val="00EB7210"/>
    <w:rsid w:val="00EC0C53"/>
    <w:rsid w:val="00EC2726"/>
    <w:rsid w:val="00EC4C87"/>
    <w:rsid w:val="00EC575E"/>
    <w:rsid w:val="00EC5964"/>
    <w:rsid w:val="00EC681C"/>
    <w:rsid w:val="00EC75B0"/>
    <w:rsid w:val="00EC7B87"/>
    <w:rsid w:val="00ED02C6"/>
    <w:rsid w:val="00ED1644"/>
    <w:rsid w:val="00ED17A9"/>
    <w:rsid w:val="00ED19E4"/>
    <w:rsid w:val="00ED2593"/>
    <w:rsid w:val="00ED3280"/>
    <w:rsid w:val="00ED3709"/>
    <w:rsid w:val="00ED3979"/>
    <w:rsid w:val="00ED432F"/>
    <w:rsid w:val="00ED4C1F"/>
    <w:rsid w:val="00ED5A6E"/>
    <w:rsid w:val="00ED6567"/>
    <w:rsid w:val="00ED6E34"/>
    <w:rsid w:val="00ED7062"/>
    <w:rsid w:val="00ED7D55"/>
    <w:rsid w:val="00ED7D9C"/>
    <w:rsid w:val="00EE00A7"/>
    <w:rsid w:val="00EE0C28"/>
    <w:rsid w:val="00EE1C0E"/>
    <w:rsid w:val="00EE1F31"/>
    <w:rsid w:val="00EE2F77"/>
    <w:rsid w:val="00EE3158"/>
    <w:rsid w:val="00EE31A2"/>
    <w:rsid w:val="00EE36D6"/>
    <w:rsid w:val="00EE4329"/>
    <w:rsid w:val="00EE47D7"/>
    <w:rsid w:val="00EE4B2B"/>
    <w:rsid w:val="00EE6203"/>
    <w:rsid w:val="00EE66D4"/>
    <w:rsid w:val="00EE6DDC"/>
    <w:rsid w:val="00EF0069"/>
    <w:rsid w:val="00EF0AB3"/>
    <w:rsid w:val="00EF1C10"/>
    <w:rsid w:val="00EF1CA2"/>
    <w:rsid w:val="00EF229C"/>
    <w:rsid w:val="00EF3875"/>
    <w:rsid w:val="00EF3C52"/>
    <w:rsid w:val="00EF44A0"/>
    <w:rsid w:val="00EF4580"/>
    <w:rsid w:val="00EF4FED"/>
    <w:rsid w:val="00EF58FC"/>
    <w:rsid w:val="00EF5C58"/>
    <w:rsid w:val="00EF5F45"/>
    <w:rsid w:val="00EF6843"/>
    <w:rsid w:val="00EF6902"/>
    <w:rsid w:val="00EF6941"/>
    <w:rsid w:val="00EF6FB3"/>
    <w:rsid w:val="00F0022F"/>
    <w:rsid w:val="00F0068B"/>
    <w:rsid w:val="00F00723"/>
    <w:rsid w:val="00F007C6"/>
    <w:rsid w:val="00F0172E"/>
    <w:rsid w:val="00F03C91"/>
    <w:rsid w:val="00F04A65"/>
    <w:rsid w:val="00F050BD"/>
    <w:rsid w:val="00F0558F"/>
    <w:rsid w:val="00F05657"/>
    <w:rsid w:val="00F05AB0"/>
    <w:rsid w:val="00F06CE3"/>
    <w:rsid w:val="00F10EDB"/>
    <w:rsid w:val="00F11F8B"/>
    <w:rsid w:val="00F1298C"/>
    <w:rsid w:val="00F12C74"/>
    <w:rsid w:val="00F13214"/>
    <w:rsid w:val="00F1419B"/>
    <w:rsid w:val="00F14FFC"/>
    <w:rsid w:val="00F1559A"/>
    <w:rsid w:val="00F16431"/>
    <w:rsid w:val="00F17ED6"/>
    <w:rsid w:val="00F202F6"/>
    <w:rsid w:val="00F20568"/>
    <w:rsid w:val="00F20676"/>
    <w:rsid w:val="00F209E2"/>
    <w:rsid w:val="00F20C84"/>
    <w:rsid w:val="00F2398F"/>
    <w:rsid w:val="00F24814"/>
    <w:rsid w:val="00F2533F"/>
    <w:rsid w:val="00F25578"/>
    <w:rsid w:val="00F25707"/>
    <w:rsid w:val="00F258E5"/>
    <w:rsid w:val="00F25B9C"/>
    <w:rsid w:val="00F26339"/>
    <w:rsid w:val="00F2675A"/>
    <w:rsid w:val="00F2698E"/>
    <w:rsid w:val="00F26CC6"/>
    <w:rsid w:val="00F26D80"/>
    <w:rsid w:val="00F2701D"/>
    <w:rsid w:val="00F279D8"/>
    <w:rsid w:val="00F27D1F"/>
    <w:rsid w:val="00F300BC"/>
    <w:rsid w:val="00F305FA"/>
    <w:rsid w:val="00F31151"/>
    <w:rsid w:val="00F31DF6"/>
    <w:rsid w:val="00F3263C"/>
    <w:rsid w:val="00F32C18"/>
    <w:rsid w:val="00F3334E"/>
    <w:rsid w:val="00F33B47"/>
    <w:rsid w:val="00F33D43"/>
    <w:rsid w:val="00F3573A"/>
    <w:rsid w:val="00F35EB3"/>
    <w:rsid w:val="00F36CCB"/>
    <w:rsid w:val="00F374E5"/>
    <w:rsid w:val="00F37B93"/>
    <w:rsid w:val="00F37BAD"/>
    <w:rsid w:val="00F37ECA"/>
    <w:rsid w:val="00F37FF9"/>
    <w:rsid w:val="00F40A1C"/>
    <w:rsid w:val="00F41116"/>
    <w:rsid w:val="00F41A60"/>
    <w:rsid w:val="00F43AF2"/>
    <w:rsid w:val="00F45216"/>
    <w:rsid w:val="00F4527D"/>
    <w:rsid w:val="00F4612A"/>
    <w:rsid w:val="00F47F29"/>
    <w:rsid w:val="00F5007E"/>
    <w:rsid w:val="00F508F6"/>
    <w:rsid w:val="00F50EC4"/>
    <w:rsid w:val="00F51129"/>
    <w:rsid w:val="00F51A09"/>
    <w:rsid w:val="00F521AD"/>
    <w:rsid w:val="00F52232"/>
    <w:rsid w:val="00F527B1"/>
    <w:rsid w:val="00F52CBA"/>
    <w:rsid w:val="00F52DC2"/>
    <w:rsid w:val="00F54AF9"/>
    <w:rsid w:val="00F550CF"/>
    <w:rsid w:val="00F553D2"/>
    <w:rsid w:val="00F556DF"/>
    <w:rsid w:val="00F55859"/>
    <w:rsid w:val="00F56A2D"/>
    <w:rsid w:val="00F57A6D"/>
    <w:rsid w:val="00F6044B"/>
    <w:rsid w:val="00F60B76"/>
    <w:rsid w:val="00F62B33"/>
    <w:rsid w:val="00F62CAE"/>
    <w:rsid w:val="00F62F19"/>
    <w:rsid w:val="00F63894"/>
    <w:rsid w:val="00F638CC"/>
    <w:rsid w:val="00F64C9E"/>
    <w:rsid w:val="00F64CC1"/>
    <w:rsid w:val="00F64FC8"/>
    <w:rsid w:val="00F67742"/>
    <w:rsid w:val="00F677D2"/>
    <w:rsid w:val="00F708B1"/>
    <w:rsid w:val="00F70FF4"/>
    <w:rsid w:val="00F72317"/>
    <w:rsid w:val="00F73DC1"/>
    <w:rsid w:val="00F75BB8"/>
    <w:rsid w:val="00F765B2"/>
    <w:rsid w:val="00F765D6"/>
    <w:rsid w:val="00F77714"/>
    <w:rsid w:val="00F77D78"/>
    <w:rsid w:val="00F77D92"/>
    <w:rsid w:val="00F80475"/>
    <w:rsid w:val="00F80E6E"/>
    <w:rsid w:val="00F81390"/>
    <w:rsid w:val="00F81F7A"/>
    <w:rsid w:val="00F8247A"/>
    <w:rsid w:val="00F82E5C"/>
    <w:rsid w:val="00F83E86"/>
    <w:rsid w:val="00F83F58"/>
    <w:rsid w:val="00F84573"/>
    <w:rsid w:val="00F847C3"/>
    <w:rsid w:val="00F85206"/>
    <w:rsid w:val="00F86202"/>
    <w:rsid w:val="00F8665E"/>
    <w:rsid w:val="00F86686"/>
    <w:rsid w:val="00F876CB"/>
    <w:rsid w:val="00F87C7A"/>
    <w:rsid w:val="00F87CEA"/>
    <w:rsid w:val="00F90EE3"/>
    <w:rsid w:val="00F9191B"/>
    <w:rsid w:val="00F92247"/>
    <w:rsid w:val="00F9265D"/>
    <w:rsid w:val="00F930D6"/>
    <w:rsid w:val="00F938A2"/>
    <w:rsid w:val="00F941F1"/>
    <w:rsid w:val="00F944E2"/>
    <w:rsid w:val="00F9464C"/>
    <w:rsid w:val="00F950B6"/>
    <w:rsid w:val="00F9608B"/>
    <w:rsid w:val="00F9629A"/>
    <w:rsid w:val="00F97C59"/>
    <w:rsid w:val="00F97EFC"/>
    <w:rsid w:val="00FA0B04"/>
    <w:rsid w:val="00FA0B50"/>
    <w:rsid w:val="00FA0C7C"/>
    <w:rsid w:val="00FA1BDD"/>
    <w:rsid w:val="00FA305C"/>
    <w:rsid w:val="00FA392F"/>
    <w:rsid w:val="00FA462E"/>
    <w:rsid w:val="00FA4DD5"/>
    <w:rsid w:val="00FA5883"/>
    <w:rsid w:val="00FA6055"/>
    <w:rsid w:val="00FA6446"/>
    <w:rsid w:val="00FA6B8B"/>
    <w:rsid w:val="00FA6ED7"/>
    <w:rsid w:val="00FB0B39"/>
    <w:rsid w:val="00FB169A"/>
    <w:rsid w:val="00FB268D"/>
    <w:rsid w:val="00FB2B3A"/>
    <w:rsid w:val="00FB322F"/>
    <w:rsid w:val="00FB37D9"/>
    <w:rsid w:val="00FB3E88"/>
    <w:rsid w:val="00FB442F"/>
    <w:rsid w:val="00FB5A52"/>
    <w:rsid w:val="00FB63A4"/>
    <w:rsid w:val="00FB669C"/>
    <w:rsid w:val="00FB6DA0"/>
    <w:rsid w:val="00FC076E"/>
    <w:rsid w:val="00FC118C"/>
    <w:rsid w:val="00FC170C"/>
    <w:rsid w:val="00FC1929"/>
    <w:rsid w:val="00FC2242"/>
    <w:rsid w:val="00FC2EA5"/>
    <w:rsid w:val="00FC3BCB"/>
    <w:rsid w:val="00FC5015"/>
    <w:rsid w:val="00FC5054"/>
    <w:rsid w:val="00FC5348"/>
    <w:rsid w:val="00FC5439"/>
    <w:rsid w:val="00FC5B46"/>
    <w:rsid w:val="00FC793A"/>
    <w:rsid w:val="00FD0AE6"/>
    <w:rsid w:val="00FD1D4F"/>
    <w:rsid w:val="00FD24BF"/>
    <w:rsid w:val="00FD3B6E"/>
    <w:rsid w:val="00FD4140"/>
    <w:rsid w:val="00FD46BD"/>
    <w:rsid w:val="00FD57EB"/>
    <w:rsid w:val="00FD625D"/>
    <w:rsid w:val="00FD6D8E"/>
    <w:rsid w:val="00FE0663"/>
    <w:rsid w:val="00FE0C0F"/>
    <w:rsid w:val="00FE0E94"/>
    <w:rsid w:val="00FE2423"/>
    <w:rsid w:val="00FE3173"/>
    <w:rsid w:val="00FE369C"/>
    <w:rsid w:val="00FE3CD9"/>
    <w:rsid w:val="00FE60DE"/>
    <w:rsid w:val="00FF00BD"/>
    <w:rsid w:val="00FF02A8"/>
    <w:rsid w:val="00FF067C"/>
    <w:rsid w:val="00FF0B13"/>
    <w:rsid w:val="00FF1672"/>
    <w:rsid w:val="00FF1ED4"/>
    <w:rsid w:val="00FF21BD"/>
    <w:rsid w:val="00FF2801"/>
    <w:rsid w:val="00FF3642"/>
    <w:rsid w:val="00FF5246"/>
    <w:rsid w:val="00FF5E5F"/>
    <w:rsid w:val="00FF6153"/>
    <w:rsid w:val="00FF72C3"/>
    <w:rsid w:val="00FF76B7"/>
    <w:rsid w:val="00FF799B"/>
    <w:rsid w:val="012A7082"/>
    <w:rsid w:val="01344060"/>
    <w:rsid w:val="0143FC8B"/>
    <w:rsid w:val="01472274"/>
    <w:rsid w:val="01651A0F"/>
    <w:rsid w:val="01BAC867"/>
    <w:rsid w:val="0254441C"/>
    <w:rsid w:val="026FC8EA"/>
    <w:rsid w:val="02C5290C"/>
    <w:rsid w:val="02E816C3"/>
    <w:rsid w:val="032394EB"/>
    <w:rsid w:val="033B2F40"/>
    <w:rsid w:val="03445D08"/>
    <w:rsid w:val="03AF54BB"/>
    <w:rsid w:val="03D19B10"/>
    <w:rsid w:val="03D8AA3A"/>
    <w:rsid w:val="03F4C9A4"/>
    <w:rsid w:val="0437B5A4"/>
    <w:rsid w:val="043EF900"/>
    <w:rsid w:val="04420BBE"/>
    <w:rsid w:val="04A12F4E"/>
    <w:rsid w:val="04DBE9EA"/>
    <w:rsid w:val="05182518"/>
    <w:rsid w:val="051D99F9"/>
    <w:rsid w:val="05347DC3"/>
    <w:rsid w:val="054FDB30"/>
    <w:rsid w:val="05B0253F"/>
    <w:rsid w:val="05B612E3"/>
    <w:rsid w:val="0605216C"/>
    <w:rsid w:val="063EE9F7"/>
    <w:rsid w:val="069F379E"/>
    <w:rsid w:val="06AA7958"/>
    <w:rsid w:val="06BFEB2C"/>
    <w:rsid w:val="06CD2ED8"/>
    <w:rsid w:val="071D291C"/>
    <w:rsid w:val="076CEE75"/>
    <w:rsid w:val="07901542"/>
    <w:rsid w:val="0802306B"/>
    <w:rsid w:val="08185FB9"/>
    <w:rsid w:val="082A09EB"/>
    <w:rsid w:val="087D5A64"/>
    <w:rsid w:val="089BC592"/>
    <w:rsid w:val="0955F70A"/>
    <w:rsid w:val="09669003"/>
    <w:rsid w:val="097DE638"/>
    <w:rsid w:val="0990A0FA"/>
    <w:rsid w:val="0A0C7AE1"/>
    <w:rsid w:val="0A663D94"/>
    <w:rsid w:val="0B1A6068"/>
    <w:rsid w:val="0B1BF5E7"/>
    <w:rsid w:val="0B575018"/>
    <w:rsid w:val="0C05C581"/>
    <w:rsid w:val="0CC44FFE"/>
    <w:rsid w:val="0CF130DF"/>
    <w:rsid w:val="0CFE1DFD"/>
    <w:rsid w:val="0D4FC7CF"/>
    <w:rsid w:val="0D535F19"/>
    <w:rsid w:val="0D86D04A"/>
    <w:rsid w:val="0DC4E36E"/>
    <w:rsid w:val="0DC8FC55"/>
    <w:rsid w:val="0DDF8007"/>
    <w:rsid w:val="0E1BD73B"/>
    <w:rsid w:val="0E5E506F"/>
    <w:rsid w:val="0EC80DC0"/>
    <w:rsid w:val="0F3CCC3B"/>
    <w:rsid w:val="0F5CF529"/>
    <w:rsid w:val="0F64977F"/>
    <w:rsid w:val="0FC31246"/>
    <w:rsid w:val="1023E0F9"/>
    <w:rsid w:val="10F64539"/>
    <w:rsid w:val="11076501"/>
    <w:rsid w:val="11594E7A"/>
    <w:rsid w:val="1272477B"/>
    <w:rsid w:val="12B95C68"/>
    <w:rsid w:val="131B0C29"/>
    <w:rsid w:val="1325625A"/>
    <w:rsid w:val="13328A77"/>
    <w:rsid w:val="1349EE8E"/>
    <w:rsid w:val="13668A0E"/>
    <w:rsid w:val="1377E768"/>
    <w:rsid w:val="1382CCEC"/>
    <w:rsid w:val="13B03DC9"/>
    <w:rsid w:val="13C3FC16"/>
    <w:rsid w:val="146D7A21"/>
    <w:rsid w:val="14AC149B"/>
    <w:rsid w:val="14F07869"/>
    <w:rsid w:val="15107A79"/>
    <w:rsid w:val="1540E398"/>
    <w:rsid w:val="154BC63E"/>
    <w:rsid w:val="1559BAC6"/>
    <w:rsid w:val="1561DB6A"/>
    <w:rsid w:val="158050AA"/>
    <w:rsid w:val="15B98674"/>
    <w:rsid w:val="16190EF7"/>
    <w:rsid w:val="162998A6"/>
    <w:rsid w:val="1672EBF2"/>
    <w:rsid w:val="1724197A"/>
    <w:rsid w:val="179FA008"/>
    <w:rsid w:val="17DB12DA"/>
    <w:rsid w:val="17FD5F39"/>
    <w:rsid w:val="184EE82A"/>
    <w:rsid w:val="18657CF4"/>
    <w:rsid w:val="18DC9AD2"/>
    <w:rsid w:val="19865D59"/>
    <w:rsid w:val="19890FA6"/>
    <w:rsid w:val="19B44400"/>
    <w:rsid w:val="19F2311B"/>
    <w:rsid w:val="19F7AA11"/>
    <w:rsid w:val="1A0D3C6A"/>
    <w:rsid w:val="1A11A52F"/>
    <w:rsid w:val="1A2D1BE7"/>
    <w:rsid w:val="1A2E9875"/>
    <w:rsid w:val="1A42ED04"/>
    <w:rsid w:val="1A493C9F"/>
    <w:rsid w:val="1A8A0C43"/>
    <w:rsid w:val="1A991D7E"/>
    <w:rsid w:val="1B0BFFE7"/>
    <w:rsid w:val="1B265574"/>
    <w:rsid w:val="1B4DABE9"/>
    <w:rsid w:val="1C179F9A"/>
    <w:rsid w:val="1CCDB178"/>
    <w:rsid w:val="1CD09B93"/>
    <w:rsid w:val="1D4E7C25"/>
    <w:rsid w:val="1D6033D6"/>
    <w:rsid w:val="1DDBDA0D"/>
    <w:rsid w:val="1E382E8C"/>
    <w:rsid w:val="1E3994BB"/>
    <w:rsid w:val="1E938E64"/>
    <w:rsid w:val="1EAFF635"/>
    <w:rsid w:val="1ED91F09"/>
    <w:rsid w:val="1F10B504"/>
    <w:rsid w:val="1F3EECBD"/>
    <w:rsid w:val="1F59FA5E"/>
    <w:rsid w:val="1F8D4218"/>
    <w:rsid w:val="1FB6E350"/>
    <w:rsid w:val="1FF3162D"/>
    <w:rsid w:val="1FFAA500"/>
    <w:rsid w:val="2009EB8A"/>
    <w:rsid w:val="2031DCB2"/>
    <w:rsid w:val="2045F669"/>
    <w:rsid w:val="20615CA5"/>
    <w:rsid w:val="20874406"/>
    <w:rsid w:val="210F5AF1"/>
    <w:rsid w:val="212CBC64"/>
    <w:rsid w:val="2189A0F0"/>
    <w:rsid w:val="218B357F"/>
    <w:rsid w:val="2229596B"/>
    <w:rsid w:val="2234D9A7"/>
    <w:rsid w:val="22668F01"/>
    <w:rsid w:val="2294D947"/>
    <w:rsid w:val="22A74C0A"/>
    <w:rsid w:val="22CE8CC0"/>
    <w:rsid w:val="22F030A3"/>
    <w:rsid w:val="231C3354"/>
    <w:rsid w:val="23579DA6"/>
    <w:rsid w:val="238CC620"/>
    <w:rsid w:val="24360F3D"/>
    <w:rsid w:val="244B8CF8"/>
    <w:rsid w:val="247E43CE"/>
    <w:rsid w:val="24B00B6F"/>
    <w:rsid w:val="24C0A041"/>
    <w:rsid w:val="24CA5046"/>
    <w:rsid w:val="24F49182"/>
    <w:rsid w:val="2548D476"/>
    <w:rsid w:val="26615FE7"/>
    <w:rsid w:val="2678B15D"/>
    <w:rsid w:val="2688C94A"/>
    <w:rsid w:val="26B10E43"/>
    <w:rsid w:val="26BF8A49"/>
    <w:rsid w:val="26E6F8CE"/>
    <w:rsid w:val="26EEAF59"/>
    <w:rsid w:val="26F6F44A"/>
    <w:rsid w:val="27394882"/>
    <w:rsid w:val="28748E0F"/>
    <w:rsid w:val="288F8CD5"/>
    <w:rsid w:val="28ACF563"/>
    <w:rsid w:val="28B27485"/>
    <w:rsid w:val="28E08795"/>
    <w:rsid w:val="28F1E601"/>
    <w:rsid w:val="29365BD7"/>
    <w:rsid w:val="29386B5C"/>
    <w:rsid w:val="293F1383"/>
    <w:rsid w:val="29882150"/>
    <w:rsid w:val="29E0E709"/>
    <w:rsid w:val="2AA490C3"/>
    <w:rsid w:val="2AB480AD"/>
    <w:rsid w:val="2B314C02"/>
    <w:rsid w:val="2B8D5B09"/>
    <w:rsid w:val="2BC74F9F"/>
    <w:rsid w:val="2BD5ECC6"/>
    <w:rsid w:val="2BE3D141"/>
    <w:rsid w:val="2C4C1D68"/>
    <w:rsid w:val="2C701699"/>
    <w:rsid w:val="2C7C3DFB"/>
    <w:rsid w:val="2D470254"/>
    <w:rsid w:val="2DDA3DE0"/>
    <w:rsid w:val="2DECC312"/>
    <w:rsid w:val="2DF63234"/>
    <w:rsid w:val="2DF94FA8"/>
    <w:rsid w:val="2E4579D6"/>
    <w:rsid w:val="2E5179F2"/>
    <w:rsid w:val="2E780AF1"/>
    <w:rsid w:val="2EBD3EB5"/>
    <w:rsid w:val="2EE44264"/>
    <w:rsid w:val="2EF0545B"/>
    <w:rsid w:val="2F8CF3EE"/>
    <w:rsid w:val="2FC97F8A"/>
    <w:rsid w:val="2FD096FC"/>
    <w:rsid w:val="300EDF22"/>
    <w:rsid w:val="30169C57"/>
    <w:rsid w:val="302F0C71"/>
    <w:rsid w:val="3034FAD8"/>
    <w:rsid w:val="3079EB0D"/>
    <w:rsid w:val="307D714D"/>
    <w:rsid w:val="3093AC95"/>
    <w:rsid w:val="30E8B387"/>
    <w:rsid w:val="310C8389"/>
    <w:rsid w:val="31C1265F"/>
    <w:rsid w:val="31DDA704"/>
    <w:rsid w:val="321F658F"/>
    <w:rsid w:val="32FF246E"/>
    <w:rsid w:val="32FFC29C"/>
    <w:rsid w:val="3320F36F"/>
    <w:rsid w:val="337A017F"/>
    <w:rsid w:val="340D0A3D"/>
    <w:rsid w:val="343A4F58"/>
    <w:rsid w:val="34E7EA92"/>
    <w:rsid w:val="352041E0"/>
    <w:rsid w:val="3531071A"/>
    <w:rsid w:val="35B7AB99"/>
    <w:rsid w:val="363425FC"/>
    <w:rsid w:val="36966B1E"/>
    <w:rsid w:val="3730C355"/>
    <w:rsid w:val="373C6128"/>
    <w:rsid w:val="3743373C"/>
    <w:rsid w:val="37C1F8E8"/>
    <w:rsid w:val="37FB7A66"/>
    <w:rsid w:val="3805C0E7"/>
    <w:rsid w:val="38168071"/>
    <w:rsid w:val="3826482E"/>
    <w:rsid w:val="393376D2"/>
    <w:rsid w:val="393D0392"/>
    <w:rsid w:val="395463D1"/>
    <w:rsid w:val="3956DAE6"/>
    <w:rsid w:val="398863F1"/>
    <w:rsid w:val="39CF9C41"/>
    <w:rsid w:val="3A20C143"/>
    <w:rsid w:val="3A4C135D"/>
    <w:rsid w:val="3A691976"/>
    <w:rsid w:val="3AB7F903"/>
    <w:rsid w:val="3B3F5421"/>
    <w:rsid w:val="3B66F434"/>
    <w:rsid w:val="3BA095AD"/>
    <w:rsid w:val="3BBBF583"/>
    <w:rsid w:val="3C5A49E2"/>
    <w:rsid w:val="3CEEBC88"/>
    <w:rsid w:val="3D2533CE"/>
    <w:rsid w:val="3DB28460"/>
    <w:rsid w:val="3E2BF40F"/>
    <w:rsid w:val="3EDC23CB"/>
    <w:rsid w:val="3EF234DE"/>
    <w:rsid w:val="3F40B8C9"/>
    <w:rsid w:val="3F4CF30B"/>
    <w:rsid w:val="3F9F2BD2"/>
    <w:rsid w:val="4016B7EE"/>
    <w:rsid w:val="40771079"/>
    <w:rsid w:val="40930EF5"/>
    <w:rsid w:val="40B562FD"/>
    <w:rsid w:val="41008286"/>
    <w:rsid w:val="4110CDB4"/>
    <w:rsid w:val="413002A1"/>
    <w:rsid w:val="418A57EF"/>
    <w:rsid w:val="4196D8D0"/>
    <w:rsid w:val="41E30F79"/>
    <w:rsid w:val="42691D0F"/>
    <w:rsid w:val="426A0440"/>
    <w:rsid w:val="4299D2D8"/>
    <w:rsid w:val="42A2DDFB"/>
    <w:rsid w:val="42C73EAA"/>
    <w:rsid w:val="43416271"/>
    <w:rsid w:val="4359DD3B"/>
    <w:rsid w:val="4372D6C2"/>
    <w:rsid w:val="43B5ABB9"/>
    <w:rsid w:val="43E2AF8D"/>
    <w:rsid w:val="44259E5F"/>
    <w:rsid w:val="442B97B3"/>
    <w:rsid w:val="443448FB"/>
    <w:rsid w:val="44505BFC"/>
    <w:rsid w:val="445660C2"/>
    <w:rsid w:val="445C8FA9"/>
    <w:rsid w:val="450F5A46"/>
    <w:rsid w:val="4515EC39"/>
    <w:rsid w:val="4527B42A"/>
    <w:rsid w:val="45662C2F"/>
    <w:rsid w:val="456C4AA2"/>
    <w:rsid w:val="457486B5"/>
    <w:rsid w:val="457E9E8D"/>
    <w:rsid w:val="45AE9F17"/>
    <w:rsid w:val="45F6D215"/>
    <w:rsid w:val="46300A64"/>
    <w:rsid w:val="4641A0D0"/>
    <w:rsid w:val="465B67C7"/>
    <w:rsid w:val="466D8D33"/>
    <w:rsid w:val="46DB6B79"/>
    <w:rsid w:val="46FF861F"/>
    <w:rsid w:val="474F99E4"/>
    <w:rsid w:val="4754D124"/>
    <w:rsid w:val="475DE9CA"/>
    <w:rsid w:val="47B16CD8"/>
    <w:rsid w:val="483DA525"/>
    <w:rsid w:val="485C4BFB"/>
    <w:rsid w:val="486D5161"/>
    <w:rsid w:val="4873567A"/>
    <w:rsid w:val="487B6C7A"/>
    <w:rsid w:val="488A90DF"/>
    <w:rsid w:val="48AEDB68"/>
    <w:rsid w:val="48B62FBD"/>
    <w:rsid w:val="48F582C0"/>
    <w:rsid w:val="49441A2E"/>
    <w:rsid w:val="495D9BBE"/>
    <w:rsid w:val="497DFA51"/>
    <w:rsid w:val="49B7AFE4"/>
    <w:rsid w:val="49B7B512"/>
    <w:rsid w:val="4AD18A61"/>
    <w:rsid w:val="4AE86C22"/>
    <w:rsid w:val="4B35DECB"/>
    <w:rsid w:val="4BC965F0"/>
    <w:rsid w:val="4C715C44"/>
    <w:rsid w:val="4C7E6D49"/>
    <w:rsid w:val="4C8B405E"/>
    <w:rsid w:val="4CA8BA21"/>
    <w:rsid w:val="4D21EA56"/>
    <w:rsid w:val="4D731695"/>
    <w:rsid w:val="4DA14906"/>
    <w:rsid w:val="4DD74500"/>
    <w:rsid w:val="4DF85D80"/>
    <w:rsid w:val="4E4B564E"/>
    <w:rsid w:val="4EBD87FE"/>
    <w:rsid w:val="4EE3854C"/>
    <w:rsid w:val="4F28A562"/>
    <w:rsid w:val="4FF90AEF"/>
    <w:rsid w:val="501CE56A"/>
    <w:rsid w:val="5057B658"/>
    <w:rsid w:val="50F1C25A"/>
    <w:rsid w:val="50F61182"/>
    <w:rsid w:val="513D4BB2"/>
    <w:rsid w:val="51624AFE"/>
    <w:rsid w:val="517C50E5"/>
    <w:rsid w:val="519ED23D"/>
    <w:rsid w:val="51A107A9"/>
    <w:rsid w:val="51E0DC37"/>
    <w:rsid w:val="521C1C44"/>
    <w:rsid w:val="52537866"/>
    <w:rsid w:val="52572119"/>
    <w:rsid w:val="53044900"/>
    <w:rsid w:val="53229BC9"/>
    <w:rsid w:val="5339DF3C"/>
    <w:rsid w:val="533B922D"/>
    <w:rsid w:val="53B39A2E"/>
    <w:rsid w:val="53B64491"/>
    <w:rsid w:val="54C17BA2"/>
    <w:rsid w:val="552AB68D"/>
    <w:rsid w:val="55330657"/>
    <w:rsid w:val="553311EF"/>
    <w:rsid w:val="5588431F"/>
    <w:rsid w:val="559B5E29"/>
    <w:rsid w:val="55ACD1A0"/>
    <w:rsid w:val="55B0D617"/>
    <w:rsid w:val="55D9C166"/>
    <w:rsid w:val="55F78ED8"/>
    <w:rsid w:val="566E20F7"/>
    <w:rsid w:val="567FD2A0"/>
    <w:rsid w:val="568C6C12"/>
    <w:rsid w:val="56AFA43F"/>
    <w:rsid w:val="56DE887C"/>
    <w:rsid w:val="57197AAA"/>
    <w:rsid w:val="573E66D1"/>
    <w:rsid w:val="5832B76E"/>
    <w:rsid w:val="58963761"/>
    <w:rsid w:val="58A51D8A"/>
    <w:rsid w:val="590FF284"/>
    <w:rsid w:val="59185BFB"/>
    <w:rsid w:val="593F501C"/>
    <w:rsid w:val="598F8E2B"/>
    <w:rsid w:val="5A05D725"/>
    <w:rsid w:val="5A0EF3DE"/>
    <w:rsid w:val="5A9F0081"/>
    <w:rsid w:val="5ADD90BE"/>
    <w:rsid w:val="5AF3424D"/>
    <w:rsid w:val="5B1E38D7"/>
    <w:rsid w:val="5B64D2C3"/>
    <w:rsid w:val="5B9D8C93"/>
    <w:rsid w:val="5C12BB18"/>
    <w:rsid w:val="5C8A0BE9"/>
    <w:rsid w:val="5CB076C8"/>
    <w:rsid w:val="5D5832E9"/>
    <w:rsid w:val="5D73EEC5"/>
    <w:rsid w:val="5D80A09E"/>
    <w:rsid w:val="5DC1C88E"/>
    <w:rsid w:val="5DEB2CE2"/>
    <w:rsid w:val="5DF2A876"/>
    <w:rsid w:val="5E47B8C6"/>
    <w:rsid w:val="5EACEEBD"/>
    <w:rsid w:val="5EAF26BC"/>
    <w:rsid w:val="5EBDDC85"/>
    <w:rsid w:val="5EEC1F52"/>
    <w:rsid w:val="5F129E2E"/>
    <w:rsid w:val="5F131ED0"/>
    <w:rsid w:val="5F6E40C0"/>
    <w:rsid w:val="5F7F6BD8"/>
    <w:rsid w:val="5F8C18FC"/>
    <w:rsid w:val="5FB8A582"/>
    <w:rsid w:val="600E03FD"/>
    <w:rsid w:val="60278616"/>
    <w:rsid w:val="6059ADAB"/>
    <w:rsid w:val="609305FF"/>
    <w:rsid w:val="61275640"/>
    <w:rsid w:val="61811320"/>
    <w:rsid w:val="6238D218"/>
    <w:rsid w:val="627B6382"/>
    <w:rsid w:val="628AA4B8"/>
    <w:rsid w:val="628CB478"/>
    <w:rsid w:val="62AD93BA"/>
    <w:rsid w:val="62B2ACAB"/>
    <w:rsid w:val="62E25D55"/>
    <w:rsid w:val="63555756"/>
    <w:rsid w:val="6380C1AC"/>
    <w:rsid w:val="644E444D"/>
    <w:rsid w:val="6469453E"/>
    <w:rsid w:val="65573E26"/>
    <w:rsid w:val="655FF20A"/>
    <w:rsid w:val="65782021"/>
    <w:rsid w:val="658A615E"/>
    <w:rsid w:val="65AD35BA"/>
    <w:rsid w:val="65C2D45A"/>
    <w:rsid w:val="65EC1D65"/>
    <w:rsid w:val="65F7AEF0"/>
    <w:rsid w:val="6657D135"/>
    <w:rsid w:val="66BE40F2"/>
    <w:rsid w:val="66D9E62A"/>
    <w:rsid w:val="66E8E023"/>
    <w:rsid w:val="6728F4B3"/>
    <w:rsid w:val="673BE400"/>
    <w:rsid w:val="67585FE1"/>
    <w:rsid w:val="67B6BAF7"/>
    <w:rsid w:val="67C8E231"/>
    <w:rsid w:val="67EAB29E"/>
    <w:rsid w:val="6849CAB7"/>
    <w:rsid w:val="684BD26B"/>
    <w:rsid w:val="68E0347C"/>
    <w:rsid w:val="6916873E"/>
    <w:rsid w:val="6956685D"/>
    <w:rsid w:val="699B3EBB"/>
    <w:rsid w:val="69A7D5B7"/>
    <w:rsid w:val="69EA3CFC"/>
    <w:rsid w:val="6A2AAF49"/>
    <w:rsid w:val="6A2F3975"/>
    <w:rsid w:val="6A3EEE8C"/>
    <w:rsid w:val="6AFBE8EB"/>
    <w:rsid w:val="6B395260"/>
    <w:rsid w:val="6B8F42C6"/>
    <w:rsid w:val="6B91E144"/>
    <w:rsid w:val="6BA135DA"/>
    <w:rsid w:val="6BAD574D"/>
    <w:rsid w:val="6C49999A"/>
    <w:rsid w:val="6C588860"/>
    <w:rsid w:val="6CA77350"/>
    <w:rsid w:val="6CBBD528"/>
    <w:rsid w:val="6DA00FC7"/>
    <w:rsid w:val="6EBB2E99"/>
    <w:rsid w:val="6ECCFA39"/>
    <w:rsid w:val="6EFC8008"/>
    <w:rsid w:val="6F0DBBCA"/>
    <w:rsid w:val="7033367F"/>
    <w:rsid w:val="705B9433"/>
    <w:rsid w:val="7081CB82"/>
    <w:rsid w:val="7093FE7D"/>
    <w:rsid w:val="70971A32"/>
    <w:rsid w:val="709A626A"/>
    <w:rsid w:val="709D01E2"/>
    <w:rsid w:val="70F141CA"/>
    <w:rsid w:val="716D6D8F"/>
    <w:rsid w:val="717D27A5"/>
    <w:rsid w:val="72422D19"/>
    <w:rsid w:val="72634030"/>
    <w:rsid w:val="728C3DD8"/>
    <w:rsid w:val="72E9690E"/>
    <w:rsid w:val="72EE6090"/>
    <w:rsid w:val="731BA24E"/>
    <w:rsid w:val="73C929CD"/>
    <w:rsid w:val="73D4F7E9"/>
    <w:rsid w:val="73E7CF48"/>
    <w:rsid w:val="74308A66"/>
    <w:rsid w:val="74663549"/>
    <w:rsid w:val="74C56B6C"/>
    <w:rsid w:val="74E2C338"/>
    <w:rsid w:val="74E6CDE9"/>
    <w:rsid w:val="756075F8"/>
    <w:rsid w:val="7593A779"/>
    <w:rsid w:val="75B5D97D"/>
    <w:rsid w:val="75B9CE48"/>
    <w:rsid w:val="75BBC7A1"/>
    <w:rsid w:val="75F81A8F"/>
    <w:rsid w:val="764DA178"/>
    <w:rsid w:val="765D7EA6"/>
    <w:rsid w:val="76D7AE50"/>
    <w:rsid w:val="77117D3B"/>
    <w:rsid w:val="77588DE7"/>
    <w:rsid w:val="77B642A1"/>
    <w:rsid w:val="77FEACF1"/>
    <w:rsid w:val="7801940C"/>
    <w:rsid w:val="78063D85"/>
    <w:rsid w:val="78168F3E"/>
    <w:rsid w:val="786ACF50"/>
    <w:rsid w:val="78916E24"/>
    <w:rsid w:val="78E271BD"/>
    <w:rsid w:val="78E93C4E"/>
    <w:rsid w:val="790D475F"/>
    <w:rsid w:val="792BB64F"/>
    <w:rsid w:val="79480F7D"/>
    <w:rsid w:val="796619FB"/>
    <w:rsid w:val="79E941EA"/>
    <w:rsid w:val="7A0121D3"/>
    <w:rsid w:val="7A3DE86F"/>
    <w:rsid w:val="7A562056"/>
    <w:rsid w:val="7A70B185"/>
    <w:rsid w:val="7AD6838E"/>
    <w:rsid w:val="7B180F93"/>
    <w:rsid w:val="7B1B6DA9"/>
    <w:rsid w:val="7B349606"/>
    <w:rsid w:val="7B442E0A"/>
    <w:rsid w:val="7C0181FE"/>
    <w:rsid w:val="7C461266"/>
    <w:rsid w:val="7C63B7C1"/>
    <w:rsid w:val="7C73E7A8"/>
    <w:rsid w:val="7C7878ED"/>
    <w:rsid w:val="7CDEBC17"/>
    <w:rsid w:val="7D61AEBC"/>
    <w:rsid w:val="7D98DA3E"/>
    <w:rsid w:val="7D9FAA42"/>
    <w:rsid w:val="7DAC400C"/>
    <w:rsid w:val="7E044825"/>
    <w:rsid w:val="7E303FD3"/>
    <w:rsid w:val="7E3EF267"/>
    <w:rsid w:val="7E77EEEF"/>
    <w:rsid w:val="7E784689"/>
    <w:rsid w:val="7E9A54A9"/>
    <w:rsid w:val="7F47C472"/>
    <w:rsid w:val="7F5327A7"/>
    <w:rsid w:val="7F79F4B4"/>
    <w:rsid w:val="7FA82C29"/>
    <w:rsid w:val="7FB7C380"/>
    <w:rsid w:val="7FC15486"/>
    <w:rsid w:val="7FD623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aliases w:val="Summary box,Dossier Table,Standar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9"/>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99"/>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spacing w:before="240" w:after="120"/>
      <w:ind w:left="720" w:hanging="7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Heading5Char">
    <w:name w:val="Heading 5 Char"/>
    <w:basedOn w:val="DefaultParagraphFont"/>
    <w:link w:val="Heading5"/>
    <w:rsid w:val="001B0767"/>
    <w:rPr>
      <w:rFonts w:ascii="Calibri" w:hAnsi="Calibri"/>
      <w:b/>
      <w:bCs/>
      <w:i/>
      <w:iCs/>
      <w:sz w:val="26"/>
      <w:szCs w:val="26"/>
    </w:rPr>
  </w:style>
  <w:style w:type="character" w:customStyle="1" w:styleId="Heading6Char">
    <w:name w:val="Heading 6 Char"/>
    <w:basedOn w:val="DefaultParagraphFont"/>
    <w:link w:val="Heading6"/>
    <w:rsid w:val="001B0767"/>
    <w:rPr>
      <w:rFonts w:ascii="Calibri" w:hAnsi="Calibri"/>
      <w:b/>
      <w:bCs/>
      <w:sz w:val="22"/>
      <w:szCs w:val="22"/>
    </w:rPr>
  </w:style>
  <w:style w:type="character" w:customStyle="1" w:styleId="BalloonTextChar">
    <w:name w:val="Balloon Text Char"/>
    <w:basedOn w:val="DefaultParagraphFont"/>
    <w:link w:val="BalloonText"/>
    <w:semiHidden/>
    <w:rsid w:val="001B0767"/>
    <w:rPr>
      <w:rFonts w:ascii="Tahoma" w:hAnsi="Tahoma" w:cs="Tahoma"/>
      <w:sz w:val="16"/>
      <w:szCs w:val="16"/>
    </w:rPr>
  </w:style>
  <w:style w:type="character" w:customStyle="1" w:styleId="BodyText3Char">
    <w:name w:val="Body Text 3 Char"/>
    <w:basedOn w:val="DefaultParagraphFont"/>
    <w:link w:val="BodyText3"/>
    <w:rsid w:val="001B0767"/>
    <w:rPr>
      <w:rFonts w:ascii="Calibri" w:hAnsi="Calibri"/>
      <w:sz w:val="16"/>
      <w:szCs w:val="16"/>
    </w:rPr>
  </w:style>
  <w:style w:type="character" w:customStyle="1" w:styleId="SubtitleChar1">
    <w:name w:val="Subtitle Char1"/>
    <w:basedOn w:val="DefaultParagraphFont"/>
    <w:uiPriority w:val="11"/>
    <w:rsid w:val="001B0767"/>
    <w:rPr>
      <w:rFonts w:asciiTheme="minorHAnsi" w:eastAsiaTheme="majorEastAsia" w:hAnsiTheme="minorHAnsi" w:cstheme="majorBidi"/>
      <w:color w:val="595959" w:themeColor="text1" w:themeTint="A6"/>
      <w:spacing w:val="15"/>
      <w:sz w:val="28"/>
      <w:szCs w:val="28"/>
    </w:rPr>
  </w:style>
  <w:style w:type="paragraph" w:customStyle="1" w:styleId="PBACcaption">
    <w:name w:val="PBAC caption"/>
    <w:basedOn w:val="Normal"/>
    <w:link w:val="PBACcaptionChar"/>
    <w:qFormat/>
    <w:rsid w:val="00EF0AB3"/>
    <w:pPr>
      <w:keepNext/>
      <w:jc w:val="left"/>
    </w:pPr>
    <w:rPr>
      <w:rFonts w:ascii="Aptos" w:eastAsiaTheme="minorHAnsi" w:hAnsi="Aptos" w:cs="Arial"/>
      <w:b/>
      <w:sz w:val="22"/>
      <w:szCs w:val="22"/>
      <w:lang w:eastAsia="en-US"/>
    </w:rPr>
  </w:style>
  <w:style w:type="character" w:customStyle="1" w:styleId="PBACcaptionChar">
    <w:name w:val="PBAC caption Char"/>
    <w:basedOn w:val="DefaultParagraphFont"/>
    <w:link w:val="PBACcaption"/>
    <w:rsid w:val="00EF0AB3"/>
    <w:rPr>
      <w:rFonts w:ascii="Aptos" w:eastAsiaTheme="minorHAnsi" w:hAnsi="Aptos" w:cs="Arial"/>
      <w:b/>
      <w:sz w:val="22"/>
      <w:szCs w:val="22"/>
      <w:lang w:eastAsia="en-US"/>
    </w:rPr>
  </w:style>
  <w:style w:type="paragraph" w:customStyle="1" w:styleId="pf0">
    <w:name w:val="pf0"/>
    <w:basedOn w:val="Normal"/>
    <w:rsid w:val="00F31151"/>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gov.au/info/reviews/review-pbs-items-prescribing-nurse-practitioners-endorsed-midwiv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ta-consultations.health.gov.au/ohta/nurse-practitioner-and-midwife-pbs-prescribing-c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72D2EDB5-E8FC-4B08-94C6-165A88FDCB73}">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7326B28D-4921-49A7-9B3C-6B9908EFFD56}">
  <ds:schemaRefs>
    <ds:schemaRef ds:uri="http://schemas.microsoft.com/sharepoint/v3/contenttype/forms"/>
  </ds:schemaRefs>
</ds:datastoreItem>
</file>

<file path=customXml/itemProps4.xml><?xml version="1.0" encoding="utf-8"?>
<ds:datastoreItem xmlns:ds="http://schemas.openxmlformats.org/officeDocument/2006/customXml" ds:itemID="{1D15C790-4543-4722-BA39-41D8C857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2934</Words>
  <Characters>16435</Characters>
  <Application>Microsoft Office Word</Application>
  <DocSecurity>0</DocSecurity>
  <Lines>410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2026-03-31T21:34:00Z</dcterms:created>
  <dcterms:modified xsi:type="dcterms:W3CDTF">2026-07-07T06:06:00Z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385e8660,1b30e5b6,1674f2cf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5590893d,687e3e49,56b1528e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2026-03-31T21:35:07Z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943931bc-249a-4664-b47e-c8511155b919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