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AA73" w14:textId="77777777" w:rsidR="008261F4" w:rsidRDefault="008261F4" w:rsidP="008C4EBB">
      <w:pPr>
        <w:pStyle w:val="3-BodyText"/>
        <w:numPr>
          <w:ilvl w:val="0"/>
          <w:numId w:val="0"/>
        </w:numPr>
        <w:rPr>
          <w:b/>
          <w:lang w:eastAsia="en-US"/>
        </w:rPr>
      </w:pPr>
      <w:bookmarkStart w:id="0" w:name="_Toc219816290"/>
    </w:p>
    <w:p w14:paraId="51C6701A" w14:textId="5B2EDEB0" w:rsidR="00B60939" w:rsidRPr="002D0924" w:rsidRDefault="00A26FA6" w:rsidP="00875688">
      <w:pPr>
        <w:pStyle w:val="1-MainHeading"/>
        <w:rPr>
          <w:rFonts w:cstheme="minorHAnsi"/>
        </w:rPr>
      </w:pPr>
      <w:r>
        <w:t>5.</w:t>
      </w:r>
      <w:r w:rsidRPr="002D0924">
        <w:rPr>
          <w:rFonts w:cstheme="minorHAnsi"/>
        </w:rPr>
        <w:t>02</w:t>
      </w:r>
      <w:r w:rsidR="00163F66" w:rsidRPr="002D0924">
        <w:rPr>
          <w:rFonts w:cstheme="minorHAnsi"/>
        </w:rPr>
        <w:tab/>
      </w:r>
      <w:r w:rsidR="00B37515" w:rsidRPr="002D0924">
        <w:rPr>
          <w:rFonts w:cstheme="minorHAnsi"/>
        </w:rPr>
        <w:t>AVACINCAPTAD PEGOL</w:t>
      </w:r>
      <w:r w:rsidR="00163F66" w:rsidRPr="002D0924">
        <w:rPr>
          <w:rFonts w:cstheme="minorHAnsi"/>
        </w:rPr>
        <w:t>,</w:t>
      </w:r>
      <w:r w:rsidR="00163F66" w:rsidRPr="002D0924">
        <w:rPr>
          <w:rFonts w:cstheme="minorHAnsi"/>
        </w:rPr>
        <w:br/>
      </w:r>
      <w:r w:rsidR="00B37515" w:rsidRPr="002D0924">
        <w:rPr>
          <w:rFonts w:cstheme="minorHAnsi"/>
        </w:rPr>
        <w:t>Solution for intravitreal injection</w:t>
      </w:r>
      <w:r w:rsidR="00163F66" w:rsidRPr="002D0924">
        <w:rPr>
          <w:rFonts w:cstheme="minorHAnsi"/>
        </w:rPr>
        <w:t>,</w:t>
      </w:r>
      <w:r w:rsidR="00163F66" w:rsidRPr="002D0924">
        <w:rPr>
          <w:rFonts w:cstheme="minorHAnsi"/>
        </w:rPr>
        <w:br/>
      </w:r>
      <w:r w:rsidR="00C41849" w:rsidRPr="002D0924">
        <w:rPr>
          <w:rFonts w:cstheme="minorHAnsi"/>
        </w:rPr>
        <w:t>2 mg in 0.1 mL (20 mg per mL)</w:t>
      </w:r>
      <w:r w:rsidR="00163F66" w:rsidRPr="002D0924">
        <w:rPr>
          <w:rFonts w:cstheme="minorHAnsi"/>
        </w:rPr>
        <w:t>,</w:t>
      </w:r>
      <w:r w:rsidR="00163F66" w:rsidRPr="002D0924">
        <w:rPr>
          <w:rFonts w:cstheme="minorHAnsi"/>
        </w:rPr>
        <w:br/>
      </w:r>
      <w:proofErr w:type="spellStart"/>
      <w:r w:rsidR="00C41849" w:rsidRPr="002D0924">
        <w:rPr>
          <w:rFonts w:cstheme="minorHAnsi"/>
        </w:rPr>
        <w:t>Izervay</w:t>
      </w:r>
      <w:proofErr w:type="spellEnd"/>
      <w:r w:rsidR="00B60939" w:rsidRPr="002D0924">
        <w:rPr>
          <w:rFonts w:cstheme="minorHAnsi"/>
        </w:rPr>
        <w:t>®</w:t>
      </w:r>
      <w:r w:rsidR="004A6040" w:rsidRPr="002D0924">
        <w:rPr>
          <w:rFonts w:cstheme="minorHAnsi"/>
        </w:rPr>
        <w:t>,</w:t>
      </w:r>
      <w:r w:rsidR="004A6040" w:rsidRPr="002D0924">
        <w:rPr>
          <w:rFonts w:cstheme="minorHAnsi"/>
        </w:rPr>
        <w:br/>
      </w:r>
      <w:r w:rsidR="00E33CFC" w:rsidRPr="002D0924">
        <w:rPr>
          <w:rFonts w:cstheme="minorHAnsi"/>
        </w:rPr>
        <w:t>Astellas Pharma Australia Pty Ltd</w:t>
      </w:r>
      <w:bookmarkEnd w:id="0"/>
    </w:p>
    <w:p w14:paraId="11C00795" w14:textId="3DFB6D23" w:rsidR="00B50DB8" w:rsidRPr="00D86D87" w:rsidRDefault="00B50DB8" w:rsidP="004A6040">
      <w:pPr>
        <w:pStyle w:val="2-SectionHeading"/>
      </w:pPr>
      <w:bookmarkStart w:id="1" w:name="_Toc219816292"/>
      <w:r w:rsidRPr="00D86D87">
        <w:t xml:space="preserve">Purpose of </w:t>
      </w:r>
      <w:r w:rsidR="00CD7193" w:rsidRPr="00D86D87">
        <w:t>s</w:t>
      </w:r>
      <w:r w:rsidR="00BB3A45" w:rsidRPr="00D86D87">
        <w:t>ubmission</w:t>
      </w:r>
      <w:bookmarkEnd w:id="1"/>
    </w:p>
    <w:p w14:paraId="19414AA1" w14:textId="11C7E832" w:rsidR="002C2775" w:rsidRPr="00D86D87" w:rsidRDefault="007170DA" w:rsidP="004E18E9">
      <w:pPr>
        <w:pStyle w:val="3-BodyText"/>
      </w:pPr>
      <w:r w:rsidRPr="00D86D87">
        <w:t xml:space="preserve">The </w:t>
      </w:r>
      <w:r w:rsidR="009A7524">
        <w:t xml:space="preserve">Category 1 </w:t>
      </w:r>
      <w:r w:rsidRPr="00D86D87">
        <w:t xml:space="preserve">submission requested </w:t>
      </w:r>
      <w:r w:rsidR="00861297">
        <w:t xml:space="preserve">a </w:t>
      </w:r>
      <w:r w:rsidR="007F68C7">
        <w:t xml:space="preserve">General </w:t>
      </w:r>
      <w:r w:rsidR="00861297">
        <w:t>PBS/RPBS</w:t>
      </w:r>
      <w:r w:rsidR="008B1757" w:rsidRPr="00D86D87">
        <w:t xml:space="preserve"> listing </w:t>
      </w:r>
      <w:r w:rsidR="004C2F39">
        <w:t>of</w:t>
      </w:r>
      <w:r w:rsidR="008B1757" w:rsidRPr="00D86D87">
        <w:t xml:space="preserve"> </w:t>
      </w:r>
      <w:r w:rsidR="00861297" w:rsidRPr="00E338D7">
        <w:t>avacincaptad pegol</w:t>
      </w:r>
      <w:r w:rsidR="00861297">
        <w:t xml:space="preserve"> (ACP) </w:t>
      </w:r>
      <w:r w:rsidR="008B1757" w:rsidRPr="00D86D87">
        <w:t xml:space="preserve">for </w:t>
      </w:r>
      <w:r w:rsidR="0050174E" w:rsidRPr="00D86D87">
        <w:t xml:space="preserve">the </w:t>
      </w:r>
      <w:r w:rsidR="008B1757" w:rsidRPr="00D86D87">
        <w:t xml:space="preserve">treatment of </w:t>
      </w:r>
      <w:r w:rsidR="00861297" w:rsidRPr="00E338D7">
        <w:t>adult patients with geographic atrophy (GA) secondary to age</w:t>
      </w:r>
      <w:r w:rsidR="009B60A6">
        <w:noBreakHyphen/>
      </w:r>
      <w:r w:rsidR="00861297" w:rsidRPr="00E338D7">
        <w:t>related</w:t>
      </w:r>
      <w:r w:rsidR="00861297">
        <w:t xml:space="preserve"> </w:t>
      </w:r>
      <w:r w:rsidR="00861297" w:rsidRPr="00E338D7">
        <w:t xml:space="preserve">macular degeneration (AMD) </w:t>
      </w:r>
      <w:r w:rsidR="004C2F39">
        <w:t>who have</w:t>
      </w:r>
      <w:r w:rsidR="00861297" w:rsidRPr="00E338D7">
        <w:t xml:space="preserve"> an intact fovea and whe</w:t>
      </w:r>
      <w:r w:rsidR="004C2F39">
        <w:t>re</w:t>
      </w:r>
      <w:r w:rsidR="00861297" w:rsidRPr="00E338D7">
        <w:t xml:space="preserve"> central vision is threatened by</w:t>
      </w:r>
      <w:r w:rsidR="00D040DC">
        <w:t xml:space="preserve"> GA lesion</w:t>
      </w:r>
      <w:r w:rsidR="00861297" w:rsidRPr="00E338D7">
        <w:t xml:space="preserve"> </w:t>
      </w:r>
      <w:r w:rsidR="00F2558A">
        <w:t>growth</w:t>
      </w:r>
      <w:r w:rsidR="00861297">
        <w:t>.</w:t>
      </w:r>
    </w:p>
    <w:p w14:paraId="7EA1FC7C" w14:textId="13F7E4A2" w:rsidR="006945F7" w:rsidRPr="00D86D87" w:rsidRDefault="005750C5" w:rsidP="006945F7">
      <w:pPr>
        <w:pStyle w:val="3-BodyText"/>
      </w:pPr>
      <w:r w:rsidRPr="00D86D87">
        <w:t xml:space="preserve">Listing was requested </w:t>
      </w:r>
      <w:proofErr w:type="gramStart"/>
      <w:r w:rsidRPr="00D86D87">
        <w:t>on the basis of</w:t>
      </w:r>
      <w:proofErr w:type="gramEnd"/>
      <w:r w:rsidRPr="00D86D87">
        <w:t xml:space="preserve"> a </w:t>
      </w:r>
      <w:r w:rsidR="00255883">
        <w:t>cost</w:t>
      </w:r>
      <w:r w:rsidR="009B60A6">
        <w:noBreakHyphen/>
      </w:r>
      <w:r w:rsidR="00255883">
        <w:t xml:space="preserve">utility </w:t>
      </w:r>
      <w:r w:rsidRPr="00D86D87">
        <w:t xml:space="preserve">analysis versus </w:t>
      </w:r>
      <w:r w:rsidR="00255883">
        <w:t>best supportive care (BSC)</w:t>
      </w:r>
      <w:r w:rsidRPr="00D86D87">
        <w:t xml:space="preserve">. </w:t>
      </w:r>
      <w:r w:rsidR="007F50F6">
        <w:t xml:space="preserve">The key components of the submission are summarised in </w:t>
      </w:r>
      <w:r w:rsidR="007F50F6">
        <w:fldChar w:fldCharType="begin"/>
      </w:r>
      <w:r w:rsidR="007F50F6">
        <w:instrText xml:space="preserve"> REF _Ref216639528 \h </w:instrText>
      </w:r>
      <w:r w:rsidR="007F50F6">
        <w:fldChar w:fldCharType="separate"/>
      </w:r>
      <w:r w:rsidR="00962F38" w:rsidRPr="00D86D87">
        <w:t xml:space="preserve">Table </w:t>
      </w:r>
      <w:r w:rsidR="00962F38">
        <w:rPr>
          <w:noProof/>
        </w:rPr>
        <w:t>1</w:t>
      </w:r>
      <w:r w:rsidR="007F50F6">
        <w:fldChar w:fldCharType="end"/>
      </w:r>
      <w:r w:rsidR="007F50F6">
        <w:t>.</w:t>
      </w:r>
    </w:p>
    <w:p w14:paraId="3718DE61" w14:textId="306E0C5F" w:rsidR="008B1757" w:rsidRDefault="00696EF9" w:rsidP="004A6040">
      <w:pPr>
        <w:pStyle w:val="TableFigureHeading"/>
        <w:rPr>
          <w:rStyle w:val="CommentReference"/>
          <w:b/>
          <w:szCs w:val="24"/>
        </w:rPr>
      </w:pPr>
      <w:bookmarkStart w:id="2" w:name="_Ref216639528"/>
      <w:r w:rsidRPr="00D86D87">
        <w:t xml:space="preserve">Table </w:t>
      </w:r>
      <w:fldSimple w:instr=" SEQ Table \* ARABIC ">
        <w:r w:rsidR="00962F38">
          <w:rPr>
            <w:noProof/>
          </w:rPr>
          <w:t>1</w:t>
        </w:r>
      </w:fldSimple>
      <w:bookmarkEnd w:id="2"/>
      <w:r w:rsidRPr="00D86D87">
        <w:t>:</w:t>
      </w:r>
      <w:r w:rsidR="00BC591F" w:rsidRPr="00D86D87">
        <w:rPr>
          <w:rStyle w:val="CommentReference"/>
          <w:b/>
          <w:szCs w:val="24"/>
        </w:rPr>
        <w:t xml:space="preserve"> </w:t>
      </w:r>
      <w:r w:rsidR="008B1757" w:rsidRPr="00D86D87">
        <w:rPr>
          <w:rStyle w:val="CommentReference"/>
          <w:b/>
          <w:szCs w:val="24"/>
        </w:rPr>
        <w:t>Key components of the clinical issue addressed by the submission</w:t>
      </w:r>
      <w:r w:rsidR="007170DA" w:rsidRPr="00D86D87">
        <w:rPr>
          <w:rStyle w:val="CommentReference"/>
          <w:b/>
          <w:szCs w:val="24"/>
        </w:rPr>
        <w:t xml:space="preserve"> (as stated in the submission)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271"/>
        <w:gridCol w:w="7724"/>
      </w:tblGrid>
      <w:tr w:rsidR="007237A5" w:rsidRPr="00D86D87" w14:paraId="285922EF" w14:textId="77777777" w:rsidTr="0035528C">
        <w:tc>
          <w:tcPr>
            <w:tcW w:w="1271" w:type="dxa"/>
            <w:vAlign w:val="center"/>
          </w:tcPr>
          <w:p w14:paraId="13C5B819" w14:textId="77777777" w:rsidR="006945F7" w:rsidRPr="00D86D87" w:rsidRDefault="006945F7">
            <w:pPr>
              <w:pStyle w:val="In-tableHeading"/>
              <w:rPr>
                <w:lang w:val="en-AU"/>
              </w:rPr>
            </w:pPr>
            <w:r w:rsidRPr="00D86D87">
              <w:rPr>
                <w:lang w:val="en-AU"/>
              </w:rPr>
              <w:t>Component</w:t>
            </w:r>
          </w:p>
        </w:tc>
        <w:tc>
          <w:tcPr>
            <w:tcW w:w="7724" w:type="dxa"/>
            <w:vAlign w:val="center"/>
          </w:tcPr>
          <w:p w14:paraId="23344C20" w14:textId="77777777" w:rsidR="006945F7" w:rsidRPr="00D86D87" w:rsidRDefault="006945F7">
            <w:pPr>
              <w:pStyle w:val="In-tableHeading"/>
              <w:rPr>
                <w:lang w:val="en-AU"/>
              </w:rPr>
            </w:pPr>
            <w:r w:rsidRPr="00D86D87">
              <w:rPr>
                <w:lang w:val="en-AU"/>
              </w:rPr>
              <w:t>Description</w:t>
            </w:r>
          </w:p>
        </w:tc>
      </w:tr>
      <w:tr w:rsidR="007237A5" w:rsidRPr="00D86D87" w14:paraId="642BD055" w14:textId="77777777" w:rsidTr="0035528C">
        <w:tc>
          <w:tcPr>
            <w:tcW w:w="1271" w:type="dxa"/>
            <w:vAlign w:val="center"/>
          </w:tcPr>
          <w:p w14:paraId="7E9DE899" w14:textId="77777777" w:rsidR="006945F7" w:rsidRPr="00D86D87" w:rsidRDefault="006945F7">
            <w:pPr>
              <w:pStyle w:val="TableText0"/>
            </w:pPr>
            <w:r w:rsidRPr="00D86D87">
              <w:t>Population</w:t>
            </w:r>
          </w:p>
        </w:tc>
        <w:tc>
          <w:tcPr>
            <w:tcW w:w="7724" w:type="dxa"/>
            <w:vAlign w:val="center"/>
          </w:tcPr>
          <w:p w14:paraId="0AF13FDE" w14:textId="7CEDF077" w:rsidR="006945F7" w:rsidRPr="00D86D87" w:rsidRDefault="006945F7">
            <w:pPr>
              <w:pStyle w:val="TableText0"/>
            </w:pPr>
            <w:r w:rsidRPr="00FA3AA0">
              <w:t>Adult patients with geographic atrophy (GA) secondary to age</w:t>
            </w:r>
            <w:r w:rsidR="009B60A6">
              <w:noBreakHyphen/>
            </w:r>
            <w:r w:rsidRPr="00FA3AA0">
              <w:t>related macular degeneration (AMD) with an intact fovea and when central vision is threatened by GA lesion growth.</w:t>
            </w:r>
          </w:p>
        </w:tc>
      </w:tr>
      <w:tr w:rsidR="007237A5" w:rsidRPr="00D86D87" w14:paraId="4EAC661A" w14:textId="77777777" w:rsidTr="0035528C">
        <w:tc>
          <w:tcPr>
            <w:tcW w:w="1271" w:type="dxa"/>
            <w:vAlign w:val="center"/>
          </w:tcPr>
          <w:p w14:paraId="7FE43EEB" w14:textId="77777777" w:rsidR="006945F7" w:rsidRPr="00D86D87" w:rsidRDefault="006945F7">
            <w:pPr>
              <w:pStyle w:val="TableText0"/>
            </w:pPr>
            <w:r w:rsidRPr="00D86D87">
              <w:t>Intervention</w:t>
            </w:r>
          </w:p>
        </w:tc>
        <w:tc>
          <w:tcPr>
            <w:tcW w:w="7724" w:type="dxa"/>
            <w:vAlign w:val="center"/>
          </w:tcPr>
          <w:p w14:paraId="724EA8BE" w14:textId="77777777" w:rsidR="006945F7" w:rsidRPr="00D86D87" w:rsidRDefault="006945F7">
            <w:pPr>
              <w:pStyle w:val="TableText0"/>
            </w:pPr>
            <w:r w:rsidRPr="00FA3AA0">
              <w:t xml:space="preserve">Avacincaptad pegol (ACP; IZERVAY®) 2mg (0.1 mL of 20 mg/mL solution) administered by intravitreal injection to </w:t>
            </w:r>
            <w:r w:rsidRPr="00AB2FD5">
              <w:t>each affected eye</w:t>
            </w:r>
            <w:r w:rsidRPr="00FA3AA0">
              <w:t xml:space="preserve"> once monthly (approximately 28 ± 7 days) for up to 12 months.</w:t>
            </w:r>
          </w:p>
        </w:tc>
      </w:tr>
      <w:tr w:rsidR="007237A5" w:rsidRPr="00D86D87" w14:paraId="47E1E728" w14:textId="77777777" w:rsidTr="0035528C">
        <w:tc>
          <w:tcPr>
            <w:tcW w:w="1271" w:type="dxa"/>
            <w:vAlign w:val="center"/>
          </w:tcPr>
          <w:p w14:paraId="46D5CEA2" w14:textId="77777777" w:rsidR="006945F7" w:rsidRPr="00D86D87" w:rsidRDefault="006945F7">
            <w:pPr>
              <w:pStyle w:val="TableText0"/>
            </w:pPr>
            <w:r w:rsidRPr="00D86D87">
              <w:t>Comparator</w:t>
            </w:r>
          </w:p>
        </w:tc>
        <w:tc>
          <w:tcPr>
            <w:tcW w:w="7724" w:type="dxa"/>
            <w:vAlign w:val="center"/>
          </w:tcPr>
          <w:p w14:paraId="1364F8DE" w14:textId="77777777" w:rsidR="006945F7" w:rsidRPr="00FA3AA0" w:rsidRDefault="006945F7">
            <w:pPr>
              <w:pStyle w:val="TableText0"/>
            </w:pPr>
            <w:r w:rsidRPr="00FA3AA0">
              <w:t>Clinical comparator:</w:t>
            </w:r>
          </w:p>
          <w:p w14:paraId="23AC1239" w14:textId="4D898390" w:rsidR="006945F7" w:rsidRPr="00FA3AA0" w:rsidRDefault="006945F7">
            <w:pPr>
              <w:pStyle w:val="TableText0"/>
            </w:pPr>
            <w:r w:rsidRPr="00FA3AA0">
              <w:t xml:space="preserve">Best supportive care </w:t>
            </w:r>
            <w:r w:rsidR="00C736FB">
              <w:t>—</w:t>
            </w:r>
            <w:r w:rsidRPr="00FA3AA0">
              <w:t xml:space="preserve"> In GATHER1 and GATHER2 trials, represented by </w:t>
            </w:r>
            <w:r w:rsidR="007325A4">
              <w:t>s</w:t>
            </w:r>
            <w:r w:rsidRPr="00FA3AA0">
              <w:t xml:space="preserve">ham/placebo </w:t>
            </w:r>
          </w:p>
          <w:p w14:paraId="1B43E9AE" w14:textId="77777777" w:rsidR="006945F7" w:rsidRDefault="006945F7">
            <w:pPr>
              <w:pStyle w:val="TableText0"/>
            </w:pPr>
          </w:p>
          <w:p w14:paraId="17686AF1" w14:textId="573004D4" w:rsidR="006945F7" w:rsidRPr="00FA3AA0" w:rsidRDefault="006945F7">
            <w:pPr>
              <w:pStyle w:val="TableText0"/>
            </w:pPr>
            <w:r w:rsidRPr="00FA3AA0">
              <w:t>Near</w:t>
            </w:r>
            <w:r w:rsidR="009B60A6">
              <w:noBreakHyphen/>
            </w:r>
            <w:r w:rsidR="00565446">
              <w:t>market</w:t>
            </w:r>
            <w:r w:rsidR="00565446" w:rsidRPr="00FA3AA0">
              <w:t xml:space="preserve"> </w:t>
            </w:r>
            <w:r w:rsidRPr="00FA3AA0">
              <w:t>comparator:</w:t>
            </w:r>
          </w:p>
          <w:p w14:paraId="1BDB51E8" w14:textId="77777777" w:rsidR="006945F7" w:rsidRPr="00D86D87" w:rsidRDefault="006945F7">
            <w:pPr>
              <w:pStyle w:val="TableText0"/>
            </w:pPr>
            <w:r w:rsidRPr="00FA3AA0">
              <w:t>Pegcetacoplan (</w:t>
            </w:r>
            <w:proofErr w:type="spellStart"/>
            <w:r w:rsidRPr="00FA3AA0">
              <w:t>Syfovre</w:t>
            </w:r>
            <w:proofErr w:type="spellEnd"/>
            <w:r w:rsidRPr="00FA3AA0">
              <w:t>®), clinical comparison only</w:t>
            </w:r>
          </w:p>
        </w:tc>
      </w:tr>
      <w:tr w:rsidR="007237A5" w:rsidRPr="00D86D87" w14:paraId="4A056CDC" w14:textId="77777777" w:rsidTr="0035528C">
        <w:tc>
          <w:tcPr>
            <w:tcW w:w="1271" w:type="dxa"/>
            <w:vAlign w:val="center"/>
          </w:tcPr>
          <w:p w14:paraId="406DB403" w14:textId="77777777" w:rsidR="006945F7" w:rsidRPr="00D86D87" w:rsidRDefault="006945F7">
            <w:pPr>
              <w:pStyle w:val="TableText0"/>
            </w:pPr>
            <w:r w:rsidRPr="00D86D87">
              <w:t>Outcomes</w:t>
            </w:r>
          </w:p>
        </w:tc>
        <w:tc>
          <w:tcPr>
            <w:tcW w:w="7724" w:type="dxa"/>
            <w:vAlign w:val="center"/>
          </w:tcPr>
          <w:p w14:paraId="4B9F9FB2" w14:textId="77777777" w:rsidR="006945F7" w:rsidRPr="00FA3AA0" w:rsidRDefault="006945F7">
            <w:pPr>
              <w:pStyle w:val="TableText0"/>
            </w:pPr>
            <w:r w:rsidRPr="00FA3AA0">
              <w:t>Mean change in GA area from baseline (using square root transformation), over 12 months (GATHER 1)</w:t>
            </w:r>
          </w:p>
          <w:p w14:paraId="45BE49E1" w14:textId="77777777" w:rsidR="006945F7" w:rsidRPr="00FA3AA0" w:rsidRDefault="006945F7">
            <w:pPr>
              <w:pStyle w:val="TableText0"/>
            </w:pPr>
            <w:r w:rsidRPr="00FA3AA0">
              <w:t>Mean rate of GA growth (slope) from baseline (using square root transformation), over 12 months (GATHER2)</w:t>
            </w:r>
          </w:p>
          <w:p w14:paraId="30250AE4" w14:textId="015820E0" w:rsidR="006945F7" w:rsidRPr="00FA3AA0" w:rsidRDefault="006945F7">
            <w:pPr>
              <w:pStyle w:val="TableText0"/>
            </w:pPr>
            <w:r w:rsidRPr="00FA3AA0">
              <w:t>Mean change in best</w:t>
            </w:r>
            <w:r w:rsidR="009B60A6">
              <w:noBreakHyphen/>
            </w:r>
            <w:r w:rsidRPr="00FA3AA0">
              <w:t>corrected visual acuity (BCVA) from Baseline to Month 12</w:t>
            </w:r>
          </w:p>
          <w:p w14:paraId="181F919D" w14:textId="57B7276D" w:rsidR="006945F7" w:rsidRPr="00FA3AA0" w:rsidRDefault="006945F7">
            <w:pPr>
              <w:pStyle w:val="TableText0"/>
            </w:pPr>
            <w:r w:rsidRPr="00FA3AA0">
              <w:t>Mean change in low</w:t>
            </w:r>
            <w:r w:rsidR="009B60A6">
              <w:noBreakHyphen/>
            </w:r>
            <w:r w:rsidRPr="00FA3AA0">
              <w:t>luminance (LL) BCVA from Baseline to Month 12</w:t>
            </w:r>
          </w:p>
          <w:p w14:paraId="0E220423" w14:textId="7BDB1EC5" w:rsidR="006945F7" w:rsidRPr="00D86D87" w:rsidRDefault="006945F7">
            <w:pPr>
              <w:pStyle w:val="TableText0"/>
            </w:pPr>
            <w:r w:rsidRPr="00FA3AA0">
              <w:t>Safety: Treatment</w:t>
            </w:r>
            <w:r w:rsidR="009B60A6">
              <w:noBreakHyphen/>
            </w:r>
            <w:r w:rsidRPr="00FA3AA0">
              <w:t xml:space="preserve"> emergent adverse events (TEAEs)</w:t>
            </w:r>
          </w:p>
        </w:tc>
      </w:tr>
      <w:tr w:rsidR="007237A5" w:rsidRPr="00D86D87" w14:paraId="6D45AEE9" w14:textId="77777777" w:rsidTr="0035528C">
        <w:tc>
          <w:tcPr>
            <w:tcW w:w="1271" w:type="dxa"/>
            <w:vAlign w:val="center"/>
          </w:tcPr>
          <w:p w14:paraId="4D2E0BF6" w14:textId="77777777" w:rsidR="006945F7" w:rsidRPr="00D86D87" w:rsidRDefault="006945F7">
            <w:pPr>
              <w:pStyle w:val="TableText0"/>
            </w:pPr>
            <w:r w:rsidRPr="00D86D87">
              <w:t>Clinical claim</w:t>
            </w:r>
          </w:p>
        </w:tc>
        <w:tc>
          <w:tcPr>
            <w:tcW w:w="7724" w:type="dxa"/>
            <w:vAlign w:val="center"/>
          </w:tcPr>
          <w:p w14:paraId="7A8DC69D" w14:textId="77777777" w:rsidR="006945F7" w:rsidRPr="00FA3AA0" w:rsidRDefault="006945F7">
            <w:pPr>
              <w:pStyle w:val="TableText0"/>
              <w:rPr>
                <w:iCs/>
              </w:rPr>
            </w:pPr>
            <w:r>
              <w:rPr>
                <w:iCs/>
              </w:rPr>
              <w:t>ACP</w:t>
            </w:r>
            <w:r w:rsidRPr="00FA3AA0">
              <w:rPr>
                <w:iCs/>
              </w:rPr>
              <w:t xml:space="preserve"> is superior in terms of efficacy and is inferior in terms of safety compared to best supportive care (sham/placebo in clinical trials).</w:t>
            </w:r>
          </w:p>
          <w:p w14:paraId="2C09649B" w14:textId="77777777" w:rsidR="006945F7" w:rsidRPr="00FA3AA0" w:rsidRDefault="006945F7">
            <w:pPr>
              <w:pStyle w:val="TableText0"/>
              <w:rPr>
                <w:iCs/>
              </w:rPr>
            </w:pPr>
          </w:p>
          <w:p w14:paraId="7F65539D" w14:textId="2BD0E140" w:rsidR="006945F7" w:rsidRPr="00D86D87" w:rsidRDefault="006945F7">
            <w:pPr>
              <w:pStyle w:val="TableText0"/>
            </w:pPr>
            <w:r>
              <w:t>ACP</w:t>
            </w:r>
            <w:r w:rsidRPr="00FA3AA0">
              <w:t xml:space="preserve"> is non</w:t>
            </w:r>
            <w:r w:rsidR="009B60A6">
              <w:noBreakHyphen/>
            </w:r>
            <w:r w:rsidRPr="00FA3AA0">
              <w:t>inferior to pegcetacoplan in terms of clinical effectiveness and safety.</w:t>
            </w:r>
          </w:p>
        </w:tc>
      </w:tr>
    </w:tbl>
    <w:p w14:paraId="30ABFFBC" w14:textId="4226A505" w:rsidR="00CF3120" w:rsidRDefault="00432FF5">
      <w:pPr>
        <w:pStyle w:val="TableFigureFooter"/>
      </w:pPr>
      <w:r>
        <w:t>Source: Table 1.1</w:t>
      </w:r>
      <w:r w:rsidR="009B60A6">
        <w:noBreakHyphen/>
      </w:r>
      <w:r>
        <w:t>1, p25 of the submission.</w:t>
      </w:r>
    </w:p>
    <w:p w14:paraId="457B68A8" w14:textId="07A478D1" w:rsidR="00AE1221" w:rsidRPr="00D86D87" w:rsidRDefault="006945F7" w:rsidP="006945F7">
      <w:pPr>
        <w:pStyle w:val="TableFigureFooter"/>
      </w:pPr>
      <w:r>
        <w:t>ACP = avacincaptad pegol; AMD = age</w:t>
      </w:r>
      <w:r w:rsidR="009B60A6">
        <w:noBreakHyphen/>
      </w:r>
      <w:r>
        <w:t>related macular degeneration; BCVA = Best corrected visual acuity; GA = geographic atrophy; mg = Milligram.</w:t>
      </w:r>
    </w:p>
    <w:p w14:paraId="6B4AB6C2" w14:textId="7F01D731" w:rsidR="005C25FF" w:rsidRPr="00D86D87" w:rsidRDefault="005C25FF" w:rsidP="004A6040">
      <w:pPr>
        <w:pStyle w:val="2-SectionHeading"/>
      </w:pPr>
      <w:bookmarkStart w:id="3" w:name="_Toc219816293"/>
      <w:r w:rsidRPr="00D86D87">
        <w:lastRenderedPageBreak/>
        <w:t>Background</w:t>
      </w:r>
      <w:bookmarkEnd w:id="3"/>
    </w:p>
    <w:p w14:paraId="2C521D6D" w14:textId="78CF03EE" w:rsidR="005C25FF" w:rsidRPr="00D86D87" w:rsidRDefault="005C25FF" w:rsidP="004A6040">
      <w:pPr>
        <w:pStyle w:val="4-SubsectionHeading"/>
      </w:pPr>
      <w:bookmarkStart w:id="4" w:name="_Toc22897638"/>
      <w:bookmarkStart w:id="5" w:name="_Toc219816294"/>
      <w:r w:rsidRPr="00D86D87">
        <w:t>Registration status</w:t>
      </w:r>
      <w:bookmarkEnd w:id="4"/>
      <w:bookmarkEnd w:id="5"/>
    </w:p>
    <w:p w14:paraId="7FEEDA66" w14:textId="6EFB83F5" w:rsidR="00F71155" w:rsidRDefault="00F71155" w:rsidP="00034CA7">
      <w:pPr>
        <w:pStyle w:val="3-BodyText"/>
      </w:pPr>
      <w:r>
        <w:t xml:space="preserve">ACP </w:t>
      </w:r>
      <w:r w:rsidRPr="00F71155">
        <w:t xml:space="preserve">received Therapeutic Goods Administration (TGA) registration </w:t>
      </w:r>
      <w:r>
        <w:t xml:space="preserve">on 13 October 2025 </w:t>
      </w:r>
      <w:r w:rsidRPr="00D86D87">
        <w:t xml:space="preserve">for </w:t>
      </w:r>
      <w:r w:rsidRPr="00670097">
        <w:t xml:space="preserve">the treatment of adult patients with </w:t>
      </w:r>
      <w:r>
        <w:t>GA</w:t>
      </w:r>
      <w:r w:rsidRPr="00670097">
        <w:t xml:space="preserve"> secondary to AMD </w:t>
      </w:r>
      <w:r>
        <w:t>who have</w:t>
      </w:r>
      <w:r w:rsidRPr="00670097">
        <w:t xml:space="preserve"> an intact fovea and whe</w:t>
      </w:r>
      <w:r>
        <w:t>re</w:t>
      </w:r>
      <w:r w:rsidRPr="00670097">
        <w:t xml:space="preserve"> central vision is threatened by GA lesion growth</w:t>
      </w:r>
      <w:r w:rsidRPr="00D86D87">
        <w:t>.</w:t>
      </w:r>
      <w:r w:rsidR="004660D2">
        <w:t xml:space="preserve"> </w:t>
      </w:r>
      <w:r w:rsidR="00F2558A">
        <w:t>T</w:t>
      </w:r>
      <w:r w:rsidR="00F2558A" w:rsidRPr="004660D2">
        <w:t xml:space="preserve">his </w:t>
      </w:r>
      <w:r w:rsidR="00F2558A">
        <w:t xml:space="preserve">was the first registration of </w:t>
      </w:r>
      <w:r w:rsidR="00F2558A" w:rsidRPr="004660D2">
        <w:t xml:space="preserve">ACP on the </w:t>
      </w:r>
      <w:r w:rsidR="00F2558A">
        <w:t>Australian Register of Therapeutic Goods (</w:t>
      </w:r>
      <w:r w:rsidR="00F2558A" w:rsidRPr="004660D2">
        <w:t>ARTG</w:t>
      </w:r>
      <w:r w:rsidR="00F2558A">
        <w:t>)</w:t>
      </w:r>
      <w:r w:rsidR="004660D2" w:rsidRPr="004660D2">
        <w:t>.</w:t>
      </w:r>
    </w:p>
    <w:p w14:paraId="3690A007" w14:textId="77777777" w:rsidR="00F87F3E" w:rsidRDefault="00F87F3E" w:rsidP="00F87F3E">
      <w:pPr>
        <w:pStyle w:val="4-SubsectionHeading"/>
      </w:pPr>
      <w:r w:rsidRPr="00F87F3E">
        <w:t xml:space="preserve">Previous PBAC consideration </w:t>
      </w:r>
    </w:p>
    <w:p w14:paraId="59DA654A" w14:textId="6EE722DF" w:rsidR="0083592D" w:rsidRDefault="00F87F3E" w:rsidP="00965700">
      <w:pPr>
        <w:pStyle w:val="3-BodyText"/>
      </w:pPr>
      <w:r w:rsidRPr="00F87F3E">
        <w:t xml:space="preserve">The PBAC has not previously considered </w:t>
      </w:r>
      <w:r>
        <w:t>ACP</w:t>
      </w:r>
      <w:r w:rsidRPr="00F87F3E">
        <w:t xml:space="preserve"> for the treatment of </w:t>
      </w:r>
      <w:r>
        <w:t>GA</w:t>
      </w:r>
      <w:r w:rsidRPr="00670097">
        <w:t xml:space="preserve"> secondary to AMD</w:t>
      </w:r>
      <w:r w:rsidRPr="00F87F3E">
        <w:t xml:space="preserve">. The PBAC has previously considered </w:t>
      </w:r>
      <w:r>
        <w:t>pegcetac</w:t>
      </w:r>
      <w:r w:rsidR="0083592D">
        <w:t>o</w:t>
      </w:r>
      <w:r>
        <w:t>plan</w:t>
      </w:r>
      <w:r w:rsidRPr="00F87F3E">
        <w:t xml:space="preserve">, which was recommended for the treatment of </w:t>
      </w:r>
      <w:r w:rsidR="0083592D">
        <w:t>GA</w:t>
      </w:r>
      <w:r w:rsidR="0083592D" w:rsidRPr="00670097">
        <w:t xml:space="preserve"> secondary to AMD</w:t>
      </w:r>
      <w:r w:rsidRPr="00F87F3E">
        <w:t xml:space="preserve"> in </w:t>
      </w:r>
      <w:r w:rsidR="0083592D">
        <w:t>November 2025</w:t>
      </w:r>
      <w:r w:rsidRPr="00F87F3E">
        <w:t>.</w:t>
      </w:r>
    </w:p>
    <w:p w14:paraId="5F1B5CF7" w14:textId="77777777" w:rsidR="00174CC4" w:rsidRDefault="00174CC4" w:rsidP="00174CC4">
      <w:pPr>
        <w:pStyle w:val="3-BodyText"/>
        <w:numPr>
          <w:ilvl w:val="0"/>
          <w:numId w:val="0"/>
        </w:numPr>
        <w:ind w:left="720"/>
      </w:pPr>
    </w:p>
    <w:p w14:paraId="73266099" w14:textId="77777777" w:rsidR="00AE1221" w:rsidRPr="00C33D30" w:rsidRDefault="00AE1221" w:rsidP="00AE1221">
      <w:pPr>
        <w:ind w:firstLine="709"/>
        <w:rPr>
          <w:rFonts w:asciiTheme="minorHAnsi" w:hAnsiTheme="minorHAnsi"/>
          <w:i/>
        </w:rPr>
      </w:pPr>
      <w:r w:rsidRPr="00C33D30">
        <w:rPr>
          <w:rFonts w:asciiTheme="minorHAnsi" w:hAnsiTheme="minorHAnsi"/>
          <w:i/>
        </w:rPr>
        <w:t>For more detail on PBAC’s view, see section 7 PBAC outcome.</w:t>
      </w:r>
    </w:p>
    <w:p w14:paraId="76E4EF3C" w14:textId="13040F70" w:rsidR="00B60939" w:rsidRDefault="00B50DB8" w:rsidP="004E18E9">
      <w:pPr>
        <w:pStyle w:val="2-SectionHeading"/>
      </w:pPr>
      <w:bookmarkStart w:id="6" w:name="_Toc107902078"/>
      <w:bookmarkStart w:id="7" w:name="_Toc219816295"/>
      <w:bookmarkEnd w:id="6"/>
      <w:r w:rsidRPr="00D86D87">
        <w:t>Requested listing</w:t>
      </w:r>
      <w:bookmarkEnd w:id="7"/>
    </w:p>
    <w:p w14:paraId="2B084605" w14:textId="20C2C35D" w:rsidR="000C0C7D" w:rsidRPr="000C0C7D" w:rsidRDefault="000C0C7D" w:rsidP="0017728E">
      <w:pPr>
        <w:pStyle w:val="3-BodyText"/>
      </w:pPr>
      <w:r>
        <w:t xml:space="preserve">An abridged version of the proposed restrictions is provided below. </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836"/>
        <w:gridCol w:w="2030"/>
        <w:gridCol w:w="832"/>
        <w:gridCol w:w="831"/>
        <w:gridCol w:w="832"/>
        <w:gridCol w:w="1640"/>
      </w:tblGrid>
      <w:tr w:rsidR="004660D2" w:rsidRPr="00D86D87" w14:paraId="4121AB38" w14:textId="77777777" w:rsidTr="0035528C">
        <w:trPr>
          <w:cantSplit/>
          <w:trHeight w:val="20"/>
        </w:trPr>
        <w:tc>
          <w:tcPr>
            <w:tcW w:w="2835" w:type="dxa"/>
            <w:vAlign w:val="center"/>
          </w:tcPr>
          <w:p w14:paraId="67066285" w14:textId="77777777" w:rsidR="004660D2" w:rsidRPr="00D86D87" w:rsidRDefault="004660D2">
            <w:pPr>
              <w:pStyle w:val="In-tableHeading"/>
            </w:pPr>
            <w:r w:rsidRPr="00D86D87">
              <w:t>MEDICINAL PRODUCT</w:t>
            </w:r>
          </w:p>
          <w:p w14:paraId="7AFE82BF" w14:textId="77777777" w:rsidR="004660D2" w:rsidRPr="00D86D87" w:rsidRDefault="004660D2">
            <w:pPr>
              <w:pStyle w:val="In-tableHeading"/>
            </w:pPr>
            <w:r w:rsidRPr="00D86D87">
              <w:t>medicinal product pack</w:t>
            </w:r>
          </w:p>
        </w:tc>
        <w:tc>
          <w:tcPr>
            <w:tcW w:w="2030" w:type="dxa"/>
            <w:vAlign w:val="center"/>
          </w:tcPr>
          <w:p w14:paraId="10EAD1F3" w14:textId="77777777" w:rsidR="004660D2" w:rsidRPr="00D86D87" w:rsidRDefault="004660D2">
            <w:pPr>
              <w:pStyle w:val="In-tableHeading"/>
              <w:jc w:val="center"/>
            </w:pPr>
            <w:r w:rsidRPr="00D86D87">
              <w:rPr>
                <w:snapToGrid w:val="0"/>
              </w:rPr>
              <w:t>Dispensed Price for Max. Qty</w:t>
            </w:r>
          </w:p>
        </w:tc>
        <w:tc>
          <w:tcPr>
            <w:tcW w:w="832" w:type="dxa"/>
            <w:vAlign w:val="center"/>
          </w:tcPr>
          <w:p w14:paraId="1B8514CC" w14:textId="77777777" w:rsidR="004660D2" w:rsidRPr="00D86D87" w:rsidRDefault="004660D2">
            <w:pPr>
              <w:pStyle w:val="In-tableHeading"/>
              <w:jc w:val="center"/>
            </w:pPr>
            <w:r w:rsidRPr="00D86D87">
              <w:t>Max. qty packs</w:t>
            </w:r>
          </w:p>
        </w:tc>
        <w:tc>
          <w:tcPr>
            <w:tcW w:w="831" w:type="dxa"/>
            <w:vAlign w:val="center"/>
          </w:tcPr>
          <w:p w14:paraId="5B7B8E74" w14:textId="77777777" w:rsidR="004660D2" w:rsidRPr="00D86D87" w:rsidRDefault="004660D2">
            <w:pPr>
              <w:pStyle w:val="In-tableHeading"/>
              <w:jc w:val="center"/>
            </w:pPr>
            <w:r w:rsidRPr="00D86D87">
              <w:t>Max. qty units</w:t>
            </w:r>
          </w:p>
        </w:tc>
        <w:tc>
          <w:tcPr>
            <w:tcW w:w="832" w:type="dxa"/>
            <w:vAlign w:val="center"/>
          </w:tcPr>
          <w:p w14:paraId="2E14E8C2" w14:textId="77777777" w:rsidR="004660D2" w:rsidRPr="00D86D87" w:rsidRDefault="004660D2">
            <w:pPr>
              <w:pStyle w:val="In-tableHeading"/>
              <w:jc w:val="center"/>
            </w:pPr>
            <w:r w:rsidRPr="00D86D87">
              <w:t>№.of</w:t>
            </w:r>
          </w:p>
          <w:p w14:paraId="7332348A" w14:textId="77777777" w:rsidR="004660D2" w:rsidRPr="00D86D87" w:rsidRDefault="004660D2">
            <w:pPr>
              <w:pStyle w:val="In-tableHeading"/>
              <w:jc w:val="center"/>
            </w:pPr>
            <w:r w:rsidRPr="00D86D87">
              <w:t>Rpts</w:t>
            </w:r>
          </w:p>
        </w:tc>
        <w:tc>
          <w:tcPr>
            <w:tcW w:w="1640" w:type="dxa"/>
            <w:vAlign w:val="center"/>
          </w:tcPr>
          <w:p w14:paraId="681678B5" w14:textId="77777777" w:rsidR="004660D2" w:rsidRPr="00D86D87" w:rsidRDefault="004660D2">
            <w:pPr>
              <w:pStyle w:val="In-tableHeading"/>
              <w:jc w:val="center"/>
            </w:pPr>
            <w:r w:rsidRPr="00D86D87">
              <w:t>Available brands</w:t>
            </w:r>
          </w:p>
        </w:tc>
      </w:tr>
      <w:tr w:rsidR="004660D2" w:rsidRPr="00D86D87" w14:paraId="2C268BD3" w14:textId="77777777" w:rsidTr="0035528C">
        <w:trPr>
          <w:cantSplit/>
          <w:trHeight w:val="20"/>
        </w:trPr>
        <w:tc>
          <w:tcPr>
            <w:tcW w:w="9000" w:type="dxa"/>
            <w:gridSpan w:val="6"/>
            <w:vAlign w:val="center"/>
          </w:tcPr>
          <w:p w14:paraId="43B259A9" w14:textId="58199649" w:rsidR="004660D2" w:rsidRPr="00A722CD" w:rsidRDefault="004660D2">
            <w:pPr>
              <w:pStyle w:val="TableText0"/>
              <w:spacing w:line="276" w:lineRule="auto"/>
              <w:rPr>
                <w:szCs w:val="20"/>
              </w:rPr>
            </w:pPr>
            <w:r w:rsidRPr="00A722CD">
              <w:t>Avacincaptad pegol</w:t>
            </w:r>
            <w:r w:rsidRPr="00A722CD">
              <w:rPr>
                <w:rFonts w:cs="Arial"/>
                <w:szCs w:val="20"/>
              </w:rPr>
              <w:t xml:space="preserve"> (</w:t>
            </w:r>
            <w:r w:rsidRPr="00A722CD">
              <w:rPr>
                <w:szCs w:val="20"/>
              </w:rPr>
              <w:t>IZERVAY®)</w:t>
            </w:r>
          </w:p>
        </w:tc>
      </w:tr>
      <w:tr w:rsidR="004660D2" w:rsidRPr="00D86D87" w14:paraId="760FD71A" w14:textId="77777777" w:rsidTr="0035528C">
        <w:trPr>
          <w:cantSplit/>
          <w:trHeight w:val="20"/>
        </w:trPr>
        <w:tc>
          <w:tcPr>
            <w:tcW w:w="2835" w:type="dxa"/>
            <w:vAlign w:val="center"/>
          </w:tcPr>
          <w:p w14:paraId="5DCEF8EA" w14:textId="7A134D3F" w:rsidR="004660D2" w:rsidRPr="00D86D87" w:rsidRDefault="004660D2">
            <w:pPr>
              <w:pStyle w:val="TableText0"/>
              <w:rPr>
                <w:color w:val="0066FF"/>
                <w:szCs w:val="20"/>
              </w:rPr>
            </w:pPr>
            <w:r w:rsidRPr="00A722CD">
              <w:t>Avacincaptad pegol intravitreal solution, 2 mg/0.1 mL in a single</w:t>
            </w:r>
            <w:r w:rsidR="009B60A6">
              <w:noBreakHyphen/>
            </w:r>
            <w:r w:rsidRPr="00A722CD">
              <w:t>dose vial</w:t>
            </w:r>
          </w:p>
        </w:tc>
        <w:tc>
          <w:tcPr>
            <w:tcW w:w="2030" w:type="dxa"/>
            <w:vAlign w:val="center"/>
          </w:tcPr>
          <w:p w14:paraId="68300BFC" w14:textId="34132A40" w:rsidR="004660D2" w:rsidRDefault="004660D2">
            <w:pPr>
              <w:pStyle w:val="TableText0"/>
              <w:jc w:val="center"/>
            </w:pPr>
            <w:r w:rsidRPr="004E4E7F">
              <w:t>Published: $</w:t>
            </w:r>
            <w:r w:rsidR="00B37C73" w:rsidRPr="00B37C73">
              <w:rPr>
                <w:sz w:val="2"/>
                <w:highlight w:val="black"/>
              </w:rPr>
              <w:t>redacted content</w:t>
            </w:r>
          </w:p>
          <w:p w14:paraId="1648C0BB" w14:textId="24E61838" w:rsidR="004660D2" w:rsidRPr="00D86D87" w:rsidRDefault="004660D2">
            <w:pPr>
              <w:pStyle w:val="TableText0"/>
              <w:jc w:val="center"/>
              <w:rPr>
                <w:szCs w:val="20"/>
              </w:rPr>
            </w:pPr>
            <w:r>
              <w:t>Effective: $</w:t>
            </w:r>
            <w:r w:rsidR="00B37C73" w:rsidRPr="00B37C73">
              <w:rPr>
                <w:sz w:val="2"/>
                <w:highlight w:val="black"/>
              </w:rPr>
              <w:t>redacted content</w:t>
            </w:r>
          </w:p>
        </w:tc>
        <w:tc>
          <w:tcPr>
            <w:tcW w:w="832" w:type="dxa"/>
            <w:vAlign w:val="center"/>
          </w:tcPr>
          <w:p w14:paraId="001674EB" w14:textId="77777777" w:rsidR="004660D2" w:rsidRPr="00D86D87" w:rsidRDefault="004660D2">
            <w:pPr>
              <w:pStyle w:val="TableText0"/>
              <w:jc w:val="center"/>
              <w:rPr>
                <w:szCs w:val="20"/>
              </w:rPr>
            </w:pPr>
            <w:r>
              <w:rPr>
                <w:szCs w:val="20"/>
              </w:rPr>
              <w:t>1</w:t>
            </w:r>
          </w:p>
        </w:tc>
        <w:tc>
          <w:tcPr>
            <w:tcW w:w="831" w:type="dxa"/>
            <w:vAlign w:val="center"/>
          </w:tcPr>
          <w:p w14:paraId="78900A93" w14:textId="77777777" w:rsidR="004660D2" w:rsidRPr="00D86D87" w:rsidRDefault="004660D2">
            <w:pPr>
              <w:pStyle w:val="TableText0"/>
              <w:jc w:val="center"/>
              <w:rPr>
                <w:szCs w:val="20"/>
              </w:rPr>
            </w:pPr>
            <w:r>
              <w:rPr>
                <w:szCs w:val="20"/>
              </w:rPr>
              <w:t>1</w:t>
            </w:r>
          </w:p>
        </w:tc>
        <w:tc>
          <w:tcPr>
            <w:tcW w:w="832" w:type="dxa"/>
            <w:vAlign w:val="center"/>
          </w:tcPr>
          <w:p w14:paraId="48F293E0" w14:textId="77777777" w:rsidR="004660D2" w:rsidRPr="00D86D87" w:rsidRDefault="004660D2">
            <w:pPr>
              <w:pStyle w:val="TableText0"/>
              <w:jc w:val="center"/>
              <w:rPr>
                <w:szCs w:val="20"/>
              </w:rPr>
            </w:pPr>
            <w:r>
              <w:rPr>
                <w:szCs w:val="20"/>
              </w:rPr>
              <w:t>5</w:t>
            </w:r>
          </w:p>
        </w:tc>
        <w:tc>
          <w:tcPr>
            <w:tcW w:w="1640" w:type="dxa"/>
            <w:vAlign w:val="center"/>
          </w:tcPr>
          <w:p w14:paraId="1D1FE433" w14:textId="77777777" w:rsidR="004660D2" w:rsidRDefault="004660D2">
            <w:pPr>
              <w:pStyle w:val="TableText0"/>
              <w:rPr>
                <w:szCs w:val="20"/>
              </w:rPr>
            </w:pPr>
          </w:p>
          <w:p w14:paraId="6B823A9D" w14:textId="77777777" w:rsidR="004660D2" w:rsidRDefault="004660D2">
            <w:pPr>
              <w:pStyle w:val="TableText0"/>
              <w:rPr>
                <w:szCs w:val="20"/>
              </w:rPr>
            </w:pPr>
            <w:r>
              <w:rPr>
                <w:szCs w:val="20"/>
              </w:rPr>
              <w:t>IZERVAY®</w:t>
            </w:r>
          </w:p>
          <w:p w14:paraId="7E0F7AD0" w14:textId="3F06F2AB" w:rsidR="004660D2" w:rsidRPr="00A722CD" w:rsidRDefault="004660D2">
            <w:pPr>
              <w:pStyle w:val="TableText0"/>
              <w:rPr>
                <w:szCs w:val="20"/>
              </w:rPr>
            </w:pPr>
            <w:r w:rsidRPr="00A722CD">
              <w:rPr>
                <w:szCs w:val="20"/>
              </w:rPr>
              <w:t xml:space="preserve">Astellas </w:t>
            </w:r>
            <w:r w:rsidR="00A57838">
              <w:rPr>
                <w:szCs w:val="20"/>
              </w:rPr>
              <w:t xml:space="preserve">Pharma </w:t>
            </w:r>
            <w:r w:rsidRPr="00A722CD">
              <w:rPr>
                <w:szCs w:val="20"/>
              </w:rPr>
              <w:t>Australia Pty. Ltd.</w:t>
            </w:r>
          </w:p>
          <w:p w14:paraId="32E77F6A" w14:textId="77777777" w:rsidR="004660D2" w:rsidRPr="00D86D87" w:rsidRDefault="004660D2">
            <w:pPr>
              <w:pStyle w:val="TableText0"/>
              <w:rPr>
                <w:color w:val="0066FF"/>
                <w:szCs w:val="20"/>
              </w:rPr>
            </w:pPr>
          </w:p>
        </w:tc>
      </w:tr>
    </w:tbl>
    <w:p w14:paraId="64DC005A" w14:textId="40EDC655" w:rsidR="004660D2" w:rsidRDefault="00432FF5" w:rsidP="00F2558A">
      <w:pPr>
        <w:pStyle w:val="TableFigureFooter"/>
        <w:spacing w:after="120"/>
        <w:rPr>
          <w:color w:val="0066FF"/>
        </w:rPr>
      </w:pPr>
      <w:r>
        <w:t>mg = Milligram</w:t>
      </w:r>
      <w:r w:rsidR="00B512BB">
        <w:t>; Rpts = repeats</w:t>
      </w:r>
      <w:r>
        <w: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 Initial treatment"/>
      </w:tblPr>
      <w:tblGrid>
        <w:gridCol w:w="8995"/>
      </w:tblGrid>
      <w:tr w:rsidR="00F2558A" w:rsidRPr="00E20031" w14:paraId="19B91388" w14:textId="77777777" w:rsidTr="0035528C">
        <w:trPr>
          <w:cantSplit/>
          <w:trHeight w:val="20"/>
        </w:trPr>
        <w:tc>
          <w:tcPr>
            <w:tcW w:w="5000" w:type="pct"/>
          </w:tcPr>
          <w:p w14:paraId="1728F7DA" w14:textId="77777777" w:rsidR="00F2558A" w:rsidRPr="00E20031" w:rsidRDefault="00F2558A" w:rsidP="00C216AD">
            <w:pPr>
              <w:pStyle w:val="TableText0"/>
              <w:widowControl w:val="0"/>
            </w:pPr>
            <w:r w:rsidRPr="00E20031">
              <w:t>Category / Program: General Schedule</w:t>
            </w:r>
            <w:r>
              <w:t xml:space="preserve"> (Code GE)</w:t>
            </w:r>
          </w:p>
        </w:tc>
      </w:tr>
      <w:tr w:rsidR="00F2558A" w:rsidRPr="00E20031" w14:paraId="60E3C5E2" w14:textId="77777777" w:rsidTr="0035528C">
        <w:trPr>
          <w:cantSplit/>
          <w:trHeight w:val="20"/>
        </w:trPr>
        <w:tc>
          <w:tcPr>
            <w:tcW w:w="5000" w:type="pct"/>
          </w:tcPr>
          <w:p w14:paraId="6C2EF7C2" w14:textId="77777777" w:rsidR="00F2558A" w:rsidRPr="00E20031" w:rsidRDefault="00F2558A" w:rsidP="00C216AD">
            <w:pPr>
              <w:pStyle w:val="TableText0"/>
              <w:widowControl w:val="0"/>
            </w:pPr>
            <w:r w:rsidRPr="00E20031">
              <w:t xml:space="preserve">Prescriber type: </w:t>
            </w:r>
            <w:r w:rsidRPr="00E20031">
              <w:fldChar w:fldCharType="begin">
                <w:ffData>
                  <w:name w:val="Check1"/>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Dental </w:t>
            </w:r>
            <w:r w:rsidRPr="00E20031">
              <w:fldChar w:fldCharType="begin">
                <w:ffData>
                  <w:name w:val=""/>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Medical Practitioners </w:t>
            </w:r>
            <w:r w:rsidRPr="00E20031">
              <w:fldChar w:fldCharType="begin">
                <w:ffData>
                  <w:name w:val="Check3"/>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Nurse practitioners </w:t>
            </w:r>
            <w:r w:rsidRPr="00E20031">
              <w:fldChar w:fldCharType="begin">
                <w:ffData>
                  <w:name w:val=""/>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Optometrists </w:t>
            </w:r>
            <w:r w:rsidRPr="00E20031">
              <w:fldChar w:fldCharType="begin">
                <w:ffData>
                  <w:name w:val="Check5"/>
                  <w:enabled/>
                  <w:calcOnExit w:val="0"/>
                  <w:checkBox>
                    <w:sizeAuto/>
                    <w:default w:val="0"/>
                  </w:checkBox>
                </w:ffData>
              </w:fldChar>
            </w:r>
            <w:r w:rsidRPr="00E20031">
              <w:instrText xml:space="preserve"> FORMCHECKBOX </w:instrText>
            </w:r>
            <w:r w:rsidRPr="00E20031">
              <w:fldChar w:fldCharType="separate"/>
            </w:r>
            <w:r w:rsidRPr="00E20031">
              <w:fldChar w:fldCharType="end"/>
            </w:r>
          </w:p>
        </w:tc>
      </w:tr>
      <w:tr w:rsidR="00F2558A" w:rsidRPr="00E20031" w14:paraId="25C45BBC" w14:textId="77777777" w:rsidTr="0035528C">
        <w:trPr>
          <w:cantSplit/>
          <w:trHeight w:val="20"/>
        </w:trPr>
        <w:tc>
          <w:tcPr>
            <w:tcW w:w="5000" w:type="pct"/>
          </w:tcPr>
          <w:p w14:paraId="1D2B6B69" w14:textId="40E80635" w:rsidR="00F2558A" w:rsidRPr="00E20031" w:rsidRDefault="00F2558A" w:rsidP="00C216AD">
            <w:pPr>
              <w:pStyle w:val="TableText0"/>
              <w:widowControl w:val="0"/>
            </w:pPr>
            <w:r w:rsidRPr="00E20031">
              <w:t>Restriction type:</w:t>
            </w:r>
            <w:r w:rsidRPr="00E20031">
              <w:br/>
            </w:r>
            <w:r w:rsidRPr="00E20031">
              <w:fldChar w:fldCharType="begin">
                <w:ffData>
                  <w:name w:val="Check3"/>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Authority Required (telephone/online PBS Authorities system) </w:t>
            </w:r>
            <w:r w:rsidRPr="00E20031">
              <w:br/>
            </w:r>
            <w:r w:rsidRPr="00E20031">
              <w:fldChar w:fldCharType="begin">
                <w:ffData>
                  <w:name w:val=""/>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Authority Required (in writing only via post/HPOS upload)</w:t>
            </w:r>
          </w:p>
        </w:tc>
      </w:tr>
      <w:tr w:rsidR="00F2558A" w:rsidRPr="00E20031" w14:paraId="10C50D95" w14:textId="77777777" w:rsidTr="0035528C">
        <w:trPr>
          <w:cantSplit/>
          <w:trHeight w:val="20"/>
        </w:trPr>
        <w:tc>
          <w:tcPr>
            <w:tcW w:w="5000" w:type="pct"/>
            <w:vAlign w:val="center"/>
            <w:hideMark/>
          </w:tcPr>
          <w:p w14:paraId="790004CC" w14:textId="532EA3D4" w:rsidR="00F2558A" w:rsidRPr="00E20031" w:rsidRDefault="00F2558A">
            <w:pPr>
              <w:pStyle w:val="TableText0"/>
              <w:keepNext w:val="0"/>
              <w:keepLines w:val="0"/>
              <w:widowControl w:val="0"/>
              <w:rPr>
                <w:b/>
                <w:bCs w:val="0"/>
              </w:rPr>
            </w:pPr>
            <w:r w:rsidRPr="00E20031">
              <w:t xml:space="preserve">Indication: </w:t>
            </w:r>
            <w:r w:rsidRPr="003E5450">
              <w:t>Geographic atrophy (GA) secondary to age</w:t>
            </w:r>
            <w:r w:rsidR="009B60A6">
              <w:noBreakHyphen/>
            </w:r>
            <w:r w:rsidRPr="003E5450">
              <w:t>related macular degeneration (AMD).</w:t>
            </w:r>
          </w:p>
        </w:tc>
      </w:tr>
      <w:tr w:rsidR="00F2558A" w:rsidRPr="00E20031" w14:paraId="048DB116" w14:textId="77777777" w:rsidTr="0035528C">
        <w:trPr>
          <w:cantSplit/>
          <w:trHeight w:val="20"/>
        </w:trPr>
        <w:tc>
          <w:tcPr>
            <w:tcW w:w="5000" w:type="pct"/>
            <w:vAlign w:val="center"/>
            <w:hideMark/>
          </w:tcPr>
          <w:p w14:paraId="72A6D030" w14:textId="77777777" w:rsidR="00F2558A" w:rsidRPr="00E20031" w:rsidRDefault="00F2558A">
            <w:pPr>
              <w:pStyle w:val="TableText0"/>
              <w:keepNext w:val="0"/>
              <w:keepLines w:val="0"/>
              <w:widowControl w:val="0"/>
              <w:rPr>
                <w:b/>
                <w:bCs w:val="0"/>
              </w:rPr>
            </w:pPr>
            <w:r w:rsidRPr="00E20031">
              <w:t>Treatment Phase: Initial</w:t>
            </w:r>
          </w:p>
        </w:tc>
      </w:tr>
      <w:tr w:rsidR="00F2558A" w:rsidRPr="00E20031" w14:paraId="7DA6A9AF" w14:textId="77777777" w:rsidTr="0035528C">
        <w:trPr>
          <w:cantSplit/>
          <w:trHeight w:val="20"/>
        </w:trPr>
        <w:tc>
          <w:tcPr>
            <w:tcW w:w="5000" w:type="pct"/>
            <w:vAlign w:val="center"/>
            <w:hideMark/>
          </w:tcPr>
          <w:p w14:paraId="4ACF3EFB" w14:textId="77777777" w:rsidR="00F2558A" w:rsidRDefault="00F2558A">
            <w:pPr>
              <w:pStyle w:val="TableText0"/>
              <w:keepNext w:val="0"/>
              <w:keepLines w:val="0"/>
              <w:widowControl w:val="0"/>
            </w:pPr>
            <w:r w:rsidRPr="00E20031">
              <w:t>Clinical criteria:</w:t>
            </w:r>
          </w:p>
          <w:p w14:paraId="0BB0008C" w14:textId="77777777" w:rsidR="00F2558A" w:rsidRDefault="00F2558A">
            <w:pPr>
              <w:pStyle w:val="TableText0"/>
              <w:keepNext w:val="0"/>
              <w:keepLines w:val="0"/>
              <w:widowControl w:val="0"/>
            </w:pPr>
            <w:r w:rsidRPr="003E5450">
              <w:t xml:space="preserve">Patients must have an intact fovea </w:t>
            </w:r>
          </w:p>
          <w:p w14:paraId="7A11BAC5" w14:textId="77777777" w:rsidR="00F2558A" w:rsidRDefault="00F2558A">
            <w:pPr>
              <w:pStyle w:val="TableText0"/>
              <w:keepNext w:val="0"/>
              <w:keepLines w:val="0"/>
              <w:widowControl w:val="0"/>
            </w:pPr>
            <w:r>
              <w:t>AND</w:t>
            </w:r>
          </w:p>
          <w:p w14:paraId="15371573" w14:textId="77777777" w:rsidR="00F2558A" w:rsidRPr="003E5450" w:rsidRDefault="00F2558A">
            <w:pPr>
              <w:pStyle w:val="TableText0"/>
              <w:keepNext w:val="0"/>
              <w:keepLines w:val="0"/>
              <w:widowControl w:val="0"/>
            </w:pPr>
            <w:r w:rsidRPr="003E5450">
              <w:t xml:space="preserve">For the treatment of a single eye where a patient’s central vision is threatened by GA lesion growth </w:t>
            </w:r>
          </w:p>
          <w:p w14:paraId="7D3E963E" w14:textId="77777777" w:rsidR="00F2558A" w:rsidRPr="003E5450" w:rsidRDefault="00F2558A">
            <w:pPr>
              <w:pStyle w:val="TableText0"/>
              <w:keepNext w:val="0"/>
              <w:keepLines w:val="0"/>
              <w:widowControl w:val="0"/>
            </w:pPr>
            <w:r w:rsidRPr="003E5450">
              <w:t>AND</w:t>
            </w:r>
          </w:p>
          <w:p w14:paraId="6516D4F0" w14:textId="0A5375FD" w:rsidR="00F2558A" w:rsidRPr="003E5450" w:rsidRDefault="00F2558A">
            <w:pPr>
              <w:pStyle w:val="TableText0"/>
              <w:keepNext w:val="0"/>
              <w:keepLines w:val="0"/>
              <w:widowControl w:val="0"/>
            </w:pPr>
            <w:r w:rsidRPr="003E5450">
              <w:t>Patient must have non</w:t>
            </w:r>
            <w:r w:rsidR="009B60A6">
              <w:noBreakHyphen/>
            </w:r>
            <w:r w:rsidRPr="003E5450">
              <w:t>sub</w:t>
            </w:r>
            <w:r w:rsidR="009B60A6">
              <w:noBreakHyphen/>
            </w:r>
            <w:r w:rsidRPr="003E5450">
              <w:t>foveal geographic atrophy secondary to age</w:t>
            </w:r>
            <w:r w:rsidR="009B60A6">
              <w:noBreakHyphen/>
            </w:r>
            <w:r w:rsidRPr="003E5450">
              <w:t xml:space="preserve">related macular degeneration </w:t>
            </w:r>
          </w:p>
          <w:p w14:paraId="37F3E450" w14:textId="77777777" w:rsidR="00F2558A" w:rsidRPr="003E5450" w:rsidRDefault="00F2558A">
            <w:pPr>
              <w:pStyle w:val="TableText0"/>
              <w:keepNext w:val="0"/>
              <w:keepLines w:val="0"/>
              <w:widowControl w:val="0"/>
            </w:pPr>
            <w:r w:rsidRPr="003E5450">
              <w:t>AND</w:t>
            </w:r>
          </w:p>
          <w:p w14:paraId="228AA4D6" w14:textId="77777777" w:rsidR="00F2558A" w:rsidRPr="003E5450" w:rsidRDefault="00F2558A">
            <w:pPr>
              <w:pStyle w:val="TableText0"/>
              <w:keepNext w:val="0"/>
              <w:keepLines w:val="0"/>
              <w:widowControl w:val="0"/>
            </w:pPr>
            <w:r w:rsidRPr="003E5450">
              <w:t xml:space="preserve">The condition must be diagnosed by fundus autofluorescence (FAF) or optical coherence tomography (OCT) </w:t>
            </w:r>
          </w:p>
          <w:p w14:paraId="3BE25C11" w14:textId="77777777" w:rsidR="00F2558A" w:rsidRPr="003E5450" w:rsidRDefault="00F2558A">
            <w:pPr>
              <w:pStyle w:val="TableText0"/>
              <w:keepNext w:val="0"/>
              <w:keepLines w:val="0"/>
              <w:widowControl w:val="0"/>
            </w:pPr>
            <w:r w:rsidRPr="003E5450">
              <w:t>AND</w:t>
            </w:r>
          </w:p>
          <w:p w14:paraId="75F2C619" w14:textId="05105DFE" w:rsidR="00F2558A" w:rsidRPr="00E20031" w:rsidRDefault="00F2558A">
            <w:pPr>
              <w:pStyle w:val="TableText0"/>
              <w:keepNext w:val="0"/>
              <w:keepLines w:val="0"/>
              <w:widowControl w:val="0"/>
              <w:rPr>
                <w:b/>
                <w:bCs w:val="0"/>
              </w:rPr>
            </w:pPr>
            <w:r w:rsidRPr="003E5450">
              <w:t>The treatment must be the sole PBS</w:t>
            </w:r>
            <w:r w:rsidR="009B60A6">
              <w:noBreakHyphen/>
            </w:r>
            <w:r w:rsidRPr="003E5450">
              <w:t>subsidised therapy for this condition</w:t>
            </w:r>
          </w:p>
        </w:tc>
      </w:tr>
      <w:tr w:rsidR="00F2558A" w:rsidRPr="00E20031" w14:paraId="10F4E622" w14:textId="77777777" w:rsidTr="0035528C">
        <w:trPr>
          <w:cantSplit/>
          <w:trHeight w:val="20"/>
        </w:trPr>
        <w:tc>
          <w:tcPr>
            <w:tcW w:w="5000" w:type="pct"/>
            <w:vAlign w:val="center"/>
            <w:hideMark/>
          </w:tcPr>
          <w:p w14:paraId="7DC8A178" w14:textId="77777777" w:rsidR="00F2558A" w:rsidRDefault="00F2558A">
            <w:pPr>
              <w:pStyle w:val="TableText0"/>
              <w:keepNext w:val="0"/>
              <w:keepLines w:val="0"/>
              <w:widowControl w:val="0"/>
            </w:pPr>
            <w:r w:rsidRPr="00E20031">
              <w:t>Treatment criteria:</w:t>
            </w:r>
          </w:p>
          <w:p w14:paraId="14E78563" w14:textId="77777777" w:rsidR="00F2558A" w:rsidRPr="009E37BD" w:rsidRDefault="00F2558A">
            <w:pPr>
              <w:pStyle w:val="TableText0"/>
              <w:keepNext w:val="0"/>
              <w:keepLines w:val="0"/>
              <w:widowControl w:val="0"/>
            </w:pPr>
            <w:r w:rsidRPr="009E37BD">
              <w:t>Must be treated by an ophthalmologist experienced in the management of geographic atrophy and in administering intravitreal injections.</w:t>
            </w:r>
          </w:p>
        </w:tc>
      </w:tr>
      <w:tr w:rsidR="00F2558A" w:rsidRPr="00E20031" w14:paraId="4D91038A" w14:textId="77777777" w:rsidTr="0035528C">
        <w:trPr>
          <w:cantSplit/>
          <w:trHeight w:val="20"/>
        </w:trPr>
        <w:tc>
          <w:tcPr>
            <w:tcW w:w="5000" w:type="pct"/>
            <w:vAlign w:val="center"/>
            <w:hideMark/>
          </w:tcPr>
          <w:p w14:paraId="1E2D5E8D" w14:textId="77777777" w:rsidR="00F2558A" w:rsidRPr="009E37BD" w:rsidRDefault="00F2558A">
            <w:pPr>
              <w:pStyle w:val="TableText0"/>
              <w:keepNext w:val="0"/>
              <w:keepLines w:val="0"/>
              <w:widowControl w:val="0"/>
              <w:rPr>
                <w:b/>
                <w:bCs w:val="0"/>
              </w:rPr>
            </w:pPr>
            <w:r w:rsidRPr="009E37BD">
              <w:lastRenderedPageBreak/>
              <w:t>Population criteria</w:t>
            </w:r>
            <w:r>
              <w:t xml:space="preserve">: </w:t>
            </w:r>
            <w:r w:rsidRPr="009E37BD">
              <w:t>Patient must be adult</w:t>
            </w:r>
          </w:p>
        </w:tc>
      </w:tr>
      <w:tr w:rsidR="00F2558A" w:rsidRPr="00E20031" w14:paraId="24C15984" w14:textId="77777777" w:rsidTr="0035528C">
        <w:trPr>
          <w:cantSplit/>
          <w:trHeight w:val="20"/>
        </w:trPr>
        <w:tc>
          <w:tcPr>
            <w:tcW w:w="5000" w:type="pct"/>
            <w:vAlign w:val="center"/>
            <w:hideMark/>
          </w:tcPr>
          <w:p w14:paraId="4F41A770" w14:textId="77777777" w:rsidR="00F2558A" w:rsidRPr="00E20031" w:rsidRDefault="00F2558A">
            <w:pPr>
              <w:pStyle w:val="TableText0"/>
              <w:keepNext w:val="0"/>
              <w:keepLines w:val="0"/>
              <w:widowControl w:val="0"/>
              <w:rPr>
                <w:b/>
                <w:bCs w:val="0"/>
              </w:rPr>
            </w:pPr>
            <w:r w:rsidRPr="009E37BD">
              <w:rPr>
                <w:szCs w:val="20"/>
              </w:rPr>
              <w:t>Prescribing Instructions:</w:t>
            </w:r>
            <w:r>
              <w:rPr>
                <w:szCs w:val="20"/>
              </w:rPr>
              <w:t xml:space="preserve"> </w:t>
            </w:r>
            <w:r w:rsidRPr="009E37BD">
              <w:rPr>
                <w:rFonts w:eastAsia="Times New Roman" w:cstheme="minorHAnsi"/>
                <w:color w:val="000000" w:themeColor="text1"/>
                <w:szCs w:val="20"/>
              </w:rPr>
              <w:t>The vial is for single use in one eye only. Discard any residue.</w:t>
            </w:r>
          </w:p>
        </w:tc>
      </w:tr>
      <w:tr w:rsidR="00F2558A" w:rsidRPr="00E20031" w14:paraId="2C050DFB" w14:textId="77777777" w:rsidTr="0035528C">
        <w:trPr>
          <w:cantSplit/>
          <w:trHeight w:val="20"/>
        </w:trPr>
        <w:tc>
          <w:tcPr>
            <w:tcW w:w="5000" w:type="pct"/>
            <w:vAlign w:val="center"/>
            <w:hideMark/>
          </w:tcPr>
          <w:p w14:paraId="2893F106" w14:textId="77777777" w:rsidR="00F2558A" w:rsidRPr="009E37BD" w:rsidRDefault="00F2558A">
            <w:pPr>
              <w:pStyle w:val="TableText0"/>
              <w:keepNext w:val="0"/>
              <w:keepLines w:val="0"/>
              <w:widowControl w:val="0"/>
              <w:rPr>
                <w:szCs w:val="20"/>
              </w:rPr>
            </w:pPr>
            <w:r w:rsidRPr="009E37BD">
              <w:rPr>
                <w:szCs w:val="20"/>
              </w:rPr>
              <w:t xml:space="preserve">Administrative Advice: </w:t>
            </w:r>
          </w:p>
          <w:p w14:paraId="4E924560" w14:textId="77777777" w:rsidR="00F2558A" w:rsidRPr="009E37BD" w:rsidRDefault="00F2558A">
            <w:pPr>
              <w:pStyle w:val="TableText0"/>
              <w:keepNext w:val="0"/>
              <w:keepLines w:val="0"/>
              <w:widowControl w:val="0"/>
              <w:rPr>
                <w:szCs w:val="20"/>
                <w:u w:val="single"/>
              </w:rPr>
            </w:pPr>
            <w:r w:rsidRPr="009E37BD">
              <w:rPr>
                <w:szCs w:val="20"/>
                <w:u w:val="single"/>
              </w:rPr>
              <w:t>Note</w:t>
            </w:r>
          </w:p>
          <w:p w14:paraId="5C7C57AE" w14:textId="77777777" w:rsidR="00F2558A" w:rsidRPr="009E37BD" w:rsidRDefault="00F2558A">
            <w:pPr>
              <w:pStyle w:val="TableText0"/>
              <w:keepNext w:val="0"/>
              <w:keepLines w:val="0"/>
              <w:widowControl w:val="0"/>
              <w:rPr>
                <w:szCs w:val="20"/>
              </w:rPr>
            </w:pPr>
            <w:r w:rsidRPr="009E37BD">
              <w:rPr>
                <w:szCs w:val="20"/>
              </w:rPr>
              <w:t>Special Pricing Arrangements apply.</w:t>
            </w:r>
          </w:p>
          <w:p w14:paraId="293C85F4" w14:textId="77777777" w:rsidR="00F2558A" w:rsidRPr="009E37BD" w:rsidRDefault="00F2558A">
            <w:pPr>
              <w:pStyle w:val="TableText0"/>
              <w:keepNext w:val="0"/>
              <w:keepLines w:val="0"/>
              <w:widowControl w:val="0"/>
              <w:rPr>
                <w:szCs w:val="20"/>
                <w:u w:val="single"/>
              </w:rPr>
            </w:pPr>
            <w:r w:rsidRPr="009E37BD">
              <w:rPr>
                <w:szCs w:val="20"/>
                <w:u w:val="single"/>
              </w:rPr>
              <w:t>Note</w:t>
            </w:r>
          </w:p>
          <w:p w14:paraId="11EBB005" w14:textId="77777777" w:rsidR="00F2558A" w:rsidRPr="009E37BD" w:rsidRDefault="00F2558A">
            <w:pPr>
              <w:pStyle w:val="TableText0"/>
              <w:keepNext w:val="0"/>
              <w:keepLines w:val="0"/>
              <w:widowControl w:val="0"/>
              <w:rPr>
                <w:szCs w:val="20"/>
              </w:rPr>
            </w:pPr>
            <w:r w:rsidRPr="009E37BD">
              <w:rPr>
                <w:szCs w:val="20"/>
              </w:rPr>
              <w:t>No increase in the maximum number of repeats may be authorised.</w:t>
            </w:r>
          </w:p>
          <w:p w14:paraId="19CC6325" w14:textId="77777777" w:rsidR="00F2558A" w:rsidRPr="009E37BD" w:rsidRDefault="00F2558A">
            <w:pPr>
              <w:pStyle w:val="TableText0"/>
              <w:keepNext w:val="0"/>
              <w:keepLines w:val="0"/>
              <w:widowControl w:val="0"/>
              <w:rPr>
                <w:szCs w:val="20"/>
                <w:u w:val="single"/>
              </w:rPr>
            </w:pPr>
            <w:r w:rsidRPr="009E37BD">
              <w:rPr>
                <w:szCs w:val="20"/>
                <w:u w:val="single"/>
              </w:rPr>
              <w:t>Note</w:t>
            </w:r>
          </w:p>
          <w:p w14:paraId="5104462D" w14:textId="77777777" w:rsidR="00F2558A" w:rsidRPr="00E20031" w:rsidRDefault="00F2558A">
            <w:pPr>
              <w:pStyle w:val="TableText0"/>
              <w:keepNext w:val="0"/>
              <w:keepLines w:val="0"/>
              <w:widowControl w:val="0"/>
              <w:rPr>
                <w:b/>
                <w:bCs w:val="0"/>
              </w:rPr>
            </w:pPr>
            <w:r w:rsidRPr="009E37BD">
              <w:rPr>
                <w:szCs w:val="20"/>
              </w:rPr>
              <w:t>No increase in the maximum quantity or number of units may be authorised for applications for treatment of one eye.</w:t>
            </w:r>
          </w:p>
        </w:tc>
      </w:tr>
    </w:tbl>
    <w:p w14:paraId="7636A262" w14:textId="50C5F439" w:rsidR="00CF3120" w:rsidRDefault="00432FF5" w:rsidP="00F2558A">
      <w:pPr>
        <w:pStyle w:val="TableFigureFooter"/>
        <w:spacing w:after="120"/>
      </w:pPr>
      <w:r>
        <w:t>AMD = age</w:t>
      </w:r>
      <w:r w:rsidR="009B60A6">
        <w:noBreakHyphen/>
      </w:r>
      <w:r>
        <w:t>related macular degeneration; anti</w:t>
      </w:r>
      <w:r w:rsidR="009B60A6">
        <w:noBreakHyphen/>
      </w:r>
      <w:r>
        <w:t>VEGF = anti</w:t>
      </w:r>
      <w:r w:rsidR="009B60A6">
        <w:noBreakHyphen/>
      </w:r>
      <w:r>
        <w:t>vascular endothelial growth factor; GA = geographic atrophy; IOP = Intraocular pressure; OCT = optical coherence tomography; OR = Odds ratio; PBS = Pharmaceutical Benefits Scheme; VEGF = vascular endothelial growth factor.</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 Continuing treatment"/>
      </w:tblPr>
      <w:tblGrid>
        <w:gridCol w:w="8995"/>
      </w:tblGrid>
      <w:tr w:rsidR="00F2558A" w:rsidRPr="00E20031" w14:paraId="61DB8EEE" w14:textId="77777777" w:rsidTr="0035528C">
        <w:trPr>
          <w:cantSplit/>
          <w:trHeight w:val="20"/>
        </w:trPr>
        <w:tc>
          <w:tcPr>
            <w:tcW w:w="5000" w:type="pct"/>
          </w:tcPr>
          <w:p w14:paraId="48FB0AD6" w14:textId="77777777" w:rsidR="00F2558A" w:rsidRPr="00E20031" w:rsidRDefault="00F2558A" w:rsidP="00C216AD">
            <w:pPr>
              <w:pStyle w:val="TableText0"/>
              <w:widowControl w:val="0"/>
            </w:pPr>
            <w:r w:rsidRPr="00E20031">
              <w:t>Category / Program: General Schedule</w:t>
            </w:r>
            <w:r>
              <w:t xml:space="preserve"> (Code GE)</w:t>
            </w:r>
          </w:p>
        </w:tc>
      </w:tr>
      <w:tr w:rsidR="00F2558A" w:rsidRPr="00E20031" w14:paraId="0EDC29E6" w14:textId="77777777" w:rsidTr="0035528C">
        <w:trPr>
          <w:cantSplit/>
          <w:trHeight w:val="20"/>
        </w:trPr>
        <w:tc>
          <w:tcPr>
            <w:tcW w:w="5000" w:type="pct"/>
          </w:tcPr>
          <w:p w14:paraId="3F071C79" w14:textId="77777777" w:rsidR="00F2558A" w:rsidRPr="00E20031" w:rsidRDefault="00F2558A" w:rsidP="00C216AD">
            <w:pPr>
              <w:pStyle w:val="TableText0"/>
              <w:widowControl w:val="0"/>
            </w:pPr>
            <w:r w:rsidRPr="00E20031">
              <w:t xml:space="preserve">Prescriber type: </w:t>
            </w:r>
            <w:r w:rsidRPr="00E20031">
              <w:fldChar w:fldCharType="begin">
                <w:ffData>
                  <w:name w:val="Check1"/>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Dental </w:t>
            </w:r>
            <w:r w:rsidRPr="00E20031">
              <w:fldChar w:fldCharType="begin">
                <w:ffData>
                  <w:name w:val=""/>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Medical Practitioners </w:t>
            </w:r>
            <w:r w:rsidRPr="00E20031">
              <w:fldChar w:fldCharType="begin">
                <w:ffData>
                  <w:name w:val="Check3"/>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Nurse practitioners </w:t>
            </w:r>
            <w:r w:rsidRPr="00E20031">
              <w:fldChar w:fldCharType="begin">
                <w:ffData>
                  <w:name w:val=""/>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Optometrists </w:t>
            </w:r>
            <w:r w:rsidRPr="00E20031">
              <w:fldChar w:fldCharType="begin">
                <w:ffData>
                  <w:name w:val="Check5"/>
                  <w:enabled/>
                  <w:calcOnExit w:val="0"/>
                  <w:checkBox>
                    <w:sizeAuto/>
                    <w:default w:val="0"/>
                  </w:checkBox>
                </w:ffData>
              </w:fldChar>
            </w:r>
            <w:r w:rsidRPr="00E20031">
              <w:instrText xml:space="preserve"> FORMCHECKBOX </w:instrText>
            </w:r>
            <w:r w:rsidRPr="00E20031">
              <w:fldChar w:fldCharType="separate"/>
            </w:r>
            <w:r w:rsidRPr="00E20031">
              <w:fldChar w:fldCharType="end"/>
            </w:r>
          </w:p>
        </w:tc>
      </w:tr>
      <w:tr w:rsidR="00F2558A" w:rsidRPr="00E20031" w14:paraId="46F8FCFC" w14:textId="77777777" w:rsidTr="0035528C">
        <w:trPr>
          <w:cantSplit/>
          <w:trHeight w:val="20"/>
        </w:trPr>
        <w:tc>
          <w:tcPr>
            <w:tcW w:w="5000" w:type="pct"/>
          </w:tcPr>
          <w:p w14:paraId="2F400B29" w14:textId="77777777" w:rsidR="00F2558A" w:rsidRPr="00E20031" w:rsidRDefault="00F2558A" w:rsidP="00C216AD">
            <w:pPr>
              <w:pStyle w:val="TableText0"/>
              <w:widowControl w:val="0"/>
            </w:pPr>
            <w:r w:rsidRPr="00E20031">
              <w:t>Restriction type:</w:t>
            </w:r>
            <w:r>
              <w:t xml:space="preserve"> </w:t>
            </w:r>
            <w:r w:rsidRPr="00E20031">
              <w:fldChar w:fldCharType="begin">
                <w:ffData>
                  <w:name w:val="Check3"/>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Authority Required (</w:t>
            </w:r>
            <w:r>
              <w:t>Streamlined)</w:t>
            </w:r>
            <w:r w:rsidRPr="00E20031">
              <w:t xml:space="preserve"> </w:t>
            </w:r>
          </w:p>
        </w:tc>
      </w:tr>
      <w:tr w:rsidR="00F2558A" w:rsidRPr="00E20031" w14:paraId="0F2B6E94" w14:textId="77777777" w:rsidTr="0035528C">
        <w:trPr>
          <w:cantSplit/>
          <w:trHeight w:val="20"/>
        </w:trPr>
        <w:tc>
          <w:tcPr>
            <w:tcW w:w="5000" w:type="pct"/>
            <w:vAlign w:val="center"/>
            <w:hideMark/>
          </w:tcPr>
          <w:p w14:paraId="590E2843" w14:textId="3AF6988A" w:rsidR="00F2558A" w:rsidRPr="00E20031" w:rsidRDefault="00F2558A" w:rsidP="00C216AD">
            <w:pPr>
              <w:pStyle w:val="TableText0"/>
              <w:widowControl w:val="0"/>
              <w:rPr>
                <w:b/>
                <w:bCs w:val="0"/>
              </w:rPr>
            </w:pPr>
            <w:r w:rsidRPr="00E20031">
              <w:t xml:space="preserve">Indication: </w:t>
            </w:r>
            <w:r w:rsidRPr="003E5450">
              <w:t>Geographic atrophy (GA) secondary to age</w:t>
            </w:r>
            <w:r w:rsidR="009B60A6">
              <w:noBreakHyphen/>
            </w:r>
            <w:r w:rsidRPr="003E5450">
              <w:t>related macular degeneration (AMD).</w:t>
            </w:r>
          </w:p>
        </w:tc>
      </w:tr>
      <w:tr w:rsidR="00F2558A" w:rsidRPr="00E20031" w14:paraId="32E9AF7E" w14:textId="77777777" w:rsidTr="0035528C">
        <w:trPr>
          <w:cantSplit/>
          <w:trHeight w:val="20"/>
        </w:trPr>
        <w:tc>
          <w:tcPr>
            <w:tcW w:w="5000" w:type="pct"/>
            <w:vAlign w:val="center"/>
            <w:hideMark/>
          </w:tcPr>
          <w:p w14:paraId="103DEE3F" w14:textId="77777777" w:rsidR="00F2558A" w:rsidRPr="00E20031" w:rsidRDefault="00F2558A" w:rsidP="00C216AD">
            <w:pPr>
              <w:pStyle w:val="TableText0"/>
              <w:widowControl w:val="0"/>
              <w:rPr>
                <w:b/>
                <w:bCs w:val="0"/>
              </w:rPr>
            </w:pPr>
            <w:r w:rsidRPr="00E20031">
              <w:t xml:space="preserve">Treatment Phase: </w:t>
            </w:r>
            <w:r>
              <w:t>Continuing</w:t>
            </w:r>
          </w:p>
        </w:tc>
      </w:tr>
      <w:tr w:rsidR="00F2558A" w:rsidRPr="00E20031" w14:paraId="7D343E9A" w14:textId="77777777" w:rsidTr="0035528C">
        <w:trPr>
          <w:cantSplit/>
          <w:trHeight w:val="20"/>
        </w:trPr>
        <w:tc>
          <w:tcPr>
            <w:tcW w:w="5000" w:type="pct"/>
            <w:vAlign w:val="center"/>
            <w:hideMark/>
          </w:tcPr>
          <w:p w14:paraId="49FE4EFD" w14:textId="77777777" w:rsidR="00F2558A" w:rsidRDefault="00F2558A" w:rsidP="00C216AD">
            <w:pPr>
              <w:pStyle w:val="TableText0"/>
              <w:widowControl w:val="0"/>
            </w:pPr>
            <w:r w:rsidRPr="00E20031">
              <w:t>Clinical criteria:</w:t>
            </w:r>
          </w:p>
          <w:p w14:paraId="3C290E10" w14:textId="3414100D" w:rsidR="00F2558A" w:rsidRDefault="00F2558A" w:rsidP="00C216AD">
            <w:pPr>
              <w:pStyle w:val="TableText0"/>
              <w:widowControl w:val="0"/>
            </w:pPr>
            <w:r>
              <w:t>The condition must be due to geographic atrophy secondary to age</w:t>
            </w:r>
            <w:r w:rsidR="009B60A6">
              <w:noBreakHyphen/>
            </w:r>
            <w:r>
              <w:t xml:space="preserve">related macular degeneration </w:t>
            </w:r>
          </w:p>
          <w:p w14:paraId="0E0D409A" w14:textId="77777777" w:rsidR="00F2558A" w:rsidRDefault="00F2558A" w:rsidP="00C216AD">
            <w:pPr>
              <w:pStyle w:val="TableText0"/>
              <w:widowControl w:val="0"/>
            </w:pPr>
            <w:r>
              <w:t>AND</w:t>
            </w:r>
          </w:p>
          <w:p w14:paraId="2D73FDAF" w14:textId="425B9484" w:rsidR="00F2558A" w:rsidRDefault="00F2558A" w:rsidP="00C216AD">
            <w:pPr>
              <w:pStyle w:val="TableText0"/>
              <w:widowControl w:val="0"/>
            </w:pPr>
            <w:r>
              <w:t>The treatment must be the sole PBS</w:t>
            </w:r>
            <w:r w:rsidR="009B60A6">
              <w:noBreakHyphen/>
            </w:r>
            <w:r>
              <w:t xml:space="preserve">subsidised therapy for this condition </w:t>
            </w:r>
          </w:p>
          <w:p w14:paraId="55D7DCB8" w14:textId="77777777" w:rsidR="00F2558A" w:rsidRDefault="00F2558A" w:rsidP="00C216AD">
            <w:pPr>
              <w:pStyle w:val="TableText0"/>
              <w:widowControl w:val="0"/>
            </w:pPr>
            <w:r>
              <w:t>AND</w:t>
            </w:r>
          </w:p>
          <w:p w14:paraId="553B56E2" w14:textId="6E312FBC" w:rsidR="00F2558A" w:rsidRDefault="00F2558A" w:rsidP="00C216AD">
            <w:pPr>
              <w:pStyle w:val="TableText0"/>
              <w:widowControl w:val="0"/>
            </w:pPr>
            <w:r>
              <w:t>Patient must have previously received PBS</w:t>
            </w:r>
            <w:r w:rsidR="009B60A6">
              <w:noBreakHyphen/>
            </w:r>
            <w:r>
              <w:t xml:space="preserve">subsidised treatment with this drug for this condition for the same eye </w:t>
            </w:r>
          </w:p>
          <w:p w14:paraId="60810659" w14:textId="77777777" w:rsidR="00F2558A" w:rsidRDefault="00F2558A" w:rsidP="00C216AD">
            <w:pPr>
              <w:pStyle w:val="TableText0"/>
              <w:widowControl w:val="0"/>
            </w:pPr>
            <w:r>
              <w:t>AND</w:t>
            </w:r>
          </w:p>
          <w:p w14:paraId="50DD73E6" w14:textId="77777777" w:rsidR="00F2558A" w:rsidRDefault="00F2558A" w:rsidP="00C216AD">
            <w:pPr>
              <w:pStyle w:val="TableText0"/>
              <w:widowControl w:val="0"/>
            </w:pPr>
            <w:r>
              <w:t xml:space="preserve">Patient must have demonstrated continued clinical benefit of the condition, the details of which must be kept with the patient’s record </w:t>
            </w:r>
          </w:p>
          <w:p w14:paraId="5AB42A27" w14:textId="77777777" w:rsidR="00F2558A" w:rsidRDefault="00F2558A" w:rsidP="00C216AD">
            <w:pPr>
              <w:pStyle w:val="TableText0"/>
              <w:widowControl w:val="0"/>
            </w:pPr>
            <w:r>
              <w:t>OR</w:t>
            </w:r>
          </w:p>
          <w:p w14:paraId="4CC1EDB6" w14:textId="77777777" w:rsidR="00F2558A" w:rsidRDefault="00F2558A" w:rsidP="00C216AD">
            <w:pPr>
              <w:pStyle w:val="TableText0"/>
              <w:widowControl w:val="0"/>
            </w:pPr>
            <w:r>
              <w:t>Patient must not continue treatment with avacincaptad pegol until endophthalmitis, retinal detachment or intraocular inflammation if developed, have resolved.</w:t>
            </w:r>
          </w:p>
          <w:p w14:paraId="46C94D43" w14:textId="77777777" w:rsidR="00F2558A" w:rsidRDefault="00F2558A" w:rsidP="00C216AD">
            <w:pPr>
              <w:pStyle w:val="TableText0"/>
              <w:widowControl w:val="0"/>
            </w:pPr>
            <w:r>
              <w:t>OR</w:t>
            </w:r>
          </w:p>
          <w:p w14:paraId="33A5DDA1" w14:textId="54761C0B" w:rsidR="00F2558A" w:rsidRPr="009E37BD" w:rsidRDefault="00F2558A" w:rsidP="00C216AD">
            <w:pPr>
              <w:pStyle w:val="TableText0"/>
              <w:widowControl w:val="0"/>
            </w:pPr>
            <w:r>
              <w:t>If patient develops neovascular (wet) AMD or choroidal neovascularisation develops, treatment with an appropriate anti</w:t>
            </w:r>
            <w:r w:rsidR="009B60A6">
              <w:noBreakHyphen/>
            </w:r>
            <w:r>
              <w:t>Vascular Endothelial Growth Factor (anti</w:t>
            </w:r>
            <w:r w:rsidR="009B60A6">
              <w:noBreakHyphen/>
            </w:r>
            <w:r>
              <w:t xml:space="preserve">VEGF) agent should be considered. </w:t>
            </w:r>
          </w:p>
        </w:tc>
      </w:tr>
      <w:tr w:rsidR="00F2558A" w:rsidRPr="00E20031" w14:paraId="3B434F56" w14:textId="77777777" w:rsidTr="0035528C">
        <w:trPr>
          <w:cantSplit/>
          <w:trHeight w:val="20"/>
        </w:trPr>
        <w:tc>
          <w:tcPr>
            <w:tcW w:w="5000" w:type="pct"/>
            <w:vAlign w:val="center"/>
            <w:hideMark/>
          </w:tcPr>
          <w:p w14:paraId="5852A755" w14:textId="77777777" w:rsidR="00F2558A" w:rsidRDefault="00F2558A">
            <w:pPr>
              <w:pStyle w:val="TableText0"/>
              <w:keepNext w:val="0"/>
              <w:keepLines w:val="0"/>
              <w:widowControl w:val="0"/>
            </w:pPr>
            <w:r w:rsidRPr="00E20031">
              <w:t>Treatment criteria:</w:t>
            </w:r>
          </w:p>
          <w:p w14:paraId="75EA5ECA" w14:textId="77777777" w:rsidR="00F2558A" w:rsidRPr="009E37BD" w:rsidRDefault="00F2558A">
            <w:pPr>
              <w:pStyle w:val="TableText0"/>
              <w:keepNext w:val="0"/>
              <w:keepLines w:val="0"/>
              <w:widowControl w:val="0"/>
            </w:pPr>
            <w:r w:rsidRPr="009E37BD">
              <w:t>Must be treated by an ophthalmologist experienced in the management of geographic atrophy and in administering intravitreal injections.</w:t>
            </w:r>
          </w:p>
        </w:tc>
      </w:tr>
      <w:tr w:rsidR="00F2558A" w:rsidRPr="00E20031" w14:paraId="716F929B" w14:textId="77777777" w:rsidTr="0035528C">
        <w:trPr>
          <w:cantSplit/>
          <w:trHeight w:val="20"/>
        </w:trPr>
        <w:tc>
          <w:tcPr>
            <w:tcW w:w="5000" w:type="pct"/>
            <w:vAlign w:val="center"/>
            <w:hideMark/>
          </w:tcPr>
          <w:p w14:paraId="20477C12" w14:textId="77777777" w:rsidR="00F2558A" w:rsidRPr="009E37BD" w:rsidRDefault="00F2558A">
            <w:pPr>
              <w:pStyle w:val="TableText0"/>
              <w:keepNext w:val="0"/>
              <w:keepLines w:val="0"/>
              <w:widowControl w:val="0"/>
              <w:rPr>
                <w:b/>
                <w:bCs w:val="0"/>
              </w:rPr>
            </w:pPr>
            <w:r w:rsidRPr="009E37BD">
              <w:t>Population criteria</w:t>
            </w:r>
            <w:r>
              <w:t xml:space="preserve">: </w:t>
            </w:r>
            <w:r w:rsidRPr="009E37BD">
              <w:t>Patient must be adult</w:t>
            </w:r>
          </w:p>
        </w:tc>
      </w:tr>
      <w:tr w:rsidR="00F2558A" w:rsidRPr="00E20031" w14:paraId="3423F487" w14:textId="77777777" w:rsidTr="0035528C">
        <w:trPr>
          <w:cantSplit/>
          <w:trHeight w:val="20"/>
        </w:trPr>
        <w:tc>
          <w:tcPr>
            <w:tcW w:w="5000" w:type="pct"/>
            <w:vAlign w:val="center"/>
            <w:hideMark/>
          </w:tcPr>
          <w:p w14:paraId="60583CDE" w14:textId="77777777" w:rsidR="00F2558A" w:rsidRPr="00E20031" w:rsidRDefault="00F2558A">
            <w:pPr>
              <w:pStyle w:val="TableText0"/>
              <w:keepNext w:val="0"/>
              <w:keepLines w:val="0"/>
              <w:widowControl w:val="0"/>
              <w:rPr>
                <w:b/>
                <w:bCs w:val="0"/>
              </w:rPr>
            </w:pPr>
            <w:r w:rsidRPr="009E37BD">
              <w:rPr>
                <w:szCs w:val="20"/>
              </w:rPr>
              <w:t>Prescribing Instructions:</w:t>
            </w:r>
            <w:r>
              <w:rPr>
                <w:szCs w:val="20"/>
              </w:rPr>
              <w:t xml:space="preserve"> </w:t>
            </w:r>
            <w:r w:rsidRPr="009E37BD">
              <w:rPr>
                <w:rFonts w:eastAsia="Times New Roman" w:cstheme="minorHAnsi"/>
                <w:color w:val="000000" w:themeColor="text1"/>
                <w:szCs w:val="20"/>
              </w:rPr>
              <w:t>The vial is for single use in one eye only. Discard any residue.</w:t>
            </w:r>
          </w:p>
        </w:tc>
      </w:tr>
      <w:tr w:rsidR="00F2558A" w:rsidRPr="00E20031" w14:paraId="634FC531" w14:textId="77777777" w:rsidTr="0035528C">
        <w:trPr>
          <w:cantSplit/>
          <w:trHeight w:val="20"/>
        </w:trPr>
        <w:tc>
          <w:tcPr>
            <w:tcW w:w="5000" w:type="pct"/>
            <w:vAlign w:val="center"/>
            <w:hideMark/>
          </w:tcPr>
          <w:p w14:paraId="6268BDC0" w14:textId="77777777" w:rsidR="00F2558A" w:rsidRPr="009E37BD" w:rsidRDefault="00F2558A">
            <w:pPr>
              <w:pStyle w:val="TableText0"/>
              <w:keepNext w:val="0"/>
              <w:keepLines w:val="0"/>
              <w:widowControl w:val="0"/>
              <w:rPr>
                <w:szCs w:val="20"/>
              </w:rPr>
            </w:pPr>
            <w:r w:rsidRPr="009E37BD">
              <w:rPr>
                <w:szCs w:val="20"/>
              </w:rPr>
              <w:t xml:space="preserve">Administrative Advice: </w:t>
            </w:r>
          </w:p>
          <w:p w14:paraId="67445F5D" w14:textId="77777777" w:rsidR="00F2558A" w:rsidRPr="009E37BD" w:rsidRDefault="00F2558A">
            <w:pPr>
              <w:pStyle w:val="TableText0"/>
              <w:keepNext w:val="0"/>
              <w:keepLines w:val="0"/>
              <w:widowControl w:val="0"/>
              <w:rPr>
                <w:szCs w:val="20"/>
                <w:u w:val="single"/>
              </w:rPr>
            </w:pPr>
            <w:r w:rsidRPr="009E37BD">
              <w:rPr>
                <w:szCs w:val="20"/>
                <w:u w:val="single"/>
              </w:rPr>
              <w:t>Note</w:t>
            </w:r>
          </w:p>
          <w:p w14:paraId="450B7336" w14:textId="77777777" w:rsidR="00F2558A" w:rsidRPr="009E37BD" w:rsidRDefault="00F2558A">
            <w:pPr>
              <w:pStyle w:val="TableText0"/>
              <w:keepNext w:val="0"/>
              <w:keepLines w:val="0"/>
              <w:widowControl w:val="0"/>
              <w:rPr>
                <w:szCs w:val="20"/>
              </w:rPr>
            </w:pPr>
            <w:r w:rsidRPr="009E37BD">
              <w:rPr>
                <w:szCs w:val="20"/>
              </w:rPr>
              <w:t>Special Pricing Arrangements apply.</w:t>
            </w:r>
          </w:p>
        </w:tc>
      </w:tr>
    </w:tbl>
    <w:p w14:paraId="292FEA55" w14:textId="48EB2DB0" w:rsidR="00F2558A" w:rsidRDefault="00F2558A" w:rsidP="000426BF">
      <w:pPr>
        <w:pStyle w:val="TableFigureFooter"/>
        <w:spacing w:after="240"/>
      </w:pPr>
      <w:r>
        <w:t>AMD = age</w:t>
      </w:r>
      <w:r w:rsidR="009B60A6">
        <w:noBreakHyphen/>
      </w:r>
      <w:r>
        <w:t>related macular degeneration; anti</w:t>
      </w:r>
      <w:r w:rsidR="009B60A6">
        <w:noBreakHyphen/>
      </w:r>
      <w:r>
        <w:t>VEGF = anti</w:t>
      </w:r>
      <w:r w:rsidR="009B60A6">
        <w:noBreakHyphen/>
      </w:r>
      <w:r>
        <w:t>vascular endothelial growth factor; GA = geographic atrophy; IOP = Intraocular pressure; OCT = optical coherence tomography; OR = Odds ratio; PBS = Pharmaceutical Benefits Scheme; VEGF = vascular endothelial growth factor.</w:t>
      </w:r>
    </w:p>
    <w:p w14:paraId="55C14F7C" w14:textId="4211FCD7" w:rsidR="00DC20A6" w:rsidRPr="00C17763" w:rsidRDefault="000B1DCC" w:rsidP="00A51618">
      <w:pPr>
        <w:pStyle w:val="3-BodyText"/>
        <w:rPr>
          <w:iCs/>
        </w:rPr>
      </w:pPr>
      <w:r>
        <w:t>The submission requested a special pricing arrangement (SPA). The requested published ex</w:t>
      </w:r>
      <w:r w:rsidR="009B60A6">
        <w:noBreakHyphen/>
      </w:r>
      <w:r>
        <w:t xml:space="preserve">manufacturer price (EMP) is </w:t>
      </w:r>
      <w:r w:rsidR="00042D42">
        <w:t>$</w:t>
      </w:r>
      <w:r w:rsidR="00B37C73" w:rsidRPr="00B37C73">
        <w:rPr>
          <w:sz w:val="2"/>
          <w:highlight w:val="black"/>
        </w:rPr>
        <w:t>redacted content</w:t>
      </w:r>
      <w:r w:rsidR="005A4DEB">
        <w:t xml:space="preserve"> per </w:t>
      </w:r>
      <w:r w:rsidR="001113A1">
        <w:t>vial and the effective EMP is $</w:t>
      </w:r>
      <w:r w:rsidR="00B37C73" w:rsidRPr="00B37C73">
        <w:rPr>
          <w:sz w:val="2"/>
          <w:highlight w:val="black"/>
        </w:rPr>
        <w:t>redacted content</w:t>
      </w:r>
      <w:r w:rsidR="001113A1">
        <w:t xml:space="preserve"> per vial. </w:t>
      </w:r>
    </w:p>
    <w:p w14:paraId="7D7B3003" w14:textId="5902C70D" w:rsidR="007F68C7" w:rsidRPr="002A21B6" w:rsidRDefault="00107750" w:rsidP="00F9393E">
      <w:pPr>
        <w:pStyle w:val="3-BodyText"/>
      </w:pPr>
      <w:bookmarkStart w:id="8" w:name="_Ref222233489"/>
      <w:r w:rsidRPr="002A21B6">
        <w:t>The submission stated that the eligibility criteria for initiation of ACP treatment were consistent with the approved ACP Product Information (PI) and the key clinical trials and did not include patients with sub</w:t>
      </w:r>
      <w:r w:rsidR="009B60A6">
        <w:noBreakHyphen/>
      </w:r>
      <w:r w:rsidRPr="002A21B6">
        <w:t xml:space="preserve">foveal GA lesions. The clinical criteria of the proposed PBS restriction for initial ACP treatment aligned with the approved ACP PI. </w:t>
      </w:r>
      <w:r w:rsidRPr="002A21B6">
        <w:lastRenderedPageBreak/>
        <w:t>However, the proposed restriction for initiation of ACP treatment did not align with the patient eligibility criteria used in the key trials, in several ways</w:t>
      </w:r>
      <w:r w:rsidR="007F68C7" w:rsidRPr="002A21B6">
        <w:t>:</w:t>
      </w:r>
      <w:bookmarkEnd w:id="8"/>
    </w:p>
    <w:p w14:paraId="5091D460" w14:textId="4FF3D80A" w:rsidR="00107750" w:rsidRPr="002A21B6" w:rsidRDefault="00107750" w:rsidP="001A7CE8">
      <w:pPr>
        <w:pStyle w:val="3-BodyText"/>
        <w:numPr>
          <w:ilvl w:val="0"/>
          <w:numId w:val="10"/>
        </w:numPr>
        <w:ind w:left="1134"/>
      </w:pPr>
      <w:r w:rsidRPr="002A21B6">
        <w:t xml:space="preserve">The </w:t>
      </w:r>
      <w:r w:rsidR="006F64AE" w:rsidRPr="002A21B6">
        <w:t>key trials</w:t>
      </w:r>
      <w:r w:rsidRPr="002A21B6">
        <w:t xml:space="preserve"> did not </w:t>
      </w:r>
      <w:r w:rsidR="006F64AE" w:rsidRPr="002A21B6">
        <w:t>include</w:t>
      </w:r>
      <w:r w:rsidRPr="002A21B6">
        <w:t xml:space="preserve"> patients with diagnosed </w:t>
      </w:r>
      <w:r w:rsidR="00E91901" w:rsidRPr="002A21B6">
        <w:t>choroidal neovascularisation (CNV)</w:t>
      </w:r>
      <w:r w:rsidRPr="002A21B6">
        <w:t xml:space="preserve"> or other ocular conditions that can progress during ACP treatment. </w:t>
      </w:r>
      <w:r w:rsidR="006F64AE" w:rsidRPr="002A21B6">
        <w:t>However, co</w:t>
      </w:r>
      <w:r w:rsidR="009B60A6">
        <w:noBreakHyphen/>
      </w:r>
      <w:r w:rsidR="006F64AE" w:rsidRPr="002A21B6">
        <w:t>existence of the two conditions is not uncommon (7.4%/patient</w:t>
      </w:r>
      <w:r w:rsidR="009B60A6">
        <w:noBreakHyphen/>
      </w:r>
      <w:r w:rsidR="006F64AE" w:rsidRPr="002A21B6">
        <w:t xml:space="preserve">year for symptomatic CNV in GA patients and macular atrophy </w:t>
      </w:r>
      <w:proofErr w:type="gramStart"/>
      <w:r w:rsidR="006F64AE" w:rsidRPr="002A21B6">
        <w:t>subsequent to</w:t>
      </w:r>
      <w:proofErr w:type="gramEnd"/>
      <w:r w:rsidR="006F64AE" w:rsidRPr="002A21B6">
        <w:t xml:space="preserve"> CNV in 24</w:t>
      </w:r>
      <w:r w:rsidR="00B6027A" w:rsidRPr="002A21B6">
        <w:rPr>
          <w:rFonts w:cstheme="minorHAnsi"/>
        </w:rPr>
        <w:t>‒</w:t>
      </w:r>
      <w:r w:rsidR="006F64AE" w:rsidRPr="002A21B6">
        <w:t>37% of GA patients over 2 years)</w:t>
      </w:r>
      <w:r w:rsidR="006F64AE" w:rsidRPr="002A21B6">
        <w:rPr>
          <w:rStyle w:val="FootnoteReference"/>
        </w:rPr>
        <w:footnoteReference w:id="1"/>
      </w:r>
      <w:r w:rsidR="006F64AE" w:rsidRPr="002A21B6">
        <w:t xml:space="preserve">, and these patients were included in the proposed treated population. </w:t>
      </w:r>
      <w:r w:rsidRPr="002A21B6">
        <w:t>There will be applicability issues when applying the trial results to the proposed benefits in the treated population in the Australian setting.</w:t>
      </w:r>
      <w:r w:rsidR="006E077B">
        <w:t xml:space="preserve"> </w:t>
      </w:r>
      <w:r w:rsidR="00E31287" w:rsidRPr="00C17763">
        <w:rPr>
          <w:iCs/>
        </w:rPr>
        <w:t>The Pre</w:t>
      </w:r>
      <w:r w:rsidR="009B60A6">
        <w:rPr>
          <w:iCs/>
        </w:rPr>
        <w:noBreakHyphen/>
      </w:r>
      <w:r w:rsidR="00E31287" w:rsidRPr="00C17763">
        <w:rPr>
          <w:iCs/>
        </w:rPr>
        <w:t>Sub</w:t>
      </w:r>
      <w:r w:rsidR="009B60A6">
        <w:rPr>
          <w:iCs/>
        </w:rPr>
        <w:noBreakHyphen/>
      </w:r>
      <w:r w:rsidR="00E31287" w:rsidRPr="00C17763">
        <w:rPr>
          <w:iCs/>
        </w:rPr>
        <w:t xml:space="preserve">Committee Response (PSCR) noted that patients with suspected CNV were withdrawn from GATHER1, while in GATHER2, patients who developed CNV were permitted to receive concomitant </w:t>
      </w:r>
      <w:r w:rsidR="00E31287" w:rsidRPr="00C17763">
        <w:rPr>
          <w:iCs/>
          <w:color w:val="000000" w:themeColor="text1"/>
        </w:rPr>
        <w:t>anti</w:t>
      </w:r>
      <w:r w:rsidR="009B60A6">
        <w:rPr>
          <w:iCs/>
          <w:color w:val="000000" w:themeColor="text1"/>
        </w:rPr>
        <w:noBreakHyphen/>
      </w:r>
      <w:r w:rsidR="00E31287" w:rsidRPr="00C17763">
        <w:rPr>
          <w:iCs/>
          <w:color w:val="000000" w:themeColor="text1"/>
        </w:rPr>
        <w:t>vascular endothelial growth factor (anti</w:t>
      </w:r>
      <w:r w:rsidR="009B60A6">
        <w:rPr>
          <w:iCs/>
          <w:color w:val="000000" w:themeColor="text1"/>
        </w:rPr>
        <w:noBreakHyphen/>
      </w:r>
      <w:r w:rsidR="00E31287" w:rsidRPr="00C17763">
        <w:rPr>
          <w:iCs/>
          <w:color w:val="000000" w:themeColor="text1"/>
        </w:rPr>
        <w:t>VEGF) therapy. CNV was also reported as a treatment emergent event in the GATHER1 and GATHER2 trials with the PSCR noting that patients who developed CNV were older at baseline than those who did not. The PSCR stated that data from the IRIS Registry showed that 34.3% of patients had CNV or neovascular AMD at baseline prior to treatment initiation. During follow</w:t>
      </w:r>
      <w:r w:rsidR="009B60A6">
        <w:rPr>
          <w:iCs/>
          <w:color w:val="000000" w:themeColor="text1"/>
        </w:rPr>
        <w:noBreakHyphen/>
      </w:r>
      <w:r w:rsidR="00E31287" w:rsidRPr="00C17763">
        <w:rPr>
          <w:iCs/>
          <w:color w:val="000000" w:themeColor="text1"/>
        </w:rPr>
        <w:t>up 22.7% of treated eyes received concomitant anti</w:t>
      </w:r>
      <w:r w:rsidR="009B60A6">
        <w:rPr>
          <w:iCs/>
          <w:color w:val="000000" w:themeColor="text1"/>
        </w:rPr>
        <w:noBreakHyphen/>
      </w:r>
      <w:r w:rsidR="00E31287" w:rsidRPr="00C17763">
        <w:rPr>
          <w:iCs/>
          <w:color w:val="000000" w:themeColor="text1"/>
        </w:rPr>
        <w:t>VEGF therapy, of these, approximately 90% had prior exposure to anti</w:t>
      </w:r>
      <w:r w:rsidR="009B60A6">
        <w:rPr>
          <w:iCs/>
          <w:color w:val="000000" w:themeColor="text1"/>
        </w:rPr>
        <w:noBreakHyphen/>
      </w:r>
      <w:r w:rsidR="00E31287" w:rsidRPr="00C17763">
        <w:rPr>
          <w:iCs/>
          <w:color w:val="000000" w:themeColor="text1"/>
        </w:rPr>
        <w:t xml:space="preserve">VEGF treatment. The ESC considered that balancing the risk of progressive CNV with treatment </w:t>
      </w:r>
      <w:r w:rsidR="0081233A">
        <w:rPr>
          <w:iCs/>
          <w:color w:val="000000" w:themeColor="text1"/>
        </w:rPr>
        <w:t xml:space="preserve">for GA </w:t>
      </w:r>
      <w:r w:rsidR="00E31287" w:rsidRPr="00C17763">
        <w:rPr>
          <w:iCs/>
          <w:color w:val="000000" w:themeColor="text1"/>
        </w:rPr>
        <w:t>will be a key consideration by the treating specialist. It will select out a proportion of these patients where the risk of progressing CNV with this treatment will outweigh the potential benefits of treatment.</w:t>
      </w:r>
    </w:p>
    <w:p w14:paraId="081E0ECB" w14:textId="7F1D6EBB" w:rsidR="00E80B66" w:rsidRPr="002A21B6" w:rsidRDefault="00107750" w:rsidP="001A7CE8">
      <w:pPr>
        <w:pStyle w:val="3-BodyText"/>
        <w:numPr>
          <w:ilvl w:val="0"/>
          <w:numId w:val="10"/>
        </w:numPr>
        <w:ind w:left="1134"/>
      </w:pPr>
      <w:r w:rsidRPr="002A21B6">
        <w:t xml:space="preserve">The proposed restriction does not define the distance between the GA lesion and the foveal centre. This could result in a wider population being eligible for ACP treatment </w:t>
      </w:r>
      <w:r w:rsidRPr="002A21B6">
        <w:rPr>
          <w:rFonts w:cstheme="minorHAnsi"/>
        </w:rPr>
        <w:t xml:space="preserve">— </w:t>
      </w:r>
      <w:r w:rsidRPr="002A21B6">
        <w:t xml:space="preserve">as patients with their GA lesions further away from the foveal centre </w:t>
      </w:r>
      <w:r w:rsidR="0081233A">
        <w:t xml:space="preserve">are at lower risk of progression and therefore </w:t>
      </w:r>
      <w:r w:rsidRPr="002A21B6">
        <w:t>may not need treatment.</w:t>
      </w:r>
      <w:r w:rsidR="00BF27FA">
        <w:t xml:space="preserve"> </w:t>
      </w:r>
      <w:r w:rsidRPr="002A21B6">
        <w:t xml:space="preserve">The proposed restriction </w:t>
      </w:r>
      <w:r w:rsidR="00B153EB">
        <w:t xml:space="preserve">also </w:t>
      </w:r>
      <w:r w:rsidRPr="002A21B6">
        <w:t xml:space="preserve">does not define the size of the GA area eligible for treatment. A wider population may therefore be eligible for treatment than is necessary — some GA patients may have GA lesions that are too small to threaten their central vision, some patients’ GA lesions </w:t>
      </w:r>
      <w:r w:rsidR="00635AA0" w:rsidRPr="002A21B6">
        <w:t>may</w:t>
      </w:r>
      <w:r w:rsidRPr="002A21B6">
        <w:t xml:space="preserve"> already </w:t>
      </w:r>
      <w:r w:rsidR="009862B4" w:rsidRPr="002A21B6">
        <w:t xml:space="preserve">be </w:t>
      </w:r>
      <w:r w:rsidRPr="002A21B6">
        <w:t xml:space="preserve">too </w:t>
      </w:r>
      <w:proofErr w:type="gramStart"/>
      <w:r w:rsidRPr="002A21B6">
        <w:t>large in size</w:t>
      </w:r>
      <w:proofErr w:type="gramEnd"/>
      <w:r w:rsidRPr="002A21B6">
        <w:t xml:space="preserve"> and loss of central vision is inevitable despite treatment (ACP cannot reverse atrophy, </w:t>
      </w:r>
      <w:r w:rsidR="0081233A">
        <w:t>only</w:t>
      </w:r>
      <w:r w:rsidR="0081233A" w:rsidRPr="002A21B6">
        <w:t xml:space="preserve"> </w:t>
      </w:r>
      <w:r w:rsidRPr="002A21B6">
        <w:t>slow progression).</w:t>
      </w:r>
      <w:r w:rsidR="00551349">
        <w:t xml:space="preserve"> </w:t>
      </w:r>
      <w:r w:rsidR="00551349" w:rsidRPr="00C17763">
        <w:rPr>
          <w:iCs/>
        </w:rPr>
        <w:t>The PSCR stated that accurate measurements require specialist imaging and argued that in real</w:t>
      </w:r>
      <w:r w:rsidR="009B60A6">
        <w:rPr>
          <w:iCs/>
        </w:rPr>
        <w:noBreakHyphen/>
      </w:r>
      <w:r w:rsidR="00551349" w:rsidRPr="00C17763">
        <w:rPr>
          <w:iCs/>
        </w:rPr>
        <w:t>world practice the reliability of micrometre or area</w:t>
      </w:r>
      <w:r w:rsidR="009B60A6">
        <w:rPr>
          <w:iCs/>
        </w:rPr>
        <w:noBreakHyphen/>
      </w:r>
      <w:r w:rsidR="00551349" w:rsidRPr="00C17763">
        <w:rPr>
          <w:iCs/>
        </w:rPr>
        <w:t>based cut</w:t>
      </w:r>
      <w:r w:rsidR="009B60A6">
        <w:rPr>
          <w:iCs/>
        </w:rPr>
        <w:noBreakHyphen/>
      </w:r>
      <w:r w:rsidR="00551349" w:rsidRPr="00C17763">
        <w:rPr>
          <w:iCs/>
        </w:rPr>
        <w:t xml:space="preserve">offs may be reduced. The PSCR also argued that the intent of the trial criteria was to identify patients at risk of central vision loss rather than to establish absolute numeric thresholds for treatment eligibility. The ESC considered that diagnostic methods such as optical coherence tomography (OCT) and fundus autofluorescence (FAF) are widely used in Australia by </w:t>
      </w:r>
      <w:r w:rsidR="00551349" w:rsidRPr="00C17763">
        <w:rPr>
          <w:iCs/>
        </w:rPr>
        <w:lastRenderedPageBreak/>
        <w:t xml:space="preserve">ophthalmologists for detecting and monitoring GA. The ESC noted that the key consideration is the risk to central vision as this is an important factor in this elderly group of patients </w:t>
      </w:r>
      <w:r w:rsidR="0081233A">
        <w:rPr>
          <w:iCs/>
        </w:rPr>
        <w:t xml:space="preserve">which may result in the person </w:t>
      </w:r>
      <w:r w:rsidR="00551349" w:rsidRPr="00C17763">
        <w:rPr>
          <w:iCs/>
        </w:rPr>
        <w:t xml:space="preserve">going from independent </w:t>
      </w:r>
      <w:proofErr w:type="spellStart"/>
      <w:r w:rsidR="00551349" w:rsidRPr="00C17763">
        <w:rPr>
          <w:iCs/>
        </w:rPr>
        <w:t>to</w:t>
      </w:r>
      <w:proofErr w:type="spellEnd"/>
      <w:r w:rsidR="00551349" w:rsidRPr="00C17763">
        <w:rPr>
          <w:iCs/>
        </w:rPr>
        <w:t xml:space="preserve"> dependent in activities of daily living. The ESC advised that it would be appropriate to specify in the restriction if the lesion was located within a specific radius from the foveal centre, or if outside of that radius, the GA lesion is within the </w:t>
      </w:r>
      <w:proofErr w:type="gramStart"/>
      <w:r w:rsidR="00551349" w:rsidRPr="00C17763">
        <w:rPr>
          <w:iCs/>
        </w:rPr>
        <w:t>macula</w:t>
      </w:r>
      <w:proofErr w:type="gramEnd"/>
      <w:r w:rsidR="00551349" w:rsidRPr="00C17763">
        <w:rPr>
          <w:iCs/>
        </w:rPr>
        <w:t xml:space="preserve"> and historical imaging indicates progression towards the foveal centre. </w:t>
      </w:r>
      <w:r w:rsidR="001D3979">
        <w:rPr>
          <w:iCs/>
        </w:rPr>
        <w:t>The pre</w:t>
      </w:r>
      <w:r w:rsidR="009B60A6">
        <w:rPr>
          <w:iCs/>
        </w:rPr>
        <w:noBreakHyphen/>
      </w:r>
      <w:r w:rsidR="001D3979">
        <w:rPr>
          <w:iCs/>
        </w:rPr>
        <w:t>PBAC response</w:t>
      </w:r>
      <w:r w:rsidR="00407FD5">
        <w:rPr>
          <w:iCs/>
        </w:rPr>
        <w:t xml:space="preserve"> argued </w:t>
      </w:r>
      <w:r w:rsidR="00407FD5" w:rsidRPr="00407FD5">
        <w:rPr>
          <w:iCs/>
        </w:rPr>
        <w:t>incorporating fixed distance thresholds or prescriptive historical imaging requirements would risk excluding patients who could clinically benefit, create administrative burden without improving patient selection, and reduce alignment with routine ophthalmic practice.</w:t>
      </w:r>
      <w:r w:rsidR="008F6FE5">
        <w:rPr>
          <w:iCs/>
        </w:rPr>
        <w:t xml:space="preserve"> It was </w:t>
      </w:r>
      <w:r w:rsidR="00201EC0">
        <w:rPr>
          <w:iCs/>
        </w:rPr>
        <w:t>suggest</w:t>
      </w:r>
      <w:r w:rsidR="008F6FE5">
        <w:rPr>
          <w:iCs/>
        </w:rPr>
        <w:t xml:space="preserve">ed in the </w:t>
      </w:r>
      <w:r w:rsidR="00201EC0">
        <w:rPr>
          <w:iCs/>
        </w:rPr>
        <w:t>pre</w:t>
      </w:r>
      <w:r w:rsidR="009B60A6">
        <w:rPr>
          <w:iCs/>
        </w:rPr>
        <w:noBreakHyphen/>
      </w:r>
      <w:r w:rsidR="00201EC0">
        <w:rPr>
          <w:iCs/>
        </w:rPr>
        <w:t xml:space="preserve">PBAC </w:t>
      </w:r>
      <w:r w:rsidR="008F6FE5">
        <w:rPr>
          <w:iCs/>
        </w:rPr>
        <w:t>response that</w:t>
      </w:r>
      <w:r w:rsidR="00201EC0">
        <w:rPr>
          <w:iCs/>
        </w:rPr>
        <w:t xml:space="preserve"> a</w:t>
      </w:r>
      <w:r w:rsidR="008F6FE5" w:rsidRPr="008F6FE5">
        <w:rPr>
          <w:iCs/>
        </w:rPr>
        <w:t>ppropriate targeting can instead be achieved by restricting treatment to patients with GA secondary to AMD who have an anatomically intact fovea</w:t>
      </w:r>
      <w:r w:rsidR="008828F7">
        <w:rPr>
          <w:iCs/>
        </w:rPr>
        <w:t xml:space="preserve">. It was claimed </w:t>
      </w:r>
      <w:r w:rsidR="00201EC0">
        <w:rPr>
          <w:iCs/>
        </w:rPr>
        <w:t xml:space="preserve">that </w:t>
      </w:r>
      <w:r w:rsidR="00E15095" w:rsidRPr="00E15095">
        <w:rPr>
          <w:iCs/>
        </w:rPr>
        <w:t>a clinician</w:t>
      </w:r>
      <w:r w:rsidR="009B60A6">
        <w:rPr>
          <w:iCs/>
        </w:rPr>
        <w:noBreakHyphen/>
      </w:r>
      <w:r w:rsidR="00E15095" w:rsidRPr="00E15095">
        <w:rPr>
          <w:iCs/>
        </w:rPr>
        <w:t xml:space="preserve">based definition of central vision threat, </w:t>
      </w:r>
      <w:r w:rsidR="008828F7">
        <w:rPr>
          <w:iCs/>
        </w:rPr>
        <w:t>based on</w:t>
      </w:r>
      <w:r w:rsidR="00E15095" w:rsidRPr="00E15095">
        <w:rPr>
          <w:iCs/>
        </w:rPr>
        <w:t xml:space="preserve"> specialist assessment with standard imaging </w:t>
      </w:r>
      <w:r w:rsidR="008828F7">
        <w:rPr>
          <w:iCs/>
        </w:rPr>
        <w:t xml:space="preserve">as opposed to </w:t>
      </w:r>
      <w:r w:rsidR="00E15095" w:rsidRPr="00E15095">
        <w:rPr>
          <w:iCs/>
        </w:rPr>
        <w:t xml:space="preserve">fixed distance criteria </w:t>
      </w:r>
      <w:r w:rsidR="008828F7">
        <w:rPr>
          <w:iCs/>
        </w:rPr>
        <w:t>required by a</w:t>
      </w:r>
      <w:r w:rsidR="008828F7" w:rsidRPr="00E15095">
        <w:rPr>
          <w:iCs/>
        </w:rPr>
        <w:t xml:space="preserve"> </w:t>
      </w:r>
      <w:r w:rsidR="00E15095" w:rsidRPr="00E15095">
        <w:rPr>
          <w:iCs/>
        </w:rPr>
        <w:t>PBS restriction</w:t>
      </w:r>
      <w:r w:rsidR="00E15095">
        <w:rPr>
          <w:iCs/>
        </w:rPr>
        <w:t xml:space="preserve">, would be </w:t>
      </w:r>
      <w:r w:rsidR="008828F7">
        <w:rPr>
          <w:iCs/>
        </w:rPr>
        <w:t>preferable</w:t>
      </w:r>
      <w:r w:rsidR="00E15095">
        <w:rPr>
          <w:iCs/>
        </w:rPr>
        <w:t>.</w:t>
      </w:r>
    </w:p>
    <w:p w14:paraId="50DF3000" w14:textId="6D5DA800" w:rsidR="00CC35EA" w:rsidRDefault="00937211" w:rsidP="00F9393E">
      <w:pPr>
        <w:pStyle w:val="3-BodyText"/>
      </w:pPr>
      <w:r w:rsidRPr="002A21B6">
        <w:t xml:space="preserve">For patients who are receiving continuing ACP treatment but develop CNV, it was stated in the proposed restriction that treatment with an appropriate </w:t>
      </w:r>
      <w:r w:rsidRPr="002A21B6">
        <w:rPr>
          <w:color w:val="000000" w:themeColor="text1"/>
        </w:rPr>
        <w:t>anti</w:t>
      </w:r>
      <w:r w:rsidR="009B60A6">
        <w:rPr>
          <w:color w:val="000000" w:themeColor="text1"/>
        </w:rPr>
        <w:noBreakHyphen/>
      </w:r>
      <w:r w:rsidRPr="002A21B6">
        <w:rPr>
          <w:color w:val="000000" w:themeColor="text1"/>
        </w:rPr>
        <w:t>vascular endothelial growth factor (anti</w:t>
      </w:r>
      <w:r w:rsidR="009B60A6">
        <w:rPr>
          <w:color w:val="000000" w:themeColor="text1"/>
        </w:rPr>
        <w:noBreakHyphen/>
      </w:r>
      <w:r w:rsidRPr="002A21B6">
        <w:rPr>
          <w:color w:val="000000" w:themeColor="text1"/>
        </w:rPr>
        <w:t xml:space="preserve">VEGF) </w:t>
      </w:r>
      <w:r w:rsidRPr="002A21B6">
        <w:t>agent should be considered, and the decision whether to continue ACP should be made by the treating ophthalmologist based on clinical judgment. This is consistent with the approved ACP PI.</w:t>
      </w:r>
      <w:r w:rsidR="00E254D4" w:rsidRPr="002A21B6">
        <w:t xml:space="preserve"> Compared to the dry (atrophic) AMD, neovascular changes are more rapid and </w:t>
      </w:r>
      <w:r w:rsidR="008828F7" w:rsidRPr="002A21B6">
        <w:t xml:space="preserve">are </w:t>
      </w:r>
      <w:r w:rsidR="00E254D4" w:rsidRPr="002A21B6">
        <w:t>frequently more sight</w:t>
      </w:r>
      <w:r w:rsidR="009B60A6">
        <w:noBreakHyphen/>
      </w:r>
      <w:r w:rsidR="00E254D4" w:rsidRPr="002A21B6">
        <w:t xml:space="preserve">threatening. </w:t>
      </w:r>
      <w:r w:rsidR="005F24B7" w:rsidRPr="002A21B6">
        <w:t>Based on</w:t>
      </w:r>
      <w:r w:rsidR="00E254D4" w:rsidRPr="002A21B6">
        <w:t xml:space="preserve"> the</w:t>
      </w:r>
      <w:r w:rsidR="006F64AE" w:rsidRPr="002A21B6">
        <w:t xml:space="preserve"> Advisory Committee on Medicines (</w:t>
      </w:r>
      <w:r w:rsidR="00E254D4" w:rsidRPr="002A21B6">
        <w:t>ACM</w:t>
      </w:r>
      <w:r w:rsidR="006F64AE" w:rsidRPr="002A21B6">
        <w:t>)</w:t>
      </w:r>
      <w:r w:rsidR="00E254D4" w:rsidRPr="002A21B6">
        <w:t>’s comment,</w:t>
      </w:r>
      <w:r w:rsidR="00E254D4" w:rsidRPr="002A21B6">
        <w:rPr>
          <w:rFonts w:ascii="Calibri" w:eastAsia="Times New Roman" w:hAnsi="Calibri" w:cs="Arial"/>
          <w:szCs w:val="24"/>
        </w:rPr>
        <w:t xml:space="preserve"> </w:t>
      </w:r>
      <w:r w:rsidR="00E254D4" w:rsidRPr="002A21B6">
        <w:t xml:space="preserve">if a patient is under ACP treatment for GA but develops CNV, it is mostly likely </w:t>
      </w:r>
      <w:r w:rsidR="008828F7">
        <w:t>that</w:t>
      </w:r>
      <w:r w:rsidR="008828F7" w:rsidRPr="002A21B6">
        <w:t xml:space="preserve"> </w:t>
      </w:r>
      <w:r w:rsidR="00E254D4" w:rsidRPr="002A21B6">
        <w:t xml:space="preserve">the treating ophthalmologist </w:t>
      </w:r>
      <w:r w:rsidR="008828F7">
        <w:t>will</w:t>
      </w:r>
      <w:r w:rsidR="008828F7" w:rsidRPr="002A21B6">
        <w:t xml:space="preserve"> </w:t>
      </w:r>
      <w:r w:rsidR="00E254D4" w:rsidRPr="002A21B6">
        <w:t>suspend the ACP therapy and prioritise treating CNV.</w:t>
      </w:r>
    </w:p>
    <w:p w14:paraId="4776F3EC" w14:textId="55BB2B3D" w:rsidR="008211A7" w:rsidRPr="008211A7" w:rsidRDefault="00290B28" w:rsidP="008211A7">
      <w:pPr>
        <w:pStyle w:val="3-BodyText"/>
        <w:rPr>
          <w:iCs/>
        </w:rPr>
      </w:pPr>
      <w:bookmarkStart w:id="9" w:name="_Ref222238037"/>
      <w:r w:rsidRPr="00C17763">
        <w:rPr>
          <w:rFonts w:cstheme="minorHAnsi"/>
          <w:iCs/>
        </w:rPr>
        <w:t xml:space="preserve">The proposed restriction included </w:t>
      </w:r>
      <w:r w:rsidR="008828F7">
        <w:rPr>
          <w:rFonts w:cstheme="minorHAnsi"/>
          <w:iCs/>
        </w:rPr>
        <w:t xml:space="preserve">a </w:t>
      </w:r>
      <w:r w:rsidRPr="00C17763">
        <w:rPr>
          <w:rFonts w:cstheme="minorHAnsi"/>
          <w:iCs/>
        </w:rPr>
        <w:t>criterion stating that ACP is ‘For the treatment of a single eye where a patient’s central vision is threatened by GA lesion growth’. Consistent with the GATHER1 and GATHER2 trials the restriction states that use is for treatment of a single eye. However, no further detail is provided as to what would occur if both eyes were to present with the condition. When asked to comment on the overall benefit</w:t>
      </w:r>
      <w:r w:rsidR="009B60A6">
        <w:rPr>
          <w:rFonts w:cstheme="minorHAnsi"/>
          <w:iCs/>
        </w:rPr>
        <w:noBreakHyphen/>
      </w:r>
      <w:r w:rsidRPr="00C17763">
        <w:rPr>
          <w:rFonts w:cstheme="minorHAnsi"/>
          <w:iCs/>
        </w:rPr>
        <w:t>risk balance of ACP</w:t>
      </w:r>
      <w:r w:rsidR="008828F7">
        <w:rPr>
          <w:rFonts w:cstheme="minorHAnsi"/>
          <w:iCs/>
        </w:rPr>
        <w:t>,</w:t>
      </w:r>
      <w:r w:rsidRPr="00C17763">
        <w:rPr>
          <w:rFonts w:cstheme="minorHAnsi"/>
          <w:iCs/>
        </w:rPr>
        <w:t xml:space="preserve"> the </w:t>
      </w:r>
      <w:r w:rsidR="008828F7">
        <w:rPr>
          <w:rFonts w:cstheme="minorHAnsi"/>
          <w:iCs/>
        </w:rPr>
        <w:t>ACM stated that</w:t>
      </w:r>
      <w:r w:rsidRPr="00C17763">
        <w:rPr>
          <w:rFonts w:cstheme="minorHAnsi"/>
          <w:iCs/>
        </w:rPr>
        <w:t xml:space="preserve"> </w:t>
      </w:r>
      <w:r w:rsidR="008828F7">
        <w:rPr>
          <w:rFonts w:cstheme="minorHAnsi"/>
          <w:iCs/>
        </w:rPr>
        <w:t>‘</w:t>
      </w:r>
      <w:r w:rsidRPr="00C17763">
        <w:rPr>
          <w:rFonts w:cstheme="minorHAnsi"/>
          <w:iCs/>
        </w:rPr>
        <w:t>it was important that the decision to use ACP is based on informed consent, and that for a small number of patients, the benefits of possible maintenance of visual acuity may have an impact on independence and functioning, especially for those with monocular vision’.</w:t>
      </w:r>
      <w:r w:rsidR="00722673" w:rsidRPr="00C17763">
        <w:rPr>
          <w:rFonts w:cstheme="minorHAnsi"/>
          <w:iCs/>
        </w:rPr>
        <w:t xml:space="preserve"> </w:t>
      </w:r>
      <w:r w:rsidR="00AA7900" w:rsidRPr="00C17763">
        <w:rPr>
          <w:rFonts w:cstheme="minorHAnsi"/>
          <w:iCs/>
        </w:rPr>
        <w:t xml:space="preserve">The </w:t>
      </w:r>
      <w:r w:rsidR="00564D7A" w:rsidRPr="00C17763">
        <w:rPr>
          <w:rFonts w:cstheme="minorHAnsi"/>
          <w:iCs/>
        </w:rPr>
        <w:t>PSCR</w:t>
      </w:r>
      <w:r w:rsidR="00E41200">
        <w:rPr>
          <w:rFonts w:cstheme="minorHAnsi"/>
          <w:iCs/>
        </w:rPr>
        <w:t xml:space="preserve"> </w:t>
      </w:r>
      <w:r w:rsidR="00394EAA" w:rsidRPr="00C17763">
        <w:rPr>
          <w:rFonts w:cstheme="minorHAnsi"/>
          <w:iCs/>
        </w:rPr>
        <w:t xml:space="preserve">stated </w:t>
      </w:r>
      <w:r w:rsidR="00E26289" w:rsidRPr="00C17763">
        <w:rPr>
          <w:rFonts w:cstheme="minorHAnsi"/>
          <w:iCs/>
        </w:rPr>
        <w:t xml:space="preserve">it did not consider it </w:t>
      </w:r>
      <w:r w:rsidR="00CE04EA" w:rsidRPr="00C17763">
        <w:rPr>
          <w:rFonts w:cstheme="minorHAnsi"/>
          <w:iCs/>
        </w:rPr>
        <w:t xml:space="preserve">necessary to </w:t>
      </w:r>
      <w:r w:rsidR="002401C1" w:rsidRPr="00C17763">
        <w:rPr>
          <w:rFonts w:cstheme="minorHAnsi"/>
          <w:iCs/>
        </w:rPr>
        <w:t xml:space="preserve">further specify </w:t>
      </w:r>
      <w:r w:rsidR="00D4214F" w:rsidRPr="00C17763">
        <w:rPr>
          <w:rFonts w:cstheme="minorHAnsi"/>
          <w:iCs/>
        </w:rPr>
        <w:t>vision status in the non</w:t>
      </w:r>
      <w:r w:rsidR="009B60A6">
        <w:rPr>
          <w:rFonts w:cstheme="minorHAnsi"/>
          <w:iCs/>
        </w:rPr>
        <w:noBreakHyphen/>
      </w:r>
      <w:r w:rsidR="00D4214F" w:rsidRPr="00C17763">
        <w:rPr>
          <w:rFonts w:cstheme="minorHAnsi"/>
          <w:iCs/>
        </w:rPr>
        <w:t xml:space="preserve">treated eye or to restrict use to one eye per lifetime, as such requirements were not evaluated in the clinical trials and may unduly limit </w:t>
      </w:r>
      <w:r w:rsidR="004150EA" w:rsidRPr="00C17763">
        <w:rPr>
          <w:rFonts w:cstheme="minorHAnsi"/>
          <w:iCs/>
        </w:rPr>
        <w:t xml:space="preserve">clinically appropriate use in a progressive condition. </w:t>
      </w:r>
      <w:r w:rsidR="001161BE" w:rsidRPr="00C17763">
        <w:rPr>
          <w:rFonts w:cstheme="minorHAnsi"/>
          <w:iCs/>
        </w:rPr>
        <w:t xml:space="preserve">The ESC noted the ACM advice that </w:t>
      </w:r>
      <w:r w:rsidR="00DB050D" w:rsidRPr="00C17763">
        <w:rPr>
          <w:rFonts w:cstheme="minorHAnsi"/>
          <w:iCs/>
        </w:rPr>
        <w:t>the benefits may be</w:t>
      </w:r>
      <w:r w:rsidR="00E2512B" w:rsidRPr="00C17763">
        <w:rPr>
          <w:rFonts w:cstheme="minorHAnsi"/>
          <w:iCs/>
        </w:rPr>
        <w:t xml:space="preserve"> higher in those with monocular vision</w:t>
      </w:r>
      <w:r w:rsidR="00BA7E3B" w:rsidRPr="00C17763">
        <w:rPr>
          <w:rFonts w:cstheme="minorHAnsi"/>
          <w:iCs/>
        </w:rPr>
        <w:t xml:space="preserve">. </w:t>
      </w:r>
      <w:r w:rsidR="000F3EFA" w:rsidRPr="00C17763">
        <w:rPr>
          <w:rFonts w:cstheme="minorHAnsi"/>
          <w:iCs/>
        </w:rPr>
        <w:t xml:space="preserve">In addition, the ESC noted that </w:t>
      </w:r>
      <w:r w:rsidR="00D60ACB" w:rsidRPr="00C17763">
        <w:rPr>
          <w:rFonts w:cstheme="minorHAnsi"/>
          <w:iCs/>
        </w:rPr>
        <w:t xml:space="preserve">pegcetacoplan </w:t>
      </w:r>
      <w:r w:rsidR="000535AF">
        <w:rPr>
          <w:rFonts w:cstheme="minorHAnsi"/>
          <w:iCs/>
        </w:rPr>
        <w:t xml:space="preserve">requested listing for </w:t>
      </w:r>
      <w:r w:rsidR="00783BBE">
        <w:rPr>
          <w:rFonts w:cstheme="minorHAnsi"/>
          <w:iCs/>
        </w:rPr>
        <w:t xml:space="preserve">the treatment of GA secondary to AMD where the treated eye has an intact </w:t>
      </w:r>
      <w:r w:rsidR="000B6C79">
        <w:rPr>
          <w:rFonts w:cstheme="minorHAnsi"/>
          <w:iCs/>
        </w:rPr>
        <w:t>fovea and the non</w:t>
      </w:r>
      <w:r w:rsidR="009B60A6">
        <w:rPr>
          <w:rFonts w:cstheme="minorHAnsi"/>
          <w:iCs/>
        </w:rPr>
        <w:noBreakHyphen/>
      </w:r>
      <w:r w:rsidR="000B6C79">
        <w:rPr>
          <w:rFonts w:cstheme="minorHAnsi"/>
          <w:iCs/>
        </w:rPr>
        <w:t xml:space="preserve">treated eye does not have an intact fovea and </w:t>
      </w:r>
      <w:r w:rsidR="00D60ACB" w:rsidRPr="00C17763">
        <w:rPr>
          <w:rFonts w:cstheme="minorHAnsi"/>
          <w:iCs/>
        </w:rPr>
        <w:t xml:space="preserve">was recommended for use in one eye only (pegcetacoplan </w:t>
      </w:r>
      <w:r w:rsidR="00820920" w:rsidRPr="00C17763">
        <w:rPr>
          <w:rFonts w:cstheme="minorHAnsi"/>
          <w:iCs/>
        </w:rPr>
        <w:t xml:space="preserve">PBAC </w:t>
      </w:r>
      <w:r w:rsidR="008354C8" w:rsidRPr="00C17763">
        <w:rPr>
          <w:rFonts w:cstheme="minorHAnsi"/>
          <w:iCs/>
        </w:rPr>
        <w:t xml:space="preserve">Meeting Outcomes, November 2025 PBAC </w:t>
      </w:r>
      <w:r w:rsidR="008354C8" w:rsidRPr="00C17763">
        <w:rPr>
          <w:rFonts w:cstheme="minorHAnsi"/>
          <w:iCs/>
        </w:rPr>
        <w:lastRenderedPageBreak/>
        <w:t>meeting)</w:t>
      </w:r>
      <w:r w:rsidR="00F638BA" w:rsidRPr="00C17763">
        <w:rPr>
          <w:rFonts w:cstheme="minorHAnsi"/>
          <w:iCs/>
        </w:rPr>
        <w:t xml:space="preserve">. The ESC considered </w:t>
      </w:r>
      <w:r w:rsidR="00BA2572" w:rsidRPr="00C17763">
        <w:rPr>
          <w:rFonts w:cstheme="minorHAnsi"/>
          <w:iCs/>
        </w:rPr>
        <w:t>that it</w:t>
      </w:r>
      <w:r w:rsidR="00D538F0" w:rsidRPr="00C17763">
        <w:rPr>
          <w:rFonts w:cstheme="minorHAnsi"/>
          <w:iCs/>
        </w:rPr>
        <w:t xml:space="preserve"> </w:t>
      </w:r>
      <w:r w:rsidR="004D1814" w:rsidRPr="00C17763">
        <w:rPr>
          <w:rFonts w:cstheme="minorHAnsi"/>
          <w:iCs/>
        </w:rPr>
        <w:t>would</w:t>
      </w:r>
      <w:r w:rsidR="00BA2572" w:rsidRPr="00C17763">
        <w:rPr>
          <w:rFonts w:cstheme="minorHAnsi"/>
          <w:iCs/>
        </w:rPr>
        <w:t xml:space="preserve"> </w:t>
      </w:r>
      <w:r w:rsidR="001643BB" w:rsidRPr="00C17763">
        <w:rPr>
          <w:rFonts w:cstheme="minorHAnsi"/>
          <w:iCs/>
        </w:rPr>
        <w:t xml:space="preserve">be appropriate to restrict use </w:t>
      </w:r>
      <w:r w:rsidR="000F0995" w:rsidRPr="00C17763">
        <w:rPr>
          <w:rFonts w:cstheme="minorHAnsi"/>
          <w:iCs/>
        </w:rPr>
        <w:t xml:space="preserve">to </w:t>
      </w:r>
      <w:r w:rsidR="00A84353" w:rsidRPr="00C17763">
        <w:rPr>
          <w:rFonts w:cstheme="minorHAnsi"/>
          <w:iCs/>
        </w:rPr>
        <w:t>one eye only</w:t>
      </w:r>
      <w:r w:rsidR="00F95BC6" w:rsidRPr="00C17763">
        <w:rPr>
          <w:rFonts w:cstheme="minorHAnsi"/>
          <w:iCs/>
        </w:rPr>
        <w:t xml:space="preserve"> </w:t>
      </w:r>
      <w:r w:rsidR="00473B8A" w:rsidRPr="00C17763">
        <w:rPr>
          <w:rFonts w:cstheme="minorHAnsi"/>
          <w:iCs/>
        </w:rPr>
        <w:t>in patients with monocular vision</w:t>
      </w:r>
      <w:r w:rsidR="008828F7">
        <w:rPr>
          <w:rFonts w:cstheme="minorHAnsi"/>
          <w:iCs/>
        </w:rPr>
        <w:t xml:space="preserve"> consistent with the proposed pegcetacoplan restriction</w:t>
      </w:r>
      <w:r w:rsidR="00473B8A" w:rsidRPr="00C17763">
        <w:rPr>
          <w:rFonts w:cstheme="minorHAnsi"/>
          <w:iCs/>
        </w:rPr>
        <w:t>.</w:t>
      </w:r>
      <w:bookmarkStart w:id="10" w:name="_Ref222331080"/>
      <w:bookmarkEnd w:id="9"/>
    </w:p>
    <w:p w14:paraId="43225AED" w14:textId="5A681BB0" w:rsidR="00174CC4" w:rsidRDefault="002F2AD5" w:rsidP="00616BDF">
      <w:pPr>
        <w:pStyle w:val="3-BodyText"/>
        <w:rPr>
          <w:iCs/>
        </w:rPr>
      </w:pPr>
      <w:r w:rsidRPr="002A21B6">
        <w:t xml:space="preserve">The submission did not propose a separate restriction for grandfathering treatment. In the submission, it was stated that there will be </w:t>
      </w:r>
      <w:r w:rsidR="006503A5">
        <w:t>&lt; 500</w:t>
      </w:r>
      <w:r w:rsidRPr="002A21B6">
        <w:t xml:space="preserve"> patients with GA secondary to AMD</w:t>
      </w:r>
      <w:r w:rsidR="00073867" w:rsidRPr="002A21B6">
        <w:t xml:space="preserve"> who are</w:t>
      </w:r>
      <w:r w:rsidRPr="002A21B6">
        <w:t xml:space="preserve"> accessing ACP privately, and the PBS restriction for continuing treatment would allow grandfathered patients to access ACP.</w:t>
      </w:r>
      <w:r w:rsidR="00072A92" w:rsidRPr="002A21B6">
        <w:t xml:space="preserve"> However, </w:t>
      </w:r>
      <w:r w:rsidR="008828F7">
        <w:t>the continuing restriction</w:t>
      </w:r>
      <w:r w:rsidR="008828F7" w:rsidRPr="002A21B6">
        <w:t xml:space="preserve"> </w:t>
      </w:r>
      <w:r w:rsidR="00072A92" w:rsidRPr="002A21B6">
        <w:t>would require patients to have previously received PBS</w:t>
      </w:r>
      <w:r w:rsidR="009B60A6">
        <w:noBreakHyphen/>
      </w:r>
      <w:r w:rsidR="00072A92" w:rsidRPr="002A21B6">
        <w:t xml:space="preserve">subsidised treatment with this drug. </w:t>
      </w:r>
      <w:r w:rsidR="00D7546F" w:rsidRPr="008211A7">
        <w:rPr>
          <w:rFonts w:cstheme="minorHAnsi"/>
          <w:iCs/>
        </w:rPr>
        <w:t>The PSCR provided a draft grandfathering restriction. The ESC noted that the draft included clinical criteria which required patients to have previously received PBS</w:t>
      </w:r>
      <w:r w:rsidR="009B60A6">
        <w:rPr>
          <w:rFonts w:cstheme="minorHAnsi"/>
          <w:iCs/>
        </w:rPr>
        <w:noBreakHyphen/>
      </w:r>
      <w:r w:rsidR="00D7546F" w:rsidRPr="008211A7">
        <w:rPr>
          <w:rFonts w:cstheme="minorHAnsi"/>
          <w:iCs/>
        </w:rPr>
        <w:t xml:space="preserve">subsidised treatment and advised that this requirement was not appropriate for a grandfathering restriction. The ESC considered that additional changes would also be required based on the advice provided </w:t>
      </w:r>
      <w:r w:rsidR="0062549D" w:rsidRPr="008211A7">
        <w:rPr>
          <w:rFonts w:cstheme="minorHAnsi"/>
          <w:iCs/>
        </w:rPr>
        <w:t xml:space="preserve">by the Committee </w:t>
      </w:r>
      <w:r w:rsidR="00D7546F" w:rsidRPr="008211A7">
        <w:rPr>
          <w:rFonts w:cstheme="minorHAnsi"/>
          <w:iCs/>
        </w:rPr>
        <w:t xml:space="preserve">on the </w:t>
      </w:r>
      <w:r w:rsidR="00C21F43" w:rsidRPr="008211A7">
        <w:rPr>
          <w:rFonts w:cstheme="minorHAnsi"/>
          <w:iCs/>
        </w:rPr>
        <w:t xml:space="preserve">initial and continuing </w:t>
      </w:r>
      <w:r w:rsidR="00D7546F" w:rsidRPr="008211A7">
        <w:rPr>
          <w:rFonts w:cstheme="minorHAnsi"/>
          <w:iCs/>
        </w:rPr>
        <w:t>restrictions.</w:t>
      </w:r>
      <w:bookmarkEnd w:id="10"/>
    </w:p>
    <w:p w14:paraId="47672DA5" w14:textId="77777777" w:rsidR="00616BDF" w:rsidRPr="00616BDF" w:rsidRDefault="00616BDF" w:rsidP="00616BDF">
      <w:pPr>
        <w:pStyle w:val="3-BodyText"/>
        <w:numPr>
          <w:ilvl w:val="0"/>
          <w:numId w:val="0"/>
        </w:numPr>
        <w:ind w:left="720"/>
        <w:rPr>
          <w:iCs/>
        </w:rPr>
      </w:pPr>
    </w:p>
    <w:p w14:paraId="35454170" w14:textId="36C66B8A" w:rsidR="00AE1221" w:rsidRPr="00AE1221" w:rsidRDefault="00AE1221" w:rsidP="00AE1221">
      <w:pPr>
        <w:pStyle w:val="3-BodyText"/>
        <w:numPr>
          <w:ilvl w:val="0"/>
          <w:numId w:val="0"/>
        </w:numPr>
        <w:ind w:left="720"/>
        <w:rPr>
          <w:i/>
          <w:iCs/>
        </w:rPr>
      </w:pPr>
      <w:r w:rsidRPr="00AE1221">
        <w:rPr>
          <w:i/>
          <w:iCs/>
        </w:rPr>
        <w:t>For more detail on PBAC’s view, see section 7 PBAC outcome.</w:t>
      </w:r>
    </w:p>
    <w:p w14:paraId="7075B85C" w14:textId="5E863CF3" w:rsidR="00B50DB8" w:rsidRPr="00D86D87" w:rsidDel="00195452" w:rsidRDefault="00203181" w:rsidP="004E18E9">
      <w:pPr>
        <w:pStyle w:val="2-SectionHeading"/>
      </w:pPr>
      <w:bookmarkStart w:id="11" w:name="_Toc219816296"/>
      <w:r w:rsidRPr="00D86D87" w:rsidDel="00195452">
        <w:t xml:space="preserve">Population and </w:t>
      </w:r>
      <w:r w:rsidR="008E0D3C" w:rsidRPr="00D86D87" w:rsidDel="00195452">
        <w:t>d</w:t>
      </w:r>
      <w:r w:rsidRPr="00D86D87" w:rsidDel="00195452">
        <w:t>isease</w:t>
      </w:r>
      <w:bookmarkEnd w:id="11"/>
    </w:p>
    <w:p w14:paraId="53A6DCD3" w14:textId="6A1AA495" w:rsidR="00A9474A" w:rsidRPr="00FD3176" w:rsidRDefault="00A9474A" w:rsidP="004E18E9">
      <w:pPr>
        <w:pStyle w:val="3-BodyText"/>
        <w:rPr>
          <w:color w:val="0066FF"/>
        </w:rPr>
      </w:pPr>
      <w:r>
        <w:t xml:space="preserve">GA occurs </w:t>
      </w:r>
      <w:r w:rsidR="001C5908">
        <w:t>during</w:t>
      </w:r>
      <w:r>
        <w:t xml:space="preserve"> the advanced stage of the non</w:t>
      </w:r>
      <w:r w:rsidR="009B60A6">
        <w:noBreakHyphen/>
      </w:r>
      <w:r>
        <w:t>neovascular form of AMD (dry AMD) which is a leading cause of irreversible vision loss in older adults</w:t>
      </w:r>
      <w:r>
        <w:rPr>
          <w:rStyle w:val="FootnoteReference"/>
        </w:rPr>
        <w:footnoteReference w:id="2"/>
      </w:r>
      <w:r>
        <w:t>. AMD</w:t>
      </w:r>
      <w:r w:rsidRPr="00A9474A">
        <w:rPr>
          <w:rFonts w:ascii="Calibri" w:eastAsia="Times New Roman" w:hAnsi="Calibri" w:cs="Arial"/>
          <w:szCs w:val="24"/>
        </w:rPr>
        <w:t xml:space="preserve"> </w:t>
      </w:r>
      <w:r w:rsidRPr="00A9474A">
        <w:t>is a progressive degenerative disease</w:t>
      </w:r>
      <w:r>
        <w:t xml:space="preserve"> of the macula (central retina) and results</w:t>
      </w:r>
      <w:r w:rsidRPr="00A9474A">
        <w:t xml:space="preserve"> in</w:t>
      </w:r>
      <w:r>
        <w:t xml:space="preserve"> impairment of </w:t>
      </w:r>
      <w:r w:rsidRPr="00A9474A">
        <w:t xml:space="preserve">central </w:t>
      </w:r>
      <w:r>
        <w:t>vision</w:t>
      </w:r>
      <w:r>
        <w:rPr>
          <w:rStyle w:val="FootnoteReference"/>
        </w:rPr>
        <w:footnoteReference w:id="3"/>
      </w:r>
      <w:r>
        <w:t xml:space="preserve">. </w:t>
      </w:r>
      <w:r w:rsidR="000D30BB">
        <w:t>T</w:t>
      </w:r>
      <w:r w:rsidR="00FD3176">
        <w:t xml:space="preserve">he fovea </w:t>
      </w:r>
      <w:r w:rsidR="000D30BB">
        <w:t>is</w:t>
      </w:r>
      <w:r w:rsidR="00FD3176">
        <w:t xml:space="preserve"> </w:t>
      </w:r>
      <w:r w:rsidR="000D30BB">
        <w:t>the</w:t>
      </w:r>
      <w:r w:rsidR="00FD3176">
        <w:t xml:space="preserve"> central part</w:t>
      </w:r>
      <w:r w:rsidR="000D30BB">
        <w:t xml:space="preserve"> of macula and </w:t>
      </w:r>
      <w:r w:rsidR="00FD3176">
        <w:t xml:space="preserve">is </w:t>
      </w:r>
      <w:r w:rsidR="00FD3176" w:rsidRPr="00FD3176">
        <w:t>densely populated with photoreceptors</w:t>
      </w:r>
      <w:r w:rsidR="000D30BB">
        <w:t xml:space="preserve">, </w:t>
      </w:r>
      <w:r w:rsidR="00FD3176" w:rsidRPr="00FD3176">
        <w:t>critical for</w:t>
      </w:r>
      <w:r w:rsidR="00FD3176">
        <w:t xml:space="preserve"> </w:t>
      </w:r>
      <w:r w:rsidR="001C5908">
        <w:t xml:space="preserve">the </w:t>
      </w:r>
      <w:r w:rsidR="00FD3176">
        <w:t>visual acuity required for daily tasks such as reading, driving, and recognising faces</w:t>
      </w:r>
      <w:r w:rsidR="00FD17C5" w:rsidRPr="00FD17C5">
        <w:rPr>
          <w:vertAlign w:val="superscript"/>
        </w:rPr>
        <w:t>3</w:t>
      </w:r>
      <w:r w:rsidR="00FD3176">
        <w:t xml:space="preserve">. </w:t>
      </w:r>
    </w:p>
    <w:p w14:paraId="0D6E0696" w14:textId="67367492" w:rsidR="00FD3176" w:rsidRDefault="0029681D" w:rsidP="004E18E9">
      <w:pPr>
        <w:pStyle w:val="3-BodyText"/>
      </w:pPr>
      <w:r w:rsidRPr="0029681D">
        <w:t>GA is characterised by well</w:t>
      </w:r>
      <w:r w:rsidR="009B60A6">
        <w:noBreakHyphen/>
      </w:r>
      <w:r w:rsidRPr="0029681D">
        <w:t xml:space="preserve">demarcated areas of retinal atrophy involving the retinal pigment epithelium (RPE), photoreceptors, and underlying choriocapillaris. </w:t>
      </w:r>
      <w:r>
        <w:t>GA</w:t>
      </w:r>
      <w:r w:rsidR="00CB331C">
        <w:t xml:space="preserve"> is a progressive disease </w:t>
      </w:r>
      <w:r w:rsidR="00EB6036">
        <w:t>and</w:t>
      </w:r>
      <w:r w:rsidR="00EB6036" w:rsidRPr="0029681D">
        <w:t xml:space="preserve"> typically</w:t>
      </w:r>
      <w:r>
        <w:t xml:space="preserve"> begins </w:t>
      </w:r>
      <w:r w:rsidRPr="0029681D">
        <w:t>in the perifoveal area</w:t>
      </w:r>
      <w:r w:rsidR="00CB331C">
        <w:t>. Its progression leads to irreversible central blindness over time, and the median time</w:t>
      </w:r>
      <w:r w:rsidR="00F02032">
        <w:t xml:space="preserve"> to legal blindness is estimated at 6.2 years</w:t>
      </w:r>
      <w:r w:rsidR="00F02032">
        <w:rPr>
          <w:rStyle w:val="FootnoteReference"/>
        </w:rPr>
        <w:footnoteReference w:id="4"/>
      </w:r>
      <w:r w:rsidR="00F02032">
        <w:t>.</w:t>
      </w:r>
      <w:r w:rsidR="00BF27FA">
        <w:t xml:space="preserve"> </w:t>
      </w:r>
      <w:r w:rsidR="00F02032">
        <w:t>In patients with GA,</w:t>
      </w:r>
      <w:r w:rsidR="00ED73D2" w:rsidRPr="00ED73D2">
        <w:t xml:space="preserve"> peripheral vision is spared. However, </w:t>
      </w:r>
      <w:r w:rsidR="00F02032">
        <w:t xml:space="preserve">the loss of central vision </w:t>
      </w:r>
      <w:r w:rsidR="00ED73D2" w:rsidRPr="00ED73D2">
        <w:t>significantly affects quality of life</w:t>
      </w:r>
      <w:r w:rsidR="00ED73D2">
        <w:rPr>
          <w:rStyle w:val="FootnoteReference"/>
        </w:rPr>
        <w:footnoteReference w:id="5"/>
      </w:r>
      <w:r w:rsidR="00231055">
        <w:t>.</w:t>
      </w:r>
      <w:r w:rsidR="00ED73D2" w:rsidRPr="00ED73D2">
        <w:t xml:space="preserve"> </w:t>
      </w:r>
      <w:r w:rsidRPr="0029681D">
        <w:t>Major risk factors of GA include advanced age, family history, and smoking.</w:t>
      </w:r>
      <w:r>
        <w:t xml:space="preserve"> </w:t>
      </w:r>
      <w:r w:rsidRPr="0029681D">
        <w:t xml:space="preserve">The burden of GA is an increasing public health issue in aging populations including </w:t>
      </w:r>
      <w:r w:rsidR="001C5908">
        <w:t xml:space="preserve">in </w:t>
      </w:r>
      <w:r w:rsidRPr="0029681D">
        <w:t>Australia</w:t>
      </w:r>
      <w:r>
        <w:rPr>
          <w:rStyle w:val="FootnoteReference"/>
        </w:rPr>
        <w:footnoteReference w:id="6"/>
      </w:r>
      <w:r w:rsidRPr="0029681D">
        <w:t>.</w:t>
      </w:r>
    </w:p>
    <w:p w14:paraId="3A1FA1C4" w14:textId="77CB07FC" w:rsidR="00FC44A3" w:rsidRDefault="00675EEA" w:rsidP="004E18E9">
      <w:pPr>
        <w:pStyle w:val="3-BodyText"/>
      </w:pPr>
      <w:r w:rsidRPr="00675EEA">
        <w:lastRenderedPageBreak/>
        <w:t>The Australian National Eye Health Survey in 2017 revealed that bilateral AMD occurred in 42.6% of surveyed subjects</w:t>
      </w:r>
      <w:r>
        <w:rPr>
          <w:rStyle w:val="FootnoteReference"/>
        </w:rPr>
        <w:footnoteReference w:id="7"/>
      </w:r>
      <w:r>
        <w:t xml:space="preserve">. </w:t>
      </w:r>
      <w:r w:rsidR="00FC44A3">
        <w:t>I</w:t>
      </w:r>
      <w:r w:rsidR="00FC44A3" w:rsidRPr="00FC44A3">
        <w:t xml:space="preserve">n eyes with nonfoveal GA, </w:t>
      </w:r>
      <w:r w:rsidR="001C5908">
        <w:t xml:space="preserve">the </w:t>
      </w:r>
      <w:r w:rsidR="00FC44A3" w:rsidRPr="00FC44A3">
        <w:t>4</w:t>
      </w:r>
      <w:r w:rsidR="009B60A6">
        <w:noBreakHyphen/>
      </w:r>
      <w:r w:rsidR="00FC44A3" w:rsidRPr="00FC44A3">
        <w:t>year risk of foveal involvement was 57%</w:t>
      </w:r>
      <w:r w:rsidR="00FC44A3">
        <w:rPr>
          <w:rStyle w:val="FootnoteReference"/>
        </w:rPr>
        <w:footnoteReference w:id="8"/>
      </w:r>
      <w:r w:rsidR="00FC44A3">
        <w:t>.</w:t>
      </w:r>
      <w:r w:rsidR="005C646D" w:rsidRPr="005C646D">
        <w:rPr>
          <w:rFonts w:ascii="Calibri" w:eastAsia="Times New Roman" w:hAnsi="Calibri" w:cs="Arial"/>
          <w:color w:val="000000" w:themeColor="text1"/>
          <w:szCs w:val="24"/>
        </w:rPr>
        <w:t xml:space="preserve"> </w:t>
      </w:r>
      <w:r w:rsidR="005C646D" w:rsidRPr="005C646D">
        <w:t>In half of the GA cases, the condition progressed to both eyes within 7 years of initial diagnosis</w:t>
      </w:r>
      <w:r w:rsidR="005C646D">
        <w:rPr>
          <w:rStyle w:val="FootnoteReference"/>
        </w:rPr>
        <w:footnoteReference w:id="9"/>
      </w:r>
      <w:r w:rsidR="005C646D">
        <w:t>.</w:t>
      </w:r>
      <w:r w:rsidR="00231055">
        <w:t xml:space="preserve"> </w:t>
      </w:r>
    </w:p>
    <w:p w14:paraId="04294CAD" w14:textId="673FB46A" w:rsidR="00065832" w:rsidRDefault="00065832" w:rsidP="004E18E9">
      <w:pPr>
        <w:pStyle w:val="3-BodyText"/>
      </w:pPr>
      <w:r w:rsidRPr="00065832">
        <w:t xml:space="preserve">The complement cascade, particularly the alternative pathway involving components such as C3 and C5, has been implicated in </w:t>
      </w:r>
      <w:r w:rsidR="001C5908">
        <w:t>the growth of GA</w:t>
      </w:r>
      <w:r w:rsidRPr="00065832">
        <w:t xml:space="preserve"> and RPE degeneration</w:t>
      </w:r>
      <w:r>
        <w:rPr>
          <w:rStyle w:val="FootnoteReference"/>
        </w:rPr>
        <w:footnoteReference w:id="10"/>
      </w:r>
      <w:r w:rsidRPr="00065832">
        <w:t>. Currently, pegceta</w:t>
      </w:r>
      <w:r w:rsidR="00034CA7">
        <w:t>c</w:t>
      </w:r>
      <w:r w:rsidRPr="00065832">
        <w:t xml:space="preserve">oplan (a C3 inhibitor) and ACP (a C5 inhibitor) </w:t>
      </w:r>
      <w:r w:rsidR="00034CA7">
        <w:t xml:space="preserve">are </w:t>
      </w:r>
      <w:r w:rsidRPr="00065832">
        <w:t>approved by</w:t>
      </w:r>
      <w:r w:rsidR="001C5908">
        <w:t xml:space="preserve"> the</w:t>
      </w:r>
      <w:r w:rsidRPr="00065832">
        <w:t xml:space="preserve"> TGA for GA</w:t>
      </w:r>
      <w:r w:rsidR="00034CA7">
        <w:t xml:space="preserve"> secondary to AMD</w:t>
      </w:r>
      <w:r w:rsidR="00ED063E">
        <w:t>. ACP is approved for once monthly intravitreal (IVT) injection (single eye) for the first 12 months</w:t>
      </w:r>
      <w:r w:rsidR="001C5908">
        <w:t>,</w:t>
      </w:r>
      <w:r w:rsidR="00ED063E">
        <w:t xml:space="preserve"> with </w:t>
      </w:r>
      <w:r w:rsidR="001C5908">
        <w:t>a</w:t>
      </w:r>
      <w:r w:rsidR="00ED063E">
        <w:t xml:space="preserve"> dosage of 2 mg (0.1 mL of 20 mg/mL solution) followed by </w:t>
      </w:r>
      <w:r w:rsidR="00ED063E" w:rsidRPr="00034CA7">
        <w:t>once monthly or every other month thereafter</w:t>
      </w:r>
      <w:r w:rsidR="00ED063E">
        <w:t xml:space="preserve">. </w:t>
      </w:r>
    </w:p>
    <w:p w14:paraId="4CA3DA2A" w14:textId="77777777" w:rsidR="00CF1B0D" w:rsidRPr="00C33D30" w:rsidRDefault="00CF1B0D" w:rsidP="00CF1B0D">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D86D87" w:rsidRDefault="00B50DB8" w:rsidP="004E18E9">
      <w:pPr>
        <w:pStyle w:val="2-SectionHeading"/>
      </w:pPr>
      <w:bookmarkStart w:id="12" w:name="_Toc219816297"/>
      <w:r w:rsidRPr="00D86D87">
        <w:t>Comparator</w:t>
      </w:r>
      <w:bookmarkEnd w:id="12"/>
    </w:p>
    <w:p w14:paraId="529D1B79" w14:textId="2411D82F" w:rsidR="00C556F6" w:rsidRPr="002A21B6" w:rsidRDefault="00C556F6" w:rsidP="00C556F6">
      <w:pPr>
        <w:pStyle w:val="3-BodyText"/>
      </w:pPr>
      <w:r w:rsidRPr="002A21B6">
        <w:t>The submission nominated BSC as the main comparator. BSC was defined as monitoring for disease progression and development of neovascular AMD (nAMD), lifestyle management, optimising spectacles, and referral to low vision services. The main argument provided in support of this nomination was that</w:t>
      </w:r>
      <w:r w:rsidR="00997302" w:rsidRPr="002A21B6">
        <w:t xml:space="preserve">, at the time </w:t>
      </w:r>
      <w:r w:rsidR="006720DE" w:rsidRPr="002A21B6">
        <w:t xml:space="preserve">when the submission was prepared, </w:t>
      </w:r>
      <w:r w:rsidRPr="002A21B6">
        <w:t xml:space="preserve">there </w:t>
      </w:r>
      <w:r w:rsidR="00C63C2F" w:rsidRPr="002A21B6">
        <w:t>were</w:t>
      </w:r>
      <w:r w:rsidRPr="002A21B6">
        <w:t xml:space="preserve"> no therapies for GA listed on the PBS. The </w:t>
      </w:r>
      <w:r w:rsidR="007D16D9" w:rsidRPr="00C17763">
        <w:rPr>
          <w:iCs/>
        </w:rPr>
        <w:t>ESC cons</w:t>
      </w:r>
      <w:r w:rsidR="001A38B6" w:rsidRPr="00C17763">
        <w:rPr>
          <w:iCs/>
        </w:rPr>
        <w:t xml:space="preserve">idered the </w:t>
      </w:r>
      <w:r w:rsidRPr="002A21B6">
        <w:t>nominated comparator was appropriate.</w:t>
      </w:r>
      <w:r w:rsidR="00E81B71" w:rsidRPr="002A21B6">
        <w:t xml:space="preserve"> </w:t>
      </w:r>
    </w:p>
    <w:p w14:paraId="30A067BB" w14:textId="2A0B8096" w:rsidR="00B50DB8" w:rsidRDefault="00BA311D" w:rsidP="005831D9">
      <w:pPr>
        <w:pStyle w:val="3-BodyText"/>
      </w:pPr>
      <w:r w:rsidRPr="002A21B6">
        <w:t xml:space="preserve">The submission also nominated pegcetacoplan as </w:t>
      </w:r>
      <w:r w:rsidR="00C63C2F" w:rsidRPr="002A21B6">
        <w:t xml:space="preserve">a </w:t>
      </w:r>
      <w:r w:rsidRPr="002A21B6">
        <w:t xml:space="preserve">near market comparator. Pegcetacoplan is TGA approved for </w:t>
      </w:r>
      <w:r w:rsidR="009E5A8A" w:rsidRPr="002A21B6">
        <w:t xml:space="preserve">adult patients with GA secondary </w:t>
      </w:r>
      <w:r w:rsidR="00FE53A9">
        <w:t xml:space="preserve">to age related </w:t>
      </w:r>
      <w:r w:rsidR="009E5A8A" w:rsidRPr="002A21B6">
        <w:t xml:space="preserve">AMD with an intact fovea and when central vision is threatened by GA lesion growth. Pegcetacoplan is </w:t>
      </w:r>
      <w:r w:rsidR="00C63C2F" w:rsidRPr="002A21B6">
        <w:t xml:space="preserve">TGA </w:t>
      </w:r>
      <w:r w:rsidR="009E5A8A" w:rsidRPr="002A21B6">
        <w:t>approved for IVT injection (single eye) once every other month with the dosage of 15 mg (0.1 mL of 150 mg/mL solution)</w:t>
      </w:r>
      <w:r w:rsidR="006720DE" w:rsidRPr="002A21B6">
        <w:t xml:space="preserve"> and was recently recommended by PBAC for </w:t>
      </w:r>
      <w:r w:rsidR="00C63C2F" w:rsidRPr="002A21B6">
        <w:t xml:space="preserve">PBS </w:t>
      </w:r>
      <w:r w:rsidR="006720DE" w:rsidRPr="002A21B6">
        <w:t>listing</w:t>
      </w:r>
      <w:r w:rsidR="00CD79A3" w:rsidRPr="002A21B6">
        <w:t xml:space="preserve"> (</w:t>
      </w:r>
      <w:r w:rsidR="00BB36F9" w:rsidRPr="002A21B6">
        <w:t xml:space="preserve">Pegcetacoplan, </w:t>
      </w:r>
      <w:r w:rsidR="00CD79A3" w:rsidRPr="002A21B6">
        <w:t>November 2025 PBAC Meeting outcomes)</w:t>
      </w:r>
      <w:r w:rsidR="006720DE" w:rsidRPr="002A21B6">
        <w:t>.</w:t>
      </w:r>
    </w:p>
    <w:p w14:paraId="44A504FD" w14:textId="77777777" w:rsidR="00CF1B0D" w:rsidRDefault="00CF1B0D" w:rsidP="00CF1B0D">
      <w:pPr>
        <w:ind w:firstLine="709"/>
        <w:rPr>
          <w:rFonts w:asciiTheme="minorHAnsi" w:hAnsiTheme="minorHAnsi"/>
          <w:i/>
        </w:rPr>
      </w:pPr>
    </w:p>
    <w:p w14:paraId="77F730D5" w14:textId="7593DD7D" w:rsidR="00CF1B0D" w:rsidRPr="00C33D30" w:rsidRDefault="00CF1B0D" w:rsidP="00CF1B0D">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D86D87" w:rsidRDefault="00223D5A" w:rsidP="00223D5A">
      <w:pPr>
        <w:pStyle w:val="2-SectionHeading"/>
        <w:numPr>
          <w:ilvl w:val="0"/>
          <w:numId w:val="1"/>
        </w:numPr>
      </w:pPr>
      <w:bookmarkStart w:id="13" w:name="_Toc219816298"/>
      <w:bookmarkStart w:id="14" w:name="_Toc22897640"/>
      <w:r w:rsidRPr="00D86D87">
        <w:lastRenderedPageBreak/>
        <w:t>Consideration of the evidence</w:t>
      </w:r>
      <w:bookmarkEnd w:id="13"/>
    </w:p>
    <w:p w14:paraId="215A5EDC" w14:textId="77777777" w:rsidR="003D6CEE" w:rsidRPr="006E1229" w:rsidRDefault="003D6CEE" w:rsidP="008A3621">
      <w:pPr>
        <w:pStyle w:val="4-SubsectionHeading"/>
      </w:pPr>
      <w:bookmarkStart w:id="15" w:name="_Hlk76375935"/>
      <w:bookmarkStart w:id="16" w:name="_Toc219816299"/>
      <w:r w:rsidRPr="006E1229">
        <w:t>Sponsor hearing</w:t>
      </w:r>
    </w:p>
    <w:p w14:paraId="4F295CCA" w14:textId="3E7292AF" w:rsidR="003D6CEE" w:rsidRPr="00F91542" w:rsidRDefault="003D6CEE" w:rsidP="003D6CEE">
      <w:pPr>
        <w:widowControl w:val="0"/>
        <w:numPr>
          <w:ilvl w:val="1"/>
          <w:numId w:val="1"/>
        </w:numPr>
        <w:spacing w:after="120"/>
        <w:rPr>
          <w:rFonts w:cs="Calibri"/>
          <w:bCs/>
          <w:snapToGrid w:val="0"/>
        </w:rPr>
      </w:pPr>
      <w:r w:rsidRPr="00F91542">
        <w:rPr>
          <w:rFonts w:cs="Calibri"/>
          <w:bCs/>
          <w:snapToGrid w:val="0"/>
        </w:rPr>
        <w:t>There was no hearing for this item.</w:t>
      </w:r>
    </w:p>
    <w:p w14:paraId="369C05E9" w14:textId="77777777" w:rsidR="003D6CEE" w:rsidRPr="006E1229" w:rsidRDefault="003D6CEE" w:rsidP="008A3621">
      <w:pPr>
        <w:pStyle w:val="4-SubsectionHeading"/>
      </w:pPr>
      <w:r w:rsidRPr="006E1229">
        <w:t xml:space="preserve">Consumer </w:t>
      </w:r>
      <w:r>
        <w:t>input</w:t>
      </w:r>
      <w:r w:rsidRPr="006E1229">
        <w:t>s</w:t>
      </w:r>
    </w:p>
    <w:p w14:paraId="1A9B9B7B" w14:textId="7F923EA4" w:rsidR="005B15DA" w:rsidRDefault="003D6CEE" w:rsidP="005B15DA">
      <w:pPr>
        <w:widowControl w:val="0"/>
        <w:numPr>
          <w:ilvl w:val="1"/>
          <w:numId w:val="1"/>
        </w:numPr>
        <w:spacing w:after="120"/>
        <w:rPr>
          <w:rFonts w:asciiTheme="minorHAnsi" w:hAnsiTheme="minorHAnsi"/>
          <w:bCs/>
          <w:snapToGrid w:val="0"/>
        </w:rPr>
      </w:pPr>
      <w:bookmarkStart w:id="17" w:name="_Hlk76382618"/>
      <w:r w:rsidRPr="00836F75">
        <w:rPr>
          <w:rFonts w:asciiTheme="minorHAnsi" w:hAnsiTheme="minorHAnsi"/>
          <w:bCs/>
          <w:snapToGrid w:val="0"/>
        </w:rPr>
        <w:t>The PBAC noted and welcomed the input from individuals (</w:t>
      </w:r>
      <w:r w:rsidR="005604EF">
        <w:rPr>
          <w:rFonts w:asciiTheme="minorHAnsi" w:hAnsiTheme="minorHAnsi"/>
          <w:bCs/>
          <w:snapToGrid w:val="0"/>
        </w:rPr>
        <w:t>14</w:t>
      </w:r>
      <w:r w:rsidRPr="00836F75">
        <w:rPr>
          <w:rFonts w:asciiTheme="minorHAnsi" w:hAnsiTheme="minorHAnsi"/>
          <w:bCs/>
          <w:snapToGrid w:val="0"/>
        </w:rPr>
        <w:t>), health care professionals (</w:t>
      </w:r>
      <w:r w:rsidR="005604EF">
        <w:rPr>
          <w:rFonts w:asciiTheme="minorHAnsi" w:hAnsiTheme="minorHAnsi"/>
          <w:bCs/>
          <w:snapToGrid w:val="0"/>
        </w:rPr>
        <w:t>5</w:t>
      </w:r>
      <w:r w:rsidRPr="00836F75">
        <w:rPr>
          <w:rFonts w:asciiTheme="minorHAnsi" w:hAnsiTheme="minorHAnsi"/>
          <w:bCs/>
          <w:snapToGrid w:val="0"/>
        </w:rPr>
        <w:t xml:space="preserve">) and </w:t>
      </w:r>
      <w:r w:rsidR="00D65A89">
        <w:rPr>
          <w:rFonts w:asciiTheme="minorHAnsi" w:hAnsiTheme="minorHAnsi"/>
          <w:bCs/>
          <w:snapToGrid w:val="0"/>
        </w:rPr>
        <w:t xml:space="preserve">a </w:t>
      </w:r>
      <w:r w:rsidR="00300278">
        <w:rPr>
          <w:rFonts w:asciiTheme="minorHAnsi" w:hAnsiTheme="minorHAnsi"/>
          <w:bCs/>
          <w:snapToGrid w:val="0"/>
        </w:rPr>
        <w:t>consumer group</w:t>
      </w:r>
      <w:r w:rsidRPr="00836F75">
        <w:rPr>
          <w:rFonts w:asciiTheme="minorHAnsi" w:hAnsiTheme="minorHAnsi"/>
          <w:bCs/>
          <w:snapToGrid w:val="0"/>
        </w:rPr>
        <w:t xml:space="preserve"> (1)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 xml:space="preserve">. </w:t>
      </w:r>
      <w:r w:rsidR="00A7695C">
        <w:rPr>
          <w:rFonts w:asciiTheme="minorHAnsi" w:hAnsiTheme="minorHAnsi"/>
          <w:bCs/>
          <w:snapToGrid w:val="0"/>
        </w:rPr>
        <w:t xml:space="preserve">The PBAC </w:t>
      </w:r>
      <w:r w:rsidR="0086478A">
        <w:rPr>
          <w:rFonts w:asciiTheme="minorHAnsi" w:hAnsiTheme="minorHAnsi"/>
          <w:bCs/>
          <w:snapToGrid w:val="0"/>
        </w:rPr>
        <w:t>acknowledg</w:t>
      </w:r>
      <w:r w:rsidR="00A7695C">
        <w:rPr>
          <w:rFonts w:asciiTheme="minorHAnsi" w:hAnsiTheme="minorHAnsi"/>
          <w:bCs/>
          <w:snapToGrid w:val="0"/>
        </w:rPr>
        <w:t xml:space="preserve">ed </w:t>
      </w:r>
      <w:r w:rsidR="00A27AE6">
        <w:rPr>
          <w:rFonts w:asciiTheme="minorHAnsi" w:hAnsiTheme="minorHAnsi"/>
          <w:bCs/>
          <w:snapToGrid w:val="0"/>
        </w:rPr>
        <w:t xml:space="preserve">that </w:t>
      </w:r>
      <w:r w:rsidR="00133205">
        <w:rPr>
          <w:rFonts w:asciiTheme="minorHAnsi" w:hAnsiTheme="minorHAnsi"/>
          <w:bCs/>
          <w:snapToGrid w:val="0"/>
        </w:rPr>
        <w:t xml:space="preserve">the </w:t>
      </w:r>
      <w:r w:rsidR="00A7695C">
        <w:rPr>
          <w:rFonts w:asciiTheme="minorHAnsi" w:hAnsiTheme="minorHAnsi"/>
          <w:bCs/>
          <w:snapToGrid w:val="0"/>
        </w:rPr>
        <w:t xml:space="preserve">individuals </w:t>
      </w:r>
      <w:r w:rsidR="00936D78">
        <w:rPr>
          <w:rFonts w:asciiTheme="minorHAnsi" w:hAnsiTheme="minorHAnsi"/>
          <w:bCs/>
          <w:snapToGrid w:val="0"/>
        </w:rPr>
        <w:t>who would li</w:t>
      </w:r>
      <w:r w:rsidR="00CB645D">
        <w:rPr>
          <w:rFonts w:asciiTheme="minorHAnsi" w:hAnsiTheme="minorHAnsi"/>
          <w:bCs/>
          <w:snapToGrid w:val="0"/>
        </w:rPr>
        <w:t>k</w:t>
      </w:r>
      <w:r w:rsidR="00936D78">
        <w:rPr>
          <w:rFonts w:asciiTheme="minorHAnsi" w:hAnsiTheme="minorHAnsi"/>
          <w:bCs/>
          <w:snapToGrid w:val="0"/>
        </w:rPr>
        <w:t xml:space="preserve">e access to ACP for </w:t>
      </w:r>
      <w:r w:rsidR="005A4FEF">
        <w:rPr>
          <w:rFonts w:asciiTheme="minorHAnsi" w:hAnsiTheme="minorHAnsi"/>
          <w:bCs/>
          <w:snapToGrid w:val="0"/>
        </w:rPr>
        <w:t>themselves,</w:t>
      </w:r>
      <w:r w:rsidR="00936D78">
        <w:rPr>
          <w:rFonts w:asciiTheme="minorHAnsi" w:hAnsiTheme="minorHAnsi"/>
          <w:bCs/>
          <w:snapToGrid w:val="0"/>
        </w:rPr>
        <w:t xml:space="preserve"> or their family</w:t>
      </w:r>
      <w:r w:rsidR="00C65B9C">
        <w:rPr>
          <w:rFonts w:asciiTheme="minorHAnsi" w:hAnsiTheme="minorHAnsi"/>
          <w:bCs/>
          <w:snapToGrid w:val="0"/>
        </w:rPr>
        <w:t>,</w:t>
      </w:r>
      <w:r w:rsidR="00936D78">
        <w:rPr>
          <w:rFonts w:asciiTheme="minorHAnsi" w:hAnsiTheme="minorHAnsi"/>
          <w:bCs/>
          <w:snapToGrid w:val="0"/>
        </w:rPr>
        <w:t xml:space="preserve"> </w:t>
      </w:r>
      <w:r w:rsidR="00A7695C" w:rsidRPr="00A7695C">
        <w:rPr>
          <w:rFonts w:asciiTheme="minorHAnsi" w:hAnsiTheme="minorHAnsi"/>
          <w:bCs/>
          <w:snapToGrid w:val="0"/>
        </w:rPr>
        <w:t>describe</w:t>
      </w:r>
      <w:r w:rsidR="00936D78">
        <w:rPr>
          <w:rFonts w:asciiTheme="minorHAnsi" w:hAnsiTheme="minorHAnsi"/>
          <w:bCs/>
          <w:snapToGrid w:val="0"/>
        </w:rPr>
        <w:t>d</w:t>
      </w:r>
      <w:r w:rsidR="00A7695C" w:rsidRPr="00A7695C">
        <w:rPr>
          <w:rFonts w:asciiTheme="minorHAnsi" w:hAnsiTheme="minorHAnsi"/>
          <w:bCs/>
          <w:snapToGrid w:val="0"/>
        </w:rPr>
        <w:t xml:space="preserve"> how declining eyesight </w:t>
      </w:r>
      <w:r w:rsidR="00CB645D">
        <w:rPr>
          <w:rFonts w:asciiTheme="minorHAnsi" w:hAnsiTheme="minorHAnsi"/>
          <w:bCs/>
          <w:snapToGrid w:val="0"/>
        </w:rPr>
        <w:t>leads to a</w:t>
      </w:r>
      <w:r w:rsidR="00A7695C" w:rsidRPr="00A7695C">
        <w:rPr>
          <w:rFonts w:asciiTheme="minorHAnsi" w:hAnsiTheme="minorHAnsi"/>
          <w:bCs/>
          <w:snapToGrid w:val="0"/>
        </w:rPr>
        <w:t xml:space="preserve"> </w:t>
      </w:r>
      <w:r w:rsidR="00CB645D" w:rsidRPr="00CB645D">
        <w:rPr>
          <w:rFonts w:asciiTheme="minorHAnsi" w:hAnsiTheme="minorHAnsi"/>
          <w:bCs/>
          <w:snapToGrid w:val="0"/>
        </w:rPr>
        <w:t>loss of independence</w:t>
      </w:r>
      <w:r w:rsidR="00CB645D">
        <w:rPr>
          <w:rFonts w:asciiTheme="minorHAnsi" w:hAnsiTheme="minorHAnsi"/>
          <w:bCs/>
          <w:snapToGrid w:val="0"/>
        </w:rPr>
        <w:t xml:space="preserve">, </w:t>
      </w:r>
      <w:r w:rsidR="00AB31C4">
        <w:rPr>
          <w:rFonts w:asciiTheme="minorHAnsi" w:hAnsiTheme="minorHAnsi"/>
          <w:bCs/>
          <w:snapToGrid w:val="0"/>
        </w:rPr>
        <w:t xml:space="preserve">and </w:t>
      </w:r>
      <w:r w:rsidR="00CB645D">
        <w:rPr>
          <w:rFonts w:asciiTheme="minorHAnsi" w:hAnsiTheme="minorHAnsi"/>
          <w:bCs/>
          <w:snapToGrid w:val="0"/>
        </w:rPr>
        <w:t>affects</w:t>
      </w:r>
      <w:r w:rsidR="00CB645D" w:rsidRPr="00CB645D">
        <w:rPr>
          <w:rFonts w:asciiTheme="minorHAnsi" w:hAnsiTheme="minorHAnsi"/>
          <w:bCs/>
          <w:snapToGrid w:val="0"/>
        </w:rPr>
        <w:t xml:space="preserve"> </w:t>
      </w:r>
      <w:r w:rsidR="00133205">
        <w:rPr>
          <w:rFonts w:asciiTheme="minorHAnsi" w:hAnsiTheme="minorHAnsi"/>
          <w:bCs/>
          <w:snapToGrid w:val="0"/>
        </w:rPr>
        <w:t>one’s</w:t>
      </w:r>
      <w:r w:rsidR="00A7695C" w:rsidRPr="00A7695C">
        <w:rPr>
          <w:rFonts w:asciiTheme="minorHAnsi" w:hAnsiTheme="minorHAnsi"/>
          <w:bCs/>
          <w:snapToGrid w:val="0"/>
        </w:rPr>
        <w:t xml:space="preserve"> ability to read, drive, work, care for others and engage in community life. Several inputs express</w:t>
      </w:r>
      <w:r w:rsidR="00133205">
        <w:rPr>
          <w:rFonts w:asciiTheme="minorHAnsi" w:hAnsiTheme="minorHAnsi"/>
          <w:bCs/>
          <w:snapToGrid w:val="0"/>
        </w:rPr>
        <w:t>ed</w:t>
      </w:r>
      <w:r w:rsidR="00A7695C" w:rsidRPr="00A7695C">
        <w:rPr>
          <w:rFonts w:asciiTheme="minorHAnsi" w:hAnsiTheme="minorHAnsi"/>
          <w:bCs/>
          <w:snapToGrid w:val="0"/>
        </w:rPr>
        <w:t xml:space="preserve"> fear of future blindness and the psychological burden it creates. Input convey</w:t>
      </w:r>
      <w:r w:rsidR="00133205">
        <w:rPr>
          <w:rFonts w:asciiTheme="minorHAnsi" w:hAnsiTheme="minorHAnsi"/>
          <w:bCs/>
          <w:snapToGrid w:val="0"/>
        </w:rPr>
        <w:t>ed</w:t>
      </w:r>
      <w:r w:rsidR="00A7695C" w:rsidRPr="00A7695C">
        <w:rPr>
          <w:rFonts w:asciiTheme="minorHAnsi" w:hAnsiTheme="minorHAnsi"/>
          <w:bCs/>
          <w:snapToGrid w:val="0"/>
        </w:rPr>
        <w:t xml:space="preserve"> strong hope that </w:t>
      </w:r>
      <w:r w:rsidR="00133205">
        <w:rPr>
          <w:rFonts w:asciiTheme="minorHAnsi" w:hAnsiTheme="minorHAnsi"/>
          <w:bCs/>
          <w:snapToGrid w:val="0"/>
        </w:rPr>
        <w:t>ACP</w:t>
      </w:r>
      <w:r w:rsidR="00A7695C" w:rsidRPr="00A7695C">
        <w:rPr>
          <w:rFonts w:asciiTheme="minorHAnsi" w:hAnsiTheme="minorHAnsi"/>
          <w:bCs/>
          <w:snapToGrid w:val="0"/>
        </w:rPr>
        <w:t xml:space="preserve"> could slow the progress of GA and </w:t>
      </w:r>
      <w:r w:rsidR="00A27AE6">
        <w:rPr>
          <w:rFonts w:asciiTheme="minorHAnsi" w:hAnsiTheme="minorHAnsi"/>
          <w:bCs/>
          <w:snapToGrid w:val="0"/>
        </w:rPr>
        <w:t xml:space="preserve">even </w:t>
      </w:r>
      <w:r w:rsidR="00A7695C" w:rsidRPr="00A7695C">
        <w:rPr>
          <w:rFonts w:asciiTheme="minorHAnsi" w:hAnsiTheme="minorHAnsi"/>
          <w:bCs/>
          <w:snapToGrid w:val="0"/>
        </w:rPr>
        <w:t xml:space="preserve">potentially improve eyesight. </w:t>
      </w:r>
      <w:r w:rsidR="00C7703C">
        <w:rPr>
          <w:rFonts w:asciiTheme="minorHAnsi" w:hAnsiTheme="minorHAnsi"/>
          <w:bCs/>
          <w:snapToGrid w:val="0"/>
        </w:rPr>
        <w:t xml:space="preserve">The PBAC noted treatment with ACP would not improve eyesight but may potentially delay vision loss. </w:t>
      </w:r>
      <w:r w:rsidR="003D4336">
        <w:rPr>
          <w:rFonts w:asciiTheme="minorHAnsi" w:hAnsiTheme="minorHAnsi"/>
          <w:bCs/>
          <w:snapToGrid w:val="0"/>
        </w:rPr>
        <w:t>E</w:t>
      </w:r>
      <w:r w:rsidR="003D4336" w:rsidRPr="003D4336">
        <w:rPr>
          <w:rFonts w:asciiTheme="minorHAnsi" w:hAnsiTheme="minorHAnsi"/>
          <w:bCs/>
          <w:snapToGrid w:val="0"/>
        </w:rPr>
        <w:t xml:space="preserve">ven a modest slowing of decline </w:t>
      </w:r>
      <w:r w:rsidR="00F55AE1">
        <w:rPr>
          <w:rFonts w:asciiTheme="minorHAnsi" w:hAnsiTheme="minorHAnsi"/>
          <w:bCs/>
          <w:snapToGrid w:val="0"/>
        </w:rPr>
        <w:t xml:space="preserve">was considered </w:t>
      </w:r>
      <w:r w:rsidR="00C7703C">
        <w:rPr>
          <w:rFonts w:asciiTheme="minorHAnsi" w:hAnsiTheme="minorHAnsi"/>
          <w:bCs/>
          <w:snapToGrid w:val="0"/>
        </w:rPr>
        <w:t xml:space="preserve">by individuals </w:t>
      </w:r>
      <w:r w:rsidR="00F55AE1">
        <w:rPr>
          <w:rFonts w:asciiTheme="minorHAnsi" w:hAnsiTheme="minorHAnsi"/>
          <w:bCs/>
          <w:snapToGrid w:val="0"/>
        </w:rPr>
        <w:t>to</w:t>
      </w:r>
      <w:r w:rsidR="003D4336" w:rsidRPr="003D4336">
        <w:rPr>
          <w:rFonts w:asciiTheme="minorHAnsi" w:hAnsiTheme="minorHAnsi"/>
          <w:bCs/>
          <w:snapToGrid w:val="0"/>
        </w:rPr>
        <w:t xml:space="preserve"> meaningfully protect independence and potentially reduc</w:t>
      </w:r>
      <w:r w:rsidR="005B6A02">
        <w:rPr>
          <w:rFonts w:asciiTheme="minorHAnsi" w:hAnsiTheme="minorHAnsi"/>
          <w:bCs/>
          <w:snapToGrid w:val="0"/>
        </w:rPr>
        <w:t>e</w:t>
      </w:r>
      <w:r w:rsidR="003D4336" w:rsidRPr="003D4336">
        <w:rPr>
          <w:rFonts w:asciiTheme="minorHAnsi" w:hAnsiTheme="minorHAnsi"/>
          <w:bCs/>
          <w:snapToGrid w:val="0"/>
        </w:rPr>
        <w:t xml:space="preserve"> the need for greater public support in later stages. </w:t>
      </w:r>
      <w:r w:rsidR="00A7695C" w:rsidRPr="00A7695C">
        <w:rPr>
          <w:rFonts w:asciiTheme="minorHAnsi" w:hAnsiTheme="minorHAnsi"/>
          <w:bCs/>
          <w:snapToGrid w:val="0"/>
        </w:rPr>
        <w:t xml:space="preserve">Cost </w:t>
      </w:r>
      <w:r w:rsidR="005B6A02">
        <w:rPr>
          <w:rFonts w:asciiTheme="minorHAnsi" w:hAnsiTheme="minorHAnsi"/>
          <w:bCs/>
          <w:snapToGrid w:val="0"/>
        </w:rPr>
        <w:t>wa</w:t>
      </w:r>
      <w:r w:rsidR="00A7695C" w:rsidRPr="00A7695C">
        <w:rPr>
          <w:rFonts w:asciiTheme="minorHAnsi" w:hAnsiTheme="minorHAnsi"/>
          <w:bCs/>
          <w:snapToGrid w:val="0"/>
        </w:rPr>
        <w:t xml:space="preserve">s consistently identified as the dominant barrier to access, with many </w:t>
      </w:r>
      <w:r w:rsidR="005B6A02">
        <w:rPr>
          <w:rFonts w:asciiTheme="minorHAnsi" w:hAnsiTheme="minorHAnsi"/>
          <w:bCs/>
          <w:snapToGrid w:val="0"/>
        </w:rPr>
        <w:t xml:space="preserve">individuals </w:t>
      </w:r>
      <w:r w:rsidR="00A7695C" w:rsidRPr="00A7695C">
        <w:rPr>
          <w:rFonts w:asciiTheme="minorHAnsi" w:hAnsiTheme="minorHAnsi"/>
          <w:bCs/>
          <w:snapToGrid w:val="0"/>
        </w:rPr>
        <w:t xml:space="preserve">indicating </w:t>
      </w:r>
      <w:r w:rsidR="00A27AE6">
        <w:rPr>
          <w:rFonts w:asciiTheme="minorHAnsi" w:hAnsiTheme="minorHAnsi"/>
          <w:bCs/>
          <w:snapToGrid w:val="0"/>
        </w:rPr>
        <w:t xml:space="preserve">that, </w:t>
      </w:r>
      <w:r w:rsidR="00A7695C" w:rsidRPr="00A7695C">
        <w:rPr>
          <w:rFonts w:asciiTheme="minorHAnsi" w:hAnsiTheme="minorHAnsi"/>
          <w:bCs/>
          <w:snapToGrid w:val="0"/>
        </w:rPr>
        <w:t>without subsidised access, they will be unable to receive treatment.</w:t>
      </w:r>
    </w:p>
    <w:p w14:paraId="4FDDC32D" w14:textId="05080397" w:rsidR="00A35E21" w:rsidRPr="002B64AB" w:rsidRDefault="00A35E21" w:rsidP="002B64AB">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input from an individual that reflected lived experiences with </w:t>
      </w:r>
      <w:r w:rsidR="009C58D3">
        <w:rPr>
          <w:rFonts w:asciiTheme="minorHAnsi" w:hAnsiTheme="minorHAnsi"/>
          <w:bCs/>
          <w:snapToGrid w:val="0"/>
        </w:rPr>
        <w:t>a condition that was not GA</w:t>
      </w:r>
      <w:r w:rsidR="008323A3">
        <w:rPr>
          <w:rFonts w:asciiTheme="minorHAnsi" w:hAnsiTheme="minorHAnsi"/>
          <w:bCs/>
          <w:snapToGrid w:val="0"/>
        </w:rPr>
        <w:t xml:space="preserve"> secondary to AMD.</w:t>
      </w:r>
      <w:r w:rsidR="002B64AB">
        <w:rPr>
          <w:rFonts w:asciiTheme="minorHAnsi" w:hAnsiTheme="minorHAnsi"/>
          <w:bCs/>
          <w:snapToGrid w:val="0"/>
        </w:rPr>
        <w:t xml:space="preserve"> The input suggested emerging medications like ACP could also potentially benefit other retinal conditions. </w:t>
      </w:r>
      <w:r w:rsidR="009E7846">
        <w:rPr>
          <w:rFonts w:asciiTheme="minorHAnsi" w:hAnsiTheme="minorHAnsi"/>
          <w:bCs/>
          <w:snapToGrid w:val="0"/>
        </w:rPr>
        <w:t xml:space="preserve">The PBAC advised that input from consumers is </w:t>
      </w:r>
      <w:r w:rsidR="00C836B1">
        <w:rPr>
          <w:rFonts w:asciiTheme="minorHAnsi" w:hAnsiTheme="minorHAnsi"/>
          <w:bCs/>
          <w:snapToGrid w:val="0"/>
        </w:rPr>
        <w:t xml:space="preserve">most useful when it relates directly to the indication being considered but acknowledged the value of broader perspectives in understanding community experiences with medicines. </w:t>
      </w:r>
    </w:p>
    <w:p w14:paraId="2482F039" w14:textId="765BA704" w:rsidR="00501786" w:rsidRPr="00836F75" w:rsidRDefault="00501786" w:rsidP="005B15DA">
      <w:pPr>
        <w:widowControl w:val="0"/>
        <w:numPr>
          <w:ilvl w:val="1"/>
          <w:numId w:val="1"/>
        </w:numPr>
        <w:spacing w:after="120"/>
        <w:rPr>
          <w:rFonts w:asciiTheme="minorHAnsi" w:hAnsiTheme="minorHAnsi"/>
          <w:bCs/>
          <w:snapToGrid w:val="0"/>
        </w:rPr>
      </w:pPr>
      <w:bookmarkStart w:id="18" w:name="_Ref225850471"/>
      <w:r>
        <w:rPr>
          <w:rFonts w:asciiTheme="minorHAnsi" w:hAnsiTheme="minorHAnsi"/>
          <w:bCs/>
          <w:snapToGrid w:val="0"/>
        </w:rPr>
        <w:t xml:space="preserve">The PBAC noted </w:t>
      </w:r>
      <w:r w:rsidR="009153F0" w:rsidRPr="00795A4F">
        <w:rPr>
          <w:rFonts w:asciiTheme="minorHAnsi" w:hAnsiTheme="minorHAnsi"/>
          <w:snapToGrid w:val="0"/>
          <w:lang w:val="en-GB"/>
        </w:rPr>
        <w:t xml:space="preserve">mixed support from health care professionals, with some noting </w:t>
      </w:r>
      <w:r w:rsidR="009153F0" w:rsidRPr="00795A4F">
        <w:rPr>
          <w:rFonts w:asciiTheme="minorHAnsi" w:hAnsiTheme="minorHAnsi"/>
          <w:snapToGrid w:val="0"/>
        </w:rPr>
        <w:t xml:space="preserve">delayed retinal degeneration would offer meaningful benefit by helping patients retain their sight for longer, with others suggesting the evidentiary basis for PBS listing was limited and such mild/small delays in </w:t>
      </w:r>
      <w:r w:rsidR="00A27AE6">
        <w:rPr>
          <w:rFonts w:asciiTheme="minorHAnsi" w:hAnsiTheme="minorHAnsi"/>
          <w:snapToGrid w:val="0"/>
        </w:rPr>
        <w:t xml:space="preserve">anatomical </w:t>
      </w:r>
      <w:r w:rsidR="009153F0" w:rsidRPr="00795A4F">
        <w:rPr>
          <w:rFonts w:asciiTheme="minorHAnsi" w:hAnsiTheme="minorHAnsi"/>
          <w:snapToGrid w:val="0"/>
        </w:rPr>
        <w:t>progression of GA were insufficient to translate into meaningful outcomes for patients.</w:t>
      </w:r>
      <w:bookmarkEnd w:id="18"/>
    </w:p>
    <w:p w14:paraId="02965AB4" w14:textId="5CA5EDE2" w:rsidR="003D6CEE" w:rsidRDefault="00AC030D" w:rsidP="00241CFC">
      <w:pPr>
        <w:widowControl w:val="0"/>
        <w:numPr>
          <w:ilvl w:val="1"/>
          <w:numId w:val="1"/>
        </w:numPr>
        <w:spacing w:after="120"/>
        <w:rPr>
          <w:rFonts w:asciiTheme="minorHAnsi" w:hAnsiTheme="minorHAnsi"/>
          <w:bCs/>
          <w:snapToGrid w:val="0"/>
        </w:rPr>
      </w:pPr>
      <w:r w:rsidRPr="00A229DE">
        <w:rPr>
          <w:rFonts w:asciiTheme="minorHAnsi" w:hAnsiTheme="minorHAnsi"/>
          <w:bCs/>
          <w:snapToGrid w:val="0"/>
        </w:rPr>
        <w:t>The PBA</w:t>
      </w:r>
      <w:r w:rsidR="002D1599" w:rsidRPr="00A229DE">
        <w:rPr>
          <w:rFonts w:asciiTheme="minorHAnsi" w:hAnsiTheme="minorHAnsi"/>
          <w:bCs/>
          <w:snapToGrid w:val="0"/>
        </w:rPr>
        <w:t>C</w:t>
      </w:r>
      <w:r w:rsidRPr="00A229DE">
        <w:rPr>
          <w:rFonts w:asciiTheme="minorHAnsi" w:hAnsiTheme="minorHAnsi"/>
          <w:bCs/>
          <w:snapToGrid w:val="0"/>
        </w:rPr>
        <w:t xml:space="preserve"> noted </w:t>
      </w:r>
      <w:r w:rsidR="002B2762" w:rsidRPr="00A229DE">
        <w:rPr>
          <w:rFonts w:asciiTheme="minorHAnsi" w:hAnsiTheme="minorHAnsi"/>
          <w:bCs/>
          <w:snapToGrid w:val="0"/>
        </w:rPr>
        <w:t xml:space="preserve">the advice received from </w:t>
      </w:r>
      <w:r w:rsidR="002D1599" w:rsidRPr="00A229DE">
        <w:rPr>
          <w:rFonts w:asciiTheme="minorHAnsi" w:hAnsiTheme="minorHAnsi"/>
          <w:bCs/>
          <w:snapToGrid w:val="0"/>
        </w:rPr>
        <w:t>Macular Disease Foundation Australia</w:t>
      </w:r>
      <w:r w:rsidR="002B2762" w:rsidRPr="00A229DE">
        <w:rPr>
          <w:rFonts w:asciiTheme="minorHAnsi" w:hAnsiTheme="minorHAnsi"/>
          <w:bCs/>
          <w:snapToGrid w:val="0"/>
        </w:rPr>
        <w:t xml:space="preserve"> which highlighted</w:t>
      </w:r>
      <w:r w:rsidR="00DE72FD" w:rsidRPr="00A229DE">
        <w:rPr>
          <w:rFonts w:asciiTheme="minorHAnsi" w:hAnsiTheme="minorHAnsi"/>
          <w:bCs/>
          <w:snapToGrid w:val="0"/>
        </w:rPr>
        <w:t xml:space="preserve"> </w:t>
      </w:r>
      <w:r w:rsidR="0039311B">
        <w:rPr>
          <w:rFonts w:asciiTheme="minorHAnsi" w:hAnsiTheme="minorHAnsi"/>
          <w:bCs/>
          <w:snapToGrid w:val="0"/>
        </w:rPr>
        <w:t xml:space="preserve">the </w:t>
      </w:r>
      <w:r w:rsidR="005E3C35">
        <w:rPr>
          <w:rFonts w:asciiTheme="minorHAnsi" w:hAnsiTheme="minorHAnsi"/>
          <w:bCs/>
          <w:snapToGrid w:val="0"/>
        </w:rPr>
        <w:t>effects</w:t>
      </w:r>
      <w:r w:rsidR="0039311B">
        <w:rPr>
          <w:rFonts w:asciiTheme="minorHAnsi" w:hAnsiTheme="minorHAnsi"/>
          <w:bCs/>
          <w:snapToGrid w:val="0"/>
        </w:rPr>
        <w:t xml:space="preserve"> of vision loss </w:t>
      </w:r>
      <w:r w:rsidR="005E3C35">
        <w:rPr>
          <w:rFonts w:asciiTheme="minorHAnsi" w:hAnsiTheme="minorHAnsi"/>
          <w:bCs/>
          <w:snapToGrid w:val="0"/>
        </w:rPr>
        <w:t xml:space="preserve">on everyday living from the </w:t>
      </w:r>
      <w:r w:rsidR="00A229DE" w:rsidRPr="00A229DE">
        <w:rPr>
          <w:rFonts w:asciiTheme="minorHAnsi" w:hAnsiTheme="minorHAnsi"/>
          <w:bCs/>
          <w:snapToGrid w:val="0"/>
        </w:rPr>
        <w:t>global Geographic Atrophy Insights Survey (GAINS), which included Australian respondents aged 60 years and older with self</w:t>
      </w:r>
      <w:r w:rsidR="009B60A6">
        <w:rPr>
          <w:rFonts w:asciiTheme="minorHAnsi" w:hAnsiTheme="minorHAnsi"/>
          <w:bCs/>
          <w:snapToGrid w:val="0"/>
        </w:rPr>
        <w:noBreakHyphen/>
      </w:r>
      <w:r w:rsidR="00A229DE" w:rsidRPr="00A229DE">
        <w:rPr>
          <w:rFonts w:asciiTheme="minorHAnsi" w:hAnsiTheme="minorHAnsi"/>
          <w:bCs/>
          <w:snapToGrid w:val="0"/>
        </w:rPr>
        <w:t>reported geographic atrophy in one or both eyes</w:t>
      </w:r>
      <w:r w:rsidR="00501786">
        <w:rPr>
          <w:rFonts w:asciiTheme="minorHAnsi" w:hAnsiTheme="minorHAnsi"/>
          <w:bCs/>
          <w:snapToGrid w:val="0"/>
        </w:rPr>
        <w:t>. The survey</w:t>
      </w:r>
      <w:r w:rsidR="00A229DE" w:rsidRPr="00A229DE">
        <w:rPr>
          <w:rFonts w:asciiTheme="minorHAnsi" w:hAnsiTheme="minorHAnsi"/>
          <w:bCs/>
          <w:snapToGrid w:val="0"/>
        </w:rPr>
        <w:t xml:space="preserve"> found that vision loss resulted in respondents experiencing moderate or major negative impacts on their ability to drive (73%</w:t>
      </w:r>
      <w:r w:rsidR="009B60A6">
        <w:rPr>
          <w:rFonts w:asciiTheme="minorHAnsi" w:hAnsiTheme="minorHAnsi"/>
          <w:bCs/>
          <w:snapToGrid w:val="0"/>
        </w:rPr>
        <w:noBreakHyphen/>
      </w:r>
      <w:r w:rsidR="00A229DE" w:rsidRPr="00A229DE">
        <w:rPr>
          <w:rFonts w:asciiTheme="minorHAnsi" w:hAnsiTheme="minorHAnsi"/>
          <w:bCs/>
          <w:snapToGrid w:val="0"/>
        </w:rPr>
        <w:t>75%), read (66%</w:t>
      </w:r>
      <w:r w:rsidR="009B60A6">
        <w:rPr>
          <w:rFonts w:asciiTheme="minorHAnsi" w:hAnsiTheme="minorHAnsi"/>
          <w:bCs/>
          <w:snapToGrid w:val="0"/>
        </w:rPr>
        <w:noBreakHyphen/>
      </w:r>
      <w:r w:rsidR="00A229DE" w:rsidRPr="00A229DE">
        <w:rPr>
          <w:rFonts w:asciiTheme="minorHAnsi" w:hAnsiTheme="minorHAnsi"/>
          <w:bCs/>
          <w:snapToGrid w:val="0"/>
        </w:rPr>
        <w:t>71%) and travel (62%). Respondents also reported moderate or major negative impacts on their self</w:t>
      </w:r>
      <w:r w:rsidR="009B60A6">
        <w:rPr>
          <w:rFonts w:asciiTheme="minorHAnsi" w:hAnsiTheme="minorHAnsi"/>
          <w:bCs/>
          <w:snapToGrid w:val="0"/>
        </w:rPr>
        <w:noBreakHyphen/>
      </w:r>
      <w:r w:rsidR="00A229DE" w:rsidRPr="00A229DE">
        <w:rPr>
          <w:rFonts w:asciiTheme="minorHAnsi" w:hAnsiTheme="minorHAnsi"/>
          <w:bCs/>
          <w:snapToGrid w:val="0"/>
        </w:rPr>
        <w:t>confidence (49%</w:t>
      </w:r>
      <w:r w:rsidR="009B60A6">
        <w:rPr>
          <w:rFonts w:asciiTheme="minorHAnsi" w:hAnsiTheme="minorHAnsi"/>
          <w:bCs/>
          <w:snapToGrid w:val="0"/>
        </w:rPr>
        <w:noBreakHyphen/>
      </w:r>
      <w:r w:rsidR="00A229DE" w:rsidRPr="00A229DE">
        <w:rPr>
          <w:rFonts w:asciiTheme="minorHAnsi" w:hAnsiTheme="minorHAnsi"/>
          <w:bCs/>
          <w:snapToGrid w:val="0"/>
        </w:rPr>
        <w:t>56%), and</w:t>
      </w:r>
      <w:r w:rsidR="00A229DE">
        <w:rPr>
          <w:rFonts w:asciiTheme="minorHAnsi" w:hAnsiTheme="minorHAnsi"/>
          <w:bCs/>
          <w:snapToGrid w:val="0"/>
        </w:rPr>
        <w:t xml:space="preserve"> </w:t>
      </w:r>
      <w:r w:rsidR="00A229DE" w:rsidRPr="00A229DE">
        <w:rPr>
          <w:rFonts w:asciiTheme="minorHAnsi" w:hAnsiTheme="minorHAnsi"/>
          <w:bCs/>
          <w:snapToGrid w:val="0"/>
        </w:rPr>
        <w:t>moderate or major negative impacts on their mental health (40%).</w:t>
      </w:r>
    </w:p>
    <w:bookmarkEnd w:id="15"/>
    <w:bookmarkEnd w:id="17"/>
    <w:p w14:paraId="609C0765" w14:textId="43DC3D0C" w:rsidR="00B60939" w:rsidRPr="00D86D87" w:rsidRDefault="00B60939" w:rsidP="002E4F02">
      <w:pPr>
        <w:pStyle w:val="4-SubsectionHeading"/>
      </w:pPr>
      <w:r w:rsidRPr="00D86D87">
        <w:lastRenderedPageBreak/>
        <w:t>Clinical</w:t>
      </w:r>
      <w:r w:rsidR="005831D9" w:rsidRPr="00D86D87">
        <w:t xml:space="preserve"> </w:t>
      </w:r>
      <w:r w:rsidRPr="00D86D87">
        <w:t>trials</w:t>
      </w:r>
      <w:bookmarkEnd w:id="14"/>
      <w:bookmarkEnd w:id="16"/>
    </w:p>
    <w:p w14:paraId="6D1FF102" w14:textId="4209B42F" w:rsidR="005831D9" w:rsidRPr="00081EC1" w:rsidRDefault="005831D9" w:rsidP="00081EC1">
      <w:pPr>
        <w:pStyle w:val="3-BodyText"/>
      </w:pPr>
      <w:r w:rsidRPr="00081EC1">
        <w:t xml:space="preserve">The submission was based on two </w:t>
      </w:r>
      <w:r w:rsidR="00E73595" w:rsidRPr="00081EC1">
        <w:t xml:space="preserve">ACP trials: GATHER1 (Phase 2/3) and GATHER2 (Phase 3). Both trials were </w:t>
      </w:r>
      <w:r w:rsidRPr="00081EC1">
        <w:t>randomised, double</w:t>
      </w:r>
      <w:r w:rsidR="009B60A6">
        <w:noBreakHyphen/>
      </w:r>
      <w:r w:rsidRPr="00081EC1">
        <w:t xml:space="preserve">masked, </w:t>
      </w:r>
      <w:r w:rsidR="00CD0E08" w:rsidRPr="00081EC1">
        <w:t>Sham</w:t>
      </w:r>
      <w:r w:rsidR="009B60A6">
        <w:noBreakHyphen/>
      </w:r>
      <w:r w:rsidRPr="00081EC1">
        <w:t xml:space="preserve">controlled trials. GATHER1 (N = </w:t>
      </w:r>
      <w:r w:rsidR="0084579A" w:rsidRPr="00081EC1">
        <w:t xml:space="preserve">286) </w:t>
      </w:r>
      <w:r w:rsidRPr="00081EC1">
        <w:t xml:space="preserve">had a treatment period of 18 months </w:t>
      </w:r>
      <w:r w:rsidR="0084579A" w:rsidRPr="00081EC1">
        <w:t xml:space="preserve">and </w:t>
      </w:r>
      <w:r w:rsidRPr="00081EC1">
        <w:t xml:space="preserve">GATHER2 </w:t>
      </w:r>
      <w:r w:rsidR="0084579A" w:rsidRPr="00081EC1">
        <w:t xml:space="preserve">(N = 448) </w:t>
      </w:r>
      <w:r w:rsidRPr="00081EC1">
        <w:t xml:space="preserve">had a treatment period of 24 months. </w:t>
      </w:r>
      <w:r w:rsidR="0084579A" w:rsidRPr="00081EC1">
        <w:t xml:space="preserve">In Part 1 of GATHER1, patients were randomised to receive ACP 1 mg IVT, ACP 2 mg IVT, or </w:t>
      </w:r>
      <w:r w:rsidR="00CD0E08" w:rsidRPr="00081EC1">
        <w:t>Sham</w:t>
      </w:r>
      <w:r w:rsidR="0084579A" w:rsidRPr="00081EC1">
        <w:t>. In Part 2 of GATHER</w:t>
      </w:r>
      <w:r w:rsidR="00E35519" w:rsidRPr="00081EC1">
        <w:t>1</w:t>
      </w:r>
      <w:r w:rsidR="0084579A" w:rsidRPr="00081EC1">
        <w:t xml:space="preserve">, patients were randomised to receive ACP 2 mg IVT, ACP 4 mg IVT, or </w:t>
      </w:r>
      <w:r w:rsidR="00CD0E08" w:rsidRPr="00081EC1">
        <w:t>Sham</w:t>
      </w:r>
      <w:r w:rsidR="0084579A" w:rsidRPr="00081EC1">
        <w:t xml:space="preserve">. </w:t>
      </w:r>
      <w:r w:rsidR="003D7559" w:rsidRPr="00081EC1">
        <w:t>I</w:t>
      </w:r>
      <w:r w:rsidR="009D5A78" w:rsidRPr="00081EC1">
        <w:t>n GATHER1,</w:t>
      </w:r>
      <w:r w:rsidR="0084579A" w:rsidRPr="00081EC1">
        <w:t xml:space="preserve"> there were </w:t>
      </w:r>
      <w:r w:rsidR="00E35519" w:rsidRPr="00081EC1">
        <w:t xml:space="preserve">67 patients in </w:t>
      </w:r>
      <w:r w:rsidR="0084579A" w:rsidRPr="00081EC1">
        <w:t xml:space="preserve">the combined ACP 2 mg group </w:t>
      </w:r>
      <w:r w:rsidR="009D5A78" w:rsidRPr="00081EC1">
        <w:t xml:space="preserve">(N = 67) </w:t>
      </w:r>
      <w:r w:rsidR="00E35519" w:rsidRPr="00081EC1">
        <w:t xml:space="preserve">and 110 patients in the combined </w:t>
      </w:r>
      <w:r w:rsidR="00CD0E08" w:rsidRPr="00081EC1">
        <w:t>Sham</w:t>
      </w:r>
      <w:r w:rsidR="00E35519" w:rsidRPr="00081EC1">
        <w:t xml:space="preserve"> group (N = 110). In GATHER2, patients were randomised at baseline to receive either</w:t>
      </w:r>
      <w:r w:rsidR="00E73595" w:rsidRPr="00081EC1">
        <w:t xml:space="preserve"> monthly</w:t>
      </w:r>
      <w:r w:rsidR="00E35519" w:rsidRPr="00081EC1">
        <w:t xml:space="preserve"> ACP 2 mg </w:t>
      </w:r>
      <w:r w:rsidR="00E73595" w:rsidRPr="00081EC1">
        <w:t xml:space="preserve">IVT </w:t>
      </w:r>
      <w:r w:rsidR="00E35519" w:rsidRPr="00081EC1">
        <w:t xml:space="preserve">(N = 225) or </w:t>
      </w:r>
      <w:r w:rsidR="00CD0E08" w:rsidRPr="00081EC1">
        <w:t>Sham</w:t>
      </w:r>
      <w:r w:rsidR="00E35519" w:rsidRPr="00081EC1">
        <w:t xml:space="preserve"> (N = 222). At Month 12, after the collection of data for the primary endpoint analyses, patients who had previously received monthly ACP 2 mg IVT were re</w:t>
      </w:r>
      <w:r w:rsidR="009B60A6">
        <w:noBreakHyphen/>
      </w:r>
      <w:r w:rsidR="00E35519" w:rsidRPr="00081EC1">
        <w:t>randomised to receive either ACP 2 mg</w:t>
      </w:r>
      <w:r w:rsidR="00E73595" w:rsidRPr="00081EC1">
        <w:t xml:space="preserve"> monthly</w:t>
      </w:r>
      <w:r w:rsidR="00E35519" w:rsidRPr="00081EC1">
        <w:t xml:space="preserve"> (EM) (N = 96) or ACP 2 mg every other month (EOM) (N =93).</w:t>
      </w:r>
    </w:p>
    <w:p w14:paraId="50779B4F" w14:textId="387A4A59" w:rsidR="00182DC8" w:rsidRPr="003459A3" w:rsidRDefault="003459A3" w:rsidP="00081EC1">
      <w:pPr>
        <w:pStyle w:val="3-BodyText"/>
        <w:rPr>
          <w:bCs/>
        </w:rPr>
      </w:pPr>
      <w:r w:rsidRPr="00081EC1">
        <w:t>Since no head</w:t>
      </w:r>
      <w:r w:rsidR="009B60A6">
        <w:noBreakHyphen/>
      </w:r>
      <w:r w:rsidRPr="00081EC1">
        <w:t>to</w:t>
      </w:r>
      <w:r w:rsidR="009B60A6">
        <w:noBreakHyphen/>
      </w:r>
      <w:r w:rsidRPr="00081EC1">
        <w:t>head trials directly compare the efficacy and safety of ACP vs pegcetacoplan in the proposed target population, the submission presented three indirect treatment comparisons (ITCs): an anchored matching</w:t>
      </w:r>
      <w:r w:rsidR="009B60A6">
        <w:noBreakHyphen/>
      </w:r>
      <w:r w:rsidRPr="00081EC1">
        <w:t>adjusted indirect comparison (MAIC)</w:t>
      </w:r>
      <w:r w:rsidRPr="00C55371">
        <w:rPr>
          <w:rStyle w:val="FootnoteReference"/>
        </w:rPr>
        <w:footnoteReference w:id="11"/>
      </w:r>
      <w:r w:rsidRPr="00081EC1">
        <w:t xml:space="preserve"> (the </w:t>
      </w:r>
      <w:r w:rsidR="00FD17C5" w:rsidRPr="00081EC1">
        <w:t>Sham</w:t>
      </w:r>
      <w:r w:rsidRPr="00081EC1">
        <w:t xml:space="preserve"> arm was an anchor), an ITC using network meta</w:t>
      </w:r>
      <w:r w:rsidR="009B60A6">
        <w:noBreakHyphen/>
      </w:r>
      <w:r w:rsidRPr="00081EC1">
        <w:t>analysis (NMA)</w:t>
      </w:r>
      <w:r w:rsidRPr="00C55371">
        <w:rPr>
          <w:rStyle w:val="FootnoteReference"/>
        </w:rPr>
        <w:footnoteReference w:id="12"/>
      </w:r>
      <w:r w:rsidRPr="00081EC1">
        <w:t>, and an ITC using multi</w:t>
      </w:r>
      <w:r w:rsidR="009B60A6">
        <w:noBreakHyphen/>
      </w:r>
      <w:r w:rsidRPr="00081EC1">
        <w:t>level network meta</w:t>
      </w:r>
      <w:r w:rsidR="009B60A6">
        <w:noBreakHyphen/>
      </w:r>
      <w:r w:rsidRPr="00081EC1">
        <w:t>regression (ML</w:t>
      </w:r>
      <w:r w:rsidR="009B60A6">
        <w:noBreakHyphen/>
      </w:r>
      <w:r w:rsidRPr="00081EC1">
        <w:t>NMR)</w:t>
      </w:r>
      <w:r w:rsidRPr="00C55371">
        <w:rPr>
          <w:rStyle w:val="FootnoteReference"/>
        </w:rPr>
        <w:footnoteReference w:id="13"/>
      </w:r>
      <w:r w:rsidRPr="00081EC1">
        <w:t>.</w:t>
      </w:r>
      <w:r w:rsidRPr="003459A3">
        <w:rPr>
          <w:bCs/>
        </w:rPr>
        <w:t xml:space="preserve"> The MAIC was informed by GATHER2, and the DERBY and OAKS </w:t>
      </w:r>
      <w:r>
        <w:rPr>
          <w:bCs/>
        </w:rPr>
        <w:t xml:space="preserve">pegcetacoplan </w:t>
      </w:r>
      <w:r w:rsidRPr="003459A3">
        <w:rPr>
          <w:bCs/>
        </w:rPr>
        <w:t>trials; the ML</w:t>
      </w:r>
      <w:r w:rsidR="009B60A6">
        <w:rPr>
          <w:bCs/>
        </w:rPr>
        <w:noBreakHyphen/>
      </w:r>
      <w:r w:rsidRPr="003459A3">
        <w:rPr>
          <w:bCs/>
        </w:rPr>
        <w:t>NMR was informed by GATHER1 and GATHER2, and DERBY, OAKS, and FILLY. The NMR included ten RCTs and five complement inhibitors (ACP [C3i], pegcetacoplan [C5i], lampalizumab [Factor D], CLG561 [C3i and C5i], and LFG316 [C5i</w:t>
      </w:r>
      <w:r w:rsidR="00B7727D" w:rsidRPr="003459A3">
        <w:rPr>
          <w:bCs/>
        </w:rPr>
        <w:t>]) for</w:t>
      </w:r>
      <w:r w:rsidRPr="003459A3">
        <w:rPr>
          <w:bCs/>
        </w:rPr>
        <w:t xml:space="preserve"> analyses.</w:t>
      </w:r>
    </w:p>
    <w:p w14:paraId="60AAA168" w14:textId="7486246B" w:rsidR="00CE104D" w:rsidRDefault="00A73134" w:rsidP="00FD17C5">
      <w:pPr>
        <w:pStyle w:val="3-BodyText"/>
      </w:pPr>
      <w:r w:rsidRPr="00D86D87">
        <w:t xml:space="preserve">Details of the </w:t>
      </w:r>
      <w:r w:rsidR="003E65DA">
        <w:t xml:space="preserve">trials </w:t>
      </w:r>
      <w:r w:rsidRPr="00D86D87">
        <w:t>presented in the submission are provided in</w:t>
      </w:r>
      <w:r w:rsidR="003E65DA">
        <w:t xml:space="preserve"> </w:t>
      </w:r>
      <w:r w:rsidR="003E65DA">
        <w:fldChar w:fldCharType="begin"/>
      </w:r>
      <w:r w:rsidR="003E65DA">
        <w:instrText xml:space="preserve"> REF _Ref217319730 \h </w:instrText>
      </w:r>
      <w:r w:rsidR="003E65DA">
        <w:fldChar w:fldCharType="separate"/>
      </w:r>
      <w:r w:rsidR="00962F38">
        <w:t xml:space="preserve">Table </w:t>
      </w:r>
      <w:r w:rsidR="00962F38">
        <w:rPr>
          <w:noProof/>
        </w:rPr>
        <w:t>2</w:t>
      </w:r>
      <w:r w:rsidR="003E65DA">
        <w:fldChar w:fldCharType="end"/>
      </w:r>
      <w:r w:rsidRPr="00D86D87">
        <w:t>.</w:t>
      </w:r>
    </w:p>
    <w:p w14:paraId="5C143CCD" w14:textId="4A76B7D9" w:rsidR="003E65DA" w:rsidRDefault="003E65DA" w:rsidP="00CD5570">
      <w:pPr>
        <w:pStyle w:val="Caption"/>
        <w:keepNext w:val="0"/>
        <w:keepLines w:val="0"/>
        <w:widowControl w:val="0"/>
        <w:spacing w:before="120"/>
      </w:pPr>
      <w:bookmarkStart w:id="19" w:name="_Ref217319730"/>
      <w:r>
        <w:t xml:space="preserve">Table </w:t>
      </w:r>
      <w:fldSimple w:instr=" SEQ Table \* ARABIC ">
        <w:r w:rsidR="00962F38">
          <w:rPr>
            <w:noProof/>
          </w:rPr>
          <w:t>2</w:t>
        </w:r>
      </w:fldSimple>
      <w:bookmarkEnd w:id="19"/>
      <w:r>
        <w:t xml:space="preserve">: </w:t>
      </w:r>
      <w:r w:rsidRPr="004351E1">
        <w:rPr>
          <w:rStyle w:val="CommentReference"/>
          <w:b/>
          <w:szCs w:val="24"/>
        </w:rPr>
        <w:t>Trials and associated reports presented in the submission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8"/>
        <w:gridCol w:w="2122"/>
      </w:tblGrid>
      <w:tr w:rsidR="007237A5" w:rsidRPr="00D86D87" w14:paraId="07692040" w14:textId="77777777">
        <w:trPr>
          <w:tblHeader/>
        </w:trPr>
        <w:tc>
          <w:tcPr>
            <w:tcW w:w="796" w:type="pct"/>
            <w:vAlign w:val="center"/>
          </w:tcPr>
          <w:p w14:paraId="369C2349" w14:textId="77777777" w:rsidR="00C843B1" w:rsidRPr="00D86D87" w:rsidRDefault="00C843B1" w:rsidP="00C843B1">
            <w:pPr>
              <w:pStyle w:val="In-tableHeading"/>
              <w:keepNext w:val="0"/>
              <w:keepLines w:val="0"/>
              <w:widowControl w:val="0"/>
              <w:rPr>
                <w:lang w:val="en-AU"/>
              </w:rPr>
            </w:pPr>
            <w:r w:rsidRPr="00D86D87">
              <w:rPr>
                <w:lang w:val="en-AU"/>
              </w:rPr>
              <w:t>Trial ID</w:t>
            </w:r>
          </w:p>
        </w:tc>
        <w:tc>
          <w:tcPr>
            <w:tcW w:w="3027" w:type="pct"/>
            <w:vAlign w:val="center"/>
          </w:tcPr>
          <w:p w14:paraId="1F02790B" w14:textId="77777777" w:rsidR="00C843B1" w:rsidRPr="00D86D87" w:rsidRDefault="00C843B1" w:rsidP="00C843B1">
            <w:pPr>
              <w:pStyle w:val="In-tableHeading"/>
              <w:keepNext w:val="0"/>
              <w:keepLines w:val="0"/>
              <w:widowControl w:val="0"/>
              <w:rPr>
                <w:lang w:val="en-AU"/>
              </w:rPr>
            </w:pPr>
            <w:r w:rsidRPr="00D86D87">
              <w:rPr>
                <w:lang w:val="en-AU"/>
              </w:rPr>
              <w:t>Protocol title/ Publication title</w:t>
            </w:r>
          </w:p>
        </w:tc>
        <w:tc>
          <w:tcPr>
            <w:tcW w:w="1177" w:type="pct"/>
            <w:vAlign w:val="center"/>
          </w:tcPr>
          <w:p w14:paraId="3CEA6673" w14:textId="77777777" w:rsidR="00C843B1" w:rsidRPr="00D86D87" w:rsidRDefault="00C843B1" w:rsidP="00C843B1">
            <w:pPr>
              <w:pStyle w:val="In-tableHeading"/>
              <w:keepNext w:val="0"/>
              <w:keepLines w:val="0"/>
              <w:widowControl w:val="0"/>
              <w:rPr>
                <w:lang w:val="en-AU"/>
              </w:rPr>
            </w:pPr>
            <w:r w:rsidRPr="00D86D87">
              <w:rPr>
                <w:lang w:val="en-AU"/>
              </w:rPr>
              <w:t>Publication citation</w:t>
            </w:r>
          </w:p>
        </w:tc>
      </w:tr>
      <w:tr w:rsidR="007237A5" w:rsidRPr="00D86D87" w14:paraId="0D2E8CDA" w14:textId="77777777" w:rsidTr="003D5AEE">
        <w:trPr>
          <w:trHeight w:val="284"/>
        </w:trPr>
        <w:tc>
          <w:tcPr>
            <w:tcW w:w="5000" w:type="pct"/>
            <w:gridSpan w:val="3"/>
            <w:tcBorders>
              <w:bottom w:val="nil"/>
            </w:tcBorders>
            <w:vAlign w:val="center"/>
          </w:tcPr>
          <w:p w14:paraId="6706DBE3" w14:textId="77777777" w:rsidR="00C843B1" w:rsidRPr="00D86D87" w:rsidRDefault="00C843B1" w:rsidP="00C843B1">
            <w:pPr>
              <w:pStyle w:val="TableText0"/>
              <w:keepNext w:val="0"/>
              <w:keepLines w:val="0"/>
              <w:widowControl w:val="0"/>
            </w:pPr>
            <w:r>
              <w:rPr>
                <w:lang w:val="en-IN"/>
              </w:rPr>
              <w:t>A</w:t>
            </w:r>
            <w:r w:rsidRPr="00997370">
              <w:rPr>
                <w:lang w:val="en-IN"/>
              </w:rPr>
              <w:t>vacincaptad pegol</w:t>
            </w:r>
            <w:r>
              <w:rPr>
                <w:lang w:val="en-IN"/>
              </w:rPr>
              <w:t xml:space="preserve"> trials</w:t>
            </w:r>
          </w:p>
        </w:tc>
      </w:tr>
      <w:tr w:rsidR="001A6CA3" w:rsidRPr="00D86D87" w14:paraId="18781BBA" w14:textId="77777777">
        <w:tc>
          <w:tcPr>
            <w:tcW w:w="796" w:type="pct"/>
            <w:vMerge w:val="restart"/>
            <w:vAlign w:val="center"/>
          </w:tcPr>
          <w:p w14:paraId="4DDE4490" w14:textId="702B4731" w:rsidR="003459A3" w:rsidRPr="00D86D87" w:rsidRDefault="003459A3" w:rsidP="00C843B1">
            <w:pPr>
              <w:pStyle w:val="TableText0"/>
              <w:widowControl w:val="0"/>
            </w:pPr>
            <w:r w:rsidRPr="00462D0D">
              <w:rPr>
                <w:bCs w:val="0"/>
                <w:lang w:val="en-IN"/>
              </w:rPr>
              <w:t>GATHER1</w:t>
            </w:r>
            <w:r w:rsidRPr="00462D0D">
              <w:rPr>
                <w:b/>
                <w:lang w:val="en-IN"/>
              </w:rPr>
              <w:t xml:space="preserve"> </w:t>
            </w:r>
            <w:r w:rsidRPr="00462D0D">
              <w:rPr>
                <w:lang w:val="en-IN"/>
              </w:rPr>
              <w:t>NCT02686658</w:t>
            </w:r>
          </w:p>
        </w:tc>
        <w:tc>
          <w:tcPr>
            <w:tcW w:w="3027" w:type="pct"/>
            <w:tcBorders>
              <w:bottom w:val="nil"/>
            </w:tcBorders>
            <w:vAlign w:val="center"/>
          </w:tcPr>
          <w:p w14:paraId="62F91915" w14:textId="75EB2EA7" w:rsidR="003459A3" w:rsidRPr="00462D0D" w:rsidRDefault="003459A3" w:rsidP="00C843B1">
            <w:pPr>
              <w:pStyle w:val="TableText0"/>
              <w:keepNext w:val="0"/>
              <w:keepLines w:val="0"/>
              <w:widowControl w:val="0"/>
              <w:rPr>
                <w:szCs w:val="18"/>
                <w:lang w:val="en-IN"/>
              </w:rPr>
            </w:pPr>
            <w:r w:rsidRPr="00462D0D">
              <w:rPr>
                <w:szCs w:val="18"/>
                <w:lang w:val="en-IN"/>
              </w:rPr>
              <w:t>A Phase 2/3 randomi</w:t>
            </w:r>
            <w:r>
              <w:rPr>
                <w:szCs w:val="18"/>
                <w:lang w:val="en-IN"/>
              </w:rPr>
              <w:t>s</w:t>
            </w:r>
            <w:r w:rsidRPr="00462D0D">
              <w:rPr>
                <w:szCs w:val="18"/>
                <w:lang w:val="en-IN"/>
              </w:rPr>
              <w:t>ed, double</w:t>
            </w:r>
            <w:r w:rsidR="009B60A6">
              <w:rPr>
                <w:szCs w:val="18"/>
                <w:lang w:val="en-IN"/>
              </w:rPr>
              <w:noBreakHyphen/>
            </w:r>
            <w:r w:rsidRPr="00462D0D">
              <w:rPr>
                <w:szCs w:val="18"/>
                <w:lang w:val="en-IN"/>
              </w:rPr>
              <w:t xml:space="preserve">masked, controlled trial to assess the safety and efficacy of intravitreous administration of </w:t>
            </w:r>
            <w:r>
              <w:rPr>
                <w:szCs w:val="18"/>
                <w:lang w:val="en-IN"/>
              </w:rPr>
              <w:t>Z</w:t>
            </w:r>
            <w:r w:rsidRPr="00462D0D">
              <w:rPr>
                <w:szCs w:val="18"/>
                <w:lang w:val="en-IN"/>
              </w:rPr>
              <w:t>imura™ (anti</w:t>
            </w:r>
            <w:r w:rsidR="009B60A6">
              <w:rPr>
                <w:szCs w:val="18"/>
                <w:lang w:val="en-IN"/>
              </w:rPr>
              <w:noBreakHyphen/>
            </w:r>
            <w:r>
              <w:rPr>
                <w:szCs w:val="18"/>
                <w:lang w:val="en-IN"/>
              </w:rPr>
              <w:t>C</w:t>
            </w:r>
            <w:r w:rsidRPr="00462D0D">
              <w:rPr>
                <w:szCs w:val="18"/>
                <w:lang w:val="en-IN"/>
              </w:rPr>
              <w:t>5 aptamer) in patients with geographic atrophy secondary to dry age</w:t>
            </w:r>
            <w:r w:rsidR="009B60A6">
              <w:rPr>
                <w:szCs w:val="18"/>
                <w:lang w:val="en-IN"/>
              </w:rPr>
              <w:noBreakHyphen/>
            </w:r>
            <w:r w:rsidRPr="00462D0D">
              <w:rPr>
                <w:szCs w:val="18"/>
                <w:lang w:val="en-IN"/>
              </w:rPr>
              <w:t>related macular degeneration (The GATHER1 Study).</w:t>
            </w:r>
          </w:p>
        </w:tc>
        <w:tc>
          <w:tcPr>
            <w:tcW w:w="1177" w:type="pct"/>
            <w:tcBorders>
              <w:bottom w:val="nil"/>
            </w:tcBorders>
            <w:vAlign w:val="center"/>
          </w:tcPr>
          <w:p w14:paraId="0944337E" w14:textId="77777777" w:rsidR="003459A3" w:rsidRPr="00D86D87" w:rsidRDefault="003459A3" w:rsidP="00C843B1">
            <w:pPr>
              <w:pStyle w:val="TableText0"/>
              <w:keepNext w:val="0"/>
              <w:keepLines w:val="0"/>
              <w:widowControl w:val="0"/>
            </w:pPr>
          </w:p>
        </w:tc>
      </w:tr>
      <w:tr w:rsidR="001A6CA3" w:rsidRPr="00D86D87" w14:paraId="320147E9" w14:textId="77777777">
        <w:tc>
          <w:tcPr>
            <w:tcW w:w="796" w:type="pct"/>
            <w:vMerge/>
            <w:vAlign w:val="center"/>
          </w:tcPr>
          <w:p w14:paraId="52CC75D4" w14:textId="1F03CF0F" w:rsidR="003459A3" w:rsidRPr="00D86D87" w:rsidRDefault="003459A3" w:rsidP="00C843B1">
            <w:pPr>
              <w:pStyle w:val="TableText0"/>
              <w:keepNext w:val="0"/>
              <w:keepLines w:val="0"/>
              <w:widowControl w:val="0"/>
            </w:pPr>
          </w:p>
        </w:tc>
        <w:tc>
          <w:tcPr>
            <w:tcW w:w="3027" w:type="pct"/>
            <w:tcBorders>
              <w:top w:val="nil"/>
              <w:bottom w:val="nil"/>
            </w:tcBorders>
            <w:vAlign w:val="center"/>
          </w:tcPr>
          <w:p w14:paraId="08D115E5" w14:textId="26CCF9C2" w:rsidR="003459A3" w:rsidRPr="00D86D87" w:rsidRDefault="003459A3" w:rsidP="00C843B1">
            <w:pPr>
              <w:pStyle w:val="TableText0"/>
              <w:keepNext w:val="0"/>
              <w:keepLines w:val="0"/>
              <w:widowControl w:val="0"/>
              <w:rPr>
                <w:szCs w:val="18"/>
              </w:rPr>
            </w:pPr>
            <w:r w:rsidRPr="009A29F0">
              <w:rPr>
                <w:szCs w:val="18"/>
              </w:rPr>
              <w:t xml:space="preserve">Jaffe GJ et al. </w:t>
            </w:r>
            <w:r w:rsidRPr="00462D0D">
              <w:rPr>
                <w:szCs w:val="18"/>
                <w:lang w:val="en-IN"/>
              </w:rPr>
              <w:t>C5 inhibitor avacincaptad pegol for geographic atrophy due to age</w:t>
            </w:r>
            <w:r w:rsidR="009B60A6">
              <w:rPr>
                <w:szCs w:val="18"/>
                <w:lang w:val="en-IN"/>
              </w:rPr>
              <w:noBreakHyphen/>
            </w:r>
            <w:r w:rsidRPr="00462D0D">
              <w:rPr>
                <w:szCs w:val="18"/>
                <w:lang w:val="en-IN"/>
              </w:rPr>
              <w:t>related macular degeneration: a randomized pivotal Phase 2/3 trial.</w:t>
            </w:r>
          </w:p>
        </w:tc>
        <w:tc>
          <w:tcPr>
            <w:tcW w:w="1177" w:type="pct"/>
            <w:tcBorders>
              <w:top w:val="nil"/>
              <w:bottom w:val="nil"/>
            </w:tcBorders>
            <w:vAlign w:val="center"/>
          </w:tcPr>
          <w:p w14:paraId="5841976E" w14:textId="77777777" w:rsidR="003459A3" w:rsidRPr="00462D0D" w:rsidRDefault="003459A3" w:rsidP="00C843B1">
            <w:pPr>
              <w:pStyle w:val="TableText0"/>
              <w:keepNext w:val="0"/>
              <w:keepLines w:val="0"/>
              <w:widowControl w:val="0"/>
              <w:rPr>
                <w:szCs w:val="18"/>
                <w:lang w:val="en-IN"/>
              </w:rPr>
            </w:pPr>
            <w:r w:rsidRPr="00462D0D">
              <w:rPr>
                <w:i/>
                <w:iCs/>
                <w:szCs w:val="18"/>
                <w:lang w:val="en-IN"/>
              </w:rPr>
              <w:t xml:space="preserve">Ophthalmology </w:t>
            </w:r>
            <w:r w:rsidRPr="00462D0D">
              <w:rPr>
                <w:szCs w:val="18"/>
                <w:lang w:val="en-IN"/>
              </w:rPr>
              <w:t>2021;</w:t>
            </w:r>
            <w:r>
              <w:rPr>
                <w:szCs w:val="18"/>
                <w:lang w:val="en-IN"/>
              </w:rPr>
              <w:t xml:space="preserve"> </w:t>
            </w:r>
            <w:r w:rsidRPr="00462D0D">
              <w:rPr>
                <w:szCs w:val="18"/>
                <w:lang w:val="en-IN"/>
              </w:rPr>
              <w:t>128(4):576–586.</w:t>
            </w:r>
          </w:p>
          <w:p w14:paraId="675B3B5D" w14:textId="77777777" w:rsidR="003459A3" w:rsidRPr="00D86D87" w:rsidRDefault="003459A3" w:rsidP="00C843B1">
            <w:pPr>
              <w:pStyle w:val="TableText0"/>
              <w:keepNext w:val="0"/>
              <w:keepLines w:val="0"/>
              <w:widowControl w:val="0"/>
              <w:rPr>
                <w:szCs w:val="18"/>
              </w:rPr>
            </w:pPr>
          </w:p>
        </w:tc>
      </w:tr>
      <w:tr w:rsidR="001A6CA3" w:rsidRPr="00D86D87" w14:paraId="1D4A6879" w14:textId="77777777">
        <w:tc>
          <w:tcPr>
            <w:tcW w:w="796" w:type="pct"/>
            <w:vMerge/>
            <w:vAlign w:val="center"/>
          </w:tcPr>
          <w:p w14:paraId="76308969" w14:textId="77777777" w:rsidR="003459A3" w:rsidRPr="00D86D87" w:rsidRDefault="003459A3" w:rsidP="00C843B1">
            <w:pPr>
              <w:pStyle w:val="TableText0"/>
              <w:keepNext w:val="0"/>
              <w:keepLines w:val="0"/>
              <w:widowControl w:val="0"/>
            </w:pPr>
          </w:p>
        </w:tc>
        <w:tc>
          <w:tcPr>
            <w:tcW w:w="3027" w:type="pct"/>
            <w:tcBorders>
              <w:top w:val="nil"/>
              <w:bottom w:val="nil"/>
            </w:tcBorders>
            <w:vAlign w:val="center"/>
          </w:tcPr>
          <w:p w14:paraId="3F148432" w14:textId="0B7CBBF9" w:rsidR="003459A3" w:rsidRPr="00D86D87" w:rsidRDefault="003459A3" w:rsidP="00C843B1">
            <w:pPr>
              <w:pStyle w:val="TableText0"/>
              <w:keepNext w:val="0"/>
              <w:keepLines w:val="0"/>
              <w:widowControl w:val="0"/>
              <w:rPr>
                <w:szCs w:val="18"/>
              </w:rPr>
            </w:pPr>
            <w:r w:rsidRPr="009A29F0">
              <w:rPr>
                <w:szCs w:val="18"/>
              </w:rPr>
              <w:t xml:space="preserve">Patel SS et al. </w:t>
            </w:r>
            <w:r w:rsidRPr="00462D0D">
              <w:rPr>
                <w:szCs w:val="18"/>
              </w:rPr>
              <w:t>Avacincaptad pegol for geographic atrophy secondary to age</w:t>
            </w:r>
            <w:r w:rsidR="009B60A6">
              <w:rPr>
                <w:szCs w:val="18"/>
              </w:rPr>
              <w:noBreakHyphen/>
            </w:r>
            <w:r w:rsidRPr="00462D0D">
              <w:rPr>
                <w:szCs w:val="18"/>
              </w:rPr>
              <w:t>related macular degeneration: 18</w:t>
            </w:r>
            <w:r w:rsidR="009B60A6">
              <w:rPr>
                <w:szCs w:val="18"/>
              </w:rPr>
              <w:noBreakHyphen/>
            </w:r>
            <w:r w:rsidRPr="00462D0D">
              <w:rPr>
                <w:szCs w:val="18"/>
              </w:rPr>
              <w:t>month findings from the GATHER1 trial.</w:t>
            </w:r>
          </w:p>
        </w:tc>
        <w:tc>
          <w:tcPr>
            <w:tcW w:w="1177" w:type="pct"/>
            <w:tcBorders>
              <w:top w:val="nil"/>
              <w:bottom w:val="nil"/>
            </w:tcBorders>
            <w:vAlign w:val="center"/>
          </w:tcPr>
          <w:p w14:paraId="1120402B" w14:textId="77777777" w:rsidR="003459A3" w:rsidRPr="00462D0D" w:rsidRDefault="003459A3" w:rsidP="00C843B1">
            <w:pPr>
              <w:pStyle w:val="TableText0"/>
              <w:keepNext w:val="0"/>
              <w:keepLines w:val="0"/>
              <w:widowControl w:val="0"/>
              <w:rPr>
                <w:iCs/>
                <w:szCs w:val="18"/>
              </w:rPr>
            </w:pPr>
            <w:r w:rsidRPr="00462D0D">
              <w:rPr>
                <w:i/>
                <w:szCs w:val="18"/>
              </w:rPr>
              <w:t>Eye (Lond)</w:t>
            </w:r>
            <w:r>
              <w:rPr>
                <w:iCs/>
                <w:szCs w:val="18"/>
              </w:rPr>
              <w:t xml:space="preserve"> </w:t>
            </w:r>
            <w:r w:rsidRPr="00462D0D">
              <w:rPr>
                <w:iCs/>
                <w:szCs w:val="18"/>
              </w:rPr>
              <w:t>2023;37(9):</w:t>
            </w:r>
            <w:r>
              <w:rPr>
                <w:iCs/>
                <w:szCs w:val="18"/>
              </w:rPr>
              <w:t xml:space="preserve"> </w:t>
            </w:r>
            <w:r w:rsidRPr="00462D0D">
              <w:rPr>
                <w:iCs/>
                <w:szCs w:val="18"/>
              </w:rPr>
              <w:t>1797–1805.</w:t>
            </w:r>
          </w:p>
        </w:tc>
      </w:tr>
      <w:tr w:rsidR="001A6CA3" w:rsidRPr="00D86D87" w14:paraId="2AA3C2B7" w14:textId="77777777">
        <w:tc>
          <w:tcPr>
            <w:tcW w:w="796" w:type="pct"/>
            <w:vMerge/>
            <w:tcBorders>
              <w:bottom w:val="nil"/>
            </w:tcBorders>
            <w:vAlign w:val="center"/>
          </w:tcPr>
          <w:p w14:paraId="4A969BEF" w14:textId="071EAA46" w:rsidR="003459A3" w:rsidRPr="00D86D87" w:rsidRDefault="003459A3" w:rsidP="00C843B1">
            <w:pPr>
              <w:pStyle w:val="TableText0"/>
              <w:keepNext w:val="0"/>
              <w:keepLines w:val="0"/>
              <w:widowControl w:val="0"/>
            </w:pPr>
          </w:p>
        </w:tc>
        <w:tc>
          <w:tcPr>
            <w:tcW w:w="3027" w:type="pct"/>
            <w:tcBorders>
              <w:top w:val="nil"/>
              <w:bottom w:val="nil"/>
            </w:tcBorders>
            <w:vAlign w:val="center"/>
          </w:tcPr>
          <w:p w14:paraId="0EE8FF96" w14:textId="58A967D4" w:rsidR="003459A3" w:rsidRPr="009A29F0" w:rsidRDefault="003459A3" w:rsidP="00C843B1">
            <w:pPr>
              <w:pStyle w:val="TableText0"/>
              <w:keepNext w:val="0"/>
              <w:keepLines w:val="0"/>
              <w:widowControl w:val="0"/>
              <w:rPr>
                <w:szCs w:val="18"/>
              </w:rPr>
            </w:pPr>
            <w:r w:rsidRPr="009A29F0">
              <w:rPr>
                <w:szCs w:val="18"/>
              </w:rPr>
              <w:t xml:space="preserve">Corradetti G et al. </w:t>
            </w:r>
            <w:r w:rsidRPr="00462D0D">
              <w:rPr>
                <w:szCs w:val="18"/>
                <w:lang w:val="en-IN"/>
              </w:rPr>
              <w:t>Progression to complete retinal pigment epithelium and outer retinal atrophy (cRORA): post hoc analysis of the GATHER1 trial.</w:t>
            </w:r>
          </w:p>
        </w:tc>
        <w:tc>
          <w:tcPr>
            <w:tcW w:w="1177" w:type="pct"/>
            <w:tcBorders>
              <w:top w:val="nil"/>
              <w:bottom w:val="nil"/>
            </w:tcBorders>
            <w:vAlign w:val="center"/>
          </w:tcPr>
          <w:p w14:paraId="1BA1D637" w14:textId="77777777" w:rsidR="003459A3" w:rsidRPr="00462D0D" w:rsidRDefault="003459A3" w:rsidP="00C843B1">
            <w:pPr>
              <w:pStyle w:val="TableText0"/>
              <w:keepNext w:val="0"/>
              <w:keepLines w:val="0"/>
              <w:widowControl w:val="0"/>
              <w:rPr>
                <w:iCs/>
                <w:szCs w:val="18"/>
              </w:rPr>
            </w:pPr>
            <w:r w:rsidRPr="00462D0D">
              <w:rPr>
                <w:i/>
                <w:szCs w:val="18"/>
                <w:lang w:val="en-IN"/>
              </w:rPr>
              <w:t>Graefes Arch Clin Exp Ophthalmol</w:t>
            </w:r>
            <w:r>
              <w:rPr>
                <w:iCs/>
                <w:szCs w:val="18"/>
                <w:lang w:val="en-IN"/>
              </w:rPr>
              <w:t xml:space="preserve"> </w:t>
            </w:r>
            <w:r w:rsidRPr="00462D0D">
              <w:rPr>
                <w:iCs/>
                <w:szCs w:val="18"/>
                <w:lang w:val="en-IN"/>
              </w:rPr>
              <w:t>2025;</w:t>
            </w:r>
            <w:r>
              <w:rPr>
                <w:iCs/>
                <w:szCs w:val="18"/>
                <w:lang w:val="en-IN"/>
              </w:rPr>
              <w:t xml:space="preserve"> </w:t>
            </w:r>
            <w:r w:rsidRPr="00462D0D">
              <w:rPr>
                <w:iCs/>
                <w:szCs w:val="18"/>
                <w:lang w:val="en-IN"/>
              </w:rPr>
              <w:t>263(3):669–677</w:t>
            </w:r>
          </w:p>
        </w:tc>
      </w:tr>
      <w:tr w:rsidR="001A6CA3" w:rsidRPr="00D86D87" w14:paraId="01CC37B1" w14:textId="77777777">
        <w:tc>
          <w:tcPr>
            <w:tcW w:w="796" w:type="pct"/>
            <w:vMerge w:val="restart"/>
            <w:vAlign w:val="center"/>
          </w:tcPr>
          <w:p w14:paraId="2E4E9A82" w14:textId="02939953" w:rsidR="003459A3" w:rsidRPr="00D86D87" w:rsidRDefault="003459A3" w:rsidP="00C843B1">
            <w:pPr>
              <w:pStyle w:val="TableText0"/>
              <w:widowControl w:val="0"/>
            </w:pPr>
            <w:r w:rsidRPr="000E110B">
              <w:rPr>
                <w:bCs w:val="0"/>
                <w:lang w:val="en-IN"/>
              </w:rPr>
              <w:t xml:space="preserve">GATHER2 </w:t>
            </w:r>
            <w:r w:rsidRPr="000E110B">
              <w:rPr>
                <w:lang w:val="en-IN"/>
              </w:rPr>
              <w:t>NCT04435366</w:t>
            </w:r>
          </w:p>
        </w:tc>
        <w:tc>
          <w:tcPr>
            <w:tcW w:w="3027" w:type="pct"/>
            <w:tcBorders>
              <w:bottom w:val="nil"/>
            </w:tcBorders>
            <w:vAlign w:val="center"/>
          </w:tcPr>
          <w:p w14:paraId="188A4352" w14:textId="62FAD2B5" w:rsidR="003459A3" w:rsidRPr="000E110B" w:rsidRDefault="003459A3" w:rsidP="00C843B1">
            <w:pPr>
              <w:pStyle w:val="TableText0"/>
              <w:keepNext w:val="0"/>
              <w:keepLines w:val="0"/>
              <w:widowControl w:val="0"/>
              <w:rPr>
                <w:lang w:val="en-IN"/>
              </w:rPr>
            </w:pPr>
            <w:r w:rsidRPr="000E110B">
              <w:rPr>
                <w:lang w:val="en-IN"/>
              </w:rPr>
              <w:t>A Phase 3 multicenter, randomi</w:t>
            </w:r>
            <w:r>
              <w:rPr>
                <w:lang w:val="en-IN"/>
              </w:rPr>
              <w:t>s</w:t>
            </w:r>
            <w:r w:rsidRPr="000E110B">
              <w:rPr>
                <w:lang w:val="en-IN"/>
              </w:rPr>
              <w:t>ed, double masked, sham</w:t>
            </w:r>
            <w:r w:rsidR="009B60A6">
              <w:rPr>
                <w:lang w:val="en-IN"/>
              </w:rPr>
              <w:noBreakHyphen/>
            </w:r>
            <w:r w:rsidRPr="000E110B">
              <w:rPr>
                <w:lang w:val="en-IN"/>
              </w:rPr>
              <w:t xml:space="preserve">controlled clinical trial to assess the safety and efficacy of intravitreal administration of </w:t>
            </w:r>
            <w:r>
              <w:rPr>
                <w:lang w:val="en-IN"/>
              </w:rPr>
              <w:t>Z</w:t>
            </w:r>
            <w:r w:rsidRPr="000E110B">
              <w:rPr>
                <w:lang w:val="en-IN"/>
              </w:rPr>
              <w:t xml:space="preserve">imura (complement </w:t>
            </w:r>
            <w:r>
              <w:rPr>
                <w:lang w:val="en-IN"/>
              </w:rPr>
              <w:t>C</w:t>
            </w:r>
            <w:r w:rsidRPr="000E110B">
              <w:rPr>
                <w:lang w:val="en-IN"/>
              </w:rPr>
              <w:t>5 inhibitor) in patients with geographic atrophy secondary to age</w:t>
            </w:r>
            <w:r w:rsidR="009B60A6">
              <w:rPr>
                <w:lang w:val="en-IN"/>
              </w:rPr>
              <w:noBreakHyphen/>
            </w:r>
            <w:r w:rsidRPr="000E110B">
              <w:rPr>
                <w:lang w:val="en-IN"/>
              </w:rPr>
              <w:t>related macular degeneration (The GATHER2 Study).</w:t>
            </w:r>
          </w:p>
        </w:tc>
        <w:tc>
          <w:tcPr>
            <w:tcW w:w="1177" w:type="pct"/>
            <w:tcBorders>
              <w:bottom w:val="nil"/>
            </w:tcBorders>
            <w:vAlign w:val="center"/>
          </w:tcPr>
          <w:p w14:paraId="0B456F51" w14:textId="77777777" w:rsidR="003459A3" w:rsidRPr="00D86D87" w:rsidRDefault="003459A3" w:rsidP="00C843B1">
            <w:pPr>
              <w:pStyle w:val="TableText0"/>
              <w:keepNext w:val="0"/>
              <w:keepLines w:val="0"/>
              <w:widowControl w:val="0"/>
            </w:pPr>
          </w:p>
        </w:tc>
      </w:tr>
      <w:tr w:rsidR="001A6CA3" w:rsidRPr="00D86D87" w14:paraId="5C4BB97B" w14:textId="77777777">
        <w:tc>
          <w:tcPr>
            <w:tcW w:w="796" w:type="pct"/>
            <w:vMerge/>
            <w:tcBorders>
              <w:bottom w:val="nil"/>
            </w:tcBorders>
            <w:vAlign w:val="center"/>
          </w:tcPr>
          <w:p w14:paraId="12813CCC" w14:textId="78B2E8A2" w:rsidR="003459A3" w:rsidRPr="00D86D87" w:rsidRDefault="003459A3" w:rsidP="00C843B1">
            <w:pPr>
              <w:pStyle w:val="TableText0"/>
              <w:keepNext w:val="0"/>
              <w:keepLines w:val="0"/>
              <w:widowControl w:val="0"/>
            </w:pPr>
          </w:p>
        </w:tc>
        <w:tc>
          <w:tcPr>
            <w:tcW w:w="3027" w:type="pct"/>
            <w:tcBorders>
              <w:top w:val="nil"/>
              <w:bottom w:val="nil"/>
            </w:tcBorders>
            <w:vAlign w:val="center"/>
          </w:tcPr>
          <w:p w14:paraId="03061A22" w14:textId="26C6EFC9" w:rsidR="003459A3" w:rsidRPr="00D86D87" w:rsidRDefault="003459A3" w:rsidP="00C843B1">
            <w:pPr>
              <w:pStyle w:val="TableText0"/>
              <w:keepNext w:val="0"/>
              <w:keepLines w:val="0"/>
              <w:widowControl w:val="0"/>
              <w:rPr>
                <w:szCs w:val="18"/>
              </w:rPr>
            </w:pPr>
            <w:r w:rsidRPr="00F46672">
              <w:rPr>
                <w:szCs w:val="18"/>
                <w:lang w:val="en-IN"/>
              </w:rPr>
              <w:t>Khanani AM</w:t>
            </w:r>
            <w:r>
              <w:rPr>
                <w:szCs w:val="18"/>
                <w:lang w:val="en-IN"/>
              </w:rPr>
              <w:t xml:space="preserve"> </w:t>
            </w:r>
            <w:r w:rsidRPr="00F46672">
              <w:rPr>
                <w:szCs w:val="18"/>
                <w:lang w:val="en-IN"/>
              </w:rPr>
              <w:t>et al. Efficacy and safety of avacincaptad pegol in patients with geographic atrophy (GATHER2): 12</w:t>
            </w:r>
            <w:r w:rsidR="009B60A6">
              <w:rPr>
                <w:szCs w:val="18"/>
                <w:lang w:val="en-IN"/>
              </w:rPr>
              <w:noBreakHyphen/>
            </w:r>
            <w:r w:rsidRPr="00F46672">
              <w:rPr>
                <w:szCs w:val="18"/>
                <w:lang w:val="en-IN"/>
              </w:rPr>
              <w:t>month results from a randomised, double</w:t>
            </w:r>
            <w:r w:rsidR="009B60A6">
              <w:rPr>
                <w:szCs w:val="18"/>
                <w:lang w:val="en-IN"/>
              </w:rPr>
              <w:noBreakHyphen/>
            </w:r>
            <w:r w:rsidRPr="00F46672">
              <w:rPr>
                <w:szCs w:val="18"/>
                <w:lang w:val="en-IN"/>
              </w:rPr>
              <w:t>masked, phase 3 trial.</w:t>
            </w:r>
          </w:p>
        </w:tc>
        <w:tc>
          <w:tcPr>
            <w:tcW w:w="1177" w:type="pct"/>
            <w:tcBorders>
              <w:top w:val="nil"/>
              <w:bottom w:val="nil"/>
            </w:tcBorders>
            <w:vAlign w:val="center"/>
          </w:tcPr>
          <w:p w14:paraId="1C25416D" w14:textId="78B51154" w:rsidR="003459A3" w:rsidRPr="00D86D87" w:rsidRDefault="003459A3" w:rsidP="00C843B1">
            <w:pPr>
              <w:pStyle w:val="TableText0"/>
              <w:keepNext w:val="0"/>
              <w:keepLines w:val="0"/>
              <w:widowControl w:val="0"/>
              <w:rPr>
                <w:i/>
              </w:rPr>
            </w:pPr>
            <w:r w:rsidRPr="00F46672">
              <w:rPr>
                <w:i/>
                <w:lang w:val="en-IN"/>
              </w:rPr>
              <w:t xml:space="preserve">Lancet </w:t>
            </w:r>
            <w:r w:rsidRPr="00F46672">
              <w:rPr>
                <w:iCs/>
                <w:lang w:val="en-IN"/>
              </w:rPr>
              <w:t>2023;</w:t>
            </w:r>
            <w:r w:rsidR="00B512BB">
              <w:rPr>
                <w:iCs/>
                <w:lang w:val="en-IN"/>
              </w:rPr>
              <w:t xml:space="preserve"> </w:t>
            </w:r>
            <w:r w:rsidRPr="00F46672">
              <w:rPr>
                <w:iCs/>
                <w:lang w:val="en-IN"/>
              </w:rPr>
              <w:t>402:1449</w:t>
            </w:r>
            <w:r w:rsidR="009B60A6">
              <w:rPr>
                <w:iCs/>
                <w:lang w:val="en-IN"/>
              </w:rPr>
              <w:noBreakHyphen/>
            </w:r>
            <w:r w:rsidRPr="00F46672">
              <w:rPr>
                <w:iCs/>
                <w:lang w:val="en-IN"/>
              </w:rPr>
              <w:t>58</w:t>
            </w:r>
            <w:r w:rsidRPr="00F46672">
              <w:rPr>
                <w:i/>
                <w:lang w:val="en-IN"/>
              </w:rPr>
              <w:t>.</w:t>
            </w:r>
          </w:p>
        </w:tc>
      </w:tr>
      <w:tr w:rsidR="001A6CA3" w:rsidRPr="00D86D87" w14:paraId="0A383399" w14:textId="77777777">
        <w:tc>
          <w:tcPr>
            <w:tcW w:w="796" w:type="pct"/>
            <w:tcBorders>
              <w:bottom w:val="nil"/>
            </w:tcBorders>
            <w:vAlign w:val="center"/>
          </w:tcPr>
          <w:p w14:paraId="07674D2D" w14:textId="30115685" w:rsidR="00C843B1" w:rsidRPr="00D86D87" w:rsidRDefault="003459A3" w:rsidP="00C843B1">
            <w:pPr>
              <w:pStyle w:val="TableText0"/>
              <w:keepNext w:val="0"/>
              <w:keepLines w:val="0"/>
              <w:widowControl w:val="0"/>
            </w:pPr>
            <w:r w:rsidRPr="00D12655">
              <w:rPr>
                <w:bCs w:val="0"/>
                <w:lang w:val="en-IN"/>
              </w:rPr>
              <w:t>Pooled (GATHER1/2)</w:t>
            </w:r>
          </w:p>
        </w:tc>
        <w:tc>
          <w:tcPr>
            <w:tcW w:w="3027" w:type="pct"/>
            <w:tcBorders>
              <w:bottom w:val="nil"/>
            </w:tcBorders>
            <w:vAlign w:val="center"/>
          </w:tcPr>
          <w:p w14:paraId="21085A57" w14:textId="616F672C" w:rsidR="00C843B1" w:rsidRPr="00D86D87" w:rsidRDefault="00C843B1" w:rsidP="00C843B1">
            <w:pPr>
              <w:pStyle w:val="TableText0"/>
              <w:keepNext w:val="0"/>
              <w:keepLines w:val="0"/>
              <w:widowControl w:val="0"/>
            </w:pPr>
            <w:r w:rsidRPr="009A29F0">
              <w:t>Danzig CJ</w:t>
            </w:r>
            <w:r w:rsidR="00CD5570" w:rsidRPr="009A29F0">
              <w:t xml:space="preserve"> </w:t>
            </w:r>
            <w:r w:rsidRPr="009A29F0">
              <w:t xml:space="preserve">et al. </w:t>
            </w:r>
            <w:r w:rsidRPr="00D12655">
              <w:rPr>
                <w:lang w:val="en-IN"/>
              </w:rPr>
              <w:t>Vision loss reduction with avacincaptad pegol for geographic atrophy: a 12</w:t>
            </w:r>
            <w:r w:rsidR="009B60A6">
              <w:rPr>
                <w:lang w:val="en-IN"/>
              </w:rPr>
              <w:noBreakHyphen/>
            </w:r>
            <w:r w:rsidRPr="00D12655">
              <w:rPr>
                <w:lang w:val="en-IN"/>
              </w:rPr>
              <w:t>month post hoc analysis of the GATHER1 and GATHER2 trials.</w:t>
            </w:r>
          </w:p>
        </w:tc>
        <w:tc>
          <w:tcPr>
            <w:tcW w:w="1177" w:type="pct"/>
            <w:tcBorders>
              <w:bottom w:val="nil"/>
            </w:tcBorders>
            <w:vAlign w:val="center"/>
          </w:tcPr>
          <w:p w14:paraId="587E8EC6" w14:textId="77777777" w:rsidR="00C843B1" w:rsidRPr="00D86D87" w:rsidRDefault="00C843B1" w:rsidP="00C843B1">
            <w:pPr>
              <w:pStyle w:val="TableText0"/>
              <w:keepNext w:val="0"/>
              <w:keepLines w:val="0"/>
              <w:widowControl w:val="0"/>
            </w:pPr>
            <w:r w:rsidRPr="00D12655">
              <w:rPr>
                <w:i/>
                <w:iCs/>
                <w:lang w:val="en-IN"/>
              </w:rPr>
              <w:t>Ophthalmol Retina</w:t>
            </w:r>
            <w:r w:rsidRPr="00D12655">
              <w:rPr>
                <w:lang w:val="en-IN"/>
              </w:rPr>
              <w:t xml:space="preserve"> 2024;8(11):1052–1060.</w:t>
            </w:r>
          </w:p>
        </w:tc>
      </w:tr>
      <w:tr w:rsidR="007237A5" w:rsidRPr="00D86D87" w14:paraId="6311CADA" w14:textId="77777777" w:rsidTr="003D5AEE">
        <w:trPr>
          <w:trHeight w:val="284"/>
        </w:trPr>
        <w:tc>
          <w:tcPr>
            <w:tcW w:w="5000" w:type="pct"/>
            <w:gridSpan w:val="3"/>
            <w:tcBorders>
              <w:top w:val="single" w:sz="4" w:space="0" w:color="auto"/>
              <w:bottom w:val="single" w:sz="4" w:space="0" w:color="auto"/>
            </w:tcBorders>
            <w:vAlign w:val="center"/>
          </w:tcPr>
          <w:p w14:paraId="67B9EEFA" w14:textId="77777777" w:rsidR="00C843B1" w:rsidRPr="00997370" w:rsidRDefault="00C843B1" w:rsidP="00C843B1">
            <w:pPr>
              <w:pStyle w:val="TableText0"/>
              <w:keepNext w:val="0"/>
              <w:keepLines w:val="0"/>
              <w:widowControl w:val="0"/>
              <w:rPr>
                <w:lang w:val="en-IN"/>
              </w:rPr>
            </w:pPr>
            <w:r>
              <w:rPr>
                <w:lang w:val="en-IN"/>
              </w:rPr>
              <w:t>Pegcetacoplan trials</w:t>
            </w:r>
          </w:p>
        </w:tc>
      </w:tr>
      <w:tr w:rsidR="001A6CA3" w:rsidRPr="00D86D87" w14:paraId="68F19E38" w14:textId="77777777">
        <w:tc>
          <w:tcPr>
            <w:tcW w:w="796" w:type="pct"/>
            <w:vMerge w:val="restart"/>
            <w:vAlign w:val="center"/>
          </w:tcPr>
          <w:p w14:paraId="4FF85A80" w14:textId="77777777" w:rsidR="003459A3" w:rsidRPr="006152E3" w:rsidRDefault="003459A3" w:rsidP="003459A3">
            <w:pPr>
              <w:pStyle w:val="TableText0"/>
              <w:keepNext w:val="0"/>
              <w:keepLines w:val="0"/>
              <w:widowControl w:val="0"/>
              <w:rPr>
                <w:bCs w:val="0"/>
                <w:lang w:val="en-IN"/>
              </w:rPr>
            </w:pPr>
            <w:r w:rsidRPr="006152E3">
              <w:rPr>
                <w:bCs w:val="0"/>
                <w:lang w:val="en-IN"/>
              </w:rPr>
              <w:t>OAKS and DERBY</w:t>
            </w:r>
          </w:p>
          <w:p w14:paraId="3CA00BD3" w14:textId="4A0FF38F" w:rsidR="003459A3" w:rsidRPr="00D86D87" w:rsidRDefault="003459A3" w:rsidP="003459A3">
            <w:pPr>
              <w:pStyle w:val="TableText0"/>
              <w:widowControl w:val="0"/>
            </w:pPr>
            <w:r w:rsidRPr="006152E3">
              <w:rPr>
                <w:bCs w:val="0"/>
                <w:lang w:val="en-IN"/>
              </w:rPr>
              <w:t>NCT03525613</w:t>
            </w:r>
            <w:r>
              <w:rPr>
                <w:bCs w:val="0"/>
                <w:lang w:val="en-IN"/>
              </w:rPr>
              <w:t>;</w:t>
            </w:r>
            <w:r w:rsidR="00E41200">
              <w:rPr>
                <w:bCs w:val="0"/>
                <w:lang w:val="en-IN"/>
              </w:rPr>
              <w:t xml:space="preserve"> </w:t>
            </w:r>
            <w:r w:rsidRPr="006152E3">
              <w:rPr>
                <w:bCs w:val="0"/>
                <w:lang w:val="en-IN"/>
              </w:rPr>
              <w:t>NCT03525600</w:t>
            </w:r>
          </w:p>
        </w:tc>
        <w:tc>
          <w:tcPr>
            <w:tcW w:w="3027" w:type="pct"/>
            <w:tcBorders>
              <w:bottom w:val="nil"/>
            </w:tcBorders>
            <w:vAlign w:val="center"/>
          </w:tcPr>
          <w:p w14:paraId="62F27671" w14:textId="437D4586" w:rsidR="003459A3" w:rsidRPr="00D86D87" w:rsidRDefault="003459A3" w:rsidP="00C843B1">
            <w:pPr>
              <w:pStyle w:val="TableText0"/>
              <w:keepNext w:val="0"/>
              <w:keepLines w:val="0"/>
              <w:widowControl w:val="0"/>
            </w:pPr>
            <w:r w:rsidRPr="009A29F0">
              <w:t xml:space="preserve">Heier JS et al. </w:t>
            </w:r>
            <w:r w:rsidRPr="006152E3">
              <w:rPr>
                <w:lang w:val="en-IN"/>
              </w:rPr>
              <w:t>Pegcetacoplan for the treatment of geographic atrophy secondary to age</w:t>
            </w:r>
            <w:r w:rsidR="009B60A6">
              <w:rPr>
                <w:lang w:val="en-IN"/>
              </w:rPr>
              <w:noBreakHyphen/>
            </w:r>
            <w:r w:rsidRPr="006152E3">
              <w:rPr>
                <w:lang w:val="en-IN"/>
              </w:rPr>
              <w:t>related macular degeneration (OAKS and DERBY): two multicentre, randomised, double</w:t>
            </w:r>
            <w:r w:rsidR="009B60A6">
              <w:rPr>
                <w:lang w:val="en-IN"/>
              </w:rPr>
              <w:noBreakHyphen/>
            </w:r>
            <w:r w:rsidRPr="006152E3">
              <w:rPr>
                <w:lang w:val="en-IN"/>
              </w:rPr>
              <w:t>masked, sham</w:t>
            </w:r>
            <w:r w:rsidR="009B60A6">
              <w:rPr>
                <w:lang w:val="en-IN"/>
              </w:rPr>
              <w:noBreakHyphen/>
            </w:r>
            <w:r w:rsidRPr="006152E3">
              <w:rPr>
                <w:lang w:val="en-IN"/>
              </w:rPr>
              <w:t>controlled, phase 3 trials.</w:t>
            </w:r>
          </w:p>
        </w:tc>
        <w:tc>
          <w:tcPr>
            <w:tcW w:w="1177" w:type="pct"/>
            <w:tcBorders>
              <w:bottom w:val="nil"/>
            </w:tcBorders>
            <w:vAlign w:val="center"/>
          </w:tcPr>
          <w:p w14:paraId="0AB6B042" w14:textId="4D052B02" w:rsidR="003459A3" w:rsidRPr="006152E3" w:rsidRDefault="003459A3" w:rsidP="00C843B1">
            <w:pPr>
              <w:pStyle w:val="TableText0"/>
              <w:keepNext w:val="0"/>
              <w:keepLines w:val="0"/>
              <w:widowControl w:val="0"/>
              <w:rPr>
                <w:lang w:val="en-IN"/>
              </w:rPr>
            </w:pPr>
            <w:r w:rsidRPr="006152E3">
              <w:rPr>
                <w:i/>
                <w:iCs/>
                <w:lang w:val="en-IN"/>
              </w:rPr>
              <w:t>Lancet</w:t>
            </w:r>
            <w:r w:rsidRPr="006152E3">
              <w:rPr>
                <w:lang w:val="en-IN"/>
              </w:rPr>
              <w:t xml:space="preserve"> 2023;</w:t>
            </w:r>
            <w:r w:rsidR="00B512BB">
              <w:rPr>
                <w:lang w:val="en-IN"/>
              </w:rPr>
              <w:t xml:space="preserve"> </w:t>
            </w:r>
            <w:r w:rsidRPr="006152E3">
              <w:rPr>
                <w:lang w:val="en-IN"/>
              </w:rPr>
              <w:t>401:125</w:t>
            </w:r>
            <w:r w:rsidR="009B60A6">
              <w:rPr>
                <w:lang w:val="en-IN"/>
              </w:rPr>
              <w:noBreakHyphen/>
            </w:r>
            <w:r w:rsidRPr="006152E3">
              <w:rPr>
                <w:lang w:val="en-IN"/>
              </w:rPr>
              <w:t>37.</w:t>
            </w:r>
          </w:p>
          <w:p w14:paraId="1D949A56" w14:textId="77777777" w:rsidR="003459A3" w:rsidRPr="00D86D87" w:rsidRDefault="003459A3" w:rsidP="00C843B1">
            <w:pPr>
              <w:pStyle w:val="TableText0"/>
              <w:keepNext w:val="0"/>
              <w:keepLines w:val="0"/>
              <w:widowControl w:val="0"/>
            </w:pPr>
          </w:p>
        </w:tc>
      </w:tr>
      <w:tr w:rsidR="001A6CA3" w:rsidRPr="00D86D87" w14:paraId="1CD867D2" w14:textId="77777777">
        <w:tc>
          <w:tcPr>
            <w:tcW w:w="796" w:type="pct"/>
            <w:vMerge/>
            <w:vAlign w:val="center"/>
          </w:tcPr>
          <w:p w14:paraId="184FC767" w14:textId="5018516B" w:rsidR="003459A3" w:rsidRPr="00D12655" w:rsidRDefault="003459A3" w:rsidP="003459A3">
            <w:pPr>
              <w:pStyle w:val="TableText0"/>
              <w:keepNext w:val="0"/>
              <w:keepLines w:val="0"/>
              <w:widowControl w:val="0"/>
              <w:rPr>
                <w:bCs w:val="0"/>
              </w:rPr>
            </w:pPr>
          </w:p>
        </w:tc>
        <w:tc>
          <w:tcPr>
            <w:tcW w:w="3027" w:type="pct"/>
            <w:tcBorders>
              <w:top w:val="nil"/>
              <w:bottom w:val="nil"/>
            </w:tcBorders>
            <w:vAlign w:val="center"/>
          </w:tcPr>
          <w:p w14:paraId="47A173F6" w14:textId="3CEFFAEF" w:rsidR="003459A3" w:rsidRPr="00D86D87" w:rsidRDefault="003459A3" w:rsidP="00C843B1">
            <w:pPr>
              <w:pStyle w:val="TableText0"/>
              <w:keepNext w:val="0"/>
              <w:keepLines w:val="0"/>
              <w:widowControl w:val="0"/>
              <w:rPr>
                <w:szCs w:val="18"/>
              </w:rPr>
            </w:pPr>
            <w:r w:rsidRPr="009A29F0">
              <w:rPr>
                <w:szCs w:val="18"/>
                <w:lang w:val="da-DK"/>
              </w:rPr>
              <w:t>Schmidt</w:t>
            </w:r>
            <w:r w:rsidR="009B60A6" w:rsidRPr="009A29F0">
              <w:rPr>
                <w:szCs w:val="18"/>
                <w:lang w:val="da-DK"/>
              </w:rPr>
              <w:noBreakHyphen/>
            </w:r>
            <w:r w:rsidRPr="009A29F0">
              <w:rPr>
                <w:szCs w:val="18"/>
                <w:lang w:val="da-DK"/>
              </w:rPr>
              <w:t xml:space="preserve">Erfurth U et al. </w:t>
            </w:r>
            <w:r w:rsidRPr="006152E3">
              <w:rPr>
                <w:szCs w:val="18"/>
                <w:lang w:val="en-IN"/>
              </w:rPr>
              <w:t>Disease activity and therapeutic response to pegcetacoplan for geographic atrophy identified by deep learning</w:t>
            </w:r>
            <w:r w:rsidR="009B60A6">
              <w:rPr>
                <w:szCs w:val="18"/>
                <w:lang w:val="en-IN"/>
              </w:rPr>
              <w:noBreakHyphen/>
            </w:r>
            <w:r w:rsidRPr="006152E3">
              <w:rPr>
                <w:szCs w:val="18"/>
                <w:lang w:val="en-IN"/>
              </w:rPr>
              <w:t>based analysis of OCT.</w:t>
            </w:r>
          </w:p>
        </w:tc>
        <w:tc>
          <w:tcPr>
            <w:tcW w:w="1177" w:type="pct"/>
            <w:tcBorders>
              <w:top w:val="nil"/>
              <w:bottom w:val="nil"/>
            </w:tcBorders>
            <w:vAlign w:val="center"/>
          </w:tcPr>
          <w:p w14:paraId="17EA9164" w14:textId="3FF34D15" w:rsidR="003459A3" w:rsidRPr="00D86D87" w:rsidRDefault="003459A3" w:rsidP="00C843B1">
            <w:pPr>
              <w:pStyle w:val="TableText0"/>
              <w:keepNext w:val="0"/>
              <w:keepLines w:val="0"/>
              <w:widowControl w:val="0"/>
            </w:pPr>
            <w:r w:rsidRPr="006152E3">
              <w:rPr>
                <w:i/>
                <w:iCs/>
                <w:lang w:val="en-IN"/>
              </w:rPr>
              <w:t>Ophthalmology</w:t>
            </w:r>
            <w:r w:rsidRPr="006152E3">
              <w:rPr>
                <w:lang w:val="en-IN"/>
              </w:rPr>
              <w:t xml:space="preserve"> 2025;</w:t>
            </w:r>
            <w:r>
              <w:rPr>
                <w:lang w:val="en-IN"/>
              </w:rPr>
              <w:t xml:space="preserve"> </w:t>
            </w:r>
            <w:r w:rsidRPr="006152E3">
              <w:rPr>
                <w:lang w:val="en-IN"/>
              </w:rPr>
              <w:t>132(2):181</w:t>
            </w:r>
            <w:r w:rsidR="009B60A6">
              <w:rPr>
                <w:lang w:val="en-IN"/>
              </w:rPr>
              <w:noBreakHyphen/>
            </w:r>
            <w:r w:rsidRPr="006152E3">
              <w:rPr>
                <w:lang w:val="en-IN"/>
              </w:rPr>
              <w:t>193</w:t>
            </w:r>
          </w:p>
        </w:tc>
      </w:tr>
      <w:tr w:rsidR="001A6CA3" w:rsidRPr="00D86D87" w14:paraId="6A8D931C" w14:textId="77777777">
        <w:tc>
          <w:tcPr>
            <w:tcW w:w="796" w:type="pct"/>
            <w:vMerge/>
            <w:vAlign w:val="center"/>
          </w:tcPr>
          <w:p w14:paraId="3513A97F" w14:textId="77777777" w:rsidR="003459A3" w:rsidRPr="00D12655" w:rsidRDefault="003459A3" w:rsidP="00C843B1">
            <w:pPr>
              <w:pStyle w:val="TableText0"/>
              <w:keepNext w:val="0"/>
              <w:keepLines w:val="0"/>
              <w:widowControl w:val="0"/>
              <w:rPr>
                <w:bCs w:val="0"/>
                <w:lang w:val="en-IN"/>
              </w:rPr>
            </w:pPr>
          </w:p>
        </w:tc>
        <w:tc>
          <w:tcPr>
            <w:tcW w:w="3027" w:type="pct"/>
            <w:tcBorders>
              <w:top w:val="nil"/>
              <w:bottom w:val="nil"/>
            </w:tcBorders>
            <w:vAlign w:val="center"/>
          </w:tcPr>
          <w:p w14:paraId="4E5A4E8B" w14:textId="54A0C0B8" w:rsidR="003459A3" w:rsidRPr="009A29F0" w:rsidRDefault="003459A3" w:rsidP="00C843B1">
            <w:pPr>
              <w:pStyle w:val="TableText0"/>
              <w:keepNext w:val="0"/>
              <w:keepLines w:val="0"/>
              <w:widowControl w:val="0"/>
              <w:rPr>
                <w:szCs w:val="18"/>
              </w:rPr>
            </w:pPr>
            <w:r w:rsidRPr="00CA4E40">
              <w:rPr>
                <w:szCs w:val="18"/>
                <w:lang w:val="en-IN"/>
              </w:rPr>
              <w:t>Chakravarthy U et al. Visual function benefit after treatment with pegcetacoplan: microperimetry analysis from the Phase 3 OAKS trial.</w:t>
            </w:r>
          </w:p>
        </w:tc>
        <w:tc>
          <w:tcPr>
            <w:tcW w:w="1177" w:type="pct"/>
            <w:tcBorders>
              <w:top w:val="nil"/>
              <w:bottom w:val="nil"/>
            </w:tcBorders>
            <w:vAlign w:val="center"/>
          </w:tcPr>
          <w:p w14:paraId="7984096D" w14:textId="77777777" w:rsidR="003459A3" w:rsidRPr="00CA4E40" w:rsidRDefault="003459A3" w:rsidP="00C843B1">
            <w:pPr>
              <w:pStyle w:val="TableText0"/>
              <w:keepNext w:val="0"/>
              <w:keepLines w:val="0"/>
              <w:widowControl w:val="0"/>
              <w:rPr>
                <w:lang w:val="en-IN"/>
              </w:rPr>
            </w:pPr>
            <w:r w:rsidRPr="00CA4E40">
              <w:rPr>
                <w:i/>
                <w:iCs/>
                <w:lang w:val="en-IN"/>
              </w:rPr>
              <w:t xml:space="preserve">Am J Ophthalmol </w:t>
            </w:r>
            <w:r w:rsidRPr="00CA4E40">
              <w:rPr>
                <w:lang w:val="en-IN"/>
              </w:rPr>
              <w:t>2025; 273:119–129.</w:t>
            </w:r>
          </w:p>
          <w:p w14:paraId="596AA01E" w14:textId="77777777" w:rsidR="003459A3" w:rsidRPr="00D12655" w:rsidRDefault="003459A3" w:rsidP="00C843B1">
            <w:pPr>
              <w:pStyle w:val="TableText0"/>
              <w:keepNext w:val="0"/>
              <w:keepLines w:val="0"/>
              <w:widowControl w:val="0"/>
              <w:rPr>
                <w:i/>
                <w:iCs/>
                <w:lang w:val="en-IN"/>
              </w:rPr>
            </w:pPr>
          </w:p>
        </w:tc>
      </w:tr>
      <w:tr w:rsidR="001A6CA3" w:rsidRPr="00D86D87" w14:paraId="54B00DE2" w14:textId="77777777">
        <w:tc>
          <w:tcPr>
            <w:tcW w:w="796" w:type="pct"/>
            <w:vMerge/>
            <w:vAlign w:val="center"/>
          </w:tcPr>
          <w:p w14:paraId="54518ECF" w14:textId="77777777" w:rsidR="003459A3" w:rsidRPr="00D12655" w:rsidRDefault="003459A3" w:rsidP="00C843B1">
            <w:pPr>
              <w:pStyle w:val="TableText0"/>
              <w:keepNext w:val="0"/>
              <w:keepLines w:val="0"/>
              <w:widowControl w:val="0"/>
              <w:rPr>
                <w:bCs w:val="0"/>
                <w:lang w:val="en-IN"/>
              </w:rPr>
            </w:pPr>
          </w:p>
        </w:tc>
        <w:tc>
          <w:tcPr>
            <w:tcW w:w="3027" w:type="pct"/>
            <w:tcBorders>
              <w:top w:val="nil"/>
              <w:bottom w:val="nil"/>
            </w:tcBorders>
          </w:tcPr>
          <w:p w14:paraId="57E07BC8" w14:textId="5C7E1D16" w:rsidR="003459A3" w:rsidRPr="00CA4E40" w:rsidRDefault="003459A3" w:rsidP="00C843B1">
            <w:pPr>
              <w:pStyle w:val="TableText0"/>
              <w:keepNext w:val="0"/>
              <w:keepLines w:val="0"/>
              <w:widowControl w:val="0"/>
              <w:rPr>
                <w:szCs w:val="18"/>
                <w:lang w:val="en-IN"/>
              </w:rPr>
            </w:pPr>
            <w:r w:rsidRPr="009A29F0">
              <w:rPr>
                <w:szCs w:val="18"/>
              </w:rPr>
              <w:t xml:space="preserve">Fu DJ et al. </w:t>
            </w:r>
            <w:r w:rsidRPr="00CA4E40">
              <w:rPr>
                <w:szCs w:val="18"/>
                <w:lang w:val="en-IN"/>
              </w:rPr>
              <w:t>Pegcetacoplan treatment and consensus features of geographic atrophy over 24 months.</w:t>
            </w:r>
          </w:p>
        </w:tc>
        <w:tc>
          <w:tcPr>
            <w:tcW w:w="1177" w:type="pct"/>
            <w:tcBorders>
              <w:top w:val="nil"/>
              <w:bottom w:val="nil"/>
            </w:tcBorders>
            <w:vAlign w:val="center"/>
          </w:tcPr>
          <w:p w14:paraId="59F986AA" w14:textId="1AED8B25" w:rsidR="003459A3" w:rsidRPr="00CA4E40" w:rsidRDefault="003459A3" w:rsidP="00C843B1">
            <w:pPr>
              <w:pStyle w:val="TableText0"/>
              <w:keepNext w:val="0"/>
              <w:keepLines w:val="0"/>
              <w:widowControl w:val="0"/>
              <w:rPr>
                <w:i/>
                <w:iCs/>
                <w:lang w:val="en-IN"/>
              </w:rPr>
            </w:pPr>
            <w:r w:rsidRPr="00CA4E40">
              <w:rPr>
                <w:i/>
                <w:iCs/>
                <w:lang w:val="en-IN"/>
              </w:rPr>
              <w:t>JAMA Ophthalmol</w:t>
            </w:r>
            <w:r>
              <w:rPr>
                <w:i/>
                <w:iCs/>
                <w:lang w:val="en-IN"/>
              </w:rPr>
              <w:t xml:space="preserve"> </w:t>
            </w:r>
            <w:r w:rsidRPr="00CA4E40">
              <w:rPr>
                <w:lang w:val="en-IN"/>
              </w:rPr>
              <w:t>2024; 142(6):548</w:t>
            </w:r>
            <w:r w:rsidR="009B60A6">
              <w:rPr>
                <w:lang w:val="en-IN"/>
              </w:rPr>
              <w:noBreakHyphen/>
            </w:r>
            <w:r w:rsidRPr="00CA4E40">
              <w:rPr>
                <w:lang w:val="en-IN"/>
              </w:rPr>
              <w:t>58</w:t>
            </w:r>
            <w:r w:rsidRPr="00CA4E40">
              <w:rPr>
                <w:i/>
                <w:iCs/>
                <w:lang w:val="en-IN"/>
              </w:rPr>
              <w:t>.</w:t>
            </w:r>
          </w:p>
        </w:tc>
      </w:tr>
      <w:tr w:rsidR="001A6CA3" w:rsidRPr="00D86D87" w14:paraId="2B542FA0" w14:textId="77777777">
        <w:tc>
          <w:tcPr>
            <w:tcW w:w="796" w:type="pct"/>
            <w:vMerge/>
            <w:tcBorders>
              <w:bottom w:val="nil"/>
            </w:tcBorders>
            <w:vAlign w:val="center"/>
          </w:tcPr>
          <w:p w14:paraId="0111870C" w14:textId="77777777" w:rsidR="003459A3" w:rsidRPr="00D12655" w:rsidRDefault="003459A3" w:rsidP="00C843B1">
            <w:pPr>
              <w:pStyle w:val="TableText0"/>
              <w:keepNext w:val="0"/>
              <w:keepLines w:val="0"/>
              <w:widowControl w:val="0"/>
              <w:rPr>
                <w:bCs w:val="0"/>
                <w:lang w:val="en-IN"/>
              </w:rPr>
            </w:pPr>
          </w:p>
        </w:tc>
        <w:tc>
          <w:tcPr>
            <w:tcW w:w="3027" w:type="pct"/>
            <w:tcBorders>
              <w:top w:val="nil"/>
              <w:bottom w:val="nil"/>
            </w:tcBorders>
          </w:tcPr>
          <w:p w14:paraId="18769913" w14:textId="45386FCB" w:rsidR="003459A3" w:rsidRPr="009A29F0" w:rsidRDefault="003459A3" w:rsidP="00C843B1">
            <w:pPr>
              <w:pStyle w:val="TableText0"/>
              <w:keepNext w:val="0"/>
              <w:keepLines w:val="0"/>
              <w:widowControl w:val="0"/>
              <w:rPr>
                <w:szCs w:val="18"/>
              </w:rPr>
            </w:pPr>
            <w:r w:rsidRPr="00CA4E40">
              <w:rPr>
                <w:szCs w:val="18"/>
                <w:lang w:val="en-IN"/>
              </w:rPr>
              <w:t>Chiang</w:t>
            </w:r>
            <w:r>
              <w:rPr>
                <w:szCs w:val="18"/>
                <w:lang w:val="en-IN"/>
              </w:rPr>
              <w:t xml:space="preserve"> A </w:t>
            </w:r>
            <w:r w:rsidRPr="00CA4E40">
              <w:rPr>
                <w:szCs w:val="18"/>
                <w:lang w:val="en-IN"/>
              </w:rPr>
              <w:t>et al. Visual Acuity and Quality of Life Outcomes with Pegcetacoplan Treatment: A Post Hoc Analysis from the OAKS and DERBY Trials.</w:t>
            </w:r>
          </w:p>
        </w:tc>
        <w:tc>
          <w:tcPr>
            <w:tcW w:w="1177" w:type="pct"/>
            <w:tcBorders>
              <w:top w:val="nil"/>
              <w:bottom w:val="nil"/>
            </w:tcBorders>
            <w:vAlign w:val="center"/>
          </w:tcPr>
          <w:p w14:paraId="18DB2CD9" w14:textId="60CF1EE7" w:rsidR="003459A3" w:rsidRPr="00CA4E40" w:rsidRDefault="003459A3" w:rsidP="00C843B1">
            <w:pPr>
              <w:pStyle w:val="TableText0"/>
              <w:keepNext w:val="0"/>
              <w:keepLines w:val="0"/>
              <w:widowControl w:val="0"/>
              <w:rPr>
                <w:lang w:val="en-IN"/>
              </w:rPr>
            </w:pPr>
            <w:r w:rsidRPr="00CA4E40">
              <w:rPr>
                <w:i/>
                <w:iCs/>
                <w:lang w:val="en-IN"/>
              </w:rPr>
              <w:t xml:space="preserve">Am J Ophthalmol </w:t>
            </w:r>
            <w:r w:rsidRPr="00CA4E40">
              <w:rPr>
                <w:lang w:val="en-IN"/>
              </w:rPr>
              <w:t>2025; 277:471</w:t>
            </w:r>
            <w:r w:rsidR="009B60A6">
              <w:rPr>
                <w:lang w:val="en-IN"/>
              </w:rPr>
              <w:noBreakHyphen/>
            </w:r>
            <w:r w:rsidRPr="00CA4E40">
              <w:rPr>
                <w:lang w:val="en-IN"/>
              </w:rPr>
              <w:t>481.</w:t>
            </w:r>
          </w:p>
        </w:tc>
      </w:tr>
      <w:tr w:rsidR="001A6CA3" w:rsidRPr="00D86D87" w14:paraId="0FEFA79A" w14:textId="77777777">
        <w:tc>
          <w:tcPr>
            <w:tcW w:w="796" w:type="pct"/>
            <w:vMerge w:val="restart"/>
            <w:vAlign w:val="center"/>
          </w:tcPr>
          <w:p w14:paraId="7CA52F36" w14:textId="1D3BF018" w:rsidR="003459A3" w:rsidRPr="00D86D87" w:rsidRDefault="003459A3" w:rsidP="000B386A">
            <w:pPr>
              <w:pStyle w:val="TableText0"/>
              <w:widowControl w:val="0"/>
            </w:pPr>
            <w:r w:rsidRPr="00693B40">
              <w:rPr>
                <w:bCs w:val="0"/>
                <w:lang w:val="en-IN"/>
              </w:rPr>
              <w:t>FILLY</w:t>
            </w:r>
            <w:r w:rsidRPr="00693B40">
              <w:rPr>
                <w:bCs w:val="0"/>
                <w:lang w:val="en-IN"/>
              </w:rPr>
              <w:br/>
              <w:t>NCT02503332</w:t>
            </w:r>
          </w:p>
        </w:tc>
        <w:tc>
          <w:tcPr>
            <w:tcW w:w="3027" w:type="pct"/>
            <w:tcBorders>
              <w:bottom w:val="nil"/>
            </w:tcBorders>
            <w:vAlign w:val="center"/>
          </w:tcPr>
          <w:p w14:paraId="68111790" w14:textId="555AE733" w:rsidR="003459A3" w:rsidRPr="00D86D87" w:rsidRDefault="003459A3" w:rsidP="00C843B1">
            <w:pPr>
              <w:pStyle w:val="TableText0"/>
              <w:keepNext w:val="0"/>
              <w:keepLines w:val="0"/>
              <w:widowControl w:val="0"/>
            </w:pPr>
            <w:r w:rsidRPr="000B386A">
              <w:t>Liao</w:t>
            </w:r>
            <w:r>
              <w:t xml:space="preserve"> DS </w:t>
            </w:r>
            <w:r w:rsidRPr="000B386A">
              <w:t>et al. Complement C3 inhibitor pegcetacoplan for geographic atrophy secondary to age</w:t>
            </w:r>
            <w:r w:rsidR="009B60A6">
              <w:noBreakHyphen/>
            </w:r>
            <w:r w:rsidRPr="000B386A">
              <w:t xml:space="preserve">related macular degeneration: A </w:t>
            </w:r>
            <w:r>
              <w:t>r</w:t>
            </w:r>
            <w:r w:rsidRPr="000B386A">
              <w:t>andomised phase 2 Trial.</w:t>
            </w:r>
          </w:p>
        </w:tc>
        <w:tc>
          <w:tcPr>
            <w:tcW w:w="1177" w:type="pct"/>
            <w:tcBorders>
              <w:bottom w:val="nil"/>
            </w:tcBorders>
            <w:vAlign w:val="center"/>
          </w:tcPr>
          <w:p w14:paraId="72C1CD58" w14:textId="767009B7" w:rsidR="003459A3" w:rsidRPr="00D86D87" w:rsidRDefault="003459A3" w:rsidP="00C843B1">
            <w:pPr>
              <w:pStyle w:val="TableText0"/>
              <w:keepNext w:val="0"/>
              <w:keepLines w:val="0"/>
              <w:widowControl w:val="0"/>
            </w:pPr>
            <w:r w:rsidRPr="000B386A">
              <w:rPr>
                <w:i/>
                <w:iCs/>
              </w:rPr>
              <w:t>Ophthalmology</w:t>
            </w:r>
            <w:r w:rsidRPr="000B386A">
              <w:t xml:space="preserve"> 2020; 127(2): 186</w:t>
            </w:r>
            <w:r w:rsidR="009B60A6">
              <w:noBreakHyphen/>
            </w:r>
            <w:r w:rsidRPr="000B386A">
              <w:t>195.</w:t>
            </w:r>
          </w:p>
        </w:tc>
      </w:tr>
      <w:tr w:rsidR="001A6CA3" w:rsidRPr="00D86D87" w14:paraId="66FAD504" w14:textId="77777777">
        <w:tc>
          <w:tcPr>
            <w:tcW w:w="796" w:type="pct"/>
            <w:vMerge/>
            <w:vAlign w:val="center"/>
          </w:tcPr>
          <w:p w14:paraId="77FD7185" w14:textId="4D53A709" w:rsidR="003459A3" w:rsidRPr="00D12655" w:rsidRDefault="003459A3" w:rsidP="000B386A">
            <w:pPr>
              <w:pStyle w:val="TableText0"/>
              <w:widowControl w:val="0"/>
              <w:rPr>
                <w:bCs w:val="0"/>
              </w:rPr>
            </w:pPr>
          </w:p>
        </w:tc>
        <w:tc>
          <w:tcPr>
            <w:tcW w:w="3027" w:type="pct"/>
            <w:tcBorders>
              <w:top w:val="nil"/>
              <w:bottom w:val="nil"/>
            </w:tcBorders>
            <w:vAlign w:val="center"/>
          </w:tcPr>
          <w:p w14:paraId="50F8EC75" w14:textId="54E7802B" w:rsidR="003459A3" w:rsidRPr="00D86D87" w:rsidRDefault="003459A3" w:rsidP="000B386A">
            <w:pPr>
              <w:pStyle w:val="TableText0"/>
              <w:keepNext w:val="0"/>
              <w:keepLines w:val="0"/>
              <w:widowControl w:val="0"/>
              <w:rPr>
                <w:szCs w:val="18"/>
              </w:rPr>
            </w:pPr>
            <w:r w:rsidRPr="00E20031">
              <w:rPr>
                <w:szCs w:val="20"/>
              </w:rPr>
              <w:t>Vogl</w:t>
            </w:r>
            <w:r>
              <w:rPr>
                <w:szCs w:val="20"/>
              </w:rPr>
              <w:t xml:space="preserve"> WD </w:t>
            </w:r>
            <w:r w:rsidRPr="00E20031">
              <w:rPr>
                <w:szCs w:val="20"/>
              </w:rPr>
              <w:t>et al. Predicting topographic disease progression and treatment response of pegcetacoplan in geographic atrophy quantified by deep learning.</w:t>
            </w:r>
          </w:p>
        </w:tc>
        <w:tc>
          <w:tcPr>
            <w:tcW w:w="1177" w:type="pct"/>
            <w:tcBorders>
              <w:top w:val="nil"/>
              <w:bottom w:val="nil"/>
            </w:tcBorders>
            <w:vAlign w:val="center"/>
          </w:tcPr>
          <w:p w14:paraId="78942921" w14:textId="61163F60" w:rsidR="003459A3" w:rsidRPr="00D86D87" w:rsidRDefault="003459A3" w:rsidP="000B386A">
            <w:pPr>
              <w:pStyle w:val="TableText0"/>
              <w:keepNext w:val="0"/>
              <w:keepLines w:val="0"/>
              <w:widowControl w:val="0"/>
            </w:pPr>
            <w:r w:rsidRPr="00E20031">
              <w:rPr>
                <w:i/>
                <w:iCs/>
                <w:szCs w:val="20"/>
              </w:rPr>
              <w:t>Ophthalmology Retina</w:t>
            </w:r>
            <w:r w:rsidRPr="00E20031">
              <w:rPr>
                <w:szCs w:val="20"/>
              </w:rPr>
              <w:t xml:space="preserve"> 2023; 7(1): 4</w:t>
            </w:r>
            <w:r w:rsidR="009B60A6">
              <w:rPr>
                <w:szCs w:val="20"/>
              </w:rPr>
              <w:noBreakHyphen/>
            </w:r>
            <w:r w:rsidRPr="00E20031">
              <w:rPr>
                <w:szCs w:val="20"/>
              </w:rPr>
              <w:t>13.</w:t>
            </w:r>
          </w:p>
        </w:tc>
      </w:tr>
      <w:tr w:rsidR="001A6CA3" w:rsidRPr="00D12655" w14:paraId="7CB2EF67" w14:textId="77777777">
        <w:tc>
          <w:tcPr>
            <w:tcW w:w="796" w:type="pct"/>
            <w:vMerge/>
            <w:vAlign w:val="center"/>
          </w:tcPr>
          <w:p w14:paraId="3FCAE860" w14:textId="0F2B5C0B" w:rsidR="003459A3" w:rsidRPr="00D12655" w:rsidRDefault="003459A3" w:rsidP="000B386A">
            <w:pPr>
              <w:pStyle w:val="TableText0"/>
              <w:keepNext w:val="0"/>
              <w:keepLines w:val="0"/>
              <w:widowControl w:val="0"/>
              <w:rPr>
                <w:bCs w:val="0"/>
                <w:lang w:val="en-IN"/>
              </w:rPr>
            </w:pPr>
          </w:p>
        </w:tc>
        <w:tc>
          <w:tcPr>
            <w:tcW w:w="3027" w:type="pct"/>
            <w:tcBorders>
              <w:top w:val="nil"/>
              <w:bottom w:val="nil"/>
            </w:tcBorders>
          </w:tcPr>
          <w:p w14:paraId="66417042" w14:textId="62C9E1A3" w:rsidR="003459A3" w:rsidRPr="009A29F0" w:rsidRDefault="003459A3" w:rsidP="000B386A">
            <w:pPr>
              <w:pStyle w:val="TableText0"/>
              <w:keepNext w:val="0"/>
              <w:keepLines w:val="0"/>
              <w:widowControl w:val="0"/>
              <w:rPr>
                <w:szCs w:val="18"/>
              </w:rPr>
            </w:pPr>
            <w:r w:rsidRPr="00954F00">
              <w:t>Nittala</w:t>
            </w:r>
            <w:r>
              <w:t xml:space="preserve"> MG </w:t>
            </w:r>
            <w:r w:rsidRPr="00954F00">
              <w:t>et al. Association of pegcetacoplan with progression of incomplete retinal pigment epithelium and outer retinal atrophy in age</w:t>
            </w:r>
            <w:r w:rsidR="009B60A6">
              <w:noBreakHyphen/>
            </w:r>
            <w:r w:rsidRPr="00954F00">
              <w:t xml:space="preserve">related macular degeneration: a </w:t>
            </w:r>
            <w:r>
              <w:t>p</w:t>
            </w:r>
            <w:r w:rsidRPr="00954F00">
              <w:t>ost</w:t>
            </w:r>
            <w:r w:rsidR="009B60A6">
              <w:noBreakHyphen/>
            </w:r>
            <w:r>
              <w:t>h</w:t>
            </w:r>
            <w:r w:rsidRPr="00954F00">
              <w:t xml:space="preserve">oc </w:t>
            </w:r>
            <w:r>
              <w:t>a</w:t>
            </w:r>
            <w:r w:rsidRPr="00954F00">
              <w:t xml:space="preserve">nalysis of the FILLY </w:t>
            </w:r>
            <w:r>
              <w:t>r</w:t>
            </w:r>
            <w:r w:rsidRPr="00954F00">
              <w:t xml:space="preserve">andomised </w:t>
            </w:r>
            <w:r>
              <w:t>c</w:t>
            </w:r>
            <w:r w:rsidRPr="00954F00">
              <w:t xml:space="preserve">linical </w:t>
            </w:r>
            <w:r>
              <w:t>t</w:t>
            </w:r>
            <w:r w:rsidRPr="00954F00">
              <w:t>rial.</w:t>
            </w:r>
          </w:p>
        </w:tc>
        <w:tc>
          <w:tcPr>
            <w:tcW w:w="1177" w:type="pct"/>
            <w:tcBorders>
              <w:top w:val="nil"/>
              <w:bottom w:val="nil"/>
            </w:tcBorders>
            <w:vAlign w:val="center"/>
          </w:tcPr>
          <w:p w14:paraId="777C7575" w14:textId="7FEF8323" w:rsidR="003459A3" w:rsidRPr="00D12655" w:rsidRDefault="003459A3" w:rsidP="000B386A">
            <w:pPr>
              <w:pStyle w:val="TableText0"/>
              <w:keepNext w:val="0"/>
              <w:keepLines w:val="0"/>
              <w:widowControl w:val="0"/>
              <w:rPr>
                <w:i/>
                <w:iCs/>
                <w:lang w:val="en-IN"/>
              </w:rPr>
            </w:pPr>
            <w:r w:rsidRPr="000B386A">
              <w:rPr>
                <w:i/>
                <w:iCs/>
              </w:rPr>
              <w:t>JAMA Ophthalmology</w:t>
            </w:r>
            <w:r w:rsidRPr="00954F00">
              <w:t xml:space="preserve"> 2022; 140(3): 243</w:t>
            </w:r>
            <w:r w:rsidR="009B60A6">
              <w:noBreakHyphen/>
            </w:r>
            <w:r w:rsidRPr="00954F00">
              <w:t>249.</w:t>
            </w:r>
          </w:p>
        </w:tc>
      </w:tr>
      <w:tr w:rsidR="001A6CA3" w:rsidRPr="00CA4E40" w14:paraId="58490DB6" w14:textId="77777777">
        <w:tc>
          <w:tcPr>
            <w:tcW w:w="796" w:type="pct"/>
            <w:vMerge/>
            <w:vAlign w:val="center"/>
          </w:tcPr>
          <w:p w14:paraId="779743D1" w14:textId="4143323F" w:rsidR="003459A3" w:rsidRPr="00D12655" w:rsidRDefault="003459A3" w:rsidP="000B386A">
            <w:pPr>
              <w:pStyle w:val="TableText0"/>
              <w:keepNext w:val="0"/>
              <w:keepLines w:val="0"/>
              <w:widowControl w:val="0"/>
              <w:rPr>
                <w:bCs w:val="0"/>
                <w:lang w:val="en-IN"/>
              </w:rPr>
            </w:pPr>
          </w:p>
        </w:tc>
        <w:tc>
          <w:tcPr>
            <w:tcW w:w="3027" w:type="pct"/>
            <w:tcBorders>
              <w:top w:val="nil"/>
              <w:bottom w:val="nil"/>
            </w:tcBorders>
          </w:tcPr>
          <w:p w14:paraId="01119D72" w14:textId="4BAC2E94" w:rsidR="003459A3" w:rsidRPr="00CA4E40" w:rsidRDefault="003459A3" w:rsidP="000B386A">
            <w:pPr>
              <w:pStyle w:val="TableText0"/>
              <w:keepNext w:val="0"/>
              <w:keepLines w:val="0"/>
              <w:widowControl w:val="0"/>
              <w:rPr>
                <w:szCs w:val="18"/>
                <w:lang w:val="en-IN"/>
              </w:rPr>
            </w:pPr>
            <w:r w:rsidRPr="00F664F5">
              <w:t>Wykoff</w:t>
            </w:r>
            <w:r>
              <w:t xml:space="preserve"> CC </w:t>
            </w:r>
            <w:r w:rsidRPr="00F664F5">
              <w:t xml:space="preserve">et al. Characterising new onset exudation in the randomised </w:t>
            </w:r>
            <w:r>
              <w:t>P</w:t>
            </w:r>
            <w:r w:rsidRPr="00F664F5">
              <w:t xml:space="preserve">hase 2 </w:t>
            </w:r>
            <w:r>
              <w:t xml:space="preserve">FILLY </w:t>
            </w:r>
            <w:r w:rsidRPr="00F664F5">
              <w:t xml:space="preserve">trial of complement inhibitor pegcetacoplan for geographic atrophy. </w:t>
            </w:r>
          </w:p>
        </w:tc>
        <w:tc>
          <w:tcPr>
            <w:tcW w:w="1177" w:type="pct"/>
            <w:tcBorders>
              <w:top w:val="nil"/>
              <w:bottom w:val="nil"/>
            </w:tcBorders>
            <w:vAlign w:val="center"/>
          </w:tcPr>
          <w:p w14:paraId="1BD1BCEA" w14:textId="26BB8D4C" w:rsidR="003459A3" w:rsidRPr="00CA4E40" w:rsidRDefault="003459A3" w:rsidP="000B386A">
            <w:pPr>
              <w:pStyle w:val="TableText0"/>
              <w:keepNext w:val="0"/>
              <w:keepLines w:val="0"/>
              <w:widowControl w:val="0"/>
              <w:rPr>
                <w:i/>
                <w:iCs/>
                <w:lang w:val="en-IN"/>
              </w:rPr>
            </w:pPr>
            <w:r w:rsidRPr="000B386A">
              <w:rPr>
                <w:i/>
                <w:iCs/>
              </w:rPr>
              <w:t>Ophthalmology</w:t>
            </w:r>
            <w:r w:rsidRPr="00F664F5">
              <w:t xml:space="preserve"> 2021; 128(9):1325</w:t>
            </w:r>
            <w:r w:rsidR="009B60A6">
              <w:noBreakHyphen/>
            </w:r>
            <w:r w:rsidRPr="00F664F5">
              <w:t>1336.</w:t>
            </w:r>
          </w:p>
        </w:tc>
      </w:tr>
      <w:tr w:rsidR="001A6CA3" w:rsidRPr="00CA4E40" w14:paraId="0342D35A" w14:textId="77777777">
        <w:tc>
          <w:tcPr>
            <w:tcW w:w="796" w:type="pct"/>
            <w:vMerge/>
            <w:vAlign w:val="center"/>
          </w:tcPr>
          <w:p w14:paraId="059FE702" w14:textId="77777777" w:rsidR="003459A3" w:rsidRPr="00D12655" w:rsidRDefault="003459A3" w:rsidP="000B386A">
            <w:pPr>
              <w:pStyle w:val="TableText0"/>
              <w:keepNext w:val="0"/>
              <w:keepLines w:val="0"/>
              <w:widowControl w:val="0"/>
              <w:rPr>
                <w:bCs w:val="0"/>
                <w:lang w:val="en-IN"/>
              </w:rPr>
            </w:pPr>
          </w:p>
        </w:tc>
        <w:tc>
          <w:tcPr>
            <w:tcW w:w="3027" w:type="pct"/>
            <w:tcBorders>
              <w:top w:val="nil"/>
              <w:bottom w:val="nil"/>
            </w:tcBorders>
          </w:tcPr>
          <w:p w14:paraId="626DF876" w14:textId="5CEDDDCF" w:rsidR="003459A3" w:rsidRPr="009A29F0" w:rsidRDefault="003459A3" w:rsidP="000B386A">
            <w:pPr>
              <w:pStyle w:val="TableText0"/>
              <w:keepNext w:val="0"/>
              <w:keepLines w:val="0"/>
              <w:widowControl w:val="0"/>
              <w:rPr>
                <w:szCs w:val="18"/>
              </w:rPr>
            </w:pPr>
            <w:r w:rsidRPr="00DE74A4">
              <w:t>Steinle</w:t>
            </w:r>
            <w:r>
              <w:t xml:space="preserve"> NC </w:t>
            </w:r>
            <w:r w:rsidRPr="00DE74A4">
              <w:t>et al. Impact of baseline characteristics on geographic atrophy progression in the F</w:t>
            </w:r>
            <w:r>
              <w:t>ILLY</w:t>
            </w:r>
            <w:r w:rsidRPr="00DE74A4">
              <w:t xml:space="preserve"> trial evaluating the complement </w:t>
            </w:r>
            <w:r>
              <w:t>C</w:t>
            </w:r>
            <w:r w:rsidRPr="00DE74A4">
              <w:t>3 inhibitor pegcetacoplan.</w:t>
            </w:r>
          </w:p>
        </w:tc>
        <w:tc>
          <w:tcPr>
            <w:tcW w:w="1177" w:type="pct"/>
            <w:tcBorders>
              <w:top w:val="nil"/>
              <w:bottom w:val="nil"/>
            </w:tcBorders>
            <w:vAlign w:val="center"/>
          </w:tcPr>
          <w:p w14:paraId="2FE1C4AC" w14:textId="1BD133EE" w:rsidR="003459A3" w:rsidRPr="00CA4E40" w:rsidRDefault="003459A3" w:rsidP="000B386A">
            <w:pPr>
              <w:pStyle w:val="TableText0"/>
              <w:keepNext w:val="0"/>
              <w:keepLines w:val="0"/>
              <w:widowControl w:val="0"/>
              <w:rPr>
                <w:lang w:val="en-IN"/>
              </w:rPr>
            </w:pPr>
            <w:r w:rsidRPr="000B386A">
              <w:rPr>
                <w:i/>
                <w:iCs/>
              </w:rPr>
              <w:t xml:space="preserve">Am </w:t>
            </w:r>
            <w:r>
              <w:rPr>
                <w:i/>
                <w:iCs/>
              </w:rPr>
              <w:t>J</w:t>
            </w:r>
            <w:r w:rsidRPr="000B386A">
              <w:rPr>
                <w:i/>
                <w:iCs/>
              </w:rPr>
              <w:t xml:space="preserve"> Ophthalmol</w:t>
            </w:r>
            <w:r>
              <w:rPr>
                <w:i/>
                <w:iCs/>
              </w:rPr>
              <w:t xml:space="preserve"> </w:t>
            </w:r>
            <w:r w:rsidRPr="00DE74A4">
              <w:t>2021; 227: 116</w:t>
            </w:r>
            <w:r w:rsidR="009B60A6">
              <w:noBreakHyphen/>
            </w:r>
            <w:r w:rsidRPr="00DE74A4">
              <w:t>124.</w:t>
            </w:r>
          </w:p>
        </w:tc>
      </w:tr>
      <w:tr w:rsidR="001A6CA3" w:rsidRPr="00CA4E40" w14:paraId="567893F5" w14:textId="77777777">
        <w:tc>
          <w:tcPr>
            <w:tcW w:w="796" w:type="pct"/>
            <w:vMerge/>
            <w:vAlign w:val="center"/>
          </w:tcPr>
          <w:p w14:paraId="35B2E782" w14:textId="77777777" w:rsidR="003459A3" w:rsidRPr="00D12655" w:rsidRDefault="003459A3" w:rsidP="00C843B1">
            <w:pPr>
              <w:pStyle w:val="TableText0"/>
              <w:keepNext w:val="0"/>
              <w:keepLines w:val="0"/>
              <w:widowControl w:val="0"/>
              <w:rPr>
                <w:bCs w:val="0"/>
                <w:lang w:val="en-IN"/>
              </w:rPr>
            </w:pPr>
          </w:p>
        </w:tc>
        <w:tc>
          <w:tcPr>
            <w:tcW w:w="3027" w:type="pct"/>
            <w:tcBorders>
              <w:top w:val="nil"/>
              <w:bottom w:val="nil"/>
            </w:tcBorders>
          </w:tcPr>
          <w:p w14:paraId="2B682878" w14:textId="1DF043C2" w:rsidR="003459A3" w:rsidRPr="00CA4E40" w:rsidRDefault="003459A3" w:rsidP="00C843B1">
            <w:pPr>
              <w:pStyle w:val="TableText0"/>
              <w:keepNext w:val="0"/>
              <w:keepLines w:val="0"/>
              <w:widowControl w:val="0"/>
              <w:rPr>
                <w:szCs w:val="18"/>
                <w:lang w:val="en-IN"/>
              </w:rPr>
            </w:pPr>
            <w:r w:rsidRPr="009A29F0">
              <w:rPr>
                <w:szCs w:val="18"/>
              </w:rPr>
              <w:t>Fu DJ et al. E</w:t>
            </w:r>
            <w:r w:rsidRPr="008C0272">
              <w:rPr>
                <w:szCs w:val="18"/>
                <w:lang w:val="en-IN"/>
              </w:rPr>
              <w:t xml:space="preserve">valuating the effects of </w:t>
            </w:r>
            <w:r>
              <w:rPr>
                <w:szCs w:val="18"/>
                <w:lang w:val="en-IN"/>
              </w:rPr>
              <w:t>C</w:t>
            </w:r>
            <w:r w:rsidRPr="008C0272">
              <w:rPr>
                <w:szCs w:val="18"/>
                <w:lang w:val="en-IN"/>
              </w:rPr>
              <w:t>3 inhibition on geographic atrophy progression from deep</w:t>
            </w:r>
            <w:r w:rsidR="009B60A6">
              <w:rPr>
                <w:szCs w:val="18"/>
                <w:lang w:val="en-IN"/>
              </w:rPr>
              <w:noBreakHyphen/>
            </w:r>
            <w:r w:rsidRPr="008C0272">
              <w:rPr>
                <w:szCs w:val="18"/>
                <w:lang w:val="en-IN"/>
              </w:rPr>
              <w:t xml:space="preserve">learning </w:t>
            </w:r>
            <w:r>
              <w:rPr>
                <w:szCs w:val="18"/>
                <w:lang w:val="en-IN"/>
              </w:rPr>
              <w:t>OCT</w:t>
            </w:r>
            <w:r w:rsidRPr="008C0272">
              <w:rPr>
                <w:szCs w:val="18"/>
                <w:lang w:val="en-IN"/>
              </w:rPr>
              <w:t xml:space="preserve"> quantification: a split</w:t>
            </w:r>
            <w:r w:rsidR="009B60A6">
              <w:rPr>
                <w:szCs w:val="18"/>
                <w:lang w:val="en-IN"/>
              </w:rPr>
              <w:noBreakHyphen/>
            </w:r>
            <w:r w:rsidRPr="008C0272">
              <w:rPr>
                <w:szCs w:val="18"/>
                <w:lang w:val="en-IN"/>
              </w:rPr>
              <w:t>person study.</w:t>
            </w:r>
          </w:p>
        </w:tc>
        <w:tc>
          <w:tcPr>
            <w:tcW w:w="1177" w:type="pct"/>
            <w:tcBorders>
              <w:top w:val="nil"/>
              <w:bottom w:val="nil"/>
            </w:tcBorders>
            <w:vAlign w:val="center"/>
          </w:tcPr>
          <w:p w14:paraId="55E53D96" w14:textId="0C250BEA" w:rsidR="003459A3" w:rsidRPr="00CA4E40" w:rsidRDefault="003459A3" w:rsidP="00C843B1">
            <w:pPr>
              <w:pStyle w:val="TableText0"/>
              <w:keepNext w:val="0"/>
              <w:keepLines w:val="0"/>
              <w:widowControl w:val="0"/>
              <w:rPr>
                <w:i/>
                <w:iCs/>
                <w:lang w:val="en-IN"/>
              </w:rPr>
            </w:pPr>
            <w:r>
              <w:rPr>
                <w:i/>
                <w:iCs/>
                <w:lang w:val="en-IN"/>
              </w:rPr>
              <w:t xml:space="preserve">Ophthalmol Ther </w:t>
            </w:r>
            <w:r w:rsidRPr="00285F42">
              <w:rPr>
                <w:lang w:val="en-IN"/>
              </w:rPr>
              <w:t>2023; 12(6):</w:t>
            </w:r>
            <w:r>
              <w:rPr>
                <w:lang w:val="en-IN"/>
              </w:rPr>
              <w:t xml:space="preserve"> 3143</w:t>
            </w:r>
            <w:r w:rsidR="009B60A6">
              <w:rPr>
                <w:lang w:val="en-IN"/>
              </w:rPr>
              <w:noBreakHyphen/>
            </w:r>
            <w:r>
              <w:rPr>
                <w:lang w:val="en-IN"/>
              </w:rPr>
              <w:t>3158.</w:t>
            </w:r>
            <w:r>
              <w:rPr>
                <w:i/>
                <w:iCs/>
                <w:lang w:val="en-IN"/>
              </w:rPr>
              <w:t xml:space="preserve"> </w:t>
            </w:r>
          </w:p>
        </w:tc>
      </w:tr>
      <w:tr w:rsidR="001A6CA3" w:rsidRPr="00CA4E40" w14:paraId="5200C579" w14:textId="77777777">
        <w:tc>
          <w:tcPr>
            <w:tcW w:w="796" w:type="pct"/>
            <w:vMerge/>
            <w:vAlign w:val="center"/>
          </w:tcPr>
          <w:p w14:paraId="6AD1107E" w14:textId="77777777" w:rsidR="003459A3" w:rsidRPr="00D12655" w:rsidRDefault="003459A3" w:rsidP="00285F42">
            <w:pPr>
              <w:pStyle w:val="TableText0"/>
              <w:keepNext w:val="0"/>
              <w:keepLines w:val="0"/>
              <w:widowControl w:val="0"/>
              <w:rPr>
                <w:bCs w:val="0"/>
                <w:lang w:val="en-IN"/>
              </w:rPr>
            </w:pPr>
          </w:p>
        </w:tc>
        <w:tc>
          <w:tcPr>
            <w:tcW w:w="3027" w:type="pct"/>
            <w:tcBorders>
              <w:top w:val="nil"/>
              <w:bottom w:val="nil"/>
            </w:tcBorders>
          </w:tcPr>
          <w:p w14:paraId="7172A097" w14:textId="2B196E76" w:rsidR="003459A3" w:rsidRPr="00CA4E40" w:rsidRDefault="003459A3" w:rsidP="00285F42">
            <w:pPr>
              <w:pStyle w:val="TableText0"/>
              <w:keepNext w:val="0"/>
              <w:keepLines w:val="0"/>
              <w:widowControl w:val="0"/>
              <w:rPr>
                <w:szCs w:val="18"/>
                <w:lang w:val="en-IN"/>
              </w:rPr>
            </w:pPr>
            <w:r w:rsidRPr="008A0552">
              <w:t>Fu</w:t>
            </w:r>
            <w:r>
              <w:t xml:space="preserve"> DJ </w:t>
            </w:r>
            <w:r w:rsidRPr="008A0552">
              <w:t>et al. Deep</w:t>
            </w:r>
            <w:r w:rsidR="009B60A6">
              <w:noBreakHyphen/>
            </w:r>
            <w:r w:rsidRPr="008A0552">
              <w:t>learning automated quantification of longitudinal OCT scans demonstrates reduced RPE loss rate, preservation of intact macular area and predictive value of isolated photoreceptor degeneration in geographic atrophy patients receiving C3 inhibition treatment.</w:t>
            </w:r>
          </w:p>
        </w:tc>
        <w:tc>
          <w:tcPr>
            <w:tcW w:w="1177" w:type="pct"/>
            <w:tcBorders>
              <w:top w:val="nil"/>
              <w:bottom w:val="nil"/>
            </w:tcBorders>
            <w:vAlign w:val="center"/>
          </w:tcPr>
          <w:p w14:paraId="5587B392" w14:textId="03D8D5C4" w:rsidR="003459A3" w:rsidRPr="00CA4E40" w:rsidRDefault="003459A3" w:rsidP="00285F42">
            <w:pPr>
              <w:pStyle w:val="TableText0"/>
              <w:keepNext w:val="0"/>
              <w:keepLines w:val="0"/>
              <w:widowControl w:val="0"/>
              <w:rPr>
                <w:i/>
                <w:iCs/>
                <w:lang w:val="en-IN"/>
              </w:rPr>
            </w:pPr>
            <w:r w:rsidRPr="00285F42">
              <w:rPr>
                <w:bCs w:val="0"/>
                <w:i/>
                <w:iCs/>
              </w:rPr>
              <w:t>Br J Ophthalmol</w:t>
            </w:r>
            <w:r>
              <w:rPr>
                <w:bCs w:val="0"/>
                <w:i/>
                <w:iCs/>
              </w:rPr>
              <w:t xml:space="preserve"> </w:t>
            </w:r>
            <w:r w:rsidRPr="00285F42">
              <w:rPr>
                <w:bCs w:val="0"/>
              </w:rPr>
              <w:t>2023</w:t>
            </w:r>
            <w:r w:rsidRPr="008A0552">
              <w:t>; 24: bjo</w:t>
            </w:r>
            <w:r w:rsidR="009B60A6">
              <w:noBreakHyphen/>
            </w:r>
            <w:r w:rsidRPr="008A0552">
              <w:t>2022</w:t>
            </w:r>
            <w:r w:rsidR="009B60A6">
              <w:noBreakHyphen/>
            </w:r>
            <w:r w:rsidRPr="008A0552">
              <w:t>322672.</w:t>
            </w:r>
          </w:p>
        </w:tc>
      </w:tr>
      <w:tr w:rsidR="001A6CA3" w:rsidRPr="00CA4E40" w14:paraId="2B068309" w14:textId="77777777">
        <w:tc>
          <w:tcPr>
            <w:tcW w:w="796" w:type="pct"/>
            <w:vMerge/>
            <w:vAlign w:val="center"/>
          </w:tcPr>
          <w:p w14:paraId="15C60A6C" w14:textId="77777777" w:rsidR="003459A3" w:rsidRPr="00D12655" w:rsidRDefault="003459A3" w:rsidP="00285F42">
            <w:pPr>
              <w:pStyle w:val="TableText0"/>
              <w:keepNext w:val="0"/>
              <w:keepLines w:val="0"/>
              <w:widowControl w:val="0"/>
              <w:rPr>
                <w:bCs w:val="0"/>
                <w:lang w:val="en-IN"/>
              </w:rPr>
            </w:pPr>
          </w:p>
        </w:tc>
        <w:tc>
          <w:tcPr>
            <w:tcW w:w="3027" w:type="pct"/>
            <w:tcBorders>
              <w:top w:val="nil"/>
              <w:bottom w:val="nil"/>
            </w:tcBorders>
          </w:tcPr>
          <w:p w14:paraId="698A7CFE" w14:textId="6F61A852" w:rsidR="003459A3" w:rsidRPr="008A0552" w:rsidRDefault="003459A3" w:rsidP="00285F42">
            <w:pPr>
              <w:pStyle w:val="TableText0"/>
              <w:keepNext w:val="0"/>
              <w:keepLines w:val="0"/>
              <w:widowControl w:val="0"/>
            </w:pPr>
            <w:r w:rsidRPr="00285F42">
              <w:rPr>
                <w:lang w:val="en-IN"/>
              </w:rPr>
              <w:t>Wykoff CC, Grossi F. APL</w:t>
            </w:r>
            <w:r w:rsidR="009B60A6">
              <w:rPr>
                <w:lang w:val="en-IN"/>
              </w:rPr>
              <w:noBreakHyphen/>
            </w:r>
            <w:r w:rsidRPr="00285F42">
              <w:rPr>
                <w:lang w:val="en-IN"/>
              </w:rPr>
              <w:t>2, a complement C3 inhibitor, slows the growth of geographic atrophy secondary to AMD: 18</w:t>
            </w:r>
            <w:r w:rsidR="009B60A6">
              <w:rPr>
                <w:lang w:val="en-IN"/>
              </w:rPr>
              <w:noBreakHyphen/>
            </w:r>
            <w:r w:rsidRPr="00285F42">
              <w:rPr>
                <w:lang w:val="en-IN"/>
              </w:rPr>
              <w:t>month results of a phase 2 trial (FILLY).</w:t>
            </w:r>
          </w:p>
        </w:tc>
        <w:tc>
          <w:tcPr>
            <w:tcW w:w="1177" w:type="pct"/>
            <w:tcBorders>
              <w:top w:val="nil"/>
              <w:bottom w:val="nil"/>
            </w:tcBorders>
            <w:vAlign w:val="center"/>
          </w:tcPr>
          <w:p w14:paraId="00E9F91D" w14:textId="41F91D1B" w:rsidR="003459A3" w:rsidRPr="00285F42" w:rsidRDefault="003459A3" w:rsidP="00285F42">
            <w:pPr>
              <w:pStyle w:val="TableText0"/>
              <w:keepNext w:val="0"/>
              <w:keepLines w:val="0"/>
              <w:widowControl w:val="0"/>
              <w:rPr>
                <w:i/>
                <w:iCs/>
              </w:rPr>
            </w:pPr>
            <w:r>
              <w:rPr>
                <w:i/>
                <w:iCs/>
              </w:rPr>
              <w:t>ARVO Annual Meet Abstract. 2018; 59(9):72.</w:t>
            </w:r>
          </w:p>
        </w:tc>
      </w:tr>
      <w:tr w:rsidR="001A6CA3" w:rsidRPr="00CA4E40" w14:paraId="7476EDDB" w14:textId="77777777">
        <w:tc>
          <w:tcPr>
            <w:tcW w:w="796" w:type="pct"/>
            <w:vMerge/>
            <w:tcBorders>
              <w:bottom w:val="nil"/>
            </w:tcBorders>
            <w:vAlign w:val="center"/>
          </w:tcPr>
          <w:p w14:paraId="77AEFFB7" w14:textId="77777777" w:rsidR="003459A3" w:rsidRPr="00D12655" w:rsidRDefault="003459A3" w:rsidP="00285F42">
            <w:pPr>
              <w:pStyle w:val="TableText0"/>
              <w:keepNext w:val="0"/>
              <w:keepLines w:val="0"/>
              <w:widowControl w:val="0"/>
              <w:rPr>
                <w:bCs w:val="0"/>
                <w:lang w:val="en-IN"/>
              </w:rPr>
            </w:pPr>
          </w:p>
        </w:tc>
        <w:tc>
          <w:tcPr>
            <w:tcW w:w="3027" w:type="pct"/>
            <w:tcBorders>
              <w:top w:val="nil"/>
              <w:bottom w:val="nil"/>
            </w:tcBorders>
          </w:tcPr>
          <w:p w14:paraId="0F95038C" w14:textId="17CC7051" w:rsidR="003459A3" w:rsidRPr="00285F42" w:rsidRDefault="003459A3" w:rsidP="00285F42">
            <w:pPr>
              <w:pStyle w:val="TableText0"/>
              <w:keepNext w:val="0"/>
              <w:keepLines w:val="0"/>
              <w:widowControl w:val="0"/>
              <w:rPr>
                <w:lang w:val="en-IN"/>
              </w:rPr>
            </w:pPr>
            <w:r w:rsidRPr="000E75B0">
              <w:rPr>
                <w:lang w:val="en-IN"/>
              </w:rPr>
              <w:t>Garg S</w:t>
            </w:r>
            <w:r>
              <w:rPr>
                <w:lang w:val="en-IN"/>
              </w:rPr>
              <w:t xml:space="preserve"> </w:t>
            </w:r>
            <w:r w:rsidRPr="000E75B0">
              <w:rPr>
                <w:lang w:val="en-IN"/>
              </w:rPr>
              <w:t>et al. Impact of baseline imbalances on the efficacy of pegcetacoplan for the treatment of geographic atrophy (GA): A post hoc analysis of OAKS, DERBY, and FILLY.</w:t>
            </w:r>
          </w:p>
        </w:tc>
        <w:tc>
          <w:tcPr>
            <w:tcW w:w="1177" w:type="pct"/>
            <w:tcBorders>
              <w:top w:val="nil"/>
              <w:bottom w:val="nil"/>
            </w:tcBorders>
            <w:vAlign w:val="center"/>
          </w:tcPr>
          <w:p w14:paraId="62B5D345" w14:textId="04BDB5A7" w:rsidR="003459A3" w:rsidRDefault="003459A3" w:rsidP="00285F42">
            <w:pPr>
              <w:pStyle w:val="TableText0"/>
              <w:keepNext w:val="0"/>
              <w:keepLines w:val="0"/>
              <w:widowControl w:val="0"/>
              <w:rPr>
                <w:i/>
                <w:iCs/>
              </w:rPr>
            </w:pPr>
            <w:r w:rsidRPr="000E75B0">
              <w:rPr>
                <w:i/>
                <w:iCs/>
                <w:lang w:val="en-IN"/>
              </w:rPr>
              <w:t xml:space="preserve">Invest Ophthalmol Vis Sci. </w:t>
            </w:r>
            <w:r w:rsidRPr="000E75B0">
              <w:rPr>
                <w:lang w:val="en-IN"/>
              </w:rPr>
              <w:t>2022;</w:t>
            </w:r>
            <w:r w:rsidR="00AD6C6E">
              <w:rPr>
                <w:lang w:val="en-IN"/>
              </w:rPr>
              <w:t xml:space="preserve"> </w:t>
            </w:r>
            <w:r w:rsidRPr="000E75B0">
              <w:rPr>
                <w:lang w:val="en-IN"/>
              </w:rPr>
              <w:t>63(7):1501</w:t>
            </w:r>
            <w:r w:rsidRPr="000E75B0">
              <w:rPr>
                <w:i/>
                <w:iCs/>
                <w:lang w:val="en-IN"/>
              </w:rPr>
              <w:t>.</w:t>
            </w:r>
          </w:p>
        </w:tc>
      </w:tr>
      <w:tr w:rsidR="001A6CA3" w:rsidRPr="00D86D87" w14:paraId="63BC9719" w14:textId="77777777">
        <w:tc>
          <w:tcPr>
            <w:tcW w:w="796" w:type="pct"/>
            <w:vMerge w:val="restart"/>
            <w:vAlign w:val="center"/>
          </w:tcPr>
          <w:p w14:paraId="067D697F" w14:textId="77777777" w:rsidR="003459A3" w:rsidRPr="00693B40" w:rsidRDefault="003459A3" w:rsidP="003C5CCB">
            <w:pPr>
              <w:pStyle w:val="TableText0"/>
              <w:keepNext w:val="0"/>
              <w:keepLines w:val="0"/>
              <w:widowControl w:val="0"/>
              <w:rPr>
                <w:bCs w:val="0"/>
                <w:lang w:val="en-IN"/>
              </w:rPr>
            </w:pPr>
            <w:r w:rsidRPr="00693B40">
              <w:rPr>
                <w:bCs w:val="0"/>
                <w:lang w:val="en-IN"/>
              </w:rPr>
              <w:t>GALE</w:t>
            </w:r>
          </w:p>
          <w:p w14:paraId="02A4A035" w14:textId="1444D141" w:rsidR="003459A3" w:rsidRPr="00D86D87" w:rsidRDefault="003459A3" w:rsidP="003C5CCB">
            <w:pPr>
              <w:pStyle w:val="TableText0"/>
              <w:keepNext w:val="0"/>
              <w:keepLines w:val="0"/>
              <w:widowControl w:val="0"/>
            </w:pPr>
            <w:r w:rsidRPr="00693B40">
              <w:rPr>
                <w:bCs w:val="0"/>
                <w:lang w:val="en-IN"/>
              </w:rPr>
              <w:t>NCT04770545</w:t>
            </w:r>
          </w:p>
        </w:tc>
        <w:tc>
          <w:tcPr>
            <w:tcW w:w="3027" w:type="pct"/>
            <w:tcBorders>
              <w:bottom w:val="nil"/>
            </w:tcBorders>
            <w:vAlign w:val="center"/>
          </w:tcPr>
          <w:p w14:paraId="00A2BE4A" w14:textId="145883CA" w:rsidR="003459A3" w:rsidRPr="00D86D87" w:rsidRDefault="003459A3" w:rsidP="00C843B1">
            <w:pPr>
              <w:pStyle w:val="TableText0"/>
              <w:keepNext w:val="0"/>
              <w:keepLines w:val="0"/>
              <w:widowControl w:val="0"/>
            </w:pPr>
            <w:r w:rsidRPr="009A29F0">
              <w:t xml:space="preserve">Goldberg RA et al. </w:t>
            </w:r>
            <w:r w:rsidRPr="000E75B0">
              <w:rPr>
                <w:lang w:val="en-IN"/>
              </w:rPr>
              <w:t xml:space="preserve">Pegcetacoplan for geographic atrophy over 30 months: Data </w:t>
            </w:r>
            <w:r>
              <w:rPr>
                <w:lang w:val="en-IN"/>
              </w:rPr>
              <w:t>f</w:t>
            </w:r>
            <w:r w:rsidRPr="000E75B0">
              <w:rPr>
                <w:lang w:val="en-IN"/>
              </w:rPr>
              <w:t>rom OAKS, DERBY, and the GALE long</w:t>
            </w:r>
            <w:r w:rsidR="009B60A6">
              <w:rPr>
                <w:lang w:val="en-IN"/>
              </w:rPr>
              <w:noBreakHyphen/>
            </w:r>
            <w:r w:rsidRPr="000E75B0">
              <w:rPr>
                <w:lang w:val="en-IN"/>
              </w:rPr>
              <w:t>term extension study.</w:t>
            </w:r>
          </w:p>
        </w:tc>
        <w:tc>
          <w:tcPr>
            <w:tcW w:w="1177" w:type="pct"/>
            <w:tcBorders>
              <w:bottom w:val="nil"/>
            </w:tcBorders>
            <w:vAlign w:val="center"/>
          </w:tcPr>
          <w:p w14:paraId="7E6AD6BA" w14:textId="6E78DB15" w:rsidR="003459A3" w:rsidRPr="003C5CCB" w:rsidRDefault="003459A3" w:rsidP="003C5CCB">
            <w:pPr>
              <w:pStyle w:val="TableText0"/>
              <w:widowControl w:val="0"/>
              <w:rPr>
                <w:b/>
                <w:lang w:val="en-IN"/>
              </w:rPr>
            </w:pPr>
            <w:r w:rsidRPr="000E75B0">
              <w:rPr>
                <w:i/>
                <w:iCs/>
                <w:lang w:val="en-IN"/>
              </w:rPr>
              <w:t>Ophthalmic Surg Lasers Imaging Retina.</w:t>
            </w:r>
            <w:r w:rsidRPr="000E75B0">
              <w:rPr>
                <w:lang w:val="en-IN"/>
              </w:rPr>
              <w:t xml:space="preserve"> 2025;</w:t>
            </w:r>
            <w:r>
              <w:rPr>
                <w:lang w:val="en-IN"/>
              </w:rPr>
              <w:t xml:space="preserve"> </w:t>
            </w:r>
            <w:r w:rsidRPr="000E75B0">
              <w:rPr>
                <w:lang w:val="en-IN"/>
              </w:rPr>
              <w:t>56(7):398–406.</w:t>
            </w:r>
          </w:p>
        </w:tc>
      </w:tr>
      <w:tr w:rsidR="001A6CA3" w:rsidRPr="00D86D87" w14:paraId="7048EC2F" w14:textId="77777777">
        <w:tc>
          <w:tcPr>
            <w:tcW w:w="796" w:type="pct"/>
            <w:vMerge/>
            <w:tcBorders>
              <w:bottom w:val="nil"/>
            </w:tcBorders>
            <w:vAlign w:val="center"/>
          </w:tcPr>
          <w:p w14:paraId="54FD78B7" w14:textId="35C94C35" w:rsidR="003459A3" w:rsidRPr="00D12655" w:rsidRDefault="003459A3" w:rsidP="003C5CCB">
            <w:pPr>
              <w:pStyle w:val="TableText0"/>
              <w:keepNext w:val="0"/>
              <w:keepLines w:val="0"/>
              <w:widowControl w:val="0"/>
              <w:rPr>
                <w:bCs w:val="0"/>
              </w:rPr>
            </w:pPr>
          </w:p>
        </w:tc>
        <w:tc>
          <w:tcPr>
            <w:tcW w:w="3027" w:type="pct"/>
            <w:tcBorders>
              <w:top w:val="nil"/>
              <w:bottom w:val="nil"/>
            </w:tcBorders>
            <w:vAlign w:val="center"/>
          </w:tcPr>
          <w:p w14:paraId="1B0CEE22" w14:textId="421F50B7" w:rsidR="003459A3" w:rsidRPr="00D86D87" w:rsidRDefault="003459A3" w:rsidP="00C843B1">
            <w:pPr>
              <w:pStyle w:val="TableText0"/>
              <w:keepNext w:val="0"/>
              <w:keepLines w:val="0"/>
              <w:widowControl w:val="0"/>
              <w:rPr>
                <w:szCs w:val="18"/>
              </w:rPr>
            </w:pPr>
            <w:r w:rsidRPr="003C5CCB">
              <w:rPr>
                <w:szCs w:val="18"/>
                <w:lang w:val="en-IN"/>
              </w:rPr>
              <w:t>Abbey AM</w:t>
            </w:r>
            <w:r>
              <w:rPr>
                <w:szCs w:val="18"/>
                <w:lang w:val="en-IN"/>
              </w:rPr>
              <w:t xml:space="preserve"> </w:t>
            </w:r>
            <w:r w:rsidRPr="003C5CCB">
              <w:rPr>
                <w:szCs w:val="18"/>
                <w:lang w:val="en-IN"/>
              </w:rPr>
              <w:t>et al. Long</w:t>
            </w:r>
            <w:r w:rsidR="009B60A6">
              <w:rPr>
                <w:szCs w:val="18"/>
                <w:lang w:val="en-IN"/>
              </w:rPr>
              <w:noBreakHyphen/>
            </w:r>
            <w:r w:rsidRPr="003C5CCB">
              <w:rPr>
                <w:szCs w:val="18"/>
                <w:lang w:val="en-IN"/>
              </w:rPr>
              <w:t>term efficacy and safety of pegcetacoplan over 36 months including 12</w:t>
            </w:r>
            <w:r w:rsidR="009B60A6">
              <w:rPr>
                <w:szCs w:val="18"/>
                <w:lang w:val="en-IN"/>
              </w:rPr>
              <w:noBreakHyphen/>
            </w:r>
            <w:r w:rsidRPr="003C5CCB">
              <w:rPr>
                <w:szCs w:val="18"/>
                <w:lang w:val="en-IN"/>
              </w:rPr>
              <w:t>month results of the GALE open</w:t>
            </w:r>
            <w:r w:rsidR="009B60A6">
              <w:rPr>
                <w:szCs w:val="18"/>
                <w:lang w:val="en-IN"/>
              </w:rPr>
              <w:noBreakHyphen/>
            </w:r>
            <w:r w:rsidRPr="003C5CCB">
              <w:rPr>
                <w:szCs w:val="18"/>
                <w:lang w:val="en-IN"/>
              </w:rPr>
              <w:t>label extension study</w:t>
            </w:r>
            <w:r>
              <w:rPr>
                <w:szCs w:val="18"/>
                <w:lang w:val="en-IN"/>
              </w:rPr>
              <w:t>.</w:t>
            </w:r>
          </w:p>
        </w:tc>
        <w:tc>
          <w:tcPr>
            <w:tcW w:w="1177" w:type="pct"/>
            <w:tcBorders>
              <w:top w:val="nil"/>
              <w:bottom w:val="nil"/>
            </w:tcBorders>
            <w:vAlign w:val="center"/>
          </w:tcPr>
          <w:p w14:paraId="5A18462C" w14:textId="150B30AE" w:rsidR="003459A3" w:rsidRPr="00D86D87" w:rsidRDefault="003459A3" w:rsidP="00C843B1">
            <w:pPr>
              <w:pStyle w:val="TableText0"/>
              <w:keepNext w:val="0"/>
              <w:keepLines w:val="0"/>
              <w:widowControl w:val="0"/>
            </w:pPr>
            <w:r w:rsidRPr="003C5CCB">
              <w:rPr>
                <w:i/>
                <w:iCs/>
                <w:lang w:val="en-IN"/>
              </w:rPr>
              <w:t>Invest Ophthalmol Vis Sci</w:t>
            </w:r>
            <w:r w:rsidRPr="003C5CCB">
              <w:rPr>
                <w:lang w:val="en-IN"/>
              </w:rPr>
              <w:t>. 2024;</w:t>
            </w:r>
            <w:r w:rsidR="00B512BB">
              <w:rPr>
                <w:lang w:val="en-IN"/>
              </w:rPr>
              <w:t xml:space="preserve"> </w:t>
            </w:r>
            <w:r w:rsidRPr="003C5CCB">
              <w:rPr>
                <w:lang w:val="en-IN"/>
              </w:rPr>
              <w:t>65:380.</w:t>
            </w:r>
          </w:p>
        </w:tc>
      </w:tr>
      <w:tr w:rsidR="001A6CA3" w:rsidRPr="00CA4E40" w14:paraId="4063CB32" w14:textId="77777777">
        <w:tc>
          <w:tcPr>
            <w:tcW w:w="796" w:type="pct"/>
            <w:vMerge w:val="restart"/>
            <w:tcBorders>
              <w:top w:val="single" w:sz="4" w:space="0" w:color="auto"/>
            </w:tcBorders>
            <w:vAlign w:val="center"/>
          </w:tcPr>
          <w:p w14:paraId="7CFBB86E" w14:textId="69A0CCB4" w:rsidR="003459A3" w:rsidRPr="00D12655" w:rsidRDefault="003459A3" w:rsidP="00C843B1">
            <w:pPr>
              <w:pStyle w:val="TableText0"/>
              <w:keepNext w:val="0"/>
              <w:keepLines w:val="0"/>
              <w:widowControl w:val="0"/>
              <w:rPr>
                <w:bCs w:val="0"/>
                <w:lang w:val="en-IN"/>
              </w:rPr>
            </w:pPr>
            <w:r>
              <w:rPr>
                <w:bCs w:val="0"/>
                <w:lang w:val="en-IN"/>
              </w:rPr>
              <w:t>Observational evidence</w:t>
            </w:r>
          </w:p>
        </w:tc>
        <w:tc>
          <w:tcPr>
            <w:tcW w:w="3027" w:type="pct"/>
            <w:tcBorders>
              <w:top w:val="single" w:sz="4" w:space="0" w:color="auto"/>
              <w:bottom w:val="nil"/>
            </w:tcBorders>
          </w:tcPr>
          <w:p w14:paraId="5FDF4819" w14:textId="2CF7EBA0" w:rsidR="003459A3" w:rsidRPr="00CA4E40" w:rsidRDefault="003459A3" w:rsidP="00C843B1">
            <w:pPr>
              <w:pStyle w:val="TableText0"/>
              <w:keepNext w:val="0"/>
              <w:keepLines w:val="0"/>
              <w:widowControl w:val="0"/>
              <w:rPr>
                <w:szCs w:val="18"/>
                <w:lang w:val="en-IN"/>
              </w:rPr>
            </w:pPr>
            <w:r w:rsidRPr="009A29F0">
              <w:rPr>
                <w:szCs w:val="18"/>
              </w:rPr>
              <w:t>Kailani Z et al. O</w:t>
            </w:r>
            <w:r w:rsidRPr="00B30423">
              <w:rPr>
                <w:szCs w:val="18"/>
                <w:lang w:val="en-IN"/>
              </w:rPr>
              <w:t xml:space="preserve">cular adverse events associated with pegcetacoplan and avacincaptad pegol for geographic atrophy: </w:t>
            </w:r>
            <w:r>
              <w:rPr>
                <w:szCs w:val="18"/>
                <w:lang w:val="en-IN"/>
              </w:rPr>
              <w:t>A</w:t>
            </w:r>
            <w:r w:rsidRPr="00B30423">
              <w:rPr>
                <w:szCs w:val="18"/>
                <w:lang w:val="en-IN"/>
              </w:rPr>
              <w:t xml:space="preserve"> population</w:t>
            </w:r>
            <w:r w:rsidR="009B60A6">
              <w:rPr>
                <w:szCs w:val="18"/>
                <w:lang w:val="en-IN"/>
              </w:rPr>
              <w:noBreakHyphen/>
            </w:r>
            <w:r w:rsidRPr="00B30423">
              <w:rPr>
                <w:szCs w:val="18"/>
                <w:lang w:val="en-IN"/>
              </w:rPr>
              <w:t>based pharmacovigilance study.</w:t>
            </w:r>
          </w:p>
        </w:tc>
        <w:tc>
          <w:tcPr>
            <w:tcW w:w="1177" w:type="pct"/>
            <w:tcBorders>
              <w:top w:val="single" w:sz="4" w:space="0" w:color="auto"/>
              <w:bottom w:val="nil"/>
            </w:tcBorders>
            <w:vAlign w:val="center"/>
          </w:tcPr>
          <w:p w14:paraId="4848DF8A" w14:textId="69574093" w:rsidR="003459A3" w:rsidRPr="00B30423" w:rsidRDefault="003459A3" w:rsidP="00B30423">
            <w:pPr>
              <w:pStyle w:val="TableText0"/>
              <w:widowControl w:val="0"/>
              <w:rPr>
                <w:lang w:val="en-IN"/>
              </w:rPr>
            </w:pPr>
            <w:r w:rsidRPr="00B30423">
              <w:rPr>
                <w:i/>
                <w:iCs/>
                <w:lang w:val="en-IN"/>
              </w:rPr>
              <w:t xml:space="preserve">Am J Ophthalmol. </w:t>
            </w:r>
            <w:r w:rsidRPr="00B30423">
              <w:rPr>
                <w:lang w:val="en-IN"/>
              </w:rPr>
              <w:t>2025;</w:t>
            </w:r>
            <w:r w:rsidR="00B512BB">
              <w:rPr>
                <w:lang w:val="en-IN"/>
              </w:rPr>
              <w:t xml:space="preserve"> </w:t>
            </w:r>
            <w:r w:rsidRPr="00B30423">
              <w:rPr>
                <w:lang w:val="en-IN"/>
              </w:rPr>
              <w:t>276:252–260.</w:t>
            </w:r>
          </w:p>
          <w:p w14:paraId="13DDD5E7" w14:textId="77777777" w:rsidR="003459A3" w:rsidRPr="00CA4E40" w:rsidRDefault="003459A3" w:rsidP="00C843B1">
            <w:pPr>
              <w:pStyle w:val="TableText0"/>
              <w:keepNext w:val="0"/>
              <w:keepLines w:val="0"/>
              <w:widowControl w:val="0"/>
              <w:rPr>
                <w:i/>
                <w:iCs/>
                <w:lang w:val="en-IN"/>
              </w:rPr>
            </w:pPr>
          </w:p>
        </w:tc>
      </w:tr>
      <w:tr w:rsidR="001A6CA3" w:rsidRPr="00CA4E40" w14:paraId="57960D4B" w14:textId="77777777">
        <w:tc>
          <w:tcPr>
            <w:tcW w:w="796" w:type="pct"/>
            <w:vMerge/>
            <w:vAlign w:val="center"/>
          </w:tcPr>
          <w:p w14:paraId="4F77138E" w14:textId="749DF9EE" w:rsidR="003459A3" w:rsidRPr="00D12655" w:rsidRDefault="003459A3" w:rsidP="00C843B1">
            <w:pPr>
              <w:pStyle w:val="TableText0"/>
              <w:keepNext w:val="0"/>
              <w:keepLines w:val="0"/>
              <w:widowControl w:val="0"/>
              <w:rPr>
                <w:bCs w:val="0"/>
                <w:lang w:val="en-IN"/>
              </w:rPr>
            </w:pPr>
          </w:p>
        </w:tc>
        <w:tc>
          <w:tcPr>
            <w:tcW w:w="3027" w:type="pct"/>
            <w:tcBorders>
              <w:top w:val="nil"/>
              <w:bottom w:val="nil"/>
            </w:tcBorders>
          </w:tcPr>
          <w:p w14:paraId="263618FC" w14:textId="182280E7" w:rsidR="003459A3" w:rsidRPr="00B30423" w:rsidRDefault="003459A3" w:rsidP="00B30423">
            <w:pPr>
              <w:pStyle w:val="TableText0"/>
              <w:widowControl w:val="0"/>
              <w:rPr>
                <w:szCs w:val="18"/>
                <w:lang w:val="en-IN"/>
              </w:rPr>
            </w:pPr>
            <w:r w:rsidRPr="00B30423">
              <w:rPr>
                <w:szCs w:val="18"/>
                <w:lang w:val="de-DE"/>
              </w:rPr>
              <w:t xml:space="preserve">Rush RB, Klein W, Reinauer RM. </w:t>
            </w:r>
            <w:r w:rsidRPr="00B30423">
              <w:rPr>
                <w:szCs w:val="18"/>
                <w:lang w:val="en-IN"/>
              </w:rPr>
              <w:t>Real</w:t>
            </w:r>
            <w:r w:rsidR="009B60A6">
              <w:rPr>
                <w:szCs w:val="18"/>
                <w:lang w:val="en-IN"/>
              </w:rPr>
              <w:noBreakHyphen/>
            </w:r>
            <w:r w:rsidRPr="00B30423">
              <w:rPr>
                <w:szCs w:val="18"/>
                <w:lang w:val="en-IN"/>
              </w:rPr>
              <w:t xml:space="preserve">world outcomes with complement inhibitors for geographic atrophy: A comparative study of </w:t>
            </w:r>
            <w:r w:rsidR="00EB6036" w:rsidRPr="00B30423">
              <w:rPr>
                <w:szCs w:val="18"/>
                <w:lang w:val="en-IN"/>
              </w:rPr>
              <w:t>pegcetacoplan</w:t>
            </w:r>
            <w:r w:rsidRPr="00B30423">
              <w:rPr>
                <w:szCs w:val="18"/>
                <w:lang w:val="en-IN"/>
              </w:rPr>
              <w:t xml:space="preserve"> versus avacincaptad pegol. </w:t>
            </w:r>
          </w:p>
        </w:tc>
        <w:tc>
          <w:tcPr>
            <w:tcW w:w="1177" w:type="pct"/>
            <w:tcBorders>
              <w:top w:val="nil"/>
              <w:bottom w:val="nil"/>
            </w:tcBorders>
            <w:vAlign w:val="center"/>
          </w:tcPr>
          <w:p w14:paraId="046952B1" w14:textId="53553E8A" w:rsidR="003459A3" w:rsidRPr="00CA4E40" w:rsidRDefault="003459A3" w:rsidP="00C843B1">
            <w:pPr>
              <w:pStyle w:val="TableText0"/>
              <w:keepNext w:val="0"/>
              <w:keepLines w:val="0"/>
              <w:widowControl w:val="0"/>
              <w:rPr>
                <w:lang w:val="en-IN"/>
              </w:rPr>
            </w:pPr>
            <w:r w:rsidRPr="00B30423">
              <w:rPr>
                <w:i/>
                <w:iCs/>
                <w:szCs w:val="18"/>
                <w:lang w:val="en-IN"/>
              </w:rPr>
              <w:t>Clin Ophthalmol.</w:t>
            </w:r>
            <w:r w:rsidRPr="00B30423">
              <w:rPr>
                <w:szCs w:val="18"/>
                <w:lang w:val="en-IN"/>
              </w:rPr>
              <w:t xml:space="preserve"> 2025;</w:t>
            </w:r>
            <w:r w:rsidR="00B512BB">
              <w:rPr>
                <w:szCs w:val="18"/>
                <w:lang w:val="en-IN"/>
              </w:rPr>
              <w:t xml:space="preserve"> </w:t>
            </w:r>
            <w:r w:rsidRPr="00B30423">
              <w:rPr>
                <w:szCs w:val="18"/>
                <w:lang w:val="en-IN"/>
              </w:rPr>
              <w:t>19:1167–1174.</w:t>
            </w:r>
          </w:p>
        </w:tc>
      </w:tr>
      <w:tr w:rsidR="001A6CA3" w:rsidRPr="00CA4E40" w14:paraId="4B7D4D06" w14:textId="77777777">
        <w:tc>
          <w:tcPr>
            <w:tcW w:w="796" w:type="pct"/>
            <w:vMerge/>
            <w:vAlign w:val="center"/>
          </w:tcPr>
          <w:p w14:paraId="3288CA8B" w14:textId="77777777" w:rsidR="003459A3" w:rsidRPr="00D12655" w:rsidRDefault="003459A3" w:rsidP="00C843B1">
            <w:pPr>
              <w:pStyle w:val="TableText0"/>
              <w:keepNext w:val="0"/>
              <w:keepLines w:val="0"/>
              <w:widowControl w:val="0"/>
              <w:rPr>
                <w:bCs w:val="0"/>
                <w:lang w:val="en-IN"/>
              </w:rPr>
            </w:pPr>
          </w:p>
        </w:tc>
        <w:tc>
          <w:tcPr>
            <w:tcW w:w="3027" w:type="pct"/>
            <w:tcBorders>
              <w:top w:val="nil"/>
              <w:bottom w:val="nil"/>
            </w:tcBorders>
          </w:tcPr>
          <w:p w14:paraId="44CEF73C" w14:textId="25CB3BA0" w:rsidR="003459A3" w:rsidRPr="00CA4E40" w:rsidRDefault="003459A3" w:rsidP="00B30423">
            <w:pPr>
              <w:pStyle w:val="TableText0"/>
              <w:widowControl w:val="0"/>
              <w:rPr>
                <w:szCs w:val="18"/>
                <w:lang w:val="en-IN"/>
              </w:rPr>
            </w:pPr>
            <w:r w:rsidRPr="00B30423">
              <w:rPr>
                <w:szCs w:val="18"/>
                <w:lang w:val="en-IN"/>
              </w:rPr>
              <w:t>Rush RB</w:t>
            </w:r>
            <w:r>
              <w:rPr>
                <w:szCs w:val="18"/>
                <w:lang w:val="en-IN"/>
              </w:rPr>
              <w:t xml:space="preserve"> </w:t>
            </w:r>
            <w:r w:rsidRPr="00B30423">
              <w:rPr>
                <w:szCs w:val="18"/>
                <w:lang w:val="en-IN"/>
              </w:rPr>
              <w:t>et al. Real</w:t>
            </w:r>
            <w:r w:rsidR="009B60A6">
              <w:rPr>
                <w:szCs w:val="18"/>
                <w:lang w:val="en-IN"/>
              </w:rPr>
              <w:noBreakHyphen/>
            </w:r>
            <w:r w:rsidRPr="00B30423">
              <w:rPr>
                <w:szCs w:val="18"/>
                <w:lang w:val="en-IN"/>
              </w:rPr>
              <w:t>world outcomes in pre</w:t>
            </w:r>
            <w:r w:rsidR="009B60A6">
              <w:rPr>
                <w:szCs w:val="18"/>
                <w:lang w:val="en-IN"/>
              </w:rPr>
              <w:noBreakHyphen/>
            </w:r>
            <w:r w:rsidRPr="00B30423">
              <w:rPr>
                <w:szCs w:val="18"/>
                <w:lang w:val="en-IN"/>
              </w:rPr>
              <w:t>existing neovascular age</w:t>
            </w:r>
            <w:r w:rsidR="009B60A6">
              <w:rPr>
                <w:szCs w:val="18"/>
                <w:lang w:val="en-IN"/>
              </w:rPr>
              <w:noBreakHyphen/>
            </w:r>
            <w:r w:rsidRPr="00B30423">
              <w:rPr>
                <w:szCs w:val="18"/>
                <w:lang w:val="en-IN"/>
              </w:rPr>
              <w:t xml:space="preserve">related macular degeneration subjects undergoing avacincaptad therapy for geographic atrophy. </w:t>
            </w:r>
          </w:p>
        </w:tc>
        <w:tc>
          <w:tcPr>
            <w:tcW w:w="1177" w:type="pct"/>
            <w:tcBorders>
              <w:top w:val="nil"/>
              <w:bottom w:val="nil"/>
            </w:tcBorders>
            <w:vAlign w:val="center"/>
          </w:tcPr>
          <w:p w14:paraId="52EF903D" w14:textId="084D06A2" w:rsidR="003459A3" w:rsidRPr="00CA4E40" w:rsidRDefault="003459A3" w:rsidP="00C843B1">
            <w:pPr>
              <w:pStyle w:val="TableText0"/>
              <w:keepNext w:val="0"/>
              <w:keepLines w:val="0"/>
              <w:widowControl w:val="0"/>
              <w:rPr>
                <w:i/>
                <w:iCs/>
                <w:lang w:val="en-IN"/>
              </w:rPr>
            </w:pPr>
            <w:r w:rsidRPr="00B30423">
              <w:rPr>
                <w:i/>
                <w:iCs/>
                <w:szCs w:val="18"/>
                <w:lang w:val="en-IN"/>
              </w:rPr>
              <w:t>Clin Ophthalmol.</w:t>
            </w:r>
            <w:r w:rsidRPr="00B30423">
              <w:rPr>
                <w:szCs w:val="18"/>
                <w:lang w:val="en-IN"/>
              </w:rPr>
              <w:t xml:space="preserve"> 2024;</w:t>
            </w:r>
            <w:r w:rsidR="00B512BB">
              <w:rPr>
                <w:szCs w:val="18"/>
                <w:lang w:val="en-IN"/>
              </w:rPr>
              <w:t xml:space="preserve"> </w:t>
            </w:r>
            <w:r w:rsidRPr="00B30423">
              <w:rPr>
                <w:szCs w:val="18"/>
                <w:lang w:val="en-IN"/>
              </w:rPr>
              <w:t>18:4011–4018.</w:t>
            </w:r>
          </w:p>
        </w:tc>
      </w:tr>
      <w:tr w:rsidR="001A6CA3" w:rsidRPr="00CA4E40" w14:paraId="4613636E" w14:textId="77777777" w:rsidTr="000C348E">
        <w:tc>
          <w:tcPr>
            <w:tcW w:w="796" w:type="pct"/>
            <w:vMerge/>
            <w:tcBorders>
              <w:bottom w:val="single" w:sz="4" w:space="0" w:color="auto"/>
            </w:tcBorders>
            <w:vAlign w:val="center"/>
          </w:tcPr>
          <w:p w14:paraId="29DF6032" w14:textId="77777777" w:rsidR="003459A3" w:rsidRPr="00D12655" w:rsidRDefault="003459A3" w:rsidP="00C843B1">
            <w:pPr>
              <w:pStyle w:val="TableText0"/>
              <w:keepNext w:val="0"/>
              <w:keepLines w:val="0"/>
              <w:widowControl w:val="0"/>
              <w:rPr>
                <w:bCs w:val="0"/>
                <w:lang w:val="en-IN"/>
              </w:rPr>
            </w:pPr>
          </w:p>
        </w:tc>
        <w:tc>
          <w:tcPr>
            <w:tcW w:w="3027" w:type="pct"/>
            <w:tcBorders>
              <w:top w:val="nil"/>
              <w:bottom w:val="single" w:sz="4" w:space="0" w:color="auto"/>
            </w:tcBorders>
          </w:tcPr>
          <w:p w14:paraId="797A2C9C" w14:textId="27CBD485" w:rsidR="003459A3" w:rsidRPr="00B30423" w:rsidRDefault="003459A3" w:rsidP="00B30423">
            <w:pPr>
              <w:pStyle w:val="TableText0"/>
              <w:widowControl w:val="0"/>
              <w:rPr>
                <w:szCs w:val="18"/>
                <w:lang w:val="en-IN"/>
              </w:rPr>
            </w:pPr>
            <w:r w:rsidRPr="00B30423">
              <w:rPr>
                <w:szCs w:val="18"/>
                <w:lang w:val="en-IN"/>
              </w:rPr>
              <w:t>Rush RB</w:t>
            </w:r>
            <w:r>
              <w:rPr>
                <w:szCs w:val="18"/>
                <w:lang w:val="en-IN"/>
              </w:rPr>
              <w:t xml:space="preserve"> </w:t>
            </w:r>
            <w:r w:rsidRPr="00B30423">
              <w:rPr>
                <w:szCs w:val="18"/>
                <w:lang w:val="en-IN"/>
              </w:rPr>
              <w:t>et al. One</w:t>
            </w:r>
            <w:r w:rsidR="009B60A6">
              <w:rPr>
                <w:szCs w:val="18"/>
                <w:lang w:val="en-IN"/>
              </w:rPr>
              <w:noBreakHyphen/>
            </w:r>
            <w:r w:rsidRPr="00B30423">
              <w:rPr>
                <w:szCs w:val="18"/>
                <w:lang w:val="en-IN"/>
              </w:rPr>
              <w:t xml:space="preserve">year outcomes in subjects developing macular neovascularization while undergoing avacincaptad pegol therapy for geographic atrophy. </w:t>
            </w:r>
          </w:p>
        </w:tc>
        <w:tc>
          <w:tcPr>
            <w:tcW w:w="1177" w:type="pct"/>
            <w:tcBorders>
              <w:top w:val="nil"/>
              <w:bottom w:val="single" w:sz="4" w:space="0" w:color="auto"/>
            </w:tcBorders>
            <w:vAlign w:val="center"/>
          </w:tcPr>
          <w:p w14:paraId="5F0E63B1" w14:textId="637891CD" w:rsidR="003459A3" w:rsidRPr="00B30423" w:rsidRDefault="003459A3" w:rsidP="00C843B1">
            <w:pPr>
              <w:pStyle w:val="TableText0"/>
              <w:keepNext w:val="0"/>
              <w:keepLines w:val="0"/>
              <w:widowControl w:val="0"/>
              <w:rPr>
                <w:i/>
                <w:iCs/>
                <w:szCs w:val="18"/>
                <w:lang w:val="en-IN"/>
              </w:rPr>
            </w:pPr>
            <w:r w:rsidRPr="00B30423">
              <w:rPr>
                <w:i/>
                <w:iCs/>
                <w:szCs w:val="18"/>
                <w:lang w:val="en-IN"/>
              </w:rPr>
              <w:t>Clin Ophthalmol.</w:t>
            </w:r>
            <w:r w:rsidRPr="00B30423">
              <w:rPr>
                <w:szCs w:val="18"/>
                <w:lang w:val="en-IN"/>
              </w:rPr>
              <w:t xml:space="preserve"> 2025;</w:t>
            </w:r>
            <w:r w:rsidR="00AD6C6E">
              <w:rPr>
                <w:szCs w:val="18"/>
                <w:lang w:val="en-IN"/>
              </w:rPr>
              <w:t xml:space="preserve"> </w:t>
            </w:r>
            <w:r w:rsidRPr="00B30423">
              <w:rPr>
                <w:szCs w:val="18"/>
                <w:lang w:val="en-IN"/>
              </w:rPr>
              <w:t>19:111–118.</w:t>
            </w:r>
          </w:p>
        </w:tc>
      </w:tr>
      <w:tr w:rsidR="001A6CA3" w:rsidRPr="00D86D87" w14:paraId="5DEDE8EB" w14:textId="77777777">
        <w:tc>
          <w:tcPr>
            <w:tcW w:w="796" w:type="pct"/>
            <w:vMerge w:val="restart"/>
            <w:vAlign w:val="center"/>
          </w:tcPr>
          <w:p w14:paraId="56AB5A76" w14:textId="633CF99C" w:rsidR="003459A3" w:rsidRPr="00D86D87" w:rsidRDefault="003459A3" w:rsidP="00C843B1">
            <w:pPr>
              <w:pStyle w:val="TableText0"/>
              <w:widowControl w:val="0"/>
            </w:pPr>
            <w:r>
              <w:rPr>
                <w:bCs w:val="0"/>
                <w:lang w:val="en-IN"/>
              </w:rPr>
              <w:t>Indirect treatment comparison</w:t>
            </w:r>
          </w:p>
        </w:tc>
        <w:tc>
          <w:tcPr>
            <w:tcW w:w="3027" w:type="pct"/>
            <w:tcBorders>
              <w:bottom w:val="nil"/>
            </w:tcBorders>
            <w:vAlign w:val="center"/>
          </w:tcPr>
          <w:p w14:paraId="06BA3338" w14:textId="3F5D43AD" w:rsidR="003459A3" w:rsidRPr="00FE0CA4" w:rsidRDefault="003459A3" w:rsidP="00FE0CA4">
            <w:pPr>
              <w:pStyle w:val="TableText0"/>
              <w:widowControl w:val="0"/>
              <w:rPr>
                <w:lang w:val="en-IN"/>
              </w:rPr>
            </w:pPr>
            <w:r w:rsidRPr="00FE0CA4">
              <w:t>Wang</w:t>
            </w:r>
            <w:r w:rsidRPr="00FE0CA4">
              <w:rPr>
                <w:lang w:val="en-IN"/>
              </w:rPr>
              <w:t xml:space="preserve"> H</w:t>
            </w:r>
            <w:r>
              <w:rPr>
                <w:lang w:val="en-IN"/>
              </w:rPr>
              <w:t xml:space="preserve"> </w:t>
            </w:r>
            <w:r w:rsidRPr="00FE0CA4">
              <w:rPr>
                <w:lang w:val="en-IN"/>
              </w:rPr>
              <w:t>et al. Efficacy and safety of complement inhibitors in patients with geographic atrophy associated with age</w:t>
            </w:r>
            <w:r w:rsidR="009B60A6">
              <w:rPr>
                <w:lang w:val="en-IN"/>
              </w:rPr>
              <w:noBreakHyphen/>
            </w:r>
            <w:r w:rsidRPr="00FE0CA4">
              <w:rPr>
                <w:lang w:val="en-IN"/>
              </w:rPr>
              <w:t>related macular degeneration: a network meta</w:t>
            </w:r>
            <w:r w:rsidR="009B60A6">
              <w:rPr>
                <w:lang w:val="en-IN"/>
              </w:rPr>
              <w:noBreakHyphen/>
            </w:r>
            <w:r w:rsidRPr="00FE0CA4">
              <w:rPr>
                <w:lang w:val="en-IN"/>
              </w:rPr>
              <w:t xml:space="preserve">analysis of randomized controlled trials. </w:t>
            </w:r>
          </w:p>
        </w:tc>
        <w:tc>
          <w:tcPr>
            <w:tcW w:w="1177" w:type="pct"/>
            <w:tcBorders>
              <w:bottom w:val="nil"/>
            </w:tcBorders>
            <w:vAlign w:val="center"/>
          </w:tcPr>
          <w:p w14:paraId="2A71EBAF" w14:textId="77777777" w:rsidR="003459A3" w:rsidRDefault="003459A3" w:rsidP="00C843B1">
            <w:pPr>
              <w:pStyle w:val="TableText0"/>
              <w:keepNext w:val="0"/>
              <w:keepLines w:val="0"/>
              <w:widowControl w:val="0"/>
              <w:rPr>
                <w:lang w:val="en-IN"/>
              </w:rPr>
            </w:pPr>
            <w:r w:rsidRPr="00FE0CA4">
              <w:rPr>
                <w:i/>
                <w:iCs/>
                <w:lang w:val="en-IN"/>
              </w:rPr>
              <w:t>Front Pharmacol.</w:t>
            </w:r>
            <w:r w:rsidRPr="00FE0CA4">
              <w:rPr>
                <w:lang w:val="en-IN"/>
              </w:rPr>
              <w:t xml:space="preserve"> </w:t>
            </w:r>
          </w:p>
          <w:p w14:paraId="304B905C" w14:textId="237E5AE3" w:rsidR="003459A3" w:rsidRPr="00D86D87" w:rsidRDefault="003459A3" w:rsidP="00C843B1">
            <w:pPr>
              <w:pStyle w:val="TableText0"/>
              <w:keepNext w:val="0"/>
              <w:keepLines w:val="0"/>
              <w:widowControl w:val="0"/>
            </w:pPr>
            <w:r w:rsidRPr="00FE0CA4">
              <w:rPr>
                <w:lang w:val="en-IN"/>
              </w:rPr>
              <w:t>2024 Nov 12;</w:t>
            </w:r>
            <w:r w:rsidR="00AD6C6E">
              <w:rPr>
                <w:lang w:val="en-IN"/>
              </w:rPr>
              <w:t xml:space="preserve"> </w:t>
            </w:r>
            <w:r w:rsidRPr="00FE0CA4">
              <w:rPr>
                <w:lang w:val="en-IN"/>
              </w:rPr>
              <w:t>15:1410172.</w:t>
            </w:r>
          </w:p>
        </w:tc>
      </w:tr>
      <w:tr w:rsidR="001A6CA3" w:rsidRPr="00D86D87" w14:paraId="4BA3C47A" w14:textId="77777777" w:rsidTr="000C348E">
        <w:tc>
          <w:tcPr>
            <w:tcW w:w="796" w:type="pct"/>
            <w:vMerge/>
            <w:tcBorders>
              <w:bottom w:val="single" w:sz="4" w:space="0" w:color="auto"/>
            </w:tcBorders>
            <w:vAlign w:val="center"/>
          </w:tcPr>
          <w:p w14:paraId="0B0D74DD" w14:textId="4D417547" w:rsidR="003459A3" w:rsidRPr="00D12655" w:rsidRDefault="003459A3" w:rsidP="00C843B1">
            <w:pPr>
              <w:pStyle w:val="TableText0"/>
              <w:keepNext w:val="0"/>
              <w:keepLines w:val="0"/>
              <w:widowControl w:val="0"/>
              <w:rPr>
                <w:bCs w:val="0"/>
              </w:rPr>
            </w:pPr>
          </w:p>
        </w:tc>
        <w:tc>
          <w:tcPr>
            <w:tcW w:w="3027" w:type="pct"/>
            <w:tcBorders>
              <w:top w:val="nil"/>
              <w:bottom w:val="single" w:sz="4" w:space="0" w:color="auto"/>
            </w:tcBorders>
            <w:vAlign w:val="center"/>
          </w:tcPr>
          <w:p w14:paraId="1E48EE92" w14:textId="51FB52FA" w:rsidR="003459A3" w:rsidRPr="00FE0CA4" w:rsidRDefault="003459A3" w:rsidP="00FE0CA4">
            <w:pPr>
              <w:pStyle w:val="TableText0"/>
              <w:widowControl w:val="0"/>
              <w:rPr>
                <w:szCs w:val="18"/>
                <w:lang w:val="en-IN"/>
              </w:rPr>
            </w:pPr>
            <w:r w:rsidRPr="009A29F0">
              <w:rPr>
                <w:szCs w:val="18"/>
              </w:rPr>
              <w:t xml:space="preserve">Zarbin MA et al. </w:t>
            </w:r>
            <w:r w:rsidRPr="00FE0CA4">
              <w:rPr>
                <w:szCs w:val="18"/>
                <w:lang w:val="en-IN"/>
              </w:rPr>
              <w:t>Pegcetacoplan vs avacincaptad pegol in geographic atrophy: an anchored matching</w:t>
            </w:r>
            <w:r w:rsidR="009B60A6">
              <w:rPr>
                <w:szCs w:val="18"/>
                <w:lang w:val="en-IN"/>
              </w:rPr>
              <w:noBreakHyphen/>
            </w:r>
            <w:r w:rsidRPr="00FE0CA4">
              <w:rPr>
                <w:szCs w:val="18"/>
                <w:lang w:val="en-IN"/>
              </w:rPr>
              <w:t xml:space="preserve">adjusted indirect comparison of three phase 3 trials. </w:t>
            </w:r>
          </w:p>
        </w:tc>
        <w:tc>
          <w:tcPr>
            <w:tcW w:w="1177" w:type="pct"/>
            <w:tcBorders>
              <w:top w:val="nil"/>
              <w:bottom w:val="single" w:sz="4" w:space="0" w:color="auto"/>
            </w:tcBorders>
            <w:vAlign w:val="center"/>
          </w:tcPr>
          <w:p w14:paraId="6EF517ED" w14:textId="41718225" w:rsidR="003459A3" w:rsidRPr="00D86D87" w:rsidRDefault="003459A3" w:rsidP="00C843B1">
            <w:pPr>
              <w:pStyle w:val="TableText0"/>
              <w:keepNext w:val="0"/>
              <w:keepLines w:val="0"/>
              <w:widowControl w:val="0"/>
            </w:pPr>
            <w:r w:rsidRPr="00FE0CA4">
              <w:rPr>
                <w:i/>
                <w:iCs/>
                <w:szCs w:val="18"/>
                <w:lang w:val="en-IN"/>
              </w:rPr>
              <w:t>Invest Ophthalmol Vis Sci.</w:t>
            </w:r>
            <w:r w:rsidRPr="00FE0CA4">
              <w:rPr>
                <w:szCs w:val="18"/>
                <w:lang w:val="en-IN"/>
              </w:rPr>
              <w:t xml:space="preserve"> 2024 Jun;</w:t>
            </w:r>
            <w:r w:rsidR="00AD6C6E">
              <w:rPr>
                <w:szCs w:val="18"/>
                <w:lang w:val="en-IN"/>
              </w:rPr>
              <w:t xml:space="preserve"> </w:t>
            </w:r>
            <w:r w:rsidRPr="00FE0CA4">
              <w:rPr>
                <w:szCs w:val="18"/>
                <w:lang w:val="en-IN"/>
              </w:rPr>
              <w:t>65(8):6487.</w:t>
            </w:r>
          </w:p>
        </w:tc>
      </w:tr>
      <w:tr w:rsidR="001A6CA3" w:rsidRPr="00D12655" w14:paraId="5674B9AA" w14:textId="77777777" w:rsidTr="000C348E">
        <w:tc>
          <w:tcPr>
            <w:tcW w:w="796" w:type="pct"/>
            <w:vMerge/>
            <w:tcBorders>
              <w:top w:val="single" w:sz="4" w:space="0" w:color="auto"/>
              <w:bottom w:val="single" w:sz="4" w:space="0" w:color="auto"/>
            </w:tcBorders>
            <w:vAlign w:val="center"/>
          </w:tcPr>
          <w:p w14:paraId="64B54D04" w14:textId="5BD4153A" w:rsidR="003459A3" w:rsidRPr="00D12655" w:rsidRDefault="003459A3" w:rsidP="00C843B1">
            <w:pPr>
              <w:pStyle w:val="TableText0"/>
              <w:keepNext w:val="0"/>
              <w:keepLines w:val="0"/>
              <w:widowControl w:val="0"/>
              <w:rPr>
                <w:bCs w:val="0"/>
                <w:lang w:val="en-IN"/>
              </w:rPr>
            </w:pPr>
          </w:p>
        </w:tc>
        <w:tc>
          <w:tcPr>
            <w:tcW w:w="3027" w:type="pct"/>
            <w:tcBorders>
              <w:top w:val="single" w:sz="4" w:space="0" w:color="auto"/>
              <w:bottom w:val="single" w:sz="4" w:space="0" w:color="auto"/>
            </w:tcBorders>
            <w:vAlign w:val="center"/>
          </w:tcPr>
          <w:p w14:paraId="1A588459" w14:textId="2E346CA0" w:rsidR="003459A3" w:rsidRPr="009A29F0" w:rsidRDefault="003459A3" w:rsidP="00C843B1">
            <w:pPr>
              <w:pStyle w:val="TableText0"/>
              <w:keepNext w:val="0"/>
              <w:keepLines w:val="0"/>
              <w:widowControl w:val="0"/>
              <w:rPr>
                <w:szCs w:val="18"/>
              </w:rPr>
            </w:pPr>
            <w:r w:rsidRPr="00FE0CA4">
              <w:rPr>
                <w:szCs w:val="18"/>
                <w:lang w:val="en-IN"/>
              </w:rPr>
              <w:t>Jovanovik. Comparative efficacy and safety of avacincaptad pegol vs. pegcetacoplan in treatment of geographic atrophy: insights from a multi</w:t>
            </w:r>
            <w:r w:rsidR="009B60A6">
              <w:rPr>
                <w:szCs w:val="18"/>
                <w:lang w:val="en-IN"/>
              </w:rPr>
              <w:noBreakHyphen/>
            </w:r>
            <w:r w:rsidRPr="00FE0CA4">
              <w:rPr>
                <w:szCs w:val="18"/>
                <w:lang w:val="en-IN"/>
              </w:rPr>
              <w:t>level network meta</w:t>
            </w:r>
            <w:r w:rsidR="009B60A6">
              <w:rPr>
                <w:szCs w:val="18"/>
                <w:lang w:val="en-IN"/>
              </w:rPr>
              <w:noBreakHyphen/>
            </w:r>
            <w:r w:rsidRPr="00FE0CA4">
              <w:rPr>
                <w:szCs w:val="18"/>
                <w:lang w:val="en-IN"/>
              </w:rPr>
              <w:t xml:space="preserve">regression. </w:t>
            </w:r>
          </w:p>
        </w:tc>
        <w:tc>
          <w:tcPr>
            <w:tcW w:w="1177" w:type="pct"/>
            <w:tcBorders>
              <w:top w:val="single" w:sz="4" w:space="0" w:color="auto"/>
              <w:bottom w:val="single" w:sz="4" w:space="0" w:color="auto"/>
            </w:tcBorders>
            <w:vAlign w:val="center"/>
          </w:tcPr>
          <w:p w14:paraId="50DA0167" w14:textId="7CEE77D8" w:rsidR="003459A3" w:rsidRPr="00D12655" w:rsidRDefault="003459A3" w:rsidP="00C843B1">
            <w:pPr>
              <w:pStyle w:val="TableText0"/>
              <w:keepNext w:val="0"/>
              <w:keepLines w:val="0"/>
              <w:widowControl w:val="0"/>
              <w:rPr>
                <w:i/>
                <w:iCs/>
                <w:lang w:val="en-IN"/>
              </w:rPr>
            </w:pPr>
            <w:r w:rsidRPr="00FE0CA4">
              <w:rPr>
                <w:i/>
                <w:iCs/>
                <w:szCs w:val="18"/>
                <w:lang w:val="en-IN"/>
              </w:rPr>
              <w:t>Value in Health.</w:t>
            </w:r>
            <w:r w:rsidRPr="00FE0CA4">
              <w:rPr>
                <w:szCs w:val="18"/>
                <w:lang w:val="en-IN"/>
              </w:rPr>
              <w:t xml:space="preserve"> 2025;</w:t>
            </w:r>
            <w:r w:rsidR="00AD6C6E">
              <w:rPr>
                <w:szCs w:val="18"/>
                <w:lang w:val="en-IN"/>
              </w:rPr>
              <w:t xml:space="preserve"> </w:t>
            </w:r>
            <w:r w:rsidRPr="00FE0CA4">
              <w:rPr>
                <w:szCs w:val="18"/>
                <w:lang w:val="en-IN"/>
              </w:rPr>
              <w:t>28(S2)</w:t>
            </w:r>
          </w:p>
        </w:tc>
      </w:tr>
    </w:tbl>
    <w:p w14:paraId="61D39F46" w14:textId="0E2720AA" w:rsidR="00CF3120" w:rsidRDefault="00432FF5">
      <w:pPr>
        <w:pStyle w:val="TableFigureFooter"/>
      </w:pPr>
      <w:r>
        <w:t>Source: Table 2.2</w:t>
      </w:r>
      <w:r w:rsidR="009B60A6">
        <w:noBreakHyphen/>
      </w:r>
      <w:r>
        <w:t>1, pp54</w:t>
      </w:r>
      <w:r w:rsidR="009B60A6">
        <w:noBreakHyphen/>
      </w:r>
      <w:r>
        <w:t>57 of the submission.</w:t>
      </w:r>
    </w:p>
    <w:p w14:paraId="53C533F3" w14:textId="028CE1E1" w:rsidR="00C843B1" w:rsidRPr="00D86D87" w:rsidRDefault="00C843B1" w:rsidP="00D302AA">
      <w:pPr>
        <w:pStyle w:val="TableFigureFooter"/>
        <w:rPr>
          <w:rStyle w:val="CommentReference"/>
          <w:b w:val="0"/>
          <w:szCs w:val="24"/>
        </w:rPr>
      </w:pPr>
      <w:r>
        <w:t>AMD = age</w:t>
      </w:r>
      <w:r w:rsidR="009B60A6">
        <w:noBreakHyphen/>
      </w:r>
      <w:r>
        <w:t>related macular degeneration; C3 = Complement component 3; C5 = Complement component 5; GA = geographic atrophy; OCT = optical coherence tomography; RPE = Retinal pigment epithelium.</w:t>
      </w:r>
    </w:p>
    <w:p w14:paraId="1DD06D7D" w14:textId="2B175D29" w:rsidR="007F1017" w:rsidRPr="00D86D87" w:rsidRDefault="008F120A" w:rsidP="00EC5836">
      <w:pPr>
        <w:pStyle w:val="3-BodyText"/>
        <w:rPr>
          <w:color w:val="0066FF"/>
        </w:rPr>
      </w:pPr>
      <w:r w:rsidRPr="00D86D87">
        <w:t xml:space="preserve">The key features of </w:t>
      </w:r>
      <w:r w:rsidR="00FE0CA4">
        <w:t>GAT</w:t>
      </w:r>
      <w:r w:rsidR="00E73595">
        <w:t>H</w:t>
      </w:r>
      <w:r w:rsidR="00FE0CA4">
        <w:t>ER1 and GATHER2</w:t>
      </w:r>
      <w:r w:rsidRPr="00D86D87">
        <w:t xml:space="preserve"> are summarised in</w:t>
      </w:r>
      <w:r w:rsidR="00C85414">
        <w:t xml:space="preserve"> </w:t>
      </w:r>
      <w:r w:rsidR="00C85414">
        <w:fldChar w:fldCharType="begin"/>
      </w:r>
      <w:r w:rsidR="00C85414">
        <w:instrText xml:space="preserve"> REF _Ref217322630 \h </w:instrText>
      </w:r>
      <w:r w:rsidR="00C85414">
        <w:fldChar w:fldCharType="separate"/>
      </w:r>
      <w:r w:rsidR="00962F38">
        <w:t xml:space="preserve">Table </w:t>
      </w:r>
      <w:r w:rsidR="00962F38">
        <w:rPr>
          <w:noProof/>
        </w:rPr>
        <w:t>3</w:t>
      </w:r>
      <w:r w:rsidR="00C85414">
        <w:fldChar w:fldCharType="end"/>
      </w:r>
      <w:r w:rsidRPr="00D86D87">
        <w:t>.</w:t>
      </w:r>
    </w:p>
    <w:p w14:paraId="48A74A74" w14:textId="4A444C34" w:rsidR="00D648D9" w:rsidRDefault="00D648D9" w:rsidP="00D648D9">
      <w:pPr>
        <w:pStyle w:val="TableFigureHeading"/>
      </w:pPr>
      <w:bookmarkStart w:id="20" w:name="_Ref217322630"/>
      <w:r>
        <w:lastRenderedPageBreak/>
        <w:t xml:space="preserve">Table </w:t>
      </w:r>
      <w:fldSimple w:instr=" SEQ Table \* ARABIC ">
        <w:r w:rsidR="00962F38">
          <w:rPr>
            <w:noProof/>
          </w:rPr>
          <w:t>3</w:t>
        </w:r>
      </w:fldSimple>
      <w:bookmarkEnd w:id="20"/>
      <w:r>
        <w:t xml:space="preserve">: </w:t>
      </w:r>
      <w:r w:rsidRPr="00D86D87">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73"/>
        <w:gridCol w:w="552"/>
        <w:gridCol w:w="1021"/>
        <w:gridCol w:w="711"/>
        <w:gridCol w:w="1273"/>
        <w:gridCol w:w="3172"/>
        <w:gridCol w:w="1315"/>
      </w:tblGrid>
      <w:tr w:rsidR="001668A9" w:rsidRPr="00D86D87" w14:paraId="53DD7CC6" w14:textId="77777777" w:rsidTr="00C216AD">
        <w:trPr>
          <w:cantSplit/>
          <w:tblHeader/>
        </w:trPr>
        <w:tc>
          <w:tcPr>
            <w:tcW w:w="540" w:type="pct"/>
            <w:vAlign w:val="center"/>
          </w:tcPr>
          <w:p w14:paraId="794116BC" w14:textId="77777777" w:rsidR="007F1017" w:rsidRPr="00D86D87" w:rsidRDefault="007F1017" w:rsidP="001E34DF">
            <w:pPr>
              <w:pStyle w:val="In-tableHeading"/>
              <w:rPr>
                <w:lang w:val="en-AU"/>
              </w:rPr>
            </w:pPr>
            <w:r w:rsidRPr="00D86D87">
              <w:rPr>
                <w:lang w:val="en-AU"/>
              </w:rPr>
              <w:t>Trial</w:t>
            </w:r>
          </w:p>
        </w:tc>
        <w:tc>
          <w:tcPr>
            <w:tcW w:w="306" w:type="pct"/>
            <w:vAlign w:val="center"/>
          </w:tcPr>
          <w:p w14:paraId="51122FE5" w14:textId="77777777" w:rsidR="007F1017" w:rsidRPr="00D86D87" w:rsidRDefault="007F1017" w:rsidP="00EC5836">
            <w:pPr>
              <w:pStyle w:val="In-tableHeading"/>
              <w:jc w:val="center"/>
              <w:rPr>
                <w:lang w:val="en-AU"/>
              </w:rPr>
            </w:pPr>
            <w:r w:rsidRPr="00D86D87">
              <w:rPr>
                <w:lang w:val="en-AU"/>
              </w:rPr>
              <w:t>N</w:t>
            </w:r>
          </w:p>
        </w:tc>
        <w:tc>
          <w:tcPr>
            <w:tcW w:w="566" w:type="pct"/>
            <w:vAlign w:val="center"/>
          </w:tcPr>
          <w:p w14:paraId="41C438EF" w14:textId="77777777" w:rsidR="007F1017" w:rsidRPr="00D86D87" w:rsidRDefault="007F1017" w:rsidP="00EC5836">
            <w:pPr>
              <w:pStyle w:val="In-tableHeading"/>
              <w:jc w:val="center"/>
              <w:rPr>
                <w:lang w:val="en-AU"/>
              </w:rPr>
            </w:pPr>
            <w:r w:rsidRPr="00D86D87">
              <w:rPr>
                <w:lang w:val="en-AU"/>
              </w:rPr>
              <w:t>Design/ duration</w:t>
            </w:r>
          </w:p>
        </w:tc>
        <w:tc>
          <w:tcPr>
            <w:tcW w:w="394" w:type="pct"/>
            <w:vAlign w:val="center"/>
          </w:tcPr>
          <w:p w14:paraId="1FC91360" w14:textId="77777777" w:rsidR="007F1017" w:rsidRPr="00D86D87" w:rsidRDefault="007F1017" w:rsidP="00EC5836">
            <w:pPr>
              <w:pStyle w:val="In-tableHeading"/>
              <w:jc w:val="center"/>
              <w:rPr>
                <w:lang w:val="en-AU"/>
              </w:rPr>
            </w:pPr>
            <w:r w:rsidRPr="00D86D87">
              <w:rPr>
                <w:lang w:val="en-AU"/>
              </w:rPr>
              <w:t>Risk of bias</w:t>
            </w:r>
          </w:p>
        </w:tc>
        <w:tc>
          <w:tcPr>
            <w:tcW w:w="706" w:type="pct"/>
            <w:vAlign w:val="center"/>
          </w:tcPr>
          <w:p w14:paraId="7FF90896" w14:textId="77777777" w:rsidR="007F1017" w:rsidRPr="00D86D87" w:rsidRDefault="007F1017" w:rsidP="00EC5836">
            <w:pPr>
              <w:pStyle w:val="In-tableHeading"/>
              <w:jc w:val="center"/>
              <w:rPr>
                <w:lang w:val="en-AU"/>
              </w:rPr>
            </w:pPr>
            <w:r w:rsidRPr="00D86D87">
              <w:rPr>
                <w:lang w:val="en-AU"/>
              </w:rPr>
              <w:t>Patient population</w:t>
            </w:r>
          </w:p>
        </w:tc>
        <w:tc>
          <w:tcPr>
            <w:tcW w:w="1759" w:type="pct"/>
            <w:vAlign w:val="center"/>
          </w:tcPr>
          <w:p w14:paraId="0FCB63F9" w14:textId="77777777" w:rsidR="007F1017" w:rsidRPr="00D86D87" w:rsidRDefault="007F1017" w:rsidP="00EC5836">
            <w:pPr>
              <w:pStyle w:val="In-tableHeading"/>
              <w:jc w:val="center"/>
              <w:rPr>
                <w:lang w:val="en-AU"/>
              </w:rPr>
            </w:pPr>
            <w:r w:rsidRPr="00D86D87">
              <w:rPr>
                <w:lang w:val="en-AU"/>
              </w:rPr>
              <w:t>Outcome(s)</w:t>
            </w:r>
          </w:p>
        </w:tc>
        <w:tc>
          <w:tcPr>
            <w:tcW w:w="728" w:type="pct"/>
            <w:vAlign w:val="center"/>
          </w:tcPr>
          <w:p w14:paraId="08C6F624" w14:textId="77777777" w:rsidR="007F1017" w:rsidRPr="00D86D87" w:rsidRDefault="007F1017" w:rsidP="00EC5836">
            <w:pPr>
              <w:pStyle w:val="In-tableHeading"/>
              <w:jc w:val="center"/>
              <w:rPr>
                <w:lang w:val="en-AU"/>
              </w:rPr>
            </w:pPr>
            <w:r w:rsidRPr="00D86D87">
              <w:rPr>
                <w:lang w:val="en-AU"/>
              </w:rPr>
              <w:t>Use in modelled evaluation</w:t>
            </w:r>
          </w:p>
        </w:tc>
      </w:tr>
      <w:tr w:rsidR="007237A5" w:rsidRPr="007F2249" w14:paraId="2A03CD4B" w14:textId="77777777" w:rsidTr="00682BA6">
        <w:trPr>
          <w:cantSplit/>
        </w:trPr>
        <w:tc>
          <w:tcPr>
            <w:tcW w:w="5000" w:type="pct"/>
            <w:gridSpan w:val="7"/>
            <w:vAlign w:val="center"/>
          </w:tcPr>
          <w:p w14:paraId="73088C85" w14:textId="0A1C3D83" w:rsidR="007F1017" w:rsidRPr="007F2249" w:rsidRDefault="00D648D9" w:rsidP="007F2249">
            <w:pPr>
              <w:pStyle w:val="TableText0"/>
              <w:rPr>
                <w:b/>
                <w:bCs w:val="0"/>
              </w:rPr>
            </w:pPr>
            <w:r>
              <w:rPr>
                <w:b/>
                <w:bCs w:val="0"/>
              </w:rPr>
              <w:t>ACP vs BSC</w:t>
            </w:r>
          </w:p>
        </w:tc>
      </w:tr>
      <w:tr w:rsidR="001668A9" w:rsidRPr="00D86D87" w14:paraId="4EE88DCB" w14:textId="77777777" w:rsidTr="00C216AD">
        <w:trPr>
          <w:cantSplit/>
        </w:trPr>
        <w:tc>
          <w:tcPr>
            <w:tcW w:w="540" w:type="pct"/>
            <w:vAlign w:val="center"/>
          </w:tcPr>
          <w:p w14:paraId="6EE77D33" w14:textId="709CB60C" w:rsidR="007F1017" w:rsidRPr="00D86D87" w:rsidRDefault="0065125A" w:rsidP="007F2249">
            <w:pPr>
              <w:pStyle w:val="TableText0"/>
            </w:pPr>
            <w:r>
              <w:t>GATHER1</w:t>
            </w:r>
          </w:p>
        </w:tc>
        <w:tc>
          <w:tcPr>
            <w:tcW w:w="306" w:type="pct"/>
            <w:vAlign w:val="center"/>
          </w:tcPr>
          <w:p w14:paraId="41BB0E41" w14:textId="562626B5" w:rsidR="007F1017" w:rsidRPr="00D86D87" w:rsidRDefault="0065125A" w:rsidP="007F2249">
            <w:pPr>
              <w:pStyle w:val="TableText0"/>
              <w:jc w:val="center"/>
            </w:pPr>
            <w:r>
              <w:t>286</w:t>
            </w:r>
          </w:p>
        </w:tc>
        <w:tc>
          <w:tcPr>
            <w:tcW w:w="566" w:type="pct"/>
            <w:vAlign w:val="center"/>
          </w:tcPr>
          <w:p w14:paraId="5F3ACB25" w14:textId="3778B323" w:rsidR="007F1017" w:rsidRDefault="0065125A" w:rsidP="007F2249">
            <w:pPr>
              <w:pStyle w:val="TableText0"/>
              <w:jc w:val="center"/>
            </w:pPr>
            <w:r>
              <w:t>R, MC, DB</w:t>
            </w:r>
          </w:p>
          <w:p w14:paraId="744D08AC" w14:textId="4C071ED0" w:rsidR="0065125A" w:rsidRPr="00D86D87" w:rsidRDefault="0065125A" w:rsidP="007F2249">
            <w:pPr>
              <w:pStyle w:val="TableText0"/>
              <w:jc w:val="center"/>
            </w:pPr>
            <w:r>
              <w:t>18 m</w:t>
            </w:r>
            <w:r w:rsidR="00A65388">
              <w:t>on</w:t>
            </w:r>
            <w:r>
              <w:t>ths</w:t>
            </w:r>
          </w:p>
        </w:tc>
        <w:tc>
          <w:tcPr>
            <w:tcW w:w="394" w:type="pct"/>
            <w:vAlign w:val="center"/>
          </w:tcPr>
          <w:p w14:paraId="4A529D74" w14:textId="7A31804A" w:rsidR="007F1017" w:rsidRPr="0053779B" w:rsidRDefault="0065125A" w:rsidP="007F2249">
            <w:pPr>
              <w:pStyle w:val="TableText0"/>
              <w:jc w:val="center"/>
              <w:rPr>
                <w:iCs/>
              </w:rPr>
            </w:pPr>
            <w:r w:rsidRPr="0053779B">
              <w:rPr>
                <w:iCs/>
              </w:rPr>
              <w:t>Low</w:t>
            </w:r>
          </w:p>
        </w:tc>
        <w:tc>
          <w:tcPr>
            <w:tcW w:w="706" w:type="pct"/>
            <w:vAlign w:val="center"/>
          </w:tcPr>
          <w:p w14:paraId="5E6F456D" w14:textId="35C1F672" w:rsidR="007F1017" w:rsidRPr="00D86D87" w:rsidRDefault="0065125A" w:rsidP="007F2249">
            <w:pPr>
              <w:pStyle w:val="TableText0"/>
              <w:jc w:val="center"/>
            </w:pPr>
            <w:r w:rsidRPr="0065125A">
              <w:t>GA secondary to AMD</w:t>
            </w:r>
          </w:p>
        </w:tc>
        <w:tc>
          <w:tcPr>
            <w:tcW w:w="1759" w:type="pct"/>
          </w:tcPr>
          <w:p w14:paraId="1E182953" w14:textId="27929506" w:rsidR="007F1017" w:rsidRDefault="0065125A" w:rsidP="0065125A">
            <w:pPr>
              <w:pStyle w:val="TableText0"/>
            </w:pPr>
            <w:r>
              <w:t xml:space="preserve">Primary: </w:t>
            </w:r>
            <w:r w:rsidR="00FB5924">
              <w:t>m</w:t>
            </w:r>
            <w:r>
              <w:t>ean rate of change in GA area</w:t>
            </w:r>
            <w:r w:rsidR="00483FFD" w:rsidRPr="00483FFD">
              <w:rPr>
                <w:vertAlign w:val="superscript"/>
              </w:rPr>
              <w:t>a</w:t>
            </w:r>
            <w:r>
              <w:t xml:space="preserve"> from </w:t>
            </w:r>
            <w:r w:rsidR="00FB5924">
              <w:t>BL</w:t>
            </w:r>
            <w:r>
              <w:t xml:space="preserve"> </w:t>
            </w:r>
          </w:p>
          <w:p w14:paraId="339AFDA8" w14:textId="77777777" w:rsidR="0065125A" w:rsidRDefault="0065125A" w:rsidP="0065125A">
            <w:pPr>
              <w:pStyle w:val="TableText0"/>
            </w:pPr>
          </w:p>
          <w:p w14:paraId="6DC76214" w14:textId="3F57D214" w:rsidR="00352869" w:rsidRPr="00D86D87" w:rsidRDefault="0065125A" w:rsidP="0065125A">
            <w:pPr>
              <w:pStyle w:val="TableText0"/>
            </w:pPr>
            <w:r>
              <w:t>Secondary:</w:t>
            </w:r>
            <w:r w:rsidR="00352869">
              <w:t xml:space="preserve"> c</w:t>
            </w:r>
            <w:r>
              <w:t>hange in BCVA (ETDRS letters) from BL</w:t>
            </w:r>
            <w:r w:rsidR="00352869">
              <w:t>, change in LL</w:t>
            </w:r>
            <w:r w:rsidR="009B60A6">
              <w:noBreakHyphen/>
            </w:r>
            <w:r w:rsidR="00352869">
              <w:t>BCVA (ETDRS letters) from BL, VFQ</w:t>
            </w:r>
            <w:r w:rsidR="009B60A6">
              <w:noBreakHyphen/>
            </w:r>
            <w:r w:rsidR="00352869">
              <w:t xml:space="preserve">25 subscale score </w:t>
            </w:r>
          </w:p>
        </w:tc>
        <w:tc>
          <w:tcPr>
            <w:tcW w:w="728" w:type="pct"/>
            <w:vAlign w:val="center"/>
          </w:tcPr>
          <w:p w14:paraId="150A804C" w14:textId="1725BBA2" w:rsidR="007F1017" w:rsidRPr="00D86D87" w:rsidRDefault="004D0EAF" w:rsidP="007F2249">
            <w:pPr>
              <w:pStyle w:val="TableText0"/>
              <w:jc w:val="center"/>
            </w:pPr>
            <w:r>
              <w:t>Lesion growth and distance from fovea</w:t>
            </w:r>
          </w:p>
        </w:tc>
      </w:tr>
      <w:tr w:rsidR="001668A9" w:rsidRPr="00D86D87" w14:paraId="13A6895C" w14:textId="77777777" w:rsidTr="00C216AD">
        <w:trPr>
          <w:cantSplit/>
        </w:trPr>
        <w:tc>
          <w:tcPr>
            <w:tcW w:w="540" w:type="pct"/>
            <w:vAlign w:val="center"/>
          </w:tcPr>
          <w:p w14:paraId="4A9488B3" w14:textId="1E253CAA" w:rsidR="007F1017" w:rsidRPr="00D86D87" w:rsidRDefault="0065125A" w:rsidP="007F2249">
            <w:pPr>
              <w:pStyle w:val="TableText0"/>
            </w:pPr>
            <w:r>
              <w:t>GATHER2</w:t>
            </w:r>
          </w:p>
        </w:tc>
        <w:tc>
          <w:tcPr>
            <w:tcW w:w="306" w:type="pct"/>
            <w:vAlign w:val="center"/>
          </w:tcPr>
          <w:p w14:paraId="3F4D20B5" w14:textId="53234567" w:rsidR="007F1017" w:rsidRPr="00D86D87" w:rsidRDefault="0065125A" w:rsidP="007F2249">
            <w:pPr>
              <w:pStyle w:val="TableText0"/>
              <w:jc w:val="center"/>
            </w:pPr>
            <w:r>
              <w:t>448</w:t>
            </w:r>
          </w:p>
        </w:tc>
        <w:tc>
          <w:tcPr>
            <w:tcW w:w="566" w:type="pct"/>
            <w:vAlign w:val="center"/>
          </w:tcPr>
          <w:p w14:paraId="57D15504" w14:textId="77777777" w:rsidR="007F1017" w:rsidRDefault="0065125A" w:rsidP="007F2249">
            <w:pPr>
              <w:pStyle w:val="TableText0"/>
              <w:jc w:val="center"/>
            </w:pPr>
            <w:r>
              <w:t>R, MC, DB</w:t>
            </w:r>
          </w:p>
          <w:p w14:paraId="68D92FE7" w14:textId="5721A543" w:rsidR="0065125A" w:rsidRPr="00D86D87" w:rsidRDefault="0065125A" w:rsidP="007F2249">
            <w:pPr>
              <w:pStyle w:val="TableText0"/>
              <w:jc w:val="center"/>
            </w:pPr>
            <w:r>
              <w:t>24 m</w:t>
            </w:r>
            <w:r w:rsidR="00A65388">
              <w:t>on</w:t>
            </w:r>
            <w:r>
              <w:t>ths</w:t>
            </w:r>
          </w:p>
        </w:tc>
        <w:tc>
          <w:tcPr>
            <w:tcW w:w="394" w:type="pct"/>
            <w:vAlign w:val="center"/>
          </w:tcPr>
          <w:p w14:paraId="6F0F93F8" w14:textId="7F5F5A66" w:rsidR="007F1017" w:rsidRPr="0053779B" w:rsidRDefault="0065125A" w:rsidP="007F2249">
            <w:pPr>
              <w:pStyle w:val="TableText0"/>
              <w:jc w:val="center"/>
              <w:rPr>
                <w:iCs/>
              </w:rPr>
            </w:pPr>
            <w:r w:rsidRPr="0053779B">
              <w:rPr>
                <w:iCs/>
              </w:rPr>
              <w:t xml:space="preserve">Low </w:t>
            </w:r>
          </w:p>
        </w:tc>
        <w:tc>
          <w:tcPr>
            <w:tcW w:w="706" w:type="pct"/>
            <w:vAlign w:val="center"/>
          </w:tcPr>
          <w:p w14:paraId="43AC963E" w14:textId="33193D89" w:rsidR="007F1017" w:rsidRPr="00D86D87" w:rsidRDefault="0065125A" w:rsidP="007F2249">
            <w:pPr>
              <w:pStyle w:val="TableText0"/>
              <w:jc w:val="center"/>
            </w:pPr>
            <w:r w:rsidRPr="0065125A">
              <w:t>GA secondary to AMD</w:t>
            </w:r>
          </w:p>
        </w:tc>
        <w:tc>
          <w:tcPr>
            <w:tcW w:w="1759" w:type="pct"/>
            <w:vAlign w:val="center"/>
          </w:tcPr>
          <w:p w14:paraId="747B3132" w14:textId="3D6BDBA0" w:rsidR="007F1017" w:rsidRDefault="00FB5924" w:rsidP="00FB5924">
            <w:pPr>
              <w:pStyle w:val="TableText0"/>
            </w:pPr>
            <w:r>
              <w:t>Primary: mean rate of GA growth</w:t>
            </w:r>
            <w:r w:rsidR="00483FFD" w:rsidRPr="00483FFD">
              <w:rPr>
                <w:vertAlign w:val="superscript"/>
              </w:rPr>
              <w:t>a</w:t>
            </w:r>
            <w:r>
              <w:t xml:space="preserve"> from BL</w:t>
            </w:r>
          </w:p>
          <w:p w14:paraId="70868528" w14:textId="77777777" w:rsidR="00FB5924" w:rsidRDefault="00FB5924" w:rsidP="00FB5924">
            <w:pPr>
              <w:pStyle w:val="TableText0"/>
            </w:pPr>
          </w:p>
          <w:p w14:paraId="2F0FB5DC" w14:textId="3E0A237F" w:rsidR="00FB5924" w:rsidRDefault="00FB5924" w:rsidP="00FB5924">
            <w:pPr>
              <w:pStyle w:val="TableText0"/>
            </w:pPr>
            <w:r>
              <w:t>Secondary: change in BCVA (ETDRS letters) from BL, change in LL</w:t>
            </w:r>
            <w:r w:rsidR="009B60A6">
              <w:noBreakHyphen/>
            </w:r>
            <w:r>
              <w:t>BCVA (ETDRS letters) from BL, VFQ</w:t>
            </w:r>
            <w:r w:rsidR="009B60A6">
              <w:noBreakHyphen/>
            </w:r>
            <w:r>
              <w:t>25 subscale score</w:t>
            </w:r>
          </w:p>
          <w:p w14:paraId="5B66FB91" w14:textId="77777777" w:rsidR="00483FFD" w:rsidRDefault="00483FFD" w:rsidP="00FB5924">
            <w:pPr>
              <w:pStyle w:val="TableText0"/>
            </w:pPr>
          </w:p>
          <w:p w14:paraId="4F0C99D2" w14:textId="44C5AEA2" w:rsidR="00483FFD" w:rsidRPr="00D86D87" w:rsidRDefault="00483FFD" w:rsidP="00FB5924">
            <w:pPr>
              <w:pStyle w:val="TableText0"/>
            </w:pPr>
            <w:r>
              <w:t>Exploratory: time to persistent vision loss from BL</w:t>
            </w:r>
            <w:r w:rsidR="004A4106" w:rsidRPr="004A4106">
              <w:rPr>
                <w:vertAlign w:val="superscript"/>
              </w:rPr>
              <w:t>b</w:t>
            </w:r>
            <w:r>
              <w:t xml:space="preserve"> </w:t>
            </w:r>
          </w:p>
        </w:tc>
        <w:tc>
          <w:tcPr>
            <w:tcW w:w="728" w:type="pct"/>
            <w:vAlign w:val="center"/>
          </w:tcPr>
          <w:p w14:paraId="3175EA34" w14:textId="03137904" w:rsidR="007F1017" w:rsidRPr="00D86D87" w:rsidRDefault="004D0EAF" w:rsidP="007F2249">
            <w:pPr>
              <w:pStyle w:val="TableText0"/>
              <w:jc w:val="center"/>
            </w:pPr>
            <w:r w:rsidRPr="004D0EAF">
              <w:t>Lesion growth and distance from fovea</w:t>
            </w:r>
            <w:r>
              <w:t xml:space="preserve"> (used in the scenario analysis pooled with GATHER1 data)</w:t>
            </w:r>
          </w:p>
        </w:tc>
      </w:tr>
    </w:tbl>
    <w:p w14:paraId="16207994" w14:textId="14DD5097" w:rsidR="00CF3120" w:rsidRDefault="00432FF5">
      <w:pPr>
        <w:pStyle w:val="TableFigureFooter"/>
      </w:pPr>
      <w:r>
        <w:t>Source: Compiled during the evaluation; Table 2.3</w:t>
      </w:r>
      <w:r w:rsidR="009B60A6">
        <w:noBreakHyphen/>
      </w:r>
      <w:r>
        <w:t>2, p68; Table 2.3</w:t>
      </w:r>
      <w:r w:rsidR="009B60A6">
        <w:noBreakHyphen/>
      </w:r>
      <w:r>
        <w:t>3, pp70</w:t>
      </w:r>
      <w:r w:rsidR="009B60A6">
        <w:noBreakHyphen/>
      </w:r>
      <w:r>
        <w:t>74 of the submission.</w:t>
      </w:r>
    </w:p>
    <w:p w14:paraId="560080D2" w14:textId="5CC723AA" w:rsidR="00045017" w:rsidRPr="00D86D87" w:rsidRDefault="00045017" w:rsidP="007F2249">
      <w:pPr>
        <w:pStyle w:val="TableFigureFooter"/>
      </w:pPr>
      <w:r>
        <w:t>ACP = avacincaptad pegol; AMD = age</w:t>
      </w:r>
      <w:r w:rsidR="009B60A6">
        <w:noBreakHyphen/>
      </w:r>
      <w:r>
        <w:t xml:space="preserve">related macular degeneration; BCVA = Best corrected visual acuity; BL = baseline; BSC = Best supportive care; </w:t>
      </w:r>
      <w:r w:rsidR="00DD738B" w:rsidRPr="00D86D87">
        <w:t xml:space="preserve">DB = double blind; </w:t>
      </w:r>
      <w:r>
        <w:t>ETDRS = Early Treatment Diabetic Retinopathy Study; GA = geographic atrophy; LL</w:t>
      </w:r>
      <w:r w:rsidR="009B60A6">
        <w:noBreakHyphen/>
      </w:r>
      <w:r>
        <w:t xml:space="preserve">BCVA = Low luminance best corrected visual acuity; </w:t>
      </w:r>
      <w:r w:rsidR="00DD738B" w:rsidRPr="00D86D87">
        <w:t>MC = multi</w:t>
      </w:r>
      <w:r w:rsidR="009B60A6">
        <w:noBreakHyphen/>
      </w:r>
      <w:r w:rsidR="00DD738B" w:rsidRPr="00D86D87">
        <w:t>centre;</w:t>
      </w:r>
      <w:r w:rsidR="00DD738B">
        <w:t xml:space="preserve"> </w:t>
      </w:r>
      <w:r w:rsidR="00DD738B" w:rsidRPr="00D86D87">
        <w:t>R = randomised</w:t>
      </w:r>
      <w:r w:rsidR="00DD738B">
        <w:t xml:space="preserve">; </w:t>
      </w:r>
      <w:r>
        <w:t>VFQ = Visual Function Questionnaire</w:t>
      </w:r>
      <w:r w:rsidR="00DD738B">
        <w:t>.</w:t>
      </w:r>
      <w:r w:rsidR="00DD738B" w:rsidRPr="00DD738B">
        <w:t xml:space="preserve"> </w:t>
      </w:r>
    </w:p>
    <w:p w14:paraId="2C9622AC" w14:textId="2AC8E6C1" w:rsidR="00483FFD" w:rsidRDefault="00483FFD" w:rsidP="007F2249">
      <w:pPr>
        <w:pStyle w:val="TableFigureFooter"/>
      </w:pPr>
      <w:r w:rsidRPr="00483FFD">
        <w:rPr>
          <w:vertAlign w:val="superscript"/>
        </w:rPr>
        <w:t>a</w:t>
      </w:r>
      <w:r>
        <w:t xml:space="preserve"> Square root transformed</w:t>
      </w:r>
    </w:p>
    <w:p w14:paraId="3F0F3EF4" w14:textId="538A6AC5" w:rsidR="004A4106" w:rsidRPr="00D86D87" w:rsidRDefault="004A4106" w:rsidP="007F2249">
      <w:pPr>
        <w:pStyle w:val="TableFigureFooter"/>
        <w:rPr>
          <w:sz w:val="20"/>
        </w:rPr>
      </w:pPr>
      <w:r w:rsidRPr="004A4106">
        <w:rPr>
          <w:vertAlign w:val="superscript"/>
        </w:rPr>
        <w:t>b</w:t>
      </w:r>
      <w:r>
        <w:t xml:space="preserve"> Defined as </w:t>
      </w:r>
      <w:r w:rsidRPr="004A4106">
        <w:t>a loss of ≥ 15 ETDRS letters in BCVA from baseline measured at any 2 or more consecutive visits up to Month 24</w:t>
      </w:r>
      <w:r>
        <w:t>.</w:t>
      </w:r>
    </w:p>
    <w:p w14:paraId="0C9301DF" w14:textId="368570FF" w:rsidR="00E73595" w:rsidRPr="004452FC" w:rsidRDefault="00C16E03" w:rsidP="00B51671">
      <w:pPr>
        <w:pStyle w:val="3-BodyText"/>
        <w:rPr>
          <w:color w:val="0066FF"/>
        </w:rPr>
      </w:pPr>
      <w:r w:rsidRPr="004452FC">
        <w:t xml:space="preserve">Both GATHER1 and GATHER2 enrolled patients aged </w:t>
      </w:r>
      <w:r w:rsidRPr="004452FC">
        <w:rPr>
          <w:rFonts w:cstheme="minorHAnsi"/>
        </w:rPr>
        <w:t>≥</w:t>
      </w:r>
      <w:r w:rsidRPr="004452FC">
        <w:t xml:space="preserve"> 50 years who were diagnosed with non</w:t>
      </w:r>
      <w:r w:rsidR="009B60A6">
        <w:noBreakHyphen/>
      </w:r>
      <w:r w:rsidRPr="004452FC">
        <w:t xml:space="preserve">subfoveal GA. In GATHER1, </w:t>
      </w:r>
      <w:bookmarkStart w:id="21" w:name="_Hlk219114627"/>
      <w:r w:rsidRPr="004452FC">
        <w:t xml:space="preserve">patients were withdrawn from the study if they developed CNV in the study eye </w:t>
      </w:r>
      <w:proofErr w:type="gramStart"/>
      <w:r w:rsidRPr="004452FC">
        <w:t>during the course of</w:t>
      </w:r>
      <w:proofErr w:type="gramEnd"/>
      <w:r w:rsidRPr="004452FC">
        <w:t xml:space="preserve"> the study, while in GATHER2, such patients remained in the study and received anti</w:t>
      </w:r>
      <w:r w:rsidR="009B60A6">
        <w:noBreakHyphen/>
      </w:r>
      <w:r w:rsidRPr="004452FC">
        <w:t>vascular endothelial growth factor (anti</w:t>
      </w:r>
      <w:r w:rsidR="009B60A6">
        <w:noBreakHyphen/>
      </w:r>
      <w:r w:rsidRPr="004452FC">
        <w:t xml:space="preserve">VEGF) agents for treatment of </w:t>
      </w:r>
      <w:bookmarkEnd w:id="21"/>
      <w:r w:rsidRPr="004452FC">
        <w:t>CNV</w:t>
      </w:r>
      <w:r w:rsidR="00FE0CA4" w:rsidRPr="004452FC">
        <w:t>.</w:t>
      </w:r>
      <w:r w:rsidR="00E73595" w:rsidRPr="004452FC">
        <w:t xml:space="preserve"> </w:t>
      </w:r>
    </w:p>
    <w:p w14:paraId="1051FA65" w14:textId="010D92D4" w:rsidR="00A943A0" w:rsidRPr="004452FC" w:rsidRDefault="00C16E03" w:rsidP="00B51671">
      <w:pPr>
        <w:pStyle w:val="3-BodyText"/>
        <w:rPr>
          <w:color w:val="0066FF"/>
        </w:rPr>
      </w:pPr>
      <w:r w:rsidRPr="004452FC">
        <w:rPr>
          <w:rFonts w:cs="Calibri"/>
          <w:color w:val="000000" w:themeColor="text1"/>
        </w:rPr>
        <w:t xml:space="preserve">In both trials, </w:t>
      </w:r>
      <w:bookmarkStart w:id="22" w:name="_Hlk219114654"/>
      <w:r w:rsidRPr="004452FC">
        <w:rPr>
          <w:rFonts w:cs="Calibri"/>
          <w:color w:val="000000" w:themeColor="text1"/>
        </w:rPr>
        <w:t xml:space="preserve">the number of female patients were more than double that of male patients. This differs to the Australian population. </w:t>
      </w:r>
      <w:bookmarkEnd w:id="22"/>
      <w:r w:rsidRPr="004452FC">
        <w:rPr>
          <w:rFonts w:cs="Calibri"/>
          <w:color w:val="000000" w:themeColor="text1"/>
        </w:rPr>
        <w:t>The Australian National Eye Health Survey demonstrated a slightly higher number of females with AMD compared to male</w:t>
      </w:r>
      <w:r w:rsidRPr="00C17763">
        <w:rPr>
          <w:rFonts w:cs="Calibri"/>
          <w:iCs/>
          <w:color w:val="000000" w:themeColor="text1"/>
        </w:rPr>
        <w:t xml:space="preserve"> </w:t>
      </w:r>
      <w:r w:rsidRPr="004452FC">
        <w:rPr>
          <w:rFonts w:cs="Calibri"/>
          <w:color w:val="000000" w:themeColor="text1"/>
        </w:rPr>
        <w:t>(58.9% vs 41.1%)</w:t>
      </w:r>
      <w:r w:rsidRPr="004452FC">
        <w:rPr>
          <w:rStyle w:val="FootnoteReference"/>
          <w:rFonts w:cs="Calibri"/>
          <w:color w:val="000000" w:themeColor="text1"/>
        </w:rPr>
        <w:footnoteReference w:id="14"/>
      </w:r>
      <w:r w:rsidRPr="004452FC">
        <w:rPr>
          <w:rFonts w:cs="Calibri"/>
          <w:color w:val="000000" w:themeColor="text1"/>
        </w:rPr>
        <w:t xml:space="preserve">, probably due to the longer lifespan in females in general. </w:t>
      </w:r>
      <w:bookmarkStart w:id="23" w:name="_Hlk219114673"/>
      <w:r w:rsidRPr="004452FC">
        <w:rPr>
          <w:rFonts w:cs="Calibri"/>
          <w:color w:val="000000" w:themeColor="text1"/>
        </w:rPr>
        <w:t>While there is a discrepancy, it is unclear how this difference would impact the applicability of the trial results to the Australian population</w:t>
      </w:r>
      <w:bookmarkEnd w:id="23"/>
      <w:r w:rsidR="003F743F" w:rsidRPr="004452FC">
        <w:rPr>
          <w:rFonts w:cs="Calibri"/>
          <w:color w:val="000000" w:themeColor="text1"/>
        </w:rPr>
        <w:t>.</w:t>
      </w:r>
    </w:p>
    <w:p w14:paraId="5B5EC08A" w14:textId="68B32510" w:rsidR="00483FFD" w:rsidRPr="004452FC" w:rsidRDefault="00C16E03" w:rsidP="00B51671">
      <w:pPr>
        <w:pStyle w:val="3-BodyText"/>
        <w:rPr>
          <w:color w:val="0066FF"/>
        </w:rPr>
      </w:pPr>
      <w:bookmarkStart w:id="24" w:name="_Ref224646923"/>
      <w:r w:rsidRPr="004452FC">
        <w:rPr>
          <w:color w:val="000000" w:themeColor="text1"/>
        </w:rPr>
        <w:t xml:space="preserve">In both trials, the mean rate of change in GA area was the outcome used to support the clinical claim in the submission that ACP is superior in terms of effectiveness to sham/BSC. </w:t>
      </w:r>
      <w:r w:rsidR="009413C2" w:rsidRPr="004452FC">
        <w:rPr>
          <w:color w:val="000000" w:themeColor="text1"/>
        </w:rPr>
        <w:t>H</w:t>
      </w:r>
      <w:r w:rsidRPr="004452FC">
        <w:rPr>
          <w:color w:val="000000" w:themeColor="text1"/>
        </w:rPr>
        <w:t>ow these results can be translated into a patient</w:t>
      </w:r>
      <w:r w:rsidR="009B60A6">
        <w:rPr>
          <w:color w:val="000000" w:themeColor="text1"/>
        </w:rPr>
        <w:noBreakHyphen/>
      </w:r>
      <w:r w:rsidRPr="004452FC">
        <w:rPr>
          <w:color w:val="000000" w:themeColor="text1"/>
        </w:rPr>
        <w:t>relevant outcome such as delay in loss of functional vision for patients affected by non</w:t>
      </w:r>
      <w:r w:rsidR="009B60A6">
        <w:rPr>
          <w:color w:val="000000" w:themeColor="text1"/>
        </w:rPr>
        <w:noBreakHyphen/>
      </w:r>
      <w:r w:rsidRPr="004452FC">
        <w:rPr>
          <w:color w:val="000000" w:themeColor="text1"/>
        </w:rPr>
        <w:t>subfoveal GA</w:t>
      </w:r>
      <w:r w:rsidR="009413C2" w:rsidRPr="004452FC">
        <w:rPr>
          <w:color w:val="000000" w:themeColor="text1"/>
        </w:rPr>
        <w:t xml:space="preserve"> was not demonstrated in either trial</w:t>
      </w:r>
      <w:r w:rsidR="002E3C54" w:rsidRPr="004452FC">
        <w:rPr>
          <w:color w:val="000000" w:themeColor="text1"/>
        </w:rPr>
        <w:t>.</w:t>
      </w:r>
      <w:r w:rsidR="009413C2" w:rsidRPr="004452FC">
        <w:rPr>
          <w:color w:val="000000" w:themeColor="text1"/>
        </w:rPr>
        <w:t xml:space="preserve"> However, based on the TGA Delegate’s overview, GA area has emerged as an appropriate variable to assess progression of GA, </w:t>
      </w:r>
      <w:proofErr w:type="gramStart"/>
      <w:r w:rsidR="009413C2" w:rsidRPr="004452FC">
        <w:rPr>
          <w:color w:val="000000" w:themeColor="text1"/>
        </w:rPr>
        <w:t>in particular in</w:t>
      </w:r>
      <w:proofErr w:type="gramEnd"/>
      <w:r w:rsidR="009413C2" w:rsidRPr="004452FC">
        <w:rPr>
          <w:color w:val="000000" w:themeColor="text1"/>
        </w:rPr>
        <w:t xml:space="preserve"> the earlier stages of the disease, since </w:t>
      </w:r>
      <w:r w:rsidR="0074299A" w:rsidRPr="004452FC">
        <w:rPr>
          <w:color w:val="000000" w:themeColor="text1"/>
        </w:rPr>
        <w:t xml:space="preserve">visual acuity </w:t>
      </w:r>
      <w:proofErr w:type="gramStart"/>
      <w:r w:rsidR="00D863E4">
        <w:rPr>
          <w:color w:val="000000" w:themeColor="text1"/>
        </w:rPr>
        <w:t>would</w:t>
      </w:r>
      <w:proofErr w:type="gramEnd"/>
      <w:r w:rsidR="0074299A" w:rsidRPr="004452FC">
        <w:rPr>
          <w:color w:val="000000" w:themeColor="text1"/>
        </w:rPr>
        <w:t xml:space="preserve"> poorly reflect GA </w:t>
      </w:r>
      <w:r w:rsidR="0074299A" w:rsidRPr="004452FC">
        <w:rPr>
          <w:color w:val="000000" w:themeColor="text1"/>
        </w:rPr>
        <w:lastRenderedPageBreak/>
        <w:t>progression if the fovea remains unaffected.</w:t>
      </w:r>
      <w:r w:rsidR="0095752C" w:rsidRPr="004452FC">
        <w:rPr>
          <w:color w:val="000000" w:themeColor="text1"/>
        </w:rPr>
        <w:t xml:space="preserve"> </w:t>
      </w:r>
      <w:r w:rsidR="00B24DB7">
        <w:rPr>
          <w:color w:val="000000" w:themeColor="text1"/>
        </w:rPr>
        <w:t>In its consideration of pegcetacoplan, t</w:t>
      </w:r>
      <w:r w:rsidR="00136762" w:rsidRPr="004452FC">
        <w:rPr>
          <w:color w:val="000000" w:themeColor="text1"/>
        </w:rPr>
        <w:t>he PBAC noted evidence from the clinical trials showed pegcetacoplan reduced GA lesion growth by around 21% with monthly dosing and 16% with every</w:t>
      </w:r>
      <w:r w:rsidR="009B60A6">
        <w:rPr>
          <w:color w:val="000000" w:themeColor="text1"/>
        </w:rPr>
        <w:noBreakHyphen/>
      </w:r>
      <w:r w:rsidR="00136762" w:rsidRPr="004452FC">
        <w:rPr>
          <w:color w:val="000000" w:themeColor="text1"/>
        </w:rPr>
        <w:t>other</w:t>
      </w:r>
      <w:r w:rsidR="009B60A6">
        <w:rPr>
          <w:color w:val="000000" w:themeColor="text1"/>
        </w:rPr>
        <w:noBreakHyphen/>
      </w:r>
      <w:r w:rsidR="00136762" w:rsidRPr="004452FC">
        <w:rPr>
          <w:color w:val="000000" w:themeColor="text1"/>
        </w:rPr>
        <w:t>month dosing at 24 months compared to sham treatment. The PBAC considered that, although the clinical trials did not demonstrate clear improvements in vision related activities, it was reasonable to assume that protecting the structure of the eye by slowing GA lesion growth will result in slower loss of functional vision than current care.</w:t>
      </w:r>
      <w:r w:rsidR="00BF27FA">
        <w:rPr>
          <w:color w:val="000000" w:themeColor="text1"/>
        </w:rPr>
        <w:t xml:space="preserve"> </w:t>
      </w:r>
      <w:r w:rsidR="00136762" w:rsidRPr="004452FC">
        <w:rPr>
          <w:color w:val="000000" w:themeColor="text1"/>
        </w:rPr>
        <w:t>Despite uncertainty in the magnitude of this benefit on vision, the PBAC was satisfied that pegcetacoplan provides, for some patients, a significant improvement in efficacy over BSC</w:t>
      </w:r>
      <w:r w:rsidR="001A2565" w:rsidRPr="004452FC">
        <w:rPr>
          <w:color w:val="000000" w:themeColor="text1"/>
        </w:rPr>
        <w:t xml:space="preserve"> (</w:t>
      </w:r>
      <w:r w:rsidR="00044142" w:rsidRPr="004452FC">
        <w:t>Pegcetacoplan, November 2025 PBAC Meeting outcomes).</w:t>
      </w:r>
      <w:bookmarkEnd w:id="24"/>
    </w:p>
    <w:p w14:paraId="14C3765B" w14:textId="1972A2F5" w:rsidR="003D5A81" w:rsidRPr="004452FC" w:rsidRDefault="003D5A81" w:rsidP="003D5A81">
      <w:pPr>
        <w:pStyle w:val="3-BodyText"/>
      </w:pPr>
      <w:r w:rsidRPr="004452FC">
        <w:t>OAKS and DERBY were two 24</w:t>
      </w:r>
      <w:r w:rsidR="009B60A6">
        <w:noBreakHyphen/>
      </w:r>
      <w:r w:rsidRPr="004452FC">
        <w:t>month, phase 3, multicentre, randomised, double</w:t>
      </w:r>
      <w:r w:rsidR="009B60A6">
        <w:noBreakHyphen/>
      </w:r>
      <w:r w:rsidRPr="004452FC">
        <w:t xml:space="preserve">masked, </w:t>
      </w:r>
      <w:r w:rsidR="00BE685A" w:rsidRPr="004452FC">
        <w:t>Sham</w:t>
      </w:r>
      <w:r w:rsidR="009B60A6">
        <w:noBreakHyphen/>
      </w:r>
      <w:r w:rsidRPr="004452FC">
        <w:t xml:space="preserve">controlled trials comparing pegcetacoplan </w:t>
      </w:r>
      <w:r w:rsidR="000F14E5" w:rsidRPr="004452FC">
        <w:t xml:space="preserve">IVT </w:t>
      </w:r>
      <w:r w:rsidRPr="004452FC">
        <w:t xml:space="preserve">with </w:t>
      </w:r>
      <w:r w:rsidR="00BE685A" w:rsidRPr="004452FC">
        <w:t>Sham</w:t>
      </w:r>
      <w:r w:rsidRPr="004452FC">
        <w:t xml:space="preserve"> injections in patients with GA</w:t>
      </w:r>
      <w:r w:rsidR="000F14E5" w:rsidRPr="004452FC">
        <w:t xml:space="preserve"> secondary to AMD</w:t>
      </w:r>
      <w:r w:rsidRPr="004452FC">
        <w:t>. There were 1</w:t>
      </w:r>
      <w:r w:rsidR="000F14E5" w:rsidRPr="004452FC">
        <w:t>,</w:t>
      </w:r>
      <w:r w:rsidRPr="004452FC">
        <w:t>211 patients in the modified ITT population in OAKS and DERBY (N = 1</w:t>
      </w:r>
      <w:r w:rsidR="000F14E5" w:rsidRPr="004452FC">
        <w:t>,</w:t>
      </w:r>
      <w:r w:rsidRPr="004452FC">
        <w:t>211). In the</w:t>
      </w:r>
      <w:r w:rsidR="00BE685A" w:rsidRPr="004452FC">
        <w:t>se</w:t>
      </w:r>
      <w:r w:rsidRPr="004452FC">
        <w:t xml:space="preserve"> trials, patients were randomly assigned (2:2:1:1) to pegcetacoplan 15 mg IVT injection monthly or every other month (EOM), or to </w:t>
      </w:r>
      <w:r w:rsidR="00BE685A" w:rsidRPr="004452FC">
        <w:t>Sham</w:t>
      </w:r>
      <w:r w:rsidRPr="004452FC">
        <w:t xml:space="preserve"> monthly or EOM (stratified by </w:t>
      </w:r>
      <w:r w:rsidR="00745989" w:rsidRPr="004452FC">
        <w:t>GA</w:t>
      </w:r>
      <w:r w:rsidRPr="004452FC">
        <w:t xml:space="preserve"> lesion area at screening, history or presence of active choroidal neovascularisation in the fellow eye). The primary endpoint was the change from baseline to Month 12 in the total area of GA in the study eye based on </w:t>
      </w:r>
      <w:r w:rsidR="00BE685A" w:rsidRPr="004452FC">
        <w:t>fundus autofluorescence (</w:t>
      </w:r>
      <w:r w:rsidRPr="004452FC">
        <w:t>FAF</w:t>
      </w:r>
      <w:r w:rsidR="00BE685A" w:rsidRPr="004452FC">
        <w:t>)</w:t>
      </w:r>
      <w:r w:rsidRPr="004452FC">
        <w:t xml:space="preserve"> imaging. FILLY was a phase 2, prospective, multicentre, randomised, </w:t>
      </w:r>
      <w:r w:rsidR="00BE685A" w:rsidRPr="004452FC">
        <w:t>Sham</w:t>
      </w:r>
      <w:r w:rsidR="009B60A6">
        <w:noBreakHyphen/>
      </w:r>
      <w:r w:rsidRPr="004452FC">
        <w:t xml:space="preserve">controlled study. Patients (N = 246) were randomly assigned to (2:2:1:1) to pegcetacoplan 15 mg IVT injection monthly or EOM, or to </w:t>
      </w:r>
      <w:r w:rsidR="00BE685A" w:rsidRPr="004452FC">
        <w:t>Sham</w:t>
      </w:r>
      <w:r w:rsidRPr="004452FC">
        <w:t xml:space="preserve"> monthly or EOM. The primary efficacy end point was mean change in square root GA lesion area from baseline to Month 12.</w:t>
      </w:r>
    </w:p>
    <w:p w14:paraId="39D73668" w14:textId="77C396D5" w:rsidR="003D5A81" w:rsidRPr="004452FC" w:rsidRDefault="00D51AD5" w:rsidP="00EC5836">
      <w:pPr>
        <w:pStyle w:val="3-BodyText"/>
      </w:pPr>
      <w:r w:rsidRPr="004452FC">
        <w:t xml:space="preserve">Across the ACP trials (GATHER1 and GATHER2) and pegcetacoplan trials (OAKS and DERBY), common </w:t>
      </w:r>
      <w:r w:rsidR="004F3C90" w:rsidRPr="004452FC">
        <w:t>patient eligibility</w:t>
      </w:r>
      <w:r w:rsidRPr="004452FC">
        <w:t xml:space="preserve"> criteria included a lower limit of </w:t>
      </w:r>
      <w:r w:rsidR="00887C15" w:rsidRPr="004452FC">
        <w:t>best corrected visual acuity (</w:t>
      </w:r>
      <w:r w:rsidRPr="004452FC">
        <w:t>BCVA</w:t>
      </w:r>
      <w:r w:rsidR="00887C15" w:rsidRPr="004452FC">
        <w:t>)</w:t>
      </w:r>
      <w:r w:rsidRPr="004452FC">
        <w:t xml:space="preserve"> of 20/320, GA area between 2.5 mm</w:t>
      </w:r>
      <w:r w:rsidRPr="004452FC">
        <w:rPr>
          <w:vertAlign w:val="superscript"/>
        </w:rPr>
        <w:t>2</w:t>
      </w:r>
      <w:r w:rsidRPr="004452FC">
        <w:t xml:space="preserve"> and 17.5 mm</w:t>
      </w:r>
      <w:r w:rsidRPr="004452FC">
        <w:rPr>
          <w:vertAlign w:val="superscript"/>
        </w:rPr>
        <w:t>2</w:t>
      </w:r>
      <w:r w:rsidRPr="004452FC">
        <w:t xml:space="preserve">, and at least </w:t>
      </w:r>
      <w:r w:rsidR="00FD17C5" w:rsidRPr="004452FC">
        <w:t>one</w:t>
      </w:r>
      <w:r w:rsidRPr="004452FC">
        <w:t xml:space="preserve"> focal lesion with area ≥ 1.25 mm</w:t>
      </w:r>
      <w:r w:rsidRPr="004452FC">
        <w:rPr>
          <w:vertAlign w:val="superscript"/>
        </w:rPr>
        <w:t>2</w:t>
      </w:r>
      <w:r w:rsidRPr="004452FC">
        <w:t xml:space="preserve"> if GA was multifocal.</w:t>
      </w:r>
    </w:p>
    <w:p w14:paraId="66352FB6" w14:textId="08BB5049" w:rsidR="009C1C78" w:rsidRPr="004452FC" w:rsidRDefault="009C1C78" w:rsidP="00D51AD5">
      <w:pPr>
        <w:pStyle w:val="3-BodyText"/>
        <w:rPr>
          <w:color w:val="000000" w:themeColor="text1"/>
          <w:lang w:val="en-GB"/>
        </w:rPr>
      </w:pPr>
      <w:r w:rsidRPr="004452FC">
        <w:rPr>
          <w:color w:val="000000" w:themeColor="text1"/>
          <w:lang w:val="en-GB"/>
        </w:rPr>
        <w:t>Key differences in patient eligibility criteria between the ACP trials and the pegcetacoplan trials include the following:</w:t>
      </w:r>
    </w:p>
    <w:p w14:paraId="4AB28895" w14:textId="535889B9" w:rsidR="009C1C78" w:rsidRPr="004452FC" w:rsidRDefault="00D9326E" w:rsidP="001A7CE8">
      <w:pPr>
        <w:pStyle w:val="3-BodyText"/>
        <w:numPr>
          <w:ilvl w:val="0"/>
          <w:numId w:val="16"/>
        </w:numPr>
        <w:ind w:left="1134"/>
        <w:rPr>
          <w:color w:val="000000" w:themeColor="text1"/>
        </w:rPr>
      </w:pPr>
      <w:r w:rsidRPr="004452FC">
        <w:rPr>
          <w:color w:val="000000" w:themeColor="text1"/>
        </w:rPr>
        <w:t>Fellow eye CNV at baseline was excluded in GATHER1 and GATHER2 but not excluded in OAKS and DERBY</w:t>
      </w:r>
      <w:r w:rsidRPr="004452FC">
        <w:rPr>
          <w:rStyle w:val="FootnoteReference"/>
          <w:color w:val="000000" w:themeColor="text1"/>
        </w:rPr>
        <w:footnoteReference w:id="15"/>
      </w:r>
      <w:r w:rsidRPr="004452FC">
        <w:rPr>
          <w:color w:val="000000" w:themeColor="text1"/>
        </w:rPr>
        <w:t>.</w:t>
      </w:r>
    </w:p>
    <w:p w14:paraId="0E666F7B" w14:textId="38ACAA14" w:rsidR="00D9326E" w:rsidRPr="004452FC" w:rsidRDefault="00D9326E" w:rsidP="001A7CE8">
      <w:pPr>
        <w:pStyle w:val="3-BodyText"/>
        <w:numPr>
          <w:ilvl w:val="0"/>
          <w:numId w:val="16"/>
        </w:numPr>
        <w:ind w:left="1134"/>
        <w:rPr>
          <w:color w:val="000000" w:themeColor="text1"/>
        </w:rPr>
      </w:pPr>
      <w:r w:rsidRPr="004452FC">
        <w:rPr>
          <w:color w:val="000000" w:themeColor="text1"/>
        </w:rPr>
        <w:t>In GATHER1 and GATHER2, only patients with non</w:t>
      </w:r>
      <w:r w:rsidR="009B60A6">
        <w:rPr>
          <w:color w:val="000000" w:themeColor="text1"/>
        </w:rPr>
        <w:noBreakHyphen/>
      </w:r>
      <w:r w:rsidRPr="004452FC">
        <w:rPr>
          <w:color w:val="000000" w:themeColor="text1"/>
        </w:rPr>
        <w:t>subfoveal GA in study eyes were included, while in OAKS and DERBY, non</w:t>
      </w:r>
      <w:r w:rsidR="009B60A6">
        <w:rPr>
          <w:color w:val="000000" w:themeColor="text1"/>
        </w:rPr>
        <w:noBreakHyphen/>
      </w:r>
      <w:r w:rsidRPr="004452FC">
        <w:rPr>
          <w:color w:val="000000" w:themeColor="text1"/>
        </w:rPr>
        <w:t>subfoveal and subfoveal lesions in study eyes were allowed</w:t>
      </w:r>
      <w:r w:rsidRPr="004452FC">
        <w:rPr>
          <w:rStyle w:val="FootnoteReference"/>
          <w:color w:val="000000" w:themeColor="text1"/>
        </w:rPr>
        <w:footnoteReference w:id="16"/>
      </w:r>
      <w:r w:rsidRPr="004452FC">
        <w:rPr>
          <w:color w:val="000000" w:themeColor="text1"/>
        </w:rPr>
        <w:t>.</w:t>
      </w:r>
    </w:p>
    <w:p w14:paraId="72F36E72" w14:textId="4F4083A4" w:rsidR="00F52EAC" w:rsidRPr="004452FC" w:rsidRDefault="00D9326E" w:rsidP="001A7CE8">
      <w:pPr>
        <w:pStyle w:val="3-BodyText"/>
        <w:numPr>
          <w:ilvl w:val="0"/>
          <w:numId w:val="16"/>
        </w:numPr>
        <w:ind w:left="1134"/>
        <w:rPr>
          <w:color w:val="000000" w:themeColor="text1"/>
          <w:lang w:val="en-GB"/>
        </w:rPr>
      </w:pPr>
      <w:r w:rsidRPr="004452FC">
        <w:rPr>
          <w:color w:val="000000" w:themeColor="text1"/>
        </w:rPr>
        <w:t xml:space="preserve">In GATHER1 and GATHER2, GA lesion borders entirely within 1500 </w:t>
      </w:r>
      <w:r w:rsidRPr="004452FC">
        <w:rPr>
          <w:rFonts w:cstheme="minorHAnsi"/>
          <w:color w:val="000000" w:themeColor="text1"/>
        </w:rPr>
        <w:t>µ</w:t>
      </w:r>
      <w:r w:rsidRPr="004452FC">
        <w:rPr>
          <w:color w:val="000000" w:themeColor="text1"/>
        </w:rPr>
        <w:t>m from the foveal centre and vision between 20/25 and 20/320 were required. However, these were not required in OAKS and DERBY.</w:t>
      </w:r>
    </w:p>
    <w:p w14:paraId="4A4FE085" w14:textId="7A7A3102" w:rsidR="00B60939" w:rsidRPr="00D86D87" w:rsidRDefault="00B60939" w:rsidP="00EC5836">
      <w:pPr>
        <w:pStyle w:val="4-SubsectionHeading"/>
      </w:pPr>
      <w:bookmarkStart w:id="25" w:name="_Toc22897641"/>
      <w:bookmarkStart w:id="26" w:name="_Toc219816300"/>
      <w:r w:rsidRPr="00D86D87">
        <w:lastRenderedPageBreak/>
        <w:t>Comparative effectiveness</w:t>
      </w:r>
      <w:bookmarkEnd w:id="25"/>
      <w:bookmarkEnd w:id="26"/>
    </w:p>
    <w:p w14:paraId="7A40B349" w14:textId="53A764E4" w:rsidR="00E73595" w:rsidRPr="007613E3" w:rsidRDefault="00A943A0" w:rsidP="00EC5836">
      <w:pPr>
        <w:pStyle w:val="3-BodyText"/>
        <w:rPr>
          <w:color w:val="0066FF"/>
        </w:rPr>
      </w:pPr>
      <w:r>
        <w:rPr>
          <w:color w:val="000000" w:themeColor="text1"/>
        </w:rPr>
        <w:t xml:space="preserve">Results of the primary endpoint in GATHER1 </w:t>
      </w:r>
      <w:r>
        <w:rPr>
          <w:rFonts w:cstheme="minorHAnsi"/>
          <w:color w:val="000000" w:themeColor="text1"/>
        </w:rPr>
        <w:t xml:space="preserve">are presented in </w:t>
      </w:r>
      <w:r w:rsidR="0022220E">
        <w:rPr>
          <w:rFonts w:cstheme="minorHAnsi"/>
          <w:color w:val="000000" w:themeColor="text1"/>
        </w:rPr>
        <w:fldChar w:fldCharType="begin"/>
      </w:r>
      <w:r w:rsidR="0022220E">
        <w:rPr>
          <w:rFonts w:cstheme="minorHAnsi"/>
          <w:color w:val="000000" w:themeColor="text1"/>
        </w:rPr>
        <w:instrText xml:space="preserve"> REF _Ref217394068 \h </w:instrText>
      </w:r>
      <w:r w:rsidR="0022220E">
        <w:rPr>
          <w:rFonts w:cstheme="minorHAnsi"/>
          <w:color w:val="000000" w:themeColor="text1"/>
        </w:rPr>
      </w:r>
      <w:r w:rsidR="0022220E">
        <w:rPr>
          <w:rFonts w:cstheme="minorHAnsi"/>
          <w:color w:val="000000" w:themeColor="text1"/>
        </w:rPr>
        <w:fldChar w:fldCharType="separate"/>
      </w:r>
      <w:r w:rsidR="00962F38">
        <w:t xml:space="preserve">Table </w:t>
      </w:r>
      <w:r w:rsidR="00962F38">
        <w:rPr>
          <w:noProof/>
        </w:rPr>
        <w:t>4</w:t>
      </w:r>
      <w:r w:rsidR="0022220E">
        <w:rPr>
          <w:rFonts w:cstheme="minorHAnsi"/>
          <w:color w:val="000000" w:themeColor="text1"/>
        </w:rPr>
        <w:fldChar w:fldCharType="end"/>
      </w:r>
      <w:r w:rsidR="0022220E">
        <w:rPr>
          <w:rFonts w:cstheme="minorHAnsi"/>
          <w:color w:val="000000" w:themeColor="text1"/>
        </w:rPr>
        <w:t xml:space="preserve">, </w:t>
      </w:r>
      <w:r w:rsidR="00A23547">
        <w:rPr>
          <w:rFonts w:cstheme="minorHAnsi"/>
          <w:color w:val="000000" w:themeColor="text1"/>
        </w:rPr>
        <w:fldChar w:fldCharType="begin"/>
      </w:r>
      <w:r w:rsidR="00A23547">
        <w:rPr>
          <w:rFonts w:cstheme="minorHAnsi"/>
          <w:color w:val="000000" w:themeColor="text1"/>
        </w:rPr>
        <w:instrText xml:space="preserve"> REF _Ref217394590 \h </w:instrText>
      </w:r>
      <w:r w:rsidR="00A23547">
        <w:rPr>
          <w:rFonts w:cstheme="minorHAnsi"/>
          <w:color w:val="000000" w:themeColor="text1"/>
        </w:rPr>
      </w:r>
      <w:r w:rsidR="00A23547">
        <w:rPr>
          <w:rFonts w:cstheme="minorHAnsi"/>
          <w:color w:val="000000" w:themeColor="text1"/>
        </w:rPr>
        <w:fldChar w:fldCharType="separate"/>
      </w:r>
      <w:r w:rsidR="00962F38">
        <w:t xml:space="preserve">Figure </w:t>
      </w:r>
      <w:r w:rsidR="00962F38">
        <w:rPr>
          <w:noProof/>
        </w:rPr>
        <w:t>1</w:t>
      </w:r>
      <w:r w:rsidR="00A23547">
        <w:rPr>
          <w:rFonts w:cstheme="minorHAnsi"/>
          <w:color w:val="000000" w:themeColor="text1"/>
        </w:rPr>
        <w:fldChar w:fldCharType="end"/>
      </w:r>
      <w:r w:rsidR="00A23547">
        <w:rPr>
          <w:rFonts w:cstheme="minorHAnsi"/>
          <w:color w:val="000000" w:themeColor="text1"/>
        </w:rPr>
        <w:t xml:space="preserve">, and </w:t>
      </w:r>
      <w:r w:rsidR="00A23547">
        <w:rPr>
          <w:rFonts w:cstheme="minorHAnsi"/>
          <w:color w:val="000000" w:themeColor="text1"/>
        </w:rPr>
        <w:fldChar w:fldCharType="begin"/>
      </w:r>
      <w:r w:rsidR="00A23547">
        <w:rPr>
          <w:rFonts w:cstheme="minorHAnsi"/>
          <w:color w:val="000000" w:themeColor="text1"/>
        </w:rPr>
        <w:instrText xml:space="preserve"> REF _Ref217394592 \h </w:instrText>
      </w:r>
      <w:r w:rsidR="00A23547">
        <w:rPr>
          <w:rFonts w:cstheme="minorHAnsi"/>
          <w:color w:val="000000" w:themeColor="text1"/>
        </w:rPr>
      </w:r>
      <w:r w:rsidR="00A23547">
        <w:rPr>
          <w:rFonts w:cstheme="minorHAnsi"/>
          <w:color w:val="000000" w:themeColor="text1"/>
        </w:rPr>
        <w:fldChar w:fldCharType="separate"/>
      </w:r>
      <w:r w:rsidR="00962F38">
        <w:t xml:space="preserve">Figure </w:t>
      </w:r>
      <w:r w:rsidR="00962F38">
        <w:rPr>
          <w:noProof/>
        </w:rPr>
        <w:t>2</w:t>
      </w:r>
      <w:r w:rsidR="00A23547">
        <w:rPr>
          <w:rFonts w:cstheme="minorHAnsi"/>
          <w:color w:val="000000" w:themeColor="text1"/>
        </w:rPr>
        <w:fldChar w:fldCharType="end"/>
      </w:r>
      <w:r>
        <w:rPr>
          <w:rFonts w:cstheme="minorHAnsi"/>
          <w:color w:val="000000" w:themeColor="text1"/>
        </w:rPr>
        <w:t>.</w:t>
      </w:r>
    </w:p>
    <w:p w14:paraId="4C70D757" w14:textId="25101C37" w:rsidR="007613E3" w:rsidRDefault="007613E3" w:rsidP="007613E3">
      <w:pPr>
        <w:pStyle w:val="Caption"/>
      </w:pPr>
      <w:bookmarkStart w:id="27" w:name="_Ref217394068"/>
      <w:r>
        <w:t xml:space="preserve">Table </w:t>
      </w:r>
      <w:fldSimple w:instr=" SEQ Table \* ARABIC ">
        <w:r w:rsidR="00962F38">
          <w:rPr>
            <w:noProof/>
          </w:rPr>
          <w:t>4</w:t>
        </w:r>
      </w:fldSimple>
      <w:bookmarkEnd w:id="27"/>
      <w:r w:rsidR="0022220E">
        <w:t xml:space="preserve">: </w:t>
      </w:r>
      <w:r w:rsidR="0022220E" w:rsidRPr="0022220E">
        <w:rPr>
          <w:iCs/>
        </w:rPr>
        <w:t>Mean rate of change in GA area from baseline to months 12 and 18 in GATHER1 (study eye, ITT population)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Mean rate of change in GA area from baseline to months 12 and 18 in GATHER1 (study eye, ITT population)"/>
      </w:tblPr>
      <w:tblGrid>
        <w:gridCol w:w="2552"/>
        <w:gridCol w:w="3118"/>
        <w:gridCol w:w="3347"/>
      </w:tblGrid>
      <w:tr w:rsidR="005C450F" w:rsidRPr="00E10F03" w14:paraId="348BEA41" w14:textId="77777777" w:rsidTr="00FB7B59">
        <w:trPr>
          <w:trHeight w:val="20"/>
          <w:tblHeader/>
        </w:trPr>
        <w:tc>
          <w:tcPr>
            <w:tcW w:w="1415" w:type="pct"/>
            <w:vAlign w:val="center"/>
          </w:tcPr>
          <w:p w14:paraId="75096686" w14:textId="77777777" w:rsidR="00FB7B59" w:rsidRPr="00FF6121" w:rsidRDefault="00FB7B59">
            <w:pPr>
              <w:jc w:val="center"/>
              <w:rPr>
                <w:rFonts w:ascii="Arial Narrow" w:hAnsi="Arial Narrow" w:cstheme="minorHAnsi"/>
                <w:b/>
                <w:bCs/>
                <w:color w:val="000000"/>
                <w:sz w:val="20"/>
                <w:szCs w:val="20"/>
                <w:lang w:val="en-IN" w:eastAsia="en-IN"/>
              </w:rPr>
            </w:pPr>
          </w:p>
        </w:tc>
        <w:tc>
          <w:tcPr>
            <w:tcW w:w="1729" w:type="pct"/>
            <w:vAlign w:val="center"/>
          </w:tcPr>
          <w:p w14:paraId="04AF1540" w14:textId="77777777" w:rsidR="00FB7B59" w:rsidRPr="00FF6121" w:rsidRDefault="00FB7B59">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 xml:space="preserve">Combined </w:t>
            </w:r>
            <w:r w:rsidRPr="00FF6121">
              <w:rPr>
                <w:rFonts w:ascii="Arial Narrow" w:hAnsi="Arial Narrow" w:cstheme="minorHAnsi"/>
                <w:b/>
                <w:bCs/>
                <w:color w:val="000000"/>
                <w:sz w:val="20"/>
                <w:szCs w:val="20"/>
                <w:lang w:val="en-IN" w:eastAsia="en-IN"/>
              </w:rPr>
              <w:t xml:space="preserve">ACP 2mg </w:t>
            </w:r>
          </w:p>
          <w:p w14:paraId="4BCEE163" w14:textId="77777777" w:rsidR="00FB7B59" w:rsidRPr="00FF6121" w:rsidRDefault="00FB7B59">
            <w:pPr>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(N=67)</w:t>
            </w:r>
          </w:p>
        </w:tc>
        <w:tc>
          <w:tcPr>
            <w:tcW w:w="1856" w:type="pct"/>
            <w:vAlign w:val="center"/>
          </w:tcPr>
          <w:p w14:paraId="5AA96216" w14:textId="77777777" w:rsidR="00FB7B59" w:rsidRPr="00FF6121" w:rsidRDefault="00FB7B59">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 xml:space="preserve">Combined </w:t>
            </w:r>
            <w:r w:rsidRPr="00FF6121">
              <w:rPr>
                <w:rFonts w:ascii="Arial Narrow" w:hAnsi="Arial Narrow" w:cstheme="minorHAnsi"/>
                <w:b/>
                <w:bCs/>
                <w:color w:val="000000"/>
                <w:sz w:val="20"/>
                <w:szCs w:val="20"/>
                <w:lang w:val="en-IN" w:eastAsia="en-IN"/>
              </w:rPr>
              <w:t>Sham</w:t>
            </w:r>
          </w:p>
          <w:p w14:paraId="2F24DF01" w14:textId="77777777" w:rsidR="00FB7B59" w:rsidRPr="00FF6121" w:rsidRDefault="00FB7B59">
            <w:pPr>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(N=110)</w:t>
            </w:r>
          </w:p>
        </w:tc>
      </w:tr>
      <w:tr w:rsidR="00FB7B59" w:rsidRPr="00E10F03" w14:paraId="6C54B71C" w14:textId="77777777" w:rsidTr="00FB7B59">
        <w:trPr>
          <w:trHeight w:val="20"/>
        </w:trPr>
        <w:tc>
          <w:tcPr>
            <w:tcW w:w="5000" w:type="pct"/>
            <w:gridSpan w:val="3"/>
          </w:tcPr>
          <w:p w14:paraId="76A67EA0" w14:textId="6E6F349F" w:rsidR="00FB7B59" w:rsidRPr="00B95B55" w:rsidRDefault="00FB7B59">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Mean rate of change in GA area</w:t>
            </w:r>
            <w:r w:rsidR="005404B1">
              <w:rPr>
                <w:rFonts w:ascii="Arial Narrow" w:hAnsi="Arial Narrow" w:cstheme="minorHAnsi"/>
                <w:b/>
                <w:bCs/>
                <w:sz w:val="20"/>
                <w:szCs w:val="20"/>
                <w:lang w:val="en-GB" w:eastAsia="en-GB"/>
              </w:rPr>
              <w:t xml:space="preserve"> (mm)</w:t>
            </w:r>
            <w:r w:rsidRPr="00B95B55">
              <w:rPr>
                <w:rFonts w:ascii="Arial Narrow" w:hAnsi="Arial Narrow" w:cstheme="minorHAnsi"/>
                <w:b/>
                <w:bCs/>
                <w:sz w:val="20"/>
                <w:szCs w:val="20"/>
                <w:lang w:val="en-GB" w:eastAsia="en-GB"/>
              </w:rPr>
              <w:t xml:space="preserve"> (square root transformation) from baseline to Month 12</w:t>
            </w:r>
          </w:p>
        </w:tc>
      </w:tr>
      <w:tr w:rsidR="005C450F" w:rsidRPr="00E10F03" w14:paraId="7E660EC7" w14:textId="77777777" w:rsidTr="00FB7B59">
        <w:trPr>
          <w:trHeight w:val="20"/>
        </w:trPr>
        <w:tc>
          <w:tcPr>
            <w:tcW w:w="1415" w:type="pct"/>
          </w:tcPr>
          <w:p w14:paraId="09019819" w14:textId="77777777" w:rsidR="00FB7B59" w:rsidRPr="00FF6121" w:rsidRDefault="00FB7B59">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Least squares mean (SE)</w:t>
            </w:r>
          </w:p>
        </w:tc>
        <w:tc>
          <w:tcPr>
            <w:tcW w:w="1729" w:type="pct"/>
          </w:tcPr>
          <w:p w14:paraId="1D34B25A" w14:textId="69ACF41E" w:rsidR="00FB7B59" w:rsidRPr="00FF6121" w:rsidRDefault="00FB7B59">
            <w:pPr>
              <w:jc w:val="cente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0.29 (0.</w:t>
            </w:r>
            <w:r w:rsidR="00517CFA" w:rsidRPr="00FF6121">
              <w:rPr>
                <w:rFonts w:ascii="Arial Narrow" w:hAnsi="Arial Narrow" w:cstheme="minorHAnsi"/>
                <w:color w:val="000000"/>
                <w:sz w:val="20"/>
                <w:szCs w:val="20"/>
                <w:lang w:val="en-IN" w:eastAsia="en-IN"/>
              </w:rPr>
              <w:t>0</w:t>
            </w:r>
            <w:r w:rsidR="00517CFA">
              <w:rPr>
                <w:rFonts w:ascii="Arial Narrow" w:hAnsi="Arial Narrow" w:cstheme="minorHAnsi"/>
                <w:color w:val="000000"/>
                <w:sz w:val="20"/>
                <w:szCs w:val="20"/>
                <w:lang w:val="en-IN" w:eastAsia="en-IN"/>
              </w:rPr>
              <w:t>8</w:t>
            </w:r>
            <w:r w:rsidRPr="00FF6121">
              <w:rPr>
                <w:rFonts w:ascii="Arial Narrow" w:hAnsi="Arial Narrow" w:cstheme="minorHAnsi"/>
                <w:color w:val="000000"/>
                <w:sz w:val="20"/>
                <w:szCs w:val="20"/>
                <w:lang w:val="en-IN" w:eastAsia="en-IN"/>
              </w:rPr>
              <w:t>)</w:t>
            </w:r>
          </w:p>
        </w:tc>
        <w:tc>
          <w:tcPr>
            <w:tcW w:w="1856" w:type="pct"/>
          </w:tcPr>
          <w:p w14:paraId="09AAF42D" w14:textId="77777777" w:rsidR="00FB7B59" w:rsidRPr="00FF6121" w:rsidRDefault="00FB7B59">
            <w:pPr>
              <w:jc w:val="cente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0.40 (0.0</w:t>
            </w:r>
            <w:r>
              <w:rPr>
                <w:rFonts w:ascii="Arial Narrow" w:hAnsi="Arial Narrow" w:cstheme="minorHAnsi"/>
                <w:color w:val="000000"/>
                <w:sz w:val="20"/>
                <w:szCs w:val="20"/>
                <w:lang w:val="en-IN" w:eastAsia="en-IN"/>
              </w:rPr>
              <w:t>8</w:t>
            </w:r>
            <w:r w:rsidRPr="00FF6121">
              <w:rPr>
                <w:rFonts w:ascii="Arial Narrow" w:hAnsi="Arial Narrow" w:cstheme="minorHAnsi"/>
                <w:color w:val="000000"/>
                <w:sz w:val="20"/>
                <w:szCs w:val="20"/>
                <w:lang w:val="en-IN" w:eastAsia="en-IN"/>
              </w:rPr>
              <w:t>)</w:t>
            </w:r>
          </w:p>
        </w:tc>
      </w:tr>
      <w:tr w:rsidR="00371422" w:rsidRPr="00E10F03" w14:paraId="2CC28C24" w14:textId="77777777" w:rsidTr="00FB7B59">
        <w:trPr>
          <w:trHeight w:val="20"/>
        </w:trPr>
        <w:tc>
          <w:tcPr>
            <w:tcW w:w="1415" w:type="pct"/>
            <w:vAlign w:val="center"/>
          </w:tcPr>
          <w:p w14:paraId="2C51DD7B" w14:textId="0A58E7E4" w:rsidR="00FB7B59" w:rsidRDefault="00FB7B59">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004D7A2A" w:rsidRPr="004D7A2A">
              <w:rPr>
                <w:rFonts w:ascii="Arial Narrow" w:hAnsi="Arial Narrow" w:cstheme="minorHAnsi"/>
                <w:color w:val="000000"/>
                <w:sz w:val="20"/>
                <w:szCs w:val="20"/>
                <w:vertAlign w:val="superscript"/>
                <w:lang w:val="it-IT" w:eastAsia="en-IN"/>
              </w:rPr>
              <w:t>a</w:t>
            </w:r>
            <w:r w:rsidRPr="00FF6121">
              <w:rPr>
                <w:rFonts w:ascii="Arial Narrow" w:hAnsi="Arial Narrow" w:cstheme="minorHAnsi"/>
                <w:color w:val="000000"/>
                <w:sz w:val="20"/>
                <w:szCs w:val="20"/>
                <w:lang w:val="it-IT" w:eastAsia="en-IN"/>
              </w:rPr>
              <w:t xml:space="preserve"> (95% CI</w:t>
            </w:r>
            <w:r>
              <w:rPr>
                <w:rFonts w:ascii="Arial Narrow" w:hAnsi="Arial Narrow" w:cstheme="minorHAnsi"/>
                <w:color w:val="000000"/>
                <w:sz w:val="20"/>
                <w:szCs w:val="20"/>
                <w:lang w:val="it-IT" w:eastAsia="en-IN"/>
              </w:rPr>
              <w:t>)</w:t>
            </w:r>
          </w:p>
          <w:p w14:paraId="5BAA94D1" w14:textId="5C0E78A7" w:rsidR="00FB7B59" w:rsidRPr="00FF6121" w:rsidRDefault="00FB7B59">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r w:rsidR="004D7A2A">
              <w:rPr>
                <w:rFonts w:ascii="Arial Narrow" w:hAnsi="Arial Narrow" w:cstheme="minorHAnsi"/>
                <w:color w:val="000000"/>
                <w:sz w:val="20"/>
                <w:szCs w:val="20"/>
                <w:vertAlign w:val="superscript"/>
                <w:lang w:val="it-IT" w:eastAsia="en-IN"/>
              </w:rPr>
              <w:t>b</w:t>
            </w:r>
          </w:p>
        </w:tc>
        <w:tc>
          <w:tcPr>
            <w:tcW w:w="3585" w:type="pct"/>
            <w:gridSpan w:val="2"/>
          </w:tcPr>
          <w:p w14:paraId="3A1C0DA9" w14:textId="521C330A" w:rsidR="00FB7B59" w:rsidRPr="00B95B55"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B7B59" w:rsidRPr="00B95B55">
              <w:rPr>
                <w:rFonts w:ascii="Arial Narrow" w:hAnsi="Arial Narrow" w:cstheme="minorHAnsi"/>
                <w:b/>
                <w:bCs/>
                <w:color w:val="000000"/>
                <w:sz w:val="20"/>
                <w:szCs w:val="20"/>
                <w:lang w:val="en-IN" w:eastAsia="en-IN"/>
              </w:rPr>
              <w:t>0.11 (</w:t>
            </w:r>
            <w:r>
              <w:rPr>
                <w:rFonts w:ascii="Arial Narrow" w:hAnsi="Arial Narrow" w:cstheme="minorHAnsi"/>
                <w:b/>
                <w:bCs/>
                <w:color w:val="000000"/>
                <w:sz w:val="20"/>
                <w:szCs w:val="20"/>
                <w:lang w:val="en-IN" w:eastAsia="en-IN"/>
              </w:rPr>
              <w:noBreakHyphen/>
            </w:r>
            <w:r w:rsidR="003710A0" w:rsidRPr="00B95B55">
              <w:rPr>
                <w:rFonts w:ascii="Arial Narrow" w:hAnsi="Arial Narrow" w:cstheme="minorHAnsi"/>
                <w:b/>
                <w:bCs/>
                <w:color w:val="000000"/>
                <w:sz w:val="20"/>
                <w:szCs w:val="20"/>
                <w:lang w:val="en-IN" w:eastAsia="en-IN"/>
              </w:rPr>
              <w:t>0.19</w:t>
            </w:r>
            <w:r w:rsidR="003710A0">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FB7B59" w:rsidRPr="00B95B55">
              <w:rPr>
                <w:rFonts w:ascii="Arial Narrow" w:hAnsi="Arial Narrow" w:cstheme="minorHAnsi"/>
                <w:b/>
                <w:bCs/>
                <w:color w:val="000000"/>
                <w:sz w:val="20"/>
                <w:szCs w:val="20"/>
                <w:lang w:val="en-IN" w:eastAsia="en-IN"/>
              </w:rPr>
              <w:t>0.03)</w:t>
            </w:r>
          </w:p>
          <w:p w14:paraId="6144F046" w14:textId="77777777" w:rsidR="00FB7B59" w:rsidRPr="00FF6121" w:rsidRDefault="00FB7B59">
            <w:pPr>
              <w:jc w:val="center"/>
              <w:rPr>
                <w:rFonts w:ascii="Arial Narrow" w:hAnsi="Arial Narrow" w:cstheme="minorHAnsi"/>
                <w:color w:val="000000"/>
                <w:sz w:val="20"/>
                <w:szCs w:val="20"/>
                <w:lang w:val="en-IN" w:eastAsia="en-IN"/>
              </w:rPr>
            </w:pPr>
            <w:r w:rsidRPr="00B95B55">
              <w:rPr>
                <w:rFonts w:ascii="Arial Narrow" w:hAnsi="Arial Narrow" w:cstheme="minorHAnsi"/>
                <w:b/>
                <w:bCs/>
                <w:color w:val="000000"/>
                <w:sz w:val="20"/>
                <w:szCs w:val="20"/>
                <w:lang w:val="en-IN" w:eastAsia="en-IN"/>
              </w:rPr>
              <w:t xml:space="preserve"> 0.007</w:t>
            </w:r>
          </w:p>
        </w:tc>
      </w:tr>
      <w:tr w:rsidR="00371422" w:rsidRPr="00E10F03" w14:paraId="3FE72521" w14:textId="77777777" w:rsidTr="00FB7B59">
        <w:trPr>
          <w:trHeight w:val="20"/>
        </w:trPr>
        <w:tc>
          <w:tcPr>
            <w:tcW w:w="1415" w:type="pct"/>
            <w:vAlign w:val="center"/>
          </w:tcPr>
          <w:p w14:paraId="3E870B55" w14:textId="77777777" w:rsidR="00FB7B59" w:rsidRPr="00FF6121" w:rsidRDefault="00FB7B59">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Difference</w:t>
            </w:r>
          </w:p>
        </w:tc>
        <w:tc>
          <w:tcPr>
            <w:tcW w:w="3585" w:type="pct"/>
            <w:gridSpan w:val="2"/>
          </w:tcPr>
          <w:p w14:paraId="5DCA95F1" w14:textId="77777777" w:rsidR="00FB7B59" w:rsidRPr="00B95B55" w:rsidRDefault="00FB7B59">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27.38</w:t>
            </w:r>
          </w:p>
        </w:tc>
      </w:tr>
      <w:tr w:rsidR="00FB7B59" w:rsidRPr="00E10F03" w14:paraId="00A6D8CE" w14:textId="77777777" w:rsidTr="00FB7B59">
        <w:trPr>
          <w:trHeight w:val="20"/>
        </w:trPr>
        <w:tc>
          <w:tcPr>
            <w:tcW w:w="5000" w:type="pct"/>
            <w:gridSpan w:val="3"/>
          </w:tcPr>
          <w:p w14:paraId="21883004" w14:textId="634B38E9" w:rsidR="00FB7B59" w:rsidRPr="00B95B55" w:rsidRDefault="00FB7B59">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 xml:space="preserve">Mean rate of change in GA area </w:t>
            </w:r>
            <w:r w:rsidR="005404B1">
              <w:rPr>
                <w:rFonts w:ascii="Arial Narrow" w:hAnsi="Arial Narrow" w:cstheme="minorHAnsi"/>
                <w:b/>
                <w:bCs/>
                <w:sz w:val="20"/>
                <w:szCs w:val="20"/>
                <w:lang w:val="en-GB" w:eastAsia="en-GB"/>
              </w:rPr>
              <w:t>(mm</w:t>
            </w:r>
            <w:r w:rsidR="005404B1" w:rsidRPr="005404B1">
              <w:rPr>
                <w:rFonts w:ascii="Arial Narrow" w:hAnsi="Arial Narrow" w:cstheme="minorHAnsi"/>
                <w:b/>
                <w:bCs/>
                <w:sz w:val="20"/>
                <w:szCs w:val="20"/>
                <w:vertAlign w:val="superscript"/>
                <w:lang w:val="en-GB" w:eastAsia="en-GB"/>
              </w:rPr>
              <w:t>2</w:t>
            </w:r>
            <w:r w:rsidR="005404B1">
              <w:rPr>
                <w:rFonts w:ascii="Arial Narrow" w:hAnsi="Arial Narrow" w:cstheme="minorHAnsi"/>
                <w:b/>
                <w:bCs/>
                <w:sz w:val="20"/>
                <w:szCs w:val="20"/>
                <w:lang w:val="en-GB" w:eastAsia="en-GB"/>
              </w:rPr>
              <w:t>)</w:t>
            </w:r>
            <w:r w:rsidR="00262AE2">
              <w:rPr>
                <w:rFonts w:ascii="Arial Narrow" w:hAnsi="Arial Narrow" w:cstheme="minorHAnsi"/>
                <w:b/>
                <w:bCs/>
                <w:sz w:val="20"/>
                <w:szCs w:val="20"/>
                <w:lang w:val="en-GB" w:eastAsia="en-GB"/>
              </w:rPr>
              <w:t xml:space="preserve"> </w:t>
            </w:r>
            <w:r w:rsidRPr="00B95B55">
              <w:rPr>
                <w:rFonts w:ascii="Arial Narrow" w:hAnsi="Arial Narrow" w:cstheme="minorHAnsi"/>
                <w:b/>
                <w:bCs/>
                <w:sz w:val="20"/>
                <w:szCs w:val="20"/>
                <w:lang w:val="en-GB" w:eastAsia="en-GB"/>
              </w:rPr>
              <w:t>(</w:t>
            </w:r>
            <w:r>
              <w:rPr>
                <w:rFonts w:ascii="Arial Narrow" w:hAnsi="Arial Narrow" w:cstheme="minorHAnsi"/>
                <w:b/>
                <w:bCs/>
                <w:sz w:val="20"/>
                <w:szCs w:val="20"/>
                <w:lang w:val="en-GB" w:eastAsia="en-GB"/>
              </w:rPr>
              <w:t>observed</w:t>
            </w:r>
            <w:r w:rsidRPr="00B95B55">
              <w:rPr>
                <w:rFonts w:ascii="Arial Narrow" w:hAnsi="Arial Narrow" w:cstheme="minorHAnsi"/>
                <w:b/>
                <w:bCs/>
                <w:sz w:val="20"/>
                <w:szCs w:val="20"/>
                <w:lang w:val="en-GB" w:eastAsia="en-GB"/>
              </w:rPr>
              <w:t>) from baseline to Month 12</w:t>
            </w:r>
          </w:p>
        </w:tc>
      </w:tr>
      <w:tr w:rsidR="005C450F" w:rsidRPr="00E10F03" w14:paraId="46AA8061" w14:textId="77777777" w:rsidTr="00FB7B59">
        <w:trPr>
          <w:trHeight w:val="20"/>
        </w:trPr>
        <w:tc>
          <w:tcPr>
            <w:tcW w:w="1415" w:type="pct"/>
          </w:tcPr>
          <w:p w14:paraId="1BD81807" w14:textId="77777777" w:rsidR="00FB7B59" w:rsidRPr="00FF6121" w:rsidRDefault="00FB7B59">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Least squares mean (SE)</w:t>
            </w:r>
          </w:p>
        </w:tc>
        <w:tc>
          <w:tcPr>
            <w:tcW w:w="1729" w:type="pct"/>
          </w:tcPr>
          <w:p w14:paraId="4C1E7912" w14:textId="77777777" w:rsidR="00FB7B59" w:rsidRPr="00FF6121" w:rsidRDefault="00FB7B59">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1.59 (0.48)</w:t>
            </w:r>
          </w:p>
        </w:tc>
        <w:tc>
          <w:tcPr>
            <w:tcW w:w="1856" w:type="pct"/>
          </w:tcPr>
          <w:p w14:paraId="4817732E" w14:textId="77777777" w:rsidR="00FB7B59" w:rsidRPr="00FF6121" w:rsidRDefault="00FB7B59">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2.29 (0.47)</w:t>
            </w:r>
          </w:p>
        </w:tc>
      </w:tr>
      <w:tr w:rsidR="00371422" w:rsidRPr="00E10F03" w14:paraId="12931C00" w14:textId="77777777" w:rsidTr="00FB7B59">
        <w:trPr>
          <w:trHeight w:val="20"/>
        </w:trPr>
        <w:tc>
          <w:tcPr>
            <w:tcW w:w="1415" w:type="pct"/>
            <w:vAlign w:val="center"/>
          </w:tcPr>
          <w:p w14:paraId="160BECD2" w14:textId="0C4E9CCB" w:rsidR="00FB7B59" w:rsidRDefault="00FB7B59">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004D7A2A" w:rsidRPr="004D7A2A">
              <w:rPr>
                <w:rFonts w:ascii="Arial Narrow" w:hAnsi="Arial Narrow" w:cstheme="minorHAnsi"/>
                <w:color w:val="000000"/>
                <w:sz w:val="20"/>
                <w:szCs w:val="20"/>
                <w:vertAlign w:val="superscript"/>
                <w:lang w:val="it-IT" w:eastAsia="en-IN"/>
              </w:rPr>
              <w:t>a</w:t>
            </w:r>
            <w:r w:rsidRPr="00FF6121">
              <w:rPr>
                <w:rFonts w:ascii="Arial Narrow" w:hAnsi="Arial Narrow" w:cstheme="minorHAnsi"/>
                <w:color w:val="000000"/>
                <w:sz w:val="20"/>
                <w:szCs w:val="20"/>
                <w:lang w:val="it-IT" w:eastAsia="en-IN"/>
              </w:rPr>
              <w:t xml:space="preserve"> (95% CI</w:t>
            </w:r>
            <w:r>
              <w:rPr>
                <w:rFonts w:ascii="Arial Narrow" w:hAnsi="Arial Narrow" w:cstheme="minorHAnsi"/>
                <w:color w:val="000000"/>
                <w:sz w:val="20"/>
                <w:szCs w:val="20"/>
                <w:lang w:val="it-IT" w:eastAsia="en-IN"/>
              </w:rPr>
              <w:t>)</w:t>
            </w:r>
          </w:p>
          <w:p w14:paraId="6288F720" w14:textId="77777777" w:rsidR="00FB7B59" w:rsidRPr="00FF6121" w:rsidRDefault="00FB7B59">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p>
        </w:tc>
        <w:tc>
          <w:tcPr>
            <w:tcW w:w="3585" w:type="pct"/>
            <w:gridSpan w:val="2"/>
          </w:tcPr>
          <w:p w14:paraId="3B7D615D" w14:textId="7FC9527D" w:rsidR="00FB7B59" w:rsidRPr="00B95B55"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B7B59">
              <w:rPr>
                <w:rFonts w:ascii="Arial Narrow" w:hAnsi="Arial Narrow" w:cstheme="minorHAnsi"/>
                <w:b/>
                <w:bCs/>
                <w:color w:val="000000"/>
                <w:sz w:val="20"/>
                <w:szCs w:val="20"/>
                <w:lang w:val="en-IN" w:eastAsia="en-IN"/>
              </w:rPr>
              <w:t>0.70 (</w:t>
            </w:r>
            <w:r>
              <w:rPr>
                <w:rFonts w:ascii="Arial Narrow" w:hAnsi="Arial Narrow" w:cstheme="minorHAnsi"/>
                <w:b/>
                <w:bCs/>
                <w:color w:val="000000"/>
                <w:sz w:val="20"/>
                <w:szCs w:val="20"/>
                <w:lang w:val="en-IN" w:eastAsia="en-IN"/>
              </w:rPr>
              <w:noBreakHyphen/>
            </w:r>
            <w:r w:rsidR="003710A0">
              <w:rPr>
                <w:rFonts w:ascii="Arial Narrow" w:hAnsi="Arial Narrow" w:cstheme="minorHAnsi"/>
                <w:b/>
                <w:bCs/>
                <w:color w:val="000000"/>
                <w:sz w:val="20"/>
                <w:szCs w:val="20"/>
                <w:lang w:val="en-IN" w:eastAsia="en-IN"/>
              </w:rPr>
              <w:t xml:space="preserve">1.19, </w:t>
            </w:r>
            <w:r>
              <w:rPr>
                <w:rFonts w:ascii="Arial Narrow" w:hAnsi="Arial Narrow" w:cstheme="minorHAnsi"/>
                <w:b/>
                <w:bCs/>
                <w:color w:val="000000"/>
                <w:sz w:val="20"/>
                <w:szCs w:val="20"/>
                <w:lang w:val="en-IN" w:eastAsia="en-IN"/>
              </w:rPr>
              <w:noBreakHyphen/>
            </w:r>
            <w:r w:rsidR="00FB7B59">
              <w:rPr>
                <w:rFonts w:ascii="Arial Narrow" w:hAnsi="Arial Narrow" w:cstheme="minorHAnsi"/>
                <w:b/>
                <w:bCs/>
                <w:color w:val="000000"/>
                <w:sz w:val="20"/>
                <w:szCs w:val="20"/>
                <w:lang w:val="en-IN" w:eastAsia="en-IN"/>
              </w:rPr>
              <w:t>0.20)</w:t>
            </w:r>
          </w:p>
          <w:p w14:paraId="540D0559" w14:textId="77777777" w:rsidR="00FB7B59" w:rsidRPr="00FF6121" w:rsidRDefault="00FB7B59">
            <w:pPr>
              <w:jc w:val="center"/>
              <w:rPr>
                <w:rFonts w:ascii="Arial Narrow" w:hAnsi="Arial Narrow" w:cstheme="minorHAnsi"/>
                <w:color w:val="000000"/>
                <w:sz w:val="20"/>
                <w:szCs w:val="20"/>
                <w:lang w:val="en-IN" w:eastAsia="en-IN"/>
              </w:rPr>
            </w:pPr>
            <w:r w:rsidRPr="00B95B55">
              <w:rPr>
                <w:rFonts w:ascii="Arial Narrow" w:hAnsi="Arial Narrow" w:cstheme="minorHAnsi"/>
                <w:b/>
                <w:bCs/>
                <w:color w:val="000000"/>
                <w:sz w:val="20"/>
                <w:szCs w:val="20"/>
                <w:lang w:val="en-IN" w:eastAsia="en-IN"/>
              </w:rPr>
              <w:t xml:space="preserve"> 0.00</w:t>
            </w:r>
            <w:r>
              <w:rPr>
                <w:rFonts w:ascii="Arial Narrow" w:hAnsi="Arial Narrow" w:cstheme="minorHAnsi"/>
                <w:b/>
                <w:bCs/>
                <w:color w:val="000000"/>
                <w:sz w:val="20"/>
                <w:szCs w:val="20"/>
                <w:lang w:val="en-IN" w:eastAsia="en-IN"/>
              </w:rPr>
              <w:t>6</w:t>
            </w:r>
          </w:p>
        </w:tc>
      </w:tr>
      <w:tr w:rsidR="00371422" w:rsidRPr="00E10F03" w14:paraId="2FF2CA0D" w14:textId="77777777" w:rsidTr="00FB7B59">
        <w:trPr>
          <w:trHeight w:val="20"/>
        </w:trPr>
        <w:tc>
          <w:tcPr>
            <w:tcW w:w="1415" w:type="pct"/>
            <w:vAlign w:val="center"/>
          </w:tcPr>
          <w:p w14:paraId="30A5D85C" w14:textId="77777777" w:rsidR="00FB7B59" w:rsidRPr="00FF6121" w:rsidRDefault="00FB7B59">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Difference</w:t>
            </w:r>
          </w:p>
        </w:tc>
        <w:tc>
          <w:tcPr>
            <w:tcW w:w="3585" w:type="pct"/>
            <w:gridSpan w:val="2"/>
          </w:tcPr>
          <w:p w14:paraId="656A0947" w14:textId="77777777" w:rsidR="00FB7B59" w:rsidRPr="00B95B55" w:rsidRDefault="00FB7B59">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30.45</w:t>
            </w:r>
          </w:p>
        </w:tc>
      </w:tr>
      <w:tr w:rsidR="00FB7B59" w:rsidRPr="00E10F03" w14:paraId="3B39EB3F" w14:textId="77777777" w:rsidTr="00FB7B59">
        <w:trPr>
          <w:trHeight w:val="20"/>
        </w:trPr>
        <w:tc>
          <w:tcPr>
            <w:tcW w:w="5000" w:type="pct"/>
            <w:gridSpan w:val="3"/>
            <w:vAlign w:val="center"/>
          </w:tcPr>
          <w:p w14:paraId="103E25B9" w14:textId="18D0D5F1" w:rsidR="00FB7B59" w:rsidRPr="00B95B55" w:rsidRDefault="00FB7B59">
            <w:pPr>
              <w:jc w:val="left"/>
              <w:rPr>
                <w:rFonts w:ascii="Arial Narrow" w:hAnsi="Arial Narrow" w:cstheme="minorHAnsi"/>
                <w:b/>
                <w:bCs/>
                <w:color w:val="000000"/>
                <w:sz w:val="20"/>
                <w:szCs w:val="20"/>
                <w:lang w:val="en-IN" w:eastAsia="en-IN"/>
              </w:rPr>
            </w:pPr>
            <w:r w:rsidRPr="00B95B55">
              <w:rPr>
                <w:rFonts w:ascii="Arial Narrow" w:hAnsi="Arial Narrow" w:cstheme="minorHAnsi"/>
                <w:b/>
                <w:bCs/>
                <w:color w:val="000000"/>
                <w:sz w:val="20"/>
                <w:szCs w:val="20"/>
                <w:lang w:val="en-IN" w:eastAsia="en-IN"/>
              </w:rPr>
              <w:t xml:space="preserve">Mean rate of change in GA area </w:t>
            </w:r>
            <w:r w:rsidR="005404B1">
              <w:rPr>
                <w:rFonts w:ascii="Arial Narrow" w:hAnsi="Arial Narrow" w:cstheme="minorHAnsi"/>
                <w:b/>
                <w:bCs/>
                <w:sz w:val="20"/>
                <w:szCs w:val="20"/>
                <w:lang w:val="en-GB" w:eastAsia="en-GB"/>
              </w:rPr>
              <w:t>(mm)</w:t>
            </w:r>
            <w:r w:rsidR="005404B1" w:rsidRPr="00B95B55">
              <w:rPr>
                <w:rFonts w:ascii="Arial Narrow" w:hAnsi="Arial Narrow" w:cstheme="minorHAnsi"/>
                <w:b/>
                <w:bCs/>
                <w:sz w:val="20"/>
                <w:szCs w:val="20"/>
                <w:lang w:val="en-GB" w:eastAsia="en-GB"/>
              </w:rPr>
              <w:t xml:space="preserve"> </w:t>
            </w:r>
            <w:r w:rsidRPr="00B95B55">
              <w:rPr>
                <w:rFonts w:ascii="Arial Narrow" w:hAnsi="Arial Narrow" w:cstheme="minorHAnsi"/>
                <w:b/>
                <w:bCs/>
                <w:color w:val="000000"/>
                <w:sz w:val="20"/>
                <w:szCs w:val="20"/>
                <w:lang w:val="en-IN" w:eastAsia="en-IN"/>
              </w:rPr>
              <w:t xml:space="preserve">(square root transformation) from baseline to Month </w:t>
            </w:r>
            <w:r>
              <w:rPr>
                <w:rFonts w:ascii="Arial Narrow" w:hAnsi="Arial Narrow" w:cstheme="minorHAnsi"/>
                <w:b/>
                <w:bCs/>
                <w:color w:val="000000"/>
                <w:sz w:val="20"/>
                <w:szCs w:val="20"/>
                <w:lang w:val="en-IN" w:eastAsia="en-IN"/>
              </w:rPr>
              <w:t>18</w:t>
            </w:r>
          </w:p>
        </w:tc>
      </w:tr>
      <w:tr w:rsidR="005C450F" w:rsidRPr="00E10F03" w14:paraId="67DBF95B" w14:textId="77777777" w:rsidTr="00FB7B59">
        <w:trPr>
          <w:trHeight w:val="20"/>
        </w:trPr>
        <w:tc>
          <w:tcPr>
            <w:tcW w:w="1415" w:type="pct"/>
          </w:tcPr>
          <w:p w14:paraId="38029CD7" w14:textId="77777777" w:rsidR="00FB7B59" w:rsidRPr="00FF6121" w:rsidRDefault="00FB7B59">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Least squares mean (SE)</w:t>
            </w:r>
          </w:p>
        </w:tc>
        <w:tc>
          <w:tcPr>
            <w:tcW w:w="1729" w:type="pct"/>
          </w:tcPr>
          <w:p w14:paraId="5747AC7C" w14:textId="77777777" w:rsidR="00FB7B59" w:rsidRPr="00FF6121" w:rsidRDefault="00FB7B59">
            <w:pPr>
              <w:jc w:val="cente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0.43 (0.09)</w:t>
            </w:r>
          </w:p>
        </w:tc>
        <w:tc>
          <w:tcPr>
            <w:tcW w:w="1856" w:type="pct"/>
          </w:tcPr>
          <w:p w14:paraId="73B0FCB7" w14:textId="77777777" w:rsidR="00FB7B59" w:rsidRPr="00FF6121" w:rsidRDefault="00FB7B59">
            <w:pPr>
              <w:jc w:val="cente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0.</w:t>
            </w:r>
            <w:r>
              <w:rPr>
                <w:rFonts w:ascii="Arial Narrow" w:hAnsi="Arial Narrow" w:cstheme="minorHAnsi"/>
                <w:color w:val="000000"/>
                <w:sz w:val="20"/>
                <w:szCs w:val="20"/>
                <w:lang w:val="en-IN" w:eastAsia="en-IN"/>
              </w:rPr>
              <w:t>60</w:t>
            </w:r>
            <w:r w:rsidRPr="00FF6121">
              <w:rPr>
                <w:rFonts w:ascii="Arial Narrow" w:hAnsi="Arial Narrow" w:cstheme="minorHAnsi"/>
                <w:color w:val="000000"/>
                <w:sz w:val="20"/>
                <w:szCs w:val="20"/>
                <w:lang w:val="en-IN" w:eastAsia="en-IN"/>
              </w:rPr>
              <w:t xml:space="preserve"> (0.0</w:t>
            </w:r>
            <w:r>
              <w:rPr>
                <w:rFonts w:ascii="Arial Narrow" w:hAnsi="Arial Narrow" w:cstheme="minorHAnsi"/>
                <w:color w:val="000000"/>
                <w:sz w:val="20"/>
                <w:szCs w:val="20"/>
                <w:lang w:val="en-IN" w:eastAsia="en-IN"/>
              </w:rPr>
              <w:t>9</w:t>
            </w:r>
            <w:r w:rsidRPr="00FF6121">
              <w:rPr>
                <w:rFonts w:ascii="Arial Narrow" w:hAnsi="Arial Narrow" w:cstheme="minorHAnsi"/>
                <w:color w:val="000000"/>
                <w:sz w:val="20"/>
                <w:szCs w:val="20"/>
                <w:lang w:val="en-IN" w:eastAsia="en-IN"/>
              </w:rPr>
              <w:t>)</w:t>
            </w:r>
          </w:p>
        </w:tc>
      </w:tr>
      <w:tr w:rsidR="00371422" w:rsidRPr="00E10F03" w14:paraId="01ADA0FF" w14:textId="77777777" w:rsidTr="00FB7B59">
        <w:trPr>
          <w:trHeight w:val="20"/>
        </w:trPr>
        <w:tc>
          <w:tcPr>
            <w:tcW w:w="1415" w:type="pct"/>
          </w:tcPr>
          <w:p w14:paraId="7CFA0214" w14:textId="7A20DA24" w:rsidR="00FB7B59" w:rsidRPr="00FF6121" w:rsidRDefault="00FB7B59">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Difference</w:t>
            </w:r>
            <w:r w:rsidR="004D7A2A">
              <w:rPr>
                <w:rFonts w:ascii="Arial Narrow" w:hAnsi="Arial Narrow" w:cstheme="minorHAnsi"/>
                <w:color w:val="000000"/>
                <w:sz w:val="20"/>
                <w:szCs w:val="20"/>
                <w:vertAlign w:val="superscript"/>
                <w:lang w:val="it-IT" w:eastAsia="en-IN"/>
              </w:rPr>
              <w:t>a</w:t>
            </w:r>
            <w:r w:rsidRPr="00FF6121">
              <w:rPr>
                <w:rFonts w:ascii="Arial Narrow" w:hAnsi="Arial Narrow" w:cstheme="minorHAnsi"/>
                <w:color w:val="000000"/>
                <w:sz w:val="20"/>
                <w:szCs w:val="20"/>
                <w:lang w:val="en-IN" w:eastAsia="en-IN"/>
              </w:rPr>
              <w:t xml:space="preserve"> (95% CI)</w:t>
            </w:r>
          </w:p>
        </w:tc>
        <w:tc>
          <w:tcPr>
            <w:tcW w:w="3585" w:type="pct"/>
            <w:gridSpan w:val="2"/>
          </w:tcPr>
          <w:p w14:paraId="1E2EBA4B" w14:textId="05A3F6E9" w:rsidR="00FB7B59" w:rsidRPr="00F02773"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B7B59" w:rsidRPr="00F02773">
              <w:rPr>
                <w:rFonts w:ascii="Arial Narrow" w:hAnsi="Arial Narrow" w:cstheme="minorHAnsi"/>
                <w:b/>
                <w:bCs/>
                <w:color w:val="000000"/>
                <w:sz w:val="20"/>
                <w:szCs w:val="20"/>
                <w:lang w:val="en-IN" w:eastAsia="en-IN"/>
              </w:rPr>
              <w:t>0.17 (</w:t>
            </w:r>
            <w:r>
              <w:rPr>
                <w:rFonts w:ascii="Arial Narrow" w:hAnsi="Arial Narrow" w:cstheme="minorHAnsi"/>
                <w:b/>
                <w:bCs/>
                <w:color w:val="000000"/>
                <w:sz w:val="20"/>
                <w:szCs w:val="20"/>
                <w:lang w:val="en-IN" w:eastAsia="en-IN"/>
              </w:rPr>
              <w:noBreakHyphen/>
            </w:r>
            <w:r w:rsidR="003710A0" w:rsidRPr="00F02773">
              <w:rPr>
                <w:rFonts w:ascii="Arial Narrow" w:hAnsi="Arial Narrow" w:cstheme="minorHAnsi"/>
                <w:b/>
                <w:bCs/>
                <w:color w:val="000000"/>
                <w:sz w:val="20"/>
                <w:szCs w:val="20"/>
                <w:lang w:val="en-IN" w:eastAsia="en-IN"/>
              </w:rPr>
              <w:t>0.27</w:t>
            </w:r>
            <w:r w:rsidR="003710A0">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FB7B59" w:rsidRPr="00F02773">
              <w:rPr>
                <w:rFonts w:ascii="Arial Narrow" w:hAnsi="Arial Narrow" w:cstheme="minorHAnsi"/>
                <w:b/>
                <w:bCs/>
                <w:color w:val="000000"/>
                <w:sz w:val="20"/>
                <w:szCs w:val="20"/>
                <w:lang w:val="en-IN" w:eastAsia="en-IN"/>
              </w:rPr>
              <w:t>0.07)</w:t>
            </w:r>
          </w:p>
        </w:tc>
      </w:tr>
      <w:tr w:rsidR="00371422" w:rsidRPr="00E10F03" w14:paraId="0B9AFA23" w14:textId="77777777" w:rsidTr="00FB7B59">
        <w:trPr>
          <w:trHeight w:val="20"/>
        </w:trPr>
        <w:tc>
          <w:tcPr>
            <w:tcW w:w="1415" w:type="pct"/>
          </w:tcPr>
          <w:p w14:paraId="7D0610A1" w14:textId="77777777" w:rsidR="00FB7B59" w:rsidRPr="00FF6121" w:rsidRDefault="00FB7B59">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 Difference</w:t>
            </w:r>
          </w:p>
        </w:tc>
        <w:tc>
          <w:tcPr>
            <w:tcW w:w="3585" w:type="pct"/>
            <w:gridSpan w:val="2"/>
          </w:tcPr>
          <w:p w14:paraId="6CB8E0F5" w14:textId="77777777" w:rsidR="00FB7B59" w:rsidRPr="00F02773" w:rsidRDefault="00FB7B59">
            <w:pPr>
              <w:jc w:val="center"/>
              <w:rPr>
                <w:rFonts w:ascii="Arial Narrow" w:hAnsi="Arial Narrow" w:cstheme="minorHAnsi"/>
                <w:b/>
                <w:bCs/>
                <w:color w:val="000000"/>
                <w:sz w:val="20"/>
                <w:szCs w:val="20"/>
                <w:lang w:val="en-IN" w:eastAsia="en-IN"/>
              </w:rPr>
            </w:pPr>
            <w:r w:rsidRPr="00F02773">
              <w:rPr>
                <w:rFonts w:ascii="Arial Narrow" w:hAnsi="Arial Narrow" w:cstheme="minorHAnsi"/>
                <w:b/>
                <w:bCs/>
                <w:color w:val="000000"/>
                <w:sz w:val="20"/>
                <w:szCs w:val="20"/>
                <w:lang w:val="en-IN" w:eastAsia="en-IN"/>
              </w:rPr>
              <w:t>28.11</w:t>
            </w:r>
          </w:p>
        </w:tc>
      </w:tr>
      <w:tr w:rsidR="00FB7B59" w:rsidRPr="00E10F03" w14:paraId="299148C8" w14:textId="77777777" w:rsidTr="00FB7B59">
        <w:trPr>
          <w:trHeight w:val="20"/>
        </w:trPr>
        <w:tc>
          <w:tcPr>
            <w:tcW w:w="5000" w:type="pct"/>
            <w:gridSpan w:val="3"/>
          </w:tcPr>
          <w:p w14:paraId="537AD02E" w14:textId="2E682546" w:rsidR="00FB7B59" w:rsidRPr="00B95B55" w:rsidRDefault="00FB7B59">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Mean rate of change in GA area</w:t>
            </w:r>
            <w:r w:rsidR="005404B1">
              <w:rPr>
                <w:rFonts w:ascii="Arial Narrow" w:hAnsi="Arial Narrow" w:cstheme="minorHAnsi"/>
                <w:b/>
                <w:bCs/>
                <w:sz w:val="20"/>
                <w:szCs w:val="20"/>
                <w:lang w:val="en-GB" w:eastAsia="en-GB"/>
              </w:rPr>
              <w:t xml:space="preserve"> (mm</w:t>
            </w:r>
            <w:r w:rsidR="005404B1" w:rsidRPr="005404B1">
              <w:rPr>
                <w:rFonts w:ascii="Arial Narrow" w:hAnsi="Arial Narrow" w:cstheme="minorHAnsi"/>
                <w:b/>
                <w:bCs/>
                <w:sz w:val="20"/>
                <w:szCs w:val="20"/>
                <w:vertAlign w:val="superscript"/>
                <w:lang w:val="en-GB" w:eastAsia="en-GB"/>
              </w:rPr>
              <w:t>2</w:t>
            </w:r>
            <w:r w:rsidR="005404B1">
              <w:rPr>
                <w:rFonts w:ascii="Arial Narrow" w:hAnsi="Arial Narrow" w:cstheme="minorHAnsi"/>
                <w:b/>
                <w:bCs/>
                <w:sz w:val="20"/>
                <w:szCs w:val="20"/>
                <w:lang w:val="en-GB" w:eastAsia="en-GB"/>
              </w:rPr>
              <w:t>)</w:t>
            </w:r>
            <w:r w:rsidRPr="00B95B55">
              <w:rPr>
                <w:rFonts w:ascii="Arial Narrow" w:hAnsi="Arial Narrow" w:cstheme="minorHAnsi"/>
                <w:b/>
                <w:bCs/>
                <w:sz w:val="20"/>
                <w:szCs w:val="20"/>
                <w:lang w:val="en-GB" w:eastAsia="en-GB"/>
              </w:rPr>
              <w:t xml:space="preserve"> (</w:t>
            </w:r>
            <w:r>
              <w:rPr>
                <w:rFonts w:ascii="Arial Narrow" w:hAnsi="Arial Narrow" w:cstheme="minorHAnsi"/>
                <w:b/>
                <w:bCs/>
                <w:sz w:val="20"/>
                <w:szCs w:val="20"/>
                <w:lang w:val="en-GB" w:eastAsia="en-GB"/>
              </w:rPr>
              <w:t>observed</w:t>
            </w:r>
            <w:r w:rsidRPr="00B95B55">
              <w:rPr>
                <w:rFonts w:ascii="Arial Narrow" w:hAnsi="Arial Narrow" w:cstheme="minorHAnsi"/>
                <w:b/>
                <w:bCs/>
                <w:sz w:val="20"/>
                <w:szCs w:val="20"/>
                <w:lang w:val="en-GB" w:eastAsia="en-GB"/>
              </w:rPr>
              <w:t xml:space="preserve">) from baseline to Month </w:t>
            </w:r>
            <w:r>
              <w:rPr>
                <w:rFonts w:ascii="Arial Narrow" w:hAnsi="Arial Narrow" w:cstheme="minorHAnsi"/>
                <w:b/>
                <w:bCs/>
                <w:sz w:val="20"/>
                <w:szCs w:val="20"/>
                <w:lang w:val="en-GB" w:eastAsia="en-GB"/>
              </w:rPr>
              <w:t>18</w:t>
            </w:r>
          </w:p>
        </w:tc>
      </w:tr>
      <w:tr w:rsidR="005C450F" w:rsidRPr="00E10F03" w14:paraId="584F6379" w14:textId="77777777" w:rsidTr="00FB7B59">
        <w:trPr>
          <w:trHeight w:val="20"/>
        </w:trPr>
        <w:tc>
          <w:tcPr>
            <w:tcW w:w="1415" w:type="pct"/>
          </w:tcPr>
          <w:p w14:paraId="45A1F2DA" w14:textId="77777777" w:rsidR="00FB7B59" w:rsidRPr="00FF6121" w:rsidRDefault="00FB7B59">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Least squares mean (SE)</w:t>
            </w:r>
          </w:p>
        </w:tc>
        <w:tc>
          <w:tcPr>
            <w:tcW w:w="1729" w:type="pct"/>
          </w:tcPr>
          <w:p w14:paraId="70EE78FF" w14:textId="77777777" w:rsidR="00FB7B59" w:rsidRPr="00FF6121" w:rsidRDefault="00FB7B59">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2.43 (0.61)</w:t>
            </w:r>
          </w:p>
        </w:tc>
        <w:tc>
          <w:tcPr>
            <w:tcW w:w="1856" w:type="pct"/>
          </w:tcPr>
          <w:p w14:paraId="07A4CCBF" w14:textId="77777777" w:rsidR="00FB7B59" w:rsidRPr="00FF6121" w:rsidRDefault="00FB7B59">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3.59 (0.59)</w:t>
            </w:r>
          </w:p>
        </w:tc>
      </w:tr>
      <w:tr w:rsidR="00371422" w:rsidRPr="00E10F03" w14:paraId="652E6F2B" w14:textId="77777777" w:rsidTr="00FB7B59">
        <w:trPr>
          <w:trHeight w:val="20"/>
        </w:trPr>
        <w:tc>
          <w:tcPr>
            <w:tcW w:w="1415" w:type="pct"/>
            <w:vAlign w:val="center"/>
          </w:tcPr>
          <w:p w14:paraId="78A7F99D" w14:textId="528D1CCE" w:rsidR="00FB7B59" w:rsidRPr="00FF6121" w:rsidRDefault="00FB7B59">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004D7A2A">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tc>
        <w:tc>
          <w:tcPr>
            <w:tcW w:w="3585" w:type="pct"/>
            <w:gridSpan w:val="2"/>
            <w:vAlign w:val="center"/>
          </w:tcPr>
          <w:p w14:paraId="5F1FE203" w14:textId="166ACD49" w:rsidR="00FB7B59" w:rsidRPr="00F02773"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B7B59" w:rsidRPr="00F02773">
              <w:rPr>
                <w:rFonts w:ascii="Arial Narrow" w:hAnsi="Arial Narrow" w:cstheme="minorHAnsi"/>
                <w:b/>
                <w:bCs/>
                <w:color w:val="000000"/>
                <w:sz w:val="20"/>
                <w:szCs w:val="20"/>
                <w:lang w:val="en-IN" w:eastAsia="en-IN"/>
              </w:rPr>
              <w:t>1.16 (</w:t>
            </w:r>
            <w:r>
              <w:rPr>
                <w:rFonts w:ascii="Arial Narrow" w:hAnsi="Arial Narrow" w:cstheme="minorHAnsi"/>
                <w:b/>
                <w:bCs/>
                <w:color w:val="000000"/>
                <w:sz w:val="20"/>
                <w:szCs w:val="20"/>
                <w:lang w:val="en-IN" w:eastAsia="en-IN"/>
              </w:rPr>
              <w:noBreakHyphen/>
            </w:r>
            <w:r w:rsidR="003710A0" w:rsidRPr="00F02773">
              <w:rPr>
                <w:rFonts w:ascii="Arial Narrow" w:hAnsi="Arial Narrow" w:cstheme="minorHAnsi"/>
                <w:b/>
                <w:bCs/>
                <w:color w:val="000000"/>
                <w:sz w:val="20"/>
                <w:szCs w:val="20"/>
                <w:lang w:val="en-IN" w:eastAsia="en-IN"/>
              </w:rPr>
              <w:t>1.83</w:t>
            </w:r>
            <w:r w:rsidR="003710A0">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FB7B59" w:rsidRPr="00F02773">
              <w:rPr>
                <w:rFonts w:ascii="Arial Narrow" w:hAnsi="Arial Narrow" w:cstheme="minorHAnsi"/>
                <w:b/>
                <w:bCs/>
                <w:color w:val="000000"/>
                <w:sz w:val="20"/>
                <w:szCs w:val="20"/>
                <w:lang w:val="en-IN" w:eastAsia="en-IN"/>
              </w:rPr>
              <w:t>0.48)</w:t>
            </w:r>
          </w:p>
        </w:tc>
      </w:tr>
      <w:tr w:rsidR="00371422" w:rsidRPr="00E10F03" w14:paraId="7973A48D" w14:textId="77777777" w:rsidTr="00FB7B59">
        <w:trPr>
          <w:trHeight w:val="20"/>
        </w:trPr>
        <w:tc>
          <w:tcPr>
            <w:tcW w:w="1415" w:type="pct"/>
            <w:vAlign w:val="center"/>
          </w:tcPr>
          <w:p w14:paraId="416BBBE8" w14:textId="77777777" w:rsidR="00FB7B59" w:rsidRPr="00FF6121" w:rsidRDefault="00FB7B59">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Difference</w:t>
            </w:r>
          </w:p>
        </w:tc>
        <w:tc>
          <w:tcPr>
            <w:tcW w:w="3585" w:type="pct"/>
            <w:gridSpan w:val="2"/>
          </w:tcPr>
          <w:p w14:paraId="5D1493B6" w14:textId="77777777" w:rsidR="00FB7B59" w:rsidRPr="00F02773" w:rsidRDefault="00FB7B59">
            <w:pPr>
              <w:jc w:val="center"/>
              <w:rPr>
                <w:rFonts w:ascii="Arial Narrow" w:hAnsi="Arial Narrow" w:cstheme="minorHAnsi"/>
                <w:b/>
                <w:bCs/>
                <w:color w:val="000000"/>
                <w:sz w:val="20"/>
                <w:szCs w:val="20"/>
                <w:lang w:val="en-IN" w:eastAsia="en-IN"/>
              </w:rPr>
            </w:pPr>
            <w:r w:rsidRPr="00F02773">
              <w:rPr>
                <w:rFonts w:ascii="Arial Narrow" w:hAnsi="Arial Narrow" w:cstheme="minorHAnsi"/>
                <w:b/>
                <w:bCs/>
                <w:color w:val="000000"/>
                <w:sz w:val="20"/>
                <w:szCs w:val="20"/>
                <w:lang w:val="en-IN" w:eastAsia="en-IN"/>
              </w:rPr>
              <w:t>32.24</w:t>
            </w:r>
          </w:p>
        </w:tc>
      </w:tr>
    </w:tbl>
    <w:p w14:paraId="78610493" w14:textId="5D17DE52" w:rsidR="00CF3120" w:rsidRDefault="00432FF5">
      <w:pPr>
        <w:pStyle w:val="TableFigureFooter"/>
      </w:pPr>
      <w:r>
        <w:t>Source: Table 2.5</w:t>
      </w:r>
      <w:r w:rsidR="009B60A6">
        <w:noBreakHyphen/>
      </w:r>
      <w:r>
        <w:t xml:space="preserve">1, p108 of the submission; Table 18 and Table 19, pp95,96 and 98 of the GATHER1 </w:t>
      </w:r>
      <w:r w:rsidR="00657E68">
        <w:t>Clinical Study Report (</w:t>
      </w:r>
      <w:r>
        <w:t>CSR</w:t>
      </w:r>
      <w:r w:rsidR="00657E68">
        <w:t>)</w:t>
      </w:r>
    </w:p>
    <w:p w14:paraId="704819FF" w14:textId="10EC3EEB" w:rsidR="0022220E" w:rsidRDefault="0022220E" w:rsidP="00F268A8">
      <w:pPr>
        <w:pStyle w:val="TableFigureFooter"/>
        <w:spacing w:after="0"/>
        <w:rPr>
          <w:color w:val="000000" w:themeColor="text1"/>
          <w:szCs w:val="18"/>
        </w:rPr>
      </w:pPr>
      <w:r>
        <w:t>ACP = avacincaptad pegol; CI = Confidence interval; GA = geographic atrophy; ITT = Intent</w:t>
      </w:r>
      <w:r w:rsidR="009B60A6">
        <w:noBreakHyphen/>
      </w:r>
      <w:r>
        <w:t>to</w:t>
      </w:r>
      <w:r w:rsidR="009B60A6">
        <w:noBreakHyphen/>
      </w:r>
      <w:r>
        <w:t>treat; mm = Millimetre; SE = Standard error.</w:t>
      </w:r>
    </w:p>
    <w:p w14:paraId="257B4103" w14:textId="144BCEC1" w:rsidR="004D7A2A" w:rsidRDefault="0022220E" w:rsidP="004D7A2A">
      <w:pPr>
        <w:rPr>
          <w:rFonts w:ascii="Arial Narrow" w:hAnsi="Arial Narrow"/>
          <w:color w:val="000000" w:themeColor="text1"/>
          <w:sz w:val="18"/>
          <w:szCs w:val="18"/>
        </w:rPr>
      </w:pPr>
      <w:r w:rsidRPr="00FF6121">
        <w:rPr>
          <w:rFonts w:ascii="Arial Narrow" w:hAnsi="Arial Narrow"/>
          <w:color w:val="000000" w:themeColor="text1"/>
          <w:sz w:val="18"/>
          <w:szCs w:val="18"/>
          <w:vertAlign w:val="superscript"/>
        </w:rPr>
        <w:t>a</w:t>
      </w:r>
      <w:r>
        <w:rPr>
          <w:rFonts w:ascii="Arial Narrow" w:hAnsi="Arial Narrow"/>
          <w:color w:val="000000" w:themeColor="text1"/>
          <w:sz w:val="18"/>
          <w:szCs w:val="18"/>
        </w:rPr>
        <w:t xml:space="preserve"> </w:t>
      </w:r>
      <w:r w:rsidR="001B2938" w:rsidRPr="00B95B55">
        <w:rPr>
          <w:rFonts w:ascii="Arial Narrow" w:hAnsi="Arial Narrow"/>
          <w:color w:val="000000" w:themeColor="text1"/>
          <w:sz w:val="18"/>
          <w:szCs w:val="18"/>
          <w:lang w:val="en-GB"/>
        </w:rPr>
        <w:t>Difference in least squares means between groups calculated as (sham) minus (ACP)</w:t>
      </w:r>
    </w:p>
    <w:p w14:paraId="174EF7A8" w14:textId="4C2F9F0D" w:rsidR="001B2938" w:rsidRDefault="004D7A2A" w:rsidP="004D7A2A">
      <w:pPr>
        <w:rPr>
          <w:rFonts w:ascii="Arial Narrow" w:hAnsi="Arial Narrow"/>
          <w:color w:val="000000" w:themeColor="text1"/>
          <w:sz w:val="18"/>
          <w:szCs w:val="18"/>
          <w:lang w:val="en-GB"/>
        </w:rPr>
      </w:pPr>
      <w:r>
        <w:rPr>
          <w:rFonts w:ascii="Arial Narrow" w:hAnsi="Arial Narrow"/>
          <w:color w:val="000000" w:themeColor="text1"/>
          <w:sz w:val="18"/>
          <w:szCs w:val="18"/>
          <w:vertAlign w:val="superscript"/>
        </w:rPr>
        <w:t>b</w:t>
      </w:r>
      <w:r w:rsidRPr="00B95B55">
        <w:rPr>
          <w:rFonts w:asciiTheme="minorHAnsi" w:eastAsiaTheme="minorHAnsi" w:hAnsiTheme="minorHAnsi" w:cstheme="minorHAnsi"/>
          <w:sz w:val="16"/>
          <w:szCs w:val="16"/>
          <w:lang w:val="en-GB" w:eastAsia="en-US"/>
        </w:rPr>
        <w:t xml:space="preserve"> </w:t>
      </w:r>
      <w:r w:rsidR="001B2938" w:rsidRPr="00F00B71">
        <w:rPr>
          <w:rFonts w:ascii="Arial Narrow" w:hAnsi="Arial Narrow"/>
          <w:color w:val="000000" w:themeColor="text1"/>
          <w:sz w:val="18"/>
          <w:szCs w:val="18"/>
          <w:lang w:val="en-GB"/>
        </w:rPr>
        <w:t>% Difference is calculated by 100*(Difference)/(Least Squares Mean from Sham)</w:t>
      </w:r>
    </w:p>
    <w:p w14:paraId="6632F294" w14:textId="3AC61D05" w:rsidR="006451FF" w:rsidRPr="00432BED" w:rsidRDefault="004D7A2A" w:rsidP="004D7A2A">
      <w:pPr>
        <w:ind w:left="426" w:hanging="426"/>
        <w:rPr>
          <w:rFonts w:ascii="Arial Narrow" w:hAnsi="Arial Narrow"/>
          <w:iCs/>
          <w:color w:val="000000" w:themeColor="text1"/>
          <w:sz w:val="18"/>
          <w:szCs w:val="18"/>
        </w:rPr>
      </w:pPr>
      <w:r w:rsidRPr="00432BED">
        <w:rPr>
          <w:rFonts w:ascii="Arial Narrow" w:hAnsi="Arial Narrow"/>
          <w:iCs/>
          <w:color w:val="000000" w:themeColor="text1"/>
          <w:sz w:val="18"/>
          <w:szCs w:val="18"/>
        </w:rPr>
        <w:t>Note: The Advisory Committee on Medicines (ACM) confirmed that ‘square root transformed atrophic area’ is the most effective measure, reflecting linear lesion growth and reducing correlation with initial size.</w:t>
      </w:r>
    </w:p>
    <w:p w14:paraId="0CB0CD1E" w14:textId="6198F337" w:rsidR="00C8743C" w:rsidRPr="00432BED" w:rsidRDefault="00E3643E" w:rsidP="004D7A2A">
      <w:pPr>
        <w:ind w:left="426" w:hanging="426"/>
        <w:rPr>
          <w:rFonts w:ascii="Arial Narrow" w:hAnsi="Arial Narrow"/>
          <w:iCs/>
          <w:color w:val="000000" w:themeColor="text1"/>
          <w:sz w:val="18"/>
          <w:szCs w:val="18"/>
          <w:lang w:val="en-GB"/>
        </w:rPr>
      </w:pPr>
      <w:r w:rsidRPr="00432BED">
        <w:rPr>
          <w:rFonts w:ascii="Arial Narrow" w:hAnsi="Arial Narrow"/>
          <w:iCs/>
          <w:color w:val="000000" w:themeColor="text1"/>
          <w:sz w:val="18"/>
          <w:szCs w:val="18"/>
        </w:rPr>
        <w:t xml:space="preserve">Note: </w:t>
      </w:r>
      <w:r w:rsidRPr="00432BED">
        <w:rPr>
          <w:rFonts w:ascii="Arial Narrow" w:hAnsi="Arial Narrow"/>
          <w:b/>
          <w:bCs/>
          <w:iCs/>
          <w:color w:val="000000" w:themeColor="text1"/>
          <w:sz w:val="18"/>
          <w:szCs w:val="18"/>
        </w:rPr>
        <w:t xml:space="preserve">Bold </w:t>
      </w:r>
      <w:r w:rsidRPr="00432BED">
        <w:rPr>
          <w:rFonts w:ascii="Arial Narrow" w:hAnsi="Arial Narrow"/>
          <w:iCs/>
          <w:color w:val="000000" w:themeColor="text1"/>
          <w:sz w:val="18"/>
          <w:szCs w:val="18"/>
        </w:rPr>
        <w:t>indicates statistically significant results.</w:t>
      </w:r>
    </w:p>
    <w:p w14:paraId="06F03DA4" w14:textId="1FFB875D" w:rsidR="00010BDA" w:rsidRDefault="00010BDA" w:rsidP="00D36A2E">
      <w:pPr>
        <w:pStyle w:val="Caption"/>
        <w:spacing w:before="240" w:after="120"/>
        <w:ind w:left="1559" w:hanging="1559"/>
      </w:pPr>
      <w:bookmarkStart w:id="28" w:name="_Ref217394590"/>
      <w:r>
        <w:t xml:space="preserve">Figure </w:t>
      </w:r>
      <w:fldSimple w:instr=" SEQ Figure \* ARABIC ">
        <w:r w:rsidR="00962F38">
          <w:rPr>
            <w:noProof/>
          </w:rPr>
          <w:t>1</w:t>
        </w:r>
      </w:fldSimple>
      <w:bookmarkEnd w:id="28"/>
      <w:r>
        <w:t xml:space="preserve">: </w:t>
      </w:r>
      <w:r w:rsidRPr="00A817B6">
        <w:t>Mean rate of change in GA area from baseline to Month 12 in GATHER</w:t>
      </w:r>
      <w:r>
        <w:t>1</w:t>
      </w:r>
      <w:r w:rsidRPr="00A817B6">
        <w:t xml:space="preserve"> (study eye, ITT population)</w:t>
      </w:r>
    </w:p>
    <w:p w14:paraId="626F0817" w14:textId="77777777" w:rsidR="00010BDA" w:rsidRDefault="00010BDA" w:rsidP="00010BDA">
      <w:pPr>
        <w:rPr>
          <w:rFonts w:ascii="Arial Narrow" w:hAnsi="Arial Narrow"/>
          <w:color w:val="000000" w:themeColor="text1"/>
          <w:sz w:val="18"/>
          <w:szCs w:val="18"/>
        </w:rPr>
      </w:pPr>
      <w:r>
        <w:rPr>
          <w:rFonts w:ascii="Arial Narrow" w:hAnsi="Arial Narrow"/>
          <w:noProof/>
          <w:color w:val="000000" w:themeColor="text1"/>
          <w:sz w:val="18"/>
          <w:szCs w:val="18"/>
        </w:rPr>
        <w:drawing>
          <wp:inline distT="0" distB="0" distL="0" distR="0" wp14:anchorId="17CCF7C6" wp14:editId="6FFC2A77">
            <wp:extent cx="4881028" cy="2520950"/>
            <wp:effectExtent l="0" t="0" r="0" b="0"/>
            <wp:docPr id="2048050447" name="Picture 1" descr="Figure 1: Mean rate of change in GA area from baseline to Month 12 in GATHER1 (study ey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0447" name="Picture 1" descr="Figure 1: Mean rate of change in GA area from baseline to Month 12 in GATHER1 (study eye, ITT popul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6586" cy="2528986"/>
                    </a:xfrm>
                    <a:prstGeom prst="rect">
                      <a:avLst/>
                    </a:prstGeom>
                    <a:noFill/>
                  </pic:spPr>
                </pic:pic>
              </a:graphicData>
            </a:graphic>
          </wp:inline>
        </w:drawing>
      </w:r>
    </w:p>
    <w:p w14:paraId="58964474" w14:textId="0F20B4A9" w:rsidR="00010BDA" w:rsidRDefault="00010BDA" w:rsidP="00010BDA">
      <w:pPr>
        <w:rPr>
          <w:rFonts w:ascii="Arial Narrow" w:hAnsi="Arial Narrow"/>
          <w:color w:val="000000" w:themeColor="text1"/>
          <w:sz w:val="18"/>
          <w:szCs w:val="18"/>
        </w:rPr>
      </w:pPr>
      <w:r>
        <w:rPr>
          <w:rFonts w:ascii="Arial Narrow" w:hAnsi="Arial Narrow"/>
          <w:color w:val="000000" w:themeColor="text1"/>
          <w:sz w:val="18"/>
          <w:szCs w:val="18"/>
        </w:rPr>
        <w:t xml:space="preserve">Source: </w:t>
      </w:r>
      <w:r w:rsidRPr="00820902">
        <w:rPr>
          <w:rFonts w:ascii="Arial Narrow" w:hAnsi="Arial Narrow"/>
          <w:color w:val="000000" w:themeColor="text1"/>
          <w:sz w:val="18"/>
          <w:szCs w:val="18"/>
        </w:rPr>
        <w:t>Figure 2.5</w:t>
      </w:r>
      <w:r w:rsidR="009B60A6">
        <w:rPr>
          <w:rFonts w:ascii="Arial Narrow" w:hAnsi="Arial Narrow"/>
          <w:color w:val="000000" w:themeColor="text1"/>
          <w:sz w:val="18"/>
          <w:szCs w:val="18"/>
        </w:rPr>
        <w:noBreakHyphen/>
      </w:r>
      <w:r>
        <w:rPr>
          <w:rFonts w:ascii="Arial Narrow" w:hAnsi="Arial Narrow"/>
          <w:color w:val="000000" w:themeColor="text1"/>
          <w:sz w:val="18"/>
          <w:szCs w:val="18"/>
        </w:rPr>
        <w:t>1</w:t>
      </w:r>
      <w:r w:rsidRPr="00820902">
        <w:rPr>
          <w:rFonts w:ascii="Arial Narrow" w:hAnsi="Arial Narrow"/>
          <w:color w:val="000000" w:themeColor="text1"/>
          <w:sz w:val="18"/>
          <w:szCs w:val="18"/>
        </w:rPr>
        <w:t>, p1</w:t>
      </w:r>
      <w:r>
        <w:rPr>
          <w:rFonts w:ascii="Arial Narrow" w:hAnsi="Arial Narrow"/>
          <w:color w:val="000000" w:themeColor="text1"/>
          <w:sz w:val="18"/>
          <w:szCs w:val="18"/>
        </w:rPr>
        <w:t>09</w:t>
      </w:r>
      <w:r w:rsidRPr="00820902">
        <w:rPr>
          <w:rFonts w:ascii="Arial Narrow" w:hAnsi="Arial Narrow"/>
          <w:color w:val="000000" w:themeColor="text1"/>
          <w:sz w:val="18"/>
          <w:szCs w:val="18"/>
        </w:rPr>
        <w:t xml:space="preserve"> of the submission; Figure </w:t>
      </w:r>
      <w:r>
        <w:rPr>
          <w:rFonts w:ascii="Arial Narrow" w:hAnsi="Arial Narrow"/>
          <w:color w:val="000000" w:themeColor="text1"/>
          <w:sz w:val="18"/>
          <w:szCs w:val="18"/>
        </w:rPr>
        <w:t>2</w:t>
      </w:r>
      <w:r w:rsidRPr="00820902">
        <w:rPr>
          <w:rFonts w:ascii="Arial Narrow" w:hAnsi="Arial Narrow"/>
          <w:color w:val="000000" w:themeColor="text1"/>
          <w:sz w:val="18"/>
          <w:szCs w:val="18"/>
        </w:rPr>
        <w:t>, p9</w:t>
      </w:r>
      <w:r>
        <w:rPr>
          <w:rFonts w:ascii="Arial Narrow" w:hAnsi="Arial Narrow"/>
          <w:color w:val="000000" w:themeColor="text1"/>
          <w:sz w:val="18"/>
          <w:szCs w:val="18"/>
        </w:rPr>
        <w:t>7</w:t>
      </w:r>
      <w:r w:rsidRPr="00820902">
        <w:rPr>
          <w:rFonts w:ascii="Arial Narrow" w:hAnsi="Arial Narrow"/>
          <w:color w:val="000000" w:themeColor="text1"/>
          <w:sz w:val="18"/>
          <w:szCs w:val="18"/>
        </w:rPr>
        <w:t xml:space="preserve"> of the GATHER1 CSR</w:t>
      </w:r>
      <w:r>
        <w:rPr>
          <w:rFonts w:ascii="Arial Narrow" w:hAnsi="Arial Narrow"/>
          <w:color w:val="000000" w:themeColor="text1"/>
          <w:sz w:val="18"/>
          <w:szCs w:val="18"/>
        </w:rPr>
        <w:t xml:space="preserve"> </w:t>
      </w:r>
    </w:p>
    <w:p w14:paraId="3A4BEB7B" w14:textId="77777777" w:rsidR="00A943A0" w:rsidRDefault="00A943A0" w:rsidP="00A943A0">
      <w:pPr>
        <w:pStyle w:val="3-BodyText"/>
        <w:numPr>
          <w:ilvl w:val="0"/>
          <w:numId w:val="0"/>
        </w:numPr>
        <w:ind w:left="720"/>
        <w:rPr>
          <w:color w:val="0066FF"/>
        </w:rPr>
      </w:pPr>
    </w:p>
    <w:p w14:paraId="21287778" w14:textId="701D33F7" w:rsidR="0031413E" w:rsidRDefault="0031413E" w:rsidP="0031413E">
      <w:pPr>
        <w:pStyle w:val="Caption"/>
        <w:spacing w:after="120"/>
        <w:ind w:left="1560" w:hanging="1560"/>
      </w:pPr>
      <w:bookmarkStart w:id="29" w:name="_Ref217394592"/>
      <w:r>
        <w:lastRenderedPageBreak/>
        <w:t xml:space="preserve">Figure </w:t>
      </w:r>
      <w:fldSimple w:instr=" SEQ Figure \* ARABIC ">
        <w:r w:rsidR="00962F38">
          <w:rPr>
            <w:noProof/>
          </w:rPr>
          <w:t>2</w:t>
        </w:r>
      </w:fldSimple>
      <w:bookmarkEnd w:id="29"/>
      <w:r>
        <w:t xml:space="preserve">: </w:t>
      </w:r>
      <w:r w:rsidRPr="00820902">
        <w:rPr>
          <w:iCs/>
        </w:rPr>
        <w:t xml:space="preserve">Mean rate of change in GA area from baseline to </w:t>
      </w:r>
      <w:r>
        <w:rPr>
          <w:iCs/>
        </w:rPr>
        <w:t>M</w:t>
      </w:r>
      <w:r w:rsidRPr="00820902">
        <w:rPr>
          <w:iCs/>
        </w:rPr>
        <w:t>onth 18</w:t>
      </w:r>
      <w:r>
        <w:rPr>
          <w:iCs/>
        </w:rPr>
        <w:t xml:space="preserve"> in GATHER1 (study eye, ITT population)</w:t>
      </w:r>
    </w:p>
    <w:p w14:paraId="40B8C721" w14:textId="77777777" w:rsidR="0031413E" w:rsidRDefault="0031413E" w:rsidP="0031413E">
      <w:pPr>
        <w:rPr>
          <w:rFonts w:ascii="Arial Narrow" w:hAnsi="Arial Narrow"/>
          <w:color w:val="000000" w:themeColor="text1"/>
          <w:sz w:val="18"/>
          <w:szCs w:val="18"/>
        </w:rPr>
      </w:pPr>
      <w:r>
        <w:rPr>
          <w:rFonts w:ascii="Arial Narrow" w:hAnsi="Arial Narrow"/>
          <w:noProof/>
          <w:color w:val="000000" w:themeColor="text1"/>
          <w:sz w:val="18"/>
          <w:szCs w:val="18"/>
        </w:rPr>
        <w:drawing>
          <wp:inline distT="0" distB="0" distL="0" distR="0" wp14:anchorId="4920BC0F" wp14:editId="684D1C23">
            <wp:extent cx="4375150" cy="2341152"/>
            <wp:effectExtent l="0" t="0" r="6350" b="2540"/>
            <wp:docPr id="1434206699" name="Picture 3" descr="Figure 2: Mean rate of change in GA area from baseline to Month 18 in GATHER1 (study ey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06699" name="Picture 3" descr="Figure 2: Mean rate of change in GA area from baseline to Month 18 in GATHER1 (study eye, ITT popu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8094" cy="2348079"/>
                    </a:xfrm>
                    <a:prstGeom prst="rect">
                      <a:avLst/>
                    </a:prstGeom>
                    <a:noFill/>
                    <a:ln>
                      <a:noFill/>
                    </a:ln>
                  </pic:spPr>
                </pic:pic>
              </a:graphicData>
            </a:graphic>
          </wp:inline>
        </w:drawing>
      </w:r>
    </w:p>
    <w:p w14:paraId="0BBC128F" w14:textId="6F6533D1" w:rsidR="0031413E" w:rsidRDefault="0031413E" w:rsidP="0031413E">
      <w:pPr>
        <w:rPr>
          <w:rFonts w:ascii="Arial Narrow" w:hAnsi="Arial Narrow"/>
          <w:color w:val="000000" w:themeColor="text1"/>
          <w:sz w:val="18"/>
          <w:szCs w:val="18"/>
        </w:rPr>
      </w:pPr>
      <w:r>
        <w:rPr>
          <w:rFonts w:ascii="Arial Narrow" w:hAnsi="Arial Narrow"/>
          <w:color w:val="000000" w:themeColor="text1"/>
          <w:sz w:val="18"/>
          <w:szCs w:val="18"/>
        </w:rPr>
        <w:t>Source: Figure 2.5</w:t>
      </w:r>
      <w:r w:rsidR="009B60A6">
        <w:rPr>
          <w:rFonts w:ascii="Arial Narrow" w:hAnsi="Arial Narrow"/>
          <w:color w:val="000000" w:themeColor="text1"/>
          <w:sz w:val="18"/>
          <w:szCs w:val="18"/>
        </w:rPr>
        <w:noBreakHyphen/>
      </w:r>
      <w:r>
        <w:rPr>
          <w:rFonts w:ascii="Arial Narrow" w:hAnsi="Arial Narrow"/>
          <w:color w:val="000000" w:themeColor="text1"/>
          <w:sz w:val="18"/>
          <w:szCs w:val="18"/>
        </w:rPr>
        <w:t>3, p111 of the submission; Figure 3, p99 of the GATHER1 CSR</w:t>
      </w:r>
    </w:p>
    <w:p w14:paraId="682AFD0D" w14:textId="77777777" w:rsidR="00A23547" w:rsidRDefault="00A23547" w:rsidP="0031413E">
      <w:pPr>
        <w:rPr>
          <w:rFonts w:ascii="Arial Narrow" w:hAnsi="Arial Narrow"/>
          <w:color w:val="000000" w:themeColor="text1"/>
          <w:sz w:val="18"/>
          <w:szCs w:val="18"/>
        </w:rPr>
      </w:pPr>
    </w:p>
    <w:p w14:paraId="5E1089C2" w14:textId="47476E37" w:rsidR="0031413E" w:rsidRPr="004452FC" w:rsidRDefault="00A23547" w:rsidP="00A23547">
      <w:pPr>
        <w:pStyle w:val="3-BodyText"/>
        <w:rPr>
          <w:color w:val="000000" w:themeColor="text1"/>
        </w:rPr>
      </w:pPr>
      <w:r w:rsidRPr="004452FC">
        <w:rPr>
          <w:color w:val="000000" w:themeColor="text1"/>
        </w:rPr>
        <w:t xml:space="preserve">In GATHER1, </w:t>
      </w:r>
      <w:r w:rsidR="00657E68" w:rsidRPr="004452FC">
        <w:rPr>
          <w:color w:val="000000" w:themeColor="text1"/>
        </w:rPr>
        <w:t xml:space="preserve">a statistically significant reduction in the rate of GA growth (square root transformed and observed) at Month 12 </w:t>
      </w:r>
      <w:r w:rsidR="00B8272F" w:rsidRPr="004452FC">
        <w:rPr>
          <w:color w:val="000000" w:themeColor="text1"/>
        </w:rPr>
        <w:t xml:space="preserve">was reported for ACP </w:t>
      </w:r>
      <w:r w:rsidR="00657E68" w:rsidRPr="004452FC">
        <w:rPr>
          <w:color w:val="000000" w:themeColor="text1"/>
        </w:rPr>
        <w:t>compared to the Sham group</w:t>
      </w:r>
      <w:r w:rsidR="00C27E2B" w:rsidRPr="004452FC">
        <w:rPr>
          <w:color w:val="000000" w:themeColor="text1"/>
        </w:rPr>
        <w:t xml:space="preserve"> (</w:t>
      </w:r>
      <w:r w:rsidR="00DB22FC" w:rsidRPr="004452FC">
        <w:rPr>
          <w:color w:val="000000" w:themeColor="text1"/>
        </w:rPr>
        <w:t xml:space="preserve">difference in LS mean of </w:t>
      </w:r>
      <w:r w:rsidR="009B60A6">
        <w:rPr>
          <w:color w:val="000000" w:themeColor="text1"/>
        </w:rPr>
        <w:noBreakHyphen/>
      </w:r>
      <w:r w:rsidR="00596029" w:rsidRPr="004452FC">
        <w:rPr>
          <w:color w:val="000000" w:themeColor="text1"/>
        </w:rPr>
        <w:t xml:space="preserve">0.11, 95% CI </w:t>
      </w:r>
      <w:r w:rsidR="009B60A6">
        <w:rPr>
          <w:color w:val="000000" w:themeColor="text1"/>
        </w:rPr>
        <w:noBreakHyphen/>
      </w:r>
      <w:r w:rsidR="00596029" w:rsidRPr="004452FC">
        <w:rPr>
          <w:color w:val="000000" w:themeColor="text1"/>
        </w:rPr>
        <w:t>0.19</w:t>
      </w:r>
      <w:r w:rsidR="00DB22FC" w:rsidRPr="004452FC">
        <w:rPr>
          <w:color w:val="000000" w:themeColor="text1"/>
        </w:rPr>
        <w:t xml:space="preserve"> to </w:t>
      </w:r>
      <w:r w:rsidR="009B60A6">
        <w:rPr>
          <w:color w:val="000000" w:themeColor="text1"/>
        </w:rPr>
        <w:noBreakHyphen/>
      </w:r>
      <w:r w:rsidR="00285C1E" w:rsidRPr="004452FC">
        <w:rPr>
          <w:color w:val="000000" w:themeColor="text1"/>
        </w:rPr>
        <w:t>0.03)</w:t>
      </w:r>
      <w:r w:rsidR="00657E68" w:rsidRPr="004452FC">
        <w:rPr>
          <w:color w:val="000000" w:themeColor="text1"/>
        </w:rPr>
        <w:t xml:space="preserve">. At Month 18, the result continued to show a reduction </w:t>
      </w:r>
      <w:r w:rsidR="00860552">
        <w:rPr>
          <w:color w:val="000000" w:themeColor="text1"/>
        </w:rPr>
        <w:t xml:space="preserve">in </w:t>
      </w:r>
      <w:r w:rsidR="00657E68" w:rsidRPr="004452FC">
        <w:rPr>
          <w:color w:val="000000" w:themeColor="text1"/>
        </w:rPr>
        <w:t xml:space="preserve">the rate of GA growth (observed) in the </w:t>
      </w:r>
      <w:r w:rsidR="00873A0B" w:rsidRPr="004452FC">
        <w:rPr>
          <w:color w:val="000000" w:themeColor="text1"/>
        </w:rPr>
        <w:t xml:space="preserve">ACP </w:t>
      </w:r>
      <w:r w:rsidR="00657E68" w:rsidRPr="004452FC">
        <w:rPr>
          <w:color w:val="000000" w:themeColor="text1"/>
        </w:rPr>
        <w:t>group compared to the Sham group</w:t>
      </w:r>
      <w:r w:rsidR="00873A0B" w:rsidRPr="004452FC">
        <w:rPr>
          <w:color w:val="000000" w:themeColor="text1"/>
        </w:rPr>
        <w:t xml:space="preserve"> (</w:t>
      </w:r>
      <w:r w:rsidR="009B60A6">
        <w:rPr>
          <w:color w:val="000000" w:themeColor="text1"/>
        </w:rPr>
        <w:noBreakHyphen/>
      </w:r>
      <w:r w:rsidR="001663B0" w:rsidRPr="004452FC">
        <w:rPr>
          <w:color w:val="000000" w:themeColor="text1"/>
        </w:rPr>
        <w:t xml:space="preserve">0.17, 95% CI </w:t>
      </w:r>
      <w:r w:rsidR="009B60A6">
        <w:rPr>
          <w:color w:val="000000" w:themeColor="text1"/>
        </w:rPr>
        <w:noBreakHyphen/>
      </w:r>
      <w:r w:rsidR="001663B0" w:rsidRPr="004452FC">
        <w:rPr>
          <w:color w:val="000000" w:themeColor="text1"/>
        </w:rPr>
        <w:t xml:space="preserve">0.27 to </w:t>
      </w:r>
      <w:r w:rsidR="009B60A6">
        <w:rPr>
          <w:color w:val="000000" w:themeColor="text1"/>
        </w:rPr>
        <w:noBreakHyphen/>
      </w:r>
      <w:r w:rsidR="001663B0" w:rsidRPr="004452FC">
        <w:rPr>
          <w:color w:val="000000" w:themeColor="text1"/>
        </w:rPr>
        <w:t>0.07)</w:t>
      </w:r>
      <w:r w:rsidR="00657E68" w:rsidRPr="004452FC">
        <w:rPr>
          <w:color w:val="000000" w:themeColor="text1"/>
        </w:rPr>
        <w:t>.</w:t>
      </w:r>
      <w:r w:rsidR="00BF27FA">
        <w:rPr>
          <w:color w:val="000000" w:themeColor="text1"/>
        </w:rPr>
        <w:t xml:space="preserve"> </w:t>
      </w:r>
      <w:r w:rsidR="000D3A45" w:rsidRPr="004452FC">
        <w:rPr>
          <w:color w:val="000000" w:themeColor="text1"/>
        </w:rPr>
        <w:t>As previously noted, t</w:t>
      </w:r>
      <w:r w:rsidR="00517CFA" w:rsidRPr="004452FC">
        <w:rPr>
          <w:color w:val="000000" w:themeColor="text1"/>
        </w:rPr>
        <w:t>he PBAC considered that it was reasonable to assume that protecting the structure of the</w:t>
      </w:r>
      <w:r w:rsidR="00517CFA" w:rsidRPr="00517CFA">
        <w:rPr>
          <w:i/>
          <w:iCs/>
          <w:color w:val="000000" w:themeColor="text1"/>
        </w:rPr>
        <w:t xml:space="preserve"> </w:t>
      </w:r>
      <w:r w:rsidR="00517CFA" w:rsidRPr="004452FC">
        <w:rPr>
          <w:color w:val="000000" w:themeColor="text1"/>
        </w:rPr>
        <w:t>eye by slowing growth of GA lesion will result in slower loss of functional vision than current care</w:t>
      </w:r>
      <w:r w:rsidR="000D3A45" w:rsidRPr="004452FC">
        <w:rPr>
          <w:color w:val="000000" w:themeColor="text1"/>
        </w:rPr>
        <w:t xml:space="preserve"> (</w:t>
      </w:r>
      <w:r w:rsidR="000D3A45" w:rsidRPr="004452FC">
        <w:t>Pegcetacoplan, November 2025 PBAC Meeting outcomes</w:t>
      </w:r>
      <w:r w:rsidR="000D3A45" w:rsidRPr="004452FC">
        <w:rPr>
          <w:color w:val="000000" w:themeColor="text1"/>
        </w:rPr>
        <w:t>)</w:t>
      </w:r>
      <w:r w:rsidR="00517CFA" w:rsidRPr="004452FC">
        <w:rPr>
          <w:color w:val="000000" w:themeColor="text1"/>
        </w:rPr>
        <w:t>.</w:t>
      </w:r>
    </w:p>
    <w:p w14:paraId="4ADE7E56" w14:textId="7DB14C7E" w:rsidR="00A23547" w:rsidRPr="00A23547" w:rsidRDefault="00A23547" w:rsidP="00A23547">
      <w:pPr>
        <w:pStyle w:val="3-BodyText"/>
        <w:rPr>
          <w:color w:val="000000" w:themeColor="text1"/>
        </w:rPr>
      </w:pPr>
      <w:r w:rsidRPr="00A23547">
        <w:rPr>
          <w:color w:val="000000" w:themeColor="text1"/>
        </w:rPr>
        <w:t>Results of the primary endpoint in GATHER</w:t>
      </w:r>
      <w:r>
        <w:rPr>
          <w:color w:val="000000" w:themeColor="text1"/>
        </w:rPr>
        <w:t>2</w:t>
      </w:r>
      <w:r w:rsidRPr="00A23547">
        <w:rPr>
          <w:color w:val="000000" w:themeColor="text1"/>
        </w:rPr>
        <w:t xml:space="preserve"> are presented in</w:t>
      </w:r>
      <w:r>
        <w:rPr>
          <w:color w:val="000000" w:themeColor="text1"/>
        </w:rPr>
        <w:t xml:space="preserve"> </w:t>
      </w:r>
      <w:r>
        <w:rPr>
          <w:color w:val="000000" w:themeColor="text1"/>
        </w:rPr>
        <w:fldChar w:fldCharType="begin"/>
      </w:r>
      <w:r>
        <w:rPr>
          <w:color w:val="000000" w:themeColor="text1"/>
        </w:rPr>
        <w:instrText xml:space="preserve"> REF _Ref217395027 \h </w:instrText>
      </w:r>
      <w:r>
        <w:rPr>
          <w:color w:val="000000" w:themeColor="text1"/>
        </w:rPr>
      </w:r>
      <w:r>
        <w:rPr>
          <w:color w:val="000000" w:themeColor="text1"/>
        </w:rPr>
        <w:fldChar w:fldCharType="separate"/>
      </w:r>
      <w:r w:rsidR="00962F38">
        <w:t xml:space="preserve">Table </w:t>
      </w:r>
      <w:r w:rsidR="00962F38">
        <w:rPr>
          <w:noProof/>
        </w:rPr>
        <w:t>5</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_Ref217395009 \h </w:instrText>
      </w:r>
      <w:r>
        <w:rPr>
          <w:color w:val="000000" w:themeColor="text1"/>
        </w:rPr>
      </w:r>
      <w:r>
        <w:rPr>
          <w:color w:val="000000" w:themeColor="text1"/>
        </w:rPr>
        <w:fldChar w:fldCharType="separate"/>
      </w:r>
      <w:r w:rsidR="00962F38">
        <w:t xml:space="preserve">Figure </w:t>
      </w:r>
      <w:r w:rsidR="00962F38">
        <w:rPr>
          <w:noProof/>
        </w:rPr>
        <w:t>3</w:t>
      </w:r>
      <w:r>
        <w:rPr>
          <w:color w:val="000000" w:themeColor="text1"/>
        </w:rPr>
        <w:fldChar w:fldCharType="end"/>
      </w:r>
      <w:r>
        <w:rPr>
          <w:color w:val="000000" w:themeColor="text1"/>
        </w:rPr>
        <w:t xml:space="preserve">, and </w:t>
      </w:r>
      <w:r>
        <w:rPr>
          <w:color w:val="000000" w:themeColor="text1"/>
        </w:rPr>
        <w:fldChar w:fldCharType="begin"/>
      </w:r>
      <w:r>
        <w:rPr>
          <w:color w:val="000000" w:themeColor="text1"/>
        </w:rPr>
        <w:instrText xml:space="preserve"> REF _Ref217395017 \h </w:instrText>
      </w:r>
      <w:r>
        <w:rPr>
          <w:color w:val="000000" w:themeColor="text1"/>
        </w:rPr>
      </w:r>
      <w:r>
        <w:rPr>
          <w:color w:val="000000" w:themeColor="text1"/>
        </w:rPr>
        <w:fldChar w:fldCharType="separate"/>
      </w:r>
      <w:r w:rsidR="00962F38">
        <w:t xml:space="preserve">Figure </w:t>
      </w:r>
      <w:r w:rsidR="00962F38">
        <w:rPr>
          <w:noProof/>
        </w:rPr>
        <w:t>4</w:t>
      </w:r>
      <w:r>
        <w:rPr>
          <w:color w:val="000000" w:themeColor="text1"/>
        </w:rPr>
        <w:fldChar w:fldCharType="end"/>
      </w:r>
      <w:r>
        <w:rPr>
          <w:color w:val="000000" w:themeColor="text1"/>
        </w:rPr>
        <w:t>.</w:t>
      </w:r>
    </w:p>
    <w:p w14:paraId="63B677CA" w14:textId="77777777" w:rsidR="00CD57E4" w:rsidRDefault="00A23547" w:rsidP="00D36A2E">
      <w:pPr>
        <w:pStyle w:val="Caption"/>
        <w:spacing w:before="240"/>
        <w:ind w:left="709" w:hanging="709"/>
      </w:pPr>
      <w:bookmarkStart w:id="30" w:name="_Ref217395027"/>
      <w:r>
        <w:t xml:space="preserve">Table </w:t>
      </w:r>
      <w:fldSimple w:instr=" SEQ Table \* ARABIC ">
        <w:r w:rsidR="00962F38">
          <w:rPr>
            <w:noProof/>
          </w:rPr>
          <w:t>5</w:t>
        </w:r>
      </w:fldSimple>
      <w:bookmarkEnd w:id="30"/>
      <w:r>
        <w:t xml:space="preserve">: </w:t>
      </w:r>
      <w:r w:rsidRPr="00A23547">
        <w:t>Mean rate of GA growth per year from baseline to Month 12 and Month 24 (ITT; re</w:t>
      </w:r>
      <w:r w:rsidR="009B60A6">
        <w:noBreakHyphen/>
      </w:r>
      <w:r w:rsidRPr="00A23547">
        <w:t>randomised population)</w:t>
      </w:r>
    </w:p>
    <w:p w14:paraId="2FC0BD51" w14:textId="65B173DB" w:rsidR="00A23547" w:rsidRDefault="00A23547" w:rsidP="00CD57E4">
      <w:pPr>
        <w:pStyle w:val="Caption"/>
      </w:pPr>
      <w:r w:rsidRPr="00A23547">
        <w:t>in GATHER2</w:t>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Mean rate of GA growth per year from baseline to Month 12 and Month 24 (ITT; re randomised population)"/>
      </w:tblPr>
      <w:tblGrid>
        <w:gridCol w:w="2411"/>
        <w:gridCol w:w="1839"/>
        <w:gridCol w:w="1279"/>
        <w:gridCol w:w="1741"/>
        <w:gridCol w:w="1639"/>
      </w:tblGrid>
      <w:tr w:rsidR="00FE1C00" w:rsidRPr="00E10F03" w14:paraId="75A2FAFA" w14:textId="77777777" w:rsidTr="00F06D5B">
        <w:trPr>
          <w:trHeight w:val="20"/>
          <w:tblHeader/>
        </w:trPr>
        <w:tc>
          <w:tcPr>
            <w:tcW w:w="1353" w:type="pct"/>
            <w:vAlign w:val="center"/>
          </w:tcPr>
          <w:p w14:paraId="11AB0367" w14:textId="77777777" w:rsidR="00F06D5B" w:rsidRPr="00FF6121" w:rsidRDefault="00F06D5B">
            <w:pPr>
              <w:jc w:val="center"/>
              <w:rPr>
                <w:rFonts w:ascii="Arial Narrow" w:hAnsi="Arial Narrow" w:cstheme="minorHAnsi"/>
                <w:b/>
                <w:bCs/>
                <w:color w:val="000000"/>
                <w:sz w:val="20"/>
                <w:szCs w:val="20"/>
                <w:lang w:val="en-IN" w:eastAsia="en-IN"/>
              </w:rPr>
            </w:pPr>
          </w:p>
        </w:tc>
        <w:tc>
          <w:tcPr>
            <w:tcW w:w="1750" w:type="pct"/>
            <w:gridSpan w:val="2"/>
            <w:vAlign w:val="center"/>
          </w:tcPr>
          <w:p w14:paraId="68AE3758" w14:textId="77777777" w:rsidR="00F06D5B" w:rsidRPr="00FF6121" w:rsidRDefault="00F06D5B">
            <w:pPr>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 xml:space="preserve">ACP 2mg </w:t>
            </w:r>
          </w:p>
          <w:p w14:paraId="7E8E1C42" w14:textId="77777777" w:rsidR="00F06D5B" w:rsidRPr="00FF6121" w:rsidRDefault="00F06D5B">
            <w:pPr>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(N</w:t>
            </w:r>
            <w:r>
              <w:rPr>
                <w:rFonts w:ascii="Arial Narrow" w:hAnsi="Arial Narrow" w:cstheme="minorHAnsi"/>
                <w:b/>
                <w:bCs/>
                <w:color w:val="000000"/>
                <w:sz w:val="20"/>
                <w:szCs w:val="20"/>
                <w:lang w:val="en-IN" w:eastAsia="en-IN"/>
              </w:rPr>
              <w:t xml:space="preserve"> </w:t>
            </w:r>
            <w:r w:rsidRPr="00FF6121">
              <w:rPr>
                <w:rFonts w:ascii="Arial Narrow" w:hAnsi="Arial Narrow" w:cstheme="minorHAnsi"/>
                <w:b/>
                <w:bCs/>
                <w:color w:val="000000"/>
                <w:sz w:val="20"/>
                <w:szCs w:val="20"/>
                <w:lang w:val="en-IN" w:eastAsia="en-IN"/>
              </w:rPr>
              <w:t>=</w:t>
            </w:r>
            <w:r>
              <w:rPr>
                <w:rFonts w:ascii="Arial Narrow" w:hAnsi="Arial Narrow" w:cstheme="minorHAnsi"/>
                <w:b/>
                <w:bCs/>
                <w:color w:val="000000"/>
                <w:sz w:val="20"/>
                <w:szCs w:val="20"/>
                <w:lang w:val="en-IN" w:eastAsia="en-IN"/>
              </w:rPr>
              <w:t xml:space="preserve"> 225</w:t>
            </w:r>
            <w:r w:rsidRPr="00FF6121">
              <w:rPr>
                <w:rFonts w:ascii="Arial Narrow" w:hAnsi="Arial Narrow" w:cstheme="minorHAnsi"/>
                <w:b/>
                <w:bCs/>
                <w:color w:val="000000"/>
                <w:sz w:val="20"/>
                <w:szCs w:val="20"/>
                <w:lang w:val="en-IN" w:eastAsia="en-IN"/>
              </w:rPr>
              <w:t>)</w:t>
            </w:r>
          </w:p>
        </w:tc>
        <w:tc>
          <w:tcPr>
            <w:tcW w:w="1897" w:type="pct"/>
            <w:gridSpan w:val="2"/>
            <w:vAlign w:val="center"/>
          </w:tcPr>
          <w:p w14:paraId="2CDF0265" w14:textId="77777777" w:rsidR="00F06D5B" w:rsidRPr="00FF6121" w:rsidRDefault="00F06D5B">
            <w:pPr>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Sham</w:t>
            </w:r>
          </w:p>
          <w:p w14:paraId="026B9E42" w14:textId="77777777" w:rsidR="00F06D5B" w:rsidRPr="00FF6121" w:rsidRDefault="00F06D5B">
            <w:pPr>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(N</w:t>
            </w:r>
            <w:r>
              <w:rPr>
                <w:rFonts w:ascii="Arial Narrow" w:hAnsi="Arial Narrow" w:cstheme="minorHAnsi"/>
                <w:b/>
                <w:bCs/>
                <w:color w:val="000000"/>
                <w:sz w:val="20"/>
                <w:szCs w:val="20"/>
                <w:lang w:val="en-IN" w:eastAsia="en-IN"/>
              </w:rPr>
              <w:t xml:space="preserve"> </w:t>
            </w:r>
            <w:r w:rsidRPr="00FF6121">
              <w:rPr>
                <w:rFonts w:ascii="Arial Narrow" w:hAnsi="Arial Narrow" w:cstheme="minorHAnsi"/>
                <w:b/>
                <w:bCs/>
                <w:color w:val="000000"/>
                <w:sz w:val="20"/>
                <w:szCs w:val="20"/>
                <w:lang w:val="en-IN" w:eastAsia="en-IN"/>
              </w:rPr>
              <w:t>=</w:t>
            </w:r>
            <w:r>
              <w:rPr>
                <w:rFonts w:ascii="Arial Narrow" w:hAnsi="Arial Narrow" w:cstheme="minorHAnsi"/>
                <w:b/>
                <w:bCs/>
                <w:color w:val="000000"/>
                <w:sz w:val="20"/>
                <w:szCs w:val="20"/>
                <w:lang w:val="en-IN" w:eastAsia="en-IN"/>
              </w:rPr>
              <w:t xml:space="preserve"> 222</w:t>
            </w:r>
            <w:r w:rsidRPr="00FF6121">
              <w:rPr>
                <w:rFonts w:ascii="Arial Narrow" w:hAnsi="Arial Narrow" w:cstheme="minorHAnsi"/>
                <w:b/>
                <w:bCs/>
                <w:color w:val="000000"/>
                <w:sz w:val="20"/>
                <w:szCs w:val="20"/>
                <w:lang w:val="en-IN" w:eastAsia="en-IN"/>
              </w:rPr>
              <w:t>)</w:t>
            </w:r>
          </w:p>
        </w:tc>
      </w:tr>
      <w:tr w:rsidR="00F06D5B" w:rsidRPr="00E10F03" w14:paraId="2E64A190" w14:textId="77777777" w:rsidTr="00F06D5B">
        <w:trPr>
          <w:trHeight w:val="20"/>
        </w:trPr>
        <w:tc>
          <w:tcPr>
            <w:tcW w:w="5000" w:type="pct"/>
            <w:gridSpan w:val="5"/>
          </w:tcPr>
          <w:p w14:paraId="08834116" w14:textId="26D4DBF7" w:rsidR="00F06D5B" w:rsidRPr="00B95B55" w:rsidRDefault="00F06D5B">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 xml:space="preserve">Mean rate of </w:t>
            </w:r>
            <w:r>
              <w:rPr>
                <w:rFonts w:ascii="Arial Narrow" w:hAnsi="Arial Narrow" w:cstheme="minorHAnsi"/>
                <w:b/>
                <w:bCs/>
                <w:sz w:val="20"/>
                <w:szCs w:val="20"/>
                <w:lang w:val="en-GB" w:eastAsia="en-GB"/>
              </w:rPr>
              <w:t>GA growth</w:t>
            </w:r>
            <w:r w:rsidRPr="00B95B55">
              <w:rPr>
                <w:rFonts w:ascii="Arial Narrow" w:hAnsi="Arial Narrow" w:cstheme="minorHAnsi"/>
                <w:b/>
                <w:bCs/>
                <w:sz w:val="20"/>
                <w:szCs w:val="20"/>
                <w:lang w:val="en-GB" w:eastAsia="en-GB"/>
              </w:rPr>
              <w:t xml:space="preserve"> </w:t>
            </w:r>
            <w:r>
              <w:rPr>
                <w:rFonts w:ascii="Arial Narrow" w:hAnsi="Arial Narrow" w:cstheme="minorHAnsi"/>
                <w:b/>
                <w:bCs/>
                <w:sz w:val="20"/>
                <w:szCs w:val="20"/>
                <w:lang w:val="en-GB" w:eastAsia="en-GB"/>
              </w:rPr>
              <w:t xml:space="preserve">(mm/year) </w:t>
            </w:r>
            <w:r w:rsidRPr="00B95B55">
              <w:rPr>
                <w:rFonts w:ascii="Arial Narrow" w:hAnsi="Arial Narrow" w:cstheme="minorHAnsi"/>
                <w:b/>
                <w:bCs/>
                <w:sz w:val="20"/>
                <w:szCs w:val="20"/>
                <w:lang w:val="en-GB" w:eastAsia="en-GB"/>
              </w:rPr>
              <w:t>(</w:t>
            </w:r>
            <w:r>
              <w:rPr>
                <w:rFonts w:ascii="Arial Narrow" w:hAnsi="Arial Narrow" w:cstheme="minorHAnsi"/>
                <w:b/>
                <w:bCs/>
                <w:sz w:val="20"/>
                <w:szCs w:val="20"/>
                <w:lang w:val="en-GB" w:eastAsia="en-GB"/>
              </w:rPr>
              <w:t xml:space="preserve">slope; </w:t>
            </w:r>
            <w:r w:rsidRPr="00B95B55">
              <w:rPr>
                <w:rFonts w:ascii="Arial Narrow" w:hAnsi="Arial Narrow" w:cstheme="minorHAnsi"/>
                <w:b/>
                <w:bCs/>
                <w:sz w:val="20"/>
                <w:szCs w:val="20"/>
                <w:lang w:val="en-GB" w:eastAsia="en-GB"/>
              </w:rPr>
              <w:t>square root transform</w:t>
            </w:r>
            <w:r>
              <w:rPr>
                <w:rFonts w:ascii="Arial Narrow" w:hAnsi="Arial Narrow" w:cstheme="minorHAnsi"/>
                <w:b/>
                <w:bCs/>
                <w:sz w:val="20"/>
                <w:szCs w:val="20"/>
                <w:lang w:val="en-GB" w:eastAsia="en-GB"/>
              </w:rPr>
              <w:t>ed</w:t>
            </w:r>
            <w:r w:rsidRPr="00B95B55">
              <w:rPr>
                <w:rFonts w:ascii="Arial Narrow" w:hAnsi="Arial Narrow" w:cstheme="minorHAnsi"/>
                <w:b/>
                <w:bCs/>
                <w:sz w:val="20"/>
                <w:szCs w:val="20"/>
                <w:lang w:val="en-GB" w:eastAsia="en-GB"/>
              </w:rPr>
              <w:t>) from baseline to Month 12</w:t>
            </w:r>
            <w:r>
              <w:rPr>
                <w:rFonts w:ascii="Arial Narrow" w:hAnsi="Arial Narrow" w:cstheme="minorHAnsi"/>
                <w:b/>
                <w:bCs/>
                <w:sz w:val="20"/>
                <w:szCs w:val="20"/>
                <w:lang w:val="en-GB" w:eastAsia="en-GB"/>
              </w:rPr>
              <w:t xml:space="preserve"> (ITT)</w:t>
            </w:r>
            <w:r w:rsidR="00703B3D" w:rsidRPr="00703B3D">
              <w:rPr>
                <w:rFonts w:ascii="Arial Narrow" w:hAnsi="Arial Narrow" w:cstheme="minorHAnsi"/>
                <w:b/>
                <w:bCs/>
                <w:sz w:val="20"/>
                <w:szCs w:val="20"/>
                <w:vertAlign w:val="superscript"/>
                <w:lang w:val="en-GB" w:eastAsia="en-GB"/>
              </w:rPr>
              <w:t>a</w:t>
            </w:r>
          </w:p>
        </w:tc>
      </w:tr>
      <w:tr w:rsidR="007E6473" w:rsidRPr="00E10F03" w14:paraId="492589C2" w14:textId="77777777" w:rsidTr="00F06D5B">
        <w:trPr>
          <w:trHeight w:val="20"/>
        </w:trPr>
        <w:tc>
          <w:tcPr>
            <w:tcW w:w="1353" w:type="pct"/>
          </w:tcPr>
          <w:p w14:paraId="6596F078" w14:textId="1A7E83B7" w:rsidR="00F06D5B" w:rsidRPr="00FF6121" w:rsidRDefault="00F06D5B">
            <w:pP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Mean (SE)</w:t>
            </w:r>
          </w:p>
        </w:tc>
        <w:tc>
          <w:tcPr>
            <w:tcW w:w="1750" w:type="pct"/>
            <w:gridSpan w:val="2"/>
          </w:tcPr>
          <w:p w14:paraId="6A941FA8"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0.34 (0.03)</w:t>
            </w:r>
          </w:p>
        </w:tc>
        <w:tc>
          <w:tcPr>
            <w:tcW w:w="1897" w:type="pct"/>
            <w:gridSpan w:val="2"/>
          </w:tcPr>
          <w:p w14:paraId="4F8F57BB"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0.39 (0.03)</w:t>
            </w:r>
          </w:p>
        </w:tc>
      </w:tr>
      <w:tr w:rsidR="00371422" w:rsidRPr="00E10F03" w14:paraId="63B04B98" w14:textId="77777777" w:rsidTr="00F06D5B">
        <w:trPr>
          <w:trHeight w:val="20"/>
        </w:trPr>
        <w:tc>
          <w:tcPr>
            <w:tcW w:w="1353" w:type="pct"/>
            <w:vAlign w:val="center"/>
          </w:tcPr>
          <w:p w14:paraId="4022B5BD" w14:textId="2386439C" w:rsidR="00F06D5B" w:rsidRDefault="00703B3D">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Pr>
                <w:rFonts w:ascii="Arial Narrow" w:hAnsi="Arial Narrow" w:cstheme="minorHAnsi"/>
                <w:color w:val="000000"/>
                <w:sz w:val="20"/>
                <w:szCs w:val="20"/>
                <w:vertAlign w:val="superscript"/>
                <w:lang w:val="it-IT" w:eastAsia="en-IN"/>
              </w:rPr>
              <w:t>b</w:t>
            </w:r>
            <w:r w:rsidRPr="006C0943">
              <w:rPr>
                <w:rFonts w:ascii="Arial Narrow" w:hAnsi="Arial Narrow" w:cstheme="minorHAnsi"/>
                <w:color w:val="000000"/>
                <w:sz w:val="20"/>
                <w:szCs w:val="20"/>
                <w:vertAlign w:val="superscript"/>
                <w:lang w:val="it-IT" w:eastAsia="en-IN"/>
              </w:rPr>
              <w:t xml:space="preserve"> </w:t>
            </w:r>
            <w:r w:rsidR="00F06D5B" w:rsidRPr="00FF6121">
              <w:rPr>
                <w:rFonts w:ascii="Arial Narrow" w:hAnsi="Arial Narrow" w:cstheme="minorHAnsi"/>
                <w:color w:val="000000"/>
                <w:sz w:val="20"/>
                <w:szCs w:val="20"/>
                <w:lang w:val="it-IT" w:eastAsia="en-IN"/>
              </w:rPr>
              <w:t>(95% CI</w:t>
            </w:r>
            <w:r w:rsidR="00F06D5B">
              <w:rPr>
                <w:rFonts w:ascii="Arial Narrow" w:hAnsi="Arial Narrow" w:cstheme="minorHAnsi"/>
                <w:color w:val="000000"/>
                <w:sz w:val="20"/>
                <w:szCs w:val="20"/>
                <w:lang w:val="it-IT" w:eastAsia="en-IN"/>
              </w:rPr>
              <w:t>)</w:t>
            </w:r>
          </w:p>
          <w:p w14:paraId="0EA2DA79" w14:textId="77777777" w:rsidR="00F06D5B" w:rsidRPr="00FF6121"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p>
        </w:tc>
        <w:tc>
          <w:tcPr>
            <w:tcW w:w="3647" w:type="pct"/>
            <w:gridSpan w:val="4"/>
          </w:tcPr>
          <w:p w14:paraId="18A3FA06" w14:textId="4B7DAFCC" w:rsidR="00F06D5B" w:rsidRPr="002A22E0"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06D5B" w:rsidRPr="002A22E0">
              <w:rPr>
                <w:rFonts w:ascii="Arial Narrow" w:hAnsi="Arial Narrow" w:cstheme="minorHAnsi"/>
                <w:b/>
                <w:bCs/>
                <w:color w:val="000000"/>
                <w:sz w:val="20"/>
                <w:szCs w:val="20"/>
                <w:lang w:val="en-IN" w:eastAsia="en-IN"/>
              </w:rPr>
              <w:t>0.0</w:t>
            </w:r>
            <w:r w:rsidR="00F06D5B">
              <w:rPr>
                <w:rFonts w:ascii="Arial Narrow" w:hAnsi="Arial Narrow" w:cstheme="minorHAnsi"/>
                <w:b/>
                <w:bCs/>
                <w:color w:val="000000"/>
                <w:sz w:val="20"/>
                <w:szCs w:val="20"/>
                <w:lang w:val="en-IN" w:eastAsia="en-IN"/>
              </w:rPr>
              <w:t>6</w:t>
            </w:r>
            <w:r w:rsidR="00F06D5B" w:rsidRPr="002A22E0">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4F091C" w:rsidRPr="002A22E0">
              <w:rPr>
                <w:rFonts w:ascii="Arial Narrow" w:hAnsi="Arial Narrow" w:cstheme="minorHAnsi"/>
                <w:b/>
                <w:bCs/>
                <w:color w:val="000000"/>
                <w:sz w:val="20"/>
                <w:szCs w:val="20"/>
                <w:lang w:val="en-IN" w:eastAsia="en-IN"/>
              </w:rPr>
              <w:t>0.096</w:t>
            </w:r>
            <w:r w:rsidR="004F091C">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F06D5B" w:rsidRPr="002A22E0">
              <w:rPr>
                <w:rFonts w:ascii="Arial Narrow" w:hAnsi="Arial Narrow" w:cstheme="minorHAnsi"/>
                <w:b/>
                <w:bCs/>
                <w:color w:val="000000"/>
                <w:sz w:val="20"/>
                <w:szCs w:val="20"/>
                <w:lang w:val="en-IN" w:eastAsia="en-IN"/>
              </w:rPr>
              <w:t>0.016)</w:t>
            </w:r>
          </w:p>
          <w:p w14:paraId="65BB7625" w14:textId="77777777" w:rsidR="00F06D5B" w:rsidRPr="00FF6121" w:rsidRDefault="00F06D5B">
            <w:pPr>
              <w:jc w:val="center"/>
              <w:rPr>
                <w:rFonts w:ascii="Arial Narrow" w:hAnsi="Arial Narrow" w:cstheme="minorHAnsi"/>
                <w:color w:val="000000"/>
                <w:sz w:val="20"/>
                <w:szCs w:val="20"/>
                <w:lang w:val="en-IN" w:eastAsia="en-IN"/>
              </w:rPr>
            </w:pPr>
            <w:r w:rsidRPr="002A22E0">
              <w:rPr>
                <w:rFonts w:ascii="Arial Narrow" w:hAnsi="Arial Narrow" w:cstheme="minorHAnsi"/>
                <w:b/>
                <w:bCs/>
                <w:color w:val="000000"/>
                <w:sz w:val="20"/>
                <w:szCs w:val="20"/>
                <w:lang w:val="en-IN" w:eastAsia="en-IN"/>
              </w:rPr>
              <w:t>0.006</w:t>
            </w:r>
          </w:p>
        </w:tc>
      </w:tr>
      <w:tr w:rsidR="00371422" w:rsidRPr="00E10F03" w14:paraId="3F9D9284" w14:textId="77777777" w:rsidTr="00F06D5B">
        <w:trPr>
          <w:trHeight w:val="20"/>
        </w:trPr>
        <w:tc>
          <w:tcPr>
            <w:tcW w:w="1353" w:type="pct"/>
            <w:vAlign w:val="center"/>
          </w:tcPr>
          <w:p w14:paraId="7D510478" w14:textId="56FB34F4" w:rsidR="00F06D5B" w:rsidRPr="00FF6121" w:rsidRDefault="00F06D5B">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xml:space="preserve">% </w:t>
            </w:r>
            <w:r w:rsidR="00703B3D">
              <w:rPr>
                <w:rFonts w:ascii="Arial Narrow" w:hAnsi="Arial Narrow" w:cstheme="minorHAnsi"/>
                <w:color w:val="000000"/>
                <w:sz w:val="20"/>
                <w:szCs w:val="20"/>
                <w:lang w:val="it-IT" w:eastAsia="en-IN"/>
              </w:rPr>
              <w:t>Difference</w:t>
            </w:r>
            <w:r w:rsidR="00703B3D">
              <w:rPr>
                <w:rFonts w:ascii="Arial Narrow" w:hAnsi="Arial Narrow" w:cstheme="minorHAnsi"/>
                <w:color w:val="000000"/>
                <w:sz w:val="20"/>
                <w:szCs w:val="20"/>
                <w:vertAlign w:val="superscript"/>
                <w:lang w:val="it-IT" w:eastAsia="en-IN"/>
              </w:rPr>
              <w:t>c</w:t>
            </w:r>
          </w:p>
        </w:tc>
        <w:tc>
          <w:tcPr>
            <w:tcW w:w="3647" w:type="pct"/>
            <w:gridSpan w:val="4"/>
          </w:tcPr>
          <w:p w14:paraId="28257245" w14:textId="77777777" w:rsidR="00F06D5B" w:rsidRPr="00B95B55"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14.25</w:t>
            </w:r>
          </w:p>
        </w:tc>
      </w:tr>
      <w:tr w:rsidR="00F06D5B" w:rsidRPr="00E10F03" w14:paraId="003A2148" w14:textId="77777777" w:rsidTr="00F06D5B">
        <w:trPr>
          <w:trHeight w:val="20"/>
        </w:trPr>
        <w:tc>
          <w:tcPr>
            <w:tcW w:w="5000" w:type="pct"/>
            <w:gridSpan w:val="5"/>
          </w:tcPr>
          <w:p w14:paraId="1B0A9671" w14:textId="22C50254" w:rsidR="00F06D5B" w:rsidRPr="00B95B55" w:rsidRDefault="00F06D5B">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 xml:space="preserve">Mean rate of </w:t>
            </w:r>
            <w:r>
              <w:rPr>
                <w:rFonts w:ascii="Arial Narrow" w:hAnsi="Arial Narrow" w:cstheme="minorHAnsi"/>
                <w:b/>
                <w:bCs/>
                <w:sz w:val="20"/>
                <w:szCs w:val="20"/>
                <w:lang w:val="en-GB" w:eastAsia="en-GB"/>
              </w:rPr>
              <w:t>GA growth (mm</w:t>
            </w:r>
            <w:r w:rsidRPr="00F06D5B">
              <w:rPr>
                <w:rFonts w:ascii="Arial Narrow" w:hAnsi="Arial Narrow" w:cstheme="minorHAnsi"/>
                <w:b/>
                <w:bCs/>
                <w:sz w:val="20"/>
                <w:szCs w:val="20"/>
                <w:vertAlign w:val="superscript"/>
                <w:lang w:val="en-GB" w:eastAsia="en-GB"/>
              </w:rPr>
              <w:t>2</w:t>
            </w:r>
            <w:r>
              <w:rPr>
                <w:rFonts w:ascii="Arial Narrow" w:hAnsi="Arial Narrow" w:cstheme="minorHAnsi"/>
                <w:b/>
                <w:bCs/>
                <w:sz w:val="20"/>
                <w:szCs w:val="20"/>
                <w:lang w:val="en-GB" w:eastAsia="en-GB"/>
              </w:rPr>
              <w:t>/year)</w:t>
            </w:r>
            <w:r w:rsidRPr="00B95B55">
              <w:rPr>
                <w:rFonts w:ascii="Arial Narrow" w:hAnsi="Arial Narrow" w:cstheme="minorHAnsi"/>
                <w:b/>
                <w:bCs/>
                <w:sz w:val="20"/>
                <w:szCs w:val="20"/>
                <w:lang w:val="en-GB" w:eastAsia="en-GB"/>
              </w:rPr>
              <w:t xml:space="preserve"> (</w:t>
            </w:r>
            <w:r>
              <w:rPr>
                <w:rFonts w:ascii="Arial Narrow" w:hAnsi="Arial Narrow" w:cstheme="minorHAnsi"/>
                <w:b/>
                <w:bCs/>
                <w:sz w:val="20"/>
                <w:szCs w:val="20"/>
                <w:lang w:val="en-GB" w:eastAsia="en-GB"/>
              </w:rPr>
              <w:t>slope; observed</w:t>
            </w:r>
            <w:r w:rsidRPr="00B95B55">
              <w:rPr>
                <w:rFonts w:ascii="Arial Narrow" w:hAnsi="Arial Narrow" w:cstheme="minorHAnsi"/>
                <w:b/>
                <w:bCs/>
                <w:sz w:val="20"/>
                <w:szCs w:val="20"/>
                <w:lang w:val="en-GB" w:eastAsia="en-GB"/>
              </w:rPr>
              <w:t>) from baseline to Month 12</w:t>
            </w:r>
            <w:r>
              <w:rPr>
                <w:rFonts w:ascii="Arial Narrow" w:hAnsi="Arial Narrow" w:cstheme="minorHAnsi"/>
                <w:b/>
                <w:bCs/>
                <w:sz w:val="20"/>
                <w:szCs w:val="20"/>
                <w:lang w:val="en-GB" w:eastAsia="en-GB"/>
              </w:rPr>
              <w:t xml:space="preserve"> (ITT)</w:t>
            </w:r>
            <w:r w:rsidR="00703B3D" w:rsidRPr="00703B3D">
              <w:rPr>
                <w:rFonts w:ascii="Arial Narrow" w:hAnsi="Arial Narrow" w:cstheme="minorHAnsi"/>
                <w:b/>
                <w:bCs/>
                <w:sz w:val="20"/>
                <w:szCs w:val="20"/>
                <w:vertAlign w:val="superscript"/>
                <w:lang w:val="en-GB" w:eastAsia="en-GB"/>
              </w:rPr>
              <w:t>a</w:t>
            </w:r>
          </w:p>
        </w:tc>
      </w:tr>
      <w:tr w:rsidR="007E6473" w:rsidRPr="00E10F03" w14:paraId="73AF7EC5" w14:textId="77777777" w:rsidTr="00F06D5B">
        <w:trPr>
          <w:trHeight w:val="20"/>
        </w:trPr>
        <w:tc>
          <w:tcPr>
            <w:tcW w:w="1353" w:type="pct"/>
          </w:tcPr>
          <w:p w14:paraId="511B6B6C" w14:textId="77777777" w:rsidR="00F06D5B" w:rsidRPr="00FF6121" w:rsidRDefault="00F06D5B">
            <w:pP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Mean (SE)</w:t>
            </w:r>
          </w:p>
        </w:tc>
        <w:tc>
          <w:tcPr>
            <w:tcW w:w="1750" w:type="pct"/>
            <w:gridSpan w:val="2"/>
          </w:tcPr>
          <w:p w14:paraId="23F4E4C8"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1.75 (0.20)</w:t>
            </w:r>
          </w:p>
        </w:tc>
        <w:tc>
          <w:tcPr>
            <w:tcW w:w="1897" w:type="pct"/>
            <w:gridSpan w:val="2"/>
          </w:tcPr>
          <w:p w14:paraId="04F986A8"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2.12 (0.21)</w:t>
            </w:r>
          </w:p>
        </w:tc>
      </w:tr>
      <w:tr w:rsidR="00371422" w:rsidRPr="00E10F03" w14:paraId="5E037901" w14:textId="77777777" w:rsidTr="00F06D5B">
        <w:trPr>
          <w:trHeight w:val="20"/>
        </w:trPr>
        <w:tc>
          <w:tcPr>
            <w:tcW w:w="1353" w:type="pct"/>
            <w:vAlign w:val="center"/>
          </w:tcPr>
          <w:p w14:paraId="2E9F3E0F" w14:textId="5F770A75" w:rsidR="00F06D5B" w:rsidRDefault="00703B3D">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Pr>
                <w:rFonts w:ascii="Arial Narrow" w:hAnsi="Arial Narrow" w:cstheme="minorHAnsi"/>
                <w:color w:val="000000"/>
                <w:sz w:val="20"/>
                <w:szCs w:val="20"/>
                <w:vertAlign w:val="superscript"/>
                <w:lang w:val="it-IT" w:eastAsia="en-IN"/>
              </w:rPr>
              <w:t>b</w:t>
            </w:r>
            <w:r w:rsidRPr="006C0943">
              <w:rPr>
                <w:rFonts w:ascii="Arial Narrow" w:hAnsi="Arial Narrow" w:cstheme="minorHAnsi"/>
                <w:color w:val="000000"/>
                <w:sz w:val="20"/>
                <w:szCs w:val="20"/>
                <w:vertAlign w:val="superscript"/>
                <w:lang w:val="it-IT" w:eastAsia="en-IN"/>
              </w:rPr>
              <w:t xml:space="preserve"> </w:t>
            </w:r>
            <w:r w:rsidR="00F06D5B" w:rsidRPr="00FF6121">
              <w:rPr>
                <w:rFonts w:ascii="Arial Narrow" w:hAnsi="Arial Narrow" w:cstheme="minorHAnsi"/>
                <w:color w:val="000000"/>
                <w:sz w:val="20"/>
                <w:szCs w:val="20"/>
                <w:lang w:val="it-IT" w:eastAsia="en-IN"/>
              </w:rPr>
              <w:t>(95% CI</w:t>
            </w:r>
            <w:r w:rsidR="00F06D5B">
              <w:rPr>
                <w:rFonts w:ascii="Arial Narrow" w:hAnsi="Arial Narrow" w:cstheme="minorHAnsi"/>
                <w:color w:val="000000"/>
                <w:sz w:val="20"/>
                <w:szCs w:val="20"/>
                <w:lang w:val="it-IT" w:eastAsia="en-IN"/>
              </w:rPr>
              <w:t>)</w:t>
            </w:r>
          </w:p>
          <w:p w14:paraId="2E1C8DE8" w14:textId="77777777" w:rsidR="00F06D5B" w:rsidRPr="00FF6121"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p>
        </w:tc>
        <w:tc>
          <w:tcPr>
            <w:tcW w:w="3647" w:type="pct"/>
            <w:gridSpan w:val="4"/>
          </w:tcPr>
          <w:p w14:paraId="187CC990" w14:textId="4F1C8685" w:rsidR="00F06D5B" w:rsidRPr="008106F7"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06D5B" w:rsidRPr="008106F7">
              <w:rPr>
                <w:rFonts w:ascii="Arial Narrow" w:hAnsi="Arial Narrow" w:cstheme="minorHAnsi"/>
                <w:b/>
                <w:bCs/>
                <w:color w:val="000000"/>
                <w:sz w:val="20"/>
                <w:szCs w:val="20"/>
                <w:lang w:val="en-IN" w:eastAsia="en-IN"/>
              </w:rPr>
              <w:t>0.3</w:t>
            </w:r>
            <w:r w:rsidR="00F06D5B">
              <w:rPr>
                <w:rFonts w:ascii="Arial Narrow" w:hAnsi="Arial Narrow" w:cstheme="minorHAnsi"/>
                <w:b/>
                <w:bCs/>
                <w:color w:val="000000"/>
                <w:sz w:val="20"/>
                <w:szCs w:val="20"/>
                <w:lang w:val="en-IN" w:eastAsia="en-IN"/>
              </w:rPr>
              <w:t>8</w:t>
            </w:r>
            <w:r w:rsidR="00F06D5B" w:rsidRPr="008106F7">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4F091C" w:rsidRPr="008106F7">
              <w:rPr>
                <w:rFonts w:ascii="Arial Narrow" w:hAnsi="Arial Narrow" w:cstheme="minorHAnsi"/>
                <w:b/>
                <w:bCs/>
                <w:color w:val="000000"/>
                <w:sz w:val="20"/>
                <w:szCs w:val="20"/>
                <w:lang w:val="en-IN" w:eastAsia="en-IN"/>
              </w:rPr>
              <w:t>0.63</w:t>
            </w:r>
            <w:r w:rsidR="004F091C">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F06D5B" w:rsidRPr="008106F7">
              <w:rPr>
                <w:rFonts w:ascii="Arial Narrow" w:hAnsi="Arial Narrow" w:cstheme="minorHAnsi"/>
                <w:b/>
                <w:bCs/>
                <w:color w:val="000000"/>
                <w:sz w:val="20"/>
                <w:szCs w:val="20"/>
                <w:lang w:val="en-IN" w:eastAsia="en-IN"/>
              </w:rPr>
              <w:t>0.12)</w:t>
            </w:r>
          </w:p>
          <w:p w14:paraId="064D4958" w14:textId="77777777" w:rsidR="00F06D5B" w:rsidRPr="00FF6121" w:rsidRDefault="00F06D5B">
            <w:pPr>
              <w:jc w:val="center"/>
              <w:rPr>
                <w:rFonts w:ascii="Arial Narrow" w:hAnsi="Arial Narrow" w:cstheme="minorHAnsi"/>
                <w:color w:val="000000"/>
                <w:sz w:val="20"/>
                <w:szCs w:val="20"/>
                <w:lang w:val="en-IN" w:eastAsia="en-IN"/>
              </w:rPr>
            </w:pPr>
            <w:r w:rsidRPr="008106F7">
              <w:rPr>
                <w:rFonts w:ascii="Arial Narrow" w:hAnsi="Arial Narrow" w:cstheme="minorHAnsi"/>
                <w:b/>
                <w:bCs/>
                <w:color w:val="000000"/>
                <w:sz w:val="20"/>
                <w:szCs w:val="20"/>
                <w:lang w:val="en-IN" w:eastAsia="en-IN"/>
              </w:rPr>
              <w:t>0.00</w:t>
            </w:r>
            <w:r>
              <w:rPr>
                <w:rFonts w:ascii="Arial Narrow" w:hAnsi="Arial Narrow" w:cstheme="minorHAnsi"/>
                <w:b/>
                <w:bCs/>
                <w:color w:val="000000"/>
                <w:sz w:val="20"/>
                <w:szCs w:val="20"/>
                <w:lang w:val="en-IN" w:eastAsia="en-IN"/>
              </w:rPr>
              <w:t>4</w:t>
            </w:r>
          </w:p>
        </w:tc>
      </w:tr>
      <w:tr w:rsidR="00371422" w:rsidRPr="00E10F03" w14:paraId="1CAE92A4" w14:textId="77777777" w:rsidTr="00F06D5B">
        <w:trPr>
          <w:trHeight w:val="20"/>
        </w:trPr>
        <w:tc>
          <w:tcPr>
            <w:tcW w:w="1353" w:type="pct"/>
            <w:vAlign w:val="center"/>
          </w:tcPr>
          <w:p w14:paraId="4645F281" w14:textId="45296E66" w:rsidR="00F06D5B" w:rsidRPr="00FF6121" w:rsidRDefault="00F06D5B">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xml:space="preserve">% </w:t>
            </w:r>
            <w:r w:rsidR="00703B3D">
              <w:rPr>
                <w:rFonts w:ascii="Arial Narrow" w:hAnsi="Arial Narrow" w:cstheme="minorHAnsi"/>
                <w:color w:val="000000"/>
                <w:sz w:val="20"/>
                <w:szCs w:val="20"/>
                <w:lang w:val="it-IT" w:eastAsia="en-IN"/>
              </w:rPr>
              <w:t>Difference</w:t>
            </w:r>
            <w:r w:rsidR="00703B3D">
              <w:rPr>
                <w:rFonts w:ascii="Arial Narrow" w:hAnsi="Arial Narrow" w:cstheme="minorHAnsi"/>
                <w:color w:val="000000"/>
                <w:sz w:val="20"/>
                <w:szCs w:val="20"/>
                <w:vertAlign w:val="superscript"/>
                <w:lang w:val="it-IT" w:eastAsia="en-IN"/>
              </w:rPr>
              <w:t>c</w:t>
            </w:r>
          </w:p>
        </w:tc>
        <w:tc>
          <w:tcPr>
            <w:tcW w:w="3647" w:type="pct"/>
            <w:gridSpan w:val="4"/>
          </w:tcPr>
          <w:p w14:paraId="04752239" w14:textId="77777777" w:rsidR="00F06D5B" w:rsidRPr="00B95B55"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17.70</w:t>
            </w:r>
          </w:p>
        </w:tc>
      </w:tr>
      <w:tr w:rsidR="00F06D5B" w:rsidRPr="00E10F03" w14:paraId="56FB20DE" w14:textId="77777777" w:rsidTr="00F06D5B">
        <w:trPr>
          <w:trHeight w:val="20"/>
        </w:trPr>
        <w:tc>
          <w:tcPr>
            <w:tcW w:w="5000" w:type="pct"/>
            <w:gridSpan w:val="5"/>
          </w:tcPr>
          <w:p w14:paraId="703C5E50" w14:textId="5CF13705" w:rsidR="00F06D5B" w:rsidRPr="00B95B55" w:rsidRDefault="00F06D5B">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 xml:space="preserve">Mean rate of </w:t>
            </w:r>
            <w:r>
              <w:rPr>
                <w:rFonts w:ascii="Arial Narrow" w:hAnsi="Arial Narrow" w:cstheme="minorHAnsi"/>
                <w:b/>
                <w:bCs/>
                <w:sz w:val="20"/>
                <w:szCs w:val="20"/>
                <w:lang w:val="en-GB" w:eastAsia="en-GB"/>
              </w:rPr>
              <w:t>GA growth</w:t>
            </w:r>
            <w:r w:rsidRPr="00B95B55">
              <w:rPr>
                <w:rFonts w:ascii="Arial Narrow" w:hAnsi="Arial Narrow" w:cstheme="minorHAnsi"/>
                <w:b/>
                <w:bCs/>
                <w:sz w:val="20"/>
                <w:szCs w:val="20"/>
                <w:lang w:val="en-GB" w:eastAsia="en-GB"/>
              </w:rPr>
              <w:t xml:space="preserve"> </w:t>
            </w:r>
            <w:r>
              <w:rPr>
                <w:rFonts w:ascii="Arial Narrow" w:hAnsi="Arial Narrow" w:cstheme="minorHAnsi"/>
                <w:b/>
                <w:bCs/>
                <w:sz w:val="20"/>
                <w:szCs w:val="20"/>
                <w:lang w:val="en-GB" w:eastAsia="en-GB"/>
              </w:rPr>
              <w:t>(mm</w:t>
            </w:r>
            <w:r w:rsidRPr="00F06D5B">
              <w:rPr>
                <w:rFonts w:ascii="Arial Narrow" w:hAnsi="Arial Narrow" w:cstheme="minorHAnsi"/>
                <w:b/>
                <w:bCs/>
                <w:sz w:val="20"/>
                <w:szCs w:val="20"/>
                <w:vertAlign w:val="superscript"/>
                <w:lang w:val="en-GB" w:eastAsia="en-GB"/>
              </w:rPr>
              <w:t>2</w:t>
            </w:r>
            <w:r>
              <w:rPr>
                <w:rFonts w:ascii="Arial Narrow" w:hAnsi="Arial Narrow" w:cstheme="minorHAnsi"/>
                <w:b/>
                <w:bCs/>
                <w:sz w:val="20"/>
                <w:szCs w:val="20"/>
                <w:lang w:val="en-GB" w:eastAsia="en-GB"/>
              </w:rPr>
              <w:t xml:space="preserve">) </w:t>
            </w:r>
            <w:r w:rsidRPr="00B95B55">
              <w:rPr>
                <w:rFonts w:ascii="Arial Narrow" w:hAnsi="Arial Narrow" w:cstheme="minorHAnsi"/>
                <w:b/>
                <w:bCs/>
                <w:sz w:val="20"/>
                <w:szCs w:val="20"/>
                <w:lang w:val="en-GB" w:eastAsia="en-GB"/>
              </w:rPr>
              <w:t>(</w:t>
            </w:r>
            <w:r>
              <w:rPr>
                <w:rFonts w:ascii="Arial Narrow" w:hAnsi="Arial Narrow" w:cstheme="minorHAnsi"/>
                <w:b/>
                <w:bCs/>
                <w:sz w:val="20"/>
                <w:szCs w:val="20"/>
                <w:lang w:val="en-GB" w:eastAsia="en-GB"/>
              </w:rPr>
              <w:t>observed</w:t>
            </w:r>
            <w:r w:rsidRPr="00B95B55">
              <w:rPr>
                <w:rFonts w:ascii="Arial Narrow" w:hAnsi="Arial Narrow" w:cstheme="minorHAnsi"/>
                <w:b/>
                <w:bCs/>
                <w:sz w:val="20"/>
                <w:szCs w:val="20"/>
                <w:lang w:val="en-GB" w:eastAsia="en-GB"/>
              </w:rPr>
              <w:t>) from baseline to Month 12</w:t>
            </w:r>
            <w:r>
              <w:rPr>
                <w:rFonts w:ascii="Arial Narrow" w:hAnsi="Arial Narrow" w:cstheme="minorHAnsi"/>
                <w:b/>
                <w:bCs/>
                <w:sz w:val="20"/>
                <w:szCs w:val="20"/>
                <w:lang w:val="en-GB" w:eastAsia="en-GB"/>
              </w:rPr>
              <w:t xml:space="preserve"> (ITT)</w:t>
            </w:r>
            <w:r w:rsidR="00703B3D" w:rsidRPr="00703B3D">
              <w:rPr>
                <w:rFonts w:ascii="Arial Narrow" w:hAnsi="Arial Narrow" w:cstheme="minorHAnsi"/>
                <w:b/>
                <w:bCs/>
                <w:sz w:val="20"/>
                <w:szCs w:val="20"/>
                <w:vertAlign w:val="superscript"/>
                <w:lang w:val="en-GB" w:eastAsia="en-GB"/>
              </w:rPr>
              <w:t>a</w:t>
            </w:r>
          </w:p>
        </w:tc>
      </w:tr>
      <w:tr w:rsidR="007E6473" w:rsidRPr="00E10F03" w14:paraId="48439959" w14:textId="77777777" w:rsidTr="00F06D5B">
        <w:trPr>
          <w:trHeight w:val="20"/>
        </w:trPr>
        <w:tc>
          <w:tcPr>
            <w:tcW w:w="1353" w:type="pct"/>
          </w:tcPr>
          <w:p w14:paraId="7B28BD96" w14:textId="77777777" w:rsidR="00F06D5B" w:rsidRPr="00FF6121" w:rsidRDefault="00F06D5B">
            <w:pP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Mean (SE)</w:t>
            </w:r>
          </w:p>
        </w:tc>
        <w:tc>
          <w:tcPr>
            <w:tcW w:w="1750" w:type="pct"/>
            <w:gridSpan w:val="2"/>
          </w:tcPr>
          <w:p w14:paraId="64FE14A2"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1.94 (0.22)</w:t>
            </w:r>
          </w:p>
        </w:tc>
        <w:tc>
          <w:tcPr>
            <w:tcW w:w="1897" w:type="pct"/>
            <w:gridSpan w:val="2"/>
          </w:tcPr>
          <w:p w14:paraId="026A6F7C"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2.34 (0.22)</w:t>
            </w:r>
          </w:p>
        </w:tc>
      </w:tr>
      <w:tr w:rsidR="00371422" w:rsidRPr="00E10F03" w14:paraId="662BF205" w14:textId="77777777" w:rsidTr="00F06D5B">
        <w:trPr>
          <w:trHeight w:val="20"/>
        </w:trPr>
        <w:tc>
          <w:tcPr>
            <w:tcW w:w="1353" w:type="pct"/>
            <w:vAlign w:val="center"/>
          </w:tcPr>
          <w:p w14:paraId="645ED91A" w14:textId="77777777" w:rsidR="00F06D5B"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Pr="006C0943">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p w14:paraId="25BBAF43" w14:textId="77777777" w:rsidR="00F06D5B" w:rsidRPr="00FF6121"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p>
        </w:tc>
        <w:tc>
          <w:tcPr>
            <w:tcW w:w="3647" w:type="pct"/>
            <w:gridSpan w:val="4"/>
          </w:tcPr>
          <w:p w14:paraId="2C3F57A3" w14:textId="02E455AA" w:rsidR="00F06D5B" w:rsidRPr="008106F7"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06D5B" w:rsidRPr="008106F7">
              <w:rPr>
                <w:rFonts w:ascii="Arial Narrow" w:hAnsi="Arial Narrow" w:cstheme="minorHAnsi"/>
                <w:b/>
                <w:bCs/>
                <w:color w:val="000000"/>
                <w:sz w:val="20"/>
                <w:szCs w:val="20"/>
                <w:lang w:val="en-IN" w:eastAsia="en-IN"/>
              </w:rPr>
              <w:t>0.4</w:t>
            </w:r>
            <w:r w:rsidR="00F06D5B">
              <w:rPr>
                <w:rFonts w:ascii="Arial Narrow" w:hAnsi="Arial Narrow" w:cstheme="minorHAnsi"/>
                <w:b/>
                <w:bCs/>
                <w:color w:val="000000"/>
                <w:sz w:val="20"/>
                <w:szCs w:val="20"/>
                <w:lang w:val="en-IN" w:eastAsia="en-IN"/>
              </w:rPr>
              <w:t>1</w:t>
            </w:r>
            <w:r w:rsidR="00F06D5B" w:rsidRPr="008106F7">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4F091C" w:rsidRPr="008106F7">
              <w:rPr>
                <w:rFonts w:ascii="Arial Narrow" w:hAnsi="Arial Narrow" w:cstheme="minorHAnsi"/>
                <w:b/>
                <w:bCs/>
                <w:color w:val="000000"/>
                <w:sz w:val="20"/>
                <w:szCs w:val="20"/>
                <w:lang w:val="en-IN" w:eastAsia="en-IN"/>
              </w:rPr>
              <w:t>0.6</w:t>
            </w:r>
            <w:r w:rsidR="004F091C">
              <w:rPr>
                <w:rFonts w:ascii="Arial Narrow" w:hAnsi="Arial Narrow" w:cstheme="minorHAnsi"/>
                <w:b/>
                <w:bCs/>
                <w:color w:val="000000"/>
                <w:sz w:val="20"/>
                <w:szCs w:val="20"/>
                <w:lang w:val="en-IN" w:eastAsia="en-IN"/>
              </w:rPr>
              <w:t xml:space="preserve">7, </w:t>
            </w:r>
            <w:r>
              <w:rPr>
                <w:rFonts w:ascii="Arial Narrow" w:hAnsi="Arial Narrow" w:cstheme="minorHAnsi"/>
                <w:b/>
                <w:bCs/>
                <w:color w:val="000000"/>
                <w:sz w:val="20"/>
                <w:szCs w:val="20"/>
                <w:lang w:val="en-IN" w:eastAsia="en-IN"/>
              </w:rPr>
              <w:noBreakHyphen/>
            </w:r>
            <w:r w:rsidR="00F06D5B" w:rsidRPr="008106F7">
              <w:rPr>
                <w:rFonts w:ascii="Arial Narrow" w:hAnsi="Arial Narrow" w:cstheme="minorHAnsi"/>
                <w:b/>
                <w:bCs/>
                <w:color w:val="000000"/>
                <w:sz w:val="20"/>
                <w:szCs w:val="20"/>
                <w:lang w:val="en-IN" w:eastAsia="en-IN"/>
              </w:rPr>
              <w:t>0.14)</w:t>
            </w:r>
          </w:p>
          <w:p w14:paraId="1511C7D5" w14:textId="77777777" w:rsidR="00F06D5B" w:rsidRPr="00FF6121" w:rsidRDefault="00F06D5B">
            <w:pPr>
              <w:jc w:val="center"/>
              <w:rPr>
                <w:rFonts w:ascii="Arial Narrow" w:hAnsi="Arial Narrow" w:cstheme="minorHAnsi"/>
                <w:color w:val="000000"/>
                <w:sz w:val="20"/>
                <w:szCs w:val="20"/>
                <w:lang w:val="en-IN" w:eastAsia="en-IN"/>
              </w:rPr>
            </w:pPr>
            <w:r w:rsidRPr="008106F7">
              <w:rPr>
                <w:rFonts w:ascii="Arial Narrow" w:hAnsi="Arial Narrow" w:cstheme="minorHAnsi"/>
                <w:b/>
                <w:bCs/>
                <w:color w:val="000000"/>
                <w:sz w:val="20"/>
                <w:szCs w:val="20"/>
                <w:lang w:val="en-IN" w:eastAsia="en-IN"/>
              </w:rPr>
              <w:t>0.00</w:t>
            </w:r>
            <w:r>
              <w:rPr>
                <w:rFonts w:ascii="Arial Narrow" w:hAnsi="Arial Narrow" w:cstheme="minorHAnsi"/>
                <w:b/>
                <w:bCs/>
                <w:color w:val="000000"/>
                <w:sz w:val="20"/>
                <w:szCs w:val="20"/>
                <w:lang w:val="en-IN" w:eastAsia="en-IN"/>
              </w:rPr>
              <w:t>3</w:t>
            </w:r>
          </w:p>
        </w:tc>
      </w:tr>
      <w:tr w:rsidR="00371422" w:rsidRPr="00E10F03" w14:paraId="0EBB0AFB" w14:textId="77777777" w:rsidTr="00F06D5B">
        <w:trPr>
          <w:trHeight w:val="20"/>
        </w:trPr>
        <w:tc>
          <w:tcPr>
            <w:tcW w:w="1353" w:type="pct"/>
            <w:vAlign w:val="center"/>
          </w:tcPr>
          <w:p w14:paraId="3EF09A22" w14:textId="170E5C6B" w:rsidR="00F06D5B" w:rsidRPr="00FF6121" w:rsidRDefault="00F06D5B">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xml:space="preserve">% </w:t>
            </w:r>
            <w:r w:rsidR="00703B3D">
              <w:rPr>
                <w:rFonts w:ascii="Arial Narrow" w:hAnsi="Arial Narrow" w:cstheme="minorHAnsi"/>
                <w:color w:val="000000"/>
                <w:sz w:val="20"/>
                <w:szCs w:val="20"/>
                <w:lang w:val="it-IT" w:eastAsia="en-IN"/>
              </w:rPr>
              <w:t>Difference</w:t>
            </w:r>
            <w:r w:rsidR="00703B3D">
              <w:rPr>
                <w:rFonts w:ascii="Arial Narrow" w:hAnsi="Arial Narrow" w:cstheme="minorHAnsi"/>
                <w:color w:val="000000"/>
                <w:sz w:val="20"/>
                <w:szCs w:val="20"/>
                <w:vertAlign w:val="superscript"/>
                <w:lang w:val="it-IT" w:eastAsia="en-IN"/>
              </w:rPr>
              <w:t>c</w:t>
            </w:r>
          </w:p>
        </w:tc>
        <w:tc>
          <w:tcPr>
            <w:tcW w:w="3647" w:type="pct"/>
            <w:gridSpan w:val="4"/>
          </w:tcPr>
          <w:p w14:paraId="2F55EEE8" w14:textId="77777777" w:rsidR="00F06D5B" w:rsidRPr="00B95B55"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17.0</w:t>
            </w:r>
          </w:p>
        </w:tc>
      </w:tr>
      <w:tr w:rsidR="00F06D5B" w:rsidRPr="00E10F03" w14:paraId="1524C58E" w14:textId="77777777" w:rsidTr="00F06D5B">
        <w:trPr>
          <w:trHeight w:val="20"/>
        </w:trPr>
        <w:tc>
          <w:tcPr>
            <w:tcW w:w="5000" w:type="pct"/>
            <w:gridSpan w:val="5"/>
          </w:tcPr>
          <w:p w14:paraId="38A10AB6" w14:textId="77777777" w:rsidR="00F06D5B" w:rsidRPr="00B95B55" w:rsidRDefault="00F06D5B">
            <w:pPr>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 xml:space="preserve">Mean rate of </w:t>
            </w:r>
            <w:r>
              <w:rPr>
                <w:rFonts w:ascii="Arial Narrow" w:hAnsi="Arial Narrow" w:cstheme="minorHAnsi"/>
                <w:b/>
                <w:bCs/>
                <w:sz w:val="20"/>
                <w:szCs w:val="20"/>
                <w:lang w:val="en-GB" w:eastAsia="en-GB"/>
              </w:rPr>
              <w:t>GA growth (mm</w:t>
            </w:r>
            <w:r w:rsidRPr="00A365B2">
              <w:rPr>
                <w:rFonts w:ascii="Arial Narrow" w:hAnsi="Arial Narrow" w:cstheme="minorHAnsi"/>
                <w:b/>
                <w:bCs/>
                <w:sz w:val="20"/>
                <w:szCs w:val="20"/>
                <w:vertAlign w:val="superscript"/>
                <w:lang w:val="en-GB" w:eastAsia="en-GB"/>
              </w:rPr>
              <w:t>2</w:t>
            </w:r>
            <w:r>
              <w:rPr>
                <w:rFonts w:ascii="Arial Narrow" w:hAnsi="Arial Narrow" w:cstheme="minorHAnsi"/>
                <w:b/>
                <w:bCs/>
                <w:sz w:val="20"/>
                <w:szCs w:val="20"/>
                <w:lang w:val="en-GB" w:eastAsia="en-GB"/>
              </w:rPr>
              <w:t>/year)</w:t>
            </w:r>
            <w:r w:rsidRPr="00B95B55">
              <w:rPr>
                <w:rFonts w:ascii="Arial Narrow" w:hAnsi="Arial Narrow" w:cstheme="minorHAnsi"/>
                <w:b/>
                <w:bCs/>
                <w:sz w:val="20"/>
                <w:szCs w:val="20"/>
                <w:lang w:val="en-GB" w:eastAsia="en-GB"/>
              </w:rPr>
              <w:t xml:space="preserve"> from baseline (</w:t>
            </w:r>
            <w:r>
              <w:rPr>
                <w:rFonts w:ascii="Arial Narrow" w:hAnsi="Arial Narrow" w:cstheme="minorHAnsi"/>
                <w:b/>
                <w:bCs/>
                <w:sz w:val="20"/>
                <w:szCs w:val="20"/>
                <w:lang w:val="en-GB" w:eastAsia="en-GB"/>
              </w:rPr>
              <w:t xml:space="preserve">slope) </w:t>
            </w:r>
            <w:r w:rsidRPr="00B95B55">
              <w:rPr>
                <w:rFonts w:ascii="Arial Narrow" w:hAnsi="Arial Narrow" w:cstheme="minorHAnsi"/>
                <w:b/>
                <w:bCs/>
                <w:sz w:val="20"/>
                <w:szCs w:val="20"/>
                <w:lang w:val="en-GB" w:eastAsia="en-GB"/>
              </w:rPr>
              <w:t xml:space="preserve">to Month </w:t>
            </w:r>
            <w:r>
              <w:rPr>
                <w:rFonts w:ascii="Arial Narrow" w:hAnsi="Arial Narrow" w:cstheme="minorHAnsi"/>
                <w:b/>
                <w:bCs/>
                <w:sz w:val="20"/>
                <w:szCs w:val="20"/>
                <w:lang w:val="en-GB" w:eastAsia="en-GB"/>
              </w:rPr>
              <w:t>24 (ITT)</w:t>
            </w:r>
          </w:p>
        </w:tc>
      </w:tr>
      <w:tr w:rsidR="007E6473" w:rsidRPr="00E10F03" w14:paraId="1CA89C6E" w14:textId="77777777" w:rsidTr="00F06D5B">
        <w:trPr>
          <w:trHeight w:val="20"/>
        </w:trPr>
        <w:tc>
          <w:tcPr>
            <w:tcW w:w="1353" w:type="pct"/>
          </w:tcPr>
          <w:p w14:paraId="3EBB9F78" w14:textId="77777777" w:rsidR="00F06D5B" w:rsidRPr="00FF6121" w:rsidRDefault="00F06D5B">
            <w:pP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Mean rate (SE)</w:t>
            </w:r>
          </w:p>
        </w:tc>
        <w:tc>
          <w:tcPr>
            <w:tcW w:w="1750" w:type="pct"/>
            <w:gridSpan w:val="2"/>
          </w:tcPr>
          <w:p w14:paraId="3EE191FD"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2.17 (0.08)</w:t>
            </w:r>
          </w:p>
        </w:tc>
        <w:tc>
          <w:tcPr>
            <w:tcW w:w="1897" w:type="pct"/>
            <w:gridSpan w:val="2"/>
          </w:tcPr>
          <w:p w14:paraId="6EAA771E"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2.59 (0.08)</w:t>
            </w:r>
          </w:p>
        </w:tc>
      </w:tr>
      <w:tr w:rsidR="00371422" w:rsidRPr="00E10F03" w14:paraId="6E58AF7E" w14:textId="77777777" w:rsidTr="00F06D5B">
        <w:trPr>
          <w:trHeight w:val="20"/>
        </w:trPr>
        <w:tc>
          <w:tcPr>
            <w:tcW w:w="1353" w:type="pct"/>
            <w:vAlign w:val="center"/>
          </w:tcPr>
          <w:p w14:paraId="0B85FC69" w14:textId="77777777" w:rsidR="00F06D5B"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lastRenderedPageBreak/>
              <w:t>Difference</w:t>
            </w:r>
            <w:r w:rsidRPr="006C0943">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p w14:paraId="2E30F075" w14:textId="77777777" w:rsidR="00F06D5B" w:rsidRPr="00FF6121"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p>
        </w:tc>
        <w:tc>
          <w:tcPr>
            <w:tcW w:w="3647" w:type="pct"/>
            <w:gridSpan w:val="4"/>
          </w:tcPr>
          <w:p w14:paraId="268587B4" w14:textId="16DD9B08" w:rsidR="00F06D5B" w:rsidRPr="001F197A"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06D5B" w:rsidRPr="001F197A">
              <w:rPr>
                <w:rFonts w:ascii="Arial Narrow" w:hAnsi="Arial Narrow" w:cstheme="minorHAnsi"/>
                <w:b/>
                <w:bCs/>
                <w:color w:val="000000"/>
                <w:sz w:val="20"/>
                <w:szCs w:val="20"/>
                <w:lang w:val="en-IN" w:eastAsia="en-IN"/>
              </w:rPr>
              <w:t>0.42 (</w:t>
            </w:r>
            <w:r>
              <w:rPr>
                <w:rFonts w:ascii="Arial Narrow" w:hAnsi="Arial Narrow" w:cstheme="minorHAnsi"/>
                <w:b/>
                <w:bCs/>
                <w:color w:val="000000"/>
                <w:sz w:val="20"/>
                <w:szCs w:val="20"/>
                <w:lang w:val="en-IN" w:eastAsia="en-IN"/>
              </w:rPr>
              <w:noBreakHyphen/>
            </w:r>
            <w:r w:rsidR="004F091C" w:rsidRPr="001F197A">
              <w:rPr>
                <w:rFonts w:ascii="Arial Narrow" w:hAnsi="Arial Narrow" w:cstheme="minorHAnsi"/>
                <w:b/>
                <w:bCs/>
                <w:color w:val="000000"/>
                <w:sz w:val="20"/>
                <w:szCs w:val="20"/>
                <w:lang w:val="en-IN" w:eastAsia="en-IN"/>
              </w:rPr>
              <w:t>0.65</w:t>
            </w:r>
            <w:r w:rsidR="004F091C">
              <w:rPr>
                <w:rFonts w:ascii="Arial Narrow" w:hAnsi="Arial Narrow" w:cstheme="minorHAnsi"/>
                <w:b/>
                <w:bCs/>
                <w:color w:val="000000"/>
                <w:sz w:val="20"/>
                <w:szCs w:val="20"/>
                <w:lang w:val="en-IN" w:eastAsia="en-IN"/>
              </w:rPr>
              <w:t xml:space="preserve">, </w:t>
            </w:r>
            <w:r>
              <w:rPr>
                <w:rFonts w:ascii="Arial Narrow" w:hAnsi="Arial Narrow" w:cstheme="minorHAnsi"/>
                <w:b/>
                <w:bCs/>
                <w:color w:val="000000"/>
                <w:sz w:val="20"/>
                <w:szCs w:val="20"/>
                <w:lang w:val="en-IN" w:eastAsia="en-IN"/>
              </w:rPr>
              <w:noBreakHyphen/>
            </w:r>
            <w:r w:rsidR="00F06D5B" w:rsidRPr="001F197A">
              <w:rPr>
                <w:rFonts w:ascii="Arial Narrow" w:hAnsi="Arial Narrow" w:cstheme="minorHAnsi"/>
                <w:b/>
                <w:bCs/>
                <w:color w:val="000000"/>
                <w:sz w:val="20"/>
                <w:szCs w:val="20"/>
                <w:lang w:val="en-IN" w:eastAsia="en-IN"/>
              </w:rPr>
              <w:t>0.1</w:t>
            </w:r>
            <w:r w:rsidR="00F06D5B">
              <w:rPr>
                <w:rFonts w:ascii="Arial Narrow" w:hAnsi="Arial Narrow" w:cstheme="minorHAnsi"/>
                <w:b/>
                <w:bCs/>
                <w:color w:val="000000"/>
                <w:sz w:val="20"/>
                <w:szCs w:val="20"/>
                <w:lang w:val="en-IN" w:eastAsia="en-IN"/>
              </w:rPr>
              <w:t>9</w:t>
            </w:r>
            <w:r w:rsidR="00F06D5B" w:rsidRPr="001F197A">
              <w:rPr>
                <w:rFonts w:ascii="Arial Narrow" w:hAnsi="Arial Narrow" w:cstheme="minorHAnsi"/>
                <w:b/>
                <w:bCs/>
                <w:color w:val="000000"/>
                <w:sz w:val="20"/>
                <w:szCs w:val="20"/>
                <w:lang w:val="en-IN" w:eastAsia="en-IN"/>
              </w:rPr>
              <w:t>)</w:t>
            </w:r>
          </w:p>
          <w:p w14:paraId="6BB3DE01" w14:textId="77777777" w:rsidR="00F06D5B" w:rsidRPr="001F197A" w:rsidRDefault="00F06D5B">
            <w:pPr>
              <w:jc w:val="center"/>
              <w:rPr>
                <w:rFonts w:ascii="Arial Narrow" w:hAnsi="Arial Narrow" w:cstheme="minorHAnsi"/>
                <w:b/>
                <w:bCs/>
                <w:color w:val="000000"/>
                <w:sz w:val="20"/>
                <w:szCs w:val="20"/>
                <w:lang w:val="en-IN" w:eastAsia="en-IN"/>
              </w:rPr>
            </w:pPr>
            <w:r w:rsidRPr="001F197A">
              <w:rPr>
                <w:rFonts w:ascii="Arial Narrow" w:hAnsi="Arial Narrow" w:cstheme="minorHAnsi"/>
                <w:b/>
                <w:bCs/>
                <w:color w:val="000000"/>
                <w:sz w:val="20"/>
                <w:szCs w:val="20"/>
                <w:lang w:val="en-IN" w:eastAsia="en-IN"/>
              </w:rPr>
              <w:t>0.0004</w:t>
            </w:r>
          </w:p>
        </w:tc>
      </w:tr>
      <w:tr w:rsidR="00371422" w:rsidRPr="00E10F03" w14:paraId="33DD3D85" w14:textId="77777777" w:rsidTr="00F06D5B">
        <w:trPr>
          <w:trHeight w:val="20"/>
        </w:trPr>
        <w:tc>
          <w:tcPr>
            <w:tcW w:w="1353" w:type="pct"/>
            <w:vAlign w:val="center"/>
          </w:tcPr>
          <w:p w14:paraId="5B515A9A" w14:textId="123CDDA5" w:rsidR="00F06D5B" w:rsidRPr="00FF6121" w:rsidRDefault="00F06D5B">
            <w:pPr>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 xml:space="preserve">% </w:t>
            </w:r>
            <w:r w:rsidR="00703B3D">
              <w:rPr>
                <w:rFonts w:ascii="Arial Narrow" w:hAnsi="Arial Narrow" w:cstheme="minorHAnsi"/>
                <w:color w:val="000000"/>
                <w:sz w:val="20"/>
                <w:szCs w:val="20"/>
                <w:lang w:val="it-IT" w:eastAsia="en-IN"/>
              </w:rPr>
              <w:t>Difference</w:t>
            </w:r>
            <w:r w:rsidR="00703B3D">
              <w:rPr>
                <w:rFonts w:ascii="Arial Narrow" w:hAnsi="Arial Narrow" w:cstheme="minorHAnsi"/>
                <w:color w:val="000000"/>
                <w:sz w:val="20"/>
                <w:szCs w:val="20"/>
                <w:vertAlign w:val="superscript"/>
                <w:lang w:val="it-IT" w:eastAsia="en-IN"/>
              </w:rPr>
              <w:t>c</w:t>
            </w:r>
          </w:p>
        </w:tc>
        <w:tc>
          <w:tcPr>
            <w:tcW w:w="3647" w:type="pct"/>
            <w:gridSpan w:val="4"/>
          </w:tcPr>
          <w:p w14:paraId="5B0D9A17" w14:textId="77777777" w:rsidR="00F06D5B" w:rsidRPr="001F197A" w:rsidRDefault="00F06D5B">
            <w:pPr>
              <w:jc w:val="center"/>
              <w:rPr>
                <w:rFonts w:ascii="Arial Narrow" w:hAnsi="Arial Narrow" w:cstheme="minorHAnsi"/>
                <w:b/>
                <w:bCs/>
                <w:color w:val="000000"/>
                <w:sz w:val="20"/>
                <w:szCs w:val="20"/>
                <w:lang w:val="en-IN" w:eastAsia="en-IN"/>
              </w:rPr>
            </w:pPr>
            <w:r w:rsidRPr="001F197A">
              <w:rPr>
                <w:rFonts w:ascii="Arial Narrow" w:hAnsi="Arial Narrow" w:cstheme="minorHAnsi"/>
                <w:b/>
                <w:bCs/>
                <w:color w:val="000000"/>
                <w:sz w:val="20"/>
                <w:szCs w:val="20"/>
                <w:lang w:val="en-IN" w:eastAsia="en-IN"/>
              </w:rPr>
              <w:t>16.20</w:t>
            </w:r>
          </w:p>
        </w:tc>
      </w:tr>
      <w:tr w:rsidR="00F06D5B" w:rsidRPr="00B95B55" w14:paraId="6649931D" w14:textId="77777777" w:rsidTr="00F06D5B">
        <w:trPr>
          <w:trHeight w:val="20"/>
        </w:trPr>
        <w:tc>
          <w:tcPr>
            <w:tcW w:w="5000" w:type="pct"/>
            <w:gridSpan w:val="5"/>
          </w:tcPr>
          <w:p w14:paraId="498DF700" w14:textId="77777777" w:rsidR="00F06D5B" w:rsidRPr="00B95B55" w:rsidRDefault="00F06D5B">
            <w:pPr>
              <w:jc w:val="left"/>
              <w:rPr>
                <w:rFonts w:ascii="Arial Narrow" w:hAnsi="Arial Narrow" w:cstheme="minorHAnsi"/>
                <w:b/>
                <w:bCs/>
                <w:sz w:val="20"/>
                <w:szCs w:val="20"/>
                <w:lang w:val="en-GB" w:eastAsia="en-GB"/>
              </w:rPr>
            </w:pPr>
            <w:r>
              <w:rPr>
                <w:rFonts w:ascii="Arial Narrow" w:hAnsi="Arial Narrow" w:cstheme="minorHAnsi"/>
                <w:b/>
                <w:bCs/>
                <w:sz w:val="20"/>
                <w:szCs w:val="20"/>
                <w:lang w:val="en-GB" w:eastAsia="en-GB"/>
              </w:rPr>
              <w:t>Mean change in GA area (mm</w:t>
            </w:r>
            <w:r w:rsidRPr="000D2509">
              <w:rPr>
                <w:rFonts w:ascii="Arial Narrow" w:hAnsi="Arial Narrow" w:cstheme="minorHAnsi"/>
                <w:b/>
                <w:bCs/>
                <w:sz w:val="20"/>
                <w:szCs w:val="20"/>
                <w:vertAlign w:val="superscript"/>
                <w:lang w:val="en-GB" w:eastAsia="en-GB"/>
              </w:rPr>
              <w:t>2</w:t>
            </w:r>
            <w:r>
              <w:rPr>
                <w:rFonts w:ascii="Arial Narrow" w:hAnsi="Arial Narrow" w:cstheme="minorHAnsi"/>
                <w:b/>
                <w:bCs/>
                <w:sz w:val="20"/>
                <w:szCs w:val="20"/>
                <w:lang w:val="en-GB" w:eastAsia="en-GB"/>
              </w:rPr>
              <w:t>)</w:t>
            </w:r>
            <w:r w:rsidRPr="00B95B55">
              <w:rPr>
                <w:rFonts w:ascii="Arial Narrow" w:hAnsi="Arial Narrow" w:cstheme="minorHAnsi"/>
                <w:b/>
                <w:bCs/>
                <w:sz w:val="20"/>
                <w:szCs w:val="20"/>
                <w:lang w:val="en-GB" w:eastAsia="en-GB"/>
              </w:rPr>
              <w:t xml:space="preserve"> (</w:t>
            </w:r>
            <w:r>
              <w:rPr>
                <w:rFonts w:ascii="Arial Narrow" w:hAnsi="Arial Narrow" w:cstheme="minorHAnsi"/>
                <w:b/>
                <w:bCs/>
                <w:sz w:val="20"/>
                <w:szCs w:val="20"/>
                <w:lang w:val="en-GB" w:eastAsia="en-GB"/>
              </w:rPr>
              <w:t>observed</w:t>
            </w:r>
            <w:r w:rsidRPr="00B95B55">
              <w:rPr>
                <w:rFonts w:ascii="Arial Narrow" w:hAnsi="Arial Narrow" w:cstheme="minorHAnsi"/>
                <w:b/>
                <w:bCs/>
                <w:sz w:val="20"/>
                <w:szCs w:val="20"/>
                <w:lang w:val="en-GB" w:eastAsia="en-GB"/>
              </w:rPr>
              <w:t xml:space="preserve">) from baseline to Month </w:t>
            </w:r>
            <w:r>
              <w:rPr>
                <w:rFonts w:ascii="Arial Narrow" w:hAnsi="Arial Narrow" w:cstheme="minorHAnsi"/>
                <w:b/>
                <w:bCs/>
                <w:sz w:val="20"/>
                <w:szCs w:val="20"/>
                <w:lang w:val="en-GB" w:eastAsia="en-GB"/>
              </w:rPr>
              <w:t>24 (ITT)</w:t>
            </w:r>
          </w:p>
        </w:tc>
      </w:tr>
      <w:tr w:rsidR="007E6473" w:rsidRPr="00FF6121" w14:paraId="5335F9BD" w14:textId="77777777" w:rsidTr="00F06D5B">
        <w:trPr>
          <w:trHeight w:val="20"/>
        </w:trPr>
        <w:tc>
          <w:tcPr>
            <w:tcW w:w="1353" w:type="pct"/>
          </w:tcPr>
          <w:p w14:paraId="2F9DB0C1" w14:textId="6E51BDDB" w:rsidR="00F06D5B" w:rsidRPr="00FF6121" w:rsidRDefault="00F06D5B">
            <w:pPr>
              <w:ind w:right="-167"/>
              <w:jc w:val="left"/>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Leas</w:t>
            </w:r>
            <w:r w:rsidR="00657E68">
              <w:rPr>
                <w:rFonts w:ascii="Arial Narrow" w:hAnsi="Arial Narrow" w:cstheme="minorHAnsi"/>
                <w:color w:val="000000"/>
                <w:sz w:val="20"/>
                <w:szCs w:val="20"/>
                <w:lang w:val="en-IN" w:eastAsia="en-IN"/>
              </w:rPr>
              <w:t>t</w:t>
            </w:r>
            <w:r>
              <w:rPr>
                <w:rFonts w:ascii="Arial Narrow" w:hAnsi="Arial Narrow" w:cstheme="minorHAnsi"/>
                <w:color w:val="000000"/>
                <w:sz w:val="20"/>
                <w:szCs w:val="20"/>
                <w:lang w:val="en-IN" w:eastAsia="en-IN"/>
              </w:rPr>
              <w:t xml:space="preserve"> squares mean (SE)</w:t>
            </w:r>
          </w:p>
        </w:tc>
        <w:tc>
          <w:tcPr>
            <w:tcW w:w="1750" w:type="pct"/>
            <w:gridSpan w:val="2"/>
          </w:tcPr>
          <w:p w14:paraId="4F92A132"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4.43 (0.18)</w:t>
            </w:r>
          </w:p>
        </w:tc>
        <w:tc>
          <w:tcPr>
            <w:tcW w:w="1897" w:type="pct"/>
            <w:gridSpan w:val="2"/>
          </w:tcPr>
          <w:p w14:paraId="473EE723"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5.42 (0.17)</w:t>
            </w:r>
          </w:p>
        </w:tc>
      </w:tr>
      <w:tr w:rsidR="00371422" w:rsidRPr="00FF6121" w14:paraId="7D294AB8" w14:textId="77777777" w:rsidTr="00F06D5B">
        <w:trPr>
          <w:trHeight w:val="20"/>
        </w:trPr>
        <w:tc>
          <w:tcPr>
            <w:tcW w:w="1353" w:type="pct"/>
            <w:vAlign w:val="center"/>
          </w:tcPr>
          <w:p w14:paraId="58BAA133" w14:textId="284F0A22" w:rsidR="00F06D5B" w:rsidRDefault="00703B3D">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Pr>
                <w:rFonts w:ascii="Arial Narrow" w:hAnsi="Arial Narrow" w:cstheme="minorHAnsi"/>
                <w:color w:val="000000"/>
                <w:sz w:val="20"/>
                <w:szCs w:val="20"/>
                <w:vertAlign w:val="superscript"/>
                <w:lang w:val="it-IT" w:eastAsia="en-IN"/>
              </w:rPr>
              <w:t>b</w:t>
            </w:r>
            <w:r w:rsidRPr="006C0943">
              <w:rPr>
                <w:rFonts w:ascii="Arial Narrow" w:hAnsi="Arial Narrow" w:cstheme="minorHAnsi"/>
                <w:color w:val="000000"/>
                <w:sz w:val="20"/>
                <w:szCs w:val="20"/>
                <w:vertAlign w:val="superscript"/>
                <w:lang w:val="it-IT" w:eastAsia="en-IN"/>
              </w:rPr>
              <w:t xml:space="preserve"> </w:t>
            </w:r>
            <w:r w:rsidR="00F06D5B" w:rsidRPr="00FF6121">
              <w:rPr>
                <w:rFonts w:ascii="Arial Narrow" w:hAnsi="Arial Narrow" w:cstheme="minorHAnsi"/>
                <w:color w:val="000000"/>
                <w:sz w:val="20"/>
                <w:szCs w:val="20"/>
                <w:lang w:val="it-IT" w:eastAsia="en-IN"/>
              </w:rPr>
              <w:t>(95% CI</w:t>
            </w:r>
            <w:r w:rsidR="00F06D5B">
              <w:rPr>
                <w:rFonts w:ascii="Arial Narrow" w:hAnsi="Arial Narrow" w:cstheme="minorHAnsi"/>
                <w:color w:val="000000"/>
                <w:sz w:val="20"/>
                <w:szCs w:val="20"/>
                <w:lang w:val="it-IT" w:eastAsia="en-IN"/>
              </w:rPr>
              <w:t>)</w:t>
            </w:r>
          </w:p>
          <w:p w14:paraId="0AC6FDB1" w14:textId="77777777" w:rsidR="00F06D5B" w:rsidRPr="00FF6121" w:rsidRDefault="00F06D5B">
            <w:pPr>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p value</w:t>
            </w:r>
          </w:p>
        </w:tc>
        <w:tc>
          <w:tcPr>
            <w:tcW w:w="3647" w:type="pct"/>
            <w:gridSpan w:val="4"/>
          </w:tcPr>
          <w:p w14:paraId="0EFF32D1" w14:textId="70A64F40" w:rsidR="00F06D5B" w:rsidRPr="00B1403A"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noBreakHyphen/>
            </w:r>
            <w:r w:rsidR="00F06D5B" w:rsidRPr="00B1403A">
              <w:rPr>
                <w:rFonts w:ascii="Arial Narrow" w:hAnsi="Arial Narrow" w:cstheme="minorHAnsi"/>
                <w:b/>
                <w:bCs/>
                <w:color w:val="000000"/>
                <w:sz w:val="20"/>
                <w:szCs w:val="20"/>
                <w:lang w:val="en-IN" w:eastAsia="en-IN"/>
              </w:rPr>
              <w:t>0.99 (</w:t>
            </w:r>
            <w:r>
              <w:rPr>
                <w:rFonts w:ascii="Arial Narrow" w:hAnsi="Arial Narrow" w:cstheme="minorHAnsi"/>
                <w:b/>
                <w:bCs/>
                <w:color w:val="000000"/>
                <w:sz w:val="20"/>
                <w:szCs w:val="20"/>
                <w:lang w:val="en-IN" w:eastAsia="en-IN"/>
              </w:rPr>
              <w:noBreakHyphen/>
            </w:r>
            <w:r w:rsidR="00F06D5B" w:rsidRPr="00B1403A">
              <w:rPr>
                <w:rFonts w:ascii="Arial Narrow" w:hAnsi="Arial Narrow" w:cstheme="minorHAnsi"/>
                <w:b/>
                <w:bCs/>
                <w:color w:val="000000"/>
                <w:sz w:val="20"/>
                <w:szCs w:val="20"/>
                <w:lang w:val="en-IN" w:eastAsia="en-IN"/>
              </w:rPr>
              <w:t xml:space="preserve">1.48, </w:t>
            </w:r>
            <w:r>
              <w:rPr>
                <w:rFonts w:ascii="Arial Narrow" w:hAnsi="Arial Narrow" w:cstheme="minorHAnsi"/>
                <w:b/>
                <w:bCs/>
                <w:color w:val="000000"/>
                <w:sz w:val="20"/>
                <w:szCs w:val="20"/>
                <w:lang w:val="en-IN" w:eastAsia="en-IN"/>
              </w:rPr>
              <w:noBreakHyphen/>
            </w:r>
            <w:r w:rsidR="00F06D5B" w:rsidRPr="00B1403A">
              <w:rPr>
                <w:rFonts w:ascii="Arial Narrow" w:hAnsi="Arial Narrow" w:cstheme="minorHAnsi"/>
                <w:b/>
                <w:bCs/>
                <w:color w:val="000000"/>
                <w:sz w:val="20"/>
                <w:szCs w:val="20"/>
                <w:lang w:val="en-IN" w:eastAsia="en-IN"/>
              </w:rPr>
              <w:t>0.50)</w:t>
            </w:r>
          </w:p>
          <w:p w14:paraId="6F4D2249" w14:textId="77777777" w:rsidR="00F06D5B" w:rsidRPr="00FF6121" w:rsidRDefault="00F06D5B">
            <w:pPr>
              <w:jc w:val="center"/>
              <w:rPr>
                <w:rFonts w:ascii="Arial Narrow" w:hAnsi="Arial Narrow" w:cstheme="minorHAnsi"/>
                <w:color w:val="000000"/>
                <w:sz w:val="20"/>
                <w:szCs w:val="20"/>
                <w:lang w:val="en-IN" w:eastAsia="en-IN"/>
              </w:rPr>
            </w:pPr>
            <w:r w:rsidRPr="00B1403A">
              <w:rPr>
                <w:rFonts w:ascii="Arial Narrow" w:hAnsi="Arial Narrow" w:cstheme="minorHAnsi"/>
                <w:b/>
                <w:bCs/>
                <w:color w:val="000000"/>
                <w:sz w:val="20"/>
                <w:szCs w:val="20"/>
                <w:lang w:val="en-IN" w:eastAsia="en-IN"/>
              </w:rPr>
              <w:t>&lt; 0.0001</w:t>
            </w:r>
          </w:p>
        </w:tc>
      </w:tr>
      <w:tr w:rsidR="00F06D5B" w:rsidRPr="00E10F03" w14:paraId="7474AD12" w14:textId="77777777" w:rsidTr="00F06D5B">
        <w:trPr>
          <w:trHeight w:val="20"/>
        </w:trPr>
        <w:tc>
          <w:tcPr>
            <w:tcW w:w="5000" w:type="pct"/>
            <w:gridSpan w:val="5"/>
            <w:vAlign w:val="center"/>
          </w:tcPr>
          <w:p w14:paraId="34246CF4" w14:textId="78A6F5AE" w:rsidR="00F06D5B" w:rsidRPr="00B95B55" w:rsidRDefault="00F06D5B">
            <w:pPr>
              <w:jc w:val="left"/>
              <w:rPr>
                <w:rFonts w:ascii="Arial Narrow" w:hAnsi="Arial Narrow" w:cstheme="minorHAnsi"/>
                <w:b/>
                <w:bCs/>
                <w:color w:val="000000"/>
                <w:sz w:val="20"/>
                <w:szCs w:val="20"/>
                <w:lang w:val="en-IN" w:eastAsia="en-IN"/>
              </w:rPr>
            </w:pPr>
            <w:r w:rsidRPr="00B95B55">
              <w:rPr>
                <w:rFonts w:ascii="Arial Narrow" w:hAnsi="Arial Narrow" w:cstheme="minorHAnsi"/>
                <w:b/>
                <w:bCs/>
                <w:color w:val="000000"/>
                <w:sz w:val="20"/>
                <w:szCs w:val="20"/>
                <w:lang w:val="en-IN" w:eastAsia="en-IN"/>
              </w:rPr>
              <w:t xml:space="preserve">Mean rate of </w:t>
            </w:r>
            <w:r>
              <w:rPr>
                <w:rFonts w:ascii="Arial Narrow" w:hAnsi="Arial Narrow" w:cstheme="minorHAnsi"/>
                <w:b/>
                <w:bCs/>
                <w:color w:val="000000"/>
                <w:sz w:val="20"/>
                <w:szCs w:val="20"/>
                <w:lang w:val="en-IN" w:eastAsia="en-IN"/>
              </w:rPr>
              <w:t xml:space="preserve">GA growth </w:t>
            </w:r>
            <w:r>
              <w:rPr>
                <w:rFonts w:ascii="Arial Narrow" w:hAnsi="Arial Narrow" w:cstheme="minorHAnsi"/>
                <w:b/>
                <w:bCs/>
                <w:sz w:val="20"/>
                <w:szCs w:val="20"/>
                <w:lang w:val="en-GB" w:eastAsia="en-GB"/>
              </w:rPr>
              <w:t>(mm</w:t>
            </w:r>
            <w:r w:rsidRPr="000D2509">
              <w:rPr>
                <w:rFonts w:ascii="Arial Narrow" w:hAnsi="Arial Narrow" w:cstheme="minorHAnsi"/>
                <w:b/>
                <w:bCs/>
                <w:sz w:val="20"/>
                <w:szCs w:val="20"/>
                <w:vertAlign w:val="superscript"/>
                <w:lang w:val="en-GB" w:eastAsia="en-GB"/>
              </w:rPr>
              <w:t>2</w:t>
            </w:r>
            <w:r>
              <w:rPr>
                <w:rFonts w:ascii="Arial Narrow" w:hAnsi="Arial Narrow" w:cstheme="minorHAnsi"/>
                <w:b/>
                <w:bCs/>
                <w:sz w:val="20"/>
                <w:szCs w:val="20"/>
                <w:lang w:val="en-GB" w:eastAsia="en-GB"/>
              </w:rPr>
              <w:t>/year)</w:t>
            </w:r>
            <w:r w:rsidRPr="00B95B55">
              <w:rPr>
                <w:rFonts w:ascii="Arial Narrow" w:hAnsi="Arial Narrow" w:cstheme="minorHAnsi"/>
                <w:b/>
                <w:bCs/>
                <w:sz w:val="20"/>
                <w:szCs w:val="20"/>
                <w:lang w:val="en-GB" w:eastAsia="en-GB"/>
              </w:rPr>
              <w:t xml:space="preserve"> </w:t>
            </w:r>
            <w:r w:rsidRPr="00B95B55">
              <w:rPr>
                <w:rFonts w:ascii="Arial Narrow" w:hAnsi="Arial Narrow" w:cstheme="minorHAnsi"/>
                <w:b/>
                <w:bCs/>
                <w:color w:val="000000"/>
                <w:sz w:val="20"/>
                <w:szCs w:val="20"/>
                <w:lang w:val="en-IN" w:eastAsia="en-IN"/>
              </w:rPr>
              <w:t>(</w:t>
            </w:r>
            <w:r>
              <w:rPr>
                <w:rFonts w:ascii="Arial Narrow" w:hAnsi="Arial Narrow" w:cstheme="minorHAnsi"/>
                <w:b/>
                <w:bCs/>
                <w:color w:val="000000"/>
                <w:sz w:val="20"/>
                <w:szCs w:val="20"/>
                <w:lang w:val="en-IN" w:eastAsia="en-IN"/>
              </w:rPr>
              <w:t>slope</w:t>
            </w:r>
            <w:r w:rsidRPr="00B95B55">
              <w:rPr>
                <w:rFonts w:ascii="Arial Narrow" w:hAnsi="Arial Narrow" w:cstheme="minorHAnsi"/>
                <w:b/>
                <w:bCs/>
                <w:color w:val="000000"/>
                <w:sz w:val="20"/>
                <w:szCs w:val="20"/>
                <w:lang w:val="en-IN" w:eastAsia="en-IN"/>
              </w:rPr>
              <w:t xml:space="preserve">) from baseline to Month </w:t>
            </w:r>
            <w:r>
              <w:rPr>
                <w:rFonts w:ascii="Arial Narrow" w:hAnsi="Arial Narrow" w:cstheme="minorHAnsi"/>
                <w:b/>
                <w:bCs/>
                <w:color w:val="000000"/>
                <w:sz w:val="20"/>
                <w:szCs w:val="20"/>
                <w:lang w:val="en-IN" w:eastAsia="en-IN"/>
              </w:rPr>
              <w:t>24 (re</w:t>
            </w:r>
            <w:r w:rsidR="009B60A6">
              <w:rPr>
                <w:rFonts w:ascii="Arial Narrow" w:hAnsi="Arial Narrow" w:cstheme="minorHAnsi"/>
                <w:b/>
                <w:bCs/>
                <w:color w:val="000000"/>
                <w:sz w:val="20"/>
                <w:szCs w:val="20"/>
                <w:lang w:val="en-IN" w:eastAsia="en-IN"/>
              </w:rPr>
              <w:noBreakHyphen/>
            </w:r>
            <w:r>
              <w:rPr>
                <w:rFonts w:ascii="Arial Narrow" w:hAnsi="Arial Narrow" w:cstheme="minorHAnsi"/>
                <w:b/>
                <w:bCs/>
                <w:color w:val="000000"/>
                <w:sz w:val="20"/>
                <w:szCs w:val="20"/>
                <w:lang w:val="en-IN" w:eastAsia="en-IN"/>
              </w:rPr>
              <w:t>randomised set)</w:t>
            </w:r>
          </w:p>
        </w:tc>
      </w:tr>
      <w:tr w:rsidR="007E6473" w:rsidRPr="00E10F03" w14:paraId="4AEAB86C" w14:textId="77777777" w:rsidTr="00F06D5B">
        <w:trPr>
          <w:trHeight w:val="20"/>
        </w:trPr>
        <w:tc>
          <w:tcPr>
            <w:tcW w:w="1353" w:type="pct"/>
            <w:vAlign w:val="center"/>
          </w:tcPr>
          <w:p w14:paraId="3B2082FA" w14:textId="77777777" w:rsidR="00F06D5B" w:rsidRPr="00B95B55" w:rsidRDefault="00F06D5B">
            <w:pPr>
              <w:jc w:val="left"/>
              <w:rPr>
                <w:rFonts w:ascii="Arial Narrow" w:hAnsi="Arial Narrow" w:cstheme="minorHAnsi"/>
                <w:b/>
                <w:bCs/>
                <w:color w:val="000000"/>
                <w:sz w:val="20"/>
                <w:szCs w:val="20"/>
                <w:lang w:val="en-IN" w:eastAsia="en-IN"/>
              </w:rPr>
            </w:pPr>
          </w:p>
        </w:tc>
        <w:tc>
          <w:tcPr>
            <w:tcW w:w="1032" w:type="pct"/>
            <w:vAlign w:val="center"/>
          </w:tcPr>
          <w:p w14:paraId="694D78F9" w14:textId="77777777" w:rsidR="00F06D5B"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ACP 2 mg EM</w:t>
            </w:r>
          </w:p>
          <w:p w14:paraId="5C26E596" w14:textId="77777777" w:rsidR="00F06D5B" w:rsidRPr="00B95B55"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(N = 96)</w:t>
            </w:r>
          </w:p>
        </w:tc>
        <w:tc>
          <w:tcPr>
            <w:tcW w:w="718" w:type="pct"/>
            <w:vAlign w:val="center"/>
          </w:tcPr>
          <w:p w14:paraId="5B42925E" w14:textId="77777777" w:rsidR="00F06D5B"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Sham</w:t>
            </w:r>
          </w:p>
          <w:p w14:paraId="23F6090D" w14:textId="77777777" w:rsidR="00F06D5B" w:rsidRPr="00B95B55"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(N = 203)</w:t>
            </w:r>
          </w:p>
        </w:tc>
        <w:tc>
          <w:tcPr>
            <w:tcW w:w="977" w:type="pct"/>
            <w:vAlign w:val="center"/>
          </w:tcPr>
          <w:p w14:paraId="30C5F697" w14:textId="77777777" w:rsidR="00F06D5B"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ACP 2 mg EOM</w:t>
            </w:r>
          </w:p>
          <w:p w14:paraId="3591C18B" w14:textId="77777777" w:rsidR="00F06D5B"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(N = 93)</w:t>
            </w:r>
          </w:p>
        </w:tc>
        <w:tc>
          <w:tcPr>
            <w:tcW w:w="920" w:type="pct"/>
            <w:vAlign w:val="center"/>
          </w:tcPr>
          <w:p w14:paraId="33BABE4C" w14:textId="77777777" w:rsidR="00F06D5B"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Sham</w:t>
            </w:r>
          </w:p>
          <w:p w14:paraId="1E234A6B" w14:textId="77777777" w:rsidR="00F06D5B" w:rsidRPr="00B95B55" w:rsidRDefault="00F06D5B">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(N = 203)</w:t>
            </w:r>
          </w:p>
        </w:tc>
      </w:tr>
      <w:tr w:rsidR="007E6473" w:rsidRPr="00E10F03" w14:paraId="1DD704B1" w14:textId="77777777" w:rsidTr="00F06D5B">
        <w:trPr>
          <w:trHeight w:val="20"/>
        </w:trPr>
        <w:tc>
          <w:tcPr>
            <w:tcW w:w="1353" w:type="pct"/>
          </w:tcPr>
          <w:p w14:paraId="29B1E100" w14:textId="77777777" w:rsidR="00F06D5B" w:rsidRPr="00FF6121" w:rsidRDefault="00F06D5B">
            <w:pP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Growth rate (SE)</w:t>
            </w:r>
          </w:p>
        </w:tc>
        <w:tc>
          <w:tcPr>
            <w:tcW w:w="1032" w:type="pct"/>
          </w:tcPr>
          <w:p w14:paraId="281187B5"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2.23 (0.12)</w:t>
            </w:r>
          </w:p>
        </w:tc>
        <w:tc>
          <w:tcPr>
            <w:tcW w:w="718" w:type="pct"/>
          </w:tcPr>
          <w:p w14:paraId="438FE1E7"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2.59 (0.09)</w:t>
            </w:r>
          </w:p>
        </w:tc>
        <w:tc>
          <w:tcPr>
            <w:tcW w:w="977" w:type="pct"/>
          </w:tcPr>
          <w:p w14:paraId="01DA28C6"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2.10 (0.13)</w:t>
            </w:r>
          </w:p>
        </w:tc>
        <w:tc>
          <w:tcPr>
            <w:tcW w:w="920" w:type="pct"/>
          </w:tcPr>
          <w:p w14:paraId="295ADCD8"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2.59 (0.09)</w:t>
            </w:r>
          </w:p>
        </w:tc>
      </w:tr>
      <w:tr w:rsidR="007E6473" w:rsidRPr="00E10F03" w14:paraId="111788D2" w14:textId="77777777" w:rsidTr="00F06D5B">
        <w:trPr>
          <w:trHeight w:val="20"/>
        </w:trPr>
        <w:tc>
          <w:tcPr>
            <w:tcW w:w="1353" w:type="pct"/>
          </w:tcPr>
          <w:p w14:paraId="5CDBC9F3" w14:textId="08FADEE0" w:rsidR="00F06D5B" w:rsidRDefault="00703B3D">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Difference</w:t>
            </w:r>
            <w:r>
              <w:rPr>
                <w:rFonts w:ascii="Arial Narrow" w:hAnsi="Arial Narrow" w:cstheme="minorHAnsi"/>
                <w:color w:val="000000"/>
                <w:sz w:val="20"/>
                <w:szCs w:val="20"/>
                <w:vertAlign w:val="superscript"/>
                <w:lang w:val="it-IT" w:eastAsia="en-IN"/>
              </w:rPr>
              <w:t>d</w:t>
            </w:r>
            <w:r w:rsidRPr="00FF6121">
              <w:rPr>
                <w:rFonts w:ascii="Arial Narrow" w:hAnsi="Arial Narrow" w:cstheme="minorHAnsi"/>
                <w:color w:val="000000"/>
                <w:sz w:val="20"/>
                <w:szCs w:val="20"/>
                <w:lang w:val="en-IN" w:eastAsia="en-IN"/>
              </w:rPr>
              <w:t xml:space="preserve"> </w:t>
            </w:r>
            <w:r w:rsidR="00F06D5B" w:rsidRPr="00FF6121">
              <w:rPr>
                <w:rFonts w:ascii="Arial Narrow" w:hAnsi="Arial Narrow" w:cstheme="minorHAnsi"/>
                <w:color w:val="000000"/>
                <w:sz w:val="20"/>
                <w:szCs w:val="20"/>
                <w:lang w:val="en-IN" w:eastAsia="en-IN"/>
              </w:rPr>
              <w:t>(95% CI)</w:t>
            </w:r>
          </w:p>
          <w:p w14:paraId="76DF4C56" w14:textId="77777777" w:rsidR="00F06D5B" w:rsidRPr="00FF6121" w:rsidRDefault="00F06D5B">
            <w:pP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p value</w:t>
            </w:r>
          </w:p>
        </w:tc>
        <w:tc>
          <w:tcPr>
            <w:tcW w:w="1750" w:type="pct"/>
            <w:gridSpan w:val="2"/>
          </w:tcPr>
          <w:p w14:paraId="6F807002" w14:textId="54188796" w:rsidR="00F06D5B" w:rsidRPr="004E3548" w:rsidRDefault="009B60A6">
            <w:pPr>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GB" w:eastAsia="en-IN"/>
              </w:rPr>
              <w:noBreakHyphen/>
            </w:r>
            <w:r w:rsidR="00F06D5B" w:rsidRPr="004E3548">
              <w:rPr>
                <w:rFonts w:ascii="Arial Narrow" w:hAnsi="Arial Narrow" w:cstheme="minorHAnsi"/>
                <w:b/>
                <w:bCs/>
                <w:color w:val="000000"/>
                <w:sz w:val="20"/>
                <w:szCs w:val="20"/>
                <w:lang w:val="en-GB" w:eastAsia="en-IN"/>
              </w:rPr>
              <w:t>0.36 (</w:t>
            </w:r>
            <w:r>
              <w:rPr>
                <w:rFonts w:ascii="Arial Narrow" w:hAnsi="Arial Narrow" w:cstheme="minorHAnsi"/>
                <w:b/>
                <w:bCs/>
                <w:color w:val="000000"/>
                <w:sz w:val="20"/>
                <w:szCs w:val="20"/>
                <w:lang w:val="en-GB" w:eastAsia="en-IN"/>
              </w:rPr>
              <w:noBreakHyphen/>
            </w:r>
            <w:r w:rsidR="004F091C" w:rsidRPr="004E3548">
              <w:rPr>
                <w:rFonts w:ascii="Arial Narrow" w:hAnsi="Arial Narrow" w:cstheme="minorHAnsi"/>
                <w:b/>
                <w:bCs/>
                <w:color w:val="000000"/>
                <w:sz w:val="20"/>
                <w:szCs w:val="20"/>
                <w:lang w:val="en-GB" w:eastAsia="en-IN"/>
              </w:rPr>
              <w:t>0.6</w:t>
            </w:r>
            <w:r w:rsidR="004F091C">
              <w:rPr>
                <w:rFonts w:ascii="Arial Narrow" w:hAnsi="Arial Narrow" w:cstheme="minorHAnsi"/>
                <w:b/>
                <w:bCs/>
                <w:color w:val="000000"/>
                <w:sz w:val="20"/>
                <w:szCs w:val="20"/>
                <w:lang w:val="en-GB" w:eastAsia="en-IN"/>
              </w:rPr>
              <w:t xml:space="preserve">6, </w:t>
            </w:r>
            <w:r>
              <w:rPr>
                <w:rFonts w:ascii="Arial Narrow" w:hAnsi="Arial Narrow" w:cstheme="minorHAnsi"/>
                <w:b/>
                <w:bCs/>
                <w:color w:val="000000"/>
                <w:sz w:val="20"/>
                <w:szCs w:val="20"/>
                <w:lang w:val="en-GB" w:eastAsia="en-IN"/>
              </w:rPr>
              <w:noBreakHyphen/>
            </w:r>
            <w:r w:rsidR="00F06D5B" w:rsidRPr="004E3548">
              <w:rPr>
                <w:rFonts w:ascii="Arial Narrow" w:hAnsi="Arial Narrow" w:cstheme="minorHAnsi"/>
                <w:b/>
                <w:bCs/>
                <w:color w:val="000000"/>
                <w:sz w:val="20"/>
                <w:szCs w:val="20"/>
                <w:lang w:val="en-GB" w:eastAsia="en-IN"/>
              </w:rPr>
              <w:t>0.0</w:t>
            </w:r>
            <w:r w:rsidR="00F06D5B">
              <w:rPr>
                <w:rFonts w:ascii="Arial Narrow" w:hAnsi="Arial Narrow" w:cstheme="minorHAnsi"/>
                <w:b/>
                <w:bCs/>
                <w:color w:val="000000"/>
                <w:sz w:val="20"/>
                <w:szCs w:val="20"/>
                <w:lang w:val="en-GB" w:eastAsia="en-IN"/>
              </w:rPr>
              <w:t>7</w:t>
            </w:r>
            <w:r w:rsidR="00F06D5B" w:rsidRPr="004E3548">
              <w:rPr>
                <w:rFonts w:ascii="Arial Narrow" w:hAnsi="Arial Narrow" w:cstheme="minorHAnsi"/>
                <w:b/>
                <w:bCs/>
                <w:color w:val="000000"/>
                <w:sz w:val="20"/>
                <w:szCs w:val="20"/>
                <w:lang w:val="en-GB" w:eastAsia="en-IN"/>
              </w:rPr>
              <w:t>)</w:t>
            </w:r>
            <w:r w:rsidR="00F06D5B" w:rsidRPr="004E3548">
              <w:rPr>
                <w:rFonts w:ascii="Arial Narrow" w:hAnsi="Arial Narrow" w:cstheme="minorHAnsi"/>
                <w:b/>
                <w:bCs/>
                <w:color w:val="000000"/>
                <w:sz w:val="20"/>
                <w:szCs w:val="20"/>
                <w:lang w:val="en-GB" w:eastAsia="en-IN"/>
              </w:rPr>
              <w:br/>
              <w:t>0.0</w:t>
            </w:r>
            <w:r w:rsidR="00EA026F">
              <w:rPr>
                <w:rFonts w:ascii="Arial Narrow" w:hAnsi="Arial Narrow" w:cstheme="minorHAnsi"/>
                <w:b/>
                <w:bCs/>
                <w:color w:val="000000"/>
                <w:sz w:val="20"/>
                <w:szCs w:val="20"/>
                <w:lang w:val="en-GB" w:eastAsia="en-IN"/>
              </w:rPr>
              <w:t>2</w:t>
            </w:r>
          </w:p>
        </w:tc>
        <w:tc>
          <w:tcPr>
            <w:tcW w:w="1897" w:type="pct"/>
            <w:gridSpan w:val="2"/>
          </w:tcPr>
          <w:p w14:paraId="2D55E4CE" w14:textId="574885BF" w:rsidR="00F06D5B" w:rsidRDefault="009B60A6">
            <w:pPr>
              <w:jc w:val="center"/>
              <w:rPr>
                <w:rFonts w:ascii="Arial Narrow" w:hAnsi="Arial Narrow" w:cstheme="minorHAnsi"/>
                <w:color w:val="000000"/>
                <w:sz w:val="20"/>
                <w:szCs w:val="20"/>
                <w:lang w:val="en-GB" w:eastAsia="en-IN"/>
              </w:rPr>
            </w:pPr>
            <w:r>
              <w:rPr>
                <w:rFonts w:ascii="Arial Narrow" w:hAnsi="Arial Narrow" w:cstheme="minorHAnsi"/>
                <w:color w:val="000000"/>
                <w:sz w:val="20"/>
                <w:szCs w:val="20"/>
                <w:lang w:val="en-GB" w:eastAsia="en-IN"/>
              </w:rPr>
              <w:noBreakHyphen/>
            </w:r>
            <w:r w:rsidR="00F06D5B" w:rsidRPr="004E3548">
              <w:rPr>
                <w:rFonts w:ascii="Arial Narrow" w:hAnsi="Arial Narrow" w:cstheme="minorHAnsi"/>
                <w:color w:val="000000"/>
                <w:sz w:val="20"/>
                <w:szCs w:val="20"/>
                <w:lang w:val="en-GB" w:eastAsia="en-IN"/>
              </w:rPr>
              <w:t>0.4</w:t>
            </w:r>
            <w:r w:rsidR="00F06D5B">
              <w:rPr>
                <w:rFonts w:ascii="Arial Narrow" w:hAnsi="Arial Narrow" w:cstheme="minorHAnsi"/>
                <w:color w:val="000000"/>
                <w:sz w:val="20"/>
                <w:szCs w:val="20"/>
                <w:lang w:val="en-GB" w:eastAsia="en-IN"/>
              </w:rPr>
              <w:t xml:space="preserve">9 </w:t>
            </w:r>
            <w:r w:rsidR="00F06D5B" w:rsidRPr="004E3548">
              <w:rPr>
                <w:rFonts w:ascii="Arial Narrow" w:hAnsi="Arial Narrow" w:cstheme="minorHAnsi"/>
                <w:color w:val="000000"/>
                <w:sz w:val="20"/>
                <w:szCs w:val="20"/>
                <w:lang w:val="en-GB" w:eastAsia="en-IN"/>
              </w:rPr>
              <w:t>(</w:t>
            </w:r>
            <w:r>
              <w:rPr>
                <w:rFonts w:ascii="Arial Narrow" w:hAnsi="Arial Narrow" w:cstheme="minorHAnsi"/>
                <w:color w:val="000000"/>
                <w:sz w:val="20"/>
                <w:szCs w:val="20"/>
                <w:lang w:val="en-GB" w:eastAsia="en-IN"/>
              </w:rPr>
              <w:noBreakHyphen/>
            </w:r>
            <w:r w:rsidR="004F091C" w:rsidRPr="004E3548">
              <w:rPr>
                <w:rFonts w:ascii="Arial Narrow" w:hAnsi="Arial Narrow" w:cstheme="minorHAnsi"/>
                <w:color w:val="000000"/>
                <w:sz w:val="20"/>
                <w:szCs w:val="20"/>
                <w:lang w:val="en-GB" w:eastAsia="en-IN"/>
              </w:rPr>
              <w:t>0.7</w:t>
            </w:r>
            <w:r w:rsidR="004F091C">
              <w:rPr>
                <w:rFonts w:ascii="Arial Narrow" w:hAnsi="Arial Narrow" w:cstheme="minorHAnsi"/>
                <w:color w:val="000000"/>
                <w:sz w:val="20"/>
                <w:szCs w:val="20"/>
                <w:lang w:val="en-GB" w:eastAsia="en-IN"/>
              </w:rPr>
              <w:t xml:space="preserve">9, </w:t>
            </w:r>
            <w:r>
              <w:rPr>
                <w:rFonts w:ascii="Arial Narrow" w:hAnsi="Arial Narrow" w:cstheme="minorHAnsi"/>
                <w:color w:val="000000"/>
                <w:sz w:val="20"/>
                <w:szCs w:val="20"/>
                <w:lang w:val="en-GB" w:eastAsia="en-IN"/>
              </w:rPr>
              <w:noBreakHyphen/>
            </w:r>
            <w:r w:rsidR="00F06D5B" w:rsidRPr="004E3548">
              <w:rPr>
                <w:rFonts w:ascii="Arial Narrow" w:hAnsi="Arial Narrow" w:cstheme="minorHAnsi"/>
                <w:color w:val="000000"/>
                <w:sz w:val="20"/>
                <w:szCs w:val="20"/>
                <w:lang w:val="en-GB" w:eastAsia="en-IN"/>
              </w:rPr>
              <w:t>0.1</w:t>
            </w:r>
            <w:r w:rsidR="00F06D5B">
              <w:rPr>
                <w:rFonts w:ascii="Arial Narrow" w:hAnsi="Arial Narrow" w:cstheme="minorHAnsi"/>
                <w:color w:val="000000"/>
                <w:sz w:val="20"/>
                <w:szCs w:val="20"/>
                <w:lang w:val="en-GB" w:eastAsia="en-IN"/>
              </w:rPr>
              <w:t>9)</w:t>
            </w:r>
          </w:p>
          <w:p w14:paraId="533771DA" w14:textId="40B14BA4" w:rsidR="00F06D5B" w:rsidRPr="00FF6121" w:rsidRDefault="00F06D5B">
            <w:pPr>
              <w:jc w:val="center"/>
              <w:rPr>
                <w:rFonts w:ascii="Arial Narrow" w:hAnsi="Arial Narrow" w:cstheme="minorHAnsi"/>
                <w:color w:val="000000"/>
                <w:sz w:val="20"/>
                <w:szCs w:val="20"/>
                <w:lang w:val="en-IN" w:eastAsia="en-IN"/>
              </w:rPr>
            </w:pPr>
            <w:r w:rsidRPr="004E3548">
              <w:rPr>
                <w:rFonts w:ascii="Arial Narrow" w:hAnsi="Arial Narrow" w:cstheme="minorHAnsi"/>
                <w:color w:val="000000"/>
                <w:sz w:val="20"/>
                <w:szCs w:val="20"/>
                <w:lang w:val="en-GB" w:eastAsia="en-IN"/>
              </w:rPr>
              <w:t>0.</w:t>
            </w:r>
            <w:r w:rsidR="00703B3D" w:rsidRPr="004E3548">
              <w:rPr>
                <w:rFonts w:ascii="Arial Narrow" w:hAnsi="Arial Narrow" w:cstheme="minorHAnsi"/>
                <w:color w:val="000000"/>
                <w:sz w:val="20"/>
                <w:szCs w:val="20"/>
                <w:lang w:val="en-GB" w:eastAsia="en-IN"/>
              </w:rPr>
              <w:t>00</w:t>
            </w:r>
            <w:r w:rsidR="00703B3D">
              <w:rPr>
                <w:rFonts w:ascii="Arial Narrow" w:hAnsi="Arial Narrow" w:cstheme="minorHAnsi"/>
                <w:color w:val="000000"/>
                <w:sz w:val="20"/>
                <w:szCs w:val="20"/>
                <w:lang w:val="en-GB" w:eastAsia="en-IN"/>
              </w:rPr>
              <w:t>2</w:t>
            </w:r>
            <w:r w:rsidR="00703B3D">
              <w:rPr>
                <w:rFonts w:ascii="Arial Narrow" w:hAnsi="Arial Narrow" w:cstheme="minorHAnsi"/>
                <w:color w:val="000000"/>
                <w:sz w:val="20"/>
                <w:szCs w:val="20"/>
                <w:vertAlign w:val="superscript"/>
                <w:lang w:val="en-GB" w:eastAsia="en-IN"/>
              </w:rPr>
              <w:t>e</w:t>
            </w:r>
          </w:p>
        </w:tc>
      </w:tr>
      <w:tr w:rsidR="007E6473" w:rsidRPr="00E10F03" w14:paraId="7EACACA8" w14:textId="77777777" w:rsidTr="00F06D5B">
        <w:trPr>
          <w:trHeight w:val="20"/>
        </w:trPr>
        <w:tc>
          <w:tcPr>
            <w:tcW w:w="1353" w:type="pct"/>
          </w:tcPr>
          <w:p w14:paraId="4EE8A4D9" w14:textId="77777777" w:rsidR="00F06D5B" w:rsidRPr="00FF6121" w:rsidRDefault="00F06D5B">
            <w:pPr>
              <w:rPr>
                <w:rFonts w:ascii="Arial Narrow" w:hAnsi="Arial Narrow" w:cstheme="minorHAnsi"/>
                <w:color w:val="000000"/>
                <w:sz w:val="20"/>
                <w:szCs w:val="20"/>
                <w:lang w:val="en-IN" w:eastAsia="en-IN"/>
              </w:rPr>
            </w:pPr>
            <w:r w:rsidRPr="00FF6121">
              <w:rPr>
                <w:rFonts w:ascii="Arial Narrow" w:hAnsi="Arial Narrow" w:cstheme="minorHAnsi"/>
                <w:color w:val="000000"/>
                <w:sz w:val="20"/>
                <w:szCs w:val="20"/>
                <w:lang w:val="en-IN" w:eastAsia="en-IN"/>
              </w:rPr>
              <w:t>% Difference</w:t>
            </w:r>
          </w:p>
        </w:tc>
        <w:tc>
          <w:tcPr>
            <w:tcW w:w="1750" w:type="pct"/>
            <w:gridSpan w:val="2"/>
          </w:tcPr>
          <w:p w14:paraId="4E08FA63" w14:textId="77777777" w:rsidR="00F06D5B" w:rsidRPr="006C0943" w:rsidRDefault="00F06D5B">
            <w:pPr>
              <w:jc w:val="center"/>
              <w:rPr>
                <w:rFonts w:ascii="Arial Narrow" w:hAnsi="Arial Narrow" w:cstheme="minorHAnsi"/>
                <w:b/>
                <w:bCs/>
                <w:color w:val="000000"/>
                <w:sz w:val="20"/>
                <w:szCs w:val="20"/>
                <w:lang w:val="en-IN" w:eastAsia="en-IN"/>
              </w:rPr>
            </w:pPr>
            <w:r w:rsidRPr="006C0943">
              <w:rPr>
                <w:rFonts w:ascii="Arial Narrow" w:hAnsi="Arial Narrow" w:cstheme="minorHAnsi"/>
                <w:b/>
                <w:bCs/>
                <w:color w:val="000000"/>
                <w:sz w:val="20"/>
                <w:szCs w:val="20"/>
                <w:lang w:val="en-IN" w:eastAsia="en-IN"/>
              </w:rPr>
              <w:t>13.97</w:t>
            </w:r>
          </w:p>
        </w:tc>
        <w:tc>
          <w:tcPr>
            <w:tcW w:w="1897" w:type="pct"/>
            <w:gridSpan w:val="2"/>
          </w:tcPr>
          <w:p w14:paraId="497A94D6" w14:textId="77777777" w:rsidR="00F06D5B" w:rsidRPr="00FF6121" w:rsidRDefault="00F06D5B">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18.85</w:t>
            </w:r>
          </w:p>
        </w:tc>
      </w:tr>
    </w:tbl>
    <w:p w14:paraId="3CF96D5E" w14:textId="12AF3796" w:rsidR="00CF3120" w:rsidRDefault="00432FF5">
      <w:pPr>
        <w:pStyle w:val="TableFigureFooter"/>
      </w:pPr>
      <w:r>
        <w:t>Source: 2.5</w:t>
      </w:r>
      <w:r w:rsidR="009B60A6">
        <w:noBreakHyphen/>
      </w:r>
      <w:r>
        <w:t>6, Table pp119</w:t>
      </w:r>
      <w:r w:rsidR="009B60A6">
        <w:noBreakHyphen/>
      </w:r>
      <w:r>
        <w:t xml:space="preserve">120 of the submission; Table 12, p65 of the GATHER2 CSR; Table 14.2.1.3a, </w:t>
      </w:r>
      <w:r w:rsidR="00994985">
        <w:t xml:space="preserve">Table 14.2.1.3b, </w:t>
      </w:r>
      <w:r>
        <w:t>Table 14.2.1.7a of the Table 14.2.1.7b, Table 14.2.2.1b of the GATHER2 CSR; Khanani AM et al (2023).</w:t>
      </w:r>
    </w:p>
    <w:p w14:paraId="52CEDF96" w14:textId="3CA5F434" w:rsidR="0031413E" w:rsidRDefault="0031413E" w:rsidP="00F83A04">
      <w:pPr>
        <w:pStyle w:val="TableFigureFooter"/>
        <w:spacing w:after="0"/>
      </w:pPr>
      <w:r>
        <w:t>ACP = avacincaptad pegol; CI = Confidence interval; EM = Every month; EOM = Every other month; GA = geographic atrophy; ITT = Intent</w:t>
      </w:r>
      <w:r w:rsidR="009B60A6">
        <w:noBreakHyphen/>
      </w:r>
      <w:r>
        <w:t>to</w:t>
      </w:r>
      <w:r w:rsidR="009B60A6">
        <w:noBreakHyphen/>
      </w:r>
      <w:r>
        <w:t>treat; mg = Milligram; mm = Millimetre; SE = Standard error.</w:t>
      </w:r>
    </w:p>
    <w:p w14:paraId="1BDAB398" w14:textId="33372B2C" w:rsidR="00703B3D" w:rsidRPr="00703B3D" w:rsidRDefault="00703B3D" w:rsidP="00E81B71">
      <w:pPr>
        <w:pStyle w:val="TableFigureFooter"/>
        <w:spacing w:after="0"/>
        <w:ind w:left="567" w:hanging="567"/>
        <w:rPr>
          <w:color w:val="000000" w:themeColor="text1"/>
          <w:szCs w:val="18"/>
          <w:lang w:val="en-GB"/>
        </w:rPr>
      </w:pPr>
      <w:r w:rsidRPr="00703B3D">
        <w:rPr>
          <w:vertAlign w:val="superscript"/>
        </w:rPr>
        <w:t>a</w:t>
      </w:r>
      <w:r>
        <w:t xml:space="preserve"> Result from the GATHER2 primary efficacy analysis at Month 12 (Khanani AM et al. </w:t>
      </w:r>
      <w:r>
        <w:rPr>
          <w:i/>
          <w:iCs/>
        </w:rPr>
        <w:t>Lancet</w:t>
      </w:r>
      <w:r>
        <w:t xml:space="preserve"> </w:t>
      </w:r>
      <w:r w:rsidRPr="00703B3D">
        <w:t>2023; 402: 1449</w:t>
      </w:r>
      <w:r w:rsidR="009B60A6">
        <w:noBreakHyphen/>
      </w:r>
      <w:r w:rsidRPr="00703B3D">
        <w:t>1458</w:t>
      </w:r>
      <w:r>
        <w:t>)</w:t>
      </w:r>
    </w:p>
    <w:p w14:paraId="6564518F" w14:textId="2B2E4E45" w:rsidR="0031413E" w:rsidRDefault="00703B3D" w:rsidP="00A23547">
      <w:pPr>
        <w:rPr>
          <w:rFonts w:ascii="Arial Narrow" w:hAnsi="Arial Narrow"/>
          <w:color w:val="000000" w:themeColor="text1"/>
          <w:sz w:val="18"/>
          <w:szCs w:val="18"/>
          <w:lang w:val="en-GB"/>
        </w:rPr>
      </w:pPr>
      <w:r>
        <w:rPr>
          <w:rFonts w:ascii="Arial Narrow" w:hAnsi="Arial Narrow"/>
          <w:color w:val="000000" w:themeColor="text1"/>
          <w:sz w:val="18"/>
          <w:szCs w:val="18"/>
          <w:vertAlign w:val="superscript"/>
          <w:lang w:val="en-GB"/>
        </w:rPr>
        <w:t>b</w:t>
      </w:r>
      <w:r>
        <w:rPr>
          <w:rFonts w:ascii="Arial Narrow" w:hAnsi="Arial Narrow"/>
          <w:color w:val="000000" w:themeColor="text1"/>
          <w:sz w:val="18"/>
          <w:szCs w:val="18"/>
          <w:lang w:val="en-GB"/>
        </w:rPr>
        <w:t xml:space="preserve"> </w:t>
      </w:r>
      <w:r w:rsidR="0031413E" w:rsidRPr="002A22E0">
        <w:rPr>
          <w:rFonts w:ascii="Arial Narrow" w:hAnsi="Arial Narrow"/>
          <w:color w:val="000000" w:themeColor="text1"/>
          <w:sz w:val="18"/>
          <w:szCs w:val="18"/>
          <w:lang w:val="en-GB"/>
        </w:rPr>
        <w:t>Difference in</w:t>
      </w:r>
      <w:r w:rsidR="0031413E">
        <w:rPr>
          <w:rFonts w:ascii="Arial Narrow" w:hAnsi="Arial Narrow"/>
          <w:color w:val="000000" w:themeColor="text1"/>
          <w:sz w:val="18"/>
          <w:szCs w:val="18"/>
          <w:lang w:val="en-GB"/>
        </w:rPr>
        <w:t xml:space="preserve"> least squares mean</w:t>
      </w:r>
      <w:r w:rsidR="0031413E" w:rsidRPr="002A22E0">
        <w:rPr>
          <w:rFonts w:ascii="Arial Narrow" w:hAnsi="Arial Narrow"/>
          <w:color w:val="000000" w:themeColor="text1"/>
          <w:sz w:val="18"/>
          <w:szCs w:val="18"/>
          <w:lang w:val="en-GB"/>
        </w:rPr>
        <w:t xml:space="preserve"> growth rate between groups calculated as (sham) minus (</w:t>
      </w:r>
      <w:r w:rsidR="0031413E">
        <w:rPr>
          <w:rFonts w:ascii="Arial Narrow" w:hAnsi="Arial Narrow"/>
          <w:color w:val="000000" w:themeColor="text1"/>
          <w:sz w:val="18"/>
          <w:szCs w:val="18"/>
          <w:lang w:val="en-GB"/>
        </w:rPr>
        <w:t>ACP</w:t>
      </w:r>
      <w:r w:rsidR="0031413E" w:rsidRPr="002A22E0">
        <w:rPr>
          <w:rFonts w:ascii="Arial Narrow" w:hAnsi="Arial Narrow"/>
          <w:color w:val="000000" w:themeColor="text1"/>
          <w:sz w:val="18"/>
          <w:szCs w:val="18"/>
          <w:lang w:val="en-GB"/>
        </w:rPr>
        <w:t xml:space="preserve"> 2 mg)</w:t>
      </w:r>
      <w:r w:rsidR="00A23547">
        <w:rPr>
          <w:rFonts w:ascii="Arial Narrow" w:hAnsi="Arial Narrow"/>
          <w:color w:val="000000" w:themeColor="text1"/>
          <w:sz w:val="18"/>
          <w:szCs w:val="18"/>
          <w:lang w:val="en-GB"/>
        </w:rPr>
        <w:t>.</w:t>
      </w:r>
    </w:p>
    <w:p w14:paraId="5499D382" w14:textId="2799FE69" w:rsidR="0031413E" w:rsidRDefault="00703B3D" w:rsidP="00A23547">
      <w:pPr>
        <w:rPr>
          <w:rFonts w:ascii="Arial Narrow" w:hAnsi="Arial Narrow"/>
          <w:color w:val="000000" w:themeColor="text1"/>
          <w:sz w:val="18"/>
          <w:szCs w:val="18"/>
        </w:rPr>
      </w:pPr>
      <w:r w:rsidRPr="47573929">
        <w:rPr>
          <w:rFonts w:ascii="Arial Narrow" w:hAnsi="Arial Narrow"/>
          <w:color w:val="000000" w:themeColor="text1"/>
          <w:sz w:val="18"/>
          <w:szCs w:val="18"/>
          <w:vertAlign w:val="superscript"/>
        </w:rPr>
        <w:t>c</w:t>
      </w:r>
      <w:r w:rsidRPr="47573929">
        <w:rPr>
          <w:rFonts w:ascii="Arial Narrow" w:hAnsi="Arial Narrow"/>
          <w:color w:val="000000" w:themeColor="text1"/>
          <w:sz w:val="18"/>
          <w:szCs w:val="18"/>
        </w:rPr>
        <w:t xml:space="preserve"> </w:t>
      </w:r>
      <w:r w:rsidR="0031413E" w:rsidRPr="47573929">
        <w:rPr>
          <w:rFonts w:ascii="Arial Narrow" w:hAnsi="Arial Narrow"/>
          <w:color w:val="000000" w:themeColor="text1"/>
          <w:sz w:val="18"/>
          <w:szCs w:val="18"/>
        </w:rPr>
        <w:t>% Difference is calculated by 100*(Difference)/(Growth rate from sham)</w:t>
      </w:r>
      <w:r w:rsidR="00A23547" w:rsidRPr="47573929">
        <w:rPr>
          <w:rFonts w:ascii="Arial Narrow" w:hAnsi="Arial Narrow"/>
          <w:color w:val="000000" w:themeColor="text1"/>
          <w:sz w:val="18"/>
          <w:szCs w:val="18"/>
        </w:rPr>
        <w:t>.</w:t>
      </w:r>
    </w:p>
    <w:p w14:paraId="2C540608" w14:textId="7A80827A" w:rsidR="0031413E" w:rsidRDefault="00703B3D" w:rsidP="00A23547">
      <w:pPr>
        <w:rPr>
          <w:rFonts w:ascii="Arial Narrow" w:hAnsi="Arial Narrow"/>
          <w:color w:val="000000" w:themeColor="text1"/>
          <w:sz w:val="18"/>
          <w:szCs w:val="18"/>
          <w:lang w:val="en-GB"/>
        </w:rPr>
      </w:pPr>
      <w:r>
        <w:rPr>
          <w:rFonts w:ascii="Arial Narrow" w:hAnsi="Arial Narrow"/>
          <w:color w:val="000000" w:themeColor="text1"/>
          <w:sz w:val="18"/>
          <w:szCs w:val="18"/>
          <w:vertAlign w:val="superscript"/>
        </w:rPr>
        <w:t>d</w:t>
      </w:r>
      <w:r>
        <w:rPr>
          <w:rFonts w:ascii="Arial Narrow" w:hAnsi="Arial Narrow"/>
          <w:color w:val="000000" w:themeColor="text1"/>
          <w:sz w:val="18"/>
          <w:szCs w:val="18"/>
        </w:rPr>
        <w:t xml:space="preserve"> </w:t>
      </w:r>
      <w:r w:rsidR="0031413E" w:rsidRPr="006C0943">
        <w:rPr>
          <w:rFonts w:ascii="Arial Narrow" w:hAnsi="Arial Narrow"/>
          <w:color w:val="000000" w:themeColor="text1"/>
          <w:sz w:val="18"/>
          <w:szCs w:val="18"/>
        </w:rPr>
        <w:t>Difference in growth rate between groups calculated as (sham) minus (</w:t>
      </w:r>
      <w:r w:rsidR="0031413E">
        <w:rPr>
          <w:rFonts w:ascii="Arial Narrow" w:hAnsi="Arial Narrow"/>
          <w:color w:val="000000" w:themeColor="text1"/>
          <w:sz w:val="18"/>
          <w:szCs w:val="18"/>
        </w:rPr>
        <w:t xml:space="preserve">ACP </w:t>
      </w:r>
      <w:r w:rsidR="0031413E" w:rsidRPr="006C0943">
        <w:rPr>
          <w:rFonts w:ascii="Arial Narrow" w:hAnsi="Arial Narrow"/>
          <w:color w:val="000000" w:themeColor="text1"/>
          <w:sz w:val="18"/>
          <w:szCs w:val="18"/>
        </w:rPr>
        <w:t>2 mg EM or EOM).</w:t>
      </w:r>
    </w:p>
    <w:p w14:paraId="2E7838A6" w14:textId="27C61827" w:rsidR="0031413E" w:rsidRDefault="00703B3D" w:rsidP="00A23547">
      <w:pPr>
        <w:rPr>
          <w:rFonts w:ascii="Arial Narrow" w:hAnsi="Arial Narrow"/>
          <w:color w:val="000000" w:themeColor="text1"/>
          <w:sz w:val="18"/>
          <w:szCs w:val="18"/>
          <w:lang w:val="en-GB"/>
        </w:rPr>
      </w:pPr>
      <w:r>
        <w:rPr>
          <w:rFonts w:ascii="Arial Narrow" w:hAnsi="Arial Narrow"/>
          <w:color w:val="000000" w:themeColor="text1"/>
          <w:sz w:val="18"/>
          <w:szCs w:val="18"/>
          <w:vertAlign w:val="superscript"/>
          <w:lang w:val="en-GB"/>
        </w:rPr>
        <w:t>e</w:t>
      </w:r>
      <w:r>
        <w:rPr>
          <w:rFonts w:ascii="Arial Narrow" w:hAnsi="Arial Narrow"/>
          <w:color w:val="000000" w:themeColor="text1"/>
          <w:sz w:val="18"/>
          <w:szCs w:val="18"/>
          <w:lang w:val="en-GB"/>
        </w:rPr>
        <w:t xml:space="preserve"> </w:t>
      </w:r>
      <w:r w:rsidR="0031413E" w:rsidRPr="004E3548">
        <w:rPr>
          <w:rFonts w:ascii="Arial Narrow" w:hAnsi="Arial Narrow"/>
          <w:color w:val="000000" w:themeColor="text1"/>
          <w:sz w:val="18"/>
          <w:szCs w:val="18"/>
          <w:lang w:val="en-GB"/>
        </w:rPr>
        <w:t xml:space="preserve">p value for the comparison between </w:t>
      </w:r>
      <w:r w:rsidR="0031413E">
        <w:rPr>
          <w:rFonts w:ascii="Arial Narrow" w:hAnsi="Arial Narrow"/>
          <w:color w:val="000000" w:themeColor="text1"/>
          <w:sz w:val="18"/>
          <w:szCs w:val="18"/>
          <w:lang w:val="en-GB"/>
        </w:rPr>
        <w:t>ACP</w:t>
      </w:r>
      <w:r w:rsidR="0031413E" w:rsidRPr="004E3548">
        <w:rPr>
          <w:rFonts w:ascii="Arial Narrow" w:hAnsi="Arial Narrow"/>
          <w:color w:val="000000" w:themeColor="text1"/>
          <w:sz w:val="18"/>
          <w:szCs w:val="18"/>
          <w:lang w:val="en-GB"/>
        </w:rPr>
        <w:t xml:space="preserve"> EOM vs. sham is nominal</w:t>
      </w:r>
      <w:r w:rsidR="00A23547">
        <w:rPr>
          <w:rFonts w:ascii="Arial Narrow" w:hAnsi="Arial Narrow"/>
          <w:color w:val="000000" w:themeColor="text1"/>
          <w:sz w:val="18"/>
          <w:szCs w:val="18"/>
          <w:lang w:val="en-GB"/>
        </w:rPr>
        <w:t>.</w:t>
      </w:r>
    </w:p>
    <w:p w14:paraId="12FB5A5B" w14:textId="77777777" w:rsidR="00F02773" w:rsidRPr="00E11E5D" w:rsidRDefault="00F02773" w:rsidP="00F83A04">
      <w:pPr>
        <w:rPr>
          <w:rFonts w:ascii="Arial Narrow" w:hAnsi="Arial Narrow"/>
          <w:iCs/>
          <w:color w:val="000000" w:themeColor="text1"/>
          <w:sz w:val="18"/>
          <w:szCs w:val="18"/>
        </w:rPr>
      </w:pPr>
      <w:r w:rsidRPr="00E11E5D">
        <w:rPr>
          <w:rFonts w:ascii="Arial Narrow" w:hAnsi="Arial Narrow"/>
          <w:iCs/>
          <w:color w:val="000000" w:themeColor="text1"/>
          <w:sz w:val="18"/>
          <w:szCs w:val="18"/>
        </w:rPr>
        <w:t>Note: The Advisory Committee on Medicines (ACM) confirmed that ‘square root transformed atrophic area’ is the most effective measure, reflecting linear lesion growth and reducing correlation with initial size.</w:t>
      </w:r>
    </w:p>
    <w:p w14:paraId="5E62ABCD" w14:textId="7C3E8D36" w:rsidR="00E3643E" w:rsidRPr="00E11E5D" w:rsidRDefault="00E3643E" w:rsidP="00F83A04">
      <w:pPr>
        <w:rPr>
          <w:rFonts w:ascii="Arial Narrow" w:hAnsi="Arial Narrow"/>
          <w:iCs/>
          <w:color w:val="000000" w:themeColor="text1"/>
          <w:sz w:val="18"/>
          <w:szCs w:val="18"/>
          <w:lang w:val="en-GB"/>
        </w:rPr>
      </w:pPr>
      <w:r w:rsidRPr="00E11E5D">
        <w:rPr>
          <w:rFonts w:ascii="Arial Narrow" w:hAnsi="Arial Narrow"/>
          <w:iCs/>
          <w:color w:val="000000" w:themeColor="text1"/>
          <w:sz w:val="18"/>
          <w:szCs w:val="18"/>
        </w:rPr>
        <w:t xml:space="preserve">Note: </w:t>
      </w:r>
      <w:r w:rsidRPr="00E11E5D">
        <w:rPr>
          <w:rFonts w:ascii="Arial Narrow" w:hAnsi="Arial Narrow"/>
          <w:b/>
          <w:bCs/>
          <w:iCs/>
          <w:color w:val="000000" w:themeColor="text1"/>
          <w:sz w:val="18"/>
          <w:szCs w:val="18"/>
        </w:rPr>
        <w:t xml:space="preserve">Bold </w:t>
      </w:r>
      <w:r w:rsidRPr="00E11E5D">
        <w:rPr>
          <w:rFonts w:ascii="Arial Narrow" w:hAnsi="Arial Narrow"/>
          <w:iCs/>
          <w:color w:val="000000" w:themeColor="text1"/>
          <w:sz w:val="18"/>
          <w:szCs w:val="18"/>
        </w:rPr>
        <w:t>indicates statistically significant results.</w:t>
      </w:r>
    </w:p>
    <w:p w14:paraId="0BAD50A4" w14:textId="77777777" w:rsidR="00F02773" w:rsidRDefault="00F02773" w:rsidP="00F83A04">
      <w:pPr>
        <w:rPr>
          <w:rFonts w:ascii="Arial Narrow" w:hAnsi="Arial Narrow"/>
          <w:color w:val="000000" w:themeColor="text1"/>
          <w:sz w:val="18"/>
          <w:szCs w:val="18"/>
          <w:lang w:val="en-GB"/>
        </w:rPr>
      </w:pPr>
    </w:p>
    <w:p w14:paraId="28D207FE" w14:textId="77777777" w:rsidR="0031413E" w:rsidRDefault="0031413E" w:rsidP="0031413E">
      <w:pPr>
        <w:rPr>
          <w:rFonts w:ascii="Arial Narrow" w:hAnsi="Arial Narrow"/>
          <w:color w:val="000000" w:themeColor="text1"/>
          <w:sz w:val="18"/>
          <w:szCs w:val="18"/>
        </w:rPr>
      </w:pPr>
    </w:p>
    <w:p w14:paraId="0EE92CE1" w14:textId="5A293F4A" w:rsidR="00A23547" w:rsidRDefault="00A23547" w:rsidP="00F83A04">
      <w:pPr>
        <w:pStyle w:val="Caption"/>
      </w:pPr>
      <w:bookmarkStart w:id="31" w:name="_Ref217395009"/>
      <w:r>
        <w:t xml:space="preserve">Figure </w:t>
      </w:r>
      <w:fldSimple w:instr=" SEQ Figure \* ARABIC ">
        <w:r w:rsidR="00962F38">
          <w:rPr>
            <w:noProof/>
          </w:rPr>
          <w:t>3</w:t>
        </w:r>
      </w:fldSimple>
      <w:bookmarkEnd w:id="31"/>
      <w:r>
        <w:t xml:space="preserve">: </w:t>
      </w:r>
      <w:r w:rsidRPr="00A23547">
        <w:t>Mean rate of GA growth (square root</w:t>
      </w:r>
      <w:r w:rsidR="009B60A6">
        <w:noBreakHyphen/>
      </w:r>
      <w:r w:rsidRPr="00A23547">
        <w:t>transformation; slope analysis) from baseline to Month 12 in GATHER2 (ITT population)</w:t>
      </w:r>
    </w:p>
    <w:p w14:paraId="039DB571" w14:textId="77777777" w:rsidR="00A23547" w:rsidRDefault="00A23547" w:rsidP="00A23547">
      <w:pPr>
        <w:ind w:left="426"/>
        <w:rPr>
          <w:color w:val="3366FF"/>
        </w:rPr>
      </w:pPr>
      <w:r>
        <w:rPr>
          <w:noProof/>
          <w:color w:val="3366FF"/>
        </w:rPr>
        <w:drawing>
          <wp:inline distT="0" distB="0" distL="0" distR="0" wp14:anchorId="2CFA517B" wp14:editId="3B8B8ADD">
            <wp:extent cx="3822700" cy="2523182"/>
            <wp:effectExtent l="0" t="0" r="6350" b="0"/>
            <wp:docPr id="1878685412" name="Picture 5" descr="Figure 3: Mean rate of GA growth (square root transformation; slope analysis) from baseline to Month 12 in GATHER2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85412" name="Picture 5" descr="Figure 3: Mean rate of GA growth (square root transformation; slope analysis) from baseline to Month 12 in GATHER2 (ITT popul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5949" cy="2525326"/>
                    </a:xfrm>
                    <a:prstGeom prst="rect">
                      <a:avLst/>
                    </a:prstGeom>
                    <a:noFill/>
                  </pic:spPr>
                </pic:pic>
              </a:graphicData>
            </a:graphic>
          </wp:inline>
        </w:drawing>
      </w:r>
    </w:p>
    <w:p w14:paraId="54466E17" w14:textId="401DE958" w:rsidR="00A23547" w:rsidRPr="00D717CD" w:rsidRDefault="00A23547" w:rsidP="00A23547">
      <w:pPr>
        <w:rPr>
          <w:rFonts w:ascii="Arial Narrow" w:hAnsi="Arial Narrow"/>
          <w:color w:val="000000" w:themeColor="text1"/>
          <w:sz w:val="18"/>
          <w:szCs w:val="18"/>
        </w:rPr>
      </w:pPr>
      <w:r w:rsidRPr="00D717CD">
        <w:rPr>
          <w:rFonts w:ascii="Arial Narrow" w:hAnsi="Arial Narrow"/>
          <w:color w:val="000000" w:themeColor="text1"/>
          <w:sz w:val="18"/>
          <w:szCs w:val="18"/>
        </w:rPr>
        <w:t xml:space="preserve">Source: </w:t>
      </w:r>
      <w:r>
        <w:rPr>
          <w:rFonts w:ascii="Arial Narrow" w:hAnsi="Arial Narrow"/>
          <w:color w:val="000000" w:themeColor="text1"/>
          <w:sz w:val="18"/>
          <w:szCs w:val="18"/>
        </w:rPr>
        <w:t>Figure 2.5</w:t>
      </w:r>
      <w:r w:rsidR="009B60A6">
        <w:rPr>
          <w:rFonts w:ascii="Arial Narrow" w:hAnsi="Arial Narrow"/>
          <w:color w:val="000000" w:themeColor="text1"/>
          <w:sz w:val="18"/>
          <w:szCs w:val="18"/>
        </w:rPr>
        <w:noBreakHyphen/>
      </w:r>
      <w:r>
        <w:rPr>
          <w:rFonts w:ascii="Arial Narrow" w:hAnsi="Arial Narrow"/>
          <w:color w:val="000000" w:themeColor="text1"/>
          <w:sz w:val="18"/>
          <w:szCs w:val="18"/>
        </w:rPr>
        <w:t>10, p121 of the submission; Khanani et al (2023)</w:t>
      </w:r>
    </w:p>
    <w:p w14:paraId="358D8FED" w14:textId="77777777" w:rsidR="00010BDA" w:rsidRDefault="00010BDA" w:rsidP="00F83A04">
      <w:pPr>
        <w:pStyle w:val="3-BodyText"/>
        <w:numPr>
          <w:ilvl w:val="0"/>
          <w:numId w:val="0"/>
        </w:numPr>
        <w:rPr>
          <w:color w:val="0066FF"/>
        </w:rPr>
      </w:pPr>
    </w:p>
    <w:p w14:paraId="0774B8D5" w14:textId="13E29399" w:rsidR="00A23547" w:rsidRDefault="00A23547" w:rsidP="00F83A04">
      <w:pPr>
        <w:pStyle w:val="Caption"/>
      </w:pPr>
      <w:bookmarkStart w:id="32" w:name="_Ref217395017"/>
      <w:r>
        <w:lastRenderedPageBreak/>
        <w:t xml:space="preserve">Figure </w:t>
      </w:r>
      <w:fldSimple w:instr=" SEQ Figure \* ARABIC ">
        <w:r w:rsidR="00962F38">
          <w:rPr>
            <w:noProof/>
          </w:rPr>
          <w:t>4</w:t>
        </w:r>
      </w:fldSimple>
      <w:bookmarkEnd w:id="32"/>
      <w:r>
        <w:t xml:space="preserve">: </w:t>
      </w:r>
      <w:r w:rsidRPr="00A23547">
        <w:t>Mean rate of GA growth (observed, slope analysis) from baseline to Month 24 in GATHER2 (re</w:t>
      </w:r>
      <w:r w:rsidR="009B60A6">
        <w:noBreakHyphen/>
      </w:r>
      <w:r w:rsidRPr="00A23547">
        <w:t>randomised population)</w:t>
      </w:r>
    </w:p>
    <w:p w14:paraId="65591B2B" w14:textId="77777777" w:rsidR="00A23547" w:rsidRDefault="00A23547" w:rsidP="00A23547">
      <w:pPr>
        <w:ind w:left="426"/>
        <w:rPr>
          <w:color w:val="3366FF"/>
        </w:rPr>
      </w:pPr>
      <w:r>
        <w:rPr>
          <w:noProof/>
          <w:color w:val="3366FF"/>
        </w:rPr>
        <w:drawing>
          <wp:inline distT="0" distB="0" distL="0" distR="0" wp14:anchorId="4F6A0F90" wp14:editId="6A147922">
            <wp:extent cx="4445000" cy="2666901"/>
            <wp:effectExtent l="0" t="0" r="0" b="635"/>
            <wp:docPr id="768565610" name="Picture 6" descr="Figure 4: Mean rate of GA growth (observed, slope analysis) from baseline to Month 24 in GATHER2 (re randomi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65610" name="Picture 6" descr="Figure 4: Mean rate of GA growth (observed, slope analysis) from baseline to Month 24 in GATHER2 (re randomised popul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5557" cy="2679234"/>
                    </a:xfrm>
                    <a:prstGeom prst="rect">
                      <a:avLst/>
                    </a:prstGeom>
                    <a:noFill/>
                    <a:ln>
                      <a:noFill/>
                    </a:ln>
                  </pic:spPr>
                </pic:pic>
              </a:graphicData>
            </a:graphic>
          </wp:inline>
        </w:drawing>
      </w:r>
    </w:p>
    <w:p w14:paraId="3EAAC1A9" w14:textId="54A01319" w:rsidR="00A23547" w:rsidRDefault="00A23547" w:rsidP="00D36A2E">
      <w:pPr>
        <w:spacing w:after="240"/>
        <w:rPr>
          <w:color w:val="0066FF"/>
        </w:rPr>
      </w:pPr>
      <w:r w:rsidRPr="00D717CD">
        <w:rPr>
          <w:rFonts w:ascii="Arial Narrow" w:hAnsi="Arial Narrow"/>
          <w:color w:val="000000" w:themeColor="text1"/>
          <w:sz w:val="18"/>
          <w:szCs w:val="18"/>
        </w:rPr>
        <w:t xml:space="preserve">Source: </w:t>
      </w:r>
      <w:r>
        <w:rPr>
          <w:rFonts w:ascii="Arial Narrow" w:hAnsi="Arial Narrow"/>
          <w:color w:val="000000" w:themeColor="text1"/>
          <w:sz w:val="18"/>
          <w:szCs w:val="18"/>
        </w:rPr>
        <w:t>Figure 2.5</w:t>
      </w:r>
      <w:r w:rsidR="009B60A6">
        <w:rPr>
          <w:rFonts w:ascii="Arial Narrow" w:hAnsi="Arial Narrow"/>
          <w:color w:val="000000" w:themeColor="text1"/>
          <w:sz w:val="18"/>
          <w:szCs w:val="18"/>
        </w:rPr>
        <w:noBreakHyphen/>
      </w:r>
      <w:r>
        <w:rPr>
          <w:rFonts w:ascii="Arial Narrow" w:hAnsi="Arial Narrow"/>
          <w:color w:val="000000" w:themeColor="text1"/>
          <w:sz w:val="18"/>
          <w:szCs w:val="18"/>
        </w:rPr>
        <w:t>11, p122 of the submission; Figure 2, p65 of the GATHER2 CSR</w:t>
      </w:r>
    </w:p>
    <w:p w14:paraId="54E89129" w14:textId="63B78CE2" w:rsidR="00CF24D7" w:rsidRPr="004452FC" w:rsidRDefault="00657E68">
      <w:pPr>
        <w:pStyle w:val="3-BodyText"/>
      </w:pPr>
      <w:bookmarkStart w:id="33" w:name="_Ref224642272"/>
      <w:r w:rsidRPr="004452FC">
        <w:rPr>
          <w:color w:val="000000" w:themeColor="text1"/>
        </w:rPr>
        <w:t xml:space="preserve">In GATHER2, </w:t>
      </w:r>
      <w:r w:rsidR="000963ED" w:rsidRPr="004452FC">
        <w:rPr>
          <w:color w:val="000000" w:themeColor="text1"/>
        </w:rPr>
        <w:t>a</w:t>
      </w:r>
      <w:r w:rsidRPr="004452FC">
        <w:rPr>
          <w:color w:val="000000" w:themeColor="text1"/>
        </w:rPr>
        <w:t xml:space="preserve"> statistically significant reduction of mean rate of GA growth at Month 12 </w:t>
      </w:r>
      <w:r w:rsidR="00C26AC9" w:rsidRPr="004452FC">
        <w:rPr>
          <w:color w:val="000000" w:themeColor="text1"/>
        </w:rPr>
        <w:t>(difference in mean</w:t>
      </w:r>
      <w:r w:rsidR="0044687A" w:rsidRPr="004452FC">
        <w:rPr>
          <w:color w:val="000000" w:themeColor="text1"/>
        </w:rPr>
        <w:t xml:space="preserve"> </w:t>
      </w:r>
      <w:r w:rsidR="009B60A6">
        <w:rPr>
          <w:color w:val="000000" w:themeColor="text1"/>
        </w:rPr>
        <w:noBreakHyphen/>
      </w:r>
      <w:r w:rsidR="0044687A" w:rsidRPr="004452FC">
        <w:rPr>
          <w:color w:val="000000" w:themeColor="text1"/>
        </w:rPr>
        <w:t>0.06, 95% CI</w:t>
      </w:r>
      <w:r w:rsidR="000A6FA0" w:rsidRPr="004452FC">
        <w:rPr>
          <w:color w:val="000000" w:themeColor="text1"/>
        </w:rPr>
        <w:t xml:space="preserve"> </w:t>
      </w:r>
      <w:r w:rsidR="009B60A6">
        <w:rPr>
          <w:color w:val="000000" w:themeColor="text1"/>
        </w:rPr>
        <w:noBreakHyphen/>
      </w:r>
      <w:r w:rsidR="00522895" w:rsidRPr="004452FC">
        <w:rPr>
          <w:color w:val="000000" w:themeColor="text1"/>
        </w:rPr>
        <w:t>0.</w:t>
      </w:r>
      <w:r w:rsidR="00FF39B3" w:rsidRPr="004452FC">
        <w:rPr>
          <w:color w:val="000000" w:themeColor="text1"/>
        </w:rPr>
        <w:t>096</w:t>
      </w:r>
      <w:r w:rsidR="00A928A7" w:rsidRPr="004452FC">
        <w:rPr>
          <w:color w:val="000000" w:themeColor="text1"/>
        </w:rPr>
        <w:t xml:space="preserve"> to </w:t>
      </w:r>
      <w:r w:rsidR="009B60A6">
        <w:rPr>
          <w:color w:val="000000" w:themeColor="text1"/>
        </w:rPr>
        <w:noBreakHyphen/>
      </w:r>
      <w:r w:rsidR="00854CFB" w:rsidRPr="004452FC">
        <w:rPr>
          <w:color w:val="000000" w:themeColor="text1"/>
        </w:rPr>
        <w:t>0.016</w:t>
      </w:r>
      <w:r w:rsidR="0005761D" w:rsidRPr="004452FC">
        <w:rPr>
          <w:color w:val="000000" w:themeColor="text1"/>
        </w:rPr>
        <w:t>)</w:t>
      </w:r>
      <w:r w:rsidR="0044687A" w:rsidRPr="004452FC">
        <w:rPr>
          <w:color w:val="000000" w:themeColor="text1"/>
        </w:rPr>
        <w:t xml:space="preserve"> </w:t>
      </w:r>
      <w:r w:rsidRPr="004452FC">
        <w:rPr>
          <w:color w:val="000000" w:themeColor="text1"/>
        </w:rPr>
        <w:t xml:space="preserve">and Month 24 </w:t>
      </w:r>
      <w:r w:rsidR="0005761D" w:rsidRPr="004452FC">
        <w:rPr>
          <w:color w:val="000000" w:themeColor="text1"/>
        </w:rPr>
        <w:t>(</w:t>
      </w:r>
      <w:r w:rsidR="009B60A6">
        <w:rPr>
          <w:color w:val="000000" w:themeColor="text1"/>
        </w:rPr>
        <w:noBreakHyphen/>
      </w:r>
      <w:r w:rsidR="0035242E" w:rsidRPr="004452FC">
        <w:rPr>
          <w:color w:val="000000" w:themeColor="text1"/>
        </w:rPr>
        <w:t>0.42</w:t>
      </w:r>
      <w:r w:rsidR="00847764" w:rsidRPr="004452FC">
        <w:rPr>
          <w:color w:val="000000" w:themeColor="text1"/>
        </w:rPr>
        <w:t>, 95%</w:t>
      </w:r>
      <w:r w:rsidR="00B233A3" w:rsidRPr="004452FC">
        <w:rPr>
          <w:color w:val="000000" w:themeColor="text1"/>
        </w:rPr>
        <w:t xml:space="preserve"> </w:t>
      </w:r>
      <w:r w:rsidR="009B60A6">
        <w:rPr>
          <w:color w:val="000000" w:themeColor="text1"/>
        </w:rPr>
        <w:noBreakHyphen/>
      </w:r>
      <w:r w:rsidR="00B233A3" w:rsidRPr="004452FC">
        <w:rPr>
          <w:color w:val="000000" w:themeColor="text1"/>
        </w:rPr>
        <w:t>0.</w:t>
      </w:r>
      <w:r w:rsidR="00537556" w:rsidRPr="004452FC">
        <w:rPr>
          <w:color w:val="000000" w:themeColor="text1"/>
        </w:rPr>
        <w:t xml:space="preserve">65 to </w:t>
      </w:r>
      <w:r w:rsidR="009B60A6">
        <w:rPr>
          <w:color w:val="000000" w:themeColor="text1"/>
        </w:rPr>
        <w:noBreakHyphen/>
      </w:r>
      <w:r w:rsidR="00537556" w:rsidRPr="004452FC">
        <w:rPr>
          <w:color w:val="000000" w:themeColor="text1"/>
        </w:rPr>
        <w:t>0.19)</w:t>
      </w:r>
      <w:r w:rsidR="00160984" w:rsidRPr="004452FC">
        <w:rPr>
          <w:color w:val="000000" w:themeColor="text1"/>
        </w:rPr>
        <w:t xml:space="preserve"> </w:t>
      </w:r>
      <w:r w:rsidR="00620795" w:rsidRPr="004452FC">
        <w:rPr>
          <w:color w:val="000000" w:themeColor="text1"/>
        </w:rPr>
        <w:t xml:space="preserve">was reported </w:t>
      </w:r>
      <w:r w:rsidR="00863844" w:rsidRPr="004452FC">
        <w:rPr>
          <w:color w:val="000000" w:themeColor="text1"/>
        </w:rPr>
        <w:t>for</w:t>
      </w:r>
      <w:r w:rsidRPr="004452FC">
        <w:rPr>
          <w:color w:val="000000" w:themeColor="text1"/>
        </w:rPr>
        <w:t xml:space="preserve"> the ACP group compared to the </w:t>
      </w:r>
      <w:r w:rsidR="00D36A2E" w:rsidRPr="004452FC">
        <w:rPr>
          <w:color w:val="000000" w:themeColor="text1"/>
        </w:rPr>
        <w:t>S</w:t>
      </w:r>
      <w:r w:rsidRPr="004452FC">
        <w:rPr>
          <w:color w:val="000000" w:themeColor="text1"/>
        </w:rPr>
        <w:t>ham group. However, after re</w:t>
      </w:r>
      <w:r w:rsidR="009B60A6">
        <w:rPr>
          <w:color w:val="000000" w:themeColor="text1"/>
        </w:rPr>
        <w:noBreakHyphen/>
      </w:r>
      <w:r w:rsidRPr="004452FC">
        <w:rPr>
          <w:color w:val="000000" w:themeColor="text1"/>
        </w:rPr>
        <w:t xml:space="preserve">randomisation, both </w:t>
      </w:r>
      <w:r w:rsidR="00D36A2E" w:rsidRPr="004452FC">
        <w:rPr>
          <w:color w:val="000000" w:themeColor="text1"/>
        </w:rPr>
        <w:t xml:space="preserve">the </w:t>
      </w:r>
      <w:r w:rsidRPr="004452FC">
        <w:rPr>
          <w:color w:val="000000" w:themeColor="text1"/>
        </w:rPr>
        <w:t>EM and EOM groups were compared against a pooled Sham group, and while EM demonstrated a statistically significant benefit</w:t>
      </w:r>
      <w:r w:rsidR="00AD7698" w:rsidRPr="004452FC">
        <w:rPr>
          <w:color w:val="000000" w:themeColor="text1"/>
        </w:rPr>
        <w:t xml:space="preserve"> (</w:t>
      </w:r>
      <w:r w:rsidR="009B60A6">
        <w:rPr>
          <w:color w:val="000000" w:themeColor="text1"/>
        </w:rPr>
        <w:noBreakHyphen/>
      </w:r>
      <w:r w:rsidR="00AD7698" w:rsidRPr="004452FC">
        <w:rPr>
          <w:color w:val="000000" w:themeColor="text1"/>
        </w:rPr>
        <w:t>0.</w:t>
      </w:r>
      <w:r w:rsidR="008F3A33" w:rsidRPr="004452FC">
        <w:rPr>
          <w:color w:val="000000" w:themeColor="text1"/>
        </w:rPr>
        <w:t>3</w:t>
      </w:r>
      <w:r w:rsidR="00AD7698" w:rsidRPr="004452FC">
        <w:rPr>
          <w:color w:val="000000" w:themeColor="text1"/>
        </w:rPr>
        <w:t>6</w:t>
      </w:r>
      <w:r w:rsidR="009178FC" w:rsidRPr="004452FC">
        <w:rPr>
          <w:color w:val="000000" w:themeColor="text1"/>
        </w:rPr>
        <w:t>, 95% CI 0</w:t>
      </w:r>
      <w:r w:rsidR="009B60A6">
        <w:rPr>
          <w:color w:val="000000" w:themeColor="text1"/>
        </w:rPr>
        <w:noBreakHyphen/>
      </w:r>
      <w:r w:rsidR="009178FC" w:rsidRPr="004452FC">
        <w:rPr>
          <w:color w:val="000000" w:themeColor="text1"/>
        </w:rPr>
        <w:t xml:space="preserve">0.66 to </w:t>
      </w:r>
      <w:r w:rsidR="009B60A6">
        <w:rPr>
          <w:color w:val="000000" w:themeColor="text1"/>
        </w:rPr>
        <w:noBreakHyphen/>
      </w:r>
      <w:r w:rsidR="009178FC" w:rsidRPr="004452FC">
        <w:rPr>
          <w:color w:val="000000" w:themeColor="text1"/>
        </w:rPr>
        <w:t>0.07)</w:t>
      </w:r>
      <w:r w:rsidRPr="004452FC">
        <w:rPr>
          <w:color w:val="000000" w:themeColor="text1"/>
        </w:rPr>
        <w:t>, the EOM comparison was only nominal</w:t>
      </w:r>
      <w:r w:rsidR="009178FC" w:rsidRPr="004452FC">
        <w:rPr>
          <w:color w:val="000000" w:themeColor="text1"/>
        </w:rPr>
        <w:t xml:space="preserve"> (</w:t>
      </w:r>
      <w:r w:rsidR="009B60A6">
        <w:rPr>
          <w:color w:val="000000" w:themeColor="text1"/>
        </w:rPr>
        <w:noBreakHyphen/>
      </w:r>
      <w:r w:rsidR="009178FC" w:rsidRPr="004452FC">
        <w:rPr>
          <w:color w:val="000000" w:themeColor="text1"/>
        </w:rPr>
        <w:t xml:space="preserve">0.49, 95% CI </w:t>
      </w:r>
      <w:r w:rsidR="009B60A6">
        <w:rPr>
          <w:color w:val="000000" w:themeColor="text1"/>
        </w:rPr>
        <w:noBreakHyphen/>
      </w:r>
      <w:r w:rsidR="009178FC" w:rsidRPr="004452FC">
        <w:rPr>
          <w:color w:val="000000" w:themeColor="text1"/>
        </w:rPr>
        <w:t>0.79 to</w:t>
      </w:r>
      <w:r w:rsidR="008F3A33" w:rsidRPr="004452FC">
        <w:rPr>
          <w:color w:val="000000" w:themeColor="text1"/>
        </w:rPr>
        <w:t xml:space="preserve"> </w:t>
      </w:r>
      <w:r w:rsidR="009B60A6">
        <w:rPr>
          <w:color w:val="000000" w:themeColor="text1"/>
        </w:rPr>
        <w:noBreakHyphen/>
      </w:r>
      <w:r w:rsidR="008F3A33" w:rsidRPr="004452FC">
        <w:rPr>
          <w:color w:val="000000" w:themeColor="text1"/>
        </w:rPr>
        <w:t> </w:t>
      </w:r>
      <w:r w:rsidR="000D3CB0" w:rsidRPr="004452FC">
        <w:rPr>
          <w:color w:val="000000" w:themeColor="text1"/>
        </w:rPr>
        <w:t>0.19)</w:t>
      </w:r>
      <w:r w:rsidRPr="004452FC">
        <w:rPr>
          <w:color w:val="000000" w:themeColor="text1"/>
        </w:rPr>
        <w:t>, showing numerically better outcomes without formal statistical confirmation. This approach does not robustly establish equivalence of effectiveness between EM and EOM dosing, as comparative accuracy would require a direct head</w:t>
      </w:r>
      <w:r w:rsidR="009B60A6">
        <w:rPr>
          <w:color w:val="000000" w:themeColor="text1"/>
        </w:rPr>
        <w:noBreakHyphen/>
      </w:r>
      <w:r w:rsidRPr="004452FC">
        <w:rPr>
          <w:color w:val="000000" w:themeColor="text1"/>
        </w:rPr>
        <w:t>to</w:t>
      </w:r>
      <w:r w:rsidR="009B60A6">
        <w:rPr>
          <w:color w:val="000000" w:themeColor="text1"/>
        </w:rPr>
        <w:noBreakHyphen/>
      </w:r>
      <w:r w:rsidRPr="004452FC">
        <w:rPr>
          <w:color w:val="000000" w:themeColor="text1"/>
        </w:rPr>
        <w:t xml:space="preserve">head analysis between EM and EOM groups rather than relying on separate comparisons to Sham. </w:t>
      </w:r>
      <w:r w:rsidRPr="004452FC">
        <w:rPr>
          <w:snapToGrid w:val="0"/>
          <w:color w:val="000000" w:themeColor="text1"/>
        </w:rPr>
        <w:t xml:space="preserve">Consequently, the claim of similar efficacy for EOM is based on indirect inference rather than rigorous statistical evidence, </w:t>
      </w:r>
      <w:r w:rsidR="00EC5355">
        <w:rPr>
          <w:snapToGrid w:val="0"/>
          <w:color w:val="000000" w:themeColor="text1"/>
        </w:rPr>
        <w:t>contributing to</w:t>
      </w:r>
      <w:r w:rsidR="00EC5355" w:rsidRPr="004452FC">
        <w:rPr>
          <w:snapToGrid w:val="0"/>
          <w:color w:val="000000" w:themeColor="text1"/>
        </w:rPr>
        <w:t xml:space="preserve"> </w:t>
      </w:r>
      <w:r w:rsidRPr="004452FC">
        <w:rPr>
          <w:snapToGrid w:val="0"/>
          <w:color w:val="000000" w:themeColor="text1"/>
        </w:rPr>
        <w:t>uncertainty of benefits</w:t>
      </w:r>
      <w:r w:rsidR="00CF24D7" w:rsidRPr="004452FC">
        <w:rPr>
          <w:color w:val="000000" w:themeColor="text1"/>
        </w:rPr>
        <w:t>.</w:t>
      </w:r>
      <w:bookmarkEnd w:id="33"/>
    </w:p>
    <w:p w14:paraId="05FDF184" w14:textId="79D42FD5" w:rsidR="00887C15" w:rsidRDefault="00887C15">
      <w:pPr>
        <w:pStyle w:val="3-BodyText"/>
      </w:pPr>
      <w:r w:rsidRPr="004452FC">
        <w:t xml:space="preserve">Results of the secondary efficacy endpoints </w:t>
      </w:r>
      <w:r w:rsidR="00D36A2E" w:rsidRPr="004452FC">
        <w:rPr>
          <w:rFonts w:cstheme="minorHAnsi"/>
        </w:rPr>
        <w:t>—</w:t>
      </w:r>
      <w:r w:rsidR="00D36A2E" w:rsidRPr="004452FC">
        <w:t xml:space="preserve"> </w:t>
      </w:r>
      <w:r w:rsidRPr="004452FC">
        <w:t>BCVA and low luminance</w:t>
      </w:r>
      <w:r w:rsidR="009B60A6">
        <w:noBreakHyphen/>
      </w:r>
      <w:r w:rsidRPr="004452FC">
        <w:t xml:space="preserve">BCVA </w:t>
      </w:r>
      <w:r w:rsidR="00D36A2E" w:rsidRPr="004452FC">
        <w:t>(</w:t>
      </w:r>
      <w:r w:rsidRPr="004452FC">
        <w:t>LL</w:t>
      </w:r>
      <w:r w:rsidR="009B60A6">
        <w:noBreakHyphen/>
      </w:r>
      <w:r w:rsidRPr="004452FC">
        <w:t>BCVA]</w:t>
      </w:r>
      <w:r w:rsidR="00D36A2E" w:rsidRPr="004452FC">
        <w:t>) (ETDRS letters</w:t>
      </w:r>
      <w:r w:rsidRPr="004452FC">
        <w:t xml:space="preserve">) in GATHER1 </w:t>
      </w:r>
      <w:r w:rsidR="000D3CB0" w:rsidRPr="004452FC">
        <w:t xml:space="preserve">and GATHER2 </w:t>
      </w:r>
      <w:r w:rsidRPr="004452FC">
        <w:t xml:space="preserve">are presented in </w:t>
      </w:r>
      <w:r w:rsidR="000D0711" w:rsidRPr="004452FC">
        <w:fldChar w:fldCharType="begin"/>
      </w:r>
      <w:r w:rsidR="000D0711" w:rsidRPr="004452FC">
        <w:instrText xml:space="preserve"> REF _Ref219119592 \h </w:instrText>
      </w:r>
      <w:r w:rsidR="004452FC" w:rsidRPr="004452FC">
        <w:instrText xml:space="preserve"> \* MERGEFORMAT </w:instrText>
      </w:r>
      <w:r w:rsidR="000D0711" w:rsidRPr="004452FC">
        <w:fldChar w:fldCharType="separate"/>
      </w:r>
      <w:r w:rsidR="00962F38">
        <w:t xml:space="preserve">Table </w:t>
      </w:r>
      <w:r w:rsidR="00962F38">
        <w:rPr>
          <w:noProof/>
        </w:rPr>
        <w:t>6</w:t>
      </w:r>
      <w:r w:rsidR="000D0711" w:rsidRPr="004452FC">
        <w:fldChar w:fldCharType="end"/>
      </w:r>
      <w:r w:rsidR="000D0711">
        <w:t>.</w:t>
      </w:r>
    </w:p>
    <w:p w14:paraId="679669ED" w14:textId="065A3805" w:rsidR="00887C15" w:rsidRDefault="00887C15" w:rsidP="00350182">
      <w:pPr>
        <w:pStyle w:val="Caption"/>
        <w:spacing w:before="120"/>
      </w:pPr>
      <w:bookmarkStart w:id="34" w:name="_Ref219119592"/>
      <w:r>
        <w:lastRenderedPageBreak/>
        <w:t xml:space="preserve">Table </w:t>
      </w:r>
      <w:fldSimple w:instr=" SEQ Table \* ARABIC ">
        <w:r w:rsidR="00962F38">
          <w:rPr>
            <w:noProof/>
          </w:rPr>
          <w:t>6</w:t>
        </w:r>
      </w:fldSimple>
      <w:bookmarkEnd w:id="34"/>
      <w:r>
        <w:t>: Results of BCVA and LL</w:t>
      </w:r>
      <w:r w:rsidR="009B60A6">
        <w:noBreakHyphen/>
      </w:r>
      <w:r>
        <w:t>BCVA (ETDRS letters) at Month 18 in GATHER1 and Month 24 in GATHER2 (ITT population)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BCVA and LL BCVA (ETDRS letters) at Month 18 in GATHER1 and Month 24 in GATHER2 (ITT population)"/>
      </w:tblPr>
      <w:tblGrid>
        <w:gridCol w:w="3401"/>
        <w:gridCol w:w="2835"/>
        <w:gridCol w:w="7"/>
        <w:gridCol w:w="2774"/>
      </w:tblGrid>
      <w:tr w:rsidR="00887C15" w:rsidRPr="00E10F03" w14:paraId="7125CC5D" w14:textId="77777777" w:rsidTr="00F83A04">
        <w:trPr>
          <w:trHeight w:val="20"/>
          <w:tblHeader/>
        </w:trPr>
        <w:tc>
          <w:tcPr>
            <w:tcW w:w="5000" w:type="pct"/>
            <w:gridSpan w:val="4"/>
            <w:vAlign w:val="center"/>
          </w:tcPr>
          <w:p w14:paraId="45087964" w14:textId="77777777" w:rsidR="00887C15" w:rsidRDefault="00887C15" w:rsidP="00350182">
            <w:pPr>
              <w:keepNext/>
              <w:jc w:val="left"/>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GATHER1</w:t>
            </w:r>
          </w:p>
        </w:tc>
      </w:tr>
      <w:tr w:rsidR="007237A5" w:rsidRPr="00E10F03" w14:paraId="64934646" w14:textId="77777777" w:rsidTr="00F83A04">
        <w:trPr>
          <w:trHeight w:val="20"/>
          <w:tblHeader/>
        </w:trPr>
        <w:tc>
          <w:tcPr>
            <w:tcW w:w="1886" w:type="pct"/>
            <w:vAlign w:val="center"/>
          </w:tcPr>
          <w:p w14:paraId="18F86F57" w14:textId="77777777" w:rsidR="00BE2615" w:rsidRDefault="00BE2615" w:rsidP="00350182">
            <w:pPr>
              <w:keepNext/>
              <w:jc w:val="left"/>
              <w:rPr>
                <w:rFonts w:ascii="Arial Narrow" w:hAnsi="Arial Narrow" w:cstheme="minorHAnsi"/>
                <w:b/>
                <w:bCs/>
                <w:color w:val="000000"/>
                <w:sz w:val="20"/>
                <w:szCs w:val="20"/>
                <w:lang w:val="en-IN" w:eastAsia="en-IN"/>
              </w:rPr>
            </w:pPr>
          </w:p>
        </w:tc>
        <w:tc>
          <w:tcPr>
            <w:tcW w:w="1576" w:type="pct"/>
            <w:gridSpan w:val="2"/>
            <w:vAlign w:val="center"/>
          </w:tcPr>
          <w:p w14:paraId="1BDDD671" w14:textId="3467D3BB" w:rsidR="00BE2615" w:rsidRPr="00FF6121" w:rsidRDefault="00BE2615" w:rsidP="00350182">
            <w:pPr>
              <w:keepNext/>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 xml:space="preserve">Combined </w:t>
            </w:r>
            <w:r w:rsidRPr="00FF6121">
              <w:rPr>
                <w:rFonts w:ascii="Arial Narrow" w:hAnsi="Arial Narrow" w:cstheme="minorHAnsi"/>
                <w:b/>
                <w:bCs/>
                <w:color w:val="000000"/>
                <w:sz w:val="20"/>
                <w:szCs w:val="20"/>
                <w:lang w:val="en-IN" w:eastAsia="en-IN"/>
              </w:rPr>
              <w:t>ACP 2mg</w:t>
            </w:r>
          </w:p>
          <w:p w14:paraId="0DD4145B" w14:textId="2878604E" w:rsidR="00BE2615" w:rsidRDefault="00BE2615" w:rsidP="00350182">
            <w:pPr>
              <w:keepNext/>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(N=67)</w:t>
            </w:r>
          </w:p>
        </w:tc>
        <w:tc>
          <w:tcPr>
            <w:tcW w:w="1537" w:type="pct"/>
            <w:vAlign w:val="center"/>
          </w:tcPr>
          <w:p w14:paraId="10AE86D1" w14:textId="77777777" w:rsidR="00BE2615" w:rsidRPr="00FF6121" w:rsidRDefault="00BE2615" w:rsidP="00350182">
            <w:pPr>
              <w:keepNext/>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 xml:space="preserve">Combined </w:t>
            </w:r>
            <w:r w:rsidRPr="00FF6121">
              <w:rPr>
                <w:rFonts w:ascii="Arial Narrow" w:hAnsi="Arial Narrow" w:cstheme="minorHAnsi"/>
                <w:b/>
                <w:bCs/>
                <w:color w:val="000000"/>
                <w:sz w:val="20"/>
                <w:szCs w:val="20"/>
                <w:lang w:val="en-IN" w:eastAsia="en-IN"/>
              </w:rPr>
              <w:t>Sham</w:t>
            </w:r>
          </w:p>
          <w:p w14:paraId="14B7A720" w14:textId="1276B79A" w:rsidR="00BE2615" w:rsidRDefault="00BE2615" w:rsidP="00350182">
            <w:pPr>
              <w:keepNext/>
              <w:jc w:val="center"/>
              <w:rPr>
                <w:rFonts w:ascii="Arial Narrow" w:hAnsi="Arial Narrow" w:cstheme="minorHAnsi"/>
                <w:b/>
                <w:bCs/>
                <w:color w:val="000000"/>
                <w:sz w:val="20"/>
                <w:szCs w:val="20"/>
                <w:lang w:val="en-IN" w:eastAsia="en-IN"/>
              </w:rPr>
            </w:pPr>
            <w:r w:rsidRPr="00FF6121">
              <w:rPr>
                <w:rFonts w:ascii="Arial Narrow" w:hAnsi="Arial Narrow" w:cstheme="minorHAnsi"/>
                <w:b/>
                <w:bCs/>
                <w:color w:val="000000"/>
                <w:sz w:val="20"/>
                <w:szCs w:val="20"/>
                <w:lang w:val="en-IN" w:eastAsia="en-IN"/>
              </w:rPr>
              <w:t>(N=110)</w:t>
            </w:r>
          </w:p>
        </w:tc>
      </w:tr>
      <w:tr w:rsidR="00887C15" w:rsidRPr="00E10F03" w14:paraId="63FB6F09" w14:textId="77777777" w:rsidTr="00F83A04">
        <w:trPr>
          <w:trHeight w:val="20"/>
        </w:trPr>
        <w:tc>
          <w:tcPr>
            <w:tcW w:w="5000" w:type="pct"/>
            <w:gridSpan w:val="4"/>
          </w:tcPr>
          <w:p w14:paraId="521E0039" w14:textId="77777777" w:rsidR="00887C15" w:rsidRPr="00B95B55" w:rsidRDefault="00887C15" w:rsidP="00350182">
            <w:pPr>
              <w:keepNext/>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Mean rate of</w:t>
            </w:r>
            <w:r>
              <w:rPr>
                <w:rFonts w:ascii="Arial Narrow" w:hAnsi="Arial Narrow" w:cstheme="minorHAnsi"/>
                <w:b/>
                <w:bCs/>
                <w:sz w:val="20"/>
                <w:szCs w:val="20"/>
                <w:lang w:val="en-GB" w:eastAsia="en-GB"/>
              </w:rPr>
              <w:t xml:space="preserve"> change in BCVA (ETDRS letters) from baseline to Month 18</w:t>
            </w:r>
          </w:p>
        </w:tc>
      </w:tr>
      <w:tr w:rsidR="007E6473" w:rsidRPr="00E10F03" w14:paraId="7D7B80A7" w14:textId="77777777" w:rsidTr="00F83A04">
        <w:trPr>
          <w:trHeight w:val="20"/>
        </w:trPr>
        <w:tc>
          <w:tcPr>
            <w:tcW w:w="1886" w:type="pct"/>
          </w:tcPr>
          <w:p w14:paraId="3FDF8E6D" w14:textId="77777777" w:rsidR="00887C15" w:rsidRPr="00FF6121" w:rsidRDefault="00887C15" w:rsidP="00350182">
            <w:pPr>
              <w:keepNext/>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Least squares mean (SE)</w:t>
            </w:r>
          </w:p>
        </w:tc>
        <w:tc>
          <w:tcPr>
            <w:tcW w:w="1572" w:type="pct"/>
          </w:tcPr>
          <w:p w14:paraId="7E67C37C" w14:textId="4BA88B88"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Pr>
                <w:rFonts w:ascii="Arial Narrow" w:hAnsi="Arial Narrow" w:cstheme="minorHAnsi"/>
                <w:color w:val="000000"/>
                <w:sz w:val="20"/>
                <w:szCs w:val="20"/>
                <w:lang w:val="en-IN" w:eastAsia="en-IN"/>
              </w:rPr>
              <w:t>12.7 (4.29)</w:t>
            </w:r>
          </w:p>
        </w:tc>
        <w:tc>
          <w:tcPr>
            <w:tcW w:w="1542" w:type="pct"/>
            <w:gridSpan w:val="2"/>
          </w:tcPr>
          <w:p w14:paraId="6DC36EB8" w14:textId="73400DA1"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Pr>
                <w:rFonts w:ascii="Arial Narrow" w:hAnsi="Arial Narrow" w:cstheme="minorHAnsi"/>
                <w:color w:val="000000"/>
                <w:sz w:val="20"/>
                <w:szCs w:val="20"/>
                <w:lang w:val="en-IN" w:eastAsia="en-IN"/>
              </w:rPr>
              <w:t>15.1 (4.12)</w:t>
            </w:r>
          </w:p>
        </w:tc>
      </w:tr>
      <w:tr w:rsidR="00371422" w:rsidRPr="00E10F03" w14:paraId="4E727BE3" w14:textId="77777777" w:rsidTr="00F83A04">
        <w:trPr>
          <w:trHeight w:val="20"/>
        </w:trPr>
        <w:tc>
          <w:tcPr>
            <w:tcW w:w="1886" w:type="pct"/>
            <w:vAlign w:val="center"/>
          </w:tcPr>
          <w:p w14:paraId="06037198" w14:textId="77777777" w:rsidR="00887C15" w:rsidRPr="00FF6121" w:rsidRDefault="00887C15" w:rsidP="00350182">
            <w:pPr>
              <w:keepNext/>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Pr="006C0943">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tc>
        <w:tc>
          <w:tcPr>
            <w:tcW w:w="3114" w:type="pct"/>
            <w:gridSpan w:val="3"/>
          </w:tcPr>
          <w:p w14:paraId="4D298F7D" w14:textId="724A6403" w:rsidR="00887C15" w:rsidRPr="00FF6121" w:rsidRDefault="00887C15"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2.37 (</w:t>
            </w:r>
            <w:r w:rsidR="009B60A6">
              <w:rPr>
                <w:rFonts w:ascii="Arial Narrow" w:hAnsi="Arial Narrow" w:cstheme="minorHAnsi"/>
                <w:color w:val="000000"/>
                <w:sz w:val="20"/>
                <w:szCs w:val="20"/>
                <w:lang w:val="en-IN" w:eastAsia="en-IN"/>
              </w:rPr>
              <w:noBreakHyphen/>
            </w:r>
            <w:r>
              <w:rPr>
                <w:rFonts w:ascii="Arial Narrow" w:hAnsi="Arial Narrow" w:cstheme="minorHAnsi"/>
                <w:color w:val="000000"/>
                <w:sz w:val="20"/>
                <w:szCs w:val="20"/>
                <w:lang w:val="en-IN" w:eastAsia="en-IN"/>
              </w:rPr>
              <w:t>2.23, 6.96)</w:t>
            </w:r>
          </w:p>
        </w:tc>
      </w:tr>
      <w:tr w:rsidR="00887C15" w:rsidRPr="00E10F03" w14:paraId="50B6872A" w14:textId="77777777" w:rsidTr="00F83A04">
        <w:trPr>
          <w:trHeight w:val="20"/>
        </w:trPr>
        <w:tc>
          <w:tcPr>
            <w:tcW w:w="5000" w:type="pct"/>
            <w:gridSpan w:val="4"/>
          </w:tcPr>
          <w:p w14:paraId="19078643" w14:textId="2EA603E5" w:rsidR="00887C15" w:rsidRPr="00B95B55" w:rsidRDefault="00887C15" w:rsidP="00350182">
            <w:pPr>
              <w:keepNext/>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Mean rate of</w:t>
            </w:r>
            <w:r>
              <w:rPr>
                <w:rFonts w:ascii="Arial Narrow" w:hAnsi="Arial Narrow" w:cstheme="minorHAnsi"/>
                <w:b/>
                <w:bCs/>
                <w:sz w:val="20"/>
                <w:szCs w:val="20"/>
                <w:lang w:val="en-GB" w:eastAsia="en-GB"/>
              </w:rPr>
              <w:t xml:space="preserve"> change in LL</w:t>
            </w:r>
            <w:r w:rsidR="009B60A6">
              <w:rPr>
                <w:rFonts w:ascii="Arial Narrow" w:hAnsi="Arial Narrow" w:cstheme="minorHAnsi"/>
                <w:b/>
                <w:bCs/>
                <w:sz w:val="20"/>
                <w:szCs w:val="20"/>
                <w:lang w:val="en-GB" w:eastAsia="en-GB"/>
              </w:rPr>
              <w:noBreakHyphen/>
            </w:r>
            <w:r>
              <w:rPr>
                <w:rFonts w:ascii="Arial Narrow" w:hAnsi="Arial Narrow" w:cstheme="minorHAnsi"/>
                <w:b/>
                <w:bCs/>
                <w:sz w:val="20"/>
                <w:szCs w:val="20"/>
                <w:lang w:val="en-GB" w:eastAsia="en-GB"/>
              </w:rPr>
              <w:t>BCVA (ETDRS letters) from baseline to Month 18</w:t>
            </w:r>
          </w:p>
        </w:tc>
      </w:tr>
      <w:tr w:rsidR="007E6473" w:rsidRPr="00E10F03" w14:paraId="58967D02" w14:textId="77777777" w:rsidTr="00F83A04">
        <w:trPr>
          <w:trHeight w:val="20"/>
        </w:trPr>
        <w:tc>
          <w:tcPr>
            <w:tcW w:w="1886" w:type="pct"/>
          </w:tcPr>
          <w:p w14:paraId="056C3366" w14:textId="77777777" w:rsidR="00887C15" w:rsidRPr="00FF6121" w:rsidRDefault="00887C15" w:rsidP="00350182">
            <w:pPr>
              <w:keepNext/>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Least squares mean (SE)</w:t>
            </w:r>
          </w:p>
        </w:tc>
        <w:tc>
          <w:tcPr>
            <w:tcW w:w="1572" w:type="pct"/>
          </w:tcPr>
          <w:p w14:paraId="22FC7B11" w14:textId="68FCA042"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Pr>
                <w:rFonts w:ascii="Arial Narrow" w:hAnsi="Arial Narrow" w:cstheme="minorHAnsi"/>
                <w:color w:val="000000"/>
                <w:sz w:val="20"/>
                <w:szCs w:val="20"/>
                <w:lang w:val="en-IN" w:eastAsia="en-IN"/>
              </w:rPr>
              <w:t>2.72 (4.21)</w:t>
            </w:r>
          </w:p>
        </w:tc>
        <w:tc>
          <w:tcPr>
            <w:tcW w:w="1542" w:type="pct"/>
            <w:gridSpan w:val="2"/>
          </w:tcPr>
          <w:p w14:paraId="4B09F8B1" w14:textId="252CB31F"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Pr>
                <w:rFonts w:ascii="Arial Narrow" w:hAnsi="Arial Narrow" w:cstheme="minorHAnsi"/>
                <w:color w:val="000000"/>
                <w:sz w:val="20"/>
                <w:szCs w:val="20"/>
                <w:lang w:val="en-IN" w:eastAsia="en-IN"/>
              </w:rPr>
              <w:t>3.10 (4.03)</w:t>
            </w:r>
          </w:p>
        </w:tc>
      </w:tr>
      <w:tr w:rsidR="00371422" w:rsidRPr="00E10F03" w14:paraId="2B06117C" w14:textId="77777777" w:rsidTr="00F83A04">
        <w:trPr>
          <w:trHeight w:val="20"/>
        </w:trPr>
        <w:tc>
          <w:tcPr>
            <w:tcW w:w="1886" w:type="pct"/>
            <w:vAlign w:val="center"/>
          </w:tcPr>
          <w:p w14:paraId="2046A659" w14:textId="77777777" w:rsidR="00887C15" w:rsidRPr="00FF6121" w:rsidRDefault="00887C15" w:rsidP="00350182">
            <w:pPr>
              <w:keepNext/>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Pr="006C0943">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tc>
        <w:tc>
          <w:tcPr>
            <w:tcW w:w="3114" w:type="pct"/>
            <w:gridSpan w:val="3"/>
          </w:tcPr>
          <w:p w14:paraId="51685808" w14:textId="458590A1" w:rsidR="00887C15" w:rsidRPr="00FF6121" w:rsidRDefault="00887C15"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0.37 (</w:t>
            </w:r>
            <w:r w:rsidR="009B60A6">
              <w:rPr>
                <w:rFonts w:ascii="Arial Narrow" w:hAnsi="Arial Narrow" w:cstheme="minorHAnsi"/>
                <w:color w:val="000000"/>
                <w:sz w:val="20"/>
                <w:szCs w:val="20"/>
                <w:lang w:val="en-IN" w:eastAsia="en-IN"/>
              </w:rPr>
              <w:noBreakHyphen/>
            </w:r>
            <w:r>
              <w:rPr>
                <w:rFonts w:ascii="Arial Narrow" w:hAnsi="Arial Narrow" w:cstheme="minorHAnsi"/>
                <w:color w:val="000000"/>
                <w:sz w:val="20"/>
                <w:szCs w:val="20"/>
                <w:lang w:val="en-IN" w:eastAsia="en-IN"/>
              </w:rPr>
              <w:t>4.10, 4.84)</w:t>
            </w:r>
          </w:p>
        </w:tc>
      </w:tr>
      <w:tr w:rsidR="00887C15" w:rsidRPr="00E10F03" w14:paraId="0F529B41" w14:textId="77777777" w:rsidTr="00F83A04">
        <w:trPr>
          <w:trHeight w:val="20"/>
          <w:tblHeader/>
        </w:trPr>
        <w:tc>
          <w:tcPr>
            <w:tcW w:w="5000" w:type="pct"/>
            <w:gridSpan w:val="4"/>
            <w:vAlign w:val="center"/>
          </w:tcPr>
          <w:p w14:paraId="22D98F13" w14:textId="77777777" w:rsidR="00887C15" w:rsidRDefault="00887C15" w:rsidP="00350182">
            <w:pPr>
              <w:keepNext/>
              <w:jc w:val="left"/>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GATHER2</w:t>
            </w:r>
          </w:p>
        </w:tc>
      </w:tr>
      <w:tr w:rsidR="007237A5" w:rsidRPr="00E10F03" w14:paraId="285EA4DE" w14:textId="77777777" w:rsidTr="00F83A04">
        <w:trPr>
          <w:trHeight w:val="20"/>
          <w:tblHeader/>
        </w:trPr>
        <w:tc>
          <w:tcPr>
            <w:tcW w:w="1886" w:type="pct"/>
            <w:vAlign w:val="center"/>
          </w:tcPr>
          <w:p w14:paraId="28A875DD" w14:textId="77777777" w:rsidR="00BE2615" w:rsidRDefault="00BE2615" w:rsidP="00350182">
            <w:pPr>
              <w:keepNext/>
              <w:jc w:val="left"/>
              <w:rPr>
                <w:rFonts w:ascii="Arial Narrow" w:hAnsi="Arial Narrow" w:cstheme="minorHAnsi"/>
                <w:b/>
                <w:bCs/>
                <w:color w:val="000000"/>
                <w:sz w:val="20"/>
                <w:szCs w:val="20"/>
                <w:lang w:val="en-IN" w:eastAsia="en-IN"/>
              </w:rPr>
            </w:pPr>
          </w:p>
        </w:tc>
        <w:tc>
          <w:tcPr>
            <w:tcW w:w="1576" w:type="pct"/>
            <w:gridSpan w:val="2"/>
            <w:vAlign w:val="center"/>
          </w:tcPr>
          <w:p w14:paraId="09DD5FBB" w14:textId="77777777" w:rsidR="00BE2615" w:rsidRDefault="00BE2615" w:rsidP="00350182">
            <w:pPr>
              <w:keepNext/>
              <w:jc w:val="center"/>
              <w:rPr>
                <w:rFonts w:ascii="Arial Narrow" w:hAnsi="Arial Narrow" w:cstheme="minorHAnsi"/>
                <w:b/>
                <w:bCs/>
                <w:color w:val="000000"/>
                <w:sz w:val="20"/>
                <w:szCs w:val="20"/>
                <w:lang w:val="en-IN" w:eastAsia="en-IN"/>
              </w:rPr>
            </w:pPr>
            <w:r w:rsidRPr="00BE2615">
              <w:rPr>
                <w:rFonts w:ascii="Arial Narrow" w:hAnsi="Arial Narrow" w:cstheme="minorHAnsi"/>
                <w:b/>
                <w:bCs/>
                <w:color w:val="000000"/>
                <w:sz w:val="20"/>
                <w:szCs w:val="20"/>
                <w:lang w:val="en-IN" w:eastAsia="en-IN"/>
              </w:rPr>
              <w:t>ACP 2mg</w:t>
            </w:r>
          </w:p>
          <w:p w14:paraId="61BE6BEF" w14:textId="74D4CBC9" w:rsidR="00BE2615" w:rsidRDefault="00BE2615" w:rsidP="00350182">
            <w:pPr>
              <w:keepNext/>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(N=225)</w:t>
            </w:r>
          </w:p>
        </w:tc>
        <w:tc>
          <w:tcPr>
            <w:tcW w:w="1537" w:type="pct"/>
            <w:vAlign w:val="center"/>
          </w:tcPr>
          <w:p w14:paraId="2ED8C6C8" w14:textId="77777777" w:rsidR="00BE2615" w:rsidRDefault="00BE2615" w:rsidP="00350182">
            <w:pPr>
              <w:keepNext/>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Sham</w:t>
            </w:r>
          </w:p>
          <w:p w14:paraId="4A332D53" w14:textId="1F808ACE" w:rsidR="00BE2615" w:rsidRDefault="00BE2615" w:rsidP="00350182">
            <w:pPr>
              <w:keepNext/>
              <w:jc w:val="center"/>
              <w:rPr>
                <w:rFonts w:ascii="Arial Narrow" w:hAnsi="Arial Narrow" w:cstheme="minorHAnsi"/>
                <w:b/>
                <w:bCs/>
                <w:color w:val="000000"/>
                <w:sz w:val="20"/>
                <w:szCs w:val="20"/>
                <w:lang w:val="en-IN" w:eastAsia="en-IN"/>
              </w:rPr>
            </w:pPr>
            <w:r>
              <w:rPr>
                <w:rFonts w:ascii="Arial Narrow" w:hAnsi="Arial Narrow" w:cstheme="minorHAnsi"/>
                <w:b/>
                <w:bCs/>
                <w:color w:val="000000"/>
                <w:sz w:val="20"/>
                <w:szCs w:val="20"/>
                <w:lang w:val="en-IN" w:eastAsia="en-IN"/>
              </w:rPr>
              <w:t>(N=222)</w:t>
            </w:r>
          </w:p>
        </w:tc>
      </w:tr>
      <w:tr w:rsidR="00887C15" w:rsidRPr="00E10F03" w14:paraId="72560C5C" w14:textId="77777777" w:rsidTr="00F83A04">
        <w:trPr>
          <w:trHeight w:val="20"/>
        </w:trPr>
        <w:tc>
          <w:tcPr>
            <w:tcW w:w="5000" w:type="pct"/>
            <w:gridSpan w:val="4"/>
          </w:tcPr>
          <w:p w14:paraId="6F1ACDCC" w14:textId="77777777" w:rsidR="00887C15" w:rsidRPr="00B95B55" w:rsidRDefault="00887C15" w:rsidP="00350182">
            <w:pPr>
              <w:keepNext/>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Mean rate of</w:t>
            </w:r>
            <w:r>
              <w:rPr>
                <w:rFonts w:ascii="Arial Narrow" w:hAnsi="Arial Narrow" w:cstheme="minorHAnsi"/>
                <w:b/>
                <w:bCs/>
                <w:sz w:val="20"/>
                <w:szCs w:val="20"/>
                <w:lang w:val="en-GB" w:eastAsia="en-GB"/>
              </w:rPr>
              <w:t xml:space="preserve"> change in BCVA (ETDRS letters) from baseline to Month 24</w:t>
            </w:r>
          </w:p>
        </w:tc>
      </w:tr>
      <w:tr w:rsidR="007E6473" w:rsidRPr="00E10F03" w14:paraId="777F3C44" w14:textId="77777777" w:rsidTr="00F83A04">
        <w:trPr>
          <w:trHeight w:val="20"/>
        </w:trPr>
        <w:tc>
          <w:tcPr>
            <w:tcW w:w="1886" w:type="pct"/>
          </w:tcPr>
          <w:p w14:paraId="6A250BFF" w14:textId="77777777" w:rsidR="00887C15" w:rsidRPr="00FF6121" w:rsidRDefault="00887C15" w:rsidP="00350182">
            <w:pPr>
              <w:keepNext/>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Least squares mean (SE)</w:t>
            </w:r>
          </w:p>
        </w:tc>
        <w:tc>
          <w:tcPr>
            <w:tcW w:w="1572" w:type="pct"/>
          </w:tcPr>
          <w:p w14:paraId="2A4A291A" w14:textId="133A4811"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7.31 (1.07)</w:t>
            </w:r>
          </w:p>
        </w:tc>
        <w:tc>
          <w:tcPr>
            <w:tcW w:w="1542" w:type="pct"/>
            <w:gridSpan w:val="2"/>
          </w:tcPr>
          <w:p w14:paraId="7A17A0C2" w14:textId="09D1F068"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6.48 (1.05)</w:t>
            </w:r>
          </w:p>
        </w:tc>
      </w:tr>
      <w:tr w:rsidR="00371422" w:rsidRPr="00E10F03" w14:paraId="44A843B0" w14:textId="77777777" w:rsidTr="00F83A04">
        <w:trPr>
          <w:trHeight w:val="20"/>
        </w:trPr>
        <w:tc>
          <w:tcPr>
            <w:tcW w:w="1886" w:type="pct"/>
            <w:vAlign w:val="center"/>
          </w:tcPr>
          <w:p w14:paraId="6737FE67" w14:textId="77777777" w:rsidR="00887C15" w:rsidRDefault="00887C15" w:rsidP="00350182">
            <w:pPr>
              <w:keepNext/>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Pr="006C0943">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p w14:paraId="6A279F70" w14:textId="77777777" w:rsidR="00887C15" w:rsidRPr="00FF6121" w:rsidRDefault="00887C15" w:rsidP="00350182">
            <w:pPr>
              <w:keepNext/>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p value</w:t>
            </w:r>
          </w:p>
        </w:tc>
        <w:tc>
          <w:tcPr>
            <w:tcW w:w="3114" w:type="pct"/>
            <w:gridSpan w:val="3"/>
          </w:tcPr>
          <w:p w14:paraId="0D1C8CB8" w14:textId="5A93290F" w:rsidR="00887C15"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0.83 (</w:t>
            </w: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3.79, 2.12)</w:t>
            </w:r>
          </w:p>
          <w:p w14:paraId="1B4F1A14" w14:textId="77777777" w:rsidR="00887C15" w:rsidRPr="00FF6121" w:rsidRDefault="00887C15"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0.58</w:t>
            </w:r>
          </w:p>
        </w:tc>
      </w:tr>
      <w:tr w:rsidR="00887C15" w:rsidRPr="00E10F03" w14:paraId="685480E5" w14:textId="77777777" w:rsidTr="00F83A04">
        <w:trPr>
          <w:trHeight w:val="20"/>
        </w:trPr>
        <w:tc>
          <w:tcPr>
            <w:tcW w:w="5000" w:type="pct"/>
            <w:gridSpan w:val="4"/>
          </w:tcPr>
          <w:p w14:paraId="0639894A" w14:textId="088CFDE0" w:rsidR="00887C15" w:rsidRPr="00B95B55" w:rsidRDefault="00887C15" w:rsidP="00350182">
            <w:pPr>
              <w:keepNext/>
              <w:jc w:val="left"/>
              <w:rPr>
                <w:rFonts w:ascii="Arial Narrow" w:hAnsi="Arial Narrow" w:cstheme="minorHAnsi"/>
                <w:b/>
                <w:bCs/>
                <w:sz w:val="20"/>
                <w:szCs w:val="20"/>
                <w:lang w:val="en-GB" w:eastAsia="en-GB"/>
              </w:rPr>
            </w:pPr>
            <w:r w:rsidRPr="00B95B55">
              <w:rPr>
                <w:rFonts w:ascii="Arial Narrow" w:hAnsi="Arial Narrow" w:cstheme="minorHAnsi"/>
                <w:b/>
                <w:bCs/>
                <w:sz w:val="20"/>
                <w:szCs w:val="20"/>
                <w:lang w:val="en-GB" w:eastAsia="en-GB"/>
              </w:rPr>
              <w:t>Mean rate of</w:t>
            </w:r>
            <w:r>
              <w:rPr>
                <w:rFonts w:ascii="Arial Narrow" w:hAnsi="Arial Narrow" w:cstheme="minorHAnsi"/>
                <w:b/>
                <w:bCs/>
                <w:sz w:val="20"/>
                <w:szCs w:val="20"/>
                <w:lang w:val="en-GB" w:eastAsia="en-GB"/>
              </w:rPr>
              <w:t xml:space="preserve"> change in LL</w:t>
            </w:r>
            <w:r w:rsidR="009B60A6">
              <w:rPr>
                <w:rFonts w:ascii="Arial Narrow" w:hAnsi="Arial Narrow" w:cstheme="minorHAnsi"/>
                <w:b/>
                <w:bCs/>
                <w:sz w:val="20"/>
                <w:szCs w:val="20"/>
                <w:lang w:val="en-GB" w:eastAsia="en-GB"/>
              </w:rPr>
              <w:noBreakHyphen/>
            </w:r>
            <w:r>
              <w:rPr>
                <w:rFonts w:ascii="Arial Narrow" w:hAnsi="Arial Narrow" w:cstheme="minorHAnsi"/>
                <w:b/>
                <w:bCs/>
                <w:sz w:val="20"/>
                <w:szCs w:val="20"/>
                <w:lang w:val="en-GB" w:eastAsia="en-GB"/>
              </w:rPr>
              <w:t>BCVA (ETDRS letters) from baseline to Month 24</w:t>
            </w:r>
          </w:p>
        </w:tc>
      </w:tr>
      <w:tr w:rsidR="007E6473" w:rsidRPr="00E10F03" w14:paraId="0D48FE98" w14:textId="77777777" w:rsidTr="00F83A04">
        <w:trPr>
          <w:trHeight w:val="20"/>
        </w:trPr>
        <w:tc>
          <w:tcPr>
            <w:tcW w:w="1886" w:type="pct"/>
          </w:tcPr>
          <w:p w14:paraId="0CE1C70F" w14:textId="77777777" w:rsidR="00887C15" w:rsidRPr="00FF6121" w:rsidRDefault="00887C15" w:rsidP="00350182">
            <w:pPr>
              <w:keepNext/>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Least squares mean (SE)</w:t>
            </w:r>
          </w:p>
        </w:tc>
        <w:tc>
          <w:tcPr>
            <w:tcW w:w="1572" w:type="pct"/>
          </w:tcPr>
          <w:p w14:paraId="4C9E3336" w14:textId="6A506D33"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10.58 (1.20)</w:t>
            </w:r>
          </w:p>
        </w:tc>
        <w:tc>
          <w:tcPr>
            <w:tcW w:w="1542" w:type="pct"/>
            <w:gridSpan w:val="2"/>
          </w:tcPr>
          <w:p w14:paraId="6C1F7143" w14:textId="2D6B6E72" w:rsidR="00887C15" w:rsidRPr="00FF6121"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9.1 (1.18)</w:t>
            </w:r>
          </w:p>
        </w:tc>
      </w:tr>
      <w:tr w:rsidR="00371422" w:rsidRPr="00E10F03" w14:paraId="03077B96" w14:textId="77777777" w:rsidTr="00F83A04">
        <w:trPr>
          <w:trHeight w:val="20"/>
        </w:trPr>
        <w:tc>
          <w:tcPr>
            <w:tcW w:w="1886" w:type="pct"/>
            <w:vAlign w:val="center"/>
          </w:tcPr>
          <w:p w14:paraId="445BCC62" w14:textId="77777777" w:rsidR="00887C15" w:rsidRDefault="00887C15" w:rsidP="00350182">
            <w:pPr>
              <w:keepNext/>
              <w:rPr>
                <w:rFonts w:ascii="Arial Narrow" w:hAnsi="Arial Narrow" w:cstheme="minorHAnsi"/>
                <w:color w:val="000000"/>
                <w:sz w:val="20"/>
                <w:szCs w:val="20"/>
                <w:lang w:val="it-IT" w:eastAsia="en-IN"/>
              </w:rPr>
            </w:pPr>
            <w:r w:rsidRPr="00FF6121">
              <w:rPr>
                <w:rFonts w:ascii="Arial Narrow" w:hAnsi="Arial Narrow" w:cstheme="minorHAnsi"/>
                <w:color w:val="000000"/>
                <w:sz w:val="20"/>
                <w:szCs w:val="20"/>
                <w:lang w:val="it-IT" w:eastAsia="en-IN"/>
              </w:rPr>
              <w:t>Difference</w:t>
            </w:r>
            <w:r w:rsidRPr="006C0943">
              <w:rPr>
                <w:rFonts w:ascii="Arial Narrow" w:hAnsi="Arial Narrow" w:cstheme="minorHAnsi"/>
                <w:color w:val="000000"/>
                <w:sz w:val="20"/>
                <w:szCs w:val="20"/>
                <w:vertAlign w:val="superscript"/>
                <w:lang w:val="it-IT" w:eastAsia="en-IN"/>
              </w:rPr>
              <w:t xml:space="preserve">a </w:t>
            </w:r>
            <w:r w:rsidRPr="00FF6121">
              <w:rPr>
                <w:rFonts w:ascii="Arial Narrow" w:hAnsi="Arial Narrow" w:cstheme="minorHAnsi"/>
                <w:color w:val="000000"/>
                <w:sz w:val="20"/>
                <w:szCs w:val="20"/>
                <w:lang w:val="it-IT" w:eastAsia="en-IN"/>
              </w:rPr>
              <w:t>(95% CI</w:t>
            </w:r>
            <w:r>
              <w:rPr>
                <w:rFonts w:ascii="Arial Narrow" w:hAnsi="Arial Narrow" w:cstheme="minorHAnsi"/>
                <w:color w:val="000000"/>
                <w:sz w:val="20"/>
                <w:szCs w:val="20"/>
                <w:lang w:val="it-IT" w:eastAsia="en-IN"/>
              </w:rPr>
              <w:t>)</w:t>
            </w:r>
          </w:p>
          <w:p w14:paraId="10BCAA2A" w14:textId="77777777" w:rsidR="00887C15" w:rsidRPr="00FF6121" w:rsidRDefault="00887C15" w:rsidP="00350182">
            <w:pPr>
              <w:keepNext/>
              <w:rPr>
                <w:rFonts w:ascii="Arial Narrow" w:hAnsi="Arial Narrow" w:cstheme="minorHAnsi"/>
                <w:color w:val="000000"/>
                <w:sz w:val="20"/>
                <w:szCs w:val="20"/>
                <w:lang w:val="it-IT" w:eastAsia="en-IN"/>
              </w:rPr>
            </w:pPr>
            <w:r>
              <w:rPr>
                <w:rFonts w:ascii="Arial Narrow" w:hAnsi="Arial Narrow" w:cstheme="minorHAnsi"/>
                <w:color w:val="000000"/>
                <w:sz w:val="20"/>
                <w:szCs w:val="20"/>
                <w:lang w:val="it-IT" w:eastAsia="en-IN"/>
              </w:rPr>
              <w:t>p value</w:t>
            </w:r>
          </w:p>
        </w:tc>
        <w:tc>
          <w:tcPr>
            <w:tcW w:w="3114" w:type="pct"/>
            <w:gridSpan w:val="3"/>
          </w:tcPr>
          <w:p w14:paraId="30D8C994" w14:textId="23387823" w:rsidR="00887C15" w:rsidRDefault="009B60A6"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1.49 (</w:t>
            </w:r>
            <w:r>
              <w:rPr>
                <w:rFonts w:ascii="Arial Narrow" w:hAnsi="Arial Narrow" w:cstheme="minorHAnsi"/>
                <w:color w:val="000000"/>
                <w:sz w:val="20"/>
                <w:szCs w:val="20"/>
                <w:lang w:val="en-IN" w:eastAsia="en-IN"/>
              </w:rPr>
              <w:noBreakHyphen/>
            </w:r>
            <w:r w:rsidR="00887C15" w:rsidRPr="005A672D">
              <w:rPr>
                <w:rFonts w:ascii="Arial Narrow" w:hAnsi="Arial Narrow" w:cstheme="minorHAnsi"/>
                <w:color w:val="000000"/>
                <w:sz w:val="20"/>
                <w:szCs w:val="20"/>
                <w:lang w:val="en-IN" w:eastAsia="en-IN"/>
              </w:rPr>
              <w:t>4.79, 1.81)</w:t>
            </w:r>
          </w:p>
          <w:p w14:paraId="07B9EEB6" w14:textId="77777777" w:rsidR="00887C15" w:rsidRPr="00FF6121" w:rsidRDefault="00887C15" w:rsidP="00350182">
            <w:pPr>
              <w:keepNext/>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t>0.38</w:t>
            </w:r>
          </w:p>
        </w:tc>
      </w:tr>
    </w:tbl>
    <w:p w14:paraId="511CD733" w14:textId="05EC9DAC" w:rsidR="00887C15" w:rsidRDefault="00887C15" w:rsidP="00350182">
      <w:pPr>
        <w:pStyle w:val="TableFigureFooter"/>
        <w:keepNext/>
        <w:spacing w:after="120"/>
      </w:pPr>
      <w:r>
        <w:t>Source: Table 2.5</w:t>
      </w:r>
      <w:r w:rsidR="009B60A6">
        <w:noBreakHyphen/>
      </w:r>
      <w:r>
        <w:t>2 &amp; Table 2.5</w:t>
      </w:r>
      <w:r w:rsidR="009B60A6">
        <w:noBreakHyphen/>
      </w:r>
      <w:r>
        <w:t>3, pp113</w:t>
      </w:r>
      <w:r w:rsidR="009B60A6">
        <w:noBreakHyphen/>
      </w:r>
      <w:r>
        <w:t>114 of the submission; Table 20, Table 21, Table 22 &amp; Table 23, pp100</w:t>
      </w:r>
      <w:r w:rsidR="009B60A6">
        <w:noBreakHyphen/>
      </w:r>
      <w:r>
        <w:t>105 of the GATHER1 CSR; Table 2.5</w:t>
      </w:r>
      <w:r w:rsidR="009B60A6">
        <w:noBreakHyphen/>
      </w:r>
      <w:r>
        <w:t>7 &amp; Table 2.5</w:t>
      </w:r>
      <w:r w:rsidR="009B60A6">
        <w:noBreakHyphen/>
      </w:r>
      <w:r>
        <w:t>8, pp123</w:t>
      </w:r>
      <w:r w:rsidR="009B60A6">
        <w:noBreakHyphen/>
      </w:r>
      <w:r>
        <w:t>124 of the submission; Table 14 &amp; Table 15, pp73</w:t>
      </w:r>
      <w:r w:rsidR="009B60A6">
        <w:noBreakHyphen/>
      </w:r>
      <w:r>
        <w:t>74 of the GATHER2 CSR; Khanani et al 2023.</w:t>
      </w:r>
    </w:p>
    <w:p w14:paraId="5A7891BA" w14:textId="176B8C38" w:rsidR="00887C15" w:rsidRDefault="00887C15" w:rsidP="00350182">
      <w:pPr>
        <w:pStyle w:val="TableFigureFooter"/>
        <w:keepNext/>
        <w:spacing w:after="120"/>
        <w:rPr>
          <w:color w:val="000000" w:themeColor="text1"/>
          <w:szCs w:val="18"/>
          <w:lang w:val="en-GB"/>
        </w:rPr>
      </w:pPr>
      <w:r>
        <w:t>ACP = avacincaptad pegol; BCVA = Best corrected visual acuity; CI = Confidence interval; ETDRS = Early Treatment Diabetic Retinopathy Study; ITT = Intent</w:t>
      </w:r>
      <w:r w:rsidR="009B60A6">
        <w:noBreakHyphen/>
      </w:r>
      <w:r>
        <w:t>to</w:t>
      </w:r>
      <w:r w:rsidR="009B60A6">
        <w:noBreakHyphen/>
      </w:r>
      <w:r>
        <w:t>treat; LL</w:t>
      </w:r>
      <w:r w:rsidR="009B60A6">
        <w:noBreakHyphen/>
      </w:r>
      <w:r>
        <w:t>BCVA = Low luminance best corrected visual acuity; mg = Milligram; MMRM = Mixed model for repeated measures; SE = Standard error.</w:t>
      </w:r>
    </w:p>
    <w:p w14:paraId="3470481B" w14:textId="5313A03A" w:rsidR="006563F6" w:rsidRPr="004452FC" w:rsidRDefault="00AE4C79" w:rsidP="00EC5143">
      <w:pPr>
        <w:pStyle w:val="3-BodyText"/>
      </w:pPr>
      <w:r w:rsidRPr="004452FC">
        <w:t>T</w:t>
      </w:r>
      <w:r w:rsidR="000D0711" w:rsidRPr="004452FC">
        <w:t xml:space="preserve">reatment with ACP 2 mg for </w:t>
      </w:r>
      <w:r w:rsidR="00310225" w:rsidRPr="004452FC">
        <w:t xml:space="preserve">18 months in GATHER1 and </w:t>
      </w:r>
      <w:r w:rsidR="000D0711" w:rsidRPr="004452FC">
        <w:t>24 months</w:t>
      </w:r>
      <w:r w:rsidR="00310225" w:rsidRPr="004452FC">
        <w:t xml:space="preserve"> in GATHER2</w:t>
      </w:r>
      <w:r w:rsidR="000D0711" w:rsidRPr="004452FC">
        <w:t xml:space="preserve"> did not result in a statistically significant difference in visual acuity in patients in either trial.</w:t>
      </w:r>
    </w:p>
    <w:p w14:paraId="5C3FB2B9" w14:textId="0C784F7B" w:rsidR="00C84C5D" w:rsidRPr="004452FC" w:rsidRDefault="00990DB2">
      <w:pPr>
        <w:pStyle w:val="3-BodyText"/>
        <w:rPr>
          <w:color w:val="000000" w:themeColor="text1"/>
          <w:lang w:val="en-GB"/>
        </w:rPr>
      </w:pPr>
      <w:r w:rsidRPr="004452FC">
        <w:rPr>
          <w:color w:val="000000" w:themeColor="text1"/>
        </w:rPr>
        <w:t>The</w:t>
      </w:r>
      <w:r w:rsidR="00EC5143" w:rsidRPr="004452FC">
        <w:rPr>
          <w:color w:val="000000" w:themeColor="text1"/>
        </w:rPr>
        <w:t xml:space="preserve"> </w:t>
      </w:r>
      <w:r w:rsidR="00EC5143" w:rsidRPr="004452FC">
        <w:t>National Eye Institute V</w:t>
      </w:r>
      <w:r w:rsidR="00EC5143" w:rsidRPr="004452FC">
        <w:rPr>
          <w:color w:val="000000" w:themeColor="text1"/>
        </w:rPr>
        <w:t>isual Functioning Questionnaire (VFQ)</w:t>
      </w:r>
      <w:r w:rsidR="009B60A6">
        <w:rPr>
          <w:color w:val="000000" w:themeColor="text1"/>
        </w:rPr>
        <w:noBreakHyphen/>
      </w:r>
      <w:r w:rsidR="00EC5143" w:rsidRPr="004452FC">
        <w:rPr>
          <w:color w:val="000000" w:themeColor="text1"/>
        </w:rPr>
        <w:t>25 score</w:t>
      </w:r>
      <w:r w:rsidR="00EC5143" w:rsidRPr="004452FC">
        <w:rPr>
          <w:rStyle w:val="FootnoteReference"/>
          <w:color w:val="000000" w:themeColor="text1"/>
        </w:rPr>
        <w:footnoteReference w:id="17"/>
      </w:r>
      <w:r w:rsidR="00EC5143" w:rsidRPr="004452FC">
        <w:rPr>
          <w:color w:val="000000" w:themeColor="text1"/>
        </w:rPr>
        <w:t>, was used to assess quality of life in study patients</w:t>
      </w:r>
      <w:r w:rsidR="00FC4FC2" w:rsidRPr="004452FC">
        <w:rPr>
          <w:color w:val="000000" w:themeColor="text1"/>
        </w:rPr>
        <w:t xml:space="preserve"> in GATHER1 and GATHER2</w:t>
      </w:r>
      <w:r w:rsidR="00EC5143" w:rsidRPr="004452FC">
        <w:rPr>
          <w:color w:val="000000" w:themeColor="text1"/>
        </w:rPr>
        <w:t>. Four subscales in VFQ</w:t>
      </w:r>
      <w:r w:rsidR="009B60A6">
        <w:rPr>
          <w:color w:val="000000" w:themeColor="text1"/>
        </w:rPr>
        <w:noBreakHyphen/>
      </w:r>
      <w:r w:rsidR="00EC5143" w:rsidRPr="004452FC">
        <w:rPr>
          <w:color w:val="000000" w:themeColor="text1"/>
        </w:rPr>
        <w:t xml:space="preserve">25 were considered of interest in both trials: near vision activities, distance vision activities, dependency, and role difficulties. </w:t>
      </w:r>
      <w:r w:rsidR="00EC5143" w:rsidRPr="004452FC">
        <w:rPr>
          <w:color w:val="000000" w:themeColor="text1"/>
          <w:lang w:val="en-GB"/>
        </w:rPr>
        <w:t>Overall, results of the</w:t>
      </w:r>
      <w:r w:rsidR="00EC5143" w:rsidRPr="00C17763">
        <w:rPr>
          <w:iCs/>
          <w:color w:val="000000" w:themeColor="text1"/>
          <w:lang w:val="en-GB"/>
        </w:rPr>
        <w:t xml:space="preserve"> </w:t>
      </w:r>
      <w:r w:rsidR="0022000A" w:rsidRPr="004452FC">
        <w:rPr>
          <w:color w:val="000000" w:themeColor="text1"/>
          <w:lang w:val="en-GB"/>
        </w:rPr>
        <w:t xml:space="preserve">patient reported outcomes </w:t>
      </w:r>
      <w:r w:rsidR="00EC5143" w:rsidRPr="004452FC">
        <w:rPr>
          <w:color w:val="000000" w:themeColor="text1"/>
          <w:lang w:val="en-GB"/>
        </w:rPr>
        <w:t xml:space="preserve">in GATHER1 and GATHER2 did not demonstrate an improved quality of life in patients treated with ACP 2 mg IVT for up to 24 months compared to </w:t>
      </w:r>
      <w:r w:rsidR="00D36A2E" w:rsidRPr="004452FC">
        <w:rPr>
          <w:color w:val="000000" w:themeColor="text1"/>
          <w:lang w:val="en-GB"/>
        </w:rPr>
        <w:t>S</w:t>
      </w:r>
      <w:r w:rsidR="00EC5143" w:rsidRPr="004452FC">
        <w:rPr>
          <w:color w:val="000000" w:themeColor="text1"/>
          <w:lang w:val="en-GB"/>
        </w:rPr>
        <w:t>ham. In some of the VFQ</w:t>
      </w:r>
      <w:r w:rsidR="009B60A6">
        <w:rPr>
          <w:color w:val="000000" w:themeColor="text1"/>
          <w:lang w:val="en-GB"/>
        </w:rPr>
        <w:noBreakHyphen/>
      </w:r>
      <w:r w:rsidR="00EC5143" w:rsidRPr="004452FC">
        <w:rPr>
          <w:color w:val="000000" w:themeColor="text1"/>
          <w:lang w:val="en-GB"/>
        </w:rPr>
        <w:t xml:space="preserve">25 subscales, ACP 2 mg treated patients even showed worse performance related to functional vision, compared to </w:t>
      </w:r>
      <w:r w:rsidR="00D36A2E" w:rsidRPr="004452FC">
        <w:rPr>
          <w:color w:val="000000" w:themeColor="text1"/>
          <w:lang w:val="en-GB"/>
        </w:rPr>
        <w:t>S</w:t>
      </w:r>
      <w:r w:rsidR="00EC5143" w:rsidRPr="004452FC">
        <w:rPr>
          <w:color w:val="000000" w:themeColor="text1"/>
          <w:lang w:val="en-GB"/>
        </w:rPr>
        <w:t>ham patients. Nevertheless, the validity of the VFQ</w:t>
      </w:r>
      <w:r w:rsidR="009B60A6">
        <w:rPr>
          <w:color w:val="000000" w:themeColor="text1"/>
          <w:lang w:val="en-GB"/>
        </w:rPr>
        <w:noBreakHyphen/>
      </w:r>
      <w:r w:rsidR="00EC5143" w:rsidRPr="004452FC">
        <w:rPr>
          <w:color w:val="000000" w:themeColor="text1"/>
          <w:lang w:val="en-GB"/>
        </w:rPr>
        <w:t>25 questionnaire has been controversial since several subscales, such as the general vision, colour vision, and peripheral vision, are single</w:t>
      </w:r>
      <w:r w:rsidR="009B60A6">
        <w:rPr>
          <w:color w:val="000000" w:themeColor="text1"/>
          <w:lang w:val="en-GB"/>
        </w:rPr>
        <w:noBreakHyphen/>
      </w:r>
      <w:r w:rsidR="00EC5143" w:rsidRPr="004452FC">
        <w:rPr>
          <w:color w:val="000000" w:themeColor="text1"/>
          <w:lang w:val="en-GB"/>
        </w:rPr>
        <w:t xml:space="preserve">item subscales (i.e., having limited response options) and therefore, the tool </w:t>
      </w:r>
      <w:r w:rsidR="00EC5143" w:rsidRPr="004452FC">
        <w:rPr>
          <w:color w:val="000000" w:themeColor="text1"/>
          <w:lang w:val="en-GB"/>
        </w:rPr>
        <w:lastRenderedPageBreak/>
        <w:t>has been criticised as not being sensitive enough to capture</w:t>
      </w:r>
      <w:r w:rsidR="001A48EB" w:rsidRPr="004452FC">
        <w:rPr>
          <w:color w:val="000000" w:themeColor="text1"/>
          <w:lang w:val="en-GB"/>
        </w:rPr>
        <w:t xml:space="preserve"> small but clinically meaningful changes</w:t>
      </w:r>
      <w:r w:rsidR="001A48EB" w:rsidRPr="004452FC">
        <w:rPr>
          <w:rStyle w:val="FootnoteReference"/>
          <w:color w:val="000000" w:themeColor="text1"/>
          <w:lang w:val="en-GB"/>
        </w:rPr>
        <w:footnoteReference w:id="18"/>
      </w:r>
      <w:r w:rsidR="001A48EB" w:rsidRPr="004452FC">
        <w:rPr>
          <w:color w:val="000000" w:themeColor="text1"/>
          <w:lang w:val="en-GB"/>
        </w:rPr>
        <w:t>.</w:t>
      </w:r>
    </w:p>
    <w:p w14:paraId="46D5B2FB" w14:textId="7E23ECF3" w:rsidR="002216B9" w:rsidRPr="00EC6DF8" w:rsidRDefault="002216B9" w:rsidP="002216B9">
      <w:pPr>
        <w:pStyle w:val="5-SubsectionSubheading"/>
        <w:keepNext w:val="0"/>
        <w:keepLines w:val="0"/>
        <w:widowControl w:val="0"/>
        <w:spacing w:before="160" w:after="120"/>
      </w:pPr>
      <w:bookmarkStart w:id="35" w:name="_Toc190701489"/>
      <w:r w:rsidRPr="00EC6DF8">
        <w:t xml:space="preserve">Indirect comparison of </w:t>
      </w:r>
      <w:r>
        <w:t xml:space="preserve">ACP vs </w:t>
      </w:r>
      <w:bookmarkEnd w:id="35"/>
      <w:r>
        <w:t>pegcetacoplan</w:t>
      </w:r>
      <w:r w:rsidR="00465C8E">
        <w:t xml:space="preserve"> </w:t>
      </w:r>
      <w:r w:rsidR="00465C8E">
        <w:rPr>
          <w:rFonts w:cstheme="minorHAnsi"/>
        </w:rPr>
        <w:t>—</w:t>
      </w:r>
      <w:r w:rsidR="00465C8E">
        <w:t xml:space="preserve"> efficacy</w:t>
      </w:r>
    </w:p>
    <w:p w14:paraId="6CA86A0D" w14:textId="254E33D9" w:rsidR="001C2A18" w:rsidRPr="004452FC" w:rsidRDefault="00A72F6C" w:rsidP="006451FF">
      <w:pPr>
        <w:pStyle w:val="3-BodyText"/>
        <w:rPr>
          <w:color w:val="000000" w:themeColor="text1"/>
          <w:lang w:val="en-GB"/>
        </w:rPr>
      </w:pPr>
      <w:r w:rsidRPr="004452FC">
        <w:rPr>
          <w:color w:val="000000" w:themeColor="text1"/>
          <w:lang w:val="en-GB"/>
        </w:rPr>
        <w:t xml:space="preserve">In the anchored MAIC of OAKS vs GATHER2, </w:t>
      </w:r>
      <w:r w:rsidRPr="004452FC">
        <w:rPr>
          <w:lang w:val="en-GB"/>
        </w:rPr>
        <w:t xml:space="preserve">the adjusted difference in GA lesion growth at Month 12 between </w:t>
      </w:r>
      <w:r w:rsidRPr="004452FC">
        <w:t xml:space="preserve">pegcetacoplan EOM and ACP monthly was </w:t>
      </w:r>
      <w:r w:rsidR="009B60A6">
        <w:noBreakHyphen/>
      </w:r>
      <w:r w:rsidRPr="004452FC">
        <w:t>0.540 mm</w:t>
      </w:r>
      <w:r w:rsidRPr="004452FC">
        <w:rPr>
          <w:vertAlign w:val="superscript"/>
        </w:rPr>
        <w:t>2</w:t>
      </w:r>
      <w:r w:rsidRPr="004452FC">
        <w:t xml:space="preserve"> (95% CI: </w:t>
      </w:r>
      <w:r w:rsidR="009B60A6">
        <w:noBreakHyphen/>
      </w:r>
      <w:r w:rsidRPr="004452FC">
        <w:t xml:space="preserve">1.397, 0.317; p = 0.22). </w:t>
      </w:r>
      <w:r w:rsidR="006451FF" w:rsidRPr="004452FC">
        <w:rPr>
          <w:color w:val="000000" w:themeColor="text1"/>
          <w:lang w:val="en-GB"/>
        </w:rPr>
        <w:t>In the anchored MAIC of</w:t>
      </w:r>
      <w:r w:rsidRPr="004452FC">
        <w:t xml:space="preserve"> DERBY vs GATHER2, the adjusted difference was </w:t>
      </w:r>
      <w:r w:rsidR="009B60A6">
        <w:noBreakHyphen/>
      </w:r>
      <w:r w:rsidRPr="004452FC">
        <w:t>0.130mm</w:t>
      </w:r>
      <w:r w:rsidRPr="004452FC">
        <w:rPr>
          <w:vertAlign w:val="superscript"/>
        </w:rPr>
        <w:t>2</w:t>
      </w:r>
      <w:r w:rsidRPr="004452FC">
        <w:t xml:space="preserve"> (95% CI: </w:t>
      </w:r>
      <w:r w:rsidR="009B60A6">
        <w:noBreakHyphen/>
      </w:r>
      <w:r w:rsidRPr="004452FC">
        <w:t>1.425, 1.166; p = 0.85). The results numerically favoured pegcetacoplan EOM</w:t>
      </w:r>
      <w:r w:rsidR="002832ED" w:rsidRPr="004452FC">
        <w:t xml:space="preserve"> treatment</w:t>
      </w:r>
      <w:r w:rsidRPr="004452FC">
        <w:t>.</w:t>
      </w:r>
      <w:r w:rsidR="00CD104E" w:rsidRPr="004452FC">
        <w:t xml:space="preserve"> Meta</w:t>
      </w:r>
      <w:r w:rsidR="009B60A6">
        <w:noBreakHyphen/>
      </w:r>
      <w:r w:rsidR="00CD104E" w:rsidRPr="004452FC">
        <w:t xml:space="preserve">analysis showed the pooled effect for pegcetacoplan EOM </w:t>
      </w:r>
      <w:r w:rsidR="002D50F0" w:rsidRPr="004452FC">
        <w:t xml:space="preserve">(OAKS and DERBY) </w:t>
      </w:r>
      <w:r w:rsidR="00CD104E" w:rsidRPr="004452FC">
        <w:t xml:space="preserve">vs ACP monthly </w:t>
      </w:r>
      <w:r w:rsidR="002D50F0" w:rsidRPr="004452FC">
        <w:t xml:space="preserve">(GATHER2) </w:t>
      </w:r>
      <w:r w:rsidR="00CD104E" w:rsidRPr="004452FC">
        <w:t xml:space="preserve">was </w:t>
      </w:r>
      <w:r w:rsidR="009B60A6">
        <w:noBreakHyphen/>
      </w:r>
      <w:r w:rsidR="00CD104E" w:rsidRPr="004452FC">
        <w:t>0.415 mm</w:t>
      </w:r>
      <w:r w:rsidR="00CD104E" w:rsidRPr="004452FC">
        <w:rPr>
          <w:vertAlign w:val="superscript"/>
        </w:rPr>
        <w:t>2</w:t>
      </w:r>
      <w:r w:rsidR="00CD104E" w:rsidRPr="004452FC">
        <w:t xml:space="preserve"> (95% CI: </w:t>
      </w:r>
      <w:r w:rsidR="009B60A6">
        <w:noBreakHyphen/>
      </w:r>
      <w:r w:rsidR="00CD104E" w:rsidRPr="004452FC">
        <w:t>1.13, 0.30; p = 0.25), directionally favouring pegcetacoplan EOM</w:t>
      </w:r>
      <w:r w:rsidR="002832ED" w:rsidRPr="004452FC">
        <w:t xml:space="preserve"> treatment</w:t>
      </w:r>
      <w:r w:rsidR="00CD104E" w:rsidRPr="004452FC">
        <w:t>.</w:t>
      </w:r>
    </w:p>
    <w:p w14:paraId="67540C9F" w14:textId="097107BB" w:rsidR="006451FF" w:rsidRPr="004452FC" w:rsidRDefault="00200F46" w:rsidP="006451FF">
      <w:pPr>
        <w:pStyle w:val="3-BodyText"/>
        <w:rPr>
          <w:color w:val="000000" w:themeColor="text1"/>
          <w:lang w:val="en-GB"/>
        </w:rPr>
      </w:pPr>
      <w:bookmarkStart w:id="36" w:name="_Ref224655082"/>
      <w:r w:rsidRPr="00C17763">
        <w:rPr>
          <w:iCs/>
          <w:color w:val="000000" w:themeColor="text1"/>
          <w:lang w:val="en-GB"/>
        </w:rPr>
        <w:t xml:space="preserve">The ESC noted the </w:t>
      </w:r>
      <w:r>
        <w:rPr>
          <w:color w:val="000000" w:themeColor="text1"/>
          <w:lang w:val="en-GB"/>
        </w:rPr>
        <w:t>l</w:t>
      </w:r>
      <w:r w:rsidR="006451FF" w:rsidRPr="004452FC">
        <w:rPr>
          <w:color w:val="000000" w:themeColor="text1"/>
          <w:lang w:val="en-GB"/>
        </w:rPr>
        <w:t>imitations of the MAIC include the following:</w:t>
      </w:r>
      <w:bookmarkEnd w:id="36"/>
    </w:p>
    <w:p w14:paraId="1E752999" w14:textId="45F6D372" w:rsidR="006451FF" w:rsidRPr="004452FC" w:rsidRDefault="006451FF" w:rsidP="001A7CE8">
      <w:pPr>
        <w:pStyle w:val="3-BodyText"/>
        <w:numPr>
          <w:ilvl w:val="0"/>
          <w:numId w:val="14"/>
        </w:numPr>
        <w:ind w:left="1134"/>
        <w:rPr>
          <w:color w:val="000000" w:themeColor="text1"/>
          <w:lang w:val="en-GB"/>
        </w:rPr>
      </w:pPr>
      <w:r w:rsidRPr="004452FC">
        <w:rPr>
          <w:color w:val="000000" w:themeColor="text1"/>
          <w:lang w:val="en-GB"/>
        </w:rPr>
        <w:t xml:space="preserve">For this indirect comparison, </w:t>
      </w:r>
      <w:r w:rsidR="00EC5143" w:rsidRPr="004452FC">
        <w:rPr>
          <w:color w:val="000000" w:themeColor="text1"/>
          <w:lang w:val="en-GB"/>
        </w:rPr>
        <w:t>individual patient data (</w:t>
      </w:r>
      <w:r w:rsidRPr="004452FC">
        <w:rPr>
          <w:color w:val="000000" w:themeColor="text1"/>
          <w:lang w:val="en-GB"/>
        </w:rPr>
        <w:t>IPD</w:t>
      </w:r>
      <w:r w:rsidR="00EC5143" w:rsidRPr="004452FC">
        <w:rPr>
          <w:color w:val="000000" w:themeColor="text1"/>
          <w:lang w:val="en-GB"/>
        </w:rPr>
        <w:t>)</w:t>
      </w:r>
      <w:r w:rsidRPr="004452FC">
        <w:rPr>
          <w:color w:val="000000" w:themeColor="text1"/>
          <w:lang w:val="en-GB"/>
        </w:rPr>
        <w:t xml:space="preserve"> were available for OAKS and DERBY but not for GATHER2. As such, patient</w:t>
      </w:r>
      <w:r w:rsidR="009B60A6">
        <w:rPr>
          <w:color w:val="000000" w:themeColor="text1"/>
          <w:lang w:val="en-GB"/>
        </w:rPr>
        <w:noBreakHyphen/>
      </w:r>
      <w:r w:rsidRPr="004452FC">
        <w:rPr>
          <w:color w:val="000000" w:themeColor="text1"/>
          <w:lang w:val="en-GB"/>
        </w:rPr>
        <w:t xml:space="preserve">level adjustments between the trials were not possible. </w:t>
      </w:r>
    </w:p>
    <w:p w14:paraId="0FC99366" w14:textId="2E36FA27" w:rsidR="006451FF" w:rsidRPr="004452FC" w:rsidRDefault="006451FF" w:rsidP="001A7CE8">
      <w:pPr>
        <w:pStyle w:val="3-BodyText"/>
        <w:numPr>
          <w:ilvl w:val="0"/>
          <w:numId w:val="14"/>
        </w:numPr>
        <w:ind w:left="1134"/>
        <w:rPr>
          <w:color w:val="000000" w:themeColor="text1"/>
          <w:lang w:val="en-GB"/>
        </w:rPr>
      </w:pPr>
      <w:r w:rsidRPr="004452FC">
        <w:rPr>
          <w:color w:val="000000" w:themeColor="text1"/>
          <w:lang w:val="en-GB"/>
        </w:rPr>
        <w:t>Despite the matching of</w:t>
      </w:r>
      <w:r w:rsidR="00EC5143" w:rsidRPr="004452FC">
        <w:rPr>
          <w:color w:val="000000" w:themeColor="text1"/>
          <w:lang w:val="en-GB"/>
        </w:rPr>
        <w:t xml:space="preserve"> some</w:t>
      </w:r>
      <w:r w:rsidRPr="004452FC">
        <w:rPr>
          <w:color w:val="000000" w:themeColor="text1"/>
          <w:lang w:val="en-GB"/>
        </w:rPr>
        <w:t xml:space="preserve"> enrolment criteria and key ocular variables between the trials, residual differences remained in study design and </w:t>
      </w:r>
      <w:r w:rsidR="00EC5143" w:rsidRPr="004452FC">
        <w:rPr>
          <w:color w:val="000000" w:themeColor="text1"/>
          <w:lang w:val="en-GB"/>
        </w:rPr>
        <w:t xml:space="preserve">other </w:t>
      </w:r>
      <w:r w:rsidRPr="004452FC">
        <w:rPr>
          <w:color w:val="000000" w:themeColor="text1"/>
          <w:lang w:val="en-GB"/>
        </w:rPr>
        <w:t xml:space="preserve">enrolment criteria </w:t>
      </w:r>
      <w:r w:rsidR="009B5CFD">
        <w:rPr>
          <w:color w:val="000000" w:themeColor="text1"/>
          <w:lang w:val="en-GB"/>
        </w:rPr>
        <w:t>which</w:t>
      </w:r>
      <w:r w:rsidR="009B5CFD" w:rsidRPr="004452FC">
        <w:rPr>
          <w:color w:val="000000" w:themeColor="text1"/>
          <w:lang w:val="en-GB"/>
        </w:rPr>
        <w:t xml:space="preserve"> </w:t>
      </w:r>
      <w:r w:rsidRPr="004452FC">
        <w:rPr>
          <w:color w:val="000000" w:themeColor="text1"/>
          <w:lang w:val="en-GB"/>
        </w:rPr>
        <w:t>could not be adjusted.</w:t>
      </w:r>
    </w:p>
    <w:p w14:paraId="4328681A" w14:textId="7CACA5A7" w:rsidR="006451FF" w:rsidRPr="004452FC" w:rsidRDefault="006451FF" w:rsidP="001A7CE8">
      <w:pPr>
        <w:pStyle w:val="3-BodyText"/>
        <w:numPr>
          <w:ilvl w:val="0"/>
          <w:numId w:val="14"/>
        </w:numPr>
        <w:ind w:left="1134"/>
        <w:rPr>
          <w:color w:val="000000" w:themeColor="text1"/>
          <w:lang w:val="en-GB"/>
        </w:rPr>
      </w:pPr>
      <w:r w:rsidRPr="004452FC">
        <w:rPr>
          <w:color w:val="000000" w:themeColor="text1"/>
          <w:lang w:val="en-GB"/>
        </w:rPr>
        <w:t xml:space="preserve">The robustness of the results may have been affected by the small effective sample size in OAKS and DERBY for comparison, which is common in </w:t>
      </w:r>
      <w:r w:rsidR="00EC5143" w:rsidRPr="004452FC">
        <w:rPr>
          <w:color w:val="000000" w:themeColor="text1"/>
          <w:lang w:val="en-GB"/>
        </w:rPr>
        <w:t xml:space="preserve">a </w:t>
      </w:r>
      <w:r w:rsidRPr="004452FC">
        <w:rPr>
          <w:color w:val="000000" w:themeColor="text1"/>
          <w:lang w:val="en-GB"/>
        </w:rPr>
        <w:t>MAIC and is the result of the trade</w:t>
      </w:r>
      <w:r w:rsidR="009B60A6">
        <w:rPr>
          <w:color w:val="000000" w:themeColor="text1"/>
          <w:lang w:val="en-GB"/>
        </w:rPr>
        <w:noBreakHyphen/>
      </w:r>
      <w:r w:rsidRPr="004452FC">
        <w:rPr>
          <w:color w:val="000000" w:themeColor="text1"/>
          <w:lang w:val="en-GB"/>
        </w:rPr>
        <w:t xml:space="preserve">off for the number of matching variables. </w:t>
      </w:r>
    </w:p>
    <w:p w14:paraId="002E8232" w14:textId="0F3E6ED6" w:rsidR="006451FF" w:rsidRPr="004452FC" w:rsidRDefault="006451FF" w:rsidP="001A7CE8">
      <w:pPr>
        <w:pStyle w:val="3-BodyText"/>
        <w:numPr>
          <w:ilvl w:val="0"/>
          <w:numId w:val="14"/>
        </w:numPr>
        <w:ind w:left="1134"/>
        <w:rPr>
          <w:color w:val="000000" w:themeColor="text1"/>
          <w:lang w:val="en-GB"/>
        </w:rPr>
      </w:pPr>
      <w:r w:rsidRPr="004452FC">
        <w:rPr>
          <w:color w:val="000000" w:themeColor="text1"/>
          <w:lang w:val="en-GB"/>
        </w:rPr>
        <w:t>Data from GATHER1 w</w:t>
      </w:r>
      <w:r w:rsidR="00EC5143" w:rsidRPr="004452FC">
        <w:rPr>
          <w:color w:val="000000" w:themeColor="text1"/>
          <w:lang w:val="en-GB"/>
        </w:rPr>
        <w:t>ere</w:t>
      </w:r>
      <w:r w:rsidRPr="004452FC">
        <w:rPr>
          <w:color w:val="000000" w:themeColor="text1"/>
          <w:lang w:val="en-GB"/>
        </w:rPr>
        <w:t xml:space="preserve"> not included for comparison due to its incomparable trial design</w:t>
      </w:r>
      <w:r w:rsidR="001C2A18" w:rsidRPr="004452FC">
        <w:rPr>
          <w:color w:val="000000" w:themeColor="text1"/>
          <w:lang w:val="en-GB"/>
        </w:rPr>
        <w:t>, mainly, the two</w:t>
      </w:r>
      <w:r w:rsidR="009B60A6">
        <w:rPr>
          <w:color w:val="000000" w:themeColor="text1"/>
          <w:lang w:val="en-GB"/>
        </w:rPr>
        <w:noBreakHyphen/>
      </w:r>
      <w:r w:rsidR="001C2A18" w:rsidRPr="004452FC">
        <w:rPr>
          <w:color w:val="000000" w:themeColor="text1"/>
          <w:lang w:val="en-GB"/>
        </w:rPr>
        <w:t xml:space="preserve">part trial design, </w:t>
      </w:r>
      <w:r w:rsidRPr="004452FC">
        <w:rPr>
          <w:color w:val="000000" w:themeColor="text1"/>
          <w:lang w:val="en-GB"/>
        </w:rPr>
        <w:t>and a key baseline variable (GA lesion focality) not being reported but was required for matching in the MAIC</w:t>
      </w:r>
      <w:r w:rsidR="007A2EF2" w:rsidRPr="004452FC">
        <w:rPr>
          <w:rStyle w:val="FootnoteReference"/>
          <w:color w:val="000000" w:themeColor="text1"/>
          <w:lang w:val="en-GB"/>
        </w:rPr>
        <w:footnoteReference w:id="19"/>
      </w:r>
      <w:r w:rsidRPr="004452FC">
        <w:rPr>
          <w:color w:val="000000" w:themeColor="text1"/>
          <w:lang w:val="en-GB"/>
        </w:rPr>
        <w:t xml:space="preserve">. </w:t>
      </w:r>
    </w:p>
    <w:p w14:paraId="134555FD" w14:textId="421036A9" w:rsidR="006451FF" w:rsidRPr="004452FC" w:rsidRDefault="006451FF" w:rsidP="001A7CE8">
      <w:pPr>
        <w:pStyle w:val="3-BodyText"/>
        <w:numPr>
          <w:ilvl w:val="0"/>
          <w:numId w:val="14"/>
        </w:numPr>
        <w:ind w:left="1134"/>
        <w:rPr>
          <w:color w:val="000000" w:themeColor="text1"/>
          <w:lang w:val="en-GB"/>
        </w:rPr>
      </w:pPr>
      <w:r w:rsidRPr="004452FC">
        <w:rPr>
          <w:color w:val="000000" w:themeColor="text1"/>
          <w:lang w:val="en-GB"/>
        </w:rPr>
        <w:t>Compared to the GATHER2 GA population, the OAKS and DERBY</w:t>
      </w:r>
      <w:r w:rsidR="00EC5143" w:rsidRPr="004452FC">
        <w:rPr>
          <w:color w:val="000000" w:themeColor="text1"/>
          <w:lang w:val="en-GB"/>
        </w:rPr>
        <w:t xml:space="preserve"> GA</w:t>
      </w:r>
      <w:r w:rsidRPr="004452FC">
        <w:rPr>
          <w:color w:val="000000" w:themeColor="text1"/>
          <w:lang w:val="en-GB"/>
        </w:rPr>
        <w:t xml:space="preserve"> population</w:t>
      </w:r>
      <w:r w:rsidR="00EC5143" w:rsidRPr="004452FC">
        <w:rPr>
          <w:color w:val="000000" w:themeColor="text1"/>
          <w:lang w:val="en-GB"/>
        </w:rPr>
        <w:t>s were</w:t>
      </w:r>
      <w:r w:rsidRPr="004452FC">
        <w:rPr>
          <w:color w:val="000000" w:themeColor="text1"/>
          <w:lang w:val="en-GB"/>
        </w:rPr>
        <w:t xml:space="preserve"> heterogeneous with less residual functional vision and a more urgent need for effective treatment to preserve the residual functional vision. The results of the MAICs reflected a ‘GATHER2</w:t>
      </w:r>
      <w:r w:rsidR="009B60A6">
        <w:rPr>
          <w:color w:val="000000" w:themeColor="text1"/>
          <w:lang w:val="en-GB"/>
        </w:rPr>
        <w:noBreakHyphen/>
      </w:r>
      <w:r w:rsidRPr="004452FC">
        <w:rPr>
          <w:color w:val="000000" w:themeColor="text1"/>
          <w:lang w:val="en-GB"/>
        </w:rPr>
        <w:t xml:space="preserve">like’ population, which is in fact a narrower GA population. The applicability of the results </w:t>
      </w:r>
      <w:r w:rsidR="00EC5143" w:rsidRPr="004452FC">
        <w:rPr>
          <w:color w:val="000000" w:themeColor="text1"/>
          <w:lang w:val="en-GB"/>
        </w:rPr>
        <w:t>to</w:t>
      </w:r>
      <w:r w:rsidRPr="004452FC">
        <w:rPr>
          <w:color w:val="000000" w:themeColor="text1"/>
          <w:lang w:val="en-GB"/>
        </w:rPr>
        <w:t xml:space="preserve"> the Australian setting is uncertain.</w:t>
      </w:r>
    </w:p>
    <w:p w14:paraId="3854C6D8" w14:textId="20F2D373" w:rsidR="004A6956" w:rsidRPr="004452FC" w:rsidRDefault="00BF707A" w:rsidP="004A6956">
      <w:pPr>
        <w:pStyle w:val="3-BodyText"/>
        <w:rPr>
          <w:color w:val="000000" w:themeColor="text1"/>
          <w:lang w:val="en-GB"/>
        </w:rPr>
      </w:pPr>
      <w:bookmarkStart w:id="37" w:name="_Ref224825191"/>
      <w:r w:rsidRPr="004452FC">
        <w:rPr>
          <w:color w:val="000000" w:themeColor="text1"/>
          <w:lang w:val="en-GB"/>
        </w:rPr>
        <w:t>Results of the ML</w:t>
      </w:r>
      <w:r w:rsidR="009B60A6">
        <w:rPr>
          <w:color w:val="000000" w:themeColor="text1"/>
          <w:lang w:val="en-GB"/>
        </w:rPr>
        <w:noBreakHyphen/>
      </w:r>
      <w:proofErr w:type="gramStart"/>
      <w:r w:rsidRPr="004452FC">
        <w:rPr>
          <w:color w:val="000000" w:themeColor="text1"/>
          <w:lang w:val="en-GB"/>
        </w:rPr>
        <w:t xml:space="preserve">NMR </w:t>
      </w:r>
      <w:r w:rsidR="004A6956" w:rsidRPr="004452FC">
        <w:rPr>
          <w:color w:val="000000" w:themeColor="text1"/>
          <w:lang w:val="en-GB"/>
        </w:rPr>
        <w:t>ITC</w:t>
      </w:r>
      <w:proofErr w:type="gramEnd"/>
      <w:r w:rsidR="004A6956" w:rsidRPr="004452FC">
        <w:rPr>
          <w:color w:val="000000" w:themeColor="text1"/>
          <w:lang w:val="en-GB"/>
        </w:rPr>
        <w:t xml:space="preserve"> </w:t>
      </w:r>
      <w:r w:rsidR="00787788" w:rsidRPr="004452FC">
        <w:rPr>
          <w:color w:val="000000" w:themeColor="text1"/>
          <w:lang w:val="en-GB"/>
        </w:rPr>
        <w:t>which was informed by the GATHER1</w:t>
      </w:r>
      <w:r w:rsidR="00435451" w:rsidRPr="004452FC">
        <w:rPr>
          <w:color w:val="000000" w:themeColor="text1"/>
          <w:lang w:val="en-GB"/>
        </w:rPr>
        <w:t xml:space="preserve">, GATHER2, DERBY, OAKS and FILLY trials </w:t>
      </w:r>
      <w:r w:rsidRPr="004452FC">
        <w:rPr>
          <w:color w:val="000000" w:themeColor="text1"/>
          <w:lang w:val="en-GB"/>
        </w:rPr>
        <w:t xml:space="preserve">are presented in </w:t>
      </w:r>
      <w:r w:rsidRPr="004452FC">
        <w:rPr>
          <w:color w:val="000000" w:themeColor="text1"/>
          <w:lang w:val="en-GB"/>
        </w:rPr>
        <w:fldChar w:fldCharType="begin"/>
      </w:r>
      <w:r w:rsidRPr="004452FC">
        <w:rPr>
          <w:color w:val="000000" w:themeColor="text1"/>
          <w:lang w:val="en-GB"/>
        </w:rPr>
        <w:instrText xml:space="preserve"> REF _Ref218469937 \h </w:instrText>
      </w:r>
      <w:r w:rsidR="004452FC" w:rsidRPr="004452FC">
        <w:rPr>
          <w:color w:val="000000" w:themeColor="text1"/>
          <w:lang w:val="en-GB"/>
        </w:rPr>
        <w:instrText xml:space="preserve"> \* MERGEFORMAT </w:instrText>
      </w:r>
      <w:r w:rsidRPr="004452FC">
        <w:rPr>
          <w:color w:val="000000" w:themeColor="text1"/>
          <w:lang w:val="en-GB"/>
        </w:rPr>
      </w:r>
      <w:r w:rsidRPr="004452FC">
        <w:rPr>
          <w:color w:val="000000" w:themeColor="text1"/>
          <w:lang w:val="en-GB"/>
        </w:rPr>
        <w:fldChar w:fldCharType="separate"/>
      </w:r>
      <w:r w:rsidR="00962F38">
        <w:t xml:space="preserve">Figure </w:t>
      </w:r>
      <w:r w:rsidR="00962F38">
        <w:rPr>
          <w:noProof/>
        </w:rPr>
        <w:t>5</w:t>
      </w:r>
      <w:r w:rsidRPr="004452FC">
        <w:rPr>
          <w:color w:val="000000" w:themeColor="text1"/>
          <w:lang w:val="en-GB"/>
        </w:rPr>
        <w:fldChar w:fldCharType="end"/>
      </w:r>
      <w:r w:rsidRPr="004452FC">
        <w:rPr>
          <w:color w:val="000000" w:themeColor="text1"/>
          <w:lang w:val="en-GB"/>
        </w:rPr>
        <w:t xml:space="preserve"> and </w:t>
      </w:r>
      <w:r w:rsidRPr="004452FC">
        <w:rPr>
          <w:color w:val="000000" w:themeColor="text1"/>
          <w:lang w:val="en-GB"/>
        </w:rPr>
        <w:fldChar w:fldCharType="begin"/>
      </w:r>
      <w:r w:rsidRPr="004452FC">
        <w:rPr>
          <w:color w:val="000000" w:themeColor="text1"/>
          <w:lang w:val="en-GB"/>
        </w:rPr>
        <w:instrText xml:space="preserve"> REF _Ref218469938 \h </w:instrText>
      </w:r>
      <w:r w:rsidR="004452FC" w:rsidRPr="004452FC">
        <w:rPr>
          <w:color w:val="000000" w:themeColor="text1"/>
          <w:lang w:val="en-GB"/>
        </w:rPr>
        <w:instrText xml:space="preserve"> \* MERGEFORMAT </w:instrText>
      </w:r>
      <w:r w:rsidRPr="004452FC">
        <w:rPr>
          <w:color w:val="000000" w:themeColor="text1"/>
          <w:lang w:val="en-GB"/>
        </w:rPr>
      </w:r>
      <w:r w:rsidRPr="004452FC">
        <w:rPr>
          <w:color w:val="000000" w:themeColor="text1"/>
          <w:lang w:val="en-GB"/>
        </w:rPr>
        <w:fldChar w:fldCharType="separate"/>
      </w:r>
      <w:r w:rsidR="00962F38">
        <w:t xml:space="preserve">Figure </w:t>
      </w:r>
      <w:r w:rsidR="00962F38">
        <w:rPr>
          <w:noProof/>
        </w:rPr>
        <w:t>6</w:t>
      </w:r>
      <w:r w:rsidRPr="004452FC">
        <w:rPr>
          <w:color w:val="000000" w:themeColor="text1"/>
          <w:lang w:val="en-GB"/>
        </w:rPr>
        <w:fldChar w:fldCharType="end"/>
      </w:r>
      <w:r w:rsidRPr="004452FC">
        <w:rPr>
          <w:color w:val="000000" w:themeColor="text1"/>
          <w:lang w:val="en-GB"/>
        </w:rPr>
        <w:t>.</w:t>
      </w:r>
      <w:r w:rsidR="004A6956" w:rsidRPr="004452FC">
        <w:rPr>
          <w:color w:val="000000" w:themeColor="text1"/>
          <w:lang w:val="en-GB"/>
        </w:rPr>
        <w:t xml:space="preserve"> In the submission, it was stated that the transitivity assumption of the ML</w:t>
      </w:r>
      <w:r w:rsidR="009B60A6">
        <w:rPr>
          <w:color w:val="000000" w:themeColor="text1"/>
          <w:lang w:val="en-GB"/>
        </w:rPr>
        <w:noBreakHyphen/>
      </w:r>
      <w:r w:rsidR="004A6956" w:rsidRPr="004452FC">
        <w:rPr>
          <w:color w:val="000000" w:themeColor="text1"/>
          <w:lang w:val="en-GB"/>
        </w:rPr>
        <w:t>NMR</w:t>
      </w:r>
      <w:r w:rsidR="004A6956" w:rsidRPr="004452FC">
        <w:rPr>
          <w:rStyle w:val="FootnoteReference"/>
          <w:color w:val="000000" w:themeColor="text1"/>
          <w:lang w:val="en-GB"/>
        </w:rPr>
        <w:footnoteReference w:id="20"/>
      </w:r>
      <w:r w:rsidR="004A6956" w:rsidRPr="004452FC">
        <w:rPr>
          <w:color w:val="000000" w:themeColor="text1"/>
          <w:lang w:val="en-GB"/>
        </w:rPr>
        <w:t xml:space="preserve">, event rates in the common reference groups, and factors that may cause heterogeneity of comparative treatment effects were addressed in detail in the Astella ITC Technical report. </w:t>
      </w:r>
      <w:r w:rsidR="004A6956" w:rsidRPr="009C6C70">
        <w:rPr>
          <w:color w:val="000000" w:themeColor="text1"/>
          <w:lang w:val="en-GB"/>
        </w:rPr>
        <w:t xml:space="preserve">However, this </w:t>
      </w:r>
      <w:r w:rsidR="004A6956" w:rsidRPr="009C6C70">
        <w:rPr>
          <w:color w:val="000000" w:themeColor="text1"/>
          <w:lang w:val="en-GB"/>
        </w:rPr>
        <w:lastRenderedPageBreak/>
        <w:t>technical report was not available during the evaluation.</w:t>
      </w:r>
      <w:r w:rsidR="00F8222D">
        <w:rPr>
          <w:color w:val="000000" w:themeColor="text1"/>
          <w:lang w:val="en-GB"/>
        </w:rPr>
        <w:t xml:space="preserve"> </w:t>
      </w:r>
      <w:r w:rsidR="00F8222D" w:rsidRPr="00C17763">
        <w:rPr>
          <w:iCs/>
          <w:color w:val="000000" w:themeColor="text1"/>
          <w:lang w:val="en-GB"/>
        </w:rPr>
        <w:t xml:space="preserve">The ESC noted the Astella ITC Technical report was provided with the PSCR. </w:t>
      </w:r>
      <w:r w:rsidR="005A2DC0" w:rsidRPr="00C17763">
        <w:rPr>
          <w:iCs/>
          <w:color w:val="000000" w:themeColor="text1"/>
          <w:lang w:val="en-GB"/>
        </w:rPr>
        <w:t xml:space="preserve">The ESC noted the </w:t>
      </w:r>
      <w:r w:rsidR="003F5924" w:rsidRPr="00C17763">
        <w:rPr>
          <w:iCs/>
          <w:color w:val="000000" w:themeColor="text1"/>
          <w:lang w:val="en-GB"/>
        </w:rPr>
        <w:t>technical</w:t>
      </w:r>
      <w:r w:rsidR="00EE52B8" w:rsidRPr="00C17763">
        <w:rPr>
          <w:iCs/>
          <w:color w:val="000000" w:themeColor="text1"/>
          <w:lang w:val="en-GB"/>
        </w:rPr>
        <w:t xml:space="preserve"> report provided details on the adjustment variables used</w:t>
      </w:r>
      <w:r w:rsidR="00C00FBA" w:rsidRPr="00C17763">
        <w:rPr>
          <w:iCs/>
          <w:color w:val="000000" w:themeColor="text1"/>
          <w:lang w:val="en-GB"/>
        </w:rPr>
        <w:t xml:space="preserve"> which included minimum distance to foveal centre, baseline GA lesion area, low</w:t>
      </w:r>
      <w:r w:rsidR="009B60A6">
        <w:rPr>
          <w:iCs/>
          <w:color w:val="000000" w:themeColor="text1"/>
          <w:lang w:val="en-GB"/>
        </w:rPr>
        <w:noBreakHyphen/>
      </w:r>
      <w:r w:rsidR="00C00FBA" w:rsidRPr="00C17763">
        <w:rPr>
          <w:iCs/>
          <w:color w:val="000000" w:themeColor="text1"/>
          <w:lang w:val="en-GB"/>
        </w:rPr>
        <w:t>luminance deficit, lesion laterality, lesion focality</w:t>
      </w:r>
      <w:r w:rsidR="00ED428B" w:rsidRPr="00C17763">
        <w:rPr>
          <w:iCs/>
          <w:color w:val="000000" w:themeColor="text1"/>
          <w:lang w:val="en-GB"/>
        </w:rPr>
        <w:t xml:space="preserve">, age and gender. The ESC noted the </w:t>
      </w:r>
      <w:r w:rsidR="003F5924" w:rsidRPr="00C17763">
        <w:rPr>
          <w:iCs/>
          <w:color w:val="000000" w:themeColor="text1"/>
          <w:lang w:val="en-GB"/>
        </w:rPr>
        <w:t>technical</w:t>
      </w:r>
      <w:r w:rsidR="00ED428B" w:rsidRPr="00C17763">
        <w:rPr>
          <w:iCs/>
          <w:color w:val="000000" w:themeColor="text1"/>
          <w:lang w:val="en-GB"/>
        </w:rPr>
        <w:t xml:space="preserve"> report also acknowledged the limitations of the analysis </w:t>
      </w:r>
      <w:r w:rsidR="00B07B85" w:rsidRPr="00C17763">
        <w:rPr>
          <w:iCs/>
          <w:color w:val="000000" w:themeColor="text1"/>
          <w:lang w:val="en-GB"/>
        </w:rPr>
        <w:t>which included the low number of studies, unidentified or unreported effect modifiers and missing inform</w:t>
      </w:r>
      <w:r w:rsidR="004A5FE9" w:rsidRPr="00C17763">
        <w:rPr>
          <w:iCs/>
          <w:color w:val="000000" w:themeColor="text1"/>
          <w:lang w:val="en-GB"/>
        </w:rPr>
        <w:t xml:space="preserve">ation on the correlation structure in aggregate studies. </w:t>
      </w:r>
      <w:r w:rsidR="00E3625C" w:rsidRPr="00C17763">
        <w:rPr>
          <w:iCs/>
          <w:color w:val="000000" w:themeColor="text1"/>
          <w:lang w:val="en-GB"/>
        </w:rPr>
        <w:t>The ESC considered the</w:t>
      </w:r>
      <w:r w:rsidR="00E86C99" w:rsidRPr="00C17763">
        <w:rPr>
          <w:iCs/>
          <w:color w:val="000000" w:themeColor="text1"/>
          <w:lang w:val="en-GB"/>
        </w:rPr>
        <w:t xml:space="preserve"> </w:t>
      </w:r>
      <w:r w:rsidR="00524D8F" w:rsidRPr="00C17763">
        <w:rPr>
          <w:iCs/>
          <w:color w:val="000000" w:themeColor="text1"/>
          <w:lang w:val="en-GB"/>
        </w:rPr>
        <w:t xml:space="preserve">use of </w:t>
      </w:r>
      <w:r w:rsidR="00E86C99" w:rsidRPr="00C17763">
        <w:rPr>
          <w:iCs/>
          <w:color w:val="000000" w:themeColor="text1"/>
          <w:lang w:val="en-GB"/>
        </w:rPr>
        <w:t>ML</w:t>
      </w:r>
      <w:r w:rsidR="009B60A6">
        <w:rPr>
          <w:iCs/>
          <w:color w:val="000000" w:themeColor="text1"/>
          <w:lang w:val="en-GB"/>
        </w:rPr>
        <w:noBreakHyphen/>
      </w:r>
      <w:r w:rsidR="00E86C99" w:rsidRPr="00C17763">
        <w:rPr>
          <w:iCs/>
          <w:color w:val="000000" w:themeColor="text1"/>
          <w:lang w:val="en-GB"/>
        </w:rPr>
        <w:t xml:space="preserve">NMR ITC model to be novel but noted that it builds on existing model structures and has been </w:t>
      </w:r>
      <w:r w:rsidR="00D15BF4" w:rsidRPr="00C17763">
        <w:rPr>
          <w:iCs/>
          <w:color w:val="000000" w:themeColor="text1"/>
          <w:lang w:val="en-GB"/>
        </w:rPr>
        <w:t>published in a peer</w:t>
      </w:r>
      <w:r w:rsidR="009B60A6">
        <w:rPr>
          <w:iCs/>
          <w:color w:val="000000" w:themeColor="text1"/>
          <w:lang w:val="en-GB"/>
        </w:rPr>
        <w:noBreakHyphen/>
      </w:r>
      <w:r w:rsidR="00D15BF4" w:rsidRPr="00C17763">
        <w:rPr>
          <w:iCs/>
          <w:color w:val="000000" w:themeColor="text1"/>
          <w:lang w:val="en-GB"/>
        </w:rPr>
        <w:t>reviewed statistical journal.</w:t>
      </w:r>
      <w:bookmarkEnd w:id="37"/>
      <w:r w:rsidR="00D15BF4" w:rsidRPr="00C17763">
        <w:rPr>
          <w:iCs/>
          <w:color w:val="000000" w:themeColor="text1"/>
          <w:lang w:val="en-GB"/>
        </w:rPr>
        <w:t xml:space="preserve"> </w:t>
      </w:r>
    </w:p>
    <w:p w14:paraId="74EF871F" w14:textId="651535AA" w:rsidR="00BF707A" w:rsidRDefault="00BF707A" w:rsidP="00F83A04">
      <w:pPr>
        <w:pStyle w:val="Caption"/>
        <w:spacing w:before="120"/>
        <w:ind w:left="142"/>
      </w:pPr>
      <w:bookmarkStart w:id="38" w:name="_Ref218469937"/>
      <w:r>
        <w:t xml:space="preserve">Figure </w:t>
      </w:r>
      <w:fldSimple w:instr=" SEQ Figure \* ARABIC ">
        <w:r w:rsidR="00962F38">
          <w:rPr>
            <w:noProof/>
          </w:rPr>
          <w:t>5</w:t>
        </w:r>
      </w:fldSimple>
      <w:bookmarkEnd w:id="38"/>
      <w:r>
        <w:t xml:space="preserve">: </w:t>
      </w:r>
      <w:r w:rsidR="00CF6C9A">
        <w:t>ML</w:t>
      </w:r>
      <w:r w:rsidR="009B60A6">
        <w:noBreakHyphen/>
      </w:r>
      <w:r w:rsidR="00CF6C9A">
        <w:t>NMR r</w:t>
      </w:r>
      <w:r w:rsidRPr="00BF707A">
        <w:t xml:space="preserve">elative effect of ACP </w:t>
      </w:r>
      <w:r w:rsidR="005942F5">
        <w:t xml:space="preserve">monthly </w:t>
      </w:r>
      <w:r w:rsidRPr="00BF707A">
        <w:t>vs pegcetacoplan</w:t>
      </w:r>
      <w:r w:rsidR="005942F5">
        <w:t xml:space="preserve"> monthly or every other month</w:t>
      </w:r>
      <w:r w:rsidRPr="00BF707A">
        <w:t xml:space="preserve"> for the change from baseline in GA lesion size at Month 12</w:t>
      </w:r>
      <w:r w:rsidR="00CF6C9A">
        <w:t xml:space="preserve"> </w:t>
      </w:r>
    </w:p>
    <w:p w14:paraId="2EE18503" w14:textId="77777777" w:rsidR="00BF707A" w:rsidRDefault="00BF707A" w:rsidP="00EF6026">
      <w:pPr>
        <w:pStyle w:val="Caption"/>
        <w:spacing w:after="120"/>
        <w:ind w:left="142"/>
      </w:pPr>
      <w:r w:rsidRPr="00CF637F">
        <w:rPr>
          <w:noProof/>
        </w:rPr>
        <w:drawing>
          <wp:inline distT="0" distB="0" distL="0" distR="0" wp14:anchorId="383C680B" wp14:editId="5EE1C235">
            <wp:extent cx="5441459" cy="1567180"/>
            <wp:effectExtent l="0" t="0" r="6985" b="0"/>
            <wp:docPr id="1727146917" name="Picture 3" descr="Figure 5: ML NMR relative effect of ACP monthly vs pegcetacoplan monthly or every other month for the change from baseline in GA lesion size at Month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46917" name="Picture 3" descr="Figure 5: ML NMR relative effect of ACP monthly vs pegcetacoplan monthly or every other month for the change from baseline in GA lesion size at Month 12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8210" cy="1572005"/>
                    </a:xfrm>
                    <a:prstGeom prst="rect">
                      <a:avLst/>
                    </a:prstGeom>
                    <a:noFill/>
                    <a:ln>
                      <a:noFill/>
                    </a:ln>
                  </pic:spPr>
                </pic:pic>
              </a:graphicData>
            </a:graphic>
          </wp:inline>
        </w:drawing>
      </w:r>
    </w:p>
    <w:p w14:paraId="3CF501CA" w14:textId="77777777" w:rsidR="00BF707A" w:rsidRPr="003D2BEE" w:rsidRDefault="00BF707A" w:rsidP="00EF6026">
      <w:pPr>
        <w:pStyle w:val="TableFigureFooter"/>
        <w:ind w:left="142"/>
        <w:rPr>
          <w:lang w:val="fr-FR"/>
        </w:rPr>
      </w:pPr>
      <w:proofErr w:type="gramStart"/>
      <w:r w:rsidRPr="003D2BEE">
        <w:rPr>
          <w:lang w:val="fr-FR"/>
        </w:rPr>
        <w:t>Source:</w:t>
      </w:r>
      <w:proofErr w:type="gramEnd"/>
      <w:r w:rsidRPr="003D2BEE">
        <w:rPr>
          <w:lang w:val="fr-FR"/>
        </w:rPr>
        <w:t xml:space="preserve"> </w:t>
      </w:r>
      <w:proofErr w:type="spellStart"/>
      <w:r w:rsidRPr="003D2BEE">
        <w:rPr>
          <w:lang w:val="fr-FR"/>
        </w:rPr>
        <w:t>Jovanović</w:t>
      </w:r>
      <w:proofErr w:type="spellEnd"/>
      <w:r w:rsidRPr="003D2BEE">
        <w:rPr>
          <w:lang w:val="fr-FR"/>
        </w:rPr>
        <w:t xml:space="preserve"> K et al (2025) (</w:t>
      </w:r>
      <w:proofErr w:type="spellStart"/>
      <w:r w:rsidRPr="003D2BEE">
        <w:rPr>
          <w:lang w:val="fr-FR"/>
        </w:rPr>
        <w:t>Conference</w:t>
      </w:r>
      <w:proofErr w:type="spellEnd"/>
      <w:r w:rsidRPr="003D2BEE">
        <w:rPr>
          <w:lang w:val="fr-FR"/>
        </w:rPr>
        <w:t xml:space="preserve"> report)</w:t>
      </w:r>
    </w:p>
    <w:p w14:paraId="3415B32E" w14:textId="5FBF40DC" w:rsidR="00BF707A" w:rsidRPr="003D2BEE" w:rsidRDefault="00BF707A" w:rsidP="00EF6026">
      <w:pPr>
        <w:pStyle w:val="TableFigureFooter"/>
        <w:ind w:left="142"/>
        <w:rPr>
          <w:rFonts w:cstheme="minorBidi"/>
          <w:szCs w:val="18"/>
          <w:lang w:val="fr-FR"/>
        </w:rPr>
      </w:pPr>
      <w:r w:rsidRPr="003D2BEE">
        <w:rPr>
          <w:rFonts w:cstheme="minorBidi"/>
          <w:szCs w:val="18"/>
          <w:lang w:val="fr-FR"/>
        </w:rPr>
        <w:t xml:space="preserve">ACP = avacincaptad </w:t>
      </w:r>
      <w:proofErr w:type="spellStart"/>
      <w:proofErr w:type="gramStart"/>
      <w:r w:rsidRPr="003D2BEE">
        <w:rPr>
          <w:rFonts w:cstheme="minorBidi"/>
          <w:szCs w:val="18"/>
          <w:lang w:val="fr-FR"/>
        </w:rPr>
        <w:t>pegol</w:t>
      </w:r>
      <w:proofErr w:type="spellEnd"/>
      <w:r w:rsidRPr="003D2BEE">
        <w:rPr>
          <w:rFonts w:cstheme="minorBidi"/>
          <w:szCs w:val="18"/>
          <w:lang w:val="fr-FR"/>
        </w:rPr>
        <w:t>;</w:t>
      </w:r>
      <w:proofErr w:type="gramEnd"/>
      <w:r w:rsidRPr="003D2BEE">
        <w:rPr>
          <w:rFonts w:cstheme="minorBidi"/>
          <w:szCs w:val="18"/>
          <w:lang w:val="fr-FR"/>
        </w:rPr>
        <w:t xml:space="preserve"> EM = </w:t>
      </w:r>
      <w:proofErr w:type="spellStart"/>
      <w:r w:rsidRPr="003D2BEE">
        <w:rPr>
          <w:rFonts w:cstheme="minorBidi"/>
          <w:szCs w:val="18"/>
          <w:lang w:val="fr-FR"/>
        </w:rPr>
        <w:t>every</w:t>
      </w:r>
      <w:proofErr w:type="spellEnd"/>
      <w:r w:rsidRPr="003D2BEE">
        <w:rPr>
          <w:rFonts w:cstheme="minorBidi"/>
          <w:szCs w:val="18"/>
          <w:lang w:val="fr-FR"/>
        </w:rPr>
        <w:t xml:space="preserve"> </w:t>
      </w:r>
      <w:proofErr w:type="spellStart"/>
      <w:proofErr w:type="gramStart"/>
      <w:r w:rsidRPr="003D2BEE">
        <w:rPr>
          <w:rFonts w:cstheme="minorBidi"/>
          <w:szCs w:val="18"/>
          <w:lang w:val="fr-FR"/>
        </w:rPr>
        <w:t>month</w:t>
      </w:r>
      <w:proofErr w:type="spellEnd"/>
      <w:r w:rsidRPr="003D2BEE">
        <w:rPr>
          <w:rFonts w:cstheme="minorBidi"/>
          <w:szCs w:val="18"/>
          <w:lang w:val="fr-FR"/>
        </w:rPr>
        <w:t>;</w:t>
      </w:r>
      <w:proofErr w:type="gramEnd"/>
      <w:r w:rsidRPr="003D2BEE">
        <w:rPr>
          <w:rFonts w:cstheme="minorBidi"/>
          <w:szCs w:val="18"/>
          <w:lang w:val="fr-FR"/>
        </w:rPr>
        <w:t xml:space="preserve"> EOM = </w:t>
      </w:r>
      <w:proofErr w:type="spellStart"/>
      <w:r w:rsidRPr="003D2BEE">
        <w:rPr>
          <w:rFonts w:cstheme="minorBidi"/>
          <w:szCs w:val="18"/>
          <w:lang w:val="fr-FR"/>
        </w:rPr>
        <w:t>every</w:t>
      </w:r>
      <w:proofErr w:type="spellEnd"/>
      <w:r w:rsidRPr="003D2BEE">
        <w:rPr>
          <w:rFonts w:cstheme="minorBidi"/>
          <w:szCs w:val="18"/>
          <w:lang w:val="fr-FR"/>
        </w:rPr>
        <w:t xml:space="preserve"> </w:t>
      </w:r>
      <w:proofErr w:type="spellStart"/>
      <w:r w:rsidRPr="003D2BEE">
        <w:rPr>
          <w:rFonts w:cstheme="minorBidi"/>
          <w:szCs w:val="18"/>
          <w:lang w:val="fr-FR"/>
        </w:rPr>
        <w:t>other</w:t>
      </w:r>
      <w:proofErr w:type="spellEnd"/>
      <w:r w:rsidRPr="003D2BEE">
        <w:rPr>
          <w:rFonts w:cstheme="minorBidi"/>
          <w:szCs w:val="18"/>
          <w:lang w:val="fr-FR"/>
        </w:rPr>
        <w:t xml:space="preserve"> </w:t>
      </w:r>
      <w:proofErr w:type="spellStart"/>
      <w:proofErr w:type="gramStart"/>
      <w:r w:rsidRPr="003D2BEE">
        <w:rPr>
          <w:rFonts w:cstheme="minorBidi"/>
          <w:szCs w:val="18"/>
          <w:lang w:val="fr-FR"/>
        </w:rPr>
        <w:t>month</w:t>
      </w:r>
      <w:proofErr w:type="spellEnd"/>
      <w:r w:rsidRPr="003D2BEE">
        <w:rPr>
          <w:rFonts w:cstheme="minorBidi"/>
          <w:szCs w:val="18"/>
          <w:lang w:val="fr-FR"/>
        </w:rPr>
        <w:t>;</w:t>
      </w:r>
      <w:proofErr w:type="gramEnd"/>
      <w:r w:rsidRPr="003D2BEE">
        <w:rPr>
          <w:rFonts w:cstheme="minorBidi"/>
          <w:szCs w:val="18"/>
          <w:lang w:val="fr-FR"/>
        </w:rPr>
        <w:t xml:space="preserve"> GA = </w:t>
      </w:r>
      <w:proofErr w:type="spellStart"/>
      <w:r w:rsidRPr="003D2BEE">
        <w:rPr>
          <w:rFonts w:cstheme="minorBidi"/>
          <w:szCs w:val="18"/>
          <w:lang w:val="fr-FR"/>
        </w:rPr>
        <w:t>geographic</w:t>
      </w:r>
      <w:proofErr w:type="spellEnd"/>
      <w:r w:rsidRPr="003D2BEE">
        <w:rPr>
          <w:rFonts w:cstheme="minorBidi"/>
          <w:szCs w:val="18"/>
          <w:lang w:val="fr-FR"/>
        </w:rPr>
        <w:t xml:space="preserve"> </w:t>
      </w:r>
      <w:proofErr w:type="spellStart"/>
      <w:proofErr w:type="gramStart"/>
      <w:r w:rsidRPr="003D2BEE">
        <w:rPr>
          <w:rFonts w:cstheme="minorBidi"/>
          <w:szCs w:val="18"/>
          <w:lang w:val="fr-FR"/>
        </w:rPr>
        <w:t>atrophy</w:t>
      </w:r>
      <w:proofErr w:type="spellEnd"/>
      <w:r w:rsidRPr="003D2BEE">
        <w:rPr>
          <w:rFonts w:cstheme="minorBidi"/>
          <w:szCs w:val="18"/>
          <w:lang w:val="fr-FR"/>
        </w:rPr>
        <w:t>;</w:t>
      </w:r>
      <w:proofErr w:type="gramEnd"/>
      <w:r w:rsidRPr="003D2BEE">
        <w:rPr>
          <w:rFonts w:cstheme="minorBidi"/>
          <w:szCs w:val="18"/>
          <w:lang w:val="fr-FR"/>
        </w:rPr>
        <w:t xml:space="preserve"> </w:t>
      </w:r>
      <w:r w:rsidR="00CF6C9A" w:rsidRPr="003D2BEE">
        <w:rPr>
          <w:rFonts w:cstheme="minorBidi"/>
          <w:szCs w:val="18"/>
          <w:lang w:val="fr-FR"/>
        </w:rPr>
        <w:t>ML</w:t>
      </w:r>
      <w:r w:rsidR="009B60A6" w:rsidRPr="003D2BEE">
        <w:rPr>
          <w:rFonts w:cstheme="minorBidi"/>
          <w:szCs w:val="18"/>
          <w:lang w:val="fr-FR"/>
        </w:rPr>
        <w:noBreakHyphen/>
      </w:r>
      <w:r w:rsidR="00CF6C9A" w:rsidRPr="003D2BEE">
        <w:rPr>
          <w:rFonts w:cstheme="minorBidi"/>
          <w:szCs w:val="18"/>
          <w:lang w:val="fr-FR"/>
        </w:rPr>
        <w:t>NMR = multi</w:t>
      </w:r>
      <w:r w:rsidR="009B60A6" w:rsidRPr="003D2BEE">
        <w:rPr>
          <w:rFonts w:cstheme="minorBidi"/>
          <w:szCs w:val="18"/>
          <w:lang w:val="fr-FR"/>
        </w:rPr>
        <w:noBreakHyphen/>
      </w:r>
      <w:proofErr w:type="spellStart"/>
      <w:r w:rsidR="00CF6C9A" w:rsidRPr="003D2BEE">
        <w:rPr>
          <w:rFonts w:cstheme="minorBidi"/>
          <w:szCs w:val="18"/>
          <w:lang w:val="fr-FR"/>
        </w:rPr>
        <w:t>level</w:t>
      </w:r>
      <w:proofErr w:type="spellEnd"/>
      <w:r w:rsidR="00CF6C9A" w:rsidRPr="003D2BEE">
        <w:rPr>
          <w:rFonts w:cstheme="minorBidi"/>
          <w:szCs w:val="18"/>
          <w:lang w:val="fr-FR"/>
        </w:rPr>
        <w:t xml:space="preserve"> network </w:t>
      </w:r>
      <w:proofErr w:type="spellStart"/>
      <w:r w:rsidR="00CF6C9A" w:rsidRPr="003D2BEE">
        <w:rPr>
          <w:rFonts w:cstheme="minorBidi"/>
          <w:szCs w:val="18"/>
          <w:lang w:val="fr-FR"/>
        </w:rPr>
        <w:t>meta</w:t>
      </w:r>
      <w:r w:rsidR="009B60A6" w:rsidRPr="003D2BEE">
        <w:rPr>
          <w:rFonts w:cstheme="minorBidi"/>
          <w:szCs w:val="18"/>
          <w:lang w:val="fr-FR"/>
        </w:rPr>
        <w:noBreakHyphen/>
      </w:r>
      <w:proofErr w:type="gramStart"/>
      <w:r w:rsidR="00CF6C9A" w:rsidRPr="003D2BEE">
        <w:rPr>
          <w:rFonts w:cstheme="minorBidi"/>
          <w:szCs w:val="18"/>
          <w:lang w:val="fr-FR"/>
        </w:rPr>
        <w:t>regression</w:t>
      </w:r>
      <w:proofErr w:type="spellEnd"/>
      <w:r w:rsidR="00CF6C9A" w:rsidRPr="003D2BEE">
        <w:rPr>
          <w:rFonts w:cstheme="minorBidi"/>
          <w:szCs w:val="18"/>
          <w:lang w:val="fr-FR"/>
        </w:rPr>
        <w:t>;</w:t>
      </w:r>
      <w:proofErr w:type="gramEnd"/>
      <w:r w:rsidR="00CF6C9A" w:rsidRPr="003D2BEE">
        <w:rPr>
          <w:rFonts w:cstheme="minorBidi"/>
          <w:szCs w:val="18"/>
          <w:lang w:val="fr-FR"/>
        </w:rPr>
        <w:t xml:space="preserve"> </w:t>
      </w:r>
      <w:r w:rsidRPr="003D2BEE">
        <w:rPr>
          <w:rFonts w:cstheme="minorBidi"/>
          <w:szCs w:val="18"/>
          <w:lang w:val="fr-FR"/>
        </w:rPr>
        <w:t xml:space="preserve">PEG = pegcetacoplan </w:t>
      </w:r>
    </w:p>
    <w:p w14:paraId="668723DD" w14:textId="61AA554C" w:rsidR="00B74E3C" w:rsidRPr="00BF707A" w:rsidRDefault="00B74E3C" w:rsidP="00EF6026">
      <w:pPr>
        <w:pStyle w:val="TableFigureFooter"/>
        <w:ind w:left="142"/>
      </w:pPr>
      <w:r>
        <w:rPr>
          <w:rFonts w:cstheme="minorBidi"/>
          <w:szCs w:val="18"/>
        </w:rPr>
        <w:t xml:space="preserve">Note: </w:t>
      </w:r>
      <w:r w:rsidR="00AF513A">
        <w:rPr>
          <w:rFonts w:cstheme="minorBidi"/>
          <w:szCs w:val="18"/>
        </w:rPr>
        <w:t xml:space="preserve">PEG EOM </w:t>
      </w:r>
      <w:r>
        <w:rPr>
          <w:rFonts w:cstheme="minorBidi"/>
          <w:szCs w:val="18"/>
        </w:rPr>
        <w:t>was the near market comparator in the submission</w:t>
      </w:r>
    </w:p>
    <w:p w14:paraId="034EFD70" w14:textId="6743F740" w:rsidR="00BF707A" w:rsidRDefault="00BF707A" w:rsidP="00F83A04">
      <w:pPr>
        <w:pStyle w:val="Caption"/>
        <w:spacing w:after="120"/>
        <w:ind w:left="284"/>
      </w:pPr>
      <w:bookmarkStart w:id="39" w:name="_Ref218469938"/>
      <w:r>
        <w:t xml:space="preserve">Figure </w:t>
      </w:r>
      <w:fldSimple w:instr=" SEQ Figure \* ARABIC ">
        <w:r w:rsidR="00962F38">
          <w:rPr>
            <w:noProof/>
          </w:rPr>
          <w:t>6</w:t>
        </w:r>
      </w:fldSimple>
      <w:bookmarkEnd w:id="39"/>
      <w:r>
        <w:t xml:space="preserve">: </w:t>
      </w:r>
      <w:r w:rsidR="00CF6C9A">
        <w:t>ML</w:t>
      </w:r>
      <w:r w:rsidR="009B60A6">
        <w:noBreakHyphen/>
      </w:r>
      <w:r w:rsidR="00CF6C9A">
        <w:t>NMR r</w:t>
      </w:r>
      <w:r w:rsidRPr="00BF707A">
        <w:t>elative effect of ACP</w:t>
      </w:r>
      <w:r w:rsidR="00416182">
        <w:t xml:space="preserve"> monthly or every other month</w:t>
      </w:r>
      <w:r w:rsidRPr="00BF707A">
        <w:t xml:space="preserve"> vs pegcetacoplan</w:t>
      </w:r>
      <w:r w:rsidR="00416182">
        <w:t xml:space="preserve"> monthly or every other month </w:t>
      </w:r>
      <w:r w:rsidRPr="00BF707A">
        <w:t xml:space="preserve">for the change from baseline in GA lesion size at Month </w:t>
      </w:r>
      <w:r>
        <w:t>24</w:t>
      </w:r>
    </w:p>
    <w:p w14:paraId="7DD9EF8E" w14:textId="665CD7FB" w:rsidR="00BF707A" w:rsidRDefault="00BF707A" w:rsidP="00EF6026">
      <w:pPr>
        <w:ind w:left="284"/>
      </w:pPr>
      <w:r>
        <w:rPr>
          <w:noProof/>
        </w:rPr>
        <w:drawing>
          <wp:inline distT="0" distB="0" distL="0" distR="0" wp14:anchorId="418AE9B8" wp14:editId="7C47304F">
            <wp:extent cx="5255260" cy="1627505"/>
            <wp:effectExtent l="0" t="0" r="2540" b="0"/>
            <wp:docPr id="2034501893" name="Picture 1" descr="Figure 6: ML NMR relative effect of ACP monthly or every other month vs pegcetacoplan monthly or every other month for the change from baseline in GA lesion size at Mont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01893" name="Picture 1" descr="Figure 6: ML NMR relative effect of ACP monthly or every other month vs pegcetacoplan monthly or every other month for the change from baseline in GA lesion size at Month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5260" cy="1627505"/>
                    </a:xfrm>
                    <a:prstGeom prst="rect">
                      <a:avLst/>
                    </a:prstGeom>
                    <a:noFill/>
                  </pic:spPr>
                </pic:pic>
              </a:graphicData>
            </a:graphic>
          </wp:inline>
        </w:drawing>
      </w:r>
    </w:p>
    <w:p w14:paraId="1CB889DA" w14:textId="77777777" w:rsidR="00BF707A" w:rsidRPr="003D2BEE" w:rsidRDefault="00BF707A" w:rsidP="00416182">
      <w:pPr>
        <w:pStyle w:val="TableFigureFooter"/>
        <w:spacing w:after="120"/>
        <w:ind w:left="284"/>
        <w:rPr>
          <w:lang w:val="fr-FR"/>
        </w:rPr>
      </w:pPr>
      <w:proofErr w:type="gramStart"/>
      <w:r w:rsidRPr="003D2BEE">
        <w:rPr>
          <w:lang w:val="fr-FR"/>
        </w:rPr>
        <w:t>Source:</w:t>
      </w:r>
      <w:proofErr w:type="gramEnd"/>
      <w:r w:rsidRPr="003D2BEE">
        <w:rPr>
          <w:lang w:val="fr-FR"/>
        </w:rPr>
        <w:t xml:space="preserve"> </w:t>
      </w:r>
      <w:proofErr w:type="spellStart"/>
      <w:r w:rsidRPr="003D2BEE">
        <w:rPr>
          <w:lang w:val="fr-FR"/>
        </w:rPr>
        <w:t>Jovanović</w:t>
      </w:r>
      <w:proofErr w:type="spellEnd"/>
      <w:r w:rsidRPr="003D2BEE">
        <w:rPr>
          <w:lang w:val="fr-FR"/>
        </w:rPr>
        <w:t xml:space="preserve"> K et al (2025) (</w:t>
      </w:r>
      <w:proofErr w:type="spellStart"/>
      <w:r w:rsidRPr="003D2BEE">
        <w:rPr>
          <w:lang w:val="fr-FR"/>
        </w:rPr>
        <w:t>Conference</w:t>
      </w:r>
      <w:proofErr w:type="spellEnd"/>
      <w:r w:rsidRPr="003D2BEE">
        <w:rPr>
          <w:lang w:val="fr-FR"/>
        </w:rPr>
        <w:t xml:space="preserve"> report)</w:t>
      </w:r>
    </w:p>
    <w:p w14:paraId="341DAA66" w14:textId="40542940" w:rsidR="0044407E" w:rsidRPr="003D2BEE" w:rsidRDefault="00BF707A" w:rsidP="00416182">
      <w:pPr>
        <w:pStyle w:val="TableFigureFooter"/>
        <w:spacing w:after="120"/>
        <w:ind w:left="284"/>
        <w:rPr>
          <w:lang w:val="fr-FR"/>
        </w:rPr>
      </w:pPr>
      <w:r w:rsidRPr="003D2BEE">
        <w:rPr>
          <w:lang w:val="fr-FR"/>
        </w:rPr>
        <w:t xml:space="preserve">ACP = avacincaptad </w:t>
      </w:r>
      <w:proofErr w:type="spellStart"/>
      <w:proofErr w:type="gramStart"/>
      <w:r w:rsidRPr="003D2BEE">
        <w:rPr>
          <w:lang w:val="fr-FR"/>
        </w:rPr>
        <w:t>pegol</w:t>
      </w:r>
      <w:proofErr w:type="spellEnd"/>
      <w:r w:rsidRPr="003D2BEE">
        <w:rPr>
          <w:lang w:val="fr-FR"/>
        </w:rPr>
        <w:t>;</w:t>
      </w:r>
      <w:proofErr w:type="gramEnd"/>
      <w:r w:rsidRPr="003D2BEE">
        <w:rPr>
          <w:lang w:val="fr-FR"/>
        </w:rPr>
        <w:t xml:space="preserve"> EM = </w:t>
      </w:r>
      <w:proofErr w:type="spellStart"/>
      <w:r w:rsidRPr="003D2BEE">
        <w:rPr>
          <w:lang w:val="fr-FR"/>
        </w:rPr>
        <w:t>every</w:t>
      </w:r>
      <w:proofErr w:type="spellEnd"/>
      <w:r w:rsidRPr="003D2BEE">
        <w:rPr>
          <w:lang w:val="fr-FR"/>
        </w:rPr>
        <w:t xml:space="preserve"> </w:t>
      </w:r>
      <w:proofErr w:type="spellStart"/>
      <w:proofErr w:type="gramStart"/>
      <w:r w:rsidRPr="003D2BEE">
        <w:rPr>
          <w:lang w:val="fr-FR"/>
        </w:rPr>
        <w:t>month</w:t>
      </w:r>
      <w:proofErr w:type="spellEnd"/>
      <w:r w:rsidRPr="003D2BEE">
        <w:rPr>
          <w:lang w:val="fr-FR"/>
        </w:rPr>
        <w:t>;</w:t>
      </w:r>
      <w:proofErr w:type="gramEnd"/>
      <w:r w:rsidRPr="003D2BEE">
        <w:rPr>
          <w:lang w:val="fr-FR"/>
        </w:rPr>
        <w:t xml:space="preserve"> EOM = </w:t>
      </w:r>
      <w:proofErr w:type="spellStart"/>
      <w:r w:rsidRPr="003D2BEE">
        <w:rPr>
          <w:lang w:val="fr-FR"/>
        </w:rPr>
        <w:t>every</w:t>
      </w:r>
      <w:proofErr w:type="spellEnd"/>
      <w:r w:rsidRPr="003D2BEE">
        <w:rPr>
          <w:lang w:val="fr-FR"/>
        </w:rPr>
        <w:t xml:space="preserve"> </w:t>
      </w:r>
      <w:proofErr w:type="spellStart"/>
      <w:r w:rsidRPr="003D2BEE">
        <w:rPr>
          <w:lang w:val="fr-FR"/>
        </w:rPr>
        <w:t>other</w:t>
      </w:r>
      <w:proofErr w:type="spellEnd"/>
      <w:r w:rsidRPr="003D2BEE">
        <w:rPr>
          <w:lang w:val="fr-FR"/>
        </w:rPr>
        <w:t xml:space="preserve"> </w:t>
      </w:r>
      <w:proofErr w:type="spellStart"/>
      <w:proofErr w:type="gramStart"/>
      <w:r w:rsidRPr="003D2BEE">
        <w:rPr>
          <w:lang w:val="fr-FR"/>
        </w:rPr>
        <w:t>month</w:t>
      </w:r>
      <w:proofErr w:type="spellEnd"/>
      <w:r w:rsidRPr="003D2BEE">
        <w:rPr>
          <w:lang w:val="fr-FR"/>
        </w:rPr>
        <w:t>;</w:t>
      </w:r>
      <w:proofErr w:type="gramEnd"/>
      <w:r w:rsidRPr="003D2BEE">
        <w:rPr>
          <w:lang w:val="fr-FR"/>
        </w:rPr>
        <w:t xml:space="preserve"> GA = </w:t>
      </w:r>
      <w:proofErr w:type="spellStart"/>
      <w:r w:rsidRPr="003D2BEE">
        <w:rPr>
          <w:lang w:val="fr-FR"/>
        </w:rPr>
        <w:t>geographic</w:t>
      </w:r>
      <w:proofErr w:type="spellEnd"/>
      <w:r w:rsidRPr="003D2BEE">
        <w:rPr>
          <w:lang w:val="fr-FR"/>
        </w:rPr>
        <w:t xml:space="preserve"> </w:t>
      </w:r>
      <w:proofErr w:type="spellStart"/>
      <w:proofErr w:type="gramStart"/>
      <w:r w:rsidRPr="003D2BEE">
        <w:rPr>
          <w:lang w:val="fr-FR"/>
        </w:rPr>
        <w:t>atrophy</w:t>
      </w:r>
      <w:proofErr w:type="spellEnd"/>
      <w:r w:rsidRPr="003D2BEE">
        <w:rPr>
          <w:lang w:val="fr-FR"/>
        </w:rPr>
        <w:t>;</w:t>
      </w:r>
      <w:proofErr w:type="gramEnd"/>
      <w:r w:rsidRPr="003D2BEE">
        <w:rPr>
          <w:lang w:val="fr-FR"/>
        </w:rPr>
        <w:t xml:space="preserve"> </w:t>
      </w:r>
      <w:r w:rsidR="00CF6C9A" w:rsidRPr="003D2BEE">
        <w:rPr>
          <w:rFonts w:cstheme="minorBidi"/>
          <w:szCs w:val="18"/>
          <w:lang w:val="fr-FR"/>
        </w:rPr>
        <w:t>ML</w:t>
      </w:r>
      <w:r w:rsidR="009B60A6" w:rsidRPr="003D2BEE">
        <w:rPr>
          <w:rFonts w:cstheme="minorBidi"/>
          <w:szCs w:val="18"/>
          <w:lang w:val="fr-FR"/>
        </w:rPr>
        <w:noBreakHyphen/>
      </w:r>
      <w:r w:rsidR="00CF6C9A" w:rsidRPr="003D2BEE">
        <w:rPr>
          <w:rFonts w:cstheme="minorBidi"/>
          <w:szCs w:val="18"/>
          <w:lang w:val="fr-FR"/>
        </w:rPr>
        <w:t>NMR = multi</w:t>
      </w:r>
      <w:r w:rsidR="009B60A6" w:rsidRPr="003D2BEE">
        <w:rPr>
          <w:rFonts w:cstheme="minorBidi"/>
          <w:szCs w:val="18"/>
          <w:lang w:val="fr-FR"/>
        </w:rPr>
        <w:noBreakHyphen/>
      </w:r>
      <w:proofErr w:type="spellStart"/>
      <w:r w:rsidR="00CF6C9A" w:rsidRPr="003D2BEE">
        <w:rPr>
          <w:rFonts w:cstheme="minorBidi"/>
          <w:szCs w:val="18"/>
          <w:lang w:val="fr-FR"/>
        </w:rPr>
        <w:t>level</w:t>
      </w:r>
      <w:proofErr w:type="spellEnd"/>
      <w:r w:rsidR="00CF6C9A" w:rsidRPr="003D2BEE">
        <w:rPr>
          <w:rFonts w:cstheme="minorBidi"/>
          <w:szCs w:val="18"/>
          <w:lang w:val="fr-FR"/>
        </w:rPr>
        <w:t xml:space="preserve"> network </w:t>
      </w:r>
      <w:proofErr w:type="spellStart"/>
      <w:r w:rsidR="00CF6C9A" w:rsidRPr="003D2BEE">
        <w:rPr>
          <w:rFonts w:cstheme="minorBidi"/>
          <w:szCs w:val="18"/>
          <w:lang w:val="fr-FR"/>
        </w:rPr>
        <w:t>meta</w:t>
      </w:r>
      <w:r w:rsidR="009B60A6" w:rsidRPr="003D2BEE">
        <w:rPr>
          <w:rFonts w:cstheme="minorBidi"/>
          <w:szCs w:val="18"/>
          <w:lang w:val="fr-FR"/>
        </w:rPr>
        <w:noBreakHyphen/>
      </w:r>
      <w:proofErr w:type="gramStart"/>
      <w:r w:rsidR="00CF6C9A" w:rsidRPr="003D2BEE">
        <w:rPr>
          <w:rFonts w:cstheme="minorBidi"/>
          <w:szCs w:val="18"/>
          <w:lang w:val="fr-FR"/>
        </w:rPr>
        <w:t>regression</w:t>
      </w:r>
      <w:proofErr w:type="spellEnd"/>
      <w:r w:rsidR="00CF6C9A" w:rsidRPr="003D2BEE">
        <w:rPr>
          <w:rFonts w:cstheme="minorBidi"/>
          <w:szCs w:val="18"/>
          <w:lang w:val="fr-FR"/>
        </w:rPr>
        <w:t>;</w:t>
      </w:r>
      <w:proofErr w:type="gramEnd"/>
      <w:r w:rsidR="00CF6C9A" w:rsidRPr="003D2BEE">
        <w:rPr>
          <w:rFonts w:cstheme="minorBidi"/>
          <w:szCs w:val="18"/>
          <w:lang w:val="fr-FR"/>
        </w:rPr>
        <w:t xml:space="preserve"> </w:t>
      </w:r>
      <w:r w:rsidRPr="003D2BEE">
        <w:rPr>
          <w:lang w:val="fr-FR"/>
        </w:rPr>
        <w:t>PEG = pegcetacoplan</w:t>
      </w:r>
    </w:p>
    <w:p w14:paraId="6E8D27CA" w14:textId="722B2277" w:rsidR="00BF707A" w:rsidRPr="00EF6026" w:rsidRDefault="0044407E" w:rsidP="00416182">
      <w:pPr>
        <w:pStyle w:val="TableFigureFooter"/>
        <w:spacing w:after="120"/>
        <w:ind w:left="284"/>
        <w:rPr>
          <w:lang w:val="en-GB"/>
        </w:rPr>
      </w:pPr>
      <w:r>
        <w:rPr>
          <w:lang w:val="en-GB"/>
        </w:rPr>
        <w:t xml:space="preserve">Note: </w:t>
      </w:r>
      <w:r w:rsidR="00AF513A">
        <w:rPr>
          <w:rFonts w:cstheme="minorBidi"/>
          <w:szCs w:val="18"/>
        </w:rPr>
        <w:t xml:space="preserve">PEG EOM </w:t>
      </w:r>
      <w:r w:rsidR="00AF513A">
        <w:rPr>
          <w:lang w:val="en-GB"/>
        </w:rPr>
        <w:t>was the near market comparator in the submission</w:t>
      </w:r>
    </w:p>
    <w:p w14:paraId="4D37623D" w14:textId="0B58AF97" w:rsidR="00BF707A" w:rsidRPr="004452FC" w:rsidRDefault="00BF707A" w:rsidP="00BF707A">
      <w:pPr>
        <w:pStyle w:val="3-BodyText"/>
        <w:rPr>
          <w:bCs/>
          <w:color w:val="000000" w:themeColor="text1"/>
          <w:lang w:val="en-GB"/>
        </w:rPr>
      </w:pPr>
      <w:bookmarkStart w:id="40" w:name="_Ref222313843"/>
      <w:r w:rsidRPr="004452FC">
        <w:rPr>
          <w:bCs/>
          <w:color w:val="000000" w:themeColor="text1"/>
          <w:lang w:val="en-GB"/>
        </w:rPr>
        <w:t xml:space="preserve">The result of relative effect of monthly ACP vs pegcetacoplan EOM for the change from </w:t>
      </w:r>
      <w:r w:rsidR="00416182" w:rsidRPr="004452FC">
        <w:rPr>
          <w:bCs/>
          <w:color w:val="000000" w:themeColor="text1"/>
          <w:lang w:val="en-GB"/>
        </w:rPr>
        <w:t>baseline in GA lesion size at Month 12 directionally favoured monthly ACP. The relative effect of monthly ACP vs pegcetacoplan EOM for the change from baseline in GA lesion size at Month 24 directionally favoured pegcetacoplan EOM.</w:t>
      </w:r>
      <w:r w:rsidR="00BF27FA">
        <w:rPr>
          <w:bCs/>
          <w:color w:val="000000" w:themeColor="text1"/>
          <w:lang w:val="en-GB"/>
        </w:rPr>
        <w:t xml:space="preserve"> </w:t>
      </w:r>
      <w:r w:rsidR="00201E13" w:rsidRPr="00C17763">
        <w:rPr>
          <w:bCs/>
          <w:iCs/>
          <w:color w:val="000000" w:themeColor="text1"/>
          <w:lang w:val="en-GB"/>
        </w:rPr>
        <w:t xml:space="preserve">The PSCR </w:t>
      </w:r>
      <w:r w:rsidR="00E70518" w:rsidRPr="00C17763">
        <w:rPr>
          <w:bCs/>
          <w:iCs/>
          <w:color w:val="000000" w:themeColor="text1"/>
          <w:lang w:val="en-GB"/>
        </w:rPr>
        <w:t xml:space="preserve">argued that </w:t>
      </w:r>
      <w:r w:rsidR="008D533A" w:rsidRPr="00C17763">
        <w:rPr>
          <w:bCs/>
          <w:iCs/>
          <w:color w:val="000000" w:themeColor="text1"/>
          <w:lang w:val="en-GB"/>
        </w:rPr>
        <w:t xml:space="preserve">post 12 months </w:t>
      </w:r>
      <w:r w:rsidR="00D50283" w:rsidRPr="00C17763">
        <w:rPr>
          <w:bCs/>
          <w:iCs/>
          <w:color w:val="000000" w:themeColor="text1"/>
          <w:lang w:val="en-GB"/>
        </w:rPr>
        <w:t xml:space="preserve">the </w:t>
      </w:r>
      <w:r w:rsidR="008D533A" w:rsidRPr="00C17763">
        <w:rPr>
          <w:bCs/>
          <w:iCs/>
          <w:color w:val="000000" w:themeColor="text1"/>
          <w:lang w:val="en-GB"/>
        </w:rPr>
        <w:t xml:space="preserve">ACP EOM dosing comparisons are </w:t>
      </w:r>
      <w:r w:rsidR="002E0C26" w:rsidRPr="00C17763">
        <w:rPr>
          <w:bCs/>
          <w:iCs/>
          <w:color w:val="000000" w:themeColor="text1"/>
          <w:lang w:val="en-GB"/>
        </w:rPr>
        <w:t xml:space="preserve">the </w:t>
      </w:r>
      <w:r w:rsidR="008D533A" w:rsidRPr="00C17763">
        <w:rPr>
          <w:bCs/>
          <w:iCs/>
          <w:color w:val="000000" w:themeColor="text1"/>
          <w:lang w:val="en-GB"/>
        </w:rPr>
        <w:t xml:space="preserve">most applicable as </w:t>
      </w:r>
      <w:r w:rsidR="00EB5E25" w:rsidRPr="00C17763">
        <w:rPr>
          <w:bCs/>
          <w:iCs/>
          <w:color w:val="000000" w:themeColor="text1"/>
          <w:lang w:val="en-GB"/>
        </w:rPr>
        <w:t xml:space="preserve">it is the </w:t>
      </w:r>
      <w:r w:rsidR="00EB5E25" w:rsidRPr="00C17763">
        <w:rPr>
          <w:bCs/>
          <w:iCs/>
          <w:color w:val="000000" w:themeColor="text1"/>
          <w:lang w:val="en-GB"/>
        </w:rPr>
        <w:lastRenderedPageBreak/>
        <w:t xml:space="preserve">expected dosing modality for both agents. </w:t>
      </w:r>
      <w:r w:rsidR="00B2420F" w:rsidRPr="00C17763">
        <w:rPr>
          <w:bCs/>
          <w:iCs/>
          <w:color w:val="000000" w:themeColor="text1"/>
          <w:lang w:val="en-GB"/>
        </w:rPr>
        <w:t xml:space="preserve">The PSCR </w:t>
      </w:r>
      <w:r w:rsidR="001F0DD6" w:rsidRPr="00C17763">
        <w:rPr>
          <w:bCs/>
          <w:iCs/>
          <w:color w:val="000000" w:themeColor="text1"/>
          <w:lang w:val="en-GB"/>
        </w:rPr>
        <w:t xml:space="preserve">also </w:t>
      </w:r>
      <w:r w:rsidR="00B2420F" w:rsidRPr="00C17763">
        <w:rPr>
          <w:bCs/>
          <w:iCs/>
          <w:color w:val="000000" w:themeColor="text1"/>
          <w:lang w:val="en-GB"/>
        </w:rPr>
        <w:t xml:space="preserve">noted that ACP </w:t>
      </w:r>
      <w:r w:rsidR="00E77BDD" w:rsidRPr="00C17763">
        <w:rPr>
          <w:bCs/>
          <w:iCs/>
          <w:color w:val="000000" w:themeColor="text1"/>
          <w:lang w:val="en-GB"/>
        </w:rPr>
        <w:t xml:space="preserve">showed similar efficacy </w:t>
      </w:r>
      <w:r w:rsidR="000E0946" w:rsidRPr="00C17763">
        <w:rPr>
          <w:bCs/>
          <w:iCs/>
          <w:color w:val="000000" w:themeColor="text1"/>
          <w:lang w:val="en-GB"/>
        </w:rPr>
        <w:t xml:space="preserve">relative to pegcetacoplan </w:t>
      </w:r>
      <w:r w:rsidR="00E77BDD" w:rsidRPr="00C17763">
        <w:rPr>
          <w:bCs/>
          <w:iCs/>
          <w:color w:val="000000" w:themeColor="text1"/>
          <w:lang w:val="en-GB"/>
        </w:rPr>
        <w:t xml:space="preserve">in </w:t>
      </w:r>
      <w:r w:rsidR="00D8759F" w:rsidRPr="00C17763">
        <w:rPr>
          <w:bCs/>
          <w:iCs/>
          <w:color w:val="000000" w:themeColor="text1"/>
          <w:lang w:val="en-GB"/>
        </w:rPr>
        <w:t>slowing the decline in NL</w:t>
      </w:r>
      <w:r w:rsidR="009B60A6">
        <w:rPr>
          <w:bCs/>
          <w:iCs/>
          <w:color w:val="000000" w:themeColor="text1"/>
          <w:lang w:val="en-GB"/>
        </w:rPr>
        <w:noBreakHyphen/>
      </w:r>
      <w:r w:rsidR="00D8759F" w:rsidRPr="00C17763">
        <w:rPr>
          <w:bCs/>
          <w:iCs/>
          <w:color w:val="000000" w:themeColor="text1"/>
          <w:lang w:val="en-GB"/>
        </w:rPr>
        <w:t>BCVA at Month 12, 18, and Month 24, as well as LL</w:t>
      </w:r>
      <w:r w:rsidR="009B60A6">
        <w:rPr>
          <w:bCs/>
          <w:iCs/>
          <w:color w:val="000000" w:themeColor="text1"/>
          <w:lang w:val="en-GB"/>
        </w:rPr>
        <w:noBreakHyphen/>
      </w:r>
      <w:r w:rsidR="00D8759F" w:rsidRPr="00C17763">
        <w:rPr>
          <w:bCs/>
          <w:iCs/>
          <w:color w:val="000000" w:themeColor="text1"/>
          <w:lang w:val="en-GB"/>
        </w:rPr>
        <w:t xml:space="preserve">BCVA at Month 12. </w:t>
      </w:r>
      <w:r w:rsidR="007512AE" w:rsidRPr="00C17763">
        <w:rPr>
          <w:bCs/>
          <w:iCs/>
          <w:color w:val="000000" w:themeColor="text1"/>
          <w:lang w:val="en-GB"/>
        </w:rPr>
        <w:t xml:space="preserve">The ESC </w:t>
      </w:r>
      <w:r w:rsidR="004A0AA4" w:rsidRPr="00C17763">
        <w:rPr>
          <w:bCs/>
          <w:iCs/>
          <w:color w:val="000000" w:themeColor="text1"/>
          <w:lang w:val="en-GB"/>
        </w:rPr>
        <w:t xml:space="preserve">noted that the </w:t>
      </w:r>
      <w:r w:rsidR="00D8759F" w:rsidRPr="00C17763">
        <w:rPr>
          <w:bCs/>
          <w:iCs/>
          <w:color w:val="000000" w:themeColor="text1"/>
          <w:lang w:val="en-GB"/>
        </w:rPr>
        <w:t xml:space="preserve">evidence base for ACP at 24 months of treatment is limited to just one study, </w:t>
      </w:r>
      <w:r w:rsidR="00047F4B" w:rsidRPr="00C17763">
        <w:rPr>
          <w:bCs/>
          <w:iCs/>
          <w:color w:val="000000" w:themeColor="text1"/>
          <w:lang w:val="en-GB"/>
        </w:rPr>
        <w:t xml:space="preserve">which </w:t>
      </w:r>
      <w:r w:rsidR="00D8759F" w:rsidRPr="00C17763">
        <w:rPr>
          <w:bCs/>
          <w:iCs/>
          <w:color w:val="000000" w:themeColor="text1"/>
          <w:lang w:val="en-GB"/>
        </w:rPr>
        <w:t>is reflected in greater uncertainty and wider 95%</w:t>
      </w:r>
      <w:r w:rsidR="009B5CFD">
        <w:rPr>
          <w:bCs/>
          <w:iCs/>
          <w:color w:val="000000" w:themeColor="text1"/>
          <w:lang w:val="en-GB"/>
        </w:rPr>
        <w:t xml:space="preserve"> </w:t>
      </w:r>
      <w:r w:rsidR="00D8759F" w:rsidRPr="00C17763">
        <w:rPr>
          <w:bCs/>
          <w:iCs/>
          <w:color w:val="000000" w:themeColor="text1"/>
          <w:lang w:val="en-GB"/>
        </w:rPr>
        <w:t>CIs in analyses at 24 months compared to 12 months.</w:t>
      </w:r>
      <w:r w:rsidR="00047F4B" w:rsidRPr="00C17763">
        <w:rPr>
          <w:bCs/>
          <w:iCs/>
          <w:color w:val="000000" w:themeColor="text1"/>
          <w:lang w:val="en-GB"/>
        </w:rPr>
        <w:t xml:space="preserve"> </w:t>
      </w:r>
      <w:r w:rsidR="00493CED" w:rsidRPr="00C17763">
        <w:rPr>
          <w:bCs/>
          <w:iCs/>
          <w:color w:val="000000" w:themeColor="text1"/>
          <w:lang w:val="en-GB"/>
        </w:rPr>
        <w:t>The ESC considered that the</w:t>
      </w:r>
      <w:r w:rsidR="00E00F13" w:rsidRPr="00C17763">
        <w:rPr>
          <w:bCs/>
          <w:iCs/>
          <w:color w:val="000000" w:themeColor="text1"/>
          <w:lang w:val="en-GB"/>
        </w:rPr>
        <w:t xml:space="preserve"> </w:t>
      </w:r>
      <w:r w:rsidR="00CA4958" w:rsidRPr="00C17763">
        <w:rPr>
          <w:bCs/>
          <w:iCs/>
          <w:color w:val="000000" w:themeColor="text1"/>
          <w:lang w:val="en-GB"/>
        </w:rPr>
        <w:t xml:space="preserve">use of multiple subgroups </w:t>
      </w:r>
      <w:r w:rsidR="0079021F" w:rsidRPr="00C17763">
        <w:rPr>
          <w:bCs/>
          <w:iCs/>
          <w:color w:val="000000" w:themeColor="text1"/>
          <w:lang w:val="en-GB"/>
        </w:rPr>
        <w:t xml:space="preserve">across multiple outcomes and timepoints made the </w:t>
      </w:r>
      <w:r w:rsidR="0037076A" w:rsidRPr="00C17763">
        <w:rPr>
          <w:bCs/>
          <w:iCs/>
          <w:color w:val="000000" w:themeColor="text1"/>
          <w:lang w:val="en-GB"/>
        </w:rPr>
        <w:t xml:space="preserve">overall interpretation of the comparison between ACP and pegcetacoplan </w:t>
      </w:r>
      <w:r w:rsidR="004E4FBF" w:rsidRPr="00C17763">
        <w:rPr>
          <w:bCs/>
          <w:iCs/>
          <w:color w:val="000000" w:themeColor="text1"/>
          <w:lang w:val="en-GB"/>
        </w:rPr>
        <w:t>challenging</w:t>
      </w:r>
      <w:r w:rsidR="00273ACC" w:rsidRPr="00C17763">
        <w:rPr>
          <w:bCs/>
          <w:iCs/>
          <w:color w:val="000000" w:themeColor="text1"/>
          <w:lang w:val="en-GB"/>
        </w:rPr>
        <w:t xml:space="preserve">. </w:t>
      </w:r>
      <w:r w:rsidR="00EA43C2" w:rsidRPr="00C17763">
        <w:rPr>
          <w:bCs/>
          <w:iCs/>
          <w:color w:val="000000" w:themeColor="text1"/>
          <w:lang w:val="en-GB"/>
        </w:rPr>
        <w:t xml:space="preserve">However, </w:t>
      </w:r>
      <w:r w:rsidR="009B5CFD">
        <w:rPr>
          <w:bCs/>
          <w:iCs/>
          <w:color w:val="000000" w:themeColor="text1"/>
          <w:lang w:val="en-GB"/>
        </w:rPr>
        <w:t xml:space="preserve">on balance, </w:t>
      </w:r>
      <w:r w:rsidR="00EA43C2" w:rsidRPr="00C17763">
        <w:rPr>
          <w:bCs/>
          <w:iCs/>
          <w:color w:val="000000" w:themeColor="text1"/>
          <w:lang w:val="en-GB"/>
        </w:rPr>
        <w:t xml:space="preserve">the ESC considered </w:t>
      </w:r>
      <w:r w:rsidR="00C63E44" w:rsidRPr="00C17763">
        <w:rPr>
          <w:bCs/>
          <w:iCs/>
          <w:color w:val="000000" w:themeColor="text1"/>
          <w:lang w:val="en-GB"/>
        </w:rPr>
        <w:t>that</w:t>
      </w:r>
      <w:r w:rsidR="00C63E44">
        <w:rPr>
          <w:bCs/>
          <w:iCs/>
          <w:color w:val="000000" w:themeColor="text1"/>
          <w:lang w:val="en-GB"/>
        </w:rPr>
        <w:t xml:space="preserve"> </w:t>
      </w:r>
      <w:r w:rsidR="00C63E44" w:rsidRPr="00C17763">
        <w:rPr>
          <w:bCs/>
          <w:iCs/>
          <w:color w:val="000000" w:themeColor="text1"/>
          <w:lang w:val="en-GB"/>
        </w:rPr>
        <w:t>it</w:t>
      </w:r>
      <w:r w:rsidR="002637AB" w:rsidRPr="00C17763">
        <w:rPr>
          <w:bCs/>
          <w:iCs/>
          <w:color w:val="000000" w:themeColor="text1"/>
          <w:lang w:val="en-GB"/>
        </w:rPr>
        <w:t xml:space="preserve"> does not appear that </w:t>
      </w:r>
      <w:r w:rsidR="004E4FBF" w:rsidRPr="00C17763">
        <w:rPr>
          <w:bCs/>
          <w:iCs/>
          <w:color w:val="000000" w:themeColor="text1"/>
          <w:lang w:val="en-GB"/>
        </w:rPr>
        <w:t>one</w:t>
      </w:r>
      <w:r w:rsidR="002637AB" w:rsidRPr="00C17763">
        <w:rPr>
          <w:bCs/>
          <w:iCs/>
          <w:color w:val="000000" w:themeColor="text1"/>
          <w:lang w:val="en-GB"/>
        </w:rPr>
        <w:t xml:space="preserve"> agent is clearly superior to the other.</w:t>
      </w:r>
      <w:bookmarkEnd w:id="40"/>
      <w:r w:rsidR="002637AB" w:rsidRPr="00C17763">
        <w:rPr>
          <w:bCs/>
          <w:iCs/>
          <w:color w:val="000000" w:themeColor="text1"/>
          <w:lang w:val="en-GB"/>
        </w:rPr>
        <w:t xml:space="preserve"> </w:t>
      </w:r>
    </w:p>
    <w:p w14:paraId="0A7220C7" w14:textId="33E62D49" w:rsidR="00EF6026" w:rsidRPr="004452FC" w:rsidRDefault="006D73EA" w:rsidP="00EF6026">
      <w:pPr>
        <w:pStyle w:val="3-BodyText"/>
        <w:rPr>
          <w:bCs/>
          <w:color w:val="000000" w:themeColor="text1"/>
          <w:lang w:val="en-GB"/>
        </w:rPr>
      </w:pPr>
      <w:r w:rsidRPr="004452FC">
        <w:rPr>
          <w:color w:val="000000" w:themeColor="text1"/>
          <w:lang w:val="en-GB"/>
        </w:rPr>
        <w:t>In the NMR</w:t>
      </w:r>
      <w:r w:rsidR="000F615A" w:rsidRPr="004452FC">
        <w:rPr>
          <w:color w:val="000000" w:themeColor="text1"/>
          <w:lang w:val="en-GB"/>
        </w:rPr>
        <w:t xml:space="preserve"> which included ten RCTs of five complement inhibitors</w:t>
      </w:r>
      <w:r w:rsidRPr="004452FC">
        <w:rPr>
          <w:color w:val="000000" w:themeColor="text1"/>
          <w:lang w:val="en-GB"/>
        </w:rPr>
        <w:t xml:space="preserve">, </w:t>
      </w:r>
      <w:r w:rsidR="00120AFA" w:rsidRPr="004452FC">
        <w:rPr>
          <w:color w:val="000000" w:themeColor="text1"/>
          <w:lang w:val="en-GB"/>
        </w:rPr>
        <w:t>the Surface Under the Cumulative Ranking Curve (</w:t>
      </w:r>
      <w:r w:rsidRPr="004452FC">
        <w:rPr>
          <w:bCs/>
          <w:color w:val="000000" w:themeColor="text1"/>
          <w:lang w:val="en-GB"/>
        </w:rPr>
        <w:t>SUCRA</w:t>
      </w:r>
      <w:r w:rsidR="00120AFA" w:rsidRPr="004452FC">
        <w:rPr>
          <w:bCs/>
          <w:color w:val="000000" w:themeColor="text1"/>
          <w:lang w:val="en-GB"/>
        </w:rPr>
        <w:t xml:space="preserve">) </w:t>
      </w:r>
      <w:r w:rsidRPr="004452FC">
        <w:rPr>
          <w:bCs/>
          <w:color w:val="000000" w:themeColor="text1"/>
          <w:lang w:val="en-GB"/>
        </w:rPr>
        <w:t>analysis indicated that</w:t>
      </w:r>
      <w:r w:rsidR="00120AFA" w:rsidRPr="004452FC">
        <w:rPr>
          <w:bCs/>
          <w:color w:val="000000" w:themeColor="text1"/>
          <w:lang w:val="en-GB"/>
        </w:rPr>
        <w:t xml:space="preserve"> monthly</w:t>
      </w:r>
      <w:r w:rsidRPr="004452FC">
        <w:rPr>
          <w:bCs/>
          <w:color w:val="000000" w:themeColor="text1"/>
          <w:lang w:val="en-GB"/>
        </w:rPr>
        <w:t xml:space="preserve"> ACP 2 mg was the highest ranked for GA lesion size change (SUCRA = 93.55), followed by pegcetacoplan monthly (SUCRA = 81.37),</w:t>
      </w:r>
      <w:r w:rsidR="00120AFA" w:rsidRPr="004452FC">
        <w:rPr>
          <w:bCs/>
          <w:color w:val="000000" w:themeColor="text1"/>
          <w:lang w:val="en-GB"/>
        </w:rPr>
        <w:t xml:space="preserve"> </w:t>
      </w:r>
      <w:r w:rsidRPr="004452FC">
        <w:rPr>
          <w:bCs/>
          <w:color w:val="000000" w:themeColor="text1"/>
          <w:lang w:val="en-GB"/>
        </w:rPr>
        <w:t>with pegcetacoplan EOM being the lowest</w:t>
      </w:r>
      <w:r w:rsidR="009B60A6">
        <w:rPr>
          <w:bCs/>
          <w:color w:val="000000" w:themeColor="text1"/>
          <w:lang w:val="en-GB"/>
        </w:rPr>
        <w:noBreakHyphen/>
      </w:r>
      <w:r w:rsidRPr="004452FC">
        <w:rPr>
          <w:bCs/>
          <w:color w:val="000000" w:themeColor="text1"/>
          <w:lang w:val="en-GB"/>
        </w:rPr>
        <w:t>ranked treatment option (SUCRA = 70.16).</w:t>
      </w:r>
      <w:r w:rsidR="00120AFA" w:rsidRPr="004452FC">
        <w:rPr>
          <w:bCs/>
          <w:color w:val="000000" w:themeColor="text1"/>
          <w:lang w:val="en-GB"/>
        </w:rPr>
        <w:t xml:space="preserve"> </w:t>
      </w:r>
      <w:r w:rsidR="00120AFA" w:rsidRPr="004452FC">
        <w:rPr>
          <w:bCs/>
          <w:color w:val="000000" w:themeColor="text1"/>
        </w:rPr>
        <w:t>None of the treatment regimens demonstrated significant changes in BCVA compared to sham. The indirect comparison between the different interventions</w:t>
      </w:r>
      <w:r w:rsidRPr="004452FC">
        <w:rPr>
          <w:bCs/>
          <w:color w:val="000000" w:themeColor="text1"/>
        </w:rPr>
        <w:t xml:space="preserve"> indicated that</w:t>
      </w:r>
      <w:r w:rsidRPr="004452FC">
        <w:rPr>
          <w:color w:val="000000" w:themeColor="text1"/>
        </w:rPr>
        <w:t xml:space="preserve"> </w:t>
      </w:r>
      <w:r w:rsidRPr="004452FC">
        <w:rPr>
          <w:bCs/>
          <w:color w:val="000000" w:themeColor="text1"/>
        </w:rPr>
        <w:t>pegcetacoplan EOM was the highest ranked treatment option for BCVA (SUCRA = 90.49), followed by</w:t>
      </w:r>
      <w:r w:rsidRPr="004452FC">
        <w:rPr>
          <w:color w:val="000000" w:themeColor="text1"/>
        </w:rPr>
        <w:t xml:space="preserve"> </w:t>
      </w:r>
      <w:r w:rsidRPr="004452FC">
        <w:rPr>
          <w:bCs/>
          <w:color w:val="000000" w:themeColor="text1"/>
        </w:rPr>
        <w:t>CLG561&amp;LFG316(SUCRA = 65.75), and pegcetacoplan monthly (SUCRA = 63.43).</w:t>
      </w:r>
    </w:p>
    <w:p w14:paraId="7E3E2052" w14:textId="2B97B9A6" w:rsidR="00BF707A" w:rsidRPr="00EF6026" w:rsidRDefault="00CA2349" w:rsidP="00EF6026">
      <w:pPr>
        <w:pStyle w:val="3-BodyText"/>
        <w:rPr>
          <w:bCs/>
          <w:color w:val="000000" w:themeColor="text1"/>
          <w:lang w:val="en-GB"/>
        </w:rPr>
      </w:pPr>
      <w:bookmarkStart w:id="41" w:name="_Ref219729991"/>
      <w:r w:rsidRPr="00C17763">
        <w:rPr>
          <w:bCs/>
          <w:iCs/>
          <w:color w:val="000000" w:themeColor="text1"/>
          <w:lang w:val="en-GB"/>
        </w:rPr>
        <w:t>The ESC noted the</w:t>
      </w:r>
      <w:r>
        <w:rPr>
          <w:bCs/>
          <w:color w:val="000000" w:themeColor="text1"/>
          <w:lang w:val="en-GB"/>
        </w:rPr>
        <w:t xml:space="preserve"> l</w:t>
      </w:r>
      <w:r w:rsidR="006D73EA" w:rsidRPr="004452FC">
        <w:rPr>
          <w:bCs/>
          <w:color w:val="000000" w:themeColor="text1"/>
          <w:lang w:val="en-GB"/>
        </w:rPr>
        <w:t xml:space="preserve">imitations </w:t>
      </w:r>
      <w:r w:rsidR="00C21A33" w:rsidRPr="004452FC">
        <w:rPr>
          <w:bCs/>
          <w:color w:val="000000" w:themeColor="text1"/>
          <w:lang w:val="en-GB"/>
        </w:rPr>
        <w:t>of the NMR method include the limited number of studies for analyses; the heterogeneity in the patient populations, study design, and statistical methods across studies, as well as the patient age and lesion location in different studies</w:t>
      </w:r>
      <w:r w:rsidR="009B5CFD">
        <w:rPr>
          <w:bCs/>
          <w:color w:val="000000" w:themeColor="text1"/>
          <w:lang w:val="en-GB"/>
        </w:rPr>
        <w:t>.</w:t>
      </w:r>
      <w:r w:rsidR="00BF27FA">
        <w:rPr>
          <w:bCs/>
          <w:color w:val="000000" w:themeColor="text1"/>
          <w:lang w:val="en-GB"/>
        </w:rPr>
        <w:t xml:space="preserve"> </w:t>
      </w:r>
      <w:r w:rsidR="009B5CFD">
        <w:rPr>
          <w:bCs/>
          <w:color w:val="000000" w:themeColor="text1"/>
          <w:lang w:val="en-GB"/>
        </w:rPr>
        <w:t xml:space="preserve">Additionally, </w:t>
      </w:r>
      <w:r w:rsidR="00C21A33" w:rsidRPr="004452FC">
        <w:rPr>
          <w:bCs/>
          <w:color w:val="000000" w:themeColor="text1"/>
          <w:lang w:val="en-GB"/>
        </w:rPr>
        <w:t xml:space="preserve">the short duration of the studies </w:t>
      </w:r>
      <w:r w:rsidR="009B5CFD" w:rsidRPr="004452FC">
        <w:rPr>
          <w:bCs/>
          <w:color w:val="000000" w:themeColor="text1"/>
          <w:lang w:val="en-GB"/>
        </w:rPr>
        <w:t>mean</w:t>
      </w:r>
      <w:r w:rsidR="009B5CFD">
        <w:rPr>
          <w:bCs/>
          <w:color w:val="000000" w:themeColor="text1"/>
          <w:lang w:val="en-GB"/>
        </w:rPr>
        <w:t>t</w:t>
      </w:r>
      <w:r w:rsidR="009B5CFD" w:rsidRPr="004452FC">
        <w:rPr>
          <w:bCs/>
          <w:color w:val="000000" w:themeColor="text1"/>
          <w:lang w:val="en-GB"/>
        </w:rPr>
        <w:t xml:space="preserve"> </w:t>
      </w:r>
      <w:r w:rsidR="00C21A33" w:rsidRPr="004452FC">
        <w:rPr>
          <w:bCs/>
          <w:color w:val="000000" w:themeColor="text1"/>
          <w:lang w:val="en-GB"/>
        </w:rPr>
        <w:t xml:space="preserve">that changes in BCVA were unlikely to occur to a </w:t>
      </w:r>
      <w:r w:rsidR="009B5CFD">
        <w:rPr>
          <w:bCs/>
          <w:color w:val="000000" w:themeColor="text1"/>
          <w:lang w:val="en-GB"/>
        </w:rPr>
        <w:t>meaningful</w:t>
      </w:r>
      <w:r w:rsidR="009B5CFD" w:rsidRPr="004452FC">
        <w:rPr>
          <w:bCs/>
          <w:color w:val="000000" w:themeColor="text1"/>
          <w:lang w:val="en-GB"/>
        </w:rPr>
        <w:t xml:space="preserve"> </w:t>
      </w:r>
      <w:r w:rsidR="00C21A33" w:rsidRPr="004452FC">
        <w:rPr>
          <w:bCs/>
          <w:color w:val="000000" w:themeColor="text1"/>
          <w:lang w:val="en-GB"/>
        </w:rPr>
        <w:t xml:space="preserve">extent. </w:t>
      </w:r>
      <w:bookmarkEnd w:id="41"/>
    </w:p>
    <w:p w14:paraId="1452C351" w14:textId="000E46A7" w:rsidR="00B60939" w:rsidRPr="00D86D87" w:rsidRDefault="005B5D04" w:rsidP="00D86231">
      <w:pPr>
        <w:pStyle w:val="4-SubsectionHeading"/>
      </w:pPr>
      <w:bookmarkStart w:id="42" w:name="_Toc22897642"/>
      <w:bookmarkStart w:id="43" w:name="_Toc219816301"/>
      <w:r>
        <w:t>C</w:t>
      </w:r>
      <w:r w:rsidR="00B60939" w:rsidRPr="00D86D87">
        <w:t>omparative harms</w:t>
      </w:r>
      <w:bookmarkEnd w:id="42"/>
      <w:bookmarkEnd w:id="43"/>
    </w:p>
    <w:p w14:paraId="6BB32ADB" w14:textId="39579881" w:rsidR="00B32B03" w:rsidRPr="00B32B03" w:rsidRDefault="00B32B03" w:rsidP="00D86231">
      <w:pPr>
        <w:pStyle w:val="3-BodyText"/>
        <w:rPr>
          <w:color w:val="0066FF"/>
        </w:rPr>
      </w:pPr>
      <w:r>
        <w:t>A summary of the overall safety for a 12</w:t>
      </w:r>
      <w:r w:rsidR="009B60A6">
        <w:noBreakHyphen/>
      </w:r>
      <w:r>
        <w:t>month treatment period of the pool</w:t>
      </w:r>
      <w:r w:rsidR="009B5CFD">
        <w:t>ed</w:t>
      </w:r>
      <w:r>
        <w:t xml:space="preserve"> data from GATHER1 and GATHER2 is presented in </w:t>
      </w:r>
      <w:r w:rsidR="006D73EA">
        <w:fldChar w:fldCharType="begin"/>
      </w:r>
      <w:r w:rsidR="006D73EA">
        <w:instrText xml:space="preserve"> REF _Ref218470451 \h </w:instrText>
      </w:r>
      <w:r w:rsidR="006D73EA">
        <w:fldChar w:fldCharType="separate"/>
      </w:r>
      <w:r w:rsidR="00962F38">
        <w:t xml:space="preserve">Table </w:t>
      </w:r>
      <w:r w:rsidR="00962F38">
        <w:rPr>
          <w:noProof/>
        </w:rPr>
        <w:t>7</w:t>
      </w:r>
      <w:r w:rsidR="006D73EA">
        <w:fldChar w:fldCharType="end"/>
      </w:r>
      <w:r>
        <w:t>.</w:t>
      </w:r>
    </w:p>
    <w:p w14:paraId="39F4133B" w14:textId="1874EE34" w:rsidR="006D73EA" w:rsidRDefault="006D73EA" w:rsidP="00F83A04">
      <w:pPr>
        <w:pStyle w:val="TableFigureHeading"/>
        <w:jc w:val="both"/>
      </w:pPr>
      <w:bookmarkStart w:id="44" w:name="_Ref218470451"/>
      <w:r>
        <w:lastRenderedPageBreak/>
        <w:t xml:space="preserve">Table </w:t>
      </w:r>
      <w:fldSimple w:instr=" SEQ Table \* ARABIC ">
        <w:r w:rsidR="00962F38">
          <w:rPr>
            <w:noProof/>
          </w:rPr>
          <w:t>7</w:t>
        </w:r>
      </w:fldSimple>
      <w:bookmarkEnd w:id="44"/>
      <w:r>
        <w:t>: Overall summary of</w:t>
      </w:r>
      <w:r w:rsidR="006D08A6">
        <w:t xml:space="preserve"> treatment emergent adverse events</w:t>
      </w:r>
      <w:r>
        <w:t xml:space="preserve"> </w:t>
      </w:r>
      <w:r w:rsidR="006D08A6">
        <w:t>(</w:t>
      </w:r>
      <w:r>
        <w:t>TEAEs</w:t>
      </w:r>
      <w:r w:rsidR="006D08A6">
        <w:t>)</w:t>
      </w:r>
      <w:r>
        <w:t xml:space="preserve"> in patients receiving monthly ACP 2 mg IVT (pooled GATHER1 and GATHER2) vs sham (pooled GATHER1 and GATHER2) for 12 months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Overall summary of treatment emergent adverse events (TEAEs) in patients receiving monthly ACP 2 mg IVT (pooled GATHER1 and GATHER2) vs sham (pooled GATHER1 and GATHER2) for 12 months (Safety population)"/>
      </w:tblPr>
      <w:tblGrid>
        <w:gridCol w:w="2972"/>
        <w:gridCol w:w="1418"/>
        <w:gridCol w:w="1275"/>
        <w:gridCol w:w="1701"/>
        <w:gridCol w:w="1651"/>
      </w:tblGrid>
      <w:tr w:rsidR="001A6CA3" w:rsidRPr="00D86D87" w14:paraId="5EB3D851" w14:textId="77777777">
        <w:trPr>
          <w:tblHeader/>
        </w:trPr>
        <w:tc>
          <w:tcPr>
            <w:tcW w:w="2972" w:type="dxa"/>
            <w:vAlign w:val="center"/>
          </w:tcPr>
          <w:p w14:paraId="47BFC931" w14:textId="77777777" w:rsidR="000F1910" w:rsidRPr="00D86D87" w:rsidRDefault="000F1910">
            <w:pPr>
              <w:pStyle w:val="In-tableHeading"/>
              <w:rPr>
                <w:lang w:val="en-AU"/>
              </w:rPr>
            </w:pPr>
            <w:bookmarkStart w:id="45" w:name="_Hlk218610845"/>
          </w:p>
        </w:tc>
        <w:tc>
          <w:tcPr>
            <w:tcW w:w="1418" w:type="dxa"/>
            <w:vAlign w:val="center"/>
          </w:tcPr>
          <w:p w14:paraId="239644F4" w14:textId="77777777" w:rsidR="000F1910" w:rsidRDefault="000F1910">
            <w:pPr>
              <w:pStyle w:val="In-tableHeading"/>
              <w:jc w:val="center"/>
              <w:rPr>
                <w:lang w:val="en-AU"/>
              </w:rPr>
            </w:pPr>
            <w:r>
              <w:rPr>
                <w:lang w:val="en-AU"/>
              </w:rPr>
              <w:t>ACP 2 mg</w:t>
            </w:r>
          </w:p>
          <w:p w14:paraId="56E01603" w14:textId="77777777" w:rsidR="000F1910" w:rsidRPr="00D86D87" w:rsidRDefault="000F1910">
            <w:pPr>
              <w:pStyle w:val="In-tableHeading"/>
              <w:jc w:val="center"/>
              <w:rPr>
                <w:lang w:val="en-AU"/>
              </w:rPr>
            </w:pPr>
            <w:r>
              <w:rPr>
                <w:lang w:val="en-AU"/>
              </w:rPr>
              <w:t>(N = 292)</w:t>
            </w:r>
            <w:r w:rsidRPr="00F77F80">
              <w:rPr>
                <w:vertAlign w:val="superscript"/>
                <w:lang w:val="en-AU"/>
              </w:rPr>
              <w:t>a</w:t>
            </w:r>
          </w:p>
        </w:tc>
        <w:tc>
          <w:tcPr>
            <w:tcW w:w="1275" w:type="dxa"/>
            <w:vAlign w:val="center"/>
          </w:tcPr>
          <w:p w14:paraId="6DB954F7" w14:textId="77777777" w:rsidR="000F1910" w:rsidRDefault="000F1910">
            <w:pPr>
              <w:pStyle w:val="In-tableHeading"/>
              <w:jc w:val="center"/>
              <w:rPr>
                <w:lang w:val="en-AU"/>
              </w:rPr>
            </w:pPr>
            <w:r>
              <w:rPr>
                <w:lang w:val="en-AU"/>
              </w:rPr>
              <w:t xml:space="preserve">Sham </w:t>
            </w:r>
          </w:p>
          <w:p w14:paraId="79FD8CCD" w14:textId="77777777" w:rsidR="000F1910" w:rsidRPr="00D86D87" w:rsidRDefault="000F1910">
            <w:pPr>
              <w:pStyle w:val="In-tableHeading"/>
              <w:jc w:val="center"/>
              <w:rPr>
                <w:lang w:val="en-AU"/>
              </w:rPr>
            </w:pPr>
            <w:r>
              <w:rPr>
                <w:lang w:val="en-AU"/>
              </w:rPr>
              <w:t>(N = 332)</w:t>
            </w:r>
            <w:r w:rsidRPr="00F77F80">
              <w:rPr>
                <w:vertAlign w:val="superscript"/>
                <w:lang w:val="en-AU"/>
              </w:rPr>
              <w:t>b</w:t>
            </w:r>
          </w:p>
        </w:tc>
        <w:tc>
          <w:tcPr>
            <w:tcW w:w="1701" w:type="dxa"/>
            <w:vAlign w:val="center"/>
          </w:tcPr>
          <w:p w14:paraId="0F0F8518" w14:textId="77777777" w:rsidR="000F1910" w:rsidRPr="00D471A9" w:rsidRDefault="000F1910">
            <w:pPr>
              <w:pStyle w:val="In-tableHeading"/>
              <w:jc w:val="center"/>
              <w:rPr>
                <w:lang w:val="en-AU"/>
              </w:rPr>
            </w:pPr>
            <w:r w:rsidRPr="00D471A9">
              <w:rPr>
                <w:lang w:val="en-AU"/>
              </w:rPr>
              <w:t>RD (95% CI)</w:t>
            </w:r>
          </w:p>
        </w:tc>
        <w:tc>
          <w:tcPr>
            <w:tcW w:w="1651" w:type="dxa"/>
            <w:vAlign w:val="center"/>
          </w:tcPr>
          <w:p w14:paraId="61719D7E" w14:textId="77777777" w:rsidR="000F1910" w:rsidRPr="00D471A9" w:rsidRDefault="000F1910">
            <w:pPr>
              <w:pStyle w:val="In-tableHeading"/>
              <w:jc w:val="center"/>
              <w:rPr>
                <w:lang w:val="en-AU"/>
              </w:rPr>
            </w:pPr>
            <w:r w:rsidRPr="00D471A9">
              <w:rPr>
                <w:lang w:val="en-AU"/>
              </w:rPr>
              <w:t>RR (95% CI)</w:t>
            </w:r>
          </w:p>
        </w:tc>
      </w:tr>
      <w:tr w:rsidR="001A6CA3" w:rsidRPr="00D86D87" w14:paraId="1D4C7DF7" w14:textId="77777777">
        <w:tc>
          <w:tcPr>
            <w:tcW w:w="2972" w:type="dxa"/>
            <w:vAlign w:val="center"/>
          </w:tcPr>
          <w:p w14:paraId="347E8AB2" w14:textId="77777777" w:rsidR="000F1910" w:rsidRPr="00D86D87" w:rsidRDefault="000F1910">
            <w:pPr>
              <w:pStyle w:val="TableText0"/>
            </w:pPr>
            <w:r>
              <w:t>Any TEAE, n (%)</w:t>
            </w:r>
          </w:p>
        </w:tc>
        <w:tc>
          <w:tcPr>
            <w:tcW w:w="1418" w:type="dxa"/>
            <w:vAlign w:val="center"/>
          </w:tcPr>
          <w:p w14:paraId="759B9E63" w14:textId="77777777" w:rsidR="000F1910" w:rsidRPr="00D86D87" w:rsidRDefault="000F1910">
            <w:pPr>
              <w:pStyle w:val="TableText0"/>
              <w:jc w:val="center"/>
            </w:pPr>
            <w:r>
              <w:t>232 (79.5%)</w:t>
            </w:r>
          </w:p>
        </w:tc>
        <w:tc>
          <w:tcPr>
            <w:tcW w:w="1275" w:type="dxa"/>
            <w:vAlign w:val="center"/>
          </w:tcPr>
          <w:p w14:paraId="6E181FFE" w14:textId="77777777" w:rsidR="000F1910" w:rsidRPr="00D86D87" w:rsidRDefault="000F1910">
            <w:pPr>
              <w:pStyle w:val="TableText0"/>
              <w:jc w:val="center"/>
            </w:pPr>
            <w:r>
              <w:t>231 (69.6%)</w:t>
            </w:r>
          </w:p>
        </w:tc>
        <w:tc>
          <w:tcPr>
            <w:tcW w:w="1701" w:type="dxa"/>
            <w:vAlign w:val="center"/>
          </w:tcPr>
          <w:p w14:paraId="2E903FFF" w14:textId="77777777" w:rsidR="000F1910" w:rsidRPr="00D471A9" w:rsidRDefault="000F1910">
            <w:pPr>
              <w:pStyle w:val="TableText0"/>
              <w:jc w:val="center"/>
            </w:pPr>
            <w:r w:rsidRPr="00D471A9">
              <w:t>0.10 (0.03, 0.17)</w:t>
            </w:r>
          </w:p>
        </w:tc>
        <w:tc>
          <w:tcPr>
            <w:tcW w:w="1651" w:type="dxa"/>
            <w:vAlign w:val="center"/>
          </w:tcPr>
          <w:p w14:paraId="6EF3E2B0" w14:textId="77777777" w:rsidR="000F1910" w:rsidRPr="00D471A9" w:rsidRDefault="000F1910">
            <w:pPr>
              <w:pStyle w:val="TableText0"/>
              <w:jc w:val="center"/>
            </w:pPr>
            <w:r w:rsidRPr="00D471A9">
              <w:t>1.14 (1.04, 1.25)</w:t>
            </w:r>
          </w:p>
        </w:tc>
      </w:tr>
      <w:tr w:rsidR="001A6CA3" w:rsidRPr="00D86D87" w14:paraId="662B0373" w14:textId="77777777">
        <w:tc>
          <w:tcPr>
            <w:tcW w:w="2972" w:type="dxa"/>
            <w:vAlign w:val="center"/>
          </w:tcPr>
          <w:p w14:paraId="1A89224F" w14:textId="77777777" w:rsidR="000F1910" w:rsidRPr="00D86D87" w:rsidRDefault="000F1910">
            <w:pPr>
              <w:pStyle w:val="TableText0"/>
              <w:ind w:left="169"/>
            </w:pPr>
            <w:r>
              <w:t>TEAE related to injection, n (%)</w:t>
            </w:r>
          </w:p>
        </w:tc>
        <w:tc>
          <w:tcPr>
            <w:tcW w:w="1418" w:type="dxa"/>
            <w:vAlign w:val="center"/>
          </w:tcPr>
          <w:p w14:paraId="19F5DF4F" w14:textId="77777777" w:rsidR="000F1910" w:rsidRPr="00D86D87" w:rsidRDefault="000F1910">
            <w:pPr>
              <w:pStyle w:val="TableText0"/>
              <w:jc w:val="center"/>
            </w:pPr>
            <w:r>
              <w:t>85 (29.1%)</w:t>
            </w:r>
          </w:p>
        </w:tc>
        <w:tc>
          <w:tcPr>
            <w:tcW w:w="1275" w:type="dxa"/>
            <w:vAlign w:val="center"/>
          </w:tcPr>
          <w:p w14:paraId="08848C6E" w14:textId="77777777" w:rsidR="000F1910" w:rsidRPr="00D86D87" w:rsidRDefault="000F1910">
            <w:pPr>
              <w:pStyle w:val="TableText0"/>
              <w:jc w:val="center"/>
            </w:pPr>
            <w:r>
              <w:t>69 (20.8%)</w:t>
            </w:r>
          </w:p>
        </w:tc>
        <w:tc>
          <w:tcPr>
            <w:tcW w:w="1701" w:type="dxa"/>
            <w:vAlign w:val="center"/>
          </w:tcPr>
          <w:p w14:paraId="600C0A50" w14:textId="77777777" w:rsidR="000F1910" w:rsidRPr="00D471A9" w:rsidRDefault="000F1910">
            <w:pPr>
              <w:pStyle w:val="TableText0"/>
              <w:jc w:val="center"/>
            </w:pPr>
            <w:r w:rsidRPr="00D471A9">
              <w:t>0.08 (0.02, 0.15)</w:t>
            </w:r>
          </w:p>
        </w:tc>
        <w:tc>
          <w:tcPr>
            <w:tcW w:w="1651" w:type="dxa"/>
            <w:vAlign w:val="center"/>
          </w:tcPr>
          <w:p w14:paraId="48F47B4D" w14:textId="77777777" w:rsidR="000F1910" w:rsidRPr="00D471A9" w:rsidRDefault="000F1910">
            <w:pPr>
              <w:pStyle w:val="TableText0"/>
              <w:jc w:val="center"/>
            </w:pPr>
            <w:r w:rsidRPr="00D471A9">
              <w:t>1.40 (1.06, 1.85)</w:t>
            </w:r>
          </w:p>
        </w:tc>
      </w:tr>
      <w:tr w:rsidR="001A6CA3" w:rsidRPr="00D86D87" w14:paraId="1BC2FEE6" w14:textId="77777777">
        <w:tc>
          <w:tcPr>
            <w:tcW w:w="2972" w:type="dxa"/>
            <w:vAlign w:val="center"/>
          </w:tcPr>
          <w:p w14:paraId="1B3041C0" w14:textId="77777777" w:rsidR="000F1910" w:rsidRPr="00D86D87" w:rsidRDefault="000F1910">
            <w:pPr>
              <w:pStyle w:val="TableText0"/>
              <w:ind w:left="169"/>
            </w:pPr>
            <w:r>
              <w:t>TEAE related to study drug, n (%)</w:t>
            </w:r>
          </w:p>
        </w:tc>
        <w:tc>
          <w:tcPr>
            <w:tcW w:w="1418" w:type="dxa"/>
            <w:vAlign w:val="center"/>
          </w:tcPr>
          <w:p w14:paraId="2557169A" w14:textId="77777777" w:rsidR="000F1910" w:rsidRPr="00D86D87" w:rsidRDefault="000F1910">
            <w:pPr>
              <w:pStyle w:val="TableText0"/>
              <w:jc w:val="center"/>
            </w:pPr>
            <w:r>
              <w:t xml:space="preserve">4 (1.4%) </w:t>
            </w:r>
          </w:p>
        </w:tc>
        <w:tc>
          <w:tcPr>
            <w:tcW w:w="1275" w:type="dxa"/>
            <w:vAlign w:val="center"/>
          </w:tcPr>
          <w:p w14:paraId="190AE019" w14:textId="77777777" w:rsidR="000F1910" w:rsidRPr="00D86D87" w:rsidRDefault="000F1910">
            <w:pPr>
              <w:pStyle w:val="TableText0"/>
              <w:jc w:val="center"/>
            </w:pPr>
            <w:r>
              <w:t>2 (0.6%)</w:t>
            </w:r>
          </w:p>
        </w:tc>
        <w:tc>
          <w:tcPr>
            <w:tcW w:w="1701" w:type="dxa"/>
            <w:vAlign w:val="center"/>
          </w:tcPr>
          <w:p w14:paraId="5143E3DE" w14:textId="550CC02D" w:rsidR="000F1910" w:rsidRPr="00D471A9" w:rsidRDefault="000F1910">
            <w:pPr>
              <w:pStyle w:val="TableText0"/>
              <w:jc w:val="center"/>
            </w:pPr>
            <w:r w:rsidRPr="00D471A9">
              <w:t>0.01 (</w:t>
            </w:r>
            <w:r w:rsidR="009B60A6">
              <w:noBreakHyphen/>
            </w:r>
            <w:r w:rsidRPr="00D471A9">
              <w:t>0.01, 0.021)</w:t>
            </w:r>
          </w:p>
        </w:tc>
        <w:tc>
          <w:tcPr>
            <w:tcW w:w="1651" w:type="dxa"/>
            <w:vAlign w:val="center"/>
          </w:tcPr>
          <w:p w14:paraId="34898BBF" w14:textId="77777777" w:rsidR="000F1910" w:rsidRPr="00D471A9" w:rsidRDefault="000F1910">
            <w:pPr>
              <w:pStyle w:val="TableText0"/>
              <w:jc w:val="center"/>
            </w:pPr>
            <w:r w:rsidRPr="00D471A9">
              <w:t>2.27 (0.42, 12.33)</w:t>
            </w:r>
          </w:p>
        </w:tc>
      </w:tr>
      <w:tr w:rsidR="001A6CA3" w:rsidRPr="00D86D87" w14:paraId="43E533A8" w14:textId="77777777">
        <w:tc>
          <w:tcPr>
            <w:tcW w:w="2972" w:type="dxa"/>
            <w:vAlign w:val="center"/>
          </w:tcPr>
          <w:p w14:paraId="22B96F3C" w14:textId="77777777" w:rsidR="000F1910" w:rsidRPr="00D86D87" w:rsidRDefault="000F1910">
            <w:pPr>
              <w:pStyle w:val="TableText0"/>
            </w:pPr>
            <w:r>
              <w:t>Any ocular TEAE (study eye) , n (%)</w:t>
            </w:r>
          </w:p>
        </w:tc>
        <w:tc>
          <w:tcPr>
            <w:tcW w:w="1418" w:type="dxa"/>
            <w:vAlign w:val="center"/>
          </w:tcPr>
          <w:p w14:paraId="3EED14AF" w14:textId="77777777" w:rsidR="000F1910" w:rsidRPr="00D86D87" w:rsidRDefault="000F1910">
            <w:pPr>
              <w:pStyle w:val="TableText0"/>
              <w:jc w:val="center"/>
            </w:pPr>
            <w:r>
              <w:t>149 (51.0%)</w:t>
            </w:r>
          </w:p>
        </w:tc>
        <w:tc>
          <w:tcPr>
            <w:tcW w:w="1275" w:type="dxa"/>
            <w:vAlign w:val="center"/>
          </w:tcPr>
          <w:p w14:paraId="283F46C8" w14:textId="77777777" w:rsidR="000F1910" w:rsidRPr="00D86D87" w:rsidRDefault="000F1910">
            <w:pPr>
              <w:pStyle w:val="TableText0"/>
              <w:jc w:val="center"/>
            </w:pPr>
            <w:r>
              <w:t>121 (36.4%)</w:t>
            </w:r>
          </w:p>
        </w:tc>
        <w:tc>
          <w:tcPr>
            <w:tcW w:w="1701" w:type="dxa"/>
            <w:vAlign w:val="center"/>
          </w:tcPr>
          <w:p w14:paraId="1E8B2BE4" w14:textId="77777777" w:rsidR="000F1910" w:rsidRPr="00D471A9" w:rsidRDefault="000F1910">
            <w:pPr>
              <w:pStyle w:val="TableText0"/>
              <w:jc w:val="center"/>
            </w:pPr>
            <w:r w:rsidRPr="00D471A9">
              <w:t>0.15 (0.07, 0.22)</w:t>
            </w:r>
          </w:p>
        </w:tc>
        <w:tc>
          <w:tcPr>
            <w:tcW w:w="1651" w:type="dxa"/>
            <w:vAlign w:val="center"/>
          </w:tcPr>
          <w:p w14:paraId="5C1F9D5F" w14:textId="77777777" w:rsidR="000F1910" w:rsidRPr="00D471A9" w:rsidRDefault="000F1910">
            <w:pPr>
              <w:pStyle w:val="TableText0"/>
              <w:jc w:val="center"/>
            </w:pPr>
            <w:r w:rsidRPr="00D471A9">
              <w:t>1.40 (1.17, 1.68)</w:t>
            </w:r>
          </w:p>
        </w:tc>
      </w:tr>
      <w:tr w:rsidR="001A6CA3" w:rsidRPr="00D86D87" w14:paraId="4365A1E5" w14:textId="77777777">
        <w:tc>
          <w:tcPr>
            <w:tcW w:w="2972" w:type="dxa"/>
            <w:vAlign w:val="center"/>
          </w:tcPr>
          <w:p w14:paraId="4AFB8E52" w14:textId="77777777" w:rsidR="000F1910" w:rsidRPr="00D86D87" w:rsidRDefault="000F1910">
            <w:pPr>
              <w:pStyle w:val="TableText0"/>
            </w:pPr>
            <w:r>
              <w:t>Ocular TEAE related to injection (study eye) , n (%)</w:t>
            </w:r>
          </w:p>
        </w:tc>
        <w:tc>
          <w:tcPr>
            <w:tcW w:w="1418" w:type="dxa"/>
            <w:vAlign w:val="center"/>
          </w:tcPr>
          <w:p w14:paraId="2F8FB4E9" w14:textId="77777777" w:rsidR="000F1910" w:rsidRPr="00D86D87" w:rsidRDefault="000F1910">
            <w:pPr>
              <w:pStyle w:val="TableText0"/>
              <w:jc w:val="center"/>
            </w:pPr>
            <w:r>
              <w:t>84 (28.8%)</w:t>
            </w:r>
          </w:p>
        </w:tc>
        <w:tc>
          <w:tcPr>
            <w:tcW w:w="1275" w:type="dxa"/>
            <w:vAlign w:val="center"/>
          </w:tcPr>
          <w:p w14:paraId="371C0F4F" w14:textId="77777777" w:rsidR="000F1910" w:rsidRPr="00D86D87" w:rsidRDefault="000F1910">
            <w:pPr>
              <w:pStyle w:val="TableText0"/>
              <w:jc w:val="center"/>
            </w:pPr>
            <w:r>
              <w:t>69 (20.8%)</w:t>
            </w:r>
          </w:p>
        </w:tc>
        <w:tc>
          <w:tcPr>
            <w:tcW w:w="1701" w:type="dxa"/>
            <w:vAlign w:val="center"/>
          </w:tcPr>
          <w:p w14:paraId="4A841A2C" w14:textId="77777777" w:rsidR="000F1910" w:rsidRPr="00D471A9" w:rsidRDefault="000F1910">
            <w:pPr>
              <w:pStyle w:val="TableText0"/>
              <w:jc w:val="center"/>
            </w:pPr>
            <w:r w:rsidRPr="00D471A9">
              <w:t>0.08 (0.01, 0.15)</w:t>
            </w:r>
          </w:p>
        </w:tc>
        <w:tc>
          <w:tcPr>
            <w:tcW w:w="1651" w:type="dxa"/>
            <w:vAlign w:val="center"/>
          </w:tcPr>
          <w:p w14:paraId="48ECE6F8" w14:textId="77777777" w:rsidR="000F1910" w:rsidRPr="00D471A9" w:rsidRDefault="000F1910">
            <w:pPr>
              <w:pStyle w:val="TableText0"/>
              <w:jc w:val="center"/>
            </w:pPr>
            <w:r w:rsidRPr="00D471A9">
              <w:t>1.38 (1.05, 1.83)</w:t>
            </w:r>
          </w:p>
        </w:tc>
      </w:tr>
      <w:tr w:rsidR="001A6CA3" w:rsidRPr="00D86D87" w14:paraId="74BF597B" w14:textId="77777777">
        <w:tc>
          <w:tcPr>
            <w:tcW w:w="2972" w:type="dxa"/>
            <w:vAlign w:val="center"/>
          </w:tcPr>
          <w:p w14:paraId="2D0093F3" w14:textId="77777777" w:rsidR="000F1910" w:rsidRDefault="000F1910">
            <w:pPr>
              <w:pStyle w:val="TableText0"/>
            </w:pPr>
            <w:r>
              <w:t>Ocular TEAE related to study drug (study eye) , n (%)</w:t>
            </w:r>
          </w:p>
        </w:tc>
        <w:tc>
          <w:tcPr>
            <w:tcW w:w="1418" w:type="dxa"/>
            <w:vAlign w:val="center"/>
          </w:tcPr>
          <w:p w14:paraId="0A38AF3E" w14:textId="77777777" w:rsidR="000F1910" w:rsidRPr="00D86D87" w:rsidRDefault="000F1910">
            <w:pPr>
              <w:pStyle w:val="TableText0"/>
              <w:jc w:val="center"/>
            </w:pPr>
            <w:r>
              <w:t xml:space="preserve">4 (1.4%) </w:t>
            </w:r>
          </w:p>
        </w:tc>
        <w:tc>
          <w:tcPr>
            <w:tcW w:w="1275" w:type="dxa"/>
            <w:vAlign w:val="center"/>
          </w:tcPr>
          <w:p w14:paraId="3BA78875" w14:textId="77777777" w:rsidR="000F1910" w:rsidRDefault="000F1910">
            <w:pPr>
              <w:pStyle w:val="TableText0"/>
              <w:jc w:val="center"/>
            </w:pPr>
            <w:r>
              <w:t>2 (0.6%)</w:t>
            </w:r>
          </w:p>
        </w:tc>
        <w:tc>
          <w:tcPr>
            <w:tcW w:w="1701" w:type="dxa"/>
            <w:vAlign w:val="center"/>
          </w:tcPr>
          <w:p w14:paraId="252ACD6B" w14:textId="49EF81D6" w:rsidR="000F1910" w:rsidRPr="00D471A9" w:rsidRDefault="000F1910">
            <w:pPr>
              <w:pStyle w:val="TableText0"/>
              <w:jc w:val="center"/>
            </w:pPr>
            <w:r w:rsidRPr="00D471A9">
              <w:t>0.01 (</w:t>
            </w:r>
            <w:r w:rsidR="009B60A6">
              <w:noBreakHyphen/>
            </w:r>
            <w:r w:rsidRPr="00D471A9">
              <w:t>0.01, 0.02)</w:t>
            </w:r>
          </w:p>
        </w:tc>
        <w:tc>
          <w:tcPr>
            <w:tcW w:w="1651" w:type="dxa"/>
            <w:vAlign w:val="center"/>
          </w:tcPr>
          <w:p w14:paraId="76173E56" w14:textId="77777777" w:rsidR="000F1910" w:rsidRPr="00D471A9" w:rsidRDefault="000F1910">
            <w:pPr>
              <w:pStyle w:val="TableText0"/>
              <w:jc w:val="center"/>
            </w:pPr>
            <w:r w:rsidRPr="00D471A9">
              <w:t>2.27 (0.42, 12.33)</w:t>
            </w:r>
          </w:p>
        </w:tc>
      </w:tr>
      <w:tr w:rsidR="001A6CA3" w:rsidRPr="00D86D87" w14:paraId="59272AE7" w14:textId="77777777">
        <w:tc>
          <w:tcPr>
            <w:tcW w:w="2972" w:type="dxa"/>
            <w:vAlign w:val="center"/>
          </w:tcPr>
          <w:p w14:paraId="6BD8C7C8" w14:textId="77777777" w:rsidR="000F1910" w:rsidRDefault="000F1910">
            <w:pPr>
              <w:pStyle w:val="TableText0"/>
            </w:pPr>
            <w:r>
              <w:t>Any serious TEAE, n (%)</w:t>
            </w:r>
          </w:p>
        </w:tc>
        <w:tc>
          <w:tcPr>
            <w:tcW w:w="1418" w:type="dxa"/>
            <w:vAlign w:val="center"/>
          </w:tcPr>
          <w:p w14:paraId="7675267C" w14:textId="77777777" w:rsidR="000F1910" w:rsidRDefault="000F1910">
            <w:pPr>
              <w:pStyle w:val="TableText0"/>
              <w:jc w:val="center"/>
            </w:pPr>
            <w:r>
              <w:t>37 (12.7%)</w:t>
            </w:r>
          </w:p>
        </w:tc>
        <w:tc>
          <w:tcPr>
            <w:tcW w:w="1275" w:type="dxa"/>
            <w:vAlign w:val="center"/>
          </w:tcPr>
          <w:p w14:paraId="0752535E" w14:textId="77777777" w:rsidR="000F1910" w:rsidRDefault="000F1910">
            <w:pPr>
              <w:pStyle w:val="TableText0"/>
              <w:jc w:val="center"/>
            </w:pPr>
            <w:r>
              <w:t>57 (17.2%)</w:t>
            </w:r>
          </w:p>
        </w:tc>
        <w:tc>
          <w:tcPr>
            <w:tcW w:w="1701" w:type="dxa"/>
            <w:vAlign w:val="center"/>
          </w:tcPr>
          <w:p w14:paraId="7C54FB69" w14:textId="285C424F" w:rsidR="000F1910" w:rsidRPr="00D471A9" w:rsidRDefault="009B60A6">
            <w:pPr>
              <w:pStyle w:val="TableText0"/>
              <w:jc w:val="center"/>
            </w:pPr>
            <w:r>
              <w:noBreakHyphen/>
            </w:r>
            <w:r w:rsidR="000F1910" w:rsidRPr="00D471A9">
              <w:t>0.05 (</w:t>
            </w:r>
            <w:r>
              <w:noBreakHyphen/>
            </w:r>
            <w:r w:rsidR="000F1910" w:rsidRPr="00D471A9">
              <w:t>0.10, 0.01)</w:t>
            </w:r>
          </w:p>
        </w:tc>
        <w:tc>
          <w:tcPr>
            <w:tcW w:w="1651" w:type="dxa"/>
            <w:vAlign w:val="center"/>
          </w:tcPr>
          <w:p w14:paraId="633DE92C" w14:textId="77777777" w:rsidR="000F1910" w:rsidRPr="00D471A9" w:rsidRDefault="000F1910">
            <w:pPr>
              <w:pStyle w:val="TableText0"/>
              <w:jc w:val="center"/>
            </w:pPr>
            <w:r w:rsidRPr="00D471A9">
              <w:t>0.74 (0.50, 1.08)</w:t>
            </w:r>
          </w:p>
        </w:tc>
      </w:tr>
      <w:tr w:rsidR="001A6CA3" w:rsidRPr="00D86D87" w14:paraId="7C87DC3E" w14:textId="77777777">
        <w:tc>
          <w:tcPr>
            <w:tcW w:w="2972" w:type="dxa"/>
            <w:vAlign w:val="center"/>
          </w:tcPr>
          <w:p w14:paraId="4EA5CBAA" w14:textId="77777777" w:rsidR="000F1910" w:rsidRDefault="000F1910">
            <w:pPr>
              <w:pStyle w:val="TableText0"/>
            </w:pPr>
            <w:r>
              <w:t>Any serious TEAE in study eye, n (%)</w:t>
            </w:r>
          </w:p>
        </w:tc>
        <w:tc>
          <w:tcPr>
            <w:tcW w:w="1418" w:type="dxa"/>
            <w:vAlign w:val="center"/>
          </w:tcPr>
          <w:p w14:paraId="49831A3D" w14:textId="77777777" w:rsidR="000F1910" w:rsidRDefault="000F1910">
            <w:pPr>
              <w:pStyle w:val="TableText0"/>
              <w:jc w:val="center"/>
            </w:pPr>
            <w:r>
              <w:t>2 (0.7%)</w:t>
            </w:r>
          </w:p>
        </w:tc>
        <w:tc>
          <w:tcPr>
            <w:tcW w:w="1275" w:type="dxa"/>
            <w:vAlign w:val="center"/>
          </w:tcPr>
          <w:p w14:paraId="45927C10" w14:textId="77777777" w:rsidR="000F1910" w:rsidRDefault="000F1910">
            <w:pPr>
              <w:pStyle w:val="TableText0"/>
              <w:jc w:val="center"/>
            </w:pPr>
            <w:r>
              <w:t>2 (0.6%)</w:t>
            </w:r>
          </w:p>
        </w:tc>
        <w:tc>
          <w:tcPr>
            <w:tcW w:w="1701" w:type="dxa"/>
            <w:vAlign w:val="center"/>
          </w:tcPr>
          <w:p w14:paraId="1FAE4CDA" w14:textId="265DD916" w:rsidR="000F1910" w:rsidRPr="00D471A9" w:rsidRDefault="000F1910">
            <w:pPr>
              <w:pStyle w:val="TableText0"/>
              <w:jc w:val="center"/>
            </w:pPr>
            <w:r w:rsidRPr="00D471A9">
              <w:t>0.00 (</w:t>
            </w:r>
            <w:r w:rsidR="009B60A6">
              <w:noBreakHyphen/>
            </w:r>
            <w:r w:rsidRPr="00D471A9">
              <w:t>0.01, 0.01)</w:t>
            </w:r>
          </w:p>
        </w:tc>
        <w:tc>
          <w:tcPr>
            <w:tcW w:w="1651" w:type="dxa"/>
            <w:vAlign w:val="center"/>
          </w:tcPr>
          <w:p w14:paraId="7CC71544" w14:textId="77777777" w:rsidR="000F1910" w:rsidRPr="00D471A9" w:rsidRDefault="000F1910">
            <w:pPr>
              <w:pStyle w:val="TableText0"/>
              <w:jc w:val="center"/>
            </w:pPr>
            <w:r w:rsidRPr="00D471A9">
              <w:t>1.14 (0.16, 8.02)</w:t>
            </w:r>
          </w:p>
        </w:tc>
      </w:tr>
      <w:tr w:rsidR="001A6CA3" w:rsidRPr="00D86D87" w14:paraId="721BFDAF" w14:textId="77777777">
        <w:tc>
          <w:tcPr>
            <w:tcW w:w="2972" w:type="dxa"/>
            <w:vAlign w:val="center"/>
          </w:tcPr>
          <w:p w14:paraId="0319312F" w14:textId="77777777" w:rsidR="000F1910" w:rsidRDefault="000F1910">
            <w:pPr>
              <w:pStyle w:val="TableText0"/>
              <w:ind w:left="169"/>
            </w:pPr>
            <w:r>
              <w:t>Serious ocular TEAE related to injection (study eye), n (%)</w:t>
            </w:r>
          </w:p>
        </w:tc>
        <w:tc>
          <w:tcPr>
            <w:tcW w:w="1418" w:type="dxa"/>
            <w:vAlign w:val="center"/>
          </w:tcPr>
          <w:p w14:paraId="788098E2" w14:textId="77777777" w:rsidR="000F1910" w:rsidRDefault="000F1910">
            <w:pPr>
              <w:pStyle w:val="TableText0"/>
              <w:jc w:val="center"/>
            </w:pPr>
            <w:r>
              <w:t>0</w:t>
            </w:r>
          </w:p>
        </w:tc>
        <w:tc>
          <w:tcPr>
            <w:tcW w:w="1275" w:type="dxa"/>
            <w:vAlign w:val="center"/>
          </w:tcPr>
          <w:p w14:paraId="78761AE0" w14:textId="77777777" w:rsidR="000F1910" w:rsidRDefault="000F1910">
            <w:pPr>
              <w:pStyle w:val="TableText0"/>
              <w:jc w:val="center"/>
            </w:pPr>
            <w:r>
              <w:t>0</w:t>
            </w:r>
          </w:p>
        </w:tc>
        <w:tc>
          <w:tcPr>
            <w:tcW w:w="1701" w:type="dxa"/>
            <w:vAlign w:val="center"/>
          </w:tcPr>
          <w:p w14:paraId="65F1EF32" w14:textId="77777777" w:rsidR="000F1910" w:rsidRPr="00D471A9" w:rsidRDefault="000F1910">
            <w:pPr>
              <w:pStyle w:val="TableText0"/>
              <w:jc w:val="center"/>
            </w:pPr>
            <w:r w:rsidRPr="00D471A9">
              <w:t>0</w:t>
            </w:r>
          </w:p>
        </w:tc>
        <w:tc>
          <w:tcPr>
            <w:tcW w:w="1651" w:type="dxa"/>
            <w:vAlign w:val="center"/>
          </w:tcPr>
          <w:p w14:paraId="0D7239B1" w14:textId="218FBB8B" w:rsidR="000F1910" w:rsidRPr="00D471A9" w:rsidRDefault="009B60A6">
            <w:pPr>
              <w:pStyle w:val="TableText0"/>
              <w:jc w:val="center"/>
            </w:pPr>
            <w:r>
              <w:noBreakHyphen/>
            </w:r>
            <w:r w:rsidR="000F1910" w:rsidRPr="00D471A9">
              <w:t xml:space="preserve"> </w:t>
            </w:r>
          </w:p>
        </w:tc>
      </w:tr>
      <w:tr w:rsidR="001A6CA3" w:rsidRPr="00D86D87" w14:paraId="57B43FEF" w14:textId="77777777">
        <w:tc>
          <w:tcPr>
            <w:tcW w:w="2972" w:type="dxa"/>
            <w:vAlign w:val="center"/>
          </w:tcPr>
          <w:p w14:paraId="36E0203B" w14:textId="77777777" w:rsidR="000F1910" w:rsidRDefault="000F1910">
            <w:pPr>
              <w:pStyle w:val="TableText0"/>
              <w:ind w:left="169"/>
            </w:pPr>
            <w:r>
              <w:t>Serious ocular TEAE related to study drug (study eye), n (%)</w:t>
            </w:r>
          </w:p>
        </w:tc>
        <w:tc>
          <w:tcPr>
            <w:tcW w:w="1418" w:type="dxa"/>
            <w:vAlign w:val="center"/>
          </w:tcPr>
          <w:p w14:paraId="4F414270" w14:textId="77777777" w:rsidR="000F1910" w:rsidRDefault="000F1910">
            <w:pPr>
              <w:pStyle w:val="TableText0"/>
              <w:jc w:val="center"/>
            </w:pPr>
            <w:r>
              <w:t>1 (0.3%)</w:t>
            </w:r>
          </w:p>
        </w:tc>
        <w:tc>
          <w:tcPr>
            <w:tcW w:w="1275" w:type="dxa"/>
            <w:vAlign w:val="center"/>
          </w:tcPr>
          <w:p w14:paraId="159E95B6" w14:textId="77777777" w:rsidR="000F1910" w:rsidRDefault="000F1910">
            <w:pPr>
              <w:pStyle w:val="TableText0"/>
              <w:jc w:val="center"/>
            </w:pPr>
            <w:r>
              <w:t>0</w:t>
            </w:r>
          </w:p>
        </w:tc>
        <w:tc>
          <w:tcPr>
            <w:tcW w:w="1701" w:type="dxa"/>
            <w:vAlign w:val="center"/>
          </w:tcPr>
          <w:p w14:paraId="7FE2247B" w14:textId="6C0283BF" w:rsidR="000F1910" w:rsidRPr="00D471A9" w:rsidRDefault="000F1910">
            <w:pPr>
              <w:pStyle w:val="TableText0"/>
              <w:jc w:val="center"/>
            </w:pPr>
            <w:r w:rsidRPr="00D471A9">
              <w:t>0.00 (</w:t>
            </w:r>
            <w:r w:rsidR="009B60A6">
              <w:noBreakHyphen/>
            </w:r>
            <w:r w:rsidRPr="00D471A9">
              <w:t>0.00, 0.01)</w:t>
            </w:r>
          </w:p>
        </w:tc>
        <w:tc>
          <w:tcPr>
            <w:tcW w:w="1651" w:type="dxa"/>
            <w:vAlign w:val="center"/>
          </w:tcPr>
          <w:p w14:paraId="219E79D2" w14:textId="0C8650DD" w:rsidR="000F1910" w:rsidRPr="00D471A9" w:rsidRDefault="009B60A6">
            <w:pPr>
              <w:pStyle w:val="TableText0"/>
              <w:jc w:val="center"/>
            </w:pPr>
            <w:r>
              <w:noBreakHyphen/>
            </w:r>
            <w:r w:rsidR="000F1910" w:rsidRPr="00D471A9">
              <w:t xml:space="preserve"> </w:t>
            </w:r>
          </w:p>
        </w:tc>
      </w:tr>
      <w:tr w:rsidR="001A6CA3" w:rsidRPr="00D86D87" w14:paraId="4E95BBA4" w14:textId="77777777">
        <w:tc>
          <w:tcPr>
            <w:tcW w:w="2972" w:type="dxa"/>
            <w:vAlign w:val="center"/>
          </w:tcPr>
          <w:p w14:paraId="39059B13" w14:textId="77777777" w:rsidR="000F1910" w:rsidRDefault="000F1910">
            <w:pPr>
              <w:pStyle w:val="TableText0"/>
            </w:pPr>
            <w:r>
              <w:t>Any severe TEAE</w:t>
            </w:r>
            <w:r w:rsidRPr="00B51C01">
              <w:rPr>
                <w:vertAlign w:val="superscript"/>
              </w:rPr>
              <w:t>c</w:t>
            </w:r>
          </w:p>
        </w:tc>
        <w:tc>
          <w:tcPr>
            <w:tcW w:w="1418" w:type="dxa"/>
            <w:vAlign w:val="center"/>
          </w:tcPr>
          <w:p w14:paraId="271B0D48" w14:textId="77777777" w:rsidR="000F1910" w:rsidRDefault="000F1910">
            <w:pPr>
              <w:pStyle w:val="TableText0"/>
              <w:jc w:val="center"/>
            </w:pPr>
            <w:r>
              <w:t>38 (13.0%)</w:t>
            </w:r>
          </w:p>
        </w:tc>
        <w:tc>
          <w:tcPr>
            <w:tcW w:w="1275" w:type="dxa"/>
            <w:vAlign w:val="center"/>
          </w:tcPr>
          <w:p w14:paraId="53D953C7" w14:textId="77777777" w:rsidR="000F1910" w:rsidRDefault="000F1910">
            <w:pPr>
              <w:pStyle w:val="TableText0"/>
              <w:jc w:val="center"/>
            </w:pPr>
            <w:r>
              <w:t>37 (11.1%)</w:t>
            </w:r>
          </w:p>
        </w:tc>
        <w:tc>
          <w:tcPr>
            <w:tcW w:w="1701" w:type="dxa"/>
            <w:vAlign w:val="center"/>
          </w:tcPr>
          <w:p w14:paraId="536FE437" w14:textId="78900E08" w:rsidR="000F1910" w:rsidRPr="00D471A9" w:rsidRDefault="000F1910">
            <w:pPr>
              <w:pStyle w:val="TableText0"/>
              <w:jc w:val="center"/>
            </w:pPr>
            <w:r w:rsidRPr="00D471A9">
              <w:t>0.02 (</w:t>
            </w:r>
            <w:r w:rsidR="009B60A6">
              <w:noBreakHyphen/>
            </w:r>
            <w:r w:rsidRPr="00D471A9">
              <w:t>0.03, 0.07)</w:t>
            </w:r>
          </w:p>
        </w:tc>
        <w:tc>
          <w:tcPr>
            <w:tcW w:w="1651" w:type="dxa"/>
            <w:vAlign w:val="center"/>
          </w:tcPr>
          <w:p w14:paraId="0692F38A" w14:textId="77777777" w:rsidR="000F1910" w:rsidRPr="00D471A9" w:rsidRDefault="000F1910">
            <w:pPr>
              <w:pStyle w:val="TableText0"/>
              <w:jc w:val="center"/>
            </w:pPr>
            <w:r w:rsidRPr="00D471A9">
              <w:t>1.17 (0.76, 1.79)</w:t>
            </w:r>
          </w:p>
        </w:tc>
      </w:tr>
      <w:tr w:rsidR="001A6CA3" w:rsidRPr="00D86D87" w14:paraId="7911E6B5" w14:textId="77777777">
        <w:tc>
          <w:tcPr>
            <w:tcW w:w="2972" w:type="dxa"/>
            <w:vAlign w:val="center"/>
          </w:tcPr>
          <w:p w14:paraId="614C597E" w14:textId="77777777" w:rsidR="000F1910" w:rsidRDefault="000F1910">
            <w:pPr>
              <w:pStyle w:val="TableText0"/>
            </w:pPr>
            <w:r>
              <w:t>Any severe ocular TEAE</w:t>
            </w:r>
            <w:r w:rsidRPr="00B51C01">
              <w:rPr>
                <w:vertAlign w:val="superscript"/>
              </w:rPr>
              <w:t>c</w:t>
            </w:r>
            <w:r>
              <w:t xml:space="preserve"> in study eye, n (%)</w:t>
            </w:r>
          </w:p>
        </w:tc>
        <w:tc>
          <w:tcPr>
            <w:tcW w:w="1418" w:type="dxa"/>
            <w:vAlign w:val="center"/>
          </w:tcPr>
          <w:p w14:paraId="49122B96" w14:textId="77777777" w:rsidR="000F1910" w:rsidRDefault="000F1910">
            <w:pPr>
              <w:pStyle w:val="TableText0"/>
              <w:jc w:val="center"/>
            </w:pPr>
            <w:r>
              <w:t>7 (2.4%)</w:t>
            </w:r>
          </w:p>
        </w:tc>
        <w:tc>
          <w:tcPr>
            <w:tcW w:w="1275" w:type="dxa"/>
            <w:vAlign w:val="center"/>
          </w:tcPr>
          <w:p w14:paraId="591EFA26" w14:textId="77777777" w:rsidR="000F1910" w:rsidRDefault="000F1910">
            <w:pPr>
              <w:pStyle w:val="TableText0"/>
              <w:jc w:val="center"/>
            </w:pPr>
            <w:r>
              <w:t>2 (0.6%)</w:t>
            </w:r>
          </w:p>
        </w:tc>
        <w:tc>
          <w:tcPr>
            <w:tcW w:w="1701" w:type="dxa"/>
            <w:vAlign w:val="center"/>
          </w:tcPr>
          <w:p w14:paraId="146F69C9" w14:textId="7F3CB480" w:rsidR="000F1910" w:rsidRPr="00D471A9" w:rsidRDefault="000F1910">
            <w:pPr>
              <w:pStyle w:val="TableText0"/>
              <w:jc w:val="center"/>
            </w:pPr>
            <w:r w:rsidRPr="00D471A9">
              <w:t>0.02 (</w:t>
            </w:r>
            <w:r w:rsidR="009B60A6">
              <w:noBreakHyphen/>
            </w:r>
            <w:r w:rsidRPr="00D471A9">
              <w:t>0.00, 0.04)</w:t>
            </w:r>
          </w:p>
        </w:tc>
        <w:tc>
          <w:tcPr>
            <w:tcW w:w="1651" w:type="dxa"/>
            <w:vAlign w:val="center"/>
          </w:tcPr>
          <w:p w14:paraId="1139FFAA" w14:textId="77777777" w:rsidR="000F1910" w:rsidRPr="00D471A9" w:rsidRDefault="000F1910">
            <w:pPr>
              <w:pStyle w:val="TableText0"/>
              <w:jc w:val="center"/>
            </w:pPr>
            <w:r w:rsidRPr="00D471A9">
              <w:t>3.98 (0.83, 19.01)</w:t>
            </w:r>
          </w:p>
        </w:tc>
      </w:tr>
      <w:tr w:rsidR="001A6CA3" w:rsidRPr="00D86D87" w14:paraId="4082DB0D" w14:textId="77777777">
        <w:tc>
          <w:tcPr>
            <w:tcW w:w="2972" w:type="dxa"/>
            <w:vAlign w:val="center"/>
          </w:tcPr>
          <w:p w14:paraId="3ECCB8AC" w14:textId="77777777" w:rsidR="000F1910" w:rsidRDefault="000F1910">
            <w:pPr>
              <w:pStyle w:val="TableText0"/>
              <w:ind w:left="169"/>
            </w:pPr>
            <w:r>
              <w:t>Severe ocular TEAE</w:t>
            </w:r>
            <w:r w:rsidRPr="00B51C01">
              <w:rPr>
                <w:vertAlign w:val="superscript"/>
              </w:rPr>
              <w:t>c</w:t>
            </w:r>
            <w:r>
              <w:t xml:space="preserve"> related to injection (study eye), n (%)</w:t>
            </w:r>
          </w:p>
        </w:tc>
        <w:tc>
          <w:tcPr>
            <w:tcW w:w="1418" w:type="dxa"/>
            <w:vAlign w:val="center"/>
          </w:tcPr>
          <w:p w14:paraId="4ED56F55" w14:textId="77777777" w:rsidR="000F1910" w:rsidRDefault="000F1910">
            <w:pPr>
              <w:pStyle w:val="TableText0"/>
              <w:jc w:val="center"/>
            </w:pPr>
            <w:r>
              <w:t>4 (1.4%)</w:t>
            </w:r>
          </w:p>
        </w:tc>
        <w:tc>
          <w:tcPr>
            <w:tcW w:w="1275" w:type="dxa"/>
            <w:vAlign w:val="center"/>
          </w:tcPr>
          <w:p w14:paraId="6D1CE957" w14:textId="77777777" w:rsidR="000F1910" w:rsidRDefault="000F1910">
            <w:pPr>
              <w:pStyle w:val="TableText0"/>
              <w:jc w:val="center"/>
            </w:pPr>
            <w:r>
              <w:t>0</w:t>
            </w:r>
          </w:p>
        </w:tc>
        <w:tc>
          <w:tcPr>
            <w:tcW w:w="1701" w:type="dxa"/>
            <w:vAlign w:val="center"/>
          </w:tcPr>
          <w:p w14:paraId="0930AA2A" w14:textId="77777777" w:rsidR="000F1910" w:rsidRPr="00D471A9" w:rsidRDefault="000F1910">
            <w:pPr>
              <w:pStyle w:val="TableText0"/>
              <w:jc w:val="center"/>
            </w:pPr>
            <w:r w:rsidRPr="00D471A9">
              <w:t>0.01 (0.00, 0.03)</w:t>
            </w:r>
          </w:p>
        </w:tc>
        <w:tc>
          <w:tcPr>
            <w:tcW w:w="1651" w:type="dxa"/>
            <w:vAlign w:val="center"/>
          </w:tcPr>
          <w:p w14:paraId="2AFCD4F7" w14:textId="3FB87B08" w:rsidR="000F1910" w:rsidRPr="00D471A9" w:rsidRDefault="009B60A6">
            <w:pPr>
              <w:pStyle w:val="TableText0"/>
              <w:jc w:val="center"/>
            </w:pPr>
            <w:r>
              <w:noBreakHyphen/>
            </w:r>
          </w:p>
        </w:tc>
      </w:tr>
      <w:tr w:rsidR="001A6CA3" w:rsidRPr="00D86D87" w14:paraId="0B4CC237" w14:textId="77777777">
        <w:tc>
          <w:tcPr>
            <w:tcW w:w="2972" w:type="dxa"/>
            <w:vAlign w:val="center"/>
          </w:tcPr>
          <w:p w14:paraId="771A5AF6" w14:textId="77777777" w:rsidR="000F1910" w:rsidRDefault="000F1910">
            <w:pPr>
              <w:pStyle w:val="TableText0"/>
              <w:ind w:left="169"/>
            </w:pPr>
            <w:r>
              <w:t>Severe ocular TEAE</w:t>
            </w:r>
            <w:r w:rsidRPr="00B51C01">
              <w:rPr>
                <w:vertAlign w:val="superscript"/>
              </w:rPr>
              <w:t>c</w:t>
            </w:r>
            <w:r>
              <w:t xml:space="preserve"> related to study drug (study eye), n (%)</w:t>
            </w:r>
          </w:p>
        </w:tc>
        <w:tc>
          <w:tcPr>
            <w:tcW w:w="1418" w:type="dxa"/>
            <w:vAlign w:val="center"/>
          </w:tcPr>
          <w:p w14:paraId="49207605" w14:textId="77777777" w:rsidR="000F1910" w:rsidRDefault="000F1910">
            <w:pPr>
              <w:pStyle w:val="TableText0"/>
              <w:jc w:val="center"/>
            </w:pPr>
            <w:r>
              <w:t>1 (0.3%)</w:t>
            </w:r>
          </w:p>
        </w:tc>
        <w:tc>
          <w:tcPr>
            <w:tcW w:w="1275" w:type="dxa"/>
            <w:vAlign w:val="center"/>
          </w:tcPr>
          <w:p w14:paraId="7D5C71F5" w14:textId="77777777" w:rsidR="000F1910" w:rsidRDefault="000F1910">
            <w:pPr>
              <w:pStyle w:val="TableText0"/>
              <w:jc w:val="center"/>
            </w:pPr>
            <w:r>
              <w:t>0</w:t>
            </w:r>
          </w:p>
        </w:tc>
        <w:tc>
          <w:tcPr>
            <w:tcW w:w="1701" w:type="dxa"/>
            <w:vAlign w:val="center"/>
          </w:tcPr>
          <w:p w14:paraId="5E8CC388" w14:textId="05C473C7" w:rsidR="000F1910" w:rsidRPr="00D471A9" w:rsidRDefault="000F1910">
            <w:pPr>
              <w:pStyle w:val="TableText0"/>
              <w:jc w:val="center"/>
            </w:pPr>
            <w:r w:rsidRPr="00D471A9">
              <w:t>0.00 (</w:t>
            </w:r>
            <w:r w:rsidR="009B60A6">
              <w:noBreakHyphen/>
            </w:r>
            <w:r w:rsidRPr="00D471A9">
              <w:t>0.00, 0.01)</w:t>
            </w:r>
          </w:p>
        </w:tc>
        <w:tc>
          <w:tcPr>
            <w:tcW w:w="1651" w:type="dxa"/>
            <w:vAlign w:val="center"/>
          </w:tcPr>
          <w:p w14:paraId="5936183D" w14:textId="2540E198" w:rsidR="000F1910" w:rsidRPr="00D471A9" w:rsidRDefault="009B60A6">
            <w:pPr>
              <w:pStyle w:val="TableText0"/>
              <w:jc w:val="center"/>
            </w:pPr>
            <w:r>
              <w:noBreakHyphen/>
            </w:r>
          </w:p>
        </w:tc>
      </w:tr>
      <w:tr w:rsidR="001A6CA3" w:rsidRPr="00D86D87" w14:paraId="0667276D" w14:textId="77777777">
        <w:tc>
          <w:tcPr>
            <w:tcW w:w="2972" w:type="dxa"/>
            <w:vAlign w:val="center"/>
          </w:tcPr>
          <w:p w14:paraId="1AC37A98" w14:textId="77777777" w:rsidR="000F1910" w:rsidRDefault="000F1910">
            <w:pPr>
              <w:pStyle w:val="TableText0"/>
            </w:pPr>
            <w:r>
              <w:t>Any TEAE leading to study drug discontinuation, n (%)</w:t>
            </w:r>
          </w:p>
        </w:tc>
        <w:tc>
          <w:tcPr>
            <w:tcW w:w="1418" w:type="dxa"/>
            <w:vAlign w:val="center"/>
          </w:tcPr>
          <w:p w14:paraId="5842DF0D" w14:textId="77777777" w:rsidR="000F1910" w:rsidRDefault="000F1910">
            <w:pPr>
              <w:pStyle w:val="TableText0"/>
              <w:jc w:val="center"/>
            </w:pPr>
            <w:r>
              <w:t>6 (2.1%)</w:t>
            </w:r>
          </w:p>
        </w:tc>
        <w:tc>
          <w:tcPr>
            <w:tcW w:w="1275" w:type="dxa"/>
            <w:vAlign w:val="center"/>
          </w:tcPr>
          <w:p w14:paraId="1873DAA7" w14:textId="77777777" w:rsidR="000F1910" w:rsidRDefault="000F1910">
            <w:pPr>
              <w:pStyle w:val="TableText0"/>
              <w:jc w:val="center"/>
            </w:pPr>
            <w:r>
              <w:t>3 (0.9%)</w:t>
            </w:r>
          </w:p>
        </w:tc>
        <w:tc>
          <w:tcPr>
            <w:tcW w:w="1701" w:type="dxa"/>
            <w:vAlign w:val="center"/>
          </w:tcPr>
          <w:p w14:paraId="2F9805D8" w14:textId="4572DCF1" w:rsidR="000F1910" w:rsidRPr="00D471A9" w:rsidRDefault="000F1910">
            <w:pPr>
              <w:pStyle w:val="TableText0"/>
              <w:jc w:val="center"/>
            </w:pPr>
            <w:r w:rsidRPr="00D471A9">
              <w:t>0.01 (</w:t>
            </w:r>
            <w:r w:rsidR="009B60A6">
              <w:noBreakHyphen/>
            </w:r>
            <w:r w:rsidRPr="00D471A9">
              <w:t>0.00, 0.03)</w:t>
            </w:r>
          </w:p>
        </w:tc>
        <w:tc>
          <w:tcPr>
            <w:tcW w:w="1651" w:type="dxa"/>
            <w:vAlign w:val="center"/>
          </w:tcPr>
          <w:p w14:paraId="76250CC0" w14:textId="77777777" w:rsidR="000F1910" w:rsidRPr="00D471A9" w:rsidRDefault="000F1910">
            <w:pPr>
              <w:pStyle w:val="TableText0"/>
              <w:jc w:val="center"/>
            </w:pPr>
            <w:r w:rsidRPr="00D471A9">
              <w:t>2.27 (0.57, 9.01)</w:t>
            </w:r>
          </w:p>
        </w:tc>
      </w:tr>
      <w:tr w:rsidR="001A6CA3" w:rsidRPr="00D86D87" w14:paraId="442A6459" w14:textId="77777777">
        <w:tc>
          <w:tcPr>
            <w:tcW w:w="2972" w:type="dxa"/>
            <w:vAlign w:val="center"/>
          </w:tcPr>
          <w:p w14:paraId="3E6035DF" w14:textId="77777777" w:rsidR="000F1910" w:rsidRDefault="000F1910">
            <w:pPr>
              <w:pStyle w:val="TableText0"/>
            </w:pPr>
            <w:r>
              <w:t>Ocular TEAE leading to study drug discontinuation (study eye), n (%)</w:t>
            </w:r>
          </w:p>
        </w:tc>
        <w:tc>
          <w:tcPr>
            <w:tcW w:w="1418" w:type="dxa"/>
            <w:vAlign w:val="center"/>
          </w:tcPr>
          <w:p w14:paraId="0BFF8B79" w14:textId="77777777" w:rsidR="000F1910" w:rsidRDefault="000F1910">
            <w:pPr>
              <w:pStyle w:val="TableText0"/>
              <w:jc w:val="center"/>
            </w:pPr>
            <w:r>
              <w:t>2 (0.7%)</w:t>
            </w:r>
          </w:p>
        </w:tc>
        <w:tc>
          <w:tcPr>
            <w:tcW w:w="1275" w:type="dxa"/>
            <w:vAlign w:val="center"/>
          </w:tcPr>
          <w:p w14:paraId="6596642A" w14:textId="77777777" w:rsidR="000F1910" w:rsidRDefault="000F1910">
            <w:pPr>
              <w:pStyle w:val="TableText0"/>
              <w:jc w:val="center"/>
            </w:pPr>
            <w:r>
              <w:t>0</w:t>
            </w:r>
          </w:p>
        </w:tc>
        <w:tc>
          <w:tcPr>
            <w:tcW w:w="1701" w:type="dxa"/>
            <w:vAlign w:val="center"/>
          </w:tcPr>
          <w:p w14:paraId="558D9CD6" w14:textId="3724B0C5" w:rsidR="000F1910" w:rsidRPr="00D471A9" w:rsidRDefault="000F1910">
            <w:pPr>
              <w:pStyle w:val="TableText0"/>
              <w:jc w:val="center"/>
            </w:pPr>
            <w:r w:rsidRPr="00D471A9">
              <w:t>0.01 (</w:t>
            </w:r>
            <w:r w:rsidR="009B60A6">
              <w:noBreakHyphen/>
            </w:r>
            <w:r w:rsidRPr="00D471A9">
              <w:t>0.00, 0.02)</w:t>
            </w:r>
          </w:p>
        </w:tc>
        <w:tc>
          <w:tcPr>
            <w:tcW w:w="1651" w:type="dxa"/>
            <w:vAlign w:val="center"/>
          </w:tcPr>
          <w:p w14:paraId="34C6A811" w14:textId="73FD4A19" w:rsidR="000F1910" w:rsidRPr="00D471A9" w:rsidRDefault="009B60A6">
            <w:pPr>
              <w:pStyle w:val="TableText0"/>
              <w:jc w:val="center"/>
            </w:pPr>
            <w:r>
              <w:noBreakHyphen/>
            </w:r>
          </w:p>
        </w:tc>
      </w:tr>
      <w:tr w:rsidR="001A6CA3" w:rsidRPr="00D86D87" w14:paraId="1FFA32B7" w14:textId="77777777">
        <w:tc>
          <w:tcPr>
            <w:tcW w:w="2972" w:type="dxa"/>
            <w:vAlign w:val="center"/>
          </w:tcPr>
          <w:p w14:paraId="295891CF" w14:textId="77777777" w:rsidR="000F1910" w:rsidRDefault="000F1910">
            <w:pPr>
              <w:pStyle w:val="TableText0"/>
            </w:pPr>
            <w:r>
              <w:t>TEAE leading to death, n (%)</w:t>
            </w:r>
          </w:p>
        </w:tc>
        <w:tc>
          <w:tcPr>
            <w:tcW w:w="1418" w:type="dxa"/>
            <w:vAlign w:val="center"/>
          </w:tcPr>
          <w:p w14:paraId="45DE861E" w14:textId="77777777" w:rsidR="000F1910" w:rsidRDefault="000F1910">
            <w:pPr>
              <w:pStyle w:val="TableText0"/>
              <w:jc w:val="center"/>
            </w:pPr>
            <w:r>
              <w:t>2 (0.7%)</w:t>
            </w:r>
          </w:p>
        </w:tc>
        <w:tc>
          <w:tcPr>
            <w:tcW w:w="1275" w:type="dxa"/>
            <w:vAlign w:val="center"/>
          </w:tcPr>
          <w:p w14:paraId="04CC1786" w14:textId="77777777" w:rsidR="000F1910" w:rsidRDefault="000F1910">
            <w:pPr>
              <w:pStyle w:val="TableText0"/>
              <w:jc w:val="center"/>
            </w:pPr>
            <w:r>
              <w:t>1 (0.3%)</w:t>
            </w:r>
          </w:p>
        </w:tc>
        <w:tc>
          <w:tcPr>
            <w:tcW w:w="1701" w:type="dxa"/>
            <w:vAlign w:val="center"/>
          </w:tcPr>
          <w:p w14:paraId="24AF355D" w14:textId="33F42019" w:rsidR="000F1910" w:rsidRPr="00D471A9" w:rsidRDefault="000F1910">
            <w:pPr>
              <w:pStyle w:val="TableText0"/>
              <w:jc w:val="center"/>
            </w:pPr>
            <w:r w:rsidRPr="00D471A9">
              <w:t>0.00 (</w:t>
            </w:r>
            <w:r w:rsidR="009B60A6">
              <w:noBreakHyphen/>
            </w:r>
            <w:r w:rsidRPr="00D471A9">
              <w:t>0.01, 0.02)</w:t>
            </w:r>
          </w:p>
        </w:tc>
        <w:tc>
          <w:tcPr>
            <w:tcW w:w="1651" w:type="dxa"/>
            <w:vAlign w:val="center"/>
          </w:tcPr>
          <w:p w14:paraId="709F07C6" w14:textId="77777777" w:rsidR="000F1910" w:rsidRPr="00D471A9" w:rsidRDefault="000F1910">
            <w:pPr>
              <w:pStyle w:val="TableText0"/>
              <w:jc w:val="center"/>
            </w:pPr>
            <w:r w:rsidRPr="00D471A9">
              <w:t>2.27 (0.21, 24.95)</w:t>
            </w:r>
          </w:p>
        </w:tc>
      </w:tr>
    </w:tbl>
    <w:p w14:paraId="3B3C6851" w14:textId="77777777" w:rsidR="00CF3120" w:rsidRDefault="00432FF5">
      <w:pPr>
        <w:pStyle w:val="TableFigureFooter"/>
      </w:pPr>
      <w:r>
        <w:t>Source: compiled during evaluation; Table 33, p146 of the GATHER1 CSR; Khanani AM et al, Table 3.</w:t>
      </w:r>
    </w:p>
    <w:bookmarkEnd w:id="45"/>
    <w:p w14:paraId="40B82AA7" w14:textId="03E3A097" w:rsidR="00525FD3" w:rsidRDefault="00525FD3" w:rsidP="00525FD3">
      <w:pPr>
        <w:pStyle w:val="TableFigureFooter"/>
      </w:pPr>
      <w:r>
        <w:t>ACP = avacincaptad pegol; CI = Confidence interval; IVT = Intravitreal; mg = Milligram; RD = Risk difference; RR = Risk ratio; TEAE = Treatment</w:t>
      </w:r>
      <w:r w:rsidR="009B60A6">
        <w:noBreakHyphen/>
      </w:r>
      <w:r>
        <w:t>emergent adverse event.</w:t>
      </w:r>
    </w:p>
    <w:p w14:paraId="127BBB0B" w14:textId="77777777" w:rsidR="00B32B03" w:rsidRDefault="00B32B03" w:rsidP="00B32B03">
      <w:pPr>
        <w:pStyle w:val="TableFigureFooter"/>
      </w:pPr>
      <w:proofErr w:type="spellStart"/>
      <w:r w:rsidRPr="003B610D">
        <w:rPr>
          <w:vertAlign w:val="superscript"/>
        </w:rPr>
        <w:t>a</w:t>
      </w:r>
      <w:proofErr w:type="spellEnd"/>
      <w:r>
        <w:rPr>
          <w:vertAlign w:val="superscript"/>
        </w:rPr>
        <w:t xml:space="preserve"> </w:t>
      </w:r>
      <w:r>
        <w:t>All patients in GATHER1 and GATHER2 who were randomised to receive monthly ACP 2 mg IVT injection for ≥ 1 dose</w:t>
      </w:r>
    </w:p>
    <w:p w14:paraId="2FC35E81" w14:textId="77777777" w:rsidR="00B32B03" w:rsidRDefault="00B32B03" w:rsidP="00B32B03">
      <w:pPr>
        <w:pStyle w:val="TableFigureFooter"/>
      </w:pPr>
      <w:r w:rsidRPr="003B610D">
        <w:rPr>
          <w:vertAlign w:val="superscript"/>
        </w:rPr>
        <w:t>b</w:t>
      </w:r>
      <w:r>
        <w:t xml:space="preserve"> </w:t>
      </w:r>
      <w:r w:rsidRPr="003B610D">
        <w:t>All patients in GATHER1 and GATHER2 who were randomised to receive monthly</w:t>
      </w:r>
      <w:r>
        <w:t xml:space="preserve"> sham </w:t>
      </w:r>
    </w:p>
    <w:p w14:paraId="750D359B" w14:textId="77777777" w:rsidR="00B32B03" w:rsidRDefault="00B32B03" w:rsidP="00B32B03">
      <w:pPr>
        <w:pStyle w:val="TableFigureFooter"/>
      </w:pPr>
      <w:r w:rsidRPr="00B51C01">
        <w:rPr>
          <w:vertAlign w:val="superscript"/>
        </w:rPr>
        <w:t>c</w:t>
      </w:r>
      <w:r>
        <w:t xml:space="preserve"> Severe AE refers to incapacitating AE that results in loss of ability to work or engage in usual activity</w:t>
      </w:r>
    </w:p>
    <w:p w14:paraId="7F533CF9" w14:textId="19EB73B8" w:rsidR="00B32B03" w:rsidRPr="00D471A9" w:rsidRDefault="00B32B03" w:rsidP="00E560F2">
      <w:pPr>
        <w:pStyle w:val="TableFigureFooter"/>
        <w:spacing w:after="0"/>
      </w:pPr>
      <w:r w:rsidRPr="00D471A9">
        <w:t xml:space="preserve">Note: RD and RR were developed </w:t>
      </w:r>
      <w:r w:rsidR="0060719C" w:rsidRPr="00D471A9">
        <w:t xml:space="preserve">by evaluator </w:t>
      </w:r>
      <w:r w:rsidRPr="00D471A9">
        <w:t>using Stata.</w:t>
      </w:r>
    </w:p>
    <w:p w14:paraId="482542F0" w14:textId="3A0A45A7" w:rsidR="00E560F2" w:rsidRPr="00C17763" w:rsidRDefault="00E560F2" w:rsidP="005E43C4">
      <w:pPr>
        <w:ind w:left="426" w:hanging="426"/>
        <w:rPr>
          <w:rFonts w:ascii="Arial Narrow" w:hAnsi="Arial Narrow"/>
          <w:color w:val="000000" w:themeColor="text1"/>
          <w:sz w:val="18"/>
          <w:szCs w:val="18"/>
          <w:lang w:val="en-GB"/>
        </w:rPr>
      </w:pPr>
    </w:p>
    <w:p w14:paraId="7B49F979" w14:textId="2EEB6939" w:rsidR="007E71A5" w:rsidRDefault="00A50363" w:rsidP="00B32B03">
      <w:pPr>
        <w:pStyle w:val="3-BodyText"/>
      </w:pPr>
      <w:r w:rsidRPr="00943646">
        <w:t xml:space="preserve">Overall, </w:t>
      </w:r>
      <w:r w:rsidR="00865B2B" w:rsidRPr="00943646">
        <w:t>over a 12</w:t>
      </w:r>
      <w:r w:rsidR="00AD6C6E">
        <w:t> </w:t>
      </w:r>
      <w:r w:rsidR="00865B2B" w:rsidRPr="00943646">
        <w:t>month period, ACP treated patients experienced higher incidences in overall TEAE</w:t>
      </w:r>
      <w:r w:rsidR="00865B2B">
        <w:t>s</w:t>
      </w:r>
      <w:r w:rsidR="00865B2B" w:rsidRPr="00943646">
        <w:t xml:space="preserve"> and injection procedure</w:t>
      </w:r>
      <w:r w:rsidR="009B60A6">
        <w:noBreakHyphen/>
      </w:r>
      <w:r w:rsidR="00865B2B" w:rsidRPr="00943646">
        <w:t>related TEAE</w:t>
      </w:r>
      <w:r w:rsidR="00865B2B">
        <w:t>s</w:t>
      </w:r>
      <w:r w:rsidR="00865B2B" w:rsidRPr="00943646">
        <w:t xml:space="preserve"> which were statistically significant, compared to </w:t>
      </w:r>
      <w:r w:rsidR="00865B2B">
        <w:t>Sham</w:t>
      </w:r>
      <w:r w:rsidR="00865B2B" w:rsidRPr="00943646">
        <w:t xml:space="preserve"> patients. ACP treated patients also experienced higher incidences in overall ocular TEAE</w:t>
      </w:r>
      <w:r w:rsidR="00865B2B">
        <w:t>s</w:t>
      </w:r>
      <w:r w:rsidR="00865B2B" w:rsidRPr="00943646">
        <w:t xml:space="preserve"> and injection</w:t>
      </w:r>
      <w:r w:rsidR="009B60A6">
        <w:noBreakHyphen/>
      </w:r>
      <w:r w:rsidR="00865B2B" w:rsidRPr="00943646">
        <w:t>related ocular TEAE</w:t>
      </w:r>
      <w:r w:rsidR="00865B2B">
        <w:t>s</w:t>
      </w:r>
      <w:r w:rsidR="00865B2B" w:rsidRPr="00943646">
        <w:t xml:space="preserve"> (including severe TEAE) in the study eye, which were statistically significant, compared to patients</w:t>
      </w:r>
      <w:r w:rsidR="00865B2B">
        <w:t xml:space="preserve"> receiving</w:t>
      </w:r>
      <w:r w:rsidR="00865B2B" w:rsidRPr="00943646">
        <w:t xml:space="preserve"> </w:t>
      </w:r>
      <w:r w:rsidR="00865B2B">
        <w:t>Sham treatment</w:t>
      </w:r>
      <w:r w:rsidRPr="00943646">
        <w:t>.</w:t>
      </w:r>
      <w:r w:rsidR="00943646">
        <w:t xml:space="preserve"> </w:t>
      </w:r>
    </w:p>
    <w:p w14:paraId="02819CCA" w14:textId="1605A7C2" w:rsidR="00E51006" w:rsidRDefault="004D2461" w:rsidP="005172ED">
      <w:pPr>
        <w:pStyle w:val="3-BodyText"/>
      </w:pPr>
      <w:r>
        <w:t>T</w:t>
      </w:r>
      <w:r w:rsidR="00573B81" w:rsidRPr="00C72D26">
        <w:t xml:space="preserve">he most commonly reported (≥ 2%) ocular TEAEs </w:t>
      </w:r>
      <w:r>
        <w:t xml:space="preserve">in the GATHER1 and GATHER2 pooled data </w:t>
      </w:r>
      <w:r w:rsidR="00573B81" w:rsidRPr="00C72D26">
        <w:t xml:space="preserve">were conjunctival haemorrhage (16.8%), increased </w:t>
      </w:r>
      <w:r w:rsidR="00573B81">
        <w:t>intraocular pressure (</w:t>
      </w:r>
      <w:r w:rsidR="00573B81" w:rsidRPr="00C72D26">
        <w:t>IOP</w:t>
      </w:r>
      <w:r w:rsidR="00573B81">
        <w:t>)</w:t>
      </w:r>
      <w:r w:rsidR="00573B81" w:rsidRPr="00C72D26">
        <w:t xml:space="preserve"> (12.3%), CNV (11.6%), punctate keratitis (8.2%), eye pain (5.8%), visual impairment (3.4%), blurred vision (3.1%), retinal haemorrhage (3.1%), vitreous floaters (3.1%), ocular hypertension (2.7%), blepharitis (2.4%), transiently reduced visual acuity (2.1%), and corneal abrasion (2.1%).</w:t>
      </w:r>
      <w:r w:rsidR="00573B81">
        <w:t xml:space="preserve"> </w:t>
      </w:r>
    </w:p>
    <w:p w14:paraId="173AE6BB" w14:textId="68F9EEB5" w:rsidR="005172ED" w:rsidRDefault="00B32B03" w:rsidP="005172ED">
      <w:pPr>
        <w:pStyle w:val="3-BodyText"/>
      </w:pPr>
      <w:r>
        <w:t xml:space="preserve">A summary of the overall safety </w:t>
      </w:r>
      <w:r w:rsidR="00865B2B">
        <w:t xml:space="preserve">at </w:t>
      </w:r>
      <w:r>
        <w:t>24</w:t>
      </w:r>
      <w:r w:rsidR="00AD6C6E">
        <w:t> </w:t>
      </w:r>
      <w:r>
        <w:t xml:space="preserve">months in GATHER2 is presented in </w:t>
      </w:r>
      <w:r w:rsidR="006D73EA">
        <w:fldChar w:fldCharType="begin"/>
      </w:r>
      <w:r w:rsidR="006D73EA">
        <w:instrText xml:space="preserve"> REF _Ref218470584 \h </w:instrText>
      </w:r>
      <w:r w:rsidR="006D73EA">
        <w:fldChar w:fldCharType="separate"/>
      </w:r>
      <w:r w:rsidR="00962F38">
        <w:t xml:space="preserve">Table </w:t>
      </w:r>
      <w:r w:rsidR="00962F38">
        <w:rPr>
          <w:noProof/>
        </w:rPr>
        <w:t>8</w:t>
      </w:r>
      <w:r w:rsidR="006D73EA">
        <w:fldChar w:fldCharType="end"/>
      </w:r>
      <w:r>
        <w:t>.</w:t>
      </w:r>
    </w:p>
    <w:p w14:paraId="5AA66350" w14:textId="19E2C87B" w:rsidR="006D73EA" w:rsidRDefault="006D73EA" w:rsidP="00817CD4">
      <w:pPr>
        <w:pStyle w:val="TableFigureHeading"/>
        <w:spacing w:before="120"/>
        <w:jc w:val="both"/>
      </w:pPr>
      <w:bookmarkStart w:id="46" w:name="_Ref218470584"/>
      <w:r>
        <w:lastRenderedPageBreak/>
        <w:t xml:space="preserve">Table </w:t>
      </w:r>
      <w:fldSimple w:instr=" SEQ Table \* ARABIC ">
        <w:r w:rsidR="00962F38">
          <w:rPr>
            <w:noProof/>
          </w:rPr>
          <w:t>8</w:t>
        </w:r>
      </w:fldSimple>
      <w:bookmarkEnd w:id="46"/>
      <w:r>
        <w:t xml:space="preserve">: Overall summary of TEAEs in patients receiving ACP 2 mg and sham in GATHER2 </w:t>
      </w:r>
      <w:r w:rsidR="00865B2B">
        <w:t>at</w:t>
      </w:r>
      <w:r>
        <w:t xml:space="preserve"> 24 months (Re</w:t>
      </w:r>
      <w:r w:rsidR="009B60A6">
        <w:noBreakHyphen/>
      </w:r>
      <w:r>
        <w:t>randomised population and Safety population)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Overall summary of TEAEs in patients receiving ACP 2 mg and sham in GATHER2 at 24 months (Re randomised population and Safety population)"/>
      </w:tblPr>
      <w:tblGrid>
        <w:gridCol w:w="2972"/>
        <w:gridCol w:w="1276"/>
        <w:gridCol w:w="1276"/>
        <w:gridCol w:w="1134"/>
        <w:gridCol w:w="1134"/>
        <w:gridCol w:w="1134"/>
      </w:tblGrid>
      <w:tr w:rsidR="00696DF2" w:rsidRPr="00D86D87" w14:paraId="34E6B8F2" w14:textId="77777777" w:rsidTr="00817CD4">
        <w:trPr>
          <w:tblHeader/>
        </w:trPr>
        <w:tc>
          <w:tcPr>
            <w:tcW w:w="2972" w:type="dxa"/>
            <w:vMerge w:val="restart"/>
            <w:tcMar>
              <w:left w:w="28" w:type="dxa"/>
              <w:right w:w="28" w:type="dxa"/>
            </w:tcMar>
            <w:vAlign w:val="center"/>
          </w:tcPr>
          <w:p w14:paraId="5D17EAE5" w14:textId="77777777" w:rsidR="00817CD4" w:rsidRPr="00D86D87" w:rsidRDefault="00817CD4">
            <w:pPr>
              <w:pStyle w:val="In-tableHeading"/>
              <w:rPr>
                <w:lang w:val="en-AU"/>
              </w:rPr>
            </w:pPr>
          </w:p>
        </w:tc>
        <w:tc>
          <w:tcPr>
            <w:tcW w:w="3686" w:type="dxa"/>
            <w:gridSpan w:val="3"/>
            <w:tcMar>
              <w:left w:w="28" w:type="dxa"/>
              <w:right w:w="28" w:type="dxa"/>
            </w:tcMar>
            <w:vAlign w:val="center"/>
          </w:tcPr>
          <w:p w14:paraId="799B4800" w14:textId="0FD73988" w:rsidR="00817CD4" w:rsidRDefault="00817CD4">
            <w:pPr>
              <w:pStyle w:val="In-tableHeading"/>
              <w:jc w:val="center"/>
              <w:rPr>
                <w:lang w:val="en-AU"/>
              </w:rPr>
            </w:pPr>
            <w:r>
              <w:rPr>
                <w:lang w:val="en-AU"/>
              </w:rPr>
              <w:t>Re</w:t>
            </w:r>
            <w:r w:rsidR="009B60A6">
              <w:rPr>
                <w:lang w:val="en-AU"/>
              </w:rPr>
              <w:noBreakHyphen/>
            </w:r>
            <w:r>
              <w:rPr>
                <w:lang w:val="en-AU"/>
              </w:rPr>
              <w:t>randomised population</w:t>
            </w:r>
          </w:p>
        </w:tc>
        <w:tc>
          <w:tcPr>
            <w:tcW w:w="2268" w:type="dxa"/>
            <w:gridSpan w:val="2"/>
            <w:tcMar>
              <w:left w:w="28" w:type="dxa"/>
              <w:right w:w="28" w:type="dxa"/>
            </w:tcMar>
          </w:tcPr>
          <w:p w14:paraId="55262F05" w14:textId="77777777" w:rsidR="00817CD4" w:rsidRDefault="00817CD4">
            <w:pPr>
              <w:pStyle w:val="In-tableHeading"/>
              <w:jc w:val="center"/>
              <w:rPr>
                <w:lang w:val="en-AU"/>
              </w:rPr>
            </w:pPr>
            <w:r>
              <w:rPr>
                <w:lang w:val="en-AU"/>
              </w:rPr>
              <w:t>Safety population</w:t>
            </w:r>
          </w:p>
        </w:tc>
      </w:tr>
      <w:tr w:rsidR="001A6CA3" w:rsidRPr="00D86D87" w14:paraId="29966D66" w14:textId="77777777" w:rsidTr="00817CD4">
        <w:trPr>
          <w:tblHeader/>
        </w:trPr>
        <w:tc>
          <w:tcPr>
            <w:tcW w:w="2972" w:type="dxa"/>
            <w:vMerge/>
            <w:tcMar>
              <w:left w:w="28" w:type="dxa"/>
              <w:right w:w="28" w:type="dxa"/>
            </w:tcMar>
            <w:vAlign w:val="center"/>
          </w:tcPr>
          <w:p w14:paraId="1251E57F" w14:textId="77777777" w:rsidR="00817CD4" w:rsidRPr="00D86D87" w:rsidRDefault="00817CD4">
            <w:pPr>
              <w:pStyle w:val="In-tableHeading"/>
              <w:rPr>
                <w:lang w:val="en-AU"/>
              </w:rPr>
            </w:pPr>
          </w:p>
        </w:tc>
        <w:tc>
          <w:tcPr>
            <w:tcW w:w="1276" w:type="dxa"/>
            <w:tcMar>
              <w:left w:w="28" w:type="dxa"/>
              <w:right w:w="28" w:type="dxa"/>
            </w:tcMar>
            <w:vAlign w:val="center"/>
          </w:tcPr>
          <w:p w14:paraId="6ADDFAD9" w14:textId="77777777" w:rsidR="00817CD4" w:rsidRDefault="00817CD4">
            <w:pPr>
              <w:pStyle w:val="In-tableHeading"/>
              <w:jc w:val="center"/>
              <w:rPr>
                <w:lang w:val="en-AU"/>
              </w:rPr>
            </w:pPr>
            <w:r>
              <w:rPr>
                <w:lang w:val="en-AU"/>
              </w:rPr>
              <w:t>ACP 2 mg EM</w:t>
            </w:r>
          </w:p>
          <w:p w14:paraId="60ED3C22" w14:textId="478B87C1" w:rsidR="00817CD4" w:rsidRDefault="00817CD4">
            <w:pPr>
              <w:pStyle w:val="In-tableHeading"/>
              <w:jc w:val="center"/>
              <w:rPr>
                <w:lang w:val="en-AU"/>
              </w:rPr>
            </w:pPr>
            <w:r>
              <w:rPr>
                <w:lang w:val="en-AU"/>
              </w:rPr>
              <w:t>N</w:t>
            </w:r>
            <w:r w:rsidR="00E41200">
              <w:rPr>
                <w:lang w:val="en-AU"/>
              </w:rPr>
              <w:t xml:space="preserve"> </w:t>
            </w:r>
            <w:r>
              <w:rPr>
                <w:lang w:val="en-AU"/>
              </w:rPr>
              <w:t>= 96</w:t>
            </w:r>
          </w:p>
        </w:tc>
        <w:tc>
          <w:tcPr>
            <w:tcW w:w="1276" w:type="dxa"/>
            <w:tcMar>
              <w:left w:w="28" w:type="dxa"/>
              <w:right w:w="28" w:type="dxa"/>
            </w:tcMar>
          </w:tcPr>
          <w:p w14:paraId="0828D460" w14:textId="77777777" w:rsidR="00817CD4" w:rsidRDefault="00817CD4">
            <w:pPr>
              <w:pStyle w:val="In-tableHeading"/>
              <w:ind w:left="-143" w:right="-146"/>
              <w:jc w:val="center"/>
              <w:rPr>
                <w:lang w:val="en-AU"/>
              </w:rPr>
            </w:pPr>
            <w:r>
              <w:rPr>
                <w:lang w:val="en-AU"/>
              </w:rPr>
              <w:t>ACP 2 mg EOM</w:t>
            </w:r>
          </w:p>
          <w:p w14:paraId="21680932" w14:textId="77777777" w:rsidR="00817CD4" w:rsidRDefault="00817CD4">
            <w:pPr>
              <w:pStyle w:val="In-tableHeading"/>
              <w:ind w:left="-143" w:right="-146"/>
              <w:jc w:val="center"/>
              <w:rPr>
                <w:lang w:val="en-AU"/>
              </w:rPr>
            </w:pPr>
            <w:r>
              <w:rPr>
                <w:lang w:val="en-AU"/>
              </w:rPr>
              <w:t>N = 93</w:t>
            </w:r>
          </w:p>
        </w:tc>
        <w:tc>
          <w:tcPr>
            <w:tcW w:w="1134" w:type="dxa"/>
            <w:tcMar>
              <w:left w:w="28" w:type="dxa"/>
              <w:right w:w="28" w:type="dxa"/>
            </w:tcMar>
          </w:tcPr>
          <w:p w14:paraId="2F357DFC" w14:textId="77777777" w:rsidR="00817CD4" w:rsidRDefault="00817CD4">
            <w:pPr>
              <w:pStyle w:val="In-tableHeading"/>
              <w:jc w:val="center"/>
              <w:rPr>
                <w:lang w:val="en-AU"/>
              </w:rPr>
            </w:pPr>
            <w:r>
              <w:rPr>
                <w:lang w:val="en-AU"/>
              </w:rPr>
              <w:t xml:space="preserve">Sham </w:t>
            </w:r>
          </w:p>
          <w:p w14:paraId="322EF694" w14:textId="77777777" w:rsidR="00817CD4" w:rsidRDefault="00817CD4">
            <w:pPr>
              <w:pStyle w:val="In-tableHeading"/>
              <w:jc w:val="center"/>
              <w:rPr>
                <w:lang w:val="en-AU"/>
              </w:rPr>
            </w:pPr>
            <w:r>
              <w:rPr>
                <w:lang w:val="en-AU"/>
              </w:rPr>
              <w:t>N = 203</w:t>
            </w:r>
          </w:p>
        </w:tc>
        <w:tc>
          <w:tcPr>
            <w:tcW w:w="1134" w:type="dxa"/>
            <w:tcMar>
              <w:left w:w="28" w:type="dxa"/>
              <w:right w:w="28" w:type="dxa"/>
            </w:tcMar>
          </w:tcPr>
          <w:p w14:paraId="4EB650ED" w14:textId="77777777" w:rsidR="00817CD4" w:rsidRDefault="00817CD4">
            <w:pPr>
              <w:pStyle w:val="In-tableHeading"/>
              <w:jc w:val="center"/>
              <w:rPr>
                <w:lang w:val="en-AU"/>
              </w:rPr>
            </w:pPr>
            <w:r>
              <w:rPr>
                <w:lang w:val="en-AU"/>
              </w:rPr>
              <w:t>ACP 2 mg</w:t>
            </w:r>
          </w:p>
          <w:p w14:paraId="434B60AD" w14:textId="77777777" w:rsidR="00817CD4" w:rsidRDefault="00817CD4">
            <w:pPr>
              <w:pStyle w:val="In-tableHeading"/>
              <w:jc w:val="center"/>
              <w:rPr>
                <w:lang w:val="en-AU"/>
              </w:rPr>
            </w:pPr>
            <w:r>
              <w:rPr>
                <w:lang w:val="en-AU"/>
              </w:rPr>
              <w:t>N = 225</w:t>
            </w:r>
          </w:p>
        </w:tc>
        <w:tc>
          <w:tcPr>
            <w:tcW w:w="1134" w:type="dxa"/>
            <w:tcMar>
              <w:left w:w="28" w:type="dxa"/>
              <w:right w:w="28" w:type="dxa"/>
            </w:tcMar>
          </w:tcPr>
          <w:p w14:paraId="3DC898C0" w14:textId="77777777" w:rsidR="00817CD4" w:rsidRDefault="00817CD4">
            <w:pPr>
              <w:pStyle w:val="In-tableHeading"/>
              <w:jc w:val="center"/>
              <w:rPr>
                <w:lang w:val="en-AU"/>
              </w:rPr>
            </w:pPr>
            <w:r>
              <w:rPr>
                <w:lang w:val="en-AU"/>
              </w:rPr>
              <w:t>Sham</w:t>
            </w:r>
          </w:p>
          <w:p w14:paraId="5398D7AA" w14:textId="77777777" w:rsidR="00817CD4" w:rsidRDefault="00817CD4">
            <w:pPr>
              <w:pStyle w:val="In-tableHeading"/>
              <w:jc w:val="center"/>
              <w:rPr>
                <w:lang w:val="en-AU"/>
              </w:rPr>
            </w:pPr>
            <w:r>
              <w:rPr>
                <w:lang w:val="en-AU"/>
              </w:rPr>
              <w:t>N = 222</w:t>
            </w:r>
          </w:p>
        </w:tc>
      </w:tr>
      <w:tr w:rsidR="007237A5" w:rsidRPr="00D86D87" w14:paraId="4BEDA830" w14:textId="77777777" w:rsidTr="00817CD4">
        <w:tc>
          <w:tcPr>
            <w:tcW w:w="2972" w:type="dxa"/>
            <w:tcMar>
              <w:left w:w="28" w:type="dxa"/>
              <w:right w:w="28" w:type="dxa"/>
            </w:tcMar>
            <w:vAlign w:val="center"/>
          </w:tcPr>
          <w:p w14:paraId="0AEFB754" w14:textId="77777777" w:rsidR="005172ED" w:rsidRPr="00D86D87" w:rsidRDefault="005172ED">
            <w:pPr>
              <w:pStyle w:val="TableText0"/>
              <w:spacing w:line="276" w:lineRule="auto"/>
            </w:pPr>
            <w:r>
              <w:t>Any TEAE, n (%)</w:t>
            </w:r>
          </w:p>
        </w:tc>
        <w:tc>
          <w:tcPr>
            <w:tcW w:w="1276" w:type="dxa"/>
            <w:tcMar>
              <w:left w:w="28" w:type="dxa"/>
              <w:right w:w="28" w:type="dxa"/>
            </w:tcMar>
            <w:vAlign w:val="center"/>
          </w:tcPr>
          <w:p w14:paraId="2958B9C1" w14:textId="77777777" w:rsidR="005172ED" w:rsidRPr="004D192D" w:rsidRDefault="005172ED">
            <w:pPr>
              <w:pStyle w:val="TableText0"/>
              <w:spacing w:line="276" w:lineRule="auto"/>
              <w:jc w:val="center"/>
            </w:pPr>
            <w:r w:rsidRPr="004D192D">
              <w:t xml:space="preserve">89 (92.7) </w:t>
            </w:r>
          </w:p>
        </w:tc>
        <w:tc>
          <w:tcPr>
            <w:tcW w:w="1276" w:type="dxa"/>
            <w:tcMar>
              <w:left w:w="28" w:type="dxa"/>
              <w:right w:w="28" w:type="dxa"/>
            </w:tcMar>
            <w:vAlign w:val="center"/>
          </w:tcPr>
          <w:p w14:paraId="4BDAE958" w14:textId="77777777" w:rsidR="005172ED" w:rsidRPr="004D192D" w:rsidRDefault="005172ED">
            <w:pPr>
              <w:pStyle w:val="Default"/>
              <w:spacing w:line="276" w:lineRule="auto"/>
              <w:jc w:val="center"/>
              <w:rPr>
                <w:rFonts w:ascii="Arial Narrow" w:eastAsiaTheme="majorEastAsia" w:hAnsi="Arial Narrow" w:cstheme="majorBidi"/>
                <w:bCs/>
                <w:color w:val="auto"/>
                <w:sz w:val="20"/>
              </w:rPr>
            </w:pPr>
            <w:r w:rsidRPr="004D192D">
              <w:rPr>
                <w:rFonts w:ascii="Arial Narrow" w:eastAsiaTheme="majorEastAsia" w:hAnsi="Arial Narrow" w:cstheme="majorBidi"/>
                <w:bCs/>
                <w:color w:val="auto"/>
                <w:sz w:val="20"/>
              </w:rPr>
              <w:t xml:space="preserve">89 (95.7) </w:t>
            </w:r>
          </w:p>
        </w:tc>
        <w:tc>
          <w:tcPr>
            <w:tcW w:w="1134" w:type="dxa"/>
            <w:tcMar>
              <w:left w:w="28" w:type="dxa"/>
              <w:right w:w="28" w:type="dxa"/>
            </w:tcMar>
            <w:vAlign w:val="center"/>
          </w:tcPr>
          <w:p w14:paraId="2836B2B5" w14:textId="77777777" w:rsidR="005172ED" w:rsidRPr="004D192D" w:rsidRDefault="005172ED">
            <w:pPr>
              <w:pStyle w:val="Default"/>
              <w:spacing w:line="276" w:lineRule="auto"/>
              <w:jc w:val="center"/>
              <w:rPr>
                <w:rFonts w:ascii="Arial Narrow" w:eastAsiaTheme="majorEastAsia" w:hAnsi="Arial Narrow" w:cstheme="majorBidi"/>
                <w:bCs/>
                <w:color w:val="auto"/>
                <w:sz w:val="20"/>
              </w:rPr>
            </w:pPr>
            <w:r w:rsidRPr="004D192D">
              <w:rPr>
                <w:rFonts w:ascii="Arial Narrow" w:eastAsiaTheme="majorEastAsia" w:hAnsi="Arial Narrow" w:cstheme="majorBidi"/>
                <w:bCs/>
                <w:color w:val="auto"/>
                <w:sz w:val="20"/>
              </w:rPr>
              <w:t xml:space="preserve">167 (82.3) </w:t>
            </w:r>
          </w:p>
        </w:tc>
        <w:tc>
          <w:tcPr>
            <w:tcW w:w="1134" w:type="dxa"/>
            <w:tcMar>
              <w:left w:w="28" w:type="dxa"/>
              <w:right w:w="28" w:type="dxa"/>
            </w:tcMar>
            <w:vAlign w:val="center"/>
          </w:tcPr>
          <w:p w14:paraId="55728625" w14:textId="77777777" w:rsidR="005172ED" w:rsidRPr="004D192D" w:rsidRDefault="005172ED">
            <w:pPr>
              <w:pStyle w:val="TableText0"/>
              <w:spacing w:line="276" w:lineRule="auto"/>
              <w:jc w:val="center"/>
            </w:pPr>
            <w:r w:rsidRPr="004D192D">
              <w:t xml:space="preserve">208 (92.4) </w:t>
            </w:r>
          </w:p>
        </w:tc>
        <w:tc>
          <w:tcPr>
            <w:tcW w:w="1134" w:type="dxa"/>
            <w:tcMar>
              <w:left w:w="28" w:type="dxa"/>
              <w:right w:w="28" w:type="dxa"/>
            </w:tcMar>
            <w:vAlign w:val="center"/>
          </w:tcPr>
          <w:p w14:paraId="259122B8" w14:textId="77777777" w:rsidR="005172ED" w:rsidRPr="004D192D" w:rsidRDefault="005172ED">
            <w:pPr>
              <w:pStyle w:val="TableText0"/>
              <w:spacing w:line="276" w:lineRule="auto"/>
              <w:jc w:val="center"/>
            </w:pPr>
            <w:r w:rsidRPr="004D192D">
              <w:t xml:space="preserve">184 (82.9) </w:t>
            </w:r>
          </w:p>
        </w:tc>
      </w:tr>
      <w:tr w:rsidR="007237A5" w:rsidRPr="00D86D87" w14:paraId="0A973DCD" w14:textId="77777777" w:rsidTr="00817CD4">
        <w:tc>
          <w:tcPr>
            <w:tcW w:w="2972" w:type="dxa"/>
            <w:tcMar>
              <w:left w:w="28" w:type="dxa"/>
              <w:right w:w="28" w:type="dxa"/>
            </w:tcMar>
            <w:vAlign w:val="center"/>
          </w:tcPr>
          <w:p w14:paraId="775A0DE1" w14:textId="77777777" w:rsidR="005172ED" w:rsidRPr="00D86D87" w:rsidRDefault="005172ED">
            <w:pPr>
              <w:pStyle w:val="TableText0"/>
              <w:ind w:left="169"/>
            </w:pPr>
            <w:r>
              <w:t>TEAE related to injection, n (%)</w:t>
            </w:r>
          </w:p>
        </w:tc>
        <w:tc>
          <w:tcPr>
            <w:tcW w:w="1276" w:type="dxa"/>
            <w:tcMar>
              <w:left w:w="28" w:type="dxa"/>
              <w:right w:w="28" w:type="dxa"/>
            </w:tcMar>
            <w:vAlign w:val="center"/>
          </w:tcPr>
          <w:p w14:paraId="54D365C6" w14:textId="77777777" w:rsidR="005172ED" w:rsidRPr="00345CAD" w:rsidRDefault="005172ED">
            <w:pPr>
              <w:pStyle w:val="TableText0"/>
              <w:jc w:val="center"/>
              <w:rPr>
                <w:szCs w:val="20"/>
              </w:rPr>
            </w:pPr>
            <w:r w:rsidRPr="00345CAD">
              <w:rPr>
                <w:szCs w:val="20"/>
              </w:rPr>
              <w:t xml:space="preserve">37 (38.5) </w:t>
            </w:r>
          </w:p>
        </w:tc>
        <w:tc>
          <w:tcPr>
            <w:tcW w:w="1276" w:type="dxa"/>
            <w:tcMar>
              <w:left w:w="28" w:type="dxa"/>
              <w:right w:w="28" w:type="dxa"/>
            </w:tcMar>
            <w:vAlign w:val="center"/>
          </w:tcPr>
          <w:p w14:paraId="4CF452A4" w14:textId="77777777" w:rsidR="005172ED" w:rsidRPr="00345CAD" w:rsidRDefault="005172ED">
            <w:pPr>
              <w:pStyle w:val="TableText0"/>
              <w:jc w:val="center"/>
              <w:rPr>
                <w:szCs w:val="20"/>
              </w:rPr>
            </w:pPr>
            <w:r w:rsidRPr="00345CAD">
              <w:rPr>
                <w:szCs w:val="20"/>
              </w:rPr>
              <w:t xml:space="preserve">31 (33.3) </w:t>
            </w:r>
          </w:p>
        </w:tc>
        <w:tc>
          <w:tcPr>
            <w:tcW w:w="1134" w:type="dxa"/>
            <w:tcMar>
              <w:left w:w="28" w:type="dxa"/>
              <w:right w:w="28" w:type="dxa"/>
            </w:tcMar>
            <w:vAlign w:val="center"/>
          </w:tcPr>
          <w:p w14:paraId="54134521" w14:textId="77777777" w:rsidR="005172ED" w:rsidRPr="00345CAD" w:rsidRDefault="005172ED">
            <w:pPr>
              <w:pStyle w:val="TableText0"/>
              <w:jc w:val="center"/>
              <w:rPr>
                <w:szCs w:val="20"/>
              </w:rPr>
            </w:pPr>
            <w:r w:rsidRPr="00345CAD">
              <w:rPr>
                <w:szCs w:val="20"/>
              </w:rPr>
              <w:t xml:space="preserve">41 (20.2) </w:t>
            </w:r>
          </w:p>
        </w:tc>
        <w:tc>
          <w:tcPr>
            <w:tcW w:w="1134" w:type="dxa"/>
            <w:tcMar>
              <w:left w:w="28" w:type="dxa"/>
              <w:right w:w="28" w:type="dxa"/>
            </w:tcMar>
            <w:vAlign w:val="center"/>
          </w:tcPr>
          <w:p w14:paraId="024FDDE1" w14:textId="77777777" w:rsidR="005172ED" w:rsidRPr="00345CAD" w:rsidRDefault="005172ED">
            <w:pPr>
              <w:pStyle w:val="TableText0"/>
              <w:jc w:val="center"/>
              <w:rPr>
                <w:szCs w:val="20"/>
              </w:rPr>
            </w:pPr>
            <w:r w:rsidRPr="00345CAD">
              <w:rPr>
                <w:szCs w:val="20"/>
              </w:rPr>
              <w:t xml:space="preserve">84 (37.3) </w:t>
            </w:r>
          </w:p>
        </w:tc>
        <w:tc>
          <w:tcPr>
            <w:tcW w:w="1134" w:type="dxa"/>
            <w:tcMar>
              <w:left w:w="28" w:type="dxa"/>
              <w:right w:w="28" w:type="dxa"/>
            </w:tcMar>
            <w:vAlign w:val="center"/>
          </w:tcPr>
          <w:p w14:paraId="4CFFC0E0" w14:textId="77777777" w:rsidR="005172ED" w:rsidRPr="00345CAD" w:rsidRDefault="005172ED">
            <w:pPr>
              <w:pStyle w:val="TableText0"/>
              <w:jc w:val="center"/>
              <w:rPr>
                <w:szCs w:val="20"/>
              </w:rPr>
            </w:pPr>
            <w:r w:rsidRPr="00345CAD">
              <w:rPr>
                <w:szCs w:val="20"/>
              </w:rPr>
              <w:t xml:space="preserve">47 (21.2) </w:t>
            </w:r>
          </w:p>
        </w:tc>
      </w:tr>
      <w:tr w:rsidR="007237A5" w:rsidRPr="00D86D87" w14:paraId="1A3EA645" w14:textId="77777777" w:rsidTr="00817CD4">
        <w:tc>
          <w:tcPr>
            <w:tcW w:w="2972" w:type="dxa"/>
            <w:tcMar>
              <w:left w:w="28" w:type="dxa"/>
              <w:right w:w="28" w:type="dxa"/>
            </w:tcMar>
            <w:vAlign w:val="center"/>
          </w:tcPr>
          <w:p w14:paraId="672AA595" w14:textId="77777777" w:rsidR="005172ED" w:rsidRPr="00D86D87" w:rsidRDefault="005172ED">
            <w:pPr>
              <w:pStyle w:val="TableText0"/>
              <w:ind w:left="169"/>
            </w:pPr>
            <w:r>
              <w:t>TEAE related to study drug, n (%)</w:t>
            </w:r>
          </w:p>
        </w:tc>
        <w:tc>
          <w:tcPr>
            <w:tcW w:w="1276" w:type="dxa"/>
            <w:tcMar>
              <w:left w:w="28" w:type="dxa"/>
              <w:right w:w="28" w:type="dxa"/>
            </w:tcMar>
            <w:vAlign w:val="center"/>
          </w:tcPr>
          <w:p w14:paraId="6A1F233D" w14:textId="77777777" w:rsidR="005172ED" w:rsidRPr="00590F7D" w:rsidRDefault="005172ED">
            <w:pPr>
              <w:pStyle w:val="TableText0"/>
              <w:jc w:val="center"/>
              <w:rPr>
                <w:szCs w:val="20"/>
              </w:rPr>
            </w:pPr>
            <w:r w:rsidRPr="00590F7D">
              <w:rPr>
                <w:szCs w:val="20"/>
              </w:rPr>
              <w:t xml:space="preserve">5 (5.2) </w:t>
            </w:r>
          </w:p>
        </w:tc>
        <w:tc>
          <w:tcPr>
            <w:tcW w:w="1276" w:type="dxa"/>
            <w:tcMar>
              <w:left w:w="28" w:type="dxa"/>
              <w:right w:w="28" w:type="dxa"/>
            </w:tcMar>
            <w:vAlign w:val="center"/>
          </w:tcPr>
          <w:p w14:paraId="4797BA65" w14:textId="77777777" w:rsidR="005172ED" w:rsidRPr="00590F7D" w:rsidRDefault="005172ED">
            <w:pPr>
              <w:pStyle w:val="TableText0"/>
              <w:jc w:val="center"/>
              <w:rPr>
                <w:szCs w:val="20"/>
              </w:rPr>
            </w:pPr>
            <w:r w:rsidRPr="00590F7D">
              <w:rPr>
                <w:szCs w:val="20"/>
              </w:rPr>
              <w:t>2 (2.2)</w:t>
            </w:r>
          </w:p>
        </w:tc>
        <w:tc>
          <w:tcPr>
            <w:tcW w:w="1134" w:type="dxa"/>
            <w:tcMar>
              <w:left w:w="28" w:type="dxa"/>
              <w:right w:w="28" w:type="dxa"/>
            </w:tcMar>
            <w:vAlign w:val="center"/>
          </w:tcPr>
          <w:p w14:paraId="22D6895D" w14:textId="77777777" w:rsidR="005172ED" w:rsidRPr="00590F7D" w:rsidRDefault="005172ED">
            <w:pPr>
              <w:pStyle w:val="TableText0"/>
              <w:jc w:val="center"/>
              <w:rPr>
                <w:szCs w:val="20"/>
              </w:rPr>
            </w:pPr>
            <w:r w:rsidRPr="00590F7D">
              <w:rPr>
                <w:szCs w:val="20"/>
              </w:rPr>
              <w:t>2 (1.0)</w:t>
            </w:r>
          </w:p>
        </w:tc>
        <w:tc>
          <w:tcPr>
            <w:tcW w:w="1134" w:type="dxa"/>
            <w:tcMar>
              <w:left w:w="28" w:type="dxa"/>
              <w:right w:w="28" w:type="dxa"/>
            </w:tcMar>
            <w:vAlign w:val="center"/>
          </w:tcPr>
          <w:p w14:paraId="1B607201" w14:textId="77777777" w:rsidR="005172ED" w:rsidRPr="00590F7D" w:rsidRDefault="005172ED">
            <w:pPr>
              <w:pStyle w:val="TableText0"/>
              <w:jc w:val="center"/>
              <w:rPr>
                <w:szCs w:val="20"/>
              </w:rPr>
            </w:pPr>
            <w:r w:rsidRPr="00590F7D">
              <w:rPr>
                <w:szCs w:val="20"/>
              </w:rPr>
              <w:t>7 (3.1)</w:t>
            </w:r>
          </w:p>
        </w:tc>
        <w:tc>
          <w:tcPr>
            <w:tcW w:w="1134" w:type="dxa"/>
            <w:tcMar>
              <w:left w:w="28" w:type="dxa"/>
              <w:right w:w="28" w:type="dxa"/>
            </w:tcMar>
            <w:vAlign w:val="center"/>
          </w:tcPr>
          <w:p w14:paraId="5E025333" w14:textId="77777777" w:rsidR="005172ED" w:rsidRPr="00590F7D" w:rsidRDefault="005172ED">
            <w:pPr>
              <w:pStyle w:val="TableText0"/>
              <w:jc w:val="center"/>
              <w:rPr>
                <w:szCs w:val="20"/>
              </w:rPr>
            </w:pPr>
            <w:r w:rsidRPr="00590F7D">
              <w:rPr>
                <w:szCs w:val="20"/>
              </w:rPr>
              <w:t>2 (0.9)</w:t>
            </w:r>
          </w:p>
        </w:tc>
      </w:tr>
      <w:tr w:rsidR="007237A5" w:rsidRPr="00D86D87" w14:paraId="1E78B291" w14:textId="77777777" w:rsidTr="00817CD4">
        <w:tc>
          <w:tcPr>
            <w:tcW w:w="2972" w:type="dxa"/>
            <w:tcMar>
              <w:left w:w="28" w:type="dxa"/>
              <w:right w:w="28" w:type="dxa"/>
            </w:tcMar>
            <w:vAlign w:val="center"/>
          </w:tcPr>
          <w:p w14:paraId="707D5744" w14:textId="77777777" w:rsidR="005172ED" w:rsidRPr="00D86D87" w:rsidRDefault="005172ED">
            <w:pPr>
              <w:pStyle w:val="TableText0"/>
            </w:pPr>
            <w:r>
              <w:t>Any ocular TEAE (study eye), n (%)</w:t>
            </w:r>
          </w:p>
        </w:tc>
        <w:tc>
          <w:tcPr>
            <w:tcW w:w="1276" w:type="dxa"/>
            <w:tcMar>
              <w:left w:w="28" w:type="dxa"/>
              <w:right w:w="28" w:type="dxa"/>
            </w:tcMar>
            <w:vAlign w:val="center"/>
          </w:tcPr>
          <w:p w14:paraId="1389C05F" w14:textId="77777777" w:rsidR="005172ED" w:rsidRPr="00590F7D" w:rsidRDefault="005172ED">
            <w:pPr>
              <w:pStyle w:val="TableText0"/>
              <w:jc w:val="center"/>
              <w:rPr>
                <w:szCs w:val="20"/>
              </w:rPr>
            </w:pPr>
            <w:r w:rsidRPr="00590F7D">
              <w:rPr>
                <w:szCs w:val="20"/>
              </w:rPr>
              <w:t>67 (69.8)</w:t>
            </w:r>
          </w:p>
        </w:tc>
        <w:tc>
          <w:tcPr>
            <w:tcW w:w="1276" w:type="dxa"/>
            <w:tcMar>
              <w:left w:w="28" w:type="dxa"/>
              <w:right w:w="28" w:type="dxa"/>
            </w:tcMar>
            <w:vAlign w:val="center"/>
          </w:tcPr>
          <w:p w14:paraId="26A5A8F2" w14:textId="77777777" w:rsidR="005172ED" w:rsidRPr="00590F7D" w:rsidRDefault="005172ED">
            <w:pPr>
              <w:pStyle w:val="TableText0"/>
              <w:jc w:val="center"/>
              <w:rPr>
                <w:szCs w:val="20"/>
              </w:rPr>
            </w:pPr>
            <w:r w:rsidRPr="00590F7D">
              <w:rPr>
                <w:szCs w:val="20"/>
              </w:rPr>
              <w:t>60 (64.5)</w:t>
            </w:r>
          </w:p>
        </w:tc>
        <w:tc>
          <w:tcPr>
            <w:tcW w:w="1134" w:type="dxa"/>
            <w:tcMar>
              <w:left w:w="28" w:type="dxa"/>
              <w:right w:w="28" w:type="dxa"/>
            </w:tcMar>
            <w:vAlign w:val="center"/>
          </w:tcPr>
          <w:p w14:paraId="3C4F1ABD" w14:textId="77777777" w:rsidR="005172ED" w:rsidRPr="00590F7D" w:rsidRDefault="005172ED">
            <w:pPr>
              <w:pStyle w:val="TableText0"/>
              <w:jc w:val="center"/>
              <w:rPr>
                <w:szCs w:val="20"/>
              </w:rPr>
            </w:pPr>
            <w:r w:rsidRPr="00590F7D">
              <w:rPr>
                <w:szCs w:val="20"/>
              </w:rPr>
              <w:t>99 (48.8)</w:t>
            </w:r>
          </w:p>
        </w:tc>
        <w:tc>
          <w:tcPr>
            <w:tcW w:w="1134" w:type="dxa"/>
            <w:tcMar>
              <w:left w:w="28" w:type="dxa"/>
              <w:right w:w="28" w:type="dxa"/>
            </w:tcMar>
            <w:vAlign w:val="center"/>
          </w:tcPr>
          <w:p w14:paraId="41C1A1CC" w14:textId="77777777" w:rsidR="005172ED" w:rsidRPr="00590F7D" w:rsidRDefault="005172ED">
            <w:pPr>
              <w:pStyle w:val="TableText0"/>
              <w:jc w:val="center"/>
              <w:rPr>
                <w:szCs w:val="20"/>
              </w:rPr>
            </w:pPr>
            <w:r w:rsidRPr="00590F7D">
              <w:rPr>
                <w:szCs w:val="20"/>
              </w:rPr>
              <w:t>144 (64.0)</w:t>
            </w:r>
          </w:p>
        </w:tc>
        <w:tc>
          <w:tcPr>
            <w:tcW w:w="1134" w:type="dxa"/>
            <w:tcMar>
              <w:left w:w="28" w:type="dxa"/>
              <w:right w:w="28" w:type="dxa"/>
            </w:tcMar>
            <w:vAlign w:val="center"/>
          </w:tcPr>
          <w:p w14:paraId="3C68E07B" w14:textId="77777777" w:rsidR="005172ED" w:rsidRPr="00590F7D" w:rsidRDefault="005172ED">
            <w:pPr>
              <w:pStyle w:val="TableText0"/>
              <w:jc w:val="center"/>
              <w:rPr>
                <w:szCs w:val="20"/>
              </w:rPr>
            </w:pPr>
            <w:r w:rsidRPr="00590F7D">
              <w:rPr>
                <w:szCs w:val="20"/>
              </w:rPr>
              <w:t>107 (48.2)</w:t>
            </w:r>
          </w:p>
        </w:tc>
      </w:tr>
      <w:tr w:rsidR="007237A5" w:rsidRPr="00D86D87" w14:paraId="190BDE19" w14:textId="77777777" w:rsidTr="00817CD4">
        <w:tc>
          <w:tcPr>
            <w:tcW w:w="2972" w:type="dxa"/>
            <w:tcMar>
              <w:left w:w="28" w:type="dxa"/>
              <w:right w:w="28" w:type="dxa"/>
            </w:tcMar>
            <w:vAlign w:val="center"/>
          </w:tcPr>
          <w:p w14:paraId="17671D06" w14:textId="77777777" w:rsidR="005172ED" w:rsidRPr="00D86D87" w:rsidRDefault="005172ED">
            <w:pPr>
              <w:pStyle w:val="TableText0"/>
            </w:pPr>
            <w:r>
              <w:t>Ocular TEAE related to injection (study eye), n (%)</w:t>
            </w:r>
          </w:p>
        </w:tc>
        <w:tc>
          <w:tcPr>
            <w:tcW w:w="1276" w:type="dxa"/>
            <w:tcMar>
              <w:left w:w="28" w:type="dxa"/>
              <w:right w:w="28" w:type="dxa"/>
            </w:tcMar>
            <w:vAlign w:val="center"/>
          </w:tcPr>
          <w:p w14:paraId="69D1396E" w14:textId="77777777" w:rsidR="005172ED" w:rsidRPr="00590F7D" w:rsidRDefault="005172ED">
            <w:pPr>
              <w:pStyle w:val="TableText0"/>
              <w:jc w:val="center"/>
              <w:rPr>
                <w:szCs w:val="20"/>
              </w:rPr>
            </w:pPr>
            <w:r w:rsidRPr="00590F7D">
              <w:rPr>
                <w:szCs w:val="20"/>
              </w:rPr>
              <w:t>37 (38.5)</w:t>
            </w:r>
          </w:p>
        </w:tc>
        <w:tc>
          <w:tcPr>
            <w:tcW w:w="1276" w:type="dxa"/>
            <w:tcMar>
              <w:left w:w="28" w:type="dxa"/>
              <w:right w:w="28" w:type="dxa"/>
            </w:tcMar>
            <w:vAlign w:val="center"/>
          </w:tcPr>
          <w:p w14:paraId="1A953164" w14:textId="77777777" w:rsidR="005172ED" w:rsidRPr="00590F7D" w:rsidRDefault="005172ED">
            <w:pPr>
              <w:pStyle w:val="TableText0"/>
              <w:jc w:val="center"/>
              <w:rPr>
                <w:szCs w:val="20"/>
              </w:rPr>
            </w:pPr>
            <w:r w:rsidRPr="00590F7D">
              <w:rPr>
                <w:szCs w:val="20"/>
              </w:rPr>
              <w:t>31 (33.3)</w:t>
            </w:r>
          </w:p>
        </w:tc>
        <w:tc>
          <w:tcPr>
            <w:tcW w:w="1134" w:type="dxa"/>
            <w:tcMar>
              <w:left w:w="28" w:type="dxa"/>
              <w:right w:w="28" w:type="dxa"/>
            </w:tcMar>
            <w:vAlign w:val="center"/>
          </w:tcPr>
          <w:p w14:paraId="6894898A" w14:textId="77777777" w:rsidR="005172ED" w:rsidRPr="00590F7D" w:rsidRDefault="005172ED">
            <w:pPr>
              <w:pStyle w:val="TableText0"/>
              <w:jc w:val="center"/>
              <w:rPr>
                <w:szCs w:val="20"/>
              </w:rPr>
            </w:pPr>
            <w:r w:rsidRPr="00590F7D">
              <w:rPr>
                <w:szCs w:val="20"/>
              </w:rPr>
              <w:t>41 (20.2)</w:t>
            </w:r>
          </w:p>
        </w:tc>
        <w:tc>
          <w:tcPr>
            <w:tcW w:w="1134" w:type="dxa"/>
            <w:tcMar>
              <w:left w:w="28" w:type="dxa"/>
              <w:right w:w="28" w:type="dxa"/>
            </w:tcMar>
            <w:vAlign w:val="center"/>
          </w:tcPr>
          <w:p w14:paraId="256D6686" w14:textId="77777777" w:rsidR="005172ED" w:rsidRPr="00590F7D" w:rsidRDefault="005172ED">
            <w:pPr>
              <w:pStyle w:val="TableText0"/>
              <w:jc w:val="center"/>
              <w:rPr>
                <w:szCs w:val="20"/>
              </w:rPr>
            </w:pPr>
            <w:r w:rsidRPr="00590F7D">
              <w:rPr>
                <w:szCs w:val="20"/>
              </w:rPr>
              <w:t>83 (36.9)</w:t>
            </w:r>
          </w:p>
        </w:tc>
        <w:tc>
          <w:tcPr>
            <w:tcW w:w="1134" w:type="dxa"/>
            <w:tcMar>
              <w:left w:w="28" w:type="dxa"/>
              <w:right w:w="28" w:type="dxa"/>
            </w:tcMar>
            <w:vAlign w:val="center"/>
          </w:tcPr>
          <w:p w14:paraId="7102F207" w14:textId="77777777" w:rsidR="005172ED" w:rsidRPr="00590F7D" w:rsidRDefault="005172ED">
            <w:pPr>
              <w:pStyle w:val="TableText0"/>
              <w:jc w:val="center"/>
              <w:rPr>
                <w:szCs w:val="20"/>
              </w:rPr>
            </w:pPr>
            <w:r w:rsidRPr="00590F7D">
              <w:rPr>
                <w:szCs w:val="20"/>
              </w:rPr>
              <w:t>47 (21.2)</w:t>
            </w:r>
          </w:p>
        </w:tc>
      </w:tr>
      <w:tr w:rsidR="007237A5" w:rsidRPr="00D86D87" w14:paraId="1F229FA0" w14:textId="77777777" w:rsidTr="00817CD4">
        <w:tc>
          <w:tcPr>
            <w:tcW w:w="2972" w:type="dxa"/>
            <w:tcMar>
              <w:left w:w="28" w:type="dxa"/>
              <w:right w:w="28" w:type="dxa"/>
            </w:tcMar>
            <w:vAlign w:val="center"/>
          </w:tcPr>
          <w:p w14:paraId="775419C1" w14:textId="77777777" w:rsidR="005172ED" w:rsidRDefault="005172ED">
            <w:pPr>
              <w:pStyle w:val="TableText0"/>
            </w:pPr>
            <w:r>
              <w:t>Ocular TEAE related to study drug (study eye), n (%)</w:t>
            </w:r>
          </w:p>
        </w:tc>
        <w:tc>
          <w:tcPr>
            <w:tcW w:w="1276" w:type="dxa"/>
            <w:tcMar>
              <w:left w:w="28" w:type="dxa"/>
              <w:right w:w="28" w:type="dxa"/>
            </w:tcMar>
            <w:vAlign w:val="center"/>
          </w:tcPr>
          <w:p w14:paraId="706CF58D" w14:textId="77777777" w:rsidR="005172ED" w:rsidRPr="00590F7D" w:rsidRDefault="005172ED">
            <w:pPr>
              <w:pStyle w:val="TableText0"/>
              <w:jc w:val="center"/>
              <w:rPr>
                <w:szCs w:val="20"/>
              </w:rPr>
            </w:pPr>
            <w:r w:rsidRPr="00590F7D">
              <w:rPr>
                <w:szCs w:val="20"/>
              </w:rPr>
              <w:t>5 (5.2)</w:t>
            </w:r>
          </w:p>
        </w:tc>
        <w:tc>
          <w:tcPr>
            <w:tcW w:w="1276" w:type="dxa"/>
            <w:tcMar>
              <w:left w:w="28" w:type="dxa"/>
              <w:right w:w="28" w:type="dxa"/>
            </w:tcMar>
            <w:vAlign w:val="center"/>
          </w:tcPr>
          <w:p w14:paraId="1F15068E" w14:textId="77777777" w:rsidR="005172ED" w:rsidRPr="00590F7D" w:rsidRDefault="005172ED">
            <w:pPr>
              <w:pStyle w:val="TableText0"/>
              <w:jc w:val="center"/>
              <w:rPr>
                <w:szCs w:val="20"/>
              </w:rPr>
            </w:pPr>
            <w:r w:rsidRPr="00590F7D">
              <w:rPr>
                <w:szCs w:val="20"/>
              </w:rPr>
              <w:t>2 (2.2)</w:t>
            </w:r>
          </w:p>
        </w:tc>
        <w:tc>
          <w:tcPr>
            <w:tcW w:w="1134" w:type="dxa"/>
            <w:tcMar>
              <w:left w:w="28" w:type="dxa"/>
              <w:right w:w="28" w:type="dxa"/>
            </w:tcMar>
            <w:vAlign w:val="center"/>
          </w:tcPr>
          <w:p w14:paraId="04A93175" w14:textId="77777777" w:rsidR="005172ED" w:rsidRPr="00590F7D" w:rsidRDefault="005172ED">
            <w:pPr>
              <w:pStyle w:val="TableText0"/>
              <w:jc w:val="center"/>
              <w:rPr>
                <w:szCs w:val="20"/>
              </w:rPr>
            </w:pPr>
            <w:r w:rsidRPr="00590F7D">
              <w:rPr>
                <w:szCs w:val="20"/>
              </w:rPr>
              <w:t>2 (1.0)</w:t>
            </w:r>
          </w:p>
        </w:tc>
        <w:tc>
          <w:tcPr>
            <w:tcW w:w="1134" w:type="dxa"/>
            <w:tcMar>
              <w:left w:w="28" w:type="dxa"/>
              <w:right w:w="28" w:type="dxa"/>
            </w:tcMar>
            <w:vAlign w:val="center"/>
          </w:tcPr>
          <w:p w14:paraId="69DB0DFF" w14:textId="77777777" w:rsidR="005172ED" w:rsidRPr="00590F7D" w:rsidRDefault="005172ED">
            <w:pPr>
              <w:pStyle w:val="TableText0"/>
              <w:jc w:val="center"/>
              <w:rPr>
                <w:szCs w:val="20"/>
              </w:rPr>
            </w:pPr>
            <w:r w:rsidRPr="00590F7D">
              <w:rPr>
                <w:szCs w:val="20"/>
              </w:rPr>
              <w:t>7 (3.1)</w:t>
            </w:r>
          </w:p>
        </w:tc>
        <w:tc>
          <w:tcPr>
            <w:tcW w:w="1134" w:type="dxa"/>
            <w:tcMar>
              <w:left w:w="28" w:type="dxa"/>
              <w:right w:w="28" w:type="dxa"/>
            </w:tcMar>
            <w:vAlign w:val="center"/>
          </w:tcPr>
          <w:p w14:paraId="13B4EE32" w14:textId="77777777" w:rsidR="005172ED" w:rsidRPr="00590F7D" w:rsidRDefault="005172ED">
            <w:pPr>
              <w:pStyle w:val="TableText0"/>
              <w:jc w:val="center"/>
              <w:rPr>
                <w:szCs w:val="20"/>
              </w:rPr>
            </w:pPr>
            <w:r w:rsidRPr="00590F7D">
              <w:rPr>
                <w:szCs w:val="20"/>
              </w:rPr>
              <w:t>2 (0.9)</w:t>
            </w:r>
          </w:p>
        </w:tc>
      </w:tr>
      <w:tr w:rsidR="007237A5" w:rsidRPr="00D86D87" w14:paraId="1B87CE4D" w14:textId="77777777" w:rsidTr="00817CD4">
        <w:tc>
          <w:tcPr>
            <w:tcW w:w="2972" w:type="dxa"/>
            <w:tcMar>
              <w:left w:w="28" w:type="dxa"/>
              <w:right w:w="28" w:type="dxa"/>
            </w:tcMar>
            <w:vAlign w:val="center"/>
          </w:tcPr>
          <w:p w14:paraId="0E527E17" w14:textId="77777777" w:rsidR="005172ED" w:rsidRDefault="005172ED">
            <w:pPr>
              <w:pStyle w:val="TableText0"/>
            </w:pPr>
            <w:r>
              <w:t>Any serious TEAE,</w:t>
            </w:r>
          </w:p>
          <w:p w14:paraId="0DBBFE58" w14:textId="77777777" w:rsidR="005172ED" w:rsidRDefault="005172ED">
            <w:pPr>
              <w:pStyle w:val="TableText0"/>
            </w:pPr>
            <w:r>
              <w:t xml:space="preserve"> n (%)</w:t>
            </w:r>
          </w:p>
        </w:tc>
        <w:tc>
          <w:tcPr>
            <w:tcW w:w="1276" w:type="dxa"/>
            <w:tcMar>
              <w:left w:w="28" w:type="dxa"/>
              <w:right w:w="28" w:type="dxa"/>
            </w:tcMar>
            <w:vAlign w:val="center"/>
          </w:tcPr>
          <w:p w14:paraId="00191C1D" w14:textId="77777777" w:rsidR="005172ED" w:rsidRPr="00590F7D" w:rsidRDefault="005172ED">
            <w:pPr>
              <w:pStyle w:val="TableText0"/>
              <w:jc w:val="center"/>
              <w:rPr>
                <w:szCs w:val="20"/>
              </w:rPr>
            </w:pPr>
            <w:r w:rsidRPr="00590F7D">
              <w:rPr>
                <w:szCs w:val="20"/>
              </w:rPr>
              <w:t>25 (26.0)</w:t>
            </w:r>
          </w:p>
        </w:tc>
        <w:tc>
          <w:tcPr>
            <w:tcW w:w="1276" w:type="dxa"/>
            <w:tcMar>
              <w:left w:w="28" w:type="dxa"/>
              <w:right w:w="28" w:type="dxa"/>
            </w:tcMar>
            <w:vAlign w:val="center"/>
          </w:tcPr>
          <w:p w14:paraId="5E58231B" w14:textId="77777777" w:rsidR="005172ED" w:rsidRPr="00590F7D" w:rsidRDefault="005172ED">
            <w:pPr>
              <w:pStyle w:val="TableText0"/>
              <w:jc w:val="center"/>
              <w:rPr>
                <w:szCs w:val="20"/>
              </w:rPr>
            </w:pPr>
            <w:r w:rsidRPr="00590F7D">
              <w:rPr>
                <w:szCs w:val="20"/>
              </w:rPr>
              <w:t>25 (26.9)</w:t>
            </w:r>
          </w:p>
        </w:tc>
        <w:tc>
          <w:tcPr>
            <w:tcW w:w="1134" w:type="dxa"/>
            <w:tcMar>
              <w:left w:w="28" w:type="dxa"/>
              <w:right w:w="28" w:type="dxa"/>
            </w:tcMar>
            <w:vAlign w:val="center"/>
          </w:tcPr>
          <w:p w14:paraId="7647A0D8" w14:textId="77777777" w:rsidR="005172ED" w:rsidRPr="00590F7D" w:rsidRDefault="005172ED">
            <w:pPr>
              <w:pStyle w:val="TableText0"/>
              <w:jc w:val="center"/>
              <w:rPr>
                <w:szCs w:val="20"/>
              </w:rPr>
            </w:pPr>
            <w:r w:rsidRPr="00590F7D">
              <w:rPr>
                <w:szCs w:val="20"/>
              </w:rPr>
              <w:t>44 (21.7)</w:t>
            </w:r>
          </w:p>
        </w:tc>
        <w:tc>
          <w:tcPr>
            <w:tcW w:w="1134" w:type="dxa"/>
            <w:tcMar>
              <w:left w:w="28" w:type="dxa"/>
              <w:right w:w="28" w:type="dxa"/>
            </w:tcMar>
            <w:vAlign w:val="center"/>
          </w:tcPr>
          <w:p w14:paraId="34F2645F" w14:textId="77777777" w:rsidR="005172ED" w:rsidRPr="00590F7D" w:rsidRDefault="005172ED">
            <w:pPr>
              <w:pStyle w:val="TableText0"/>
              <w:jc w:val="center"/>
              <w:rPr>
                <w:szCs w:val="20"/>
              </w:rPr>
            </w:pPr>
            <w:r w:rsidRPr="00590F7D">
              <w:rPr>
                <w:szCs w:val="20"/>
              </w:rPr>
              <w:t>60 (26.7)</w:t>
            </w:r>
          </w:p>
        </w:tc>
        <w:tc>
          <w:tcPr>
            <w:tcW w:w="1134" w:type="dxa"/>
            <w:tcMar>
              <w:left w:w="28" w:type="dxa"/>
              <w:right w:w="28" w:type="dxa"/>
            </w:tcMar>
            <w:vAlign w:val="center"/>
          </w:tcPr>
          <w:p w14:paraId="52016B8C" w14:textId="77777777" w:rsidR="005172ED" w:rsidRPr="00590F7D" w:rsidRDefault="005172ED">
            <w:pPr>
              <w:pStyle w:val="TableText0"/>
              <w:jc w:val="center"/>
              <w:rPr>
                <w:szCs w:val="20"/>
              </w:rPr>
            </w:pPr>
            <w:r w:rsidRPr="00590F7D">
              <w:rPr>
                <w:szCs w:val="20"/>
              </w:rPr>
              <w:t>51 (23.0)</w:t>
            </w:r>
          </w:p>
        </w:tc>
      </w:tr>
      <w:tr w:rsidR="007237A5" w:rsidRPr="00D86D87" w14:paraId="7452A784" w14:textId="77777777" w:rsidTr="00817CD4">
        <w:tc>
          <w:tcPr>
            <w:tcW w:w="2972" w:type="dxa"/>
            <w:tcMar>
              <w:left w:w="28" w:type="dxa"/>
              <w:right w:w="28" w:type="dxa"/>
            </w:tcMar>
            <w:vAlign w:val="center"/>
          </w:tcPr>
          <w:p w14:paraId="44021DCA" w14:textId="77777777" w:rsidR="005172ED" w:rsidRDefault="005172ED">
            <w:pPr>
              <w:pStyle w:val="TableText0"/>
            </w:pPr>
            <w:r>
              <w:t>Any serious TEAE in study eye, n (%)</w:t>
            </w:r>
          </w:p>
        </w:tc>
        <w:tc>
          <w:tcPr>
            <w:tcW w:w="1276" w:type="dxa"/>
            <w:tcMar>
              <w:left w:w="28" w:type="dxa"/>
              <w:right w:w="28" w:type="dxa"/>
            </w:tcMar>
            <w:vAlign w:val="center"/>
          </w:tcPr>
          <w:p w14:paraId="203DA29B" w14:textId="77777777" w:rsidR="005172ED" w:rsidRPr="00590F7D" w:rsidRDefault="005172ED">
            <w:pPr>
              <w:pStyle w:val="TableText0"/>
              <w:jc w:val="center"/>
              <w:rPr>
                <w:szCs w:val="20"/>
              </w:rPr>
            </w:pPr>
            <w:r w:rsidRPr="00590F7D">
              <w:rPr>
                <w:szCs w:val="20"/>
              </w:rPr>
              <w:t xml:space="preserve">3 (3.1) </w:t>
            </w:r>
          </w:p>
        </w:tc>
        <w:tc>
          <w:tcPr>
            <w:tcW w:w="1276" w:type="dxa"/>
            <w:tcMar>
              <w:left w:w="28" w:type="dxa"/>
              <w:right w:w="28" w:type="dxa"/>
            </w:tcMar>
            <w:vAlign w:val="center"/>
          </w:tcPr>
          <w:p w14:paraId="7793CE13" w14:textId="77777777" w:rsidR="005172ED" w:rsidRPr="00590F7D" w:rsidRDefault="005172ED">
            <w:pPr>
              <w:pStyle w:val="TableText0"/>
              <w:jc w:val="center"/>
              <w:rPr>
                <w:szCs w:val="20"/>
              </w:rPr>
            </w:pPr>
            <w:r w:rsidRPr="00590F7D">
              <w:rPr>
                <w:szCs w:val="20"/>
              </w:rPr>
              <w:t xml:space="preserve">1 (1.1) </w:t>
            </w:r>
          </w:p>
        </w:tc>
        <w:tc>
          <w:tcPr>
            <w:tcW w:w="1134" w:type="dxa"/>
            <w:tcMar>
              <w:left w:w="28" w:type="dxa"/>
              <w:right w:w="28" w:type="dxa"/>
            </w:tcMar>
            <w:vAlign w:val="center"/>
          </w:tcPr>
          <w:p w14:paraId="7C55B0D3" w14:textId="77777777" w:rsidR="005172ED" w:rsidRPr="00590F7D" w:rsidRDefault="005172ED">
            <w:pPr>
              <w:pStyle w:val="TableText0"/>
              <w:jc w:val="center"/>
              <w:rPr>
                <w:szCs w:val="20"/>
              </w:rPr>
            </w:pPr>
            <w:r w:rsidRPr="00590F7D">
              <w:rPr>
                <w:szCs w:val="20"/>
              </w:rPr>
              <w:t xml:space="preserve">2 (1.0) </w:t>
            </w:r>
          </w:p>
        </w:tc>
        <w:tc>
          <w:tcPr>
            <w:tcW w:w="1134" w:type="dxa"/>
            <w:tcMar>
              <w:left w:w="28" w:type="dxa"/>
              <w:right w:w="28" w:type="dxa"/>
            </w:tcMar>
            <w:vAlign w:val="center"/>
          </w:tcPr>
          <w:p w14:paraId="7E6D8DA7" w14:textId="77777777" w:rsidR="005172ED" w:rsidRPr="00590F7D" w:rsidRDefault="005172ED">
            <w:pPr>
              <w:pStyle w:val="TableText0"/>
              <w:jc w:val="center"/>
              <w:rPr>
                <w:szCs w:val="20"/>
              </w:rPr>
            </w:pPr>
            <w:r w:rsidRPr="00590F7D">
              <w:rPr>
                <w:szCs w:val="20"/>
              </w:rPr>
              <w:t xml:space="preserve">4 (1.8) </w:t>
            </w:r>
          </w:p>
        </w:tc>
        <w:tc>
          <w:tcPr>
            <w:tcW w:w="1134" w:type="dxa"/>
            <w:tcMar>
              <w:left w:w="28" w:type="dxa"/>
              <w:right w:w="28" w:type="dxa"/>
            </w:tcMar>
            <w:vAlign w:val="center"/>
          </w:tcPr>
          <w:p w14:paraId="4BE03B60" w14:textId="77777777" w:rsidR="005172ED" w:rsidRPr="00590F7D" w:rsidRDefault="005172ED">
            <w:pPr>
              <w:pStyle w:val="TableText0"/>
              <w:jc w:val="center"/>
              <w:rPr>
                <w:szCs w:val="20"/>
              </w:rPr>
            </w:pPr>
            <w:r w:rsidRPr="00590F7D">
              <w:rPr>
                <w:szCs w:val="20"/>
              </w:rPr>
              <w:t xml:space="preserve">2 (0.9) </w:t>
            </w:r>
          </w:p>
        </w:tc>
      </w:tr>
      <w:tr w:rsidR="007237A5" w:rsidRPr="00D86D87" w14:paraId="37946E8A" w14:textId="77777777" w:rsidTr="00817CD4">
        <w:trPr>
          <w:trHeight w:val="284"/>
        </w:trPr>
        <w:tc>
          <w:tcPr>
            <w:tcW w:w="2972" w:type="dxa"/>
            <w:tcMar>
              <w:left w:w="28" w:type="dxa"/>
              <w:right w:w="28" w:type="dxa"/>
            </w:tcMar>
            <w:vAlign w:val="center"/>
          </w:tcPr>
          <w:p w14:paraId="21F16466" w14:textId="77777777" w:rsidR="005172ED" w:rsidRDefault="005172ED">
            <w:pPr>
              <w:pStyle w:val="TableText0"/>
              <w:spacing w:line="276" w:lineRule="auto"/>
            </w:pPr>
            <w:r>
              <w:t>Any severe TEAE</w:t>
            </w:r>
            <w:r w:rsidRPr="00AD7B5C">
              <w:rPr>
                <w:vertAlign w:val="superscript"/>
              </w:rPr>
              <w:t>a</w:t>
            </w:r>
          </w:p>
        </w:tc>
        <w:tc>
          <w:tcPr>
            <w:tcW w:w="1276" w:type="dxa"/>
            <w:tcMar>
              <w:left w:w="28" w:type="dxa"/>
              <w:right w:w="28" w:type="dxa"/>
            </w:tcMar>
            <w:vAlign w:val="center"/>
          </w:tcPr>
          <w:p w14:paraId="44A550D5" w14:textId="77777777" w:rsidR="005172ED" w:rsidRPr="00590F7D" w:rsidRDefault="005172ED">
            <w:pPr>
              <w:pStyle w:val="TableText0"/>
              <w:spacing w:line="276" w:lineRule="auto"/>
              <w:jc w:val="center"/>
              <w:rPr>
                <w:szCs w:val="20"/>
              </w:rPr>
            </w:pPr>
            <w:r w:rsidRPr="00590F7D">
              <w:rPr>
                <w:szCs w:val="20"/>
              </w:rPr>
              <w:t>21 (21.9)</w:t>
            </w:r>
          </w:p>
        </w:tc>
        <w:tc>
          <w:tcPr>
            <w:tcW w:w="1276" w:type="dxa"/>
            <w:tcMar>
              <w:left w:w="28" w:type="dxa"/>
              <w:right w:w="28" w:type="dxa"/>
            </w:tcMar>
            <w:vAlign w:val="center"/>
          </w:tcPr>
          <w:p w14:paraId="151AC290" w14:textId="77777777" w:rsidR="005172ED" w:rsidRPr="00590F7D" w:rsidRDefault="005172ED">
            <w:pPr>
              <w:pStyle w:val="TableText0"/>
              <w:spacing w:line="276" w:lineRule="auto"/>
              <w:jc w:val="center"/>
              <w:rPr>
                <w:szCs w:val="20"/>
              </w:rPr>
            </w:pPr>
            <w:r w:rsidRPr="00590F7D">
              <w:rPr>
                <w:szCs w:val="20"/>
              </w:rPr>
              <w:t>24 (25.8)</w:t>
            </w:r>
          </w:p>
        </w:tc>
        <w:tc>
          <w:tcPr>
            <w:tcW w:w="1134" w:type="dxa"/>
            <w:tcMar>
              <w:left w:w="28" w:type="dxa"/>
              <w:right w:w="28" w:type="dxa"/>
            </w:tcMar>
            <w:vAlign w:val="center"/>
          </w:tcPr>
          <w:p w14:paraId="3EA6D738" w14:textId="77777777" w:rsidR="005172ED" w:rsidRPr="00590F7D" w:rsidRDefault="005172ED">
            <w:pPr>
              <w:pStyle w:val="TableText0"/>
              <w:spacing w:line="276" w:lineRule="auto"/>
              <w:jc w:val="center"/>
              <w:rPr>
                <w:szCs w:val="20"/>
              </w:rPr>
            </w:pPr>
            <w:r w:rsidRPr="00590F7D">
              <w:rPr>
                <w:szCs w:val="20"/>
              </w:rPr>
              <w:t>35 (17.2)</w:t>
            </w:r>
          </w:p>
        </w:tc>
        <w:tc>
          <w:tcPr>
            <w:tcW w:w="1134" w:type="dxa"/>
            <w:tcMar>
              <w:left w:w="28" w:type="dxa"/>
              <w:right w:w="28" w:type="dxa"/>
            </w:tcMar>
            <w:vAlign w:val="center"/>
          </w:tcPr>
          <w:p w14:paraId="219B4F12" w14:textId="77777777" w:rsidR="005172ED" w:rsidRPr="00590F7D" w:rsidRDefault="005172ED">
            <w:pPr>
              <w:pStyle w:val="TableText0"/>
              <w:spacing w:line="276" w:lineRule="auto"/>
              <w:jc w:val="center"/>
              <w:rPr>
                <w:szCs w:val="20"/>
              </w:rPr>
            </w:pPr>
            <w:r w:rsidRPr="00590F7D">
              <w:rPr>
                <w:szCs w:val="20"/>
              </w:rPr>
              <w:t>54 (24.0)</w:t>
            </w:r>
          </w:p>
        </w:tc>
        <w:tc>
          <w:tcPr>
            <w:tcW w:w="1134" w:type="dxa"/>
            <w:tcMar>
              <w:left w:w="28" w:type="dxa"/>
              <w:right w:w="28" w:type="dxa"/>
            </w:tcMar>
            <w:vAlign w:val="center"/>
          </w:tcPr>
          <w:p w14:paraId="5E352334" w14:textId="77777777" w:rsidR="005172ED" w:rsidRPr="00590F7D" w:rsidRDefault="005172ED">
            <w:pPr>
              <w:pStyle w:val="TableText0"/>
              <w:spacing w:line="276" w:lineRule="auto"/>
              <w:jc w:val="center"/>
              <w:rPr>
                <w:szCs w:val="20"/>
              </w:rPr>
            </w:pPr>
            <w:r w:rsidRPr="00590F7D">
              <w:rPr>
                <w:szCs w:val="20"/>
              </w:rPr>
              <w:t>41 (18.5)</w:t>
            </w:r>
          </w:p>
        </w:tc>
      </w:tr>
      <w:tr w:rsidR="007237A5" w:rsidRPr="00D86D87" w14:paraId="026F2CC5" w14:textId="77777777" w:rsidTr="00817CD4">
        <w:tc>
          <w:tcPr>
            <w:tcW w:w="2972" w:type="dxa"/>
            <w:tcMar>
              <w:left w:w="28" w:type="dxa"/>
              <w:right w:w="28" w:type="dxa"/>
            </w:tcMar>
            <w:vAlign w:val="center"/>
          </w:tcPr>
          <w:p w14:paraId="54616625" w14:textId="77777777" w:rsidR="005172ED" w:rsidRDefault="005172ED">
            <w:pPr>
              <w:pStyle w:val="TableText0"/>
            </w:pPr>
            <w:r>
              <w:t>Any severe ocular TEAE</w:t>
            </w:r>
            <w:r>
              <w:rPr>
                <w:vertAlign w:val="superscript"/>
              </w:rPr>
              <w:t>a</w:t>
            </w:r>
            <w:r>
              <w:t xml:space="preserve"> in study eye, </w:t>
            </w:r>
          </w:p>
          <w:p w14:paraId="37987441" w14:textId="77777777" w:rsidR="005172ED" w:rsidRDefault="005172ED">
            <w:pPr>
              <w:pStyle w:val="TableText0"/>
            </w:pPr>
            <w:r>
              <w:t>n (%)</w:t>
            </w:r>
          </w:p>
        </w:tc>
        <w:tc>
          <w:tcPr>
            <w:tcW w:w="1276" w:type="dxa"/>
            <w:tcMar>
              <w:left w:w="28" w:type="dxa"/>
              <w:right w:w="28" w:type="dxa"/>
            </w:tcMar>
            <w:vAlign w:val="center"/>
          </w:tcPr>
          <w:p w14:paraId="6EB0C125" w14:textId="77777777" w:rsidR="005172ED" w:rsidRPr="00590F7D" w:rsidRDefault="005172ED">
            <w:pPr>
              <w:pStyle w:val="TableText0"/>
              <w:jc w:val="center"/>
              <w:rPr>
                <w:szCs w:val="20"/>
              </w:rPr>
            </w:pPr>
            <w:r w:rsidRPr="00590F7D">
              <w:rPr>
                <w:szCs w:val="20"/>
              </w:rPr>
              <w:t>7 (7.3)</w:t>
            </w:r>
          </w:p>
        </w:tc>
        <w:tc>
          <w:tcPr>
            <w:tcW w:w="1276" w:type="dxa"/>
            <w:tcMar>
              <w:left w:w="28" w:type="dxa"/>
              <w:right w:w="28" w:type="dxa"/>
            </w:tcMar>
            <w:vAlign w:val="center"/>
          </w:tcPr>
          <w:p w14:paraId="0DEE98FD" w14:textId="77777777" w:rsidR="005172ED" w:rsidRPr="00590F7D" w:rsidRDefault="005172ED">
            <w:pPr>
              <w:pStyle w:val="TableText0"/>
              <w:jc w:val="center"/>
              <w:rPr>
                <w:szCs w:val="20"/>
              </w:rPr>
            </w:pPr>
            <w:r w:rsidRPr="00590F7D">
              <w:rPr>
                <w:szCs w:val="20"/>
              </w:rPr>
              <w:t>3 (3.2)</w:t>
            </w:r>
          </w:p>
        </w:tc>
        <w:tc>
          <w:tcPr>
            <w:tcW w:w="1134" w:type="dxa"/>
            <w:tcMar>
              <w:left w:w="28" w:type="dxa"/>
              <w:right w:w="28" w:type="dxa"/>
            </w:tcMar>
            <w:vAlign w:val="center"/>
          </w:tcPr>
          <w:p w14:paraId="156FCECC" w14:textId="77777777" w:rsidR="005172ED" w:rsidRPr="00590F7D" w:rsidRDefault="005172ED">
            <w:pPr>
              <w:pStyle w:val="TableText0"/>
              <w:jc w:val="center"/>
              <w:rPr>
                <w:szCs w:val="20"/>
              </w:rPr>
            </w:pPr>
            <w:r w:rsidRPr="00590F7D">
              <w:rPr>
                <w:szCs w:val="20"/>
              </w:rPr>
              <w:t>2 (1.0)</w:t>
            </w:r>
          </w:p>
        </w:tc>
        <w:tc>
          <w:tcPr>
            <w:tcW w:w="1134" w:type="dxa"/>
            <w:tcMar>
              <w:left w:w="28" w:type="dxa"/>
              <w:right w:w="28" w:type="dxa"/>
            </w:tcMar>
            <w:vAlign w:val="center"/>
          </w:tcPr>
          <w:p w14:paraId="7D5D1404" w14:textId="77777777" w:rsidR="005172ED" w:rsidRPr="00590F7D" w:rsidRDefault="005172ED">
            <w:pPr>
              <w:pStyle w:val="TableText0"/>
              <w:jc w:val="center"/>
              <w:rPr>
                <w:szCs w:val="20"/>
              </w:rPr>
            </w:pPr>
            <w:r w:rsidRPr="00590F7D">
              <w:rPr>
                <w:szCs w:val="20"/>
              </w:rPr>
              <w:t>11 (4.9)</w:t>
            </w:r>
          </w:p>
        </w:tc>
        <w:tc>
          <w:tcPr>
            <w:tcW w:w="1134" w:type="dxa"/>
            <w:tcMar>
              <w:left w:w="28" w:type="dxa"/>
              <w:right w:w="28" w:type="dxa"/>
            </w:tcMar>
            <w:vAlign w:val="center"/>
          </w:tcPr>
          <w:p w14:paraId="76D5C839" w14:textId="77777777" w:rsidR="005172ED" w:rsidRPr="00590F7D" w:rsidRDefault="005172ED">
            <w:pPr>
              <w:pStyle w:val="TableText0"/>
              <w:jc w:val="center"/>
              <w:rPr>
                <w:szCs w:val="20"/>
              </w:rPr>
            </w:pPr>
            <w:r w:rsidRPr="00590F7D">
              <w:rPr>
                <w:szCs w:val="20"/>
              </w:rPr>
              <w:t>2 (0.9)</w:t>
            </w:r>
          </w:p>
        </w:tc>
      </w:tr>
      <w:tr w:rsidR="007237A5" w:rsidRPr="00D86D87" w14:paraId="0CDA9B81" w14:textId="77777777" w:rsidTr="00817CD4">
        <w:tc>
          <w:tcPr>
            <w:tcW w:w="2972" w:type="dxa"/>
            <w:tcMar>
              <w:left w:w="28" w:type="dxa"/>
              <w:right w:w="28" w:type="dxa"/>
            </w:tcMar>
            <w:vAlign w:val="center"/>
          </w:tcPr>
          <w:p w14:paraId="7E1530FE" w14:textId="77777777" w:rsidR="005172ED" w:rsidRDefault="005172ED">
            <w:pPr>
              <w:pStyle w:val="TableText0"/>
            </w:pPr>
            <w:r>
              <w:t>Any TEAE leading to study drug discontinuation, n (%)</w:t>
            </w:r>
          </w:p>
        </w:tc>
        <w:tc>
          <w:tcPr>
            <w:tcW w:w="1276" w:type="dxa"/>
            <w:tcMar>
              <w:left w:w="28" w:type="dxa"/>
              <w:right w:w="28" w:type="dxa"/>
            </w:tcMar>
            <w:vAlign w:val="center"/>
          </w:tcPr>
          <w:p w14:paraId="0E057FA8" w14:textId="77777777" w:rsidR="005172ED" w:rsidRPr="00590F7D" w:rsidRDefault="005172ED">
            <w:pPr>
              <w:pStyle w:val="TableText0"/>
              <w:jc w:val="center"/>
              <w:rPr>
                <w:szCs w:val="20"/>
              </w:rPr>
            </w:pPr>
            <w:r w:rsidRPr="00612246">
              <w:t xml:space="preserve">3 (3.1) </w:t>
            </w:r>
          </w:p>
        </w:tc>
        <w:tc>
          <w:tcPr>
            <w:tcW w:w="1276" w:type="dxa"/>
            <w:tcMar>
              <w:left w:w="28" w:type="dxa"/>
              <w:right w:w="28" w:type="dxa"/>
            </w:tcMar>
            <w:vAlign w:val="center"/>
          </w:tcPr>
          <w:p w14:paraId="03FF127F" w14:textId="77777777" w:rsidR="005172ED" w:rsidRPr="00590F7D" w:rsidRDefault="005172ED">
            <w:pPr>
              <w:pStyle w:val="TableText0"/>
              <w:jc w:val="center"/>
              <w:rPr>
                <w:szCs w:val="20"/>
              </w:rPr>
            </w:pPr>
            <w:r w:rsidRPr="00612246">
              <w:t xml:space="preserve">2 (2.2) </w:t>
            </w:r>
          </w:p>
        </w:tc>
        <w:tc>
          <w:tcPr>
            <w:tcW w:w="1134" w:type="dxa"/>
            <w:tcMar>
              <w:left w:w="28" w:type="dxa"/>
              <w:right w:w="28" w:type="dxa"/>
            </w:tcMar>
            <w:vAlign w:val="center"/>
          </w:tcPr>
          <w:p w14:paraId="6B754A08" w14:textId="77777777" w:rsidR="005172ED" w:rsidRPr="00590F7D" w:rsidRDefault="005172ED">
            <w:pPr>
              <w:pStyle w:val="TableText0"/>
              <w:jc w:val="center"/>
              <w:rPr>
                <w:szCs w:val="20"/>
              </w:rPr>
            </w:pPr>
            <w:r w:rsidRPr="00612246">
              <w:t xml:space="preserve">7 (3.4) </w:t>
            </w:r>
          </w:p>
        </w:tc>
        <w:tc>
          <w:tcPr>
            <w:tcW w:w="1134" w:type="dxa"/>
            <w:tcMar>
              <w:left w:w="28" w:type="dxa"/>
              <w:right w:w="28" w:type="dxa"/>
            </w:tcMar>
            <w:vAlign w:val="center"/>
          </w:tcPr>
          <w:p w14:paraId="0DA60215" w14:textId="77777777" w:rsidR="005172ED" w:rsidRPr="00590F7D" w:rsidRDefault="005172ED">
            <w:pPr>
              <w:pStyle w:val="TableText0"/>
              <w:jc w:val="center"/>
              <w:rPr>
                <w:szCs w:val="20"/>
              </w:rPr>
            </w:pPr>
            <w:r w:rsidRPr="00612246">
              <w:t xml:space="preserve">11 (4.9) </w:t>
            </w:r>
          </w:p>
        </w:tc>
        <w:tc>
          <w:tcPr>
            <w:tcW w:w="1134" w:type="dxa"/>
            <w:tcMar>
              <w:left w:w="28" w:type="dxa"/>
              <w:right w:w="28" w:type="dxa"/>
            </w:tcMar>
            <w:vAlign w:val="center"/>
          </w:tcPr>
          <w:p w14:paraId="34AA85C5" w14:textId="77777777" w:rsidR="005172ED" w:rsidRPr="00590F7D" w:rsidRDefault="005172ED">
            <w:pPr>
              <w:pStyle w:val="TableText0"/>
              <w:jc w:val="center"/>
              <w:rPr>
                <w:szCs w:val="20"/>
              </w:rPr>
            </w:pPr>
            <w:r w:rsidRPr="00612246">
              <w:t xml:space="preserve">9 (4.1) </w:t>
            </w:r>
          </w:p>
        </w:tc>
      </w:tr>
      <w:tr w:rsidR="007237A5" w:rsidRPr="00D86D87" w14:paraId="723B4863" w14:textId="77777777" w:rsidTr="00817CD4">
        <w:tc>
          <w:tcPr>
            <w:tcW w:w="2972" w:type="dxa"/>
            <w:tcMar>
              <w:left w:w="28" w:type="dxa"/>
              <w:right w:w="28" w:type="dxa"/>
            </w:tcMar>
            <w:vAlign w:val="center"/>
          </w:tcPr>
          <w:p w14:paraId="398C5B89" w14:textId="77777777" w:rsidR="005172ED" w:rsidRDefault="005172ED">
            <w:pPr>
              <w:pStyle w:val="TableText0"/>
            </w:pPr>
            <w:r>
              <w:t>Ocular TEAE leading to study drug discontinuation (study eye), n (%)</w:t>
            </w:r>
          </w:p>
        </w:tc>
        <w:tc>
          <w:tcPr>
            <w:tcW w:w="1276" w:type="dxa"/>
            <w:tcMar>
              <w:left w:w="28" w:type="dxa"/>
              <w:right w:w="28" w:type="dxa"/>
            </w:tcMar>
            <w:vAlign w:val="center"/>
          </w:tcPr>
          <w:p w14:paraId="58A06F09" w14:textId="77777777" w:rsidR="005172ED" w:rsidRPr="00590F7D" w:rsidRDefault="005172ED">
            <w:pPr>
              <w:pStyle w:val="TableText0"/>
              <w:jc w:val="center"/>
              <w:rPr>
                <w:szCs w:val="20"/>
              </w:rPr>
            </w:pPr>
            <w:r w:rsidRPr="00590F7D">
              <w:rPr>
                <w:szCs w:val="20"/>
              </w:rPr>
              <w:t>1 (1.0)</w:t>
            </w:r>
          </w:p>
        </w:tc>
        <w:tc>
          <w:tcPr>
            <w:tcW w:w="1276" w:type="dxa"/>
            <w:tcMar>
              <w:left w:w="28" w:type="dxa"/>
              <w:right w:w="28" w:type="dxa"/>
            </w:tcMar>
            <w:vAlign w:val="center"/>
          </w:tcPr>
          <w:p w14:paraId="1DD08510" w14:textId="77777777" w:rsidR="005172ED" w:rsidRPr="00590F7D" w:rsidRDefault="005172ED">
            <w:pPr>
              <w:pStyle w:val="TableText0"/>
              <w:jc w:val="center"/>
              <w:rPr>
                <w:szCs w:val="20"/>
              </w:rPr>
            </w:pPr>
            <w:r w:rsidRPr="00590F7D">
              <w:rPr>
                <w:szCs w:val="20"/>
              </w:rPr>
              <w:t>0</w:t>
            </w:r>
          </w:p>
        </w:tc>
        <w:tc>
          <w:tcPr>
            <w:tcW w:w="1134" w:type="dxa"/>
            <w:tcMar>
              <w:left w:w="28" w:type="dxa"/>
              <w:right w:w="28" w:type="dxa"/>
            </w:tcMar>
            <w:vAlign w:val="center"/>
          </w:tcPr>
          <w:p w14:paraId="638D73A7" w14:textId="77777777" w:rsidR="005172ED" w:rsidRPr="00590F7D" w:rsidRDefault="005172ED">
            <w:pPr>
              <w:pStyle w:val="TableText0"/>
              <w:jc w:val="center"/>
              <w:rPr>
                <w:szCs w:val="20"/>
              </w:rPr>
            </w:pPr>
            <w:r w:rsidRPr="00590F7D">
              <w:rPr>
                <w:szCs w:val="20"/>
              </w:rPr>
              <w:t>0</w:t>
            </w:r>
          </w:p>
        </w:tc>
        <w:tc>
          <w:tcPr>
            <w:tcW w:w="1134" w:type="dxa"/>
            <w:tcMar>
              <w:left w:w="28" w:type="dxa"/>
              <w:right w:w="28" w:type="dxa"/>
            </w:tcMar>
            <w:vAlign w:val="center"/>
          </w:tcPr>
          <w:p w14:paraId="449ABA64" w14:textId="77777777" w:rsidR="005172ED" w:rsidRPr="00590F7D" w:rsidRDefault="005172ED">
            <w:pPr>
              <w:pStyle w:val="TableText0"/>
              <w:jc w:val="center"/>
              <w:rPr>
                <w:szCs w:val="20"/>
              </w:rPr>
            </w:pPr>
            <w:r w:rsidRPr="00590F7D">
              <w:rPr>
                <w:szCs w:val="20"/>
              </w:rPr>
              <w:t>4 (1.8)</w:t>
            </w:r>
          </w:p>
        </w:tc>
        <w:tc>
          <w:tcPr>
            <w:tcW w:w="1134" w:type="dxa"/>
            <w:tcMar>
              <w:left w:w="28" w:type="dxa"/>
              <w:right w:w="28" w:type="dxa"/>
            </w:tcMar>
            <w:vAlign w:val="center"/>
          </w:tcPr>
          <w:p w14:paraId="7EED574E" w14:textId="77777777" w:rsidR="005172ED" w:rsidRPr="00590F7D" w:rsidRDefault="005172ED">
            <w:pPr>
              <w:pStyle w:val="TableText0"/>
              <w:jc w:val="center"/>
              <w:rPr>
                <w:szCs w:val="20"/>
              </w:rPr>
            </w:pPr>
            <w:r w:rsidRPr="00590F7D">
              <w:rPr>
                <w:szCs w:val="20"/>
              </w:rPr>
              <w:t>0</w:t>
            </w:r>
          </w:p>
        </w:tc>
      </w:tr>
      <w:tr w:rsidR="007237A5" w:rsidRPr="00D86D87" w14:paraId="5A781250" w14:textId="77777777" w:rsidTr="00817CD4">
        <w:tc>
          <w:tcPr>
            <w:tcW w:w="2972" w:type="dxa"/>
            <w:tcMar>
              <w:left w:w="28" w:type="dxa"/>
              <w:right w:w="28" w:type="dxa"/>
            </w:tcMar>
            <w:vAlign w:val="center"/>
          </w:tcPr>
          <w:p w14:paraId="6755044F" w14:textId="77777777" w:rsidR="005172ED" w:rsidRDefault="005172ED">
            <w:pPr>
              <w:pStyle w:val="TableText0"/>
            </w:pPr>
            <w:r>
              <w:t>TEAE leading to death, n (%)</w:t>
            </w:r>
          </w:p>
        </w:tc>
        <w:tc>
          <w:tcPr>
            <w:tcW w:w="1276" w:type="dxa"/>
            <w:tcMar>
              <w:left w:w="28" w:type="dxa"/>
              <w:right w:w="28" w:type="dxa"/>
            </w:tcMar>
            <w:vAlign w:val="center"/>
          </w:tcPr>
          <w:p w14:paraId="43933EC3" w14:textId="77777777" w:rsidR="005172ED" w:rsidRPr="00590F7D" w:rsidRDefault="005172ED">
            <w:pPr>
              <w:pStyle w:val="TableText0"/>
              <w:jc w:val="center"/>
              <w:rPr>
                <w:szCs w:val="20"/>
              </w:rPr>
            </w:pPr>
            <w:r w:rsidRPr="00590F7D">
              <w:rPr>
                <w:szCs w:val="20"/>
              </w:rPr>
              <w:t>1 (1.0)</w:t>
            </w:r>
          </w:p>
        </w:tc>
        <w:tc>
          <w:tcPr>
            <w:tcW w:w="1276" w:type="dxa"/>
            <w:tcMar>
              <w:left w:w="28" w:type="dxa"/>
              <w:right w:w="28" w:type="dxa"/>
            </w:tcMar>
            <w:vAlign w:val="center"/>
          </w:tcPr>
          <w:p w14:paraId="02DBA68B" w14:textId="77777777" w:rsidR="005172ED" w:rsidRPr="00590F7D" w:rsidRDefault="005172ED">
            <w:pPr>
              <w:pStyle w:val="TableText0"/>
              <w:jc w:val="center"/>
              <w:rPr>
                <w:szCs w:val="20"/>
              </w:rPr>
            </w:pPr>
            <w:r w:rsidRPr="00590F7D">
              <w:rPr>
                <w:szCs w:val="20"/>
              </w:rPr>
              <w:t>1 (1.1)</w:t>
            </w:r>
          </w:p>
        </w:tc>
        <w:tc>
          <w:tcPr>
            <w:tcW w:w="1134" w:type="dxa"/>
            <w:tcMar>
              <w:left w:w="28" w:type="dxa"/>
              <w:right w:w="28" w:type="dxa"/>
            </w:tcMar>
            <w:vAlign w:val="center"/>
          </w:tcPr>
          <w:p w14:paraId="3F90E4F5" w14:textId="77777777" w:rsidR="005172ED" w:rsidRPr="00590F7D" w:rsidRDefault="005172ED">
            <w:pPr>
              <w:pStyle w:val="TableText0"/>
              <w:jc w:val="center"/>
              <w:rPr>
                <w:szCs w:val="20"/>
              </w:rPr>
            </w:pPr>
            <w:r w:rsidRPr="00590F7D">
              <w:rPr>
                <w:szCs w:val="20"/>
              </w:rPr>
              <w:t>5 (2.5)</w:t>
            </w:r>
          </w:p>
        </w:tc>
        <w:tc>
          <w:tcPr>
            <w:tcW w:w="1134" w:type="dxa"/>
            <w:tcMar>
              <w:left w:w="28" w:type="dxa"/>
              <w:right w:w="28" w:type="dxa"/>
            </w:tcMar>
            <w:vAlign w:val="center"/>
          </w:tcPr>
          <w:p w14:paraId="34AC6944" w14:textId="77777777" w:rsidR="005172ED" w:rsidRPr="00590F7D" w:rsidRDefault="005172ED">
            <w:pPr>
              <w:pStyle w:val="TableText0"/>
              <w:jc w:val="center"/>
              <w:rPr>
                <w:szCs w:val="20"/>
              </w:rPr>
            </w:pPr>
            <w:r w:rsidRPr="00590F7D">
              <w:rPr>
                <w:szCs w:val="20"/>
              </w:rPr>
              <w:t>4 (1.8)</w:t>
            </w:r>
          </w:p>
        </w:tc>
        <w:tc>
          <w:tcPr>
            <w:tcW w:w="1134" w:type="dxa"/>
            <w:tcMar>
              <w:left w:w="28" w:type="dxa"/>
              <w:right w:w="28" w:type="dxa"/>
            </w:tcMar>
            <w:vAlign w:val="center"/>
          </w:tcPr>
          <w:p w14:paraId="554F3383" w14:textId="77777777" w:rsidR="005172ED" w:rsidRPr="00590F7D" w:rsidRDefault="005172ED">
            <w:pPr>
              <w:pStyle w:val="TableText0"/>
              <w:jc w:val="center"/>
              <w:rPr>
                <w:szCs w:val="20"/>
              </w:rPr>
            </w:pPr>
            <w:r w:rsidRPr="00590F7D">
              <w:rPr>
                <w:szCs w:val="20"/>
              </w:rPr>
              <w:t>5 (2.3)</w:t>
            </w:r>
          </w:p>
        </w:tc>
      </w:tr>
    </w:tbl>
    <w:p w14:paraId="177ABAB4" w14:textId="77777777" w:rsidR="00CF3120" w:rsidRDefault="00432FF5">
      <w:pPr>
        <w:pStyle w:val="TableFigureFooter"/>
      </w:pPr>
      <w:r>
        <w:t>Source: Table 19, p83 of the GATHER2 CSR.</w:t>
      </w:r>
    </w:p>
    <w:p w14:paraId="4B636C37" w14:textId="3C6C6711" w:rsidR="005172ED" w:rsidRDefault="005172ED" w:rsidP="005172ED">
      <w:pPr>
        <w:pStyle w:val="TableFigureFooter"/>
      </w:pPr>
      <w:r>
        <w:t>ACP = avacincaptad pegol; EM = Every month; EOM = Every other month; mg = Milligram; TEAE = Treatment</w:t>
      </w:r>
      <w:r w:rsidR="009B60A6">
        <w:noBreakHyphen/>
      </w:r>
      <w:r>
        <w:t>emergent adverse event.</w:t>
      </w:r>
    </w:p>
    <w:p w14:paraId="1F5B17AF" w14:textId="5982BB8C" w:rsidR="00B32B03" w:rsidRPr="00B32B03" w:rsidRDefault="005172ED" w:rsidP="005172ED">
      <w:pPr>
        <w:pStyle w:val="TableFigureFooter"/>
      </w:pPr>
      <w:r>
        <w:rPr>
          <w:vertAlign w:val="superscript"/>
        </w:rPr>
        <w:t>a</w:t>
      </w:r>
      <w:r>
        <w:t xml:space="preserve"> Severe AE refers to incapacitating AE that results in loss of ability to work or engage in usual activity</w:t>
      </w:r>
    </w:p>
    <w:p w14:paraId="4786FB8E" w14:textId="08A6F283" w:rsidR="00577F03" w:rsidRPr="00E66F18" w:rsidRDefault="00865B2B" w:rsidP="00D86231">
      <w:pPr>
        <w:pStyle w:val="3-BodyText"/>
      </w:pPr>
      <w:bookmarkStart w:id="47" w:name="_Hlk218612017"/>
      <w:r>
        <w:t>The s</w:t>
      </w:r>
      <w:r w:rsidRPr="00E66F18">
        <w:t xml:space="preserve">afety evaluation </w:t>
      </w:r>
      <w:r>
        <w:t>over a</w:t>
      </w:r>
      <w:r w:rsidRPr="00E66F18">
        <w:t xml:space="preserve"> 24</w:t>
      </w:r>
      <w:r w:rsidR="009B60A6">
        <w:noBreakHyphen/>
      </w:r>
      <w:r w:rsidRPr="00E66F18">
        <w:t>month treatment period in GATHER2</w:t>
      </w:r>
      <w:r w:rsidR="00CA3B05">
        <w:t xml:space="preserve"> </w:t>
      </w:r>
      <w:r w:rsidR="00C46E6E">
        <w:t xml:space="preserve">found </w:t>
      </w:r>
      <w:r>
        <w:t>ACP patients experienced more frequent s</w:t>
      </w:r>
      <w:r w:rsidRPr="00E66F18">
        <w:t>erious TEAE</w:t>
      </w:r>
      <w:r>
        <w:t>s</w:t>
      </w:r>
      <w:r w:rsidRPr="00E66F18">
        <w:t xml:space="preserve"> </w:t>
      </w:r>
      <w:r>
        <w:t>and</w:t>
      </w:r>
      <w:r w:rsidRPr="00E66F18">
        <w:t xml:space="preserve"> severe ocular TEAE</w:t>
      </w:r>
      <w:r>
        <w:t>s</w:t>
      </w:r>
      <w:r w:rsidRPr="00E66F18">
        <w:t xml:space="preserve"> </w:t>
      </w:r>
      <w:r>
        <w:t>in the study,</w:t>
      </w:r>
      <w:r w:rsidRPr="00E66F18">
        <w:t xml:space="preserve"> compared to </w:t>
      </w:r>
      <w:r>
        <w:t>patients</w:t>
      </w:r>
      <w:r w:rsidRPr="00E66F18">
        <w:t xml:space="preserve"> </w:t>
      </w:r>
      <w:r>
        <w:t>receiving Sham treatment</w:t>
      </w:r>
      <w:r w:rsidRPr="00E66F18">
        <w:t xml:space="preserve">. </w:t>
      </w:r>
      <w:r>
        <w:t>Four (1.8%) ACP patients had oc</w:t>
      </w:r>
      <w:r w:rsidRPr="00E66F18">
        <w:t>ular TEAE leading to study drug discontinuation</w:t>
      </w:r>
      <w:r w:rsidRPr="00743564">
        <w:t xml:space="preserve"> </w:t>
      </w:r>
      <w:r>
        <w:t>whereas this did not occur in the Sham treatment group</w:t>
      </w:r>
      <w:r w:rsidR="00577F03" w:rsidRPr="00E66F18">
        <w:t>.</w:t>
      </w:r>
    </w:p>
    <w:bookmarkEnd w:id="47"/>
    <w:p w14:paraId="424F0FB8" w14:textId="45D289AB" w:rsidR="00577F03" w:rsidRPr="00E66F18" w:rsidRDefault="00577F03" w:rsidP="00D86231">
      <w:pPr>
        <w:pStyle w:val="3-BodyText"/>
      </w:pPr>
      <w:r w:rsidRPr="00E66F18">
        <w:t xml:space="preserve">Comparing safety in the ACP 2 mg EM with EOM treatment groups, </w:t>
      </w:r>
      <w:r w:rsidR="002268EB" w:rsidRPr="00E66F18">
        <w:t>EM patients</w:t>
      </w:r>
      <w:r w:rsidRPr="00E66F18">
        <w:t xml:space="preserve"> experienced slightly more frequent injection related ocular TEAE</w:t>
      </w:r>
      <w:r w:rsidR="001A1005">
        <w:t>s and more frequent</w:t>
      </w:r>
      <w:r w:rsidRPr="00E66F18">
        <w:t xml:space="preserve"> study drug related ocular TEAE</w:t>
      </w:r>
      <w:r w:rsidR="001A1005">
        <w:t>s</w:t>
      </w:r>
      <w:r w:rsidRPr="00E66F18">
        <w:t xml:space="preserve">, compared to </w:t>
      </w:r>
      <w:r w:rsidR="002268EB" w:rsidRPr="00E66F18">
        <w:t>EOM patients</w:t>
      </w:r>
      <w:r w:rsidRPr="00E66F18">
        <w:t xml:space="preserve">. Serious ocular TEAE </w:t>
      </w:r>
      <w:r w:rsidR="000257CC">
        <w:t xml:space="preserve">and </w:t>
      </w:r>
      <w:r w:rsidR="002268EB" w:rsidRPr="00E66F18">
        <w:t xml:space="preserve">severe ocular TEAE in </w:t>
      </w:r>
      <w:r w:rsidR="000257CC">
        <w:t xml:space="preserve">the </w:t>
      </w:r>
      <w:r w:rsidR="002268EB" w:rsidRPr="00E66F18">
        <w:t xml:space="preserve">study eye </w:t>
      </w:r>
      <w:r w:rsidRPr="00E66F18">
        <w:t xml:space="preserve">occurred </w:t>
      </w:r>
      <w:r w:rsidR="00525521" w:rsidRPr="00E66F18">
        <w:t xml:space="preserve">more frequently </w:t>
      </w:r>
      <w:r w:rsidRPr="00E66F18">
        <w:t xml:space="preserve">in </w:t>
      </w:r>
      <w:r w:rsidR="00525521" w:rsidRPr="00E66F18">
        <w:t>EM patients compared to EOM patients</w:t>
      </w:r>
      <w:r w:rsidRPr="00E66F18">
        <w:t xml:space="preserve">. One </w:t>
      </w:r>
      <w:r w:rsidR="002268EB" w:rsidRPr="00E66F18">
        <w:t xml:space="preserve">EM </w:t>
      </w:r>
      <w:r w:rsidRPr="00E66F18">
        <w:t xml:space="preserve">patient </w:t>
      </w:r>
      <w:r w:rsidR="002268EB" w:rsidRPr="00E66F18">
        <w:t>experienced</w:t>
      </w:r>
      <w:r w:rsidRPr="00E66F18">
        <w:t xml:space="preserve"> ocular TEAE in the study eye leading to discontinuation of study drug compared to none in the EOM </w:t>
      </w:r>
      <w:r w:rsidR="002268EB" w:rsidRPr="00E66F18">
        <w:t>patients</w:t>
      </w:r>
      <w:r w:rsidRPr="00E66F18">
        <w:t>.</w:t>
      </w:r>
    </w:p>
    <w:p w14:paraId="4FFCF183" w14:textId="7A36161E" w:rsidR="00C72D26" w:rsidRPr="004452FC" w:rsidRDefault="00E66F18" w:rsidP="00D86231">
      <w:pPr>
        <w:pStyle w:val="3-BodyText"/>
      </w:pPr>
      <w:r>
        <w:t>I</w:t>
      </w:r>
      <w:r w:rsidR="00C72D26">
        <w:t xml:space="preserve">n GATHER2, </w:t>
      </w:r>
      <w:bookmarkStart w:id="48" w:name="_Hlk219122979"/>
      <w:bookmarkStart w:id="49" w:name="_Hlk218612470"/>
      <w:r w:rsidR="001A1005">
        <w:t>patients receiving ACP 2 mg EM treatment experienced</w:t>
      </w:r>
      <w:r w:rsidR="001A1005" w:rsidRPr="00C72D26">
        <w:t xml:space="preserve"> higher incidences </w:t>
      </w:r>
      <w:r w:rsidR="001A1005">
        <w:t>of</w:t>
      </w:r>
      <w:r w:rsidR="001A1005" w:rsidRPr="00C72D26">
        <w:t xml:space="preserve"> CNV (16.7%</w:t>
      </w:r>
      <w:r w:rsidR="001A1005">
        <w:t xml:space="preserve"> with EM</w:t>
      </w:r>
      <w:r w:rsidR="001A1005" w:rsidRPr="00C72D26">
        <w:t xml:space="preserve"> vs 9.7%</w:t>
      </w:r>
      <w:r w:rsidR="001A1005" w:rsidRPr="006B538D">
        <w:t xml:space="preserve"> </w:t>
      </w:r>
      <w:r w:rsidR="001A1005">
        <w:t>with EOM</w:t>
      </w:r>
      <w:r w:rsidR="001A1005" w:rsidRPr="00C72D26">
        <w:t xml:space="preserve">), conjunctival hyperaemia (8.3% </w:t>
      </w:r>
      <w:r w:rsidR="001A1005">
        <w:t xml:space="preserve">with EM </w:t>
      </w:r>
      <w:r w:rsidR="001A1005" w:rsidRPr="00C72D26">
        <w:t>vs 4.3%</w:t>
      </w:r>
      <w:r w:rsidR="001A1005" w:rsidRPr="006B538D">
        <w:t xml:space="preserve"> </w:t>
      </w:r>
      <w:r w:rsidR="001A1005">
        <w:t>with EOM</w:t>
      </w:r>
      <w:r w:rsidR="001A1005" w:rsidRPr="00C72D26">
        <w:t>), cataract (9.4%</w:t>
      </w:r>
      <w:r w:rsidR="001A1005" w:rsidRPr="006B538D">
        <w:t xml:space="preserve"> </w:t>
      </w:r>
      <w:r w:rsidR="001A1005">
        <w:t>with EM</w:t>
      </w:r>
      <w:r w:rsidR="001A1005" w:rsidRPr="00C72D26">
        <w:t xml:space="preserve"> vs 5.4%</w:t>
      </w:r>
      <w:r w:rsidR="001A1005" w:rsidRPr="006B538D">
        <w:t xml:space="preserve"> </w:t>
      </w:r>
      <w:r w:rsidR="001A1005">
        <w:t>with EOM</w:t>
      </w:r>
      <w:r w:rsidR="001A1005" w:rsidRPr="00C72D26">
        <w:t>), vitreous floaters (5.2%</w:t>
      </w:r>
      <w:r w:rsidR="001A1005" w:rsidRPr="006B538D">
        <w:t xml:space="preserve"> </w:t>
      </w:r>
      <w:r w:rsidR="001A1005">
        <w:t>with EM</w:t>
      </w:r>
      <w:r w:rsidR="001A1005" w:rsidRPr="00C72D26">
        <w:t xml:space="preserve"> vs 1.1%</w:t>
      </w:r>
      <w:r w:rsidR="001A1005" w:rsidRPr="006B538D">
        <w:t xml:space="preserve"> </w:t>
      </w:r>
      <w:r w:rsidR="001A1005">
        <w:t>with EOM</w:t>
      </w:r>
      <w:r w:rsidR="001A1005" w:rsidRPr="00C72D26">
        <w:t>), transiently reduced visual acuity (5.2%</w:t>
      </w:r>
      <w:r w:rsidR="001A1005" w:rsidRPr="006B538D">
        <w:t xml:space="preserve"> </w:t>
      </w:r>
      <w:r w:rsidR="001A1005">
        <w:t>with EM</w:t>
      </w:r>
      <w:r w:rsidR="001A1005" w:rsidRPr="00C72D26">
        <w:t xml:space="preserve"> vs 1.1%</w:t>
      </w:r>
      <w:r w:rsidR="001A1005" w:rsidRPr="006B538D">
        <w:t xml:space="preserve"> </w:t>
      </w:r>
      <w:r w:rsidR="001A1005">
        <w:t>with EOM</w:t>
      </w:r>
      <w:r w:rsidR="001A1005" w:rsidRPr="00C72D26">
        <w:t xml:space="preserve">), and AEs associated with procedural complications (5.2% </w:t>
      </w:r>
      <w:r w:rsidR="001A1005">
        <w:t xml:space="preserve">with EM </w:t>
      </w:r>
      <w:r w:rsidR="001A1005" w:rsidRPr="00C72D26">
        <w:t>vs 1.1%</w:t>
      </w:r>
      <w:r w:rsidR="001A1005" w:rsidRPr="006B538D">
        <w:t xml:space="preserve"> </w:t>
      </w:r>
      <w:r w:rsidR="001A1005">
        <w:t>with EOM</w:t>
      </w:r>
      <w:r w:rsidR="001A1005" w:rsidRPr="00C72D26">
        <w:t>),</w:t>
      </w:r>
      <w:r w:rsidR="001A1005">
        <w:t xml:space="preserve"> compared to EOM patients. Patient receiving EOM treatment experienced a higher incidence of </w:t>
      </w:r>
      <w:r w:rsidR="001A1005" w:rsidRPr="00C72D26">
        <w:t xml:space="preserve">retinal haemorrhage </w:t>
      </w:r>
      <w:r w:rsidR="001A1005">
        <w:t>(6.5%</w:t>
      </w:r>
      <w:r w:rsidR="001A1005" w:rsidRPr="006B538D">
        <w:t xml:space="preserve"> </w:t>
      </w:r>
      <w:r w:rsidR="001A1005">
        <w:t>with EOM vs 3.1%</w:t>
      </w:r>
      <w:r w:rsidR="001A1005" w:rsidRPr="006B538D">
        <w:t xml:space="preserve"> </w:t>
      </w:r>
      <w:r w:rsidR="001A1005">
        <w:t xml:space="preserve">with EM) and </w:t>
      </w:r>
      <w:r w:rsidR="001A1005" w:rsidRPr="004452FC">
        <w:t xml:space="preserve">reduced visual acuity (5.4% with EOM vs 1.0% with EM) compared to EM patients. </w:t>
      </w:r>
      <w:r w:rsidR="001A1005" w:rsidRPr="004452FC">
        <w:lastRenderedPageBreak/>
        <w:t>Overall, ACP 2 mg EM treatment was associated with slightly more frequent ocular TEAEs in the study eye compared to EOM treatment</w:t>
      </w:r>
      <w:bookmarkEnd w:id="48"/>
      <w:r w:rsidR="00C72D26" w:rsidRPr="004452FC">
        <w:t>.</w:t>
      </w:r>
      <w:bookmarkEnd w:id="49"/>
    </w:p>
    <w:p w14:paraId="7D1D0022" w14:textId="7095A692" w:rsidR="00DA60CA" w:rsidRPr="004452FC" w:rsidRDefault="001E1CE2" w:rsidP="00F64F0E">
      <w:pPr>
        <w:pStyle w:val="3-BodyText"/>
      </w:pPr>
      <w:r w:rsidRPr="004452FC">
        <w:t>In the ACP PI</w:t>
      </w:r>
      <w:r w:rsidR="009560E4" w:rsidRPr="004452FC">
        <w:t>,</w:t>
      </w:r>
      <w:r w:rsidR="00CA3B05" w:rsidRPr="004452FC">
        <w:t xml:space="preserve"> ACP treatment associated CNV (the term ‘neovascular</w:t>
      </w:r>
      <w:r w:rsidR="00C551E9">
        <w:t>’</w:t>
      </w:r>
      <w:r w:rsidR="00CA3B05" w:rsidRPr="004452FC">
        <w:t xml:space="preserve"> [wet] AMD is used in the PI) in the treated eye </w:t>
      </w:r>
      <w:r w:rsidR="00C551E9">
        <w:t xml:space="preserve">constitutes </w:t>
      </w:r>
      <w:r w:rsidR="00CA3B05" w:rsidRPr="004452FC">
        <w:t xml:space="preserve">a </w:t>
      </w:r>
      <w:r w:rsidR="00C551E9">
        <w:t xml:space="preserve">boxed </w:t>
      </w:r>
      <w:r w:rsidR="00CA3B05" w:rsidRPr="004452FC">
        <w:t>warning.</w:t>
      </w:r>
      <w:r w:rsidR="00D56B49" w:rsidRPr="004452FC">
        <w:t xml:space="preserve"> The safety profile of ACP in the PI is based on GATHER1 and GATHER2. Combining data from GATHER1 and GATHER2, ACP 2 mg IVT appeared to have a stronger association with the development of CNV in the treated eye during the first 12 months of treatment. However, both studies were of short duration and only short</w:t>
      </w:r>
      <w:r w:rsidR="009B60A6">
        <w:noBreakHyphen/>
      </w:r>
      <w:r w:rsidR="00D56B49" w:rsidRPr="004452FC">
        <w:t>term safety data were available for evaluation. ACP 2 mg EM treatment appeared to be associated with more frequent development of CNV in the treated eye compared to EOM treatment.</w:t>
      </w:r>
      <w:bookmarkStart w:id="50" w:name="_Hlk218615074"/>
    </w:p>
    <w:p w14:paraId="74ED413E" w14:textId="7EF1CBFA" w:rsidR="00D56B49" w:rsidRDefault="00D565E8" w:rsidP="00F64F0E">
      <w:pPr>
        <w:pStyle w:val="3-BodyText"/>
      </w:pPr>
      <w:r w:rsidRPr="004452FC">
        <w:t xml:space="preserve">Among the adverse events of special interests (AESIs) in GATHER2, patients in the ACP group experienced 6 times higher rate of IOP </w:t>
      </w:r>
      <w:r w:rsidRPr="004452FC">
        <w:rPr>
          <w:rFonts w:cstheme="minorHAnsi"/>
        </w:rPr>
        <w:t>≥</w:t>
      </w:r>
      <w:r w:rsidRPr="004452FC">
        <w:t xml:space="preserve"> 30 mmHg (12.4% in ACP vs 1.8% in Sham) and a higher rate of increased IOP requiring surgery (4.4% in ACP vs 0 in Sham), and 3 times higher rate of decreased/blurred vision (15.1% in ACP vs 5.0% in Sham</w:t>
      </w:r>
      <w:r w:rsidR="00383459" w:rsidRPr="004452FC">
        <w:t>)</w:t>
      </w:r>
      <w:r w:rsidRPr="004452FC">
        <w:t xml:space="preserve">. </w:t>
      </w:r>
    </w:p>
    <w:p w14:paraId="7D0906AB" w14:textId="6454E468" w:rsidR="003B54BE" w:rsidRPr="00C17763" w:rsidRDefault="00210720" w:rsidP="00F64F0E">
      <w:pPr>
        <w:pStyle w:val="3-BodyText"/>
        <w:rPr>
          <w:iCs/>
        </w:rPr>
      </w:pPr>
      <w:r w:rsidRPr="00C17763">
        <w:rPr>
          <w:iCs/>
        </w:rPr>
        <w:t xml:space="preserve">The PSCR noted the </w:t>
      </w:r>
      <w:r w:rsidR="00E34102" w:rsidRPr="00C17763">
        <w:rPr>
          <w:iCs/>
        </w:rPr>
        <w:t xml:space="preserve">findings of an observational study from the </w:t>
      </w:r>
      <w:r w:rsidR="00FC25E7" w:rsidRPr="00C17763">
        <w:rPr>
          <w:iCs/>
        </w:rPr>
        <w:t>American</w:t>
      </w:r>
      <w:r w:rsidR="00E34102" w:rsidRPr="00C17763">
        <w:rPr>
          <w:iCs/>
        </w:rPr>
        <w:t xml:space="preserve"> Academy of Op</w:t>
      </w:r>
      <w:r w:rsidR="007733B2" w:rsidRPr="00C17763">
        <w:rPr>
          <w:iCs/>
        </w:rPr>
        <w:t xml:space="preserve">hthalmology (AAO) Intelligent Research in Sight (IRIS) Registry </w:t>
      </w:r>
      <w:r w:rsidR="0085458C" w:rsidRPr="00C17763">
        <w:rPr>
          <w:iCs/>
        </w:rPr>
        <w:t xml:space="preserve">reported </w:t>
      </w:r>
      <w:r w:rsidR="00636161" w:rsidRPr="00C17763">
        <w:rPr>
          <w:iCs/>
        </w:rPr>
        <w:t xml:space="preserve">a lower percentage of patients developing CNV than reported in the </w:t>
      </w:r>
      <w:r w:rsidR="00833F4D" w:rsidRPr="00C17763">
        <w:rPr>
          <w:iCs/>
        </w:rPr>
        <w:t xml:space="preserve">clinical trials. </w:t>
      </w:r>
      <w:r w:rsidR="001E6C8F" w:rsidRPr="00C17763">
        <w:rPr>
          <w:iCs/>
        </w:rPr>
        <w:t xml:space="preserve">Inclusion was for patients aged </w:t>
      </w:r>
      <w:r w:rsidR="001E6C8F" w:rsidRPr="00C17763">
        <w:rPr>
          <w:rFonts w:cstheme="minorHAnsi"/>
          <w:iCs/>
        </w:rPr>
        <w:t>≥</w:t>
      </w:r>
      <w:r w:rsidR="001E6C8F" w:rsidRPr="00C17763">
        <w:rPr>
          <w:iCs/>
        </w:rPr>
        <w:t xml:space="preserve"> 50 years </w:t>
      </w:r>
      <w:r w:rsidR="00967918" w:rsidRPr="00C17763">
        <w:rPr>
          <w:iCs/>
        </w:rPr>
        <w:t>who had received their first ACP injection between 2023 and 2024</w:t>
      </w:r>
      <w:r w:rsidR="003153F8" w:rsidRPr="00C17763">
        <w:rPr>
          <w:iCs/>
        </w:rPr>
        <w:t xml:space="preserve"> and who had a prior diagnosis of GA. Of the 10,181 study patients, 3.6% </w:t>
      </w:r>
      <w:r w:rsidR="008B752C" w:rsidRPr="00C17763">
        <w:rPr>
          <w:iCs/>
        </w:rPr>
        <w:t>of patients in 2.9</w:t>
      </w:r>
      <w:r w:rsidR="00E97A23" w:rsidRPr="00C17763">
        <w:rPr>
          <w:iCs/>
        </w:rPr>
        <w:t>% of eyes experienced a treatment emerge</w:t>
      </w:r>
      <w:r w:rsidR="008A6D61" w:rsidRPr="00C17763">
        <w:rPr>
          <w:iCs/>
        </w:rPr>
        <w:t>nt AE with 0.72% developing CNV.</w:t>
      </w:r>
      <w:r w:rsidR="00307E5B" w:rsidRPr="00C17763">
        <w:rPr>
          <w:rStyle w:val="FootnoteReference"/>
          <w:iCs/>
        </w:rPr>
        <w:footnoteReference w:id="21"/>
      </w:r>
      <w:r w:rsidR="008A6D61" w:rsidRPr="00C17763">
        <w:rPr>
          <w:iCs/>
        </w:rPr>
        <w:t xml:space="preserve"> </w:t>
      </w:r>
      <w:r w:rsidR="004E586D" w:rsidRPr="00C17763">
        <w:rPr>
          <w:iCs/>
        </w:rPr>
        <w:t xml:space="preserve">The ESC noted these data were from a conference abstract. </w:t>
      </w:r>
    </w:p>
    <w:bookmarkEnd w:id="50"/>
    <w:p w14:paraId="1171E7C5" w14:textId="0D70C879" w:rsidR="00804CBF" w:rsidRPr="00EC6DF8" w:rsidRDefault="00804CBF" w:rsidP="00804CBF">
      <w:pPr>
        <w:pStyle w:val="5-SubsectionSubheading"/>
        <w:keepNext w:val="0"/>
        <w:keepLines w:val="0"/>
        <w:widowControl w:val="0"/>
        <w:spacing w:before="160" w:after="120"/>
      </w:pPr>
      <w:r w:rsidRPr="00EC6DF8">
        <w:t xml:space="preserve">Indirect comparison of </w:t>
      </w:r>
      <w:r>
        <w:t>ACP vs pegcetacoplan</w:t>
      </w:r>
      <w:r w:rsidR="00465C8E">
        <w:t xml:space="preserve"> </w:t>
      </w:r>
      <w:r w:rsidR="00465C8E">
        <w:rPr>
          <w:rFonts w:cstheme="minorHAnsi"/>
        </w:rPr>
        <w:t>—</w:t>
      </w:r>
      <w:r w:rsidR="00465C8E">
        <w:t xml:space="preserve"> safety</w:t>
      </w:r>
    </w:p>
    <w:p w14:paraId="738D7D9E" w14:textId="68C67EED" w:rsidR="00383459" w:rsidRDefault="00EF6026" w:rsidP="00383459">
      <w:pPr>
        <w:pStyle w:val="3-BodyText"/>
      </w:pPr>
      <w:r w:rsidRPr="00EF6026">
        <w:t>Result</w:t>
      </w:r>
      <w:r>
        <w:t>s</w:t>
      </w:r>
      <w:r w:rsidRPr="00EF6026">
        <w:t xml:space="preserve"> of the ML</w:t>
      </w:r>
      <w:r w:rsidR="009B60A6">
        <w:noBreakHyphen/>
      </w:r>
      <w:r w:rsidRPr="00EF6026">
        <w:t xml:space="preserve">NMR </w:t>
      </w:r>
      <w:r w:rsidR="008917BF">
        <w:t xml:space="preserve">for the risk of experiencing new onset CNV </w:t>
      </w:r>
      <w:r w:rsidRPr="00EF6026">
        <w:t>are presented</w:t>
      </w:r>
      <w:r>
        <w:t xml:space="preserve"> in </w:t>
      </w:r>
      <w:r>
        <w:fldChar w:fldCharType="begin"/>
      </w:r>
      <w:r>
        <w:instrText xml:space="preserve"> REF _Ref218470966 \h </w:instrText>
      </w:r>
      <w:r>
        <w:fldChar w:fldCharType="separate"/>
      </w:r>
      <w:r w:rsidR="00962F38">
        <w:t xml:space="preserve">Figure </w:t>
      </w:r>
      <w:r w:rsidR="00962F38">
        <w:rPr>
          <w:noProof/>
        </w:rPr>
        <w:t>7</w:t>
      </w:r>
      <w:r>
        <w:fldChar w:fldCharType="end"/>
      </w:r>
      <w:r>
        <w:t>.</w:t>
      </w:r>
    </w:p>
    <w:p w14:paraId="23510D5A" w14:textId="7D7D5CAE" w:rsidR="00EF6026" w:rsidRDefault="00EF6026" w:rsidP="00350182">
      <w:pPr>
        <w:pStyle w:val="Caption"/>
        <w:spacing w:before="120"/>
      </w:pPr>
      <w:bookmarkStart w:id="51" w:name="_Ref218470966"/>
      <w:r>
        <w:lastRenderedPageBreak/>
        <w:t xml:space="preserve">Figure </w:t>
      </w:r>
      <w:fldSimple w:instr=" SEQ Figure \* ARABIC ">
        <w:r w:rsidR="00962F38">
          <w:rPr>
            <w:noProof/>
          </w:rPr>
          <w:t>7</w:t>
        </w:r>
      </w:fldSimple>
      <w:bookmarkEnd w:id="51"/>
      <w:r>
        <w:t xml:space="preserve">: </w:t>
      </w:r>
      <w:r w:rsidR="00CF6C9A">
        <w:t>ML</w:t>
      </w:r>
      <w:r w:rsidR="009B60A6">
        <w:noBreakHyphen/>
      </w:r>
      <w:r w:rsidR="00CF6C9A">
        <w:t>NMR r</w:t>
      </w:r>
      <w:r w:rsidRPr="00CF637F">
        <w:t>elative effect of ACP vs pegcetacoplan for</w:t>
      </w:r>
      <w:r>
        <w:t xml:space="preserve"> the risk of experiencing new onset CNV in study eye at Month 24</w:t>
      </w:r>
    </w:p>
    <w:p w14:paraId="73A442E1" w14:textId="3AD16CA5" w:rsidR="00EF6026" w:rsidRDefault="00EF6026" w:rsidP="00350182">
      <w:pPr>
        <w:pStyle w:val="TableFigureFooter"/>
        <w:keepNext/>
        <w:rPr>
          <w:lang w:val="en-GB"/>
        </w:rPr>
      </w:pPr>
      <w:r>
        <w:rPr>
          <w:noProof/>
          <w:lang w:val="en-GB"/>
        </w:rPr>
        <w:drawing>
          <wp:inline distT="0" distB="0" distL="0" distR="0" wp14:anchorId="0B589962" wp14:editId="4EC13159">
            <wp:extent cx="5362042" cy="1734820"/>
            <wp:effectExtent l="0" t="0" r="0" b="0"/>
            <wp:docPr id="511972325" name="Picture 5" descr="Figure 7: ML NMR relative effect of ACP vs pegcetacoplan for the risk of experiencing new onset CNV in study eye at Month 24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72325" name="Picture 5" descr="Figure 7: ML NMR relative effect of ACP vs pegcetacoplan for the risk of experiencing new onset CNV in study eye at Month 24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4532" cy="1738861"/>
                    </a:xfrm>
                    <a:prstGeom prst="rect">
                      <a:avLst/>
                    </a:prstGeom>
                    <a:noFill/>
                    <a:ln>
                      <a:noFill/>
                    </a:ln>
                  </pic:spPr>
                </pic:pic>
              </a:graphicData>
            </a:graphic>
          </wp:inline>
        </w:drawing>
      </w:r>
    </w:p>
    <w:p w14:paraId="7FA6A8CC" w14:textId="77777777" w:rsidR="00EF6026" w:rsidRPr="003D2BEE" w:rsidRDefault="00EF6026" w:rsidP="00350182">
      <w:pPr>
        <w:pStyle w:val="TableFigureFooter"/>
        <w:keepNext/>
        <w:rPr>
          <w:lang w:val="fr-FR"/>
        </w:rPr>
      </w:pPr>
      <w:proofErr w:type="gramStart"/>
      <w:r w:rsidRPr="003D2BEE">
        <w:rPr>
          <w:lang w:val="fr-FR"/>
        </w:rPr>
        <w:t>Source:</w:t>
      </w:r>
      <w:proofErr w:type="gramEnd"/>
      <w:r w:rsidRPr="003D2BEE">
        <w:rPr>
          <w:lang w:val="fr-FR"/>
        </w:rPr>
        <w:t xml:space="preserve"> </w:t>
      </w:r>
      <w:proofErr w:type="spellStart"/>
      <w:r w:rsidRPr="003D2BEE">
        <w:rPr>
          <w:lang w:val="fr-FR"/>
        </w:rPr>
        <w:t>Jovanović</w:t>
      </w:r>
      <w:proofErr w:type="spellEnd"/>
      <w:r w:rsidRPr="003D2BEE">
        <w:rPr>
          <w:lang w:val="fr-FR"/>
        </w:rPr>
        <w:t xml:space="preserve"> K et al (2025) (</w:t>
      </w:r>
      <w:proofErr w:type="spellStart"/>
      <w:r w:rsidRPr="003D2BEE">
        <w:rPr>
          <w:lang w:val="fr-FR"/>
        </w:rPr>
        <w:t>Conference</w:t>
      </w:r>
      <w:proofErr w:type="spellEnd"/>
      <w:r w:rsidRPr="003D2BEE">
        <w:rPr>
          <w:lang w:val="fr-FR"/>
        </w:rPr>
        <w:t xml:space="preserve"> report)</w:t>
      </w:r>
    </w:p>
    <w:p w14:paraId="37A68C13" w14:textId="5E55A26A" w:rsidR="00EF6026" w:rsidRPr="003D2BEE" w:rsidRDefault="00EF6026" w:rsidP="00350182">
      <w:pPr>
        <w:pStyle w:val="TableFigureFooter"/>
        <w:keepNext/>
        <w:spacing w:after="240"/>
        <w:rPr>
          <w:rFonts w:cstheme="minorBidi"/>
          <w:szCs w:val="18"/>
          <w:lang w:val="fr-FR"/>
        </w:rPr>
      </w:pPr>
      <w:r w:rsidRPr="003D2BEE">
        <w:rPr>
          <w:rFonts w:cstheme="minorBidi"/>
          <w:szCs w:val="18"/>
          <w:lang w:val="fr-FR"/>
        </w:rPr>
        <w:t xml:space="preserve">ACP = avacincaptad </w:t>
      </w:r>
      <w:proofErr w:type="spellStart"/>
      <w:proofErr w:type="gramStart"/>
      <w:r w:rsidRPr="003D2BEE">
        <w:rPr>
          <w:rFonts w:cstheme="minorBidi"/>
          <w:szCs w:val="18"/>
          <w:lang w:val="fr-FR"/>
        </w:rPr>
        <w:t>pegol</w:t>
      </w:r>
      <w:proofErr w:type="spellEnd"/>
      <w:r w:rsidRPr="003D2BEE">
        <w:rPr>
          <w:rFonts w:cstheme="minorBidi"/>
          <w:szCs w:val="18"/>
          <w:lang w:val="fr-FR"/>
        </w:rPr>
        <w:t>;</w:t>
      </w:r>
      <w:proofErr w:type="gramEnd"/>
      <w:r w:rsidRPr="003D2BEE">
        <w:rPr>
          <w:rFonts w:cstheme="minorBidi"/>
          <w:szCs w:val="18"/>
          <w:lang w:val="fr-FR"/>
        </w:rPr>
        <w:t xml:space="preserve"> CNV = </w:t>
      </w:r>
      <w:proofErr w:type="spellStart"/>
      <w:r w:rsidRPr="003D2BEE">
        <w:rPr>
          <w:rFonts w:cstheme="minorBidi"/>
          <w:szCs w:val="18"/>
          <w:lang w:val="fr-FR"/>
        </w:rPr>
        <w:t>choroidal</w:t>
      </w:r>
      <w:proofErr w:type="spellEnd"/>
      <w:r w:rsidRPr="003D2BEE">
        <w:rPr>
          <w:rFonts w:cstheme="minorBidi"/>
          <w:szCs w:val="18"/>
          <w:lang w:val="fr-FR"/>
        </w:rPr>
        <w:t xml:space="preserve"> </w:t>
      </w:r>
      <w:proofErr w:type="spellStart"/>
      <w:proofErr w:type="gramStart"/>
      <w:r w:rsidRPr="003D2BEE">
        <w:rPr>
          <w:rFonts w:cstheme="minorBidi"/>
          <w:szCs w:val="18"/>
          <w:lang w:val="fr-FR"/>
        </w:rPr>
        <w:t>neovascularisation</w:t>
      </w:r>
      <w:proofErr w:type="spellEnd"/>
      <w:r w:rsidRPr="003D2BEE">
        <w:rPr>
          <w:rFonts w:cstheme="minorBidi"/>
          <w:szCs w:val="18"/>
          <w:lang w:val="fr-FR"/>
        </w:rPr>
        <w:t>;</w:t>
      </w:r>
      <w:proofErr w:type="gramEnd"/>
      <w:r w:rsidRPr="003D2BEE">
        <w:rPr>
          <w:rFonts w:cstheme="minorBidi"/>
          <w:szCs w:val="18"/>
          <w:lang w:val="fr-FR"/>
        </w:rPr>
        <w:t xml:space="preserve"> EM = </w:t>
      </w:r>
      <w:proofErr w:type="spellStart"/>
      <w:r w:rsidRPr="003D2BEE">
        <w:rPr>
          <w:rFonts w:cstheme="minorBidi"/>
          <w:szCs w:val="18"/>
          <w:lang w:val="fr-FR"/>
        </w:rPr>
        <w:t>every</w:t>
      </w:r>
      <w:proofErr w:type="spellEnd"/>
      <w:r w:rsidRPr="003D2BEE">
        <w:rPr>
          <w:rFonts w:cstheme="minorBidi"/>
          <w:szCs w:val="18"/>
          <w:lang w:val="fr-FR"/>
        </w:rPr>
        <w:t xml:space="preserve"> </w:t>
      </w:r>
      <w:proofErr w:type="spellStart"/>
      <w:proofErr w:type="gramStart"/>
      <w:r w:rsidRPr="003D2BEE">
        <w:rPr>
          <w:rFonts w:cstheme="minorBidi"/>
          <w:szCs w:val="18"/>
          <w:lang w:val="fr-FR"/>
        </w:rPr>
        <w:t>month</w:t>
      </w:r>
      <w:proofErr w:type="spellEnd"/>
      <w:r w:rsidRPr="003D2BEE">
        <w:rPr>
          <w:rFonts w:cstheme="minorBidi"/>
          <w:szCs w:val="18"/>
          <w:lang w:val="fr-FR"/>
        </w:rPr>
        <w:t>;</w:t>
      </w:r>
      <w:proofErr w:type="gramEnd"/>
      <w:r w:rsidRPr="003D2BEE">
        <w:rPr>
          <w:rFonts w:cstheme="minorBidi"/>
          <w:szCs w:val="18"/>
          <w:lang w:val="fr-FR"/>
        </w:rPr>
        <w:t xml:space="preserve"> EOM = </w:t>
      </w:r>
      <w:proofErr w:type="spellStart"/>
      <w:r w:rsidRPr="003D2BEE">
        <w:rPr>
          <w:rFonts w:cstheme="minorBidi"/>
          <w:szCs w:val="18"/>
          <w:lang w:val="fr-FR"/>
        </w:rPr>
        <w:t>every</w:t>
      </w:r>
      <w:proofErr w:type="spellEnd"/>
      <w:r w:rsidRPr="003D2BEE">
        <w:rPr>
          <w:rFonts w:cstheme="minorBidi"/>
          <w:szCs w:val="18"/>
          <w:lang w:val="fr-FR"/>
        </w:rPr>
        <w:t xml:space="preserve"> </w:t>
      </w:r>
      <w:proofErr w:type="spellStart"/>
      <w:r w:rsidRPr="003D2BEE">
        <w:rPr>
          <w:rFonts w:cstheme="minorBidi"/>
          <w:szCs w:val="18"/>
          <w:lang w:val="fr-FR"/>
        </w:rPr>
        <w:t>other</w:t>
      </w:r>
      <w:proofErr w:type="spellEnd"/>
      <w:r w:rsidRPr="003D2BEE">
        <w:rPr>
          <w:rFonts w:cstheme="minorBidi"/>
          <w:szCs w:val="18"/>
          <w:lang w:val="fr-FR"/>
        </w:rPr>
        <w:t xml:space="preserve"> </w:t>
      </w:r>
      <w:proofErr w:type="spellStart"/>
      <w:proofErr w:type="gramStart"/>
      <w:r w:rsidRPr="003D2BEE">
        <w:rPr>
          <w:rFonts w:cstheme="minorBidi"/>
          <w:szCs w:val="18"/>
          <w:lang w:val="fr-FR"/>
        </w:rPr>
        <w:t>month</w:t>
      </w:r>
      <w:proofErr w:type="spellEnd"/>
      <w:r w:rsidRPr="003D2BEE">
        <w:rPr>
          <w:rFonts w:cstheme="minorBidi"/>
          <w:szCs w:val="18"/>
          <w:lang w:val="fr-FR"/>
        </w:rPr>
        <w:t>;</w:t>
      </w:r>
      <w:proofErr w:type="gramEnd"/>
      <w:r w:rsidRPr="003D2BEE">
        <w:rPr>
          <w:rFonts w:cstheme="minorBidi"/>
          <w:szCs w:val="18"/>
          <w:lang w:val="fr-FR"/>
        </w:rPr>
        <w:t xml:space="preserve"> GA = </w:t>
      </w:r>
      <w:proofErr w:type="spellStart"/>
      <w:r w:rsidRPr="003D2BEE">
        <w:rPr>
          <w:rFonts w:cstheme="minorBidi"/>
          <w:szCs w:val="18"/>
          <w:lang w:val="fr-FR"/>
        </w:rPr>
        <w:t>geographic</w:t>
      </w:r>
      <w:proofErr w:type="spellEnd"/>
      <w:r w:rsidRPr="003D2BEE">
        <w:rPr>
          <w:rFonts w:cstheme="minorBidi"/>
          <w:szCs w:val="18"/>
          <w:lang w:val="fr-FR"/>
        </w:rPr>
        <w:t xml:space="preserve"> </w:t>
      </w:r>
      <w:proofErr w:type="spellStart"/>
      <w:proofErr w:type="gramStart"/>
      <w:r w:rsidRPr="003D2BEE">
        <w:rPr>
          <w:rFonts w:cstheme="minorBidi"/>
          <w:szCs w:val="18"/>
          <w:lang w:val="fr-FR"/>
        </w:rPr>
        <w:t>atrophy</w:t>
      </w:r>
      <w:proofErr w:type="spellEnd"/>
      <w:r w:rsidRPr="003D2BEE">
        <w:rPr>
          <w:rFonts w:cstheme="minorBidi"/>
          <w:szCs w:val="18"/>
          <w:lang w:val="fr-FR"/>
        </w:rPr>
        <w:t>;</w:t>
      </w:r>
      <w:proofErr w:type="gramEnd"/>
      <w:r w:rsidRPr="003D2BEE">
        <w:rPr>
          <w:rFonts w:cstheme="minorBidi"/>
          <w:szCs w:val="18"/>
          <w:lang w:val="fr-FR"/>
        </w:rPr>
        <w:t xml:space="preserve"> </w:t>
      </w:r>
      <w:r w:rsidR="00CF6C9A" w:rsidRPr="003D2BEE">
        <w:rPr>
          <w:rFonts w:cstheme="minorBidi"/>
          <w:szCs w:val="18"/>
          <w:lang w:val="fr-FR"/>
        </w:rPr>
        <w:t>ML</w:t>
      </w:r>
      <w:r w:rsidR="009B60A6" w:rsidRPr="003D2BEE">
        <w:rPr>
          <w:rFonts w:cstheme="minorBidi"/>
          <w:szCs w:val="18"/>
          <w:lang w:val="fr-FR"/>
        </w:rPr>
        <w:noBreakHyphen/>
      </w:r>
      <w:r w:rsidR="00CF6C9A" w:rsidRPr="003D2BEE">
        <w:rPr>
          <w:rFonts w:cstheme="minorBidi"/>
          <w:szCs w:val="18"/>
          <w:lang w:val="fr-FR"/>
        </w:rPr>
        <w:t>NMR = multi</w:t>
      </w:r>
      <w:r w:rsidR="009B60A6" w:rsidRPr="003D2BEE">
        <w:rPr>
          <w:rFonts w:cstheme="minorBidi"/>
          <w:szCs w:val="18"/>
          <w:lang w:val="fr-FR"/>
        </w:rPr>
        <w:noBreakHyphen/>
      </w:r>
      <w:proofErr w:type="spellStart"/>
      <w:r w:rsidR="00CF6C9A" w:rsidRPr="003D2BEE">
        <w:rPr>
          <w:rFonts w:cstheme="minorBidi"/>
          <w:szCs w:val="18"/>
          <w:lang w:val="fr-FR"/>
        </w:rPr>
        <w:t>level</w:t>
      </w:r>
      <w:proofErr w:type="spellEnd"/>
      <w:r w:rsidR="00CF6C9A" w:rsidRPr="003D2BEE">
        <w:rPr>
          <w:rFonts w:cstheme="minorBidi"/>
          <w:szCs w:val="18"/>
          <w:lang w:val="fr-FR"/>
        </w:rPr>
        <w:t xml:space="preserve"> network </w:t>
      </w:r>
      <w:proofErr w:type="spellStart"/>
      <w:r w:rsidR="00CF6C9A" w:rsidRPr="003D2BEE">
        <w:rPr>
          <w:rFonts w:cstheme="minorBidi"/>
          <w:szCs w:val="18"/>
          <w:lang w:val="fr-FR"/>
        </w:rPr>
        <w:t>meta</w:t>
      </w:r>
      <w:r w:rsidR="009B60A6" w:rsidRPr="003D2BEE">
        <w:rPr>
          <w:rFonts w:cstheme="minorBidi"/>
          <w:szCs w:val="18"/>
          <w:lang w:val="fr-FR"/>
        </w:rPr>
        <w:noBreakHyphen/>
      </w:r>
      <w:proofErr w:type="gramStart"/>
      <w:r w:rsidR="00CF6C9A" w:rsidRPr="003D2BEE">
        <w:rPr>
          <w:rFonts w:cstheme="minorBidi"/>
          <w:szCs w:val="18"/>
          <w:lang w:val="fr-FR"/>
        </w:rPr>
        <w:t>regression</w:t>
      </w:r>
      <w:proofErr w:type="spellEnd"/>
      <w:r w:rsidR="00CF6C9A" w:rsidRPr="003D2BEE">
        <w:rPr>
          <w:rFonts w:cstheme="minorBidi"/>
          <w:szCs w:val="18"/>
          <w:lang w:val="fr-FR"/>
        </w:rPr>
        <w:t>;</w:t>
      </w:r>
      <w:proofErr w:type="gramEnd"/>
      <w:r w:rsidR="00CF6C9A" w:rsidRPr="003D2BEE">
        <w:rPr>
          <w:rFonts w:cstheme="minorBidi"/>
          <w:szCs w:val="18"/>
          <w:lang w:val="fr-FR"/>
        </w:rPr>
        <w:t xml:space="preserve"> </w:t>
      </w:r>
      <w:r w:rsidRPr="003D2BEE">
        <w:rPr>
          <w:rFonts w:cstheme="minorBidi"/>
          <w:szCs w:val="18"/>
          <w:lang w:val="fr-FR"/>
        </w:rPr>
        <w:t>PEG = pegcetacoplan</w:t>
      </w:r>
    </w:p>
    <w:p w14:paraId="16FFA9D4" w14:textId="65CCAC1F" w:rsidR="004B6EA5" w:rsidRDefault="004B6EA5" w:rsidP="00350182">
      <w:pPr>
        <w:pStyle w:val="TableFigureFooter"/>
        <w:keepNext/>
        <w:spacing w:after="240"/>
        <w:rPr>
          <w:rFonts w:cstheme="minorBidi"/>
          <w:szCs w:val="18"/>
        </w:rPr>
      </w:pPr>
      <w:r>
        <w:rPr>
          <w:rFonts w:cstheme="minorBidi"/>
          <w:szCs w:val="18"/>
        </w:rPr>
        <w:t>* Including data from the ACP EM and EOM arms</w:t>
      </w:r>
    </w:p>
    <w:p w14:paraId="31CE72E9" w14:textId="18CB1F5D" w:rsidR="00CF6C9A" w:rsidRPr="005D029E" w:rsidRDefault="00CF6C9A" w:rsidP="00350182">
      <w:pPr>
        <w:pStyle w:val="TableFigureFooter"/>
        <w:keepNext/>
        <w:spacing w:after="240"/>
        <w:rPr>
          <w:rFonts w:cstheme="minorBidi"/>
          <w:szCs w:val="18"/>
        </w:rPr>
      </w:pPr>
      <w:r>
        <w:rPr>
          <w:rFonts w:cstheme="minorBidi"/>
          <w:szCs w:val="18"/>
        </w:rPr>
        <w:t>Note: PEG EOM was the near market comparator in the submission</w:t>
      </w:r>
    </w:p>
    <w:p w14:paraId="065A2B8F" w14:textId="46FEF05A" w:rsidR="00EF6026" w:rsidRPr="004452FC" w:rsidRDefault="0098356F" w:rsidP="00EF6026">
      <w:pPr>
        <w:pStyle w:val="3-BodyText"/>
        <w:rPr>
          <w:bCs/>
          <w:lang w:val="en-GB"/>
        </w:rPr>
      </w:pPr>
      <w:r w:rsidRPr="004452FC">
        <w:rPr>
          <w:bCs/>
          <w:lang w:val="en-GB"/>
        </w:rPr>
        <w:t>For t</w:t>
      </w:r>
      <w:r w:rsidR="00EF6026" w:rsidRPr="004452FC">
        <w:rPr>
          <w:bCs/>
          <w:lang w:val="en-GB"/>
        </w:rPr>
        <w:t xml:space="preserve">he risk of new onset of CNV in study eye, CNV in </w:t>
      </w:r>
      <w:r w:rsidR="00465C8E" w:rsidRPr="004452FC">
        <w:rPr>
          <w:bCs/>
          <w:lang w:val="en-GB"/>
        </w:rPr>
        <w:t xml:space="preserve">the </w:t>
      </w:r>
      <w:r w:rsidR="00EF6026" w:rsidRPr="004452FC">
        <w:rPr>
          <w:bCs/>
          <w:lang w:val="en-GB"/>
        </w:rPr>
        <w:t>fellow eye at baseline was an important effect modifier</w:t>
      </w:r>
      <w:r w:rsidR="00F92704" w:rsidRPr="004452FC">
        <w:rPr>
          <w:bCs/>
          <w:lang w:val="en-GB"/>
        </w:rPr>
        <w:t xml:space="preserve">. The </w:t>
      </w:r>
      <w:r w:rsidR="00620F78" w:rsidRPr="004452FC">
        <w:rPr>
          <w:bCs/>
          <w:lang w:val="en-GB"/>
        </w:rPr>
        <w:t xml:space="preserve">indirect comparison of ACP and pegcetacoplan </w:t>
      </w:r>
      <w:r w:rsidR="00EF6026" w:rsidRPr="004452FC">
        <w:rPr>
          <w:bCs/>
          <w:lang w:val="en-GB"/>
        </w:rPr>
        <w:t xml:space="preserve">could not be adjusted </w:t>
      </w:r>
      <w:r w:rsidR="00620F78" w:rsidRPr="004452FC">
        <w:rPr>
          <w:bCs/>
          <w:lang w:val="en-GB"/>
        </w:rPr>
        <w:t xml:space="preserve">for this effect modifier </w:t>
      </w:r>
      <w:r w:rsidR="00EF6026" w:rsidRPr="004452FC">
        <w:rPr>
          <w:bCs/>
          <w:lang w:val="en-GB"/>
        </w:rPr>
        <w:t xml:space="preserve">because no patients in GATHER1 or GATHER2 with baseline CNV in </w:t>
      </w:r>
      <w:r w:rsidR="00465C8E" w:rsidRPr="004452FC">
        <w:rPr>
          <w:bCs/>
          <w:lang w:val="en-GB"/>
        </w:rPr>
        <w:t xml:space="preserve">the </w:t>
      </w:r>
      <w:r w:rsidR="00EF6026" w:rsidRPr="004452FC">
        <w:rPr>
          <w:bCs/>
          <w:lang w:val="en-GB"/>
        </w:rPr>
        <w:t>fellow eye were enrolled. Therefore, the result of</w:t>
      </w:r>
      <w:r w:rsidR="00465C8E" w:rsidRPr="004452FC">
        <w:rPr>
          <w:bCs/>
          <w:lang w:val="en-GB"/>
        </w:rPr>
        <w:t xml:space="preserve"> the</w:t>
      </w:r>
      <w:r w:rsidR="00EF6026" w:rsidRPr="004452FC">
        <w:rPr>
          <w:bCs/>
          <w:lang w:val="en-GB"/>
        </w:rPr>
        <w:t xml:space="preserve"> indirect comparison between ACP </w:t>
      </w:r>
      <w:r w:rsidR="00465C8E" w:rsidRPr="004452FC">
        <w:rPr>
          <w:bCs/>
          <w:lang w:val="en-GB"/>
        </w:rPr>
        <w:t xml:space="preserve">EM/EOM </w:t>
      </w:r>
      <w:r w:rsidR="00EF6026" w:rsidRPr="004452FC">
        <w:rPr>
          <w:bCs/>
          <w:lang w:val="en-GB"/>
        </w:rPr>
        <w:t xml:space="preserve">vs pegcetacoplan EOM, which was based on two populations with different risk level of new onset of CNV in study eye at baseline, </w:t>
      </w:r>
      <w:r w:rsidR="00FA2057" w:rsidRPr="004452FC">
        <w:rPr>
          <w:bCs/>
          <w:lang w:val="en-GB"/>
        </w:rPr>
        <w:t>may have been biased</w:t>
      </w:r>
      <w:r w:rsidR="00EF6026" w:rsidRPr="004452FC">
        <w:rPr>
          <w:bCs/>
          <w:lang w:val="en-GB"/>
        </w:rPr>
        <w:t>.</w:t>
      </w:r>
      <w:r w:rsidR="00243022">
        <w:rPr>
          <w:bCs/>
          <w:lang w:val="en-GB"/>
        </w:rPr>
        <w:t xml:space="preserve"> </w:t>
      </w:r>
      <w:r w:rsidR="00CD0B2B" w:rsidRPr="00C17763">
        <w:rPr>
          <w:bCs/>
          <w:iCs/>
          <w:lang w:val="en-GB"/>
        </w:rPr>
        <w:t xml:space="preserve">The PSCR </w:t>
      </w:r>
      <w:r w:rsidR="005C149B" w:rsidRPr="00C17763">
        <w:rPr>
          <w:bCs/>
          <w:iCs/>
          <w:lang w:val="en-GB"/>
        </w:rPr>
        <w:t xml:space="preserve">acknowledged that confounding of the incidence of CNV during treatment is </w:t>
      </w:r>
      <w:r w:rsidR="005424D9" w:rsidRPr="00C17763">
        <w:rPr>
          <w:bCs/>
          <w:iCs/>
          <w:lang w:val="en-GB"/>
        </w:rPr>
        <w:t xml:space="preserve">plausible due to baseline CNV in the fellow eye in </w:t>
      </w:r>
      <w:r w:rsidR="00C551E9">
        <w:rPr>
          <w:bCs/>
          <w:iCs/>
          <w:lang w:val="en-GB"/>
        </w:rPr>
        <w:t>pegcetacoplan</w:t>
      </w:r>
      <w:r w:rsidR="00C551E9" w:rsidRPr="00C17763">
        <w:rPr>
          <w:bCs/>
          <w:iCs/>
          <w:lang w:val="en-GB"/>
        </w:rPr>
        <w:t xml:space="preserve"> </w:t>
      </w:r>
      <w:r w:rsidR="005424D9" w:rsidRPr="00C17763">
        <w:rPr>
          <w:bCs/>
          <w:iCs/>
          <w:lang w:val="en-GB"/>
        </w:rPr>
        <w:t xml:space="preserve">trials. However, the PSCR clarified that the </w:t>
      </w:r>
      <w:r w:rsidR="00227CAD" w:rsidRPr="00C17763">
        <w:rPr>
          <w:bCs/>
          <w:iCs/>
          <w:lang w:val="en-GB"/>
        </w:rPr>
        <w:t>ML</w:t>
      </w:r>
      <w:r w:rsidR="009B60A6">
        <w:rPr>
          <w:bCs/>
          <w:iCs/>
          <w:lang w:val="en-GB"/>
        </w:rPr>
        <w:noBreakHyphen/>
      </w:r>
      <w:r w:rsidR="00227CAD" w:rsidRPr="00C17763">
        <w:rPr>
          <w:bCs/>
          <w:iCs/>
          <w:lang w:val="en-GB"/>
        </w:rPr>
        <w:t xml:space="preserve">NMR compared risks for ACP with </w:t>
      </w:r>
      <w:r w:rsidR="009D60EC" w:rsidRPr="00C17763">
        <w:rPr>
          <w:bCs/>
          <w:iCs/>
          <w:lang w:val="en-GB"/>
        </w:rPr>
        <w:t xml:space="preserve">the pegcetacoplan patients in whom CNV was absent at baseline. </w:t>
      </w:r>
      <w:r w:rsidR="00FD7CCD" w:rsidRPr="00C17763">
        <w:rPr>
          <w:bCs/>
          <w:iCs/>
          <w:lang w:val="en-GB"/>
        </w:rPr>
        <w:t xml:space="preserve">The ESC noted that </w:t>
      </w:r>
      <w:r w:rsidR="00AD7058" w:rsidRPr="00C17763">
        <w:rPr>
          <w:bCs/>
          <w:iCs/>
          <w:lang w:val="en-GB"/>
        </w:rPr>
        <w:t xml:space="preserve">the administration of pegcetacoplan EOM is the only regimen included in the TGA product information. </w:t>
      </w:r>
      <w:r w:rsidR="00041023" w:rsidRPr="00C17763">
        <w:rPr>
          <w:bCs/>
          <w:iCs/>
          <w:lang w:val="en-GB"/>
        </w:rPr>
        <w:t xml:space="preserve">The ESC also </w:t>
      </w:r>
      <w:r w:rsidR="00F91AD6" w:rsidRPr="00C17763">
        <w:rPr>
          <w:bCs/>
          <w:iCs/>
          <w:lang w:val="en-GB"/>
        </w:rPr>
        <w:t xml:space="preserve">noted </w:t>
      </w:r>
      <w:r w:rsidR="00AF072B" w:rsidRPr="00C17763">
        <w:rPr>
          <w:bCs/>
          <w:iCs/>
          <w:lang w:val="en-GB"/>
        </w:rPr>
        <w:t>that</w:t>
      </w:r>
      <w:r w:rsidR="00C551E9">
        <w:rPr>
          <w:bCs/>
          <w:iCs/>
          <w:lang w:val="en-GB"/>
        </w:rPr>
        <w:t>,</w:t>
      </w:r>
      <w:r w:rsidR="00187F90" w:rsidRPr="00C17763">
        <w:rPr>
          <w:bCs/>
          <w:iCs/>
          <w:lang w:val="en-GB"/>
        </w:rPr>
        <w:t xml:space="preserve"> at 24 months</w:t>
      </w:r>
      <w:r w:rsidR="00C551E9">
        <w:rPr>
          <w:bCs/>
          <w:iCs/>
          <w:lang w:val="en-GB"/>
        </w:rPr>
        <w:t>,</w:t>
      </w:r>
      <w:r w:rsidR="00AF072B" w:rsidRPr="00C17763">
        <w:rPr>
          <w:bCs/>
          <w:iCs/>
          <w:lang w:val="en-GB"/>
        </w:rPr>
        <w:t xml:space="preserve"> ACP was associated with </w:t>
      </w:r>
      <w:r w:rsidR="00765A61" w:rsidRPr="00C17763">
        <w:rPr>
          <w:bCs/>
          <w:iCs/>
          <w:lang w:val="en-GB"/>
        </w:rPr>
        <w:t>higher odds</w:t>
      </w:r>
      <w:r w:rsidR="00BC714A" w:rsidRPr="00C17763">
        <w:rPr>
          <w:bCs/>
          <w:iCs/>
          <w:lang w:val="en-GB"/>
        </w:rPr>
        <w:t xml:space="preserve"> of a serious ocular TEAE tha</w:t>
      </w:r>
      <w:r w:rsidR="0008581F" w:rsidRPr="00C17763">
        <w:rPr>
          <w:bCs/>
          <w:iCs/>
          <w:lang w:val="en-GB"/>
        </w:rPr>
        <w:t>n</w:t>
      </w:r>
      <w:r w:rsidR="00BC714A" w:rsidRPr="00C17763">
        <w:rPr>
          <w:bCs/>
          <w:iCs/>
          <w:lang w:val="en-GB"/>
        </w:rPr>
        <w:t xml:space="preserve"> pegcetacoplan EOM (median OR </w:t>
      </w:r>
      <w:r w:rsidR="00AB0973" w:rsidRPr="00C17763">
        <w:rPr>
          <w:bCs/>
          <w:iCs/>
          <w:lang w:val="en-GB"/>
        </w:rPr>
        <w:t>1.61</w:t>
      </w:r>
      <w:r w:rsidR="00BC714A" w:rsidRPr="00C17763">
        <w:rPr>
          <w:bCs/>
          <w:iCs/>
          <w:lang w:val="en-GB"/>
        </w:rPr>
        <w:t xml:space="preserve">, </w:t>
      </w:r>
      <w:r w:rsidR="008B4E28" w:rsidRPr="00C17763">
        <w:rPr>
          <w:bCs/>
          <w:iCs/>
          <w:lang w:val="en-GB"/>
        </w:rPr>
        <w:t>95% CI 0.1</w:t>
      </w:r>
      <w:r w:rsidR="00AB0973" w:rsidRPr="00C17763">
        <w:rPr>
          <w:bCs/>
          <w:iCs/>
          <w:lang w:val="en-GB"/>
        </w:rPr>
        <w:t>4</w:t>
      </w:r>
      <w:r w:rsidR="008B4E28" w:rsidRPr="00C17763">
        <w:rPr>
          <w:bCs/>
          <w:iCs/>
          <w:lang w:val="en-GB"/>
        </w:rPr>
        <w:t xml:space="preserve">, </w:t>
      </w:r>
      <w:r w:rsidR="00BA32DC" w:rsidRPr="00C17763">
        <w:rPr>
          <w:bCs/>
          <w:iCs/>
          <w:lang w:val="en-GB"/>
        </w:rPr>
        <w:t>20.48</w:t>
      </w:r>
      <w:r w:rsidR="008B4E28" w:rsidRPr="00C17763">
        <w:rPr>
          <w:bCs/>
          <w:iCs/>
          <w:lang w:val="en-GB"/>
        </w:rPr>
        <w:t xml:space="preserve">). </w:t>
      </w:r>
    </w:p>
    <w:p w14:paraId="699A99AD" w14:textId="12F9640B" w:rsidR="0090549C" w:rsidRPr="00F772F1" w:rsidRDefault="00193D6E" w:rsidP="00F772F1">
      <w:pPr>
        <w:pStyle w:val="3-BodyText"/>
        <w:rPr>
          <w:bCs/>
          <w:lang w:val="en-GB"/>
        </w:rPr>
      </w:pPr>
      <w:r w:rsidRPr="004452FC">
        <w:rPr>
          <w:bCs/>
          <w:lang w:val="en-GB"/>
        </w:rPr>
        <w:t>In the NMR, among the treatments, ACP 2 mg was ranked highest for SAE (SUCRA = 82.31), followed by CLG561&amp;LFG316 (SUCRA = 74.04), and CLG561 (SUCRA = 68.64). No treatments showed significant changes in SAE compared with sham. Pegcetacoplan monthly (</w:t>
      </w:r>
      <w:r w:rsidR="00055FFF" w:rsidRPr="004452FC">
        <w:rPr>
          <w:bCs/>
          <w:lang w:val="en-GB"/>
        </w:rPr>
        <w:t>odd ratio [</w:t>
      </w:r>
      <w:r w:rsidRPr="004452FC">
        <w:rPr>
          <w:bCs/>
          <w:lang w:val="en-GB"/>
        </w:rPr>
        <w:t>OR</w:t>
      </w:r>
      <w:r w:rsidR="00055FFF" w:rsidRPr="004452FC">
        <w:rPr>
          <w:bCs/>
          <w:lang w:val="en-GB"/>
        </w:rPr>
        <w:t>]</w:t>
      </w:r>
      <w:r w:rsidRPr="004452FC">
        <w:rPr>
          <w:bCs/>
          <w:lang w:val="en-GB"/>
        </w:rPr>
        <w:t>: 4.30, 95%</w:t>
      </w:r>
      <w:r w:rsidR="00055FFF" w:rsidRPr="004452FC">
        <w:rPr>
          <w:bCs/>
          <w:lang w:val="en-GB"/>
        </w:rPr>
        <w:t xml:space="preserve"> credible interval</w:t>
      </w:r>
      <w:r w:rsidRPr="004452FC">
        <w:rPr>
          <w:bCs/>
          <w:lang w:val="en-GB"/>
        </w:rPr>
        <w:t xml:space="preserve"> </w:t>
      </w:r>
      <w:r w:rsidR="00055FFF" w:rsidRPr="004452FC">
        <w:rPr>
          <w:bCs/>
          <w:lang w:val="en-GB"/>
        </w:rPr>
        <w:t>[</w:t>
      </w:r>
      <w:r w:rsidRPr="004452FC">
        <w:rPr>
          <w:bCs/>
          <w:lang w:val="en-GB"/>
        </w:rPr>
        <w:t>CrI</w:t>
      </w:r>
      <w:r w:rsidR="00055FFF" w:rsidRPr="004452FC">
        <w:rPr>
          <w:bCs/>
          <w:lang w:val="en-GB"/>
        </w:rPr>
        <w:t>]</w:t>
      </w:r>
      <w:r w:rsidRPr="004452FC">
        <w:rPr>
          <w:bCs/>
          <w:lang w:val="en-GB"/>
        </w:rPr>
        <w:t>: 1.48, 16.72) increased the risk of CNV. ACP 2mg demonstrated favourable outcomes in terms of SAE and CNV. Due to the limitations of the NMR discussed in para</w:t>
      </w:r>
      <w:r w:rsidR="009560E4" w:rsidRPr="004452FC">
        <w:rPr>
          <w:bCs/>
          <w:lang w:val="en-GB"/>
        </w:rPr>
        <w:t xml:space="preserve"> </w:t>
      </w:r>
      <w:r w:rsidR="005C5EB4" w:rsidRPr="004452FC">
        <w:rPr>
          <w:bCs/>
          <w:lang w:val="en-GB"/>
        </w:rPr>
        <w:fldChar w:fldCharType="begin"/>
      </w:r>
      <w:r w:rsidR="005C5EB4" w:rsidRPr="004452FC">
        <w:rPr>
          <w:bCs/>
          <w:lang w:val="en-GB"/>
        </w:rPr>
        <w:instrText xml:space="preserve"> REF _Ref219729991 \r \h </w:instrText>
      </w:r>
      <w:r w:rsidR="004452FC" w:rsidRPr="004452FC">
        <w:rPr>
          <w:bCs/>
          <w:lang w:val="en-GB"/>
        </w:rPr>
        <w:instrText xml:space="preserve"> \* MERGEFORMAT </w:instrText>
      </w:r>
      <w:r w:rsidR="005C5EB4" w:rsidRPr="004452FC">
        <w:rPr>
          <w:bCs/>
          <w:lang w:val="en-GB"/>
        </w:rPr>
      </w:r>
      <w:r w:rsidR="005C5EB4" w:rsidRPr="004452FC">
        <w:rPr>
          <w:bCs/>
          <w:lang w:val="en-GB"/>
        </w:rPr>
        <w:fldChar w:fldCharType="separate"/>
      </w:r>
      <w:r w:rsidR="00962F38">
        <w:rPr>
          <w:bCs/>
          <w:lang w:val="en-GB"/>
        </w:rPr>
        <w:t>6.28</w:t>
      </w:r>
      <w:r w:rsidR="005C5EB4" w:rsidRPr="004452FC">
        <w:rPr>
          <w:bCs/>
          <w:lang w:val="en-GB"/>
        </w:rPr>
        <w:fldChar w:fldCharType="end"/>
      </w:r>
      <w:r w:rsidRPr="004452FC">
        <w:rPr>
          <w:bCs/>
          <w:lang w:val="en-GB"/>
        </w:rPr>
        <w:t xml:space="preserve">, </w:t>
      </w:r>
      <w:r w:rsidRPr="004452FC">
        <w:rPr>
          <w:bCs/>
        </w:rPr>
        <w:t xml:space="preserve">the </w:t>
      </w:r>
      <w:r w:rsidR="00E906AF">
        <w:rPr>
          <w:bCs/>
        </w:rPr>
        <w:t xml:space="preserve">evaluation considered the </w:t>
      </w:r>
      <w:r w:rsidRPr="004452FC">
        <w:rPr>
          <w:bCs/>
        </w:rPr>
        <w:t>results of</w:t>
      </w:r>
      <w:r w:rsidR="00465C8E" w:rsidRPr="004452FC">
        <w:rPr>
          <w:bCs/>
        </w:rPr>
        <w:t xml:space="preserve"> the</w:t>
      </w:r>
      <w:r w:rsidRPr="004452FC">
        <w:rPr>
          <w:bCs/>
        </w:rPr>
        <w:t xml:space="preserve"> </w:t>
      </w:r>
      <w:r w:rsidR="004D627E" w:rsidRPr="004452FC">
        <w:rPr>
          <w:bCs/>
        </w:rPr>
        <w:t xml:space="preserve">NMR </w:t>
      </w:r>
      <w:r w:rsidRPr="004452FC">
        <w:rPr>
          <w:bCs/>
        </w:rPr>
        <w:t xml:space="preserve">may not adequately support the claim in the submission that </w:t>
      </w:r>
      <w:r w:rsidRPr="004452FC">
        <w:rPr>
          <w:bCs/>
          <w:lang w:val="en-GB"/>
        </w:rPr>
        <w:t>ACP is non</w:t>
      </w:r>
      <w:r w:rsidR="009B60A6">
        <w:rPr>
          <w:bCs/>
          <w:lang w:val="en-GB"/>
        </w:rPr>
        <w:noBreakHyphen/>
      </w:r>
      <w:r w:rsidRPr="004452FC">
        <w:rPr>
          <w:bCs/>
          <w:lang w:val="en-GB"/>
        </w:rPr>
        <w:t>inferior to pegcetacoplan in terms of safety.</w:t>
      </w:r>
    </w:p>
    <w:p w14:paraId="04908C7F" w14:textId="415B9B7D" w:rsidR="007F1017" w:rsidRPr="00D86D87" w:rsidRDefault="007F1017" w:rsidP="00D86231">
      <w:pPr>
        <w:pStyle w:val="4-SubsectionHeading"/>
      </w:pPr>
      <w:bookmarkStart w:id="52" w:name="_Toc22897643"/>
      <w:bookmarkStart w:id="53" w:name="_Toc219816302"/>
      <w:r w:rsidRPr="00D86D87">
        <w:t>Benefits/harms</w:t>
      </w:r>
      <w:bookmarkEnd w:id="52"/>
      <w:bookmarkEnd w:id="53"/>
    </w:p>
    <w:p w14:paraId="1CB772FF" w14:textId="6178C9A8" w:rsidR="00E723BA" w:rsidRPr="008E5092" w:rsidRDefault="00D3196F" w:rsidP="008E5092">
      <w:pPr>
        <w:pStyle w:val="3-BodyText"/>
        <w:rPr>
          <w:rStyle w:val="CommentReference"/>
          <w:rFonts w:asciiTheme="minorHAnsi" w:hAnsiTheme="minorHAnsi"/>
          <w:b w:val="0"/>
          <w:sz w:val="24"/>
          <w:szCs w:val="22"/>
        </w:rPr>
      </w:pPr>
      <w:r w:rsidRPr="00D3196F">
        <w:t>A summary of the comparative benefits and harms for</w:t>
      </w:r>
      <w:r>
        <w:t xml:space="preserve"> ACP 2 mg vs BSC/sham in the GATHER1 and GATHER2 </w:t>
      </w:r>
      <w:r w:rsidR="002143A2">
        <w:t xml:space="preserve">trials is presented in </w:t>
      </w:r>
      <w:r w:rsidR="008E5092">
        <w:fldChar w:fldCharType="begin"/>
      </w:r>
      <w:r w:rsidR="008E5092">
        <w:instrText xml:space="preserve"> REF _Ref104805037 \h </w:instrText>
      </w:r>
      <w:r w:rsidR="008E5092">
        <w:fldChar w:fldCharType="separate"/>
      </w:r>
      <w:r w:rsidR="00962F38" w:rsidRPr="00D86D87">
        <w:t xml:space="preserve">Table </w:t>
      </w:r>
      <w:r w:rsidR="00962F38">
        <w:rPr>
          <w:noProof/>
        </w:rPr>
        <w:t>9</w:t>
      </w:r>
      <w:r w:rsidR="008E5092">
        <w:fldChar w:fldCharType="end"/>
      </w:r>
      <w:r w:rsidR="008E5092">
        <w:t>.</w:t>
      </w:r>
    </w:p>
    <w:p w14:paraId="04AC1B54" w14:textId="73F439BA" w:rsidR="00B62715" w:rsidRPr="00D86D87" w:rsidRDefault="00D6076E" w:rsidP="00817CD4">
      <w:pPr>
        <w:pStyle w:val="TableFigureHeading"/>
        <w:rPr>
          <w:rStyle w:val="CommentReference"/>
          <w:b/>
          <w:szCs w:val="24"/>
        </w:rPr>
      </w:pPr>
      <w:bookmarkStart w:id="54" w:name="_Ref104805037"/>
      <w:r w:rsidRPr="00D86D87">
        <w:lastRenderedPageBreak/>
        <w:t xml:space="preserve">Table </w:t>
      </w:r>
      <w:fldSimple w:instr=" SEQ Table \* ARABIC ">
        <w:r w:rsidR="00962F38">
          <w:rPr>
            <w:noProof/>
          </w:rPr>
          <w:t>9</w:t>
        </w:r>
      </w:fldSimple>
      <w:bookmarkEnd w:id="54"/>
      <w:r w:rsidRPr="00D86D87">
        <w:t xml:space="preserve">: </w:t>
      </w:r>
      <w:r w:rsidR="00B62715" w:rsidRPr="00D86D87">
        <w:rPr>
          <w:rStyle w:val="CommentReference"/>
          <w:b/>
          <w:szCs w:val="24"/>
        </w:rPr>
        <w:t xml:space="preserve">Summary of comparative benefits and harms for </w:t>
      </w:r>
      <w:r w:rsidR="002143A2">
        <w:rPr>
          <w:rStyle w:val="CommentReference"/>
          <w:b/>
          <w:szCs w:val="24"/>
        </w:rPr>
        <w:t xml:space="preserve">ACP 2 mg vs </w:t>
      </w:r>
      <w:r w:rsidR="001D6BBC">
        <w:rPr>
          <w:rStyle w:val="CommentReference"/>
          <w:b/>
          <w:szCs w:val="24"/>
        </w:rPr>
        <w:t>sham/BSC</w:t>
      </w:r>
      <w:r w:rsidR="002143A2">
        <w:rPr>
          <w:rStyle w:val="CommentReference"/>
          <w:b/>
          <w:szCs w:val="24"/>
        </w:rPr>
        <w:t xml:space="preserve"> in the GATHER1 and GATHER2 trials</w:t>
      </w:r>
      <w:r w:rsidR="001D6BBC">
        <w:rPr>
          <w:rStyle w:val="CommentReference"/>
          <w:b/>
          <w:szCs w:val="24"/>
        </w:rPr>
        <w:t xml:space="preserve"> (ITT populations)</w:t>
      </w:r>
    </w:p>
    <w:tbl>
      <w:tblPr>
        <w:tblW w:w="5000" w:type="pct"/>
        <w:tblLayout w:type="fixed"/>
        <w:tblCellMar>
          <w:left w:w="28" w:type="dxa"/>
          <w:right w:w="28" w:type="dxa"/>
        </w:tblCellMar>
        <w:tblLook w:val="04A0" w:firstRow="1" w:lastRow="0" w:firstColumn="1" w:lastColumn="0" w:noHBand="0" w:noVBand="1"/>
        <w:tblCaption w:val="Table 9: Summary of comparative benefits and harms for ACP 2 mg vs sham/BSC in the GATHER1 and GATHER2 trials (ITT populations)"/>
      </w:tblPr>
      <w:tblGrid>
        <w:gridCol w:w="1555"/>
        <w:gridCol w:w="1277"/>
        <w:gridCol w:w="141"/>
        <w:gridCol w:w="709"/>
        <w:gridCol w:w="283"/>
        <w:gridCol w:w="709"/>
        <w:gridCol w:w="568"/>
        <w:gridCol w:w="705"/>
        <w:gridCol w:w="570"/>
        <w:gridCol w:w="572"/>
        <w:gridCol w:w="563"/>
        <w:gridCol w:w="1365"/>
      </w:tblGrid>
      <w:tr w:rsidR="008E5092" w:rsidRPr="00D86D87" w14:paraId="58CA15BB" w14:textId="77777777">
        <w:trPr>
          <w:cantSplit/>
        </w:trPr>
        <w:tc>
          <w:tcPr>
            <w:tcW w:w="5000" w:type="pct"/>
            <w:gridSpan w:val="12"/>
            <w:tcBorders>
              <w:top w:val="single" w:sz="4" w:space="0" w:color="auto"/>
              <w:left w:val="single" w:sz="4" w:space="0" w:color="auto"/>
              <w:bottom w:val="double" w:sz="4" w:space="0" w:color="auto"/>
              <w:right w:val="single" w:sz="4" w:space="0" w:color="auto"/>
            </w:tcBorders>
            <w:vAlign w:val="center"/>
          </w:tcPr>
          <w:p w14:paraId="0A82D8F6" w14:textId="77777777" w:rsidR="008E5092" w:rsidRPr="00D86D87" w:rsidRDefault="008E5092">
            <w:pPr>
              <w:pStyle w:val="In-tableHeading"/>
              <w:rPr>
                <w:lang w:val="en-AU"/>
              </w:rPr>
            </w:pPr>
            <w:r w:rsidRPr="00D86D87">
              <w:rPr>
                <w:lang w:val="en-AU"/>
              </w:rPr>
              <w:t>Benefits</w:t>
            </w:r>
          </w:p>
        </w:tc>
      </w:tr>
      <w:tr w:rsidR="008E5092" w:rsidRPr="00D86D87" w14:paraId="1D741BAA" w14:textId="77777777">
        <w:trPr>
          <w:cantSplit/>
        </w:trPr>
        <w:tc>
          <w:tcPr>
            <w:tcW w:w="5000" w:type="pct"/>
            <w:gridSpan w:val="12"/>
            <w:tcBorders>
              <w:top w:val="double" w:sz="4" w:space="0" w:color="auto"/>
              <w:left w:val="single" w:sz="4" w:space="0" w:color="auto"/>
              <w:bottom w:val="single" w:sz="4" w:space="0" w:color="auto"/>
              <w:right w:val="single" w:sz="4" w:space="0" w:color="auto"/>
            </w:tcBorders>
            <w:vAlign w:val="center"/>
          </w:tcPr>
          <w:p w14:paraId="5BB081E5" w14:textId="77777777" w:rsidR="008E5092" w:rsidRPr="00D86D87" w:rsidRDefault="008E5092">
            <w:pPr>
              <w:pStyle w:val="In-tableHeading"/>
              <w:rPr>
                <w:lang w:val="en-AU"/>
              </w:rPr>
            </w:pPr>
            <w:r w:rsidRPr="00D86D87">
              <w:rPr>
                <w:lang w:val="en-AU"/>
              </w:rPr>
              <w:t>Continuous outcome</w:t>
            </w:r>
          </w:p>
        </w:tc>
      </w:tr>
      <w:tr w:rsidR="008E5092" w:rsidRPr="00D86D87" w14:paraId="1F40B1CF" w14:textId="77777777" w:rsidTr="00817CD4">
        <w:trPr>
          <w:cantSplit/>
          <w:trHeight w:val="225"/>
        </w:trPr>
        <w:tc>
          <w:tcPr>
            <w:tcW w:w="1649" w:type="pct"/>
            <w:gridSpan w:val="3"/>
            <w:vMerge w:val="restart"/>
            <w:tcBorders>
              <w:top w:val="single" w:sz="4" w:space="0" w:color="auto"/>
              <w:left w:val="single" w:sz="4" w:space="0" w:color="auto"/>
              <w:bottom w:val="single" w:sz="4" w:space="0" w:color="auto"/>
              <w:right w:val="single" w:sz="4" w:space="0" w:color="auto"/>
            </w:tcBorders>
            <w:vAlign w:val="center"/>
          </w:tcPr>
          <w:p w14:paraId="0A560AB3" w14:textId="77777777" w:rsidR="008E5092" w:rsidRPr="00D86D87" w:rsidRDefault="008E5092">
            <w:pPr>
              <w:pStyle w:val="In-tableHeading"/>
            </w:pPr>
            <w:r>
              <w:t>GATHER1</w:t>
            </w:r>
          </w:p>
        </w:tc>
        <w:tc>
          <w:tcPr>
            <w:tcW w:w="1258" w:type="pct"/>
            <w:gridSpan w:val="4"/>
            <w:tcBorders>
              <w:top w:val="single" w:sz="4" w:space="0" w:color="auto"/>
              <w:left w:val="single" w:sz="4" w:space="0" w:color="auto"/>
              <w:bottom w:val="single" w:sz="4" w:space="0" w:color="auto"/>
              <w:right w:val="single" w:sz="4" w:space="0" w:color="auto"/>
            </w:tcBorders>
            <w:vAlign w:val="center"/>
          </w:tcPr>
          <w:p w14:paraId="21E52283" w14:textId="77777777" w:rsidR="008E5092" w:rsidRPr="00D86D87" w:rsidRDefault="008E5092">
            <w:pPr>
              <w:pStyle w:val="In-tableHeading"/>
              <w:jc w:val="center"/>
              <w:rPr>
                <w:lang w:val="en-AU"/>
              </w:rPr>
            </w:pPr>
            <w:r>
              <w:rPr>
                <w:lang w:val="en-AU"/>
              </w:rPr>
              <w:t>ACP 2 mg</w:t>
            </w:r>
          </w:p>
        </w:tc>
        <w:tc>
          <w:tcPr>
            <w:tcW w:w="1336" w:type="pct"/>
            <w:gridSpan w:val="4"/>
            <w:tcBorders>
              <w:top w:val="single" w:sz="4" w:space="0" w:color="auto"/>
              <w:left w:val="single" w:sz="4" w:space="0" w:color="auto"/>
              <w:bottom w:val="single" w:sz="4" w:space="0" w:color="auto"/>
              <w:right w:val="single" w:sz="4" w:space="0" w:color="auto"/>
            </w:tcBorders>
            <w:vAlign w:val="center"/>
          </w:tcPr>
          <w:p w14:paraId="6E69B8E1" w14:textId="77777777" w:rsidR="008E5092" w:rsidRPr="00D86D87" w:rsidRDefault="008E5092">
            <w:pPr>
              <w:pStyle w:val="In-tableHeading"/>
              <w:jc w:val="center"/>
              <w:rPr>
                <w:lang w:val="en-AU"/>
              </w:rPr>
            </w:pPr>
            <w:r>
              <w:rPr>
                <w:lang w:val="en-AU"/>
              </w:rPr>
              <w:t>Sham/BSC</w:t>
            </w:r>
          </w:p>
        </w:tc>
        <w:tc>
          <w:tcPr>
            <w:tcW w:w="757" w:type="pct"/>
            <w:vMerge w:val="restart"/>
            <w:tcBorders>
              <w:top w:val="single" w:sz="4" w:space="0" w:color="auto"/>
              <w:left w:val="single" w:sz="4" w:space="0" w:color="auto"/>
              <w:bottom w:val="single" w:sz="4" w:space="0" w:color="auto"/>
              <w:right w:val="single" w:sz="4" w:space="0" w:color="auto"/>
            </w:tcBorders>
            <w:vAlign w:val="center"/>
          </w:tcPr>
          <w:p w14:paraId="68E67FE7" w14:textId="77777777" w:rsidR="008E5092" w:rsidRPr="00D86D87" w:rsidRDefault="008E5092">
            <w:pPr>
              <w:pStyle w:val="In-tableHeading"/>
              <w:jc w:val="center"/>
              <w:rPr>
                <w:lang w:val="en-AU"/>
              </w:rPr>
            </w:pPr>
            <w:r>
              <w:rPr>
                <w:lang w:val="en-AU"/>
              </w:rPr>
              <w:t>D</w:t>
            </w:r>
            <w:r w:rsidRPr="00D86D87">
              <w:rPr>
                <w:lang w:val="en-AU"/>
              </w:rPr>
              <w:t>ifference:</w:t>
            </w:r>
          </w:p>
          <w:p w14:paraId="6DC5BDF9" w14:textId="77777777" w:rsidR="008E5092" w:rsidRPr="00D86D87" w:rsidRDefault="008E5092">
            <w:pPr>
              <w:pStyle w:val="In-tableHeading"/>
              <w:jc w:val="center"/>
              <w:rPr>
                <w:szCs w:val="18"/>
                <w:lang w:val="en-AU"/>
              </w:rPr>
            </w:pPr>
            <w:r>
              <w:rPr>
                <w:szCs w:val="18"/>
                <w:lang w:val="en-AU"/>
              </w:rPr>
              <w:t>ACP 2mg</w:t>
            </w:r>
            <w:r w:rsidRPr="00D86D87">
              <w:rPr>
                <w:szCs w:val="18"/>
                <w:lang w:val="en-AU"/>
              </w:rPr>
              <w:t xml:space="preserve"> vs. </w:t>
            </w:r>
            <w:r>
              <w:rPr>
                <w:szCs w:val="18"/>
                <w:lang w:val="en-AU"/>
              </w:rPr>
              <w:t>BSC/sham</w:t>
            </w:r>
          </w:p>
          <w:p w14:paraId="5615D95D" w14:textId="77777777" w:rsidR="008E5092" w:rsidRPr="00D86D87" w:rsidRDefault="008E5092">
            <w:pPr>
              <w:pStyle w:val="In-tableHeading"/>
              <w:jc w:val="center"/>
              <w:rPr>
                <w:szCs w:val="18"/>
                <w:lang w:val="en-AU"/>
              </w:rPr>
            </w:pPr>
            <w:r w:rsidRPr="00D86D87">
              <w:rPr>
                <w:szCs w:val="18"/>
                <w:lang w:val="en-AU"/>
              </w:rPr>
              <w:t>(95% CI)</w:t>
            </w:r>
          </w:p>
        </w:tc>
      </w:tr>
      <w:tr w:rsidR="008E5092" w:rsidRPr="00D86D87" w14:paraId="1A2819E1" w14:textId="77777777" w:rsidTr="00817CD4">
        <w:trPr>
          <w:cantSplit/>
          <w:trHeight w:val="225"/>
        </w:trPr>
        <w:tc>
          <w:tcPr>
            <w:tcW w:w="1649" w:type="pct"/>
            <w:gridSpan w:val="3"/>
            <w:vMerge/>
            <w:tcBorders>
              <w:top w:val="single" w:sz="4" w:space="0" w:color="auto"/>
              <w:left w:val="single" w:sz="4" w:space="0" w:color="auto"/>
              <w:bottom w:val="single" w:sz="4" w:space="0" w:color="auto"/>
              <w:right w:val="single" w:sz="4" w:space="0" w:color="auto"/>
            </w:tcBorders>
            <w:vAlign w:val="center"/>
          </w:tcPr>
          <w:p w14:paraId="0FF210B1" w14:textId="77777777" w:rsidR="008E5092" w:rsidRPr="00D86D87" w:rsidRDefault="008E5092">
            <w:pPr>
              <w:pStyle w:val="In-tableHeading"/>
              <w:rPr>
                <w:color w:val="000000"/>
                <w:szCs w:val="18"/>
                <w:lang w:val="en-AU"/>
              </w:rPr>
            </w:pPr>
          </w:p>
        </w:tc>
        <w:tc>
          <w:tcPr>
            <w:tcW w:w="393" w:type="pct"/>
            <w:tcBorders>
              <w:top w:val="single" w:sz="4" w:space="0" w:color="auto"/>
              <w:left w:val="single" w:sz="4" w:space="0" w:color="auto"/>
              <w:bottom w:val="single" w:sz="4" w:space="0" w:color="auto"/>
              <w:right w:val="single" w:sz="4" w:space="0" w:color="auto"/>
            </w:tcBorders>
            <w:vAlign w:val="center"/>
          </w:tcPr>
          <w:p w14:paraId="54771C82" w14:textId="77777777" w:rsidR="008E5092" w:rsidRPr="00D86D87" w:rsidRDefault="008E5092">
            <w:pPr>
              <w:pStyle w:val="In-tableHeading"/>
              <w:jc w:val="center"/>
              <w:rPr>
                <w:lang w:val="en-AU"/>
              </w:rPr>
            </w:pPr>
            <w:r w:rsidRPr="00D86D87">
              <w:rPr>
                <w:lang w:val="en-AU"/>
              </w:rPr>
              <w:t>N</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788D88A1" w14:textId="77777777" w:rsidR="008E5092" w:rsidRPr="00D86D87" w:rsidRDefault="008E5092">
            <w:pPr>
              <w:pStyle w:val="In-tableHeading"/>
              <w:jc w:val="center"/>
              <w:rPr>
                <w:lang w:val="en-AU"/>
              </w:rPr>
            </w:pPr>
            <w:r>
              <w:rPr>
                <w:lang w:val="en-AU"/>
              </w:rPr>
              <w:t xml:space="preserve">LS </w:t>
            </w:r>
            <w:r w:rsidRPr="00D86D87">
              <w:rPr>
                <w:lang w:val="en-AU"/>
              </w:rPr>
              <w:t xml:space="preserve">Mean ∆ baseline </w:t>
            </w:r>
            <w:r>
              <w:rPr>
                <w:lang w:val="en-AU"/>
              </w:rPr>
              <w:t>(mm</w:t>
            </w:r>
            <w:r w:rsidRPr="00897A45">
              <w:rPr>
                <w:vertAlign w:val="superscript"/>
                <w:lang w:val="en-AU"/>
              </w:rPr>
              <w:t>2</w:t>
            </w:r>
            <w:r>
              <w:rPr>
                <w:lang w:val="en-AU"/>
              </w:rPr>
              <w:t>)</w:t>
            </w:r>
          </w:p>
        </w:tc>
        <w:tc>
          <w:tcPr>
            <w:tcW w:w="315" w:type="pct"/>
            <w:tcBorders>
              <w:top w:val="single" w:sz="4" w:space="0" w:color="auto"/>
              <w:left w:val="single" w:sz="4" w:space="0" w:color="auto"/>
              <w:bottom w:val="single" w:sz="4" w:space="0" w:color="auto"/>
              <w:right w:val="single" w:sz="4" w:space="0" w:color="auto"/>
            </w:tcBorders>
            <w:vAlign w:val="center"/>
          </w:tcPr>
          <w:p w14:paraId="68BF8DC9" w14:textId="77777777" w:rsidR="008E5092" w:rsidRPr="00D86D87" w:rsidRDefault="008E5092">
            <w:pPr>
              <w:pStyle w:val="In-tableHeading"/>
              <w:jc w:val="center"/>
              <w:rPr>
                <w:lang w:val="en-AU"/>
              </w:rPr>
            </w:pPr>
            <w:r w:rsidRPr="00D86D87">
              <w:rPr>
                <w:lang w:val="en-AU"/>
              </w:rPr>
              <w:t>S</w:t>
            </w:r>
            <w:r>
              <w:rPr>
                <w:lang w:val="en-AU"/>
              </w:rPr>
              <w:t>E</w:t>
            </w:r>
          </w:p>
        </w:tc>
        <w:tc>
          <w:tcPr>
            <w:tcW w:w="391" w:type="pct"/>
            <w:tcBorders>
              <w:top w:val="single" w:sz="4" w:space="0" w:color="auto"/>
              <w:left w:val="single" w:sz="4" w:space="0" w:color="auto"/>
              <w:bottom w:val="single" w:sz="4" w:space="0" w:color="auto"/>
              <w:right w:val="single" w:sz="4" w:space="0" w:color="auto"/>
            </w:tcBorders>
            <w:vAlign w:val="center"/>
          </w:tcPr>
          <w:p w14:paraId="17AF3742" w14:textId="77777777" w:rsidR="008E5092" w:rsidRPr="00D86D87" w:rsidRDefault="008E5092">
            <w:pPr>
              <w:pStyle w:val="In-tableHeading"/>
              <w:jc w:val="center"/>
              <w:rPr>
                <w:lang w:val="en-AU"/>
              </w:rPr>
            </w:pPr>
            <w:r w:rsidRPr="00D86D87">
              <w:rPr>
                <w:lang w:val="en-AU"/>
              </w:rPr>
              <w:t>N</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37E78D48" w14:textId="77777777" w:rsidR="008E5092" w:rsidRPr="00D86D87" w:rsidRDefault="008E5092">
            <w:pPr>
              <w:pStyle w:val="In-tableHeading"/>
              <w:jc w:val="center"/>
              <w:rPr>
                <w:lang w:val="en-AU"/>
              </w:rPr>
            </w:pPr>
            <w:r>
              <w:rPr>
                <w:lang w:val="en-AU"/>
              </w:rPr>
              <w:t xml:space="preserve">LS </w:t>
            </w:r>
            <w:r w:rsidRPr="00D86D87">
              <w:rPr>
                <w:lang w:val="en-AU"/>
              </w:rPr>
              <w:t xml:space="preserve">Mean ∆ baseline </w:t>
            </w:r>
            <w:r>
              <w:rPr>
                <w:lang w:val="en-AU"/>
              </w:rPr>
              <w:t>(mm</w:t>
            </w:r>
            <w:r w:rsidRPr="00897A45">
              <w:rPr>
                <w:vertAlign w:val="superscript"/>
                <w:lang w:val="en-AU"/>
              </w:rPr>
              <w:t>2</w:t>
            </w:r>
            <w:r>
              <w:rPr>
                <w:lang w:val="en-AU"/>
              </w:rPr>
              <w:t>)</w:t>
            </w:r>
          </w:p>
        </w:tc>
        <w:tc>
          <w:tcPr>
            <w:tcW w:w="311" w:type="pct"/>
            <w:tcBorders>
              <w:top w:val="single" w:sz="4" w:space="0" w:color="auto"/>
              <w:left w:val="single" w:sz="4" w:space="0" w:color="auto"/>
              <w:bottom w:val="single" w:sz="4" w:space="0" w:color="auto"/>
              <w:right w:val="single" w:sz="4" w:space="0" w:color="auto"/>
            </w:tcBorders>
            <w:vAlign w:val="center"/>
          </w:tcPr>
          <w:p w14:paraId="4923E6BC" w14:textId="77777777" w:rsidR="008E5092" w:rsidRPr="00D86D87" w:rsidRDefault="008E5092">
            <w:pPr>
              <w:pStyle w:val="In-tableHeading"/>
              <w:jc w:val="center"/>
              <w:rPr>
                <w:lang w:val="en-AU"/>
              </w:rPr>
            </w:pPr>
            <w:r w:rsidRPr="00D86D87">
              <w:rPr>
                <w:lang w:val="en-AU"/>
              </w:rPr>
              <w:t>S</w:t>
            </w:r>
            <w:r>
              <w:rPr>
                <w:lang w:val="en-AU"/>
              </w:rPr>
              <w:t>E</w:t>
            </w:r>
          </w:p>
        </w:tc>
        <w:tc>
          <w:tcPr>
            <w:tcW w:w="757" w:type="pct"/>
            <w:vMerge/>
            <w:tcBorders>
              <w:top w:val="single" w:sz="4" w:space="0" w:color="auto"/>
              <w:left w:val="single" w:sz="4" w:space="0" w:color="auto"/>
              <w:bottom w:val="single" w:sz="4" w:space="0" w:color="auto"/>
              <w:right w:val="single" w:sz="4" w:space="0" w:color="auto"/>
            </w:tcBorders>
            <w:vAlign w:val="center"/>
          </w:tcPr>
          <w:p w14:paraId="0157A380" w14:textId="77777777" w:rsidR="008E5092" w:rsidRPr="00D86D87" w:rsidRDefault="008E5092">
            <w:pPr>
              <w:pStyle w:val="In-tableHeading"/>
              <w:rPr>
                <w:szCs w:val="18"/>
                <w:lang w:val="en-AU"/>
              </w:rPr>
            </w:pPr>
          </w:p>
        </w:tc>
      </w:tr>
      <w:tr w:rsidR="008E5092" w:rsidRPr="00D86D87" w14:paraId="2AF74C37" w14:textId="77777777" w:rsidTr="00817CD4">
        <w:trPr>
          <w:cantSplit/>
        </w:trPr>
        <w:tc>
          <w:tcPr>
            <w:tcW w:w="1649" w:type="pct"/>
            <w:gridSpan w:val="3"/>
            <w:tcBorders>
              <w:top w:val="single" w:sz="4" w:space="0" w:color="auto"/>
              <w:left w:val="single" w:sz="4" w:space="0" w:color="auto"/>
              <w:bottom w:val="single" w:sz="4" w:space="0" w:color="auto"/>
              <w:right w:val="single" w:sz="4" w:space="0" w:color="auto"/>
            </w:tcBorders>
            <w:vAlign w:val="center"/>
          </w:tcPr>
          <w:p w14:paraId="0F757EF2" w14:textId="4697A92E" w:rsidR="008E5092" w:rsidRPr="00D86D87" w:rsidRDefault="008E5092">
            <w:pPr>
              <w:pStyle w:val="TableText0"/>
            </w:pPr>
            <w:r>
              <w:t>Mean rate of change in GA area</w:t>
            </w:r>
            <w:r w:rsidR="001B2938" w:rsidRPr="001B2938">
              <w:rPr>
                <w:vertAlign w:val="superscript"/>
              </w:rPr>
              <w:t>a</w:t>
            </w:r>
            <w:r>
              <w:t xml:space="preserve"> (observed) from baseline to Month 12</w:t>
            </w:r>
          </w:p>
        </w:tc>
        <w:tc>
          <w:tcPr>
            <w:tcW w:w="393" w:type="pct"/>
            <w:tcBorders>
              <w:top w:val="single" w:sz="4" w:space="0" w:color="auto"/>
              <w:left w:val="single" w:sz="4" w:space="0" w:color="auto"/>
              <w:bottom w:val="single" w:sz="4" w:space="0" w:color="auto"/>
              <w:right w:val="single" w:sz="4" w:space="0" w:color="auto"/>
            </w:tcBorders>
            <w:vAlign w:val="center"/>
          </w:tcPr>
          <w:p w14:paraId="2993BD5B" w14:textId="77777777" w:rsidR="008E5092" w:rsidRPr="00D86D87" w:rsidRDefault="008E5092">
            <w:pPr>
              <w:pStyle w:val="TableText0"/>
              <w:jc w:val="center"/>
            </w:pPr>
            <w:r>
              <w:t>67</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23D40711" w14:textId="77777777" w:rsidR="008E5092" w:rsidRPr="00D86D87" w:rsidRDefault="008E5092">
            <w:pPr>
              <w:pStyle w:val="TableText0"/>
              <w:jc w:val="center"/>
            </w:pPr>
            <w:r>
              <w:t>1.59</w:t>
            </w:r>
          </w:p>
        </w:tc>
        <w:tc>
          <w:tcPr>
            <w:tcW w:w="315" w:type="pct"/>
            <w:tcBorders>
              <w:top w:val="single" w:sz="4" w:space="0" w:color="auto"/>
              <w:left w:val="single" w:sz="4" w:space="0" w:color="auto"/>
              <w:bottom w:val="single" w:sz="4" w:space="0" w:color="auto"/>
              <w:right w:val="single" w:sz="4" w:space="0" w:color="auto"/>
            </w:tcBorders>
            <w:vAlign w:val="center"/>
          </w:tcPr>
          <w:p w14:paraId="181FDF72" w14:textId="77777777" w:rsidR="008E5092" w:rsidRPr="00D86D87" w:rsidRDefault="008E5092">
            <w:pPr>
              <w:pStyle w:val="TableText0"/>
              <w:jc w:val="center"/>
            </w:pPr>
            <w:r>
              <w:t>0.48</w:t>
            </w:r>
          </w:p>
        </w:tc>
        <w:tc>
          <w:tcPr>
            <w:tcW w:w="391" w:type="pct"/>
            <w:tcBorders>
              <w:top w:val="single" w:sz="4" w:space="0" w:color="auto"/>
              <w:left w:val="single" w:sz="4" w:space="0" w:color="auto"/>
              <w:bottom w:val="single" w:sz="4" w:space="0" w:color="auto"/>
              <w:right w:val="single" w:sz="4" w:space="0" w:color="auto"/>
            </w:tcBorders>
            <w:vAlign w:val="center"/>
          </w:tcPr>
          <w:p w14:paraId="19CBE674" w14:textId="77777777" w:rsidR="008E5092" w:rsidRPr="00D86D87" w:rsidRDefault="008E5092">
            <w:pPr>
              <w:pStyle w:val="TableText0"/>
              <w:jc w:val="center"/>
            </w:pPr>
            <w:r>
              <w:t>110</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3E54BDA8" w14:textId="77777777" w:rsidR="008E5092" w:rsidRPr="00D86D87" w:rsidRDefault="008E5092">
            <w:pPr>
              <w:pStyle w:val="TableText0"/>
              <w:jc w:val="center"/>
            </w:pPr>
            <w:r>
              <w:t>2.29</w:t>
            </w:r>
          </w:p>
        </w:tc>
        <w:tc>
          <w:tcPr>
            <w:tcW w:w="311" w:type="pct"/>
            <w:tcBorders>
              <w:top w:val="single" w:sz="4" w:space="0" w:color="auto"/>
              <w:left w:val="single" w:sz="4" w:space="0" w:color="auto"/>
              <w:bottom w:val="single" w:sz="4" w:space="0" w:color="auto"/>
              <w:right w:val="single" w:sz="4" w:space="0" w:color="auto"/>
            </w:tcBorders>
            <w:vAlign w:val="center"/>
          </w:tcPr>
          <w:p w14:paraId="53FC9921" w14:textId="77777777" w:rsidR="008E5092" w:rsidRPr="00D86D87" w:rsidRDefault="008E5092">
            <w:pPr>
              <w:pStyle w:val="TableText0"/>
              <w:jc w:val="center"/>
            </w:pPr>
            <w:r>
              <w:t>0.47</w:t>
            </w:r>
          </w:p>
        </w:tc>
        <w:tc>
          <w:tcPr>
            <w:tcW w:w="757" w:type="pct"/>
            <w:tcBorders>
              <w:top w:val="single" w:sz="4" w:space="0" w:color="auto"/>
              <w:left w:val="single" w:sz="4" w:space="0" w:color="auto"/>
              <w:bottom w:val="single" w:sz="4" w:space="0" w:color="auto"/>
              <w:right w:val="single" w:sz="4" w:space="0" w:color="auto"/>
            </w:tcBorders>
            <w:vAlign w:val="center"/>
          </w:tcPr>
          <w:p w14:paraId="1C8B66E6" w14:textId="10313B2A" w:rsidR="008E5092" w:rsidRPr="00D86D87" w:rsidRDefault="009B60A6" w:rsidP="00817CD4">
            <w:pPr>
              <w:pStyle w:val="TableText0"/>
              <w:jc w:val="center"/>
            </w:pPr>
            <w:r>
              <w:noBreakHyphen/>
            </w:r>
            <w:r w:rsidR="008E5092">
              <w:t xml:space="preserve">0.70 </w:t>
            </w:r>
            <w:r w:rsidR="00817CD4">
              <w:br/>
            </w:r>
            <w:r w:rsidR="008E5092">
              <w:t>(</w:t>
            </w:r>
            <w:r>
              <w:noBreakHyphen/>
            </w:r>
            <w:r w:rsidR="001B2938">
              <w:t xml:space="preserve">1.19. </w:t>
            </w:r>
            <w:r>
              <w:noBreakHyphen/>
            </w:r>
            <w:r w:rsidR="008E5092">
              <w:t>0.20)</w:t>
            </w:r>
          </w:p>
        </w:tc>
      </w:tr>
      <w:tr w:rsidR="008E5092" w:rsidRPr="00D86D87" w14:paraId="4AEB2771" w14:textId="77777777" w:rsidTr="00817CD4">
        <w:trPr>
          <w:cantSplit/>
        </w:trPr>
        <w:tc>
          <w:tcPr>
            <w:tcW w:w="1649" w:type="pct"/>
            <w:gridSpan w:val="3"/>
            <w:tcBorders>
              <w:top w:val="single" w:sz="4" w:space="0" w:color="auto"/>
              <w:left w:val="single" w:sz="4" w:space="0" w:color="auto"/>
              <w:bottom w:val="single" w:sz="4" w:space="0" w:color="auto"/>
              <w:right w:val="single" w:sz="4" w:space="0" w:color="auto"/>
            </w:tcBorders>
            <w:vAlign w:val="center"/>
          </w:tcPr>
          <w:p w14:paraId="6C339878" w14:textId="43423562" w:rsidR="008E5092" w:rsidRDefault="008E5092">
            <w:pPr>
              <w:pStyle w:val="TableText0"/>
            </w:pPr>
            <w:r>
              <w:t>Mean rate of change in GA area</w:t>
            </w:r>
            <w:r w:rsidR="001B2938" w:rsidRPr="001B2938">
              <w:rPr>
                <w:vertAlign w:val="superscript"/>
              </w:rPr>
              <w:t>a</w:t>
            </w:r>
            <w:r>
              <w:t xml:space="preserve"> (observed) from baseline to Month 18</w:t>
            </w:r>
          </w:p>
        </w:tc>
        <w:tc>
          <w:tcPr>
            <w:tcW w:w="393" w:type="pct"/>
            <w:tcBorders>
              <w:top w:val="single" w:sz="4" w:space="0" w:color="auto"/>
              <w:left w:val="single" w:sz="4" w:space="0" w:color="auto"/>
              <w:bottom w:val="single" w:sz="4" w:space="0" w:color="auto"/>
              <w:right w:val="single" w:sz="4" w:space="0" w:color="auto"/>
            </w:tcBorders>
            <w:vAlign w:val="center"/>
          </w:tcPr>
          <w:p w14:paraId="126D202B" w14:textId="77777777" w:rsidR="008E5092" w:rsidRPr="00D86D87" w:rsidRDefault="008E5092">
            <w:pPr>
              <w:pStyle w:val="TableText0"/>
              <w:jc w:val="center"/>
            </w:pPr>
            <w:r>
              <w:t>67</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7F77CCBC" w14:textId="77777777" w:rsidR="008E5092" w:rsidRPr="00D86D87" w:rsidRDefault="008E5092">
            <w:pPr>
              <w:pStyle w:val="TableText0"/>
              <w:jc w:val="center"/>
            </w:pPr>
            <w:r>
              <w:t>2.43</w:t>
            </w:r>
          </w:p>
        </w:tc>
        <w:tc>
          <w:tcPr>
            <w:tcW w:w="315" w:type="pct"/>
            <w:tcBorders>
              <w:top w:val="single" w:sz="4" w:space="0" w:color="auto"/>
              <w:left w:val="single" w:sz="4" w:space="0" w:color="auto"/>
              <w:bottom w:val="single" w:sz="4" w:space="0" w:color="auto"/>
              <w:right w:val="single" w:sz="4" w:space="0" w:color="auto"/>
            </w:tcBorders>
            <w:vAlign w:val="center"/>
          </w:tcPr>
          <w:p w14:paraId="31F65490" w14:textId="77777777" w:rsidR="008E5092" w:rsidRPr="00D86D87" w:rsidRDefault="008E5092">
            <w:pPr>
              <w:pStyle w:val="TableText0"/>
              <w:jc w:val="center"/>
            </w:pPr>
            <w:r>
              <w:t>0.61</w:t>
            </w:r>
          </w:p>
        </w:tc>
        <w:tc>
          <w:tcPr>
            <w:tcW w:w="391" w:type="pct"/>
            <w:tcBorders>
              <w:top w:val="single" w:sz="4" w:space="0" w:color="auto"/>
              <w:left w:val="single" w:sz="4" w:space="0" w:color="auto"/>
              <w:bottom w:val="single" w:sz="4" w:space="0" w:color="auto"/>
              <w:right w:val="single" w:sz="4" w:space="0" w:color="auto"/>
            </w:tcBorders>
            <w:vAlign w:val="center"/>
          </w:tcPr>
          <w:p w14:paraId="5216F359" w14:textId="77777777" w:rsidR="008E5092" w:rsidRPr="00D86D87" w:rsidRDefault="008E5092">
            <w:pPr>
              <w:pStyle w:val="TableText0"/>
              <w:jc w:val="center"/>
            </w:pPr>
            <w:r>
              <w:t>110</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558291C5" w14:textId="77777777" w:rsidR="008E5092" w:rsidRPr="00D86D87" w:rsidRDefault="008E5092">
            <w:pPr>
              <w:pStyle w:val="TableText0"/>
              <w:jc w:val="center"/>
            </w:pPr>
            <w:r>
              <w:t>3.59</w:t>
            </w:r>
          </w:p>
        </w:tc>
        <w:tc>
          <w:tcPr>
            <w:tcW w:w="311" w:type="pct"/>
            <w:tcBorders>
              <w:top w:val="single" w:sz="4" w:space="0" w:color="auto"/>
              <w:left w:val="single" w:sz="4" w:space="0" w:color="auto"/>
              <w:bottom w:val="single" w:sz="4" w:space="0" w:color="auto"/>
              <w:right w:val="single" w:sz="4" w:space="0" w:color="auto"/>
            </w:tcBorders>
            <w:vAlign w:val="center"/>
          </w:tcPr>
          <w:p w14:paraId="0D1F16C0" w14:textId="77777777" w:rsidR="008E5092" w:rsidRPr="00D86D87" w:rsidRDefault="008E5092">
            <w:pPr>
              <w:pStyle w:val="TableText0"/>
              <w:jc w:val="center"/>
            </w:pPr>
            <w:r>
              <w:t>0.59</w:t>
            </w:r>
          </w:p>
        </w:tc>
        <w:tc>
          <w:tcPr>
            <w:tcW w:w="757" w:type="pct"/>
            <w:tcBorders>
              <w:top w:val="single" w:sz="4" w:space="0" w:color="auto"/>
              <w:left w:val="single" w:sz="4" w:space="0" w:color="auto"/>
              <w:bottom w:val="single" w:sz="4" w:space="0" w:color="auto"/>
              <w:right w:val="single" w:sz="4" w:space="0" w:color="auto"/>
            </w:tcBorders>
            <w:vAlign w:val="center"/>
          </w:tcPr>
          <w:p w14:paraId="7CB8719A" w14:textId="2D93CCB4" w:rsidR="008E5092" w:rsidRPr="00D86D87" w:rsidRDefault="009B60A6" w:rsidP="00817CD4">
            <w:pPr>
              <w:pStyle w:val="TableText0"/>
              <w:jc w:val="center"/>
            </w:pPr>
            <w:r>
              <w:rPr>
                <w:lang w:val="en-IN"/>
              </w:rPr>
              <w:noBreakHyphen/>
            </w:r>
            <w:r w:rsidR="008E5092" w:rsidRPr="001D6BBC">
              <w:rPr>
                <w:lang w:val="en-IN"/>
              </w:rPr>
              <w:t xml:space="preserve">1.16 </w:t>
            </w:r>
            <w:r w:rsidR="00817CD4">
              <w:rPr>
                <w:lang w:val="en-IN"/>
              </w:rPr>
              <w:br/>
            </w:r>
            <w:r w:rsidR="008E5092" w:rsidRPr="001D6BBC">
              <w:rPr>
                <w:lang w:val="en-IN"/>
              </w:rPr>
              <w:t>(</w:t>
            </w:r>
            <w:r>
              <w:rPr>
                <w:lang w:val="en-IN"/>
              </w:rPr>
              <w:noBreakHyphen/>
            </w:r>
            <w:r w:rsidR="008E5092" w:rsidRPr="001D6BBC">
              <w:rPr>
                <w:lang w:val="en-IN"/>
              </w:rPr>
              <w:t>1.83</w:t>
            </w:r>
            <w:r w:rsidR="001B2938">
              <w:rPr>
                <w:lang w:val="en-IN"/>
              </w:rPr>
              <w:t xml:space="preserve">, </w:t>
            </w:r>
            <w:r>
              <w:rPr>
                <w:lang w:val="en-IN"/>
              </w:rPr>
              <w:noBreakHyphen/>
            </w:r>
            <w:r w:rsidR="001B2938" w:rsidRPr="001D6BBC">
              <w:rPr>
                <w:lang w:val="en-IN"/>
              </w:rPr>
              <w:t>0.48</w:t>
            </w:r>
            <w:r w:rsidR="008E5092" w:rsidRPr="001D6BBC">
              <w:rPr>
                <w:lang w:val="en-IN"/>
              </w:rPr>
              <w:t>)</w:t>
            </w:r>
          </w:p>
        </w:tc>
      </w:tr>
      <w:tr w:rsidR="008E5092" w:rsidRPr="00D86D87" w14:paraId="53AE1D38" w14:textId="77777777" w:rsidTr="00817CD4">
        <w:trPr>
          <w:cantSplit/>
          <w:trHeight w:val="225"/>
        </w:trPr>
        <w:tc>
          <w:tcPr>
            <w:tcW w:w="1649" w:type="pct"/>
            <w:gridSpan w:val="3"/>
            <w:vMerge w:val="restart"/>
            <w:tcBorders>
              <w:top w:val="single" w:sz="4" w:space="0" w:color="auto"/>
              <w:left w:val="single" w:sz="4" w:space="0" w:color="auto"/>
              <w:bottom w:val="single" w:sz="4" w:space="0" w:color="auto"/>
              <w:right w:val="single" w:sz="4" w:space="0" w:color="auto"/>
            </w:tcBorders>
            <w:vAlign w:val="center"/>
          </w:tcPr>
          <w:p w14:paraId="3A54F5B0" w14:textId="77777777" w:rsidR="008E5092" w:rsidRPr="00D86D87" w:rsidRDefault="008E5092">
            <w:pPr>
              <w:pStyle w:val="In-tableHeading"/>
            </w:pPr>
            <w:r>
              <w:t>GATHER2</w:t>
            </w:r>
          </w:p>
        </w:tc>
        <w:tc>
          <w:tcPr>
            <w:tcW w:w="1258" w:type="pct"/>
            <w:gridSpan w:val="4"/>
            <w:tcBorders>
              <w:top w:val="single" w:sz="4" w:space="0" w:color="auto"/>
              <w:left w:val="single" w:sz="4" w:space="0" w:color="auto"/>
              <w:bottom w:val="single" w:sz="4" w:space="0" w:color="auto"/>
              <w:right w:val="single" w:sz="4" w:space="0" w:color="auto"/>
            </w:tcBorders>
            <w:vAlign w:val="center"/>
          </w:tcPr>
          <w:p w14:paraId="68624065" w14:textId="77777777" w:rsidR="008E5092" w:rsidRPr="00D86D87" w:rsidRDefault="008E5092">
            <w:pPr>
              <w:pStyle w:val="In-tableHeading"/>
              <w:jc w:val="center"/>
              <w:rPr>
                <w:lang w:val="en-AU"/>
              </w:rPr>
            </w:pPr>
            <w:r>
              <w:rPr>
                <w:lang w:val="en-AU"/>
              </w:rPr>
              <w:t>ACP 2 mg</w:t>
            </w:r>
          </w:p>
        </w:tc>
        <w:tc>
          <w:tcPr>
            <w:tcW w:w="1336" w:type="pct"/>
            <w:gridSpan w:val="4"/>
            <w:tcBorders>
              <w:top w:val="single" w:sz="4" w:space="0" w:color="auto"/>
              <w:left w:val="single" w:sz="4" w:space="0" w:color="auto"/>
              <w:bottom w:val="single" w:sz="4" w:space="0" w:color="auto"/>
              <w:right w:val="single" w:sz="4" w:space="0" w:color="auto"/>
            </w:tcBorders>
            <w:vAlign w:val="center"/>
          </w:tcPr>
          <w:p w14:paraId="1C4D4C45" w14:textId="77777777" w:rsidR="008E5092" w:rsidRPr="00D86D87" w:rsidRDefault="008E5092">
            <w:pPr>
              <w:pStyle w:val="In-tableHeading"/>
              <w:jc w:val="center"/>
              <w:rPr>
                <w:lang w:val="en-AU"/>
              </w:rPr>
            </w:pPr>
            <w:r>
              <w:rPr>
                <w:lang w:val="en-AU"/>
              </w:rPr>
              <w:t>S</w:t>
            </w:r>
            <w:r>
              <w:t>ham/BSC</w:t>
            </w:r>
          </w:p>
        </w:tc>
        <w:tc>
          <w:tcPr>
            <w:tcW w:w="757" w:type="pct"/>
            <w:vMerge w:val="restart"/>
            <w:tcBorders>
              <w:top w:val="single" w:sz="4" w:space="0" w:color="auto"/>
              <w:left w:val="single" w:sz="4" w:space="0" w:color="auto"/>
              <w:bottom w:val="single" w:sz="4" w:space="0" w:color="auto"/>
              <w:right w:val="single" w:sz="4" w:space="0" w:color="auto"/>
            </w:tcBorders>
            <w:vAlign w:val="center"/>
          </w:tcPr>
          <w:p w14:paraId="5C73A3EB" w14:textId="77777777" w:rsidR="008E5092" w:rsidRPr="00D86D87" w:rsidRDefault="008E5092">
            <w:pPr>
              <w:pStyle w:val="In-tableHeading"/>
              <w:jc w:val="center"/>
              <w:rPr>
                <w:lang w:val="en-AU"/>
              </w:rPr>
            </w:pPr>
            <w:r>
              <w:rPr>
                <w:lang w:val="en-AU"/>
              </w:rPr>
              <w:t>D</w:t>
            </w:r>
            <w:r w:rsidRPr="00D86D87">
              <w:rPr>
                <w:lang w:val="en-AU"/>
              </w:rPr>
              <w:t>ifference:</w:t>
            </w:r>
          </w:p>
          <w:p w14:paraId="5B6458B1" w14:textId="77777777" w:rsidR="008E5092" w:rsidRPr="00D86D87" w:rsidRDefault="008E5092">
            <w:pPr>
              <w:pStyle w:val="In-tableHeading"/>
              <w:jc w:val="center"/>
              <w:rPr>
                <w:szCs w:val="18"/>
                <w:lang w:val="en-AU"/>
              </w:rPr>
            </w:pPr>
            <w:r>
              <w:rPr>
                <w:szCs w:val="18"/>
                <w:lang w:val="en-AU"/>
              </w:rPr>
              <w:t>ACP 2mg</w:t>
            </w:r>
            <w:r w:rsidRPr="00D86D87">
              <w:rPr>
                <w:szCs w:val="18"/>
                <w:lang w:val="en-AU"/>
              </w:rPr>
              <w:t xml:space="preserve"> vs. </w:t>
            </w:r>
            <w:r>
              <w:rPr>
                <w:szCs w:val="18"/>
                <w:lang w:val="en-AU"/>
              </w:rPr>
              <w:t>BSC/sham</w:t>
            </w:r>
          </w:p>
          <w:p w14:paraId="33AB74D7" w14:textId="77777777" w:rsidR="008E5092" w:rsidRPr="00D86D87" w:rsidRDefault="008E5092">
            <w:pPr>
              <w:pStyle w:val="In-tableHeading"/>
              <w:jc w:val="center"/>
              <w:rPr>
                <w:szCs w:val="18"/>
                <w:lang w:val="en-AU"/>
              </w:rPr>
            </w:pPr>
            <w:r w:rsidRPr="00D86D87">
              <w:rPr>
                <w:szCs w:val="18"/>
                <w:lang w:val="en-AU"/>
              </w:rPr>
              <w:t>(95% CI)</w:t>
            </w:r>
          </w:p>
        </w:tc>
      </w:tr>
      <w:tr w:rsidR="008E5092" w:rsidRPr="00D86D87" w14:paraId="7A934CD7" w14:textId="77777777" w:rsidTr="00817CD4">
        <w:trPr>
          <w:cantSplit/>
          <w:trHeight w:val="225"/>
        </w:trPr>
        <w:tc>
          <w:tcPr>
            <w:tcW w:w="1649" w:type="pct"/>
            <w:gridSpan w:val="3"/>
            <w:vMerge/>
            <w:tcBorders>
              <w:top w:val="single" w:sz="4" w:space="0" w:color="auto"/>
              <w:left w:val="single" w:sz="4" w:space="0" w:color="auto"/>
              <w:bottom w:val="single" w:sz="4" w:space="0" w:color="auto"/>
              <w:right w:val="single" w:sz="4" w:space="0" w:color="auto"/>
            </w:tcBorders>
            <w:vAlign w:val="center"/>
          </w:tcPr>
          <w:p w14:paraId="59A3C143" w14:textId="77777777" w:rsidR="008E5092" w:rsidRPr="00D86D87" w:rsidRDefault="008E5092">
            <w:pPr>
              <w:pStyle w:val="In-tableHeading"/>
              <w:rPr>
                <w:color w:val="000000"/>
                <w:szCs w:val="18"/>
                <w:lang w:val="en-AU"/>
              </w:rPr>
            </w:pPr>
          </w:p>
        </w:tc>
        <w:tc>
          <w:tcPr>
            <w:tcW w:w="393" w:type="pct"/>
            <w:tcBorders>
              <w:top w:val="single" w:sz="4" w:space="0" w:color="auto"/>
              <w:left w:val="single" w:sz="4" w:space="0" w:color="auto"/>
              <w:bottom w:val="single" w:sz="4" w:space="0" w:color="auto"/>
              <w:right w:val="single" w:sz="4" w:space="0" w:color="auto"/>
            </w:tcBorders>
            <w:vAlign w:val="center"/>
          </w:tcPr>
          <w:p w14:paraId="7A3A11F6" w14:textId="77777777" w:rsidR="008E5092" w:rsidRPr="00D86D87" w:rsidRDefault="008E5092">
            <w:pPr>
              <w:pStyle w:val="In-tableHeading"/>
              <w:jc w:val="center"/>
              <w:rPr>
                <w:lang w:val="en-AU"/>
              </w:rPr>
            </w:pPr>
            <w:r w:rsidRPr="00D86D87">
              <w:rPr>
                <w:lang w:val="en-AU"/>
              </w:rPr>
              <w:t>N</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20CFF66B" w14:textId="77777777" w:rsidR="008E5092" w:rsidRPr="00D86D87" w:rsidRDefault="008E5092">
            <w:pPr>
              <w:pStyle w:val="In-tableHeading"/>
              <w:jc w:val="center"/>
              <w:rPr>
                <w:lang w:val="en-AU"/>
              </w:rPr>
            </w:pPr>
            <w:r w:rsidRPr="00D86D87">
              <w:rPr>
                <w:lang w:val="en-AU"/>
              </w:rPr>
              <w:t xml:space="preserve">Mean ∆ baseline </w:t>
            </w:r>
            <w:r>
              <w:rPr>
                <w:lang w:val="en-AU"/>
              </w:rPr>
              <w:t>(mm</w:t>
            </w:r>
            <w:r w:rsidRPr="00897A45">
              <w:rPr>
                <w:vertAlign w:val="superscript"/>
                <w:lang w:val="en-AU"/>
              </w:rPr>
              <w:t>2</w:t>
            </w:r>
            <w:r w:rsidRPr="00F35527">
              <w:rPr>
                <w:lang w:val="en-AU"/>
              </w:rPr>
              <w:t>/</w:t>
            </w:r>
            <w:r w:rsidRPr="00F35527">
              <w:t>year</w:t>
            </w:r>
            <w:r>
              <w:rPr>
                <w:lang w:val="en-AU"/>
              </w:rPr>
              <w:t>)</w:t>
            </w:r>
          </w:p>
        </w:tc>
        <w:tc>
          <w:tcPr>
            <w:tcW w:w="315" w:type="pct"/>
            <w:tcBorders>
              <w:top w:val="single" w:sz="4" w:space="0" w:color="auto"/>
              <w:left w:val="single" w:sz="4" w:space="0" w:color="auto"/>
              <w:bottom w:val="single" w:sz="4" w:space="0" w:color="auto"/>
              <w:right w:val="single" w:sz="4" w:space="0" w:color="auto"/>
            </w:tcBorders>
            <w:vAlign w:val="center"/>
          </w:tcPr>
          <w:p w14:paraId="652D17A6" w14:textId="77777777" w:rsidR="008E5092" w:rsidRPr="00D86D87" w:rsidRDefault="008E5092">
            <w:pPr>
              <w:pStyle w:val="In-tableHeading"/>
              <w:jc w:val="center"/>
              <w:rPr>
                <w:lang w:val="en-AU"/>
              </w:rPr>
            </w:pPr>
            <w:r w:rsidRPr="00D86D87">
              <w:rPr>
                <w:lang w:val="en-AU"/>
              </w:rPr>
              <w:t>S</w:t>
            </w:r>
            <w:r>
              <w:rPr>
                <w:lang w:val="en-AU"/>
              </w:rPr>
              <w:t>E</w:t>
            </w:r>
          </w:p>
        </w:tc>
        <w:tc>
          <w:tcPr>
            <w:tcW w:w="391" w:type="pct"/>
            <w:tcBorders>
              <w:top w:val="single" w:sz="4" w:space="0" w:color="auto"/>
              <w:left w:val="single" w:sz="4" w:space="0" w:color="auto"/>
              <w:bottom w:val="single" w:sz="4" w:space="0" w:color="auto"/>
              <w:right w:val="single" w:sz="4" w:space="0" w:color="auto"/>
            </w:tcBorders>
            <w:vAlign w:val="center"/>
          </w:tcPr>
          <w:p w14:paraId="0DF11EAA" w14:textId="77777777" w:rsidR="008E5092" w:rsidRPr="00D86D87" w:rsidRDefault="008E5092">
            <w:pPr>
              <w:pStyle w:val="In-tableHeading"/>
              <w:jc w:val="center"/>
              <w:rPr>
                <w:lang w:val="en-AU"/>
              </w:rPr>
            </w:pPr>
            <w:r w:rsidRPr="00D86D87">
              <w:rPr>
                <w:lang w:val="en-AU"/>
              </w:rPr>
              <w:t>N</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76320DB0" w14:textId="77777777" w:rsidR="008E5092" w:rsidRPr="00D86D87" w:rsidRDefault="008E5092">
            <w:pPr>
              <w:pStyle w:val="In-tableHeading"/>
              <w:jc w:val="center"/>
              <w:rPr>
                <w:lang w:val="en-AU"/>
              </w:rPr>
            </w:pPr>
            <w:r w:rsidRPr="00D86D87">
              <w:rPr>
                <w:lang w:val="en-AU"/>
              </w:rPr>
              <w:t xml:space="preserve">Mean ∆ baseline </w:t>
            </w:r>
            <w:r>
              <w:rPr>
                <w:lang w:val="en-AU"/>
              </w:rPr>
              <w:t>(mm</w:t>
            </w:r>
            <w:r w:rsidRPr="00897A45">
              <w:rPr>
                <w:vertAlign w:val="superscript"/>
                <w:lang w:val="en-AU"/>
              </w:rPr>
              <w:t>2</w:t>
            </w:r>
            <w:r w:rsidRPr="00F35527">
              <w:rPr>
                <w:lang w:val="en-AU"/>
              </w:rPr>
              <w:t>/</w:t>
            </w:r>
            <w:r w:rsidRPr="00F35527">
              <w:t>year</w:t>
            </w:r>
            <w:r>
              <w:rPr>
                <w:lang w:val="en-AU"/>
              </w:rPr>
              <w:t>)</w:t>
            </w:r>
          </w:p>
        </w:tc>
        <w:tc>
          <w:tcPr>
            <w:tcW w:w="311" w:type="pct"/>
            <w:tcBorders>
              <w:top w:val="single" w:sz="4" w:space="0" w:color="auto"/>
              <w:left w:val="single" w:sz="4" w:space="0" w:color="auto"/>
              <w:bottom w:val="single" w:sz="4" w:space="0" w:color="auto"/>
              <w:right w:val="single" w:sz="4" w:space="0" w:color="auto"/>
            </w:tcBorders>
            <w:vAlign w:val="center"/>
          </w:tcPr>
          <w:p w14:paraId="79440009" w14:textId="77777777" w:rsidR="008E5092" w:rsidRPr="00D86D87" w:rsidRDefault="008E5092">
            <w:pPr>
              <w:pStyle w:val="In-tableHeading"/>
              <w:jc w:val="center"/>
              <w:rPr>
                <w:lang w:val="en-AU"/>
              </w:rPr>
            </w:pPr>
            <w:r w:rsidRPr="00D86D87">
              <w:rPr>
                <w:lang w:val="en-AU"/>
              </w:rPr>
              <w:t>S</w:t>
            </w:r>
            <w:r>
              <w:rPr>
                <w:lang w:val="en-AU"/>
              </w:rPr>
              <w:t>E</w:t>
            </w:r>
          </w:p>
        </w:tc>
        <w:tc>
          <w:tcPr>
            <w:tcW w:w="757" w:type="pct"/>
            <w:vMerge/>
            <w:tcBorders>
              <w:top w:val="single" w:sz="4" w:space="0" w:color="auto"/>
              <w:left w:val="single" w:sz="4" w:space="0" w:color="auto"/>
              <w:bottom w:val="single" w:sz="4" w:space="0" w:color="auto"/>
              <w:right w:val="single" w:sz="4" w:space="0" w:color="auto"/>
            </w:tcBorders>
            <w:vAlign w:val="center"/>
          </w:tcPr>
          <w:p w14:paraId="40C25713" w14:textId="77777777" w:rsidR="008E5092" w:rsidRPr="00D86D87" w:rsidRDefault="008E5092">
            <w:pPr>
              <w:pStyle w:val="In-tableHeading"/>
              <w:rPr>
                <w:szCs w:val="18"/>
                <w:lang w:val="en-AU"/>
              </w:rPr>
            </w:pPr>
          </w:p>
        </w:tc>
      </w:tr>
      <w:tr w:rsidR="008E5092" w:rsidRPr="00D86D87" w14:paraId="54C49EBE" w14:textId="77777777" w:rsidTr="00817CD4">
        <w:trPr>
          <w:cantSplit/>
        </w:trPr>
        <w:tc>
          <w:tcPr>
            <w:tcW w:w="1649" w:type="pct"/>
            <w:gridSpan w:val="3"/>
            <w:tcBorders>
              <w:left w:val="single" w:sz="4" w:space="0" w:color="auto"/>
              <w:bottom w:val="single" w:sz="4" w:space="0" w:color="auto"/>
              <w:right w:val="single" w:sz="4" w:space="0" w:color="auto"/>
            </w:tcBorders>
            <w:vAlign w:val="center"/>
          </w:tcPr>
          <w:p w14:paraId="7FF7C53E" w14:textId="5E06CB1D" w:rsidR="008E5092" w:rsidRDefault="008E5092">
            <w:pPr>
              <w:pStyle w:val="TableText0"/>
            </w:pPr>
            <w:r>
              <w:t>Mean rate of GA growth</w:t>
            </w:r>
            <w:r w:rsidR="001B2938" w:rsidRPr="001B2938">
              <w:rPr>
                <w:vertAlign w:val="superscript"/>
              </w:rPr>
              <w:t>a</w:t>
            </w:r>
            <w:r>
              <w:t xml:space="preserve"> (slope, observed) from baseline to Month 12</w:t>
            </w:r>
          </w:p>
        </w:tc>
        <w:tc>
          <w:tcPr>
            <w:tcW w:w="393" w:type="pct"/>
            <w:tcBorders>
              <w:top w:val="single" w:sz="4" w:space="0" w:color="auto"/>
              <w:left w:val="single" w:sz="4" w:space="0" w:color="auto"/>
              <w:bottom w:val="single" w:sz="4" w:space="0" w:color="auto"/>
              <w:right w:val="single" w:sz="4" w:space="0" w:color="auto"/>
            </w:tcBorders>
            <w:vAlign w:val="center"/>
          </w:tcPr>
          <w:p w14:paraId="5F56E684" w14:textId="77777777" w:rsidR="008E5092" w:rsidRDefault="008E5092">
            <w:pPr>
              <w:pStyle w:val="TableText0"/>
              <w:jc w:val="center"/>
            </w:pPr>
            <w:r>
              <w:t>225</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23D62DB2" w14:textId="77777777" w:rsidR="008E5092" w:rsidRDefault="008E5092">
            <w:pPr>
              <w:pStyle w:val="TableText0"/>
              <w:jc w:val="center"/>
            </w:pPr>
            <w:r>
              <w:t>1.75</w:t>
            </w:r>
          </w:p>
        </w:tc>
        <w:tc>
          <w:tcPr>
            <w:tcW w:w="315" w:type="pct"/>
            <w:tcBorders>
              <w:top w:val="single" w:sz="4" w:space="0" w:color="auto"/>
              <w:left w:val="single" w:sz="4" w:space="0" w:color="auto"/>
              <w:bottom w:val="single" w:sz="4" w:space="0" w:color="auto"/>
              <w:right w:val="single" w:sz="4" w:space="0" w:color="auto"/>
            </w:tcBorders>
            <w:vAlign w:val="center"/>
          </w:tcPr>
          <w:p w14:paraId="6AA3D409" w14:textId="77777777" w:rsidR="008E5092" w:rsidRDefault="008E5092">
            <w:pPr>
              <w:pStyle w:val="TableText0"/>
              <w:jc w:val="center"/>
            </w:pPr>
            <w:r>
              <w:t>0.20</w:t>
            </w:r>
          </w:p>
        </w:tc>
        <w:tc>
          <w:tcPr>
            <w:tcW w:w="391" w:type="pct"/>
            <w:tcBorders>
              <w:top w:val="single" w:sz="4" w:space="0" w:color="auto"/>
              <w:left w:val="single" w:sz="4" w:space="0" w:color="auto"/>
              <w:bottom w:val="single" w:sz="4" w:space="0" w:color="auto"/>
              <w:right w:val="single" w:sz="4" w:space="0" w:color="auto"/>
            </w:tcBorders>
            <w:vAlign w:val="center"/>
          </w:tcPr>
          <w:p w14:paraId="2A0A5D53" w14:textId="77777777" w:rsidR="008E5092" w:rsidRDefault="008E5092">
            <w:pPr>
              <w:pStyle w:val="TableText0"/>
              <w:jc w:val="center"/>
            </w:pPr>
            <w:r>
              <w:t>222</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6AAAFCE3" w14:textId="77777777" w:rsidR="008E5092" w:rsidRDefault="008E5092">
            <w:pPr>
              <w:pStyle w:val="TableText0"/>
              <w:jc w:val="center"/>
            </w:pPr>
            <w:r>
              <w:t>2.12</w:t>
            </w:r>
          </w:p>
        </w:tc>
        <w:tc>
          <w:tcPr>
            <w:tcW w:w="311" w:type="pct"/>
            <w:tcBorders>
              <w:top w:val="single" w:sz="4" w:space="0" w:color="auto"/>
              <w:left w:val="single" w:sz="4" w:space="0" w:color="auto"/>
              <w:bottom w:val="single" w:sz="4" w:space="0" w:color="auto"/>
              <w:right w:val="single" w:sz="4" w:space="0" w:color="auto"/>
            </w:tcBorders>
            <w:vAlign w:val="center"/>
          </w:tcPr>
          <w:p w14:paraId="3CB47219" w14:textId="77777777" w:rsidR="008E5092" w:rsidRDefault="008E5092">
            <w:pPr>
              <w:pStyle w:val="TableText0"/>
              <w:jc w:val="center"/>
            </w:pPr>
            <w:r>
              <w:t>0.21</w:t>
            </w:r>
          </w:p>
        </w:tc>
        <w:tc>
          <w:tcPr>
            <w:tcW w:w="757" w:type="pct"/>
            <w:tcBorders>
              <w:top w:val="single" w:sz="4" w:space="0" w:color="auto"/>
              <w:left w:val="single" w:sz="4" w:space="0" w:color="auto"/>
              <w:bottom w:val="single" w:sz="4" w:space="0" w:color="auto"/>
              <w:right w:val="single" w:sz="4" w:space="0" w:color="auto"/>
            </w:tcBorders>
            <w:vAlign w:val="center"/>
          </w:tcPr>
          <w:p w14:paraId="7189F68E" w14:textId="12CAB670" w:rsidR="008E5092" w:rsidRPr="001D6BBC" w:rsidRDefault="009B60A6" w:rsidP="00817CD4">
            <w:pPr>
              <w:pStyle w:val="TableText0"/>
              <w:jc w:val="center"/>
              <w:rPr>
                <w:lang w:val="en-IN"/>
              </w:rPr>
            </w:pPr>
            <w:r>
              <w:rPr>
                <w:lang w:val="en-IN"/>
              </w:rPr>
              <w:noBreakHyphen/>
            </w:r>
            <w:r w:rsidR="008E5092">
              <w:rPr>
                <w:lang w:val="en-IN"/>
              </w:rPr>
              <w:t xml:space="preserve">0.38 </w:t>
            </w:r>
            <w:r w:rsidR="00817CD4">
              <w:rPr>
                <w:lang w:val="en-IN"/>
              </w:rPr>
              <w:br/>
            </w:r>
            <w:r w:rsidR="008E5092">
              <w:rPr>
                <w:lang w:val="en-IN"/>
              </w:rPr>
              <w:t>(</w:t>
            </w:r>
            <w:r>
              <w:rPr>
                <w:lang w:val="en-IN"/>
              </w:rPr>
              <w:noBreakHyphen/>
            </w:r>
            <w:r w:rsidR="001B2938">
              <w:rPr>
                <w:lang w:val="en-IN"/>
              </w:rPr>
              <w:t xml:space="preserve">0.63, </w:t>
            </w:r>
            <w:r>
              <w:rPr>
                <w:lang w:val="en-IN"/>
              </w:rPr>
              <w:noBreakHyphen/>
            </w:r>
            <w:r w:rsidR="008E5092">
              <w:rPr>
                <w:lang w:val="en-IN"/>
              </w:rPr>
              <w:t>0.12)</w:t>
            </w:r>
          </w:p>
        </w:tc>
      </w:tr>
      <w:tr w:rsidR="008E5092" w:rsidRPr="00D86D87" w14:paraId="40AAB828" w14:textId="77777777" w:rsidTr="00817CD4">
        <w:trPr>
          <w:cantSplit/>
        </w:trPr>
        <w:tc>
          <w:tcPr>
            <w:tcW w:w="1649" w:type="pct"/>
            <w:gridSpan w:val="3"/>
            <w:tcBorders>
              <w:top w:val="single" w:sz="4" w:space="0" w:color="auto"/>
              <w:left w:val="single" w:sz="4" w:space="0" w:color="auto"/>
              <w:bottom w:val="double" w:sz="4" w:space="0" w:color="auto"/>
              <w:right w:val="single" w:sz="4" w:space="0" w:color="auto"/>
            </w:tcBorders>
            <w:vAlign w:val="center"/>
          </w:tcPr>
          <w:p w14:paraId="160AD44A" w14:textId="45AB018F" w:rsidR="008E5092" w:rsidRPr="00D86D87" w:rsidRDefault="008E5092">
            <w:pPr>
              <w:pStyle w:val="TableText0"/>
            </w:pPr>
            <w:r>
              <w:t>Mean rate of GA growth</w:t>
            </w:r>
            <w:r w:rsidR="001B2938" w:rsidRPr="001B2938">
              <w:rPr>
                <w:vertAlign w:val="superscript"/>
              </w:rPr>
              <w:t>a</w:t>
            </w:r>
            <w:r>
              <w:t xml:space="preserve"> (slope) from baseline to Month 24</w:t>
            </w:r>
          </w:p>
        </w:tc>
        <w:tc>
          <w:tcPr>
            <w:tcW w:w="393" w:type="pct"/>
            <w:tcBorders>
              <w:top w:val="single" w:sz="4" w:space="0" w:color="auto"/>
              <w:left w:val="single" w:sz="4" w:space="0" w:color="auto"/>
              <w:bottom w:val="double" w:sz="4" w:space="0" w:color="auto"/>
              <w:right w:val="single" w:sz="4" w:space="0" w:color="auto"/>
            </w:tcBorders>
            <w:vAlign w:val="center"/>
          </w:tcPr>
          <w:p w14:paraId="387ED8A0" w14:textId="77777777" w:rsidR="008E5092" w:rsidRPr="00D86D87" w:rsidRDefault="008E5092">
            <w:pPr>
              <w:pStyle w:val="TableText0"/>
              <w:jc w:val="center"/>
            </w:pPr>
            <w:r>
              <w:t>225</w:t>
            </w:r>
          </w:p>
        </w:tc>
        <w:tc>
          <w:tcPr>
            <w:tcW w:w="550" w:type="pct"/>
            <w:gridSpan w:val="2"/>
            <w:tcBorders>
              <w:top w:val="single" w:sz="4" w:space="0" w:color="auto"/>
              <w:left w:val="single" w:sz="4" w:space="0" w:color="auto"/>
              <w:bottom w:val="double" w:sz="4" w:space="0" w:color="auto"/>
              <w:right w:val="single" w:sz="4" w:space="0" w:color="auto"/>
            </w:tcBorders>
            <w:vAlign w:val="center"/>
          </w:tcPr>
          <w:p w14:paraId="75493F60" w14:textId="77777777" w:rsidR="008E5092" w:rsidRPr="00D86D87" w:rsidRDefault="008E5092">
            <w:pPr>
              <w:pStyle w:val="TableText0"/>
              <w:jc w:val="center"/>
            </w:pPr>
            <w:r>
              <w:t>2.17</w:t>
            </w:r>
          </w:p>
        </w:tc>
        <w:tc>
          <w:tcPr>
            <w:tcW w:w="315" w:type="pct"/>
            <w:tcBorders>
              <w:top w:val="single" w:sz="4" w:space="0" w:color="auto"/>
              <w:left w:val="single" w:sz="4" w:space="0" w:color="auto"/>
              <w:bottom w:val="double" w:sz="4" w:space="0" w:color="auto"/>
              <w:right w:val="single" w:sz="4" w:space="0" w:color="auto"/>
            </w:tcBorders>
            <w:vAlign w:val="center"/>
          </w:tcPr>
          <w:p w14:paraId="16112A22" w14:textId="77777777" w:rsidR="008E5092" w:rsidRPr="00D86D87" w:rsidRDefault="008E5092">
            <w:pPr>
              <w:pStyle w:val="TableText0"/>
              <w:jc w:val="center"/>
            </w:pPr>
            <w:r>
              <w:t>0.08</w:t>
            </w:r>
          </w:p>
        </w:tc>
        <w:tc>
          <w:tcPr>
            <w:tcW w:w="391" w:type="pct"/>
            <w:tcBorders>
              <w:top w:val="single" w:sz="4" w:space="0" w:color="auto"/>
              <w:left w:val="single" w:sz="4" w:space="0" w:color="auto"/>
              <w:bottom w:val="double" w:sz="4" w:space="0" w:color="auto"/>
              <w:right w:val="single" w:sz="4" w:space="0" w:color="auto"/>
            </w:tcBorders>
            <w:vAlign w:val="center"/>
          </w:tcPr>
          <w:p w14:paraId="2B8A0F54" w14:textId="77777777" w:rsidR="008E5092" w:rsidRPr="00D86D87" w:rsidRDefault="008E5092">
            <w:pPr>
              <w:pStyle w:val="TableText0"/>
              <w:jc w:val="center"/>
            </w:pPr>
            <w:r>
              <w:t>222</w:t>
            </w:r>
          </w:p>
        </w:tc>
        <w:tc>
          <w:tcPr>
            <w:tcW w:w="633" w:type="pct"/>
            <w:gridSpan w:val="2"/>
            <w:tcBorders>
              <w:top w:val="single" w:sz="4" w:space="0" w:color="auto"/>
              <w:left w:val="single" w:sz="4" w:space="0" w:color="auto"/>
              <w:bottom w:val="double" w:sz="4" w:space="0" w:color="auto"/>
              <w:right w:val="single" w:sz="4" w:space="0" w:color="auto"/>
            </w:tcBorders>
            <w:vAlign w:val="center"/>
          </w:tcPr>
          <w:p w14:paraId="6A7ACD19" w14:textId="77777777" w:rsidR="008E5092" w:rsidRPr="00D86D87" w:rsidRDefault="008E5092">
            <w:pPr>
              <w:pStyle w:val="TableText0"/>
              <w:jc w:val="center"/>
            </w:pPr>
            <w:r>
              <w:t>2.59</w:t>
            </w:r>
          </w:p>
        </w:tc>
        <w:tc>
          <w:tcPr>
            <w:tcW w:w="311" w:type="pct"/>
            <w:tcBorders>
              <w:top w:val="single" w:sz="4" w:space="0" w:color="auto"/>
              <w:left w:val="single" w:sz="4" w:space="0" w:color="auto"/>
              <w:bottom w:val="double" w:sz="4" w:space="0" w:color="auto"/>
              <w:right w:val="single" w:sz="4" w:space="0" w:color="auto"/>
            </w:tcBorders>
            <w:vAlign w:val="center"/>
          </w:tcPr>
          <w:p w14:paraId="041B3225" w14:textId="77777777" w:rsidR="008E5092" w:rsidRPr="00D86D87" w:rsidRDefault="008E5092">
            <w:pPr>
              <w:pStyle w:val="TableText0"/>
              <w:jc w:val="center"/>
            </w:pPr>
            <w:r>
              <w:t>0.08</w:t>
            </w:r>
          </w:p>
        </w:tc>
        <w:tc>
          <w:tcPr>
            <w:tcW w:w="757" w:type="pct"/>
            <w:tcBorders>
              <w:top w:val="single" w:sz="4" w:space="0" w:color="auto"/>
              <w:left w:val="single" w:sz="4" w:space="0" w:color="auto"/>
              <w:bottom w:val="double" w:sz="4" w:space="0" w:color="auto"/>
              <w:right w:val="single" w:sz="4" w:space="0" w:color="auto"/>
            </w:tcBorders>
            <w:vAlign w:val="center"/>
          </w:tcPr>
          <w:p w14:paraId="225F64CC" w14:textId="7DABE7E3" w:rsidR="008E5092" w:rsidRPr="00F35527" w:rsidRDefault="009B60A6" w:rsidP="00817CD4">
            <w:pPr>
              <w:jc w:val="center"/>
              <w:rPr>
                <w:rFonts w:ascii="Arial Narrow" w:hAnsi="Arial Narrow" w:cstheme="minorHAnsi"/>
                <w:color w:val="000000"/>
                <w:sz w:val="20"/>
                <w:szCs w:val="20"/>
                <w:lang w:val="en-IN" w:eastAsia="en-IN"/>
              </w:rPr>
            </w:pPr>
            <w:r>
              <w:rPr>
                <w:rFonts w:ascii="Arial Narrow" w:hAnsi="Arial Narrow" w:cstheme="minorHAnsi"/>
                <w:color w:val="000000"/>
                <w:sz w:val="20"/>
                <w:szCs w:val="20"/>
                <w:lang w:val="en-IN" w:eastAsia="en-IN"/>
              </w:rPr>
              <w:noBreakHyphen/>
            </w:r>
            <w:r w:rsidR="008E5092" w:rsidRPr="00F35527">
              <w:rPr>
                <w:rFonts w:ascii="Arial Narrow" w:hAnsi="Arial Narrow" w:cstheme="minorHAnsi"/>
                <w:color w:val="000000"/>
                <w:sz w:val="20"/>
                <w:szCs w:val="20"/>
                <w:lang w:val="en-IN" w:eastAsia="en-IN"/>
              </w:rPr>
              <w:t xml:space="preserve">0.42 </w:t>
            </w:r>
            <w:r w:rsidR="00817CD4">
              <w:rPr>
                <w:rFonts w:ascii="Arial Narrow" w:hAnsi="Arial Narrow" w:cstheme="minorHAnsi"/>
                <w:color w:val="000000"/>
                <w:sz w:val="20"/>
                <w:szCs w:val="20"/>
                <w:lang w:val="en-IN" w:eastAsia="en-IN"/>
              </w:rPr>
              <w:br/>
            </w:r>
            <w:r w:rsidR="008E5092" w:rsidRPr="00F35527">
              <w:rPr>
                <w:rFonts w:ascii="Arial Narrow" w:hAnsi="Arial Narrow" w:cstheme="minorHAnsi"/>
                <w:color w:val="000000"/>
                <w:sz w:val="20"/>
                <w:szCs w:val="20"/>
                <w:lang w:val="en-IN" w:eastAsia="en-IN"/>
              </w:rPr>
              <w:t>(</w:t>
            </w:r>
            <w:r>
              <w:rPr>
                <w:rFonts w:ascii="Arial Narrow" w:hAnsi="Arial Narrow" w:cstheme="minorHAnsi"/>
                <w:color w:val="000000"/>
                <w:sz w:val="20"/>
                <w:szCs w:val="20"/>
                <w:lang w:val="en-IN" w:eastAsia="en-IN"/>
              </w:rPr>
              <w:noBreakHyphen/>
            </w:r>
            <w:r w:rsidR="001B2938" w:rsidRPr="00F35527">
              <w:rPr>
                <w:rFonts w:ascii="Arial Narrow" w:hAnsi="Arial Narrow" w:cstheme="minorHAnsi"/>
                <w:color w:val="000000"/>
                <w:sz w:val="20"/>
                <w:szCs w:val="20"/>
                <w:lang w:val="en-IN" w:eastAsia="en-IN"/>
              </w:rPr>
              <w:t>0.65</w:t>
            </w:r>
            <w:r w:rsidR="001B2938">
              <w:rPr>
                <w:rFonts w:ascii="Arial Narrow" w:hAnsi="Arial Narrow" w:cstheme="minorHAnsi"/>
                <w:color w:val="000000"/>
                <w:sz w:val="20"/>
                <w:szCs w:val="20"/>
                <w:lang w:val="en-IN" w:eastAsia="en-IN"/>
              </w:rPr>
              <w:t>,</w:t>
            </w:r>
            <w:r w:rsidR="00817CD4">
              <w:rPr>
                <w:rFonts w:ascii="Arial Narrow" w:hAnsi="Arial Narrow" w:cstheme="minorHAnsi"/>
                <w:color w:val="000000"/>
                <w:sz w:val="20"/>
                <w:szCs w:val="20"/>
                <w:lang w:val="en-IN" w:eastAsia="en-IN"/>
              </w:rPr>
              <w:t xml:space="preserve"> </w:t>
            </w:r>
            <w:r>
              <w:rPr>
                <w:rFonts w:ascii="Arial Narrow" w:hAnsi="Arial Narrow" w:cstheme="minorHAnsi"/>
                <w:color w:val="000000"/>
                <w:sz w:val="20"/>
                <w:szCs w:val="20"/>
                <w:lang w:val="en-IN" w:eastAsia="en-IN"/>
              </w:rPr>
              <w:noBreakHyphen/>
            </w:r>
            <w:r w:rsidR="008E5092" w:rsidRPr="00F35527">
              <w:rPr>
                <w:rFonts w:ascii="Arial Narrow" w:hAnsi="Arial Narrow" w:cstheme="minorHAnsi"/>
                <w:color w:val="000000"/>
                <w:sz w:val="20"/>
                <w:szCs w:val="20"/>
                <w:lang w:val="en-IN" w:eastAsia="en-IN"/>
              </w:rPr>
              <w:t>0.19)</w:t>
            </w:r>
          </w:p>
        </w:tc>
      </w:tr>
      <w:tr w:rsidR="008E5092" w:rsidRPr="00D86D87" w14:paraId="544DA509" w14:textId="77777777">
        <w:tc>
          <w:tcPr>
            <w:tcW w:w="5000" w:type="pct"/>
            <w:gridSpan w:val="12"/>
            <w:tcBorders>
              <w:top w:val="double" w:sz="4" w:space="0" w:color="auto"/>
              <w:left w:val="single" w:sz="4" w:space="0" w:color="auto"/>
              <w:bottom w:val="single" w:sz="4" w:space="0" w:color="auto"/>
              <w:right w:val="single" w:sz="4" w:space="0" w:color="auto"/>
            </w:tcBorders>
            <w:vAlign w:val="center"/>
          </w:tcPr>
          <w:p w14:paraId="7067AC65" w14:textId="77777777" w:rsidR="008E5092" w:rsidRPr="00D86D87" w:rsidRDefault="008E5092">
            <w:pPr>
              <w:pStyle w:val="In-tableHeading"/>
              <w:rPr>
                <w:lang w:val="en-AU"/>
              </w:rPr>
            </w:pPr>
            <w:r w:rsidRPr="00D86D87">
              <w:rPr>
                <w:lang w:val="en-AU"/>
              </w:rPr>
              <w:t xml:space="preserve">Harms </w:t>
            </w:r>
          </w:p>
        </w:tc>
      </w:tr>
      <w:tr w:rsidR="008E5092" w:rsidRPr="00D86D87" w14:paraId="36F5758D" w14:textId="77777777">
        <w:trPr>
          <w:trHeight w:val="70"/>
        </w:trPr>
        <w:tc>
          <w:tcPr>
            <w:tcW w:w="863" w:type="pct"/>
            <w:vMerge w:val="restart"/>
            <w:tcBorders>
              <w:top w:val="single" w:sz="4" w:space="0" w:color="auto"/>
              <w:left w:val="single" w:sz="4" w:space="0" w:color="auto"/>
              <w:bottom w:val="single" w:sz="4" w:space="0" w:color="auto"/>
              <w:right w:val="single" w:sz="4" w:space="0" w:color="auto"/>
            </w:tcBorders>
            <w:vAlign w:val="center"/>
          </w:tcPr>
          <w:p w14:paraId="41C13E55" w14:textId="77777777" w:rsidR="008E5092" w:rsidRPr="00D86D87" w:rsidRDefault="008E5092">
            <w:pPr>
              <w:pStyle w:val="In-tableHeading"/>
              <w:rPr>
                <w:lang w:val="en-AU"/>
              </w:rPr>
            </w:pPr>
          </w:p>
        </w:tc>
        <w:tc>
          <w:tcPr>
            <w:tcW w:w="708" w:type="pct"/>
            <w:vMerge w:val="restart"/>
            <w:tcBorders>
              <w:top w:val="single" w:sz="4" w:space="0" w:color="auto"/>
              <w:left w:val="single" w:sz="4" w:space="0" w:color="auto"/>
              <w:bottom w:val="single" w:sz="4" w:space="0" w:color="auto"/>
              <w:right w:val="single" w:sz="4" w:space="0" w:color="auto"/>
            </w:tcBorders>
            <w:vAlign w:val="center"/>
          </w:tcPr>
          <w:p w14:paraId="2D812A95" w14:textId="77777777" w:rsidR="008E5092" w:rsidRPr="00D86D87" w:rsidRDefault="008E5092">
            <w:pPr>
              <w:pStyle w:val="In-tableHeading"/>
              <w:jc w:val="center"/>
              <w:rPr>
                <w:lang w:val="en-AU"/>
              </w:rPr>
            </w:pPr>
            <w:r>
              <w:rPr>
                <w:lang w:val="en-AU"/>
              </w:rPr>
              <w:t>ACP 2 mg</w:t>
            </w:r>
          </w:p>
          <w:p w14:paraId="4F4B5897" w14:textId="68AA3A55" w:rsidR="008E5092" w:rsidRPr="00D86D87" w:rsidRDefault="008E5092">
            <w:pPr>
              <w:pStyle w:val="In-tableHeading"/>
              <w:jc w:val="center"/>
              <w:rPr>
                <w:lang w:val="en-AU"/>
              </w:rPr>
            </w:pPr>
            <w:r w:rsidRPr="00D86D87">
              <w:rPr>
                <w:lang w:val="en-AU"/>
              </w:rPr>
              <w:t>n/N</w:t>
            </w:r>
            <w:r w:rsidR="001B2938" w:rsidRPr="001B2938">
              <w:rPr>
                <w:vertAlign w:val="superscript"/>
                <w:lang w:val="en-AU"/>
              </w:rPr>
              <w:t>b</w:t>
            </w:r>
          </w:p>
        </w:tc>
        <w:tc>
          <w:tcPr>
            <w:tcW w:w="628" w:type="pct"/>
            <w:gridSpan w:val="3"/>
            <w:vMerge w:val="restart"/>
            <w:tcBorders>
              <w:top w:val="single" w:sz="4" w:space="0" w:color="auto"/>
              <w:left w:val="single" w:sz="4" w:space="0" w:color="auto"/>
              <w:bottom w:val="single" w:sz="4" w:space="0" w:color="auto"/>
              <w:right w:val="single" w:sz="4" w:space="0" w:color="auto"/>
            </w:tcBorders>
            <w:vAlign w:val="center"/>
          </w:tcPr>
          <w:p w14:paraId="1892771E" w14:textId="77777777" w:rsidR="008E5092" w:rsidRPr="00D86D87" w:rsidRDefault="008E5092">
            <w:pPr>
              <w:pStyle w:val="In-tableHeading"/>
              <w:jc w:val="center"/>
              <w:rPr>
                <w:lang w:val="en-AU"/>
              </w:rPr>
            </w:pPr>
            <w:r>
              <w:rPr>
                <w:lang w:val="en-AU"/>
              </w:rPr>
              <w:t>Sham/BSC</w:t>
            </w:r>
          </w:p>
          <w:p w14:paraId="45F080B5" w14:textId="00108F67" w:rsidR="008E5092" w:rsidRPr="00D86D87" w:rsidRDefault="008E5092">
            <w:pPr>
              <w:pStyle w:val="In-tableHeading"/>
              <w:jc w:val="center"/>
              <w:rPr>
                <w:lang w:val="en-AU"/>
              </w:rPr>
            </w:pPr>
            <w:r w:rsidRPr="00D86D87">
              <w:rPr>
                <w:lang w:val="en-AU"/>
              </w:rPr>
              <w:t>n/N</w:t>
            </w:r>
            <w:r w:rsidR="001B2938" w:rsidRPr="001B2938">
              <w:rPr>
                <w:vertAlign w:val="superscript"/>
                <w:lang w:val="en-AU"/>
              </w:rPr>
              <w:t>c</w:t>
            </w:r>
          </w:p>
        </w:tc>
        <w:tc>
          <w:tcPr>
            <w:tcW w:w="708" w:type="pct"/>
            <w:gridSpan w:val="2"/>
            <w:vMerge w:val="restart"/>
            <w:tcBorders>
              <w:top w:val="single" w:sz="4" w:space="0" w:color="auto"/>
              <w:left w:val="single" w:sz="4" w:space="0" w:color="auto"/>
              <w:bottom w:val="single" w:sz="4" w:space="0" w:color="auto"/>
              <w:right w:val="single" w:sz="4" w:space="0" w:color="auto"/>
            </w:tcBorders>
            <w:vAlign w:val="center"/>
          </w:tcPr>
          <w:p w14:paraId="36866C2F" w14:textId="77777777" w:rsidR="008E5092" w:rsidRPr="001E0B2E" w:rsidRDefault="008E5092">
            <w:pPr>
              <w:pStyle w:val="In-tableHeading"/>
              <w:jc w:val="center"/>
              <w:rPr>
                <w:lang w:val="en-AU"/>
              </w:rPr>
            </w:pPr>
            <w:r w:rsidRPr="001E0B2E">
              <w:rPr>
                <w:lang w:val="en-AU"/>
              </w:rPr>
              <w:t>RR</w:t>
            </w:r>
          </w:p>
          <w:p w14:paraId="5DF1050A" w14:textId="77777777" w:rsidR="008E5092" w:rsidRPr="001E0B2E" w:rsidRDefault="008E5092">
            <w:pPr>
              <w:pStyle w:val="In-tableHeading"/>
              <w:jc w:val="center"/>
              <w:rPr>
                <w:lang w:val="en-AU"/>
              </w:rPr>
            </w:pPr>
            <w:r w:rsidRPr="001E0B2E">
              <w:rPr>
                <w:lang w:val="en-AU"/>
              </w:rPr>
              <w:t>(95% CI)</w:t>
            </w:r>
          </w:p>
        </w:tc>
        <w:tc>
          <w:tcPr>
            <w:tcW w:w="1336" w:type="pct"/>
            <w:gridSpan w:val="4"/>
            <w:tcBorders>
              <w:top w:val="single" w:sz="4" w:space="0" w:color="auto"/>
              <w:left w:val="single" w:sz="4" w:space="0" w:color="auto"/>
              <w:bottom w:val="single" w:sz="4" w:space="0" w:color="auto"/>
              <w:right w:val="single" w:sz="4" w:space="0" w:color="auto"/>
            </w:tcBorders>
            <w:vAlign w:val="center"/>
          </w:tcPr>
          <w:p w14:paraId="025B32CB" w14:textId="77777777" w:rsidR="008E5092" w:rsidRPr="001E0B2E" w:rsidRDefault="008E5092">
            <w:pPr>
              <w:pStyle w:val="In-tableHeading"/>
              <w:jc w:val="center"/>
              <w:rPr>
                <w:lang w:val="en-AU"/>
              </w:rPr>
            </w:pPr>
            <w:r w:rsidRPr="001E0B2E">
              <w:rPr>
                <w:lang w:val="en-AU"/>
              </w:rPr>
              <w:t>Event rate/100 patients</w:t>
            </w:r>
          </w:p>
        </w:tc>
        <w:tc>
          <w:tcPr>
            <w:tcW w:w="757" w:type="pct"/>
            <w:vMerge w:val="restart"/>
            <w:tcBorders>
              <w:top w:val="single" w:sz="4" w:space="0" w:color="auto"/>
              <w:left w:val="single" w:sz="4" w:space="0" w:color="auto"/>
              <w:bottom w:val="single" w:sz="4" w:space="0" w:color="auto"/>
              <w:right w:val="single" w:sz="4" w:space="0" w:color="auto"/>
            </w:tcBorders>
            <w:vAlign w:val="center"/>
          </w:tcPr>
          <w:p w14:paraId="7FB84745" w14:textId="77777777" w:rsidR="008E5092" w:rsidRPr="001E0B2E" w:rsidRDefault="008E5092">
            <w:pPr>
              <w:pStyle w:val="In-tableHeading"/>
              <w:jc w:val="center"/>
              <w:rPr>
                <w:lang w:val="en-AU"/>
              </w:rPr>
            </w:pPr>
            <w:r w:rsidRPr="001E0B2E">
              <w:rPr>
                <w:lang w:val="en-AU"/>
              </w:rPr>
              <w:t>RD</w:t>
            </w:r>
          </w:p>
          <w:p w14:paraId="5B9324BE" w14:textId="77777777" w:rsidR="008E5092" w:rsidRPr="001E0B2E" w:rsidRDefault="008E5092">
            <w:pPr>
              <w:pStyle w:val="In-tableHeading"/>
              <w:jc w:val="center"/>
              <w:rPr>
                <w:lang w:val="en-AU"/>
              </w:rPr>
            </w:pPr>
            <w:r w:rsidRPr="001E0B2E">
              <w:rPr>
                <w:lang w:val="en-AU"/>
              </w:rPr>
              <w:t>(95% CI)</w:t>
            </w:r>
          </w:p>
        </w:tc>
      </w:tr>
      <w:tr w:rsidR="008E5092" w:rsidRPr="00D86D87" w14:paraId="2D022425" w14:textId="77777777">
        <w:trPr>
          <w:trHeight w:val="390"/>
        </w:trPr>
        <w:tc>
          <w:tcPr>
            <w:tcW w:w="863" w:type="pct"/>
            <w:vMerge/>
            <w:tcBorders>
              <w:top w:val="single" w:sz="4" w:space="0" w:color="auto"/>
              <w:left w:val="single" w:sz="4" w:space="0" w:color="auto"/>
              <w:bottom w:val="single" w:sz="4" w:space="0" w:color="auto"/>
              <w:right w:val="single" w:sz="4" w:space="0" w:color="auto"/>
            </w:tcBorders>
            <w:vAlign w:val="center"/>
          </w:tcPr>
          <w:p w14:paraId="01AB649D" w14:textId="77777777" w:rsidR="008E5092" w:rsidRPr="00D86D87" w:rsidRDefault="008E5092">
            <w:pPr>
              <w:pStyle w:val="In-tableHeading"/>
              <w:rPr>
                <w:lang w:val="en-AU"/>
              </w:rPr>
            </w:pPr>
          </w:p>
        </w:tc>
        <w:tc>
          <w:tcPr>
            <w:tcW w:w="708" w:type="pct"/>
            <w:vMerge/>
            <w:tcBorders>
              <w:top w:val="single" w:sz="4" w:space="0" w:color="auto"/>
              <w:left w:val="single" w:sz="4" w:space="0" w:color="auto"/>
              <w:bottom w:val="single" w:sz="4" w:space="0" w:color="auto"/>
              <w:right w:val="single" w:sz="4" w:space="0" w:color="auto"/>
            </w:tcBorders>
            <w:vAlign w:val="center"/>
          </w:tcPr>
          <w:p w14:paraId="273F8BF7" w14:textId="77777777" w:rsidR="008E5092" w:rsidRPr="00D86D87" w:rsidRDefault="008E5092">
            <w:pPr>
              <w:pStyle w:val="In-tableHeading"/>
              <w:rPr>
                <w:lang w:val="en-AU"/>
              </w:rPr>
            </w:pPr>
          </w:p>
        </w:tc>
        <w:tc>
          <w:tcPr>
            <w:tcW w:w="628" w:type="pct"/>
            <w:gridSpan w:val="3"/>
            <w:vMerge/>
            <w:tcBorders>
              <w:top w:val="single" w:sz="4" w:space="0" w:color="auto"/>
              <w:left w:val="single" w:sz="4" w:space="0" w:color="auto"/>
              <w:bottom w:val="single" w:sz="4" w:space="0" w:color="auto"/>
              <w:right w:val="single" w:sz="4" w:space="0" w:color="auto"/>
            </w:tcBorders>
            <w:vAlign w:val="center"/>
          </w:tcPr>
          <w:p w14:paraId="4BE94DA9" w14:textId="77777777" w:rsidR="008E5092" w:rsidRPr="00D86D87" w:rsidRDefault="008E5092">
            <w:pPr>
              <w:pStyle w:val="In-tableHeading"/>
              <w:rPr>
                <w:lang w:val="en-AU"/>
              </w:rPr>
            </w:pPr>
          </w:p>
        </w:tc>
        <w:tc>
          <w:tcPr>
            <w:tcW w:w="708" w:type="pct"/>
            <w:gridSpan w:val="2"/>
            <w:vMerge/>
            <w:tcBorders>
              <w:top w:val="single" w:sz="4" w:space="0" w:color="auto"/>
              <w:left w:val="single" w:sz="4" w:space="0" w:color="auto"/>
              <w:bottom w:val="single" w:sz="4" w:space="0" w:color="auto"/>
              <w:right w:val="single" w:sz="4" w:space="0" w:color="auto"/>
            </w:tcBorders>
            <w:vAlign w:val="center"/>
          </w:tcPr>
          <w:p w14:paraId="50552F73" w14:textId="77777777" w:rsidR="008E5092" w:rsidRPr="001E0B2E" w:rsidRDefault="008E5092">
            <w:pPr>
              <w:pStyle w:val="In-tableHeading"/>
              <w:rPr>
                <w:lang w:val="en-AU"/>
              </w:rPr>
            </w:pP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6F0A2D8F" w14:textId="77777777" w:rsidR="008E5092" w:rsidRPr="001E0B2E" w:rsidRDefault="008E5092">
            <w:pPr>
              <w:pStyle w:val="In-tableHeading"/>
              <w:jc w:val="center"/>
              <w:rPr>
                <w:lang w:val="en-AU"/>
              </w:rPr>
            </w:pPr>
            <w:r w:rsidRPr="001E0B2E">
              <w:rPr>
                <w:lang w:val="en-AU"/>
              </w:rPr>
              <w:t>ACP 2 mg</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7482BE88" w14:textId="77777777" w:rsidR="008E5092" w:rsidRPr="001E0B2E" w:rsidRDefault="008E5092">
            <w:pPr>
              <w:pStyle w:val="In-tableHeading"/>
              <w:jc w:val="center"/>
              <w:rPr>
                <w:lang w:val="en-AU"/>
              </w:rPr>
            </w:pPr>
            <w:r w:rsidRPr="001E0B2E">
              <w:rPr>
                <w:lang w:val="en-AU"/>
              </w:rPr>
              <w:t>Sham/BSC</w:t>
            </w:r>
          </w:p>
        </w:tc>
        <w:tc>
          <w:tcPr>
            <w:tcW w:w="757" w:type="pct"/>
            <w:vMerge/>
            <w:tcBorders>
              <w:top w:val="single" w:sz="4" w:space="0" w:color="auto"/>
              <w:left w:val="single" w:sz="4" w:space="0" w:color="auto"/>
              <w:bottom w:val="single" w:sz="4" w:space="0" w:color="auto"/>
              <w:right w:val="single" w:sz="4" w:space="0" w:color="auto"/>
            </w:tcBorders>
            <w:vAlign w:val="center"/>
          </w:tcPr>
          <w:p w14:paraId="56D463B6" w14:textId="77777777" w:rsidR="008E5092" w:rsidRPr="001E0B2E" w:rsidRDefault="008E5092">
            <w:pPr>
              <w:pStyle w:val="In-tableHeading"/>
              <w:rPr>
                <w:lang w:val="en-AU"/>
              </w:rPr>
            </w:pPr>
          </w:p>
        </w:tc>
      </w:tr>
      <w:tr w:rsidR="008E5092" w:rsidRPr="00D86D87" w14:paraId="719F40FE" w14:textId="77777777">
        <w:tc>
          <w:tcPr>
            <w:tcW w:w="5000" w:type="pct"/>
            <w:gridSpan w:val="12"/>
            <w:tcBorders>
              <w:top w:val="single" w:sz="4" w:space="0" w:color="auto"/>
              <w:left w:val="single" w:sz="4" w:space="0" w:color="auto"/>
              <w:bottom w:val="single" w:sz="4" w:space="0" w:color="auto"/>
              <w:right w:val="single" w:sz="4" w:space="0" w:color="auto"/>
            </w:tcBorders>
            <w:vAlign w:val="center"/>
          </w:tcPr>
          <w:p w14:paraId="46316FEA" w14:textId="77777777" w:rsidR="008E5092" w:rsidRPr="001E0B2E" w:rsidRDefault="008E5092">
            <w:pPr>
              <w:pStyle w:val="In-tableHeading"/>
              <w:jc w:val="both"/>
              <w:rPr>
                <w:lang w:val="en-AU"/>
              </w:rPr>
            </w:pPr>
            <w:r w:rsidRPr="001E0B2E">
              <w:rPr>
                <w:lang w:val="en-AU"/>
              </w:rPr>
              <w:t xml:space="preserve">Adverse event between baseline and Month 12 </w:t>
            </w:r>
          </w:p>
        </w:tc>
      </w:tr>
      <w:tr w:rsidR="008E5092" w:rsidRPr="00D86D87" w14:paraId="7C2BEC0C" w14:textId="77777777">
        <w:tc>
          <w:tcPr>
            <w:tcW w:w="863" w:type="pct"/>
            <w:tcBorders>
              <w:top w:val="single" w:sz="4" w:space="0" w:color="auto"/>
              <w:left w:val="single" w:sz="4" w:space="0" w:color="auto"/>
              <w:bottom w:val="single" w:sz="4" w:space="0" w:color="auto"/>
              <w:right w:val="single" w:sz="4" w:space="0" w:color="auto"/>
            </w:tcBorders>
            <w:vAlign w:val="center"/>
          </w:tcPr>
          <w:p w14:paraId="772D63E5" w14:textId="77777777" w:rsidR="008E5092" w:rsidRDefault="008E5092">
            <w:pPr>
              <w:pStyle w:val="TableText0"/>
            </w:pPr>
            <w:r>
              <w:t>Any TEAE related to injection</w:t>
            </w:r>
          </w:p>
        </w:tc>
        <w:tc>
          <w:tcPr>
            <w:tcW w:w="708" w:type="pct"/>
            <w:tcBorders>
              <w:top w:val="single" w:sz="4" w:space="0" w:color="auto"/>
              <w:left w:val="single" w:sz="4" w:space="0" w:color="auto"/>
              <w:bottom w:val="single" w:sz="4" w:space="0" w:color="auto"/>
              <w:right w:val="single" w:sz="4" w:space="0" w:color="auto"/>
            </w:tcBorders>
            <w:vAlign w:val="center"/>
          </w:tcPr>
          <w:p w14:paraId="235E3A89" w14:textId="77777777" w:rsidR="008E5092" w:rsidRDefault="008E5092">
            <w:pPr>
              <w:pStyle w:val="TableText0"/>
              <w:jc w:val="center"/>
            </w:pPr>
            <w:r>
              <w:t>85/292</w:t>
            </w:r>
          </w:p>
        </w:tc>
        <w:tc>
          <w:tcPr>
            <w:tcW w:w="628" w:type="pct"/>
            <w:gridSpan w:val="3"/>
            <w:tcBorders>
              <w:top w:val="single" w:sz="4" w:space="0" w:color="auto"/>
              <w:left w:val="single" w:sz="4" w:space="0" w:color="auto"/>
              <w:bottom w:val="single" w:sz="4" w:space="0" w:color="auto"/>
              <w:right w:val="single" w:sz="4" w:space="0" w:color="auto"/>
            </w:tcBorders>
            <w:vAlign w:val="center"/>
          </w:tcPr>
          <w:p w14:paraId="70F85470" w14:textId="77777777" w:rsidR="008E5092" w:rsidRDefault="008E5092">
            <w:pPr>
              <w:pStyle w:val="TableText0"/>
              <w:jc w:val="center"/>
            </w:pPr>
            <w:r>
              <w:t>69/332</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1CC2F26" w14:textId="29EA3C76" w:rsidR="008E5092" w:rsidRPr="001E0B2E" w:rsidRDefault="008E5092">
            <w:pPr>
              <w:pStyle w:val="TableText0"/>
              <w:jc w:val="center"/>
            </w:pPr>
            <w:r w:rsidRPr="001E0B2E">
              <w:t xml:space="preserve">1.40 </w:t>
            </w:r>
            <w:r w:rsidR="00A02E05" w:rsidRPr="001E0B2E">
              <w:br/>
            </w:r>
            <w:r w:rsidRPr="001E0B2E">
              <w:t>(1.06, 1.85)</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11396BFF" w14:textId="77777777" w:rsidR="008E5092" w:rsidRPr="001E0B2E" w:rsidRDefault="008E5092">
            <w:pPr>
              <w:pStyle w:val="TableText0"/>
              <w:jc w:val="center"/>
            </w:pPr>
            <w:r w:rsidRPr="001E0B2E">
              <w:t>29.1</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62F0C90A" w14:textId="77777777" w:rsidR="008E5092" w:rsidRPr="001E0B2E" w:rsidRDefault="008E5092">
            <w:pPr>
              <w:pStyle w:val="TableText0"/>
              <w:jc w:val="center"/>
            </w:pPr>
            <w:r w:rsidRPr="001E0B2E">
              <w:t>20.8</w:t>
            </w:r>
          </w:p>
        </w:tc>
        <w:tc>
          <w:tcPr>
            <w:tcW w:w="757" w:type="pct"/>
            <w:tcBorders>
              <w:top w:val="single" w:sz="4" w:space="0" w:color="auto"/>
              <w:left w:val="single" w:sz="4" w:space="0" w:color="auto"/>
              <w:bottom w:val="single" w:sz="4" w:space="0" w:color="auto"/>
              <w:right w:val="single" w:sz="4" w:space="0" w:color="auto"/>
            </w:tcBorders>
            <w:vAlign w:val="center"/>
          </w:tcPr>
          <w:p w14:paraId="4A5D6657" w14:textId="3FBB99F6" w:rsidR="008E5092" w:rsidRPr="001E0B2E" w:rsidRDefault="008E5092">
            <w:pPr>
              <w:pStyle w:val="TableText0"/>
              <w:jc w:val="center"/>
            </w:pPr>
            <w:r w:rsidRPr="001E0B2E">
              <w:t xml:space="preserve">0.08 </w:t>
            </w:r>
            <w:r w:rsidR="00A02E05" w:rsidRPr="001E0B2E">
              <w:br/>
            </w:r>
            <w:r w:rsidRPr="001E0B2E">
              <w:t>(0.02, 0.15)</w:t>
            </w:r>
          </w:p>
        </w:tc>
      </w:tr>
      <w:tr w:rsidR="008E5092" w:rsidRPr="00D86D87" w14:paraId="3281A86B" w14:textId="77777777">
        <w:tc>
          <w:tcPr>
            <w:tcW w:w="863" w:type="pct"/>
            <w:tcBorders>
              <w:top w:val="single" w:sz="4" w:space="0" w:color="auto"/>
              <w:left w:val="single" w:sz="4" w:space="0" w:color="auto"/>
              <w:bottom w:val="single" w:sz="4" w:space="0" w:color="auto"/>
              <w:right w:val="single" w:sz="4" w:space="0" w:color="auto"/>
            </w:tcBorders>
            <w:vAlign w:val="center"/>
          </w:tcPr>
          <w:p w14:paraId="3C0B7D66" w14:textId="77777777" w:rsidR="008E5092" w:rsidRPr="00196231" w:rsidRDefault="008E5092">
            <w:pPr>
              <w:pStyle w:val="TableText0"/>
            </w:pPr>
            <w:r>
              <w:t>Any ocular TEAE in the study eye</w:t>
            </w:r>
          </w:p>
        </w:tc>
        <w:tc>
          <w:tcPr>
            <w:tcW w:w="708" w:type="pct"/>
            <w:tcBorders>
              <w:top w:val="single" w:sz="4" w:space="0" w:color="auto"/>
              <w:left w:val="single" w:sz="4" w:space="0" w:color="auto"/>
              <w:bottom w:val="single" w:sz="4" w:space="0" w:color="auto"/>
              <w:right w:val="single" w:sz="4" w:space="0" w:color="auto"/>
            </w:tcBorders>
            <w:vAlign w:val="center"/>
          </w:tcPr>
          <w:p w14:paraId="1FD68168" w14:textId="77777777" w:rsidR="008E5092" w:rsidRPr="00D86D87" w:rsidRDefault="008E5092">
            <w:pPr>
              <w:pStyle w:val="TableText0"/>
              <w:jc w:val="center"/>
            </w:pPr>
            <w:r>
              <w:t>149/292</w:t>
            </w:r>
          </w:p>
        </w:tc>
        <w:tc>
          <w:tcPr>
            <w:tcW w:w="628" w:type="pct"/>
            <w:gridSpan w:val="3"/>
            <w:tcBorders>
              <w:top w:val="single" w:sz="4" w:space="0" w:color="auto"/>
              <w:left w:val="single" w:sz="4" w:space="0" w:color="auto"/>
              <w:bottom w:val="single" w:sz="4" w:space="0" w:color="auto"/>
              <w:right w:val="single" w:sz="4" w:space="0" w:color="auto"/>
            </w:tcBorders>
            <w:vAlign w:val="center"/>
          </w:tcPr>
          <w:p w14:paraId="032F33F9" w14:textId="77777777" w:rsidR="008E5092" w:rsidRPr="00D86D87" w:rsidRDefault="008E5092">
            <w:pPr>
              <w:pStyle w:val="TableText0"/>
              <w:jc w:val="center"/>
            </w:pPr>
            <w:r>
              <w:t>121/332</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4E98BFB" w14:textId="1A1E3C0F" w:rsidR="008E5092" w:rsidRPr="001E0B2E" w:rsidRDefault="008E5092">
            <w:pPr>
              <w:pStyle w:val="TableText0"/>
              <w:jc w:val="center"/>
            </w:pPr>
            <w:r w:rsidRPr="001E0B2E">
              <w:t xml:space="preserve">1.40 </w:t>
            </w:r>
            <w:r w:rsidR="00A02E05" w:rsidRPr="001E0B2E">
              <w:br/>
            </w:r>
            <w:r w:rsidRPr="001E0B2E">
              <w:t>(1.17, 1.68)</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4EAC02B0" w14:textId="77777777" w:rsidR="008E5092" w:rsidRPr="001E0B2E" w:rsidRDefault="008E5092">
            <w:pPr>
              <w:pStyle w:val="TableText0"/>
              <w:jc w:val="center"/>
            </w:pPr>
            <w:r w:rsidRPr="001E0B2E">
              <w:t>51.0</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37EFF700" w14:textId="77777777" w:rsidR="008E5092" w:rsidRPr="001E0B2E" w:rsidRDefault="008E5092">
            <w:pPr>
              <w:pStyle w:val="TableText0"/>
              <w:jc w:val="center"/>
            </w:pPr>
            <w:r w:rsidRPr="001E0B2E">
              <w:t>36.4</w:t>
            </w:r>
          </w:p>
        </w:tc>
        <w:tc>
          <w:tcPr>
            <w:tcW w:w="757" w:type="pct"/>
            <w:tcBorders>
              <w:top w:val="single" w:sz="4" w:space="0" w:color="auto"/>
              <w:left w:val="single" w:sz="4" w:space="0" w:color="auto"/>
              <w:bottom w:val="single" w:sz="4" w:space="0" w:color="auto"/>
              <w:right w:val="single" w:sz="4" w:space="0" w:color="auto"/>
            </w:tcBorders>
            <w:vAlign w:val="center"/>
          </w:tcPr>
          <w:p w14:paraId="0BE38568" w14:textId="1B0E386D" w:rsidR="008E5092" w:rsidRPr="001E0B2E" w:rsidRDefault="008E5092">
            <w:pPr>
              <w:pStyle w:val="TableText0"/>
              <w:jc w:val="center"/>
            </w:pPr>
            <w:r w:rsidRPr="001E0B2E">
              <w:t xml:space="preserve">0.15 </w:t>
            </w:r>
            <w:r w:rsidR="00A02E05" w:rsidRPr="001E0B2E">
              <w:br/>
            </w:r>
            <w:r w:rsidRPr="001E0B2E">
              <w:t>(0.07, 0.22)</w:t>
            </w:r>
          </w:p>
        </w:tc>
      </w:tr>
      <w:tr w:rsidR="008E5092" w:rsidRPr="00D86D87" w14:paraId="0B5B2633" w14:textId="77777777">
        <w:tc>
          <w:tcPr>
            <w:tcW w:w="863" w:type="pct"/>
            <w:tcBorders>
              <w:top w:val="single" w:sz="4" w:space="0" w:color="auto"/>
              <w:left w:val="single" w:sz="4" w:space="0" w:color="auto"/>
              <w:bottom w:val="single" w:sz="4" w:space="0" w:color="auto"/>
              <w:right w:val="single" w:sz="4" w:space="0" w:color="auto"/>
            </w:tcBorders>
            <w:vAlign w:val="center"/>
          </w:tcPr>
          <w:p w14:paraId="1105CF68" w14:textId="77777777" w:rsidR="008E5092" w:rsidRPr="00D86D87" w:rsidRDefault="008E5092">
            <w:pPr>
              <w:pStyle w:val="TableText0"/>
            </w:pPr>
            <w:r>
              <w:t>Any severe ocular AE in the study eye related to injection</w:t>
            </w:r>
          </w:p>
        </w:tc>
        <w:tc>
          <w:tcPr>
            <w:tcW w:w="708" w:type="pct"/>
            <w:tcBorders>
              <w:top w:val="single" w:sz="4" w:space="0" w:color="auto"/>
              <w:left w:val="single" w:sz="4" w:space="0" w:color="auto"/>
              <w:bottom w:val="single" w:sz="4" w:space="0" w:color="auto"/>
              <w:right w:val="single" w:sz="4" w:space="0" w:color="auto"/>
            </w:tcBorders>
            <w:vAlign w:val="center"/>
          </w:tcPr>
          <w:p w14:paraId="26F28001" w14:textId="77777777" w:rsidR="008E5092" w:rsidRPr="00D86D87" w:rsidRDefault="008E5092">
            <w:pPr>
              <w:pStyle w:val="TableText0"/>
              <w:jc w:val="center"/>
            </w:pPr>
            <w:r>
              <w:t>4/292</w:t>
            </w:r>
          </w:p>
        </w:tc>
        <w:tc>
          <w:tcPr>
            <w:tcW w:w="628" w:type="pct"/>
            <w:gridSpan w:val="3"/>
            <w:tcBorders>
              <w:top w:val="single" w:sz="4" w:space="0" w:color="auto"/>
              <w:left w:val="single" w:sz="4" w:space="0" w:color="auto"/>
              <w:bottom w:val="single" w:sz="4" w:space="0" w:color="auto"/>
              <w:right w:val="single" w:sz="4" w:space="0" w:color="auto"/>
            </w:tcBorders>
            <w:vAlign w:val="center"/>
          </w:tcPr>
          <w:p w14:paraId="40257B2F" w14:textId="77777777" w:rsidR="008E5092" w:rsidRPr="00D86D87" w:rsidRDefault="008E5092">
            <w:pPr>
              <w:pStyle w:val="TableText0"/>
              <w:jc w:val="center"/>
            </w:pPr>
            <w:r>
              <w:t>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78F38539" w14:textId="77777777" w:rsidR="008E5092" w:rsidRPr="001E0B2E" w:rsidRDefault="008E5092">
            <w:pPr>
              <w:pStyle w:val="TableText0"/>
              <w:jc w:val="center"/>
            </w:pPr>
            <w:r w:rsidRPr="001E0B2E">
              <w:t>N/A</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314AE307" w14:textId="77777777" w:rsidR="008E5092" w:rsidRPr="001E0B2E" w:rsidRDefault="008E5092">
            <w:pPr>
              <w:pStyle w:val="TableText0"/>
              <w:jc w:val="center"/>
            </w:pPr>
            <w:r w:rsidRPr="001E0B2E">
              <w:t>1.4</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20F45F2F" w14:textId="77777777" w:rsidR="008E5092" w:rsidRPr="001E0B2E" w:rsidRDefault="008E5092">
            <w:pPr>
              <w:pStyle w:val="TableText0"/>
              <w:jc w:val="center"/>
            </w:pPr>
            <w:r w:rsidRPr="001E0B2E">
              <w:t>0</w:t>
            </w:r>
          </w:p>
        </w:tc>
        <w:tc>
          <w:tcPr>
            <w:tcW w:w="757" w:type="pct"/>
            <w:tcBorders>
              <w:top w:val="single" w:sz="4" w:space="0" w:color="auto"/>
              <w:left w:val="single" w:sz="4" w:space="0" w:color="auto"/>
              <w:bottom w:val="single" w:sz="4" w:space="0" w:color="auto"/>
              <w:right w:val="single" w:sz="4" w:space="0" w:color="auto"/>
            </w:tcBorders>
            <w:vAlign w:val="center"/>
          </w:tcPr>
          <w:p w14:paraId="59F4472B" w14:textId="0B978112" w:rsidR="008E5092" w:rsidRPr="001E0B2E" w:rsidRDefault="008E5092">
            <w:pPr>
              <w:pStyle w:val="TableText0"/>
              <w:jc w:val="center"/>
            </w:pPr>
            <w:r w:rsidRPr="001E0B2E">
              <w:t xml:space="preserve">0.01 </w:t>
            </w:r>
            <w:r w:rsidR="00A02E05" w:rsidRPr="001E0B2E">
              <w:br/>
            </w:r>
            <w:r w:rsidRPr="001E0B2E">
              <w:t>(0.00, 0.03)</w:t>
            </w:r>
          </w:p>
        </w:tc>
      </w:tr>
      <w:tr w:rsidR="008E5092" w:rsidRPr="00D86D87" w14:paraId="05CE4676" w14:textId="77777777">
        <w:tc>
          <w:tcPr>
            <w:tcW w:w="863" w:type="pct"/>
            <w:tcBorders>
              <w:top w:val="single" w:sz="4" w:space="0" w:color="auto"/>
              <w:left w:val="single" w:sz="4" w:space="0" w:color="auto"/>
              <w:bottom w:val="single" w:sz="4" w:space="0" w:color="auto"/>
              <w:right w:val="single" w:sz="4" w:space="0" w:color="auto"/>
            </w:tcBorders>
            <w:vAlign w:val="center"/>
          </w:tcPr>
          <w:p w14:paraId="42D52361" w14:textId="77777777" w:rsidR="008E5092" w:rsidRPr="00BA0489" w:rsidRDefault="008E5092">
            <w:pPr>
              <w:pStyle w:val="TableText0"/>
            </w:pPr>
            <w:r w:rsidRPr="00BA0489">
              <w:t>CNV</w:t>
            </w:r>
            <w:r>
              <w:t xml:space="preserve"> in the study eye</w:t>
            </w:r>
          </w:p>
        </w:tc>
        <w:tc>
          <w:tcPr>
            <w:tcW w:w="708" w:type="pct"/>
            <w:tcBorders>
              <w:top w:val="single" w:sz="4" w:space="0" w:color="auto"/>
              <w:left w:val="single" w:sz="4" w:space="0" w:color="auto"/>
              <w:bottom w:val="single" w:sz="4" w:space="0" w:color="auto"/>
              <w:right w:val="single" w:sz="4" w:space="0" w:color="auto"/>
            </w:tcBorders>
            <w:vAlign w:val="center"/>
          </w:tcPr>
          <w:p w14:paraId="05BB2A91" w14:textId="77777777" w:rsidR="008E5092" w:rsidRPr="00D86D87" w:rsidRDefault="008E5092">
            <w:pPr>
              <w:pStyle w:val="TableText0"/>
              <w:jc w:val="center"/>
            </w:pPr>
            <w:r>
              <w:t>21/292</w:t>
            </w:r>
          </w:p>
        </w:tc>
        <w:tc>
          <w:tcPr>
            <w:tcW w:w="628" w:type="pct"/>
            <w:gridSpan w:val="3"/>
            <w:tcBorders>
              <w:top w:val="single" w:sz="4" w:space="0" w:color="auto"/>
              <w:left w:val="single" w:sz="4" w:space="0" w:color="auto"/>
              <w:bottom w:val="single" w:sz="4" w:space="0" w:color="auto"/>
              <w:right w:val="single" w:sz="4" w:space="0" w:color="auto"/>
            </w:tcBorders>
            <w:vAlign w:val="center"/>
          </w:tcPr>
          <w:p w14:paraId="785CA67C" w14:textId="77777777" w:rsidR="008E5092" w:rsidRPr="00D86D87" w:rsidRDefault="008E5092">
            <w:pPr>
              <w:pStyle w:val="TableText0"/>
              <w:jc w:val="center"/>
            </w:pPr>
            <w:r>
              <w:t>12/332</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156BCA87" w14:textId="14F2BFFA" w:rsidR="008E5092" w:rsidRPr="001E0B2E" w:rsidRDefault="008E5092">
            <w:pPr>
              <w:pStyle w:val="TableText0"/>
              <w:jc w:val="center"/>
            </w:pPr>
            <w:r w:rsidRPr="001E0B2E">
              <w:t xml:space="preserve">1.99 </w:t>
            </w:r>
            <w:r w:rsidR="00A02E05" w:rsidRPr="001E0B2E">
              <w:br/>
            </w:r>
            <w:r w:rsidRPr="001E0B2E">
              <w:t>(1.00, 3.97)</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63454AAC" w14:textId="77777777" w:rsidR="008E5092" w:rsidRPr="001E0B2E" w:rsidRDefault="008E5092">
            <w:pPr>
              <w:pStyle w:val="TableText0"/>
              <w:jc w:val="center"/>
            </w:pPr>
            <w:r w:rsidRPr="001E0B2E">
              <w:t>7.2</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744E9A13" w14:textId="77777777" w:rsidR="008E5092" w:rsidRPr="001E0B2E" w:rsidRDefault="008E5092">
            <w:pPr>
              <w:pStyle w:val="TableText0"/>
              <w:jc w:val="center"/>
            </w:pPr>
            <w:r w:rsidRPr="001E0B2E">
              <w:t>3.6</w:t>
            </w:r>
          </w:p>
        </w:tc>
        <w:tc>
          <w:tcPr>
            <w:tcW w:w="757" w:type="pct"/>
            <w:tcBorders>
              <w:top w:val="single" w:sz="4" w:space="0" w:color="auto"/>
              <w:left w:val="single" w:sz="4" w:space="0" w:color="auto"/>
              <w:bottom w:val="single" w:sz="4" w:space="0" w:color="auto"/>
              <w:right w:val="single" w:sz="4" w:space="0" w:color="auto"/>
            </w:tcBorders>
            <w:vAlign w:val="center"/>
          </w:tcPr>
          <w:p w14:paraId="0679B2D5" w14:textId="63A9CCA0" w:rsidR="008E5092" w:rsidRPr="001E0B2E" w:rsidRDefault="008E5092">
            <w:pPr>
              <w:pStyle w:val="TableText0"/>
              <w:jc w:val="center"/>
            </w:pPr>
            <w:r w:rsidRPr="001E0B2E">
              <w:t xml:space="preserve">0.04 </w:t>
            </w:r>
            <w:r w:rsidR="00A02E05" w:rsidRPr="001E0B2E">
              <w:br/>
            </w:r>
            <w:r w:rsidRPr="001E0B2E">
              <w:t>(</w:t>
            </w:r>
            <w:r w:rsidR="009B60A6">
              <w:noBreakHyphen/>
            </w:r>
            <w:r w:rsidRPr="001E0B2E">
              <w:t>0.00, 0.07)</w:t>
            </w:r>
          </w:p>
        </w:tc>
      </w:tr>
    </w:tbl>
    <w:p w14:paraId="3AC7AB26" w14:textId="77777777" w:rsidR="00CF3120" w:rsidRDefault="00432FF5">
      <w:pPr>
        <w:pStyle w:val="TableFigureFooter"/>
      </w:pPr>
      <w:r>
        <w:t>Source: Table 33, p146 of the GATHER1 CSR; Khanani AM et al, Table 3.</w:t>
      </w:r>
    </w:p>
    <w:p w14:paraId="5571CF5E" w14:textId="1628D434" w:rsidR="008E5092" w:rsidRDefault="008E5092" w:rsidP="008E5092">
      <w:pPr>
        <w:pStyle w:val="TableFigureFooter"/>
      </w:pPr>
      <w:r>
        <w:t>ACP = avacincaptad pegol; AE = Adverse event; BSC = Best supportive care; CI = Confidence interval; CNV = Choroidal neovascularisation; GA = geographic atrophy; ITT = Intent</w:t>
      </w:r>
      <w:r w:rsidR="009B60A6">
        <w:noBreakHyphen/>
      </w:r>
      <w:r>
        <w:t>to</w:t>
      </w:r>
      <w:r w:rsidR="009B60A6">
        <w:noBreakHyphen/>
      </w:r>
      <w:r>
        <w:t>treat; LS = Least squares; mg = Milligram; N/A = not applicable; RD = Risk difference; RR = Risk ratio; SE = Standard error; TEAE = Treatment</w:t>
      </w:r>
      <w:r w:rsidR="009B60A6">
        <w:noBreakHyphen/>
      </w:r>
      <w:r>
        <w:t>emergent adverse event.</w:t>
      </w:r>
    </w:p>
    <w:p w14:paraId="0A2D3353" w14:textId="65A9F895" w:rsidR="008E5092" w:rsidRDefault="008E5092" w:rsidP="008E5092">
      <w:pPr>
        <w:pStyle w:val="TableFigureFooter"/>
      </w:pPr>
      <w:r w:rsidRPr="00A41ED2">
        <w:rPr>
          <w:vertAlign w:val="superscript"/>
        </w:rPr>
        <w:t>a</w:t>
      </w:r>
      <w:r>
        <w:t xml:space="preserve"> </w:t>
      </w:r>
      <w:r w:rsidR="001B2938" w:rsidRPr="001B2938">
        <w:t>An increase in GA area implies worsening of disease</w:t>
      </w:r>
    </w:p>
    <w:p w14:paraId="0316B965" w14:textId="7AEC51F2" w:rsidR="008E5092" w:rsidRDefault="008E5092" w:rsidP="008E5092">
      <w:pPr>
        <w:pStyle w:val="TableFigureFooter"/>
        <w:spacing w:after="240"/>
      </w:pPr>
      <w:r w:rsidRPr="00A41ED2">
        <w:rPr>
          <w:vertAlign w:val="superscript"/>
        </w:rPr>
        <w:t>b</w:t>
      </w:r>
      <w:r>
        <w:t xml:space="preserve"> </w:t>
      </w:r>
      <w:r w:rsidR="001B2938">
        <w:t>Pooled patients in the ACP 2 mg arms in GATHER1 and GATHER2 who had received monthly ACP 2 mg IVT injection for ≥ 1 dose</w:t>
      </w:r>
    </w:p>
    <w:p w14:paraId="3F4949A2" w14:textId="325B68BA" w:rsidR="001B2938" w:rsidRPr="001B2938" w:rsidRDefault="001B2938" w:rsidP="008E5092">
      <w:pPr>
        <w:pStyle w:val="TableFigureFooter"/>
        <w:spacing w:after="240"/>
      </w:pPr>
      <w:r w:rsidRPr="001B2938">
        <w:rPr>
          <w:vertAlign w:val="superscript"/>
        </w:rPr>
        <w:t>c</w:t>
      </w:r>
      <w:r>
        <w:rPr>
          <w:vertAlign w:val="superscript"/>
        </w:rPr>
        <w:t xml:space="preserve"> </w:t>
      </w:r>
      <w:r>
        <w:t>Pooled patients in the sham arms in GATHER1 and GATHER2 who had received monthly sham.</w:t>
      </w:r>
    </w:p>
    <w:p w14:paraId="54B9B0CD" w14:textId="1137B521" w:rsidR="00EF12DF" w:rsidRPr="001E0B2E" w:rsidRDefault="0060719C" w:rsidP="0060719C">
      <w:pPr>
        <w:pStyle w:val="TableFigureFooter"/>
      </w:pPr>
      <w:r w:rsidRPr="001E0B2E">
        <w:t xml:space="preserve">Note: RD and RR were </w:t>
      </w:r>
      <w:r w:rsidR="001B2938" w:rsidRPr="001E0B2E">
        <w:t>calculated during the evaluation</w:t>
      </w:r>
      <w:r w:rsidRPr="001E0B2E">
        <w:t>.</w:t>
      </w:r>
    </w:p>
    <w:p w14:paraId="5745F4C5" w14:textId="6596EB80" w:rsidR="008E5092" w:rsidRDefault="0021013C" w:rsidP="008E5092">
      <w:pPr>
        <w:pStyle w:val="3-BodyText"/>
      </w:pPr>
      <w:proofErr w:type="gramStart"/>
      <w:r w:rsidRPr="00E20031">
        <w:t>On the basis of</w:t>
      </w:r>
      <w:proofErr w:type="gramEnd"/>
      <w:r w:rsidRPr="00E20031">
        <w:t xml:space="preserve"> direct evidence presented by the submission, the comparison of </w:t>
      </w:r>
      <w:r w:rsidR="008E5092">
        <w:t>ACP 2 mg IVT in comparison to BSC/sham and over a treatment period of 12 months</w:t>
      </w:r>
      <w:r>
        <w:t xml:space="preserve"> resulted in</w:t>
      </w:r>
      <w:r w:rsidR="008E5092">
        <w:t>:</w:t>
      </w:r>
    </w:p>
    <w:p w14:paraId="7470A831" w14:textId="69D56B75" w:rsidR="001328F6" w:rsidRPr="002F2E12" w:rsidRDefault="0021013C" w:rsidP="001A7CE8">
      <w:pPr>
        <w:pStyle w:val="3-BodyText"/>
        <w:numPr>
          <w:ilvl w:val="0"/>
          <w:numId w:val="15"/>
        </w:numPr>
        <w:ind w:left="1134"/>
      </w:pPr>
      <w:r>
        <w:t>A</w:t>
      </w:r>
      <w:r w:rsidR="001328F6">
        <w:t xml:space="preserve"> reduction in GA growth</w:t>
      </w:r>
      <w:r w:rsidR="0044126A">
        <w:t xml:space="preserve"> of between 0.34 to 0.70 mm</w:t>
      </w:r>
      <w:r w:rsidR="00797CB1" w:rsidRPr="00797CB1">
        <w:rPr>
          <w:vertAlign w:val="superscript"/>
        </w:rPr>
        <w:t>2</w:t>
      </w:r>
      <w:r w:rsidR="002F2E12">
        <w:rPr>
          <w:vertAlign w:val="superscript"/>
        </w:rPr>
        <w:t xml:space="preserve"> </w:t>
      </w:r>
      <w:r w:rsidR="002F2E12" w:rsidRPr="002F2E12">
        <w:t>on average</w:t>
      </w:r>
      <w:r w:rsidR="001328F6" w:rsidRPr="002F2E12">
        <w:t>.</w:t>
      </w:r>
    </w:p>
    <w:p w14:paraId="52DB9D3F" w14:textId="74FCC0B0" w:rsidR="00614F9A" w:rsidRDefault="0021013C" w:rsidP="00614F9A">
      <w:pPr>
        <w:pStyle w:val="3-BodyText"/>
        <w:numPr>
          <w:ilvl w:val="0"/>
          <w:numId w:val="0"/>
        </w:numPr>
        <w:ind w:left="774"/>
      </w:pPr>
      <w:r>
        <w:t xml:space="preserve">For every 100 </w:t>
      </w:r>
      <w:r w:rsidR="00614F9A">
        <w:t>patients</w:t>
      </w:r>
      <w:r>
        <w:t xml:space="preserve"> treated</w:t>
      </w:r>
      <w:r w:rsidR="00614F9A">
        <w:t>:</w:t>
      </w:r>
    </w:p>
    <w:p w14:paraId="4B0EA0E6" w14:textId="634E6DEA" w:rsidR="008E5092" w:rsidRDefault="008E5092" w:rsidP="001A7CE8">
      <w:pPr>
        <w:pStyle w:val="3-BodyText"/>
        <w:numPr>
          <w:ilvl w:val="0"/>
          <w:numId w:val="15"/>
        </w:numPr>
        <w:ind w:left="1134"/>
      </w:pPr>
      <w:r>
        <w:t>Approximately 15 additional patients would experience at least one ocular TEAE in the study eye.</w:t>
      </w:r>
    </w:p>
    <w:p w14:paraId="1A5013FD" w14:textId="776CEFCC" w:rsidR="008E5092" w:rsidRDefault="008E5092" w:rsidP="001A7CE8">
      <w:pPr>
        <w:pStyle w:val="3-BodyText"/>
        <w:numPr>
          <w:ilvl w:val="0"/>
          <w:numId w:val="15"/>
        </w:numPr>
        <w:ind w:left="1134"/>
      </w:pPr>
      <w:r>
        <w:lastRenderedPageBreak/>
        <w:t>Approximately 1 additional patient would experience at least one severe ocular AE in the study eye related to injection.</w:t>
      </w:r>
    </w:p>
    <w:p w14:paraId="016E7672" w14:textId="2C6EBE46" w:rsidR="008E5092" w:rsidRDefault="008E5092" w:rsidP="001A7CE8">
      <w:pPr>
        <w:pStyle w:val="3-BodyText"/>
        <w:numPr>
          <w:ilvl w:val="0"/>
          <w:numId w:val="15"/>
        </w:numPr>
        <w:ind w:left="1134"/>
      </w:pPr>
      <w:r>
        <w:t>Approximately 4 additional patients would experience CNV in the study eye.</w:t>
      </w:r>
    </w:p>
    <w:p w14:paraId="289EAA5E" w14:textId="0215F090" w:rsidR="007C70FF" w:rsidRPr="00B75478" w:rsidRDefault="00B60939" w:rsidP="00B75478">
      <w:pPr>
        <w:pStyle w:val="4-SubsectionHeading"/>
      </w:pPr>
      <w:bookmarkStart w:id="55" w:name="_Toc22897644"/>
      <w:bookmarkStart w:id="56" w:name="_Toc219816303"/>
      <w:r w:rsidRPr="00D86D87">
        <w:t>Clinical claim</w:t>
      </w:r>
      <w:bookmarkEnd w:id="55"/>
      <w:bookmarkEnd w:id="56"/>
    </w:p>
    <w:p w14:paraId="54D3A82D" w14:textId="16246478" w:rsidR="005F7588" w:rsidRPr="004452FC" w:rsidRDefault="005F7588" w:rsidP="00E9094A">
      <w:pPr>
        <w:pStyle w:val="3-BodyText"/>
        <w:rPr>
          <w:rFonts w:eastAsia="Calibri"/>
        </w:rPr>
      </w:pPr>
      <w:r w:rsidRPr="004452FC">
        <w:rPr>
          <w:rFonts w:eastAsia="Calibri"/>
        </w:rPr>
        <w:t xml:space="preserve">The submission described </w:t>
      </w:r>
      <w:r w:rsidR="0044423F" w:rsidRPr="004452FC">
        <w:rPr>
          <w:rFonts w:eastAsia="Calibri"/>
        </w:rPr>
        <w:t>ACP 2 mg IVT</w:t>
      </w:r>
      <w:r w:rsidRPr="004452FC">
        <w:rPr>
          <w:rFonts w:eastAsia="Calibri"/>
        </w:rPr>
        <w:t xml:space="preserve"> </w:t>
      </w:r>
      <w:r w:rsidR="0049350C" w:rsidRPr="004452FC">
        <w:rPr>
          <w:rFonts w:eastAsia="Calibri"/>
        </w:rPr>
        <w:t xml:space="preserve">injection </w:t>
      </w:r>
      <w:r w:rsidR="009F1A7E" w:rsidRPr="004452FC">
        <w:rPr>
          <w:rFonts w:eastAsia="Calibri"/>
        </w:rPr>
        <w:t xml:space="preserve">monthly </w:t>
      </w:r>
      <w:r w:rsidRPr="004452FC">
        <w:rPr>
          <w:rFonts w:eastAsia="Calibri"/>
        </w:rPr>
        <w:t xml:space="preserve">as superior in terms of effectiveness compared to </w:t>
      </w:r>
      <w:r w:rsidR="0044423F" w:rsidRPr="004452FC">
        <w:rPr>
          <w:rFonts w:eastAsia="Calibri"/>
        </w:rPr>
        <w:t>BSC/sham</w:t>
      </w:r>
      <w:r w:rsidRPr="004452FC">
        <w:rPr>
          <w:rFonts w:eastAsia="Calibri"/>
        </w:rPr>
        <w:t>. Th</w:t>
      </w:r>
      <w:r w:rsidR="007E4B57">
        <w:rPr>
          <w:rFonts w:eastAsia="Calibri"/>
        </w:rPr>
        <w:t xml:space="preserve">e </w:t>
      </w:r>
      <w:r w:rsidR="007E4B57" w:rsidRPr="00C17763">
        <w:rPr>
          <w:rFonts w:eastAsia="Calibri"/>
          <w:iCs/>
        </w:rPr>
        <w:t>evaluation considered</w:t>
      </w:r>
      <w:r w:rsidR="007E4B57">
        <w:rPr>
          <w:rFonts w:eastAsia="Calibri"/>
        </w:rPr>
        <w:t xml:space="preserve"> th</w:t>
      </w:r>
      <w:r w:rsidRPr="004452FC">
        <w:rPr>
          <w:rFonts w:eastAsia="Calibri"/>
        </w:rPr>
        <w:t xml:space="preserve">is claim was </w:t>
      </w:r>
      <w:r w:rsidR="0044423F" w:rsidRPr="004452FC">
        <w:rPr>
          <w:rFonts w:eastAsia="Calibri"/>
        </w:rPr>
        <w:t xml:space="preserve">adequately supported but the magnitude of the </w:t>
      </w:r>
      <w:r w:rsidR="001328F6" w:rsidRPr="004452FC">
        <w:rPr>
          <w:rFonts w:eastAsia="Calibri"/>
        </w:rPr>
        <w:t>benefit</w:t>
      </w:r>
      <w:r w:rsidR="0044423F" w:rsidRPr="004452FC">
        <w:rPr>
          <w:rFonts w:eastAsia="Calibri"/>
        </w:rPr>
        <w:t xml:space="preserve"> was uncertain. The key issu</w:t>
      </w:r>
      <w:r w:rsidR="009F1A7E" w:rsidRPr="004452FC">
        <w:rPr>
          <w:rFonts w:eastAsia="Calibri"/>
        </w:rPr>
        <w:t xml:space="preserve">e was </w:t>
      </w:r>
      <w:r w:rsidR="00C8428A" w:rsidRPr="004452FC">
        <w:rPr>
          <w:rFonts w:eastAsia="Calibri"/>
        </w:rPr>
        <w:t>that</w:t>
      </w:r>
      <w:r w:rsidR="00CA1F61" w:rsidRPr="004452FC">
        <w:rPr>
          <w:rFonts w:eastAsia="Calibri"/>
        </w:rPr>
        <w:t>,</w:t>
      </w:r>
      <w:r w:rsidR="00C8428A" w:rsidRPr="004452FC">
        <w:rPr>
          <w:rFonts w:eastAsia="Calibri"/>
        </w:rPr>
        <w:t xml:space="preserve"> although</w:t>
      </w:r>
      <w:r w:rsidR="0044423F" w:rsidRPr="004452FC">
        <w:rPr>
          <w:rFonts w:eastAsia="Calibri"/>
        </w:rPr>
        <w:t xml:space="preserve"> the submission demonstrated that ACP 2 mg dosed monthly or every other month in patients with non</w:t>
      </w:r>
      <w:r w:rsidR="009B60A6">
        <w:rPr>
          <w:rFonts w:eastAsia="Calibri"/>
        </w:rPr>
        <w:noBreakHyphen/>
      </w:r>
      <w:r w:rsidR="0044423F" w:rsidRPr="004452FC">
        <w:rPr>
          <w:rFonts w:eastAsia="Calibri"/>
        </w:rPr>
        <w:t xml:space="preserve">subfoveal GA lesions at baseline slowed the growth of the GA lesions, the submission did not demonstrate a difference in functional outcomes, such as </w:t>
      </w:r>
      <w:r w:rsidR="00CA1F61" w:rsidRPr="004452FC">
        <w:rPr>
          <w:rFonts w:eastAsia="Calibri"/>
        </w:rPr>
        <w:t>visual acuity</w:t>
      </w:r>
      <w:r w:rsidR="0044423F" w:rsidRPr="004452FC">
        <w:rPr>
          <w:rFonts w:eastAsia="Calibri"/>
        </w:rPr>
        <w:t>, in the proposed PBS population.</w:t>
      </w:r>
      <w:r w:rsidR="0044423F" w:rsidRPr="004452FC">
        <w:t xml:space="preserve"> </w:t>
      </w:r>
      <w:r w:rsidR="00CA1F61" w:rsidRPr="004452FC">
        <w:t xml:space="preserve">The TGA Delegate’s opinion was that GA area has emerged as an appropriate variable to assess progression of GA, </w:t>
      </w:r>
      <w:r w:rsidR="00C551E9">
        <w:t>especially</w:t>
      </w:r>
      <w:r w:rsidR="00CA1F61" w:rsidRPr="004452FC">
        <w:t xml:space="preserve"> in the earlier stages of the disease, since visual acuity </w:t>
      </w:r>
      <w:r w:rsidR="00C551E9">
        <w:t>will</w:t>
      </w:r>
      <w:r w:rsidR="00CA1F61" w:rsidRPr="004452FC">
        <w:t xml:space="preserve"> poorly reflect GA progression if the fovea remains unaffected.</w:t>
      </w:r>
      <w:r w:rsidR="00CA1F61" w:rsidRPr="004452FC">
        <w:rPr>
          <w:rFonts w:ascii="Calibri" w:eastAsia="Times New Roman" w:hAnsi="Calibri" w:cs="Arial"/>
          <w:szCs w:val="24"/>
        </w:rPr>
        <w:t xml:space="preserve"> </w:t>
      </w:r>
      <w:r w:rsidR="00083CB0" w:rsidRPr="00C17763">
        <w:rPr>
          <w:rFonts w:ascii="Calibri" w:eastAsia="Times New Roman" w:hAnsi="Calibri" w:cs="Arial"/>
          <w:iCs/>
          <w:szCs w:val="24"/>
        </w:rPr>
        <w:t xml:space="preserve">In its consideration of pegcetacoplan, </w:t>
      </w:r>
      <w:r w:rsidR="00083CB0">
        <w:t>t</w:t>
      </w:r>
      <w:r w:rsidR="00CA1F61" w:rsidRPr="004452FC">
        <w:t xml:space="preserve">he PBAC also </w:t>
      </w:r>
      <w:r w:rsidR="00DC2CEC">
        <w:t xml:space="preserve">previously </w:t>
      </w:r>
      <w:r w:rsidR="00CA1F61" w:rsidRPr="004452FC">
        <w:t>considered that, although the clinical trials did not demonstrate clear improvements in vision related activities, it was reasonable to assume that protecting the structure of the eye by slowing GA lesion growth will result in slower loss of functional vision than current care.</w:t>
      </w:r>
      <w:r w:rsidR="00BF27FA">
        <w:t xml:space="preserve"> </w:t>
      </w:r>
      <w:r w:rsidR="00CA1F61" w:rsidRPr="004452FC">
        <w:t xml:space="preserve">Despite </w:t>
      </w:r>
      <w:r w:rsidR="00C551E9">
        <w:t xml:space="preserve">considerable </w:t>
      </w:r>
      <w:r w:rsidR="00CA1F61" w:rsidRPr="004452FC">
        <w:t xml:space="preserve">uncertainty in the magnitude of this benefit on vision, the PBAC was satisfied that pegcetacoplan provides, for some patients, a significant improvement in efficacy over BSC (Pegcetacoplan, November 2025 PBAC Meeting outcomes). </w:t>
      </w:r>
      <w:r w:rsidR="00F56E11" w:rsidRPr="00C17763">
        <w:rPr>
          <w:iCs/>
        </w:rPr>
        <w:t xml:space="preserve">The ESC agreed with the evaluation that the </w:t>
      </w:r>
      <w:r w:rsidR="00EC487C" w:rsidRPr="00C17763">
        <w:rPr>
          <w:iCs/>
        </w:rPr>
        <w:t>claim of superior effectiveness was adequately supported but the magnitude of benefit was uncertain.</w:t>
      </w:r>
    </w:p>
    <w:p w14:paraId="54AAE58E" w14:textId="66967C58" w:rsidR="00315231" w:rsidRPr="004452FC" w:rsidRDefault="0049350C" w:rsidP="00315231">
      <w:pPr>
        <w:pStyle w:val="3-BodyText"/>
        <w:rPr>
          <w:rFonts w:eastAsia="Calibri"/>
        </w:rPr>
      </w:pPr>
      <w:r w:rsidRPr="004452FC">
        <w:rPr>
          <w:rFonts w:eastAsia="Calibri"/>
        </w:rPr>
        <w:t>The submission described ACP 2 mg IVT injection monthly as non</w:t>
      </w:r>
      <w:r w:rsidR="009B60A6">
        <w:rPr>
          <w:rFonts w:eastAsia="Calibri"/>
        </w:rPr>
        <w:noBreakHyphen/>
      </w:r>
      <w:r w:rsidRPr="004452FC">
        <w:rPr>
          <w:rFonts w:eastAsia="Calibri"/>
        </w:rPr>
        <w:t>inferior in terms of clinical effectiveness compared to pegcetacoplan 15 mg IVT injection every other month. T</w:t>
      </w:r>
      <w:r w:rsidR="00B400A3">
        <w:rPr>
          <w:rFonts w:eastAsia="Calibri"/>
        </w:rPr>
        <w:t xml:space="preserve">he </w:t>
      </w:r>
      <w:r w:rsidR="00B400A3" w:rsidRPr="00C17763">
        <w:rPr>
          <w:rFonts w:eastAsia="Calibri"/>
          <w:iCs/>
        </w:rPr>
        <w:t>evaluation considered</w:t>
      </w:r>
      <w:r w:rsidR="00B400A3">
        <w:rPr>
          <w:rFonts w:eastAsia="Calibri"/>
        </w:rPr>
        <w:t xml:space="preserve"> t</w:t>
      </w:r>
      <w:r w:rsidRPr="004452FC">
        <w:rPr>
          <w:rFonts w:eastAsia="Calibri"/>
        </w:rPr>
        <w:t>his claim was not supported by the totality of evidence from the indirect comparisons provided in the submission.</w:t>
      </w:r>
      <w:r w:rsidR="00B400A3">
        <w:rPr>
          <w:rFonts w:eastAsia="Calibri"/>
        </w:rPr>
        <w:t xml:space="preserve"> </w:t>
      </w:r>
      <w:r w:rsidR="004546AC" w:rsidRPr="00C17763">
        <w:rPr>
          <w:rFonts w:eastAsia="Calibri"/>
          <w:iCs/>
        </w:rPr>
        <w:t xml:space="preserve">The ESC noted that </w:t>
      </w:r>
      <w:r w:rsidR="002A7B08" w:rsidRPr="00C17763">
        <w:rPr>
          <w:rFonts w:eastAsia="Calibri"/>
          <w:iCs/>
        </w:rPr>
        <w:t xml:space="preserve">the </w:t>
      </w:r>
      <w:r w:rsidR="00462ABB">
        <w:rPr>
          <w:iCs/>
          <w:color w:val="000000" w:themeColor="text1"/>
          <w:lang w:val="en-GB"/>
        </w:rPr>
        <w:t>t</w:t>
      </w:r>
      <w:r w:rsidR="00462ABB" w:rsidRPr="00C17763">
        <w:rPr>
          <w:iCs/>
          <w:color w:val="000000" w:themeColor="text1"/>
          <w:lang w:val="en-GB"/>
        </w:rPr>
        <w:t xml:space="preserve">echnical </w:t>
      </w:r>
      <w:r w:rsidR="002A7B08" w:rsidRPr="00C17763">
        <w:rPr>
          <w:iCs/>
          <w:color w:val="000000" w:themeColor="text1"/>
          <w:lang w:val="en-GB"/>
        </w:rPr>
        <w:t xml:space="preserve">report for the </w:t>
      </w:r>
      <w:r w:rsidR="0056215C" w:rsidRPr="00C17763">
        <w:rPr>
          <w:iCs/>
          <w:color w:val="000000" w:themeColor="text1"/>
          <w:lang w:val="en-GB"/>
        </w:rPr>
        <w:t>ML</w:t>
      </w:r>
      <w:r w:rsidR="009B60A6">
        <w:rPr>
          <w:iCs/>
          <w:color w:val="000000" w:themeColor="text1"/>
          <w:lang w:val="en-GB"/>
        </w:rPr>
        <w:noBreakHyphen/>
      </w:r>
      <w:r w:rsidR="0056215C" w:rsidRPr="00C17763">
        <w:rPr>
          <w:iCs/>
          <w:color w:val="000000" w:themeColor="text1"/>
          <w:lang w:val="en-GB"/>
        </w:rPr>
        <w:t xml:space="preserve">NMR ITC </w:t>
      </w:r>
      <w:r w:rsidR="002A7B08" w:rsidRPr="00C17763">
        <w:rPr>
          <w:iCs/>
          <w:color w:val="000000" w:themeColor="text1"/>
          <w:lang w:val="en-GB"/>
        </w:rPr>
        <w:t>was provided with the PSCR</w:t>
      </w:r>
      <w:r w:rsidR="002113BF" w:rsidRPr="00C17763">
        <w:rPr>
          <w:iCs/>
          <w:color w:val="000000" w:themeColor="text1"/>
          <w:lang w:val="en-GB"/>
        </w:rPr>
        <w:t>. The ESC considered the technical report</w:t>
      </w:r>
      <w:r w:rsidR="001232D4" w:rsidRPr="00C17763">
        <w:rPr>
          <w:iCs/>
          <w:color w:val="000000" w:themeColor="text1"/>
          <w:lang w:val="en-GB"/>
        </w:rPr>
        <w:t xml:space="preserve"> provided more confidence in the methodological approach</w:t>
      </w:r>
      <w:r w:rsidR="009F60A2" w:rsidRPr="00C17763">
        <w:rPr>
          <w:iCs/>
          <w:color w:val="000000" w:themeColor="text1"/>
          <w:lang w:val="en-GB"/>
        </w:rPr>
        <w:t xml:space="preserve">, </w:t>
      </w:r>
      <w:r w:rsidR="007A0F03" w:rsidRPr="00C17763">
        <w:rPr>
          <w:iCs/>
          <w:color w:val="000000" w:themeColor="text1"/>
          <w:lang w:val="en-GB"/>
        </w:rPr>
        <w:t>however,</w:t>
      </w:r>
      <w:r w:rsidR="009F60A2" w:rsidRPr="00C17763">
        <w:rPr>
          <w:iCs/>
          <w:color w:val="000000" w:themeColor="text1"/>
          <w:lang w:val="en-GB"/>
        </w:rPr>
        <w:t xml:space="preserve"> as outlined in paragraph </w:t>
      </w:r>
      <w:r w:rsidR="005F4B27" w:rsidRPr="00C17763">
        <w:rPr>
          <w:iCs/>
          <w:color w:val="000000" w:themeColor="text1"/>
          <w:lang w:val="en-GB"/>
        </w:rPr>
        <w:fldChar w:fldCharType="begin"/>
      </w:r>
      <w:r w:rsidR="005F4B27" w:rsidRPr="00C17763">
        <w:rPr>
          <w:iCs/>
          <w:color w:val="000000" w:themeColor="text1"/>
          <w:lang w:val="en-GB"/>
        </w:rPr>
        <w:instrText xml:space="preserve"> REF _Ref222313843 \r \h </w:instrText>
      </w:r>
      <w:r w:rsidR="005F4B27" w:rsidRPr="00C17763">
        <w:rPr>
          <w:iCs/>
          <w:color w:val="000000" w:themeColor="text1"/>
          <w:lang w:val="en-GB"/>
        </w:rPr>
      </w:r>
      <w:r w:rsidR="005F4B27" w:rsidRPr="00C17763">
        <w:rPr>
          <w:iCs/>
          <w:color w:val="000000" w:themeColor="text1"/>
          <w:lang w:val="en-GB"/>
        </w:rPr>
        <w:fldChar w:fldCharType="separate"/>
      </w:r>
      <w:r w:rsidR="00605348">
        <w:rPr>
          <w:iCs/>
          <w:color w:val="000000" w:themeColor="text1"/>
          <w:lang w:val="en-GB"/>
        </w:rPr>
        <w:t>6.26</w:t>
      </w:r>
      <w:r w:rsidR="005F4B27" w:rsidRPr="00C17763">
        <w:rPr>
          <w:iCs/>
          <w:color w:val="000000" w:themeColor="text1"/>
          <w:lang w:val="en-GB"/>
        </w:rPr>
        <w:fldChar w:fldCharType="end"/>
      </w:r>
      <w:r w:rsidR="003A64CB" w:rsidRPr="00C17763">
        <w:rPr>
          <w:iCs/>
          <w:color w:val="000000" w:themeColor="text1"/>
          <w:lang w:val="en-GB"/>
        </w:rPr>
        <w:t xml:space="preserve">, the </w:t>
      </w:r>
      <w:r w:rsidR="00A21BB2" w:rsidRPr="00C17763">
        <w:rPr>
          <w:bCs/>
          <w:iCs/>
          <w:color w:val="000000" w:themeColor="text1"/>
          <w:lang w:val="en-GB"/>
        </w:rPr>
        <w:t xml:space="preserve">overall interpretation of the comparison between ACP and pegcetacoplan </w:t>
      </w:r>
      <w:r w:rsidR="003A64CB" w:rsidRPr="00C17763">
        <w:rPr>
          <w:bCs/>
          <w:iCs/>
          <w:color w:val="000000" w:themeColor="text1"/>
          <w:lang w:val="en-GB"/>
        </w:rPr>
        <w:t xml:space="preserve">remained </w:t>
      </w:r>
      <w:r w:rsidR="00A21BB2" w:rsidRPr="00C17763">
        <w:rPr>
          <w:bCs/>
          <w:iCs/>
          <w:color w:val="000000" w:themeColor="text1"/>
          <w:lang w:val="en-GB"/>
        </w:rPr>
        <w:t xml:space="preserve">challenging. </w:t>
      </w:r>
      <w:r w:rsidR="003A64CB" w:rsidRPr="00C17763">
        <w:rPr>
          <w:bCs/>
          <w:iCs/>
          <w:color w:val="000000" w:themeColor="text1"/>
          <w:lang w:val="en-GB"/>
        </w:rPr>
        <w:t>Overall</w:t>
      </w:r>
      <w:r w:rsidR="00A21BB2" w:rsidRPr="00C17763">
        <w:rPr>
          <w:bCs/>
          <w:iCs/>
          <w:color w:val="000000" w:themeColor="text1"/>
          <w:lang w:val="en-GB"/>
        </w:rPr>
        <w:t>, the ESC considered that it does not appear that one agent is clearly superior to the other.</w:t>
      </w:r>
    </w:p>
    <w:p w14:paraId="75B1688E" w14:textId="40B5C7EE" w:rsidR="00FA757B" w:rsidRPr="004452FC" w:rsidRDefault="005F7588" w:rsidP="00315231">
      <w:pPr>
        <w:pStyle w:val="3-BodyText"/>
        <w:rPr>
          <w:rFonts w:eastAsia="Calibri"/>
        </w:rPr>
      </w:pPr>
      <w:r w:rsidRPr="004452FC">
        <w:rPr>
          <w:rFonts w:eastAsia="Calibri"/>
        </w:rPr>
        <w:t xml:space="preserve">The submission described </w:t>
      </w:r>
      <w:r w:rsidR="0049350C" w:rsidRPr="004452FC">
        <w:rPr>
          <w:rFonts w:eastAsia="Calibri"/>
        </w:rPr>
        <w:t>ACP 2 mg IVT injection</w:t>
      </w:r>
      <w:r w:rsidRPr="004452FC">
        <w:rPr>
          <w:rFonts w:eastAsia="Calibri"/>
        </w:rPr>
        <w:t xml:space="preserve"> </w:t>
      </w:r>
      <w:r w:rsidR="009F1A7E" w:rsidRPr="004452FC">
        <w:rPr>
          <w:rFonts w:eastAsia="Calibri"/>
        </w:rPr>
        <w:t xml:space="preserve">monthly </w:t>
      </w:r>
      <w:r w:rsidRPr="004452FC">
        <w:rPr>
          <w:rFonts w:eastAsia="Calibri"/>
        </w:rPr>
        <w:t>as inferior in term</w:t>
      </w:r>
      <w:r w:rsidR="00156F8F" w:rsidRPr="004452FC">
        <w:rPr>
          <w:rFonts w:eastAsia="Calibri"/>
        </w:rPr>
        <w:t>s</w:t>
      </w:r>
      <w:r w:rsidRPr="004452FC">
        <w:rPr>
          <w:rFonts w:eastAsia="Calibri"/>
        </w:rPr>
        <w:t xml:space="preserve"> of safety compared to </w:t>
      </w:r>
      <w:r w:rsidR="0049350C" w:rsidRPr="004452FC">
        <w:rPr>
          <w:rFonts w:eastAsia="Calibri"/>
        </w:rPr>
        <w:t>BSC/sham</w:t>
      </w:r>
      <w:r w:rsidRPr="004452FC">
        <w:rPr>
          <w:rFonts w:eastAsia="Calibri"/>
        </w:rPr>
        <w:t>. T</w:t>
      </w:r>
      <w:r w:rsidR="003B02D7">
        <w:rPr>
          <w:rFonts w:eastAsia="Calibri"/>
        </w:rPr>
        <w:t xml:space="preserve">he </w:t>
      </w:r>
      <w:r w:rsidR="003B02D7" w:rsidRPr="00C17763">
        <w:rPr>
          <w:rFonts w:eastAsia="Calibri"/>
          <w:iCs/>
        </w:rPr>
        <w:t>ESC agreed with the evaluation that</w:t>
      </w:r>
      <w:r w:rsidR="003B02D7">
        <w:rPr>
          <w:rFonts w:eastAsia="Calibri"/>
        </w:rPr>
        <w:t xml:space="preserve"> t</w:t>
      </w:r>
      <w:r w:rsidRPr="004452FC">
        <w:rPr>
          <w:rFonts w:eastAsia="Calibri"/>
        </w:rPr>
        <w:t>his claim was adequately supported</w:t>
      </w:r>
      <w:r w:rsidR="0049350C" w:rsidRPr="004452FC">
        <w:rPr>
          <w:rFonts w:eastAsia="Calibri"/>
        </w:rPr>
        <w:t xml:space="preserve"> by the evidence provided in the submission</w:t>
      </w:r>
      <w:r w:rsidR="007C70FF" w:rsidRPr="004452FC">
        <w:rPr>
          <w:rFonts w:eastAsia="Calibri"/>
        </w:rPr>
        <w:t xml:space="preserve">. </w:t>
      </w:r>
    </w:p>
    <w:p w14:paraId="2A79EA09" w14:textId="123F4EAC" w:rsidR="00B75478" w:rsidRPr="00EC1D0E" w:rsidRDefault="0049350C" w:rsidP="00FA757B">
      <w:pPr>
        <w:pStyle w:val="3-BodyText"/>
        <w:rPr>
          <w:rFonts w:eastAsia="Calibri"/>
        </w:rPr>
      </w:pPr>
      <w:r w:rsidRPr="004452FC">
        <w:rPr>
          <w:rFonts w:eastAsia="Calibri"/>
        </w:rPr>
        <w:t>The submission described ACP 2 mg IVT injection monthly as non</w:t>
      </w:r>
      <w:r w:rsidR="009B60A6">
        <w:rPr>
          <w:rFonts w:eastAsia="Calibri"/>
        </w:rPr>
        <w:noBreakHyphen/>
      </w:r>
      <w:r w:rsidRPr="004452FC">
        <w:rPr>
          <w:rFonts w:eastAsia="Calibri"/>
        </w:rPr>
        <w:t>inferior in terms of safety compared to pegcetacoplan 15 mg IVT injection every other month. T</w:t>
      </w:r>
      <w:r w:rsidR="003E288C">
        <w:rPr>
          <w:rFonts w:eastAsia="Calibri"/>
        </w:rPr>
        <w:t xml:space="preserve">he </w:t>
      </w:r>
      <w:r w:rsidR="003E288C" w:rsidRPr="00C17763">
        <w:rPr>
          <w:rFonts w:eastAsia="Calibri"/>
          <w:iCs/>
        </w:rPr>
        <w:t>evaluation considered</w:t>
      </w:r>
      <w:r w:rsidR="003E288C">
        <w:rPr>
          <w:rFonts w:eastAsia="Calibri"/>
        </w:rPr>
        <w:t xml:space="preserve"> t</w:t>
      </w:r>
      <w:r w:rsidRPr="004452FC">
        <w:rPr>
          <w:rFonts w:eastAsia="Calibri"/>
        </w:rPr>
        <w:t xml:space="preserve">his claim was not </w:t>
      </w:r>
      <w:r w:rsidR="00462ABB">
        <w:rPr>
          <w:rFonts w:eastAsia="Calibri"/>
        </w:rPr>
        <w:t xml:space="preserve">adequately </w:t>
      </w:r>
      <w:r w:rsidRPr="004452FC">
        <w:rPr>
          <w:rFonts w:eastAsia="Calibri"/>
        </w:rPr>
        <w:t xml:space="preserve">supported by the evidence from the indirect comparisons provided in the submission. The key issue was that </w:t>
      </w:r>
      <w:r w:rsidR="00B75478" w:rsidRPr="004452FC">
        <w:rPr>
          <w:rFonts w:eastAsia="Calibri"/>
        </w:rPr>
        <w:t xml:space="preserve">there was fundamental difference in terms of the risk of </w:t>
      </w:r>
      <w:r w:rsidR="001B1445" w:rsidRPr="004452FC">
        <w:rPr>
          <w:rFonts w:eastAsia="Calibri"/>
        </w:rPr>
        <w:t xml:space="preserve">new onset </w:t>
      </w:r>
      <w:r w:rsidR="00B75478" w:rsidRPr="004452FC">
        <w:rPr>
          <w:rFonts w:eastAsia="Calibri"/>
        </w:rPr>
        <w:t>CNV in treated eye at baseline between the ACP trial population and the pegcetacoplan trial population</w:t>
      </w:r>
      <w:r w:rsidR="0077228B" w:rsidRPr="004452FC">
        <w:rPr>
          <w:rFonts w:eastAsia="Calibri"/>
        </w:rPr>
        <w:t xml:space="preserve"> </w:t>
      </w:r>
      <w:r w:rsidR="0077228B" w:rsidRPr="004452FC">
        <w:rPr>
          <w:rFonts w:eastAsia="Calibri"/>
        </w:rPr>
        <w:lastRenderedPageBreak/>
        <w:t xml:space="preserve">which could not be adjusted </w:t>
      </w:r>
      <w:r w:rsidR="008A2BD5" w:rsidRPr="004452FC">
        <w:rPr>
          <w:rFonts w:eastAsia="Calibri"/>
        </w:rPr>
        <w:t xml:space="preserve">for </w:t>
      </w:r>
      <w:r w:rsidR="0077228B" w:rsidRPr="004452FC">
        <w:rPr>
          <w:rFonts w:eastAsia="Calibri"/>
        </w:rPr>
        <w:t xml:space="preserve">in the indirect comparison. </w:t>
      </w:r>
      <w:r w:rsidR="00067386" w:rsidRPr="00C17763">
        <w:rPr>
          <w:bCs/>
          <w:iCs/>
          <w:lang w:val="en-GB"/>
        </w:rPr>
        <w:t>The ESC noted the PSCR (p5) clarified that the ML</w:t>
      </w:r>
      <w:r w:rsidR="009B60A6">
        <w:rPr>
          <w:bCs/>
          <w:iCs/>
          <w:lang w:val="en-GB"/>
        </w:rPr>
        <w:noBreakHyphen/>
      </w:r>
      <w:r w:rsidR="00067386" w:rsidRPr="00C17763">
        <w:rPr>
          <w:bCs/>
          <w:iCs/>
          <w:lang w:val="en-GB"/>
        </w:rPr>
        <w:t xml:space="preserve">NMR compared risks for ACP with the pegcetacoplan patients in whom CNV was absent at baseline. </w:t>
      </w:r>
      <w:r w:rsidR="008F178A" w:rsidRPr="00C17763">
        <w:rPr>
          <w:bCs/>
          <w:iCs/>
          <w:lang w:val="en-GB"/>
        </w:rPr>
        <w:t xml:space="preserve">Overall, the ESC considered that </w:t>
      </w:r>
      <w:r w:rsidR="00CE1CAC" w:rsidRPr="00C17763">
        <w:rPr>
          <w:bCs/>
          <w:iCs/>
          <w:lang w:val="en-GB"/>
        </w:rPr>
        <w:t>a claim of non</w:t>
      </w:r>
      <w:r w:rsidR="009B60A6">
        <w:rPr>
          <w:bCs/>
          <w:iCs/>
          <w:lang w:val="en-GB"/>
        </w:rPr>
        <w:noBreakHyphen/>
      </w:r>
      <w:r w:rsidR="00CE1CAC" w:rsidRPr="00EC1D0E">
        <w:rPr>
          <w:bCs/>
          <w:iCs/>
          <w:lang w:val="en-GB"/>
        </w:rPr>
        <w:t xml:space="preserve">inferior safety was uncertain but likely reasonable. </w:t>
      </w:r>
    </w:p>
    <w:p w14:paraId="399C4245" w14:textId="4FED296D" w:rsidR="00303A5E" w:rsidRPr="00EC1D0E" w:rsidRDefault="00860795" w:rsidP="00303A5E">
      <w:pPr>
        <w:pStyle w:val="3-BodyText"/>
        <w:rPr>
          <w:snapToGrid w:val="0"/>
        </w:rPr>
      </w:pPr>
      <w:bookmarkStart w:id="57" w:name="_Hlk76376200"/>
      <w:r w:rsidRPr="00EC1D0E">
        <w:rPr>
          <w:iCs/>
          <w:snapToGrid w:val="0"/>
        </w:rPr>
        <w:t>The</w:t>
      </w:r>
      <w:r w:rsidRPr="00EC1D0E">
        <w:rPr>
          <w:snapToGrid w:val="0"/>
        </w:rPr>
        <w:t xml:space="preserve"> PBAC considered that the claim of superior comparative effectiveness </w:t>
      </w:r>
      <w:r w:rsidR="009105E6" w:rsidRPr="00EC1D0E">
        <w:rPr>
          <w:snapToGrid w:val="0"/>
        </w:rPr>
        <w:t xml:space="preserve">to BSC </w:t>
      </w:r>
      <w:r w:rsidRPr="00EC1D0E">
        <w:rPr>
          <w:snapToGrid w:val="0"/>
        </w:rPr>
        <w:t>was reasonable</w:t>
      </w:r>
      <w:r w:rsidR="00303A5E" w:rsidRPr="00EC1D0E">
        <w:rPr>
          <w:snapToGrid w:val="0"/>
        </w:rPr>
        <w:t xml:space="preserve"> but the magnitude of the effect on delaying vision loss was uncertain.</w:t>
      </w:r>
    </w:p>
    <w:p w14:paraId="3AA72DC1" w14:textId="278F6B7B" w:rsidR="00303A5E" w:rsidRPr="00EC1D0E" w:rsidRDefault="00303A5E" w:rsidP="00303A5E">
      <w:pPr>
        <w:pStyle w:val="3-BodyText"/>
        <w:rPr>
          <w:snapToGrid w:val="0"/>
        </w:rPr>
      </w:pPr>
      <w:r w:rsidRPr="00EC1D0E">
        <w:rPr>
          <w:snapToGrid w:val="0"/>
        </w:rPr>
        <w:t>The PBAC considered that the claim of inferior comparative safety</w:t>
      </w:r>
      <w:r w:rsidR="009105E6" w:rsidRPr="00EC1D0E">
        <w:rPr>
          <w:snapToGrid w:val="0"/>
        </w:rPr>
        <w:t xml:space="preserve"> to BSC</w:t>
      </w:r>
      <w:r w:rsidRPr="00EC1D0E">
        <w:rPr>
          <w:snapToGrid w:val="0"/>
        </w:rPr>
        <w:t xml:space="preserve"> was reasonable.</w:t>
      </w:r>
    </w:p>
    <w:p w14:paraId="13C0938D" w14:textId="6F2CD064" w:rsidR="00860795" w:rsidRPr="00EC1D0E" w:rsidRDefault="009105E6" w:rsidP="00860795">
      <w:pPr>
        <w:pStyle w:val="3-BodyText"/>
        <w:rPr>
          <w:snapToGrid w:val="0"/>
        </w:rPr>
      </w:pPr>
      <w:r w:rsidRPr="00EC1D0E">
        <w:rPr>
          <w:iCs/>
          <w:snapToGrid w:val="0"/>
        </w:rPr>
        <w:t>The</w:t>
      </w:r>
      <w:r w:rsidRPr="00EC1D0E">
        <w:rPr>
          <w:snapToGrid w:val="0"/>
        </w:rPr>
        <w:t xml:space="preserve"> PBAC considered that the claim of non</w:t>
      </w:r>
      <w:r w:rsidR="009B60A6">
        <w:rPr>
          <w:snapToGrid w:val="0"/>
        </w:rPr>
        <w:noBreakHyphen/>
      </w:r>
      <w:r w:rsidRPr="00EC1D0E">
        <w:rPr>
          <w:snapToGrid w:val="0"/>
        </w:rPr>
        <w:t>inferior comparative effectiveness to pegcetacoplan was reasonable</w:t>
      </w:r>
      <w:r w:rsidR="00860795" w:rsidRPr="00EC1D0E">
        <w:rPr>
          <w:snapToGrid w:val="0"/>
        </w:rPr>
        <w:t>.</w:t>
      </w:r>
    </w:p>
    <w:p w14:paraId="17EA54B6" w14:textId="1950A04C" w:rsidR="00860795" w:rsidRDefault="00860795" w:rsidP="00350182">
      <w:pPr>
        <w:pStyle w:val="3-BodyText"/>
        <w:rPr>
          <w:snapToGrid w:val="0"/>
        </w:rPr>
      </w:pPr>
      <w:r w:rsidRPr="00EC1D0E">
        <w:rPr>
          <w:snapToGrid w:val="0"/>
        </w:rPr>
        <w:t>The PBAC considered that the claim of non</w:t>
      </w:r>
      <w:r w:rsidR="009B60A6">
        <w:rPr>
          <w:snapToGrid w:val="0"/>
        </w:rPr>
        <w:noBreakHyphen/>
      </w:r>
      <w:r w:rsidRPr="00EC1D0E">
        <w:rPr>
          <w:snapToGrid w:val="0"/>
        </w:rPr>
        <w:t xml:space="preserve">inferior comparative safety </w:t>
      </w:r>
      <w:r w:rsidR="00EC1D0E" w:rsidRPr="00EC1D0E">
        <w:rPr>
          <w:snapToGrid w:val="0"/>
        </w:rPr>
        <w:t xml:space="preserve">to pegcetacoplan </w:t>
      </w:r>
      <w:r w:rsidRPr="00EC1D0E">
        <w:rPr>
          <w:snapToGrid w:val="0"/>
        </w:rPr>
        <w:t xml:space="preserve">was </w:t>
      </w:r>
      <w:r w:rsidR="00EC1D0E" w:rsidRPr="00EC1D0E">
        <w:rPr>
          <w:snapToGrid w:val="0"/>
        </w:rPr>
        <w:t xml:space="preserve">uncertain but likely </w:t>
      </w:r>
      <w:r w:rsidRPr="00EC1D0E">
        <w:rPr>
          <w:snapToGrid w:val="0"/>
        </w:rPr>
        <w:t>reasonable</w:t>
      </w:r>
      <w:r w:rsidR="00EC1D0E" w:rsidRPr="00EC1D0E">
        <w:rPr>
          <w:snapToGrid w:val="0"/>
        </w:rPr>
        <w:t>.</w:t>
      </w:r>
      <w:bookmarkEnd w:id="57"/>
    </w:p>
    <w:p w14:paraId="6788D0EE" w14:textId="77777777" w:rsidR="00350182" w:rsidRPr="00350182" w:rsidRDefault="00350182" w:rsidP="00350182">
      <w:pPr>
        <w:pStyle w:val="3-BodyText"/>
        <w:numPr>
          <w:ilvl w:val="0"/>
          <w:numId w:val="0"/>
        </w:numPr>
        <w:ind w:left="720"/>
        <w:rPr>
          <w:snapToGrid w:val="0"/>
        </w:rPr>
      </w:pPr>
    </w:p>
    <w:p w14:paraId="0CCBA588" w14:textId="77777777" w:rsidR="00BE6CB3" w:rsidRPr="00BE6CB3" w:rsidRDefault="00BE6CB3" w:rsidP="00BE6CB3">
      <w:pPr>
        <w:keepNext/>
        <w:spacing w:before="120" w:after="120"/>
        <w:outlineLvl w:val="1"/>
        <w:rPr>
          <w:rFonts w:asciiTheme="minorHAnsi" w:eastAsiaTheme="majorEastAsia" w:hAnsiTheme="minorHAnsi" w:cstheme="majorBidi"/>
          <w:b/>
          <w:i/>
          <w:color w:val="000000" w:themeColor="text1"/>
          <w:spacing w:val="5"/>
          <w:kern w:val="28"/>
          <w:sz w:val="28"/>
          <w:szCs w:val="36"/>
          <w:lang w:eastAsia="en-US"/>
        </w:rPr>
      </w:pPr>
      <w:bookmarkStart w:id="58" w:name="_Toc22897645"/>
      <w:bookmarkStart w:id="59" w:name="_Toc202884179"/>
      <w:bookmarkStart w:id="60" w:name="_Toc22897646"/>
      <w:r w:rsidRPr="00BE6CB3">
        <w:rPr>
          <w:rFonts w:asciiTheme="minorHAnsi" w:eastAsiaTheme="majorEastAsia" w:hAnsiTheme="minorHAnsi" w:cstheme="majorBidi"/>
          <w:b/>
          <w:i/>
          <w:color w:val="000000" w:themeColor="text1"/>
          <w:spacing w:val="5"/>
          <w:kern w:val="28"/>
          <w:sz w:val="28"/>
          <w:szCs w:val="36"/>
          <w:lang w:eastAsia="en-US"/>
        </w:rPr>
        <w:t>Economic analysis</w:t>
      </w:r>
      <w:bookmarkEnd w:id="58"/>
      <w:bookmarkEnd w:id="59"/>
      <w:r w:rsidRPr="00BE6CB3">
        <w:rPr>
          <w:rFonts w:asciiTheme="minorHAnsi" w:eastAsiaTheme="majorEastAsia" w:hAnsiTheme="minorHAnsi" w:cstheme="majorBidi"/>
          <w:b/>
          <w:i/>
          <w:color w:val="000000" w:themeColor="text1"/>
          <w:spacing w:val="5"/>
          <w:kern w:val="28"/>
          <w:sz w:val="28"/>
          <w:szCs w:val="36"/>
          <w:lang w:eastAsia="en-US"/>
        </w:rPr>
        <w:t xml:space="preserve"> </w:t>
      </w:r>
    </w:p>
    <w:p w14:paraId="04B245F5" w14:textId="5BFFF1F7" w:rsidR="007F4BC5" w:rsidRPr="004452FC" w:rsidRDefault="007F4BC5" w:rsidP="001A7CE8">
      <w:pPr>
        <w:numPr>
          <w:ilvl w:val="1"/>
          <w:numId w:val="6"/>
        </w:numPr>
        <w:spacing w:before="60" w:after="60"/>
        <w:rPr>
          <w:rFonts w:asciiTheme="minorHAnsi" w:eastAsiaTheme="minorHAnsi" w:hAnsiTheme="minorHAnsi" w:cstheme="minorBidi"/>
          <w:b/>
          <w:bCs/>
          <w:szCs w:val="22"/>
        </w:rPr>
      </w:pPr>
      <w:bookmarkStart w:id="61" w:name="_Toc22897650"/>
      <w:bookmarkEnd w:id="60"/>
      <w:r w:rsidRPr="004452FC">
        <w:rPr>
          <w:rFonts w:asciiTheme="minorHAnsi" w:eastAsiaTheme="minorHAnsi" w:hAnsiTheme="minorHAnsi" w:cstheme="minorBidi"/>
          <w:szCs w:val="22"/>
        </w:rPr>
        <w:t>The submission presented a modelled economic evaluation based on the direct randomised trials, GATHER1 and GATHER2. The economic model assessed ACP compared to BSC in patients with GA secondary to AMD for patients who have an intact fovea and central vision threatened by GA growth. The clinical claim of superior effectiveness (in terms of reduced lesion growth) for ACP compared to BSC, in patients with intact fovea and central vision threatened by GA growth (i.e. the proposed PBS patient population) was established, however the magnitude of the clinical benefit (and extent of translation to patient</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relevant outcomes) was uncertain.</w:t>
      </w:r>
    </w:p>
    <w:p w14:paraId="463277F5" w14:textId="4E063A39"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fldChar w:fldCharType="begin"/>
      </w:r>
      <w:r w:rsidRPr="004452FC">
        <w:rPr>
          <w:rFonts w:asciiTheme="minorHAnsi" w:eastAsiaTheme="minorHAnsi" w:hAnsiTheme="minorHAnsi" w:cstheme="minorBidi"/>
          <w:szCs w:val="22"/>
        </w:rPr>
        <w:instrText xml:space="preserve"> REF _Ref217381749 \h  \* MERGEFORMAT </w:instrText>
      </w:r>
      <w:r w:rsidRPr="004452FC">
        <w:rPr>
          <w:rFonts w:asciiTheme="minorHAnsi" w:eastAsiaTheme="minorHAnsi" w:hAnsiTheme="minorHAnsi" w:cstheme="minorBidi"/>
          <w:szCs w:val="22"/>
        </w:rPr>
      </w:r>
      <w:r w:rsidRPr="004452FC">
        <w:rPr>
          <w:rFonts w:asciiTheme="minorHAnsi" w:eastAsiaTheme="minorHAnsi" w:hAnsiTheme="minorHAnsi" w:cstheme="minorBidi"/>
          <w:szCs w:val="22"/>
        </w:rPr>
        <w:fldChar w:fldCharType="separate"/>
      </w:r>
      <w:r w:rsidR="00962F38" w:rsidRPr="00962F38">
        <w:rPr>
          <w:rFonts w:asciiTheme="minorHAnsi" w:eastAsiaTheme="minorHAnsi" w:hAnsiTheme="minorHAnsi" w:cstheme="minorBidi"/>
          <w:szCs w:val="22"/>
        </w:rPr>
        <w:t>Table 10</w:t>
      </w:r>
      <w:r w:rsidRPr="004452FC">
        <w:rPr>
          <w:rFonts w:asciiTheme="minorHAnsi" w:eastAsiaTheme="minorHAnsi" w:hAnsiTheme="minorHAnsi" w:cstheme="minorBidi"/>
          <w:szCs w:val="22"/>
        </w:rPr>
        <w:fldChar w:fldCharType="end"/>
      </w:r>
      <w:r w:rsidRPr="004452FC">
        <w:rPr>
          <w:rFonts w:asciiTheme="minorHAnsi" w:eastAsiaTheme="minorHAnsi" w:hAnsiTheme="minorHAnsi" w:cstheme="minorBidi"/>
          <w:szCs w:val="22"/>
        </w:rPr>
        <w:t xml:space="preserve"> summarises the key components of the economic evaluation.</w:t>
      </w:r>
    </w:p>
    <w:p w14:paraId="1930D570" w14:textId="0ECBB1A0" w:rsidR="007F4BC5" w:rsidRPr="007F4BC5" w:rsidRDefault="007F4BC5" w:rsidP="007F4BC5">
      <w:pPr>
        <w:keepNext/>
        <w:keepLines/>
        <w:jc w:val="left"/>
        <w:rPr>
          <w:rFonts w:ascii="Arial Narrow" w:hAnsi="Arial Narrow"/>
          <w:b/>
          <w:bCs/>
          <w:sz w:val="20"/>
        </w:rPr>
      </w:pPr>
      <w:bookmarkStart w:id="62" w:name="_Ref217381749"/>
      <w:r w:rsidRPr="007F4BC5">
        <w:rPr>
          <w:rFonts w:ascii="Arial Narrow" w:hAnsi="Arial Narrow"/>
          <w:b/>
          <w:bCs/>
          <w:sz w:val="20"/>
          <w:szCs w:val="18"/>
        </w:rPr>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10</w:t>
      </w:r>
      <w:r w:rsidRPr="007F4BC5">
        <w:rPr>
          <w:rFonts w:ascii="Arial Narrow" w:hAnsi="Arial Narrow"/>
          <w:b/>
          <w:bCs/>
          <w:sz w:val="20"/>
          <w:szCs w:val="18"/>
        </w:rPr>
        <w:fldChar w:fldCharType="end"/>
      </w:r>
      <w:bookmarkEnd w:id="62"/>
      <w:r w:rsidRPr="007F4BC5">
        <w:rPr>
          <w:rFonts w:ascii="Arial Narrow" w:hAnsi="Arial Narrow"/>
          <w:b/>
          <w:bCs/>
          <w:sz w:val="20"/>
          <w:szCs w:val="18"/>
        </w:rPr>
        <w:t>:</w:t>
      </w:r>
      <w:r w:rsidRPr="007F4BC5">
        <w:rPr>
          <w:rFonts w:ascii="Arial Narrow" w:hAnsi="Arial Narrow"/>
          <w:b/>
          <w:bCs/>
          <w:sz w:val="20"/>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Summary of model structure, key inputs and rationale"/>
      </w:tblPr>
      <w:tblGrid>
        <w:gridCol w:w="2518"/>
        <w:gridCol w:w="6499"/>
      </w:tblGrid>
      <w:tr w:rsidR="007F4BC5" w:rsidRPr="007F4BC5" w14:paraId="3C9210C6" w14:textId="77777777">
        <w:trPr>
          <w:tblHeader/>
        </w:trPr>
        <w:tc>
          <w:tcPr>
            <w:tcW w:w="1396" w:type="pct"/>
            <w:vAlign w:val="center"/>
          </w:tcPr>
          <w:p w14:paraId="0178DE97" w14:textId="77777777" w:rsidR="007F4BC5" w:rsidRPr="007F4BC5" w:rsidRDefault="007F4BC5" w:rsidP="007F4BC5">
            <w:pPr>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Component</w:t>
            </w:r>
          </w:p>
        </w:tc>
        <w:tc>
          <w:tcPr>
            <w:tcW w:w="3604" w:type="pct"/>
            <w:vAlign w:val="center"/>
          </w:tcPr>
          <w:p w14:paraId="1500037A" w14:textId="77777777" w:rsidR="007F4BC5" w:rsidRPr="007F4BC5" w:rsidRDefault="007F4BC5" w:rsidP="007F4BC5">
            <w:pPr>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Summary</w:t>
            </w:r>
          </w:p>
        </w:tc>
      </w:tr>
      <w:tr w:rsidR="007F4BC5" w:rsidRPr="007F4BC5" w14:paraId="78087242" w14:textId="77777777">
        <w:tc>
          <w:tcPr>
            <w:tcW w:w="1396" w:type="pct"/>
            <w:vAlign w:val="center"/>
          </w:tcPr>
          <w:p w14:paraId="4A9A5CC6"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Treatments</w:t>
            </w:r>
          </w:p>
        </w:tc>
        <w:tc>
          <w:tcPr>
            <w:tcW w:w="3604" w:type="pct"/>
            <w:vAlign w:val="center"/>
          </w:tcPr>
          <w:p w14:paraId="1EE5FC30"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Avacincaptad pegol versus BSC</w:t>
            </w:r>
          </w:p>
        </w:tc>
      </w:tr>
      <w:tr w:rsidR="007F4BC5" w:rsidRPr="007F4BC5" w14:paraId="0AC9E3E6" w14:textId="77777777">
        <w:tc>
          <w:tcPr>
            <w:tcW w:w="1396" w:type="pct"/>
            <w:vAlign w:val="center"/>
          </w:tcPr>
          <w:p w14:paraId="77145059"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Time horizon</w:t>
            </w:r>
          </w:p>
        </w:tc>
        <w:tc>
          <w:tcPr>
            <w:tcW w:w="3604" w:type="pct"/>
            <w:vAlign w:val="center"/>
          </w:tcPr>
          <w:p w14:paraId="615B68A1"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20 years (versus 18 months follow up in GATHER1)</w:t>
            </w:r>
          </w:p>
        </w:tc>
      </w:tr>
      <w:tr w:rsidR="007F4BC5" w:rsidRPr="007F4BC5" w14:paraId="0CB80229" w14:textId="77777777">
        <w:tc>
          <w:tcPr>
            <w:tcW w:w="1396" w:type="pct"/>
            <w:vAlign w:val="center"/>
          </w:tcPr>
          <w:p w14:paraId="7E38A83F"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Outcomes</w:t>
            </w:r>
          </w:p>
        </w:tc>
        <w:tc>
          <w:tcPr>
            <w:tcW w:w="3604" w:type="pct"/>
            <w:vAlign w:val="center"/>
          </w:tcPr>
          <w:p w14:paraId="5E9B73D8" w14:textId="62D27601"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Quality</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adjusted life years</w:t>
            </w:r>
          </w:p>
        </w:tc>
      </w:tr>
      <w:tr w:rsidR="007F4BC5" w:rsidRPr="007F4BC5" w14:paraId="74ABD7D8" w14:textId="77777777">
        <w:tc>
          <w:tcPr>
            <w:tcW w:w="1396" w:type="pct"/>
            <w:vAlign w:val="center"/>
          </w:tcPr>
          <w:p w14:paraId="0A378676"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Methods used to generate results</w:t>
            </w:r>
          </w:p>
        </w:tc>
        <w:tc>
          <w:tcPr>
            <w:tcW w:w="3604" w:type="pct"/>
            <w:vAlign w:val="center"/>
          </w:tcPr>
          <w:p w14:paraId="0F2E0CC0"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Markov cohort analysis</w:t>
            </w:r>
          </w:p>
        </w:tc>
      </w:tr>
      <w:tr w:rsidR="007F4BC5" w:rsidRPr="007F4BC5" w14:paraId="0ABF67E4" w14:textId="77777777">
        <w:tc>
          <w:tcPr>
            <w:tcW w:w="1396" w:type="pct"/>
            <w:vAlign w:val="center"/>
          </w:tcPr>
          <w:p w14:paraId="7F847F36"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Health states</w:t>
            </w:r>
          </w:p>
        </w:tc>
        <w:tc>
          <w:tcPr>
            <w:tcW w:w="3604" w:type="pct"/>
            <w:vAlign w:val="center"/>
          </w:tcPr>
          <w:p w14:paraId="191143AA"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Defined by GA lesion size (Small [&lt; 7.5 mm²], Medium [7.5 – 12 mm²], or Large [12 – 17.5 mm²]) and distance to the foveal center (Far from foveal center [&gt;0.25 mm] and Close from foveal center [≤ 0.25 mm])</w:t>
            </w:r>
          </w:p>
          <w:p w14:paraId="465D8CC6" w14:textId="00C8B706"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Small</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 Far, Medium</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 Far, Large</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 Far, Small</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 Close, Medium</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 Close, Large</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 Close, Blind (defined as GA lesion size of ≥ 17.5 mm²) and Death</w:t>
            </w:r>
          </w:p>
          <w:p w14:paraId="0DEE74BB" w14:textId="77777777" w:rsidR="007F4BC5" w:rsidRPr="00C17763" w:rsidRDefault="007F4BC5" w:rsidP="007F4BC5">
            <w:pPr>
              <w:keepLines/>
              <w:jc w:val="left"/>
              <w:rPr>
                <w:rFonts w:ascii="Arial Narrow" w:eastAsiaTheme="majorEastAsia" w:hAnsi="Arial Narrow" w:cstheme="majorBidi"/>
                <w:bCs/>
                <w:iCs/>
                <w:sz w:val="20"/>
              </w:rPr>
            </w:pPr>
          </w:p>
          <w:p w14:paraId="1000D386" w14:textId="2E40251E" w:rsidR="007F4BC5" w:rsidRPr="006676EA" w:rsidRDefault="007F4BC5" w:rsidP="007F4BC5">
            <w:pPr>
              <w:keepLines/>
              <w:jc w:val="left"/>
              <w:rPr>
                <w:rFonts w:ascii="Arial Narrow" w:eastAsiaTheme="majorEastAsia" w:hAnsi="Arial Narrow" w:cstheme="majorBidi"/>
                <w:bCs/>
                <w:i/>
                <w:iCs/>
                <w:sz w:val="20"/>
              </w:rPr>
            </w:pPr>
            <w:r w:rsidRPr="002E443D">
              <w:rPr>
                <w:rFonts w:ascii="Arial Narrow" w:eastAsiaTheme="majorEastAsia" w:hAnsi="Arial Narrow" w:cstheme="majorBidi"/>
                <w:bCs/>
                <w:sz w:val="20"/>
              </w:rPr>
              <w:t>These health states (based on lesion size and minimum distance to the foveal centre) are proxies for disease severity and risk of vision loss but do not directly measure functional vision or visual acuity and therefore may not correspond to clinically meaningful endpoints.</w:t>
            </w:r>
            <w:r w:rsidR="00A81A00">
              <w:rPr>
                <w:rFonts w:ascii="Arial Narrow" w:eastAsiaTheme="majorEastAsia" w:hAnsi="Arial Narrow" w:cstheme="majorBidi"/>
                <w:bCs/>
                <w:sz w:val="20"/>
              </w:rPr>
              <w:t xml:space="preserve"> </w:t>
            </w:r>
          </w:p>
        </w:tc>
      </w:tr>
      <w:tr w:rsidR="007F4BC5" w:rsidRPr="007F4BC5" w14:paraId="58CF43B6" w14:textId="77777777">
        <w:tc>
          <w:tcPr>
            <w:tcW w:w="1396" w:type="pct"/>
            <w:vAlign w:val="center"/>
          </w:tcPr>
          <w:p w14:paraId="6C014FBF"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Cycle length</w:t>
            </w:r>
          </w:p>
        </w:tc>
        <w:tc>
          <w:tcPr>
            <w:tcW w:w="3604" w:type="pct"/>
            <w:vAlign w:val="center"/>
          </w:tcPr>
          <w:p w14:paraId="095D3BE4"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6 months</w:t>
            </w:r>
          </w:p>
        </w:tc>
      </w:tr>
      <w:tr w:rsidR="007F4BC5" w:rsidRPr="007F4BC5" w14:paraId="77EE5A30" w14:textId="77777777">
        <w:tc>
          <w:tcPr>
            <w:tcW w:w="1396" w:type="pct"/>
            <w:vAlign w:val="center"/>
          </w:tcPr>
          <w:p w14:paraId="22658B90"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Transition probabilities</w:t>
            </w:r>
          </w:p>
        </w:tc>
        <w:tc>
          <w:tcPr>
            <w:tcW w:w="3604" w:type="pct"/>
            <w:vAlign w:val="center"/>
          </w:tcPr>
          <w:p w14:paraId="1D8BE16C" w14:textId="3521CE09" w:rsidR="00B44917"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Transition probabilities for ACP and BSC were calculated by examining patient</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level data from clinical trials at 6</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month intervals over 18 months. These probabilities were estimated separately for ACP and BSC, without adjustments for patient characteristics, and were based on observed changes in GA area and distance to foveal centre. </w:t>
            </w:r>
          </w:p>
          <w:p w14:paraId="316B0509" w14:textId="77777777" w:rsidR="00B44917" w:rsidRDefault="00B44917" w:rsidP="007F4BC5">
            <w:pPr>
              <w:keepLines/>
              <w:jc w:val="left"/>
              <w:rPr>
                <w:rFonts w:ascii="Arial Narrow" w:eastAsiaTheme="majorEastAsia" w:hAnsi="Arial Narrow" w:cstheme="majorBidi"/>
                <w:bCs/>
                <w:sz w:val="20"/>
              </w:rPr>
            </w:pPr>
          </w:p>
          <w:p w14:paraId="2CA7E31D" w14:textId="44274410" w:rsidR="007F4BC5" w:rsidRPr="00C17763" w:rsidRDefault="007F4BC5" w:rsidP="007F4BC5">
            <w:pPr>
              <w:keepLines/>
              <w:jc w:val="left"/>
              <w:rPr>
                <w:rFonts w:ascii="Arial Narrow" w:eastAsiaTheme="majorEastAsia" w:hAnsi="Arial Narrow" w:cstheme="majorBidi"/>
                <w:bCs/>
                <w:iCs/>
                <w:sz w:val="20"/>
              </w:rPr>
            </w:pPr>
            <w:r w:rsidRPr="00175FAA">
              <w:rPr>
                <w:rFonts w:ascii="Arial Narrow" w:eastAsiaTheme="majorEastAsia" w:hAnsi="Arial Narrow" w:cstheme="majorBidi"/>
                <w:bCs/>
                <w:sz w:val="20"/>
              </w:rPr>
              <w:lastRenderedPageBreak/>
              <w:t>Transition estimates come from a 7×7 matrix, based on small samples (N=47 ACP; N=73 BSC in GATHER1 trial). In the ACP group, there were no transitions into the 'Blind' health state except from ‘Large, Far’ and ‘Large, Close’ during the first cycle, which may influence the perceived effectiveness of the intervention. Because the sample size is limited and certain transitions are infrequent, there’s increased uncertainty and reduced generalisability of findings.</w:t>
            </w:r>
          </w:p>
          <w:p w14:paraId="3FC0942B" w14:textId="77777777" w:rsidR="007F4BC5" w:rsidRPr="007F4BC5" w:rsidRDefault="007F4BC5" w:rsidP="007F4BC5">
            <w:pPr>
              <w:keepLines/>
              <w:jc w:val="left"/>
              <w:rPr>
                <w:rFonts w:ascii="Arial Narrow" w:eastAsiaTheme="majorEastAsia" w:hAnsi="Arial Narrow" w:cstheme="majorBidi"/>
                <w:bCs/>
                <w:sz w:val="20"/>
              </w:rPr>
            </w:pPr>
          </w:p>
          <w:p w14:paraId="5A011E25" w14:textId="6F617681" w:rsidR="007F4BC5" w:rsidRPr="007F4BC5" w:rsidRDefault="007F4BC5" w:rsidP="007F4BC5">
            <w:pPr>
              <w:keepLines/>
              <w:jc w:val="left"/>
              <w:rPr>
                <w:rFonts w:ascii="Arial Narrow" w:eastAsiaTheme="majorEastAsia" w:hAnsi="Arial Narrow" w:cstheme="majorBidi"/>
                <w:bCs/>
                <w:i/>
                <w:iCs/>
                <w:sz w:val="20"/>
              </w:rPr>
            </w:pPr>
            <w:r w:rsidRPr="007F4BC5">
              <w:rPr>
                <w:rFonts w:ascii="Arial Narrow" w:eastAsiaTheme="majorEastAsia" w:hAnsi="Arial Narrow" w:cstheme="majorBidi"/>
                <w:bCs/>
                <w:sz w:val="20"/>
              </w:rPr>
              <w:t xml:space="preserve">Mortality was informed by ABS lifetables in both arms with excess mortality applied to severe visual impairment health states. </w:t>
            </w:r>
            <w:r w:rsidRPr="00886C9F">
              <w:rPr>
                <w:rFonts w:ascii="Arial Narrow" w:eastAsiaTheme="majorEastAsia" w:hAnsi="Arial Narrow" w:cstheme="majorBidi"/>
                <w:bCs/>
                <w:sz w:val="20"/>
              </w:rPr>
              <w:t xml:space="preserve">Vision impairment is linked to higher mortality risk in older populations, primarily through indirect mechanisms such as falls, depression, and reduced independence. </w:t>
            </w:r>
            <w:r w:rsidR="00102D65">
              <w:rPr>
                <w:rFonts w:ascii="Arial Narrow" w:eastAsiaTheme="majorEastAsia" w:hAnsi="Arial Narrow" w:cstheme="majorBidi"/>
                <w:bCs/>
                <w:sz w:val="20"/>
              </w:rPr>
              <w:t>The evaluation noted t</w:t>
            </w:r>
            <w:r w:rsidRPr="00886C9F">
              <w:rPr>
                <w:rFonts w:ascii="Arial Narrow" w:eastAsiaTheme="majorEastAsia" w:hAnsi="Arial Narrow" w:cstheme="majorBidi"/>
                <w:bCs/>
                <w:sz w:val="20"/>
              </w:rPr>
              <w:t xml:space="preserve">here </w:t>
            </w:r>
            <w:r w:rsidR="00102D65">
              <w:rPr>
                <w:rFonts w:ascii="Arial Narrow" w:eastAsiaTheme="majorEastAsia" w:hAnsi="Arial Narrow" w:cstheme="majorBidi"/>
                <w:bCs/>
                <w:sz w:val="20"/>
              </w:rPr>
              <w:t>wa</w:t>
            </w:r>
            <w:r w:rsidRPr="00886C9F">
              <w:rPr>
                <w:rFonts w:ascii="Arial Narrow" w:eastAsiaTheme="majorEastAsia" w:hAnsi="Arial Narrow" w:cstheme="majorBidi"/>
                <w:bCs/>
                <w:sz w:val="20"/>
              </w:rPr>
              <w:t>s no strong evidence that GA lesion size directly influences mortality.</w:t>
            </w:r>
          </w:p>
        </w:tc>
      </w:tr>
      <w:tr w:rsidR="007F4BC5" w:rsidRPr="007F4BC5" w14:paraId="21FAD93F" w14:textId="77777777">
        <w:tc>
          <w:tcPr>
            <w:tcW w:w="1396" w:type="pct"/>
            <w:vAlign w:val="center"/>
          </w:tcPr>
          <w:p w14:paraId="0E06E118"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lastRenderedPageBreak/>
              <w:t>Extrapolation method</w:t>
            </w:r>
          </w:p>
        </w:tc>
        <w:tc>
          <w:tcPr>
            <w:tcW w:w="3604" w:type="pct"/>
            <w:vAlign w:val="center"/>
          </w:tcPr>
          <w:p w14:paraId="55522C3A" w14:textId="691BE377" w:rsid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The model sets a maximum treatment duration of 3 years for ACP, after which all patients stop ACP and follow the BSC transition matrix for the rest of the model time horizon. To extrapolate ACP outcomes beyond the 18</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month GATHER1 study, it is assumed that the treatment effect remains constant throughout active treatment, with transition probabilities from cycle 3 (13–18 months) applied until the end of treatment.</w:t>
            </w:r>
          </w:p>
          <w:p w14:paraId="78CED658" w14:textId="77777777" w:rsidR="00B44917" w:rsidRPr="007F4BC5" w:rsidRDefault="00B44917" w:rsidP="007F4BC5">
            <w:pPr>
              <w:keepLines/>
              <w:jc w:val="left"/>
              <w:rPr>
                <w:rFonts w:ascii="Arial Narrow" w:eastAsiaTheme="majorEastAsia" w:hAnsi="Arial Narrow" w:cstheme="majorBidi"/>
                <w:bCs/>
                <w:sz w:val="20"/>
              </w:rPr>
            </w:pPr>
          </w:p>
          <w:p w14:paraId="4C7790CD" w14:textId="3BF6D17A" w:rsidR="007F4BC5" w:rsidRPr="0084009E" w:rsidRDefault="007F4BC5" w:rsidP="007F4BC5">
            <w:pPr>
              <w:keepLines/>
              <w:jc w:val="left"/>
              <w:rPr>
                <w:rFonts w:ascii="Arial Narrow" w:eastAsiaTheme="majorEastAsia" w:hAnsi="Arial Narrow" w:cstheme="majorBidi"/>
                <w:bCs/>
                <w:sz w:val="20"/>
              </w:rPr>
            </w:pPr>
            <w:r w:rsidRPr="0084009E">
              <w:rPr>
                <w:rFonts w:ascii="Arial Narrow" w:eastAsiaTheme="majorEastAsia" w:hAnsi="Arial Narrow" w:cstheme="majorBidi"/>
                <w:bCs/>
                <w:sz w:val="20"/>
              </w:rPr>
              <w:t>GA progression is not linear; lesions grow faster as size increases, especially with foveal involvement. Applying cycle 3 transition probabilities over the entire time horizon assumes a constant risk, ignoring age</w:t>
            </w:r>
            <w:r w:rsidR="009B60A6">
              <w:rPr>
                <w:rFonts w:ascii="Arial Narrow" w:eastAsiaTheme="majorEastAsia" w:hAnsi="Arial Narrow" w:cstheme="majorBidi"/>
                <w:bCs/>
                <w:sz w:val="20"/>
              </w:rPr>
              <w:noBreakHyphen/>
            </w:r>
            <w:r w:rsidRPr="0084009E">
              <w:rPr>
                <w:rFonts w:ascii="Arial Narrow" w:eastAsiaTheme="majorEastAsia" w:hAnsi="Arial Narrow" w:cstheme="majorBidi"/>
                <w:bCs/>
                <w:sz w:val="20"/>
              </w:rPr>
              <w:t>related acceleration and patient variability. With only 18 months of data informing 20</w:t>
            </w:r>
            <w:r w:rsidR="009B60A6">
              <w:rPr>
                <w:rFonts w:ascii="Arial Narrow" w:eastAsiaTheme="majorEastAsia" w:hAnsi="Arial Narrow" w:cstheme="majorBidi"/>
                <w:bCs/>
                <w:sz w:val="20"/>
              </w:rPr>
              <w:noBreakHyphen/>
            </w:r>
            <w:r w:rsidRPr="0084009E">
              <w:rPr>
                <w:rFonts w:ascii="Arial Narrow" w:eastAsiaTheme="majorEastAsia" w:hAnsi="Arial Narrow" w:cstheme="majorBidi"/>
                <w:bCs/>
                <w:sz w:val="20"/>
              </w:rPr>
              <w:t>year projections, over 90% of transitions are extrapolated, likely underestimating long</w:t>
            </w:r>
            <w:r w:rsidR="009B60A6">
              <w:rPr>
                <w:rFonts w:ascii="Arial Narrow" w:eastAsiaTheme="majorEastAsia" w:hAnsi="Arial Narrow" w:cstheme="majorBidi"/>
                <w:bCs/>
                <w:sz w:val="20"/>
              </w:rPr>
              <w:noBreakHyphen/>
            </w:r>
            <w:r w:rsidRPr="0084009E">
              <w:rPr>
                <w:rFonts w:ascii="Arial Narrow" w:eastAsiaTheme="majorEastAsia" w:hAnsi="Arial Narrow" w:cstheme="majorBidi"/>
                <w:bCs/>
                <w:sz w:val="20"/>
              </w:rPr>
              <w:t>term uncertainty.</w:t>
            </w:r>
          </w:p>
        </w:tc>
      </w:tr>
      <w:tr w:rsidR="007F4BC5" w:rsidRPr="007F4BC5" w14:paraId="39C03EA1" w14:textId="77777777">
        <w:tc>
          <w:tcPr>
            <w:tcW w:w="1396" w:type="pct"/>
            <w:vAlign w:val="center"/>
          </w:tcPr>
          <w:p w14:paraId="2F6D1862"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Health related quality of life</w:t>
            </w:r>
          </w:p>
        </w:tc>
        <w:tc>
          <w:tcPr>
            <w:tcW w:w="3604" w:type="pct"/>
            <w:vAlign w:val="center"/>
          </w:tcPr>
          <w:p w14:paraId="20361388" w14:textId="49B75927" w:rsidR="0066702F"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Health state utilities are identical across the two arms, derived from a virtual reality assisted vignette</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based </w:t>
            </w:r>
            <w:r w:rsidR="00462ABB">
              <w:rPr>
                <w:rFonts w:ascii="Arial Narrow" w:eastAsiaTheme="majorEastAsia" w:hAnsi="Arial Narrow" w:cstheme="majorBidi"/>
                <w:bCs/>
                <w:sz w:val="20"/>
              </w:rPr>
              <w:t>time trade</w:t>
            </w:r>
            <w:r w:rsidR="009B60A6">
              <w:rPr>
                <w:rFonts w:ascii="Arial Narrow" w:eastAsiaTheme="majorEastAsia" w:hAnsi="Arial Narrow" w:cstheme="majorBidi"/>
                <w:bCs/>
                <w:sz w:val="20"/>
              </w:rPr>
              <w:noBreakHyphen/>
            </w:r>
            <w:r w:rsidR="00462ABB">
              <w:rPr>
                <w:rFonts w:ascii="Arial Narrow" w:eastAsiaTheme="majorEastAsia" w:hAnsi="Arial Narrow" w:cstheme="majorBidi"/>
                <w:bCs/>
                <w:sz w:val="20"/>
              </w:rPr>
              <w:t>off (</w:t>
            </w:r>
            <w:r w:rsidRPr="007F4BC5">
              <w:rPr>
                <w:rFonts w:ascii="Arial Narrow" w:eastAsiaTheme="majorEastAsia" w:hAnsi="Arial Narrow" w:cstheme="majorBidi"/>
                <w:bCs/>
                <w:sz w:val="20"/>
              </w:rPr>
              <w:t>TTO</w:t>
            </w:r>
            <w:r w:rsidR="00462ABB">
              <w:rPr>
                <w:rFonts w:ascii="Arial Narrow" w:eastAsiaTheme="majorEastAsia" w:hAnsi="Arial Narrow" w:cstheme="majorBidi"/>
                <w:bCs/>
                <w:sz w:val="20"/>
              </w:rPr>
              <w:t>)</w:t>
            </w:r>
            <w:r w:rsidRPr="007F4BC5">
              <w:rPr>
                <w:rFonts w:ascii="Arial Narrow" w:eastAsiaTheme="majorEastAsia" w:hAnsi="Arial Narrow" w:cstheme="majorBidi"/>
                <w:bCs/>
                <w:sz w:val="20"/>
              </w:rPr>
              <w:t xml:space="preserve"> study conducted among UK general population participants This study was designed to align with the economic model by defining GA severity using lesion area and proximity to the foveal centre, consistent with the model’s health state structure. Difference in HRQoL for patients across the arms is driven by differences in health state transitions. No disutility associated with ACP administration was applied. </w:t>
            </w:r>
          </w:p>
          <w:p w14:paraId="5950EEBC" w14:textId="77777777" w:rsidR="0066702F" w:rsidRDefault="0066702F" w:rsidP="007F4BC5">
            <w:pPr>
              <w:keepLines/>
              <w:jc w:val="left"/>
              <w:rPr>
                <w:rFonts w:ascii="Arial Narrow" w:eastAsiaTheme="majorEastAsia" w:hAnsi="Arial Narrow" w:cstheme="majorBidi"/>
                <w:bCs/>
                <w:sz w:val="20"/>
              </w:rPr>
            </w:pPr>
          </w:p>
          <w:p w14:paraId="074D40EB" w14:textId="5B029691" w:rsidR="007F4BC5" w:rsidRPr="0066702F" w:rsidRDefault="007F4BC5" w:rsidP="007F4BC5">
            <w:pPr>
              <w:keepLines/>
              <w:jc w:val="left"/>
              <w:rPr>
                <w:rFonts w:ascii="Arial Narrow" w:eastAsiaTheme="majorEastAsia" w:hAnsi="Arial Narrow" w:cstheme="majorBidi"/>
                <w:bCs/>
                <w:sz w:val="20"/>
              </w:rPr>
            </w:pPr>
            <w:r w:rsidRPr="0066702F">
              <w:rPr>
                <w:rFonts w:ascii="Arial Narrow" w:eastAsiaTheme="majorEastAsia" w:hAnsi="Arial Narrow" w:cstheme="majorBidi"/>
                <w:bCs/>
                <w:sz w:val="20"/>
              </w:rPr>
              <w:t>TTO study vignettes, even when supported by virtual reality, assess hypothetical health states that may not fully capture the functional impact of GA. VFQ</w:t>
            </w:r>
            <w:r w:rsidR="009B60A6">
              <w:rPr>
                <w:rFonts w:ascii="Arial Narrow" w:eastAsiaTheme="majorEastAsia" w:hAnsi="Arial Narrow" w:cstheme="majorBidi"/>
                <w:bCs/>
                <w:sz w:val="20"/>
              </w:rPr>
              <w:noBreakHyphen/>
            </w:r>
            <w:r w:rsidRPr="0066702F">
              <w:rPr>
                <w:rFonts w:ascii="Arial Narrow" w:eastAsiaTheme="majorEastAsia" w:hAnsi="Arial Narrow" w:cstheme="majorBidi"/>
                <w:bCs/>
                <w:sz w:val="20"/>
              </w:rPr>
              <w:t>25 responses, gathered during the trial, cover domains like mental health, dependency, and social functioning, which are difficult to reflect in vignettes. Overlooking these areas could lead to an incomplete or inaccurate assessment of HRQoL between treatment groups. Sensitivity analysis using VFQ</w:t>
            </w:r>
            <w:r w:rsidR="009B60A6">
              <w:rPr>
                <w:rFonts w:ascii="Arial Narrow" w:eastAsiaTheme="majorEastAsia" w:hAnsi="Arial Narrow" w:cstheme="majorBidi"/>
                <w:bCs/>
                <w:sz w:val="20"/>
              </w:rPr>
              <w:noBreakHyphen/>
            </w:r>
            <w:r w:rsidRPr="0066702F">
              <w:rPr>
                <w:rFonts w:ascii="Arial Narrow" w:eastAsiaTheme="majorEastAsia" w:hAnsi="Arial Narrow" w:cstheme="majorBidi"/>
                <w:bCs/>
                <w:sz w:val="20"/>
              </w:rPr>
              <w:t>25</w:t>
            </w:r>
            <w:r w:rsidR="009B60A6">
              <w:rPr>
                <w:rFonts w:ascii="Arial Narrow" w:eastAsiaTheme="majorEastAsia" w:hAnsi="Arial Narrow" w:cstheme="majorBidi"/>
                <w:bCs/>
                <w:sz w:val="20"/>
              </w:rPr>
              <w:noBreakHyphen/>
            </w:r>
            <w:r w:rsidRPr="0066702F">
              <w:rPr>
                <w:rFonts w:ascii="Arial Narrow" w:eastAsiaTheme="majorEastAsia" w:hAnsi="Arial Narrow" w:cstheme="majorBidi"/>
                <w:bCs/>
                <w:sz w:val="20"/>
              </w:rPr>
              <w:t>derived utilities, such as VFQ</w:t>
            </w:r>
            <w:r w:rsidR="009B60A6">
              <w:rPr>
                <w:rFonts w:ascii="Arial Narrow" w:eastAsiaTheme="majorEastAsia" w:hAnsi="Arial Narrow" w:cstheme="majorBidi"/>
                <w:bCs/>
                <w:sz w:val="20"/>
              </w:rPr>
              <w:noBreakHyphen/>
            </w:r>
            <w:r w:rsidRPr="0066702F">
              <w:rPr>
                <w:rFonts w:ascii="Arial Narrow" w:eastAsiaTheme="majorEastAsia" w:hAnsi="Arial Narrow" w:cstheme="majorBidi"/>
                <w:bCs/>
                <w:sz w:val="20"/>
              </w:rPr>
              <w:t>UI or mapping, may improve study reliability</w:t>
            </w:r>
          </w:p>
        </w:tc>
      </w:tr>
      <w:tr w:rsidR="007F4BC5" w:rsidRPr="007F4BC5" w14:paraId="7BF54F5E" w14:textId="77777777">
        <w:tc>
          <w:tcPr>
            <w:tcW w:w="1396" w:type="pct"/>
            <w:vAlign w:val="center"/>
          </w:tcPr>
          <w:p w14:paraId="1F2F765D" w14:textId="77777777" w:rsidR="007F4BC5" w:rsidRPr="007F4BC5"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Costs</w:t>
            </w:r>
          </w:p>
        </w:tc>
        <w:tc>
          <w:tcPr>
            <w:tcW w:w="3604" w:type="pct"/>
            <w:vAlign w:val="center"/>
          </w:tcPr>
          <w:p w14:paraId="038036AB" w14:textId="650E6E57" w:rsidR="0066702F" w:rsidRDefault="007F4BC5" w:rsidP="007F4BC5">
            <w:pPr>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Costs included drug acquisition and administration cost of the ACP, disease management costs, AE management and one</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time cost of blindness. </w:t>
            </w:r>
          </w:p>
          <w:p w14:paraId="60F7E22E" w14:textId="77777777" w:rsidR="0066702F" w:rsidRDefault="0066702F" w:rsidP="007F4BC5">
            <w:pPr>
              <w:keepLines/>
              <w:jc w:val="left"/>
              <w:rPr>
                <w:rFonts w:ascii="Arial Narrow" w:eastAsiaTheme="majorEastAsia" w:hAnsi="Arial Narrow" w:cstheme="majorBidi"/>
                <w:bCs/>
                <w:sz w:val="20"/>
              </w:rPr>
            </w:pPr>
          </w:p>
          <w:p w14:paraId="7ADC9962" w14:textId="576C1123" w:rsidR="007F4BC5" w:rsidRPr="0066702F" w:rsidRDefault="007F4BC5" w:rsidP="007F4BC5">
            <w:pPr>
              <w:keepLines/>
              <w:jc w:val="left"/>
              <w:rPr>
                <w:rFonts w:ascii="Arial Narrow" w:eastAsiaTheme="majorEastAsia" w:hAnsi="Arial Narrow" w:cstheme="majorBidi"/>
                <w:bCs/>
                <w:sz w:val="20"/>
              </w:rPr>
            </w:pPr>
            <w:r w:rsidRPr="0066702F">
              <w:rPr>
                <w:rFonts w:ascii="Arial Narrow" w:eastAsiaTheme="majorEastAsia" w:hAnsi="Arial Narrow" w:cstheme="majorBidi"/>
                <w:bCs/>
                <w:sz w:val="20"/>
              </w:rPr>
              <w:t>According to the proposed listing and TGA product information, ACP dosing schedule in Year</w:t>
            </w:r>
            <w:r w:rsidR="00F348A4">
              <w:rPr>
                <w:rFonts w:ascii="Arial Narrow" w:eastAsiaTheme="majorEastAsia" w:hAnsi="Arial Narrow" w:cstheme="majorBidi"/>
                <w:bCs/>
                <w:sz w:val="20"/>
              </w:rPr>
              <w:t xml:space="preserve"> </w:t>
            </w:r>
            <w:r w:rsidRPr="0066702F">
              <w:rPr>
                <w:rFonts w:ascii="Arial Narrow" w:eastAsiaTheme="majorEastAsia" w:hAnsi="Arial Narrow" w:cstheme="majorBidi"/>
                <w:bCs/>
                <w:sz w:val="20"/>
              </w:rPr>
              <w:t xml:space="preserve">2 onwards could be EM or EOM. The cost varies based on what dosing schedule is used. Base case model assumes EOM dosing schedule. ICER increased by </w:t>
            </w:r>
            <w:r w:rsidR="00B37C73" w:rsidRPr="00B37C73">
              <w:rPr>
                <w:rFonts w:ascii="Arial Narrow" w:eastAsiaTheme="majorEastAsia" w:hAnsi="Arial Narrow" w:cstheme="majorBidi"/>
                <w:bCs/>
                <w:sz w:val="2"/>
                <w:highlight w:val="black"/>
              </w:rPr>
              <w:t>redacted content</w:t>
            </w:r>
            <w:r w:rsidRPr="0066702F">
              <w:rPr>
                <w:rFonts w:ascii="Arial Narrow" w:eastAsiaTheme="majorEastAsia" w:hAnsi="Arial Narrow" w:cstheme="majorBidi"/>
                <w:bCs/>
                <w:sz w:val="20"/>
              </w:rPr>
              <w:t>% when Year 2+ dosing schedule was changed to EM.</w:t>
            </w:r>
          </w:p>
        </w:tc>
      </w:tr>
    </w:tbl>
    <w:p w14:paraId="0CF2B247" w14:textId="60F4CBB7"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rPr>
        <w:t>Source: Constructed during the evaluation based on Table 3.1</w:t>
      </w:r>
      <w:r w:rsidR="009B60A6">
        <w:rPr>
          <w:rFonts w:ascii="Arial Narrow" w:hAnsi="Arial Narrow"/>
          <w:snapToGrid w:val="0"/>
          <w:sz w:val="18"/>
          <w:szCs w:val="22"/>
        </w:rPr>
        <w:noBreakHyphen/>
      </w:r>
      <w:r w:rsidRPr="007F4BC5">
        <w:rPr>
          <w:rFonts w:ascii="Arial Narrow" w:hAnsi="Arial Narrow"/>
          <w:snapToGrid w:val="0"/>
          <w:sz w:val="18"/>
          <w:szCs w:val="22"/>
        </w:rPr>
        <w:t>1, p174 of the submission.</w:t>
      </w:r>
    </w:p>
    <w:p w14:paraId="55ADFB46" w14:textId="0405BA8E" w:rsidR="007F4BC5" w:rsidRPr="00C17763" w:rsidRDefault="007F4BC5" w:rsidP="00A02E05">
      <w:pPr>
        <w:keepLines/>
        <w:spacing w:after="240"/>
        <w:rPr>
          <w:rFonts w:ascii="Arial Narrow" w:hAnsi="Arial Narrow"/>
          <w:iCs/>
          <w:snapToGrid w:val="0"/>
          <w:sz w:val="18"/>
          <w:szCs w:val="22"/>
        </w:rPr>
      </w:pPr>
      <w:r w:rsidRPr="007F4BC5">
        <w:rPr>
          <w:rFonts w:ascii="Arial Narrow" w:hAnsi="Arial Narrow"/>
          <w:snapToGrid w:val="0"/>
          <w:sz w:val="18"/>
          <w:szCs w:val="22"/>
        </w:rPr>
        <w:t>ABS = Australian Bureau of Statistics; ACP = avacincaptad pegol; AE = Adverse event; BSC = Best supportive care; EM = Every month; EOM = Every other month; GA = geographic atrophy; HRQoL = health</w:t>
      </w:r>
      <w:r w:rsidR="009B60A6">
        <w:rPr>
          <w:rFonts w:ascii="Arial Narrow" w:hAnsi="Arial Narrow"/>
          <w:snapToGrid w:val="0"/>
          <w:sz w:val="18"/>
          <w:szCs w:val="22"/>
        </w:rPr>
        <w:noBreakHyphen/>
      </w:r>
      <w:r w:rsidRPr="007F4BC5">
        <w:rPr>
          <w:rFonts w:ascii="Arial Narrow" w:hAnsi="Arial Narrow"/>
          <w:snapToGrid w:val="0"/>
          <w:sz w:val="18"/>
          <w:szCs w:val="22"/>
        </w:rPr>
        <w:t>related quality of life; ICER = incremental cost</w:t>
      </w:r>
      <w:r w:rsidRPr="007F4BC5">
        <w:rPr>
          <w:rFonts w:ascii="Cambria Math" w:hAnsi="Cambria Math" w:cs="Cambria Math"/>
          <w:snapToGrid w:val="0"/>
          <w:sz w:val="18"/>
          <w:szCs w:val="22"/>
        </w:rPr>
        <w:t>‑</w:t>
      </w:r>
      <w:r w:rsidRPr="007F4BC5">
        <w:rPr>
          <w:rFonts w:ascii="Arial Narrow" w:hAnsi="Arial Narrow"/>
          <w:snapToGrid w:val="0"/>
          <w:sz w:val="18"/>
          <w:szCs w:val="22"/>
        </w:rPr>
        <w:t>effectiveness ratio; mm = Millimetre; QoL = Quality of life; TGA = Therapeutic Goods Administration; TTO = time trade</w:t>
      </w:r>
      <w:r w:rsidR="009B60A6">
        <w:rPr>
          <w:rFonts w:ascii="Arial Narrow" w:hAnsi="Arial Narrow"/>
          <w:snapToGrid w:val="0"/>
          <w:sz w:val="18"/>
          <w:szCs w:val="22"/>
        </w:rPr>
        <w:noBreakHyphen/>
      </w:r>
      <w:r w:rsidRPr="007F4BC5">
        <w:rPr>
          <w:rFonts w:ascii="Arial Narrow" w:hAnsi="Arial Narrow"/>
          <w:snapToGrid w:val="0"/>
          <w:sz w:val="18"/>
          <w:szCs w:val="22"/>
        </w:rPr>
        <w:t>off; UI = utility index; UK = United Kingdom; VFQ = Visual Function Questionnaire.</w:t>
      </w:r>
    </w:p>
    <w:p w14:paraId="0E8D9016" w14:textId="1F126986" w:rsidR="007F4BC5" w:rsidRPr="004452FC" w:rsidRDefault="007F4BC5" w:rsidP="001A7CE8">
      <w:pPr>
        <w:numPr>
          <w:ilvl w:val="1"/>
          <w:numId w:val="6"/>
        </w:numPr>
        <w:spacing w:before="120" w:after="60"/>
        <w:contextualSpacing/>
        <w:rPr>
          <w:rFonts w:asciiTheme="minorHAnsi" w:eastAsiaTheme="minorHAnsi" w:hAnsiTheme="minorHAnsi" w:cstheme="minorBidi"/>
          <w:szCs w:val="22"/>
        </w:rPr>
      </w:pPr>
      <w:r w:rsidRPr="004452FC">
        <w:rPr>
          <w:rFonts w:asciiTheme="minorHAnsi" w:eastAsiaTheme="minorHAnsi" w:hAnsiTheme="minorHAnsi" w:cstheme="minorBidi"/>
          <w:szCs w:val="22"/>
        </w:rPr>
        <w:t>The model adopts a 20</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year time horizon</w:t>
      </w:r>
      <w:r w:rsidR="004D0EAF" w:rsidRPr="004452FC">
        <w:rPr>
          <w:rFonts w:asciiTheme="minorHAnsi" w:eastAsiaTheme="minorHAnsi" w:hAnsiTheme="minorHAnsi" w:cstheme="minorBidi"/>
          <w:szCs w:val="22"/>
        </w:rPr>
        <w:t xml:space="preserve"> with a mean starting age of 78.8 years</w:t>
      </w:r>
      <w:r w:rsidRPr="004452FC">
        <w:rPr>
          <w:rFonts w:asciiTheme="minorHAnsi" w:eastAsiaTheme="minorHAnsi" w:hAnsiTheme="minorHAnsi" w:cstheme="minorBidi"/>
          <w:szCs w:val="22"/>
        </w:rPr>
        <w:t>. T</w:t>
      </w:r>
      <w:r w:rsidR="00EF65BE">
        <w:rPr>
          <w:rFonts w:asciiTheme="minorHAnsi" w:eastAsiaTheme="minorHAnsi" w:hAnsiTheme="minorHAnsi" w:cstheme="minorBidi"/>
          <w:szCs w:val="22"/>
        </w:rPr>
        <w:t xml:space="preserve">he </w:t>
      </w:r>
      <w:r w:rsidR="00EF65BE" w:rsidRPr="00C17763">
        <w:rPr>
          <w:rFonts w:asciiTheme="minorHAnsi" w:eastAsiaTheme="minorHAnsi" w:hAnsiTheme="minorHAnsi" w:cstheme="minorBidi"/>
          <w:iCs/>
          <w:szCs w:val="22"/>
        </w:rPr>
        <w:t>evaluation noted</w:t>
      </w:r>
      <w:r w:rsidR="00EF65BE">
        <w:rPr>
          <w:rFonts w:asciiTheme="minorHAnsi" w:eastAsiaTheme="minorHAnsi" w:hAnsiTheme="minorHAnsi" w:cstheme="minorBidi"/>
          <w:szCs w:val="22"/>
        </w:rPr>
        <w:t xml:space="preserve"> t</w:t>
      </w:r>
      <w:r w:rsidRPr="004452FC">
        <w:rPr>
          <w:rFonts w:asciiTheme="minorHAnsi" w:eastAsiaTheme="minorHAnsi" w:hAnsiTheme="minorHAnsi" w:cstheme="minorBidi"/>
          <w:szCs w:val="22"/>
        </w:rPr>
        <w:t>his was consistent with the PBAC guidelines which stipulate to capture all important differences in costs and outcomes</w:t>
      </w:r>
      <w:r w:rsidR="00462ABB">
        <w:rPr>
          <w:rFonts w:asciiTheme="minorHAnsi" w:eastAsiaTheme="minorHAnsi" w:hAnsiTheme="minorHAnsi" w:cstheme="minorBidi"/>
          <w:szCs w:val="22"/>
        </w:rPr>
        <w:t>,</w:t>
      </w:r>
      <w:r w:rsidRPr="004452FC">
        <w:rPr>
          <w:rFonts w:asciiTheme="minorHAnsi" w:eastAsiaTheme="minorHAnsi" w:hAnsiTheme="minorHAnsi" w:cstheme="minorBidi"/>
          <w:szCs w:val="22"/>
        </w:rPr>
        <w:t xml:space="preserve"> as ACP treatment was </w:t>
      </w:r>
      <w:r w:rsidRPr="004452FC">
        <w:rPr>
          <w:rFonts w:asciiTheme="minorHAnsi" w:eastAsiaTheme="minorHAnsi" w:hAnsiTheme="minorHAnsi" w:cstheme="minorBidi"/>
          <w:szCs w:val="22"/>
        </w:rPr>
        <w:lastRenderedPageBreak/>
        <w:t>modelled to affect mortality or long</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term quality of life. However, the follow</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up duration for the GATHER1 and GATHER2 trial was just 18 or 24 months and there are no additional external data to inform disease progression beyond this </w:t>
      </w:r>
      <w:proofErr w:type="gramStart"/>
      <w:r w:rsidRPr="004452FC">
        <w:rPr>
          <w:rFonts w:asciiTheme="minorHAnsi" w:eastAsiaTheme="minorHAnsi" w:hAnsiTheme="minorHAnsi" w:cstheme="minorBidi"/>
          <w:szCs w:val="22"/>
        </w:rPr>
        <w:t>time period</w:t>
      </w:r>
      <w:proofErr w:type="gramEnd"/>
      <w:r w:rsidRPr="004452FC">
        <w:rPr>
          <w:rFonts w:asciiTheme="minorHAnsi" w:eastAsiaTheme="minorHAnsi" w:hAnsiTheme="minorHAnsi" w:cstheme="minorBidi"/>
          <w:szCs w:val="22"/>
        </w:rPr>
        <w:t xml:space="preserve">. Therefore, the extrapolations in the model are highly uncertain. </w:t>
      </w:r>
      <w:r w:rsidR="00610F95" w:rsidRPr="00C17763">
        <w:rPr>
          <w:rFonts w:asciiTheme="minorHAnsi" w:eastAsiaTheme="minorHAnsi" w:hAnsiTheme="minorHAnsi" w:cstheme="minorBidi"/>
          <w:iCs/>
          <w:szCs w:val="22"/>
        </w:rPr>
        <w:t>The evaluation considered a</w:t>
      </w:r>
      <w:r w:rsidRPr="004452FC">
        <w:rPr>
          <w:rFonts w:asciiTheme="minorHAnsi" w:eastAsiaTheme="minorHAnsi" w:hAnsiTheme="minorHAnsi" w:cstheme="minorBidi"/>
          <w:szCs w:val="22"/>
        </w:rPr>
        <w:t xml:space="preserve"> truncated time horizon would reduce the uncertainty of long</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term disease progression extrapolations.</w:t>
      </w:r>
      <w:r w:rsidR="005D2903">
        <w:rPr>
          <w:rFonts w:asciiTheme="minorHAnsi" w:eastAsiaTheme="minorHAnsi" w:hAnsiTheme="minorHAnsi" w:cstheme="minorBidi"/>
          <w:szCs w:val="22"/>
        </w:rPr>
        <w:t xml:space="preserve"> </w:t>
      </w:r>
      <w:r w:rsidR="006459FC" w:rsidRPr="00C17763">
        <w:rPr>
          <w:rFonts w:asciiTheme="minorHAnsi" w:eastAsiaTheme="minorHAnsi" w:hAnsiTheme="minorHAnsi" w:cstheme="minorBidi"/>
          <w:iCs/>
          <w:szCs w:val="22"/>
        </w:rPr>
        <w:t>The PSCR argued that</w:t>
      </w:r>
      <w:r w:rsidR="00462ABB">
        <w:rPr>
          <w:rFonts w:asciiTheme="minorHAnsi" w:eastAsiaTheme="minorHAnsi" w:hAnsiTheme="minorHAnsi" w:cstheme="minorBidi"/>
          <w:iCs/>
          <w:szCs w:val="22"/>
        </w:rPr>
        <w:t>,</w:t>
      </w:r>
      <w:r w:rsidR="006459FC" w:rsidRPr="00C17763">
        <w:rPr>
          <w:rFonts w:asciiTheme="minorHAnsi" w:eastAsiaTheme="minorHAnsi" w:hAnsiTheme="minorHAnsi" w:cstheme="minorBidi"/>
          <w:iCs/>
          <w:szCs w:val="22"/>
        </w:rPr>
        <w:t xml:space="preserve"> as GA is a chronic, progressive, and irreversible condition associated with long</w:t>
      </w:r>
      <w:r w:rsidR="009B60A6">
        <w:rPr>
          <w:rFonts w:asciiTheme="minorHAnsi" w:eastAsiaTheme="minorHAnsi" w:hAnsiTheme="minorHAnsi" w:cstheme="minorBidi"/>
          <w:iCs/>
          <w:szCs w:val="22"/>
        </w:rPr>
        <w:noBreakHyphen/>
      </w:r>
      <w:r w:rsidR="006459FC" w:rsidRPr="00C17763">
        <w:rPr>
          <w:rFonts w:asciiTheme="minorHAnsi" w:eastAsiaTheme="minorHAnsi" w:hAnsiTheme="minorHAnsi" w:cstheme="minorBidi"/>
          <w:iCs/>
          <w:szCs w:val="22"/>
        </w:rPr>
        <w:t>term vision loss and substantial downstream consequences a 20</w:t>
      </w:r>
      <w:r w:rsidR="009B60A6">
        <w:rPr>
          <w:rFonts w:asciiTheme="minorHAnsi" w:eastAsiaTheme="minorHAnsi" w:hAnsiTheme="minorHAnsi" w:cstheme="minorBidi"/>
          <w:iCs/>
          <w:szCs w:val="22"/>
        </w:rPr>
        <w:noBreakHyphen/>
      </w:r>
      <w:r w:rsidR="006459FC" w:rsidRPr="00C17763">
        <w:rPr>
          <w:rFonts w:asciiTheme="minorHAnsi" w:eastAsiaTheme="minorHAnsi" w:hAnsiTheme="minorHAnsi" w:cstheme="minorBidi"/>
          <w:iCs/>
          <w:szCs w:val="22"/>
        </w:rPr>
        <w:t>year time horizon was appropriate.</w:t>
      </w:r>
      <w:r w:rsidR="006459FC" w:rsidRPr="004452FC">
        <w:rPr>
          <w:rFonts w:asciiTheme="minorHAnsi" w:eastAsiaTheme="minorHAnsi" w:hAnsiTheme="minorHAnsi" w:cstheme="minorBidi"/>
          <w:szCs w:val="22"/>
        </w:rPr>
        <w:t xml:space="preserve"> </w:t>
      </w:r>
      <w:r w:rsidR="006459FC" w:rsidRPr="00C17763">
        <w:rPr>
          <w:rFonts w:asciiTheme="minorHAnsi" w:eastAsiaTheme="minorHAnsi" w:hAnsiTheme="minorHAnsi" w:cstheme="minorBidi"/>
          <w:iCs/>
          <w:szCs w:val="22"/>
        </w:rPr>
        <w:t xml:space="preserve">The ESC </w:t>
      </w:r>
      <w:r w:rsidR="00B22EEB" w:rsidRPr="00C17763">
        <w:rPr>
          <w:rFonts w:asciiTheme="minorHAnsi" w:eastAsiaTheme="minorHAnsi" w:hAnsiTheme="minorHAnsi" w:cstheme="minorBidi"/>
          <w:iCs/>
          <w:szCs w:val="22"/>
        </w:rPr>
        <w:t xml:space="preserve">acknowledged the concerns raised by </w:t>
      </w:r>
      <w:r w:rsidR="00E60D11" w:rsidRPr="00C17763">
        <w:rPr>
          <w:rFonts w:asciiTheme="minorHAnsi" w:eastAsiaTheme="minorHAnsi" w:hAnsiTheme="minorHAnsi" w:cstheme="minorBidi"/>
          <w:iCs/>
          <w:szCs w:val="22"/>
        </w:rPr>
        <w:t xml:space="preserve">both the evaluation and </w:t>
      </w:r>
      <w:r w:rsidR="00B22EEB" w:rsidRPr="00C17763">
        <w:rPr>
          <w:rFonts w:asciiTheme="minorHAnsi" w:eastAsiaTheme="minorHAnsi" w:hAnsiTheme="minorHAnsi" w:cstheme="minorBidi"/>
          <w:iCs/>
          <w:szCs w:val="22"/>
        </w:rPr>
        <w:t xml:space="preserve">the </w:t>
      </w:r>
      <w:r w:rsidR="00316273" w:rsidRPr="00C17763">
        <w:rPr>
          <w:rFonts w:asciiTheme="minorHAnsi" w:eastAsiaTheme="minorHAnsi" w:hAnsiTheme="minorHAnsi" w:cstheme="minorBidi"/>
          <w:iCs/>
          <w:szCs w:val="22"/>
        </w:rPr>
        <w:t>PSCR and considered a 15</w:t>
      </w:r>
      <w:r w:rsidR="009B60A6">
        <w:rPr>
          <w:rFonts w:asciiTheme="minorHAnsi" w:eastAsiaTheme="minorHAnsi" w:hAnsiTheme="minorHAnsi" w:cstheme="minorBidi"/>
          <w:iCs/>
          <w:szCs w:val="22"/>
        </w:rPr>
        <w:noBreakHyphen/>
      </w:r>
      <w:r w:rsidR="00316273" w:rsidRPr="00C17763">
        <w:rPr>
          <w:rFonts w:asciiTheme="minorHAnsi" w:eastAsiaTheme="minorHAnsi" w:hAnsiTheme="minorHAnsi" w:cstheme="minorBidi"/>
          <w:iCs/>
          <w:szCs w:val="22"/>
        </w:rPr>
        <w:t>year time horizon w</w:t>
      </w:r>
      <w:r w:rsidR="004A05E3" w:rsidRPr="00C17763">
        <w:rPr>
          <w:rFonts w:asciiTheme="minorHAnsi" w:eastAsiaTheme="minorHAnsi" w:hAnsiTheme="minorHAnsi" w:cstheme="minorBidi"/>
          <w:iCs/>
          <w:szCs w:val="22"/>
        </w:rPr>
        <w:t>ould be</w:t>
      </w:r>
      <w:r w:rsidR="00316273" w:rsidRPr="00C17763">
        <w:rPr>
          <w:rFonts w:asciiTheme="minorHAnsi" w:eastAsiaTheme="minorHAnsi" w:hAnsiTheme="minorHAnsi" w:cstheme="minorBidi"/>
          <w:iCs/>
          <w:szCs w:val="22"/>
        </w:rPr>
        <w:t xml:space="preserve"> </w:t>
      </w:r>
      <w:r w:rsidR="006D5E99" w:rsidRPr="00C17763">
        <w:rPr>
          <w:rFonts w:asciiTheme="minorHAnsi" w:eastAsiaTheme="minorHAnsi" w:hAnsiTheme="minorHAnsi" w:cstheme="minorBidi"/>
          <w:iCs/>
          <w:szCs w:val="22"/>
        </w:rPr>
        <w:t xml:space="preserve">more </w:t>
      </w:r>
      <w:r w:rsidR="00316273" w:rsidRPr="00C17763">
        <w:rPr>
          <w:rFonts w:asciiTheme="minorHAnsi" w:eastAsiaTheme="minorHAnsi" w:hAnsiTheme="minorHAnsi" w:cstheme="minorBidi"/>
          <w:iCs/>
          <w:szCs w:val="22"/>
        </w:rPr>
        <w:t xml:space="preserve">appropriate. </w:t>
      </w:r>
      <w:r w:rsidR="00272882">
        <w:rPr>
          <w:rFonts w:asciiTheme="minorHAnsi" w:eastAsiaTheme="minorHAnsi" w:hAnsiTheme="minorHAnsi" w:cstheme="minorBidi"/>
          <w:iCs/>
          <w:szCs w:val="22"/>
        </w:rPr>
        <w:t>The PBAC noted this was consistent with pegcetacoplan</w:t>
      </w:r>
      <w:r w:rsidR="003453F3">
        <w:rPr>
          <w:rFonts w:asciiTheme="minorHAnsi" w:eastAsiaTheme="minorHAnsi" w:hAnsiTheme="minorHAnsi" w:cstheme="minorBidi"/>
          <w:iCs/>
          <w:szCs w:val="22"/>
        </w:rPr>
        <w:t xml:space="preserve"> (paragraph 7.15, pegcetacoplan P</w:t>
      </w:r>
      <w:r w:rsidR="00D3032A">
        <w:rPr>
          <w:rFonts w:asciiTheme="minorHAnsi" w:eastAsiaTheme="minorHAnsi" w:hAnsiTheme="minorHAnsi" w:cstheme="minorBidi"/>
          <w:iCs/>
          <w:szCs w:val="22"/>
        </w:rPr>
        <w:t xml:space="preserve">ublic Summary Document </w:t>
      </w:r>
      <w:r w:rsidR="002031A4">
        <w:rPr>
          <w:rFonts w:asciiTheme="minorHAnsi" w:eastAsiaTheme="minorHAnsi" w:hAnsiTheme="minorHAnsi" w:cstheme="minorBidi"/>
          <w:iCs/>
          <w:szCs w:val="22"/>
        </w:rPr>
        <w:t>[</w:t>
      </w:r>
      <w:r w:rsidR="00D3032A">
        <w:rPr>
          <w:rFonts w:asciiTheme="minorHAnsi" w:eastAsiaTheme="minorHAnsi" w:hAnsiTheme="minorHAnsi" w:cstheme="minorBidi"/>
          <w:iCs/>
          <w:szCs w:val="22"/>
        </w:rPr>
        <w:t>PSD</w:t>
      </w:r>
      <w:r w:rsidR="002031A4">
        <w:rPr>
          <w:rFonts w:asciiTheme="minorHAnsi" w:eastAsiaTheme="minorHAnsi" w:hAnsiTheme="minorHAnsi" w:cstheme="minorBidi"/>
          <w:iCs/>
          <w:szCs w:val="22"/>
        </w:rPr>
        <w:t>]</w:t>
      </w:r>
      <w:r w:rsidR="00D3032A">
        <w:rPr>
          <w:rFonts w:asciiTheme="minorHAnsi" w:eastAsiaTheme="minorHAnsi" w:hAnsiTheme="minorHAnsi" w:cstheme="minorBidi"/>
          <w:iCs/>
          <w:szCs w:val="22"/>
        </w:rPr>
        <w:t>, November 2025 PBAC Meeting)</w:t>
      </w:r>
      <w:r w:rsidR="00272882">
        <w:rPr>
          <w:rFonts w:asciiTheme="minorHAnsi" w:eastAsiaTheme="minorHAnsi" w:hAnsiTheme="minorHAnsi" w:cstheme="minorBidi"/>
          <w:iCs/>
          <w:szCs w:val="22"/>
        </w:rPr>
        <w:t xml:space="preserve">. </w:t>
      </w:r>
    </w:p>
    <w:p w14:paraId="67DD65CB" w14:textId="20670A61" w:rsidR="007F4BC5" w:rsidRPr="00C17763" w:rsidRDefault="007F4BC5" w:rsidP="001A7CE8">
      <w:pPr>
        <w:numPr>
          <w:ilvl w:val="1"/>
          <w:numId w:val="6"/>
        </w:numPr>
        <w:spacing w:before="60" w:after="60"/>
        <w:rPr>
          <w:rFonts w:asciiTheme="minorHAnsi" w:eastAsiaTheme="minorHAnsi" w:hAnsiTheme="minorHAnsi" w:cstheme="minorBidi"/>
          <w:iCs/>
          <w:szCs w:val="22"/>
        </w:rPr>
      </w:pPr>
      <w:r w:rsidRPr="004452FC">
        <w:rPr>
          <w:rFonts w:asciiTheme="minorHAnsi" w:eastAsiaTheme="minorHAnsi" w:hAnsiTheme="minorHAnsi" w:cstheme="minorBidi"/>
          <w:szCs w:val="22"/>
        </w:rPr>
        <w:t>The structure of the economic model relied on the progression of vision loss classified by health states differentiated based on GA area (small, medium, large, blind) and minimum distance to the foveal centre (close or far). These states are proxies for disease severity and risk of vision loss but do not directly measure functional vision or visual acuity and may not correspond to clinically meaningful endpoints.</w:t>
      </w:r>
      <w:r w:rsidR="00F92501" w:rsidRPr="004452FC">
        <w:t xml:space="preserve"> </w:t>
      </w:r>
      <w:r w:rsidR="00DE1DC5" w:rsidRPr="004452FC">
        <w:rPr>
          <w:rFonts w:cs="Calibri"/>
          <w:color w:val="000000"/>
        </w:rPr>
        <w:t>During its evaluation of pegcetacoplan in November 2025, the PBAC noted that although clinical trials of pegcetacoplan did not confirm clear improvements in vision</w:t>
      </w:r>
      <w:r w:rsidR="009B60A6">
        <w:rPr>
          <w:rFonts w:cs="Calibri"/>
          <w:color w:val="000000"/>
        </w:rPr>
        <w:noBreakHyphen/>
      </w:r>
      <w:r w:rsidR="00DE1DC5" w:rsidRPr="004452FC">
        <w:rPr>
          <w:rFonts w:cs="Calibri"/>
          <w:color w:val="000000"/>
        </w:rPr>
        <w:t>related activities, preserving eye structure by slowing GA lesion progression could reasonably slow functional vision decline versus current treatments. Despite uncertainty about the magnitude and duration of this benefit, PBAC considered pegcetacoplan more effective than best supportive care for some patients. There remains doubt about how microperimetry results translate to real</w:t>
      </w:r>
      <w:r w:rsidR="009B60A6">
        <w:rPr>
          <w:rFonts w:cs="Calibri"/>
          <w:color w:val="000000"/>
        </w:rPr>
        <w:noBreakHyphen/>
      </w:r>
      <w:r w:rsidR="00DE1DC5" w:rsidRPr="004452FC">
        <w:rPr>
          <w:rFonts w:cs="Calibri"/>
          <w:color w:val="000000"/>
        </w:rPr>
        <w:t>world vision gains, and the sponsor’s projected duration of benefit was viewed as overly optimistic (PBAC Meeting Outcomes, November 2025).</w:t>
      </w:r>
      <w:r w:rsidR="000941D2">
        <w:rPr>
          <w:rFonts w:cs="Calibri"/>
          <w:color w:val="000000"/>
        </w:rPr>
        <w:t xml:space="preserve"> </w:t>
      </w:r>
      <w:r w:rsidR="0085486D" w:rsidRPr="00C17763">
        <w:rPr>
          <w:rFonts w:asciiTheme="minorHAnsi" w:eastAsiaTheme="minorHAnsi" w:hAnsiTheme="minorHAnsi" w:cstheme="minorBidi"/>
          <w:iCs/>
          <w:szCs w:val="22"/>
        </w:rPr>
        <w:t xml:space="preserve">The PSCR stated that GA lesion size and distance to the foveal centre point were used to define the model health states as their importance to vision loss, blindness and patient experience was validated in interviews with clinicians and patients. The ESC considered that translation of these clinical measures into functional and directly patient relevant outcomes required additional assumptions and outcome translations that, </w:t>
      </w:r>
      <w:r w:rsidR="00551843" w:rsidRPr="00C17763">
        <w:rPr>
          <w:rFonts w:asciiTheme="minorHAnsi" w:eastAsiaTheme="minorHAnsi" w:hAnsiTheme="minorHAnsi" w:cstheme="minorBidi"/>
          <w:iCs/>
          <w:szCs w:val="22"/>
        </w:rPr>
        <w:t xml:space="preserve">while </w:t>
      </w:r>
      <w:r w:rsidR="0085486D" w:rsidRPr="00C17763">
        <w:rPr>
          <w:rFonts w:asciiTheme="minorHAnsi" w:eastAsiaTheme="minorHAnsi" w:hAnsiTheme="minorHAnsi" w:cstheme="minorBidi"/>
          <w:iCs/>
          <w:szCs w:val="22"/>
        </w:rPr>
        <w:t>reasonable in principle</w:t>
      </w:r>
      <w:r w:rsidR="00434695" w:rsidRPr="00C17763">
        <w:rPr>
          <w:rFonts w:asciiTheme="minorHAnsi" w:eastAsiaTheme="minorHAnsi" w:hAnsiTheme="minorHAnsi" w:cstheme="minorBidi"/>
          <w:iCs/>
          <w:szCs w:val="22"/>
        </w:rPr>
        <w:t xml:space="preserve"> (</w:t>
      </w:r>
      <w:r w:rsidR="00551843" w:rsidRPr="00C17763">
        <w:rPr>
          <w:rFonts w:asciiTheme="minorHAnsi" w:eastAsiaTheme="minorHAnsi" w:hAnsiTheme="minorHAnsi" w:cstheme="minorBidi"/>
          <w:iCs/>
          <w:szCs w:val="22"/>
        </w:rPr>
        <w:t>as indicated by the PBAC in their consideration for pegcetacoplan</w:t>
      </w:r>
      <w:r w:rsidR="00434695" w:rsidRPr="00C17763">
        <w:rPr>
          <w:rFonts w:asciiTheme="minorHAnsi" w:eastAsiaTheme="minorHAnsi" w:hAnsiTheme="minorHAnsi" w:cstheme="minorBidi"/>
          <w:iCs/>
          <w:szCs w:val="22"/>
        </w:rPr>
        <w:t>)</w:t>
      </w:r>
      <w:r w:rsidR="0085486D" w:rsidRPr="00C17763">
        <w:rPr>
          <w:rFonts w:asciiTheme="minorHAnsi" w:eastAsiaTheme="minorHAnsi" w:hAnsiTheme="minorHAnsi" w:cstheme="minorBidi"/>
          <w:iCs/>
          <w:szCs w:val="22"/>
        </w:rPr>
        <w:t>, are associated with considerable uncertainty.</w:t>
      </w:r>
      <w:r w:rsidR="007230ED">
        <w:rPr>
          <w:rFonts w:asciiTheme="minorHAnsi" w:eastAsiaTheme="minorHAnsi" w:hAnsiTheme="minorHAnsi" w:cstheme="minorBidi"/>
          <w:iCs/>
          <w:szCs w:val="22"/>
        </w:rPr>
        <w:t xml:space="preserve"> </w:t>
      </w:r>
      <w:r w:rsidR="00DD08D0">
        <w:rPr>
          <w:rFonts w:asciiTheme="minorHAnsi" w:eastAsiaTheme="minorHAnsi" w:hAnsiTheme="minorHAnsi" w:cstheme="minorBidi"/>
          <w:iCs/>
          <w:szCs w:val="22"/>
        </w:rPr>
        <w:t>The PBAC noted the mixed support from health care professionals</w:t>
      </w:r>
      <w:r w:rsidR="00DD372A">
        <w:rPr>
          <w:rFonts w:asciiTheme="minorHAnsi" w:eastAsiaTheme="minorHAnsi" w:hAnsiTheme="minorHAnsi" w:cstheme="minorBidi"/>
          <w:iCs/>
          <w:szCs w:val="22"/>
        </w:rPr>
        <w:t xml:space="preserve"> in the input received via t</w:t>
      </w:r>
      <w:r w:rsidR="00DD372A" w:rsidRPr="00836F75">
        <w:rPr>
          <w:rFonts w:asciiTheme="minorHAnsi" w:hAnsiTheme="minorHAnsi"/>
          <w:bCs/>
          <w:snapToGrid w:val="0"/>
        </w:rPr>
        <w:t xml:space="preserve">he </w:t>
      </w:r>
      <w:r w:rsidR="00DD372A" w:rsidRPr="00A46D6F">
        <w:rPr>
          <w:rFonts w:asciiTheme="minorHAnsi" w:hAnsiTheme="minorHAnsi"/>
          <w:bCs/>
          <w:snapToGrid w:val="0"/>
        </w:rPr>
        <w:t>Office of Health Technology Assessment Consultation Hub</w:t>
      </w:r>
      <w:r w:rsidR="00DD372A">
        <w:rPr>
          <w:rFonts w:asciiTheme="minorHAnsi" w:hAnsiTheme="minorHAnsi"/>
          <w:bCs/>
          <w:snapToGrid w:val="0"/>
        </w:rPr>
        <w:t xml:space="preserve"> (see paragraph </w:t>
      </w:r>
      <w:r w:rsidR="00DD372A">
        <w:rPr>
          <w:rFonts w:asciiTheme="minorHAnsi" w:hAnsiTheme="minorHAnsi"/>
          <w:bCs/>
          <w:snapToGrid w:val="0"/>
        </w:rPr>
        <w:fldChar w:fldCharType="begin"/>
      </w:r>
      <w:r w:rsidR="00DD372A">
        <w:rPr>
          <w:rFonts w:asciiTheme="minorHAnsi" w:hAnsiTheme="minorHAnsi"/>
          <w:bCs/>
          <w:snapToGrid w:val="0"/>
        </w:rPr>
        <w:instrText xml:space="preserve"> REF _Ref225850471 \r \h </w:instrText>
      </w:r>
      <w:r w:rsidR="00DD372A">
        <w:rPr>
          <w:rFonts w:asciiTheme="minorHAnsi" w:hAnsiTheme="minorHAnsi"/>
          <w:bCs/>
          <w:snapToGrid w:val="0"/>
        </w:rPr>
      </w:r>
      <w:r w:rsidR="00DD372A">
        <w:rPr>
          <w:rFonts w:asciiTheme="minorHAnsi" w:hAnsiTheme="minorHAnsi"/>
          <w:bCs/>
          <w:snapToGrid w:val="0"/>
        </w:rPr>
        <w:fldChar w:fldCharType="separate"/>
      </w:r>
      <w:r w:rsidR="00605348">
        <w:rPr>
          <w:rFonts w:asciiTheme="minorHAnsi" w:hAnsiTheme="minorHAnsi"/>
          <w:bCs/>
          <w:snapToGrid w:val="0"/>
        </w:rPr>
        <w:t>6.4</w:t>
      </w:r>
      <w:r w:rsidR="00DD372A">
        <w:rPr>
          <w:rFonts w:asciiTheme="minorHAnsi" w:hAnsiTheme="minorHAnsi"/>
          <w:bCs/>
          <w:snapToGrid w:val="0"/>
        </w:rPr>
        <w:fldChar w:fldCharType="end"/>
      </w:r>
      <w:r w:rsidR="00DD372A">
        <w:rPr>
          <w:rFonts w:asciiTheme="minorHAnsi" w:hAnsiTheme="minorHAnsi"/>
          <w:bCs/>
          <w:snapToGrid w:val="0"/>
        </w:rPr>
        <w:t>).</w:t>
      </w:r>
      <w:r w:rsidR="00A1687B">
        <w:rPr>
          <w:rFonts w:asciiTheme="minorHAnsi" w:hAnsiTheme="minorHAnsi"/>
          <w:bCs/>
          <w:snapToGrid w:val="0"/>
        </w:rPr>
        <w:t xml:space="preserve"> </w:t>
      </w:r>
      <w:r w:rsidR="00535BF6">
        <w:rPr>
          <w:rFonts w:asciiTheme="minorHAnsi" w:hAnsiTheme="minorHAnsi"/>
          <w:bCs/>
          <w:snapToGrid w:val="0"/>
        </w:rPr>
        <w:t xml:space="preserve">The PBAC also noted that the structure of the pegcetacoplan economic model relied </w:t>
      </w:r>
      <w:r w:rsidR="00564A67">
        <w:rPr>
          <w:rFonts w:asciiTheme="minorHAnsi" w:hAnsiTheme="minorHAnsi"/>
          <w:bCs/>
          <w:snapToGrid w:val="0"/>
        </w:rPr>
        <w:t>on the progression of vision loss classified by health states grouped by Early Treatment Diabetic Retinopathy Study (ETDRS) letters</w:t>
      </w:r>
      <w:r w:rsidR="009610DA">
        <w:rPr>
          <w:rFonts w:asciiTheme="minorHAnsi" w:hAnsiTheme="minorHAnsi"/>
          <w:bCs/>
          <w:snapToGrid w:val="0"/>
        </w:rPr>
        <w:t xml:space="preserve"> (paragraph </w:t>
      </w:r>
      <w:r w:rsidR="005F6E3D">
        <w:rPr>
          <w:rFonts w:asciiTheme="minorHAnsi" w:hAnsiTheme="minorHAnsi"/>
          <w:bCs/>
          <w:snapToGrid w:val="0"/>
        </w:rPr>
        <w:t xml:space="preserve">6.45, pegcetacoplan </w:t>
      </w:r>
      <w:r w:rsidR="00855CFB">
        <w:rPr>
          <w:rFonts w:asciiTheme="minorHAnsi" w:hAnsiTheme="minorHAnsi"/>
          <w:bCs/>
          <w:snapToGrid w:val="0"/>
        </w:rPr>
        <w:t>PSD, November 2025 PBAC Meeting)</w:t>
      </w:r>
      <w:r w:rsidR="00BC7627">
        <w:rPr>
          <w:rFonts w:asciiTheme="minorHAnsi" w:hAnsiTheme="minorHAnsi"/>
          <w:bCs/>
          <w:snapToGrid w:val="0"/>
        </w:rPr>
        <w:t xml:space="preserve">. </w:t>
      </w:r>
      <w:r w:rsidR="006A7DD3">
        <w:rPr>
          <w:rFonts w:asciiTheme="minorHAnsi" w:hAnsiTheme="minorHAnsi"/>
          <w:bCs/>
          <w:snapToGrid w:val="0"/>
        </w:rPr>
        <w:t>Thus</w:t>
      </w:r>
      <w:r w:rsidR="00855CFB">
        <w:rPr>
          <w:rFonts w:asciiTheme="minorHAnsi" w:hAnsiTheme="minorHAnsi"/>
          <w:bCs/>
          <w:snapToGrid w:val="0"/>
        </w:rPr>
        <w:t>, the PBAC noted</w:t>
      </w:r>
      <w:r w:rsidR="006A7DD3">
        <w:rPr>
          <w:rFonts w:asciiTheme="minorHAnsi" w:hAnsiTheme="minorHAnsi"/>
          <w:bCs/>
          <w:snapToGrid w:val="0"/>
        </w:rPr>
        <w:t xml:space="preserve"> it was not possible to directly compare the </w:t>
      </w:r>
      <w:r w:rsidR="0044638F">
        <w:rPr>
          <w:rFonts w:asciiTheme="minorHAnsi" w:hAnsiTheme="minorHAnsi"/>
          <w:bCs/>
          <w:snapToGrid w:val="0"/>
        </w:rPr>
        <w:t xml:space="preserve">ACP and pegcetacoplan models. </w:t>
      </w:r>
      <w:r w:rsidR="00F733FF">
        <w:rPr>
          <w:rFonts w:asciiTheme="minorHAnsi" w:hAnsiTheme="minorHAnsi"/>
          <w:bCs/>
          <w:snapToGrid w:val="0"/>
        </w:rPr>
        <w:t xml:space="preserve">The PBAC noted </w:t>
      </w:r>
      <w:r w:rsidR="002120B8">
        <w:rPr>
          <w:rFonts w:asciiTheme="minorHAnsi" w:hAnsiTheme="minorHAnsi"/>
          <w:bCs/>
          <w:snapToGrid w:val="0"/>
        </w:rPr>
        <w:t xml:space="preserve">the </w:t>
      </w:r>
      <w:r w:rsidR="00C00D19">
        <w:rPr>
          <w:rFonts w:asciiTheme="minorHAnsi" w:hAnsiTheme="minorHAnsi"/>
          <w:bCs/>
          <w:snapToGrid w:val="0"/>
        </w:rPr>
        <w:t xml:space="preserve">pegcetacoplan </w:t>
      </w:r>
      <w:r w:rsidR="002120B8">
        <w:rPr>
          <w:rFonts w:asciiTheme="minorHAnsi" w:hAnsiTheme="minorHAnsi"/>
          <w:bCs/>
          <w:snapToGrid w:val="0"/>
        </w:rPr>
        <w:t xml:space="preserve">multivariate analysis accepted by the Committee </w:t>
      </w:r>
      <w:r w:rsidR="003E1654">
        <w:rPr>
          <w:rFonts w:asciiTheme="minorHAnsi" w:hAnsiTheme="minorHAnsi"/>
          <w:bCs/>
          <w:snapToGrid w:val="0"/>
        </w:rPr>
        <w:t xml:space="preserve">reported an incremental QALY of </w:t>
      </w:r>
      <w:r w:rsidR="0029004B">
        <w:rPr>
          <w:rFonts w:asciiTheme="minorHAnsi" w:hAnsiTheme="minorHAnsi"/>
          <w:bCs/>
          <w:snapToGrid w:val="0"/>
        </w:rPr>
        <w:t>0.220 (see Table 13</w:t>
      </w:r>
      <w:r w:rsidR="00A9473D">
        <w:rPr>
          <w:rFonts w:asciiTheme="minorHAnsi" w:hAnsiTheme="minorHAnsi"/>
          <w:bCs/>
          <w:snapToGrid w:val="0"/>
        </w:rPr>
        <w:t>, pegcetacoplan PSD</w:t>
      </w:r>
      <w:r w:rsidR="00FA1795">
        <w:rPr>
          <w:rFonts w:asciiTheme="minorHAnsi" w:hAnsiTheme="minorHAnsi"/>
          <w:bCs/>
          <w:snapToGrid w:val="0"/>
        </w:rPr>
        <w:t>, November 2025 PBAC Meeting)</w:t>
      </w:r>
      <w:r w:rsidR="0029004B">
        <w:rPr>
          <w:rFonts w:asciiTheme="minorHAnsi" w:hAnsiTheme="minorHAnsi"/>
          <w:bCs/>
          <w:snapToGrid w:val="0"/>
        </w:rPr>
        <w:t>.</w:t>
      </w:r>
    </w:p>
    <w:p w14:paraId="339719BA" w14:textId="6A4D52D3"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lastRenderedPageBreak/>
        <w:t>Transition probabilities for ACP and BSC were calculated by examining patient</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level data from GATHER1 trial at 6</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month intervals over 18 months (ACP treatment regimen of every month). These probabilities were estimated separately for ACP and BSC, without adjustments for patient characteristics, and were based on observed changes in GA area and distance to foveal centre. Concerns associated with the quantification of the surrogate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functional outcome relationship and the estimated treatment effect include: </w:t>
      </w:r>
    </w:p>
    <w:p w14:paraId="46C2CD83" w14:textId="126FADDD" w:rsidR="007F4BC5" w:rsidRPr="004452FC" w:rsidRDefault="007F4BC5" w:rsidP="001A7CE8">
      <w:pPr>
        <w:numPr>
          <w:ilvl w:val="0"/>
          <w:numId w:val="19"/>
        </w:numPr>
        <w:spacing w:before="60" w:after="60"/>
        <w:ind w:left="1077" w:hanging="357"/>
        <w:rPr>
          <w:rFonts w:asciiTheme="minorHAnsi" w:eastAsiaTheme="minorHAnsi" w:hAnsiTheme="minorHAnsi" w:cstheme="minorBidi"/>
          <w:szCs w:val="22"/>
        </w:rPr>
      </w:pPr>
      <w:r w:rsidRPr="004452FC">
        <w:rPr>
          <w:rFonts w:asciiTheme="minorHAnsi" w:eastAsiaTheme="minorHAnsi" w:hAnsiTheme="minorHAnsi" w:cstheme="minorBidi"/>
          <w:szCs w:val="22"/>
        </w:rPr>
        <w:t>Transition estimates come from a 7×7 matrix, based on small samples of between 3 and 21 patients per health state (total study N=47 ACP; N=73 BSC). In the ACP group, except for a few patients transiting to the 'Blind' health state from ‘Large, Far’ and ‘Large, Close’ during the first cycle, there were no transitions into the 'Blind' health state in cycles 2 or 3. Because the sample size is limited and certain transitions likely to be infrequent, there is high uncertainty, low precision and reduced generalisability in the transition estimates. Furthermore, these health</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state transitions serve as proxies for disease progression rather than necessarily representing distinct clinically validated outcomes.</w:t>
      </w:r>
      <w:r w:rsidR="00DF0603">
        <w:rPr>
          <w:rFonts w:asciiTheme="minorHAnsi" w:eastAsiaTheme="minorHAnsi" w:hAnsiTheme="minorHAnsi" w:cstheme="minorBidi"/>
          <w:szCs w:val="22"/>
        </w:rPr>
        <w:t xml:space="preserve"> </w:t>
      </w:r>
      <w:r w:rsidR="00611B37" w:rsidRPr="00C17763">
        <w:rPr>
          <w:rFonts w:asciiTheme="minorHAnsi" w:eastAsiaTheme="minorHAnsi" w:hAnsiTheme="minorHAnsi" w:cstheme="minorBidi"/>
          <w:iCs/>
          <w:szCs w:val="22"/>
        </w:rPr>
        <w:t>The PSCR</w:t>
      </w:r>
      <w:r w:rsidR="00E41200">
        <w:rPr>
          <w:rFonts w:asciiTheme="minorHAnsi" w:eastAsiaTheme="minorHAnsi" w:hAnsiTheme="minorHAnsi" w:cstheme="minorBidi"/>
          <w:iCs/>
          <w:szCs w:val="22"/>
        </w:rPr>
        <w:t xml:space="preserve"> </w:t>
      </w:r>
      <w:r w:rsidR="00611B37" w:rsidRPr="00C17763">
        <w:rPr>
          <w:rFonts w:asciiTheme="minorHAnsi" w:eastAsiaTheme="minorHAnsi" w:hAnsiTheme="minorHAnsi" w:cstheme="minorBidi"/>
          <w:iCs/>
          <w:szCs w:val="22"/>
        </w:rPr>
        <w:t>argued that GATHER1 provide</w:t>
      </w:r>
      <w:r w:rsidR="00A761BC" w:rsidRPr="00C17763">
        <w:rPr>
          <w:rFonts w:asciiTheme="minorHAnsi" w:eastAsiaTheme="minorHAnsi" w:hAnsiTheme="minorHAnsi" w:cstheme="minorBidi"/>
          <w:iCs/>
          <w:szCs w:val="22"/>
        </w:rPr>
        <w:t>d</w:t>
      </w:r>
      <w:r w:rsidR="00611B37" w:rsidRPr="00C17763">
        <w:rPr>
          <w:rFonts w:asciiTheme="minorHAnsi" w:eastAsiaTheme="minorHAnsi" w:hAnsiTheme="minorHAnsi" w:cstheme="minorBidi"/>
          <w:iCs/>
          <w:szCs w:val="22"/>
        </w:rPr>
        <w:t xml:space="preserve"> the longest period of continu</w:t>
      </w:r>
      <w:r w:rsidR="00371245" w:rsidRPr="00C17763">
        <w:rPr>
          <w:rFonts w:asciiTheme="minorHAnsi" w:eastAsiaTheme="minorHAnsi" w:hAnsiTheme="minorHAnsi" w:cstheme="minorBidi"/>
          <w:iCs/>
          <w:szCs w:val="22"/>
        </w:rPr>
        <w:t>ous protocol follow</w:t>
      </w:r>
      <w:r w:rsidR="009B60A6">
        <w:rPr>
          <w:rFonts w:asciiTheme="minorHAnsi" w:eastAsiaTheme="minorHAnsi" w:hAnsiTheme="minorHAnsi" w:cstheme="minorBidi"/>
          <w:iCs/>
          <w:szCs w:val="22"/>
        </w:rPr>
        <w:noBreakHyphen/>
      </w:r>
      <w:r w:rsidR="00371245" w:rsidRPr="00C17763">
        <w:rPr>
          <w:rFonts w:asciiTheme="minorHAnsi" w:eastAsiaTheme="minorHAnsi" w:hAnsiTheme="minorHAnsi" w:cstheme="minorBidi"/>
          <w:iCs/>
          <w:szCs w:val="22"/>
        </w:rPr>
        <w:t>up (18 months)</w:t>
      </w:r>
      <w:r w:rsidR="00082E70" w:rsidRPr="00C17763">
        <w:rPr>
          <w:rFonts w:asciiTheme="minorHAnsi" w:eastAsiaTheme="minorHAnsi" w:hAnsiTheme="minorHAnsi" w:cstheme="minorBidi"/>
          <w:iCs/>
          <w:szCs w:val="22"/>
        </w:rPr>
        <w:t xml:space="preserve">, allowing for the most robust comparison of the treatment effect. </w:t>
      </w:r>
      <w:r w:rsidR="00A76BC3" w:rsidRPr="00C17763">
        <w:rPr>
          <w:rFonts w:asciiTheme="minorHAnsi" w:eastAsiaTheme="minorHAnsi" w:hAnsiTheme="minorHAnsi" w:cstheme="minorBidi"/>
          <w:iCs/>
          <w:szCs w:val="22"/>
        </w:rPr>
        <w:t xml:space="preserve">The PSCR noted that the submission </w:t>
      </w:r>
      <w:r w:rsidR="007906AD" w:rsidRPr="00C17763">
        <w:rPr>
          <w:rFonts w:asciiTheme="minorHAnsi" w:eastAsiaTheme="minorHAnsi" w:hAnsiTheme="minorHAnsi" w:cstheme="minorBidi"/>
          <w:iCs/>
          <w:szCs w:val="22"/>
        </w:rPr>
        <w:t>presented a scenario analysis which pooled GATHER1 and GATHER2 patient level data, ther</w:t>
      </w:r>
      <w:r w:rsidR="00E31121" w:rsidRPr="00C17763">
        <w:rPr>
          <w:rFonts w:asciiTheme="minorHAnsi" w:eastAsiaTheme="minorHAnsi" w:hAnsiTheme="minorHAnsi" w:cstheme="minorBidi"/>
          <w:iCs/>
          <w:szCs w:val="22"/>
        </w:rPr>
        <w:t xml:space="preserve">eby increasing the number of patients contributing to each health state (the pooling having a larger sample range of 12 to 87 patients). The PSCR </w:t>
      </w:r>
      <w:r w:rsidR="00B204A1" w:rsidRPr="00C17763">
        <w:rPr>
          <w:rFonts w:asciiTheme="minorHAnsi" w:eastAsiaTheme="minorHAnsi" w:hAnsiTheme="minorHAnsi" w:cstheme="minorBidi"/>
          <w:iCs/>
          <w:szCs w:val="22"/>
        </w:rPr>
        <w:t xml:space="preserve">noted that </w:t>
      </w:r>
      <w:r w:rsidR="00FD4C52" w:rsidRPr="00C17763">
        <w:rPr>
          <w:rFonts w:asciiTheme="minorHAnsi" w:eastAsiaTheme="minorHAnsi" w:hAnsiTheme="minorHAnsi" w:cstheme="minorBidi"/>
          <w:iCs/>
          <w:szCs w:val="22"/>
        </w:rPr>
        <w:t xml:space="preserve">this scenario </w:t>
      </w:r>
      <w:r w:rsidR="009F3890" w:rsidRPr="00C17763">
        <w:rPr>
          <w:rFonts w:asciiTheme="minorHAnsi" w:eastAsiaTheme="minorHAnsi" w:hAnsiTheme="minorHAnsi" w:cstheme="minorBidi"/>
          <w:iCs/>
          <w:szCs w:val="22"/>
        </w:rPr>
        <w:t xml:space="preserve">increased from the ICER from a base case of </w:t>
      </w:r>
      <w:r w:rsidR="00616B5B" w:rsidRPr="00C17763">
        <w:rPr>
          <w:rFonts w:asciiTheme="minorHAnsi" w:eastAsiaTheme="minorHAnsi" w:hAnsiTheme="minorHAnsi" w:cstheme="minorBidi"/>
          <w:iCs/>
          <w:szCs w:val="22"/>
        </w:rPr>
        <w:t>$</w:t>
      </w:r>
      <w:r w:rsidR="00B402A8" w:rsidRPr="00B402A8">
        <w:rPr>
          <w:rFonts w:asciiTheme="minorHAnsi" w:eastAsiaTheme="minorHAnsi" w:hAnsiTheme="minorHAnsi" w:cstheme="minorBidi"/>
          <w:iCs/>
          <w:szCs w:val="22"/>
        </w:rPr>
        <w:t>55,000 to &lt; $75,000</w:t>
      </w:r>
      <w:r w:rsidR="00616B5B" w:rsidRPr="00C17763">
        <w:rPr>
          <w:rFonts w:asciiTheme="minorHAnsi" w:eastAsiaTheme="minorHAnsi" w:hAnsiTheme="minorHAnsi" w:cstheme="minorBidi"/>
          <w:iCs/>
          <w:szCs w:val="22"/>
        </w:rPr>
        <w:t xml:space="preserve"> per QALY gained to </w:t>
      </w:r>
      <w:r w:rsidR="00EC1ADA" w:rsidRPr="00EC1ADA">
        <w:rPr>
          <w:rFonts w:asciiTheme="minorHAnsi" w:eastAsiaTheme="minorHAnsi" w:hAnsiTheme="minorHAnsi" w:cstheme="minorBidi"/>
          <w:iCs/>
          <w:szCs w:val="22"/>
        </w:rPr>
        <w:t>$75,000 to &lt; $95,000</w:t>
      </w:r>
      <w:r w:rsidR="00FD4C52" w:rsidRPr="00C17763">
        <w:rPr>
          <w:rFonts w:asciiTheme="minorHAnsi" w:eastAsiaTheme="minorHAnsi" w:hAnsiTheme="minorHAnsi" w:cstheme="minorBidi"/>
          <w:iCs/>
          <w:szCs w:val="22"/>
        </w:rPr>
        <w:t xml:space="preserve"> per QALY gained</w:t>
      </w:r>
      <w:r w:rsidR="00616B5B" w:rsidRPr="00C17763">
        <w:rPr>
          <w:rFonts w:asciiTheme="minorHAnsi" w:eastAsiaTheme="minorHAnsi" w:hAnsiTheme="minorHAnsi" w:cstheme="minorBidi"/>
          <w:iCs/>
          <w:szCs w:val="22"/>
        </w:rPr>
        <w:t xml:space="preserve">. </w:t>
      </w:r>
      <w:r w:rsidR="00E020F1" w:rsidRPr="00C17763">
        <w:rPr>
          <w:rFonts w:asciiTheme="minorHAnsi" w:eastAsiaTheme="minorHAnsi" w:hAnsiTheme="minorHAnsi" w:cstheme="minorBidi"/>
          <w:iCs/>
          <w:szCs w:val="22"/>
        </w:rPr>
        <w:t>The ESC c</w:t>
      </w:r>
      <w:r w:rsidR="00C90F23" w:rsidRPr="00C17763">
        <w:rPr>
          <w:rFonts w:asciiTheme="minorHAnsi" w:eastAsiaTheme="minorHAnsi" w:hAnsiTheme="minorHAnsi" w:cstheme="minorBidi"/>
          <w:iCs/>
          <w:szCs w:val="22"/>
        </w:rPr>
        <w:t>onsidered it appropriate to pool the results of the GATHER1 and GATHER2 trial</w:t>
      </w:r>
      <w:r w:rsidR="007B6958" w:rsidRPr="00C17763">
        <w:rPr>
          <w:rFonts w:asciiTheme="minorHAnsi" w:eastAsiaTheme="minorHAnsi" w:hAnsiTheme="minorHAnsi" w:cstheme="minorBidi"/>
          <w:iCs/>
          <w:szCs w:val="22"/>
        </w:rPr>
        <w:t xml:space="preserve"> as presented in the scenario analysis.</w:t>
      </w:r>
    </w:p>
    <w:p w14:paraId="3A52E55E" w14:textId="7B548AF7" w:rsidR="007F4BC5" w:rsidRPr="004452FC" w:rsidRDefault="007F4BC5" w:rsidP="001A7CE8">
      <w:pPr>
        <w:numPr>
          <w:ilvl w:val="0"/>
          <w:numId w:val="19"/>
        </w:numPr>
        <w:spacing w:before="60" w:after="60"/>
        <w:ind w:left="1077" w:hanging="357"/>
        <w:rPr>
          <w:rFonts w:asciiTheme="minorHAnsi" w:eastAsiaTheme="minorHAnsi" w:hAnsiTheme="minorHAnsi" w:cstheme="minorBidi"/>
          <w:szCs w:val="22"/>
        </w:rPr>
      </w:pPr>
      <w:r w:rsidRPr="004452FC">
        <w:rPr>
          <w:rFonts w:asciiTheme="minorHAnsi" w:eastAsiaTheme="minorHAnsi" w:hAnsiTheme="minorHAnsi" w:cstheme="minorBidi"/>
          <w:szCs w:val="22"/>
        </w:rPr>
        <w:t>The model sets a maximum treatment duration of 3 years for ACP, after which all patients stop ACP and follow the BSC transition matrix for the rest of the model time horizon. An annual treatment discontinuation risk of 19.9% (converted to per cycle discontinuation rate of 10.52%), based on data from the GATHER1 trial, was applied to patients receiving ACP. To extrapolate ACP outcomes beyond the 18</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month GATHER1 study, it is assumed that the treatment effect remains constant throughout active treatment, with transition probabilities from cycle 3 (13–18 months) applied until the end of treatment. Currently, there is no longitudinal data available beyond 24 months for ACP. It was </w:t>
      </w:r>
      <w:r w:rsidR="00337078">
        <w:rPr>
          <w:rFonts w:asciiTheme="minorHAnsi" w:eastAsiaTheme="minorHAnsi" w:hAnsiTheme="minorHAnsi" w:cstheme="minorBidi"/>
          <w:szCs w:val="22"/>
        </w:rPr>
        <w:t xml:space="preserve">not </w:t>
      </w:r>
      <w:r w:rsidRPr="004452FC">
        <w:rPr>
          <w:rFonts w:asciiTheme="minorHAnsi" w:eastAsiaTheme="minorHAnsi" w:hAnsiTheme="minorHAnsi" w:cstheme="minorBidi"/>
          <w:szCs w:val="22"/>
        </w:rPr>
        <w:t>appropriate to extend the assumption of the treatment effect beyond the period of its application as the determination of sustained treatment effect beyond the trial period remains uncertain. For the BSC group, the same cycle 3 transition probabilities are used for rest of the entire model period.</w:t>
      </w:r>
    </w:p>
    <w:p w14:paraId="19362BA1" w14:textId="51D9211B" w:rsidR="007F4BC5" w:rsidRPr="004452FC" w:rsidRDefault="007F4BC5" w:rsidP="001A7CE8">
      <w:pPr>
        <w:numPr>
          <w:ilvl w:val="0"/>
          <w:numId w:val="19"/>
        </w:numPr>
        <w:spacing w:before="60" w:after="60"/>
        <w:ind w:left="1077" w:hanging="357"/>
        <w:rPr>
          <w:rFonts w:eastAsiaTheme="minorHAnsi" w:cs="Calibri"/>
          <w:color w:val="000000"/>
          <w:szCs w:val="22"/>
        </w:rPr>
      </w:pPr>
      <w:r w:rsidRPr="004452FC">
        <w:rPr>
          <w:rFonts w:asciiTheme="minorHAnsi" w:eastAsiaTheme="minorHAnsi" w:hAnsiTheme="minorHAnsi" w:cstheme="minorBidi"/>
          <w:szCs w:val="22"/>
        </w:rPr>
        <w:t>GA progression is nonlinear; lesions grow faster as they enlarge, especially with foveal involvement. The model’s approach of applying cycle 3 transition probabilities across the remaining time horizon assumes a constant risk profile. This is a significant limitation, as it overlooks both the age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related acceleration in </w:t>
      </w:r>
      <w:r w:rsidRPr="004452FC">
        <w:rPr>
          <w:rFonts w:asciiTheme="minorHAnsi" w:eastAsiaTheme="minorHAnsi" w:hAnsiTheme="minorHAnsi" w:cstheme="minorBidi"/>
          <w:szCs w:val="22"/>
        </w:rPr>
        <w:lastRenderedPageBreak/>
        <w:t>GA progression and the varied growth rates among patients (i.e., fast versus slow progressors). Furthermore, as atrophy occurs, the negative impact on quality of life escalates disproportionately, suggesting that transition probabilities should ideally be dynamic</w:t>
      </w:r>
      <w:r w:rsidR="006D6080">
        <w:rPr>
          <w:rFonts w:asciiTheme="minorHAnsi" w:eastAsiaTheme="minorHAnsi" w:hAnsiTheme="minorHAnsi" w:cstheme="minorBidi"/>
          <w:szCs w:val="22"/>
        </w:rPr>
        <w:t xml:space="preserve">, </w:t>
      </w:r>
      <w:r w:rsidRPr="004452FC">
        <w:rPr>
          <w:rFonts w:asciiTheme="minorHAnsi" w:eastAsiaTheme="minorHAnsi" w:hAnsiTheme="minorHAnsi" w:cstheme="minorBidi"/>
          <w:szCs w:val="22"/>
        </w:rPr>
        <w:t>varying over time and according to lesion characteristics. Given that the model projects outcomes over a 20</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year period based on only 18 months of observed data, more than 90% of the transitions are extrapolated using fixed cycle 3 transitions. </w:t>
      </w:r>
      <w:r w:rsidR="005E6A4F" w:rsidRPr="00C17763">
        <w:rPr>
          <w:rFonts w:asciiTheme="minorHAnsi" w:eastAsiaTheme="minorHAnsi" w:hAnsiTheme="minorHAnsi" w:cstheme="minorBidi"/>
          <w:iCs/>
          <w:szCs w:val="22"/>
        </w:rPr>
        <w:t>The ESC considered a 15</w:t>
      </w:r>
      <w:r w:rsidR="009B60A6">
        <w:rPr>
          <w:rFonts w:asciiTheme="minorHAnsi" w:eastAsiaTheme="minorHAnsi" w:hAnsiTheme="minorHAnsi" w:cstheme="minorBidi"/>
          <w:iCs/>
          <w:szCs w:val="22"/>
        </w:rPr>
        <w:noBreakHyphen/>
      </w:r>
      <w:r w:rsidR="005E6A4F" w:rsidRPr="00C17763">
        <w:rPr>
          <w:rFonts w:asciiTheme="minorHAnsi" w:eastAsiaTheme="minorHAnsi" w:hAnsiTheme="minorHAnsi" w:cstheme="minorBidi"/>
          <w:iCs/>
          <w:szCs w:val="22"/>
        </w:rPr>
        <w:t>year time horizon would be</w:t>
      </w:r>
      <w:r w:rsidR="006D6080" w:rsidRPr="00C17763">
        <w:rPr>
          <w:rFonts w:asciiTheme="minorHAnsi" w:eastAsiaTheme="minorHAnsi" w:hAnsiTheme="minorHAnsi" w:cstheme="minorBidi"/>
          <w:iCs/>
          <w:szCs w:val="22"/>
        </w:rPr>
        <w:t xml:space="preserve"> more</w:t>
      </w:r>
      <w:r w:rsidR="005E6A4F" w:rsidRPr="00C17763">
        <w:rPr>
          <w:rFonts w:asciiTheme="minorHAnsi" w:eastAsiaTheme="minorHAnsi" w:hAnsiTheme="minorHAnsi" w:cstheme="minorBidi"/>
          <w:iCs/>
          <w:szCs w:val="22"/>
        </w:rPr>
        <w:t xml:space="preserve"> appropriate.</w:t>
      </w:r>
    </w:p>
    <w:p w14:paraId="4E348938" w14:textId="6A82412B" w:rsidR="007F4BC5" w:rsidRPr="004452FC" w:rsidRDefault="007F4BC5" w:rsidP="001A7CE8">
      <w:pPr>
        <w:numPr>
          <w:ilvl w:val="0"/>
          <w:numId w:val="19"/>
        </w:numPr>
        <w:spacing w:before="60" w:after="60"/>
        <w:ind w:left="1077" w:hanging="357"/>
        <w:rPr>
          <w:rFonts w:eastAsiaTheme="minorHAnsi" w:cs="Calibri"/>
          <w:color w:val="000000"/>
          <w:szCs w:val="22"/>
        </w:rPr>
      </w:pPr>
      <w:r w:rsidRPr="004452FC">
        <w:rPr>
          <w:rFonts w:eastAsiaTheme="minorHAnsi" w:cs="Calibri"/>
          <w:color w:val="000000"/>
          <w:szCs w:val="22"/>
        </w:rPr>
        <w:t>Mortality was informed by ABS lifetables in both arms with excess mortality applied to severe visual impairment health states. Blindness is linked to higher mortality risk in older populations, primarily through indirect mechanisms such as falls, depression, and reduced independence. There is no strong evidence that GA lesion size (and associated vision loss) itself directly influences mortality.</w:t>
      </w:r>
      <w:r w:rsidRPr="004452FC">
        <w:t xml:space="preserve"> </w:t>
      </w:r>
      <w:r w:rsidRPr="004452FC">
        <w:rPr>
          <w:rFonts w:eastAsiaTheme="minorHAnsi" w:cs="Calibri"/>
          <w:color w:val="000000"/>
          <w:szCs w:val="22"/>
        </w:rPr>
        <w:t>Therefore, excess mortality applied to health states other than “Blind” was not justified in the submission.</w:t>
      </w:r>
      <w:r w:rsidR="00BF4557">
        <w:rPr>
          <w:rFonts w:eastAsiaTheme="minorHAnsi" w:cs="Calibri"/>
          <w:color w:val="000000"/>
          <w:szCs w:val="22"/>
        </w:rPr>
        <w:t xml:space="preserve"> </w:t>
      </w:r>
      <w:r w:rsidR="00BF4557" w:rsidRPr="00C17763">
        <w:rPr>
          <w:rFonts w:asciiTheme="minorHAnsi" w:hAnsiTheme="minorHAnsi"/>
          <w:bCs/>
          <w:iCs/>
          <w:snapToGrid w:val="0"/>
        </w:rPr>
        <w:t>The PSCR argued that the results from Ahluwalia et al (2021)</w:t>
      </w:r>
      <w:r w:rsidR="00F046F3" w:rsidRPr="00C17763">
        <w:rPr>
          <w:rStyle w:val="FootnoteReference"/>
          <w:rFonts w:asciiTheme="minorHAnsi" w:hAnsiTheme="minorHAnsi"/>
          <w:bCs/>
          <w:iCs/>
          <w:snapToGrid w:val="0"/>
        </w:rPr>
        <w:footnoteReference w:id="22"/>
      </w:r>
      <w:r w:rsidR="00BF4557" w:rsidRPr="00C17763">
        <w:rPr>
          <w:rFonts w:asciiTheme="minorHAnsi" w:hAnsiTheme="minorHAnsi"/>
          <w:bCs/>
          <w:iCs/>
          <w:snapToGrid w:val="0"/>
        </w:rPr>
        <w:t xml:space="preserve"> supported the approach taken in the submission. Ahluwalia et al (2021) reported that patients with total GA area in the highest quartile had significantly higher risk of all</w:t>
      </w:r>
      <w:r w:rsidR="009B60A6">
        <w:rPr>
          <w:rFonts w:asciiTheme="minorHAnsi" w:hAnsiTheme="minorHAnsi"/>
          <w:bCs/>
          <w:iCs/>
          <w:snapToGrid w:val="0"/>
        </w:rPr>
        <w:noBreakHyphen/>
      </w:r>
      <w:r w:rsidR="00BF4557" w:rsidRPr="00C17763">
        <w:rPr>
          <w:rFonts w:asciiTheme="minorHAnsi" w:hAnsiTheme="minorHAnsi"/>
          <w:bCs/>
          <w:iCs/>
          <w:snapToGrid w:val="0"/>
        </w:rPr>
        <w:t>cause mortality compared with those in the lowest quartile (HR = 3.42, 95% CI 1.32, 8.86, p=0.011). The ESC noted that the results from Ahluwalia et al (2021) were a comparison within the GA population, with no comparison of mortality against the non</w:t>
      </w:r>
      <w:r w:rsidR="009B60A6">
        <w:rPr>
          <w:rFonts w:asciiTheme="minorHAnsi" w:hAnsiTheme="minorHAnsi"/>
          <w:bCs/>
          <w:iCs/>
          <w:snapToGrid w:val="0"/>
        </w:rPr>
        <w:noBreakHyphen/>
      </w:r>
      <w:r w:rsidR="00BF4557" w:rsidRPr="00C17763">
        <w:rPr>
          <w:rFonts w:asciiTheme="minorHAnsi" w:hAnsiTheme="minorHAnsi"/>
          <w:bCs/>
          <w:iCs/>
          <w:snapToGrid w:val="0"/>
        </w:rPr>
        <w:t>GA population.</w:t>
      </w:r>
      <w:r w:rsidR="001A118E" w:rsidRPr="00C17763">
        <w:rPr>
          <w:rFonts w:asciiTheme="minorHAnsi" w:hAnsiTheme="minorHAnsi"/>
          <w:bCs/>
          <w:iCs/>
          <w:snapToGrid w:val="0"/>
        </w:rPr>
        <w:t xml:space="preserve"> </w:t>
      </w:r>
      <w:r w:rsidR="00265F4A" w:rsidRPr="00C17763">
        <w:rPr>
          <w:rFonts w:asciiTheme="minorHAnsi" w:eastAsiaTheme="minorEastAsia" w:hAnsiTheme="minorHAnsi" w:cstheme="minorHAnsi"/>
          <w:iCs/>
        </w:rPr>
        <w:t xml:space="preserve">The </w:t>
      </w:r>
      <w:r w:rsidR="001A118E" w:rsidRPr="00C17763">
        <w:rPr>
          <w:rFonts w:asciiTheme="minorHAnsi" w:eastAsiaTheme="minorEastAsia" w:hAnsiTheme="minorHAnsi" w:cstheme="minorHAnsi"/>
          <w:iCs/>
        </w:rPr>
        <w:t xml:space="preserve">ESC </w:t>
      </w:r>
      <w:r w:rsidR="002F65AE" w:rsidRPr="00C17763">
        <w:rPr>
          <w:rFonts w:asciiTheme="minorHAnsi" w:eastAsiaTheme="minorEastAsia" w:hAnsiTheme="minorHAnsi" w:cstheme="minorHAnsi"/>
          <w:iCs/>
        </w:rPr>
        <w:t>advised that</w:t>
      </w:r>
      <w:r w:rsidR="00CE136A" w:rsidRPr="00C17763">
        <w:rPr>
          <w:rFonts w:asciiTheme="minorHAnsi" w:eastAsiaTheme="minorEastAsia" w:hAnsiTheme="minorHAnsi" w:cstheme="minorHAnsi"/>
          <w:iCs/>
        </w:rPr>
        <w:t xml:space="preserve"> excess mortality</w:t>
      </w:r>
      <w:r w:rsidR="002F65AE" w:rsidRPr="00C17763">
        <w:rPr>
          <w:rFonts w:asciiTheme="minorHAnsi" w:eastAsiaTheme="minorEastAsia" w:hAnsiTheme="minorHAnsi" w:cstheme="minorHAnsi"/>
          <w:iCs/>
        </w:rPr>
        <w:t xml:space="preserve"> should</w:t>
      </w:r>
      <w:r w:rsidR="00E43F63">
        <w:rPr>
          <w:rFonts w:asciiTheme="minorHAnsi" w:eastAsiaTheme="minorEastAsia" w:hAnsiTheme="minorHAnsi" w:cstheme="minorHAnsi"/>
          <w:iCs/>
        </w:rPr>
        <w:t xml:space="preserve"> only be applied to the </w:t>
      </w:r>
      <w:r w:rsidR="00B82CEE">
        <w:rPr>
          <w:rFonts w:asciiTheme="minorHAnsi" w:eastAsiaTheme="minorEastAsia" w:hAnsiTheme="minorHAnsi" w:cstheme="minorHAnsi"/>
          <w:iCs/>
        </w:rPr>
        <w:t>“Blind” health state.</w:t>
      </w:r>
      <w:r w:rsidR="000362AF" w:rsidRPr="00C17763">
        <w:rPr>
          <w:rFonts w:asciiTheme="minorHAnsi" w:hAnsiTheme="minorHAnsi"/>
          <w:bCs/>
          <w:iCs/>
          <w:snapToGrid w:val="0"/>
        </w:rPr>
        <w:t xml:space="preserve"> </w:t>
      </w:r>
    </w:p>
    <w:p w14:paraId="5080F8FE" w14:textId="5B6A18A6"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t>The utility values applied in the economic model differed by health state but were not treatment specific. No utility decrements were applied for ACP intravitreal injections. This may not be reasonable given intravitreal injections themselves often have a separate disutility in economic models (commonly –0.005 to –0.01 per injection), based on patient inconvenience, anxiety, and short</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term discomfort. If injection disutility is not explicitly modelled, the analysis may underestimate treatment burden.</w:t>
      </w:r>
      <w:r w:rsidR="001F12A1">
        <w:rPr>
          <w:rFonts w:asciiTheme="minorHAnsi" w:eastAsiaTheme="minorHAnsi" w:hAnsiTheme="minorHAnsi" w:cstheme="minorBidi"/>
          <w:szCs w:val="22"/>
        </w:rPr>
        <w:t xml:space="preserve"> </w:t>
      </w:r>
      <w:r w:rsidR="00CA1DA0" w:rsidRPr="00C17763">
        <w:rPr>
          <w:rFonts w:asciiTheme="minorHAnsi" w:eastAsiaTheme="minorHAnsi" w:hAnsiTheme="minorHAnsi" w:cstheme="minorBidi"/>
          <w:iCs/>
          <w:szCs w:val="22"/>
        </w:rPr>
        <w:t xml:space="preserve">The ESC </w:t>
      </w:r>
      <w:r w:rsidR="00520430" w:rsidRPr="00C17763">
        <w:rPr>
          <w:rFonts w:asciiTheme="minorHAnsi" w:eastAsiaTheme="minorHAnsi" w:hAnsiTheme="minorHAnsi" w:cstheme="minorBidi"/>
          <w:iCs/>
          <w:szCs w:val="22"/>
        </w:rPr>
        <w:t>advised that a utility decrement due to ACP administration should be included.</w:t>
      </w:r>
      <w:r w:rsidR="003A5FEB" w:rsidRPr="00C17763">
        <w:rPr>
          <w:rFonts w:asciiTheme="minorHAnsi" w:eastAsiaTheme="minorHAnsi" w:hAnsiTheme="minorHAnsi" w:cstheme="minorBidi"/>
          <w:iCs/>
          <w:szCs w:val="22"/>
        </w:rPr>
        <w:t xml:space="preserve"> The ESC considered </w:t>
      </w:r>
      <w:r w:rsidR="00B347F9" w:rsidRPr="00C17763">
        <w:rPr>
          <w:rFonts w:asciiTheme="minorHAnsi" w:eastAsiaTheme="minorHAnsi" w:hAnsiTheme="minorHAnsi" w:cstheme="minorBidi"/>
          <w:iCs/>
          <w:szCs w:val="22"/>
        </w:rPr>
        <w:t xml:space="preserve">that an appropriate utility decrement would be </w:t>
      </w:r>
      <w:r w:rsidR="00703626" w:rsidRPr="00C17763">
        <w:rPr>
          <w:rFonts w:asciiTheme="minorHAnsi" w:eastAsiaTheme="minorHAnsi" w:hAnsiTheme="minorHAnsi" w:cstheme="minorBidi"/>
          <w:iCs/>
          <w:szCs w:val="22"/>
        </w:rPr>
        <w:t>100% daily utility loss for one day for 50% of patients per administration</w:t>
      </w:r>
      <w:r w:rsidR="005B3788" w:rsidRPr="00C17763">
        <w:rPr>
          <w:rFonts w:asciiTheme="minorHAnsi" w:eastAsiaTheme="minorHAnsi" w:hAnsiTheme="minorHAnsi" w:cstheme="minorBidi"/>
          <w:iCs/>
          <w:szCs w:val="22"/>
        </w:rPr>
        <w:t xml:space="preserve"> (</w:t>
      </w:r>
      <w:r w:rsidR="00337078">
        <w:rPr>
          <w:rFonts w:asciiTheme="minorHAnsi" w:eastAsiaTheme="minorHAnsi" w:hAnsiTheme="minorHAnsi" w:cstheme="minorBidi"/>
          <w:iCs/>
          <w:szCs w:val="22"/>
        </w:rPr>
        <w:t xml:space="preserve">as per </w:t>
      </w:r>
      <w:r w:rsidR="005B3788" w:rsidRPr="00C17763">
        <w:rPr>
          <w:rFonts w:asciiTheme="minorHAnsi" w:eastAsiaTheme="minorHAnsi" w:hAnsiTheme="minorHAnsi" w:cstheme="minorBidi"/>
          <w:iCs/>
          <w:szCs w:val="22"/>
        </w:rPr>
        <w:t>NICE recommendation</w:t>
      </w:r>
      <w:r w:rsidR="003D3BA5" w:rsidRPr="00C17763">
        <w:rPr>
          <w:rStyle w:val="FootnoteReference"/>
          <w:rFonts w:asciiTheme="minorHAnsi" w:eastAsiaTheme="minorHAnsi" w:hAnsiTheme="minorHAnsi" w:cstheme="minorBidi"/>
          <w:iCs/>
          <w:szCs w:val="22"/>
        </w:rPr>
        <w:footnoteReference w:id="23"/>
      </w:r>
      <w:r w:rsidR="005B3788" w:rsidRPr="00C17763">
        <w:rPr>
          <w:rFonts w:asciiTheme="minorHAnsi" w:eastAsiaTheme="minorHAnsi" w:hAnsiTheme="minorHAnsi" w:cstheme="minorBidi"/>
          <w:iCs/>
          <w:szCs w:val="22"/>
        </w:rPr>
        <w:t>)</w:t>
      </w:r>
      <w:r w:rsidR="00703626" w:rsidRPr="00C17763">
        <w:rPr>
          <w:rFonts w:asciiTheme="minorHAnsi" w:eastAsiaTheme="minorHAnsi" w:hAnsiTheme="minorHAnsi" w:cstheme="minorBidi"/>
          <w:iCs/>
          <w:szCs w:val="22"/>
        </w:rPr>
        <w:t xml:space="preserve">. </w:t>
      </w:r>
    </w:p>
    <w:p w14:paraId="7EDD0555" w14:textId="70AAD7DE"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t>The model incorporates disutilities for key treatment</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related adverse events</w:t>
      </w:r>
      <w:r w:rsidR="001F0D1A">
        <w:rPr>
          <w:rFonts w:asciiTheme="minorHAnsi" w:eastAsiaTheme="minorHAnsi" w:hAnsiTheme="minorHAnsi" w:cstheme="minorBidi"/>
          <w:szCs w:val="22"/>
        </w:rPr>
        <w:t>,</w:t>
      </w:r>
      <w:r w:rsidRPr="004452FC">
        <w:rPr>
          <w:rFonts w:asciiTheme="minorHAnsi" w:eastAsiaTheme="minorHAnsi" w:hAnsiTheme="minorHAnsi" w:cstheme="minorBidi"/>
          <w:szCs w:val="22"/>
        </w:rPr>
        <w:t xml:space="preserve"> </w:t>
      </w:r>
      <w:r w:rsidR="001F0D1A" w:rsidRPr="004452FC">
        <w:rPr>
          <w:rFonts w:asciiTheme="minorHAnsi" w:eastAsiaTheme="minorHAnsi" w:hAnsiTheme="minorHAnsi" w:cstheme="minorBidi"/>
          <w:szCs w:val="22"/>
        </w:rPr>
        <w:t>CNV and IOP</w:t>
      </w:r>
      <w:r w:rsidR="001F0D1A">
        <w:rPr>
          <w:rFonts w:asciiTheme="minorHAnsi" w:eastAsiaTheme="minorHAnsi" w:hAnsiTheme="minorHAnsi" w:cstheme="minorBidi"/>
          <w:szCs w:val="22"/>
        </w:rPr>
        <w:t>,</w:t>
      </w:r>
      <w:r w:rsidR="001F0D1A" w:rsidRPr="004452FC">
        <w:rPr>
          <w:rFonts w:asciiTheme="minorHAnsi" w:eastAsiaTheme="minorHAnsi" w:hAnsiTheme="minorHAnsi" w:cstheme="minorBidi"/>
          <w:szCs w:val="22"/>
        </w:rPr>
        <w:t xml:space="preserve"> </w:t>
      </w:r>
      <w:r w:rsidRPr="004452FC">
        <w:rPr>
          <w:rFonts w:asciiTheme="minorHAnsi" w:eastAsiaTheme="minorHAnsi" w:hAnsiTheme="minorHAnsi" w:cstheme="minorBidi"/>
          <w:szCs w:val="22"/>
        </w:rPr>
        <w:t xml:space="preserve">observed in GATHER1. The model’s assumption that CNV and IOP share the same QALY decrement (–0.06) underestimates the impact of CNV, which is clinically more severe and often associated with permanent vision loss and additional treatment </w:t>
      </w:r>
      <w:r w:rsidRPr="004452FC">
        <w:rPr>
          <w:rFonts w:asciiTheme="minorHAnsi" w:eastAsiaTheme="minorHAnsi" w:hAnsiTheme="minorHAnsi" w:cstheme="minorBidi"/>
          <w:szCs w:val="22"/>
        </w:rPr>
        <w:lastRenderedPageBreak/>
        <w:t>burden (e.g., anti</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VEGF injections). Literature supports a higher QALY decrement for CNV (–0.07 to –0.12) and a lower QALY decrement for IOP (–0.01 to –0.03). </w:t>
      </w:r>
    </w:p>
    <w:p w14:paraId="00227EA6" w14:textId="57DA4465"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t>Health</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related quality of life (HRQoL) utilities were derived from a vignette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based Time Trade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Off (TTO) study conducted among UK general population participants, rather than using trial</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based National Eye Institute Visual Functioning Questionnaire 25 (VFQ</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25) data collected in the pivotal studies GATHER1 and GATHER2. The vignettes, although supported by Virtual Reality experiences</w:t>
      </w:r>
      <w:r w:rsidR="001F0D1A">
        <w:rPr>
          <w:rFonts w:asciiTheme="minorHAnsi" w:eastAsiaTheme="minorHAnsi" w:hAnsiTheme="minorHAnsi" w:cstheme="minorBidi"/>
          <w:szCs w:val="22"/>
        </w:rPr>
        <w:t>,</w:t>
      </w:r>
      <w:r w:rsidRPr="004452FC">
        <w:rPr>
          <w:rFonts w:asciiTheme="minorHAnsi" w:eastAsiaTheme="minorHAnsi" w:hAnsiTheme="minorHAnsi" w:cstheme="minorBidi"/>
          <w:szCs w:val="22"/>
        </w:rPr>
        <w:t xml:space="preserve"> rely on hypothetical descriptions and relatively brief interaction with the various health states, which may oversimplify the functional impact of GA and fail to capture nuances (such as mental health, dependency, and social functioning that would be revealed in VFQ</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25 responses) identified by patients constantly living with GA. Consequently, despite the attempt to match to the model health states, invariably the TTO utilities are disconnected from observed trial outcomes, and this introduces some uncertainty and may affect the validity of the estimates. While vignette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based utilities are acceptable under PBAC guidelines, scenario analyses comparing vignette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derived utilities with VFQ</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25 mapped to EQ</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5D utilities would have ensured transparency and robustness in cost</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effectiveness estimates.</w:t>
      </w:r>
    </w:p>
    <w:p w14:paraId="46616804" w14:textId="458DE86E" w:rsidR="007F4BC5" w:rsidRPr="004452FC" w:rsidRDefault="007F4BC5" w:rsidP="001A7CE8">
      <w:pPr>
        <w:numPr>
          <w:ilvl w:val="1"/>
          <w:numId w:val="6"/>
        </w:numPr>
        <w:spacing w:before="60" w:after="60"/>
        <w:rPr>
          <w:rFonts w:asciiTheme="minorHAnsi" w:eastAsiaTheme="minorHAnsi" w:hAnsiTheme="minorHAnsi" w:cstheme="minorBidi"/>
          <w:szCs w:val="22"/>
        </w:rPr>
      </w:pPr>
      <w:bookmarkStart w:id="63" w:name="_Ref222333467"/>
      <w:r w:rsidRPr="004452FC">
        <w:rPr>
          <w:rFonts w:eastAsiaTheme="minorHAnsi" w:cs="Calibri"/>
          <w:color w:val="000000"/>
          <w:szCs w:val="22"/>
        </w:rPr>
        <w:t xml:space="preserve">ACP is dosed at 2 mg </w:t>
      </w:r>
      <w:r w:rsidR="009330C4">
        <w:rPr>
          <w:rFonts w:eastAsiaTheme="minorHAnsi" w:cs="Calibri"/>
          <w:color w:val="000000"/>
          <w:szCs w:val="22"/>
        </w:rPr>
        <w:t>EM</w:t>
      </w:r>
      <w:r w:rsidR="009330C4" w:rsidRPr="004452FC">
        <w:rPr>
          <w:rFonts w:eastAsiaTheme="minorHAnsi" w:cs="Calibri"/>
          <w:color w:val="000000"/>
          <w:szCs w:val="22"/>
        </w:rPr>
        <w:t xml:space="preserve"> </w:t>
      </w:r>
      <w:r w:rsidRPr="004452FC">
        <w:rPr>
          <w:rFonts w:eastAsiaTheme="minorHAnsi" w:cs="Calibri"/>
          <w:color w:val="000000"/>
          <w:szCs w:val="22"/>
        </w:rPr>
        <w:t xml:space="preserve">for the first year, then </w:t>
      </w:r>
      <w:r w:rsidR="002147C9">
        <w:rPr>
          <w:rFonts w:eastAsiaTheme="minorHAnsi" w:cs="Calibri"/>
          <w:color w:val="000000"/>
          <w:szCs w:val="22"/>
        </w:rPr>
        <w:t>EM</w:t>
      </w:r>
      <w:r w:rsidRPr="004452FC">
        <w:rPr>
          <w:rFonts w:eastAsiaTheme="minorHAnsi" w:cs="Calibri"/>
          <w:color w:val="000000"/>
          <w:szCs w:val="22"/>
        </w:rPr>
        <w:t xml:space="preserve"> or </w:t>
      </w:r>
      <w:r w:rsidR="002147C9">
        <w:rPr>
          <w:rFonts w:eastAsiaTheme="minorHAnsi" w:cs="Calibri"/>
          <w:color w:val="000000"/>
          <w:szCs w:val="22"/>
        </w:rPr>
        <w:t>EOM</w:t>
      </w:r>
      <w:r w:rsidRPr="004452FC">
        <w:rPr>
          <w:rFonts w:eastAsiaTheme="minorHAnsi" w:cs="Calibri"/>
          <w:color w:val="000000"/>
          <w:szCs w:val="22"/>
        </w:rPr>
        <w:t xml:space="preserve"> as per TGA</w:t>
      </w:r>
      <w:r w:rsidR="009B60A6">
        <w:rPr>
          <w:rFonts w:eastAsiaTheme="minorHAnsi" w:cs="Calibri"/>
          <w:color w:val="000000"/>
          <w:szCs w:val="22"/>
        </w:rPr>
        <w:noBreakHyphen/>
      </w:r>
      <w:r w:rsidRPr="004452FC">
        <w:rPr>
          <w:rFonts w:eastAsiaTheme="minorHAnsi" w:cs="Calibri"/>
          <w:color w:val="000000"/>
          <w:szCs w:val="22"/>
        </w:rPr>
        <w:t xml:space="preserve">approved Product Information or the proposed PBS listing. The economic model used EOM (monthly in year one, then every other month) as the base case and EM (continuous monthly dosing) for scenario analysis, assuming similar efficacy for both regimens. </w:t>
      </w:r>
      <w:r w:rsidRPr="004452FC">
        <w:rPr>
          <w:rFonts w:asciiTheme="minorHAnsi" w:eastAsiaTheme="minorHAnsi" w:hAnsiTheme="minorHAnsi" w:cstheme="minorBidi"/>
          <w:szCs w:val="22"/>
        </w:rPr>
        <w:t>In the GATHER2 trial, patients in the ACP arm were re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 xml:space="preserve">randomised to receive either </w:t>
      </w:r>
      <w:r w:rsidR="002147C9">
        <w:rPr>
          <w:rFonts w:asciiTheme="minorHAnsi" w:eastAsiaTheme="minorHAnsi" w:hAnsiTheme="minorHAnsi" w:cstheme="minorBidi"/>
          <w:szCs w:val="22"/>
        </w:rPr>
        <w:t>EM</w:t>
      </w:r>
      <w:r w:rsidRPr="004452FC">
        <w:rPr>
          <w:rFonts w:asciiTheme="minorHAnsi" w:eastAsiaTheme="minorHAnsi" w:hAnsiTheme="minorHAnsi" w:cstheme="minorBidi"/>
          <w:szCs w:val="22"/>
        </w:rPr>
        <w:t xml:space="preserve"> or </w:t>
      </w:r>
      <w:r w:rsidR="002147C9">
        <w:rPr>
          <w:rFonts w:asciiTheme="minorHAnsi" w:eastAsiaTheme="minorHAnsi" w:hAnsiTheme="minorHAnsi" w:cstheme="minorBidi"/>
          <w:szCs w:val="22"/>
        </w:rPr>
        <w:t>EOM</w:t>
      </w:r>
      <w:r w:rsidRPr="004452FC">
        <w:rPr>
          <w:rFonts w:asciiTheme="minorHAnsi" w:eastAsiaTheme="minorHAnsi" w:hAnsiTheme="minorHAnsi" w:cstheme="minorBidi"/>
          <w:szCs w:val="22"/>
        </w:rPr>
        <w:t xml:space="preserve"> dosing after 12 months, with efficacy assessed as the mean change in GA transformed area from baseline. Both EM and EOM groups were compared against a pooled Sham group, and while EM demonstrated a statistically significant benefit, the EOM comparison was only nominal, showing numerically better outcomes without formal statistical confirmation. This approach does not robustly establish equivalence between EM and EOM dosing, as comparative accuracy would require a direct head</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to</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head analysis between EM and EOM groups rather than relying on separate comparisons to Sham. Consequently, the claim of similar efficacy for EOM is based on indirect inference rather than rigorous statistical evidence, introducing uncertainty of benefits.</w:t>
      </w:r>
      <w:r w:rsidR="00104ADC">
        <w:rPr>
          <w:rFonts w:asciiTheme="minorHAnsi" w:eastAsiaTheme="minorHAnsi" w:hAnsiTheme="minorHAnsi" w:cstheme="minorBidi"/>
          <w:szCs w:val="22"/>
        </w:rPr>
        <w:t xml:space="preserve"> </w:t>
      </w:r>
      <w:r w:rsidR="005D5379" w:rsidRPr="00C17763">
        <w:rPr>
          <w:bCs/>
          <w:iCs/>
        </w:rPr>
        <w:t xml:space="preserve">The PSCR argued that advice from clinicians supported use of EOM in the base case. The PSCR also included utilisation data from the United States of America (August 2023 to November 2025) which indicated an average of 3.2 injections per patient eye in the first 6 months of treatment. </w:t>
      </w:r>
      <w:r w:rsidR="005D5379" w:rsidRPr="00C17763">
        <w:rPr>
          <w:rFonts w:asciiTheme="minorHAnsi" w:eastAsiaTheme="minorHAnsi" w:hAnsiTheme="minorHAnsi" w:cstheme="minorBidi"/>
          <w:iCs/>
          <w:szCs w:val="22"/>
        </w:rPr>
        <w:t>The ESC considered that after the first 12 months of monthly ACP dosing a mixture of both EM and EOM dosing would likely occur in clinical practice with the choice of regimen depending on the prescriber and patient preferences.</w:t>
      </w:r>
      <w:r w:rsidR="005D5379" w:rsidRPr="00C17763">
        <w:rPr>
          <w:rFonts w:eastAsiaTheme="minorHAnsi" w:cstheme="minorBidi"/>
          <w:iCs/>
          <w:szCs w:val="22"/>
        </w:rPr>
        <w:t xml:space="preserve"> The ESC considered that it would be </w:t>
      </w:r>
      <w:r w:rsidR="00151A62" w:rsidRPr="00C17763">
        <w:rPr>
          <w:rFonts w:eastAsiaTheme="minorHAnsi" w:cstheme="minorBidi"/>
          <w:iCs/>
          <w:szCs w:val="22"/>
        </w:rPr>
        <w:t xml:space="preserve">informative </w:t>
      </w:r>
      <w:r w:rsidR="005D5379" w:rsidRPr="00C17763">
        <w:rPr>
          <w:rFonts w:eastAsiaTheme="minorHAnsi" w:cstheme="minorBidi"/>
          <w:iCs/>
          <w:szCs w:val="22"/>
        </w:rPr>
        <w:t>to model a 50:50 split of EM:EOM dosing</w:t>
      </w:r>
      <w:r w:rsidR="00ED3D2D" w:rsidRPr="00C17763">
        <w:rPr>
          <w:rFonts w:eastAsiaTheme="minorHAnsi" w:cstheme="minorBidi"/>
          <w:iCs/>
          <w:szCs w:val="22"/>
        </w:rPr>
        <w:t xml:space="preserve"> after the first 12 months of EM treatment</w:t>
      </w:r>
      <w:r w:rsidR="005D5379" w:rsidRPr="00C17763">
        <w:rPr>
          <w:rFonts w:eastAsiaTheme="minorHAnsi" w:cstheme="minorBidi"/>
          <w:iCs/>
          <w:szCs w:val="22"/>
        </w:rPr>
        <w:t>.</w:t>
      </w:r>
      <w:bookmarkEnd w:id="63"/>
      <w:r w:rsidR="005D5379" w:rsidRPr="00C17763">
        <w:rPr>
          <w:rFonts w:eastAsiaTheme="minorHAnsi" w:cstheme="minorBidi"/>
          <w:iCs/>
          <w:szCs w:val="22"/>
        </w:rPr>
        <w:t xml:space="preserve"> </w:t>
      </w:r>
      <w:r w:rsidR="00140A01">
        <w:rPr>
          <w:rFonts w:eastAsiaTheme="minorHAnsi" w:cstheme="minorBidi"/>
          <w:iCs/>
          <w:szCs w:val="22"/>
        </w:rPr>
        <w:t>The pre</w:t>
      </w:r>
      <w:r w:rsidR="009B60A6">
        <w:rPr>
          <w:rFonts w:eastAsiaTheme="minorHAnsi" w:cstheme="minorBidi"/>
          <w:iCs/>
          <w:szCs w:val="22"/>
        </w:rPr>
        <w:noBreakHyphen/>
      </w:r>
      <w:r w:rsidR="00140A01">
        <w:rPr>
          <w:rFonts w:eastAsiaTheme="minorHAnsi" w:cstheme="minorBidi"/>
          <w:iCs/>
          <w:szCs w:val="22"/>
        </w:rPr>
        <w:t xml:space="preserve">PBAC response </w:t>
      </w:r>
      <w:r w:rsidR="00347E37">
        <w:rPr>
          <w:rFonts w:eastAsiaTheme="minorHAnsi" w:cstheme="minorBidi"/>
          <w:iCs/>
          <w:szCs w:val="22"/>
        </w:rPr>
        <w:t xml:space="preserve">continued to argue that the </w:t>
      </w:r>
      <w:r w:rsidR="00810E19">
        <w:rPr>
          <w:rFonts w:eastAsiaTheme="minorHAnsi" w:cstheme="minorBidi"/>
          <w:iCs/>
          <w:szCs w:val="22"/>
        </w:rPr>
        <w:t>utilisation data from the United States of America</w:t>
      </w:r>
      <w:r w:rsidR="001F0D1A">
        <w:rPr>
          <w:rFonts w:eastAsiaTheme="minorHAnsi" w:cstheme="minorBidi"/>
          <w:iCs/>
          <w:szCs w:val="22"/>
        </w:rPr>
        <w:t>,</w:t>
      </w:r>
      <w:r w:rsidR="00810E19">
        <w:rPr>
          <w:rFonts w:eastAsiaTheme="minorHAnsi" w:cstheme="minorBidi"/>
          <w:iCs/>
          <w:szCs w:val="22"/>
        </w:rPr>
        <w:t xml:space="preserve"> </w:t>
      </w:r>
      <w:r w:rsidR="00992F92">
        <w:rPr>
          <w:rFonts w:eastAsiaTheme="minorHAnsi" w:cstheme="minorBidi"/>
          <w:iCs/>
          <w:szCs w:val="22"/>
        </w:rPr>
        <w:t>along with local expert advice</w:t>
      </w:r>
      <w:r w:rsidR="001F0D1A">
        <w:rPr>
          <w:rFonts w:eastAsiaTheme="minorHAnsi" w:cstheme="minorBidi"/>
          <w:iCs/>
          <w:szCs w:val="22"/>
        </w:rPr>
        <w:t>,</w:t>
      </w:r>
      <w:r w:rsidR="00992F92">
        <w:rPr>
          <w:rFonts w:eastAsiaTheme="minorHAnsi" w:cstheme="minorBidi"/>
          <w:iCs/>
          <w:szCs w:val="22"/>
        </w:rPr>
        <w:t xml:space="preserve"> supported EOM dosing </w:t>
      </w:r>
      <w:r w:rsidR="00B41998">
        <w:rPr>
          <w:rFonts w:eastAsiaTheme="minorHAnsi" w:cstheme="minorBidi"/>
          <w:iCs/>
          <w:szCs w:val="22"/>
        </w:rPr>
        <w:t>as</w:t>
      </w:r>
      <w:r w:rsidR="00F82067">
        <w:rPr>
          <w:rFonts w:eastAsiaTheme="minorHAnsi" w:cstheme="minorBidi"/>
          <w:iCs/>
          <w:szCs w:val="22"/>
        </w:rPr>
        <w:t xml:space="preserve"> the preferred approach </w:t>
      </w:r>
      <w:r w:rsidR="00B41998">
        <w:rPr>
          <w:rFonts w:eastAsiaTheme="minorHAnsi" w:cstheme="minorBidi"/>
          <w:iCs/>
          <w:szCs w:val="22"/>
        </w:rPr>
        <w:t>from</w:t>
      </w:r>
      <w:r w:rsidR="00F84702">
        <w:rPr>
          <w:rFonts w:eastAsiaTheme="minorHAnsi" w:cstheme="minorBidi"/>
          <w:iCs/>
          <w:szCs w:val="22"/>
        </w:rPr>
        <w:t xml:space="preserve"> Year 2 onwards.</w:t>
      </w:r>
    </w:p>
    <w:p w14:paraId="21E046C3" w14:textId="77777777"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lastRenderedPageBreak/>
        <w:t>The model assumes 100% compliance with the dosing schedule and an annual treatment discontinuation risk of 19.9% based on data from the GATHER1 trial was applied. The base case uses the EOM schedule, with scenario analysis for EM. The model sets a maximum treatment duration of 3 years for ACP, after which all patients stop ACP.</w:t>
      </w:r>
    </w:p>
    <w:p w14:paraId="34075885" w14:textId="55139218"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t xml:space="preserve">The estimated annual drug acquisition cost for ACP (EM) is </w:t>
      </w:r>
      <w:r w:rsidR="00B37C73" w:rsidRPr="00B37C73">
        <w:rPr>
          <w:rFonts w:ascii="Arial Narrow" w:eastAsiaTheme="majorEastAsia" w:hAnsi="Arial Narrow" w:cstheme="majorBidi"/>
          <w:bCs/>
          <w:sz w:val="2"/>
          <w:highlight w:val="black"/>
        </w:rPr>
        <w:t>redacted content</w:t>
      </w:r>
      <w:r w:rsidRPr="004452FC">
        <w:rPr>
          <w:rFonts w:asciiTheme="minorHAnsi" w:eastAsiaTheme="minorHAnsi" w:hAnsiTheme="minorHAnsi" w:cstheme="minorBidi"/>
          <w:szCs w:val="22"/>
        </w:rPr>
        <w:t xml:space="preserve"> and for ACP (EOM) is </w:t>
      </w:r>
      <w:r w:rsidR="00B37C73" w:rsidRPr="00B37C73">
        <w:rPr>
          <w:rFonts w:asciiTheme="minorHAnsi" w:eastAsiaTheme="minorHAnsi" w:hAnsiTheme="minorHAnsi" w:cstheme="minorBidi"/>
          <w:sz w:val="2"/>
          <w:szCs w:val="22"/>
          <w:highlight w:val="black"/>
        </w:rPr>
        <w:t>redacted content</w:t>
      </w:r>
      <w:r w:rsidRPr="004452FC">
        <w:rPr>
          <w:rFonts w:asciiTheme="minorHAnsi" w:eastAsiaTheme="minorHAnsi" w:hAnsiTheme="minorHAnsi" w:cstheme="minorBidi"/>
          <w:szCs w:val="22"/>
        </w:rPr>
        <w:t xml:space="preserve">. The estimated annual costs per patient for ACP treatment including administration of intravitreal injection are </w:t>
      </w:r>
      <w:r w:rsidR="00B37C73" w:rsidRPr="00B37C73">
        <w:rPr>
          <w:rFonts w:ascii="Arial Narrow" w:eastAsiaTheme="majorEastAsia" w:hAnsi="Arial Narrow" w:cstheme="majorBidi"/>
          <w:bCs/>
          <w:sz w:val="2"/>
          <w:highlight w:val="black"/>
        </w:rPr>
        <w:t>redacted content</w:t>
      </w:r>
      <w:r w:rsidRPr="004452FC">
        <w:rPr>
          <w:rFonts w:asciiTheme="minorHAnsi" w:eastAsiaTheme="minorHAnsi" w:hAnsiTheme="minorHAnsi" w:cstheme="minorBidi"/>
          <w:szCs w:val="22"/>
        </w:rPr>
        <w:t xml:space="preserve"> for EM regimen and </w:t>
      </w:r>
      <w:r w:rsidR="00B37C73" w:rsidRPr="00B37C73">
        <w:rPr>
          <w:rFonts w:ascii="Arial Narrow" w:eastAsiaTheme="majorEastAsia" w:hAnsi="Arial Narrow" w:cstheme="majorBidi"/>
          <w:bCs/>
          <w:sz w:val="2"/>
          <w:highlight w:val="black"/>
        </w:rPr>
        <w:t>redacted content</w:t>
      </w:r>
      <w:r w:rsidRPr="004452FC">
        <w:rPr>
          <w:rFonts w:asciiTheme="minorHAnsi" w:eastAsiaTheme="minorHAnsi" w:hAnsiTheme="minorHAnsi" w:cstheme="minorBidi"/>
          <w:szCs w:val="22"/>
        </w:rPr>
        <w:t xml:space="preserve"> for EOM regimen.</w:t>
      </w:r>
    </w:p>
    <w:p w14:paraId="18DBAA34" w14:textId="701AA0F2"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t>The model also included costs associated with disease management, adverse events (CNV and IOP) and one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off cost of new blindness. The submission estimates CNV management costs based on the number of ranibizumab or aflibercept administrations in a single year, assuming patients receive treatment for only one year per CNV event before being re</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exposed to CNV risk. This assumption is unlikely to reflect real</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world clinical practice, as CNV is an incurable condition requiring ongoing treatment. Evidence from the Drug Utilisation Sub</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Committee (DUSC) report (Predicted versus actual analysis of aflibercept, DUSC Report, October 2015) shows that most patients remain on anti</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VEGF therapy for many years, with clinicians commonly using a “treat</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and</w:t>
      </w:r>
      <w:r w:rsidR="009B60A6">
        <w:rPr>
          <w:rFonts w:asciiTheme="minorHAnsi" w:eastAsiaTheme="minorHAnsi" w:hAnsiTheme="minorHAnsi" w:cstheme="minorBidi"/>
          <w:szCs w:val="22"/>
        </w:rPr>
        <w:noBreakHyphen/>
      </w:r>
      <w:r w:rsidRPr="004452FC">
        <w:rPr>
          <w:rFonts w:asciiTheme="minorHAnsi" w:eastAsiaTheme="minorHAnsi" w:hAnsiTheme="minorHAnsi" w:cstheme="minorBidi"/>
          <w:szCs w:val="22"/>
        </w:rPr>
        <w:t>extend” regimen. Therefore, limiting CNV treatment costs to one year significantly underestimates the true economic burden of managing this AE.</w:t>
      </w:r>
      <w:r w:rsidR="00853458">
        <w:rPr>
          <w:rFonts w:asciiTheme="minorHAnsi" w:eastAsiaTheme="minorHAnsi" w:hAnsiTheme="minorHAnsi" w:cstheme="minorBidi"/>
          <w:szCs w:val="22"/>
        </w:rPr>
        <w:t xml:space="preserve"> </w:t>
      </w:r>
      <w:r w:rsidR="00E63ABB" w:rsidRPr="00E63ABB">
        <w:rPr>
          <w:rFonts w:asciiTheme="minorHAnsi" w:eastAsiaTheme="minorHAnsi" w:hAnsiTheme="minorHAnsi" w:cstheme="minorBidi"/>
          <w:szCs w:val="22"/>
        </w:rPr>
        <w:t>The PSCR clarified that CNV costs are based on patient years of treatment rather than single year of treatment per patient. The mean annual number of aflibercept (7.0) and ranibizumab (8.8) injections was applied to patient</w:t>
      </w:r>
      <w:r w:rsidR="009B60A6">
        <w:rPr>
          <w:rFonts w:asciiTheme="minorHAnsi" w:eastAsiaTheme="minorHAnsi" w:hAnsiTheme="minorHAnsi" w:cstheme="minorBidi"/>
          <w:szCs w:val="22"/>
        </w:rPr>
        <w:noBreakHyphen/>
      </w:r>
      <w:r w:rsidR="00E63ABB" w:rsidRPr="00E63ABB">
        <w:rPr>
          <w:rFonts w:asciiTheme="minorHAnsi" w:eastAsiaTheme="minorHAnsi" w:hAnsiTheme="minorHAnsi" w:cstheme="minorBidi"/>
          <w:szCs w:val="22"/>
        </w:rPr>
        <w:t>years of treatment. Patient</w:t>
      </w:r>
      <w:r w:rsidR="009B60A6">
        <w:rPr>
          <w:rFonts w:asciiTheme="minorHAnsi" w:eastAsiaTheme="minorHAnsi" w:hAnsiTheme="minorHAnsi" w:cstheme="minorBidi"/>
          <w:szCs w:val="22"/>
        </w:rPr>
        <w:noBreakHyphen/>
      </w:r>
      <w:r w:rsidR="00E63ABB" w:rsidRPr="00E63ABB">
        <w:rPr>
          <w:rFonts w:asciiTheme="minorHAnsi" w:eastAsiaTheme="minorHAnsi" w:hAnsiTheme="minorHAnsi" w:cstheme="minorBidi"/>
          <w:szCs w:val="22"/>
        </w:rPr>
        <w:t>years were calculated by multiplying the number of patients by the average treatment duration of ACP treatment (2.08 years) used in the financial model. This corresponds to approximately 14.6 aflibercept injections and 18.3 ranibizumab injections per GA patient</w:t>
      </w:r>
      <w:r w:rsidR="00E63ABB">
        <w:rPr>
          <w:rFonts w:asciiTheme="minorHAnsi" w:eastAsiaTheme="minorHAnsi" w:hAnsiTheme="minorHAnsi" w:cstheme="minorBidi"/>
          <w:szCs w:val="22"/>
        </w:rPr>
        <w:t xml:space="preserve">. </w:t>
      </w:r>
    </w:p>
    <w:p w14:paraId="3E1D5619" w14:textId="73EB5291" w:rsidR="007F4BC5" w:rsidRPr="004452FC" w:rsidRDefault="007F4BC5" w:rsidP="001A7CE8">
      <w:pPr>
        <w:numPr>
          <w:ilvl w:val="1"/>
          <w:numId w:val="6"/>
        </w:numPr>
        <w:spacing w:before="60" w:after="60"/>
        <w:rPr>
          <w:rFonts w:asciiTheme="minorHAnsi" w:eastAsiaTheme="minorHAnsi" w:hAnsiTheme="minorHAnsi" w:cstheme="minorBidi"/>
          <w:szCs w:val="22"/>
        </w:rPr>
      </w:pPr>
      <w:r w:rsidRPr="004452FC">
        <w:rPr>
          <w:rFonts w:asciiTheme="minorHAnsi" w:eastAsiaTheme="minorHAnsi" w:hAnsiTheme="minorHAnsi" w:cstheme="minorBidi"/>
          <w:szCs w:val="22"/>
        </w:rPr>
        <w:t xml:space="preserve">The key model drivers are presented in </w:t>
      </w:r>
      <w:r w:rsidRPr="004452FC">
        <w:rPr>
          <w:rFonts w:asciiTheme="minorHAnsi" w:eastAsiaTheme="minorHAnsi" w:hAnsiTheme="minorHAnsi" w:cstheme="minorBidi"/>
          <w:szCs w:val="22"/>
        </w:rPr>
        <w:fldChar w:fldCharType="begin"/>
      </w:r>
      <w:r w:rsidRPr="004452FC">
        <w:rPr>
          <w:rFonts w:asciiTheme="minorHAnsi" w:eastAsiaTheme="minorHAnsi" w:hAnsiTheme="minorHAnsi" w:cstheme="minorBidi"/>
          <w:szCs w:val="22"/>
        </w:rPr>
        <w:instrText xml:space="preserve"> REF _Ref104805122 \h  \* MERGEFORMAT </w:instrText>
      </w:r>
      <w:r w:rsidRPr="004452FC">
        <w:rPr>
          <w:rFonts w:asciiTheme="minorHAnsi" w:eastAsiaTheme="minorHAnsi" w:hAnsiTheme="minorHAnsi" w:cstheme="minorBidi"/>
          <w:szCs w:val="22"/>
        </w:rPr>
      </w:r>
      <w:r w:rsidRPr="004452FC">
        <w:rPr>
          <w:rFonts w:asciiTheme="minorHAnsi" w:eastAsiaTheme="minorHAnsi" w:hAnsiTheme="minorHAnsi" w:cstheme="minorBidi"/>
          <w:szCs w:val="22"/>
        </w:rPr>
        <w:fldChar w:fldCharType="separate"/>
      </w:r>
      <w:r w:rsidR="00962F38" w:rsidRPr="00962F38">
        <w:rPr>
          <w:rFonts w:asciiTheme="minorHAnsi" w:eastAsiaTheme="minorHAnsi" w:hAnsiTheme="minorHAnsi" w:cstheme="minorBidi"/>
          <w:szCs w:val="22"/>
        </w:rPr>
        <w:t>Table 11</w:t>
      </w:r>
      <w:r w:rsidRPr="004452FC">
        <w:rPr>
          <w:rFonts w:asciiTheme="minorHAnsi" w:eastAsiaTheme="minorHAnsi" w:hAnsiTheme="minorHAnsi" w:cstheme="minorBidi"/>
          <w:szCs w:val="22"/>
        </w:rPr>
        <w:fldChar w:fldCharType="end"/>
      </w:r>
      <w:r w:rsidRPr="004452FC">
        <w:rPr>
          <w:rFonts w:asciiTheme="minorHAnsi" w:eastAsiaTheme="minorHAnsi" w:hAnsiTheme="minorHAnsi" w:cstheme="minorBidi"/>
          <w:szCs w:val="22"/>
        </w:rPr>
        <w:t>.</w:t>
      </w:r>
    </w:p>
    <w:p w14:paraId="067CC252" w14:textId="5F9E4B19" w:rsidR="007F4BC5" w:rsidRPr="007F4BC5" w:rsidRDefault="007F4BC5" w:rsidP="007F4BC5">
      <w:pPr>
        <w:keepNext/>
        <w:keepLines/>
        <w:jc w:val="left"/>
        <w:rPr>
          <w:rFonts w:ascii="Arial Narrow" w:hAnsi="Arial Narrow"/>
          <w:b/>
          <w:bCs/>
          <w:sz w:val="20"/>
        </w:rPr>
      </w:pPr>
      <w:bookmarkStart w:id="64" w:name="_Ref104805122"/>
      <w:r w:rsidRPr="007F4BC5">
        <w:rPr>
          <w:rFonts w:ascii="Arial Narrow" w:hAnsi="Arial Narrow"/>
          <w:b/>
          <w:bCs/>
          <w:sz w:val="20"/>
          <w:szCs w:val="18"/>
        </w:rPr>
        <w:lastRenderedPageBreak/>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11</w:t>
      </w:r>
      <w:r w:rsidRPr="007F4BC5">
        <w:rPr>
          <w:rFonts w:ascii="Arial Narrow" w:hAnsi="Arial Narrow"/>
          <w:b/>
          <w:bCs/>
          <w:sz w:val="20"/>
          <w:szCs w:val="18"/>
        </w:rPr>
        <w:fldChar w:fldCharType="end"/>
      </w:r>
      <w:bookmarkEnd w:id="64"/>
      <w:r w:rsidRPr="007F4BC5">
        <w:rPr>
          <w:rFonts w:ascii="Arial Narrow" w:hAnsi="Arial Narrow"/>
          <w:b/>
          <w:bCs/>
          <w:sz w:val="20"/>
          <w:szCs w:val="18"/>
        </w:rPr>
        <w:t>:</w:t>
      </w:r>
      <w:r w:rsidRPr="007F4BC5">
        <w:rPr>
          <w:rFonts w:ascii="Arial Narrow" w:hAnsi="Arial Narrow"/>
          <w:b/>
          <w:bCs/>
          <w:sz w:val="20"/>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29"/>
        <w:gridCol w:w="5104"/>
        <w:gridCol w:w="2784"/>
      </w:tblGrid>
      <w:tr w:rsidR="007F4BC5" w:rsidRPr="007F4BC5" w14:paraId="23DF3200" w14:textId="77777777">
        <w:trPr>
          <w:tblHeader/>
        </w:trPr>
        <w:tc>
          <w:tcPr>
            <w:tcW w:w="626" w:type="pct"/>
            <w:vAlign w:val="center"/>
          </w:tcPr>
          <w:p w14:paraId="7B3770F8" w14:textId="77777777" w:rsidR="007F4BC5" w:rsidRPr="008F2C32" w:rsidRDefault="007F4BC5" w:rsidP="007F4BC5">
            <w:pPr>
              <w:keepNext/>
              <w:keepLines/>
              <w:jc w:val="left"/>
              <w:rPr>
                <w:rFonts w:ascii="Arial Narrow" w:eastAsiaTheme="majorEastAsia" w:hAnsi="Arial Narrow" w:cs="Times New Roman"/>
                <w:b/>
                <w:sz w:val="20"/>
                <w:lang w:val="en-US"/>
              </w:rPr>
            </w:pPr>
            <w:r w:rsidRPr="008F2C32">
              <w:rPr>
                <w:rFonts w:ascii="Arial Narrow" w:eastAsiaTheme="majorEastAsia" w:hAnsi="Arial Narrow" w:cs="Times New Roman"/>
                <w:b/>
                <w:sz w:val="20"/>
                <w:lang w:val="en-US"/>
              </w:rPr>
              <w:t>Description</w:t>
            </w:r>
          </w:p>
        </w:tc>
        <w:tc>
          <w:tcPr>
            <w:tcW w:w="2830" w:type="pct"/>
            <w:vAlign w:val="center"/>
          </w:tcPr>
          <w:p w14:paraId="18F5C83E" w14:textId="77777777" w:rsidR="007F4BC5" w:rsidRPr="008F2C32" w:rsidRDefault="007F4BC5" w:rsidP="007F4BC5">
            <w:pPr>
              <w:keepNext/>
              <w:keepLines/>
              <w:jc w:val="left"/>
              <w:rPr>
                <w:rFonts w:ascii="Arial Narrow" w:eastAsiaTheme="majorEastAsia" w:hAnsi="Arial Narrow" w:cs="Times New Roman"/>
                <w:b/>
                <w:sz w:val="20"/>
                <w:lang w:val="en-US"/>
              </w:rPr>
            </w:pPr>
            <w:r w:rsidRPr="008F2C32">
              <w:rPr>
                <w:rFonts w:ascii="Arial Narrow" w:eastAsiaTheme="majorEastAsia" w:hAnsi="Arial Narrow" w:cs="Times New Roman"/>
                <w:b/>
                <w:sz w:val="20"/>
                <w:lang w:val="en-US"/>
              </w:rPr>
              <w:t>Method/Value</w:t>
            </w:r>
          </w:p>
        </w:tc>
        <w:tc>
          <w:tcPr>
            <w:tcW w:w="1544" w:type="pct"/>
            <w:vAlign w:val="center"/>
          </w:tcPr>
          <w:p w14:paraId="280FA69A" w14:textId="77777777" w:rsidR="007F4BC5" w:rsidRPr="008F2C32" w:rsidRDefault="007F4BC5" w:rsidP="007F4BC5">
            <w:pPr>
              <w:keepNext/>
              <w:keepLines/>
              <w:jc w:val="left"/>
              <w:rPr>
                <w:rFonts w:ascii="Arial Narrow" w:eastAsiaTheme="majorEastAsia" w:hAnsi="Arial Narrow" w:cs="Times New Roman"/>
                <w:b/>
                <w:sz w:val="20"/>
                <w:lang w:val="en-US"/>
              </w:rPr>
            </w:pPr>
            <w:r w:rsidRPr="008F2C32">
              <w:rPr>
                <w:rFonts w:ascii="Arial Narrow" w:eastAsiaTheme="majorEastAsia" w:hAnsi="Arial Narrow" w:cs="Times New Roman"/>
                <w:b/>
                <w:sz w:val="20"/>
                <w:lang w:val="en-US"/>
              </w:rPr>
              <w:t>Impact</w:t>
            </w:r>
          </w:p>
          <w:p w14:paraId="7B771EA2" w14:textId="17E38653" w:rsidR="007F4BC5" w:rsidRPr="008F2C32" w:rsidRDefault="007F4BC5" w:rsidP="007F4BC5">
            <w:pPr>
              <w:keepNext/>
              <w:keepLines/>
              <w:jc w:val="left"/>
              <w:rPr>
                <w:rFonts w:ascii="Arial Narrow" w:eastAsiaTheme="majorEastAsia" w:hAnsi="Arial Narrow" w:cs="Times New Roman"/>
                <w:b/>
                <w:sz w:val="20"/>
                <w:lang w:val="en-US"/>
              </w:rPr>
            </w:pPr>
            <w:r w:rsidRPr="008F2C32">
              <w:rPr>
                <w:rFonts w:ascii="Arial Narrow" w:eastAsiaTheme="majorEastAsia" w:hAnsi="Arial Narrow" w:cs="Times New Roman"/>
                <w:b/>
                <w:sz w:val="20"/>
                <w:lang w:val="en-US"/>
              </w:rPr>
              <w:t>Base case: $</w:t>
            </w:r>
            <w:r w:rsidR="00B37C73" w:rsidRPr="00B37C73">
              <w:rPr>
                <w:rFonts w:ascii="Arial Narrow" w:eastAsiaTheme="majorEastAsia" w:hAnsi="Arial Narrow" w:cs="Times New Roman"/>
                <w:b/>
                <w:sz w:val="2"/>
                <w:highlight w:val="black"/>
                <w:lang w:val="en-US"/>
              </w:rPr>
              <w:t>redacted content</w:t>
            </w:r>
            <w:r w:rsidR="000677C7">
              <w:rPr>
                <w:rFonts w:ascii="Arial Narrow" w:eastAsiaTheme="majorEastAsia" w:hAnsi="Arial Narrow" w:cs="Times New Roman"/>
                <w:b/>
                <w:sz w:val="20"/>
                <w:vertAlign w:val="superscript"/>
                <w:lang w:val="en-US"/>
              </w:rPr>
              <w:t>1</w:t>
            </w:r>
            <w:r w:rsidRPr="008F2C32">
              <w:rPr>
                <w:rFonts w:ascii="Arial Narrow" w:eastAsiaTheme="majorEastAsia" w:hAnsi="Arial Narrow" w:cs="Times New Roman"/>
                <w:b/>
                <w:sz w:val="20"/>
                <w:lang w:val="en-US"/>
              </w:rPr>
              <w:t>/QALY gained</w:t>
            </w:r>
          </w:p>
        </w:tc>
      </w:tr>
      <w:tr w:rsidR="007F4BC5" w:rsidRPr="007F4BC5" w14:paraId="662C8FAF" w14:textId="77777777">
        <w:tc>
          <w:tcPr>
            <w:tcW w:w="626" w:type="pct"/>
            <w:vAlign w:val="center"/>
          </w:tcPr>
          <w:p w14:paraId="448DFB4C" w14:textId="77777777"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Time horizon</w:t>
            </w:r>
          </w:p>
        </w:tc>
        <w:tc>
          <w:tcPr>
            <w:tcW w:w="2830" w:type="pct"/>
            <w:vAlign w:val="center"/>
          </w:tcPr>
          <w:p w14:paraId="15EE6F86" w14:textId="28BE7964" w:rsidR="007F4BC5" w:rsidRPr="00D14D3B" w:rsidRDefault="007F4BC5" w:rsidP="007F4BC5">
            <w:pPr>
              <w:keepNext/>
              <w:keepLines/>
              <w:jc w:val="left"/>
              <w:rPr>
                <w:rFonts w:ascii="Arial Narrow" w:eastAsiaTheme="majorEastAsia" w:hAnsi="Arial Narrow" w:cstheme="majorBidi"/>
                <w:bCs/>
                <w:i/>
                <w:iCs/>
                <w:sz w:val="20"/>
              </w:rPr>
            </w:pPr>
            <w:r w:rsidRPr="0090184F">
              <w:rPr>
                <w:rFonts w:ascii="Arial Narrow" w:eastAsiaTheme="majorEastAsia" w:hAnsi="Arial Narrow" w:cstheme="majorBidi"/>
                <w:bCs/>
                <w:sz w:val="20"/>
              </w:rPr>
              <w:t>The submission considered a 20</w:t>
            </w:r>
            <w:r w:rsidR="009B60A6">
              <w:rPr>
                <w:rFonts w:ascii="Arial Narrow" w:eastAsiaTheme="majorEastAsia" w:hAnsi="Arial Narrow" w:cstheme="majorBidi"/>
                <w:bCs/>
                <w:sz w:val="20"/>
              </w:rPr>
              <w:noBreakHyphen/>
            </w:r>
            <w:r w:rsidRPr="0090184F">
              <w:rPr>
                <w:rFonts w:ascii="Arial Narrow" w:eastAsiaTheme="majorEastAsia" w:hAnsi="Arial Narrow" w:cstheme="majorBidi"/>
                <w:bCs/>
                <w:sz w:val="20"/>
              </w:rPr>
              <w:t>year time horizon in the base case analysis. The follow</w:t>
            </w:r>
            <w:r w:rsidR="009B60A6">
              <w:rPr>
                <w:rFonts w:ascii="Arial Narrow" w:eastAsiaTheme="majorEastAsia" w:hAnsi="Arial Narrow" w:cstheme="majorBidi"/>
                <w:bCs/>
                <w:sz w:val="20"/>
              </w:rPr>
              <w:noBreakHyphen/>
            </w:r>
            <w:r w:rsidRPr="0090184F">
              <w:rPr>
                <w:rFonts w:ascii="Arial Narrow" w:eastAsiaTheme="majorEastAsia" w:hAnsi="Arial Narrow" w:cstheme="majorBidi"/>
                <w:bCs/>
                <w:sz w:val="20"/>
              </w:rPr>
              <w:t xml:space="preserve">up duration for the GATHER1 and GATHER2 trial was just 18 or 24 months and there are no additional external data to inform disease progression beyond this </w:t>
            </w:r>
            <w:proofErr w:type="gramStart"/>
            <w:r w:rsidRPr="0090184F">
              <w:rPr>
                <w:rFonts w:ascii="Arial Narrow" w:eastAsiaTheme="majorEastAsia" w:hAnsi="Arial Narrow" w:cstheme="majorBidi"/>
                <w:bCs/>
                <w:sz w:val="20"/>
              </w:rPr>
              <w:t>time period</w:t>
            </w:r>
            <w:proofErr w:type="gramEnd"/>
            <w:r w:rsidRPr="0090184F">
              <w:rPr>
                <w:rFonts w:ascii="Arial Narrow" w:eastAsiaTheme="majorEastAsia" w:hAnsi="Arial Narrow" w:cstheme="majorBidi"/>
                <w:bCs/>
                <w:sz w:val="20"/>
              </w:rPr>
              <w:t>. Therefore, the extrapolations in the model based on the constant transition probabilities beyond 18 months are highly uncertain.</w:t>
            </w:r>
            <w:r w:rsidR="00244E58">
              <w:rPr>
                <w:rFonts w:ascii="Arial Narrow" w:eastAsiaTheme="majorEastAsia" w:hAnsi="Arial Narrow" w:cstheme="majorBidi"/>
                <w:bCs/>
                <w:sz w:val="20"/>
              </w:rPr>
              <w:t xml:space="preserve"> </w:t>
            </w:r>
            <w:r w:rsidR="00D14D3B" w:rsidRPr="00C17763">
              <w:rPr>
                <w:rFonts w:ascii="Arial Narrow" w:eastAsiaTheme="majorEastAsia" w:hAnsi="Arial Narrow" w:cstheme="majorBidi"/>
                <w:bCs/>
                <w:iCs/>
                <w:sz w:val="20"/>
              </w:rPr>
              <w:t>The ESC considered a 15</w:t>
            </w:r>
            <w:r w:rsidR="009B60A6">
              <w:rPr>
                <w:rFonts w:ascii="Arial Narrow" w:eastAsiaTheme="majorEastAsia" w:hAnsi="Arial Narrow" w:cstheme="majorBidi"/>
                <w:bCs/>
                <w:iCs/>
                <w:sz w:val="20"/>
              </w:rPr>
              <w:noBreakHyphen/>
            </w:r>
            <w:r w:rsidR="00D14D3B" w:rsidRPr="00C17763">
              <w:rPr>
                <w:rFonts w:ascii="Arial Narrow" w:eastAsiaTheme="majorEastAsia" w:hAnsi="Arial Narrow" w:cstheme="majorBidi"/>
                <w:bCs/>
                <w:iCs/>
                <w:sz w:val="20"/>
              </w:rPr>
              <w:t xml:space="preserve">year time horizon would be </w:t>
            </w:r>
            <w:r w:rsidR="00730E35" w:rsidRPr="00C17763">
              <w:rPr>
                <w:rFonts w:ascii="Arial Narrow" w:eastAsiaTheme="majorEastAsia" w:hAnsi="Arial Narrow" w:cstheme="majorBidi"/>
                <w:bCs/>
                <w:iCs/>
                <w:sz w:val="20"/>
              </w:rPr>
              <w:t xml:space="preserve">more </w:t>
            </w:r>
            <w:r w:rsidR="00D14D3B" w:rsidRPr="00C17763">
              <w:rPr>
                <w:rFonts w:ascii="Arial Narrow" w:eastAsiaTheme="majorEastAsia" w:hAnsi="Arial Narrow" w:cstheme="majorBidi"/>
                <w:bCs/>
                <w:iCs/>
                <w:sz w:val="20"/>
              </w:rPr>
              <w:t xml:space="preserve">appropriate. </w:t>
            </w:r>
          </w:p>
        </w:tc>
        <w:tc>
          <w:tcPr>
            <w:tcW w:w="1544" w:type="pct"/>
            <w:vAlign w:val="center"/>
          </w:tcPr>
          <w:p w14:paraId="77392425" w14:textId="68382F0C"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 xml:space="preserve">Time horizon of 5 years increased the ICER by </w:t>
            </w:r>
            <w:r w:rsidR="00B37C73" w:rsidRPr="00B37C73">
              <w:rPr>
                <w:rFonts w:ascii="Arial Narrow" w:eastAsiaTheme="majorEastAsia" w:hAnsi="Arial Narrow" w:cstheme="majorBidi"/>
                <w:bCs/>
                <w:sz w:val="2"/>
                <w:highlight w:val="black"/>
              </w:rPr>
              <w:t>redacted content</w:t>
            </w:r>
            <w:r w:rsidRPr="0090184F">
              <w:rPr>
                <w:rFonts w:ascii="Arial Narrow" w:eastAsiaTheme="majorEastAsia" w:hAnsi="Arial Narrow" w:cstheme="majorBidi"/>
                <w:bCs/>
                <w:sz w:val="20"/>
              </w:rPr>
              <w:t>%.</w:t>
            </w:r>
          </w:p>
        </w:tc>
      </w:tr>
      <w:tr w:rsidR="007F4BC5" w:rsidRPr="007F4BC5" w14:paraId="40E37637" w14:textId="77777777">
        <w:tc>
          <w:tcPr>
            <w:tcW w:w="626" w:type="pct"/>
            <w:vAlign w:val="center"/>
          </w:tcPr>
          <w:p w14:paraId="56910A4F" w14:textId="77777777"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ACP dosing schedule</w:t>
            </w:r>
          </w:p>
        </w:tc>
        <w:tc>
          <w:tcPr>
            <w:tcW w:w="2830" w:type="pct"/>
            <w:vAlign w:val="center"/>
          </w:tcPr>
          <w:p w14:paraId="15455B75" w14:textId="2AEC3BE3"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The base case analysis assumed every other month dosing schedule for ACP (EM in year 1 and EOM in Year 2+). According to the proposed listing and TGA product information, ACP dosing schedule in Year</w:t>
            </w:r>
            <w:r w:rsidR="0093566E">
              <w:rPr>
                <w:rFonts w:ascii="Arial Narrow" w:eastAsiaTheme="majorEastAsia" w:hAnsi="Arial Narrow" w:cstheme="majorBidi"/>
                <w:bCs/>
                <w:sz w:val="20"/>
              </w:rPr>
              <w:t xml:space="preserve"> </w:t>
            </w:r>
            <w:r w:rsidRPr="0090184F">
              <w:rPr>
                <w:rFonts w:ascii="Arial Narrow" w:eastAsiaTheme="majorEastAsia" w:hAnsi="Arial Narrow" w:cstheme="majorBidi"/>
                <w:bCs/>
                <w:sz w:val="20"/>
              </w:rPr>
              <w:t>2 onwards could be either every month (EM) or every other month (EOM). The cost per course per patient varies based on what dosing schedule is used.</w:t>
            </w:r>
            <w:r w:rsidR="00D240F7">
              <w:rPr>
                <w:rFonts w:ascii="Arial Narrow" w:eastAsiaTheme="majorEastAsia" w:hAnsi="Arial Narrow" w:cstheme="majorBidi"/>
                <w:bCs/>
                <w:sz w:val="20"/>
              </w:rPr>
              <w:t xml:space="preserve"> </w:t>
            </w:r>
            <w:r w:rsidR="00DA2F1F" w:rsidRPr="00C17763">
              <w:rPr>
                <w:rFonts w:ascii="Arial Narrow" w:eastAsiaTheme="majorEastAsia" w:hAnsi="Arial Narrow" w:cstheme="majorBidi"/>
                <w:bCs/>
                <w:iCs/>
                <w:sz w:val="20"/>
              </w:rPr>
              <w:t xml:space="preserve">The ESC considered that it would be </w:t>
            </w:r>
            <w:r w:rsidR="00730E35" w:rsidRPr="00C17763">
              <w:rPr>
                <w:rFonts w:ascii="Arial Narrow" w:eastAsiaTheme="majorEastAsia" w:hAnsi="Arial Narrow" w:cstheme="majorBidi"/>
                <w:bCs/>
                <w:iCs/>
                <w:sz w:val="20"/>
              </w:rPr>
              <w:t xml:space="preserve">informative </w:t>
            </w:r>
            <w:r w:rsidR="00DA2F1F" w:rsidRPr="00C17763">
              <w:rPr>
                <w:rFonts w:ascii="Arial Narrow" w:eastAsiaTheme="majorEastAsia" w:hAnsi="Arial Narrow" w:cstheme="majorBidi"/>
                <w:bCs/>
                <w:iCs/>
                <w:sz w:val="20"/>
              </w:rPr>
              <w:t>to model a 50:50 split of EM:EOM dosing</w:t>
            </w:r>
            <w:r w:rsidR="00ED3D2D" w:rsidRPr="00C17763">
              <w:rPr>
                <w:rFonts w:ascii="Arial Narrow" w:eastAsiaTheme="majorEastAsia" w:hAnsi="Arial Narrow" w:cstheme="majorBidi"/>
                <w:bCs/>
                <w:iCs/>
                <w:sz w:val="20"/>
              </w:rPr>
              <w:t xml:space="preserve"> after the first 12 months of EM treatment</w:t>
            </w:r>
            <w:r w:rsidR="00DA2F1F" w:rsidRPr="00C17763">
              <w:rPr>
                <w:rFonts w:ascii="Arial Narrow" w:eastAsiaTheme="majorEastAsia" w:hAnsi="Arial Narrow" w:cstheme="majorBidi"/>
                <w:bCs/>
                <w:iCs/>
                <w:sz w:val="20"/>
              </w:rPr>
              <w:t>.</w:t>
            </w:r>
          </w:p>
        </w:tc>
        <w:tc>
          <w:tcPr>
            <w:tcW w:w="1544" w:type="pct"/>
            <w:vAlign w:val="center"/>
          </w:tcPr>
          <w:p w14:paraId="20D25A6B" w14:textId="01C2A72E"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 xml:space="preserve">High, favours ACP. Choosing EM dosing schedule increased the ICER by </w:t>
            </w:r>
            <w:r w:rsidR="00B37C73" w:rsidRPr="00B37C73">
              <w:rPr>
                <w:rFonts w:ascii="Arial Narrow" w:eastAsiaTheme="majorEastAsia" w:hAnsi="Arial Narrow" w:cstheme="majorBidi"/>
                <w:bCs/>
                <w:sz w:val="2"/>
                <w:highlight w:val="black"/>
              </w:rPr>
              <w:t>redacted content</w:t>
            </w:r>
            <w:r w:rsidRPr="0090184F">
              <w:rPr>
                <w:rFonts w:ascii="Arial Narrow" w:eastAsiaTheme="majorEastAsia" w:hAnsi="Arial Narrow" w:cstheme="majorBidi"/>
                <w:bCs/>
                <w:sz w:val="20"/>
              </w:rPr>
              <w:t xml:space="preserve">%. </w:t>
            </w:r>
          </w:p>
        </w:tc>
      </w:tr>
      <w:tr w:rsidR="007F4BC5" w:rsidRPr="007F4BC5" w14:paraId="230549EC" w14:textId="77777777">
        <w:tc>
          <w:tcPr>
            <w:tcW w:w="626" w:type="pct"/>
            <w:vAlign w:val="center"/>
          </w:tcPr>
          <w:p w14:paraId="713AF06C" w14:textId="77777777"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Source of transition probabilities</w:t>
            </w:r>
          </w:p>
        </w:tc>
        <w:tc>
          <w:tcPr>
            <w:tcW w:w="2830" w:type="pct"/>
            <w:vAlign w:val="center"/>
          </w:tcPr>
          <w:p w14:paraId="7D265445" w14:textId="393BD47E" w:rsidR="007F4BC5" w:rsidRPr="00E65105" w:rsidRDefault="007F4BC5" w:rsidP="007F4BC5">
            <w:pPr>
              <w:keepNext/>
              <w:keepLines/>
              <w:jc w:val="left"/>
              <w:rPr>
                <w:rFonts w:ascii="Arial Narrow" w:eastAsiaTheme="majorEastAsia" w:hAnsi="Arial Narrow" w:cstheme="majorBidi"/>
                <w:bCs/>
                <w:i/>
                <w:iCs/>
                <w:sz w:val="20"/>
              </w:rPr>
            </w:pPr>
            <w:r w:rsidRPr="0090184F">
              <w:rPr>
                <w:rFonts w:ascii="Arial Narrow" w:eastAsiaTheme="majorEastAsia" w:hAnsi="Arial Narrow" w:cstheme="majorBidi"/>
                <w:bCs/>
                <w:sz w:val="20"/>
              </w:rPr>
              <w:t>The base</w:t>
            </w:r>
            <w:r w:rsidR="009B60A6">
              <w:rPr>
                <w:rFonts w:ascii="Arial Narrow" w:eastAsiaTheme="majorEastAsia" w:hAnsi="Arial Narrow" w:cstheme="majorBidi"/>
                <w:bCs/>
                <w:sz w:val="20"/>
              </w:rPr>
              <w:noBreakHyphen/>
            </w:r>
            <w:r w:rsidRPr="0090184F">
              <w:rPr>
                <w:rFonts w:ascii="Arial Narrow" w:eastAsiaTheme="majorEastAsia" w:hAnsi="Arial Narrow" w:cstheme="majorBidi"/>
                <w:bCs/>
                <w:sz w:val="20"/>
              </w:rPr>
              <w:t>case analysis relied on transition probabilities (7×7 matrix) calculated from a relatively small subset of GATHER1 participants (N=47 for ACP and N=73 for BSC). Using pooled data from both GATHER1 and GATHER2 studies (N=223 for ACP and N=258 for BSC) does improve accuracy. However, even after combining samples, the overall group remains fairly small compared to the complexity of the model and the number of health states involved, resulting in greater uncertainty about the parameters and the possibility of having very few transitions observed for rare states (such as Large</w:t>
            </w:r>
            <w:r w:rsidR="009B60A6">
              <w:rPr>
                <w:rFonts w:ascii="Arial Narrow" w:eastAsiaTheme="majorEastAsia" w:hAnsi="Arial Narrow" w:cstheme="majorBidi"/>
                <w:bCs/>
                <w:sz w:val="20"/>
              </w:rPr>
              <w:noBreakHyphen/>
            </w:r>
            <w:r w:rsidRPr="0090184F">
              <w:rPr>
                <w:rFonts w:ascii="Arial Narrow" w:eastAsiaTheme="majorEastAsia" w:hAnsi="Arial Narrow" w:cstheme="majorBidi"/>
                <w:bCs/>
                <w:sz w:val="20"/>
              </w:rPr>
              <w:t>Close or Blind).</w:t>
            </w:r>
            <w:r w:rsidR="00E65105">
              <w:rPr>
                <w:rFonts w:ascii="Arial Narrow" w:eastAsiaTheme="majorEastAsia" w:hAnsi="Arial Narrow" w:cstheme="majorBidi"/>
                <w:bCs/>
                <w:sz w:val="20"/>
              </w:rPr>
              <w:t xml:space="preserve"> </w:t>
            </w:r>
            <w:r w:rsidR="00E65105" w:rsidRPr="00C17763">
              <w:rPr>
                <w:rFonts w:ascii="Arial Narrow" w:eastAsiaTheme="majorEastAsia" w:hAnsi="Arial Narrow" w:cstheme="majorBidi"/>
                <w:bCs/>
                <w:iCs/>
                <w:sz w:val="20"/>
              </w:rPr>
              <w:t xml:space="preserve">The ESC considered that pooled data should </w:t>
            </w:r>
            <w:r w:rsidR="00DD1335" w:rsidRPr="00C17763">
              <w:rPr>
                <w:rFonts w:ascii="Arial Narrow" w:eastAsiaTheme="majorEastAsia" w:hAnsi="Arial Narrow" w:cstheme="majorBidi"/>
                <w:bCs/>
                <w:iCs/>
                <w:sz w:val="20"/>
              </w:rPr>
              <w:t xml:space="preserve">be used to inform the model. </w:t>
            </w:r>
          </w:p>
        </w:tc>
        <w:tc>
          <w:tcPr>
            <w:tcW w:w="1544" w:type="pct"/>
            <w:vAlign w:val="center"/>
          </w:tcPr>
          <w:p w14:paraId="427BD0C7" w14:textId="06EB7C42"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 xml:space="preserve">Moderate, favours ACP. Using pooled data from GATHER1 and GATHER2 increased ICER by </w:t>
            </w:r>
            <w:r w:rsidR="00B37C73" w:rsidRPr="00B37C73">
              <w:rPr>
                <w:rFonts w:ascii="Arial Narrow" w:eastAsiaTheme="majorEastAsia" w:hAnsi="Arial Narrow" w:cstheme="majorBidi"/>
                <w:bCs/>
                <w:sz w:val="2"/>
                <w:highlight w:val="black"/>
              </w:rPr>
              <w:t>redacted content</w:t>
            </w:r>
            <w:r w:rsidRPr="0090184F">
              <w:rPr>
                <w:rFonts w:ascii="Arial Narrow" w:eastAsiaTheme="majorEastAsia" w:hAnsi="Arial Narrow" w:cstheme="majorBidi"/>
                <w:bCs/>
                <w:sz w:val="20"/>
              </w:rPr>
              <w:t>%</w:t>
            </w:r>
          </w:p>
        </w:tc>
      </w:tr>
      <w:tr w:rsidR="007F4BC5" w:rsidRPr="007F4BC5" w14:paraId="5BA6E059" w14:textId="77777777">
        <w:tc>
          <w:tcPr>
            <w:tcW w:w="626" w:type="pct"/>
            <w:vAlign w:val="center"/>
          </w:tcPr>
          <w:p w14:paraId="1CF19E3B" w14:textId="77777777"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Application of excess mortality</w:t>
            </w:r>
          </w:p>
        </w:tc>
        <w:tc>
          <w:tcPr>
            <w:tcW w:w="2830" w:type="pct"/>
            <w:vAlign w:val="center"/>
          </w:tcPr>
          <w:p w14:paraId="7C4FF973" w14:textId="433AAAFD"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The submission applied excess mortality to severe visual impairment health states. This was not reasonable. Blindness is linked to higher mortality risk in older populations, primarily through indirect mechanisms such as falls, depression, and reduced independence. Th</w:t>
            </w:r>
            <w:r w:rsidR="00B244AD">
              <w:rPr>
                <w:rFonts w:ascii="Arial Narrow" w:eastAsiaTheme="majorEastAsia" w:hAnsi="Arial Narrow" w:cstheme="majorBidi"/>
                <w:bCs/>
                <w:sz w:val="20"/>
              </w:rPr>
              <w:t xml:space="preserve">e </w:t>
            </w:r>
            <w:r w:rsidR="00B244AD" w:rsidRPr="00C17763">
              <w:rPr>
                <w:rFonts w:ascii="Arial Narrow" w:eastAsiaTheme="majorEastAsia" w:hAnsi="Arial Narrow" w:cstheme="majorBidi"/>
                <w:bCs/>
                <w:iCs/>
                <w:sz w:val="20"/>
              </w:rPr>
              <w:t>ESC agreed with the evaluation that</w:t>
            </w:r>
            <w:r w:rsidR="00B244AD">
              <w:rPr>
                <w:rFonts w:ascii="Arial Narrow" w:eastAsiaTheme="majorEastAsia" w:hAnsi="Arial Narrow" w:cstheme="majorBidi"/>
                <w:bCs/>
                <w:sz w:val="20"/>
              </w:rPr>
              <w:t xml:space="preserve"> t</w:t>
            </w:r>
            <w:r w:rsidR="00730E35">
              <w:rPr>
                <w:rFonts w:ascii="Arial Narrow" w:eastAsiaTheme="majorEastAsia" w:hAnsi="Arial Narrow" w:cstheme="majorBidi"/>
                <w:bCs/>
                <w:sz w:val="20"/>
              </w:rPr>
              <w:t>h</w:t>
            </w:r>
            <w:r w:rsidRPr="0090184F">
              <w:rPr>
                <w:rFonts w:ascii="Arial Narrow" w:eastAsiaTheme="majorEastAsia" w:hAnsi="Arial Narrow" w:cstheme="majorBidi"/>
                <w:bCs/>
                <w:sz w:val="20"/>
              </w:rPr>
              <w:t>ere is no strong evidence that GA lesion size directly influences mortality, therefore excess mortality should not be applied to all severe health states.</w:t>
            </w:r>
          </w:p>
        </w:tc>
        <w:tc>
          <w:tcPr>
            <w:tcW w:w="1544" w:type="pct"/>
            <w:vAlign w:val="center"/>
          </w:tcPr>
          <w:p w14:paraId="23219D93" w14:textId="19DFCE4F" w:rsidR="007F4BC5" w:rsidRPr="0090184F" w:rsidRDefault="007F4BC5" w:rsidP="007F4BC5">
            <w:pPr>
              <w:keepNext/>
              <w:keepLines/>
              <w:jc w:val="left"/>
              <w:rPr>
                <w:rFonts w:ascii="Arial Narrow" w:eastAsiaTheme="majorEastAsia" w:hAnsi="Arial Narrow" w:cstheme="majorBidi"/>
                <w:bCs/>
                <w:sz w:val="20"/>
              </w:rPr>
            </w:pPr>
            <w:r w:rsidRPr="0090184F">
              <w:rPr>
                <w:rFonts w:ascii="Arial Narrow" w:eastAsiaTheme="majorEastAsia" w:hAnsi="Arial Narrow" w:cstheme="majorBidi"/>
                <w:bCs/>
                <w:sz w:val="20"/>
              </w:rPr>
              <w:t xml:space="preserve">Moderate, favours ACP. Removing excess mortality application to the severe visual impairment health states increased ICER by </w:t>
            </w:r>
            <w:r w:rsidR="00B37C73" w:rsidRPr="00B37C73">
              <w:rPr>
                <w:rFonts w:ascii="Arial Narrow" w:eastAsiaTheme="majorEastAsia" w:hAnsi="Arial Narrow" w:cstheme="majorBidi"/>
                <w:bCs/>
                <w:sz w:val="2"/>
                <w:highlight w:val="black"/>
              </w:rPr>
              <w:t>redacted content</w:t>
            </w:r>
            <w:r w:rsidRPr="0090184F">
              <w:rPr>
                <w:rFonts w:ascii="Arial Narrow" w:eastAsiaTheme="majorEastAsia" w:hAnsi="Arial Narrow" w:cstheme="majorBidi"/>
                <w:bCs/>
                <w:sz w:val="20"/>
              </w:rPr>
              <w:t>%.</w:t>
            </w:r>
          </w:p>
        </w:tc>
      </w:tr>
    </w:tbl>
    <w:p w14:paraId="2BF9AF45" w14:textId="741E4DDE"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rPr>
        <w:t>Source: Constructed during the evaluation using Table 3.9</w:t>
      </w:r>
      <w:r w:rsidR="009B60A6">
        <w:rPr>
          <w:rFonts w:ascii="Arial Narrow" w:hAnsi="Arial Narrow"/>
          <w:snapToGrid w:val="0"/>
          <w:sz w:val="18"/>
          <w:szCs w:val="22"/>
        </w:rPr>
        <w:noBreakHyphen/>
      </w:r>
      <w:r w:rsidRPr="007F4BC5">
        <w:rPr>
          <w:rFonts w:ascii="Arial Narrow" w:hAnsi="Arial Narrow"/>
          <w:snapToGrid w:val="0"/>
          <w:sz w:val="18"/>
          <w:szCs w:val="22"/>
        </w:rPr>
        <w:t xml:space="preserve">2,p213 of the submission and the “Attachment 11 – </w:t>
      </w:r>
      <w:proofErr w:type="spellStart"/>
      <w:r w:rsidRPr="007F4BC5">
        <w:rPr>
          <w:rFonts w:ascii="Arial Narrow" w:hAnsi="Arial Narrow"/>
          <w:snapToGrid w:val="0"/>
          <w:sz w:val="18"/>
          <w:szCs w:val="22"/>
        </w:rPr>
        <w:t>Izervay</w:t>
      </w:r>
      <w:proofErr w:type="spellEnd"/>
      <w:r w:rsidRPr="007F4BC5">
        <w:rPr>
          <w:rFonts w:ascii="Arial Narrow" w:hAnsi="Arial Narrow"/>
          <w:snapToGrid w:val="0"/>
          <w:sz w:val="18"/>
          <w:szCs w:val="22"/>
        </w:rPr>
        <w:t xml:space="preserve"> CE Model.xlsm” provided with the submission.</w:t>
      </w:r>
    </w:p>
    <w:p w14:paraId="24C5A3FD" w14:textId="53CF275D" w:rsidR="007F4BC5" w:rsidRDefault="007F4BC5" w:rsidP="007F4BC5">
      <w:pPr>
        <w:keepLines/>
        <w:spacing w:after="120"/>
        <w:contextualSpacing/>
        <w:rPr>
          <w:rFonts w:ascii="Arial Narrow" w:hAnsi="Arial Narrow"/>
          <w:snapToGrid w:val="0"/>
          <w:sz w:val="18"/>
          <w:szCs w:val="22"/>
        </w:rPr>
      </w:pPr>
      <w:r w:rsidRPr="007F4BC5">
        <w:rPr>
          <w:rFonts w:ascii="Arial Narrow" w:hAnsi="Arial Narrow"/>
          <w:snapToGrid w:val="0"/>
          <w:sz w:val="18"/>
          <w:szCs w:val="22"/>
        </w:rPr>
        <w:t>ACP = avacincaptad pegol; BSC = Best supportive care; EM = Every month; EOM = Every other month; GA = geographic atrophy; ICER = incremental cost</w:t>
      </w:r>
      <w:r w:rsidRPr="007F4BC5">
        <w:rPr>
          <w:rFonts w:ascii="Cambria Math" w:hAnsi="Cambria Math" w:cs="Cambria Math"/>
          <w:snapToGrid w:val="0"/>
          <w:sz w:val="18"/>
          <w:szCs w:val="22"/>
        </w:rPr>
        <w:t>‑</w:t>
      </w:r>
      <w:r w:rsidRPr="007F4BC5">
        <w:rPr>
          <w:rFonts w:ascii="Arial Narrow" w:hAnsi="Arial Narrow"/>
          <w:snapToGrid w:val="0"/>
          <w:sz w:val="18"/>
          <w:szCs w:val="22"/>
        </w:rPr>
        <w:t>effectiveness ratio; QALY = Quality</w:t>
      </w:r>
      <w:r w:rsidR="009B60A6">
        <w:rPr>
          <w:rFonts w:ascii="Arial Narrow" w:hAnsi="Arial Narrow"/>
          <w:snapToGrid w:val="0"/>
          <w:sz w:val="18"/>
          <w:szCs w:val="22"/>
        </w:rPr>
        <w:noBreakHyphen/>
      </w:r>
      <w:r w:rsidRPr="007F4BC5">
        <w:rPr>
          <w:rFonts w:ascii="Arial Narrow" w:hAnsi="Arial Narrow"/>
          <w:snapToGrid w:val="0"/>
          <w:sz w:val="18"/>
          <w:szCs w:val="22"/>
        </w:rPr>
        <w:t>adjusted life year; TGA = Therapeutic Goods Administration.</w:t>
      </w:r>
    </w:p>
    <w:p w14:paraId="0B722405" w14:textId="77777777" w:rsidR="00E9097C" w:rsidRPr="00E9097C" w:rsidRDefault="00E9097C" w:rsidP="00E9097C">
      <w:pPr>
        <w:jc w:val="left"/>
        <w:rPr>
          <w:rFonts w:ascii="Arial Narrow" w:hAnsi="Arial Narrow"/>
          <w:i/>
          <w:sz w:val="18"/>
          <w:szCs w:val="18"/>
        </w:rPr>
      </w:pPr>
      <w:r w:rsidRPr="00E9097C">
        <w:rPr>
          <w:rFonts w:ascii="Arial Narrow" w:hAnsi="Arial Narrow"/>
          <w:i/>
          <w:sz w:val="18"/>
          <w:szCs w:val="18"/>
        </w:rPr>
        <w:t xml:space="preserve">The redacted values correspond to the following ranges: </w:t>
      </w:r>
    </w:p>
    <w:p w14:paraId="34DC94A1" w14:textId="7A4CD633" w:rsidR="00E9097C" w:rsidRPr="00E9097C" w:rsidRDefault="00E9097C" w:rsidP="00E9097C">
      <w:pPr>
        <w:jc w:val="left"/>
        <w:rPr>
          <w:rFonts w:ascii="Arial Narrow" w:hAnsi="Arial Narrow"/>
          <w:i/>
          <w:sz w:val="18"/>
          <w:szCs w:val="18"/>
        </w:rPr>
      </w:pPr>
      <w:r w:rsidRPr="00E9097C">
        <w:rPr>
          <w:rFonts w:ascii="Arial Narrow" w:hAnsi="Arial Narrow"/>
          <w:i/>
          <w:sz w:val="18"/>
          <w:szCs w:val="18"/>
          <w:vertAlign w:val="superscript"/>
        </w:rPr>
        <w:t>1</w:t>
      </w:r>
      <w:r w:rsidRPr="00E9097C">
        <w:rPr>
          <w:rFonts w:ascii="Arial Narrow" w:hAnsi="Arial Narrow"/>
          <w:i/>
          <w:sz w:val="18"/>
          <w:szCs w:val="18"/>
        </w:rPr>
        <w:t xml:space="preserve"> </w:t>
      </w:r>
      <w:r w:rsidR="000677C7" w:rsidRPr="000677C7">
        <w:rPr>
          <w:rFonts w:ascii="Arial Narrow" w:hAnsi="Arial Narrow"/>
          <w:i/>
          <w:sz w:val="18"/>
          <w:szCs w:val="18"/>
        </w:rPr>
        <w:t>$55,000 to &lt; $75,000</w:t>
      </w:r>
    </w:p>
    <w:p w14:paraId="0DEA7689" w14:textId="77777777" w:rsidR="00E9097C" w:rsidRDefault="00E9097C" w:rsidP="007F4BC5">
      <w:pPr>
        <w:keepLines/>
        <w:spacing w:after="120"/>
        <w:contextualSpacing/>
        <w:rPr>
          <w:rFonts w:ascii="Arial Narrow" w:hAnsi="Arial Narrow"/>
          <w:snapToGrid w:val="0"/>
          <w:sz w:val="18"/>
          <w:szCs w:val="22"/>
        </w:rPr>
      </w:pPr>
    </w:p>
    <w:p w14:paraId="51E16CCE" w14:textId="77777777" w:rsidR="007F4BC5" w:rsidRPr="007F4BC5" w:rsidRDefault="007F4BC5" w:rsidP="007F4BC5">
      <w:pPr>
        <w:keepLines/>
        <w:spacing w:after="120"/>
        <w:contextualSpacing/>
        <w:rPr>
          <w:rFonts w:ascii="Arial Narrow" w:hAnsi="Arial Narrow"/>
          <w:snapToGrid w:val="0"/>
          <w:sz w:val="18"/>
          <w:szCs w:val="22"/>
        </w:rPr>
      </w:pPr>
    </w:p>
    <w:p w14:paraId="4D30E40C" w14:textId="5EFD9F0E" w:rsidR="007F4BC5" w:rsidRPr="0090184F" w:rsidRDefault="007F4BC5" w:rsidP="001A7CE8">
      <w:pPr>
        <w:numPr>
          <w:ilvl w:val="1"/>
          <w:numId w:val="6"/>
        </w:numPr>
        <w:spacing w:before="60" w:after="60"/>
        <w:rPr>
          <w:rFonts w:asciiTheme="minorHAnsi" w:eastAsiaTheme="minorHAnsi" w:hAnsiTheme="minorHAnsi" w:cstheme="minorBidi"/>
          <w:szCs w:val="22"/>
        </w:rPr>
      </w:pPr>
      <w:r w:rsidRPr="0090184F">
        <w:rPr>
          <w:rFonts w:asciiTheme="minorHAnsi" w:eastAsiaTheme="minorHAnsi" w:hAnsiTheme="minorHAnsi" w:cstheme="minorBidi"/>
          <w:szCs w:val="22"/>
        </w:rPr>
        <w:t xml:space="preserve">The results of a stepped analysis presented in the submission are summarised in </w:t>
      </w:r>
      <w:r w:rsidRPr="0090184F">
        <w:rPr>
          <w:rFonts w:asciiTheme="minorHAnsi" w:eastAsiaTheme="minorHAnsi" w:hAnsiTheme="minorHAnsi" w:cstheme="minorBidi"/>
          <w:szCs w:val="22"/>
        </w:rPr>
        <w:fldChar w:fldCharType="begin"/>
      </w:r>
      <w:r w:rsidRPr="0090184F">
        <w:rPr>
          <w:rFonts w:asciiTheme="minorHAnsi" w:eastAsiaTheme="minorHAnsi" w:hAnsiTheme="minorHAnsi" w:cstheme="minorBidi"/>
          <w:szCs w:val="22"/>
        </w:rPr>
        <w:instrText xml:space="preserve"> REF _Ref104805160 \h  \* MERGEFORMAT </w:instrText>
      </w:r>
      <w:r w:rsidRPr="0090184F">
        <w:rPr>
          <w:rFonts w:asciiTheme="minorHAnsi" w:eastAsiaTheme="minorHAnsi" w:hAnsiTheme="minorHAnsi" w:cstheme="minorBidi"/>
          <w:szCs w:val="22"/>
        </w:rPr>
      </w:r>
      <w:r w:rsidRPr="0090184F">
        <w:rPr>
          <w:rFonts w:asciiTheme="minorHAnsi" w:eastAsiaTheme="minorHAnsi" w:hAnsiTheme="minorHAnsi" w:cstheme="minorBidi"/>
          <w:szCs w:val="22"/>
        </w:rPr>
        <w:fldChar w:fldCharType="separate"/>
      </w:r>
      <w:r w:rsidR="00962F38" w:rsidRPr="00962F38">
        <w:rPr>
          <w:rFonts w:asciiTheme="minorHAnsi" w:eastAsiaTheme="minorHAnsi" w:hAnsiTheme="minorHAnsi" w:cstheme="minorBidi"/>
          <w:szCs w:val="22"/>
        </w:rPr>
        <w:t>Table 12</w:t>
      </w:r>
      <w:r w:rsidRPr="0090184F">
        <w:rPr>
          <w:rFonts w:asciiTheme="minorHAnsi" w:eastAsiaTheme="minorHAnsi" w:hAnsiTheme="minorHAnsi" w:cstheme="minorBidi"/>
          <w:szCs w:val="22"/>
        </w:rPr>
        <w:fldChar w:fldCharType="end"/>
      </w:r>
      <w:r w:rsidRPr="0090184F">
        <w:rPr>
          <w:rFonts w:asciiTheme="minorHAnsi" w:eastAsiaTheme="minorHAnsi" w:hAnsiTheme="minorHAnsi" w:cstheme="minorBidi"/>
          <w:szCs w:val="22"/>
        </w:rPr>
        <w:t>. The stepped analysis shows that when the time horizon is increased to 20 years (Step 2), the modelled QALY outcomes reveal a larger difference between the two groups than with the trial</w:t>
      </w:r>
      <w:r w:rsidR="009B60A6">
        <w:rPr>
          <w:rFonts w:asciiTheme="minorHAnsi" w:eastAsiaTheme="minorHAnsi" w:hAnsiTheme="minorHAnsi" w:cstheme="minorBidi"/>
          <w:szCs w:val="22"/>
        </w:rPr>
        <w:noBreakHyphen/>
      </w:r>
      <w:r w:rsidRPr="0090184F">
        <w:rPr>
          <w:rFonts w:asciiTheme="minorHAnsi" w:eastAsiaTheme="minorHAnsi" w:hAnsiTheme="minorHAnsi" w:cstheme="minorBidi"/>
          <w:szCs w:val="22"/>
        </w:rPr>
        <w:t>based 18</w:t>
      </w:r>
      <w:r w:rsidR="009B60A6">
        <w:rPr>
          <w:rFonts w:asciiTheme="minorHAnsi" w:eastAsiaTheme="minorHAnsi" w:hAnsiTheme="minorHAnsi" w:cstheme="minorBidi"/>
          <w:szCs w:val="22"/>
        </w:rPr>
        <w:noBreakHyphen/>
      </w:r>
      <w:r w:rsidRPr="0090184F">
        <w:rPr>
          <w:rFonts w:asciiTheme="minorHAnsi" w:eastAsiaTheme="minorHAnsi" w:hAnsiTheme="minorHAnsi" w:cstheme="minorBidi"/>
          <w:szCs w:val="22"/>
        </w:rPr>
        <w:t>month time horizon (Step 1). This is because the model either rarely transitioned to poorer health states or didn't transition from other health states to the Blind health state—except in Cycle 1—while patients were on ACP treatment, leading to higher QALYs accrued in the ACP treatment arm.</w:t>
      </w:r>
    </w:p>
    <w:p w14:paraId="67A9709B" w14:textId="7851EEFB" w:rsidR="007F4BC5" w:rsidRPr="007F4BC5" w:rsidRDefault="007F4BC5" w:rsidP="007F4BC5">
      <w:pPr>
        <w:keepNext/>
        <w:keepLines/>
        <w:rPr>
          <w:rFonts w:ascii="Arial Narrow" w:hAnsi="Arial Narrow"/>
          <w:b/>
          <w:bCs/>
          <w:sz w:val="20"/>
          <w:szCs w:val="18"/>
        </w:rPr>
      </w:pPr>
      <w:bookmarkStart w:id="65" w:name="_Ref104805160"/>
      <w:r w:rsidRPr="007F4BC5">
        <w:rPr>
          <w:rFonts w:ascii="Arial Narrow" w:hAnsi="Arial Narrow"/>
          <w:b/>
          <w:bCs/>
          <w:sz w:val="20"/>
          <w:szCs w:val="18"/>
        </w:rPr>
        <w:lastRenderedPageBreak/>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12</w:t>
      </w:r>
      <w:r w:rsidRPr="007F4BC5">
        <w:rPr>
          <w:rFonts w:ascii="Arial Narrow" w:hAnsi="Arial Narrow"/>
          <w:b/>
          <w:bCs/>
          <w:sz w:val="20"/>
          <w:szCs w:val="18"/>
        </w:rPr>
        <w:fldChar w:fldCharType="end"/>
      </w:r>
      <w:bookmarkEnd w:id="65"/>
      <w:r w:rsidRPr="007F4BC5">
        <w:rPr>
          <w:rFonts w:ascii="Arial Narrow" w:hAnsi="Arial Narrow"/>
          <w:b/>
          <w:bCs/>
          <w:sz w:val="20"/>
          <w:szCs w:val="18"/>
        </w:rPr>
        <w:t>:</w:t>
      </w:r>
      <w:r w:rsidRPr="007F4BC5">
        <w:rPr>
          <w:rFonts w:ascii="Arial Narrow" w:hAnsi="Arial Narrow"/>
          <w:b/>
          <w:bCs/>
          <w:sz w:val="20"/>
        </w:rPr>
        <w:t xml:space="preserve"> Results of the stepped economic evaluation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2: Results of the stepped economic evaluation presented in the submission"/>
      </w:tblPr>
      <w:tblGrid>
        <w:gridCol w:w="2757"/>
        <w:gridCol w:w="2451"/>
        <w:gridCol w:w="2298"/>
        <w:gridCol w:w="1511"/>
      </w:tblGrid>
      <w:tr w:rsidR="007F4BC5" w:rsidRPr="007F4BC5" w14:paraId="19881633" w14:textId="77777777">
        <w:trPr>
          <w:cantSplit/>
          <w:tblHeader/>
        </w:trPr>
        <w:tc>
          <w:tcPr>
            <w:tcW w:w="1529" w:type="pct"/>
          </w:tcPr>
          <w:p w14:paraId="6A51D8C0"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Step and component</w:t>
            </w:r>
          </w:p>
        </w:tc>
        <w:tc>
          <w:tcPr>
            <w:tcW w:w="1359" w:type="pct"/>
          </w:tcPr>
          <w:p w14:paraId="60F533E9"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ACP</w:t>
            </w:r>
          </w:p>
        </w:tc>
        <w:tc>
          <w:tcPr>
            <w:tcW w:w="1274" w:type="pct"/>
          </w:tcPr>
          <w:p w14:paraId="39D55CA5"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BSC</w:t>
            </w:r>
          </w:p>
        </w:tc>
        <w:tc>
          <w:tcPr>
            <w:tcW w:w="838" w:type="pct"/>
          </w:tcPr>
          <w:p w14:paraId="494FE81A"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Increment</w:t>
            </w:r>
          </w:p>
        </w:tc>
      </w:tr>
      <w:tr w:rsidR="007F4BC5" w:rsidRPr="007F4BC5" w14:paraId="64367A6E" w14:textId="77777777">
        <w:trPr>
          <w:cantSplit/>
        </w:trPr>
        <w:tc>
          <w:tcPr>
            <w:tcW w:w="5000" w:type="pct"/>
            <w:gridSpan w:val="4"/>
            <w:vAlign w:val="center"/>
          </w:tcPr>
          <w:p w14:paraId="14C85375" w14:textId="1F259335"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Step 1: Costs and outcomes for study drug only (trial based 18</w:t>
            </w:r>
            <w:r w:rsidR="009B60A6">
              <w:rPr>
                <w:rFonts w:ascii="Arial Narrow" w:eastAsiaTheme="majorEastAsia" w:hAnsi="Arial Narrow" w:cs="Times New Roman"/>
                <w:b/>
                <w:sz w:val="20"/>
                <w:lang w:val="en-US"/>
              </w:rPr>
              <w:noBreakHyphen/>
            </w:r>
            <w:r w:rsidRPr="007F4BC5">
              <w:rPr>
                <w:rFonts w:ascii="Arial Narrow" w:eastAsiaTheme="majorEastAsia" w:hAnsi="Arial Narrow" w:cs="Times New Roman"/>
                <w:b/>
                <w:sz w:val="20"/>
                <w:lang w:val="en-US"/>
              </w:rPr>
              <w:t>month time horizon)</w:t>
            </w:r>
          </w:p>
        </w:tc>
      </w:tr>
      <w:tr w:rsidR="007F4BC5" w:rsidRPr="007F4BC5" w14:paraId="1B07B918" w14:textId="77777777">
        <w:trPr>
          <w:cantSplit/>
        </w:trPr>
        <w:tc>
          <w:tcPr>
            <w:tcW w:w="1529" w:type="pct"/>
          </w:tcPr>
          <w:p w14:paraId="1903C061"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Costs</w:t>
            </w:r>
          </w:p>
        </w:tc>
        <w:tc>
          <w:tcPr>
            <w:tcW w:w="1359" w:type="pct"/>
          </w:tcPr>
          <w:p w14:paraId="3FF80ABA" w14:textId="54A49764"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274" w:type="pct"/>
          </w:tcPr>
          <w:p w14:paraId="29C051F8"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$0</w:t>
            </w:r>
          </w:p>
        </w:tc>
        <w:tc>
          <w:tcPr>
            <w:tcW w:w="838" w:type="pct"/>
          </w:tcPr>
          <w:p w14:paraId="52156D1C" w14:textId="384D68EC"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r>
      <w:tr w:rsidR="007F4BC5" w:rsidRPr="007F4BC5" w14:paraId="36B5F7C9" w14:textId="77777777">
        <w:trPr>
          <w:cantSplit/>
        </w:trPr>
        <w:tc>
          <w:tcPr>
            <w:tcW w:w="1529" w:type="pct"/>
          </w:tcPr>
          <w:p w14:paraId="1254931B"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QALYs</w:t>
            </w:r>
          </w:p>
        </w:tc>
        <w:tc>
          <w:tcPr>
            <w:tcW w:w="1359" w:type="pct"/>
          </w:tcPr>
          <w:p w14:paraId="519C2DED"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1.117</w:t>
            </w:r>
          </w:p>
        </w:tc>
        <w:tc>
          <w:tcPr>
            <w:tcW w:w="1274" w:type="pct"/>
          </w:tcPr>
          <w:p w14:paraId="6F9AC2FF"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1.102</w:t>
            </w:r>
          </w:p>
        </w:tc>
        <w:tc>
          <w:tcPr>
            <w:tcW w:w="838" w:type="pct"/>
          </w:tcPr>
          <w:p w14:paraId="1F37B20A"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0.016</w:t>
            </w:r>
          </w:p>
        </w:tc>
      </w:tr>
      <w:tr w:rsidR="007F4BC5" w:rsidRPr="007F4BC5" w14:paraId="20ABF569" w14:textId="77777777">
        <w:trPr>
          <w:cantSplit/>
        </w:trPr>
        <w:tc>
          <w:tcPr>
            <w:tcW w:w="4162" w:type="pct"/>
            <w:gridSpan w:val="3"/>
          </w:tcPr>
          <w:p w14:paraId="7DEF9ECD"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Incremental cost/extra QALY gained</w:t>
            </w:r>
          </w:p>
        </w:tc>
        <w:tc>
          <w:tcPr>
            <w:tcW w:w="838" w:type="pct"/>
          </w:tcPr>
          <w:p w14:paraId="6CAC14EF" w14:textId="15992500" w:rsidR="007F4BC5" w:rsidRPr="007E6ED9" w:rsidRDefault="007F4BC5" w:rsidP="007F4BC5">
            <w:pPr>
              <w:keepNext/>
              <w:keepLines/>
              <w:jc w:val="center"/>
              <w:rPr>
                <w:rFonts w:ascii="Times" w:eastAsiaTheme="majorEastAsia" w:hAnsi="Times"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E6ED9">
              <w:rPr>
                <w:rFonts w:ascii="Arial Narrow" w:eastAsiaTheme="majorEastAsia" w:hAnsi="Arial Narrow" w:cstheme="majorBidi"/>
                <w:bCs/>
                <w:sz w:val="20"/>
                <w:vertAlign w:val="superscript"/>
              </w:rPr>
              <w:t>1</w:t>
            </w:r>
          </w:p>
        </w:tc>
      </w:tr>
      <w:tr w:rsidR="007F4BC5" w:rsidRPr="007F4BC5" w14:paraId="13A08C62" w14:textId="77777777">
        <w:trPr>
          <w:cantSplit/>
        </w:trPr>
        <w:tc>
          <w:tcPr>
            <w:tcW w:w="5000" w:type="pct"/>
            <w:gridSpan w:val="4"/>
            <w:vAlign w:val="center"/>
          </w:tcPr>
          <w:p w14:paraId="7FF275DD"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szCs w:val="20"/>
                <w:lang w:val="en-US"/>
              </w:rPr>
              <w:t>Step 2: Time horizon extended to 20 years incorporating excess mortality due to GA</w:t>
            </w:r>
          </w:p>
        </w:tc>
      </w:tr>
      <w:tr w:rsidR="007F4BC5" w:rsidRPr="007F4BC5" w14:paraId="044BA276" w14:textId="77777777">
        <w:trPr>
          <w:cantSplit/>
        </w:trPr>
        <w:tc>
          <w:tcPr>
            <w:tcW w:w="1529" w:type="pct"/>
          </w:tcPr>
          <w:p w14:paraId="11365110"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Costs</w:t>
            </w:r>
          </w:p>
        </w:tc>
        <w:tc>
          <w:tcPr>
            <w:tcW w:w="1359" w:type="pct"/>
          </w:tcPr>
          <w:p w14:paraId="6BD094E6" w14:textId="742A737A"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274" w:type="pct"/>
          </w:tcPr>
          <w:p w14:paraId="3BED1D56"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$0</w:t>
            </w:r>
          </w:p>
        </w:tc>
        <w:tc>
          <w:tcPr>
            <w:tcW w:w="838" w:type="pct"/>
          </w:tcPr>
          <w:p w14:paraId="128B47BC" w14:textId="73387BB2"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r>
      <w:tr w:rsidR="007F4BC5" w:rsidRPr="007F4BC5" w14:paraId="5D0F73B1" w14:textId="77777777">
        <w:trPr>
          <w:cantSplit/>
        </w:trPr>
        <w:tc>
          <w:tcPr>
            <w:tcW w:w="1529" w:type="pct"/>
          </w:tcPr>
          <w:p w14:paraId="64A42DF4"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QALYs</w:t>
            </w:r>
          </w:p>
        </w:tc>
        <w:tc>
          <w:tcPr>
            <w:tcW w:w="1359" w:type="pct"/>
          </w:tcPr>
          <w:p w14:paraId="0983E67A"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5.684</w:t>
            </w:r>
          </w:p>
        </w:tc>
        <w:tc>
          <w:tcPr>
            <w:tcW w:w="1274" w:type="pct"/>
          </w:tcPr>
          <w:p w14:paraId="242D7AF6"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5.223</w:t>
            </w:r>
          </w:p>
        </w:tc>
        <w:tc>
          <w:tcPr>
            <w:tcW w:w="838" w:type="pct"/>
          </w:tcPr>
          <w:p w14:paraId="7FD3026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0.461</w:t>
            </w:r>
          </w:p>
        </w:tc>
      </w:tr>
      <w:tr w:rsidR="007F4BC5" w:rsidRPr="007F4BC5" w14:paraId="308D0148" w14:textId="77777777">
        <w:trPr>
          <w:cantSplit/>
        </w:trPr>
        <w:tc>
          <w:tcPr>
            <w:tcW w:w="4162" w:type="pct"/>
            <w:gridSpan w:val="3"/>
          </w:tcPr>
          <w:p w14:paraId="34D64483"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Incremental cost/extra QALY gained</w:t>
            </w:r>
          </w:p>
        </w:tc>
        <w:tc>
          <w:tcPr>
            <w:tcW w:w="838" w:type="pct"/>
          </w:tcPr>
          <w:p w14:paraId="1B0F2F0F" w14:textId="4C4CB9B3" w:rsidR="007F4BC5" w:rsidRPr="007E6ED9" w:rsidRDefault="007F4BC5" w:rsidP="007F4BC5">
            <w:pPr>
              <w:keepNext/>
              <w:keepLines/>
              <w:jc w:val="center"/>
              <w:rPr>
                <w:rFonts w:ascii="Times" w:eastAsiaTheme="majorEastAsia" w:hAnsi="Times"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E6ED9">
              <w:rPr>
                <w:rFonts w:ascii="Arial Narrow" w:eastAsiaTheme="majorEastAsia" w:hAnsi="Arial Narrow" w:cstheme="majorBidi"/>
                <w:bCs/>
                <w:sz w:val="20"/>
                <w:vertAlign w:val="superscript"/>
              </w:rPr>
              <w:t>2</w:t>
            </w:r>
          </w:p>
        </w:tc>
      </w:tr>
      <w:tr w:rsidR="007F4BC5" w:rsidRPr="007F4BC5" w14:paraId="69B387BC" w14:textId="77777777">
        <w:trPr>
          <w:cantSplit/>
        </w:trPr>
        <w:tc>
          <w:tcPr>
            <w:tcW w:w="5000" w:type="pct"/>
            <w:gridSpan w:val="4"/>
            <w:vAlign w:val="center"/>
          </w:tcPr>
          <w:p w14:paraId="2C76EECA"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rPr>
              <w:t>Step 3: Include discounting for costs and outcomes at 5% per annum</w:t>
            </w:r>
          </w:p>
        </w:tc>
      </w:tr>
      <w:tr w:rsidR="007F4BC5" w:rsidRPr="007F4BC5" w14:paraId="1809EB9E" w14:textId="77777777">
        <w:trPr>
          <w:cantSplit/>
        </w:trPr>
        <w:tc>
          <w:tcPr>
            <w:tcW w:w="1529" w:type="pct"/>
          </w:tcPr>
          <w:p w14:paraId="276B14A9"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Costs</w:t>
            </w:r>
          </w:p>
        </w:tc>
        <w:tc>
          <w:tcPr>
            <w:tcW w:w="1359" w:type="pct"/>
          </w:tcPr>
          <w:p w14:paraId="5204574F" w14:textId="7341CD2B"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274" w:type="pct"/>
          </w:tcPr>
          <w:p w14:paraId="0B964938"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$0</w:t>
            </w:r>
          </w:p>
        </w:tc>
        <w:tc>
          <w:tcPr>
            <w:tcW w:w="838" w:type="pct"/>
          </w:tcPr>
          <w:p w14:paraId="1F83A2D1"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$21,822</w:t>
            </w:r>
          </w:p>
        </w:tc>
      </w:tr>
      <w:tr w:rsidR="007F4BC5" w:rsidRPr="007F4BC5" w14:paraId="76AE051B" w14:textId="77777777">
        <w:trPr>
          <w:cantSplit/>
        </w:trPr>
        <w:tc>
          <w:tcPr>
            <w:tcW w:w="1529" w:type="pct"/>
          </w:tcPr>
          <w:p w14:paraId="4FA0CF02"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QALYs</w:t>
            </w:r>
          </w:p>
        </w:tc>
        <w:tc>
          <w:tcPr>
            <w:tcW w:w="1359" w:type="pct"/>
          </w:tcPr>
          <w:p w14:paraId="67326BEC"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4.431</w:t>
            </w:r>
          </w:p>
        </w:tc>
        <w:tc>
          <w:tcPr>
            <w:tcW w:w="1274" w:type="pct"/>
          </w:tcPr>
          <w:p w14:paraId="146321AA"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4.078</w:t>
            </w:r>
          </w:p>
        </w:tc>
        <w:tc>
          <w:tcPr>
            <w:tcW w:w="838" w:type="pct"/>
          </w:tcPr>
          <w:p w14:paraId="3A0F43EF"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0.353</w:t>
            </w:r>
          </w:p>
        </w:tc>
      </w:tr>
      <w:tr w:rsidR="007F4BC5" w:rsidRPr="007F4BC5" w14:paraId="07B47D40" w14:textId="77777777">
        <w:trPr>
          <w:cantSplit/>
        </w:trPr>
        <w:tc>
          <w:tcPr>
            <w:tcW w:w="4162" w:type="pct"/>
            <w:gridSpan w:val="3"/>
          </w:tcPr>
          <w:p w14:paraId="0D06E27C"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Incremental cost/extra QALY gained</w:t>
            </w:r>
          </w:p>
        </w:tc>
        <w:tc>
          <w:tcPr>
            <w:tcW w:w="838" w:type="pct"/>
          </w:tcPr>
          <w:p w14:paraId="5C2B6452" w14:textId="55FD80C0" w:rsidR="007F4BC5" w:rsidRPr="00E35089" w:rsidRDefault="007F4BC5" w:rsidP="007F4BC5">
            <w:pPr>
              <w:keepNext/>
              <w:keepLines/>
              <w:jc w:val="center"/>
              <w:rPr>
                <w:rFonts w:ascii="Times" w:eastAsiaTheme="majorEastAsia" w:hAnsi="Times"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E35089">
              <w:rPr>
                <w:rFonts w:ascii="Arial Narrow" w:eastAsiaTheme="majorEastAsia" w:hAnsi="Arial Narrow" w:cstheme="majorBidi"/>
                <w:bCs/>
                <w:sz w:val="20"/>
                <w:vertAlign w:val="superscript"/>
              </w:rPr>
              <w:t>3</w:t>
            </w:r>
          </w:p>
        </w:tc>
      </w:tr>
      <w:tr w:rsidR="007F4BC5" w:rsidRPr="007F4BC5" w14:paraId="53985D15" w14:textId="77777777">
        <w:trPr>
          <w:cantSplit/>
        </w:trPr>
        <w:tc>
          <w:tcPr>
            <w:tcW w:w="5000" w:type="pct"/>
            <w:gridSpan w:val="4"/>
            <w:vAlign w:val="center"/>
          </w:tcPr>
          <w:p w14:paraId="3235C376"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Step 4: Include costs associated with disease and AE management and disutilities associated with AEs</w:t>
            </w:r>
          </w:p>
        </w:tc>
      </w:tr>
      <w:tr w:rsidR="007F4BC5" w:rsidRPr="007F4BC5" w14:paraId="43C055D9" w14:textId="77777777">
        <w:trPr>
          <w:cantSplit/>
        </w:trPr>
        <w:tc>
          <w:tcPr>
            <w:tcW w:w="1529" w:type="pct"/>
          </w:tcPr>
          <w:p w14:paraId="1737D8F4"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Costs</w:t>
            </w:r>
          </w:p>
        </w:tc>
        <w:tc>
          <w:tcPr>
            <w:tcW w:w="1359" w:type="pct"/>
          </w:tcPr>
          <w:p w14:paraId="548AD8D0" w14:textId="559330ED"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274" w:type="pct"/>
          </w:tcPr>
          <w:p w14:paraId="6DAC8B09"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$32,560</w:t>
            </w:r>
          </w:p>
        </w:tc>
        <w:tc>
          <w:tcPr>
            <w:tcW w:w="838" w:type="pct"/>
          </w:tcPr>
          <w:p w14:paraId="0F5ED28E" w14:textId="57F55ACD" w:rsidR="007F4BC5" w:rsidRPr="00C40889" w:rsidRDefault="007F4BC5" w:rsidP="007F4BC5">
            <w:pPr>
              <w:keepNext/>
              <w:keepLines/>
              <w:jc w:val="center"/>
              <w:rPr>
                <w:rFonts w:ascii="Times" w:eastAsiaTheme="majorEastAsia" w:hAnsi="Times"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40889">
              <w:rPr>
                <w:rFonts w:ascii="Arial Narrow" w:eastAsiaTheme="majorEastAsia" w:hAnsi="Arial Narrow" w:cstheme="majorBidi"/>
                <w:bCs/>
                <w:sz w:val="20"/>
                <w:vertAlign w:val="superscript"/>
              </w:rPr>
              <w:t>4</w:t>
            </w:r>
          </w:p>
        </w:tc>
      </w:tr>
      <w:tr w:rsidR="007F4BC5" w:rsidRPr="007F4BC5" w14:paraId="236E2FF0" w14:textId="77777777">
        <w:trPr>
          <w:cantSplit/>
        </w:trPr>
        <w:tc>
          <w:tcPr>
            <w:tcW w:w="1529" w:type="pct"/>
          </w:tcPr>
          <w:p w14:paraId="44AA2B84"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QALYs</w:t>
            </w:r>
          </w:p>
        </w:tc>
        <w:tc>
          <w:tcPr>
            <w:tcW w:w="1359" w:type="pct"/>
          </w:tcPr>
          <w:p w14:paraId="4F543DF2"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4.409</w:t>
            </w:r>
          </w:p>
        </w:tc>
        <w:tc>
          <w:tcPr>
            <w:tcW w:w="1274" w:type="pct"/>
          </w:tcPr>
          <w:p w14:paraId="6DD94254" w14:textId="77777777" w:rsidR="007F4BC5" w:rsidRPr="007F4BC5" w:rsidRDefault="007F4BC5" w:rsidP="007F4BC5">
            <w:pPr>
              <w:keepNext/>
              <w:keepLines/>
              <w:jc w:val="center"/>
              <w:rPr>
                <w:rFonts w:ascii="Times" w:eastAsiaTheme="majorEastAsia" w:hAnsi="Times" w:cstheme="majorBidi"/>
                <w:bCs/>
                <w:sz w:val="20"/>
              </w:rPr>
            </w:pPr>
            <w:r w:rsidRPr="007F4BC5">
              <w:rPr>
                <w:rFonts w:ascii="Arial Narrow" w:eastAsiaTheme="majorEastAsia" w:hAnsi="Arial Narrow" w:cstheme="majorBidi"/>
                <w:bCs/>
                <w:sz w:val="20"/>
              </w:rPr>
              <w:t>4.074</w:t>
            </w:r>
          </w:p>
        </w:tc>
        <w:tc>
          <w:tcPr>
            <w:tcW w:w="838" w:type="pct"/>
          </w:tcPr>
          <w:p w14:paraId="42D2936A"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0.335</w:t>
            </w:r>
          </w:p>
        </w:tc>
      </w:tr>
      <w:tr w:rsidR="007F4BC5" w:rsidRPr="007F4BC5" w14:paraId="0B611668" w14:textId="77777777">
        <w:trPr>
          <w:cantSplit/>
        </w:trPr>
        <w:tc>
          <w:tcPr>
            <w:tcW w:w="4162" w:type="pct"/>
            <w:gridSpan w:val="3"/>
          </w:tcPr>
          <w:p w14:paraId="5531C947" w14:textId="77777777" w:rsidR="007F4BC5" w:rsidRPr="007F4BC5" w:rsidRDefault="007F4BC5" w:rsidP="007F4BC5">
            <w:pPr>
              <w:keepNext/>
              <w:keepLines/>
              <w:jc w:val="left"/>
              <w:rPr>
                <w:rFonts w:ascii="Times" w:eastAsiaTheme="majorEastAsia" w:hAnsi="Times" w:cstheme="majorBidi"/>
                <w:b/>
                <w:sz w:val="20"/>
              </w:rPr>
            </w:pPr>
            <w:r w:rsidRPr="007F4BC5">
              <w:rPr>
                <w:rFonts w:ascii="Arial Narrow" w:eastAsiaTheme="majorEastAsia" w:hAnsi="Arial Narrow" w:cstheme="majorBidi"/>
                <w:b/>
                <w:sz w:val="20"/>
              </w:rPr>
              <w:t>Incremental cost/extra QALY gained (base case)</w:t>
            </w:r>
          </w:p>
        </w:tc>
        <w:tc>
          <w:tcPr>
            <w:tcW w:w="838" w:type="pct"/>
          </w:tcPr>
          <w:p w14:paraId="72038062" w14:textId="4DD35E86" w:rsidR="007F4BC5" w:rsidRPr="00045B75" w:rsidRDefault="007F4BC5" w:rsidP="007F4BC5">
            <w:pPr>
              <w:keepNext/>
              <w:keepLines/>
              <w:jc w:val="center"/>
              <w:rPr>
                <w:rFonts w:ascii="Times" w:eastAsiaTheme="majorEastAsia" w:hAnsi="Times"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045B75">
              <w:rPr>
                <w:rFonts w:ascii="Arial Narrow" w:eastAsiaTheme="majorEastAsia" w:hAnsi="Arial Narrow" w:cstheme="majorBidi"/>
                <w:b/>
                <w:sz w:val="20"/>
                <w:vertAlign w:val="superscript"/>
              </w:rPr>
              <w:t>5</w:t>
            </w:r>
          </w:p>
        </w:tc>
      </w:tr>
    </w:tbl>
    <w:p w14:paraId="26A54F5A" w14:textId="639A18FD"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rPr>
        <w:t>Source: Table 3.8</w:t>
      </w:r>
      <w:r w:rsidR="009B60A6">
        <w:rPr>
          <w:rFonts w:ascii="Arial Narrow" w:hAnsi="Arial Narrow"/>
          <w:snapToGrid w:val="0"/>
          <w:sz w:val="18"/>
          <w:szCs w:val="22"/>
        </w:rPr>
        <w:noBreakHyphen/>
      </w:r>
      <w:r w:rsidRPr="007F4BC5">
        <w:rPr>
          <w:rFonts w:ascii="Arial Narrow" w:hAnsi="Arial Narrow"/>
          <w:snapToGrid w:val="0"/>
          <w:sz w:val="18"/>
          <w:szCs w:val="22"/>
        </w:rPr>
        <w:t>1, p208 of the submission.</w:t>
      </w:r>
    </w:p>
    <w:p w14:paraId="2EE1F2AF" w14:textId="426D4EE7" w:rsidR="007F4BC5" w:rsidRDefault="007F4BC5" w:rsidP="007F4BC5">
      <w:pPr>
        <w:keepLines/>
        <w:spacing w:after="120"/>
        <w:contextualSpacing/>
        <w:rPr>
          <w:rFonts w:ascii="Arial Narrow" w:hAnsi="Arial Narrow"/>
          <w:snapToGrid w:val="0"/>
          <w:sz w:val="18"/>
          <w:szCs w:val="22"/>
        </w:rPr>
      </w:pPr>
      <w:r w:rsidRPr="007F4BC5">
        <w:rPr>
          <w:rFonts w:ascii="Arial Narrow" w:hAnsi="Arial Narrow"/>
          <w:snapToGrid w:val="0"/>
          <w:sz w:val="18"/>
          <w:szCs w:val="22"/>
        </w:rPr>
        <w:t>ACP = avacincaptad pegol; AE = Adverse event; AEs = Adverse Events; BSC = Best supportive care; GA = geographic atrophy; QALY = Quality</w:t>
      </w:r>
      <w:r w:rsidR="009B60A6">
        <w:rPr>
          <w:rFonts w:ascii="Arial Narrow" w:hAnsi="Arial Narrow"/>
          <w:snapToGrid w:val="0"/>
          <w:sz w:val="18"/>
          <w:szCs w:val="22"/>
        </w:rPr>
        <w:noBreakHyphen/>
      </w:r>
      <w:r w:rsidRPr="007F4BC5">
        <w:rPr>
          <w:rFonts w:ascii="Arial Narrow" w:hAnsi="Arial Narrow"/>
          <w:snapToGrid w:val="0"/>
          <w:sz w:val="18"/>
          <w:szCs w:val="22"/>
        </w:rPr>
        <w:t>adjusted life year; QALYs = Quality</w:t>
      </w:r>
      <w:r w:rsidR="009B60A6">
        <w:rPr>
          <w:rFonts w:ascii="Arial Narrow" w:hAnsi="Arial Narrow"/>
          <w:snapToGrid w:val="0"/>
          <w:sz w:val="18"/>
          <w:szCs w:val="22"/>
        </w:rPr>
        <w:noBreakHyphen/>
      </w:r>
      <w:r w:rsidRPr="007F4BC5">
        <w:rPr>
          <w:rFonts w:ascii="Arial Narrow" w:hAnsi="Arial Narrow"/>
          <w:snapToGrid w:val="0"/>
          <w:sz w:val="18"/>
          <w:szCs w:val="22"/>
        </w:rPr>
        <w:t>adjusted life years.</w:t>
      </w:r>
    </w:p>
    <w:p w14:paraId="468BAB98" w14:textId="77777777" w:rsidR="007E6ED9" w:rsidRPr="007E6ED9" w:rsidRDefault="007E6ED9" w:rsidP="007E6ED9">
      <w:pPr>
        <w:keepLines/>
        <w:spacing w:after="120"/>
        <w:contextualSpacing/>
        <w:rPr>
          <w:rFonts w:ascii="Arial Narrow" w:hAnsi="Arial Narrow"/>
          <w:i/>
          <w:snapToGrid w:val="0"/>
          <w:sz w:val="18"/>
          <w:szCs w:val="22"/>
        </w:rPr>
      </w:pPr>
      <w:r w:rsidRPr="007E6ED9">
        <w:rPr>
          <w:rFonts w:ascii="Arial Narrow" w:hAnsi="Arial Narrow"/>
          <w:i/>
          <w:snapToGrid w:val="0"/>
          <w:sz w:val="18"/>
          <w:szCs w:val="22"/>
        </w:rPr>
        <w:t xml:space="preserve">The redacted values correspond to the following ranges: </w:t>
      </w:r>
    </w:p>
    <w:p w14:paraId="7742B737" w14:textId="6FE0D03E" w:rsidR="007E6ED9" w:rsidRPr="007E6ED9" w:rsidRDefault="007E6ED9" w:rsidP="007E6ED9">
      <w:pPr>
        <w:keepLines/>
        <w:spacing w:after="120"/>
        <w:contextualSpacing/>
        <w:rPr>
          <w:rFonts w:ascii="Arial Narrow" w:hAnsi="Arial Narrow"/>
          <w:i/>
          <w:snapToGrid w:val="0"/>
          <w:sz w:val="18"/>
          <w:szCs w:val="22"/>
        </w:rPr>
      </w:pPr>
      <w:r w:rsidRPr="007E6ED9">
        <w:rPr>
          <w:rFonts w:ascii="Arial Narrow" w:hAnsi="Arial Narrow"/>
          <w:i/>
          <w:snapToGrid w:val="0"/>
          <w:sz w:val="18"/>
          <w:szCs w:val="22"/>
          <w:vertAlign w:val="superscript"/>
        </w:rPr>
        <w:t>1</w:t>
      </w:r>
      <w:r w:rsidRPr="007E6ED9">
        <w:rPr>
          <w:rFonts w:ascii="Arial Narrow" w:hAnsi="Arial Narrow"/>
          <w:i/>
          <w:snapToGrid w:val="0"/>
          <w:sz w:val="18"/>
          <w:szCs w:val="22"/>
        </w:rPr>
        <w:t xml:space="preserve"> </w:t>
      </w:r>
      <w:r w:rsidR="001F58A7" w:rsidRPr="001F58A7">
        <w:rPr>
          <w:rFonts w:ascii="Arial Narrow" w:hAnsi="Arial Narrow"/>
          <w:i/>
          <w:snapToGrid w:val="0"/>
          <w:sz w:val="18"/>
          <w:szCs w:val="22"/>
        </w:rPr>
        <w:t>$955,000 to &lt; $1,055,000</w:t>
      </w:r>
    </w:p>
    <w:p w14:paraId="557BA061" w14:textId="5125AC5F" w:rsidR="007E6ED9" w:rsidRPr="007E6ED9" w:rsidRDefault="007E6ED9" w:rsidP="007E6ED9">
      <w:pPr>
        <w:keepLines/>
        <w:spacing w:after="120"/>
        <w:contextualSpacing/>
        <w:rPr>
          <w:rFonts w:ascii="Arial Narrow" w:hAnsi="Arial Narrow"/>
          <w:i/>
          <w:snapToGrid w:val="0"/>
          <w:sz w:val="18"/>
          <w:szCs w:val="22"/>
        </w:rPr>
      </w:pPr>
      <w:r w:rsidRPr="007E6ED9">
        <w:rPr>
          <w:rFonts w:ascii="Arial Narrow" w:hAnsi="Arial Narrow"/>
          <w:i/>
          <w:snapToGrid w:val="0"/>
          <w:sz w:val="18"/>
          <w:szCs w:val="22"/>
          <w:vertAlign w:val="superscript"/>
        </w:rPr>
        <w:t>2</w:t>
      </w:r>
      <w:r w:rsidRPr="007E6ED9">
        <w:rPr>
          <w:rFonts w:ascii="Arial Narrow" w:hAnsi="Arial Narrow"/>
          <w:i/>
          <w:snapToGrid w:val="0"/>
          <w:sz w:val="18"/>
          <w:szCs w:val="22"/>
        </w:rPr>
        <w:t xml:space="preserve"> </w:t>
      </w:r>
      <w:r w:rsidR="00E35089" w:rsidRPr="00E35089">
        <w:rPr>
          <w:rFonts w:ascii="Arial Narrow" w:hAnsi="Arial Narrow"/>
          <w:i/>
          <w:snapToGrid w:val="0"/>
          <w:sz w:val="18"/>
          <w:szCs w:val="22"/>
        </w:rPr>
        <w:t>$45,000 to &lt; $55,000</w:t>
      </w:r>
    </w:p>
    <w:p w14:paraId="02C49C8F" w14:textId="0CACF8E2" w:rsidR="007E6ED9" w:rsidRPr="007E6ED9" w:rsidRDefault="007E6ED9" w:rsidP="007E6ED9">
      <w:pPr>
        <w:keepLines/>
        <w:spacing w:after="120"/>
        <w:contextualSpacing/>
        <w:rPr>
          <w:rFonts w:ascii="Arial Narrow" w:hAnsi="Arial Narrow"/>
          <w:i/>
          <w:snapToGrid w:val="0"/>
          <w:sz w:val="18"/>
          <w:szCs w:val="22"/>
        </w:rPr>
      </w:pPr>
      <w:r w:rsidRPr="007E6ED9">
        <w:rPr>
          <w:rFonts w:ascii="Arial Narrow" w:hAnsi="Arial Narrow"/>
          <w:i/>
          <w:snapToGrid w:val="0"/>
          <w:sz w:val="18"/>
          <w:szCs w:val="22"/>
          <w:vertAlign w:val="superscript"/>
        </w:rPr>
        <w:t>3</w:t>
      </w:r>
      <w:r w:rsidRPr="007E6ED9">
        <w:rPr>
          <w:rFonts w:ascii="Arial Narrow" w:hAnsi="Arial Narrow"/>
          <w:i/>
          <w:snapToGrid w:val="0"/>
          <w:sz w:val="18"/>
          <w:szCs w:val="22"/>
        </w:rPr>
        <w:t xml:space="preserve"> </w:t>
      </w:r>
      <w:r w:rsidR="00C40889" w:rsidRPr="00C40889">
        <w:rPr>
          <w:rFonts w:ascii="Arial Narrow" w:hAnsi="Arial Narrow"/>
          <w:i/>
          <w:snapToGrid w:val="0"/>
          <w:sz w:val="18"/>
          <w:szCs w:val="22"/>
        </w:rPr>
        <w:t>$55,000 to &lt; $75,000</w:t>
      </w:r>
    </w:p>
    <w:p w14:paraId="4BB6BBF7" w14:textId="3F188F24" w:rsidR="007E6ED9" w:rsidRPr="007E6ED9" w:rsidRDefault="007E6ED9" w:rsidP="007E6ED9">
      <w:pPr>
        <w:keepLines/>
        <w:spacing w:after="120"/>
        <w:contextualSpacing/>
        <w:rPr>
          <w:rFonts w:ascii="Arial Narrow" w:hAnsi="Arial Narrow"/>
          <w:i/>
          <w:snapToGrid w:val="0"/>
          <w:sz w:val="18"/>
          <w:szCs w:val="22"/>
        </w:rPr>
      </w:pPr>
      <w:r w:rsidRPr="007E6ED9">
        <w:rPr>
          <w:rFonts w:ascii="Arial Narrow" w:hAnsi="Arial Narrow"/>
          <w:i/>
          <w:snapToGrid w:val="0"/>
          <w:sz w:val="18"/>
          <w:szCs w:val="22"/>
          <w:vertAlign w:val="superscript"/>
        </w:rPr>
        <w:t>4</w:t>
      </w:r>
      <w:r w:rsidRPr="007E6ED9">
        <w:rPr>
          <w:rFonts w:ascii="Arial Narrow" w:hAnsi="Arial Narrow"/>
          <w:i/>
          <w:snapToGrid w:val="0"/>
          <w:sz w:val="18"/>
          <w:szCs w:val="22"/>
        </w:rPr>
        <w:t xml:space="preserve"> </w:t>
      </w:r>
      <w:r w:rsidR="00045B75" w:rsidRPr="00045B75">
        <w:rPr>
          <w:rFonts w:ascii="Arial Narrow" w:hAnsi="Arial Narrow"/>
          <w:i/>
          <w:snapToGrid w:val="0"/>
          <w:sz w:val="18"/>
          <w:szCs w:val="22"/>
        </w:rPr>
        <w:t>$15,000 to &lt; $25,000</w:t>
      </w:r>
    </w:p>
    <w:p w14:paraId="527EB885" w14:textId="5691B56B" w:rsidR="007E6ED9" w:rsidRPr="00BA5CD8" w:rsidRDefault="007E6ED9" w:rsidP="007F4BC5">
      <w:pPr>
        <w:keepLines/>
        <w:spacing w:after="120"/>
        <w:contextualSpacing/>
        <w:rPr>
          <w:rFonts w:ascii="Arial Narrow" w:hAnsi="Arial Narrow"/>
          <w:i/>
          <w:snapToGrid w:val="0"/>
          <w:sz w:val="18"/>
          <w:szCs w:val="22"/>
        </w:rPr>
      </w:pPr>
      <w:r w:rsidRPr="007E6ED9">
        <w:rPr>
          <w:rFonts w:ascii="Arial Narrow" w:hAnsi="Arial Narrow"/>
          <w:i/>
          <w:snapToGrid w:val="0"/>
          <w:sz w:val="18"/>
          <w:szCs w:val="22"/>
          <w:vertAlign w:val="superscript"/>
        </w:rPr>
        <w:t>5</w:t>
      </w:r>
      <w:r w:rsidRPr="007E6ED9">
        <w:rPr>
          <w:rFonts w:ascii="Arial Narrow" w:hAnsi="Arial Narrow"/>
          <w:i/>
          <w:snapToGrid w:val="0"/>
          <w:sz w:val="18"/>
          <w:szCs w:val="22"/>
        </w:rPr>
        <w:t xml:space="preserve"> </w:t>
      </w:r>
      <w:r w:rsidR="00BA5CD8" w:rsidRPr="00BA5CD8">
        <w:rPr>
          <w:rFonts w:ascii="Arial Narrow" w:hAnsi="Arial Narrow"/>
          <w:i/>
          <w:snapToGrid w:val="0"/>
          <w:sz w:val="18"/>
          <w:szCs w:val="22"/>
        </w:rPr>
        <w:t>$55,000 to &lt; $75,000</w:t>
      </w:r>
    </w:p>
    <w:p w14:paraId="22BF4570" w14:textId="77777777" w:rsidR="007F4BC5" w:rsidRPr="007F4BC5" w:rsidRDefault="007F4BC5" w:rsidP="007F4BC5">
      <w:pPr>
        <w:keepLines/>
        <w:spacing w:after="120"/>
        <w:contextualSpacing/>
        <w:rPr>
          <w:rFonts w:ascii="Arial Narrow" w:hAnsi="Arial Narrow"/>
          <w:snapToGrid w:val="0"/>
          <w:sz w:val="18"/>
          <w:szCs w:val="22"/>
        </w:rPr>
      </w:pPr>
    </w:p>
    <w:p w14:paraId="2D27E5E3" w14:textId="1296A498" w:rsidR="007F4BC5" w:rsidRPr="0090184F" w:rsidRDefault="007F4BC5" w:rsidP="001A7CE8">
      <w:pPr>
        <w:numPr>
          <w:ilvl w:val="1"/>
          <w:numId w:val="6"/>
        </w:numPr>
        <w:spacing w:before="60" w:after="60"/>
        <w:rPr>
          <w:rFonts w:asciiTheme="minorHAnsi" w:eastAsiaTheme="minorHAnsi" w:hAnsiTheme="minorHAnsi" w:cstheme="minorBidi"/>
          <w:iCs/>
          <w:szCs w:val="22"/>
        </w:rPr>
      </w:pPr>
      <w:r w:rsidRPr="0090184F">
        <w:rPr>
          <w:rFonts w:asciiTheme="minorHAnsi" w:eastAsiaTheme="minorHAnsi" w:hAnsiTheme="minorHAnsi" w:cstheme="minorBidi"/>
          <w:iCs/>
          <w:szCs w:val="22"/>
        </w:rPr>
        <w:t xml:space="preserve">Markov traces for the ACP and BSC arms are presented in </w:t>
      </w:r>
      <w:r w:rsidRPr="0090184F">
        <w:rPr>
          <w:rFonts w:asciiTheme="minorHAnsi" w:eastAsiaTheme="minorHAnsi" w:hAnsiTheme="minorHAnsi" w:cstheme="minorHAnsi"/>
          <w:iCs/>
        </w:rPr>
        <w:fldChar w:fldCharType="begin"/>
      </w:r>
      <w:r w:rsidRPr="0090184F">
        <w:rPr>
          <w:rFonts w:asciiTheme="minorHAnsi" w:eastAsiaTheme="minorHAnsi" w:hAnsiTheme="minorHAnsi" w:cstheme="minorHAnsi"/>
          <w:iCs/>
        </w:rPr>
        <w:instrText xml:space="preserve"> REF _Ref217396722 \h  \* MERGEFORMAT </w:instrText>
      </w:r>
      <w:r w:rsidRPr="0090184F">
        <w:rPr>
          <w:rFonts w:asciiTheme="minorHAnsi" w:eastAsiaTheme="minorHAnsi" w:hAnsiTheme="minorHAnsi" w:cstheme="minorHAnsi"/>
          <w:iCs/>
        </w:rPr>
      </w:r>
      <w:r w:rsidRPr="0090184F">
        <w:rPr>
          <w:rFonts w:asciiTheme="minorHAnsi" w:eastAsiaTheme="minorHAnsi" w:hAnsiTheme="minorHAnsi" w:cstheme="minorHAnsi"/>
          <w:iCs/>
        </w:rPr>
        <w:fldChar w:fldCharType="separate"/>
      </w:r>
      <w:r w:rsidR="00962F38" w:rsidRPr="00962F38">
        <w:rPr>
          <w:rFonts w:asciiTheme="minorHAnsi" w:eastAsiaTheme="minorHAnsi" w:hAnsiTheme="minorHAnsi" w:cstheme="minorHAnsi"/>
          <w:iCs/>
        </w:rPr>
        <w:t xml:space="preserve">Figure </w:t>
      </w:r>
      <w:r w:rsidR="00962F38" w:rsidRPr="00962F38">
        <w:rPr>
          <w:rFonts w:asciiTheme="minorHAnsi" w:eastAsiaTheme="minorHAnsi" w:hAnsiTheme="minorHAnsi" w:cstheme="minorHAnsi"/>
          <w:iCs/>
          <w:noProof/>
        </w:rPr>
        <w:t>8</w:t>
      </w:r>
      <w:r w:rsidRPr="0090184F">
        <w:rPr>
          <w:rFonts w:asciiTheme="minorHAnsi" w:eastAsiaTheme="minorHAnsi" w:hAnsiTheme="minorHAnsi" w:cstheme="minorHAnsi"/>
          <w:iCs/>
        </w:rPr>
        <w:fldChar w:fldCharType="end"/>
      </w:r>
      <w:r w:rsidRPr="0090184F">
        <w:rPr>
          <w:rFonts w:asciiTheme="minorHAnsi" w:eastAsiaTheme="minorHAnsi" w:hAnsiTheme="minorHAnsi" w:cstheme="minorBidi"/>
          <w:iCs/>
          <w:szCs w:val="22"/>
        </w:rPr>
        <w:t xml:space="preserve">. Consistent with the model rationale, it is evident that patients who receive only BSC tend to progress to worse health states (e.g. with close lesions or blind) faster than those who receive ACP therapy, and the untreated population </w:t>
      </w:r>
      <w:proofErr w:type="gramStart"/>
      <w:r w:rsidRPr="0090184F">
        <w:rPr>
          <w:rFonts w:asciiTheme="minorHAnsi" w:eastAsiaTheme="minorHAnsi" w:hAnsiTheme="minorHAnsi" w:cstheme="minorBidi"/>
          <w:iCs/>
          <w:szCs w:val="22"/>
        </w:rPr>
        <w:t>as a whole spends</w:t>
      </w:r>
      <w:proofErr w:type="gramEnd"/>
      <w:r w:rsidRPr="0090184F">
        <w:rPr>
          <w:rFonts w:asciiTheme="minorHAnsi" w:eastAsiaTheme="minorHAnsi" w:hAnsiTheme="minorHAnsi" w:cstheme="minorBidi"/>
          <w:iCs/>
          <w:szCs w:val="22"/>
        </w:rPr>
        <w:t xml:space="preserve"> a longer time in these states than a population treated with ACP.</w:t>
      </w:r>
    </w:p>
    <w:p w14:paraId="6EAB05C9" w14:textId="6A31345D" w:rsidR="007F4BC5" w:rsidRPr="007F4BC5" w:rsidRDefault="007F4BC5" w:rsidP="007F4BC5">
      <w:pPr>
        <w:keepNext/>
        <w:keepLines/>
        <w:rPr>
          <w:rFonts w:ascii="Arial Narrow" w:hAnsi="Arial Narrow"/>
          <w:b/>
          <w:bCs/>
          <w:sz w:val="20"/>
          <w:szCs w:val="18"/>
        </w:rPr>
      </w:pPr>
      <w:bookmarkStart w:id="66" w:name="_Ref217396722"/>
      <w:r w:rsidRPr="007F4BC5">
        <w:rPr>
          <w:rFonts w:ascii="Arial Narrow" w:hAnsi="Arial Narrow"/>
          <w:b/>
          <w:bCs/>
          <w:sz w:val="20"/>
          <w:szCs w:val="18"/>
        </w:rPr>
        <w:lastRenderedPageBreak/>
        <w:t xml:space="preserve">Figure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Figure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8</w:t>
      </w:r>
      <w:r w:rsidRPr="007F4BC5">
        <w:rPr>
          <w:rFonts w:ascii="Arial Narrow" w:hAnsi="Arial Narrow"/>
          <w:b/>
          <w:bCs/>
          <w:sz w:val="20"/>
          <w:szCs w:val="18"/>
        </w:rPr>
        <w:fldChar w:fldCharType="end"/>
      </w:r>
      <w:bookmarkEnd w:id="66"/>
      <w:r w:rsidRPr="007F4BC5">
        <w:rPr>
          <w:rFonts w:ascii="Arial Narrow" w:hAnsi="Arial Narrow"/>
          <w:b/>
          <w:bCs/>
          <w:sz w:val="20"/>
          <w:szCs w:val="18"/>
        </w:rPr>
        <w:t>: Health state membership over the modelled time horizon</w:t>
      </w:r>
    </w:p>
    <w:p w14:paraId="3209E56F" w14:textId="77777777" w:rsidR="007F4BC5" w:rsidRPr="007F4BC5" w:rsidRDefault="007F4BC5" w:rsidP="007F4BC5">
      <w:pPr>
        <w:spacing w:after="120"/>
        <w:contextualSpacing/>
        <w:jc w:val="left"/>
        <w:rPr>
          <w:rFonts w:ascii="Arial Narrow" w:hAnsi="Arial Narrow"/>
          <w:snapToGrid w:val="0"/>
          <w:sz w:val="18"/>
          <w:szCs w:val="22"/>
        </w:rPr>
      </w:pPr>
      <w:r w:rsidRPr="007F4BC5">
        <w:rPr>
          <w:rFonts w:ascii="Arial Narrow" w:hAnsi="Arial Narrow"/>
          <w:noProof/>
          <w:snapToGrid w:val="0"/>
          <w:sz w:val="18"/>
          <w:szCs w:val="22"/>
        </w:rPr>
        <w:drawing>
          <wp:inline distT="0" distB="0" distL="0" distR="0" wp14:anchorId="1BEF1BA6" wp14:editId="28E56FBC">
            <wp:extent cx="5732145" cy="3757852"/>
            <wp:effectExtent l="0" t="0" r="1905" b="0"/>
            <wp:docPr id="1746419488" name="Picture 3" descr="Figure 8: Health state membership over the modelled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9488" name="Picture 3" descr="Figure 8: Health state membership over the modelled time horiz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3757852"/>
                    </a:xfrm>
                    <a:prstGeom prst="rect">
                      <a:avLst/>
                    </a:prstGeom>
                    <a:noFill/>
                  </pic:spPr>
                </pic:pic>
              </a:graphicData>
            </a:graphic>
          </wp:inline>
        </w:drawing>
      </w:r>
    </w:p>
    <w:p w14:paraId="40B39F14" w14:textId="77777777" w:rsidR="007F4BC5" w:rsidRPr="007F4BC5" w:rsidRDefault="007F4BC5" w:rsidP="007F4BC5">
      <w:pPr>
        <w:spacing w:after="120"/>
        <w:contextualSpacing/>
        <w:jc w:val="left"/>
        <w:rPr>
          <w:rFonts w:ascii="Arial Narrow" w:hAnsi="Arial Narrow"/>
          <w:snapToGrid w:val="0"/>
          <w:sz w:val="18"/>
          <w:szCs w:val="22"/>
        </w:rPr>
      </w:pPr>
      <w:r w:rsidRPr="007F4BC5">
        <w:rPr>
          <w:rFonts w:ascii="Arial Narrow" w:hAnsi="Arial Narrow"/>
          <w:snapToGrid w:val="0"/>
          <w:sz w:val="18"/>
          <w:szCs w:val="22"/>
        </w:rPr>
        <w:t xml:space="preserve">Source: Constructed during the evaluation from the “Attachment 11 – </w:t>
      </w:r>
      <w:proofErr w:type="spellStart"/>
      <w:r w:rsidRPr="007F4BC5">
        <w:rPr>
          <w:rFonts w:ascii="Arial Narrow" w:hAnsi="Arial Narrow"/>
          <w:snapToGrid w:val="0"/>
          <w:sz w:val="18"/>
          <w:szCs w:val="22"/>
        </w:rPr>
        <w:t>Izervay</w:t>
      </w:r>
      <w:proofErr w:type="spellEnd"/>
      <w:r w:rsidRPr="007F4BC5">
        <w:rPr>
          <w:rFonts w:ascii="Arial Narrow" w:hAnsi="Arial Narrow"/>
          <w:snapToGrid w:val="0"/>
          <w:sz w:val="18"/>
          <w:szCs w:val="22"/>
        </w:rPr>
        <w:t xml:space="preserve"> CE Model.xlsm” attachment provided with the submission.</w:t>
      </w:r>
    </w:p>
    <w:p w14:paraId="45EA8E3E" w14:textId="77777777" w:rsidR="007F4BC5" w:rsidRPr="007F4BC5" w:rsidRDefault="007F4BC5" w:rsidP="007F4BC5">
      <w:pPr>
        <w:spacing w:after="120"/>
        <w:contextualSpacing/>
        <w:jc w:val="left"/>
        <w:rPr>
          <w:rFonts w:ascii="Arial Narrow" w:hAnsi="Arial Narrow"/>
          <w:snapToGrid w:val="0"/>
          <w:sz w:val="18"/>
          <w:szCs w:val="22"/>
        </w:rPr>
      </w:pPr>
      <w:r w:rsidRPr="007F4BC5">
        <w:rPr>
          <w:rFonts w:ascii="Arial Narrow" w:hAnsi="Arial Narrow"/>
          <w:snapToGrid w:val="0"/>
          <w:sz w:val="18"/>
          <w:szCs w:val="22"/>
        </w:rPr>
        <w:t>ACP = avacincaptad pegol; BSC = best supportive care; LC = Large, Close; LF = Large, Far; MC = Medium, Close; MF = Medium, Far; SC = Small, Close; SF = Small, Far.</w:t>
      </w:r>
    </w:p>
    <w:p w14:paraId="525FC168" w14:textId="12A53E0D" w:rsidR="007F4BC5" w:rsidRPr="007F4BC5" w:rsidRDefault="007F4BC5" w:rsidP="001A7CE8">
      <w:pPr>
        <w:numPr>
          <w:ilvl w:val="1"/>
          <w:numId w:val="6"/>
        </w:numPr>
        <w:spacing w:before="60" w:after="60"/>
        <w:rPr>
          <w:rFonts w:asciiTheme="minorHAnsi" w:eastAsiaTheme="minorHAnsi" w:hAnsiTheme="minorHAnsi" w:cstheme="minorBidi"/>
          <w:szCs w:val="22"/>
        </w:rPr>
      </w:pPr>
      <w:r w:rsidRPr="007F4BC5">
        <w:rPr>
          <w:rFonts w:asciiTheme="minorHAnsi" w:eastAsiaTheme="minorHAnsi" w:hAnsiTheme="minorHAnsi" w:cstheme="minorBidi"/>
          <w:szCs w:val="22"/>
        </w:rPr>
        <w:t xml:space="preserve">The disaggregated and aggregated costs and outcomes are presented in </w:t>
      </w:r>
      <w:r w:rsidRPr="007F4BC5">
        <w:rPr>
          <w:rFonts w:asciiTheme="minorHAnsi" w:eastAsiaTheme="minorHAnsi" w:hAnsiTheme="minorHAnsi" w:cstheme="minorHAnsi"/>
        </w:rPr>
        <w:fldChar w:fldCharType="begin"/>
      </w:r>
      <w:r w:rsidRPr="007F4BC5">
        <w:rPr>
          <w:rFonts w:asciiTheme="minorHAnsi" w:eastAsiaTheme="minorHAnsi" w:hAnsiTheme="minorHAnsi" w:cstheme="minorHAnsi"/>
        </w:rPr>
        <w:instrText xml:space="preserve"> REF _Ref217397096 \h  \* MERGEFORMAT </w:instrText>
      </w:r>
      <w:r w:rsidRPr="007F4BC5">
        <w:rPr>
          <w:rFonts w:asciiTheme="minorHAnsi" w:eastAsiaTheme="minorHAnsi" w:hAnsiTheme="minorHAnsi" w:cstheme="minorHAnsi"/>
        </w:rPr>
      </w:r>
      <w:r w:rsidRPr="007F4BC5">
        <w:rPr>
          <w:rFonts w:asciiTheme="minorHAnsi" w:eastAsiaTheme="minorHAnsi" w:hAnsiTheme="minorHAnsi" w:cstheme="minorHAnsi"/>
        </w:rPr>
        <w:fldChar w:fldCharType="separate"/>
      </w:r>
      <w:r w:rsidR="00962F38" w:rsidRPr="00962F38">
        <w:rPr>
          <w:rFonts w:asciiTheme="minorHAnsi" w:eastAsiaTheme="minorHAnsi" w:hAnsiTheme="minorHAnsi" w:cstheme="minorHAnsi"/>
        </w:rPr>
        <w:t xml:space="preserve">Table </w:t>
      </w:r>
      <w:r w:rsidR="00962F38" w:rsidRPr="00962F38">
        <w:rPr>
          <w:rFonts w:asciiTheme="minorHAnsi" w:eastAsiaTheme="minorHAnsi" w:hAnsiTheme="minorHAnsi" w:cstheme="minorHAnsi"/>
          <w:noProof/>
        </w:rPr>
        <w:t>13</w:t>
      </w:r>
      <w:r w:rsidRPr="007F4BC5">
        <w:rPr>
          <w:rFonts w:asciiTheme="minorHAnsi" w:eastAsiaTheme="minorHAnsi" w:hAnsiTheme="minorHAnsi" w:cstheme="minorHAnsi"/>
        </w:rPr>
        <w:fldChar w:fldCharType="end"/>
      </w:r>
      <w:r w:rsidRPr="007F4BC5">
        <w:rPr>
          <w:rFonts w:asciiTheme="minorHAnsi" w:eastAsiaTheme="minorHAnsi" w:hAnsiTheme="minorHAnsi" w:cstheme="minorHAnsi"/>
        </w:rPr>
        <w:t xml:space="preserve"> and </w:t>
      </w:r>
      <w:r w:rsidRPr="007F4BC5">
        <w:rPr>
          <w:rFonts w:asciiTheme="minorHAnsi" w:eastAsiaTheme="minorHAnsi" w:hAnsiTheme="minorHAnsi" w:cstheme="minorHAnsi"/>
        </w:rPr>
        <w:fldChar w:fldCharType="begin"/>
      </w:r>
      <w:r w:rsidRPr="007F4BC5">
        <w:rPr>
          <w:rFonts w:asciiTheme="minorHAnsi" w:eastAsiaTheme="minorHAnsi" w:hAnsiTheme="minorHAnsi" w:cstheme="minorHAnsi"/>
        </w:rPr>
        <w:instrText xml:space="preserve"> REF _Ref217397104 \h  \* MERGEFORMAT </w:instrText>
      </w:r>
      <w:r w:rsidRPr="007F4BC5">
        <w:rPr>
          <w:rFonts w:asciiTheme="minorHAnsi" w:eastAsiaTheme="minorHAnsi" w:hAnsiTheme="minorHAnsi" w:cstheme="minorHAnsi"/>
        </w:rPr>
      </w:r>
      <w:r w:rsidRPr="007F4BC5">
        <w:rPr>
          <w:rFonts w:asciiTheme="minorHAnsi" w:eastAsiaTheme="minorHAnsi" w:hAnsiTheme="minorHAnsi" w:cstheme="minorHAnsi"/>
        </w:rPr>
        <w:fldChar w:fldCharType="separate"/>
      </w:r>
      <w:r w:rsidR="00962F38" w:rsidRPr="00962F38">
        <w:rPr>
          <w:rFonts w:asciiTheme="minorHAnsi" w:eastAsiaTheme="minorHAnsi" w:hAnsiTheme="minorHAnsi" w:cstheme="minorHAnsi"/>
        </w:rPr>
        <w:t xml:space="preserve">Table </w:t>
      </w:r>
      <w:r w:rsidR="00962F38" w:rsidRPr="00962F38">
        <w:rPr>
          <w:rFonts w:asciiTheme="minorHAnsi" w:eastAsiaTheme="minorHAnsi" w:hAnsiTheme="minorHAnsi" w:cstheme="minorHAnsi"/>
          <w:noProof/>
        </w:rPr>
        <w:t>14</w:t>
      </w:r>
      <w:r w:rsidRPr="007F4BC5">
        <w:rPr>
          <w:rFonts w:asciiTheme="minorHAnsi" w:eastAsiaTheme="minorHAnsi" w:hAnsiTheme="minorHAnsi" w:cstheme="minorHAnsi"/>
        </w:rPr>
        <w:fldChar w:fldCharType="end"/>
      </w:r>
      <w:r w:rsidRPr="007F4BC5">
        <w:rPr>
          <w:rFonts w:asciiTheme="minorHAnsi" w:eastAsiaTheme="minorHAnsi" w:hAnsiTheme="minorHAnsi" w:cstheme="minorHAnsi"/>
        </w:rPr>
        <w:t xml:space="preserve">. </w:t>
      </w:r>
    </w:p>
    <w:p w14:paraId="3E8B874D" w14:textId="398D8A97" w:rsidR="007F4BC5" w:rsidRPr="007F4BC5" w:rsidRDefault="007F4BC5" w:rsidP="00CD57E4">
      <w:pPr>
        <w:keepNext/>
        <w:keepLines/>
        <w:rPr>
          <w:rFonts w:ascii="Arial Narrow" w:hAnsi="Arial Narrow"/>
          <w:b/>
          <w:bCs/>
          <w:sz w:val="20"/>
          <w:szCs w:val="18"/>
        </w:rPr>
      </w:pPr>
      <w:bookmarkStart w:id="67" w:name="_Ref217397096"/>
      <w:r w:rsidRPr="007F4BC5">
        <w:rPr>
          <w:rFonts w:ascii="Arial Narrow" w:hAnsi="Arial Narrow"/>
          <w:b/>
          <w:bCs/>
          <w:sz w:val="20"/>
          <w:szCs w:val="18"/>
        </w:rPr>
        <w:lastRenderedPageBreak/>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13</w:t>
      </w:r>
      <w:r w:rsidRPr="007F4BC5">
        <w:rPr>
          <w:rFonts w:ascii="Arial Narrow" w:hAnsi="Arial Narrow"/>
          <w:b/>
          <w:bCs/>
          <w:sz w:val="20"/>
          <w:szCs w:val="18"/>
        </w:rPr>
        <w:fldChar w:fldCharType="end"/>
      </w:r>
      <w:bookmarkEnd w:id="67"/>
      <w:r w:rsidRPr="007F4BC5">
        <w:rPr>
          <w:rFonts w:ascii="Arial Narrow" w:hAnsi="Arial Narrow"/>
          <w:b/>
          <w:bCs/>
          <w:sz w:val="20"/>
          <w:szCs w:val="18"/>
        </w:rPr>
        <w:t>: Disaggregated summary of cost impacts (discounted)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Disaggregated summary of cost impacts (discounted)"/>
      </w:tblPr>
      <w:tblGrid>
        <w:gridCol w:w="2689"/>
        <w:gridCol w:w="1842"/>
        <w:gridCol w:w="1560"/>
        <w:gridCol w:w="1559"/>
        <w:gridCol w:w="1367"/>
      </w:tblGrid>
      <w:tr w:rsidR="001A6CA3" w:rsidRPr="007F4BC5" w14:paraId="498EA8CE" w14:textId="77777777">
        <w:trPr>
          <w:tblHeader/>
        </w:trPr>
        <w:tc>
          <w:tcPr>
            <w:tcW w:w="2689" w:type="dxa"/>
            <w:vAlign w:val="center"/>
          </w:tcPr>
          <w:p w14:paraId="09D26A9F" w14:textId="77777777" w:rsidR="007F4BC5" w:rsidRPr="007F4BC5" w:rsidRDefault="007F4BC5" w:rsidP="00CD57E4">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Resource item</w:t>
            </w:r>
          </w:p>
        </w:tc>
        <w:tc>
          <w:tcPr>
            <w:tcW w:w="1842" w:type="dxa"/>
            <w:vAlign w:val="center"/>
          </w:tcPr>
          <w:p w14:paraId="6850FA79" w14:textId="77777777" w:rsidR="007F4BC5" w:rsidRPr="007F4BC5" w:rsidRDefault="007F4BC5" w:rsidP="00CD57E4">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ACP (EOM Year 2+)</w:t>
            </w:r>
          </w:p>
        </w:tc>
        <w:tc>
          <w:tcPr>
            <w:tcW w:w="1560" w:type="dxa"/>
            <w:vAlign w:val="center"/>
          </w:tcPr>
          <w:p w14:paraId="05A5F450" w14:textId="77777777" w:rsidR="007F4BC5" w:rsidRPr="007F4BC5" w:rsidRDefault="007F4BC5" w:rsidP="00CD57E4">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BSC</w:t>
            </w:r>
          </w:p>
        </w:tc>
        <w:tc>
          <w:tcPr>
            <w:tcW w:w="1559" w:type="dxa"/>
            <w:vAlign w:val="center"/>
          </w:tcPr>
          <w:p w14:paraId="4A9A5A4F" w14:textId="77777777" w:rsidR="007F4BC5" w:rsidRPr="007F4BC5" w:rsidRDefault="007F4BC5" w:rsidP="00CD57E4">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Increment</w:t>
            </w:r>
          </w:p>
        </w:tc>
        <w:tc>
          <w:tcPr>
            <w:tcW w:w="1367" w:type="dxa"/>
            <w:vAlign w:val="center"/>
          </w:tcPr>
          <w:p w14:paraId="1E8759D9" w14:textId="77777777" w:rsidR="007F4BC5" w:rsidRPr="007F4BC5" w:rsidRDefault="007F4BC5" w:rsidP="00CD57E4">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 of total increment</w:t>
            </w:r>
          </w:p>
        </w:tc>
      </w:tr>
      <w:tr w:rsidR="007F4BC5" w:rsidRPr="007F4BC5" w14:paraId="64F7A0C6" w14:textId="77777777">
        <w:tc>
          <w:tcPr>
            <w:tcW w:w="9017" w:type="dxa"/>
            <w:gridSpan w:val="5"/>
            <w:vAlign w:val="center"/>
          </w:tcPr>
          <w:p w14:paraId="00EED1EA" w14:textId="77777777" w:rsidR="007F4BC5" w:rsidRPr="007F4BC5" w:rsidRDefault="007F4BC5" w:rsidP="00CD57E4">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Treatment costs</w:t>
            </w:r>
          </w:p>
        </w:tc>
      </w:tr>
      <w:tr w:rsidR="001A6CA3" w:rsidRPr="007F4BC5" w14:paraId="0CB1725F" w14:textId="77777777">
        <w:tc>
          <w:tcPr>
            <w:tcW w:w="2689" w:type="dxa"/>
            <w:vAlign w:val="center"/>
          </w:tcPr>
          <w:p w14:paraId="0ADFB090" w14:textId="77777777" w:rsidR="007F4BC5" w:rsidRPr="007F4BC5" w:rsidRDefault="007F4BC5" w:rsidP="00CD57E4">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ACP acquisition</w:t>
            </w:r>
          </w:p>
        </w:tc>
        <w:tc>
          <w:tcPr>
            <w:tcW w:w="1842" w:type="dxa"/>
            <w:vAlign w:val="center"/>
          </w:tcPr>
          <w:p w14:paraId="42854114" w14:textId="224789AE"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560" w:type="dxa"/>
            <w:vAlign w:val="center"/>
          </w:tcPr>
          <w:p w14:paraId="0D1E8206"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$0</w:t>
            </w:r>
          </w:p>
        </w:tc>
        <w:tc>
          <w:tcPr>
            <w:tcW w:w="1559" w:type="dxa"/>
          </w:tcPr>
          <w:p w14:paraId="666EC6EA" w14:textId="2F0CC14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367" w:type="dxa"/>
          </w:tcPr>
          <w:p w14:paraId="42D1FBB0" w14:textId="47D92040" w:rsidR="007F4BC5" w:rsidRPr="007F4BC5"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1A6CA3" w:rsidRPr="007F4BC5" w14:paraId="1C0B0774" w14:textId="77777777">
        <w:tc>
          <w:tcPr>
            <w:tcW w:w="2689" w:type="dxa"/>
            <w:vAlign w:val="center"/>
          </w:tcPr>
          <w:p w14:paraId="0E7D5B6A" w14:textId="77777777" w:rsidR="007F4BC5" w:rsidRPr="007F4BC5" w:rsidRDefault="007F4BC5" w:rsidP="00CD57E4">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ACP administration cost</w:t>
            </w:r>
          </w:p>
        </w:tc>
        <w:tc>
          <w:tcPr>
            <w:tcW w:w="1842" w:type="dxa"/>
            <w:vAlign w:val="center"/>
          </w:tcPr>
          <w:p w14:paraId="7A28AE1F"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$5,761</w:t>
            </w:r>
          </w:p>
        </w:tc>
        <w:tc>
          <w:tcPr>
            <w:tcW w:w="1560" w:type="dxa"/>
            <w:vAlign w:val="center"/>
          </w:tcPr>
          <w:p w14:paraId="05ACD972"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$0</w:t>
            </w:r>
          </w:p>
        </w:tc>
        <w:tc>
          <w:tcPr>
            <w:tcW w:w="1559" w:type="dxa"/>
          </w:tcPr>
          <w:p w14:paraId="531E9965" w14:textId="77777777" w:rsidR="007F4BC5" w:rsidRPr="005F570F" w:rsidRDefault="007F4BC5" w:rsidP="00CD57E4">
            <w:pPr>
              <w:keepNext/>
              <w:keepLines/>
              <w:jc w:val="right"/>
              <w:rPr>
                <w:rFonts w:ascii="Arial Narrow" w:eastAsiaTheme="majorEastAsia" w:hAnsi="Arial Narrow" w:cstheme="majorBidi"/>
                <w:bCs/>
                <w:sz w:val="20"/>
                <w:highlight w:val="yellow"/>
              </w:rPr>
            </w:pPr>
            <w:r w:rsidRPr="006F439F">
              <w:rPr>
                <w:rFonts w:ascii="Arial Narrow" w:eastAsiaTheme="majorEastAsia" w:hAnsi="Arial Narrow" w:cstheme="majorBidi"/>
                <w:bCs/>
                <w:sz w:val="20"/>
              </w:rPr>
              <w:t>$5,761</w:t>
            </w:r>
          </w:p>
        </w:tc>
        <w:tc>
          <w:tcPr>
            <w:tcW w:w="1367" w:type="dxa"/>
          </w:tcPr>
          <w:p w14:paraId="57EF8D42" w14:textId="5D4B2EB3" w:rsidR="007F4BC5" w:rsidRPr="005F570F" w:rsidRDefault="00B37C73" w:rsidP="00CD57E4">
            <w:pPr>
              <w:keepNext/>
              <w:keepLines/>
              <w:jc w:val="right"/>
              <w:rPr>
                <w:rFonts w:ascii="Arial Narrow" w:eastAsiaTheme="majorEastAsia" w:hAnsi="Arial Narrow" w:cstheme="majorBidi"/>
                <w:bCs/>
                <w:sz w:val="20"/>
                <w:highlight w:val="yellow"/>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7F4BC5" w:rsidRPr="007F4BC5" w14:paraId="4EA777B3" w14:textId="77777777">
        <w:tc>
          <w:tcPr>
            <w:tcW w:w="9017" w:type="dxa"/>
            <w:gridSpan w:val="5"/>
            <w:vAlign w:val="center"/>
          </w:tcPr>
          <w:p w14:paraId="6E29A4E3" w14:textId="77777777" w:rsidR="007F4BC5" w:rsidRPr="007F4BC5" w:rsidRDefault="007F4BC5" w:rsidP="00CD57E4">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Management of adverse events</w:t>
            </w:r>
          </w:p>
        </w:tc>
      </w:tr>
      <w:tr w:rsidR="001A6CA3" w:rsidRPr="007F4BC5" w14:paraId="57CEDFE4" w14:textId="77777777">
        <w:tc>
          <w:tcPr>
            <w:tcW w:w="2689" w:type="dxa"/>
            <w:vAlign w:val="center"/>
          </w:tcPr>
          <w:p w14:paraId="09A7E2C6" w14:textId="77777777" w:rsidR="007F4BC5" w:rsidRPr="007F4BC5" w:rsidRDefault="007F4BC5" w:rsidP="00CD57E4">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IOP</w:t>
            </w:r>
          </w:p>
        </w:tc>
        <w:tc>
          <w:tcPr>
            <w:tcW w:w="1842" w:type="dxa"/>
            <w:vAlign w:val="center"/>
          </w:tcPr>
          <w:p w14:paraId="08B38A1E"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$12</w:t>
            </w:r>
          </w:p>
        </w:tc>
        <w:tc>
          <w:tcPr>
            <w:tcW w:w="1560" w:type="dxa"/>
            <w:vAlign w:val="center"/>
          </w:tcPr>
          <w:p w14:paraId="6AC65F9C"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$0</w:t>
            </w:r>
          </w:p>
        </w:tc>
        <w:tc>
          <w:tcPr>
            <w:tcW w:w="1559" w:type="dxa"/>
          </w:tcPr>
          <w:p w14:paraId="574EE526" w14:textId="77777777" w:rsidR="007F4BC5" w:rsidRPr="005F570F" w:rsidRDefault="007F4BC5" w:rsidP="00CD57E4">
            <w:pPr>
              <w:keepNext/>
              <w:keepLines/>
              <w:jc w:val="right"/>
              <w:rPr>
                <w:rFonts w:ascii="Arial Narrow" w:eastAsiaTheme="majorEastAsia" w:hAnsi="Arial Narrow" w:cstheme="majorBidi"/>
                <w:bCs/>
                <w:sz w:val="20"/>
                <w:highlight w:val="yellow"/>
              </w:rPr>
            </w:pPr>
            <w:r w:rsidRPr="006F439F">
              <w:rPr>
                <w:rFonts w:ascii="Arial Narrow" w:eastAsiaTheme="majorEastAsia" w:hAnsi="Arial Narrow" w:cstheme="majorBidi"/>
                <w:bCs/>
                <w:sz w:val="20"/>
              </w:rPr>
              <w:t>$12</w:t>
            </w:r>
          </w:p>
        </w:tc>
        <w:tc>
          <w:tcPr>
            <w:tcW w:w="1367" w:type="dxa"/>
          </w:tcPr>
          <w:p w14:paraId="08B9B7DA" w14:textId="6F6D2CB2" w:rsidR="007F4BC5" w:rsidRPr="005F570F" w:rsidRDefault="00B37C73" w:rsidP="00CD57E4">
            <w:pPr>
              <w:keepNext/>
              <w:keepLines/>
              <w:jc w:val="right"/>
              <w:rPr>
                <w:rFonts w:ascii="Arial Narrow" w:eastAsiaTheme="majorEastAsia" w:hAnsi="Arial Narrow" w:cstheme="majorBidi"/>
                <w:bCs/>
                <w:sz w:val="20"/>
                <w:highlight w:val="yellow"/>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616ACF28" w14:textId="77777777">
        <w:tc>
          <w:tcPr>
            <w:tcW w:w="2689" w:type="dxa"/>
            <w:vAlign w:val="center"/>
          </w:tcPr>
          <w:p w14:paraId="3670026C" w14:textId="77777777" w:rsidR="007F4BC5" w:rsidRPr="007F4BC5" w:rsidRDefault="007F4BC5" w:rsidP="00CD57E4">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CNV</w:t>
            </w:r>
          </w:p>
        </w:tc>
        <w:tc>
          <w:tcPr>
            <w:tcW w:w="1842" w:type="dxa"/>
            <w:vAlign w:val="center"/>
          </w:tcPr>
          <w:p w14:paraId="0219C5DA"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$5,589</w:t>
            </w:r>
          </w:p>
        </w:tc>
        <w:tc>
          <w:tcPr>
            <w:tcW w:w="1560" w:type="dxa"/>
            <w:vAlign w:val="center"/>
          </w:tcPr>
          <w:p w14:paraId="31C7DCCA"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$1,221</w:t>
            </w:r>
          </w:p>
        </w:tc>
        <w:tc>
          <w:tcPr>
            <w:tcW w:w="1559" w:type="dxa"/>
          </w:tcPr>
          <w:p w14:paraId="5B6E0BBF" w14:textId="77777777" w:rsidR="007F4BC5" w:rsidRPr="0053481B" w:rsidRDefault="007F4BC5" w:rsidP="00CD57E4">
            <w:pPr>
              <w:keepNext/>
              <w:keepLines/>
              <w:jc w:val="right"/>
              <w:rPr>
                <w:rFonts w:ascii="Arial Narrow" w:eastAsiaTheme="majorEastAsia" w:hAnsi="Arial Narrow" w:cstheme="majorBidi"/>
                <w:bCs/>
                <w:sz w:val="20"/>
                <w:highlight w:val="darkGray"/>
              </w:rPr>
            </w:pPr>
            <w:r w:rsidRPr="008A5BC5">
              <w:rPr>
                <w:rFonts w:ascii="Arial Narrow" w:eastAsiaTheme="majorEastAsia" w:hAnsi="Arial Narrow" w:cstheme="majorBidi"/>
                <w:bCs/>
                <w:sz w:val="20"/>
              </w:rPr>
              <w:t>$4,368</w:t>
            </w:r>
          </w:p>
        </w:tc>
        <w:tc>
          <w:tcPr>
            <w:tcW w:w="1367" w:type="dxa"/>
          </w:tcPr>
          <w:p w14:paraId="27C5917A" w14:textId="46365FB0" w:rsidR="007F4BC5" w:rsidRPr="0053481B" w:rsidRDefault="00B37C73" w:rsidP="00CD57E4">
            <w:pPr>
              <w:keepNext/>
              <w:keepLines/>
              <w:jc w:val="right"/>
              <w:rPr>
                <w:rFonts w:ascii="Arial Narrow" w:eastAsiaTheme="majorEastAsia" w:hAnsi="Arial Narrow" w:cstheme="majorBidi"/>
                <w:bCs/>
                <w:sz w:val="20"/>
                <w:highlight w:val="darkGray"/>
              </w:rPr>
            </w:pPr>
            <w:r w:rsidRPr="00B37C73">
              <w:rPr>
                <w:rFonts w:ascii="Arial Narrow" w:eastAsiaTheme="majorEastAsia" w:hAnsi="Arial Narrow" w:cstheme="majorBidi"/>
                <w:bCs/>
                <w:sz w:val="2"/>
                <w:highlight w:val="black"/>
              </w:rPr>
              <w:t>redacted content</w:t>
            </w:r>
            <w:r w:rsidR="007F4BC5" w:rsidRPr="00AB7D02">
              <w:rPr>
                <w:rFonts w:ascii="Arial Narrow" w:eastAsiaTheme="majorEastAsia" w:hAnsi="Arial Narrow" w:cstheme="majorBidi"/>
                <w:bCs/>
                <w:sz w:val="20"/>
              </w:rPr>
              <w:t>%</w:t>
            </w:r>
          </w:p>
        </w:tc>
      </w:tr>
      <w:tr w:rsidR="007F4BC5" w:rsidRPr="007F4BC5" w14:paraId="0A397912" w14:textId="77777777">
        <w:tc>
          <w:tcPr>
            <w:tcW w:w="9017" w:type="dxa"/>
            <w:gridSpan w:val="5"/>
            <w:vAlign w:val="center"/>
          </w:tcPr>
          <w:p w14:paraId="599A2991" w14:textId="77777777" w:rsidR="007F4BC5" w:rsidRPr="007F4BC5" w:rsidRDefault="007F4BC5" w:rsidP="00CD57E4">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Medical resource use</w:t>
            </w:r>
          </w:p>
        </w:tc>
      </w:tr>
      <w:tr w:rsidR="001A6CA3" w:rsidRPr="007F4BC5" w14:paraId="29CF78FE" w14:textId="77777777">
        <w:tc>
          <w:tcPr>
            <w:tcW w:w="2689" w:type="dxa"/>
          </w:tcPr>
          <w:p w14:paraId="59E64F66" w14:textId="150CCB0C" w:rsidR="007F4BC5" w:rsidRPr="007F4BC5" w:rsidRDefault="007F4BC5" w:rsidP="00CD57E4">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One</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time cost of blindness</w:t>
            </w:r>
          </w:p>
        </w:tc>
        <w:tc>
          <w:tcPr>
            <w:tcW w:w="1842" w:type="dxa"/>
            <w:vAlign w:val="center"/>
          </w:tcPr>
          <w:p w14:paraId="7380EE2B"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$287</w:t>
            </w:r>
          </w:p>
        </w:tc>
        <w:tc>
          <w:tcPr>
            <w:tcW w:w="1560" w:type="dxa"/>
            <w:vAlign w:val="center"/>
          </w:tcPr>
          <w:p w14:paraId="343DD9F6"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$338</w:t>
            </w:r>
          </w:p>
        </w:tc>
        <w:tc>
          <w:tcPr>
            <w:tcW w:w="1559" w:type="dxa"/>
          </w:tcPr>
          <w:p w14:paraId="43DF9366" w14:textId="03F06C86" w:rsidR="007F4BC5" w:rsidRPr="006F439F" w:rsidRDefault="009B60A6"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noBreakHyphen/>
            </w:r>
            <w:r w:rsidR="007F4BC5" w:rsidRPr="006F439F">
              <w:rPr>
                <w:rFonts w:ascii="Arial Narrow" w:eastAsiaTheme="majorEastAsia" w:hAnsi="Arial Narrow" w:cstheme="majorBidi"/>
                <w:bCs/>
                <w:sz w:val="20"/>
              </w:rPr>
              <w:t>$51</w:t>
            </w:r>
          </w:p>
        </w:tc>
        <w:tc>
          <w:tcPr>
            <w:tcW w:w="1367" w:type="dxa"/>
          </w:tcPr>
          <w:p w14:paraId="73269282" w14:textId="721B3FCC" w:rsidR="007F4BC5" w:rsidRPr="00076D7F"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50981941" w14:textId="77777777">
        <w:tc>
          <w:tcPr>
            <w:tcW w:w="2689" w:type="dxa"/>
          </w:tcPr>
          <w:p w14:paraId="1761742E" w14:textId="77777777" w:rsidR="007F4BC5" w:rsidRPr="007F4BC5" w:rsidRDefault="007F4BC5" w:rsidP="00CD57E4">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Total cost, disease management</w:t>
            </w:r>
          </w:p>
        </w:tc>
        <w:tc>
          <w:tcPr>
            <w:tcW w:w="1842" w:type="dxa"/>
            <w:vAlign w:val="center"/>
          </w:tcPr>
          <w:p w14:paraId="10B2BC44"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$29,990</w:t>
            </w:r>
          </w:p>
        </w:tc>
        <w:tc>
          <w:tcPr>
            <w:tcW w:w="1560" w:type="dxa"/>
            <w:vAlign w:val="center"/>
          </w:tcPr>
          <w:p w14:paraId="33ED2EFB" w14:textId="77777777" w:rsidR="007F4BC5" w:rsidRPr="007F4BC5" w:rsidRDefault="007F4BC5" w:rsidP="00CD57E4">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$31,001</w:t>
            </w:r>
          </w:p>
        </w:tc>
        <w:tc>
          <w:tcPr>
            <w:tcW w:w="1559" w:type="dxa"/>
          </w:tcPr>
          <w:p w14:paraId="2D302874" w14:textId="7CAE20E9" w:rsidR="007F4BC5" w:rsidRPr="006F439F" w:rsidRDefault="009B60A6"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noBreakHyphen/>
            </w:r>
            <w:r w:rsidR="007F4BC5" w:rsidRPr="006F439F">
              <w:rPr>
                <w:rFonts w:ascii="Arial Narrow" w:eastAsiaTheme="majorEastAsia" w:hAnsi="Arial Narrow" w:cstheme="majorBidi"/>
                <w:bCs/>
                <w:sz w:val="20"/>
              </w:rPr>
              <w:t>$1,011</w:t>
            </w:r>
          </w:p>
        </w:tc>
        <w:tc>
          <w:tcPr>
            <w:tcW w:w="1367" w:type="dxa"/>
          </w:tcPr>
          <w:p w14:paraId="2B8CB8BE" w14:textId="24F98CFC" w:rsidR="007F4BC5" w:rsidRPr="00076D7F" w:rsidRDefault="009B60A6" w:rsidP="00CD57E4">
            <w:pPr>
              <w:keepNext/>
              <w:keepLines/>
              <w:jc w:val="right"/>
              <w:rPr>
                <w:rFonts w:ascii="Arial Narrow" w:eastAsiaTheme="majorEastAsia" w:hAnsi="Arial Narrow" w:cstheme="majorBidi"/>
                <w:bCs/>
                <w:sz w:val="20"/>
              </w:rPr>
            </w:pPr>
            <w:r w:rsidRPr="00076D7F">
              <w:rPr>
                <w:rFonts w:ascii="Arial Narrow" w:eastAsiaTheme="majorEastAsia" w:hAnsi="Arial Narrow" w:cstheme="majorBidi"/>
                <w:bCs/>
                <w:sz w:val="20"/>
              </w:rPr>
              <w:noBreakHyphen/>
            </w:r>
            <w:r w:rsidR="00B37C73"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18E5C3AE" w14:textId="77777777">
        <w:tc>
          <w:tcPr>
            <w:tcW w:w="2689" w:type="dxa"/>
          </w:tcPr>
          <w:p w14:paraId="760DB058" w14:textId="56E0A8A3" w:rsidR="007F4BC5" w:rsidRPr="0030263C" w:rsidRDefault="00E80FB0" w:rsidP="00CD57E4">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Request all %’s </w:t>
            </w:r>
            <w:r w:rsidR="007F4BC5" w:rsidRPr="0030263C">
              <w:rPr>
                <w:rFonts w:ascii="Arial Narrow" w:eastAsiaTheme="majorEastAsia" w:hAnsi="Arial Narrow" w:cstheme="majorBidi"/>
                <w:bCs/>
                <w:sz w:val="20"/>
              </w:rPr>
              <w:t>Small, Far</w:t>
            </w:r>
          </w:p>
        </w:tc>
        <w:tc>
          <w:tcPr>
            <w:tcW w:w="1842" w:type="dxa"/>
          </w:tcPr>
          <w:p w14:paraId="06332917"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$743</w:t>
            </w:r>
          </w:p>
        </w:tc>
        <w:tc>
          <w:tcPr>
            <w:tcW w:w="1560" w:type="dxa"/>
          </w:tcPr>
          <w:p w14:paraId="73BC1A6A"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$559</w:t>
            </w:r>
          </w:p>
        </w:tc>
        <w:tc>
          <w:tcPr>
            <w:tcW w:w="1559" w:type="dxa"/>
          </w:tcPr>
          <w:p w14:paraId="124E4427" w14:textId="77777777" w:rsidR="007F4BC5" w:rsidRPr="006F439F" w:rsidRDefault="007F4BC5"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t>$184</w:t>
            </w:r>
          </w:p>
        </w:tc>
        <w:tc>
          <w:tcPr>
            <w:tcW w:w="1367" w:type="dxa"/>
          </w:tcPr>
          <w:p w14:paraId="5F995885" w14:textId="35575C53" w:rsidR="007F4BC5" w:rsidRPr="00076D7F"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13FA937D" w14:textId="77777777">
        <w:tc>
          <w:tcPr>
            <w:tcW w:w="2689" w:type="dxa"/>
          </w:tcPr>
          <w:p w14:paraId="4190AA20" w14:textId="77777777" w:rsidR="007F4BC5" w:rsidRPr="0030263C" w:rsidRDefault="007F4BC5" w:rsidP="00CD57E4">
            <w:pPr>
              <w:keepNext/>
              <w:keepLines/>
              <w:jc w:val="left"/>
              <w:rPr>
                <w:rFonts w:ascii="Arial Narrow" w:eastAsiaTheme="majorEastAsia" w:hAnsi="Arial Narrow" w:cstheme="majorBidi"/>
                <w:bCs/>
                <w:sz w:val="20"/>
              </w:rPr>
            </w:pPr>
            <w:r w:rsidRPr="0030263C">
              <w:rPr>
                <w:rFonts w:ascii="Arial Narrow" w:eastAsiaTheme="majorEastAsia" w:hAnsi="Arial Narrow" w:cstheme="majorBidi"/>
                <w:bCs/>
                <w:sz w:val="20"/>
              </w:rPr>
              <w:t>Medium, Far</w:t>
            </w:r>
          </w:p>
        </w:tc>
        <w:tc>
          <w:tcPr>
            <w:tcW w:w="1842" w:type="dxa"/>
          </w:tcPr>
          <w:p w14:paraId="65DB6524"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$656</w:t>
            </w:r>
          </w:p>
        </w:tc>
        <w:tc>
          <w:tcPr>
            <w:tcW w:w="1560" w:type="dxa"/>
          </w:tcPr>
          <w:p w14:paraId="2CC3F5EA"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$589</w:t>
            </w:r>
          </w:p>
        </w:tc>
        <w:tc>
          <w:tcPr>
            <w:tcW w:w="1559" w:type="dxa"/>
          </w:tcPr>
          <w:p w14:paraId="74BDD1B2" w14:textId="77777777" w:rsidR="007F4BC5" w:rsidRPr="006F439F" w:rsidRDefault="007F4BC5"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t>$68</w:t>
            </w:r>
          </w:p>
        </w:tc>
        <w:tc>
          <w:tcPr>
            <w:tcW w:w="1367" w:type="dxa"/>
          </w:tcPr>
          <w:p w14:paraId="312282A4" w14:textId="34BF30DB" w:rsidR="007F4BC5" w:rsidRPr="00076D7F"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7EE87C63" w14:textId="77777777">
        <w:tc>
          <w:tcPr>
            <w:tcW w:w="2689" w:type="dxa"/>
          </w:tcPr>
          <w:p w14:paraId="0EF8E7F2" w14:textId="77777777" w:rsidR="007F4BC5" w:rsidRPr="0030263C" w:rsidRDefault="007F4BC5" w:rsidP="00CD57E4">
            <w:pPr>
              <w:keepNext/>
              <w:keepLines/>
              <w:jc w:val="left"/>
              <w:rPr>
                <w:rFonts w:ascii="Arial Narrow" w:eastAsiaTheme="majorEastAsia" w:hAnsi="Arial Narrow" w:cstheme="majorBidi"/>
                <w:bCs/>
                <w:sz w:val="20"/>
              </w:rPr>
            </w:pPr>
            <w:r w:rsidRPr="0030263C">
              <w:rPr>
                <w:rFonts w:ascii="Arial Narrow" w:eastAsiaTheme="majorEastAsia" w:hAnsi="Arial Narrow" w:cstheme="majorBidi"/>
                <w:bCs/>
                <w:sz w:val="20"/>
              </w:rPr>
              <w:t>Large, Far</w:t>
            </w:r>
          </w:p>
        </w:tc>
        <w:tc>
          <w:tcPr>
            <w:tcW w:w="1842" w:type="dxa"/>
          </w:tcPr>
          <w:p w14:paraId="7DE6F7F7"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$892</w:t>
            </w:r>
          </w:p>
        </w:tc>
        <w:tc>
          <w:tcPr>
            <w:tcW w:w="1560" w:type="dxa"/>
          </w:tcPr>
          <w:p w14:paraId="20C3C2C2"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$700</w:t>
            </w:r>
          </w:p>
        </w:tc>
        <w:tc>
          <w:tcPr>
            <w:tcW w:w="1559" w:type="dxa"/>
          </w:tcPr>
          <w:p w14:paraId="1113420E" w14:textId="77777777" w:rsidR="007F4BC5" w:rsidRPr="006F439F" w:rsidRDefault="007F4BC5"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t>$192</w:t>
            </w:r>
          </w:p>
        </w:tc>
        <w:tc>
          <w:tcPr>
            <w:tcW w:w="1367" w:type="dxa"/>
          </w:tcPr>
          <w:p w14:paraId="2AD9C1B1" w14:textId="2359E174" w:rsidR="007F4BC5" w:rsidRPr="00076D7F"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5B18FF37" w14:textId="77777777">
        <w:tc>
          <w:tcPr>
            <w:tcW w:w="2689" w:type="dxa"/>
          </w:tcPr>
          <w:p w14:paraId="37F8E10B" w14:textId="77777777" w:rsidR="007F4BC5" w:rsidRPr="0030263C" w:rsidRDefault="007F4BC5" w:rsidP="00CD57E4">
            <w:pPr>
              <w:keepNext/>
              <w:keepLines/>
              <w:jc w:val="left"/>
              <w:rPr>
                <w:rFonts w:ascii="Arial Narrow" w:eastAsiaTheme="majorEastAsia" w:hAnsi="Arial Narrow" w:cstheme="majorBidi"/>
                <w:bCs/>
                <w:sz w:val="20"/>
              </w:rPr>
            </w:pPr>
            <w:r w:rsidRPr="0030263C">
              <w:rPr>
                <w:rFonts w:ascii="Arial Narrow" w:eastAsiaTheme="majorEastAsia" w:hAnsi="Arial Narrow" w:cstheme="majorBidi"/>
                <w:bCs/>
                <w:sz w:val="20"/>
              </w:rPr>
              <w:t>Small, Close</w:t>
            </w:r>
          </w:p>
        </w:tc>
        <w:tc>
          <w:tcPr>
            <w:tcW w:w="1842" w:type="dxa"/>
          </w:tcPr>
          <w:p w14:paraId="61DE3F3B"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$2,692</w:t>
            </w:r>
          </w:p>
        </w:tc>
        <w:tc>
          <w:tcPr>
            <w:tcW w:w="1560" w:type="dxa"/>
          </w:tcPr>
          <w:p w14:paraId="262CAB47"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$1,575</w:t>
            </w:r>
          </w:p>
        </w:tc>
        <w:tc>
          <w:tcPr>
            <w:tcW w:w="1559" w:type="dxa"/>
          </w:tcPr>
          <w:p w14:paraId="1AB38B67" w14:textId="77777777" w:rsidR="007F4BC5" w:rsidRPr="006F439F" w:rsidRDefault="007F4BC5"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t>$1,117</w:t>
            </w:r>
          </w:p>
        </w:tc>
        <w:tc>
          <w:tcPr>
            <w:tcW w:w="1367" w:type="dxa"/>
          </w:tcPr>
          <w:p w14:paraId="74F7A244" w14:textId="68858191" w:rsidR="007F4BC5" w:rsidRPr="00076D7F"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3C6AC3B7" w14:textId="77777777">
        <w:tc>
          <w:tcPr>
            <w:tcW w:w="2689" w:type="dxa"/>
          </w:tcPr>
          <w:p w14:paraId="6903CC33" w14:textId="77777777" w:rsidR="007F4BC5" w:rsidRPr="0030263C" w:rsidRDefault="007F4BC5" w:rsidP="00CD57E4">
            <w:pPr>
              <w:keepNext/>
              <w:keepLines/>
              <w:jc w:val="left"/>
              <w:rPr>
                <w:rFonts w:ascii="Arial Narrow" w:eastAsiaTheme="majorEastAsia" w:hAnsi="Arial Narrow" w:cstheme="majorBidi"/>
                <w:bCs/>
                <w:sz w:val="20"/>
              </w:rPr>
            </w:pPr>
            <w:r w:rsidRPr="0030263C">
              <w:rPr>
                <w:rFonts w:ascii="Arial Narrow" w:eastAsiaTheme="majorEastAsia" w:hAnsi="Arial Narrow" w:cstheme="majorBidi"/>
                <w:bCs/>
                <w:sz w:val="20"/>
              </w:rPr>
              <w:t>Medium, Close</w:t>
            </w:r>
          </w:p>
        </w:tc>
        <w:tc>
          <w:tcPr>
            <w:tcW w:w="1842" w:type="dxa"/>
          </w:tcPr>
          <w:p w14:paraId="51BDBDF5"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$7,080</w:t>
            </w:r>
          </w:p>
        </w:tc>
        <w:tc>
          <w:tcPr>
            <w:tcW w:w="1560" w:type="dxa"/>
          </w:tcPr>
          <w:p w14:paraId="772D3C63"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$6,153</w:t>
            </w:r>
          </w:p>
        </w:tc>
        <w:tc>
          <w:tcPr>
            <w:tcW w:w="1559" w:type="dxa"/>
          </w:tcPr>
          <w:p w14:paraId="1D72A0BF" w14:textId="77777777" w:rsidR="007F4BC5" w:rsidRPr="006F439F" w:rsidRDefault="007F4BC5"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t>$927</w:t>
            </w:r>
          </w:p>
        </w:tc>
        <w:tc>
          <w:tcPr>
            <w:tcW w:w="1367" w:type="dxa"/>
          </w:tcPr>
          <w:p w14:paraId="518D7FC0" w14:textId="7D12F471" w:rsidR="007F4BC5" w:rsidRPr="00076D7F" w:rsidRDefault="00B37C73" w:rsidP="00CD57E4">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7304FB4E" w14:textId="77777777">
        <w:tc>
          <w:tcPr>
            <w:tcW w:w="2689" w:type="dxa"/>
          </w:tcPr>
          <w:p w14:paraId="66E30A96" w14:textId="77777777" w:rsidR="007F4BC5" w:rsidRPr="0030263C" w:rsidRDefault="007F4BC5" w:rsidP="00CD57E4">
            <w:pPr>
              <w:keepNext/>
              <w:keepLines/>
              <w:jc w:val="left"/>
              <w:rPr>
                <w:rFonts w:ascii="Arial Narrow" w:eastAsiaTheme="majorEastAsia" w:hAnsi="Arial Narrow" w:cstheme="majorBidi"/>
                <w:bCs/>
                <w:sz w:val="20"/>
              </w:rPr>
            </w:pPr>
            <w:r w:rsidRPr="0030263C">
              <w:rPr>
                <w:rFonts w:ascii="Arial Narrow" w:eastAsiaTheme="majorEastAsia" w:hAnsi="Arial Narrow" w:cstheme="majorBidi"/>
                <w:bCs/>
                <w:sz w:val="20"/>
              </w:rPr>
              <w:t>Large, Close</w:t>
            </w:r>
          </w:p>
        </w:tc>
        <w:tc>
          <w:tcPr>
            <w:tcW w:w="1842" w:type="dxa"/>
          </w:tcPr>
          <w:p w14:paraId="2F1A04CB"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$5,166</w:t>
            </w:r>
          </w:p>
        </w:tc>
        <w:tc>
          <w:tcPr>
            <w:tcW w:w="1560" w:type="dxa"/>
          </w:tcPr>
          <w:p w14:paraId="1436B398"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$5,306</w:t>
            </w:r>
          </w:p>
        </w:tc>
        <w:tc>
          <w:tcPr>
            <w:tcW w:w="1559" w:type="dxa"/>
          </w:tcPr>
          <w:p w14:paraId="11948B83" w14:textId="3CB592B2" w:rsidR="007F4BC5" w:rsidRPr="006F439F" w:rsidRDefault="009B60A6"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noBreakHyphen/>
            </w:r>
            <w:r w:rsidR="007F4BC5" w:rsidRPr="006F439F">
              <w:rPr>
                <w:rFonts w:ascii="Arial Narrow" w:eastAsiaTheme="majorEastAsia" w:hAnsi="Arial Narrow" w:cstheme="majorBidi"/>
                <w:bCs/>
                <w:sz w:val="20"/>
              </w:rPr>
              <w:t>$140</w:t>
            </w:r>
          </w:p>
        </w:tc>
        <w:tc>
          <w:tcPr>
            <w:tcW w:w="1367" w:type="dxa"/>
          </w:tcPr>
          <w:p w14:paraId="0AB8EA66" w14:textId="263C21EE" w:rsidR="007F4BC5" w:rsidRPr="00076D7F" w:rsidRDefault="009B60A6" w:rsidP="00CD57E4">
            <w:pPr>
              <w:keepNext/>
              <w:keepLines/>
              <w:jc w:val="right"/>
              <w:rPr>
                <w:rFonts w:ascii="Arial Narrow" w:eastAsiaTheme="majorEastAsia" w:hAnsi="Arial Narrow" w:cstheme="majorBidi"/>
                <w:bCs/>
                <w:sz w:val="20"/>
              </w:rPr>
            </w:pPr>
            <w:r w:rsidRPr="00076D7F">
              <w:rPr>
                <w:rFonts w:ascii="Arial Narrow" w:eastAsiaTheme="majorEastAsia" w:hAnsi="Arial Narrow" w:cstheme="majorBidi"/>
                <w:bCs/>
                <w:sz w:val="20"/>
              </w:rPr>
              <w:noBreakHyphen/>
            </w:r>
            <w:r w:rsidR="00B37C73"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6CEAF440" w14:textId="77777777">
        <w:tc>
          <w:tcPr>
            <w:tcW w:w="2689" w:type="dxa"/>
          </w:tcPr>
          <w:p w14:paraId="2129DEA4" w14:textId="77777777" w:rsidR="007F4BC5" w:rsidRPr="0030263C" w:rsidRDefault="007F4BC5" w:rsidP="00CD57E4">
            <w:pPr>
              <w:keepNext/>
              <w:keepLines/>
              <w:jc w:val="left"/>
              <w:rPr>
                <w:rFonts w:ascii="Arial Narrow" w:eastAsiaTheme="majorEastAsia" w:hAnsi="Arial Narrow" w:cstheme="majorBidi"/>
                <w:bCs/>
                <w:sz w:val="20"/>
              </w:rPr>
            </w:pPr>
            <w:r w:rsidRPr="0030263C">
              <w:rPr>
                <w:rFonts w:ascii="Arial Narrow" w:eastAsiaTheme="majorEastAsia" w:hAnsi="Arial Narrow" w:cstheme="majorBidi"/>
                <w:bCs/>
                <w:sz w:val="20"/>
              </w:rPr>
              <w:t>Blind</w:t>
            </w:r>
          </w:p>
        </w:tc>
        <w:tc>
          <w:tcPr>
            <w:tcW w:w="1842" w:type="dxa"/>
          </w:tcPr>
          <w:p w14:paraId="5E4F046E"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$12,760</w:t>
            </w:r>
          </w:p>
        </w:tc>
        <w:tc>
          <w:tcPr>
            <w:tcW w:w="1560" w:type="dxa"/>
          </w:tcPr>
          <w:p w14:paraId="1869DB69" w14:textId="77777777" w:rsidR="007F4BC5" w:rsidRPr="0030263C" w:rsidRDefault="007F4BC5" w:rsidP="00CD57E4">
            <w:pPr>
              <w:keepNext/>
              <w:keepLines/>
              <w:jc w:val="right"/>
              <w:rPr>
                <w:rFonts w:ascii="Arial Narrow" w:eastAsiaTheme="majorEastAsia" w:hAnsi="Arial Narrow" w:cstheme="majorBidi"/>
                <w:bCs/>
                <w:sz w:val="20"/>
              </w:rPr>
            </w:pPr>
            <w:r w:rsidRPr="0030263C">
              <w:rPr>
                <w:rFonts w:ascii="Arial Narrow" w:eastAsiaTheme="majorEastAsia" w:hAnsi="Arial Narrow" w:cstheme="majorBidi"/>
                <w:bCs/>
                <w:sz w:val="20"/>
              </w:rPr>
              <w:t>$16,119</w:t>
            </w:r>
          </w:p>
        </w:tc>
        <w:tc>
          <w:tcPr>
            <w:tcW w:w="1559" w:type="dxa"/>
          </w:tcPr>
          <w:p w14:paraId="301310C1" w14:textId="5A498AF8" w:rsidR="007F4BC5" w:rsidRPr="006F439F" w:rsidRDefault="009B60A6" w:rsidP="00CD57E4">
            <w:pPr>
              <w:keepNext/>
              <w:keepLines/>
              <w:jc w:val="right"/>
              <w:rPr>
                <w:rFonts w:ascii="Arial Narrow" w:eastAsiaTheme="majorEastAsia" w:hAnsi="Arial Narrow" w:cstheme="majorBidi"/>
                <w:bCs/>
                <w:sz w:val="20"/>
              </w:rPr>
            </w:pPr>
            <w:r w:rsidRPr="006F439F">
              <w:rPr>
                <w:rFonts w:ascii="Arial Narrow" w:eastAsiaTheme="majorEastAsia" w:hAnsi="Arial Narrow" w:cstheme="majorBidi"/>
                <w:bCs/>
                <w:sz w:val="20"/>
              </w:rPr>
              <w:noBreakHyphen/>
            </w:r>
            <w:r w:rsidR="007F4BC5" w:rsidRPr="006F439F">
              <w:rPr>
                <w:rFonts w:ascii="Arial Narrow" w:eastAsiaTheme="majorEastAsia" w:hAnsi="Arial Narrow" w:cstheme="majorBidi"/>
                <w:bCs/>
                <w:sz w:val="20"/>
              </w:rPr>
              <w:t>$3,359</w:t>
            </w:r>
          </w:p>
        </w:tc>
        <w:tc>
          <w:tcPr>
            <w:tcW w:w="1367" w:type="dxa"/>
          </w:tcPr>
          <w:p w14:paraId="66768C22" w14:textId="3345CDCC" w:rsidR="007F4BC5" w:rsidRPr="00076D7F" w:rsidRDefault="009B60A6" w:rsidP="00CD57E4">
            <w:pPr>
              <w:keepNext/>
              <w:keepLines/>
              <w:jc w:val="right"/>
              <w:rPr>
                <w:rFonts w:ascii="Arial Narrow" w:eastAsiaTheme="majorEastAsia" w:hAnsi="Arial Narrow" w:cstheme="majorBidi"/>
                <w:bCs/>
                <w:sz w:val="20"/>
              </w:rPr>
            </w:pPr>
            <w:r w:rsidRPr="00076D7F">
              <w:rPr>
                <w:rFonts w:ascii="Arial Narrow" w:eastAsiaTheme="majorEastAsia" w:hAnsi="Arial Narrow" w:cstheme="majorBidi"/>
                <w:bCs/>
                <w:sz w:val="20"/>
              </w:rPr>
              <w:noBreakHyphen/>
            </w:r>
            <w:r w:rsidR="00B37C73" w:rsidRPr="00B37C73">
              <w:rPr>
                <w:rFonts w:ascii="Arial Narrow" w:eastAsiaTheme="majorEastAsia" w:hAnsi="Arial Narrow" w:cstheme="majorBidi"/>
                <w:bCs/>
                <w:sz w:val="2"/>
                <w:highlight w:val="black"/>
              </w:rPr>
              <w:t>redacted content</w:t>
            </w:r>
            <w:r w:rsidR="007F4BC5" w:rsidRPr="00076D7F">
              <w:rPr>
                <w:rFonts w:ascii="Arial Narrow" w:eastAsiaTheme="majorEastAsia" w:hAnsi="Arial Narrow" w:cstheme="majorBidi"/>
                <w:bCs/>
                <w:sz w:val="20"/>
              </w:rPr>
              <w:t>%</w:t>
            </w:r>
          </w:p>
        </w:tc>
      </w:tr>
      <w:tr w:rsidR="001A6CA3" w:rsidRPr="007F4BC5" w14:paraId="0C2CF83D" w14:textId="77777777">
        <w:tc>
          <w:tcPr>
            <w:tcW w:w="2689" w:type="dxa"/>
            <w:vAlign w:val="center"/>
          </w:tcPr>
          <w:p w14:paraId="0CA93DC7" w14:textId="77777777" w:rsidR="007F4BC5" w:rsidRPr="007F4BC5" w:rsidRDefault="007F4BC5" w:rsidP="00CD57E4">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Overall total</w:t>
            </w:r>
          </w:p>
        </w:tc>
        <w:tc>
          <w:tcPr>
            <w:tcW w:w="1842" w:type="dxa"/>
            <w:vAlign w:val="center"/>
          </w:tcPr>
          <w:p w14:paraId="53B3BEF4" w14:textId="29CF06A4" w:rsidR="007F4BC5" w:rsidRPr="007F4BC5" w:rsidRDefault="007F4BC5" w:rsidP="00CD57E4">
            <w:pPr>
              <w:keepNext/>
              <w:keepLines/>
              <w:jc w:val="right"/>
              <w:rPr>
                <w:rFonts w:ascii="Arial Narrow" w:eastAsiaTheme="majorEastAsia" w:hAnsi="Arial Narrow" w:cstheme="majorBidi"/>
                <w:b/>
                <w:sz w:val="20"/>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p>
        </w:tc>
        <w:tc>
          <w:tcPr>
            <w:tcW w:w="1560" w:type="dxa"/>
            <w:vAlign w:val="center"/>
          </w:tcPr>
          <w:p w14:paraId="31B1714E" w14:textId="77777777" w:rsidR="007F4BC5" w:rsidRPr="007F4BC5" w:rsidRDefault="007F4BC5" w:rsidP="00CD57E4">
            <w:pPr>
              <w:keepNext/>
              <w:keepLines/>
              <w:jc w:val="right"/>
              <w:rPr>
                <w:rFonts w:ascii="Arial Narrow" w:eastAsiaTheme="majorEastAsia" w:hAnsi="Arial Narrow" w:cstheme="majorBidi"/>
                <w:b/>
                <w:sz w:val="20"/>
              </w:rPr>
            </w:pPr>
            <w:r w:rsidRPr="007F4BC5">
              <w:rPr>
                <w:rFonts w:ascii="Arial Narrow" w:eastAsiaTheme="majorEastAsia" w:hAnsi="Arial Narrow" w:cstheme="majorBidi"/>
                <w:b/>
                <w:sz w:val="20"/>
              </w:rPr>
              <w:t>$32,560</w:t>
            </w:r>
          </w:p>
        </w:tc>
        <w:tc>
          <w:tcPr>
            <w:tcW w:w="1559" w:type="dxa"/>
          </w:tcPr>
          <w:p w14:paraId="7F548EEE" w14:textId="26931AF3" w:rsidR="007F4BC5" w:rsidRPr="007F4BC5" w:rsidRDefault="007F4BC5" w:rsidP="00CD57E4">
            <w:pPr>
              <w:keepNext/>
              <w:keepLines/>
              <w:jc w:val="right"/>
              <w:rPr>
                <w:rFonts w:ascii="Arial Narrow" w:eastAsiaTheme="majorEastAsia" w:hAnsi="Arial Narrow" w:cstheme="majorBidi"/>
                <w:b/>
                <w:sz w:val="20"/>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p>
        </w:tc>
        <w:tc>
          <w:tcPr>
            <w:tcW w:w="1367" w:type="dxa"/>
          </w:tcPr>
          <w:p w14:paraId="69FC393E" w14:textId="77777777" w:rsidR="007F4BC5" w:rsidRPr="007F4BC5" w:rsidRDefault="007F4BC5" w:rsidP="00CD57E4">
            <w:pPr>
              <w:keepNext/>
              <w:keepLines/>
              <w:jc w:val="right"/>
              <w:rPr>
                <w:rFonts w:ascii="Arial Narrow" w:eastAsiaTheme="majorEastAsia" w:hAnsi="Arial Narrow" w:cstheme="majorBidi"/>
                <w:b/>
                <w:sz w:val="20"/>
              </w:rPr>
            </w:pPr>
            <w:r w:rsidRPr="007F4BC5">
              <w:rPr>
                <w:rFonts w:ascii="Arial Narrow" w:eastAsiaTheme="majorEastAsia" w:hAnsi="Arial Narrow" w:cstheme="majorBidi"/>
                <w:b/>
                <w:sz w:val="20"/>
              </w:rPr>
              <w:t>100%</w:t>
            </w:r>
          </w:p>
        </w:tc>
      </w:tr>
    </w:tbl>
    <w:p w14:paraId="343BE12D" w14:textId="72E7C8CE" w:rsidR="007F4BC5" w:rsidRPr="007F4BC5" w:rsidRDefault="007F4BC5" w:rsidP="00CD57E4">
      <w:pPr>
        <w:keepNext/>
        <w:keepLines/>
        <w:spacing w:after="300"/>
        <w:contextualSpacing/>
        <w:rPr>
          <w:rFonts w:ascii="Arial Narrow" w:hAnsi="Arial Narrow"/>
          <w:snapToGrid w:val="0"/>
          <w:sz w:val="18"/>
          <w:szCs w:val="22"/>
        </w:rPr>
      </w:pPr>
      <w:r w:rsidRPr="007F4BC5">
        <w:rPr>
          <w:rFonts w:ascii="Arial Narrow" w:hAnsi="Arial Narrow"/>
          <w:snapToGrid w:val="0"/>
          <w:sz w:val="18"/>
          <w:szCs w:val="22"/>
        </w:rPr>
        <w:t>Source: Table 3.8</w:t>
      </w:r>
      <w:r w:rsidR="009B60A6">
        <w:rPr>
          <w:rFonts w:ascii="Arial Narrow" w:hAnsi="Arial Narrow"/>
          <w:snapToGrid w:val="0"/>
          <w:sz w:val="18"/>
          <w:szCs w:val="22"/>
        </w:rPr>
        <w:noBreakHyphen/>
      </w:r>
      <w:r w:rsidRPr="007F4BC5">
        <w:rPr>
          <w:rFonts w:ascii="Arial Narrow" w:hAnsi="Arial Narrow"/>
          <w:snapToGrid w:val="0"/>
          <w:sz w:val="18"/>
          <w:szCs w:val="22"/>
        </w:rPr>
        <w:t xml:space="preserve">2, p209 of the submission and the “Attachment 11 – </w:t>
      </w:r>
      <w:proofErr w:type="spellStart"/>
      <w:r w:rsidRPr="007F4BC5">
        <w:rPr>
          <w:rFonts w:ascii="Arial Narrow" w:hAnsi="Arial Narrow"/>
          <w:snapToGrid w:val="0"/>
          <w:sz w:val="18"/>
          <w:szCs w:val="22"/>
        </w:rPr>
        <w:t>Izervay</w:t>
      </w:r>
      <w:proofErr w:type="spellEnd"/>
      <w:r w:rsidRPr="007F4BC5">
        <w:rPr>
          <w:rFonts w:ascii="Arial Narrow" w:hAnsi="Arial Narrow"/>
          <w:snapToGrid w:val="0"/>
          <w:sz w:val="18"/>
          <w:szCs w:val="22"/>
        </w:rPr>
        <w:t xml:space="preserve"> CE Model.xlsm” provided with the submission.</w:t>
      </w:r>
    </w:p>
    <w:p w14:paraId="783A4AD8" w14:textId="77777777" w:rsidR="007F4BC5" w:rsidRDefault="007F4BC5" w:rsidP="00CD57E4">
      <w:pPr>
        <w:keepNext/>
        <w:keepLines/>
        <w:spacing w:after="120"/>
        <w:contextualSpacing/>
        <w:jc w:val="left"/>
        <w:rPr>
          <w:rFonts w:ascii="Arial Narrow" w:hAnsi="Arial Narrow"/>
          <w:snapToGrid w:val="0"/>
          <w:sz w:val="18"/>
          <w:szCs w:val="22"/>
        </w:rPr>
      </w:pPr>
      <w:r w:rsidRPr="007F4BC5">
        <w:rPr>
          <w:rFonts w:ascii="Arial Narrow" w:hAnsi="Arial Narrow"/>
          <w:snapToGrid w:val="0"/>
          <w:sz w:val="18"/>
          <w:szCs w:val="22"/>
        </w:rPr>
        <w:t>ACP = avacincaptad pegol; BSC = Best supportive care; CNV = Choroidal neovascularisation; EOM = Every other month; IOP = Intraocular pressure.</w:t>
      </w:r>
    </w:p>
    <w:p w14:paraId="407B2E11" w14:textId="77777777" w:rsidR="00A02E05" w:rsidRPr="007F4BC5" w:rsidRDefault="00A02E05" w:rsidP="007F4BC5">
      <w:pPr>
        <w:keepLines/>
        <w:spacing w:after="120"/>
        <w:contextualSpacing/>
        <w:jc w:val="left"/>
        <w:rPr>
          <w:rFonts w:ascii="Arial Narrow" w:hAnsi="Arial Narrow"/>
          <w:snapToGrid w:val="0"/>
          <w:sz w:val="18"/>
          <w:szCs w:val="22"/>
        </w:rPr>
      </w:pPr>
    </w:p>
    <w:p w14:paraId="6F5635F4" w14:textId="3ECC8E7E" w:rsidR="007F4BC5" w:rsidRPr="007F4BC5" w:rsidRDefault="007F4BC5" w:rsidP="007F4BC5">
      <w:pPr>
        <w:keepNext/>
        <w:keepLines/>
        <w:rPr>
          <w:rFonts w:ascii="Arial Narrow" w:hAnsi="Arial Narrow"/>
          <w:b/>
          <w:bCs/>
          <w:sz w:val="20"/>
          <w:szCs w:val="18"/>
        </w:rPr>
      </w:pPr>
      <w:bookmarkStart w:id="68" w:name="_Ref217397104"/>
      <w:r w:rsidRPr="007F4BC5">
        <w:rPr>
          <w:rFonts w:ascii="Arial Narrow" w:hAnsi="Arial Narrow"/>
          <w:b/>
          <w:bCs/>
          <w:sz w:val="20"/>
          <w:szCs w:val="18"/>
        </w:rPr>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14</w:t>
      </w:r>
      <w:r w:rsidRPr="007F4BC5">
        <w:rPr>
          <w:rFonts w:ascii="Arial Narrow" w:hAnsi="Arial Narrow"/>
          <w:b/>
          <w:bCs/>
          <w:sz w:val="20"/>
          <w:szCs w:val="18"/>
        </w:rPr>
        <w:fldChar w:fldCharType="end"/>
      </w:r>
      <w:bookmarkEnd w:id="68"/>
      <w:r w:rsidRPr="007F4BC5">
        <w:rPr>
          <w:rFonts w:ascii="Arial Narrow" w:hAnsi="Arial Narrow"/>
          <w:b/>
          <w:bCs/>
          <w:sz w:val="20"/>
          <w:szCs w:val="18"/>
        </w:rPr>
        <w:t>: Disaggregated summary of average health outcomes</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Disaggregated summary of average health outcomes"/>
      </w:tblPr>
      <w:tblGrid>
        <w:gridCol w:w="2206"/>
        <w:gridCol w:w="1701"/>
        <w:gridCol w:w="1701"/>
        <w:gridCol w:w="1701"/>
        <w:gridCol w:w="1708"/>
      </w:tblGrid>
      <w:tr w:rsidR="007F4BC5" w:rsidRPr="007F4BC5" w14:paraId="6BC04E0C"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60CAA6"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Outcome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4B29A1"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ACP</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88F1D5"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BSC</w:t>
            </w:r>
          </w:p>
        </w:tc>
        <w:tc>
          <w:tcPr>
            <w:tcW w:w="1701" w:type="dxa"/>
            <w:tcBorders>
              <w:top w:val="single" w:sz="4" w:space="0" w:color="auto"/>
              <w:left w:val="single" w:sz="4" w:space="0" w:color="auto"/>
              <w:bottom w:val="single" w:sz="4" w:space="0" w:color="auto"/>
              <w:right w:val="single" w:sz="4" w:space="0" w:color="auto"/>
            </w:tcBorders>
            <w:vAlign w:val="center"/>
          </w:tcPr>
          <w:p w14:paraId="7FB26B64"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Increment</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CED4A2"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 of total increment</w:t>
            </w:r>
          </w:p>
        </w:tc>
      </w:tr>
      <w:tr w:rsidR="007F4BC5" w:rsidRPr="007F4BC5" w14:paraId="67AE3C70" w14:textId="77777777">
        <w:trPr>
          <w:cantSplit/>
        </w:trPr>
        <w:tc>
          <w:tcPr>
            <w:tcW w:w="9017"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7F24A9" w14:textId="77777777" w:rsidR="007F4BC5" w:rsidRPr="007F4BC5" w:rsidRDefault="007F4BC5" w:rsidP="007F4BC5">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LYs (undiscounted)</w:t>
            </w:r>
          </w:p>
        </w:tc>
      </w:tr>
      <w:tr w:rsidR="007F4BC5" w:rsidRPr="007F4BC5" w14:paraId="4FD41D38"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225174BF"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Small, Far</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9F897FC"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0.284</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0EB54CC"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0.213</w:t>
            </w:r>
          </w:p>
        </w:tc>
        <w:tc>
          <w:tcPr>
            <w:tcW w:w="1701" w:type="dxa"/>
            <w:tcBorders>
              <w:top w:val="single" w:sz="4" w:space="0" w:color="auto"/>
              <w:left w:val="single" w:sz="4" w:space="0" w:color="auto"/>
              <w:bottom w:val="single" w:sz="4" w:space="0" w:color="auto"/>
              <w:right w:val="single" w:sz="4" w:space="0" w:color="auto"/>
            </w:tcBorders>
          </w:tcPr>
          <w:p w14:paraId="1F20DD1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0.071</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4ACDAF8A"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51%</w:t>
            </w:r>
          </w:p>
        </w:tc>
      </w:tr>
      <w:tr w:rsidR="007F4BC5" w:rsidRPr="007F4BC5" w14:paraId="293F7F33"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1771D040"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Medium, Far</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44EF81A"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0.265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6490B08B"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0.234</w:t>
            </w:r>
          </w:p>
        </w:tc>
        <w:tc>
          <w:tcPr>
            <w:tcW w:w="1701" w:type="dxa"/>
            <w:tcBorders>
              <w:top w:val="single" w:sz="4" w:space="0" w:color="auto"/>
              <w:left w:val="single" w:sz="4" w:space="0" w:color="auto"/>
              <w:bottom w:val="single" w:sz="4" w:space="0" w:color="auto"/>
              <w:right w:val="single" w:sz="4" w:space="0" w:color="auto"/>
            </w:tcBorders>
          </w:tcPr>
          <w:p w14:paraId="1DD1C00E"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0.030</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12C1A0B8"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22%</w:t>
            </w:r>
          </w:p>
        </w:tc>
      </w:tr>
      <w:tr w:rsidR="007F4BC5" w:rsidRPr="007F4BC5" w14:paraId="55A9D988"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03FF7E87"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Large, Far</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7BA5C0F4"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0.249</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0E84E86"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0.182</w:t>
            </w:r>
          </w:p>
        </w:tc>
        <w:tc>
          <w:tcPr>
            <w:tcW w:w="1701" w:type="dxa"/>
            <w:tcBorders>
              <w:top w:val="single" w:sz="4" w:space="0" w:color="auto"/>
              <w:left w:val="single" w:sz="4" w:space="0" w:color="auto"/>
              <w:bottom w:val="single" w:sz="4" w:space="0" w:color="auto"/>
              <w:right w:val="single" w:sz="4" w:space="0" w:color="auto"/>
            </w:tcBorders>
          </w:tcPr>
          <w:p w14:paraId="0B192427"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0.067</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5E8CABDB"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48%</w:t>
            </w:r>
          </w:p>
        </w:tc>
      </w:tr>
      <w:tr w:rsidR="007F4BC5" w:rsidRPr="007F4BC5" w14:paraId="7CCB057F"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700B229A"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Small, Close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763B52DF"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1.115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CE728A0"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0.629</w:t>
            </w:r>
          </w:p>
        </w:tc>
        <w:tc>
          <w:tcPr>
            <w:tcW w:w="1701" w:type="dxa"/>
            <w:tcBorders>
              <w:top w:val="single" w:sz="4" w:space="0" w:color="auto"/>
              <w:left w:val="single" w:sz="4" w:space="0" w:color="auto"/>
              <w:bottom w:val="single" w:sz="4" w:space="0" w:color="auto"/>
              <w:right w:val="single" w:sz="4" w:space="0" w:color="auto"/>
            </w:tcBorders>
          </w:tcPr>
          <w:p w14:paraId="2B0E6675"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0.487</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627D524B"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347%</w:t>
            </w:r>
          </w:p>
        </w:tc>
      </w:tr>
      <w:tr w:rsidR="007F4BC5" w:rsidRPr="007F4BC5" w14:paraId="5457AE76"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139EDBD1"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Medium, Close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0638C0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2.164</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5FF1394"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1.843</w:t>
            </w:r>
          </w:p>
        </w:tc>
        <w:tc>
          <w:tcPr>
            <w:tcW w:w="1701" w:type="dxa"/>
            <w:tcBorders>
              <w:top w:val="single" w:sz="4" w:space="0" w:color="auto"/>
              <w:left w:val="single" w:sz="4" w:space="0" w:color="auto"/>
              <w:bottom w:val="single" w:sz="4" w:space="0" w:color="auto"/>
              <w:right w:val="single" w:sz="4" w:space="0" w:color="auto"/>
            </w:tcBorders>
          </w:tcPr>
          <w:p w14:paraId="759EC8FD"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0.321</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679182E6"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229%</w:t>
            </w:r>
          </w:p>
        </w:tc>
      </w:tr>
      <w:tr w:rsidR="007F4BC5" w:rsidRPr="007F4BC5" w14:paraId="7309FD64"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42CCB6D7"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Large, Close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28F2501"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1.670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88B7B79"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1.660</w:t>
            </w:r>
          </w:p>
        </w:tc>
        <w:tc>
          <w:tcPr>
            <w:tcW w:w="1701" w:type="dxa"/>
            <w:tcBorders>
              <w:top w:val="single" w:sz="4" w:space="0" w:color="auto"/>
              <w:left w:val="single" w:sz="4" w:space="0" w:color="auto"/>
              <w:bottom w:val="single" w:sz="4" w:space="0" w:color="auto"/>
              <w:right w:val="single" w:sz="4" w:space="0" w:color="auto"/>
            </w:tcBorders>
          </w:tcPr>
          <w:p w14:paraId="6A0C77D8"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0.009</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7B5E7DB8"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7%</w:t>
            </w:r>
          </w:p>
        </w:tc>
      </w:tr>
      <w:tr w:rsidR="007F4BC5" w:rsidRPr="007F4BC5" w14:paraId="7D4F0278"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614AE7C7"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Blind</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1AAA047"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3.852</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9D3753F"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4.698</w:t>
            </w:r>
          </w:p>
        </w:tc>
        <w:tc>
          <w:tcPr>
            <w:tcW w:w="1701" w:type="dxa"/>
            <w:tcBorders>
              <w:top w:val="single" w:sz="4" w:space="0" w:color="auto"/>
              <w:left w:val="single" w:sz="4" w:space="0" w:color="auto"/>
              <w:bottom w:val="single" w:sz="4" w:space="0" w:color="auto"/>
              <w:right w:val="single" w:sz="4" w:space="0" w:color="auto"/>
            </w:tcBorders>
          </w:tcPr>
          <w:p w14:paraId="2045C73B" w14:textId="0A328E2D"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0.846</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2FF8F801" w14:textId="1AEE96CD"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604%</w:t>
            </w:r>
          </w:p>
        </w:tc>
      </w:tr>
      <w:tr w:rsidR="007F4BC5" w:rsidRPr="007F4BC5" w14:paraId="41B8F888"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1EBA11" w14:textId="77777777" w:rsidR="007F4BC5" w:rsidRPr="007F4BC5" w:rsidRDefault="007F4BC5" w:rsidP="007F4BC5">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Total</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4D4FD69"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9.599</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3A0A79D0"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9.459</w:t>
            </w:r>
          </w:p>
        </w:tc>
        <w:tc>
          <w:tcPr>
            <w:tcW w:w="1701" w:type="dxa"/>
            <w:tcBorders>
              <w:top w:val="single" w:sz="4" w:space="0" w:color="auto"/>
              <w:left w:val="single" w:sz="4" w:space="0" w:color="auto"/>
              <w:bottom w:val="single" w:sz="4" w:space="0" w:color="auto"/>
              <w:right w:val="single" w:sz="4" w:space="0" w:color="auto"/>
            </w:tcBorders>
          </w:tcPr>
          <w:p w14:paraId="3EF00425"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0.140</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18DBC248"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100%</w:t>
            </w:r>
          </w:p>
        </w:tc>
      </w:tr>
      <w:tr w:rsidR="007F4BC5" w:rsidRPr="007F4BC5" w14:paraId="160C8BC3" w14:textId="77777777">
        <w:trPr>
          <w:cantSplit/>
        </w:trPr>
        <w:tc>
          <w:tcPr>
            <w:tcW w:w="9017"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351F8" w14:textId="77777777" w:rsidR="007F4BC5" w:rsidRPr="007F4BC5" w:rsidRDefault="007F4BC5" w:rsidP="007F4BC5">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QALYs (discounted)</w:t>
            </w:r>
          </w:p>
        </w:tc>
      </w:tr>
      <w:tr w:rsidR="007F4BC5" w:rsidRPr="007F4BC5" w14:paraId="64A8A3AD"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7A5A6445"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Small, Far</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78C5A040"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0.232</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0A1BAC0"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0.175</w:t>
            </w:r>
          </w:p>
        </w:tc>
        <w:tc>
          <w:tcPr>
            <w:tcW w:w="1701" w:type="dxa"/>
            <w:tcBorders>
              <w:top w:val="single" w:sz="4" w:space="0" w:color="auto"/>
              <w:left w:val="single" w:sz="4" w:space="0" w:color="auto"/>
              <w:bottom w:val="single" w:sz="4" w:space="0" w:color="auto"/>
              <w:right w:val="single" w:sz="4" w:space="0" w:color="auto"/>
            </w:tcBorders>
          </w:tcPr>
          <w:p w14:paraId="6786293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0.057</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20E74E04"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17%</w:t>
            </w:r>
          </w:p>
        </w:tc>
      </w:tr>
      <w:tr w:rsidR="007F4BC5" w:rsidRPr="007F4BC5" w14:paraId="2121D309"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349C14D7"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Medium, Far</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62D852A5"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0.205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FE77C47"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0.184</w:t>
            </w:r>
          </w:p>
        </w:tc>
        <w:tc>
          <w:tcPr>
            <w:tcW w:w="1701" w:type="dxa"/>
            <w:tcBorders>
              <w:top w:val="single" w:sz="4" w:space="0" w:color="auto"/>
              <w:left w:val="single" w:sz="4" w:space="0" w:color="auto"/>
              <w:bottom w:val="single" w:sz="4" w:space="0" w:color="auto"/>
              <w:right w:val="single" w:sz="4" w:space="0" w:color="auto"/>
            </w:tcBorders>
          </w:tcPr>
          <w:p w14:paraId="0E977EB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0.021</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64E43067"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6%</w:t>
            </w:r>
          </w:p>
        </w:tc>
      </w:tr>
      <w:tr w:rsidR="007F4BC5" w:rsidRPr="007F4BC5" w14:paraId="09CFF4D4"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29A9BE29"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Large, Far</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6FF10614"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0.163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C832FA5"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0.128</w:t>
            </w:r>
          </w:p>
        </w:tc>
        <w:tc>
          <w:tcPr>
            <w:tcW w:w="1701" w:type="dxa"/>
            <w:tcBorders>
              <w:top w:val="single" w:sz="4" w:space="0" w:color="auto"/>
              <w:left w:val="single" w:sz="4" w:space="0" w:color="auto"/>
              <w:bottom w:val="single" w:sz="4" w:space="0" w:color="auto"/>
              <w:right w:val="single" w:sz="4" w:space="0" w:color="auto"/>
            </w:tcBorders>
          </w:tcPr>
          <w:p w14:paraId="1FC78284"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0.035</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43E6D6EC"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10%</w:t>
            </w:r>
          </w:p>
        </w:tc>
      </w:tr>
      <w:tr w:rsidR="007F4BC5" w:rsidRPr="007F4BC5" w14:paraId="0338F20F"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09F01B5F"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Small, Close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B56C16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0.834</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A45BD7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0.488</w:t>
            </w:r>
          </w:p>
        </w:tc>
        <w:tc>
          <w:tcPr>
            <w:tcW w:w="1701" w:type="dxa"/>
            <w:tcBorders>
              <w:top w:val="single" w:sz="4" w:space="0" w:color="auto"/>
              <w:left w:val="single" w:sz="4" w:space="0" w:color="auto"/>
              <w:bottom w:val="single" w:sz="4" w:space="0" w:color="auto"/>
              <w:right w:val="single" w:sz="4" w:space="0" w:color="auto"/>
            </w:tcBorders>
          </w:tcPr>
          <w:p w14:paraId="50818705"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0.346</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1425A508"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103%</w:t>
            </w:r>
          </w:p>
        </w:tc>
      </w:tr>
      <w:tr w:rsidR="007F4BC5" w:rsidRPr="007F4BC5" w14:paraId="46A92D0E"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3AAAEE3C"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Medium, Close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A8243E6"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1.294</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2739FB5"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1.124</w:t>
            </w:r>
          </w:p>
        </w:tc>
        <w:tc>
          <w:tcPr>
            <w:tcW w:w="1701" w:type="dxa"/>
            <w:tcBorders>
              <w:top w:val="single" w:sz="4" w:space="0" w:color="auto"/>
              <w:left w:val="single" w:sz="4" w:space="0" w:color="auto"/>
              <w:bottom w:val="single" w:sz="4" w:space="0" w:color="auto"/>
              <w:right w:val="single" w:sz="4" w:space="0" w:color="auto"/>
            </w:tcBorders>
          </w:tcPr>
          <w:p w14:paraId="28C28B5E"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0.169</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4A6959DC"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51%</w:t>
            </w:r>
          </w:p>
        </w:tc>
      </w:tr>
      <w:tr w:rsidR="007F4BC5" w:rsidRPr="007F4BC5" w14:paraId="6BF44E43"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63324DA6"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Large, Close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BD9B1CC"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0.727</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986A672"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0.747</w:t>
            </w:r>
          </w:p>
        </w:tc>
        <w:tc>
          <w:tcPr>
            <w:tcW w:w="1701" w:type="dxa"/>
            <w:tcBorders>
              <w:top w:val="single" w:sz="4" w:space="0" w:color="auto"/>
              <w:left w:val="single" w:sz="4" w:space="0" w:color="auto"/>
              <w:bottom w:val="single" w:sz="4" w:space="0" w:color="auto"/>
              <w:right w:val="single" w:sz="4" w:space="0" w:color="auto"/>
            </w:tcBorders>
          </w:tcPr>
          <w:p w14:paraId="0DAC13E5" w14:textId="213B31D2"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0.020</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1D83FFAD" w14:textId="64A84D11"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6%</w:t>
            </w:r>
          </w:p>
        </w:tc>
      </w:tr>
      <w:tr w:rsidR="007F4BC5" w:rsidRPr="007F4BC5" w14:paraId="7D55A1E6"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166B45F2"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Blind</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C671415"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0.976</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97A21D4"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1.233</w:t>
            </w:r>
          </w:p>
        </w:tc>
        <w:tc>
          <w:tcPr>
            <w:tcW w:w="1701" w:type="dxa"/>
            <w:tcBorders>
              <w:top w:val="single" w:sz="4" w:space="0" w:color="auto"/>
              <w:left w:val="single" w:sz="4" w:space="0" w:color="auto"/>
              <w:bottom w:val="single" w:sz="4" w:space="0" w:color="auto"/>
              <w:right w:val="single" w:sz="4" w:space="0" w:color="auto"/>
            </w:tcBorders>
          </w:tcPr>
          <w:p w14:paraId="2D707E56" w14:textId="79EB72E4"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0.257</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4FAB652F" w14:textId="1562B3A0"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77%</w:t>
            </w:r>
          </w:p>
        </w:tc>
      </w:tr>
      <w:tr w:rsidR="007F4BC5" w:rsidRPr="007F4BC5" w14:paraId="47C8938C" w14:textId="77777777">
        <w:trPr>
          <w:cantSplit/>
        </w:trPr>
        <w:tc>
          <w:tcPr>
            <w:tcW w:w="2206" w:type="dxa"/>
            <w:tcBorders>
              <w:top w:val="single" w:sz="4" w:space="0" w:color="auto"/>
              <w:left w:val="single" w:sz="4" w:space="0" w:color="auto"/>
              <w:bottom w:val="single" w:sz="4" w:space="0" w:color="auto"/>
              <w:right w:val="nil"/>
            </w:tcBorders>
            <w:tcMar>
              <w:left w:w="57" w:type="dxa"/>
              <w:right w:w="57" w:type="dxa"/>
            </w:tcMar>
          </w:tcPr>
          <w:p w14:paraId="5930EEFC"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Adverse event</w:t>
            </w:r>
          </w:p>
        </w:tc>
        <w:tc>
          <w:tcPr>
            <w:tcW w:w="1701" w:type="dxa"/>
            <w:tcBorders>
              <w:top w:val="single" w:sz="4" w:space="0" w:color="auto"/>
              <w:left w:val="nil"/>
              <w:bottom w:val="single" w:sz="4" w:space="0" w:color="auto"/>
              <w:right w:val="nil"/>
            </w:tcBorders>
            <w:tcMar>
              <w:left w:w="57" w:type="dxa"/>
              <w:right w:w="57" w:type="dxa"/>
            </w:tcMar>
          </w:tcPr>
          <w:p w14:paraId="454D3242" w14:textId="77777777" w:rsidR="007F4BC5" w:rsidRPr="007F4BC5" w:rsidRDefault="007F4BC5" w:rsidP="007F4BC5">
            <w:pPr>
              <w:keepNext/>
              <w:keepLines/>
              <w:jc w:val="center"/>
              <w:rPr>
                <w:rFonts w:ascii="Arial Narrow" w:eastAsiaTheme="majorEastAsia" w:hAnsi="Arial Narrow" w:cstheme="majorBidi"/>
                <w:bCs/>
                <w:sz w:val="20"/>
              </w:rPr>
            </w:pPr>
          </w:p>
        </w:tc>
        <w:tc>
          <w:tcPr>
            <w:tcW w:w="1701" w:type="dxa"/>
            <w:tcBorders>
              <w:top w:val="single" w:sz="4" w:space="0" w:color="auto"/>
              <w:left w:val="nil"/>
              <w:bottom w:val="single" w:sz="4" w:space="0" w:color="auto"/>
              <w:right w:val="nil"/>
            </w:tcBorders>
            <w:tcMar>
              <w:left w:w="57" w:type="dxa"/>
              <w:right w:w="57" w:type="dxa"/>
            </w:tcMar>
          </w:tcPr>
          <w:p w14:paraId="3D8DD95B" w14:textId="77777777" w:rsidR="007F4BC5" w:rsidRPr="007F4BC5" w:rsidRDefault="007F4BC5" w:rsidP="007F4BC5">
            <w:pPr>
              <w:keepNext/>
              <w:keepLines/>
              <w:jc w:val="center"/>
              <w:rPr>
                <w:rFonts w:ascii="Arial Narrow" w:eastAsiaTheme="majorEastAsia" w:hAnsi="Arial Narrow" w:cstheme="majorBidi"/>
                <w:bCs/>
                <w:sz w:val="20"/>
              </w:rPr>
            </w:pPr>
          </w:p>
        </w:tc>
        <w:tc>
          <w:tcPr>
            <w:tcW w:w="1701" w:type="dxa"/>
            <w:tcBorders>
              <w:top w:val="single" w:sz="4" w:space="0" w:color="auto"/>
              <w:left w:val="nil"/>
              <w:bottom w:val="single" w:sz="4" w:space="0" w:color="auto"/>
              <w:right w:val="nil"/>
            </w:tcBorders>
          </w:tcPr>
          <w:p w14:paraId="05D84790" w14:textId="77777777" w:rsidR="007F4BC5" w:rsidRPr="007F4BC5" w:rsidRDefault="007F4BC5" w:rsidP="007F4BC5">
            <w:pPr>
              <w:keepNext/>
              <w:keepLines/>
              <w:jc w:val="center"/>
              <w:rPr>
                <w:rFonts w:ascii="Arial Narrow" w:eastAsiaTheme="majorEastAsia" w:hAnsi="Arial Narrow" w:cstheme="majorBidi"/>
                <w:bCs/>
                <w:sz w:val="20"/>
              </w:rPr>
            </w:pPr>
          </w:p>
        </w:tc>
        <w:tc>
          <w:tcPr>
            <w:tcW w:w="1708" w:type="dxa"/>
            <w:tcBorders>
              <w:top w:val="single" w:sz="4" w:space="0" w:color="auto"/>
              <w:left w:val="nil"/>
              <w:bottom w:val="single" w:sz="4" w:space="0" w:color="auto"/>
              <w:right w:val="single" w:sz="4" w:space="0" w:color="auto"/>
            </w:tcBorders>
            <w:tcMar>
              <w:left w:w="57" w:type="dxa"/>
              <w:right w:w="57" w:type="dxa"/>
            </w:tcMar>
          </w:tcPr>
          <w:p w14:paraId="553E0813" w14:textId="77777777" w:rsidR="007F4BC5" w:rsidRPr="007F4BC5" w:rsidRDefault="007F4BC5" w:rsidP="007F4BC5">
            <w:pPr>
              <w:keepNext/>
              <w:keepLines/>
              <w:jc w:val="center"/>
              <w:rPr>
                <w:rFonts w:ascii="Arial Narrow" w:eastAsiaTheme="majorEastAsia" w:hAnsi="Arial Narrow" w:cstheme="majorBidi"/>
                <w:bCs/>
                <w:sz w:val="20"/>
              </w:rPr>
            </w:pPr>
          </w:p>
        </w:tc>
      </w:tr>
      <w:tr w:rsidR="007F4BC5" w:rsidRPr="007F4BC5" w14:paraId="545EC640"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74D1491C" w14:textId="77777777" w:rsidR="007F4BC5" w:rsidRPr="00007868" w:rsidRDefault="007F4BC5" w:rsidP="001A7CE8">
            <w:pPr>
              <w:keepNext/>
              <w:keepLines/>
              <w:numPr>
                <w:ilvl w:val="0"/>
                <w:numId w:val="11"/>
              </w:numPr>
              <w:jc w:val="left"/>
              <w:rPr>
                <w:rFonts w:ascii="Arial Narrow" w:eastAsiaTheme="majorEastAsia" w:hAnsi="Arial Narrow" w:cstheme="majorBidi"/>
                <w:bCs/>
                <w:sz w:val="20"/>
              </w:rPr>
            </w:pPr>
            <w:r w:rsidRPr="00007868">
              <w:rPr>
                <w:rFonts w:ascii="Arial Narrow" w:eastAsiaTheme="majorEastAsia" w:hAnsi="Arial Narrow" w:cstheme="majorBidi"/>
                <w:bCs/>
                <w:sz w:val="20"/>
              </w:rPr>
              <w:t>IOP AE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BEE9C8D" w14:textId="1D79F8C0"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0.004</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BF89DEC"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0.000</w:t>
            </w:r>
          </w:p>
        </w:tc>
        <w:tc>
          <w:tcPr>
            <w:tcW w:w="1701" w:type="dxa"/>
            <w:tcBorders>
              <w:top w:val="single" w:sz="4" w:space="0" w:color="auto"/>
              <w:left w:val="single" w:sz="4" w:space="0" w:color="auto"/>
              <w:bottom w:val="single" w:sz="4" w:space="0" w:color="auto"/>
              <w:right w:val="single" w:sz="4" w:space="0" w:color="auto"/>
            </w:tcBorders>
          </w:tcPr>
          <w:p w14:paraId="7BCF3242" w14:textId="5D2B6AE2"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0.004</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56C811C6" w14:textId="36D38B65"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1%</w:t>
            </w:r>
          </w:p>
        </w:tc>
      </w:tr>
      <w:tr w:rsidR="007F4BC5" w:rsidRPr="007F4BC5" w14:paraId="37BEB5A5"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tcPr>
          <w:p w14:paraId="52E85F9D" w14:textId="77777777" w:rsidR="007F4BC5" w:rsidRPr="00007868" w:rsidRDefault="007F4BC5" w:rsidP="001A7CE8">
            <w:pPr>
              <w:keepNext/>
              <w:keepLines/>
              <w:numPr>
                <w:ilvl w:val="0"/>
                <w:numId w:val="11"/>
              </w:numPr>
              <w:jc w:val="left"/>
              <w:rPr>
                <w:rFonts w:ascii="Arial Narrow" w:eastAsiaTheme="majorEastAsia" w:hAnsi="Arial Narrow" w:cstheme="majorBidi"/>
                <w:bCs/>
                <w:sz w:val="20"/>
              </w:rPr>
            </w:pPr>
            <w:r w:rsidRPr="00007868">
              <w:rPr>
                <w:rFonts w:ascii="Arial Narrow" w:eastAsiaTheme="majorEastAsia" w:hAnsi="Arial Narrow" w:cstheme="majorBidi"/>
                <w:bCs/>
                <w:sz w:val="20"/>
              </w:rPr>
              <w:t>CNV event</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37A8E61F" w14:textId="06C1CC3E"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0.018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6591162A" w14:textId="4B8EC327"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0.004</w:t>
            </w:r>
          </w:p>
        </w:tc>
        <w:tc>
          <w:tcPr>
            <w:tcW w:w="1701" w:type="dxa"/>
            <w:tcBorders>
              <w:top w:val="single" w:sz="4" w:space="0" w:color="auto"/>
              <w:left w:val="single" w:sz="4" w:space="0" w:color="auto"/>
              <w:bottom w:val="single" w:sz="4" w:space="0" w:color="auto"/>
              <w:right w:val="single" w:sz="4" w:space="0" w:color="auto"/>
            </w:tcBorders>
          </w:tcPr>
          <w:p w14:paraId="0A0C4079" w14:textId="7087FE69"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0.014</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13121510" w14:textId="778612B4" w:rsidR="007F4BC5" w:rsidRPr="007F4BC5" w:rsidRDefault="009B60A6" w:rsidP="007F4BC5">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noBreakHyphen/>
            </w:r>
            <w:r w:rsidR="007F4BC5" w:rsidRPr="007F4BC5">
              <w:rPr>
                <w:rFonts w:ascii="Arial Narrow" w:eastAsiaTheme="majorEastAsia" w:hAnsi="Arial Narrow" w:cstheme="majorBidi"/>
                <w:bCs/>
                <w:sz w:val="20"/>
              </w:rPr>
              <w:t>4%</w:t>
            </w:r>
          </w:p>
        </w:tc>
      </w:tr>
      <w:tr w:rsidR="007F4BC5" w:rsidRPr="007F4BC5" w14:paraId="063ACFE6" w14:textId="77777777">
        <w:trPr>
          <w:cantSplit/>
        </w:trPr>
        <w:tc>
          <w:tcPr>
            <w:tcW w:w="22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4B4293" w14:textId="77777777" w:rsidR="007F4BC5" w:rsidRPr="007F4BC5" w:rsidRDefault="007F4BC5" w:rsidP="007F4BC5">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Total</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445CDC2"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4.409</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4F3427A"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4.074</w:t>
            </w:r>
          </w:p>
        </w:tc>
        <w:tc>
          <w:tcPr>
            <w:tcW w:w="1701" w:type="dxa"/>
            <w:tcBorders>
              <w:top w:val="single" w:sz="4" w:space="0" w:color="auto"/>
              <w:left w:val="single" w:sz="4" w:space="0" w:color="auto"/>
              <w:bottom w:val="single" w:sz="4" w:space="0" w:color="auto"/>
              <w:right w:val="single" w:sz="4" w:space="0" w:color="auto"/>
            </w:tcBorders>
          </w:tcPr>
          <w:p w14:paraId="234A023C"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0.335</w:t>
            </w:r>
          </w:p>
        </w:tc>
        <w:tc>
          <w:tcPr>
            <w:tcW w:w="1708" w:type="dxa"/>
            <w:tcBorders>
              <w:top w:val="single" w:sz="4" w:space="0" w:color="auto"/>
              <w:left w:val="single" w:sz="4" w:space="0" w:color="auto"/>
              <w:bottom w:val="single" w:sz="4" w:space="0" w:color="auto"/>
              <w:right w:val="single" w:sz="4" w:space="0" w:color="auto"/>
            </w:tcBorders>
            <w:tcMar>
              <w:left w:w="57" w:type="dxa"/>
              <w:right w:w="57" w:type="dxa"/>
            </w:tcMar>
          </w:tcPr>
          <w:p w14:paraId="69448F50"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100%</w:t>
            </w:r>
          </w:p>
        </w:tc>
      </w:tr>
    </w:tbl>
    <w:p w14:paraId="19466A3F" w14:textId="2D6BC39A"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rPr>
        <w:t>Source: Table 3.8</w:t>
      </w:r>
      <w:r w:rsidR="009B60A6">
        <w:rPr>
          <w:rFonts w:ascii="Arial Narrow" w:hAnsi="Arial Narrow"/>
          <w:snapToGrid w:val="0"/>
          <w:sz w:val="18"/>
          <w:szCs w:val="22"/>
        </w:rPr>
        <w:noBreakHyphen/>
      </w:r>
      <w:r w:rsidRPr="007F4BC5">
        <w:rPr>
          <w:rFonts w:ascii="Arial Narrow" w:hAnsi="Arial Narrow"/>
          <w:snapToGrid w:val="0"/>
          <w:sz w:val="18"/>
          <w:szCs w:val="22"/>
        </w:rPr>
        <w:t>3 and Table 3.8</w:t>
      </w:r>
      <w:r w:rsidR="009B60A6">
        <w:rPr>
          <w:rFonts w:ascii="Arial Narrow" w:hAnsi="Arial Narrow"/>
          <w:snapToGrid w:val="0"/>
          <w:sz w:val="18"/>
          <w:szCs w:val="22"/>
        </w:rPr>
        <w:noBreakHyphen/>
      </w:r>
      <w:r w:rsidRPr="007F4BC5">
        <w:rPr>
          <w:rFonts w:ascii="Arial Narrow" w:hAnsi="Arial Narrow"/>
          <w:snapToGrid w:val="0"/>
          <w:sz w:val="18"/>
          <w:szCs w:val="22"/>
        </w:rPr>
        <w:t xml:space="preserve">4, p209 of the submission and the “Attachment 11 – </w:t>
      </w:r>
      <w:proofErr w:type="spellStart"/>
      <w:r w:rsidRPr="007F4BC5">
        <w:rPr>
          <w:rFonts w:ascii="Arial Narrow" w:hAnsi="Arial Narrow"/>
          <w:snapToGrid w:val="0"/>
          <w:sz w:val="18"/>
          <w:szCs w:val="22"/>
        </w:rPr>
        <w:t>Izervay</w:t>
      </w:r>
      <w:proofErr w:type="spellEnd"/>
      <w:r w:rsidRPr="007F4BC5">
        <w:rPr>
          <w:rFonts w:ascii="Arial Narrow" w:hAnsi="Arial Narrow"/>
          <w:snapToGrid w:val="0"/>
          <w:sz w:val="18"/>
          <w:szCs w:val="22"/>
        </w:rPr>
        <w:t xml:space="preserve"> CE Model.xlsm” provided with the submission</w:t>
      </w:r>
    </w:p>
    <w:p w14:paraId="3D66B580" w14:textId="6087A877" w:rsidR="007F4BC5" w:rsidRPr="007F4BC5" w:rsidRDefault="007F4BC5" w:rsidP="00A02E05">
      <w:pPr>
        <w:keepLines/>
        <w:spacing w:after="240"/>
        <w:jc w:val="left"/>
        <w:rPr>
          <w:rFonts w:ascii="Arial Narrow" w:hAnsi="Arial Narrow"/>
          <w:snapToGrid w:val="0"/>
          <w:sz w:val="18"/>
          <w:szCs w:val="22"/>
        </w:rPr>
      </w:pPr>
      <w:r w:rsidRPr="007F4BC5">
        <w:rPr>
          <w:rFonts w:ascii="Arial Narrow" w:hAnsi="Arial Narrow"/>
          <w:snapToGrid w:val="0"/>
          <w:sz w:val="18"/>
          <w:szCs w:val="22"/>
        </w:rPr>
        <w:t>ACP = avacincaptad pegol; AE = Adverse event; BSC = Best supportive care; CNV = Choroidal neovascularisation; IOP = Intraocular pressure; LYs = Life</w:t>
      </w:r>
      <w:r w:rsidR="009B60A6">
        <w:rPr>
          <w:rFonts w:ascii="Arial Narrow" w:hAnsi="Arial Narrow"/>
          <w:snapToGrid w:val="0"/>
          <w:sz w:val="18"/>
          <w:szCs w:val="22"/>
        </w:rPr>
        <w:noBreakHyphen/>
      </w:r>
      <w:r w:rsidRPr="007F4BC5">
        <w:rPr>
          <w:rFonts w:ascii="Arial Narrow" w:hAnsi="Arial Narrow"/>
          <w:snapToGrid w:val="0"/>
          <w:sz w:val="18"/>
          <w:szCs w:val="22"/>
        </w:rPr>
        <w:t>year; QALYs = Quality</w:t>
      </w:r>
      <w:r w:rsidR="009B60A6">
        <w:rPr>
          <w:rFonts w:ascii="Arial Narrow" w:hAnsi="Arial Narrow"/>
          <w:snapToGrid w:val="0"/>
          <w:sz w:val="18"/>
          <w:szCs w:val="22"/>
        </w:rPr>
        <w:noBreakHyphen/>
      </w:r>
      <w:r w:rsidRPr="007F4BC5">
        <w:rPr>
          <w:rFonts w:ascii="Arial Narrow" w:hAnsi="Arial Narrow"/>
          <w:snapToGrid w:val="0"/>
          <w:sz w:val="18"/>
          <w:szCs w:val="22"/>
        </w:rPr>
        <w:t>adjusted life years.</w:t>
      </w:r>
    </w:p>
    <w:p w14:paraId="284DB556" w14:textId="346A5AFF" w:rsidR="007F4BC5" w:rsidRPr="0090184F" w:rsidRDefault="007F4BC5" w:rsidP="001A7CE8">
      <w:pPr>
        <w:numPr>
          <w:ilvl w:val="1"/>
          <w:numId w:val="6"/>
        </w:numPr>
        <w:spacing w:before="60" w:after="60"/>
        <w:rPr>
          <w:rFonts w:asciiTheme="minorHAnsi" w:eastAsiaTheme="minorHAnsi" w:hAnsiTheme="minorHAnsi" w:cstheme="minorBidi"/>
          <w:szCs w:val="22"/>
        </w:rPr>
      </w:pPr>
      <w:r w:rsidRPr="0090184F">
        <w:rPr>
          <w:rFonts w:asciiTheme="minorHAnsi" w:eastAsiaTheme="minorHAnsi" w:hAnsiTheme="minorHAnsi" w:cs="Calibri"/>
          <w:color w:val="000000"/>
          <w:szCs w:val="22"/>
        </w:rPr>
        <w:t xml:space="preserve">ACP treatment costs account for most of the incremental costs between the two treatment groups. Treating CNV events also contributes to some of the incremental </w:t>
      </w:r>
      <w:r w:rsidRPr="0090184F">
        <w:rPr>
          <w:rFonts w:asciiTheme="minorHAnsi" w:eastAsiaTheme="minorHAnsi" w:hAnsiTheme="minorHAnsi" w:cs="Calibri"/>
          <w:color w:val="000000"/>
          <w:szCs w:val="22"/>
        </w:rPr>
        <w:lastRenderedPageBreak/>
        <w:t xml:space="preserve">costs, since more CNV events were observed in the ACP group. Most cost savings come from delaying or completely preventing patients from entering the “Blind” health state, which is more expensive to manage than other health states. The bulk of incremental QALYs accumulate in the “Small, Close,” and “Medium, Close” health states because ACP patients remain in these health states longer than those on BSC. Similarly, fewer QALYs are associated with ACP in the “Blind” health state, reflecting the reduction of time in this state, as observed in costs. A gain of 0.14 undiscounted life years (equivalent to 0.088 discounted LYs) was generated in the extrapolated </w:t>
      </w:r>
      <w:proofErr w:type="gramStart"/>
      <w:r w:rsidRPr="0090184F">
        <w:rPr>
          <w:rFonts w:asciiTheme="minorHAnsi" w:eastAsiaTheme="minorHAnsi" w:hAnsiTheme="minorHAnsi" w:cs="Calibri"/>
          <w:color w:val="000000"/>
          <w:szCs w:val="22"/>
        </w:rPr>
        <w:t>time period</w:t>
      </w:r>
      <w:proofErr w:type="gramEnd"/>
      <w:r w:rsidRPr="0090184F">
        <w:rPr>
          <w:rFonts w:asciiTheme="minorHAnsi" w:eastAsiaTheme="minorHAnsi" w:hAnsiTheme="minorHAnsi" w:cs="Calibri"/>
          <w:color w:val="000000"/>
          <w:szCs w:val="22"/>
        </w:rPr>
        <w:t xml:space="preserve"> as shown in </w:t>
      </w:r>
      <w:r w:rsidRPr="0090184F">
        <w:rPr>
          <w:rFonts w:eastAsiaTheme="minorHAnsi"/>
        </w:rPr>
        <w:fldChar w:fldCharType="begin"/>
      </w:r>
      <w:r w:rsidRPr="0090184F">
        <w:rPr>
          <w:rFonts w:eastAsiaTheme="minorHAnsi"/>
        </w:rPr>
        <w:instrText xml:space="preserve"> REF _Ref218870899 \h </w:instrText>
      </w:r>
      <w:r w:rsidR="003C7768" w:rsidRPr="0090184F">
        <w:rPr>
          <w:rFonts w:eastAsiaTheme="minorHAnsi"/>
        </w:rPr>
        <w:instrText xml:space="preserve"> \* MERGEFORMAT </w:instrText>
      </w:r>
      <w:r w:rsidRPr="0090184F">
        <w:rPr>
          <w:rFonts w:eastAsiaTheme="minorHAnsi"/>
        </w:rPr>
      </w:r>
      <w:r w:rsidRPr="0090184F">
        <w:rPr>
          <w:rFonts w:eastAsiaTheme="minorHAnsi"/>
        </w:rPr>
        <w:fldChar w:fldCharType="separate"/>
      </w:r>
      <w:r w:rsidR="00962F38" w:rsidRPr="00962F38">
        <w:t>Figure 9</w:t>
      </w:r>
      <w:r w:rsidRPr="0090184F">
        <w:rPr>
          <w:rFonts w:eastAsiaTheme="minorHAnsi"/>
        </w:rPr>
        <w:fldChar w:fldCharType="end"/>
      </w:r>
      <w:r w:rsidRPr="0090184F">
        <w:rPr>
          <w:rFonts w:eastAsiaTheme="minorHAnsi"/>
        </w:rPr>
        <w:t xml:space="preserve">. </w:t>
      </w:r>
      <w:r w:rsidRPr="0090184F">
        <w:rPr>
          <w:rFonts w:asciiTheme="minorHAnsi" w:eastAsiaTheme="minorHAnsi" w:hAnsiTheme="minorHAnsi" w:cs="Calibri"/>
          <w:color w:val="000000"/>
          <w:szCs w:val="22"/>
        </w:rPr>
        <w:t xml:space="preserve">This small absolute LY gain generates approximately 9% of the total discounted QALY gain. </w:t>
      </w:r>
    </w:p>
    <w:p w14:paraId="483262CF" w14:textId="77777777" w:rsidR="007F4BC5" w:rsidRPr="007F4BC5" w:rsidRDefault="007F4BC5" w:rsidP="007F4BC5">
      <w:pPr>
        <w:spacing w:before="60" w:after="60"/>
        <w:ind w:left="720"/>
        <w:rPr>
          <w:rFonts w:asciiTheme="minorHAnsi" w:eastAsiaTheme="minorHAnsi" w:hAnsiTheme="minorHAnsi" w:cstheme="minorBidi"/>
          <w:szCs w:val="22"/>
        </w:rPr>
      </w:pPr>
    </w:p>
    <w:p w14:paraId="50056C60" w14:textId="4E70CB53" w:rsidR="007F4BC5" w:rsidRPr="00C17763" w:rsidRDefault="007F4BC5" w:rsidP="007F4BC5">
      <w:pPr>
        <w:keepNext/>
        <w:keepLines/>
        <w:rPr>
          <w:rFonts w:ascii="Arial Narrow" w:hAnsi="Arial Narrow"/>
          <w:b/>
          <w:iCs/>
          <w:sz w:val="20"/>
          <w:szCs w:val="18"/>
        </w:rPr>
      </w:pPr>
      <w:bookmarkStart w:id="69" w:name="_Ref218870899"/>
      <w:r w:rsidRPr="00C17763">
        <w:rPr>
          <w:rFonts w:ascii="Arial Narrow" w:hAnsi="Arial Narrow"/>
          <w:b/>
          <w:iCs/>
          <w:sz w:val="20"/>
          <w:szCs w:val="18"/>
        </w:rPr>
        <w:t xml:space="preserve">Figure </w:t>
      </w:r>
      <w:r w:rsidRPr="00C17763">
        <w:rPr>
          <w:rFonts w:ascii="Arial Narrow" w:hAnsi="Arial Narrow"/>
          <w:b/>
          <w:iCs/>
          <w:sz w:val="20"/>
          <w:szCs w:val="18"/>
        </w:rPr>
        <w:fldChar w:fldCharType="begin"/>
      </w:r>
      <w:r w:rsidRPr="00C17763">
        <w:rPr>
          <w:rFonts w:ascii="Arial Narrow" w:hAnsi="Arial Narrow"/>
          <w:b/>
          <w:iCs/>
          <w:sz w:val="20"/>
          <w:szCs w:val="18"/>
        </w:rPr>
        <w:instrText xml:space="preserve"> SEQ Figure \* ARABIC </w:instrText>
      </w:r>
      <w:r w:rsidRPr="00C17763">
        <w:rPr>
          <w:rFonts w:ascii="Arial Narrow" w:hAnsi="Arial Narrow"/>
          <w:b/>
          <w:iCs/>
          <w:sz w:val="20"/>
          <w:szCs w:val="18"/>
        </w:rPr>
        <w:fldChar w:fldCharType="separate"/>
      </w:r>
      <w:r w:rsidR="00962F38">
        <w:rPr>
          <w:rFonts w:ascii="Arial Narrow" w:hAnsi="Arial Narrow"/>
          <w:b/>
          <w:iCs/>
          <w:noProof/>
          <w:sz w:val="20"/>
          <w:szCs w:val="18"/>
        </w:rPr>
        <w:t>9</w:t>
      </w:r>
      <w:r w:rsidRPr="00C17763">
        <w:rPr>
          <w:rFonts w:ascii="Arial Narrow" w:hAnsi="Arial Narrow"/>
          <w:b/>
          <w:iCs/>
          <w:sz w:val="20"/>
          <w:szCs w:val="18"/>
        </w:rPr>
        <w:fldChar w:fldCharType="end"/>
      </w:r>
      <w:bookmarkEnd w:id="69"/>
      <w:r w:rsidRPr="00C17763">
        <w:rPr>
          <w:rFonts w:ascii="Arial Narrow" w:hAnsi="Arial Narrow"/>
          <w:b/>
          <w:iCs/>
          <w:sz w:val="20"/>
          <w:szCs w:val="18"/>
        </w:rPr>
        <w:t>: Cumulative life years gained over the model time horizon (undiscounted) (assuming vision loss increases mortality rate as per the submission)</w:t>
      </w:r>
    </w:p>
    <w:p w14:paraId="7B1B7C28" w14:textId="77777777" w:rsidR="007F4BC5" w:rsidRPr="007F4BC5" w:rsidRDefault="007F4BC5" w:rsidP="007F4BC5">
      <w:pPr>
        <w:rPr>
          <w:i/>
          <w:iCs/>
        </w:rPr>
      </w:pPr>
      <w:r w:rsidRPr="007F4BC5">
        <w:rPr>
          <w:i/>
          <w:iCs/>
          <w:noProof/>
        </w:rPr>
        <w:drawing>
          <wp:inline distT="0" distB="0" distL="0" distR="0" wp14:anchorId="28D2475C" wp14:editId="7FA0190B">
            <wp:extent cx="5779148" cy="3257550"/>
            <wp:effectExtent l="0" t="0" r="0" b="0"/>
            <wp:docPr id="900129137" name="Picture 1" descr="Figure 9: Cumulative life years gained over the model time horizon (undiscounted) (assuming vision loss increases mortality rate as per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29137" name="Picture 1" descr="Figure 9: Cumulative life years gained over the model time horizon (undiscounted) (assuming vision loss increases mortality rate as per the submi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4843" cy="3260760"/>
                    </a:xfrm>
                    <a:prstGeom prst="rect">
                      <a:avLst/>
                    </a:prstGeom>
                    <a:noFill/>
                  </pic:spPr>
                </pic:pic>
              </a:graphicData>
            </a:graphic>
          </wp:inline>
        </w:drawing>
      </w:r>
    </w:p>
    <w:p w14:paraId="68771034" w14:textId="77777777" w:rsidR="007F4BC5" w:rsidRPr="00C17763" w:rsidRDefault="007F4BC5" w:rsidP="007F4BC5">
      <w:pPr>
        <w:keepLines/>
        <w:spacing w:after="300"/>
        <w:contextualSpacing/>
        <w:rPr>
          <w:rFonts w:ascii="Arial Narrow" w:hAnsi="Arial Narrow"/>
          <w:iCs/>
          <w:snapToGrid w:val="0"/>
          <w:sz w:val="18"/>
          <w:szCs w:val="22"/>
        </w:rPr>
      </w:pPr>
      <w:r w:rsidRPr="00C17763">
        <w:rPr>
          <w:rFonts w:ascii="Arial Narrow" w:hAnsi="Arial Narrow"/>
          <w:iCs/>
          <w:snapToGrid w:val="0"/>
          <w:sz w:val="18"/>
          <w:szCs w:val="22"/>
        </w:rPr>
        <w:t xml:space="preserve">Source: Constructed during the evaluation using the “Attachment 11 – </w:t>
      </w:r>
      <w:proofErr w:type="spellStart"/>
      <w:r w:rsidRPr="00C17763">
        <w:rPr>
          <w:rFonts w:ascii="Arial Narrow" w:hAnsi="Arial Narrow"/>
          <w:iCs/>
          <w:snapToGrid w:val="0"/>
          <w:sz w:val="18"/>
          <w:szCs w:val="22"/>
        </w:rPr>
        <w:t>Izervay</w:t>
      </w:r>
      <w:proofErr w:type="spellEnd"/>
      <w:r w:rsidRPr="00C17763">
        <w:rPr>
          <w:rFonts w:ascii="Arial Narrow" w:hAnsi="Arial Narrow"/>
          <w:iCs/>
          <w:snapToGrid w:val="0"/>
          <w:sz w:val="18"/>
          <w:szCs w:val="22"/>
        </w:rPr>
        <w:t xml:space="preserve"> CE Model.xlsm” provided with the submission.</w:t>
      </w:r>
    </w:p>
    <w:p w14:paraId="3AB57687" w14:textId="77777777" w:rsidR="007F4BC5" w:rsidRPr="007F4BC5" w:rsidRDefault="007F4BC5" w:rsidP="00A02E05">
      <w:pPr>
        <w:keepLines/>
        <w:spacing w:after="240"/>
        <w:rPr>
          <w:rFonts w:ascii="Arial Narrow" w:hAnsi="Arial Narrow"/>
          <w:snapToGrid w:val="0"/>
          <w:sz w:val="18"/>
          <w:szCs w:val="22"/>
        </w:rPr>
      </w:pPr>
      <w:r w:rsidRPr="007F4BC5">
        <w:rPr>
          <w:rFonts w:ascii="Arial Narrow" w:hAnsi="Arial Narrow"/>
          <w:snapToGrid w:val="0"/>
          <w:sz w:val="18"/>
          <w:szCs w:val="22"/>
        </w:rPr>
        <w:t>ACP =avacincaptad pegol; BSC = best supportive care; LYs = life years gained; Max = maximum.</w:t>
      </w:r>
    </w:p>
    <w:p w14:paraId="5E90F880" w14:textId="59CA095C" w:rsidR="007F4BC5" w:rsidRPr="00480491" w:rsidRDefault="007F4BC5" w:rsidP="001A7CE8">
      <w:pPr>
        <w:numPr>
          <w:ilvl w:val="1"/>
          <w:numId w:val="6"/>
        </w:numPr>
        <w:spacing w:before="60" w:after="60"/>
        <w:rPr>
          <w:rFonts w:asciiTheme="minorHAnsi" w:eastAsiaTheme="minorHAnsi" w:hAnsiTheme="minorHAnsi" w:cstheme="minorBidi"/>
          <w:szCs w:val="22"/>
        </w:rPr>
      </w:pPr>
      <w:r w:rsidRPr="00480491">
        <w:rPr>
          <w:rFonts w:asciiTheme="minorHAnsi" w:eastAsiaTheme="minorHAnsi" w:hAnsiTheme="minorHAnsi" w:cstheme="minorBidi"/>
          <w:szCs w:val="22"/>
        </w:rPr>
        <w:t xml:space="preserve">The results of key sensitivity analyses and multivariate analyses performed during the evaluation are summarised in </w:t>
      </w:r>
      <w:r w:rsidRPr="00480491">
        <w:rPr>
          <w:rFonts w:asciiTheme="minorHAnsi" w:eastAsiaTheme="minorHAnsi" w:hAnsiTheme="minorHAnsi" w:cstheme="minorHAnsi"/>
        </w:rPr>
        <w:fldChar w:fldCharType="begin"/>
      </w:r>
      <w:r w:rsidRPr="00480491">
        <w:rPr>
          <w:rFonts w:asciiTheme="minorHAnsi" w:eastAsiaTheme="minorHAnsi" w:hAnsiTheme="minorHAnsi" w:cstheme="minorHAnsi"/>
        </w:rPr>
        <w:instrText xml:space="preserve"> REF _Ref104804865 \h  \* MERGEFORMAT </w:instrText>
      </w:r>
      <w:r w:rsidRPr="00480491">
        <w:rPr>
          <w:rFonts w:asciiTheme="minorHAnsi" w:eastAsiaTheme="minorHAnsi" w:hAnsiTheme="minorHAnsi" w:cstheme="minorHAnsi"/>
        </w:rPr>
      </w:r>
      <w:r w:rsidRPr="00480491">
        <w:rPr>
          <w:rFonts w:asciiTheme="minorHAnsi" w:eastAsiaTheme="minorHAnsi" w:hAnsiTheme="minorHAnsi" w:cstheme="minorHAnsi"/>
        </w:rPr>
        <w:fldChar w:fldCharType="separate"/>
      </w:r>
      <w:r w:rsidR="00962F38" w:rsidRPr="00962F38">
        <w:rPr>
          <w:rFonts w:asciiTheme="minorHAnsi" w:eastAsiaTheme="minorHAnsi" w:hAnsiTheme="minorHAnsi" w:cstheme="minorHAnsi"/>
        </w:rPr>
        <w:t xml:space="preserve">Table </w:t>
      </w:r>
      <w:r w:rsidR="00962F38" w:rsidRPr="00962F38">
        <w:rPr>
          <w:rFonts w:asciiTheme="minorHAnsi" w:eastAsiaTheme="minorHAnsi" w:hAnsiTheme="minorHAnsi" w:cstheme="minorHAnsi"/>
          <w:noProof/>
        </w:rPr>
        <w:t>15</w:t>
      </w:r>
      <w:r w:rsidRPr="00480491">
        <w:rPr>
          <w:rFonts w:asciiTheme="minorHAnsi" w:eastAsiaTheme="minorHAnsi" w:hAnsiTheme="minorHAnsi" w:cstheme="minorHAnsi"/>
        </w:rPr>
        <w:fldChar w:fldCharType="end"/>
      </w:r>
      <w:r w:rsidRPr="00480491">
        <w:rPr>
          <w:rFonts w:asciiTheme="minorHAnsi" w:eastAsiaTheme="minorHAnsi" w:hAnsiTheme="minorHAnsi" w:cstheme="minorHAnsi"/>
        </w:rPr>
        <w:t xml:space="preserve">. </w:t>
      </w:r>
      <w:r w:rsidR="00126BDA" w:rsidRPr="00480491">
        <w:rPr>
          <w:rFonts w:asciiTheme="minorHAnsi" w:eastAsiaTheme="minorHAnsi" w:hAnsiTheme="minorHAnsi" w:cstheme="minorBidi"/>
          <w:szCs w:val="22"/>
        </w:rPr>
        <w:t>The m</w:t>
      </w:r>
      <w:r w:rsidRPr="00480491">
        <w:rPr>
          <w:rFonts w:asciiTheme="minorHAnsi" w:eastAsiaTheme="minorHAnsi" w:hAnsiTheme="minorHAnsi" w:cstheme="minorBidi"/>
          <w:szCs w:val="22"/>
        </w:rPr>
        <w:t>odel was most sensitive to the treatment regimen used and the time horizon. Base case ICER increased notably when time horizon, ACP dosing schedule, excess mortality application, and clinical efficacy data source were varied in multivariate analyses.</w:t>
      </w:r>
    </w:p>
    <w:p w14:paraId="7A9A3012" w14:textId="4900668B" w:rsidR="007F4BC5" w:rsidRPr="007F4BC5" w:rsidRDefault="007F4BC5" w:rsidP="007F4BC5">
      <w:pPr>
        <w:keepNext/>
        <w:keepLines/>
        <w:rPr>
          <w:rFonts w:ascii="Arial Narrow" w:hAnsi="Arial Narrow"/>
          <w:b/>
          <w:bCs/>
          <w:sz w:val="20"/>
        </w:rPr>
      </w:pPr>
      <w:bookmarkStart w:id="70" w:name="_Ref104804865"/>
      <w:r w:rsidRPr="007F4BC5">
        <w:rPr>
          <w:rFonts w:ascii="Arial Narrow" w:hAnsi="Arial Narrow"/>
          <w:b/>
          <w:bCs/>
          <w:sz w:val="20"/>
          <w:szCs w:val="18"/>
        </w:rPr>
        <w:lastRenderedPageBreak/>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15</w:t>
      </w:r>
      <w:r w:rsidRPr="007F4BC5">
        <w:rPr>
          <w:rFonts w:ascii="Arial Narrow" w:hAnsi="Arial Narrow"/>
          <w:b/>
          <w:bCs/>
          <w:sz w:val="20"/>
          <w:szCs w:val="18"/>
        </w:rPr>
        <w:fldChar w:fldCharType="end"/>
      </w:r>
      <w:bookmarkEnd w:id="70"/>
      <w:r w:rsidRPr="007F4BC5">
        <w:rPr>
          <w:rFonts w:ascii="Arial Narrow" w:hAnsi="Arial Narrow"/>
          <w:b/>
          <w:bCs/>
          <w:sz w:val="20"/>
          <w:szCs w:val="18"/>
        </w:rPr>
        <w:t>:</w:t>
      </w:r>
      <w:r w:rsidRPr="007F4BC5">
        <w:rPr>
          <w:rFonts w:ascii="Arial Narrow" w:hAnsi="Arial Narrow"/>
          <w:b/>
          <w:bCs/>
          <w:sz w:val="20"/>
        </w:rPr>
        <w:t xml:space="preserve"> Key sensitivity and multivariate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Key sensitivity and multivariate analyses"/>
      </w:tblPr>
      <w:tblGrid>
        <w:gridCol w:w="3398"/>
        <w:gridCol w:w="18"/>
        <w:gridCol w:w="1401"/>
        <w:gridCol w:w="1401"/>
        <w:gridCol w:w="16"/>
        <w:gridCol w:w="1701"/>
        <w:gridCol w:w="1082"/>
      </w:tblGrid>
      <w:tr w:rsidR="007F4BC5" w:rsidRPr="007F4BC5" w14:paraId="775F812D" w14:textId="77777777">
        <w:trPr>
          <w:cantSplit/>
          <w:tblHeader/>
        </w:trPr>
        <w:tc>
          <w:tcPr>
            <w:tcW w:w="1894" w:type="pct"/>
            <w:gridSpan w:val="2"/>
          </w:tcPr>
          <w:p w14:paraId="0833201F"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Analyses</w:t>
            </w:r>
          </w:p>
        </w:tc>
        <w:tc>
          <w:tcPr>
            <w:tcW w:w="777" w:type="pct"/>
          </w:tcPr>
          <w:p w14:paraId="2C640939"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Incremental cost</w:t>
            </w:r>
          </w:p>
        </w:tc>
        <w:tc>
          <w:tcPr>
            <w:tcW w:w="777" w:type="pct"/>
          </w:tcPr>
          <w:p w14:paraId="14C29FE2"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Incremental QALY</w:t>
            </w:r>
          </w:p>
        </w:tc>
        <w:tc>
          <w:tcPr>
            <w:tcW w:w="952" w:type="pct"/>
            <w:gridSpan w:val="2"/>
          </w:tcPr>
          <w:p w14:paraId="097C6238"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ICER</w:t>
            </w:r>
          </w:p>
        </w:tc>
        <w:tc>
          <w:tcPr>
            <w:tcW w:w="600" w:type="pct"/>
          </w:tcPr>
          <w:p w14:paraId="03D0ABE7"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 change to ICER</w:t>
            </w:r>
          </w:p>
        </w:tc>
      </w:tr>
      <w:tr w:rsidR="007F4BC5" w:rsidRPr="007F4BC5" w14:paraId="7F5CC350" w14:textId="77777777">
        <w:trPr>
          <w:cantSplit/>
        </w:trPr>
        <w:tc>
          <w:tcPr>
            <w:tcW w:w="1894" w:type="pct"/>
            <w:gridSpan w:val="2"/>
          </w:tcPr>
          <w:p w14:paraId="25EB8765" w14:textId="77777777" w:rsidR="007F4BC5" w:rsidRPr="007F4BC5" w:rsidRDefault="007F4BC5" w:rsidP="007F4BC5">
            <w:pPr>
              <w:keepNext/>
              <w:keepLines/>
              <w:jc w:val="left"/>
              <w:rPr>
                <w:rFonts w:ascii="Arial Narrow" w:eastAsiaTheme="majorEastAsia" w:hAnsi="Arial Narrow" w:cstheme="majorBidi"/>
                <w:b/>
                <w:bCs/>
                <w:sz w:val="20"/>
              </w:rPr>
            </w:pPr>
            <w:r w:rsidRPr="007F4BC5">
              <w:rPr>
                <w:rFonts w:ascii="Arial Narrow" w:eastAsiaTheme="majorEastAsia" w:hAnsi="Arial Narrow" w:cstheme="majorBidi"/>
                <w:b/>
                <w:bCs/>
                <w:sz w:val="20"/>
              </w:rPr>
              <w:t>Base case</w:t>
            </w:r>
          </w:p>
        </w:tc>
        <w:tc>
          <w:tcPr>
            <w:tcW w:w="777" w:type="pct"/>
          </w:tcPr>
          <w:p w14:paraId="57B604D5" w14:textId="10232F3D" w:rsidR="007F4BC5" w:rsidRPr="007F4BC5" w:rsidRDefault="007F4BC5" w:rsidP="007F4BC5">
            <w:pPr>
              <w:keepNext/>
              <w:keepLines/>
              <w:jc w:val="center"/>
              <w:rPr>
                <w:rFonts w:ascii="Arial Narrow" w:eastAsiaTheme="majorEastAsia" w:hAnsi="Arial Narrow" w:cstheme="majorBidi"/>
                <w:b/>
                <w:sz w:val="20"/>
                <w:highlight w:val="black"/>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p>
        </w:tc>
        <w:tc>
          <w:tcPr>
            <w:tcW w:w="777" w:type="pct"/>
          </w:tcPr>
          <w:p w14:paraId="7CE442BB" w14:textId="77777777" w:rsidR="007F4BC5" w:rsidRPr="007F4BC5" w:rsidRDefault="007F4BC5" w:rsidP="007F4BC5">
            <w:pPr>
              <w:keepNext/>
              <w:keepLines/>
              <w:jc w:val="center"/>
              <w:rPr>
                <w:rFonts w:ascii="Arial Narrow" w:eastAsiaTheme="majorEastAsia" w:hAnsi="Arial Narrow" w:cstheme="majorBidi"/>
                <w:b/>
                <w:sz w:val="20"/>
              </w:rPr>
            </w:pPr>
            <w:r w:rsidRPr="007F4BC5">
              <w:rPr>
                <w:rFonts w:ascii="Arial Narrow" w:eastAsiaTheme="majorEastAsia" w:hAnsi="Arial Narrow" w:cstheme="majorBidi"/>
                <w:b/>
                <w:sz w:val="20"/>
              </w:rPr>
              <w:t>0.335</w:t>
            </w:r>
          </w:p>
        </w:tc>
        <w:tc>
          <w:tcPr>
            <w:tcW w:w="952" w:type="pct"/>
            <w:gridSpan w:val="2"/>
          </w:tcPr>
          <w:p w14:paraId="5BE0FA97" w14:textId="649C548B" w:rsidR="007F4BC5" w:rsidRPr="002B57C8" w:rsidRDefault="007F4BC5" w:rsidP="007F4BC5">
            <w:pPr>
              <w:keepNext/>
              <w:keepLines/>
              <w:jc w:val="center"/>
              <w:rPr>
                <w:rFonts w:ascii="Arial Narrow" w:eastAsiaTheme="majorEastAsia" w:hAnsi="Arial Narrow" w:cstheme="majorBidi"/>
                <w:b/>
                <w:sz w:val="20"/>
                <w:highlight w:val="black"/>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2B57C8" w:rsidRPr="002B57C8">
              <w:rPr>
                <w:rFonts w:ascii="Arial Narrow" w:eastAsiaTheme="majorEastAsia" w:hAnsi="Arial Narrow" w:cstheme="majorBidi"/>
                <w:b/>
                <w:sz w:val="20"/>
                <w:vertAlign w:val="superscript"/>
              </w:rPr>
              <w:t>1</w:t>
            </w:r>
          </w:p>
        </w:tc>
        <w:tc>
          <w:tcPr>
            <w:tcW w:w="600" w:type="pct"/>
          </w:tcPr>
          <w:p w14:paraId="60FA5A08" w14:textId="4F520156" w:rsidR="007F4BC5" w:rsidRPr="007F4BC5" w:rsidRDefault="009B60A6" w:rsidP="007F4BC5">
            <w:pPr>
              <w:keepNext/>
              <w:keepLines/>
              <w:jc w:val="left"/>
              <w:rPr>
                <w:rFonts w:ascii="Arial Narrow" w:eastAsia="Calibri" w:hAnsi="Arial Narrow" w:cstheme="majorBidi"/>
                <w:b/>
                <w:bCs/>
                <w:sz w:val="20"/>
                <w:szCs w:val="20"/>
              </w:rPr>
            </w:pPr>
            <w:r>
              <w:rPr>
                <w:rFonts w:ascii="Arial Narrow" w:eastAsia="Calibri" w:hAnsi="Arial Narrow" w:cstheme="majorBidi"/>
                <w:b/>
                <w:bCs/>
                <w:sz w:val="20"/>
                <w:szCs w:val="20"/>
              </w:rPr>
              <w:noBreakHyphen/>
            </w:r>
          </w:p>
        </w:tc>
      </w:tr>
      <w:tr w:rsidR="007F4BC5" w:rsidRPr="007F4BC5" w14:paraId="20C18F3F" w14:textId="77777777">
        <w:trPr>
          <w:cantSplit/>
          <w:trHeight w:val="283"/>
        </w:trPr>
        <w:tc>
          <w:tcPr>
            <w:tcW w:w="5000" w:type="pct"/>
            <w:gridSpan w:val="7"/>
          </w:tcPr>
          <w:p w14:paraId="24BDCF2C" w14:textId="77777777" w:rsidR="007F4BC5" w:rsidRPr="007F4BC5" w:rsidRDefault="007F4BC5" w:rsidP="007F4BC5">
            <w:pPr>
              <w:keepNext/>
              <w:keepLines/>
              <w:jc w:val="left"/>
              <w:rPr>
                <w:rFonts w:ascii="Arial Narrow" w:eastAsia="Calibri" w:hAnsi="Arial Narrow" w:cstheme="majorBidi"/>
                <w:bCs/>
                <w:sz w:val="20"/>
                <w:szCs w:val="20"/>
              </w:rPr>
            </w:pPr>
            <w:r w:rsidRPr="007F4BC5">
              <w:rPr>
                <w:rFonts w:ascii="Arial Narrow" w:eastAsiaTheme="majorEastAsia" w:hAnsi="Arial Narrow" w:cstheme="majorBidi"/>
                <w:bCs/>
                <w:sz w:val="20"/>
              </w:rPr>
              <w:t>Discount rate (base case: 5% costs and outcomes)</w:t>
            </w:r>
          </w:p>
        </w:tc>
      </w:tr>
      <w:tr w:rsidR="007F4BC5" w:rsidRPr="007F4BC5" w14:paraId="02EE645F" w14:textId="77777777">
        <w:trPr>
          <w:cantSplit/>
          <w:trHeight w:val="283"/>
        </w:trPr>
        <w:tc>
          <w:tcPr>
            <w:tcW w:w="1894" w:type="pct"/>
            <w:gridSpan w:val="2"/>
          </w:tcPr>
          <w:p w14:paraId="3CA12992" w14:textId="77777777" w:rsidR="007F4BC5" w:rsidRPr="007F4BC5" w:rsidRDefault="007F4BC5" w:rsidP="001A7CE8">
            <w:pPr>
              <w:keepNext/>
              <w:keepLines/>
              <w:numPr>
                <w:ilvl w:val="0"/>
                <w:numId w:val="12"/>
              </w:numPr>
              <w:jc w:val="left"/>
              <w:rPr>
                <w:rFonts w:ascii="Arial Narrow" w:eastAsiaTheme="majorEastAsia" w:hAnsi="Arial Narrow" w:cstheme="majorBidi"/>
                <w:bCs/>
                <w:sz w:val="20"/>
              </w:rPr>
            </w:pPr>
            <w:r w:rsidRPr="007F4BC5">
              <w:rPr>
                <w:rFonts w:ascii="Arial Narrow" w:eastAsiaTheme="majorEastAsia" w:hAnsi="Arial Narrow" w:cstheme="majorBidi"/>
                <w:bCs/>
                <w:sz w:val="20"/>
              </w:rPr>
              <w:t>0% costs and outcomes</w:t>
            </w:r>
          </w:p>
        </w:tc>
        <w:tc>
          <w:tcPr>
            <w:tcW w:w="777" w:type="pct"/>
          </w:tcPr>
          <w:p w14:paraId="0DC49D09" w14:textId="0CBD89F7" w:rsidR="007F4BC5" w:rsidRPr="007F4BC5" w:rsidRDefault="007F4BC5" w:rsidP="007F4BC5">
            <w:pPr>
              <w:keepNext/>
              <w:keepLines/>
              <w:jc w:val="center"/>
              <w:rPr>
                <w:rFonts w:ascii="Arial Narrow" w:eastAsia="Calibri" w:hAnsi="Arial Narrow" w:cstheme="majorBidi"/>
                <w:bCs/>
                <w:sz w:val="20"/>
                <w:szCs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4AC91153" w14:textId="77777777" w:rsidR="007F4BC5" w:rsidRPr="007F4BC5" w:rsidRDefault="007F4BC5" w:rsidP="007F4BC5">
            <w:pPr>
              <w:keepNext/>
              <w:keepLines/>
              <w:jc w:val="center"/>
              <w:rPr>
                <w:rFonts w:ascii="Arial Narrow" w:eastAsia="Calibri" w:hAnsi="Arial Narrow" w:cstheme="majorBidi"/>
                <w:bCs/>
                <w:sz w:val="20"/>
                <w:szCs w:val="20"/>
              </w:rPr>
            </w:pPr>
            <w:r w:rsidRPr="007F4BC5">
              <w:rPr>
                <w:rFonts w:ascii="Arial Narrow" w:eastAsiaTheme="majorEastAsia" w:hAnsi="Arial Narrow" w:cstheme="majorBidi"/>
                <w:bCs/>
                <w:sz w:val="20"/>
              </w:rPr>
              <w:t>0.439</w:t>
            </w:r>
          </w:p>
        </w:tc>
        <w:tc>
          <w:tcPr>
            <w:tcW w:w="952" w:type="pct"/>
            <w:gridSpan w:val="2"/>
          </w:tcPr>
          <w:p w14:paraId="1EAA79B1" w14:textId="06A22822" w:rsidR="007F4BC5" w:rsidRPr="00C32823" w:rsidRDefault="007F4BC5" w:rsidP="007F4BC5">
            <w:pPr>
              <w:keepNext/>
              <w:keepLines/>
              <w:jc w:val="center"/>
              <w:rPr>
                <w:rFonts w:ascii="Arial Narrow" w:eastAsia="Calibri" w:hAnsi="Arial Narrow" w:cstheme="majorBidi"/>
                <w:bCs/>
                <w:sz w:val="20"/>
                <w:szCs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2823">
              <w:rPr>
                <w:rFonts w:ascii="Arial Narrow" w:eastAsiaTheme="majorEastAsia" w:hAnsi="Arial Narrow" w:cstheme="majorBidi"/>
                <w:bCs/>
                <w:sz w:val="20"/>
                <w:vertAlign w:val="superscript"/>
              </w:rPr>
              <w:t>1</w:t>
            </w:r>
          </w:p>
        </w:tc>
        <w:tc>
          <w:tcPr>
            <w:tcW w:w="600" w:type="pct"/>
          </w:tcPr>
          <w:p w14:paraId="0D0B3B4B" w14:textId="58400D77" w:rsidR="007F4BC5" w:rsidRPr="007F4BC5" w:rsidRDefault="009B60A6" w:rsidP="007F4BC5">
            <w:pPr>
              <w:keepNext/>
              <w:keepLines/>
              <w:jc w:val="center"/>
              <w:rPr>
                <w:rFonts w:ascii="Arial Narrow" w:eastAsia="Calibri" w:hAnsi="Arial Narrow" w:cstheme="majorBidi"/>
                <w:bCs/>
                <w:sz w:val="20"/>
                <w:szCs w:val="20"/>
              </w:rPr>
            </w:pPr>
            <w:r>
              <w:rPr>
                <w:rFonts w:ascii="Arial Narrow" w:eastAsiaTheme="majorEastAsia" w:hAnsi="Arial Narrow" w:cstheme="majorBidi"/>
                <w:bCs/>
                <w:sz w:val="20"/>
              </w:rPr>
              <w:noBreakHyphen/>
            </w:r>
            <w:r w:rsidR="00B37C73"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7F4BC5" w:rsidRPr="007F4BC5" w14:paraId="0D886924" w14:textId="77777777">
        <w:trPr>
          <w:cantSplit/>
          <w:trHeight w:val="283"/>
        </w:trPr>
        <w:tc>
          <w:tcPr>
            <w:tcW w:w="1894" w:type="pct"/>
            <w:gridSpan w:val="2"/>
          </w:tcPr>
          <w:p w14:paraId="0E8D45DD" w14:textId="77777777" w:rsidR="007F4BC5" w:rsidRPr="007F4BC5" w:rsidRDefault="007F4BC5" w:rsidP="001A7CE8">
            <w:pPr>
              <w:keepNext/>
              <w:keepLines/>
              <w:numPr>
                <w:ilvl w:val="0"/>
                <w:numId w:val="12"/>
              </w:numPr>
              <w:jc w:val="left"/>
              <w:rPr>
                <w:rFonts w:ascii="Arial Narrow" w:eastAsiaTheme="majorEastAsia" w:hAnsi="Arial Narrow" w:cstheme="majorBidi"/>
                <w:bCs/>
                <w:sz w:val="20"/>
              </w:rPr>
            </w:pPr>
            <w:r w:rsidRPr="007F4BC5">
              <w:rPr>
                <w:rFonts w:ascii="Arial Narrow" w:eastAsiaTheme="majorEastAsia" w:hAnsi="Arial Narrow" w:cstheme="majorBidi"/>
                <w:bCs/>
                <w:sz w:val="20"/>
              </w:rPr>
              <w:t>3.5% costs and outcomes</w:t>
            </w:r>
          </w:p>
        </w:tc>
        <w:tc>
          <w:tcPr>
            <w:tcW w:w="777" w:type="pct"/>
          </w:tcPr>
          <w:p w14:paraId="5CBDEF5A" w14:textId="4A9C4601" w:rsidR="007F4BC5" w:rsidRPr="007F4BC5" w:rsidRDefault="007F4BC5" w:rsidP="007F4BC5">
            <w:pPr>
              <w:keepNext/>
              <w:keepLines/>
              <w:jc w:val="center"/>
              <w:rPr>
                <w:rFonts w:ascii="Arial Narrow" w:eastAsia="Calibri" w:hAnsi="Arial Narrow" w:cstheme="majorBidi"/>
                <w:bCs/>
                <w:sz w:val="20"/>
                <w:szCs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7D9425C9" w14:textId="77777777" w:rsidR="007F4BC5" w:rsidRPr="007F4BC5" w:rsidRDefault="007F4BC5" w:rsidP="007F4BC5">
            <w:pPr>
              <w:keepNext/>
              <w:keepLines/>
              <w:jc w:val="center"/>
              <w:rPr>
                <w:rFonts w:ascii="Arial Narrow" w:eastAsia="Calibri" w:hAnsi="Arial Narrow" w:cstheme="majorBidi"/>
                <w:bCs/>
                <w:sz w:val="20"/>
                <w:szCs w:val="20"/>
              </w:rPr>
            </w:pPr>
            <w:r w:rsidRPr="007F4BC5">
              <w:rPr>
                <w:rFonts w:ascii="Arial Narrow" w:eastAsiaTheme="majorEastAsia" w:hAnsi="Arial Narrow" w:cstheme="majorBidi"/>
                <w:bCs/>
                <w:sz w:val="20"/>
              </w:rPr>
              <w:t>0.362</w:t>
            </w:r>
          </w:p>
        </w:tc>
        <w:tc>
          <w:tcPr>
            <w:tcW w:w="952" w:type="pct"/>
            <w:gridSpan w:val="2"/>
          </w:tcPr>
          <w:p w14:paraId="377A84E9" w14:textId="0A375DB0" w:rsidR="007F4BC5" w:rsidRPr="002B57C8" w:rsidRDefault="007F4BC5" w:rsidP="007F4BC5">
            <w:pPr>
              <w:keepNext/>
              <w:keepLines/>
              <w:jc w:val="center"/>
              <w:rPr>
                <w:rFonts w:ascii="Arial Narrow" w:eastAsia="Calibri" w:hAnsi="Arial Narrow" w:cstheme="majorBidi"/>
                <w:bCs/>
                <w:sz w:val="20"/>
                <w:szCs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2B57C8">
              <w:rPr>
                <w:rFonts w:ascii="Arial Narrow" w:eastAsiaTheme="majorEastAsia" w:hAnsi="Arial Narrow" w:cstheme="majorBidi"/>
                <w:bCs/>
                <w:sz w:val="20"/>
                <w:vertAlign w:val="superscript"/>
              </w:rPr>
              <w:t>1</w:t>
            </w:r>
          </w:p>
        </w:tc>
        <w:tc>
          <w:tcPr>
            <w:tcW w:w="600" w:type="pct"/>
          </w:tcPr>
          <w:p w14:paraId="72499FE8" w14:textId="0E8F112E" w:rsidR="007F4BC5" w:rsidRPr="007F4BC5" w:rsidRDefault="009B60A6" w:rsidP="007F4BC5">
            <w:pPr>
              <w:keepNext/>
              <w:keepLines/>
              <w:jc w:val="center"/>
              <w:rPr>
                <w:rFonts w:ascii="Arial Narrow" w:eastAsia="Calibri" w:hAnsi="Arial Narrow" w:cstheme="majorBidi"/>
                <w:bCs/>
                <w:sz w:val="20"/>
                <w:szCs w:val="20"/>
              </w:rPr>
            </w:pPr>
            <w:r>
              <w:rPr>
                <w:rFonts w:ascii="Arial Narrow" w:eastAsiaTheme="majorEastAsia" w:hAnsi="Arial Narrow" w:cstheme="majorBidi"/>
                <w:bCs/>
                <w:sz w:val="20"/>
              </w:rPr>
              <w:noBreakHyphen/>
            </w:r>
            <w:r w:rsidR="00B37C73"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7F4BC5" w:rsidRPr="007F4BC5" w14:paraId="63B6B2AE" w14:textId="77777777">
        <w:trPr>
          <w:cantSplit/>
        </w:trPr>
        <w:tc>
          <w:tcPr>
            <w:tcW w:w="4400" w:type="pct"/>
            <w:gridSpan w:val="6"/>
          </w:tcPr>
          <w:p w14:paraId="4536463F"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Time horizon (base case 20 years)</w:t>
            </w:r>
          </w:p>
        </w:tc>
        <w:tc>
          <w:tcPr>
            <w:tcW w:w="600" w:type="pct"/>
          </w:tcPr>
          <w:p w14:paraId="4E31B341" w14:textId="77777777" w:rsidR="007F4BC5" w:rsidRPr="007F4BC5" w:rsidRDefault="007F4BC5" w:rsidP="007F4BC5">
            <w:pPr>
              <w:keepNext/>
              <w:keepLines/>
              <w:jc w:val="left"/>
              <w:rPr>
                <w:rFonts w:ascii="Arial Narrow" w:eastAsiaTheme="majorEastAsia" w:hAnsi="Arial Narrow" w:cstheme="majorBidi"/>
                <w:bCs/>
                <w:sz w:val="20"/>
              </w:rPr>
            </w:pPr>
          </w:p>
        </w:tc>
      </w:tr>
      <w:tr w:rsidR="007F4BC5" w:rsidRPr="007F4BC5" w14:paraId="5EDF7B38" w14:textId="77777777">
        <w:trPr>
          <w:cantSplit/>
        </w:trPr>
        <w:tc>
          <w:tcPr>
            <w:tcW w:w="1894" w:type="pct"/>
            <w:gridSpan w:val="2"/>
          </w:tcPr>
          <w:p w14:paraId="72F1B6E4" w14:textId="71994DCC" w:rsidR="007F4BC5" w:rsidRPr="007F4BC5" w:rsidRDefault="007F4BC5" w:rsidP="001A7CE8">
            <w:pPr>
              <w:keepNext/>
              <w:keepLines/>
              <w:numPr>
                <w:ilvl w:val="0"/>
                <w:numId w:val="12"/>
              </w:numPr>
              <w:jc w:val="lef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5 years </w:t>
            </w:r>
          </w:p>
        </w:tc>
        <w:tc>
          <w:tcPr>
            <w:tcW w:w="777" w:type="pct"/>
          </w:tcPr>
          <w:p w14:paraId="3E02486E" w14:textId="19ABB132" w:rsidR="007F4BC5" w:rsidRPr="007F4BC5" w:rsidRDefault="007F4BC5" w:rsidP="007F4BC5">
            <w:pPr>
              <w:keepNext/>
              <w:keepLines/>
              <w:jc w:val="center"/>
              <w:rPr>
                <w:rFonts w:ascii="Arial Narrow" w:eastAsiaTheme="majorEastAsia" w:hAnsi="Arial Narrow" w:cstheme="majorBidi"/>
                <w:bCs/>
                <w:sz w:val="20"/>
                <w:highlight w:val="black"/>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78A18AAF"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0.205</w:t>
            </w:r>
          </w:p>
        </w:tc>
        <w:tc>
          <w:tcPr>
            <w:tcW w:w="952" w:type="pct"/>
            <w:gridSpan w:val="2"/>
          </w:tcPr>
          <w:p w14:paraId="68525CE6" w14:textId="69252C48" w:rsidR="007F4BC5" w:rsidRPr="000762DB" w:rsidRDefault="007F4BC5" w:rsidP="007F4BC5">
            <w:pPr>
              <w:keepNext/>
              <w:keepLines/>
              <w:jc w:val="center"/>
              <w:rPr>
                <w:rFonts w:ascii="Arial Narrow" w:eastAsiaTheme="majorEastAsia" w:hAnsi="Arial Narrow" w:cstheme="majorBidi"/>
                <w:bCs/>
                <w:sz w:val="20"/>
                <w:highlight w:val="black"/>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762DB" w:rsidRPr="000762DB">
              <w:rPr>
                <w:rFonts w:ascii="Arial Narrow" w:eastAsiaTheme="majorEastAsia" w:hAnsi="Arial Narrow" w:cstheme="majorBidi"/>
                <w:bCs/>
                <w:sz w:val="20"/>
                <w:vertAlign w:val="superscript"/>
              </w:rPr>
              <w:t>2</w:t>
            </w:r>
          </w:p>
        </w:tc>
        <w:tc>
          <w:tcPr>
            <w:tcW w:w="600" w:type="pct"/>
          </w:tcPr>
          <w:p w14:paraId="3AC2D12D" w14:textId="4D86532E" w:rsidR="007F4BC5" w:rsidRPr="007F4BC5" w:rsidRDefault="00B37C73" w:rsidP="007F4BC5">
            <w:pPr>
              <w:keepNext/>
              <w:keepLines/>
              <w:jc w:val="center"/>
              <w:rPr>
                <w:rFonts w:ascii="Arial Narrow" w:eastAsia="Calibri" w:hAnsi="Arial Narrow" w:cstheme="majorBidi"/>
                <w:bCs/>
                <w:sz w:val="20"/>
                <w:szCs w:val="20"/>
              </w:rPr>
            </w:pPr>
            <w:r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7F4BC5" w:rsidRPr="007F4BC5" w14:paraId="0C063565" w14:textId="77777777">
        <w:trPr>
          <w:cantSplit/>
          <w:trHeight w:val="283"/>
        </w:trPr>
        <w:tc>
          <w:tcPr>
            <w:tcW w:w="1894" w:type="pct"/>
            <w:gridSpan w:val="2"/>
          </w:tcPr>
          <w:p w14:paraId="3E87054F" w14:textId="467C352D" w:rsidR="007F4BC5" w:rsidRPr="00032862" w:rsidRDefault="007F4BC5" w:rsidP="001A7CE8">
            <w:pPr>
              <w:keepNext/>
              <w:keepLines/>
              <w:numPr>
                <w:ilvl w:val="0"/>
                <w:numId w:val="13"/>
              </w:numPr>
              <w:jc w:val="left"/>
              <w:rPr>
                <w:rFonts w:ascii="Arial Narrow" w:eastAsiaTheme="majorEastAsia" w:hAnsi="Arial Narrow" w:cstheme="majorBidi"/>
                <w:bCs/>
                <w:sz w:val="20"/>
              </w:rPr>
            </w:pPr>
            <w:r w:rsidRPr="00032862">
              <w:rPr>
                <w:rFonts w:ascii="Arial Narrow" w:eastAsiaTheme="majorEastAsia" w:hAnsi="Arial Narrow" w:cstheme="majorBidi"/>
                <w:bCs/>
                <w:sz w:val="20"/>
              </w:rPr>
              <w:t>10 years</w:t>
            </w:r>
            <w:r w:rsidR="00E41200">
              <w:rPr>
                <w:rFonts w:ascii="Arial Narrow" w:eastAsiaTheme="majorEastAsia" w:hAnsi="Arial Narrow" w:cstheme="majorBidi"/>
                <w:bCs/>
                <w:sz w:val="20"/>
              </w:rPr>
              <w:t xml:space="preserve"> </w:t>
            </w:r>
            <w:r w:rsidR="0071480B" w:rsidRPr="00032862">
              <w:rPr>
                <w:rFonts w:ascii="Arial Narrow" w:eastAsiaTheme="majorEastAsia" w:hAnsi="Arial Narrow" w:cstheme="majorBidi"/>
                <w:b/>
                <w:bCs/>
                <w:sz w:val="20"/>
              </w:rPr>
              <w:t>(</w:t>
            </w:r>
            <w:r w:rsidR="006459FC" w:rsidRPr="00032862">
              <w:rPr>
                <w:rFonts w:ascii="Arial Narrow" w:eastAsiaTheme="majorEastAsia" w:hAnsi="Arial Narrow" w:cstheme="majorBidi"/>
                <w:b/>
                <w:bCs/>
                <w:sz w:val="20"/>
              </w:rPr>
              <w:t>#1)</w:t>
            </w:r>
          </w:p>
        </w:tc>
        <w:tc>
          <w:tcPr>
            <w:tcW w:w="777" w:type="pct"/>
          </w:tcPr>
          <w:p w14:paraId="5CE38C1A" w14:textId="585C8B94" w:rsidR="007F4BC5" w:rsidRPr="00032862" w:rsidRDefault="007F4BC5" w:rsidP="007F4BC5">
            <w:pPr>
              <w:keepNext/>
              <w:keepLines/>
              <w:jc w:val="center"/>
              <w:rPr>
                <w:rFonts w:ascii="Arial Narrow" w:eastAsiaTheme="majorEastAsia" w:hAnsi="Arial Narrow" w:cstheme="majorBidi"/>
                <w:bCs/>
                <w:sz w:val="20"/>
                <w:highlight w:val="black"/>
              </w:rPr>
            </w:pPr>
            <w:r w:rsidRPr="00032862">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2082AA92" w14:textId="77777777" w:rsidR="007F4BC5" w:rsidRPr="00032862" w:rsidRDefault="007F4BC5" w:rsidP="007F4BC5">
            <w:pPr>
              <w:keepNext/>
              <w:keepLines/>
              <w:jc w:val="center"/>
              <w:rPr>
                <w:rFonts w:ascii="Arial Narrow" w:eastAsiaTheme="majorEastAsia" w:hAnsi="Arial Narrow" w:cstheme="majorBidi"/>
                <w:bCs/>
                <w:sz w:val="20"/>
              </w:rPr>
            </w:pPr>
            <w:r w:rsidRPr="00032862">
              <w:rPr>
                <w:rFonts w:ascii="Arial Narrow" w:eastAsiaTheme="majorEastAsia" w:hAnsi="Arial Narrow" w:cstheme="majorBidi"/>
                <w:bCs/>
                <w:sz w:val="20"/>
              </w:rPr>
              <w:t>0.309</w:t>
            </w:r>
          </w:p>
        </w:tc>
        <w:tc>
          <w:tcPr>
            <w:tcW w:w="952" w:type="pct"/>
            <w:gridSpan w:val="2"/>
          </w:tcPr>
          <w:p w14:paraId="4FD676CF" w14:textId="16BEC57A" w:rsidR="007F4BC5" w:rsidRPr="00C36C79" w:rsidRDefault="007F4BC5" w:rsidP="007F4BC5">
            <w:pPr>
              <w:keepNext/>
              <w:keepLines/>
              <w:jc w:val="center"/>
              <w:rPr>
                <w:rFonts w:ascii="Arial Narrow" w:eastAsiaTheme="majorEastAsia" w:hAnsi="Arial Narrow" w:cstheme="majorBidi"/>
                <w:bCs/>
                <w:sz w:val="20"/>
                <w:highlight w:val="black"/>
                <w:vertAlign w:val="superscript"/>
              </w:rPr>
            </w:pPr>
            <w:r w:rsidRPr="00032862">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6C79" w:rsidRPr="00C36C79">
              <w:rPr>
                <w:rFonts w:ascii="Arial Narrow" w:eastAsiaTheme="majorEastAsia" w:hAnsi="Arial Narrow" w:cstheme="majorBidi"/>
                <w:bCs/>
                <w:sz w:val="20"/>
                <w:vertAlign w:val="superscript"/>
              </w:rPr>
              <w:t>3</w:t>
            </w:r>
          </w:p>
        </w:tc>
        <w:tc>
          <w:tcPr>
            <w:tcW w:w="600" w:type="pct"/>
          </w:tcPr>
          <w:p w14:paraId="7198BFE2" w14:textId="3F1026F3" w:rsidR="007F4BC5" w:rsidRPr="007F4BC5" w:rsidRDefault="00B37C73" w:rsidP="007F4BC5">
            <w:pPr>
              <w:keepNext/>
              <w:keepLines/>
              <w:jc w:val="center"/>
              <w:rPr>
                <w:rFonts w:ascii="Arial Narrow" w:eastAsia="Calibri" w:hAnsi="Arial Narrow" w:cstheme="majorBidi"/>
                <w:bCs/>
                <w:sz w:val="20"/>
                <w:szCs w:val="20"/>
              </w:rPr>
            </w:pPr>
            <w:r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43708B" w:rsidRPr="00C17763" w14:paraId="035A55D7" w14:textId="77777777">
        <w:trPr>
          <w:cantSplit/>
          <w:trHeight w:val="283"/>
        </w:trPr>
        <w:tc>
          <w:tcPr>
            <w:tcW w:w="1894" w:type="pct"/>
            <w:gridSpan w:val="2"/>
          </w:tcPr>
          <w:p w14:paraId="25EEC12B" w14:textId="43331027" w:rsidR="0043708B" w:rsidRPr="00C17763" w:rsidRDefault="002A694E" w:rsidP="001A7CE8">
            <w:pPr>
              <w:keepNext/>
              <w:keepLines/>
              <w:numPr>
                <w:ilvl w:val="0"/>
                <w:numId w:val="13"/>
              </w:numPr>
              <w:jc w:val="left"/>
              <w:rPr>
                <w:rFonts w:ascii="Arial Narrow" w:eastAsiaTheme="majorEastAsia" w:hAnsi="Arial Narrow" w:cstheme="majorBidi"/>
                <w:bCs/>
                <w:iCs/>
                <w:sz w:val="20"/>
              </w:rPr>
            </w:pPr>
            <w:r w:rsidRPr="00C17763">
              <w:rPr>
                <w:rFonts w:ascii="Arial Narrow" w:eastAsiaTheme="majorEastAsia" w:hAnsi="Arial Narrow" w:cstheme="majorBidi"/>
                <w:bCs/>
                <w:iCs/>
                <w:sz w:val="20"/>
              </w:rPr>
              <w:t>15 years</w:t>
            </w:r>
            <w:r w:rsidR="006459FC" w:rsidRPr="00C17763">
              <w:rPr>
                <w:rFonts w:ascii="Arial Narrow" w:eastAsiaTheme="majorEastAsia" w:hAnsi="Arial Narrow" w:cstheme="majorBidi"/>
                <w:bCs/>
                <w:iCs/>
                <w:sz w:val="20"/>
              </w:rPr>
              <w:t xml:space="preserve"> (#2)</w:t>
            </w:r>
          </w:p>
        </w:tc>
        <w:tc>
          <w:tcPr>
            <w:tcW w:w="777" w:type="pct"/>
          </w:tcPr>
          <w:p w14:paraId="53756324" w14:textId="17E18285" w:rsidR="0043708B" w:rsidRPr="00C17763" w:rsidRDefault="008D4B2C" w:rsidP="007F4BC5">
            <w:pPr>
              <w:keepNext/>
              <w:keepLines/>
              <w:jc w:val="center"/>
              <w:rPr>
                <w:rFonts w:ascii="Arial Narrow" w:eastAsiaTheme="majorEastAsia" w:hAnsi="Arial Narrow" w:cstheme="majorBidi"/>
                <w:bCs/>
                <w:iCs/>
                <w:sz w:val="20"/>
              </w:rPr>
            </w:pPr>
            <w:r w:rsidRPr="00C17763">
              <w:rPr>
                <w:rFonts w:ascii="Arial Narrow" w:hAnsi="Arial Narrow"/>
                <w:bCs/>
                <w:iCs/>
                <w:sz w:val="20"/>
                <w:szCs w:val="20"/>
              </w:rPr>
              <w:t>$</w:t>
            </w:r>
            <w:r w:rsidR="00B37C73" w:rsidRPr="00B37C73">
              <w:rPr>
                <w:rFonts w:ascii="Arial Narrow" w:hAnsi="Arial Narrow"/>
                <w:bCs/>
                <w:iCs/>
                <w:sz w:val="2"/>
                <w:szCs w:val="20"/>
                <w:highlight w:val="black"/>
              </w:rPr>
              <w:t>redacted content</w:t>
            </w:r>
          </w:p>
        </w:tc>
        <w:tc>
          <w:tcPr>
            <w:tcW w:w="777" w:type="pct"/>
          </w:tcPr>
          <w:p w14:paraId="596931B8" w14:textId="5D7AE141" w:rsidR="0043708B" w:rsidRPr="00C17763" w:rsidRDefault="00A268E8" w:rsidP="007F4BC5">
            <w:pPr>
              <w:keepNext/>
              <w:keepLines/>
              <w:jc w:val="center"/>
              <w:rPr>
                <w:rFonts w:ascii="Arial Narrow" w:eastAsiaTheme="majorEastAsia" w:hAnsi="Arial Narrow" w:cstheme="majorBidi"/>
                <w:bCs/>
                <w:iCs/>
                <w:sz w:val="20"/>
              </w:rPr>
            </w:pPr>
            <w:r w:rsidRPr="00C17763">
              <w:rPr>
                <w:rFonts w:ascii="Arial Narrow" w:hAnsi="Arial Narrow"/>
                <w:bCs/>
                <w:iCs/>
                <w:sz w:val="20"/>
                <w:szCs w:val="20"/>
              </w:rPr>
              <w:t>0.332</w:t>
            </w:r>
          </w:p>
        </w:tc>
        <w:tc>
          <w:tcPr>
            <w:tcW w:w="952" w:type="pct"/>
            <w:gridSpan w:val="2"/>
          </w:tcPr>
          <w:p w14:paraId="33A55149" w14:textId="09004BE8" w:rsidR="0043708B" w:rsidRPr="00C36C79" w:rsidRDefault="0071480B" w:rsidP="007F4BC5">
            <w:pPr>
              <w:keepNext/>
              <w:keepLines/>
              <w:jc w:val="center"/>
              <w:rPr>
                <w:rFonts w:ascii="Arial Narrow" w:eastAsiaTheme="majorEastAsia" w:hAnsi="Arial Narrow" w:cstheme="majorBidi"/>
                <w:bCs/>
                <w:iCs/>
                <w:sz w:val="20"/>
                <w:vertAlign w:val="superscript"/>
              </w:rPr>
            </w:pPr>
            <w:r w:rsidRPr="00C17763">
              <w:rPr>
                <w:rFonts w:ascii="Arial Narrow" w:hAnsi="Arial Narrow"/>
                <w:bCs/>
                <w:iCs/>
                <w:sz w:val="20"/>
                <w:szCs w:val="20"/>
              </w:rPr>
              <w:t>$</w:t>
            </w:r>
            <w:r w:rsidR="00B37C73" w:rsidRPr="00B37C73">
              <w:rPr>
                <w:rFonts w:ascii="Arial Narrow" w:hAnsi="Arial Narrow"/>
                <w:bCs/>
                <w:iCs/>
                <w:sz w:val="2"/>
                <w:szCs w:val="20"/>
                <w:highlight w:val="black"/>
              </w:rPr>
              <w:t>redacted content</w:t>
            </w:r>
            <w:r w:rsidR="00C36C79">
              <w:rPr>
                <w:rFonts w:ascii="Arial Narrow" w:hAnsi="Arial Narrow"/>
                <w:bCs/>
                <w:iCs/>
                <w:sz w:val="20"/>
                <w:szCs w:val="20"/>
                <w:vertAlign w:val="superscript"/>
              </w:rPr>
              <w:t>3</w:t>
            </w:r>
          </w:p>
        </w:tc>
        <w:tc>
          <w:tcPr>
            <w:tcW w:w="600" w:type="pct"/>
          </w:tcPr>
          <w:p w14:paraId="682C3782" w14:textId="42225F60" w:rsidR="0043708B" w:rsidRPr="00C17763" w:rsidRDefault="00B37C73" w:rsidP="007F4BC5">
            <w:pPr>
              <w:keepNext/>
              <w:keepLines/>
              <w:jc w:val="center"/>
              <w:rPr>
                <w:rFonts w:ascii="Arial Narrow" w:eastAsiaTheme="majorEastAsia" w:hAnsi="Arial Narrow" w:cstheme="majorBidi"/>
                <w:bCs/>
                <w:iCs/>
                <w:sz w:val="20"/>
              </w:rPr>
            </w:pPr>
            <w:r w:rsidRPr="00B37C73">
              <w:rPr>
                <w:rFonts w:ascii="Arial Narrow" w:eastAsiaTheme="majorEastAsia" w:hAnsi="Arial Narrow" w:cstheme="majorBidi"/>
                <w:bCs/>
                <w:iCs/>
                <w:sz w:val="2"/>
                <w:highlight w:val="black"/>
              </w:rPr>
              <w:t>redacted content</w:t>
            </w:r>
            <w:r w:rsidR="0071480B" w:rsidRPr="00C17763">
              <w:rPr>
                <w:rFonts w:ascii="Arial Narrow" w:eastAsiaTheme="majorEastAsia" w:hAnsi="Arial Narrow" w:cstheme="majorBidi"/>
                <w:bCs/>
                <w:iCs/>
                <w:sz w:val="20"/>
              </w:rPr>
              <w:t>%</w:t>
            </w:r>
          </w:p>
        </w:tc>
      </w:tr>
      <w:tr w:rsidR="007F4BC5" w:rsidRPr="007F4BC5" w14:paraId="266AA481" w14:textId="77777777">
        <w:trPr>
          <w:cantSplit/>
          <w:trHeight w:val="283"/>
        </w:trPr>
        <w:tc>
          <w:tcPr>
            <w:tcW w:w="5000" w:type="pct"/>
            <w:gridSpan w:val="7"/>
          </w:tcPr>
          <w:p w14:paraId="653B1392"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ACP dosing schedule in Year 2+ (base case: every other month)</w:t>
            </w:r>
          </w:p>
        </w:tc>
      </w:tr>
      <w:tr w:rsidR="00613598" w:rsidRPr="007F4BC5" w14:paraId="45489530" w14:textId="77777777">
        <w:trPr>
          <w:cantSplit/>
          <w:trHeight w:val="283"/>
        </w:trPr>
        <w:tc>
          <w:tcPr>
            <w:tcW w:w="1894" w:type="pct"/>
            <w:gridSpan w:val="2"/>
          </w:tcPr>
          <w:p w14:paraId="3F237B31" w14:textId="14F4D2CF" w:rsidR="00613598" w:rsidRPr="007F4BC5" w:rsidRDefault="00613598" w:rsidP="001A7CE8">
            <w:pPr>
              <w:keepNext/>
              <w:keepLines/>
              <w:numPr>
                <w:ilvl w:val="0"/>
                <w:numId w:val="13"/>
              </w:numPr>
              <w:jc w:val="left"/>
              <w:rPr>
                <w:rFonts w:ascii="Arial Narrow" w:eastAsiaTheme="majorEastAsia" w:hAnsi="Arial Narrow" w:cstheme="majorBidi"/>
                <w:bCs/>
                <w:sz w:val="20"/>
              </w:rPr>
            </w:pPr>
            <w:r>
              <w:rPr>
                <w:rFonts w:ascii="Arial Narrow" w:eastAsiaTheme="majorEastAsia" w:hAnsi="Arial Narrow" w:cstheme="majorBidi"/>
                <w:bCs/>
                <w:sz w:val="20"/>
              </w:rPr>
              <w:t>50</w:t>
            </w:r>
            <w:r w:rsidR="006557E6">
              <w:rPr>
                <w:rFonts w:ascii="Arial Narrow" w:eastAsiaTheme="majorEastAsia" w:hAnsi="Arial Narrow" w:cstheme="majorBidi"/>
                <w:bCs/>
                <w:sz w:val="20"/>
              </w:rPr>
              <w:t>:</w:t>
            </w:r>
            <w:r>
              <w:rPr>
                <w:rFonts w:ascii="Arial Narrow" w:eastAsiaTheme="majorEastAsia" w:hAnsi="Arial Narrow" w:cstheme="majorBidi"/>
                <w:bCs/>
                <w:sz w:val="20"/>
              </w:rPr>
              <w:t>50 EM:EOM dosing (#3)</w:t>
            </w:r>
          </w:p>
        </w:tc>
        <w:tc>
          <w:tcPr>
            <w:tcW w:w="777" w:type="pct"/>
          </w:tcPr>
          <w:p w14:paraId="4F39ED61" w14:textId="2E9B8F91" w:rsidR="00613598" w:rsidRPr="007F4BC5" w:rsidRDefault="00613598" w:rsidP="00613598">
            <w:pPr>
              <w:keepNext/>
              <w:keepLines/>
              <w:jc w:val="center"/>
              <w:rPr>
                <w:rFonts w:ascii="Arial Narrow" w:eastAsiaTheme="majorEastAsia" w:hAnsi="Arial Narrow" w:cstheme="majorBidi"/>
                <w:bCs/>
                <w:sz w:val="20"/>
              </w:rPr>
            </w:pPr>
            <w:r w:rsidRPr="00613598">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7C546F43" w14:textId="3B818CF1" w:rsidR="00613598" w:rsidRPr="007F4BC5" w:rsidRDefault="00613598" w:rsidP="00613598">
            <w:pPr>
              <w:keepNext/>
              <w:keepLines/>
              <w:jc w:val="center"/>
              <w:rPr>
                <w:rFonts w:ascii="Arial Narrow" w:eastAsiaTheme="majorEastAsia" w:hAnsi="Arial Narrow" w:cstheme="majorBidi"/>
                <w:bCs/>
                <w:sz w:val="20"/>
              </w:rPr>
            </w:pPr>
            <w:r w:rsidRPr="00613598">
              <w:rPr>
                <w:rFonts w:ascii="Arial Narrow" w:eastAsiaTheme="majorEastAsia" w:hAnsi="Arial Narrow" w:cstheme="majorBidi"/>
                <w:bCs/>
                <w:sz w:val="20"/>
              </w:rPr>
              <w:t>0.335</w:t>
            </w:r>
          </w:p>
        </w:tc>
        <w:tc>
          <w:tcPr>
            <w:tcW w:w="952" w:type="pct"/>
            <w:gridSpan w:val="2"/>
          </w:tcPr>
          <w:p w14:paraId="4E3D530D" w14:textId="36CC8DC0" w:rsidR="00613598" w:rsidRPr="00C36C79" w:rsidRDefault="00613598" w:rsidP="00613598">
            <w:pPr>
              <w:keepNext/>
              <w:keepLines/>
              <w:jc w:val="center"/>
              <w:rPr>
                <w:rFonts w:ascii="Arial Narrow" w:eastAsiaTheme="majorEastAsia" w:hAnsi="Arial Narrow" w:cstheme="majorBidi"/>
                <w:bCs/>
                <w:sz w:val="20"/>
                <w:vertAlign w:val="superscript"/>
              </w:rPr>
            </w:pPr>
            <w:r w:rsidRPr="00613598">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6C79">
              <w:rPr>
                <w:rFonts w:ascii="Arial Narrow" w:eastAsiaTheme="majorEastAsia" w:hAnsi="Arial Narrow" w:cstheme="majorBidi"/>
                <w:bCs/>
                <w:sz w:val="20"/>
                <w:vertAlign w:val="superscript"/>
              </w:rPr>
              <w:t>3</w:t>
            </w:r>
          </w:p>
        </w:tc>
        <w:tc>
          <w:tcPr>
            <w:tcW w:w="600" w:type="pct"/>
          </w:tcPr>
          <w:p w14:paraId="21A8015A" w14:textId="656A60B2" w:rsidR="00613598" w:rsidRPr="007F4BC5" w:rsidRDefault="00B37C73" w:rsidP="00613598">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613598" w:rsidRPr="00613598">
              <w:rPr>
                <w:rFonts w:ascii="Arial Narrow" w:eastAsiaTheme="majorEastAsia" w:hAnsi="Arial Narrow" w:cstheme="majorBidi"/>
                <w:bCs/>
                <w:sz w:val="20"/>
              </w:rPr>
              <w:t>%</w:t>
            </w:r>
          </w:p>
        </w:tc>
      </w:tr>
      <w:tr w:rsidR="007F4BC5" w:rsidRPr="007F4BC5" w14:paraId="37C55684" w14:textId="77777777">
        <w:trPr>
          <w:cantSplit/>
          <w:trHeight w:val="283"/>
        </w:trPr>
        <w:tc>
          <w:tcPr>
            <w:tcW w:w="1894" w:type="pct"/>
            <w:gridSpan w:val="2"/>
          </w:tcPr>
          <w:p w14:paraId="6435A1E2" w14:textId="7079EBD2" w:rsidR="007F4BC5" w:rsidRPr="007F4BC5" w:rsidRDefault="007F4BC5" w:rsidP="001A7CE8">
            <w:pPr>
              <w:keepNext/>
              <w:keepLines/>
              <w:numPr>
                <w:ilvl w:val="0"/>
                <w:numId w:val="13"/>
              </w:numPr>
              <w:jc w:val="left"/>
              <w:rPr>
                <w:rFonts w:ascii="Arial Narrow" w:eastAsiaTheme="majorEastAsia" w:hAnsi="Arial Narrow" w:cstheme="majorBidi"/>
                <w:bCs/>
                <w:sz w:val="20"/>
              </w:rPr>
            </w:pPr>
            <w:r w:rsidRPr="007F4BC5">
              <w:rPr>
                <w:rFonts w:ascii="Arial Narrow" w:eastAsiaTheme="majorEastAsia" w:hAnsi="Arial Narrow" w:cstheme="majorBidi"/>
                <w:bCs/>
                <w:sz w:val="20"/>
              </w:rPr>
              <w:t>E</w:t>
            </w:r>
            <w:r w:rsidR="000027AA">
              <w:rPr>
                <w:rFonts w:ascii="Arial Narrow" w:eastAsiaTheme="majorEastAsia" w:hAnsi="Arial Narrow" w:cstheme="majorBidi"/>
                <w:bCs/>
                <w:sz w:val="20"/>
              </w:rPr>
              <w:t>M dosing</w:t>
            </w:r>
            <w:r w:rsidR="00E41200">
              <w:rPr>
                <w:rFonts w:ascii="Arial Narrow" w:eastAsiaTheme="majorEastAsia" w:hAnsi="Arial Narrow" w:cstheme="majorBidi"/>
                <w:bCs/>
                <w:sz w:val="20"/>
              </w:rPr>
              <w:t xml:space="preserve"> </w:t>
            </w:r>
            <w:r w:rsidRPr="007F4BC5">
              <w:rPr>
                <w:rFonts w:ascii="Arial Narrow" w:eastAsiaTheme="majorEastAsia" w:hAnsi="Arial Narrow" w:cstheme="majorBidi"/>
                <w:b/>
                <w:sz w:val="20"/>
              </w:rPr>
              <w:t>(#</w:t>
            </w:r>
            <w:r w:rsidR="00A94A7F">
              <w:rPr>
                <w:rFonts w:ascii="Arial Narrow" w:eastAsiaTheme="majorEastAsia" w:hAnsi="Arial Narrow" w:cstheme="majorBidi"/>
                <w:b/>
                <w:sz w:val="20"/>
              </w:rPr>
              <w:t>7</w:t>
            </w:r>
            <w:r w:rsidRPr="007F4BC5">
              <w:rPr>
                <w:rFonts w:ascii="Arial Narrow" w:eastAsiaTheme="majorEastAsia" w:hAnsi="Arial Narrow" w:cstheme="majorBidi"/>
                <w:b/>
                <w:sz w:val="20"/>
              </w:rPr>
              <w:t>)</w:t>
            </w:r>
          </w:p>
        </w:tc>
        <w:tc>
          <w:tcPr>
            <w:tcW w:w="777" w:type="pct"/>
          </w:tcPr>
          <w:p w14:paraId="78903DB4" w14:textId="24823DF6" w:rsidR="007F4BC5" w:rsidRPr="007F4BC5" w:rsidRDefault="007F4BC5" w:rsidP="007F4BC5">
            <w:pPr>
              <w:keepNext/>
              <w:keepLines/>
              <w:jc w:val="center"/>
              <w:rPr>
                <w:rFonts w:ascii="Arial Narrow" w:eastAsia="Calibri" w:hAnsi="Arial Narrow" w:cstheme="majorBidi"/>
                <w:bCs/>
                <w:sz w:val="20"/>
                <w:szCs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509C2417" w14:textId="77777777" w:rsidR="007F4BC5" w:rsidRPr="007F4BC5" w:rsidRDefault="007F4BC5" w:rsidP="007F4BC5">
            <w:pPr>
              <w:keepNext/>
              <w:keepLines/>
              <w:jc w:val="center"/>
              <w:rPr>
                <w:rFonts w:ascii="Arial Narrow" w:eastAsia="Calibri" w:hAnsi="Arial Narrow" w:cstheme="majorBidi"/>
                <w:bCs/>
                <w:sz w:val="20"/>
                <w:szCs w:val="20"/>
              </w:rPr>
            </w:pPr>
            <w:r w:rsidRPr="007F4BC5">
              <w:rPr>
                <w:rFonts w:ascii="Arial Narrow" w:eastAsiaTheme="majorEastAsia" w:hAnsi="Arial Narrow" w:cstheme="majorBidi"/>
                <w:bCs/>
                <w:sz w:val="20"/>
              </w:rPr>
              <w:t>0.335</w:t>
            </w:r>
          </w:p>
        </w:tc>
        <w:tc>
          <w:tcPr>
            <w:tcW w:w="952" w:type="pct"/>
            <w:gridSpan w:val="2"/>
          </w:tcPr>
          <w:p w14:paraId="11217062" w14:textId="2F9F39B0" w:rsidR="007F4BC5" w:rsidRPr="00657C8C" w:rsidRDefault="007F4BC5" w:rsidP="007F4BC5">
            <w:pPr>
              <w:keepNext/>
              <w:keepLines/>
              <w:jc w:val="center"/>
              <w:rPr>
                <w:rFonts w:ascii="Arial Narrow" w:eastAsia="Calibri" w:hAnsi="Arial Narrow" w:cstheme="majorBidi"/>
                <w:bCs/>
                <w:sz w:val="20"/>
                <w:szCs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657C8C">
              <w:rPr>
                <w:rFonts w:ascii="Arial Narrow" w:eastAsiaTheme="majorEastAsia" w:hAnsi="Arial Narrow" w:cstheme="majorBidi"/>
                <w:bCs/>
                <w:sz w:val="20"/>
                <w:vertAlign w:val="superscript"/>
              </w:rPr>
              <w:t>4</w:t>
            </w:r>
          </w:p>
        </w:tc>
        <w:tc>
          <w:tcPr>
            <w:tcW w:w="600" w:type="pct"/>
          </w:tcPr>
          <w:p w14:paraId="4AE113E7" w14:textId="425DE0F3" w:rsidR="007F4BC5" w:rsidRPr="007F4BC5" w:rsidRDefault="00B37C73" w:rsidP="007F4BC5">
            <w:pPr>
              <w:keepNext/>
              <w:keepLines/>
              <w:jc w:val="center"/>
              <w:rPr>
                <w:rFonts w:ascii="Arial Narrow" w:eastAsia="Calibri" w:hAnsi="Arial Narrow" w:cstheme="majorBidi"/>
                <w:bCs/>
                <w:sz w:val="20"/>
                <w:szCs w:val="20"/>
              </w:rPr>
            </w:pPr>
            <w:r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7F4BC5" w:rsidRPr="007F4BC5" w14:paraId="713DAD38" w14:textId="77777777">
        <w:trPr>
          <w:cantSplit/>
          <w:trHeight w:val="283"/>
        </w:trPr>
        <w:tc>
          <w:tcPr>
            <w:tcW w:w="5000" w:type="pct"/>
            <w:gridSpan w:val="7"/>
          </w:tcPr>
          <w:p w14:paraId="2894D860"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Excess mortality (base case: health state specific mortality HRs relative to general population)</w:t>
            </w:r>
          </w:p>
        </w:tc>
      </w:tr>
      <w:tr w:rsidR="007F4BC5" w:rsidRPr="007F4BC5" w14:paraId="0DEADD48" w14:textId="77777777">
        <w:trPr>
          <w:cantSplit/>
          <w:trHeight w:val="283"/>
        </w:trPr>
        <w:tc>
          <w:tcPr>
            <w:tcW w:w="1894" w:type="pct"/>
            <w:gridSpan w:val="2"/>
          </w:tcPr>
          <w:p w14:paraId="662B2F15" w14:textId="77777777" w:rsidR="007F4BC5" w:rsidRPr="007F4BC5" w:rsidRDefault="007F4BC5" w:rsidP="001A7CE8">
            <w:pPr>
              <w:keepNext/>
              <w:keepLines/>
              <w:numPr>
                <w:ilvl w:val="0"/>
                <w:numId w:val="13"/>
              </w:numPr>
              <w:jc w:val="lef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Assume no excess mortality </w:t>
            </w:r>
            <w:r w:rsidRPr="007F4BC5">
              <w:rPr>
                <w:rFonts w:ascii="Arial Narrow" w:eastAsiaTheme="majorEastAsia" w:hAnsi="Arial Narrow" w:cstheme="majorBidi"/>
                <w:b/>
                <w:sz w:val="20"/>
              </w:rPr>
              <w:t>(#4)</w:t>
            </w:r>
          </w:p>
        </w:tc>
        <w:tc>
          <w:tcPr>
            <w:tcW w:w="777" w:type="pct"/>
          </w:tcPr>
          <w:p w14:paraId="21BA2EA5" w14:textId="54ED7289"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7E9C26A3"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0.305</w:t>
            </w:r>
          </w:p>
        </w:tc>
        <w:tc>
          <w:tcPr>
            <w:tcW w:w="952" w:type="pct"/>
            <w:gridSpan w:val="2"/>
          </w:tcPr>
          <w:p w14:paraId="47832BFB" w14:textId="77A70A49" w:rsidR="007F4BC5" w:rsidRPr="00C36C79" w:rsidRDefault="007F4BC5" w:rsidP="007F4BC5">
            <w:pPr>
              <w:keepNext/>
              <w:keepLines/>
              <w:jc w:val="center"/>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6C79">
              <w:rPr>
                <w:rFonts w:ascii="Arial Narrow" w:eastAsiaTheme="majorEastAsia" w:hAnsi="Arial Narrow" w:cstheme="majorBidi"/>
                <w:bCs/>
                <w:sz w:val="20"/>
                <w:vertAlign w:val="superscript"/>
              </w:rPr>
              <w:t>3</w:t>
            </w:r>
          </w:p>
        </w:tc>
        <w:tc>
          <w:tcPr>
            <w:tcW w:w="600" w:type="pct"/>
          </w:tcPr>
          <w:p w14:paraId="0E3B2443" w14:textId="3868B2F5" w:rsidR="007F4BC5" w:rsidRPr="007F4BC5" w:rsidRDefault="00B37C73" w:rsidP="007F4BC5">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7F4BC5" w:rsidRPr="007F4BC5" w14:paraId="281EE03F" w14:textId="77777777">
        <w:trPr>
          <w:cantSplit/>
          <w:trHeight w:val="283"/>
        </w:trPr>
        <w:tc>
          <w:tcPr>
            <w:tcW w:w="5000" w:type="pct"/>
            <w:gridSpan w:val="7"/>
          </w:tcPr>
          <w:p w14:paraId="0637DCD1"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Source of efficacy data (base case: GATHER1)</w:t>
            </w:r>
          </w:p>
        </w:tc>
      </w:tr>
      <w:tr w:rsidR="007F4BC5" w:rsidRPr="007F4BC5" w14:paraId="1FEF6803" w14:textId="77777777">
        <w:trPr>
          <w:cantSplit/>
          <w:trHeight w:val="283"/>
        </w:trPr>
        <w:tc>
          <w:tcPr>
            <w:tcW w:w="1894" w:type="pct"/>
            <w:gridSpan w:val="2"/>
          </w:tcPr>
          <w:p w14:paraId="438D8BB5" w14:textId="77777777" w:rsidR="007F4BC5" w:rsidRPr="007F4BC5" w:rsidRDefault="007F4BC5" w:rsidP="001A7CE8">
            <w:pPr>
              <w:keepNext/>
              <w:keepLines/>
              <w:numPr>
                <w:ilvl w:val="0"/>
                <w:numId w:val="13"/>
              </w:numPr>
              <w:jc w:val="lef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Pooled data from GATHER1 and GATHER2 </w:t>
            </w:r>
            <w:r w:rsidRPr="007F4BC5">
              <w:rPr>
                <w:rFonts w:ascii="Arial Narrow" w:eastAsiaTheme="majorEastAsia" w:hAnsi="Arial Narrow" w:cstheme="majorBidi"/>
                <w:b/>
                <w:sz w:val="20"/>
              </w:rPr>
              <w:t>(#5)</w:t>
            </w:r>
          </w:p>
        </w:tc>
        <w:tc>
          <w:tcPr>
            <w:tcW w:w="777" w:type="pct"/>
          </w:tcPr>
          <w:p w14:paraId="283568C9" w14:textId="3BB35C10"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2401AC2E" w14:textId="7777777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0.302</w:t>
            </w:r>
          </w:p>
        </w:tc>
        <w:tc>
          <w:tcPr>
            <w:tcW w:w="952" w:type="pct"/>
            <w:gridSpan w:val="2"/>
          </w:tcPr>
          <w:p w14:paraId="6F372D49" w14:textId="216FDB5A" w:rsidR="007F4BC5" w:rsidRPr="00C36C79" w:rsidRDefault="007F4BC5" w:rsidP="007F4BC5">
            <w:pPr>
              <w:keepNext/>
              <w:keepLines/>
              <w:jc w:val="center"/>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6C79">
              <w:rPr>
                <w:rFonts w:ascii="Arial Narrow" w:eastAsiaTheme="majorEastAsia" w:hAnsi="Arial Narrow" w:cstheme="majorBidi"/>
                <w:bCs/>
                <w:sz w:val="20"/>
                <w:vertAlign w:val="superscript"/>
              </w:rPr>
              <w:t>3</w:t>
            </w:r>
          </w:p>
        </w:tc>
        <w:tc>
          <w:tcPr>
            <w:tcW w:w="600" w:type="pct"/>
          </w:tcPr>
          <w:p w14:paraId="32D13BC9" w14:textId="13103773" w:rsidR="007F4BC5" w:rsidRPr="007F4BC5" w:rsidRDefault="00B37C73" w:rsidP="007F4BC5">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7F4BC5">
              <w:rPr>
                <w:rFonts w:ascii="Arial Narrow" w:eastAsiaTheme="majorEastAsia" w:hAnsi="Arial Narrow" w:cstheme="majorBidi"/>
                <w:bCs/>
                <w:sz w:val="20"/>
              </w:rPr>
              <w:t>%</w:t>
            </w:r>
          </w:p>
        </w:tc>
      </w:tr>
      <w:tr w:rsidR="008A7D11" w:rsidRPr="007F4BC5" w14:paraId="57B16956" w14:textId="77777777" w:rsidTr="008A7D11">
        <w:trPr>
          <w:cantSplit/>
          <w:trHeight w:val="283"/>
        </w:trPr>
        <w:tc>
          <w:tcPr>
            <w:tcW w:w="5000" w:type="pct"/>
            <w:gridSpan w:val="7"/>
          </w:tcPr>
          <w:p w14:paraId="48F770DB" w14:textId="5C37D467" w:rsidR="008A7D11" w:rsidRPr="007F4BC5" w:rsidRDefault="003F0A87" w:rsidP="003F0A87">
            <w:pPr>
              <w:keepNext/>
              <w:keepLines/>
              <w:jc w:val="left"/>
              <w:rPr>
                <w:rFonts w:ascii="Arial Narrow" w:eastAsiaTheme="majorEastAsia" w:hAnsi="Arial Narrow" w:cstheme="majorBidi"/>
                <w:bCs/>
                <w:sz w:val="20"/>
              </w:rPr>
            </w:pPr>
            <w:r w:rsidRPr="003F0A87">
              <w:rPr>
                <w:rFonts w:ascii="Arial Narrow" w:eastAsiaTheme="majorEastAsia" w:hAnsi="Arial Narrow" w:cstheme="majorBidi"/>
                <w:bCs/>
                <w:sz w:val="20"/>
              </w:rPr>
              <w:t>Utility decrement for ACP administration (base case: not applied)</w:t>
            </w:r>
          </w:p>
        </w:tc>
      </w:tr>
      <w:tr w:rsidR="00D41256" w:rsidRPr="007F4BC5" w14:paraId="7EB5075E" w14:textId="77777777">
        <w:trPr>
          <w:cantSplit/>
          <w:trHeight w:val="283"/>
        </w:trPr>
        <w:tc>
          <w:tcPr>
            <w:tcW w:w="1894" w:type="pct"/>
            <w:gridSpan w:val="2"/>
          </w:tcPr>
          <w:p w14:paraId="490EDFC9" w14:textId="7225A266" w:rsidR="00D41256" w:rsidRPr="007F4BC5" w:rsidRDefault="00D41256" w:rsidP="001A7CE8">
            <w:pPr>
              <w:keepNext/>
              <w:keepLines/>
              <w:numPr>
                <w:ilvl w:val="0"/>
                <w:numId w:val="13"/>
              </w:numPr>
              <w:jc w:val="left"/>
              <w:rPr>
                <w:rFonts w:ascii="Arial Narrow" w:eastAsiaTheme="majorEastAsia" w:hAnsi="Arial Narrow" w:cstheme="majorBidi"/>
                <w:bCs/>
                <w:sz w:val="20"/>
              </w:rPr>
            </w:pPr>
            <w:r w:rsidRPr="00D41256">
              <w:rPr>
                <w:rFonts w:ascii="Arial Narrow" w:eastAsiaTheme="majorEastAsia" w:hAnsi="Arial Narrow" w:cstheme="majorBidi"/>
                <w:bCs/>
                <w:sz w:val="20"/>
              </w:rPr>
              <w:t xml:space="preserve">100% daily utility loss for one day for 50% of patients per administration </w:t>
            </w:r>
            <w:r w:rsidRPr="005F570F">
              <w:rPr>
                <w:rFonts w:ascii="Arial Narrow" w:eastAsiaTheme="majorEastAsia" w:hAnsi="Arial Narrow" w:cstheme="majorBidi"/>
                <w:b/>
                <w:sz w:val="20"/>
              </w:rPr>
              <w:t>(#6</w:t>
            </w:r>
            <w:r w:rsidRPr="00D41256">
              <w:rPr>
                <w:rFonts w:ascii="Arial Narrow" w:eastAsiaTheme="majorEastAsia" w:hAnsi="Arial Narrow" w:cstheme="majorBidi"/>
                <w:bCs/>
                <w:sz w:val="20"/>
              </w:rPr>
              <w:t>)</w:t>
            </w:r>
            <w:r w:rsidR="00527435">
              <w:rPr>
                <w:rFonts w:ascii="Arial Narrow" w:eastAsiaTheme="majorEastAsia" w:hAnsi="Arial Narrow" w:cstheme="majorBidi"/>
                <w:bCs/>
                <w:sz w:val="20"/>
              </w:rPr>
              <w:t xml:space="preserve"> </w:t>
            </w:r>
            <w:r w:rsidR="00527435">
              <w:rPr>
                <w:rFonts w:ascii="Arial Narrow" w:eastAsiaTheme="majorEastAsia" w:hAnsi="Arial Narrow" w:cstheme="majorBidi"/>
                <w:bCs/>
                <w:sz w:val="20"/>
                <w:vertAlign w:val="superscript"/>
              </w:rPr>
              <w:t>a</w:t>
            </w:r>
          </w:p>
        </w:tc>
        <w:tc>
          <w:tcPr>
            <w:tcW w:w="777" w:type="pct"/>
          </w:tcPr>
          <w:p w14:paraId="5AABF663" w14:textId="61E8B8B6" w:rsidR="00D41256" w:rsidRPr="007F4BC5" w:rsidRDefault="00D41256" w:rsidP="00D41256">
            <w:pPr>
              <w:keepNext/>
              <w:keepLines/>
              <w:jc w:val="center"/>
              <w:rPr>
                <w:rFonts w:ascii="Arial Narrow" w:eastAsiaTheme="majorEastAsia" w:hAnsi="Arial Narrow" w:cstheme="majorBidi"/>
                <w:bCs/>
                <w:sz w:val="20"/>
              </w:rPr>
            </w:pPr>
            <w:r w:rsidRPr="00D41256">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77" w:type="pct"/>
          </w:tcPr>
          <w:p w14:paraId="1218220A" w14:textId="0E0C3DC0" w:rsidR="00D41256" w:rsidRPr="007F4BC5" w:rsidRDefault="00D41256" w:rsidP="00D41256">
            <w:pPr>
              <w:keepNext/>
              <w:keepLines/>
              <w:jc w:val="center"/>
              <w:rPr>
                <w:rFonts w:ascii="Arial Narrow" w:eastAsiaTheme="majorEastAsia" w:hAnsi="Arial Narrow" w:cstheme="majorBidi"/>
                <w:bCs/>
                <w:sz w:val="20"/>
              </w:rPr>
            </w:pPr>
            <w:r w:rsidRPr="00D41256">
              <w:rPr>
                <w:rFonts w:ascii="Arial Narrow" w:eastAsiaTheme="majorEastAsia" w:hAnsi="Arial Narrow" w:cstheme="majorBidi"/>
                <w:bCs/>
                <w:sz w:val="20"/>
              </w:rPr>
              <w:t>0.318</w:t>
            </w:r>
          </w:p>
        </w:tc>
        <w:tc>
          <w:tcPr>
            <w:tcW w:w="952" w:type="pct"/>
            <w:gridSpan w:val="2"/>
          </w:tcPr>
          <w:p w14:paraId="42DE8697" w14:textId="68421D65" w:rsidR="00D41256" w:rsidRPr="00C36C79" w:rsidRDefault="00D41256" w:rsidP="00D41256">
            <w:pPr>
              <w:keepNext/>
              <w:keepLines/>
              <w:jc w:val="center"/>
              <w:rPr>
                <w:rFonts w:ascii="Arial Narrow" w:eastAsiaTheme="majorEastAsia" w:hAnsi="Arial Narrow" w:cstheme="majorBidi"/>
                <w:bCs/>
                <w:sz w:val="20"/>
                <w:vertAlign w:val="superscript"/>
              </w:rPr>
            </w:pPr>
            <w:r w:rsidRPr="00D41256">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6C79">
              <w:rPr>
                <w:rFonts w:ascii="Arial Narrow" w:eastAsiaTheme="majorEastAsia" w:hAnsi="Arial Narrow" w:cstheme="majorBidi"/>
                <w:bCs/>
                <w:sz w:val="20"/>
                <w:vertAlign w:val="superscript"/>
              </w:rPr>
              <w:t>3</w:t>
            </w:r>
          </w:p>
        </w:tc>
        <w:tc>
          <w:tcPr>
            <w:tcW w:w="600" w:type="pct"/>
          </w:tcPr>
          <w:p w14:paraId="6DDE2818" w14:textId="6B1F3767" w:rsidR="00D41256" w:rsidRPr="007F4BC5" w:rsidRDefault="00B37C73" w:rsidP="00D41256">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D41256" w:rsidRPr="00D41256">
              <w:rPr>
                <w:rFonts w:ascii="Arial Narrow" w:eastAsiaTheme="majorEastAsia" w:hAnsi="Arial Narrow" w:cstheme="majorBidi"/>
                <w:bCs/>
                <w:sz w:val="20"/>
              </w:rPr>
              <w:t>%</w:t>
            </w:r>
          </w:p>
        </w:tc>
      </w:tr>
      <w:tr w:rsidR="007F4BC5" w:rsidRPr="00C17763" w14:paraId="4E2B5864" w14:textId="77777777">
        <w:trPr>
          <w:cantSplit/>
          <w:trHeight w:val="283"/>
        </w:trPr>
        <w:tc>
          <w:tcPr>
            <w:tcW w:w="5000" w:type="pct"/>
            <w:gridSpan w:val="7"/>
          </w:tcPr>
          <w:p w14:paraId="3E75F456" w14:textId="7B135B3D" w:rsidR="007F4BC5" w:rsidRPr="00C17763" w:rsidRDefault="007F4BC5" w:rsidP="007F4BC5">
            <w:pPr>
              <w:keepNext/>
              <w:keepLines/>
              <w:jc w:val="left"/>
              <w:rPr>
                <w:rFonts w:ascii="Arial Narrow" w:eastAsiaTheme="majorEastAsia" w:hAnsi="Arial Narrow" w:cstheme="majorBidi"/>
                <w:b/>
                <w:sz w:val="20"/>
              </w:rPr>
            </w:pPr>
            <w:r w:rsidRPr="00C17763">
              <w:rPr>
                <w:rFonts w:ascii="Arial Narrow" w:eastAsiaTheme="majorEastAsia" w:hAnsi="Arial Narrow" w:cstheme="majorBidi"/>
                <w:b/>
                <w:sz w:val="20"/>
              </w:rPr>
              <w:t>Multivariate analyses</w:t>
            </w:r>
            <w:r w:rsidR="00474B68" w:rsidRPr="00C17763">
              <w:rPr>
                <w:rFonts w:ascii="Arial Narrow" w:eastAsiaTheme="majorEastAsia" w:hAnsi="Arial Narrow" w:cstheme="majorBidi"/>
                <w:b/>
                <w:sz w:val="20"/>
              </w:rPr>
              <w:t xml:space="preserve"> requested by the ESC</w:t>
            </w:r>
          </w:p>
        </w:tc>
      </w:tr>
      <w:tr w:rsidR="00653BBE" w:rsidRPr="00C17763" w14:paraId="314A44B3" w14:textId="77777777" w:rsidTr="006046ED">
        <w:tc>
          <w:tcPr>
            <w:tcW w:w="1884" w:type="pct"/>
          </w:tcPr>
          <w:p w14:paraId="36DE69F0" w14:textId="77777777" w:rsidR="00653BBE" w:rsidRPr="00C17763" w:rsidRDefault="00653BBE">
            <w:pPr>
              <w:pStyle w:val="ListParagraph"/>
              <w:spacing w:after="0"/>
              <w:ind w:left="0"/>
              <w:rPr>
                <w:rFonts w:ascii="Arial Narrow" w:hAnsi="Arial Narrow"/>
                <w:bCs/>
                <w:sz w:val="20"/>
                <w:szCs w:val="20"/>
              </w:rPr>
            </w:pPr>
            <w:r w:rsidRPr="00C17763">
              <w:rPr>
                <w:rFonts w:ascii="Arial Narrow" w:hAnsi="Arial Narrow"/>
                <w:b/>
                <w:sz w:val="20"/>
                <w:szCs w:val="20"/>
              </w:rPr>
              <w:t>#1 + #3 + #4 + #5</w:t>
            </w:r>
          </w:p>
        </w:tc>
        <w:tc>
          <w:tcPr>
            <w:tcW w:w="787" w:type="pct"/>
            <w:gridSpan w:val="2"/>
            <w:vAlign w:val="center"/>
          </w:tcPr>
          <w:p w14:paraId="0D92F8BA" w14:textId="59F6CB33"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86" w:type="pct"/>
            <w:gridSpan w:val="2"/>
            <w:vAlign w:val="center"/>
          </w:tcPr>
          <w:p w14:paraId="5A5CB78F" w14:textId="77777777"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0.262</w:t>
            </w:r>
          </w:p>
        </w:tc>
        <w:tc>
          <w:tcPr>
            <w:tcW w:w="943" w:type="pct"/>
            <w:vAlign w:val="center"/>
          </w:tcPr>
          <w:p w14:paraId="31FAC76F" w14:textId="4C997AA2" w:rsidR="00653BBE" w:rsidRPr="000762DB" w:rsidRDefault="00653BBE" w:rsidP="00653BBE">
            <w:pPr>
              <w:keepNext/>
              <w:keepLines/>
              <w:jc w:val="center"/>
              <w:rPr>
                <w:rFonts w:ascii="Arial Narrow" w:eastAsiaTheme="majorEastAsia" w:hAnsi="Arial Narrow" w:cstheme="majorBidi"/>
                <w:bCs/>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762DB">
              <w:rPr>
                <w:rFonts w:ascii="Arial Narrow" w:eastAsiaTheme="majorEastAsia" w:hAnsi="Arial Narrow" w:cstheme="majorBidi"/>
                <w:bCs/>
                <w:sz w:val="20"/>
                <w:vertAlign w:val="superscript"/>
              </w:rPr>
              <w:t>2</w:t>
            </w:r>
          </w:p>
        </w:tc>
        <w:tc>
          <w:tcPr>
            <w:tcW w:w="600" w:type="pct"/>
            <w:vAlign w:val="center"/>
          </w:tcPr>
          <w:p w14:paraId="7CC1C908" w14:textId="73DA0343" w:rsidR="00653BBE" w:rsidRPr="00C17763" w:rsidRDefault="00B37C73" w:rsidP="00653BBE">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653BBE" w:rsidRPr="00C17763">
              <w:rPr>
                <w:rFonts w:ascii="Arial Narrow" w:eastAsiaTheme="majorEastAsia" w:hAnsi="Arial Narrow" w:cstheme="majorBidi"/>
                <w:bCs/>
                <w:sz w:val="20"/>
              </w:rPr>
              <w:t>%</w:t>
            </w:r>
          </w:p>
        </w:tc>
      </w:tr>
      <w:tr w:rsidR="00653BBE" w:rsidRPr="00C17763" w14:paraId="4E399FD6" w14:textId="77777777" w:rsidTr="006046ED">
        <w:tc>
          <w:tcPr>
            <w:tcW w:w="1884" w:type="pct"/>
          </w:tcPr>
          <w:p w14:paraId="093A4632" w14:textId="77777777" w:rsidR="00653BBE" w:rsidRPr="00C17763" w:rsidRDefault="00653BBE">
            <w:pPr>
              <w:pStyle w:val="ListParagraph"/>
              <w:spacing w:after="0"/>
              <w:ind w:left="0"/>
              <w:rPr>
                <w:rFonts w:ascii="Arial Narrow" w:hAnsi="Arial Narrow"/>
                <w:bCs/>
                <w:sz w:val="20"/>
                <w:szCs w:val="20"/>
              </w:rPr>
            </w:pPr>
            <w:r w:rsidRPr="00C17763">
              <w:rPr>
                <w:rFonts w:ascii="Arial Narrow" w:hAnsi="Arial Narrow"/>
                <w:b/>
                <w:bCs/>
                <w:sz w:val="20"/>
                <w:szCs w:val="20"/>
              </w:rPr>
              <w:t>#1 + #3 + #4 + #5 + #6</w:t>
            </w:r>
          </w:p>
        </w:tc>
        <w:tc>
          <w:tcPr>
            <w:tcW w:w="787" w:type="pct"/>
            <w:gridSpan w:val="2"/>
            <w:vAlign w:val="center"/>
          </w:tcPr>
          <w:p w14:paraId="1BA3A45D" w14:textId="05BB9F1C"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86" w:type="pct"/>
            <w:gridSpan w:val="2"/>
            <w:vAlign w:val="center"/>
          </w:tcPr>
          <w:p w14:paraId="6FE5401A" w14:textId="77777777"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0.238</w:t>
            </w:r>
          </w:p>
        </w:tc>
        <w:tc>
          <w:tcPr>
            <w:tcW w:w="943" w:type="pct"/>
            <w:vAlign w:val="center"/>
          </w:tcPr>
          <w:p w14:paraId="48D907C0" w14:textId="166FEBB2" w:rsidR="00653BBE" w:rsidRPr="00D54C85" w:rsidRDefault="00653BBE" w:rsidP="00653BBE">
            <w:pPr>
              <w:keepNext/>
              <w:keepLines/>
              <w:jc w:val="center"/>
              <w:rPr>
                <w:rFonts w:ascii="Arial Narrow" w:eastAsiaTheme="majorEastAsia" w:hAnsi="Arial Narrow" w:cstheme="majorBidi"/>
                <w:bCs/>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D54C85">
              <w:rPr>
                <w:rFonts w:ascii="Arial Narrow" w:eastAsiaTheme="majorEastAsia" w:hAnsi="Arial Narrow" w:cstheme="majorBidi"/>
                <w:bCs/>
                <w:sz w:val="20"/>
                <w:vertAlign w:val="superscript"/>
              </w:rPr>
              <w:t>5</w:t>
            </w:r>
          </w:p>
        </w:tc>
        <w:tc>
          <w:tcPr>
            <w:tcW w:w="600" w:type="pct"/>
            <w:vAlign w:val="center"/>
          </w:tcPr>
          <w:p w14:paraId="490B3694" w14:textId="680C4B10" w:rsidR="00653BBE" w:rsidRPr="00C17763" w:rsidRDefault="00B37C73" w:rsidP="00653BBE">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653BBE" w:rsidRPr="00C17763">
              <w:rPr>
                <w:rFonts w:ascii="Arial Narrow" w:eastAsiaTheme="majorEastAsia" w:hAnsi="Arial Narrow" w:cstheme="majorBidi"/>
                <w:bCs/>
                <w:sz w:val="20"/>
              </w:rPr>
              <w:t>%</w:t>
            </w:r>
          </w:p>
        </w:tc>
      </w:tr>
      <w:tr w:rsidR="00653BBE" w:rsidRPr="00C17763" w14:paraId="2E4B587E" w14:textId="77777777" w:rsidTr="006046ED">
        <w:tc>
          <w:tcPr>
            <w:tcW w:w="1884" w:type="pct"/>
          </w:tcPr>
          <w:p w14:paraId="13B5A6F1" w14:textId="77777777" w:rsidR="00653BBE" w:rsidRPr="00C17763" w:rsidRDefault="00653BBE">
            <w:pPr>
              <w:pStyle w:val="ListParagraph"/>
              <w:spacing w:after="0"/>
              <w:ind w:left="0"/>
              <w:rPr>
                <w:rFonts w:ascii="Arial Narrow" w:hAnsi="Arial Narrow"/>
                <w:bCs/>
                <w:sz w:val="20"/>
                <w:szCs w:val="20"/>
              </w:rPr>
            </w:pPr>
            <w:r w:rsidRPr="00C17763">
              <w:rPr>
                <w:rFonts w:ascii="Arial Narrow" w:hAnsi="Arial Narrow"/>
                <w:b/>
                <w:bCs/>
                <w:sz w:val="20"/>
                <w:szCs w:val="20"/>
              </w:rPr>
              <w:t>#2 + #7 + #4 + #5</w:t>
            </w:r>
          </w:p>
        </w:tc>
        <w:tc>
          <w:tcPr>
            <w:tcW w:w="787" w:type="pct"/>
            <w:gridSpan w:val="2"/>
            <w:vAlign w:val="center"/>
          </w:tcPr>
          <w:p w14:paraId="3AD228FE" w14:textId="6E433080"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86" w:type="pct"/>
            <w:gridSpan w:val="2"/>
            <w:vAlign w:val="center"/>
          </w:tcPr>
          <w:p w14:paraId="2B7B7004" w14:textId="77777777"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0.274</w:t>
            </w:r>
          </w:p>
        </w:tc>
        <w:tc>
          <w:tcPr>
            <w:tcW w:w="943" w:type="pct"/>
            <w:vAlign w:val="center"/>
          </w:tcPr>
          <w:p w14:paraId="398517D4" w14:textId="36F4B28F" w:rsidR="00653BBE" w:rsidRPr="00D54C85" w:rsidRDefault="00653BBE" w:rsidP="00653BBE">
            <w:pPr>
              <w:keepNext/>
              <w:keepLines/>
              <w:jc w:val="center"/>
              <w:rPr>
                <w:rFonts w:ascii="Arial Narrow" w:eastAsiaTheme="majorEastAsia" w:hAnsi="Arial Narrow" w:cstheme="majorBidi"/>
                <w:bCs/>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D54C85">
              <w:rPr>
                <w:rFonts w:ascii="Arial Narrow" w:eastAsiaTheme="majorEastAsia" w:hAnsi="Arial Narrow" w:cstheme="majorBidi"/>
                <w:bCs/>
                <w:sz w:val="20"/>
                <w:vertAlign w:val="superscript"/>
              </w:rPr>
              <w:t>5</w:t>
            </w:r>
          </w:p>
        </w:tc>
        <w:tc>
          <w:tcPr>
            <w:tcW w:w="600" w:type="pct"/>
            <w:vAlign w:val="center"/>
          </w:tcPr>
          <w:p w14:paraId="41EFF9B4" w14:textId="279BD09A" w:rsidR="00653BBE" w:rsidRPr="00C17763" w:rsidRDefault="00B37C73" w:rsidP="00653BBE">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653BBE" w:rsidRPr="00C17763">
              <w:rPr>
                <w:rFonts w:ascii="Arial Narrow" w:eastAsiaTheme="majorEastAsia" w:hAnsi="Arial Narrow" w:cstheme="majorBidi"/>
                <w:bCs/>
                <w:sz w:val="20"/>
              </w:rPr>
              <w:t>%</w:t>
            </w:r>
          </w:p>
        </w:tc>
      </w:tr>
      <w:tr w:rsidR="00653BBE" w:rsidRPr="00C17763" w14:paraId="3B1AE787" w14:textId="77777777" w:rsidTr="006046ED">
        <w:tc>
          <w:tcPr>
            <w:tcW w:w="1884" w:type="pct"/>
          </w:tcPr>
          <w:p w14:paraId="1B8E950B" w14:textId="77777777" w:rsidR="00653BBE" w:rsidRPr="00C17763" w:rsidRDefault="00653BBE">
            <w:pPr>
              <w:pStyle w:val="ListParagraph"/>
              <w:spacing w:after="0"/>
              <w:ind w:left="0"/>
              <w:rPr>
                <w:rFonts w:ascii="Arial Narrow" w:hAnsi="Arial Narrow"/>
                <w:b/>
                <w:sz w:val="20"/>
                <w:szCs w:val="20"/>
              </w:rPr>
            </w:pPr>
            <w:r w:rsidRPr="00C17763">
              <w:rPr>
                <w:rFonts w:ascii="Arial Narrow" w:hAnsi="Arial Narrow"/>
                <w:b/>
                <w:sz w:val="20"/>
                <w:szCs w:val="20"/>
              </w:rPr>
              <w:t>#2 + #3 + #4 + #5</w:t>
            </w:r>
          </w:p>
        </w:tc>
        <w:tc>
          <w:tcPr>
            <w:tcW w:w="787" w:type="pct"/>
            <w:gridSpan w:val="2"/>
            <w:vAlign w:val="center"/>
          </w:tcPr>
          <w:p w14:paraId="47F89479" w14:textId="1AE560E1"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86" w:type="pct"/>
            <w:gridSpan w:val="2"/>
            <w:vAlign w:val="center"/>
          </w:tcPr>
          <w:p w14:paraId="2664B8C1" w14:textId="77777777"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0.274</w:t>
            </w:r>
          </w:p>
        </w:tc>
        <w:tc>
          <w:tcPr>
            <w:tcW w:w="943" w:type="pct"/>
            <w:vAlign w:val="center"/>
          </w:tcPr>
          <w:p w14:paraId="011092F1" w14:textId="77E2CB16" w:rsidR="00653BBE" w:rsidRPr="000762DB" w:rsidRDefault="00653BBE" w:rsidP="00653BBE">
            <w:pPr>
              <w:keepNext/>
              <w:keepLines/>
              <w:jc w:val="center"/>
              <w:rPr>
                <w:rFonts w:ascii="Arial Narrow" w:eastAsiaTheme="majorEastAsia" w:hAnsi="Arial Narrow" w:cstheme="majorBidi"/>
                <w:bCs/>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762DB">
              <w:rPr>
                <w:rFonts w:ascii="Arial Narrow" w:eastAsiaTheme="majorEastAsia" w:hAnsi="Arial Narrow" w:cstheme="majorBidi"/>
                <w:bCs/>
                <w:sz w:val="20"/>
                <w:vertAlign w:val="superscript"/>
              </w:rPr>
              <w:t>2</w:t>
            </w:r>
          </w:p>
        </w:tc>
        <w:tc>
          <w:tcPr>
            <w:tcW w:w="600" w:type="pct"/>
            <w:vAlign w:val="center"/>
          </w:tcPr>
          <w:p w14:paraId="73E1DE52" w14:textId="5E0DB361" w:rsidR="00653BBE" w:rsidRPr="00C17763" w:rsidRDefault="00B37C73" w:rsidP="00653BBE">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653BBE" w:rsidRPr="00C17763">
              <w:rPr>
                <w:rFonts w:ascii="Arial Narrow" w:eastAsiaTheme="majorEastAsia" w:hAnsi="Arial Narrow" w:cstheme="majorBidi"/>
                <w:bCs/>
                <w:sz w:val="20"/>
              </w:rPr>
              <w:t>%</w:t>
            </w:r>
          </w:p>
        </w:tc>
      </w:tr>
      <w:tr w:rsidR="00653BBE" w:rsidRPr="00C17763" w14:paraId="130AB015" w14:textId="77777777" w:rsidTr="006046ED">
        <w:tc>
          <w:tcPr>
            <w:tcW w:w="1884" w:type="pct"/>
          </w:tcPr>
          <w:p w14:paraId="1230EF1A" w14:textId="77777777" w:rsidR="00653BBE" w:rsidRPr="00C17763" w:rsidRDefault="00653BBE">
            <w:pPr>
              <w:pStyle w:val="ListParagraph"/>
              <w:spacing w:after="0"/>
              <w:ind w:left="0"/>
              <w:rPr>
                <w:rFonts w:ascii="Arial Narrow" w:hAnsi="Arial Narrow"/>
                <w:bCs/>
                <w:sz w:val="20"/>
                <w:szCs w:val="20"/>
              </w:rPr>
            </w:pPr>
            <w:r w:rsidRPr="00C17763">
              <w:rPr>
                <w:rFonts w:ascii="Arial Narrow" w:hAnsi="Arial Narrow"/>
                <w:b/>
                <w:bCs/>
                <w:sz w:val="20"/>
                <w:szCs w:val="20"/>
              </w:rPr>
              <w:t>#2 + #3 + #4 + #5 + #6</w:t>
            </w:r>
          </w:p>
        </w:tc>
        <w:tc>
          <w:tcPr>
            <w:tcW w:w="787" w:type="pct"/>
            <w:gridSpan w:val="2"/>
            <w:vAlign w:val="center"/>
          </w:tcPr>
          <w:p w14:paraId="7A516FBD" w14:textId="0A46944A"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86" w:type="pct"/>
            <w:gridSpan w:val="2"/>
            <w:vAlign w:val="center"/>
          </w:tcPr>
          <w:p w14:paraId="2138A7D0" w14:textId="77777777" w:rsidR="00653BBE" w:rsidRPr="00C17763" w:rsidRDefault="00653BBE" w:rsidP="00653BBE">
            <w:pPr>
              <w:keepNext/>
              <w:keepLines/>
              <w:jc w:val="center"/>
              <w:rPr>
                <w:rFonts w:ascii="Arial Narrow" w:eastAsiaTheme="majorEastAsia" w:hAnsi="Arial Narrow" w:cstheme="majorBidi"/>
                <w:bCs/>
                <w:sz w:val="20"/>
              </w:rPr>
            </w:pPr>
            <w:r w:rsidRPr="00C17763">
              <w:rPr>
                <w:rFonts w:ascii="Arial Narrow" w:eastAsiaTheme="majorEastAsia" w:hAnsi="Arial Narrow" w:cstheme="majorBidi"/>
                <w:bCs/>
                <w:sz w:val="20"/>
              </w:rPr>
              <w:t>0.251</w:t>
            </w:r>
          </w:p>
        </w:tc>
        <w:tc>
          <w:tcPr>
            <w:tcW w:w="943" w:type="pct"/>
            <w:vAlign w:val="center"/>
          </w:tcPr>
          <w:p w14:paraId="158A9DAC" w14:textId="16742E0D" w:rsidR="00653BBE" w:rsidRPr="00D54C85" w:rsidRDefault="00653BBE" w:rsidP="00653BBE">
            <w:pPr>
              <w:keepNext/>
              <w:keepLines/>
              <w:jc w:val="center"/>
              <w:rPr>
                <w:rFonts w:ascii="Arial Narrow" w:eastAsiaTheme="majorEastAsia" w:hAnsi="Arial Narrow" w:cstheme="majorBidi"/>
                <w:bCs/>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D54C85">
              <w:rPr>
                <w:rFonts w:ascii="Arial Narrow" w:eastAsiaTheme="majorEastAsia" w:hAnsi="Arial Narrow" w:cstheme="majorBidi"/>
                <w:bCs/>
                <w:sz w:val="20"/>
                <w:vertAlign w:val="superscript"/>
              </w:rPr>
              <w:t>5</w:t>
            </w:r>
          </w:p>
        </w:tc>
        <w:tc>
          <w:tcPr>
            <w:tcW w:w="600" w:type="pct"/>
            <w:vAlign w:val="center"/>
          </w:tcPr>
          <w:p w14:paraId="01CF916D" w14:textId="5483CA59" w:rsidR="00653BBE" w:rsidRPr="00C17763" w:rsidRDefault="00B37C73" w:rsidP="00653BBE">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653BBE" w:rsidRPr="00C17763">
              <w:rPr>
                <w:rFonts w:ascii="Arial Narrow" w:eastAsiaTheme="majorEastAsia" w:hAnsi="Arial Narrow" w:cstheme="majorBidi"/>
                <w:bCs/>
                <w:sz w:val="20"/>
              </w:rPr>
              <w:t>%</w:t>
            </w:r>
          </w:p>
        </w:tc>
      </w:tr>
      <w:tr w:rsidR="0009101A" w:rsidRPr="00C17763" w14:paraId="01241519" w14:textId="77777777" w:rsidTr="0009101A">
        <w:tc>
          <w:tcPr>
            <w:tcW w:w="5000" w:type="pct"/>
            <w:gridSpan w:val="7"/>
          </w:tcPr>
          <w:p w14:paraId="5D5AD82D" w14:textId="6DF6B932" w:rsidR="0009101A" w:rsidRDefault="0009101A" w:rsidP="0009101A">
            <w:pPr>
              <w:keepNext/>
              <w:keepLines/>
              <w:jc w:val="left"/>
              <w:rPr>
                <w:b/>
                <w:bCs/>
                <w:color w:val="000000"/>
                <w:sz w:val="22"/>
                <w:szCs w:val="22"/>
              </w:rPr>
            </w:pPr>
            <w:r w:rsidRPr="00C17763">
              <w:rPr>
                <w:rFonts w:ascii="Arial Narrow" w:eastAsiaTheme="majorEastAsia" w:hAnsi="Arial Narrow" w:cstheme="majorBidi"/>
                <w:b/>
                <w:sz w:val="20"/>
              </w:rPr>
              <w:t xml:space="preserve">Multivariate analyses requested by the </w:t>
            </w:r>
            <w:r>
              <w:rPr>
                <w:rFonts w:ascii="Arial Narrow" w:eastAsiaTheme="majorEastAsia" w:hAnsi="Arial Narrow" w:cstheme="majorBidi"/>
                <w:b/>
                <w:sz w:val="20"/>
              </w:rPr>
              <w:t>PBA</w:t>
            </w:r>
            <w:r w:rsidRPr="00C17763">
              <w:rPr>
                <w:rFonts w:ascii="Arial Narrow" w:eastAsiaTheme="majorEastAsia" w:hAnsi="Arial Narrow" w:cstheme="majorBidi"/>
                <w:b/>
                <w:sz w:val="20"/>
              </w:rPr>
              <w:t>C</w:t>
            </w:r>
          </w:p>
        </w:tc>
      </w:tr>
      <w:tr w:rsidR="0009101A" w:rsidRPr="00C17763" w14:paraId="039D1F5A" w14:textId="77777777" w:rsidTr="00241CFC">
        <w:tc>
          <w:tcPr>
            <w:tcW w:w="1884" w:type="pct"/>
          </w:tcPr>
          <w:p w14:paraId="416AD8CD" w14:textId="2E4C1234" w:rsidR="0009101A" w:rsidRPr="00C17763" w:rsidRDefault="0009101A" w:rsidP="0009101A">
            <w:pPr>
              <w:pStyle w:val="ListParagraph"/>
              <w:spacing w:after="0"/>
              <w:ind w:left="0"/>
              <w:rPr>
                <w:rFonts w:ascii="Arial Narrow" w:hAnsi="Arial Narrow"/>
                <w:b/>
                <w:bCs/>
                <w:sz w:val="20"/>
                <w:szCs w:val="20"/>
              </w:rPr>
            </w:pPr>
            <w:r w:rsidRPr="0009101A">
              <w:rPr>
                <w:rFonts w:ascii="Arial Narrow" w:hAnsi="Arial Narrow"/>
                <w:b/>
                <w:bCs/>
                <w:sz w:val="20"/>
                <w:szCs w:val="20"/>
              </w:rPr>
              <w:t>#2 + EOM + #4 + #5 + #6</w:t>
            </w:r>
          </w:p>
        </w:tc>
        <w:tc>
          <w:tcPr>
            <w:tcW w:w="787" w:type="pct"/>
            <w:gridSpan w:val="2"/>
          </w:tcPr>
          <w:p w14:paraId="3B0C1421" w14:textId="32EB3AD3" w:rsidR="0009101A" w:rsidRPr="00C17763" w:rsidRDefault="0009101A" w:rsidP="0009101A">
            <w:pPr>
              <w:keepNext/>
              <w:keepLines/>
              <w:jc w:val="center"/>
              <w:rPr>
                <w:rFonts w:ascii="Arial Narrow" w:eastAsiaTheme="majorEastAsia" w:hAnsi="Arial Narrow" w:cstheme="majorBidi"/>
                <w:bCs/>
                <w:sz w:val="20"/>
              </w:rPr>
            </w:pPr>
            <w:r w:rsidRPr="0009101A">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786" w:type="pct"/>
            <w:gridSpan w:val="2"/>
          </w:tcPr>
          <w:p w14:paraId="596CFFCB" w14:textId="70AEA881" w:rsidR="0009101A" w:rsidRPr="00C17763" w:rsidRDefault="0009101A" w:rsidP="0009101A">
            <w:pPr>
              <w:keepNext/>
              <w:keepLines/>
              <w:jc w:val="center"/>
              <w:rPr>
                <w:rFonts w:ascii="Arial Narrow" w:eastAsiaTheme="majorEastAsia" w:hAnsi="Arial Narrow" w:cstheme="majorBidi"/>
                <w:bCs/>
                <w:sz w:val="20"/>
              </w:rPr>
            </w:pPr>
            <w:r w:rsidRPr="0009101A">
              <w:rPr>
                <w:rFonts w:ascii="Arial Narrow" w:eastAsiaTheme="majorEastAsia" w:hAnsi="Arial Narrow" w:cstheme="majorBidi"/>
                <w:bCs/>
                <w:sz w:val="20"/>
              </w:rPr>
              <w:t>0.274</w:t>
            </w:r>
          </w:p>
        </w:tc>
        <w:tc>
          <w:tcPr>
            <w:tcW w:w="943" w:type="pct"/>
          </w:tcPr>
          <w:p w14:paraId="459DE55D" w14:textId="7FA2498B" w:rsidR="0009101A" w:rsidRPr="00C36C79" w:rsidRDefault="0009101A" w:rsidP="0009101A">
            <w:pPr>
              <w:keepNext/>
              <w:keepLines/>
              <w:jc w:val="center"/>
              <w:rPr>
                <w:rFonts w:ascii="Arial Narrow" w:eastAsiaTheme="majorEastAsia" w:hAnsi="Arial Narrow" w:cstheme="majorBidi"/>
                <w:bCs/>
                <w:sz w:val="20"/>
                <w:vertAlign w:val="superscript"/>
              </w:rPr>
            </w:pPr>
            <w:r w:rsidRPr="0009101A">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C36C79">
              <w:rPr>
                <w:rFonts w:ascii="Arial Narrow" w:eastAsiaTheme="majorEastAsia" w:hAnsi="Arial Narrow" w:cstheme="majorBidi"/>
                <w:bCs/>
                <w:sz w:val="20"/>
                <w:vertAlign w:val="superscript"/>
              </w:rPr>
              <w:t>3</w:t>
            </w:r>
          </w:p>
        </w:tc>
        <w:tc>
          <w:tcPr>
            <w:tcW w:w="600" w:type="pct"/>
          </w:tcPr>
          <w:p w14:paraId="5574F9B9" w14:textId="79D532CA" w:rsidR="0009101A" w:rsidRPr="00C17763" w:rsidRDefault="00B37C73" w:rsidP="0009101A">
            <w:pPr>
              <w:keepNext/>
              <w:keepLines/>
              <w:jc w:val="center"/>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09101A" w:rsidRPr="0009101A">
              <w:rPr>
                <w:rFonts w:ascii="Arial Narrow" w:eastAsiaTheme="majorEastAsia" w:hAnsi="Arial Narrow" w:cstheme="majorBidi"/>
                <w:bCs/>
                <w:sz w:val="20"/>
              </w:rPr>
              <w:t>%</w:t>
            </w:r>
          </w:p>
        </w:tc>
      </w:tr>
    </w:tbl>
    <w:p w14:paraId="75E30592" w14:textId="44B0C91F" w:rsidR="007F4BC5" w:rsidRPr="007F4BC5" w:rsidRDefault="007F4BC5" w:rsidP="00527435">
      <w:pPr>
        <w:pStyle w:val="TableFigureFooter"/>
      </w:pPr>
      <w:r w:rsidRPr="00C17763">
        <w:t>Source: Constructed during the evaluation using Table 3.9</w:t>
      </w:r>
      <w:r w:rsidR="009B60A6">
        <w:noBreakHyphen/>
      </w:r>
      <w:r w:rsidRPr="00C17763">
        <w:t xml:space="preserve">2,p213 of the submission and the “Attachment 11 – </w:t>
      </w:r>
      <w:proofErr w:type="spellStart"/>
      <w:r w:rsidRPr="00C17763">
        <w:t>Izervay</w:t>
      </w:r>
      <w:proofErr w:type="spellEnd"/>
      <w:r w:rsidRPr="00C17763">
        <w:t xml:space="preserve"> CE Model</w:t>
      </w:r>
      <w:r w:rsidRPr="007F4BC5">
        <w:t xml:space="preserve">.xlsm” provided with the submission. </w:t>
      </w:r>
    </w:p>
    <w:p w14:paraId="2159B4F1" w14:textId="70C3EA48" w:rsidR="007F4BC5" w:rsidRPr="007F4BC5" w:rsidRDefault="007F4BC5" w:rsidP="00527435">
      <w:pPr>
        <w:pStyle w:val="TableFigureFooter"/>
        <w:rPr>
          <w:i/>
          <w:iCs/>
        </w:rPr>
      </w:pPr>
      <w:r w:rsidRPr="007F4BC5">
        <w:t>ACP = avacincaptad pegol; ICER = incremental cost</w:t>
      </w:r>
      <w:r w:rsidRPr="007F4BC5">
        <w:rPr>
          <w:rFonts w:ascii="Cambria Math" w:hAnsi="Cambria Math" w:cs="Cambria Math"/>
        </w:rPr>
        <w:t>‑</w:t>
      </w:r>
      <w:r w:rsidRPr="007F4BC5">
        <w:t>effectiveness ratio; QALY = Quality</w:t>
      </w:r>
      <w:r w:rsidR="009B60A6">
        <w:noBreakHyphen/>
      </w:r>
      <w:r w:rsidRPr="007F4BC5">
        <w:t>adjusted life year.</w:t>
      </w:r>
    </w:p>
    <w:p w14:paraId="1ECBF532" w14:textId="3B6E100E" w:rsidR="00527435" w:rsidRDefault="00527435" w:rsidP="00C62EEF">
      <w:pPr>
        <w:pStyle w:val="TableFigureFooter"/>
        <w:spacing w:after="0"/>
      </w:pPr>
      <w:proofErr w:type="spellStart"/>
      <w:r>
        <w:rPr>
          <w:vertAlign w:val="superscript"/>
        </w:rPr>
        <w:t>a</w:t>
      </w:r>
      <w:proofErr w:type="spellEnd"/>
      <w:r>
        <w:rPr>
          <w:vertAlign w:val="superscript"/>
        </w:rPr>
        <w:t xml:space="preserve"> </w:t>
      </w:r>
      <w:r w:rsidRPr="00C17763">
        <w:rPr>
          <w:iCs/>
        </w:rPr>
        <w:t xml:space="preserve">The utility decrement for ACP administration </w:t>
      </w:r>
      <w:r w:rsidR="00234805" w:rsidRPr="00C17763">
        <w:rPr>
          <w:iCs/>
        </w:rPr>
        <w:t>applied was</w:t>
      </w:r>
      <w:r w:rsidR="005442A9" w:rsidRPr="00C17763">
        <w:rPr>
          <w:iCs/>
        </w:rPr>
        <w:t xml:space="preserve"> </w:t>
      </w:r>
      <w:r w:rsidRPr="00C17763">
        <w:rPr>
          <w:iCs/>
        </w:rPr>
        <w:t>100% daily utility loss for one day for 50% of patients per administration, i.e. (baseline utility for the health state / 365.25 * 0.50). For EM treatment regimen there were 6 administrations and for EOM 3 administrations</w:t>
      </w:r>
      <w:r w:rsidR="00CF6F61" w:rsidRPr="00C17763">
        <w:rPr>
          <w:iCs/>
        </w:rPr>
        <w:t xml:space="preserve"> (NICE guideline NG82, Appendix J: Health Economics)</w:t>
      </w:r>
      <w:r w:rsidRPr="008A4BA6">
        <w:t>.</w:t>
      </w:r>
    </w:p>
    <w:p w14:paraId="285DE3D0" w14:textId="77777777" w:rsidR="00C62EEF" w:rsidRPr="00C62EEF" w:rsidRDefault="00C62EEF" w:rsidP="00C62EEF">
      <w:pPr>
        <w:jc w:val="left"/>
        <w:rPr>
          <w:rFonts w:ascii="Arial Narrow" w:hAnsi="Arial Narrow"/>
          <w:i/>
          <w:sz w:val="18"/>
          <w:szCs w:val="18"/>
        </w:rPr>
      </w:pPr>
      <w:r w:rsidRPr="00C62EEF">
        <w:rPr>
          <w:rFonts w:ascii="Arial Narrow" w:hAnsi="Arial Narrow"/>
          <w:i/>
          <w:sz w:val="18"/>
          <w:szCs w:val="18"/>
        </w:rPr>
        <w:t xml:space="preserve">The redacted values correspond to the following ranges: </w:t>
      </w:r>
    </w:p>
    <w:p w14:paraId="34F97882" w14:textId="1B1F9E96" w:rsidR="00C62EEF" w:rsidRPr="00C62EEF" w:rsidRDefault="00C62EEF" w:rsidP="00C62EEF">
      <w:pPr>
        <w:jc w:val="left"/>
        <w:rPr>
          <w:rFonts w:ascii="Arial Narrow" w:hAnsi="Arial Narrow"/>
          <w:i/>
          <w:sz w:val="18"/>
          <w:szCs w:val="18"/>
        </w:rPr>
      </w:pPr>
      <w:r w:rsidRPr="00C62EEF">
        <w:rPr>
          <w:rFonts w:ascii="Arial Narrow" w:hAnsi="Arial Narrow"/>
          <w:i/>
          <w:sz w:val="18"/>
          <w:szCs w:val="18"/>
          <w:vertAlign w:val="superscript"/>
        </w:rPr>
        <w:t>1</w:t>
      </w:r>
      <w:r w:rsidRPr="00C62EEF">
        <w:rPr>
          <w:rFonts w:ascii="Arial Narrow" w:hAnsi="Arial Narrow"/>
          <w:i/>
          <w:sz w:val="18"/>
          <w:szCs w:val="18"/>
        </w:rPr>
        <w:t xml:space="preserve"> </w:t>
      </w:r>
      <w:r w:rsidR="002B57C8" w:rsidRPr="002B57C8">
        <w:rPr>
          <w:rFonts w:ascii="Arial Narrow" w:hAnsi="Arial Narrow"/>
          <w:i/>
          <w:sz w:val="18"/>
          <w:szCs w:val="18"/>
        </w:rPr>
        <w:t>$55,000 to &lt; $75,000</w:t>
      </w:r>
    </w:p>
    <w:p w14:paraId="6190D3D0" w14:textId="5B97E9C0" w:rsidR="00C62EEF" w:rsidRPr="00C62EEF" w:rsidRDefault="00C62EEF" w:rsidP="00C62EEF">
      <w:pPr>
        <w:jc w:val="left"/>
        <w:rPr>
          <w:rFonts w:ascii="Arial Narrow" w:hAnsi="Arial Narrow"/>
          <w:i/>
          <w:sz w:val="18"/>
          <w:szCs w:val="18"/>
        </w:rPr>
      </w:pPr>
      <w:r w:rsidRPr="00C62EEF">
        <w:rPr>
          <w:rFonts w:ascii="Arial Narrow" w:hAnsi="Arial Narrow"/>
          <w:i/>
          <w:sz w:val="18"/>
          <w:szCs w:val="18"/>
          <w:vertAlign w:val="superscript"/>
        </w:rPr>
        <w:t>2</w:t>
      </w:r>
      <w:r w:rsidRPr="00C62EEF">
        <w:rPr>
          <w:rFonts w:ascii="Arial Narrow" w:hAnsi="Arial Narrow"/>
          <w:i/>
          <w:sz w:val="18"/>
          <w:szCs w:val="18"/>
        </w:rPr>
        <w:t xml:space="preserve"> </w:t>
      </w:r>
      <w:r w:rsidR="007B1E8B" w:rsidRPr="007B1E8B">
        <w:rPr>
          <w:rFonts w:ascii="Arial Narrow" w:hAnsi="Arial Narrow"/>
          <w:i/>
          <w:sz w:val="18"/>
          <w:szCs w:val="18"/>
        </w:rPr>
        <w:t xml:space="preserve">$95,000 to &lt; $115,000 </w:t>
      </w:r>
    </w:p>
    <w:p w14:paraId="0C1AC26F" w14:textId="0B90B71F" w:rsidR="00C62EEF" w:rsidRPr="00C62EEF" w:rsidRDefault="00C62EEF" w:rsidP="00C62EEF">
      <w:pPr>
        <w:jc w:val="left"/>
        <w:rPr>
          <w:rFonts w:ascii="Arial Narrow" w:hAnsi="Arial Narrow"/>
          <w:i/>
          <w:sz w:val="18"/>
          <w:szCs w:val="18"/>
        </w:rPr>
      </w:pPr>
      <w:r w:rsidRPr="00C62EEF">
        <w:rPr>
          <w:rFonts w:ascii="Arial Narrow" w:hAnsi="Arial Narrow"/>
          <w:i/>
          <w:sz w:val="18"/>
          <w:szCs w:val="18"/>
          <w:vertAlign w:val="superscript"/>
        </w:rPr>
        <w:t>3</w:t>
      </w:r>
      <w:r w:rsidRPr="00C62EEF">
        <w:rPr>
          <w:rFonts w:ascii="Arial Narrow" w:hAnsi="Arial Narrow"/>
          <w:i/>
          <w:sz w:val="18"/>
          <w:szCs w:val="18"/>
        </w:rPr>
        <w:t xml:space="preserve"> </w:t>
      </w:r>
      <w:r w:rsidR="00C36C79" w:rsidRPr="00C36C79">
        <w:rPr>
          <w:rFonts w:ascii="Arial Narrow" w:hAnsi="Arial Narrow"/>
          <w:i/>
          <w:sz w:val="18"/>
          <w:szCs w:val="18"/>
        </w:rPr>
        <w:t>$75,000 to &lt; $95,000</w:t>
      </w:r>
    </w:p>
    <w:p w14:paraId="79A1D711" w14:textId="5D774726" w:rsidR="00C62EEF" w:rsidRPr="00C62EEF" w:rsidRDefault="00C62EEF" w:rsidP="00C62EEF">
      <w:pPr>
        <w:jc w:val="left"/>
        <w:rPr>
          <w:rFonts w:ascii="Arial Narrow" w:hAnsi="Arial Narrow"/>
          <w:i/>
          <w:sz w:val="18"/>
          <w:szCs w:val="18"/>
        </w:rPr>
      </w:pPr>
      <w:r w:rsidRPr="00C62EEF">
        <w:rPr>
          <w:rFonts w:ascii="Arial Narrow" w:hAnsi="Arial Narrow"/>
          <w:i/>
          <w:sz w:val="18"/>
          <w:szCs w:val="18"/>
          <w:vertAlign w:val="superscript"/>
        </w:rPr>
        <w:t>4</w:t>
      </w:r>
      <w:r w:rsidRPr="00C62EEF">
        <w:rPr>
          <w:rFonts w:ascii="Arial Narrow" w:hAnsi="Arial Narrow"/>
          <w:i/>
          <w:sz w:val="18"/>
          <w:szCs w:val="18"/>
        </w:rPr>
        <w:t xml:space="preserve"> </w:t>
      </w:r>
      <w:r w:rsidR="00657C8C" w:rsidRPr="00657C8C">
        <w:rPr>
          <w:rFonts w:ascii="Arial Narrow" w:hAnsi="Arial Narrow"/>
          <w:i/>
          <w:sz w:val="18"/>
          <w:szCs w:val="18"/>
        </w:rPr>
        <w:t>$95,000 to &lt; $115,000</w:t>
      </w:r>
    </w:p>
    <w:p w14:paraId="7F32B8E4" w14:textId="61C449BC" w:rsidR="00C62EEF" w:rsidRDefault="00C62EEF" w:rsidP="00510655">
      <w:pPr>
        <w:jc w:val="left"/>
        <w:rPr>
          <w:rFonts w:ascii="Arial Narrow" w:hAnsi="Arial Narrow"/>
          <w:i/>
          <w:sz w:val="18"/>
          <w:szCs w:val="18"/>
        </w:rPr>
      </w:pPr>
      <w:r w:rsidRPr="00C62EEF">
        <w:rPr>
          <w:rFonts w:ascii="Arial Narrow" w:hAnsi="Arial Narrow"/>
          <w:i/>
          <w:sz w:val="18"/>
          <w:szCs w:val="18"/>
          <w:vertAlign w:val="superscript"/>
        </w:rPr>
        <w:t>5</w:t>
      </w:r>
      <w:r w:rsidRPr="00C62EEF">
        <w:rPr>
          <w:rFonts w:ascii="Arial Narrow" w:hAnsi="Arial Narrow"/>
          <w:i/>
          <w:sz w:val="18"/>
          <w:szCs w:val="18"/>
        </w:rPr>
        <w:t xml:space="preserve"> </w:t>
      </w:r>
      <w:r w:rsidR="00D54C85" w:rsidRPr="00D54C85">
        <w:rPr>
          <w:rFonts w:ascii="Arial Narrow" w:hAnsi="Arial Narrow"/>
          <w:i/>
          <w:sz w:val="18"/>
          <w:szCs w:val="18"/>
        </w:rPr>
        <w:t>$115,000 to &lt; $135,000</w:t>
      </w:r>
    </w:p>
    <w:p w14:paraId="411E15F2" w14:textId="77777777" w:rsidR="00510655" w:rsidRDefault="00510655" w:rsidP="00510655">
      <w:pPr>
        <w:jc w:val="left"/>
        <w:rPr>
          <w:rFonts w:ascii="Arial Narrow" w:hAnsi="Arial Narrow"/>
          <w:i/>
          <w:sz w:val="18"/>
          <w:szCs w:val="18"/>
        </w:rPr>
      </w:pPr>
    </w:p>
    <w:p w14:paraId="622ED3B8" w14:textId="77777777" w:rsidR="00510655" w:rsidRPr="00510655" w:rsidRDefault="00510655" w:rsidP="00510655">
      <w:pPr>
        <w:jc w:val="left"/>
        <w:rPr>
          <w:rFonts w:ascii="Arial Narrow" w:hAnsi="Arial Narrow"/>
          <w:i/>
          <w:sz w:val="18"/>
          <w:szCs w:val="18"/>
        </w:rPr>
      </w:pPr>
    </w:p>
    <w:p w14:paraId="29894195" w14:textId="52F99B93" w:rsidR="004D5204" w:rsidRPr="00C17763" w:rsidRDefault="00A807AA" w:rsidP="004E7A49">
      <w:pPr>
        <w:pStyle w:val="3-BodyText"/>
        <w:rPr>
          <w:iCs/>
        </w:rPr>
      </w:pPr>
      <w:bookmarkStart w:id="71" w:name="_Ref222329777"/>
      <w:r w:rsidRPr="00C17763">
        <w:rPr>
          <w:iCs/>
        </w:rPr>
        <w:t xml:space="preserve">The ESC </w:t>
      </w:r>
      <w:r w:rsidR="00CD0CE7" w:rsidRPr="00C17763">
        <w:rPr>
          <w:iCs/>
        </w:rPr>
        <w:t xml:space="preserve">requested </w:t>
      </w:r>
      <w:r w:rsidR="00CA54AF" w:rsidRPr="00C17763">
        <w:rPr>
          <w:iCs/>
        </w:rPr>
        <w:t xml:space="preserve">a </w:t>
      </w:r>
      <w:r w:rsidR="00CD0CE7" w:rsidRPr="00C17763">
        <w:rPr>
          <w:iCs/>
        </w:rPr>
        <w:t>multivariate analys</w:t>
      </w:r>
      <w:r w:rsidR="00CA54AF" w:rsidRPr="00C17763">
        <w:rPr>
          <w:iCs/>
        </w:rPr>
        <w:t>i</w:t>
      </w:r>
      <w:r w:rsidR="00CD0CE7" w:rsidRPr="00C17763">
        <w:rPr>
          <w:iCs/>
        </w:rPr>
        <w:t>s that</w:t>
      </w:r>
      <w:r w:rsidR="004D5204" w:rsidRPr="00C17763">
        <w:rPr>
          <w:iCs/>
        </w:rPr>
        <w:t>:</w:t>
      </w:r>
      <w:bookmarkEnd w:id="71"/>
    </w:p>
    <w:p w14:paraId="01783656" w14:textId="60E05C9F" w:rsidR="00CA3640" w:rsidRPr="00C17763" w:rsidRDefault="00CD0CE7" w:rsidP="001A7CE8">
      <w:pPr>
        <w:numPr>
          <w:ilvl w:val="0"/>
          <w:numId w:val="19"/>
        </w:numPr>
        <w:spacing w:before="60" w:after="60"/>
        <w:ind w:left="1077" w:hanging="357"/>
        <w:rPr>
          <w:rFonts w:asciiTheme="minorHAnsi" w:eastAsiaTheme="minorHAnsi" w:hAnsiTheme="minorHAnsi" w:cstheme="minorBidi"/>
          <w:iCs/>
          <w:szCs w:val="22"/>
        </w:rPr>
      </w:pPr>
      <w:r w:rsidRPr="00C17763">
        <w:rPr>
          <w:rFonts w:asciiTheme="minorHAnsi" w:eastAsiaTheme="minorHAnsi" w:hAnsiTheme="minorHAnsi" w:cstheme="minorBidi"/>
          <w:iCs/>
          <w:szCs w:val="22"/>
        </w:rPr>
        <w:t xml:space="preserve">reduced the time horizon </w:t>
      </w:r>
      <w:r w:rsidR="00C51406" w:rsidRPr="00C17763">
        <w:rPr>
          <w:rFonts w:asciiTheme="minorHAnsi" w:eastAsiaTheme="minorHAnsi" w:hAnsiTheme="minorHAnsi" w:cstheme="minorBidi"/>
          <w:iCs/>
          <w:szCs w:val="22"/>
        </w:rPr>
        <w:t>from 20</w:t>
      </w:r>
      <w:r w:rsidR="009B60A6">
        <w:rPr>
          <w:rFonts w:asciiTheme="minorHAnsi" w:eastAsiaTheme="minorHAnsi" w:hAnsiTheme="minorHAnsi" w:cstheme="minorBidi"/>
          <w:iCs/>
          <w:szCs w:val="22"/>
        </w:rPr>
        <w:noBreakHyphen/>
      </w:r>
      <w:r w:rsidR="00C51406" w:rsidRPr="00C17763">
        <w:rPr>
          <w:rFonts w:asciiTheme="minorHAnsi" w:eastAsiaTheme="minorHAnsi" w:hAnsiTheme="minorHAnsi" w:cstheme="minorBidi"/>
          <w:iCs/>
          <w:szCs w:val="22"/>
        </w:rPr>
        <w:t xml:space="preserve">years </w:t>
      </w:r>
      <w:r w:rsidRPr="00C17763">
        <w:rPr>
          <w:rFonts w:asciiTheme="minorHAnsi" w:eastAsiaTheme="minorHAnsi" w:hAnsiTheme="minorHAnsi" w:cstheme="minorBidi"/>
          <w:iCs/>
          <w:szCs w:val="22"/>
        </w:rPr>
        <w:t xml:space="preserve">to </w:t>
      </w:r>
      <w:r w:rsidR="00BE29E5" w:rsidRPr="00C17763">
        <w:rPr>
          <w:rFonts w:asciiTheme="minorHAnsi" w:eastAsiaTheme="minorHAnsi" w:hAnsiTheme="minorHAnsi" w:cstheme="minorBidi"/>
          <w:iCs/>
          <w:szCs w:val="22"/>
        </w:rPr>
        <w:t>15</w:t>
      </w:r>
      <w:r w:rsidR="009B60A6">
        <w:rPr>
          <w:rFonts w:asciiTheme="minorHAnsi" w:eastAsiaTheme="minorHAnsi" w:hAnsiTheme="minorHAnsi" w:cstheme="minorBidi"/>
          <w:iCs/>
          <w:szCs w:val="22"/>
        </w:rPr>
        <w:noBreakHyphen/>
      </w:r>
      <w:r w:rsidR="00BE29E5" w:rsidRPr="00C17763">
        <w:rPr>
          <w:rFonts w:asciiTheme="minorHAnsi" w:eastAsiaTheme="minorHAnsi" w:hAnsiTheme="minorHAnsi" w:cstheme="minorBidi"/>
          <w:iCs/>
          <w:szCs w:val="22"/>
        </w:rPr>
        <w:t>years</w:t>
      </w:r>
      <w:r w:rsidR="00C51406" w:rsidRPr="00C17763">
        <w:rPr>
          <w:rFonts w:asciiTheme="minorHAnsi" w:eastAsiaTheme="minorHAnsi" w:hAnsiTheme="minorHAnsi" w:cstheme="minorBidi"/>
          <w:iCs/>
          <w:szCs w:val="22"/>
        </w:rPr>
        <w:t>;</w:t>
      </w:r>
    </w:p>
    <w:p w14:paraId="690B7AF5" w14:textId="77777777" w:rsidR="00C51406" w:rsidRPr="00C17763" w:rsidRDefault="00223AC7" w:rsidP="001A7CE8">
      <w:pPr>
        <w:numPr>
          <w:ilvl w:val="0"/>
          <w:numId w:val="19"/>
        </w:numPr>
        <w:spacing w:before="60" w:after="60"/>
        <w:ind w:left="1077" w:hanging="357"/>
        <w:rPr>
          <w:rFonts w:asciiTheme="minorHAnsi" w:eastAsiaTheme="minorHAnsi" w:hAnsiTheme="minorHAnsi" w:cstheme="minorBidi"/>
          <w:iCs/>
          <w:szCs w:val="22"/>
        </w:rPr>
      </w:pPr>
      <w:r w:rsidRPr="00C17763">
        <w:rPr>
          <w:rFonts w:asciiTheme="minorHAnsi" w:eastAsiaTheme="minorHAnsi" w:hAnsiTheme="minorHAnsi" w:cstheme="minorBidi"/>
          <w:iCs/>
          <w:szCs w:val="22"/>
        </w:rPr>
        <w:t xml:space="preserve">assumed </w:t>
      </w:r>
      <w:r w:rsidR="006557E6" w:rsidRPr="00C17763">
        <w:rPr>
          <w:rFonts w:asciiTheme="minorHAnsi" w:eastAsiaTheme="minorHAnsi" w:hAnsiTheme="minorHAnsi" w:cstheme="minorBidi"/>
          <w:iCs/>
          <w:szCs w:val="22"/>
        </w:rPr>
        <w:t xml:space="preserve">50:50 EM:EOM dosing </w:t>
      </w:r>
      <w:r w:rsidR="00310707" w:rsidRPr="00C17763">
        <w:rPr>
          <w:rFonts w:asciiTheme="minorHAnsi" w:eastAsiaTheme="minorHAnsi" w:hAnsiTheme="minorHAnsi" w:cstheme="minorBidi"/>
          <w:iCs/>
          <w:szCs w:val="22"/>
        </w:rPr>
        <w:t>for ACP</w:t>
      </w:r>
      <w:r w:rsidR="002E092C" w:rsidRPr="00C17763">
        <w:rPr>
          <w:rFonts w:asciiTheme="minorHAnsi" w:eastAsiaTheme="minorHAnsi" w:hAnsiTheme="minorHAnsi" w:cstheme="minorBidi"/>
          <w:iCs/>
          <w:szCs w:val="22"/>
        </w:rPr>
        <w:t xml:space="preserve"> in Year 2 onwards</w:t>
      </w:r>
      <w:r w:rsidR="00C51406" w:rsidRPr="00C17763">
        <w:rPr>
          <w:rFonts w:asciiTheme="minorHAnsi" w:eastAsiaTheme="minorHAnsi" w:hAnsiTheme="minorHAnsi" w:cstheme="minorBidi"/>
          <w:iCs/>
          <w:szCs w:val="22"/>
        </w:rPr>
        <w:t>;</w:t>
      </w:r>
    </w:p>
    <w:p w14:paraId="0D113694" w14:textId="77777777" w:rsidR="00131832" w:rsidRPr="00C17763" w:rsidRDefault="00131832" w:rsidP="001A7CE8">
      <w:pPr>
        <w:numPr>
          <w:ilvl w:val="0"/>
          <w:numId w:val="19"/>
        </w:numPr>
        <w:spacing w:before="60" w:after="60"/>
        <w:ind w:left="1077" w:hanging="357"/>
        <w:rPr>
          <w:rFonts w:asciiTheme="minorHAnsi" w:eastAsiaTheme="minorHAnsi" w:hAnsiTheme="minorHAnsi" w:cstheme="minorBidi"/>
          <w:iCs/>
          <w:szCs w:val="22"/>
        </w:rPr>
      </w:pPr>
      <w:r w:rsidRPr="00C17763">
        <w:rPr>
          <w:rFonts w:asciiTheme="minorHAnsi" w:eastAsiaTheme="minorHAnsi" w:hAnsiTheme="minorHAnsi" w:cstheme="minorBidi"/>
          <w:iCs/>
          <w:szCs w:val="22"/>
        </w:rPr>
        <w:lastRenderedPageBreak/>
        <w:t>removed the application of excess mortality from the severe visual impairment health states;</w:t>
      </w:r>
    </w:p>
    <w:p w14:paraId="3574A047" w14:textId="3D6C1850" w:rsidR="007F4BC5" w:rsidRPr="00C17763" w:rsidRDefault="00131832" w:rsidP="001A7CE8">
      <w:pPr>
        <w:numPr>
          <w:ilvl w:val="0"/>
          <w:numId w:val="19"/>
        </w:numPr>
        <w:spacing w:before="60" w:after="60"/>
        <w:ind w:left="1077" w:hanging="357"/>
        <w:rPr>
          <w:rFonts w:asciiTheme="minorHAnsi" w:eastAsiaTheme="minorHAnsi" w:hAnsiTheme="minorHAnsi" w:cstheme="minorBidi"/>
          <w:iCs/>
          <w:szCs w:val="22"/>
        </w:rPr>
      </w:pPr>
      <w:r w:rsidRPr="00C17763">
        <w:rPr>
          <w:rFonts w:asciiTheme="minorHAnsi" w:eastAsiaTheme="minorHAnsi" w:hAnsiTheme="minorHAnsi" w:cstheme="minorBidi"/>
          <w:iCs/>
          <w:szCs w:val="22"/>
        </w:rPr>
        <w:t>pooled data from GATHER1 and GATHER2; and</w:t>
      </w:r>
    </w:p>
    <w:p w14:paraId="3ADFFE33" w14:textId="780677CA" w:rsidR="00131832" w:rsidRPr="00C17763" w:rsidRDefault="00E64F9A" w:rsidP="001A7CE8">
      <w:pPr>
        <w:numPr>
          <w:ilvl w:val="0"/>
          <w:numId w:val="19"/>
        </w:numPr>
        <w:spacing w:before="60" w:after="60"/>
        <w:ind w:left="1077" w:hanging="357"/>
        <w:rPr>
          <w:rFonts w:asciiTheme="minorHAnsi" w:eastAsiaTheme="minorHAnsi" w:hAnsiTheme="minorHAnsi" w:cstheme="minorBidi"/>
          <w:iCs/>
          <w:szCs w:val="22"/>
        </w:rPr>
      </w:pPr>
      <w:r w:rsidRPr="00C17763">
        <w:rPr>
          <w:rFonts w:asciiTheme="minorHAnsi" w:eastAsiaTheme="minorHAnsi" w:hAnsiTheme="minorHAnsi" w:cstheme="minorBidi"/>
          <w:iCs/>
          <w:szCs w:val="22"/>
        </w:rPr>
        <w:t xml:space="preserve">applied a utility decrement for ACP administration. </w:t>
      </w:r>
    </w:p>
    <w:p w14:paraId="5D231169" w14:textId="5EEB3DCD" w:rsidR="00A87862" w:rsidRDefault="00A87862" w:rsidP="00A87862">
      <w:pPr>
        <w:spacing w:before="60" w:after="60"/>
        <w:ind w:left="720"/>
        <w:rPr>
          <w:rFonts w:asciiTheme="minorHAnsi" w:eastAsiaTheme="minorHAnsi" w:hAnsiTheme="minorHAnsi" w:cstheme="minorBidi"/>
          <w:iCs/>
          <w:szCs w:val="22"/>
        </w:rPr>
      </w:pPr>
      <w:r w:rsidRPr="00C17763">
        <w:rPr>
          <w:rFonts w:asciiTheme="minorHAnsi" w:eastAsiaTheme="minorHAnsi" w:hAnsiTheme="minorHAnsi" w:cstheme="minorBidi"/>
          <w:iCs/>
          <w:szCs w:val="22"/>
        </w:rPr>
        <w:t>The ESC noted that this multiv</w:t>
      </w:r>
      <w:r w:rsidR="00761968" w:rsidRPr="00C17763">
        <w:rPr>
          <w:rFonts w:asciiTheme="minorHAnsi" w:eastAsiaTheme="minorHAnsi" w:hAnsiTheme="minorHAnsi" w:cstheme="minorBidi"/>
          <w:iCs/>
          <w:szCs w:val="22"/>
        </w:rPr>
        <w:t>ariate analys</w:t>
      </w:r>
      <w:r w:rsidR="00CA54AF" w:rsidRPr="00C17763">
        <w:rPr>
          <w:rFonts w:asciiTheme="minorHAnsi" w:eastAsiaTheme="minorHAnsi" w:hAnsiTheme="minorHAnsi" w:cstheme="minorBidi"/>
          <w:iCs/>
          <w:szCs w:val="22"/>
        </w:rPr>
        <w:t xml:space="preserve">is </w:t>
      </w:r>
      <w:r w:rsidR="00AF13F7" w:rsidRPr="00C17763">
        <w:rPr>
          <w:rFonts w:asciiTheme="minorHAnsi" w:eastAsiaTheme="minorHAnsi" w:hAnsiTheme="minorHAnsi" w:cstheme="minorBidi"/>
          <w:iCs/>
          <w:szCs w:val="22"/>
        </w:rPr>
        <w:t xml:space="preserve">increased the base case ICER from </w:t>
      </w:r>
      <w:r w:rsidR="0043240A" w:rsidRPr="0043240A">
        <w:rPr>
          <w:rFonts w:asciiTheme="minorHAnsi" w:eastAsiaTheme="minorHAnsi" w:hAnsiTheme="minorHAnsi" w:cstheme="minorBidi"/>
          <w:iCs/>
          <w:szCs w:val="22"/>
        </w:rPr>
        <w:t>$55,000 to &lt; $75,000</w:t>
      </w:r>
      <w:r w:rsidR="00460862" w:rsidRPr="00C17763">
        <w:rPr>
          <w:rFonts w:asciiTheme="minorHAnsi" w:eastAsiaTheme="minorHAnsi" w:hAnsiTheme="minorHAnsi" w:cstheme="minorBidi"/>
          <w:iCs/>
          <w:szCs w:val="22"/>
        </w:rPr>
        <w:t xml:space="preserve"> </w:t>
      </w:r>
      <w:r w:rsidR="008E596F" w:rsidRPr="00C17763">
        <w:rPr>
          <w:rFonts w:asciiTheme="minorHAnsi" w:eastAsiaTheme="minorHAnsi" w:hAnsiTheme="minorHAnsi" w:cstheme="minorBidi"/>
          <w:iCs/>
          <w:szCs w:val="22"/>
        </w:rPr>
        <w:t xml:space="preserve">per QALY gained </w:t>
      </w:r>
      <w:r w:rsidR="00A86547" w:rsidRPr="00C17763">
        <w:rPr>
          <w:rFonts w:asciiTheme="minorHAnsi" w:eastAsiaTheme="minorHAnsi" w:hAnsiTheme="minorHAnsi" w:cstheme="minorBidi"/>
          <w:iCs/>
          <w:szCs w:val="22"/>
        </w:rPr>
        <w:t xml:space="preserve">to </w:t>
      </w:r>
      <w:r w:rsidR="00B9427A" w:rsidRPr="00B9427A">
        <w:rPr>
          <w:rFonts w:asciiTheme="minorHAnsi" w:eastAsiaTheme="minorHAnsi" w:hAnsiTheme="minorHAnsi" w:cstheme="minorBidi"/>
          <w:iCs/>
          <w:szCs w:val="22"/>
        </w:rPr>
        <w:t>$115,000 to &lt; $135,000</w:t>
      </w:r>
      <w:r w:rsidR="00B9427A">
        <w:rPr>
          <w:rFonts w:asciiTheme="minorHAnsi" w:eastAsiaTheme="minorHAnsi" w:hAnsiTheme="minorHAnsi" w:cstheme="minorBidi"/>
          <w:iCs/>
          <w:szCs w:val="22"/>
        </w:rPr>
        <w:t xml:space="preserve"> </w:t>
      </w:r>
      <w:r w:rsidR="008E596F" w:rsidRPr="00C17763">
        <w:rPr>
          <w:rFonts w:asciiTheme="minorHAnsi" w:eastAsiaTheme="minorHAnsi" w:hAnsiTheme="minorHAnsi" w:cstheme="minorBidi"/>
          <w:iCs/>
          <w:szCs w:val="22"/>
        </w:rPr>
        <w:t>per QALY gained</w:t>
      </w:r>
      <w:r w:rsidR="008646BD" w:rsidRPr="00C17763">
        <w:rPr>
          <w:rFonts w:asciiTheme="minorHAnsi" w:eastAsiaTheme="minorHAnsi" w:hAnsiTheme="minorHAnsi" w:cstheme="minorBidi"/>
          <w:iCs/>
          <w:szCs w:val="22"/>
        </w:rPr>
        <w:t xml:space="preserve">. The ESC considered that this multivariate analysis </w:t>
      </w:r>
      <w:r w:rsidR="00D67244" w:rsidRPr="00C17763">
        <w:rPr>
          <w:rFonts w:asciiTheme="minorHAnsi" w:eastAsiaTheme="minorHAnsi" w:hAnsiTheme="minorHAnsi" w:cstheme="minorBidi"/>
          <w:iCs/>
          <w:szCs w:val="22"/>
        </w:rPr>
        <w:t xml:space="preserve">addressed the key concerns raised by the Committee and that it was appropriate </w:t>
      </w:r>
      <w:r w:rsidR="003C7423" w:rsidRPr="00C17763">
        <w:rPr>
          <w:rFonts w:asciiTheme="minorHAnsi" w:eastAsiaTheme="minorHAnsi" w:hAnsiTheme="minorHAnsi" w:cstheme="minorBidi"/>
          <w:iCs/>
          <w:szCs w:val="22"/>
        </w:rPr>
        <w:t xml:space="preserve">as a revised base case. </w:t>
      </w:r>
    </w:p>
    <w:p w14:paraId="2B1FA558" w14:textId="2858A7B8" w:rsidR="00A52AB2" w:rsidRPr="00C17763" w:rsidRDefault="00A52AB2" w:rsidP="00A52AB2">
      <w:pPr>
        <w:pStyle w:val="3-BodyText"/>
        <w:rPr>
          <w:iCs/>
        </w:rPr>
      </w:pPr>
      <w:bookmarkStart w:id="72" w:name="_Ref224809925"/>
      <w:bookmarkStart w:id="73" w:name="_Toc218871503"/>
      <w:r>
        <w:rPr>
          <w:iCs/>
        </w:rPr>
        <w:t>The PBAC requested an additional multivariate analysis which used the above parameters requested by ESC, with dosing reflecting the submission base case of EM in the first 12 months followed by EOM from year 2 onwards. T</w:t>
      </w:r>
      <w:r w:rsidRPr="00C17763">
        <w:rPr>
          <w:iCs/>
        </w:rPr>
        <w:t xml:space="preserve">his multivariate analysis increased the base case ICER from </w:t>
      </w:r>
      <w:r w:rsidR="00B9427A" w:rsidRPr="00B9427A">
        <w:rPr>
          <w:iCs/>
        </w:rPr>
        <w:t>$55,000 to &lt; $75,000</w:t>
      </w:r>
      <w:r w:rsidRPr="00C17763">
        <w:rPr>
          <w:iCs/>
        </w:rPr>
        <w:t xml:space="preserve"> per QALY gained to </w:t>
      </w:r>
      <w:r w:rsidR="00961A4B" w:rsidRPr="00961A4B">
        <w:rPr>
          <w:iCs/>
        </w:rPr>
        <w:t>$75,000 to &lt; $95,000</w:t>
      </w:r>
      <w:r>
        <w:rPr>
          <w:iCs/>
        </w:rPr>
        <w:t xml:space="preserve"> </w:t>
      </w:r>
      <w:r w:rsidRPr="00C17763">
        <w:rPr>
          <w:iCs/>
        </w:rPr>
        <w:t>per QALY gained</w:t>
      </w:r>
      <w:r>
        <w:rPr>
          <w:iCs/>
        </w:rPr>
        <w:t>.</w:t>
      </w:r>
      <w:bookmarkEnd w:id="72"/>
    </w:p>
    <w:p w14:paraId="563582A8" w14:textId="77777777" w:rsidR="007F4BC5" w:rsidRPr="007F4BC5" w:rsidRDefault="007F4BC5" w:rsidP="007F4BC5">
      <w:pPr>
        <w:keepNext/>
        <w:spacing w:before="120" w:after="120"/>
        <w:outlineLvl w:val="1"/>
        <w:rPr>
          <w:rFonts w:asciiTheme="minorHAnsi" w:eastAsiaTheme="majorEastAsia" w:hAnsiTheme="minorHAnsi" w:cstheme="majorBidi"/>
          <w:b/>
          <w:i/>
          <w:spacing w:val="5"/>
          <w:kern w:val="28"/>
          <w:sz w:val="28"/>
          <w:szCs w:val="36"/>
          <w:lang w:eastAsia="en-US"/>
        </w:rPr>
      </w:pPr>
      <w:r w:rsidRPr="007F4BC5">
        <w:rPr>
          <w:rFonts w:asciiTheme="minorHAnsi" w:eastAsiaTheme="majorEastAsia" w:hAnsiTheme="minorHAnsi" w:cstheme="majorBidi"/>
          <w:b/>
          <w:i/>
          <w:spacing w:val="5"/>
          <w:kern w:val="28"/>
          <w:sz w:val="28"/>
          <w:szCs w:val="36"/>
          <w:lang w:eastAsia="en-US"/>
        </w:rPr>
        <w:t>Avacincaptad pegol cost/patient/year</w:t>
      </w:r>
      <w:bookmarkEnd w:id="73"/>
    </w:p>
    <w:p w14:paraId="5DE25014" w14:textId="05130308" w:rsidR="007F4BC5" w:rsidRPr="007F4BC5" w:rsidRDefault="007F4BC5" w:rsidP="007F4BC5">
      <w:pPr>
        <w:keepNext/>
        <w:jc w:val="left"/>
        <w:rPr>
          <w:rFonts w:ascii="Arial Narrow" w:eastAsiaTheme="majorEastAsia" w:hAnsi="Arial Narrow" w:cstheme="majorBidi"/>
          <w:b/>
          <w:bCs/>
          <w:sz w:val="20"/>
        </w:rPr>
      </w:pPr>
      <w:bookmarkStart w:id="74" w:name="_Ref104805102"/>
      <w:r w:rsidRPr="007F4BC5">
        <w:rPr>
          <w:rFonts w:ascii="Arial Narrow" w:eastAsiaTheme="majorEastAsia" w:hAnsi="Arial Narrow" w:cstheme="majorBidi"/>
          <w:b/>
          <w:bCs/>
          <w:sz w:val="20"/>
        </w:rPr>
        <w:t xml:space="preserve">Table </w:t>
      </w:r>
      <w:r w:rsidRPr="007F4BC5">
        <w:rPr>
          <w:rFonts w:ascii="Arial Narrow" w:eastAsiaTheme="majorEastAsia" w:hAnsi="Arial Narrow" w:cstheme="majorBidi"/>
          <w:b/>
          <w:bCs/>
          <w:sz w:val="20"/>
        </w:rPr>
        <w:fldChar w:fldCharType="begin"/>
      </w:r>
      <w:r w:rsidRPr="007F4BC5">
        <w:rPr>
          <w:rFonts w:ascii="Arial Narrow" w:eastAsiaTheme="majorEastAsia" w:hAnsi="Arial Narrow" w:cstheme="majorBidi"/>
          <w:b/>
          <w:bCs/>
          <w:sz w:val="20"/>
        </w:rPr>
        <w:instrText xml:space="preserve"> SEQ Table \* ARABIC </w:instrText>
      </w:r>
      <w:r w:rsidRPr="007F4BC5">
        <w:rPr>
          <w:rFonts w:ascii="Arial Narrow" w:eastAsiaTheme="majorEastAsia" w:hAnsi="Arial Narrow" w:cstheme="majorBidi"/>
          <w:b/>
          <w:bCs/>
          <w:sz w:val="20"/>
        </w:rPr>
        <w:fldChar w:fldCharType="separate"/>
      </w:r>
      <w:r w:rsidR="00962F38">
        <w:rPr>
          <w:rFonts w:ascii="Arial Narrow" w:eastAsiaTheme="majorEastAsia" w:hAnsi="Arial Narrow" w:cstheme="majorBidi"/>
          <w:b/>
          <w:bCs/>
          <w:noProof/>
          <w:sz w:val="20"/>
        </w:rPr>
        <w:t>16</w:t>
      </w:r>
      <w:r w:rsidRPr="007F4BC5">
        <w:rPr>
          <w:rFonts w:ascii="Arial Narrow" w:eastAsiaTheme="majorEastAsia" w:hAnsi="Arial Narrow" w:cstheme="majorBidi"/>
          <w:b/>
          <w:bCs/>
          <w:noProof/>
          <w:sz w:val="20"/>
        </w:rPr>
        <w:fldChar w:fldCharType="end"/>
      </w:r>
      <w:bookmarkEnd w:id="74"/>
      <w:r w:rsidRPr="007F4BC5">
        <w:rPr>
          <w:rFonts w:ascii="Arial Narrow" w:eastAsiaTheme="majorEastAsia" w:hAnsi="Arial Narrow" w:cstheme="majorBidi"/>
          <w:b/>
          <w:bCs/>
          <w:sz w:val="20"/>
        </w:rPr>
        <w:t>: Avacincaptad pegol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Avacincaptad pegol cost per patient for proposed and comparator drugs"/>
      </w:tblPr>
      <w:tblGrid>
        <w:gridCol w:w="1981"/>
        <w:gridCol w:w="2344"/>
        <w:gridCol w:w="2346"/>
        <w:gridCol w:w="2346"/>
      </w:tblGrid>
      <w:tr w:rsidR="001A6CA3" w:rsidRPr="007F4BC5" w14:paraId="67FF5ADF" w14:textId="77777777">
        <w:trPr>
          <w:cantSplit/>
          <w:tblHeader/>
          <w:jc w:val="center"/>
        </w:trPr>
        <w:tc>
          <w:tcPr>
            <w:tcW w:w="1098" w:type="pct"/>
            <w:vAlign w:val="center"/>
          </w:tcPr>
          <w:p w14:paraId="4E27026E" w14:textId="77777777" w:rsidR="007F4BC5" w:rsidRPr="007F4BC5" w:rsidRDefault="007F4BC5" w:rsidP="007F4BC5">
            <w:pPr>
              <w:keepNext/>
              <w:keepLines/>
              <w:jc w:val="left"/>
              <w:rPr>
                <w:rFonts w:ascii="Arial Narrow" w:eastAsiaTheme="majorEastAsia" w:hAnsi="Arial Narrow" w:cs="Times New Roman"/>
                <w:b/>
                <w:sz w:val="20"/>
                <w:lang w:val="en-US"/>
              </w:rPr>
            </w:pPr>
            <w:bookmarkStart w:id="75" w:name="_Toc22897647"/>
          </w:p>
        </w:tc>
        <w:tc>
          <w:tcPr>
            <w:tcW w:w="1300" w:type="pct"/>
            <w:vAlign w:val="center"/>
          </w:tcPr>
          <w:p w14:paraId="499516C5"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GATHER1 trial</w:t>
            </w:r>
          </w:p>
          <w:p w14:paraId="7797511D" w14:textId="43A01EF1"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(follow</w:t>
            </w:r>
            <w:r w:rsidR="009B60A6">
              <w:rPr>
                <w:rFonts w:ascii="Arial Narrow" w:eastAsiaTheme="majorEastAsia" w:hAnsi="Arial Narrow" w:cs="Times New Roman"/>
                <w:b/>
                <w:sz w:val="20"/>
                <w:lang w:val="en-US"/>
              </w:rPr>
              <w:noBreakHyphen/>
            </w:r>
            <w:r w:rsidRPr="007F4BC5">
              <w:rPr>
                <w:rFonts w:ascii="Arial Narrow" w:eastAsiaTheme="majorEastAsia" w:hAnsi="Arial Narrow" w:cs="Times New Roman"/>
                <w:b/>
                <w:sz w:val="20"/>
                <w:lang w:val="en-US"/>
              </w:rPr>
              <w:t>up 18 months)</w:t>
            </w:r>
          </w:p>
        </w:tc>
        <w:tc>
          <w:tcPr>
            <w:tcW w:w="1301" w:type="pct"/>
            <w:vAlign w:val="center"/>
          </w:tcPr>
          <w:p w14:paraId="030FC5AB"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Economic model</w:t>
            </w:r>
          </w:p>
          <w:p w14:paraId="0F1ED59D"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(maximum modelled treatment duration: 3 years)</w:t>
            </w:r>
          </w:p>
        </w:tc>
        <w:tc>
          <w:tcPr>
            <w:tcW w:w="1301" w:type="pct"/>
            <w:vAlign w:val="center"/>
          </w:tcPr>
          <w:p w14:paraId="2CF5AD1F"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Financial estimates</w:t>
            </w:r>
          </w:p>
        </w:tc>
      </w:tr>
      <w:tr w:rsidR="001A6CA3" w:rsidRPr="007F4BC5" w14:paraId="3E566BB2" w14:textId="77777777">
        <w:trPr>
          <w:cantSplit/>
          <w:jc w:val="center"/>
        </w:trPr>
        <w:tc>
          <w:tcPr>
            <w:tcW w:w="1098" w:type="pct"/>
            <w:vAlign w:val="center"/>
          </w:tcPr>
          <w:p w14:paraId="4A4E0A55" w14:textId="77777777" w:rsidR="007F4BC5" w:rsidRPr="007F4BC5" w:rsidRDefault="007F4BC5" w:rsidP="007F4BC5">
            <w:pPr>
              <w:keepNext/>
              <w:keepLines/>
              <w:jc w:val="left"/>
              <w:rPr>
                <w:rFonts w:ascii="Arial Narrow" w:eastAsiaTheme="majorEastAsia" w:hAnsi="Arial Narrow" w:cs="Times New Roman"/>
                <w:bCs/>
                <w:sz w:val="20"/>
                <w:lang w:val="en-US"/>
              </w:rPr>
            </w:pPr>
            <w:r w:rsidRPr="007F4BC5">
              <w:rPr>
                <w:rFonts w:ascii="Arial Narrow" w:eastAsiaTheme="majorEastAsia" w:hAnsi="Arial Narrow" w:cs="Times New Roman"/>
                <w:bCs/>
                <w:sz w:val="20"/>
                <w:lang w:val="en-US"/>
              </w:rPr>
              <w:t>Dosing schedule</w:t>
            </w:r>
          </w:p>
        </w:tc>
        <w:tc>
          <w:tcPr>
            <w:tcW w:w="1300" w:type="pct"/>
            <w:vAlign w:val="center"/>
          </w:tcPr>
          <w:p w14:paraId="2EEF393E" w14:textId="77777777" w:rsidR="007F4BC5" w:rsidRPr="007F4BC5" w:rsidRDefault="007F4BC5" w:rsidP="007F4BC5">
            <w:pPr>
              <w:keepNext/>
              <w:keepLines/>
              <w:jc w:val="left"/>
              <w:rPr>
                <w:rFonts w:ascii="Arial Narrow" w:eastAsiaTheme="majorEastAsia" w:hAnsi="Arial Narrow" w:cs="Times New Roman"/>
                <w:bCs/>
                <w:sz w:val="20"/>
                <w:lang w:val="en-US"/>
              </w:rPr>
            </w:pPr>
            <w:r w:rsidRPr="007F4BC5">
              <w:rPr>
                <w:rFonts w:ascii="Arial Narrow" w:eastAsiaTheme="majorEastAsia" w:hAnsi="Arial Narrow" w:cs="Times New Roman"/>
                <w:bCs/>
                <w:sz w:val="20"/>
                <w:lang w:val="en-US"/>
              </w:rPr>
              <w:t>Every month (EM)</w:t>
            </w:r>
          </w:p>
        </w:tc>
        <w:tc>
          <w:tcPr>
            <w:tcW w:w="1301" w:type="pct"/>
            <w:vAlign w:val="center"/>
          </w:tcPr>
          <w:p w14:paraId="2A73DB9D" w14:textId="77777777" w:rsidR="007F4BC5" w:rsidRPr="007F4BC5" w:rsidRDefault="007F4BC5" w:rsidP="007F4BC5">
            <w:pPr>
              <w:keepNext/>
              <w:keepLines/>
              <w:jc w:val="left"/>
              <w:rPr>
                <w:rFonts w:ascii="Arial Narrow" w:eastAsiaTheme="majorEastAsia" w:hAnsi="Arial Narrow" w:cs="Times New Roman"/>
                <w:bCs/>
                <w:sz w:val="20"/>
                <w:lang w:val="en-US"/>
              </w:rPr>
            </w:pPr>
            <w:r w:rsidRPr="007F4BC5">
              <w:rPr>
                <w:rFonts w:ascii="Arial Narrow" w:eastAsiaTheme="majorEastAsia" w:hAnsi="Arial Narrow" w:cs="Times New Roman"/>
                <w:bCs/>
                <w:sz w:val="20"/>
                <w:lang w:val="en-US"/>
              </w:rPr>
              <w:t>Year 1: Every month (12 injections per year)</w:t>
            </w:r>
          </w:p>
          <w:p w14:paraId="39BCD294" w14:textId="77777777" w:rsidR="007F4BC5" w:rsidRPr="007F4BC5" w:rsidRDefault="007F4BC5" w:rsidP="007F4BC5">
            <w:pPr>
              <w:keepNext/>
              <w:keepLines/>
              <w:jc w:val="left"/>
              <w:rPr>
                <w:rFonts w:ascii="Arial Narrow" w:eastAsiaTheme="majorEastAsia" w:hAnsi="Arial Narrow" w:cs="Times New Roman"/>
                <w:bCs/>
                <w:sz w:val="20"/>
                <w:lang w:val="en-US"/>
              </w:rPr>
            </w:pPr>
            <w:r w:rsidRPr="007F4BC5">
              <w:rPr>
                <w:rFonts w:ascii="Arial Narrow" w:eastAsiaTheme="majorEastAsia" w:hAnsi="Arial Narrow" w:cs="Times New Roman"/>
                <w:bCs/>
                <w:sz w:val="20"/>
                <w:lang w:val="en-US"/>
              </w:rPr>
              <w:t>Year 2+: Every other month (EOM, 6 injections per year)</w:t>
            </w:r>
          </w:p>
        </w:tc>
        <w:tc>
          <w:tcPr>
            <w:tcW w:w="1301" w:type="pct"/>
            <w:vAlign w:val="center"/>
          </w:tcPr>
          <w:p w14:paraId="1BE7489E" w14:textId="77777777" w:rsidR="007F4BC5" w:rsidRPr="007F4BC5" w:rsidRDefault="007F4BC5" w:rsidP="007F4BC5">
            <w:pPr>
              <w:keepNext/>
              <w:keepLines/>
              <w:jc w:val="left"/>
              <w:rPr>
                <w:rFonts w:ascii="Arial Narrow" w:eastAsiaTheme="majorEastAsia" w:hAnsi="Arial Narrow" w:cs="Times New Roman"/>
                <w:bCs/>
                <w:sz w:val="20"/>
                <w:lang w:val="en-US"/>
              </w:rPr>
            </w:pPr>
            <w:r w:rsidRPr="007F4BC5">
              <w:rPr>
                <w:rFonts w:ascii="Arial Narrow" w:eastAsiaTheme="majorEastAsia" w:hAnsi="Arial Narrow" w:cs="Times New Roman"/>
                <w:bCs/>
                <w:sz w:val="20"/>
                <w:lang w:val="en-US"/>
              </w:rPr>
              <w:t>Year 1: Every month (12 injections per year)</w:t>
            </w:r>
          </w:p>
          <w:p w14:paraId="12D98881" w14:textId="77777777" w:rsidR="007F4BC5" w:rsidRPr="007F4BC5" w:rsidRDefault="007F4BC5" w:rsidP="007F4BC5">
            <w:pPr>
              <w:keepNext/>
              <w:keepLines/>
              <w:jc w:val="left"/>
              <w:rPr>
                <w:rFonts w:ascii="Arial Narrow" w:eastAsiaTheme="majorEastAsia" w:hAnsi="Arial Narrow" w:cs="Times New Roman"/>
                <w:bCs/>
                <w:sz w:val="20"/>
                <w:lang w:val="en-US"/>
              </w:rPr>
            </w:pPr>
            <w:r w:rsidRPr="007F4BC5">
              <w:rPr>
                <w:rFonts w:ascii="Arial Narrow" w:eastAsiaTheme="majorEastAsia" w:hAnsi="Arial Narrow" w:cs="Times New Roman"/>
                <w:bCs/>
                <w:sz w:val="20"/>
                <w:lang w:val="en-US"/>
              </w:rPr>
              <w:t>Year 2+: Every other month (EOM, 6 injections per year)</w:t>
            </w:r>
          </w:p>
        </w:tc>
      </w:tr>
      <w:tr w:rsidR="001A6CA3" w:rsidRPr="007F4BC5" w14:paraId="773FA56C" w14:textId="77777777">
        <w:trPr>
          <w:cantSplit/>
          <w:jc w:val="center"/>
        </w:trPr>
        <w:tc>
          <w:tcPr>
            <w:tcW w:w="1098" w:type="pct"/>
            <w:vAlign w:val="center"/>
          </w:tcPr>
          <w:p w14:paraId="146E534C"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Mean number of injections</w:t>
            </w:r>
          </w:p>
        </w:tc>
        <w:tc>
          <w:tcPr>
            <w:tcW w:w="1300" w:type="pct"/>
            <w:vAlign w:val="center"/>
          </w:tcPr>
          <w:p w14:paraId="677E56F6" w14:textId="77777777" w:rsidR="007F4BC5" w:rsidRPr="007F4BC5" w:rsidRDefault="007F4BC5" w:rsidP="007F4BC5">
            <w:pPr>
              <w:keepNext/>
              <w:keepLines/>
              <w:jc w:val="center"/>
              <w:rPr>
                <w:rFonts w:ascii="Arial Narrow" w:eastAsiaTheme="majorEastAsia" w:hAnsi="Arial Narrow" w:cstheme="majorBidi"/>
                <w:sz w:val="20"/>
                <w:vertAlign w:val="superscript"/>
              </w:rPr>
            </w:pPr>
            <w:r w:rsidRPr="007F4BC5">
              <w:rPr>
                <w:rFonts w:ascii="Arial Narrow" w:eastAsiaTheme="majorEastAsia" w:hAnsi="Arial Narrow" w:cstheme="majorBidi"/>
                <w:sz w:val="20"/>
              </w:rPr>
              <w:t xml:space="preserve">14.80 </w:t>
            </w:r>
            <w:r w:rsidRPr="007F4BC5">
              <w:rPr>
                <w:rFonts w:ascii="Arial Narrow" w:eastAsiaTheme="majorEastAsia" w:hAnsi="Arial Narrow" w:cstheme="majorBidi"/>
                <w:sz w:val="20"/>
                <w:vertAlign w:val="superscript"/>
              </w:rPr>
              <w:t>a</w:t>
            </w:r>
          </w:p>
        </w:tc>
        <w:tc>
          <w:tcPr>
            <w:tcW w:w="1301" w:type="pct"/>
            <w:vAlign w:val="center"/>
          </w:tcPr>
          <w:p w14:paraId="74DAF8BA" w14:textId="77777777" w:rsidR="007F4BC5" w:rsidRPr="007F4BC5" w:rsidRDefault="007F4BC5" w:rsidP="007F4BC5">
            <w:pPr>
              <w:keepNext/>
              <w:keepLines/>
              <w:jc w:val="center"/>
              <w:rPr>
                <w:rFonts w:ascii="Arial Narrow" w:eastAsiaTheme="majorEastAsia" w:hAnsi="Arial Narrow" w:cstheme="majorBidi"/>
                <w:sz w:val="20"/>
                <w:vertAlign w:val="superscript"/>
              </w:rPr>
            </w:pPr>
            <w:r w:rsidRPr="007F4BC5">
              <w:rPr>
                <w:rFonts w:ascii="Arial Narrow" w:eastAsiaTheme="majorEastAsia" w:hAnsi="Arial Narrow" w:cstheme="majorBidi"/>
                <w:sz w:val="20"/>
              </w:rPr>
              <w:t xml:space="preserve">24.99 </w:t>
            </w:r>
            <w:r w:rsidRPr="007F4BC5">
              <w:rPr>
                <w:rFonts w:ascii="Arial Narrow" w:eastAsiaTheme="majorEastAsia" w:hAnsi="Arial Narrow" w:cstheme="majorBidi"/>
                <w:sz w:val="20"/>
                <w:vertAlign w:val="superscript"/>
              </w:rPr>
              <w:t>b</w:t>
            </w:r>
          </w:p>
        </w:tc>
        <w:tc>
          <w:tcPr>
            <w:tcW w:w="1301" w:type="pct"/>
            <w:vAlign w:val="center"/>
          </w:tcPr>
          <w:p w14:paraId="0F84DDDA" w14:textId="77777777" w:rsidR="007F4BC5" w:rsidRPr="007F4BC5" w:rsidRDefault="007F4BC5" w:rsidP="007F4BC5">
            <w:pPr>
              <w:keepNext/>
              <w:keepLines/>
              <w:jc w:val="center"/>
              <w:rPr>
                <w:rFonts w:ascii="Arial Narrow" w:eastAsiaTheme="majorEastAsia" w:hAnsi="Arial Narrow" w:cstheme="majorBidi"/>
                <w:sz w:val="20"/>
              </w:rPr>
            </w:pPr>
            <w:r w:rsidRPr="007F4BC5">
              <w:rPr>
                <w:rFonts w:ascii="Arial Narrow" w:eastAsiaTheme="majorEastAsia" w:hAnsi="Arial Narrow" w:cstheme="majorBidi"/>
                <w:sz w:val="20"/>
              </w:rPr>
              <w:t xml:space="preserve">24.99 </w:t>
            </w:r>
            <w:r w:rsidRPr="007F4BC5">
              <w:rPr>
                <w:rFonts w:ascii="Arial Narrow" w:eastAsiaTheme="majorEastAsia" w:hAnsi="Arial Narrow" w:cstheme="majorBidi"/>
                <w:sz w:val="20"/>
                <w:vertAlign w:val="superscript"/>
              </w:rPr>
              <w:t>b</w:t>
            </w:r>
          </w:p>
        </w:tc>
      </w:tr>
      <w:tr w:rsidR="001A6CA3" w:rsidRPr="007F4BC5" w14:paraId="295E67CA" w14:textId="77777777">
        <w:trPr>
          <w:cantSplit/>
          <w:jc w:val="center"/>
        </w:trPr>
        <w:tc>
          <w:tcPr>
            <w:tcW w:w="1098" w:type="pct"/>
            <w:vAlign w:val="center"/>
          </w:tcPr>
          <w:p w14:paraId="5FBA0709"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Mean duration (months)</w:t>
            </w:r>
          </w:p>
        </w:tc>
        <w:tc>
          <w:tcPr>
            <w:tcW w:w="1300" w:type="pct"/>
            <w:vAlign w:val="center"/>
          </w:tcPr>
          <w:p w14:paraId="7EACC633" w14:textId="77777777" w:rsidR="007F4BC5" w:rsidRPr="007F4BC5" w:rsidRDefault="007F4BC5" w:rsidP="007F4BC5">
            <w:pPr>
              <w:keepNext/>
              <w:keepLines/>
              <w:jc w:val="center"/>
              <w:rPr>
                <w:rFonts w:ascii="Arial Narrow" w:eastAsiaTheme="majorEastAsia" w:hAnsi="Arial Narrow" w:cstheme="majorBidi"/>
                <w:sz w:val="20"/>
                <w:vertAlign w:val="superscript"/>
              </w:rPr>
            </w:pPr>
            <w:r w:rsidRPr="007F4BC5">
              <w:rPr>
                <w:rFonts w:ascii="Arial Narrow" w:eastAsiaTheme="majorEastAsia" w:hAnsi="Arial Narrow" w:cstheme="majorBidi"/>
                <w:sz w:val="20"/>
              </w:rPr>
              <w:t xml:space="preserve">15.24 </w:t>
            </w:r>
            <w:r w:rsidRPr="007F4BC5">
              <w:rPr>
                <w:rFonts w:ascii="Arial Narrow" w:eastAsiaTheme="majorEastAsia" w:hAnsi="Arial Narrow" w:cstheme="majorBidi"/>
                <w:sz w:val="20"/>
                <w:vertAlign w:val="superscript"/>
              </w:rPr>
              <w:t>a</w:t>
            </w:r>
          </w:p>
        </w:tc>
        <w:tc>
          <w:tcPr>
            <w:tcW w:w="1301" w:type="pct"/>
            <w:vAlign w:val="center"/>
          </w:tcPr>
          <w:p w14:paraId="453C7BE0" w14:textId="77777777" w:rsidR="007F4BC5" w:rsidRPr="007F4BC5" w:rsidRDefault="007F4BC5" w:rsidP="007F4BC5">
            <w:pPr>
              <w:keepNext/>
              <w:keepLines/>
              <w:jc w:val="center"/>
              <w:rPr>
                <w:rFonts w:ascii="Arial Narrow" w:eastAsiaTheme="majorEastAsia" w:hAnsi="Arial Narrow" w:cstheme="majorBidi"/>
                <w:sz w:val="20"/>
              </w:rPr>
            </w:pPr>
            <w:r w:rsidRPr="007F4BC5">
              <w:rPr>
                <w:rFonts w:ascii="Arial Narrow" w:eastAsiaTheme="majorEastAsia" w:hAnsi="Arial Narrow" w:cstheme="majorBidi"/>
                <w:sz w:val="20"/>
              </w:rPr>
              <w:t>24.99</w:t>
            </w:r>
          </w:p>
        </w:tc>
        <w:tc>
          <w:tcPr>
            <w:tcW w:w="1301" w:type="pct"/>
            <w:vAlign w:val="center"/>
          </w:tcPr>
          <w:p w14:paraId="3C692933" w14:textId="77777777" w:rsidR="007F4BC5" w:rsidRPr="007F4BC5" w:rsidRDefault="007F4BC5" w:rsidP="007F4BC5">
            <w:pPr>
              <w:keepNext/>
              <w:keepLines/>
              <w:jc w:val="center"/>
              <w:rPr>
                <w:rFonts w:ascii="Arial Narrow" w:eastAsiaTheme="majorEastAsia" w:hAnsi="Arial Narrow" w:cstheme="majorBidi"/>
                <w:sz w:val="20"/>
              </w:rPr>
            </w:pPr>
            <w:r w:rsidRPr="007F4BC5">
              <w:rPr>
                <w:rFonts w:ascii="Arial Narrow" w:eastAsiaTheme="majorEastAsia" w:hAnsi="Arial Narrow" w:cstheme="majorBidi"/>
                <w:sz w:val="20"/>
              </w:rPr>
              <w:t>24.99</w:t>
            </w:r>
          </w:p>
        </w:tc>
      </w:tr>
      <w:tr w:rsidR="001A6CA3" w:rsidRPr="007F4BC5" w14:paraId="122C66A9" w14:textId="77777777">
        <w:trPr>
          <w:cantSplit/>
          <w:jc w:val="center"/>
        </w:trPr>
        <w:tc>
          <w:tcPr>
            <w:tcW w:w="1098" w:type="pct"/>
            <w:vAlign w:val="center"/>
          </w:tcPr>
          <w:p w14:paraId="25C07731"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Cost per injection</w:t>
            </w:r>
          </w:p>
        </w:tc>
        <w:tc>
          <w:tcPr>
            <w:tcW w:w="1300" w:type="pct"/>
            <w:vAlign w:val="center"/>
          </w:tcPr>
          <w:p w14:paraId="63A95F3A" w14:textId="3EC728F0"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301" w:type="pct"/>
            <w:vAlign w:val="center"/>
          </w:tcPr>
          <w:p w14:paraId="73B71865" w14:textId="63E77F0A"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c>
          <w:tcPr>
            <w:tcW w:w="1301" w:type="pct"/>
            <w:vAlign w:val="center"/>
          </w:tcPr>
          <w:p w14:paraId="522FE336" w14:textId="2B55FC87"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p>
        </w:tc>
      </w:tr>
      <w:tr w:rsidR="001A6CA3" w:rsidRPr="007F4BC5" w14:paraId="79DE6396" w14:textId="77777777">
        <w:trPr>
          <w:cantSplit/>
          <w:jc w:val="center"/>
        </w:trPr>
        <w:tc>
          <w:tcPr>
            <w:tcW w:w="1098" w:type="pct"/>
            <w:vAlign w:val="center"/>
          </w:tcPr>
          <w:p w14:paraId="4C6B2547"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Cost/patient/year</w:t>
            </w:r>
          </w:p>
        </w:tc>
        <w:tc>
          <w:tcPr>
            <w:tcW w:w="1300" w:type="pct"/>
            <w:vAlign w:val="center"/>
          </w:tcPr>
          <w:p w14:paraId="4582045C" w14:textId="6155B6D4"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Pr="007F4BC5">
              <w:rPr>
                <w:rFonts w:ascii="Arial Narrow" w:eastAsiaTheme="majorEastAsia" w:hAnsi="Arial Narrow" w:cstheme="majorBidi"/>
                <w:bCs/>
                <w:sz w:val="20"/>
              </w:rPr>
              <w:t xml:space="preserve"> (cost/patient/course over the trial duration of 18 months)</w:t>
            </w:r>
          </w:p>
        </w:tc>
        <w:tc>
          <w:tcPr>
            <w:tcW w:w="1301" w:type="pct"/>
            <w:vAlign w:val="center"/>
          </w:tcPr>
          <w:p w14:paraId="27EE2905" w14:textId="19F952C8"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Year 1 (EM): $</w:t>
            </w:r>
            <w:r w:rsidR="00B37C73" w:rsidRPr="00B37C73">
              <w:rPr>
                <w:rFonts w:ascii="Arial Narrow" w:eastAsiaTheme="majorEastAsia" w:hAnsi="Arial Narrow" w:cstheme="majorBidi"/>
                <w:bCs/>
                <w:sz w:val="2"/>
                <w:highlight w:val="black"/>
              </w:rPr>
              <w:t>redacted content</w:t>
            </w:r>
          </w:p>
          <w:p w14:paraId="76A8785C" w14:textId="7570F07C"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Year 2+ (EOM): $</w:t>
            </w:r>
            <w:r w:rsidR="00B37C73" w:rsidRPr="00B37C73">
              <w:rPr>
                <w:rFonts w:ascii="Arial Narrow" w:eastAsiaTheme="majorEastAsia" w:hAnsi="Arial Narrow" w:cstheme="majorBidi"/>
                <w:bCs/>
                <w:sz w:val="2"/>
                <w:highlight w:val="black"/>
              </w:rPr>
              <w:t>redacted content</w:t>
            </w:r>
          </w:p>
        </w:tc>
        <w:tc>
          <w:tcPr>
            <w:tcW w:w="1301" w:type="pct"/>
            <w:vAlign w:val="center"/>
          </w:tcPr>
          <w:p w14:paraId="381E4F91" w14:textId="494E1F3E"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Year 1 (EM): $</w:t>
            </w:r>
            <w:r w:rsidR="00B37C73" w:rsidRPr="00B37C73">
              <w:rPr>
                <w:rFonts w:ascii="Arial Narrow" w:eastAsiaTheme="majorEastAsia" w:hAnsi="Arial Narrow" w:cstheme="majorBidi"/>
                <w:bCs/>
                <w:sz w:val="2"/>
                <w:highlight w:val="black"/>
              </w:rPr>
              <w:t>redacted content</w:t>
            </w:r>
          </w:p>
          <w:p w14:paraId="7DDF481C" w14:textId="18554559" w:rsidR="007F4BC5" w:rsidRPr="007F4BC5" w:rsidRDefault="007F4BC5" w:rsidP="007F4BC5">
            <w:pPr>
              <w:keepNext/>
              <w:keepLines/>
              <w:jc w:val="center"/>
              <w:rPr>
                <w:rFonts w:ascii="Arial Narrow" w:eastAsiaTheme="majorEastAsia" w:hAnsi="Arial Narrow" w:cstheme="majorBidi"/>
                <w:bCs/>
                <w:sz w:val="20"/>
              </w:rPr>
            </w:pPr>
            <w:r w:rsidRPr="007F4BC5">
              <w:rPr>
                <w:rFonts w:ascii="Arial Narrow" w:eastAsiaTheme="majorEastAsia" w:hAnsi="Arial Narrow" w:cstheme="majorBidi"/>
                <w:bCs/>
                <w:sz w:val="20"/>
              </w:rPr>
              <w:t>Year 2+ (EOM): $</w:t>
            </w:r>
            <w:r w:rsidR="00B37C73" w:rsidRPr="00B37C73">
              <w:rPr>
                <w:rFonts w:ascii="Arial Narrow" w:eastAsiaTheme="majorEastAsia" w:hAnsi="Arial Narrow" w:cstheme="majorBidi"/>
                <w:bCs/>
                <w:sz w:val="2"/>
                <w:highlight w:val="black"/>
              </w:rPr>
              <w:t>redacted content</w:t>
            </w:r>
          </w:p>
        </w:tc>
      </w:tr>
    </w:tbl>
    <w:p w14:paraId="639F76CA" w14:textId="77777777"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rPr>
        <w:t>Source: Constructed during the evaluation from the</w:t>
      </w:r>
    </w:p>
    <w:p w14:paraId="779D029D" w14:textId="77777777"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rPr>
        <w:t>EM = Every month; EOM = Every other month.</w:t>
      </w:r>
    </w:p>
    <w:p w14:paraId="5D7A3C11" w14:textId="77777777" w:rsidR="007F4BC5" w:rsidRP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vertAlign w:val="superscript"/>
        </w:rPr>
        <w:t xml:space="preserve">a </w:t>
      </w:r>
      <w:r w:rsidRPr="007F4BC5">
        <w:rPr>
          <w:rFonts w:ascii="Arial Narrow" w:hAnsi="Arial Narrow"/>
          <w:snapToGrid w:val="0"/>
          <w:sz w:val="18"/>
          <w:szCs w:val="22"/>
        </w:rPr>
        <w:t>GATHER1 trial was conducted in two parts – Part 1 with N=25 patients and Part 2 with N=42 patients receiving 2mg ACP. Mean duration and mean number of injections for each part were weighted by the number of patients to estimate overall mean duration and mean number of injections used for patients receiving 2mg ACP in the GATHER1 trial.</w:t>
      </w:r>
    </w:p>
    <w:p w14:paraId="355F3BE8" w14:textId="77777777" w:rsidR="007F4BC5" w:rsidRDefault="007F4BC5" w:rsidP="007F4BC5">
      <w:pPr>
        <w:keepLines/>
        <w:spacing w:after="300"/>
        <w:contextualSpacing/>
        <w:rPr>
          <w:rFonts w:ascii="Arial Narrow" w:hAnsi="Arial Narrow"/>
          <w:snapToGrid w:val="0"/>
          <w:sz w:val="18"/>
          <w:szCs w:val="22"/>
        </w:rPr>
      </w:pPr>
      <w:r w:rsidRPr="007F4BC5">
        <w:rPr>
          <w:rFonts w:ascii="Arial Narrow" w:hAnsi="Arial Narrow"/>
          <w:snapToGrid w:val="0"/>
          <w:sz w:val="18"/>
          <w:szCs w:val="22"/>
          <w:vertAlign w:val="superscript"/>
        </w:rPr>
        <w:t>b</w:t>
      </w:r>
      <w:r w:rsidRPr="007F4BC5">
        <w:rPr>
          <w:rFonts w:ascii="Arial Narrow" w:hAnsi="Arial Narrow"/>
          <w:snapToGrid w:val="0"/>
          <w:sz w:val="18"/>
          <w:szCs w:val="22"/>
        </w:rPr>
        <w:t xml:space="preserve"> Mean number of injections were estimated by dividing total drug acquisition cost in the model with cost per injection</w:t>
      </w:r>
    </w:p>
    <w:p w14:paraId="7FC70C11" w14:textId="77777777" w:rsidR="00AD6C6E" w:rsidRPr="007F4BC5" w:rsidRDefault="00AD6C6E" w:rsidP="007F4BC5">
      <w:pPr>
        <w:keepLines/>
        <w:spacing w:after="300"/>
        <w:contextualSpacing/>
        <w:rPr>
          <w:rFonts w:ascii="Arial Narrow" w:hAnsi="Arial Narrow"/>
          <w:snapToGrid w:val="0"/>
          <w:sz w:val="18"/>
          <w:szCs w:val="22"/>
        </w:rPr>
      </w:pPr>
    </w:p>
    <w:p w14:paraId="218A040E" w14:textId="77777777" w:rsidR="007F4BC5" w:rsidRPr="007F4BC5" w:rsidRDefault="007F4BC5" w:rsidP="007F4BC5">
      <w:pPr>
        <w:keepNext/>
        <w:spacing w:before="120" w:after="120"/>
        <w:outlineLvl w:val="1"/>
        <w:rPr>
          <w:rFonts w:asciiTheme="minorHAnsi" w:eastAsiaTheme="majorEastAsia" w:hAnsiTheme="minorHAnsi" w:cstheme="majorBidi"/>
          <w:b/>
          <w:i/>
          <w:spacing w:val="5"/>
          <w:kern w:val="28"/>
          <w:sz w:val="28"/>
          <w:szCs w:val="36"/>
          <w:lang w:eastAsia="en-US"/>
        </w:rPr>
      </w:pPr>
      <w:bookmarkStart w:id="76" w:name="_Toc218871504"/>
      <w:r w:rsidRPr="007F4BC5">
        <w:rPr>
          <w:rFonts w:asciiTheme="minorHAnsi" w:eastAsiaTheme="majorEastAsia" w:hAnsiTheme="minorHAnsi" w:cstheme="majorBidi"/>
          <w:b/>
          <w:i/>
          <w:spacing w:val="5"/>
          <w:kern w:val="28"/>
          <w:sz w:val="28"/>
          <w:szCs w:val="36"/>
          <w:lang w:eastAsia="en-US"/>
        </w:rPr>
        <w:t>Estimated PBS usage &amp; financial implications</w:t>
      </w:r>
      <w:bookmarkEnd w:id="75"/>
      <w:bookmarkEnd w:id="76"/>
    </w:p>
    <w:p w14:paraId="46CA5F95" w14:textId="7B80120A" w:rsidR="007F4BC5" w:rsidRPr="00341C9E" w:rsidRDefault="007F4BC5" w:rsidP="001A7CE8">
      <w:pPr>
        <w:numPr>
          <w:ilvl w:val="1"/>
          <w:numId w:val="6"/>
        </w:numPr>
        <w:spacing w:before="60" w:after="60"/>
        <w:rPr>
          <w:rFonts w:asciiTheme="minorHAnsi" w:eastAsiaTheme="minorHAnsi" w:hAnsiTheme="minorHAnsi" w:cstheme="minorBidi"/>
          <w:color w:val="0066FF"/>
          <w:szCs w:val="22"/>
        </w:rPr>
      </w:pPr>
      <w:bookmarkStart w:id="77" w:name="_Toc22897648"/>
      <w:r w:rsidRPr="00480491">
        <w:rPr>
          <w:rFonts w:asciiTheme="minorHAnsi" w:eastAsiaTheme="minorHAnsi" w:hAnsiTheme="minorHAnsi" w:cstheme="minorBidi"/>
          <w:szCs w:val="22"/>
        </w:rPr>
        <w:t>This submission w</w:t>
      </w:r>
      <w:r w:rsidR="00072AB5">
        <w:rPr>
          <w:rFonts w:asciiTheme="minorHAnsi" w:eastAsiaTheme="minorHAnsi" w:hAnsiTheme="minorHAnsi" w:cstheme="minorBidi"/>
          <w:szCs w:val="22"/>
        </w:rPr>
        <w:t>as</w:t>
      </w:r>
      <w:r w:rsidRPr="00480491">
        <w:rPr>
          <w:rFonts w:asciiTheme="minorHAnsi" w:eastAsiaTheme="minorHAnsi" w:hAnsiTheme="minorHAnsi" w:cstheme="minorBidi"/>
          <w:szCs w:val="22"/>
        </w:rPr>
        <w:t xml:space="preserve"> not considered by DUSC. An epidemiological approach was used to estimate the extent of use and financial implications of listing ACP on the PBS. The key inputs utilised in the financial analysis are summarised in </w:t>
      </w:r>
      <w:r w:rsidRPr="00480491">
        <w:rPr>
          <w:rFonts w:asciiTheme="minorHAnsi" w:eastAsiaTheme="minorHAnsi" w:hAnsiTheme="minorHAnsi" w:cstheme="minorBidi"/>
          <w:szCs w:val="22"/>
        </w:rPr>
        <w:fldChar w:fldCharType="begin"/>
      </w:r>
      <w:r w:rsidRPr="00480491">
        <w:rPr>
          <w:rFonts w:asciiTheme="minorHAnsi" w:eastAsiaTheme="minorHAnsi" w:hAnsiTheme="minorHAnsi" w:cstheme="minorBidi"/>
          <w:szCs w:val="22"/>
        </w:rPr>
        <w:instrText xml:space="preserve"> REF _Ref104805262 \h </w:instrText>
      </w:r>
      <w:r w:rsidR="00E60700" w:rsidRPr="00480491">
        <w:rPr>
          <w:rFonts w:asciiTheme="minorHAnsi" w:eastAsiaTheme="minorHAnsi" w:hAnsiTheme="minorHAnsi" w:cstheme="minorBidi"/>
          <w:szCs w:val="22"/>
        </w:rPr>
        <w:instrText xml:space="preserve"> \* MERGEFORMAT </w:instrText>
      </w:r>
      <w:r w:rsidRPr="00480491">
        <w:rPr>
          <w:rFonts w:asciiTheme="minorHAnsi" w:eastAsiaTheme="minorHAnsi" w:hAnsiTheme="minorHAnsi" w:cstheme="minorBidi"/>
          <w:szCs w:val="22"/>
        </w:rPr>
      </w:r>
      <w:r w:rsidRPr="00480491">
        <w:rPr>
          <w:rFonts w:asciiTheme="minorHAnsi" w:eastAsiaTheme="minorHAnsi" w:hAnsiTheme="minorHAnsi" w:cstheme="minorBidi"/>
          <w:szCs w:val="22"/>
        </w:rPr>
        <w:fldChar w:fldCharType="separate"/>
      </w:r>
      <w:r w:rsidR="00962F38" w:rsidRPr="00962F38">
        <w:rPr>
          <w:rFonts w:asciiTheme="minorHAnsi" w:eastAsiaTheme="minorHAnsi" w:hAnsiTheme="minorHAnsi" w:cstheme="minorBidi"/>
          <w:szCs w:val="22"/>
        </w:rPr>
        <w:t>Table 17</w:t>
      </w:r>
      <w:r w:rsidRPr="00480491">
        <w:rPr>
          <w:rFonts w:asciiTheme="minorHAnsi" w:eastAsiaTheme="minorHAnsi" w:hAnsiTheme="minorHAnsi" w:cstheme="minorBidi"/>
          <w:szCs w:val="22"/>
        </w:rPr>
        <w:fldChar w:fldCharType="end"/>
      </w:r>
      <w:r w:rsidRPr="00480491">
        <w:rPr>
          <w:rFonts w:asciiTheme="minorHAnsi" w:eastAsiaTheme="minorHAnsi" w:hAnsiTheme="minorHAnsi" w:cstheme="minorBidi"/>
          <w:szCs w:val="22"/>
        </w:rPr>
        <w:t>.</w:t>
      </w:r>
      <w:r w:rsidRPr="00480491">
        <w:rPr>
          <w:rFonts w:asciiTheme="minorHAnsi" w:eastAsiaTheme="minorHAnsi" w:hAnsiTheme="minorHAnsi" w:cstheme="minorBidi"/>
          <w:color w:val="0066FF"/>
          <w:szCs w:val="22"/>
        </w:rPr>
        <w:t xml:space="preserve"> </w:t>
      </w:r>
      <w:r w:rsidRPr="00480491">
        <w:rPr>
          <w:rFonts w:asciiTheme="minorHAnsi" w:eastAsiaTheme="minorHAnsi" w:hAnsiTheme="minorHAnsi" w:cstheme="minorBidi"/>
          <w:szCs w:val="22"/>
        </w:rPr>
        <w:t>T</w:t>
      </w:r>
      <w:r w:rsidR="00255A31">
        <w:rPr>
          <w:rFonts w:asciiTheme="minorHAnsi" w:eastAsiaTheme="minorHAnsi" w:hAnsiTheme="minorHAnsi" w:cstheme="minorBidi"/>
          <w:szCs w:val="22"/>
        </w:rPr>
        <w:t>he evaluation considered t</w:t>
      </w:r>
      <w:r w:rsidRPr="00480491">
        <w:rPr>
          <w:rFonts w:asciiTheme="minorHAnsi" w:eastAsiaTheme="minorHAnsi" w:hAnsiTheme="minorHAnsi" w:cstheme="minorBidi"/>
          <w:szCs w:val="22"/>
        </w:rPr>
        <w:t>his was a reasonable approach given that there is currently no active comparator listed on the PBS. However, if pegcet</w:t>
      </w:r>
      <w:r w:rsidR="00F1540E" w:rsidRPr="00480491">
        <w:rPr>
          <w:rFonts w:asciiTheme="minorHAnsi" w:eastAsiaTheme="minorHAnsi" w:hAnsiTheme="minorHAnsi" w:cstheme="minorBidi"/>
          <w:szCs w:val="22"/>
        </w:rPr>
        <w:t>a</w:t>
      </w:r>
      <w:r w:rsidRPr="00480491">
        <w:rPr>
          <w:rFonts w:asciiTheme="minorHAnsi" w:eastAsiaTheme="minorHAnsi" w:hAnsiTheme="minorHAnsi" w:cstheme="minorBidi"/>
          <w:szCs w:val="22"/>
        </w:rPr>
        <w:t>coplan is listed, market share calculations to all future projections of uptake and expenditure would be necessary.</w:t>
      </w:r>
    </w:p>
    <w:p w14:paraId="03F3A27F" w14:textId="77777777" w:rsidR="00341C9E" w:rsidRPr="00480491" w:rsidRDefault="00341C9E" w:rsidP="00341C9E">
      <w:pPr>
        <w:spacing w:before="60" w:after="60"/>
        <w:ind w:left="720"/>
        <w:rPr>
          <w:rFonts w:asciiTheme="minorHAnsi" w:eastAsiaTheme="minorHAnsi" w:hAnsiTheme="minorHAnsi" w:cstheme="minorBidi"/>
          <w:color w:val="0066FF"/>
          <w:szCs w:val="22"/>
        </w:rPr>
      </w:pPr>
    </w:p>
    <w:p w14:paraId="2D44D91A" w14:textId="32596516" w:rsidR="003E7EF1" w:rsidRPr="003E7EF1" w:rsidRDefault="007F4BC5" w:rsidP="003E7EF1">
      <w:pPr>
        <w:keepNext/>
        <w:rPr>
          <w:rFonts w:ascii="Arial Narrow" w:hAnsi="Arial Narrow"/>
          <w:b/>
          <w:bCs/>
          <w:sz w:val="20"/>
          <w:szCs w:val="18"/>
        </w:rPr>
      </w:pPr>
      <w:bookmarkStart w:id="78" w:name="_Ref104805262"/>
      <w:r w:rsidRPr="007F4BC5">
        <w:rPr>
          <w:rFonts w:ascii="Arial Narrow" w:hAnsi="Arial Narrow"/>
          <w:b/>
          <w:bCs/>
          <w:sz w:val="20"/>
          <w:szCs w:val="18"/>
        </w:rPr>
        <w:lastRenderedPageBreak/>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17</w:t>
      </w:r>
      <w:r w:rsidRPr="007F4BC5">
        <w:rPr>
          <w:rFonts w:ascii="Arial Narrow" w:hAnsi="Arial Narrow"/>
          <w:b/>
          <w:bCs/>
          <w:noProof/>
          <w:sz w:val="20"/>
          <w:szCs w:val="18"/>
        </w:rPr>
        <w:fldChar w:fldCharType="end"/>
      </w:r>
      <w:bookmarkEnd w:id="78"/>
      <w:r w:rsidRPr="007F4BC5">
        <w:rPr>
          <w:rFonts w:ascii="Arial Narrow" w:hAnsi="Arial Narrow"/>
          <w:b/>
          <w:bCs/>
          <w:sz w:val="20"/>
          <w:szCs w:val="18"/>
        </w:rPr>
        <w:t>:</w:t>
      </w:r>
      <w:r w:rsidRPr="007F4BC5">
        <w:rPr>
          <w:rFonts w:ascii="Arial Narrow" w:hAnsi="Arial Narrow"/>
          <w:b/>
          <w:bCs/>
          <w:sz w:val="20"/>
        </w:rPr>
        <w:t xml:space="preserve"> Key inputs for financial estimate</w:t>
      </w:r>
      <w:r w:rsidR="009B4E3F">
        <w:rPr>
          <w:rFonts w:ascii="Arial Narrow" w:hAnsi="Arial Narrow"/>
          <w:b/>
          <w:bCs/>
          <w:sz w:val="20"/>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1713"/>
        <w:gridCol w:w="4094"/>
        <w:gridCol w:w="3210"/>
      </w:tblGrid>
      <w:tr w:rsidR="007F4BC5" w:rsidRPr="007F4BC5" w14:paraId="7543AD95" w14:textId="77777777" w:rsidTr="00341C9E">
        <w:tc>
          <w:tcPr>
            <w:tcW w:w="950" w:type="pct"/>
            <w:vAlign w:val="center"/>
          </w:tcPr>
          <w:p w14:paraId="0D9ACCAD" w14:textId="77777777" w:rsidR="007F4BC5" w:rsidRPr="003115E9" w:rsidRDefault="007F4BC5" w:rsidP="00573753">
            <w:pPr>
              <w:keepNext/>
              <w:jc w:val="left"/>
              <w:rPr>
                <w:rFonts w:ascii="Arial Narrow" w:eastAsiaTheme="majorEastAsia" w:hAnsi="Arial Narrow" w:cs="Times New Roman"/>
                <w:b/>
                <w:sz w:val="20"/>
                <w:lang w:val="en-US"/>
              </w:rPr>
            </w:pPr>
            <w:r w:rsidRPr="003115E9">
              <w:rPr>
                <w:rFonts w:ascii="Arial Narrow" w:eastAsiaTheme="majorEastAsia" w:hAnsi="Arial Narrow" w:cs="Times New Roman"/>
                <w:b/>
                <w:sz w:val="20"/>
                <w:lang w:val="en-US"/>
              </w:rPr>
              <w:t>Parameter</w:t>
            </w:r>
          </w:p>
        </w:tc>
        <w:tc>
          <w:tcPr>
            <w:tcW w:w="2270" w:type="pct"/>
            <w:vAlign w:val="center"/>
          </w:tcPr>
          <w:p w14:paraId="06AAB25D" w14:textId="77777777" w:rsidR="007F4BC5" w:rsidRPr="003115E9" w:rsidRDefault="007F4BC5" w:rsidP="00573753">
            <w:pPr>
              <w:keepNext/>
              <w:jc w:val="left"/>
              <w:rPr>
                <w:rFonts w:ascii="Arial Narrow" w:eastAsiaTheme="majorEastAsia" w:hAnsi="Arial Narrow" w:cs="Times New Roman"/>
                <w:b/>
                <w:sz w:val="20"/>
                <w:lang w:val="en-US"/>
              </w:rPr>
            </w:pPr>
            <w:r w:rsidRPr="003115E9">
              <w:rPr>
                <w:rFonts w:ascii="Arial Narrow" w:eastAsiaTheme="majorEastAsia" w:hAnsi="Arial Narrow" w:cs="Times New Roman"/>
                <w:b/>
                <w:sz w:val="20"/>
                <w:lang w:val="en-US"/>
              </w:rPr>
              <w:t>Value applied and source</w:t>
            </w:r>
          </w:p>
        </w:tc>
        <w:tc>
          <w:tcPr>
            <w:tcW w:w="1780" w:type="pct"/>
            <w:vAlign w:val="center"/>
          </w:tcPr>
          <w:p w14:paraId="5D893F06" w14:textId="77777777" w:rsidR="007F4BC5" w:rsidRPr="003115E9" w:rsidRDefault="007F4BC5" w:rsidP="00573753">
            <w:pPr>
              <w:keepNext/>
              <w:jc w:val="left"/>
              <w:rPr>
                <w:rFonts w:ascii="Arial Narrow" w:eastAsiaTheme="majorEastAsia" w:hAnsi="Arial Narrow" w:cs="Times New Roman"/>
                <w:b/>
                <w:sz w:val="20"/>
                <w:lang w:val="en-US"/>
              </w:rPr>
            </w:pPr>
            <w:r w:rsidRPr="003115E9">
              <w:rPr>
                <w:rFonts w:ascii="Arial Narrow" w:eastAsiaTheme="majorEastAsia" w:hAnsi="Arial Narrow" w:cs="Times New Roman"/>
                <w:b/>
                <w:sz w:val="20"/>
                <w:lang w:val="en-US"/>
              </w:rPr>
              <w:t>Comment</w:t>
            </w:r>
          </w:p>
        </w:tc>
      </w:tr>
      <w:tr w:rsidR="007F4BC5" w:rsidRPr="007F4BC5" w14:paraId="032071B4" w14:textId="77777777" w:rsidTr="00341C9E">
        <w:tc>
          <w:tcPr>
            <w:tcW w:w="950" w:type="pct"/>
            <w:vAlign w:val="center"/>
          </w:tcPr>
          <w:p w14:paraId="40671641"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Australian population</w:t>
            </w:r>
          </w:p>
        </w:tc>
        <w:tc>
          <w:tcPr>
            <w:tcW w:w="2270" w:type="pct"/>
            <w:vAlign w:val="center"/>
          </w:tcPr>
          <w:p w14:paraId="4DCD8F75" w14:textId="716D16FF"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ABS population projections, 2027</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 xml:space="preserve">2032 (base year 2022) for individuals aged ≥ 50 years old. </w:t>
            </w:r>
          </w:p>
        </w:tc>
        <w:tc>
          <w:tcPr>
            <w:tcW w:w="1780" w:type="pct"/>
            <w:vAlign w:val="center"/>
          </w:tcPr>
          <w:p w14:paraId="62055F28" w14:textId="3CDEF7AE"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The use of this data was reasonable noting that the proposed listing does not explicitly restrict access to ACP by age.</w:t>
            </w:r>
          </w:p>
        </w:tc>
      </w:tr>
      <w:tr w:rsidR="007F4BC5" w:rsidRPr="007F4BC5" w14:paraId="708F4C83" w14:textId="77777777" w:rsidTr="00341C9E">
        <w:tc>
          <w:tcPr>
            <w:tcW w:w="950" w:type="pct"/>
            <w:vAlign w:val="center"/>
          </w:tcPr>
          <w:p w14:paraId="0EB6B6A6"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Incidence</w:t>
            </w:r>
          </w:p>
        </w:tc>
        <w:tc>
          <w:tcPr>
            <w:tcW w:w="2270" w:type="pct"/>
            <w:vAlign w:val="center"/>
          </w:tcPr>
          <w:p w14:paraId="1289B0E3" w14:textId="18A46E5F"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0.17%, calculated from the cumulative 10</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 xml:space="preserve">year incidence rate of 1.7% for GA reported in Wang et. al </w:t>
            </w:r>
            <w:r w:rsidRPr="003115E9">
              <w:rPr>
                <w:rFonts w:ascii="Arial Narrow" w:eastAsiaTheme="majorEastAsia" w:hAnsi="Arial Narrow" w:cstheme="majorBidi"/>
                <w:bCs/>
                <w:sz w:val="20"/>
                <w:vertAlign w:val="superscript"/>
              </w:rPr>
              <w:footnoteReference w:id="24"/>
            </w:r>
            <w:r w:rsidRPr="003115E9">
              <w:rPr>
                <w:rFonts w:ascii="Arial Narrow" w:eastAsiaTheme="majorEastAsia" w:hAnsi="Arial Narrow" w:cstheme="majorBidi"/>
                <w:bCs/>
                <w:sz w:val="20"/>
              </w:rPr>
              <w:t xml:space="preserve">, applied to ABS population projections. </w:t>
            </w:r>
          </w:p>
        </w:tc>
        <w:tc>
          <w:tcPr>
            <w:tcW w:w="1780" w:type="pct"/>
            <w:vAlign w:val="center"/>
          </w:tcPr>
          <w:p w14:paraId="4753AFE2"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xml:space="preserve">This was reasonable. </w:t>
            </w:r>
          </w:p>
        </w:tc>
      </w:tr>
      <w:tr w:rsidR="007F4BC5" w:rsidRPr="007F4BC5" w14:paraId="148F8918" w14:textId="77777777" w:rsidTr="00341C9E">
        <w:tc>
          <w:tcPr>
            <w:tcW w:w="950" w:type="pct"/>
            <w:vAlign w:val="center"/>
          </w:tcPr>
          <w:p w14:paraId="44772E82"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Prevalence</w:t>
            </w:r>
          </w:p>
        </w:tc>
        <w:tc>
          <w:tcPr>
            <w:tcW w:w="2270" w:type="pct"/>
            <w:vAlign w:val="center"/>
          </w:tcPr>
          <w:p w14:paraId="2B4000E0" w14:textId="47387061"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0.52%, weighted prevalence rate based on the prevalence rates reported for non</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 xml:space="preserve">indigenous (aged ≥ 50 years old) and indigenous Australians (aged ≥ 40 years </w:t>
            </w:r>
            <w:r w:rsidR="00D32272" w:rsidRPr="003115E9">
              <w:rPr>
                <w:rFonts w:ascii="Arial Narrow" w:eastAsiaTheme="majorEastAsia" w:hAnsi="Arial Narrow" w:cstheme="majorBidi"/>
                <w:bCs/>
                <w:sz w:val="20"/>
              </w:rPr>
              <w:t>old) in</w:t>
            </w:r>
            <w:r w:rsidRPr="003115E9">
              <w:rPr>
                <w:rFonts w:ascii="Arial Narrow" w:eastAsiaTheme="majorEastAsia" w:hAnsi="Arial Narrow" w:cstheme="majorBidi"/>
                <w:bCs/>
                <w:sz w:val="20"/>
              </w:rPr>
              <w:t xml:space="preserve"> Keel et. al </w:t>
            </w:r>
            <w:r w:rsidRPr="003115E9">
              <w:rPr>
                <w:rFonts w:ascii="Arial Narrow" w:eastAsiaTheme="majorEastAsia" w:hAnsi="Arial Narrow" w:cstheme="majorBidi"/>
                <w:bCs/>
                <w:sz w:val="20"/>
                <w:vertAlign w:val="superscript"/>
              </w:rPr>
              <w:footnoteReference w:id="25"/>
            </w:r>
          </w:p>
        </w:tc>
        <w:tc>
          <w:tcPr>
            <w:tcW w:w="1780" w:type="pct"/>
            <w:vAlign w:val="center"/>
          </w:tcPr>
          <w:p w14:paraId="516E6E6F" w14:textId="2417661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Since the prevalence rates were applied to ABS population projections for individuals aged≥ 50 years old, it may have been more appropriate to utilise the prevalence rate that excluded indigenous Australians younger than 50 years of age to maintain consistency.</w:t>
            </w:r>
          </w:p>
        </w:tc>
      </w:tr>
      <w:tr w:rsidR="007F4BC5" w:rsidRPr="007F4BC5" w14:paraId="56E0D7E6" w14:textId="77777777" w:rsidTr="00341C9E">
        <w:tc>
          <w:tcPr>
            <w:tcW w:w="950" w:type="pct"/>
            <w:vAlign w:val="center"/>
          </w:tcPr>
          <w:p w14:paraId="618B1F5B" w14:textId="2CF95DD1"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of patients with non</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sub foveal GA</w:t>
            </w:r>
          </w:p>
        </w:tc>
        <w:tc>
          <w:tcPr>
            <w:tcW w:w="2270" w:type="pct"/>
            <w:vAlign w:val="center"/>
          </w:tcPr>
          <w:p w14:paraId="313EC465" w14:textId="50F483F3"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31.60%, based on a retrospective analysis of patients in the IRIS registry with less than 24 months of follow</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 xml:space="preserve">up data </w:t>
            </w:r>
            <w:r w:rsidRPr="003115E9">
              <w:rPr>
                <w:rFonts w:ascii="Arial Narrow" w:eastAsiaTheme="majorEastAsia" w:hAnsi="Arial Narrow" w:cstheme="majorBidi"/>
                <w:bCs/>
                <w:sz w:val="20"/>
                <w:vertAlign w:val="superscript"/>
              </w:rPr>
              <w:footnoteReference w:id="26"/>
            </w:r>
          </w:p>
        </w:tc>
        <w:tc>
          <w:tcPr>
            <w:tcW w:w="1780" w:type="pct"/>
            <w:vAlign w:val="center"/>
          </w:tcPr>
          <w:p w14:paraId="50012477" w14:textId="5EB7FCEB"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This was reasonable noting that the incidence of non</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sub foveal GA in patients with over 24 months of follow up data was slightly lower (28.9%). The weighted proportion of patients with non</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 xml:space="preserve">sub foveal GA for both cohorts was 30.01%. </w:t>
            </w:r>
          </w:p>
        </w:tc>
      </w:tr>
      <w:tr w:rsidR="007F4BC5" w:rsidRPr="007F4BC5" w14:paraId="4A39AEF9" w14:textId="77777777" w:rsidTr="00341C9E">
        <w:tc>
          <w:tcPr>
            <w:tcW w:w="950" w:type="pct"/>
            <w:vAlign w:val="center"/>
          </w:tcPr>
          <w:p w14:paraId="0AC77743"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Grandfathered patients</w:t>
            </w:r>
          </w:p>
        </w:tc>
        <w:tc>
          <w:tcPr>
            <w:tcW w:w="2270" w:type="pct"/>
            <w:vAlign w:val="center"/>
          </w:tcPr>
          <w:p w14:paraId="2136FD9D" w14:textId="778FC710" w:rsidR="007F4BC5" w:rsidRPr="003115E9" w:rsidRDefault="00B37C73" w:rsidP="003E7EF1">
            <w:pPr>
              <w:jc w:val="lef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270F4F">
              <w:rPr>
                <w:rFonts w:ascii="Arial Narrow" w:eastAsiaTheme="majorEastAsia" w:hAnsi="Arial Narrow" w:cstheme="majorBidi"/>
                <w:bCs/>
                <w:sz w:val="20"/>
                <w:vertAlign w:val="superscript"/>
              </w:rPr>
              <w:t>1</w:t>
            </w:r>
            <w:r w:rsidR="007F4BC5" w:rsidRPr="003115E9">
              <w:rPr>
                <w:rFonts w:ascii="Arial Narrow" w:eastAsiaTheme="majorEastAsia" w:hAnsi="Arial Narrow" w:cstheme="majorBidi"/>
                <w:bCs/>
                <w:sz w:val="20"/>
              </w:rPr>
              <w:t xml:space="preserve"> patients accessing ACP privately, included in year 1 only</w:t>
            </w:r>
          </w:p>
        </w:tc>
        <w:tc>
          <w:tcPr>
            <w:tcW w:w="1780" w:type="pct"/>
            <w:vAlign w:val="center"/>
          </w:tcPr>
          <w:p w14:paraId="55AC3352" w14:textId="1E44A181"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The submission assumed that all GF patients would receive PBS subsidised treatment for 24.99 months which was not reasonable</w:t>
            </w:r>
            <w:r w:rsidR="00F248DD">
              <w:rPr>
                <w:rFonts w:ascii="Arial Narrow" w:eastAsiaTheme="majorEastAsia" w:hAnsi="Arial Narrow" w:cstheme="majorBidi"/>
                <w:bCs/>
                <w:sz w:val="20"/>
              </w:rPr>
              <w:t xml:space="preserve"> as </w:t>
            </w:r>
            <w:r w:rsidR="00545A09">
              <w:rPr>
                <w:rFonts w:ascii="Arial Narrow" w:eastAsiaTheme="majorEastAsia" w:hAnsi="Arial Narrow" w:cstheme="majorBidi"/>
                <w:bCs/>
                <w:sz w:val="20"/>
              </w:rPr>
              <w:t xml:space="preserve">these patients should </w:t>
            </w:r>
            <w:r w:rsidR="00AC5CBB">
              <w:rPr>
                <w:rFonts w:ascii="Arial Narrow" w:eastAsiaTheme="majorEastAsia" w:hAnsi="Arial Narrow" w:cstheme="majorBidi"/>
                <w:bCs/>
                <w:sz w:val="20"/>
              </w:rPr>
              <w:t xml:space="preserve">have initiated the </w:t>
            </w:r>
            <w:r w:rsidR="00310136">
              <w:rPr>
                <w:rFonts w:ascii="Arial Narrow" w:eastAsiaTheme="majorEastAsia" w:hAnsi="Arial Narrow" w:cstheme="majorBidi"/>
                <w:bCs/>
                <w:sz w:val="20"/>
              </w:rPr>
              <w:t xml:space="preserve">ACP </w:t>
            </w:r>
            <w:r w:rsidR="00AC5CBB">
              <w:rPr>
                <w:rFonts w:ascii="Arial Narrow" w:eastAsiaTheme="majorEastAsia" w:hAnsi="Arial Narrow" w:cstheme="majorBidi"/>
                <w:bCs/>
                <w:sz w:val="20"/>
              </w:rPr>
              <w:t>treatment</w:t>
            </w:r>
            <w:r w:rsidR="00310136">
              <w:rPr>
                <w:rFonts w:ascii="Arial Narrow" w:eastAsiaTheme="majorEastAsia" w:hAnsi="Arial Narrow" w:cstheme="majorBidi"/>
                <w:bCs/>
                <w:sz w:val="20"/>
              </w:rPr>
              <w:t xml:space="preserve"> privately</w:t>
            </w:r>
            <w:r w:rsidRPr="003115E9">
              <w:rPr>
                <w:rFonts w:ascii="Arial Narrow" w:eastAsiaTheme="majorEastAsia" w:hAnsi="Arial Narrow" w:cstheme="majorBidi"/>
                <w:bCs/>
                <w:sz w:val="20"/>
              </w:rPr>
              <w:t xml:space="preserve">. </w:t>
            </w:r>
          </w:p>
        </w:tc>
      </w:tr>
      <w:tr w:rsidR="007F4BC5" w:rsidRPr="007F4BC5" w14:paraId="2A202E8B" w14:textId="77777777" w:rsidTr="00341C9E">
        <w:tc>
          <w:tcPr>
            <w:tcW w:w="950" w:type="pct"/>
            <w:vAlign w:val="center"/>
          </w:tcPr>
          <w:p w14:paraId="21FA6CA9"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of patients electing treatment</w:t>
            </w:r>
          </w:p>
        </w:tc>
        <w:tc>
          <w:tcPr>
            <w:tcW w:w="2270" w:type="pct"/>
            <w:vAlign w:val="center"/>
          </w:tcPr>
          <w:p w14:paraId="1F275FF2" w14:textId="2DAC09B7" w:rsidR="007F4BC5" w:rsidRPr="003115E9" w:rsidRDefault="00B37C73" w:rsidP="003E7EF1">
            <w:pPr>
              <w:jc w:val="lef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7F4BC5" w:rsidRPr="003115E9">
              <w:rPr>
                <w:rFonts w:ascii="Arial Narrow" w:eastAsiaTheme="majorEastAsia" w:hAnsi="Arial Narrow" w:cstheme="majorBidi"/>
                <w:bCs/>
                <w:sz w:val="20"/>
              </w:rPr>
              <w:t xml:space="preserve">% in year 1, increasing to </w:t>
            </w:r>
            <w:r w:rsidRPr="00B37C73">
              <w:rPr>
                <w:rFonts w:ascii="Arial Narrow" w:eastAsiaTheme="majorEastAsia" w:hAnsi="Arial Narrow" w:cstheme="majorBidi"/>
                <w:bCs/>
                <w:sz w:val="2"/>
                <w:highlight w:val="black"/>
              </w:rPr>
              <w:t>redacted content</w:t>
            </w:r>
            <w:r w:rsidR="007F4BC5" w:rsidRPr="003115E9">
              <w:rPr>
                <w:rFonts w:ascii="Arial Narrow" w:eastAsiaTheme="majorEastAsia" w:hAnsi="Arial Narrow" w:cstheme="majorBidi"/>
                <w:bCs/>
                <w:sz w:val="20"/>
              </w:rPr>
              <w:t xml:space="preserve">% by year 6. </w:t>
            </w:r>
          </w:p>
        </w:tc>
        <w:tc>
          <w:tcPr>
            <w:tcW w:w="1780" w:type="pct"/>
            <w:vAlign w:val="center"/>
          </w:tcPr>
          <w:p w14:paraId="3B97D982" w14:textId="77777777" w:rsidR="007F4BC5"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xml:space="preserve">The low uptake rate in year 1 was not adequately justified in the submission. </w:t>
            </w:r>
          </w:p>
          <w:p w14:paraId="44988481" w14:textId="1839F253" w:rsidR="002C7E2F" w:rsidRPr="003115E9" w:rsidRDefault="0084536C" w:rsidP="003E7EF1">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PBAC considered </w:t>
            </w:r>
            <w:r w:rsidR="000E337D">
              <w:rPr>
                <w:rFonts w:ascii="Arial Narrow" w:eastAsiaTheme="majorEastAsia" w:hAnsi="Arial Narrow" w:cstheme="majorBidi"/>
                <w:bCs/>
                <w:sz w:val="20"/>
              </w:rPr>
              <w:t xml:space="preserve">the uptake rate </w:t>
            </w:r>
            <w:r w:rsidR="006161F2">
              <w:rPr>
                <w:rFonts w:ascii="Arial Narrow" w:eastAsiaTheme="majorEastAsia" w:hAnsi="Arial Narrow" w:cstheme="majorBidi"/>
                <w:bCs/>
                <w:sz w:val="20"/>
              </w:rPr>
              <w:t xml:space="preserve">at year 6 </w:t>
            </w:r>
            <w:r w:rsidR="000E337D">
              <w:rPr>
                <w:rFonts w:ascii="Arial Narrow" w:eastAsiaTheme="majorEastAsia" w:hAnsi="Arial Narrow" w:cstheme="majorBidi"/>
                <w:bCs/>
                <w:sz w:val="20"/>
              </w:rPr>
              <w:t>was overly optimistic</w:t>
            </w:r>
            <w:r w:rsidR="006161F2">
              <w:rPr>
                <w:rFonts w:ascii="Arial Narrow" w:eastAsiaTheme="majorEastAsia" w:hAnsi="Arial Narrow" w:cstheme="majorBidi"/>
                <w:bCs/>
                <w:sz w:val="20"/>
              </w:rPr>
              <w:t>. The PBAC</w:t>
            </w:r>
            <w:r w:rsidR="00A46D1B">
              <w:rPr>
                <w:rFonts w:ascii="Arial Narrow" w:eastAsiaTheme="majorEastAsia" w:hAnsi="Arial Narrow" w:cstheme="majorBidi"/>
                <w:bCs/>
                <w:sz w:val="20"/>
              </w:rPr>
              <w:t xml:space="preserve"> considered uptake of </w:t>
            </w:r>
            <w:r w:rsidR="00B37C73" w:rsidRPr="00B37C73">
              <w:rPr>
                <w:rFonts w:ascii="Arial Narrow" w:eastAsiaTheme="majorEastAsia" w:hAnsi="Arial Narrow" w:cstheme="majorBidi"/>
                <w:bCs/>
                <w:sz w:val="2"/>
                <w:highlight w:val="black"/>
              </w:rPr>
              <w:t>redacted content</w:t>
            </w:r>
            <w:r w:rsidR="00A46D1B">
              <w:rPr>
                <w:rFonts w:ascii="Arial Narrow" w:eastAsiaTheme="majorEastAsia" w:hAnsi="Arial Narrow" w:cstheme="majorBidi"/>
                <w:bCs/>
                <w:sz w:val="20"/>
              </w:rPr>
              <w:t xml:space="preserve">% in years 1 and 2 would be reasonable, increasing to </w:t>
            </w:r>
            <w:r w:rsidR="00B37C73" w:rsidRPr="00B37C73">
              <w:rPr>
                <w:rFonts w:ascii="Arial Narrow" w:eastAsiaTheme="majorEastAsia" w:hAnsi="Arial Narrow" w:cstheme="majorBidi"/>
                <w:bCs/>
                <w:sz w:val="2"/>
                <w:highlight w:val="black"/>
              </w:rPr>
              <w:t>redacted content</w:t>
            </w:r>
            <w:r w:rsidR="00A46D1B">
              <w:rPr>
                <w:rFonts w:ascii="Arial Narrow" w:eastAsiaTheme="majorEastAsia" w:hAnsi="Arial Narrow" w:cstheme="majorBidi"/>
                <w:bCs/>
                <w:sz w:val="20"/>
              </w:rPr>
              <w:t>% by year 6.</w:t>
            </w:r>
          </w:p>
        </w:tc>
      </w:tr>
      <w:tr w:rsidR="007F4BC5" w:rsidRPr="007F4BC5" w14:paraId="1A4BFBF4" w14:textId="77777777" w:rsidTr="00341C9E">
        <w:tc>
          <w:tcPr>
            <w:tcW w:w="950" w:type="pct"/>
            <w:vAlign w:val="center"/>
          </w:tcPr>
          <w:p w14:paraId="2FA650A1"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Treatment duration</w:t>
            </w:r>
          </w:p>
        </w:tc>
        <w:tc>
          <w:tcPr>
            <w:tcW w:w="2270" w:type="pct"/>
            <w:vAlign w:val="center"/>
          </w:tcPr>
          <w:p w14:paraId="1A700AEE"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24.99 months, based on the modelled TTD.</w:t>
            </w:r>
          </w:p>
        </w:tc>
        <w:tc>
          <w:tcPr>
            <w:tcW w:w="1780" w:type="pct"/>
            <w:vAlign w:val="center"/>
          </w:tcPr>
          <w:p w14:paraId="57600927"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This was reasonable.</w:t>
            </w:r>
          </w:p>
        </w:tc>
      </w:tr>
      <w:tr w:rsidR="007F4BC5" w:rsidRPr="007F4BC5" w14:paraId="6F752B8D" w14:textId="77777777" w:rsidTr="00341C9E">
        <w:tc>
          <w:tcPr>
            <w:tcW w:w="950" w:type="pct"/>
            <w:vAlign w:val="center"/>
          </w:tcPr>
          <w:p w14:paraId="700D90DC"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ACP costs</w:t>
            </w:r>
          </w:p>
        </w:tc>
        <w:tc>
          <w:tcPr>
            <w:tcW w:w="2270" w:type="pct"/>
            <w:vAlign w:val="center"/>
          </w:tcPr>
          <w:p w14:paraId="537B443A" w14:textId="0ADDDCF0"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Pr="003115E9">
              <w:rPr>
                <w:rFonts w:ascii="Arial Narrow" w:eastAsiaTheme="majorEastAsia" w:hAnsi="Arial Narrow" w:cstheme="majorBidi"/>
                <w:bCs/>
                <w:sz w:val="20"/>
              </w:rPr>
              <w:t xml:space="preserve"> per 2 mg vial, requested ex</w:t>
            </w:r>
            <w:r w:rsidR="009B60A6">
              <w:rPr>
                <w:rFonts w:ascii="Arial Narrow" w:eastAsiaTheme="majorEastAsia" w:hAnsi="Arial Narrow" w:cstheme="majorBidi"/>
                <w:bCs/>
                <w:sz w:val="20"/>
              </w:rPr>
              <w:noBreakHyphen/>
            </w:r>
            <w:r w:rsidRPr="003115E9">
              <w:rPr>
                <w:rFonts w:ascii="Arial Narrow" w:eastAsiaTheme="majorEastAsia" w:hAnsi="Arial Narrow" w:cstheme="majorBidi"/>
                <w:bCs/>
                <w:sz w:val="20"/>
              </w:rPr>
              <w:t>manufacturer price</w:t>
            </w:r>
          </w:p>
        </w:tc>
        <w:tc>
          <w:tcPr>
            <w:tcW w:w="1780" w:type="pct"/>
            <w:vAlign w:val="center"/>
          </w:tcPr>
          <w:p w14:paraId="3AF54C19" w14:textId="3FB978CE" w:rsidR="007F4BC5" w:rsidRPr="003115E9" w:rsidRDefault="007F4BC5" w:rsidP="003E7EF1">
            <w:pPr>
              <w:jc w:val="left"/>
              <w:rPr>
                <w:rFonts w:ascii="Arial Narrow" w:eastAsiaTheme="majorEastAsia" w:hAnsi="Arial Narrow" w:cstheme="majorBidi"/>
                <w:bCs/>
                <w:sz w:val="20"/>
              </w:rPr>
            </w:pPr>
          </w:p>
        </w:tc>
      </w:tr>
      <w:tr w:rsidR="007F4BC5" w:rsidRPr="007F4BC5" w14:paraId="2C8F9802" w14:textId="77777777" w:rsidTr="00341C9E">
        <w:tc>
          <w:tcPr>
            <w:tcW w:w="950" w:type="pct"/>
            <w:vAlign w:val="center"/>
          </w:tcPr>
          <w:p w14:paraId="7D14C392"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Management of CNV events: Aflibercept and ranibizumab costs</w:t>
            </w:r>
          </w:p>
        </w:tc>
        <w:tc>
          <w:tcPr>
            <w:tcW w:w="2270" w:type="pct"/>
            <w:vAlign w:val="center"/>
          </w:tcPr>
          <w:p w14:paraId="209FA1EA"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$890.97 and $786.68, DPMAs of PBS items 13146X and 10138N</w:t>
            </w:r>
          </w:p>
        </w:tc>
        <w:tc>
          <w:tcPr>
            <w:tcW w:w="1780" w:type="pct"/>
            <w:vAlign w:val="center"/>
          </w:tcPr>
          <w:p w14:paraId="27135AD0" w14:textId="35417938"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xml:space="preserve">While the inclusion of these costs was appropriate, the submission included costs for 1 year only. However, CNV requires ongoing treatment and thus, the costs associated with management of CNV events was underestimated. </w:t>
            </w:r>
            <w:r w:rsidR="006D6F55">
              <w:rPr>
                <w:rFonts w:ascii="Arial Narrow" w:eastAsiaTheme="majorEastAsia" w:hAnsi="Arial Narrow" w:cstheme="majorBidi"/>
                <w:bCs/>
                <w:sz w:val="20"/>
              </w:rPr>
              <w:t xml:space="preserve">The </w:t>
            </w:r>
            <w:r w:rsidR="0094619C">
              <w:rPr>
                <w:rFonts w:ascii="Arial Narrow" w:eastAsiaTheme="majorEastAsia" w:hAnsi="Arial Narrow" w:cstheme="majorBidi"/>
                <w:bCs/>
                <w:sz w:val="20"/>
              </w:rPr>
              <w:t xml:space="preserve">PSCR clarified that </w:t>
            </w:r>
            <w:r w:rsidR="00D25F7E">
              <w:rPr>
                <w:rFonts w:ascii="Arial Narrow" w:eastAsiaTheme="majorEastAsia" w:hAnsi="Arial Narrow" w:cstheme="majorBidi"/>
                <w:bCs/>
                <w:sz w:val="20"/>
              </w:rPr>
              <w:t xml:space="preserve">CNV </w:t>
            </w:r>
            <w:r w:rsidR="0094619C">
              <w:rPr>
                <w:rFonts w:ascii="Arial Narrow" w:eastAsiaTheme="majorEastAsia" w:hAnsi="Arial Narrow" w:cstheme="majorBidi"/>
                <w:bCs/>
                <w:sz w:val="20"/>
              </w:rPr>
              <w:t>costs are based on patient year</w:t>
            </w:r>
            <w:r w:rsidR="00D25F7E">
              <w:rPr>
                <w:rFonts w:ascii="Arial Narrow" w:eastAsiaTheme="majorEastAsia" w:hAnsi="Arial Narrow" w:cstheme="majorBidi"/>
                <w:bCs/>
                <w:sz w:val="20"/>
              </w:rPr>
              <w:t>s of treatment</w:t>
            </w:r>
            <w:r w:rsidR="0094619C">
              <w:rPr>
                <w:rFonts w:ascii="Arial Narrow" w:eastAsiaTheme="majorEastAsia" w:hAnsi="Arial Narrow" w:cstheme="majorBidi"/>
                <w:bCs/>
                <w:sz w:val="20"/>
              </w:rPr>
              <w:t xml:space="preserve"> rather than </w:t>
            </w:r>
            <w:r w:rsidR="00D25F7E">
              <w:rPr>
                <w:rFonts w:ascii="Arial Narrow" w:eastAsiaTheme="majorEastAsia" w:hAnsi="Arial Narrow" w:cstheme="majorBidi"/>
                <w:bCs/>
                <w:sz w:val="20"/>
              </w:rPr>
              <w:t>single</w:t>
            </w:r>
            <w:r w:rsidR="0094619C">
              <w:rPr>
                <w:rFonts w:ascii="Arial Narrow" w:eastAsiaTheme="majorEastAsia" w:hAnsi="Arial Narrow" w:cstheme="majorBidi"/>
                <w:bCs/>
                <w:sz w:val="20"/>
              </w:rPr>
              <w:t xml:space="preserve"> year </w:t>
            </w:r>
            <w:r w:rsidR="00A6189B">
              <w:rPr>
                <w:rFonts w:ascii="Arial Narrow" w:eastAsiaTheme="majorEastAsia" w:hAnsi="Arial Narrow" w:cstheme="majorBidi"/>
                <w:bCs/>
                <w:sz w:val="20"/>
              </w:rPr>
              <w:t xml:space="preserve">of treatment </w:t>
            </w:r>
            <w:r w:rsidR="0094619C">
              <w:rPr>
                <w:rFonts w:ascii="Arial Narrow" w:eastAsiaTheme="majorEastAsia" w:hAnsi="Arial Narrow" w:cstheme="majorBidi"/>
                <w:bCs/>
                <w:sz w:val="20"/>
              </w:rPr>
              <w:t xml:space="preserve">per </w:t>
            </w:r>
            <w:r w:rsidR="00D25F7E">
              <w:rPr>
                <w:rFonts w:ascii="Arial Narrow" w:eastAsiaTheme="majorEastAsia" w:hAnsi="Arial Narrow" w:cstheme="majorBidi"/>
                <w:bCs/>
                <w:sz w:val="20"/>
              </w:rPr>
              <w:t>patient</w:t>
            </w:r>
            <w:r w:rsidR="0094619C">
              <w:rPr>
                <w:rFonts w:ascii="Arial Narrow" w:eastAsiaTheme="majorEastAsia" w:hAnsi="Arial Narrow" w:cstheme="majorBidi"/>
                <w:bCs/>
                <w:sz w:val="20"/>
              </w:rPr>
              <w:t>.</w:t>
            </w:r>
            <w:r w:rsidR="00D25F7E">
              <w:rPr>
                <w:rFonts w:ascii="Arial Narrow" w:eastAsiaTheme="majorEastAsia" w:hAnsi="Arial Narrow" w:cstheme="majorBidi"/>
                <w:bCs/>
                <w:sz w:val="20"/>
              </w:rPr>
              <w:t xml:space="preserve"> </w:t>
            </w:r>
            <w:r w:rsidR="00A6189B">
              <w:rPr>
                <w:rFonts w:ascii="Arial Narrow" w:eastAsiaTheme="majorEastAsia" w:hAnsi="Arial Narrow" w:cstheme="majorBidi"/>
                <w:bCs/>
                <w:sz w:val="20"/>
              </w:rPr>
              <w:t>T</w:t>
            </w:r>
            <w:r w:rsidR="00D25F7E" w:rsidRPr="00D25F7E">
              <w:rPr>
                <w:rFonts w:ascii="Arial Narrow" w:eastAsiaTheme="majorEastAsia" w:hAnsi="Arial Narrow" w:cstheme="majorBidi"/>
                <w:bCs/>
                <w:sz w:val="20"/>
              </w:rPr>
              <w:t xml:space="preserve">he </w:t>
            </w:r>
            <w:r w:rsidR="00D25F7E" w:rsidRPr="00D25F7E">
              <w:rPr>
                <w:rFonts w:ascii="Arial Narrow" w:eastAsiaTheme="majorEastAsia" w:hAnsi="Arial Narrow" w:cstheme="majorBidi"/>
                <w:bCs/>
                <w:sz w:val="20"/>
              </w:rPr>
              <w:lastRenderedPageBreak/>
              <w:t>mean annual number of aflibercept (7.0) and ranibizumab (8.8) injections was applied to patient</w:t>
            </w:r>
            <w:r w:rsidR="009B60A6">
              <w:rPr>
                <w:rFonts w:ascii="Arial Narrow" w:eastAsiaTheme="majorEastAsia" w:hAnsi="Arial Narrow" w:cstheme="majorBidi"/>
                <w:bCs/>
                <w:sz w:val="20"/>
              </w:rPr>
              <w:noBreakHyphen/>
            </w:r>
            <w:r w:rsidR="00D25F7E" w:rsidRPr="00D25F7E">
              <w:rPr>
                <w:rFonts w:ascii="Arial Narrow" w:eastAsiaTheme="majorEastAsia" w:hAnsi="Arial Narrow" w:cstheme="majorBidi"/>
                <w:bCs/>
                <w:sz w:val="20"/>
              </w:rPr>
              <w:t>years of treatment. Patient</w:t>
            </w:r>
            <w:r w:rsidR="009B60A6">
              <w:rPr>
                <w:rFonts w:ascii="Arial Narrow" w:eastAsiaTheme="majorEastAsia" w:hAnsi="Arial Narrow" w:cstheme="majorBidi"/>
                <w:bCs/>
                <w:sz w:val="20"/>
              </w:rPr>
              <w:noBreakHyphen/>
            </w:r>
            <w:r w:rsidR="00D25F7E" w:rsidRPr="00D25F7E">
              <w:rPr>
                <w:rFonts w:ascii="Arial Narrow" w:eastAsiaTheme="majorEastAsia" w:hAnsi="Arial Narrow" w:cstheme="majorBidi"/>
                <w:bCs/>
                <w:sz w:val="20"/>
              </w:rPr>
              <w:t>years were calculated by multiplying the number of patients by the average treatment duration of ACP treatment (2.08 years) used in the financial model. This corresponds to approximately 14.6 aflibercept injections and 18.3 ranibizumab injections per GA patient.</w:t>
            </w:r>
            <w:r w:rsidR="0094619C">
              <w:rPr>
                <w:rFonts w:ascii="Arial Narrow" w:eastAsiaTheme="majorEastAsia" w:hAnsi="Arial Narrow" w:cstheme="majorBidi"/>
                <w:bCs/>
                <w:sz w:val="20"/>
              </w:rPr>
              <w:t xml:space="preserve"> </w:t>
            </w:r>
          </w:p>
        </w:tc>
      </w:tr>
      <w:tr w:rsidR="007F4BC5" w:rsidRPr="007F4BC5" w14:paraId="4392FB2E" w14:textId="77777777" w:rsidTr="00341C9E">
        <w:tc>
          <w:tcPr>
            <w:tcW w:w="950" w:type="pct"/>
            <w:vAlign w:val="center"/>
          </w:tcPr>
          <w:p w14:paraId="1BC75248"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lastRenderedPageBreak/>
              <w:t>MBS costs</w:t>
            </w:r>
          </w:p>
        </w:tc>
        <w:tc>
          <w:tcPr>
            <w:tcW w:w="2270" w:type="pct"/>
            <w:vAlign w:val="center"/>
          </w:tcPr>
          <w:p w14:paraId="48AC478F"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xml:space="preserve">MBS item 43030 ($350.85), costs for intravitreal administration of ACP, applied per administration. </w:t>
            </w:r>
          </w:p>
        </w:tc>
        <w:tc>
          <w:tcPr>
            <w:tcW w:w="1780" w:type="pct"/>
            <w:vAlign w:val="center"/>
          </w:tcPr>
          <w:p w14:paraId="144203A8" w14:textId="77777777" w:rsidR="007F4BC5" w:rsidRPr="003115E9" w:rsidRDefault="007F4BC5" w:rsidP="003E7EF1">
            <w:pPr>
              <w:jc w:val="left"/>
              <w:rPr>
                <w:rFonts w:ascii="Arial Narrow" w:eastAsiaTheme="majorEastAsia" w:hAnsi="Arial Narrow" w:cstheme="majorBidi"/>
                <w:bCs/>
                <w:sz w:val="20"/>
              </w:rPr>
            </w:pPr>
            <w:r w:rsidRPr="003115E9">
              <w:rPr>
                <w:rFonts w:ascii="Arial Narrow" w:eastAsiaTheme="majorEastAsia" w:hAnsi="Arial Narrow" w:cstheme="majorBidi"/>
                <w:bCs/>
                <w:sz w:val="20"/>
              </w:rPr>
              <w:t xml:space="preserve">This was appropriate. </w:t>
            </w:r>
          </w:p>
        </w:tc>
      </w:tr>
    </w:tbl>
    <w:p w14:paraId="78BAE18F" w14:textId="06E781CF" w:rsidR="007F4BC5" w:rsidRPr="007F4BC5" w:rsidRDefault="007F4BC5" w:rsidP="009F58A5">
      <w:pPr>
        <w:pStyle w:val="TableFigureFooter"/>
        <w:keepNext/>
        <w:keepLines w:val="0"/>
      </w:pPr>
      <w:r w:rsidRPr="007F4BC5">
        <w:t>Source: tabulated during the evaluation, from Table 4.1</w:t>
      </w:r>
      <w:r w:rsidR="009B60A6">
        <w:noBreakHyphen/>
      </w:r>
      <w:r w:rsidRPr="007F4BC5">
        <w:t xml:space="preserve">2, p220 of the submission and the “Attachment 14 – </w:t>
      </w:r>
      <w:proofErr w:type="spellStart"/>
      <w:r w:rsidRPr="007F4BC5">
        <w:t>Izervay</w:t>
      </w:r>
      <w:proofErr w:type="spellEnd"/>
      <w:r w:rsidRPr="007F4BC5">
        <w:t xml:space="preserve"> GA AMD Financial Model” workbook provided in the submission. </w:t>
      </w:r>
    </w:p>
    <w:p w14:paraId="346C2096" w14:textId="3D58A6FC" w:rsidR="007F4BC5" w:rsidRDefault="007F4BC5" w:rsidP="009F58A5">
      <w:pPr>
        <w:pStyle w:val="TableFigureFooter"/>
        <w:keepNext/>
        <w:keepLines w:val="0"/>
      </w:pPr>
      <w:r w:rsidRPr="007F4BC5">
        <w:t>ABS = Australian Bureau of Statistics; ACP = avacincaptad pegol; GA = geographic atrophy; IRIS = Intelligent Research in Sight Registry; MBS = Medicare Benefits Schedule; mg = Milligram; PBS = Pharmaceutical Benefits Scheme; TTD = time</w:t>
      </w:r>
      <w:r w:rsidR="009B60A6">
        <w:noBreakHyphen/>
      </w:r>
      <w:r w:rsidRPr="007F4BC5">
        <w:t>to</w:t>
      </w:r>
      <w:r w:rsidR="009B60A6">
        <w:noBreakHyphen/>
      </w:r>
      <w:r w:rsidRPr="007F4BC5">
        <w:t>treatment discontinuation.</w:t>
      </w:r>
    </w:p>
    <w:p w14:paraId="77273909" w14:textId="77777777" w:rsidR="00270F4F" w:rsidRPr="00270F4F" w:rsidRDefault="00270F4F" w:rsidP="00270F4F">
      <w:pPr>
        <w:pStyle w:val="TableFigureFooter"/>
        <w:keepNext/>
        <w:rPr>
          <w:i/>
        </w:rPr>
      </w:pPr>
      <w:r w:rsidRPr="00270F4F">
        <w:rPr>
          <w:i/>
        </w:rPr>
        <w:t xml:space="preserve">The redacted values correspond to the following ranges: </w:t>
      </w:r>
    </w:p>
    <w:p w14:paraId="722BE595" w14:textId="081EF890" w:rsidR="006B1E8E" w:rsidRPr="007F4BC5" w:rsidRDefault="00270F4F" w:rsidP="00BB4F9D">
      <w:pPr>
        <w:pStyle w:val="TableFigureFooter"/>
        <w:keepNext/>
      </w:pPr>
      <w:r w:rsidRPr="00270F4F">
        <w:rPr>
          <w:i/>
          <w:vertAlign w:val="superscript"/>
        </w:rPr>
        <w:t>1</w:t>
      </w:r>
      <w:r w:rsidRPr="00270F4F">
        <w:rPr>
          <w:i/>
        </w:rPr>
        <w:t xml:space="preserve"> </w:t>
      </w:r>
      <w:r>
        <w:rPr>
          <w:i/>
        </w:rPr>
        <w:t>&lt; 500</w:t>
      </w:r>
    </w:p>
    <w:p w14:paraId="332AFB3A" w14:textId="4CC24097" w:rsidR="007F4BC5" w:rsidRPr="00480491" w:rsidRDefault="007F4BC5" w:rsidP="001A7CE8">
      <w:pPr>
        <w:numPr>
          <w:ilvl w:val="1"/>
          <w:numId w:val="6"/>
        </w:numPr>
        <w:spacing w:before="60" w:after="60"/>
        <w:rPr>
          <w:rFonts w:asciiTheme="minorHAnsi" w:eastAsiaTheme="minorHAnsi" w:hAnsiTheme="minorHAnsi" w:cstheme="minorBidi"/>
          <w:szCs w:val="22"/>
        </w:rPr>
      </w:pPr>
      <w:r w:rsidRPr="00480491">
        <w:rPr>
          <w:rFonts w:asciiTheme="minorHAnsi" w:eastAsiaTheme="minorHAnsi" w:hAnsiTheme="minorHAnsi" w:cstheme="minorBidi"/>
          <w:szCs w:val="22"/>
        </w:rPr>
        <w:t xml:space="preserve">The submission estimated the total number of patients eligible for treatment with ACP based on the inputs presented in </w:t>
      </w:r>
      <w:r w:rsidRPr="00480491">
        <w:rPr>
          <w:rFonts w:asciiTheme="minorHAnsi" w:eastAsiaTheme="minorHAnsi" w:hAnsiTheme="minorHAnsi" w:cstheme="minorBidi"/>
          <w:szCs w:val="22"/>
        </w:rPr>
        <w:fldChar w:fldCharType="begin"/>
      </w:r>
      <w:r w:rsidRPr="00480491">
        <w:rPr>
          <w:rFonts w:asciiTheme="minorHAnsi" w:eastAsiaTheme="minorHAnsi" w:hAnsiTheme="minorHAnsi" w:cstheme="minorBidi"/>
          <w:szCs w:val="22"/>
        </w:rPr>
        <w:instrText xml:space="preserve"> REF _Ref104805262 \h  \* MERGEFORMAT </w:instrText>
      </w:r>
      <w:r w:rsidRPr="00480491">
        <w:rPr>
          <w:rFonts w:asciiTheme="minorHAnsi" w:eastAsiaTheme="minorHAnsi" w:hAnsiTheme="minorHAnsi" w:cstheme="minorBidi"/>
          <w:szCs w:val="22"/>
        </w:rPr>
      </w:r>
      <w:r w:rsidRPr="00480491">
        <w:rPr>
          <w:rFonts w:asciiTheme="minorHAnsi" w:eastAsiaTheme="minorHAnsi" w:hAnsiTheme="minorHAnsi" w:cstheme="minorBidi"/>
          <w:szCs w:val="22"/>
        </w:rPr>
        <w:fldChar w:fldCharType="separate"/>
      </w:r>
      <w:r w:rsidR="00962F38" w:rsidRPr="00962F38">
        <w:rPr>
          <w:rFonts w:asciiTheme="minorHAnsi" w:eastAsiaTheme="minorHAnsi" w:hAnsiTheme="minorHAnsi" w:cstheme="minorBidi"/>
          <w:szCs w:val="22"/>
        </w:rPr>
        <w:t>Table 17</w:t>
      </w:r>
      <w:r w:rsidRPr="00480491">
        <w:rPr>
          <w:rFonts w:asciiTheme="minorHAnsi" w:eastAsiaTheme="minorHAnsi" w:hAnsiTheme="minorHAnsi" w:cstheme="minorBidi"/>
          <w:szCs w:val="22"/>
        </w:rPr>
        <w:fldChar w:fldCharType="end"/>
      </w:r>
      <w:r w:rsidRPr="00480491">
        <w:rPr>
          <w:rFonts w:asciiTheme="minorHAnsi" w:eastAsiaTheme="minorHAnsi" w:hAnsiTheme="minorHAnsi" w:cstheme="minorBidi"/>
          <w:szCs w:val="22"/>
        </w:rPr>
        <w:t>. An incidence rate of 0.17% was applied to ABS population projections (2027</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 xml:space="preserve">2032) for persons aged </w:t>
      </w:r>
      <w:r w:rsidRPr="00480491">
        <w:rPr>
          <w:rFonts w:asciiTheme="minorHAnsi" w:eastAsiaTheme="minorHAnsi" w:hAnsiTheme="minorHAnsi" w:cstheme="minorHAnsi"/>
          <w:szCs w:val="22"/>
        </w:rPr>
        <w:t>≥</w:t>
      </w:r>
      <w:r w:rsidRPr="00480491">
        <w:rPr>
          <w:rFonts w:asciiTheme="minorHAnsi" w:eastAsiaTheme="minorHAnsi" w:hAnsiTheme="minorHAnsi" w:cstheme="minorBidi"/>
          <w:szCs w:val="22"/>
        </w:rPr>
        <w:t xml:space="preserve"> 50 years old. Prevalent patients were included in year 1 only. The number of prevalent patients was based on a weighted prevalence rate of 0.52% (weighted based on prevalence rates of 0.72% and 0.17% for indigenous and non</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indigenous Australians) applied to Australian population projection for the year 2026. The weighted prevalence rate applied included indigenous Australians aged &lt; 50 years old. Given that the ACP is proposed for patients aged 50 years old or more, this was not reasonable. The prevalence rate for non</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 xml:space="preserve">indigenous Australians when patients aged &lt; 50 years old are excluded was 0.26% (compared to 0.17%). </w:t>
      </w:r>
    </w:p>
    <w:p w14:paraId="12F4A6A8" w14:textId="1ED0D4ED" w:rsidR="007F4BC5" w:rsidRPr="00480491" w:rsidRDefault="007F4BC5" w:rsidP="001A7CE8">
      <w:pPr>
        <w:numPr>
          <w:ilvl w:val="1"/>
          <w:numId w:val="6"/>
        </w:numPr>
        <w:spacing w:before="60" w:after="60"/>
        <w:rPr>
          <w:rFonts w:asciiTheme="minorHAnsi" w:eastAsiaTheme="minorHAnsi" w:hAnsiTheme="minorHAnsi" w:cstheme="minorBidi"/>
          <w:szCs w:val="22"/>
        </w:rPr>
      </w:pPr>
      <w:r w:rsidRPr="00480491">
        <w:rPr>
          <w:rFonts w:asciiTheme="minorHAnsi" w:eastAsiaTheme="minorHAnsi" w:hAnsiTheme="minorHAnsi" w:cstheme="minorBidi"/>
          <w:szCs w:val="22"/>
        </w:rPr>
        <w:t>The submission assumed that 31.60% of patients with GA secondary to AMD would have non</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sub foveal lesions. This was based on patients with less than 24 months of follow</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up data in the IRIS registry. Of note, for patients with follow</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up data of over 24 months, 28.9% of patients had non</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sub foveal GA. The weighted proportion of patients with non</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 xml:space="preserve">sub foveal GA for both cohorts (follow up of less than and more than 24 months) was 30.01%. </w:t>
      </w:r>
    </w:p>
    <w:p w14:paraId="4EAA328D" w14:textId="7F299BB0" w:rsidR="007F4BC5" w:rsidRPr="00480491" w:rsidRDefault="007F4BC5" w:rsidP="001A7CE8">
      <w:pPr>
        <w:numPr>
          <w:ilvl w:val="1"/>
          <w:numId w:val="6"/>
        </w:numPr>
        <w:spacing w:before="60" w:after="60"/>
        <w:rPr>
          <w:rFonts w:asciiTheme="minorHAnsi" w:eastAsiaTheme="minorHAnsi" w:hAnsiTheme="minorHAnsi" w:cstheme="minorBidi"/>
          <w:szCs w:val="22"/>
        </w:rPr>
      </w:pPr>
      <w:r w:rsidRPr="00480491">
        <w:rPr>
          <w:rFonts w:asciiTheme="minorHAnsi" w:eastAsiaTheme="minorHAnsi" w:hAnsiTheme="minorHAnsi" w:cstheme="minorBidi"/>
          <w:szCs w:val="22"/>
        </w:rPr>
        <w:t xml:space="preserve">An uptake rate of </w:t>
      </w:r>
      <w:r w:rsidR="00B37C73" w:rsidRPr="00B37C73">
        <w:rPr>
          <w:rFonts w:asciiTheme="minorHAnsi" w:eastAsiaTheme="minorHAnsi" w:hAnsiTheme="minorHAnsi" w:cstheme="minorBidi"/>
          <w:sz w:val="2"/>
          <w:szCs w:val="22"/>
          <w:highlight w:val="black"/>
        </w:rPr>
        <w:t>redacted content</w:t>
      </w:r>
      <w:r w:rsidRPr="00480491">
        <w:rPr>
          <w:rFonts w:asciiTheme="minorHAnsi" w:eastAsiaTheme="minorHAnsi" w:hAnsiTheme="minorHAnsi" w:cstheme="minorBidi"/>
          <w:szCs w:val="22"/>
        </w:rPr>
        <w:t xml:space="preserve">% in year 1, increasing to </w:t>
      </w:r>
      <w:r w:rsidR="00B37C73" w:rsidRPr="00B37C73">
        <w:rPr>
          <w:rFonts w:asciiTheme="minorHAnsi" w:eastAsiaTheme="minorHAnsi" w:hAnsiTheme="minorHAnsi" w:cstheme="minorBidi"/>
          <w:sz w:val="2"/>
          <w:szCs w:val="22"/>
          <w:highlight w:val="black"/>
        </w:rPr>
        <w:t>redacted content</w:t>
      </w:r>
      <w:r w:rsidRPr="00480491">
        <w:rPr>
          <w:rFonts w:asciiTheme="minorHAnsi" w:eastAsiaTheme="minorHAnsi" w:hAnsiTheme="minorHAnsi" w:cstheme="minorBidi"/>
          <w:szCs w:val="22"/>
        </w:rPr>
        <w:t xml:space="preserve">% by year 6, were applied. The </w:t>
      </w:r>
      <w:r w:rsidR="00EA464A" w:rsidRPr="00C17763">
        <w:rPr>
          <w:rFonts w:asciiTheme="minorHAnsi" w:eastAsiaTheme="minorHAnsi" w:hAnsiTheme="minorHAnsi" w:cstheme="minorBidi"/>
          <w:iCs/>
          <w:szCs w:val="22"/>
        </w:rPr>
        <w:t xml:space="preserve">ESC considered the </w:t>
      </w:r>
      <w:r w:rsidRPr="00480491">
        <w:rPr>
          <w:rFonts w:asciiTheme="minorHAnsi" w:eastAsiaTheme="minorHAnsi" w:hAnsiTheme="minorHAnsi" w:cstheme="minorBidi"/>
          <w:szCs w:val="22"/>
        </w:rPr>
        <w:t xml:space="preserve">low uptake rate in year 1 was not adequately justified in the submission. </w:t>
      </w:r>
      <w:r w:rsidR="006B1E8E" w:rsidRPr="006B1E8E">
        <w:rPr>
          <w:rFonts w:asciiTheme="minorHAnsi" w:eastAsiaTheme="minorHAnsi" w:hAnsiTheme="minorHAnsi" w:cstheme="minorBidi"/>
          <w:szCs w:val="22"/>
        </w:rPr>
        <w:t>&lt; 500</w:t>
      </w:r>
      <w:r w:rsidRPr="00480491">
        <w:rPr>
          <w:rFonts w:asciiTheme="minorHAnsi" w:eastAsiaTheme="minorHAnsi" w:hAnsiTheme="minorHAnsi" w:cstheme="minorBidi"/>
          <w:szCs w:val="22"/>
        </w:rPr>
        <w:t xml:space="preserve"> grandfathered patients, who would access ACP privately, were included in year 1. </w:t>
      </w:r>
      <w:r w:rsidR="002E1AC0" w:rsidRPr="002E1AC0">
        <w:rPr>
          <w:rFonts w:asciiTheme="minorHAnsi" w:eastAsiaTheme="minorHAnsi" w:hAnsiTheme="minorHAnsi" w:cstheme="minorBidi"/>
          <w:szCs w:val="22"/>
        </w:rPr>
        <w:t xml:space="preserve">The PBAC considered the uptake rate at year 6 was overly optimistic. The PBAC considered uptake of </w:t>
      </w:r>
      <w:r w:rsidR="00B37C73" w:rsidRPr="00B37C73">
        <w:rPr>
          <w:rFonts w:asciiTheme="minorHAnsi" w:eastAsiaTheme="minorHAnsi" w:hAnsiTheme="minorHAnsi" w:cstheme="minorBidi"/>
          <w:sz w:val="2"/>
          <w:szCs w:val="22"/>
          <w:highlight w:val="black"/>
        </w:rPr>
        <w:t>redacted content</w:t>
      </w:r>
      <w:r w:rsidR="002E1AC0" w:rsidRPr="002E1AC0">
        <w:rPr>
          <w:rFonts w:asciiTheme="minorHAnsi" w:eastAsiaTheme="minorHAnsi" w:hAnsiTheme="minorHAnsi" w:cstheme="minorBidi"/>
          <w:szCs w:val="22"/>
        </w:rPr>
        <w:t xml:space="preserve">% in years 1 and 2 would be reasonable, increasing to </w:t>
      </w:r>
      <w:r w:rsidR="00B37C73" w:rsidRPr="00B37C73">
        <w:rPr>
          <w:rFonts w:asciiTheme="minorHAnsi" w:eastAsiaTheme="minorHAnsi" w:hAnsiTheme="minorHAnsi" w:cstheme="minorBidi"/>
          <w:sz w:val="2"/>
          <w:szCs w:val="22"/>
          <w:highlight w:val="black"/>
        </w:rPr>
        <w:t>redacted content</w:t>
      </w:r>
      <w:r w:rsidR="002E1AC0" w:rsidRPr="002E1AC0">
        <w:rPr>
          <w:rFonts w:asciiTheme="minorHAnsi" w:eastAsiaTheme="minorHAnsi" w:hAnsiTheme="minorHAnsi" w:cstheme="minorBidi"/>
          <w:szCs w:val="22"/>
        </w:rPr>
        <w:t>% by year 6.</w:t>
      </w:r>
    </w:p>
    <w:p w14:paraId="72623BE9" w14:textId="31E43056" w:rsidR="007F4BC5" w:rsidRPr="00C17763" w:rsidRDefault="007F4BC5" w:rsidP="001A7CE8">
      <w:pPr>
        <w:numPr>
          <w:ilvl w:val="1"/>
          <w:numId w:val="6"/>
        </w:numPr>
        <w:spacing w:before="60" w:after="60"/>
        <w:rPr>
          <w:rFonts w:eastAsiaTheme="minorHAnsi" w:cstheme="minorBidi"/>
          <w:szCs w:val="22"/>
        </w:rPr>
      </w:pPr>
      <w:r w:rsidRPr="00480491">
        <w:rPr>
          <w:rFonts w:asciiTheme="minorHAnsi" w:eastAsiaTheme="minorHAnsi" w:hAnsiTheme="minorHAnsi" w:cstheme="minorBidi"/>
          <w:szCs w:val="22"/>
        </w:rPr>
        <w:t xml:space="preserve">The total number of ACP prescriptions was based on the recommended treatment regimen of one dose per month in the first year (initial treatment) and one dose every other month thereafter (continuing treatment). As such, the submission estimated that patients would require 12 scripts per year for initial treatment and 6 scripts per year for continuing treatment. This does not allow for the possibility that some </w:t>
      </w:r>
      <w:r w:rsidRPr="00480491">
        <w:rPr>
          <w:rFonts w:asciiTheme="minorHAnsi" w:eastAsiaTheme="minorHAnsi" w:hAnsiTheme="minorHAnsi" w:cstheme="minorBidi"/>
          <w:szCs w:val="22"/>
        </w:rPr>
        <w:lastRenderedPageBreak/>
        <w:t xml:space="preserve">patients may continue to receive EM dosing after the first year, as suggested in the proposed listing and the PI. A mean treatment duration of 24.99 months (derived from the modelled TTD) was applied to all eligible patients that elect treatment. </w:t>
      </w:r>
      <w:r w:rsidR="00A15329" w:rsidRPr="00C17763">
        <w:rPr>
          <w:bCs/>
          <w:iCs/>
        </w:rPr>
        <w:t xml:space="preserve">As outlined in paragraph </w:t>
      </w:r>
      <w:r w:rsidR="00A15329" w:rsidRPr="00C17763">
        <w:rPr>
          <w:bCs/>
          <w:iCs/>
        </w:rPr>
        <w:fldChar w:fldCharType="begin"/>
      </w:r>
      <w:r w:rsidR="00A15329" w:rsidRPr="00C17763">
        <w:rPr>
          <w:bCs/>
          <w:iCs/>
        </w:rPr>
        <w:instrText xml:space="preserve"> REF _Ref222333467 \r \h </w:instrText>
      </w:r>
      <w:r w:rsidR="00A15329" w:rsidRPr="00C17763">
        <w:rPr>
          <w:bCs/>
          <w:iCs/>
        </w:rPr>
      </w:r>
      <w:r w:rsidR="00A15329" w:rsidRPr="00C17763">
        <w:rPr>
          <w:bCs/>
          <w:iCs/>
        </w:rPr>
        <w:fldChar w:fldCharType="separate"/>
      </w:r>
      <w:r w:rsidR="00605348">
        <w:rPr>
          <w:bCs/>
          <w:iCs/>
        </w:rPr>
        <w:t>6.60</w:t>
      </w:r>
      <w:r w:rsidR="00A15329" w:rsidRPr="00C17763">
        <w:rPr>
          <w:bCs/>
          <w:iCs/>
        </w:rPr>
        <w:fldChar w:fldCharType="end"/>
      </w:r>
      <w:r w:rsidR="00A15329" w:rsidRPr="00C17763">
        <w:rPr>
          <w:bCs/>
          <w:iCs/>
        </w:rPr>
        <w:t>, the</w:t>
      </w:r>
      <w:r w:rsidR="00064A85" w:rsidRPr="00C17763">
        <w:rPr>
          <w:bCs/>
          <w:iCs/>
        </w:rPr>
        <w:t xml:space="preserve"> PSCR argued that advice from clinicians </w:t>
      </w:r>
      <w:r w:rsidR="00A15329" w:rsidRPr="00C17763">
        <w:rPr>
          <w:bCs/>
          <w:iCs/>
        </w:rPr>
        <w:t xml:space="preserve">and utilisation data from the United States of America </w:t>
      </w:r>
      <w:r w:rsidR="00064A85" w:rsidRPr="00C17763">
        <w:rPr>
          <w:bCs/>
          <w:iCs/>
        </w:rPr>
        <w:t>supported use of EOM in the base case</w:t>
      </w:r>
      <w:r w:rsidR="00B64328" w:rsidRPr="00C17763">
        <w:rPr>
          <w:bCs/>
          <w:iCs/>
        </w:rPr>
        <w:t>.</w:t>
      </w:r>
      <w:r w:rsidR="00064A85" w:rsidRPr="00C17763">
        <w:rPr>
          <w:bCs/>
          <w:iCs/>
        </w:rPr>
        <w:t xml:space="preserve"> </w:t>
      </w:r>
      <w:r w:rsidR="00064A85" w:rsidRPr="00C17763">
        <w:rPr>
          <w:rFonts w:asciiTheme="minorHAnsi" w:eastAsiaTheme="minorHAnsi" w:hAnsiTheme="minorHAnsi" w:cstheme="minorBidi"/>
          <w:iCs/>
          <w:szCs w:val="22"/>
        </w:rPr>
        <w:t>The ESC considered that after the first 12 months of monthly ACP dosing a mixture of both EM and EOM dosing would likely occur in clinical practice</w:t>
      </w:r>
      <w:r w:rsidR="00B64328" w:rsidRPr="00C17763">
        <w:rPr>
          <w:rFonts w:asciiTheme="minorHAnsi" w:eastAsiaTheme="minorHAnsi" w:hAnsiTheme="minorHAnsi" w:cstheme="minorBidi"/>
          <w:iCs/>
          <w:szCs w:val="22"/>
        </w:rPr>
        <w:t xml:space="preserve">. Consistent with the economic model, </w:t>
      </w:r>
      <w:r w:rsidR="00B64328" w:rsidRPr="00C17763">
        <w:rPr>
          <w:rFonts w:eastAsiaTheme="minorHAnsi" w:cstheme="minorBidi"/>
          <w:iCs/>
          <w:szCs w:val="22"/>
        </w:rPr>
        <w:t>t</w:t>
      </w:r>
      <w:r w:rsidR="00064A85" w:rsidRPr="00C17763">
        <w:rPr>
          <w:rFonts w:eastAsiaTheme="minorHAnsi" w:cstheme="minorBidi"/>
          <w:iCs/>
          <w:szCs w:val="22"/>
        </w:rPr>
        <w:t>he ESC considered that it would be appropriate to model a 50:50 split of EM:EOM dosing after the first 12 months of EM treatment.</w:t>
      </w:r>
      <w:r w:rsidR="00B64328" w:rsidRPr="00C17763">
        <w:rPr>
          <w:rFonts w:eastAsiaTheme="minorHAnsi" w:cstheme="minorBidi"/>
          <w:iCs/>
          <w:szCs w:val="22"/>
        </w:rPr>
        <w:t xml:space="preserve"> </w:t>
      </w:r>
      <w:r w:rsidR="00DC15F5" w:rsidRPr="00C17763">
        <w:rPr>
          <w:rFonts w:eastAsiaTheme="minorHAnsi" w:cstheme="minorBidi"/>
          <w:iCs/>
          <w:szCs w:val="22"/>
        </w:rPr>
        <w:t xml:space="preserve">The ESC noted that </w:t>
      </w:r>
      <w:r w:rsidR="002C386D" w:rsidRPr="00C17763">
        <w:rPr>
          <w:rFonts w:eastAsiaTheme="minorHAnsi" w:cstheme="minorBidi"/>
          <w:iCs/>
          <w:szCs w:val="22"/>
        </w:rPr>
        <w:t xml:space="preserve">scenario 1 in </w:t>
      </w:r>
      <w:r w:rsidR="00245256" w:rsidRPr="00C17763">
        <w:rPr>
          <w:rFonts w:eastAsiaTheme="minorHAnsi" w:cstheme="minorBidi"/>
          <w:iCs/>
          <w:szCs w:val="22"/>
        </w:rPr>
        <w:fldChar w:fldCharType="begin"/>
      </w:r>
      <w:r w:rsidR="00245256" w:rsidRPr="00C17763">
        <w:rPr>
          <w:rFonts w:eastAsiaTheme="minorHAnsi" w:cstheme="minorBidi"/>
          <w:iCs/>
          <w:szCs w:val="22"/>
        </w:rPr>
        <w:instrText xml:space="preserve"> REF _Ref104805295 \h  \* MERGEFORMAT </w:instrText>
      </w:r>
      <w:r w:rsidR="00245256" w:rsidRPr="00C17763">
        <w:rPr>
          <w:rFonts w:eastAsiaTheme="minorHAnsi" w:cstheme="minorBidi"/>
          <w:iCs/>
          <w:szCs w:val="22"/>
        </w:rPr>
      </w:r>
      <w:r w:rsidR="00245256" w:rsidRPr="00C17763">
        <w:rPr>
          <w:rFonts w:eastAsiaTheme="minorHAnsi" w:cstheme="minorBidi"/>
          <w:iCs/>
          <w:szCs w:val="22"/>
        </w:rPr>
        <w:fldChar w:fldCharType="separate"/>
      </w:r>
      <w:r w:rsidR="00962F38" w:rsidRPr="00962F38">
        <w:rPr>
          <w:rFonts w:eastAsiaTheme="minorHAnsi" w:cstheme="minorBidi"/>
          <w:iCs/>
          <w:szCs w:val="22"/>
        </w:rPr>
        <w:t>Table 18</w:t>
      </w:r>
      <w:r w:rsidR="00245256" w:rsidRPr="00C17763">
        <w:rPr>
          <w:rFonts w:eastAsiaTheme="minorHAnsi" w:cstheme="minorBidi"/>
          <w:iCs/>
          <w:szCs w:val="22"/>
        </w:rPr>
        <w:fldChar w:fldCharType="end"/>
      </w:r>
      <w:r w:rsidR="00245256" w:rsidRPr="00C17763">
        <w:rPr>
          <w:rFonts w:eastAsiaTheme="minorHAnsi" w:cstheme="minorBidi"/>
          <w:iCs/>
          <w:szCs w:val="22"/>
        </w:rPr>
        <w:t xml:space="preserve"> </w:t>
      </w:r>
      <w:r w:rsidR="00BB0D03" w:rsidRPr="00C17763">
        <w:rPr>
          <w:rFonts w:eastAsiaTheme="minorHAnsi" w:cstheme="minorBidi"/>
          <w:iCs/>
          <w:szCs w:val="22"/>
        </w:rPr>
        <w:t xml:space="preserve">assumed </w:t>
      </w:r>
      <w:r w:rsidR="00A30B8F" w:rsidRPr="00C17763">
        <w:rPr>
          <w:rFonts w:eastAsiaTheme="minorHAnsi" w:cstheme="minorBidi"/>
          <w:iCs/>
          <w:szCs w:val="22"/>
        </w:rPr>
        <w:t xml:space="preserve">50% of patients </w:t>
      </w:r>
      <w:r w:rsidR="00B24F9C" w:rsidRPr="00C17763">
        <w:rPr>
          <w:rFonts w:eastAsiaTheme="minorHAnsi" w:cstheme="minorBidi"/>
          <w:iCs/>
          <w:szCs w:val="22"/>
        </w:rPr>
        <w:t xml:space="preserve">would continue EM dosing of ACP after Year 1. </w:t>
      </w:r>
    </w:p>
    <w:p w14:paraId="3DA1610A" w14:textId="2EE960F6" w:rsidR="007F4BC5" w:rsidRPr="00480491" w:rsidRDefault="007F4BC5" w:rsidP="001A7CE8">
      <w:pPr>
        <w:numPr>
          <w:ilvl w:val="1"/>
          <w:numId w:val="6"/>
        </w:numPr>
        <w:spacing w:before="60" w:after="60"/>
        <w:rPr>
          <w:rFonts w:asciiTheme="minorHAnsi" w:eastAsiaTheme="minorHAnsi" w:hAnsiTheme="minorHAnsi" w:cstheme="minorBidi"/>
          <w:szCs w:val="22"/>
        </w:rPr>
      </w:pPr>
      <w:r w:rsidRPr="00480491">
        <w:rPr>
          <w:rFonts w:asciiTheme="minorHAnsi" w:eastAsiaTheme="minorHAnsi" w:hAnsiTheme="minorHAnsi" w:cstheme="minorBidi"/>
          <w:szCs w:val="22"/>
        </w:rPr>
        <w:t>ACP was associated with an increase in CNV events compared to BSC in the GATHER 1 trial, i.e., 11.94% and 2.73% of patients had CNV events in the ACP and BSC arms, respectively. As such, the submission estimated an increase in aflibercept and ranibizumab scripts which are utilised to treat CNV events. Costs for one year of treatment were applied to 9.21% (11.94%</w:t>
      </w:r>
      <w:r w:rsidR="009B60A6">
        <w:rPr>
          <w:rFonts w:asciiTheme="minorHAnsi" w:eastAsiaTheme="minorHAnsi" w:hAnsiTheme="minorHAnsi" w:cstheme="minorBidi"/>
          <w:szCs w:val="22"/>
        </w:rPr>
        <w:noBreakHyphen/>
      </w:r>
      <w:r w:rsidRPr="00480491">
        <w:rPr>
          <w:rFonts w:asciiTheme="minorHAnsi" w:eastAsiaTheme="minorHAnsi" w:hAnsiTheme="minorHAnsi" w:cstheme="minorBidi"/>
          <w:szCs w:val="22"/>
        </w:rPr>
        <w:t xml:space="preserve">7.21%) of all eligible and treated patients. Patients may remain on treatment for longer than estimated in the submission. As a result, the costs associated with the management of CNV events may be underestimated in the base case analysis. The costs associated with aflibercept and ranibizumab prescriptions was estimated in the submission based on the DPMAs for each drug ($890.97 and $786.69, respectively). </w:t>
      </w:r>
    </w:p>
    <w:p w14:paraId="73149F29" w14:textId="595C7B98" w:rsidR="007F4BC5" w:rsidRPr="00480491" w:rsidRDefault="007F4BC5" w:rsidP="001A7CE8">
      <w:pPr>
        <w:numPr>
          <w:ilvl w:val="1"/>
          <w:numId w:val="6"/>
        </w:numPr>
        <w:spacing w:before="60" w:after="60"/>
        <w:rPr>
          <w:rFonts w:asciiTheme="minorHAnsi" w:eastAsiaTheme="minorHAnsi" w:hAnsiTheme="minorHAnsi" w:cstheme="minorBidi"/>
          <w:szCs w:val="22"/>
        </w:rPr>
      </w:pPr>
      <w:r w:rsidRPr="00480491">
        <w:rPr>
          <w:rFonts w:asciiTheme="minorHAnsi" w:eastAsiaTheme="minorHAnsi" w:hAnsiTheme="minorHAnsi" w:cstheme="minorBidi"/>
          <w:szCs w:val="22"/>
        </w:rPr>
        <w:t>Costs for the intravitreal administration of ACP was included per script using MB</w:t>
      </w:r>
      <w:r w:rsidR="00D54D4D" w:rsidRPr="00480491">
        <w:rPr>
          <w:rFonts w:asciiTheme="minorHAnsi" w:eastAsiaTheme="minorHAnsi" w:hAnsiTheme="minorHAnsi" w:cstheme="minorBidi"/>
          <w:szCs w:val="22"/>
        </w:rPr>
        <w:t>S</w:t>
      </w:r>
      <w:r w:rsidRPr="00480491">
        <w:rPr>
          <w:rFonts w:asciiTheme="minorHAnsi" w:eastAsiaTheme="minorHAnsi" w:hAnsiTheme="minorHAnsi" w:cstheme="minorBidi"/>
          <w:szCs w:val="22"/>
        </w:rPr>
        <w:t xml:space="preserve"> item 43030 ($350.85). This was reasonable. The net financial implications of listing ACP</w:t>
      </w:r>
      <w:r w:rsidR="004877E7">
        <w:rPr>
          <w:rFonts w:asciiTheme="minorHAnsi" w:eastAsiaTheme="minorHAnsi" w:hAnsiTheme="minorHAnsi" w:cstheme="minorBidi"/>
          <w:szCs w:val="22"/>
        </w:rPr>
        <w:t xml:space="preserve"> </w:t>
      </w:r>
      <w:r w:rsidRPr="00480491">
        <w:rPr>
          <w:rFonts w:asciiTheme="minorHAnsi" w:eastAsiaTheme="minorHAnsi" w:hAnsiTheme="minorHAnsi" w:cstheme="minorBidi"/>
          <w:szCs w:val="22"/>
        </w:rPr>
        <w:t xml:space="preserve">is presented in </w:t>
      </w:r>
      <w:r w:rsidRPr="00480491">
        <w:rPr>
          <w:rFonts w:asciiTheme="minorHAnsi" w:eastAsiaTheme="minorHAnsi" w:hAnsiTheme="minorHAnsi" w:cstheme="minorBidi"/>
          <w:szCs w:val="22"/>
        </w:rPr>
        <w:fldChar w:fldCharType="begin"/>
      </w:r>
      <w:r w:rsidRPr="00480491">
        <w:rPr>
          <w:rFonts w:asciiTheme="minorHAnsi" w:eastAsiaTheme="minorHAnsi" w:hAnsiTheme="minorHAnsi" w:cstheme="minorBidi"/>
          <w:szCs w:val="22"/>
        </w:rPr>
        <w:instrText xml:space="preserve"> REF _Ref104805295 \h </w:instrText>
      </w:r>
      <w:r w:rsidR="00010083" w:rsidRPr="00480491">
        <w:rPr>
          <w:rFonts w:asciiTheme="minorHAnsi" w:eastAsiaTheme="minorHAnsi" w:hAnsiTheme="minorHAnsi" w:cstheme="minorBidi"/>
          <w:szCs w:val="22"/>
        </w:rPr>
        <w:instrText xml:space="preserve"> \* MERGEFORMAT </w:instrText>
      </w:r>
      <w:r w:rsidRPr="00480491">
        <w:rPr>
          <w:rFonts w:asciiTheme="minorHAnsi" w:eastAsiaTheme="minorHAnsi" w:hAnsiTheme="minorHAnsi" w:cstheme="minorBidi"/>
          <w:szCs w:val="22"/>
        </w:rPr>
      </w:r>
      <w:r w:rsidRPr="00480491">
        <w:rPr>
          <w:rFonts w:asciiTheme="minorHAnsi" w:eastAsiaTheme="minorHAnsi" w:hAnsiTheme="minorHAnsi" w:cstheme="minorBidi"/>
          <w:szCs w:val="22"/>
        </w:rPr>
        <w:fldChar w:fldCharType="separate"/>
      </w:r>
      <w:r w:rsidR="00962F38" w:rsidRPr="00962F38">
        <w:rPr>
          <w:rFonts w:asciiTheme="minorHAnsi" w:eastAsiaTheme="minorHAnsi" w:hAnsiTheme="minorHAnsi" w:cstheme="minorBidi"/>
          <w:szCs w:val="22"/>
        </w:rPr>
        <w:t>Table 18</w:t>
      </w:r>
      <w:r w:rsidRPr="00480491">
        <w:rPr>
          <w:rFonts w:asciiTheme="minorHAnsi" w:eastAsiaTheme="minorHAnsi" w:hAnsiTheme="minorHAnsi" w:cstheme="minorBidi"/>
          <w:szCs w:val="22"/>
        </w:rPr>
        <w:fldChar w:fldCharType="end"/>
      </w:r>
      <w:r w:rsidRPr="00480491">
        <w:rPr>
          <w:rFonts w:asciiTheme="minorHAnsi" w:eastAsiaTheme="minorHAnsi" w:hAnsiTheme="minorHAnsi" w:cstheme="minorBidi"/>
          <w:szCs w:val="22"/>
        </w:rPr>
        <w:t xml:space="preserve">. The evaluation identified the potential for ongoing monthly dosing allowed for the potential of significantly greater costs. Sensitivity analysis showing the impact of patients receiving EM dosing is also shown below. </w:t>
      </w:r>
    </w:p>
    <w:p w14:paraId="792AE2A0" w14:textId="46FD6E33" w:rsidR="007F4BC5" w:rsidRPr="007F4BC5" w:rsidRDefault="007F4BC5" w:rsidP="007F4BC5">
      <w:pPr>
        <w:keepNext/>
        <w:keepLines/>
        <w:rPr>
          <w:rFonts w:ascii="Arial Narrow" w:hAnsi="Arial Narrow"/>
          <w:b/>
          <w:bCs/>
          <w:sz w:val="20"/>
          <w:szCs w:val="18"/>
        </w:rPr>
      </w:pPr>
      <w:bookmarkStart w:id="79" w:name="_Ref104805295"/>
      <w:r w:rsidRPr="007F4BC5">
        <w:rPr>
          <w:rFonts w:ascii="Arial Narrow" w:hAnsi="Arial Narrow"/>
          <w:b/>
          <w:bCs/>
          <w:sz w:val="20"/>
          <w:szCs w:val="18"/>
        </w:rPr>
        <w:lastRenderedPageBreak/>
        <w:t xml:space="preserve">Table </w:t>
      </w:r>
      <w:r w:rsidRPr="007F4BC5">
        <w:rPr>
          <w:rFonts w:ascii="Arial Narrow" w:hAnsi="Arial Narrow"/>
          <w:b/>
          <w:bCs/>
          <w:sz w:val="20"/>
          <w:szCs w:val="18"/>
        </w:rPr>
        <w:fldChar w:fldCharType="begin"/>
      </w:r>
      <w:r w:rsidRPr="007F4BC5">
        <w:rPr>
          <w:rFonts w:ascii="Arial Narrow" w:hAnsi="Arial Narrow"/>
          <w:b/>
          <w:bCs/>
          <w:sz w:val="20"/>
          <w:szCs w:val="18"/>
        </w:rPr>
        <w:instrText xml:space="preserve"> SEQ Table \* ARABIC </w:instrText>
      </w:r>
      <w:r w:rsidRPr="007F4BC5">
        <w:rPr>
          <w:rFonts w:ascii="Arial Narrow" w:hAnsi="Arial Narrow"/>
          <w:b/>
          <w:bCs/>
          <w:sz w:val="20"/>
          <w:szCs w:val="18"/>
        </w:rPr>
        <w:fldChar w:fldCharType="separate"/>
      </w:r>
      <w:r w:rsidR="00962F38">
        <w:rPr>
          <w:rFonts w:ascii="Arial Narrow" w:hAnsi="Arial Narrow"/>
          <w:b/>
          <w:bCs/>
          <w:noProof/>
          <w:sz w:val="20"/>
          <w:szCs w:val="18"/>
        </w:rPr>
        <w:t>18</w:t>
      </w:r>
      <w:r w:rsidRPr="007F4BC5">
        <w:rPr>
          <w:rFonts w:ascii="Arial Narrow" w:hAnsi="Arial Narrow"/>
          <w:b/>
          <w:bCs/>
          <w:noProof/>
          <w:sz w:val="20"/>
          <w:szCs w:val="18"/>
        </w:rPr>
        <w:fldChar w:fldCharType="end"/>
      </w:r>
      <w:bookmarkEnd w:id="79"/>
      <w:r w:rsidRPr="007F4BC5">
        <w:rPr>
          <w:rFonts w:ascii="Arial Narrow" w:hAnsi="Arial Narrow"/>
          <w:b/>
          <w:bCs/>
          <w:sz w:val="20"/>
          <w:szCs w:val="18"/>
        </w:rPr>
        <w:t>:</w:t>
      </w:r>
      <w:r w:rsidRPr="007F4BC5">
        <w:rPr>
          <w:rFonts w:ascii="Arial Narrow" w:hAnsi="Arial Narrow"/>
          <w:b/>
          <w:bCs/>
          <w:sz w:val="20"/>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405"/>
        <w:gridCol w:w="1102"/>
        <w:gridCol w:w="1102"/>
        <w:gridCol w:w="1102"/>
        <w:gridCol w:w="1102"/>
        <w:gridCol w:w="1102"/>
        <w:gridCol w:w="1102"/>
      </w:tblGrid>
      <w:tr w:rsidR="007F4BC5" w:rsidRPr="007F4BC5" w14:paraId="74A9B832" w14:textId="77777777">
        <w:trPr>
          <w:tblHeader/>
        </w:trPr>
        <w:tc>
          <w:tcPr>
            <w:tcW w:w="1334" w:type="pct"/>
          </w:tcPr>
          <w:p w14:paraId="7D450257" w14:textId="77777777" w:rsidR="007F4BC5" w:rsidRPr="007F4BC5" w:rsidRDefault="007F4BC5" w:rsidP="007F4BC5">
            <w:pPr>
              <w:keepNext/>
              <w:keepLines/>
              <w:jc w:val="left"/>
              <w:rPr>
                <w:rFonts w:ascii="Arial Narrow" w:eastAsiaTheme="majorEastAsia" w:hAnsi="Arial Narrow" w:cs="Times New Roman"/>
                <w:b/>
                <w:sz w:val="20"/>
                <w:lang w:val="en-US"/>
              </w:rPr>
            </w:pPr>
          </w:p>
        </w:tc>
        <w:tc>
          <w:tcPr>
            <w:tcW w:w="611" w:type="pct"/>
          </w:tcPr>
          <w:p w14:paraId="5B77CB4D"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Year 1</w:t>
            </w:r>
          </w:p>
        </w:tc>
        <w:tc>
          <w:tcPr>
            <w:tcW w:w="611" w:type="pct"/>
          </w:tcPr>
          <w:p w14:paraId="1DBF2104"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Year 2</w:t>
            </w:r>
          </w:p>
        </w:tc>
        <w:tc>
          <w:tcPr>
            <w:tcW w:w="611" w:type="pct"/>
          </w:tcPr>
          <w:p w14:paraId="48625A57"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Year 3</w:t>
            </w:r>
          </w:p>
        </w:tc>
        <w:tc>
          <w:tcPr>
            <w:tcW w:w="611" w:type="pct"/>
          </w:tcPr>
          <w:p w14:paraId="003084D1"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Year 4</w:t>
            </w:r>
          </w:p>
        </w:tc>
        <w:tc>
          <w:tcPr>
            <w:tcW w:w="611" w:type="pct"/>
          </w:tcPr>
          <w:p w14:paraId="6063E4CB"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Year 5</w:t>
            </w:r>
          </w:p>
        </w:tc>
        <w:tc>
          <w:tcPr>
            <w:tcW w:w="611" w:type="pct"/>
          </w:tcPr>
          <w:p w14:paraId="734D39A7"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Year 6</w:t>
            </w:r>
          </w:p>
        </w:tc>
      </w:tr>
      <w:tr w:rsidR="007F4BC5" w:rsidRPr="007F4BC5" w14:paraId="3C413194" w14:textId="77777777">
        <w:trPr>
          <w:tblHeader/>
        </w:trPr>
        <w:tc>
          <w:tcPr>
            <w:tcW w:w="1334" w:type="pct"/>
          </w:tcPr>
          <w:p w14:paraId="2E0C522C" w14:textId="77777777" w:rsidR="007F4BC5" w:rsidRPr="007F4BC5" w:rsidRDefault="007F4BC5" w:rsidP="007F4BC5">
            <w:pPr>
              <w:keepNext/>
              <w:keepLines/>
              <w:jc w:val="left"/>
              <w:rPr>
                <w:rFonts w:ascii="Arial Narrow" w:eastAsiaTheme="majorEastAsia" w:hAnsi="Arial Narrow" w:cstheme="majorBidi"/>
                <w:bCs/>
                <w:sz w:val="20"/>
              </w:rPr>
            </w:pPr>
            <w:r w:rsidRPr="007F4BC5">
              <w:rPr>
                <w:rFonts w:ascii="Arial Narrow" w:eastAsiaTheme="majorEastAsia" w:hAnsi="Arial Narrow" w:cstheme="majorBidi"/>
                <w:bCs/>
                <w:sz w:val="20"/>
              </w:rPr>
              <w:t>ABS population (aged ≥ 50)</w:t>
            </w:r>
          </w:p>
        </w:tc>
        <w:tc>
          <w:tcPr>
            <w:tcW w:w="611" w:type="pct"/>
          </w:tcPr>
          <w:p w14:paraId="29B92D24" w14:textId="77777777" w:rsidR="007F4BC5" w:rsidRPr="007F4BC5" w:rsidRDefault="007F4BC5" w:rsidP="00270737">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10,112,479 </w:t>
            </w:r>
          </w:p>
        </w:tc>
        <w:tc>
          <w:tcPr>
            <w:tcW w:w="611" w:type="pct"/>
          </w:tcPr>
          <w:p w14:paraId="400578AC" w14:textId="77777777" w:rsidR="007F4BC5" w:rsidRPr="007F4BC5" w:rsidRDefault="007F4BC5" w:rsidP="00270737">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10,290,885 </w:t>
            </w:r>
          </w:p>
        </w:tc>
        <w:tc>
          <w:tcPr>
            <w:tcW w:w="611" w:type="pct"/>
          </w:tcPr>
          <w:p w14:paraId="2CF339F9" w14:textId="77777777" w:rsidR="007F4BC5" w:rsidRPr="007F4BC5" w:rsidRDefault="007F4BC5" w:rsidP="00270737">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10,472,211 </w:t>
            </w:r>
          </w:p>
        </w:tc>
        <w:tc>
          <w:tcPr>
            <w:tcW w:w="611" w:type="pct"/>
          </w:tcPr>
          <w:p w14:paraId="0A03D6FC" w14:textId="77777777" w:rsidR="007F4BC5" w:rsidRPr="007F4BC5" w:rsidRDefault="007F4BC5" w:rsidP="00270737">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10,654,919 </w:t>
            </w:r>
          </w:p>
        </w:tc>
        <w:tc>
          <w:tcPr>
            <w:tcW w:w="611" w:type="pct"/>
          </w:tcPr>
          <w:p w14:paraId="505B26A3" w14:textId="77777777" w:rsidR="007F4BC5" w:rsidRPr="007F4BC5" w:rsidRDefault="007F4BC5" w:rsidP="00270737">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10,848,881 </w:t>
            </w:r>
          </w:p>
        </w:tc>
        <w:tc>
          <w:tcPr>
            <w:tcW w:w="611" w:type="pct"/>
          </w:tcPr>
          <w:p w14:paraId="53E611AE" w14:textId="77777777" w:rsidR="007F4BC5" w:rsidRPr="007F4BC5" w:rsidRDefault="007F4BC5" w:rsidP="00270737">
            <w:pPr>
              <w:keepNext/>
              <w:keepLines/>
              <w:jc w:val="right"/>
              <w:rPr>
                <w:rFonts w:ascii="Arial Narrow" w:eastAsiaTheme="majorEastAsia" w:hAnsi="Arial Narrow" w:cstheme="majorBidi"/>
                <w:bCs/>
                <w:sz w:val="20"/>
              </w:rPr>
            </w:pPr>
            <w:r w:rsidRPr="007F4BC5">
              <w:rPr>
                <w:rFonts w:ascii="Arial Narrow" w:eastAsiaTheme="majorEastAsia" w:hAnsi="Arial Narrow" w:cstheme="majorBidi"/>
                <w:bCs/>
                <w:sz w:val="20"/>
              </w:rPr>
              <w:t xml:space="preserve">10,112,479 </w:t>
            </w:r>
          </w:p>
        </w:tc>
      </w:tr>
      <w:tr w:rsidR="007F4BC5" w:rsidRPr="007F4BC5" w14:paraId="283E7BC0" w14:textId="77777777">
        <w:tc>
          <w:tcPr>
            <w:tcW w:w="5000" w:type="pct"/>
            <w:gridSpan w:val="7"/>
          </w:tcPr>
          <w:p w14:paraId="2C17CDCA"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Estimated extent of use of ACP</w:t>
            </w:r>
          </w:p>
        </w:tc>
      </w:tr>
      <w:tr w:rsidR="007F4BC5" w:rsidRPr="007F4BC5" w14:paraId="2F6603F2" w14:textId="77777777">
        <w:tc>
          <w:tcPr>
            <w:tcW w:w="1334" w:type="pct"/>
          </w:tcPr>
          <w:p w14:paraId="001E4587"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 xml:space="preserve">Number of patients treated </w:t>
            </w:r>
          </w:p>
        </w:tc>
        <w:tc>
          <w:tcPr>
            <w:tcW w:w="611" w:type="pct"/>
          </w:tcPr>
          <w:p w14:paraId="245DF82E" w14:textId="034CBA2E" w:rsidR="007F4BC5" w:rsidRPr="00F54CCF" w:rsidRDefault="00B37C73" w:rsidP="00270737">
            <w:pPr>
              <w:keepNext/>
              <w:keepLines/>
              <w:jc w:val="right"/>
              <w:rPr>
                <w:rFonts w:ascii="Arial Narrow" w:eastAsiaTheme="majorEastAsia" w:hAnsi="Arial Narrow" w:cstheme="majorBidi"/>
                <w:bCs/>
                <w:color w:val="000000"/>
                <w:sz w:val="20"/>
                <w:vertAlign w:val="superscript"/>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p>
        </w:tc>
        <w:tc>
          <w:tcPr>
            <w:tcW w:w="611" w:type="pct"/>
          </w:tcPr>
          <w:p w14:paraId="4406AFAA" w14:textId="5A35DD6C" w:rsidR="007F4BC5" w:rsidRPr="00F54CCF" w:rsidRDefault="00B37C73" w:rsidP="00270737">
            <w:pPr>
              <w:keepNext/>
              <w:keepLines/>
              <w:jc w:val="right"/>
              <w:rPr>
                <w:rFonts w:ascii="Arial Narrow" w:eastAsiaTheme="majorEastAsia" w:hAnsi="Arial Narrow" w:cstheme="majorBidi"/>
                <w:bCs/>
                <w:color w:val="000000"/>
                <w:sz w:val="20"/>
                <w:vertAlign w:val="superscript"/>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p>
        </w:tc>
        <w:tc>
          <w:tcPr>
            <w:tcW w:w="611" w:type="pct"/>
          </w:tcPr>
          <w:p w14:paraId="4F8DE266" w14:textId="43E620B7" w:rsidR="007F4BC5" w:rsidRPr="00F54CCF" w:rsidRDefault="00B37C73" w:rsidP="00270737">
            <w:pPr>
              <w:keepNext/>
              <w:keepLines/>
              <w:jc w:val="right"/>
              <w:rPr>
                <w:rFonts w:ascii="Arial Narrow" w:eastAsiaTheme="majorEastAsia" w:hAnsi="Arial Narrow" w:cstheme="majorBidi"/>
                <w:bCs/>
                <w:color w:val="000000"/>
                <w:sz w:val="20"/>
                <w:vertAlign w:val="superscript"/>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p>
        </w:tc>
        <w:tc>
          <w:tcPr>
            <w:tcW w:w="611" w:type="pct"/>
          </w:tcPr>
          <w:p w14:paraId="11335480" w14:textId="07EC4F49" w:rsidR="007F4BC5" w:rsidRPr="00F54CCF" w:rsidRDefault="00B37C73" w:rsidP="00270737">
            <w:pPr>
              <w:keepNext/>
              <w:keepLines/>
              <w:jc w:val="right"/>
              <w:rPr>
                <w:rFonts w:ascii="Arial Narrow" w:eastAsiaTheme="majorEastAsia" w:hAnsi="Arial Narrow" w:cstheme="majorBidi"/>
                <w:bCs/>
                <w:color w:val="000000"/>
                <w:sz w:val="20"/>
                <w:vertAlign w:val="superscript"/>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p>
        </w:tc>
        <w:tc>
          <w:tcPr>
            <w:tcW w:w="611" w:type="pct"/>
          </w:tcPr>
          <w:p w14:paraId="793D661F" w14:textId="13D591F3" w:rsidR="007F4BC5" w:rsidRPr="00F54CCF" w:rsidRDefault="00B37C73" w:rsidP="00270737">
            <w:pPr>
              <w:keepNext/>
              <w:keepLines/>
              <w:jc w:val="right"/>
              <w:rPr>
                <w:rFonts w:ascii="Arial Narrow" w:eastAsiaTheme="majorEastAsia" w:hAnsi="Arial Narrow" w:cstheme="majorBidi"/>
                <w:bCs/>
                <w:color w:val="000000"/>
                <w:sz w:val="20"/>
                <w:vertAlign w:val="superscript"/>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p>
        </w:tc>
        <w:tc>
          <w:tcPr>
            <w:tcW w:w="611" w:type="pct"/>
          </w:tcPr>
          <w:p w14:paraId="4383B93C" w14:textId="37D0F455"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F54CCF" w:rsidRPr="00F54CCF">
              <w:rPr>
                <w:rFonts w:ascii="Arial Narrow" w:eastAsiaTheme="majorEastAsia" w:hAnsi="Arial Narrow" w:cstheme="majorBidi"/>
                <w:bCs/>
                <w:sz w:val="20"/>
                <w:vertAlign w:val="superscript"/>
              </w:rPr>
              <w:t>1</w:t>
            </w:r>
          </w:p>
        </w:tc>
      </w:tr>
      <w:tr w:rsidR="007F4BC5" w:rsidRPr="007F4BC5" w14:paraId="37DB614C" w14:textId="77777777">
        <w:tc>
          <w:tcPr>
            <w:tcW w:w="1334" w:type="pct"/>
          </w:tcPr>
          <w:p w14:paraId="77B229E3" w14:textId="1EE078A0" w:rsidR="007F4BC5" w:rsidRPr="007F4BC5" w:rsidRDefault="007F4BC5" w:rsidP="007F4BC5">
            <w:pPr>
              <w:keepNext/>
              <w:keepLines/>
              <w:jc w:val="lef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Patient</w:t>
            </w:r>
            <w:r w:rsidR="009B60A6">
              <w:rPr>
                <w:rFonts w:ascii="Arial Narrow" w:eastAsiaTheme="majorEastAsia" w:hAnsi="Arial Narrow" w:cstheme="majorBidi"/>
                <w:bCs/>
                <w:sz w:val="20"/>
              </w:rPr>
              <w:noBreakHyphen/>
            </w:r>
            <w:r w:rsidRPr="007F4BC5">
              <w:rPr>
                <w:rFonts w:ascii="Arial Narrow" w:eastAsiaTheme="majorEastAsia" w:hAnsi="Arial Narrow" w:cstheme="majorBidi"/>
                <w:bCs/>
                <w:sz w:val="20"/>
              </w:rPr>
              <w:t xml:space="preserve">years on treatment </w:t>
            </w:r>
            <w:r w:rsidRPr="007F4BC5">
              <w:rPr>
                <w:rFonts w:ascii="Arial Narrow" w:eastAsiaTheme="majorEastAsia" w:hAnsi="Arial Narrow" w:cstheme="majorBidi"/>
                <w:bCs/>
                <w:sz w:val="20"/>
                <w:vertAlign w:val="superscript"/>
              </w:rPr>
              <w:t>a</w:t>
            </w:r>
          </w:p>
        </w:tc>
        <w:tc>
          <w:tcPr>
            <w:tcW w:w="611" w:type="pct"/>
          </w:tcPr>
          <w:p w14:paraId="08FDD48B" w14:textId="62505480"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0CCF7B57" w14:textId="653032AD"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F54CCF">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0EBB7DD8" w14:textId="12C39AAF"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2</w:t>
            </w:r>
            <w:r w:rsidR="007F4BC5" w:rsidRPr="007F4BC5">
              <w:rPr>
                <w:rFonts w:ascii="Arial Narrow" w:eastAsiaTheme="majorEastAsia" w:hAnsi="Arial Narrow" w:cstheme="majorBidi"/>
                <w:bCs/>
                <w:sz w:val="20"/>
              </w:rPr>
              <w:t xml:space="preserve"> </w:t>
            </w:r>
          </w:p>
        </w:tc>
        <w:tc>
          <w:tcPr>
            <w:tcW w:w="611" w:type="pct"/>
          </w:tcPr>
          <w:p w14:paraId="49D774A6" w14:textId="4D69BC12"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2</w:t>
            </w:r>
            <w:r w:rsidR="007F4BC5" w:rsidRPr="007F4BC5">
              <w:rPr>
                <w:rFonts w:ascii="Arial Narrow" w:eastAsiaTheme="majorEastAsia" w:hAnsi="Arial Narrow" w:cstheme="majorBidi"/>
                <w:bCs/>
                <w:sz w:val="20"/>
              </w:rPr>
              <w:t xml:space="preserve"> </w:t>
            </w:r>
          </w:p>
        </w:tc>
        <w:tc>
          <w:tcPr>
            <w:tcW w:w="611" w:type="pct"/>
          </w:tcPr>
          <w:p w14:paraId="69A2F272" w14:textId="5A5F92A6"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2</w:t>
            </w:r>
            <w:r w:rsidR="007F4BC5" w:rsidRPr="007F4BC5">
              <w:rPr>
                <w:rFonts w:ascii="Arial Narrow" w:eastAsiaTheme="majorEastAsia" w:hAnsi="Arial Narrow" w:cstheme="majorBidi"/>
                <w:bCs/>
                <w:sz w:val="20"/>
              </w:rPr>
              <w:t xml:space="preserve"> </w:t>
            </w:r>
          </w:p>
        </w:tc>
        <w:tc>
          <w:tcPr>
            <w:tcW w:w="611" w:type="pct"/>
          </w:tcPr>
          <w:p w14:paraId="2B3C0011" w14:textId="07A8DDE7"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2</w:t>
            </w:r>
            <w:r w:rsidR="007F4BC5" w:rsidRPr="007F4BC5">
              <w:rPr>
                <w:rFonts w:ascii="Arial Narrow" w:eastAsiaTheme="majorEastAsia" w:hAnsi="Arial Narrow" w:cstheme="majorBidi"/>
                <w:bCs/>
                <w:sz w:val="20"/>
              </w:rPr>
              <w:t xml:space="preserve"> </w:t>
            </w:r>
          </w:p>
        </w:tc>
      </w:tr>
      <w:tr w:rsidR="007F4BC5" w:rsidRPr="007F4BC5" w14:paraId="342681AD" w14:textId="77777777">
        <w:tc>
          <w:tcPr>
            <w:tcW w:w="1334" w:type="pct"/>
          </w:tcPr>
          <w:p w14:paraId="76306145" w14:textId="77777777" w:rsidR="007F4BC5" w:rsidRPr="007F4BC5" w:rsidRDefault="007F4BC5" w:rsidP="007F4BC5">
            <w:pPr>
              <w:keepNext/>
              <w:keepLines/>
              <w:jc w:val="left"/>
              <w:rPr>
                <w:rFonts w:ascii="Times" w:eastAsiaTheme="majorEastAsia" w:hAnsi="Times" w:cstheme="majorBidi"/>
                <w:bCs/>
                <w:sz w:val="20"/>
              </w:rPr>
            </w:pPr>
            <w:r w:rsidRPr="007F4BC5">
              <w:rPr>
                <w:rFonts w:ascii="Arial Narrow" w:eastAsiaTheme="majorEastAsia" w:hAnsi="Arial Narrow" w:cstheme="majorBidi"/>
                <w:bCs/>
                <w:sz w:val="20"/>
              </w:rPr>
              <w:t xml:space="preserve">Number of scripts dispensed </w:t>
            </w:r>
            <w:r w:rsidRPr="007F4BC5">
              <w:rPr>
                <w:rFonts w:ascii="Arial Narrow" w:eastAsiaTheme="majorEastAsia" w:hAnsi="Arial Narrow" w:cstheme="majorBidi"/>
                <w:bCs/>
                <w:sz w:val="20"/>
                <w:vertAlign w:val="superscript"/>
              </w:rPr>
              <w:t>b</w:t>
            </w:r>
          </w:p>
        </w:tc>
        <w:tc>
          <w:tcPr>
            <w:tcW w:w="611" w:type="pct"/>
          </w:tcPr>
          <w:p w14:paraId="39108AE7" w14:textId="15A6089F"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5E59C3">
              <w:rPr>
                <w:rFonts w:ascii="Arial Narrow" w:eastAsiaTheme="majorEastAsia" w:hAnsi="Arial Narrow" w:cstheme="majorBidi"/>
                <w:bCs/>
                <w:sz w:val="20"/>
                <w:vertAlign w:val="superscript"/>
              </w:rPr>
              <w:t>3</w:t>
            </w:r>
            <w:r w:rsidR="007F4BC5" w:rsidRPr="007F4BC5">
              <w:rPr>
                <w:rFonts w:ascii="Arial Narrow" w:eastAsiaTheme="majorEastAsia" w:hAnsi="Arial Narrow" w:cstheme="majorBidi"/>
                <w:bCs/>
                <w:sz w:val="20"/>
              </w:rPr>
              <w:t xml:space="preserve"> </w:t>
            </w:r>
          </w:p>
        </w:tc>
        <w:tc>
          <w:tcPr>
            <w:tcW w:w="611" w:type="pct"/>
          </w:tcPr>
          <w:p w14:paraId="4AAD9D0E" w14:textId="70473635"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2D715C" w:rsidRPr="002D715C">
              <w:rPr>
                <w:rFonts w:ascii="Arial Narrow" w:eastAsiaTheme="majorEastAsia" w:hAnsi="Arial Narrow" w:cstheme="majorBidi"/>
                <w:bCs/>
                <w:sz w:val="20"/>
                <w:vertAlign w:val="superscript"/>
              </w:rPr>
              <w:t>4</w:t>
            </w:r>
            <w:r w:rsidR="007F4BC5" w:rsidRPr="007F4BC5">
              <w:rPr>
                <w:rFonts w:ascii="Arial Narrow" w:eastAsiaTheme="majorEastAsia" w:hAnsi="Arial Narrow" w:cstheme="majorBidi"/>
                <w:bCs/>
                <w:sz w:val="20"/>
              </w:rPr>
              <w:t xml:space="preserve"> </w:t>
            </w:r>
          </w:p>
        </w:tc>
        <w:tc>
          <w:tcPr>
            <w:tcW w:w="611" w:type="pct"/>
          </w:tcPr>
          <w:p w14:paraId="016EF376" w14:textId="0F842D11"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E12E45">
              <w:rPr>
                <w:rFonts w:ascii="Arial Narrow" w:eastAsiaTheme="majorEastAsia" w:hAnsi="Arial Narrow" w:cstheme="majorBidi"/>
                <w:bCs/>
                <w:sz w:val="20"/>
                <w:vertAlign w:val="superscript"/>
              </w:rPr>
              <w:t>5</w:t>
            </w:r>
            <w:r w:rsidR="007F4BC5" w:rsidRPr="007F4BC5">
              <w:rPr>
                <w:rFonts w:ascii="Arial Narrow" w:eastAsiaTheme="majorEastAsia" w:hAnsi="Arial Narrow" w:cstheme="majorBidi"/>
                <w:bCs/>
                <w:sz w:val="20"/>
              </w:rPr>
              <w:t xml:space="preserve"> </w:t>
            </w:r>
          </w:p>
        </w:tc>
        <w:tc>
          <w:tcPr>
            <w:tcW w:w="611" w:type="pct"/>
          </w:tcPr>
          <w:p w14:paraId="187EB363" w14:textId="0D79A8C5"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E12E45">
              <w:rPr>
                <w:rFonts w:ascii="Arial Narrow" w:eastAsiaTheme="majorEastAsia" w:hAnsi="Arial Narrow" w:cstheme="majorBidi"/>
                <w:bCs/>
                <w:sz w:val="20"/>
                <w:vertAlign w:val="superscript"/>
              </w:rPr>
              <w:t>5</w:t>
            </w:r>
            <w:r w:rsidR="007F4BC5" w:rsidRPr="007F4BC5">
              <w:rPr>
                <w:rFonts w:ascii="Arial Narrow" w:eastAsiaTheme="majorEastAsia" w:hAnsi="Arial Narrow" w:cstheme="majorBidi"/>
                <w:bCs/>
                <w:sz w:val="20"/>
              </w:rPr>
              <w:t xml:space="preserve"> </w:t>
            </w:r>
          </w:p>
        </w:tc>
        <w:tc>
          <w:tcPr>
            <w:tcW w:w="611" w:type="pct"/>
          </w:tcPr>
          <w:p w14:paraId="4FB49550" w14:textId="7C148CE8"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BF293E">
              <w:rPr>
                <w:rFonts w:ascii="Arial Narrow" w:eastAsiaTheme="majorEastAsia" w:hAnsi="Arial Narrow" w:cstheme="majorBidi"/>
                <w:bCs/>
                <w:sz w:val="20"/>
                <w:vertAlign w:val="superscript"/>
              </w:rPr>
              <w:t>6</w:t>
            </w:r>
            <w:r w:rsidR="007F4BC5" w:rsidRPr="007F4BC5">
              <w:rPr>
                <w:rFonts w:ascii="Arial Narrow" w:eastAsiaTheme="majorEastAsia" w:hAnsi="Arial Narrow" w:cstheme="majorBidi"/>
                <w:bCs/>
                <w:sz w:val="20"/>
              </w:rPr>
              <w:t xml:space="preserve"> </w:t>
            </w:r>
          </w:p>
        </w:tc>
        <w:tc>
          <w:tcPr>
            <w:tcW w:w="611" w:type="pct"/>
          </w:tcPr>
          <w:p w14:paraId="5DD0F3D1" w14:textId="1B6EE50F" w:rsidR="007F4BC5" w:rsidRPr="007F4BC5" w:rsidRDefault="00B37C73" w:rsidP="00270737">
            <w:pPr>
              <w:keepNext/>
              <w:keepLines/>
              <w:jc w:val="right"/>
              <w:rPr>
                <w:rFonts w:ascii="Arial Narrow" w:eastAsiaTheme="majorEastAsia" w:hAnsi="Arial Narrow" w:cstheme="majorBidi"/>
                <w:bCs/>
                <w:color w:val="000000"/>
                <w:sz w:val="20"/>
              </w:rPr>
            </w:pPr>
            <w:r w:rsidRPr="00B37C73">
              <w:rPr>
                <w:rFonts w:ascii="Arial Narrow" w:eastAsiaTheme="majorEastAsia" w:hAnsi="Arial Narrow" w:cstheme="majorBidi"/>
                <w:bCs/>
                <w:sz w:val="2"/>
                <w:highlight w:val="black"/>
              </w:rPr>
              <w:t>redacted content</w:t>
            </w:r>
            <w:r w:rsidR="00BF293E">
              <w:rPr>
                <w:rFonts w:ascii="Arial Narrow" w:eastAsiaTheme="majorEastAsia" w:hAnsi="Arial Narrow" w:cstheme="majorBidi"/>
                <w:bCs/>
                <w:sz w:val="20"/>
                <w:vertAlign w:val="superscript"/>
              </w:rPr>
              <w:t>6</w:t>
            </w:r>
            <w:r w:rsidR="007F4BC5" w:rsidRPr="007F4BC5">
              <w:rPr>
                <w:rFonts w:ascii="Arial Narrow" w:eastAsiaTheme="majorEastAsia" w:hAnsi="Arial Narrow" w:cstheme="majorBidi"/>
                <w:bCs/>
                <w:sz w:val="20"/>
              </w:rPr>
              <w:t xml:space="preserve"> </w:t>
            </w:r>
          </w:p>
        </w:tc>
      </w:tr>
      <w:tr w:rsidR="007F4BC5" w:rsidRPr="007F4BC5" w14:paraId="57B7AD01" w14:textId="77777777">
        <w:tc>
          <w:tcPr>
            <w:tcW w:w="5000" w:type="pct"/>
            <w:gridSpan w:val="7"/>
          </w:tcPr>
          <w:p w14:paraId="4449A124"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Estimated financial implications of ACP</w:t>
            </w:r>
          </w:p>
        </w:tc>
      </w:tr>
      <w:tr w:rsidR="007F4BC5" w:rsidRPr="007F4BC5" w14:paraId="70D62AE9" w14:textId="77777777">
        <w:tc>
          <w:tcPr>
            <w:tcW w:w="1334" w:type="pct"/>
          </w:tcPr>
          <w:p w14:paraId="3C74F1C8" w14:textId="77777777" w:rsidR="007F4BC5" w:rsidRPr="007F4BC5" w:rsidRDefault="007F4BC5" w:rsidP="007F4BC5">
            <w:pPr>
              <w:keepNext/>
              <w:keepLines/>
              <w:jc w:val="left"/>
              <w:rPr>
                <w:rFonts w:ascii="Arial Narrow" w:eastAsiaTheme="majorEastAsia" w:hAnsi="Arial Narrow" w:cstheme="majorBidi"/>
                <w:bCs/>
                <w:sz w:val="19"/>
                <w:szCs w:val="19"/>
                <w:vertAlign w:val="superscript"/>
              </w:rPr>
            </w:pPr>
            <w:r w:rsidRPr="007F4BC5">
              <w:rPr>
                <w:rFonts w:ascii="Arial Narrow" w:eastAsiaTheme="majorEastAsia" w:hAnsi="Arial Narrow" w:cstheme="majorBidi"/>
                <w:bCs/>
                <w:sz w:val="19"/>
                <w:szCs w:val="19"/>
              </w:rPr>
              <w:t xml:space="preserve">Cost to PBS/RPBS less copayments </w:t>
            </w:r>
            <w:r w:rsidRPr="007F4BC5">
              <w:rPr>
                <w:rFonts w:ascii="Arial Narrow" w:eastAsiaTheme="majorEastAsia" w:hAnsi="Arial Narrow" w:cstheme="majorBidi"/>
                <w:bCs/>
                <w:sz w:val="19"/>
                <w:szCs w:val="19"/>
                <w:vertAlign w:val="superscript"/>
              </w:rPr>
              <w:t>c</w:t>
            </w:r>
          </w:p>
        </w:tc>
        <w:tc>
          <w:tcPr>
            <w:tcW w:w="611" w:type="pct"/>
          </w:tcPr>
          <w:p w14:paraId="6D6C4724" w14:textId="6D705876" w:rsidR="007F4BC5" w:rsidRPr="007C517C"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C517C">
              <w:rPr>
                <w:rFonts w:ascii="Arial Narrow" w:eastAsiaTheme="majorEastAsia" w:hAnsi="Arial Narrow" w:cstheme="majorBidi"/>
                <w:bCs/>
                <w:sz w:val="20"/>
                <w:vertAlign w:val="superscript"/>
              </w:rPr>
              <w:t>7</w:t>
            </w:r>
          </w:p>
        </w:tc>
        <w:tc>
          <w:tcPr>
            <w:tcW w:w="611" w:type="pct"/>
          </w:tcPr>
          <w:p w14:paraId="6DF226D6" w14:textId="0A114738" w:rsidR="007F4BC5" w:rsidRPr="007E121F"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E121F">
              <w:rPr>
                <w:rFonts w:ascii="Arial Narrow" w:eastAsiaTheme="majorEastAsia" w:hAnsi="Arial Narrow" w:cstheme="majorBidi"/>
                <w:bCs/>
                <w:sz w:val="20"/>
                <w:vertAlign w:val="superscript"/>
              </w:rPr>
              <w:t>8</w:t>
            </w:r>
          </w:p>
        </w:tc>
        <w:tc>
          <w:tcPr>
            <w:tcW w:w="611" w:type="pct"/>
          </w:tcPr>
          <w:p w14:paraId="7DC8DC32" w14:textId="32D71F82" w:rsidR="007F4BC5" w:rsidRPr="00B97E92"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B97E92">
              <w:rPr>
                <w:rFonts w:ascii="Arial Narrow" w:eastAsiaTheme="majorEastAsia" w:hAnsi="Arial Narrow" w:cstheme="majorBidi"/>
                <w:bCs/>
                <w:sz w:val="20"/>
                <w:vertAlign w:val="superscript"/>
              </w:rPr>
              <w:t>9</w:t>
            </w:r>
          </w:p>
        </w:tc>
        <w:tc>
          <w:tcPr>
            <w:tcW w:w="611" w:type="pct"/>
          </w:tcPr>
          <w:p w14:paraId="1DB45F21" w14:textId="1F75FE84" w:rsidR="007F4BC5" w:rsidRPr="00B97E92"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B97E92">
              <w:rPr>
                <w:rFonts w:ascii="Arial Narrow" w:eastAsiaTheme="majorEastAsia" w:hAnsi="Arial Narrow" w:cstheme="majorBidi"/>
                <w:bCs/>
                <w:sz w:val="20"/>
                <w:vertAlign w:val="superscript"/>
              </w:rPr>
              <w:t>9</w:t>
            </w:r>
          </w:p>
        </w:tc>
        <w:tc>
          <w:tcPr>
            <w:tcW w:w="611" w:type="pct"/>
          </w:tcPr>
          <w:p w14:paraId="2BB23D4C" w14:textId="1B67955A" w:rsidR="007F4BC5" w:rsidRPr="00B97E92"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B97E92">
              <w:rPr>
                <w:rFonts w:ascii="Arial Narrow" w:eastAsiaTheme="majorEastAsia" w:hAnsi="Arial Narrow" w:cstheme="majorBidi"/>
                <w:bCs/>
                <w:sz w:val="20"/>
                <w:vertAlign w:val="superscript"/>
              </w:rPr>
              <w:t>9</w:t>
            </w:r>
          </w:p>
        </w:tc>
        <w:tc>
          <w:tcPr>
            <w:tcW w:w="611" w:type="pct"/>
          </w:tcPr>
          <w:p w14:paraId="6FE64AF2" w14:textId="0230B273" w:rsidR="007F4BC5" w:rsidRPr="001F2717"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1F2717">
              <w:rPr>
                <w:rFonts w:ascii="Arial Narrow" w:eastAsiaTheme="majorEastAsia" w:hAnsi="Arial Narrow" w:cstheme="majorBidi"/>
                <w:bCs/>
                <w:sz w:val="20"/>
                <w:vertAlign w:val="superscript"/>
              </w:rPr>
              <w:t>10</w:t>
            </w:r>
          </w:p>
        </w:tc>
      </w:tr>
      <w:tr w:rsidR="007F4BC5" w:rsidRPr="007F4BC5" w14:paraId="201BF961" w14:textId="77777777">
        <w:tc>
          <w:tcPr>
            <w:tcW w:w="5000" w:type="pct"/>
            <w:gridSpan w:val="7"/>
          </w:tcPr>
          <w:p w14:paraId="6339165E" w14:textId="77777777" w:rsidR="007F4BC5" w:rsidRPr="007F4BC5" w:rsidRDefault="007F4BC5" w:rsidP="007F4BC5">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 xml:space="preserve">Estimated financial implications for aflibercept and ranibizumab </w:t>
            </w:r>
          </w:p>
        </w:tc>
      </w:tr>
      <w:tr w:rsidR="007F4BC5" w:rsidRPr="007F4BC5" w14:paraId="3E33069B" w14:textId="77777777">
        <w:tc>
          <w:tcPr>
            <w:tcW w:w="1334" w:type="pct"/>
          </w:tcPr>
          <w:p w14:paraId="6C3AC0EC" w14:textId="77777777" w:rsidR="007F4BC5" w:rsidRPr="007F4BC5" w:rsidRDefault="007F4BC5" w:rsidP="007F4BC5">
            <w:pPr>
              <w:keepNext/>
              <w:keepLines/>
              <w:jc w:val="left"/>
              <w:rPr>
                <w:rFonts w:ascii="Arial Narrow" w:eastAsiaTheme="majorEastAsia" w:hAnsi="Arial Narrow" w:cstheme="majorBidi"/>
                <w:bCs/>
                <w:sz w:val="19"/>
                <w:szCs w:val="19"/>
                <w:vertAlign w:val="superscript"/>
              </w:rPr>
            </w:pPr>
            <w:r w:rsidRPr="007F4BC5">
              <w:rPr>
                <w:rFonts w:ascii="Arial Narrow" w:eastAsiaTheme="majorEastAsia" w:hAnsi="Arial Narrow" w:cstheme="majorBidi"/>
                <w:bCs/>
                <w:sz w:val="19"/>
                <w:szCs w:val="19"/>
              </w:rPr>
              <w:t xml:space="preserve">Number of scripts dispensed </w:t>
            </w:r>
            <w:r w:rsidRPr="007F4BC5">
              <w:rPr>
                <w:rFonts w:ascii="Arial Narrow" w:eastAsiaTheme="majorEastAsia" w:hAnsi="Arial Narrow" w:cstheme="majorBidi"/>
                <w:bCs/>
                <w:sz w:val="19"/>
                <w:szCs w:val="19"/>
                <w:vertAlign w:val="superscript"/>
              </w:rPr>
              <w:t>d</w:t>
            </w:r>
          </w:p>
        </w:tc>
        <w:tc>
          <w:tcPr>
            <w:tcW w:w="611" w:type="pct"/>
          </w:tcPr>
          <w:p w14:paraId="250810E7" w14:textId="5F97A9FA" w:rsidR="007F4BC5" w:rsidRPr="007F4BC5" w:rsidRDefault="00B37C73" w:rsidP="00270737">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417D2870" w14:textId="12F4B13F" w:rsidR="007F4BC5" w:rsidRPr="007F4BC5" w:rsidRDefault="00B37C73" w:rsidP="00270737">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79852534" w14:textId="5746408C" w:rsidR="007F4BC5" w:rsidRPr="007F4BC5" w:rsidRDefault="00B37C73" w:rsidP="00270737">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03F137E7" w14:textId="1E7A5267" w:rsidR="007F4BC5" w:rsidRPr="007F4BC5" w:rsidRDefault="00B37C73" w:rsidP="00270737">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57FA3DB5" w14:textId="0C49FBE4" w:rsidR="007F4BC5" w:rsidRPr="007F4BC5" w:rsidRDefault="00B37C73" w:rsidP="00270737">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c>
          <w:tcPr>
            <w:tcW w:w="611" w:type="pct"/>
          </w:tcPr>
          <w:p w14:paraId="361E29B6" w14:textId="7C71F8BC" w:rsidR="007F4BC5" w:rsidRPr="007F4BC5" w:rsidRDefault="00B37C73" w:rsidP="00270737">
            <w:pPr>
              <w:keepNext/>
              <w:keepLines/>
              <w:jc w:val="right"/>
              <w:rPr>
                <w:rFonts w:ascii="Arial Narrow" w:eastAsiaTheme="majorEastAsia" w:hAnsi="Arial Narrow" w:cstheme="majorBidi"/>
                <w:bCs/>
                <w:sz w:val="20"/>
              </w:rPr>
            </w:pPr>
            <w:r w:rsidRPr="00B37C73">
              <w:rPr>
                <w:rFonts w:ascii="Arial Narrow" w:eastAsiaTheme="majorEastAsia" w:hAnsi="Arial Narrow" w:cstheme="majorBidi"/>
                <w:bCs/>
                <w:sz w:val="2"/>
                <w:highlight w:val="black"/>
              </w:rPr>
              <w:t>redacted content</w:t>
            </w:r>
            <w:r w:rsidR="00C745CA">
              <w:rPr>
                <w:rFonts w:ascii="Arial Narrow" w:eastAsiaTheme="majorEastAsia" w:hAnsi="Arial Narrow" w:cstheme="majorBidi"/>
                <w:bCs/>
                <w:sz w:val="20"/>
                <w:vertAlign w:val="superscript"/>
              </w:rPr>
              <w:t>1</w:t>
            </w:r>
            <w:r w:rsidR="007F4BC5" w:rsidRPr="007F4BC5">
              <w:rPr>
                <w:rFonts w:ascii="Arial Narrow" w:eastAsiaTheme="majorEastAsia" w:hAnsi="Arial Narrow" w:cstheme="majorBidi"/>
                <w:bCs/>
                <w:sz w:val="20"/>
              </w:rPr>
              <w:t xml:space="preserve"> </w:t>
            </w:r>
          </w:p>
        </w:tc>
      </w:tr>
      <w:tr w:rsidR="007F4BC5" w:rsidRPr="007F4BC5" w14:paraId="14785A10" w14:textId="77777777">
        <w:tc>
          <w:tcPr>
            <w:tcW w:w="1334" w:type="pct"/>
          </w:tcPr>
          <w:p w14:paraId="469139D5" w14:textId="77777777" w:rsidR="007F4BC5" w:rsidRPr="007F4BC5" w:rsidRDefault="007F4BC5" w:rsidP="007F4BC5">
            <w:pPr>
              <w:keepNext/>
              <w:keepLines/>
              <w:jc w:val="left"/>
              <w:rPr>
                <w:rFonts w:ascii="Arial Narrow" w:eastAsiaTheme="majorEastAsia" w:hAnsi="Arial Narrow" w:cstheme="majorBidi"/>
                <w:bCs/>
                <w:sz w:val="19"/>
                <w:szCs w:val="19"/>
                <w:vertAlign w:val="superscript"/>
              </w:rPr>
            </w:pPr>
            <w:r w:rsidRPr="007F4BC5">
              <w:rPr>
                <w:rFonts w:ascii="Arial Narrow" w:eastAsiaTheme="majorEastAsia" w:hAnsi="Arial Narrow" w:cstheme="majorBidi"/>
                <w:bCs/>
                <w:sz w:val="19"/>
                <w:szCs w:val="19"/>
              </w:rPr>
              <w:t xml:space="preserve">Cost to PBS/RPBS less copayments </w:t>
            </w:r>
            <w:r w:rsidRPr="007F4BC5">
              <w:rPr>
                <w:rFonts w:ascii="Arial Narrow" w:eastAsiaTheme="majorEastAsia" w:hAnsi="Arial Narrow" w:cstheme="majorBidi"/>
                <w:bCs/>
                <w:sz w:val="19"/>
                <w:szCs w:val="19"/>
                <w:vertAlign w:val="superscript"/>
              </w:rPr>
              <w:t>e</w:t>
            </w:r>
          </w:p>
        </w:tc>
        <w:tc>
          <w:tcPr>
            <w:tcW w:w="611" w:type="pct"/>
          </w:tcPr>
          <w:p w14:paraId="4C646BD5" w14:textId="74707401" w:rsidR="007F4BC5" w:rsidRPr="000E47CA"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E47CA">
              <w:rPr>
                <w:rFonts w:ascii="Arial Narrow" w:eastAsiaTheme="majorEastAsia" w:hAnsi="Arial Narrow" w:cstheme="majorBidi"/>
                <w:bCs/>
                <w:sz w:val="20"/>
                <w:vertAlign w:val="superscript"/>
              </w:rPr>
              <w:t>11</w:t>
            </w:r>
          </w:p>
        </w:tc>
        <w:tc>
          <w:tcPr>
            <w:tcW w:w="611" w:type="pct"/>
          </w:tcPr>
          <w:p w14:paraId="4389A0D9" w14:textId="5E96A45A" w:rsidR="007F4BC5" w:rsidRPr="00096B0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96B00">
              <w:rPr>
                <w:rFonts w:ascii="Arial Narrow" w:eastAsiaTheme="majorEastAsia" w:hAnsi="Arial Narrow" w:cstheme="majorBidi"/>
                <w:bCs/>
                <w:sz w:val="20"/>
                <w:vertAlign w:val="superscript"/>
              </w:rPr>
              <w:t>11</w:t>
            </w:r>
          </w:p>
        </w:tc>
        <w:tc>
          <w:tcPr>
            <w:tcW w:w="611" w:type="pct"/>
          </w:tcPr>
          <w:p w14:paraId="11EC6FD7" w14:textId="36B9D9F2" w:rsidR="007F4BC5" w:rsidRPr="00096B0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96B00">
              <w:rPr>
                <w:rFonts w:ascii="Arial Narrow" w:eastAsiaTheme="majorEastAsia" w:hAnsi="Arial Narrow" w:cstheme="majorBidi"/>
                <w:bCs/>
                <w:sz w:val="20"/>
                <w:vertAlign w:val="superscript"/>
              </w:rPr>
              <w:t>11</w:t>
            </w:r>
          </w:p>
        </w:tc>
        <w:tc>
          <w:tcPr>
            <w:tcW w:w="611" w:type="pct"/>
          </w:tcPr>
          <w:p w14:paraId="368B37C3" w14:textId="5B63FCCB" w:rsidR="007F4BC5" w:rsidRPr="00096B0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96B00">
              <w:rPr>
                <w:rFonts w:ascii="Arial Narrow" w:eastAsiaTheme="majorEastAsia" w:hAnsi="Arial Narrow" w:cstheme="majorBidi"/>
                <w:bCs/>
                <w:sz w:val="20"/>
                <w:vertAlign w:val="superscript"/>
              </w:rPr>
              <w:t>11</w:t>
            </w:r>
          </w:p>
        </w:tc>
        <w:tc>
          <w:tcPr>
            <w:tcW w:w="611" w:type="pct"/>
          </w:tcPr>
          <w:p w14:paraId="15E71793" w14:textId="7BD4629A" w:rsidR="007F4BC5" w:rsidRPr="00096B0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96B00">
              <w:rPr>
                <w:rFonts w:ascii="Arial Narrow" w:eastAsiaTheme="majorEastAsia" w:hAnsi="Arial Narrow" w:cstheme="majorBidi"/>
                <w:bCs/>
                <w:sz w:val="20"/>
                <w:vertAlign w:val="superscript"/>
              </w:rPr>
              <w:t>11</w:t>
            </w:r>
          </w:p>
        </w:tc>
        <w:tc>
          <w:tcPr>
            <w:tcW w:w="611" w:type="pct"/>
          </w:tcPr>
          <w:p w14:paraId="5D800CCF" w14:textId="7546A4BA" w:rsidR="007F4BC5" w:rsidRPr="00096B0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96B00">
              <w:rPr>
                <w:rFonts w:ascii="Arial Narrow" w:eastAsiaTheme="majorEastAsia" w:hAnsi="Arial Narrow" w:cstheme="majorBidi"/>
                <w:bCs/>
                <w:sz w:val="20"/>
                <w:vertAlign w:val="superscript"/>
              </w:rPr>
              <w:t>11</w:t>
            </w:r>
          </w:p>
        </w:tc>
      </w:tr>
      <w:tr w:rsidR="007F4BC5" w:rsidRPr="007F4BC5" w14:paraId="40268876" w14:textId="77777777">
        <w:tc>
          <w:tcPr>
            <w:tcW w:w="5000" w:type="pct"/>
            <w:gridSpan w:val="7"/>
          </w:tcPr>
          <w:p w14:paraId="6823CAC3" w14:textId="77777777" w:rsidR="007F4BC5" w:rsidRPr="007F4BC5" w:rsidRDefault="007F4BC5" w:rsidP="007F4BC5">
            <w:pPr>
              <w:keepNext/>
              <w:keepLines/>
              <w:jc w:val="left"/>
              <w:rPr>
                <w:rFonts w:ascii="Arial Narrow" w:eastAsiaTheme="majorEastAsia" w:hAnsi="Arial Narrow" w:cs="Times New Roman"/>
                <w:b/>
                <w:sz w:val="20"/>
                <w:lang w:val="en-US"/>
              </w:rPr>
            </w:pPr>
            <w:r w:rsidRPr="007F4BC5">
              <w:rPr>
                <w:rFonts w:ascii="Arial Narrow" w:eastAsiaTheme="majorEastAsia" w:hAnsi="Arial Narrow" w:cs="Times New Roman"/>
                <w:b/>
                <w:sz w:val="20"/>
                <w:lang w:val="en-US"/>
              </w:rPr>
              <w:t>Net financial implications</w:t>
            </w:r>
            <w:r w:rsidRPr="007F4BC5">
              <w:rPr>
                <w:rFonts w:ascii="Arial Narrow" w:eastAsiaTheme="majorEastAsia" w:hAnsi="Arial Narrow" w:cs="Times New Roman"/>
                <w:b/>
                <w:color w:val="4BACC6" w:themeColor="accent5"/>
                <w:sz w:val="20"/>
                <w:lang w:val="en-US"/>
              </w:rPr>
              <w:t xml:space="preserve"> </w:t>
            </w:r>
            <w:r w:rsidRPr="007F4BC5">
              <w:rPr>
                <w:rFonts w:ascii="Arial Narrow" w:eastAsiaTheme="majorEastAsia" w:hAnsi="Arial Narrow" w:cs="Times New Roman"/>
                <w:b/>
                <w:sz w:val="20"/>
                <w:lang w:val="en-US"/>
              </w:rPr>
              <w:t>[adapt as required, present net costs to MBS, public hospitals and/or Australian government health budget if they are presented in the submission]</w:t>
            </w:r>
          </w:p>
        </w:tc>
      </w:tr>
      <w:tr w:rsidR="007F4BC5" w:rsidRPr="007F4BC5" w14:paraId="7AF7F07A" w14:textId="77777777">
        <w:tc>
          <w:tcPr>
            <w:tcW w:w="1334" w:type="pct"/>
          </w:tcPr>
          <w:p w14:paraId="214DE6BE" w14:textId="77777777" w:rsidR="007F4BC5" w:rsidRPr="007F4BC5" w:rsidRDefault="007F4BC5" w:rsidP="007F4BC5">
            <w:pPr>
              <w:keepNext/>
              <w:keepLines/>
              <w:jc w:val="left"/>
              <w:rPr>
                <w:rFonts w:ascii="Arial Narrow" w:eastAsiaTheme="majorEastAsia" w:hAnsi="Arial Narrow" w:cstheme="majorBidi"/>
                <w:bCs/>
                <w:sz w:val="19"/>
                <w:szCs w:val="19"/>
              </w:rPr>
            </w:pPr>
            <w:r w:rsidRPr="007F4BC5">
              <w:rPr>
                <w:rFonts w:ascii="Arial Narrow" w:eastAsiaTheme="majorEastAsia" w:hAnsi="Arial Narrow" w:cstheme="majorBidi"/>
                <w:bCs/>
                <w:sz w:val="19"/>
                <w:szCs w:val="19"/>
              </w:rPr>
              <w:t>Net cost to PBS/RPBS</w:t>
            </w:r>
          </w:p>
        </w:tc>
        <w:tc>
          <w:tcPr>
            <w:tcW w:w="611" w:type="pct"/>
          </w:tcPr>
          <w:p w14:paraId="4499D2A0" w14:textId="1DD410DB" w:rsidR="007F4BC5" w:rsidRPr="007C517C"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C517C">
              <w:rPr>
                <w:rFonts w:ascii="Arial Narrow" w:eastAsiaTheme="majorEastAsia" w:hAnsi="Arial Narrow" w:cstheme="majorBidi"/>
                <w:bCs/>
                <w:sz w:val="20"/>
                <w:vertAlign w:val="superscript"/>
              </w:rPr>
              <w:t>7</w:t>
            </w:r>
          </w:p>
        </w:tc>
        <w:tc>
          <w:tcPr>
            <w:tcW w:w="611" w:type="pct"/>
          </w:tcPr>
          <w:p w14:paraId="5C322887" w14:textId="278C2D1B" w:rsidR="007F4BC5" w:rsidRPr="007E121F"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E121F">
              <w:rPr>
                <w:rFonts w:ascii="Arial Narrow" w:eastAsiaTheme="majorEastAsia" w:hAnsi="Arial Narrow" w:cstheme="majorBidi"/>
                <w:bCs/>
                <w:sz w:val="20"/>
                <w:vertAlign w:val="superscript"/>
              </w:rPr>
              <w:t>8</w:t>
            </w:r>
          </w:p>
        </w:tc>
        <w:tc>
          <w:tcPr>
            <w:tcW w:w="611" w:type="pct"/>
          </w:tcPr>
          <w:p w14:paraId="0B49AC2C" w14:textId="0F4FFAD3" w:rsidR="007F4BC5" w:rsidRPr="00B97E92"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B97E92">
              <w:rPr>
                <w:rFonts w:ascii="Arial Narrow" w:eastAsiaTheme="majorEastAsia" w:hAnsi="Arial Narrow" w:cstheme="majorBidi"/>
                <w:bCs/>
                <w:sz w:val="20"/>
                <w:vertAlign w:val="superscript"/>
              </w:rPr>
              <w:t>9</w:t>
            </w:r>
          </w:p>
        </w:tc>
        <w:tc>
          <w:tcPr>
            <w:tcW w:w="611" w:type="pct"/>
          </w:tcPr>
          <w:p w14:paraId="245EC165" w14:textId="27BA4062" w:rsidR="007F4BC5" w:rsidRPr="00B97E92"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B97E92">
              <w:rPr>
                <w:rFonts w:ascii="Arial Narrow" w:eastAsiaTheme="majorEastAsia" w:hAnsi="Arial Narrow" w:cstheme="majorBidi"/>
                <w:bCs/>
                <w:sz w:val="20"/>
                <w:vertAlign w:val="superscript"/>
              </w:rPr>
              <w:t>9</w:t>
            </w:r>
          </w:p>
        </w:tc>
        <w:tc>
          <w:tcPr>
            <w:tcW w:w="611" w:type="pct"/>
          </w:tcPr>
          <w:p w14:paraId="622DF603" w14:textId="7AF11CBD" w:rsidR="007F4BC5" w:rsidRPr="001F2717"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1F2717">
              <w:rPr>
                <w:rFonts w:ascii="Arial Narrow" w:eastAsiaTheme="majorEastAsia" w:hAnsi="Arial Narrow" w:cstheme="majorBidi"/>
                <w:bCs/>
                <w:sz w:val="20"/>
                <w:vertAlign w:val="superscript"/>
              </w:rPr>
              <w:t>10</w:t>
            </w:r>
          </w:p>
        </w:tc>
        <w:tc>
          <w:tcPr>
            <w:tcW w:w="611" w:type="pct"/>
          </w:tcPr>
          <w:p w14:paraId="1843C562" w14:textId="08F8AECB" w:rsidR="007F4BC5" w:rsidRPr="001F2717"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1F2717">
              <w:rPr>
                <w:rFonts w:ascii="Arial Narrow" w:eastAsiaTheme="majorEastAsia" w:hAnsi="Arial Narrow" w:cstheme="majorBidi"/>
                <w:bCs/>
                <w:sz w:val="20"/>
                <w:vertAlign w:val="superscript"/>
              </w:rPr>
              <w:t>10</w:t>
            </w:r>
          </w:p>
        </w:tc>
      </w:tr>
      <w:tr w:rsidR="007F4BC5" w:rsidRPr="007F4BC5" w14:paraId="28EADF38" w14:textId="77777777">
        <w:tc>
          <w:tcPr>
            <w:tcW w:w="1334" w:type="pct"/>
          </w:tcPr>
          <w:p w14:paraId="14D17B26" w14:textId="77777777" w:rsidR="007F4BC5" w:rsidRPr="007F4BC5" w:rsidRDefault="007F4BC5" w:rsidP="007F4BC5">
            <w:pPr>
              <w:keepNext/>
              <w:keepLines/>
              <w:jc w:val="left"/>
              <w:rPr>
                <w:rFonts w:ascii="Times" w:eastAsiaTheme="majorEastAsia" w:hAnsi="Times" w:cstheme="majorBidi"/>
                <w:bCs/>
                <w:sz w:val="20"/>
                <w:vertAlign w:val="superscript"/>
              </w:rPr>
            </w:pPr>
            <w:r w:rsidRPr="007F4BC5">
              <w:rPr>
                <w:rFonts w:ascii="Arial Narrow" w:eastAsiaTheme="majorEastAsia" w:hAnsi="Arial Narrow" w:cstheme="majorBidi"/>
                <w:bCs/>
                <w:sz w:val="19"/>
                <w:szCs w:val="19"/>
              </w:rPr>
              <w:t xml:space="preserve">Net cost to MBS </w:t>
            </w:r>
            <w:r w:rsidRPr="007F4BC5">
              <w:rPr>
                <w:rFonts w:ascii="Arial Narrow" w:eastAsiaTheme="majorEastAsia" w:hAnsi="Arial Narrow" w:cstheme="majorBidi"/>
                <w:bCs/>
                <w:sz w:val="19"/>
                <w:szCs w:val="19"/>
                <w:vertAlign w:val="superscript"/>
              </w:rPr>
              <w:t>f</w:t>
            </w:r>
          </w:p>
        </w:tc>
        <w:tc>
          <w:tcPr>
            <w:tcW w:w="611" w:type="pct"/>
          </w:tcPr>
          <w:p w14:paraId="436E19FA" w14:textId="56F35329" w:rsidR="007F4BC5" w:rsidRPr="00096B0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96B00">
              <w:rPr>
                <w:rFonts w:ascii="Arial Narrow" w:eastAsiaTheme="majorEastAsia" w:hAnsi="Arial Narrow" w:cstheme="majorBidi"/>
                <w:bCs/>
                <w:sz w:val="20"/>
                <w:vertAlign w:val="superscript"/>
              </w:rPr>
              <w:t>11</w:t>
            </w:r>
          </w:p>
        </w:tc>
        <w:tc>
          <w:tcPr>
            <w:tcW w:w="611" w:type="pct"/>
          </w:tcPr>
          <w:p w14:paraId="71E755FF" w14:textId="1BF92DBC" w:rsidR="007F4BC5" w:rsidRPr="008B48F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8B48F0">
              <w:rPr>
                <w:rFonts w:ascii="Arial Narrow" w:eastAsiaTheme="majorEastAsia" w:hAnsi="Arial Narrow" w:cstheme="majorBidi"/>
                <w:bCs/>
                <w:sz w:val="20"/>
                <w:vertAlign w:val="superscript"/>
              </w:rPr>
              <w:t>12</w:t>
            </w:r>
          </w:p>
        </w:tc>
        <w:tc>
          <w:tcPr>
            <w:tcW w:w="611" w:type="pct"/>
          </w:tcPr>
          <w:p w14:paraId="52DB1118" w14:textId="0C2B5C63" w:rsidR="007F4BC5" w:rsidRPr="008B48F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8B48F0">
              <w:rPr>
                <w:rFonts w:ascii="Arial Narrow" w:eastAsiaTheme="majorEastAsia" w:hAnsi="Arial Narrow" w:cstheme="majorBidi"/>
                <w:bCs/>
                <w:sz w:val="20"/>
                <w:vertAlign w:val="superscript"/>
              </w:rPr>
              <w:t>12</w:t>
            </w:r>
          </w:p>
        </w:tc>
        <w:tc>
          <w:tcPr>
            <w:tcW w:w="611" w:type="pct"/>
          </w:tcPr>
          <w:p w14:paraId="392BB07E" w14:textId="3FA81F02" w:rsidR="007F4BC5" w:rsidRPr="008B48F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8B48F0">
              <w:rPr>
                <w:rFonts w:ascii="Arial Narrow" w:eastAsiaTheme="majorEastAsia" w:hAnsi="Arial Narrow" w:cstheme="majorBidi"/>
                <w:bCs/>
                <w:sz w:val="20"/>
                <w:vertAlign w:val="superscript"/>
              </w:rPr>
              <w:t>12</w:t>
            </w:r>
          </w:p>
        </w:tc>
        <w:tc>
          <w:tcPr>
            <w:tcW w:w="611" w:type="pct"/>
          </w:tcPr>
          <w:p w14:paraId="5C1EA564" w14:textId="1BE9C2F0" w:rsidR="007F4BC5" w:rsidRPr="008B48F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8B48F0">
              <w:rPr>
                <w:rFonts w:ascii="Arial Narrow" w:eastAsiaTheme="majorEastAsia" w:hAnsi="Arial Narrow" w:cstheme="majorBidi"/>
                <w:bCs/>
                <w:sz w:val="20"/>
                <w:vertAlign w:val="superscript"/>
              </w:rPr>
              <w:t>12</w:t>
            </w:r>
          </w:p>
        </w:tc>
        <w:tc>
          <w:tcPr>
            <w:tcW w:w="611" w:type="pct"/>
          </w:tcPr>
          <w:p w14:paraId="1EBBE272" w14:textId="7542F7DA" w:rsidR="007F4BC5" w:rsidRPr="008B48F0" w:rsidRDefault="007F4BC5" w:rsidP="00270737">
            <w:pPr>
              <w:keepNext/>
              <w:keepLines/>
              <w:jc w:val="right"/>
              <w:rPr>
                <w:rFonts w:ascii="Arial Narrow" w:eastAsiaTheme="majorEastAsia" w:hAnsi="Arial Narrow" w:cstheme="majorBidi"/>
                <w:bCs/>
                <w:sz w:val="20"/>
                <w:vertAlign w:val="superscript"/>
              </w:rPr>
            </w:pPr>
            <w:r w:rsidRPr="007F4BC5">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8B48F0">
              <w:rPr>
                <w:rFonts w:ascii="Arial Narrow" w:eastAsiaTheme="majorEastAsia" w:hAnsi="Arial Narrow" w:cstheme="majorBidi"/>
                <w:bCs/>
                <w:sz w:val="20"/>
                <w:vertAlign w:val="superscript"/>
              </w:rPr>
              <w:t>12</w:t>
            </w:r>
          </w:p>
        </w:tc>
      </w:tr>
      <w:tr w:rsidR="007F4BC5" w:rsidRPr="007F4BC5" w14:paraId="14354A6B" w14:textId="77777777">
        <w:tc>
          <w:tcPr>
            <w:tcW w:w="1334" w:type="pct"/>
          </w:tcPr>
          <w:p w14:paraId="55823CD6" w14:textId="77777777" w:rsidR="007F4BC5" w:rsidRPr="007F4BC5" w:rsidRDefault="007F4BC5" w:rsidP="007F4BC5">
            <w:pPr>
              <w:keepNext/>
              <w:keepLines/>
              <w:jc w:val="left"/>
              <w:rPr>
                <w:rFonts w:ascii="Arial Narrow" w:eastAsiaTheme="majorEastAsia" w:hAnsi="Arial Narrow" w:cstheme="majorBidi"/>
                <w:b/>
                <w:sz w:val="19"/>
                <w:szCs w:val="19"/>
              </w:rPr>
            </w:pPr>
            <w:r w:rsidRPr="007F4BC5">
              <w:rPr>
                <w:rFonts w:ascii="Arial Narrow" w:eastAsiaTheme="majorEastAsia" w:hAnsi="Arial Narrow" w:cstheme="majorBidi"/>
                <w:b/>
                <w:sz w:val="19"/>
                <w:szCs w:val="19"/>
              </w:rPr>
              <w:t>Net cost to PBS/RPBS/MBS</w:t>
            </w:r>
          </w:p>
        </w:tc>
        <w:tc>
          <w:tcPr>
            <w:tcW w:w="611" w:type="pct"/>
          </w:tcPr>
          <w:p w14:paraId="0064C140" w14:textId="0DB0A10C" w:rsidR="007F4BC5" w:rsidRPr="00343BE0" w:rsidRDefault="007F4BC5" w:rsidP="00270737">
            <w:pPr>
              <w:keepNext/>
              <w:keepLines/>
              <w:jc w:val="right"/>
              <w:rPr>
                <w:rFonts w:ascii="Arial Narrow" w:eastAsiaTheme="majorEastAsia" w:hAnsi="Arial Narrow"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343BE0">
              <w:rPr>
                <w:rFonts w:ascii="Arial Narrow" w:eastAsiaTheme="majorEastAsia" w:hAnsi="Arial Narrow" w:cstheme="majorBidi"/>
                <w:b/>
                <w:sz w:val="20"/>
                <w:vertAlign w:val="superscript"/>
              </w:rPr>
              <w:t>13</w:t>
            </w:r>
          </w:p>
        </w:tc>
        <w:tc>
          <w:tcPr>
            <w:tcW w:w="611" w:type="pct"/>
          </w:tcPr>
          <w:p w14:paraId="3456701E" w14:textId="5A4121A6" w:rsidR="007F4BC5" w:rsidRPr="00B97E92" w:rsidRDefault="007F4BC5" w:rsidP="00270737">
            <w:pPr>
              <w:keepNext/>
              <w:keepLines/>
              <w:jc w:val="right"/>
              <w:rPr>
                <w:rFonts w:ascii="Arial Narrow" w:eastAsiaTheme="majorEastAsia" w:hAnsi="Arial Narrow"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B97E92">
              <w:rPr>
                <w:rFonts w:ascii="Arial Narrow" w:eastAsiaTheme="majorEastAsia" w:hAnsi="Arial Narrow" w:cstheme="majorBidi"/>
                <w:b/>
                <w:sz w:val="20"/>
                <w:vertAlign w:val="superscript"/>
              </w:rPr>
              <w:t>9</w:t>
            </w:r>
          </w:p>
        </w:tc>
        <w:tc>
          <w:tcPr>
            <w:tcW w:w="611" w:type="pct"/>
          </w:tcPr>
          <w:p w14:paraId="73180DC2" w14:textId="23A92F31" w:rsidR="007F4BC5" w:rsidRPr="000A674B" w:rsidRDefault="007F4BC5" w:rsidP="00270737">
            <w:pPr>
              <w:keepNext/>
              <w:keepLines/>
              <w:jc w:val="right"/>
              <w:rPr>
                <w:rFonts w:ascii="Arial Narrow" w:eastAsiaTheme="majorEastAsia" w:hAnsi="Arial Narrow"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0A674B">
              <w:rPr>
                <w:rFonts w:ascii="Arial Narrow" w:eastAsiaTheme="majorEastAsia" w:hAnsi="Arial Narrow" w:cstheme="majorBidi"/>
                <w:b/>
                <w:sz w:val="20"/>
                <w:vertAlign w:val="superscript"/>
              </w:rPr>
              <w:t>10</w:t>
            </w:r>
          </w:p>
        </w:tc>
        <w:tc>
          <w:tcPr>
            <w:tcW w:w="611" w:type="pct"/>
          </w:tcPr>
          <w:p w14:paraId="7CD4B20D" w14:textId="66DA5550" w:rsidR="007F4BC5" w:rsidRPr="00413686" w:rsidRDefault="007F4BC5" w:rsidP="00270737">
            <w:pPr>
              <w:keepNext/>
              <w:keepLines/>
              <w:jc w:val="right"/>
              <w:rPr>
                <w:rFonts w:ascii="Arial Narrow" w:eastAsiaTheme="majorEastAsia" w:hAnsi="Arial Narrow"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413686">
              <w:rPr>
                <w:rFonts w:ascii="Arial Narrow" w:eastAsiaTheme="majorEastAsia" w:hAnsi="Arial Narrow" w:cstheme="majorBidi"/>
                <w:b/>
                <w:sz w:val="20"/>
                <w:vertAlign w:val="superscript"/>
              </w:rPr>
              <w:t>14</w:t>
            </w:r>
          </w:p>
        </w:tc>
        <w:tc>
          <w:tcPr>
            <w:tcW w:w="611" w:type="pct"/>
          </w:tcPr>
          <w:p w14:paraId="06BF9031" w14:textId="01DEB6CF" w:rsidR="007F4BC5" w:rsidRPr="00413686" w:rsidRDefault="007F4BC5" w:rsidP="00270737">
            <w:pPr>
              <w:keepNext/>
              <w:keepLines/>
              <w:jc w:val="right"/>
              <w:rPr>
                <w:rFonts w:ascii="Arial Narrow" w:eastAsiaTheme="majorEastAsia" w:hAnsi="Arial Narrow"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413686">
              <w:rPr>
                <w:rFonts w:ascii="Arial Narrow" w:eastAsiaTheme="majorEastAsia" w:hAnsi="Arial Narrow" w:cstheme="majorBidi"/>
                <w:b/>
                <w:sz w:val="20"/>
                <w:vertAlign w:val="superscript"/>
              </w:rPr>
              <w:t>14</w:t>
            </w:r>
          </w:p>
        </w:tc>
        <w:tc>
          <w:tcPr>
            <w:tcW w:w="611" w:type="pct"/>
          </w:tcPr>
          <w:p w14:paraId="7E0B57D4" w14:textId="23013A24" w:rsidR="007F4BC5" w:rsidRPr="0023603E" w:rsidRDefault="007F4BC5" w:rsidP="00270737">
            <w:pPr>
              <w:keepNext/>
              <w:keepLines/>
              <w:jc w:val="right"/>
              <w:rPr>
                <w:rFonts w:ascii="Arial Narrow" w:eastAsiaTheme="majorEastAsia" w:hAnsi="Arial Narrow" w:cstheme="majorBidi"/>
                <w:b/>
                <w:sz w:val="20"/>
                <w:vertAlign w:val="superscript"/>
              </w:rPr>
            </w:pPr>
            <w:r w:rsidRPr="007F4BC5">
              <w:rPr>
                <w:rFonts w:ascii="Arial Narrow" w:eastAsiaTheme="majorEastAsia" w:hAnsi="Arial Narrow" w:cstheme="majorBidi"/>
                <w:b/>
                <w:sz w:val="20"/>
              </w:rPr>
              <w:t>$</w:t>
            </w:r>
            <w:r w:rsidR="00B37C73" w:rsidRPr="00B37C73">
              <w:rPr>
                <w:rFonts w:ascii="Arial Narrow" w:eastAsiaTheme="majorEastAsia" w:hAnsi="Arial Narrow" w:cstheme="majorBidi"/>
                <w:b/>
                <w:sz w:val="2"/>
                <w:highlight w:val="black"/>
              </w:rPr>
              <w:t>redacted content</w:t>
            </w:r>
            <w:r w:rsidR="0023603E">
              <w:rPr>
                <w:rFonts w:ascii="Arial Narrow" w:eastAsiaTheme="majorEastAsia" w:hAnsi="Arial Narrow" w:cstheme="majorBidi"/>
                <w:b/>
                <w:sz w:val="20"/>
                <w:vertAlign w:val="superscript"/>
              </w:rPr>
              <w:t>15</w:t>
            </w:r>
          </w:p>
        </w:tc>
      </w:tr>
      <w:tr w:rsidR="007F4BC5" w:rsidRPr="007F4BC5" w14:paraId="238412A9" w14:textId="77777777">
        <w:tc>
          <w:tcPr>
            <w:tcW w:w="5000" w:type="pct"/>
            <w:gridSpan w:val="7"/>
          </w:tcPr>
          <w:p w14:paraId="5B749BA6" w14:textId="77777777" w:rsidR="007F4BC5" w:rsidRPr="007F4BC5" w:rsidRDefault="007F4BC5" w:rsidP="007F4BC5">
            <w:pPr>
              <w:keepNext/>
              <w:keepLines/>
              <w:jc w:val="left"/>
              <w:rPr>
                <w:rFonts w:ascii="Arial Narrow" w:eastAsiaTheme="majorEastAsia" w:hAnsi="Arial Narrow" w:cstheme="majorBidi"/>
                <w:b/>
                <w:sz w:val="20"/>
              </w:rPr>
            </w:pPr>
            <w:r w:rsidRPr="007F4BC5">
              <w:rPr>
                <w:rFonts w:ascii="Arial Narrow" w:eastAsiaTheme="majorEastAsia" w:hAnsi="Arial Narrow" w:cstheme="majorBidi"/>
                <w:b/>
                <w:sz w:val="20"/>
              </w:rPr>
              <w:t>Scenario analyses</w:t>
            </w:r>
          </w:p>
        </w:tc>
      </w:tr>
      <w:tr w:rsidR="007F4BC5" w:rsidRPr="007F4BC5" w14:paraId="73C99409" w14:textId="77777777">
        <w:tc>
          <w:tcPr>
            <w:tcW w:w="5000" w:type="pct"/>
            <w:gridSpan w:val="7"/>
          </w:tcPr>
          <w:p w14:paraId="1CCCB1B1" w14:textId="77777777" w:rsidR="007F4BC5" w:rsidRPr="00C17763" w:rsidRDefault="007F4BC5" w:rsidP="007F4BC5">
            <w:pPr>
              <w:keepNext/>
              <w:keepLines/>
              <w:jc w:val="left"/>
              <w:rPr>
                <w:rFonts w:ascii="Arial Narrow" w:eastAsiaTheme="majorEastAsia" w:hAnsi="Arial Narrow" w:cstheme="majorBidi"/>
                <w:b/>
                <w:sz w:val="20"/>
              </w:rPr>
            </w:pPr>
            <w:r w:rsidRPr="00C17763">
              <w:rPr>
                <w:rFonts w:ascii="Arial Narrow" w:eastAsiaTheme="majorEastAsia" w:hAnsi="Arial Narrow" w:cstheme="majorBidi"/>
                <w:b/>
                <w:sz w:val="20"/>
              </w:rPr>
              <w:t>Scenario 1: 50% of patients continue EM dosing after year 1</w:t>
            </w:r>
          </w:p>
        </w:tc>
      </w:tr>
      <w:tr w:rsidR="007F4BC5" w:rsidRPr="007F4BC5" w14:paraId="10FF121A" w14:textId="77777777">
        <w:tc>
          <w:tcPr>
            <w:tcW w:w="1334" w:type="pct"/>
          </w:tcPr>
          <w:p w14:paraId="17411B14" w14:textId="77777777" w:rsidR="007F4BC5" w:rsidRPr="00C17763" w:rsidRDefault="007F4BC5" w:rsidP="007F4BC5">
            <w:pPr>
              <w:keepNext/>
              <w:keepLines/>
              <w:jc w:val="left"/>
              <w:rPr>
                <w:rFonts w:ascii="Arial Narrow" w:eastAsiaTheme="majorEastAsia" w:hAnsi="Arial Narrow" w:cstheme="majorBidi"/>
                <w:b/>
                <w:sz w:val="19"/>
                <w:szCs w:val="19"/>
              </w:rPr>
            </w:pPr>
            <w:r w:rsidRPr="00C17763">
              <w:rPr>
                <w:rFonts w:ascii="Arial Narrow" w:eastAsiaTheme="majorEastAsia" w:hAnsi="Arial Narrow" w:cstheme="majorBidi"/>
                <w:sz w:val="20"/>
              </w:rPr>
              <w:t>Net cost to the PBS/RPBS</w:t>
            </w:r>
          </w:p>
        </w:tc>
        <w:tc>
          <w:tcPr>
            <w:tcW w:w="611" w:type="pct"/>
          </w:tcPr>
          <w:p w14:paraId="37B880D8" w14:textId="4B214ED8" w:rsidR="007F4BC5" w:rsidRPr="007C517C"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sz w:val="20"/>
              </w:rPr>
              <w:t>$</w:t>
            </w:r>
            <w:r w:rsidR="00B37C73" w:rsidRPr="00B37C73">
              <w:rPr>
                <w:rFonts w:ascii="Arial Narrow" w:eastAsiaTheme="majorEastAsia" w:hAnsi="Arial Narrow" w:cstheme="majorBidi"/>
                <w:sz w:val="2"/>
                <w:highlight w:val="black"/>
              </w:rPr>
              <w:t>redacted content</w:t>
            </w:r>
            <w:r w:rsidR="007C517C">
              <w:rPr>
                <w:rFonts w:ascii="Arial Narrow" w:eastAsiaTheme="majorEastAsia" w:hAnsi="Arial Narrow" w:cstheme="majorBidi"/>
                <w:sz w:val="20"/>
                <w:vertAlign w:val="superscript"/>
              </w:rPr>
              <w:t>7</w:t>
            </w:r>
          </w:p>
        </w:tc>
        <w:tc>
          <w:tcPr>
            <w:tcW w:w="611" w:type="pct"/>
          </w:tcPr>
          <w:p w14:paraId="3C33A93F" w14:textId="74B51F4D" w:rsidR="007F4BC5" w:rsidRPr="0033527C"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sz w:val="20"/>
              </w:rPr>
              <w:t>$</w:t>
            </w:r>
            <w:r w:rsidR="00B37C73" w:rsidRPr="00B37C73">
              <w:rPr>
                <w:rFonts w:ascii="Arial Narrow" w:eastAsiaTheme="majorEastAsia" w:hAnsi="Arial Narrow" w:cstheme="majorBidi"/>
                <w:sz w:val="2"/>
                <w:highlight w:val="black"/>
              </w:rPr>
              <w:t>redacted content</w:t>
            </w:r>
            <w:r w:rsidR="0033527C">
              <w:rPr>
                <w:rFonts w:ascii="Arial Narrow" w:eastAsiaTheme="majorEastAsia" w:hAnsi="Arial Narrow" w:cstheme="majorBidi"/>
                <w:sz w:val="20"/>
                <w:vertAlign w:val="superscript"/>
              </w:rPr>
              <w:t>8</w:t>
            </w:r>
          </w:p>
        </w:tc>
        <w:tc>
          <w:tcPr>
            <w:tcW w:w="611" w:type="pct"/>
          </w:tcPr>
          <w:p w14:paraId="24F0BA5E" w14:textId="105602C2" w:rsidR="007F4BC5" w:rsidRPr="000A674B"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sz w:val="20"/>
              </w:rPr>
              <w:t>$</w:t>
            </w:r>
            <w:r w:rsidR="00B37C73" w:rsidRPr="00B37C73">
              <w:rPr>
                <w:rFonts w:ascii="Arial Narrow" w:eastAsiaTheme="majorEastAsia" w:hAnsi="Arial Narrow" w:cstheme="majorBidi"/>
                <w:sz w:val="2"/>
                <w:highlight w:val="black"/>
              </w:rPr>
              <w:t>redacted content</w:t>
            </w:r>
            <w:r w:rsidR="000A674B">
              <w:rPr>
                <w:rFonts w:ascii="Arial Narrow" w:eastAsiaTheme="majorEastAsia" w:hAnsi="Arial Narrow" w:cstheme="majorBidi"/>
                <w:sz w:val="20"/>
                <w:vertAlign w:val="superscript"/>
              </w:rPr>
              <w:t>10</w:t>
            </w:r>
          </w:p>
        </w:tc>
        <w:tc>
          <w:tcPr>
            <w:tcW w:w="611" w:type="pct"/>
          </w:tcPr>
          <w:p w14:paraId="422A71E1" w14:textId="7FB70D20" w:rsidR="007F4BC5" w:rsidRPr="000A674B"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sz w:val="20"/>
              </w:rPr>
              <w:t>$</w:t>
            </w:r>
            <w:r w:rsidR="00B37C73" w:rsidRPr="00B37C73">
              <w:rPr>
                <w:rFonts w:ascii="Arial Narrow" w:eastAsiaTheme="majorEastAsia" w:hAnsi="Arial Narrow" w:cstheme="majorBidi"/>
                <w:sz w:val="2"/>
                <w:highlight w:val="black"/>
              </w:rPr>
              <w:t>redacted content</w:t>
            </w:r>
            <w:r w:rsidR="000A674B">
              <w:rPr>
                <w:rFonts w:ascii="Arial Narrow" w:eastAsiaTheme="majorEastAsia" w:hAnsi="Arial Narrow" w:cstheme="majorBidi"/>
                <w:sz w:val="20"/>
                <w:vertAlign w:val="superscript"/>
              </w:rPr>
              <w:t>10</w:t>
            </w:r>
          </w:p>
        </w:tc>
        <w:tc>
          <w:tcPr>
            <w:tcW w:w="611" w:type="pct"/>
          </w:tcPr>
          <w:p w14:paraId="715F9462" w14:textId="3284F149" w:rsidR="007F4BC5" w:rsidRPr="0023603E"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sz w:val="20"/>
              </w:rPr>
              <w:t>$</w:t>
            </w:r>
            <w:r w:rsidR="00B37C73" w:rsidRPr="00B37C73">
              <w:rPr>
                <w:rFonts w:ascii="Arial Narrow" w:eastAsiaTheme="majorEastAsia" w:hAnsi="Arial Narrow" w:cstheme="majorBidi"/>
                <w:sz w:val="2"/>
                <w:highlight w:val="black"/>
              </w:rPr>
              <w:t>redacted content</w:t>
            </w:r>
            <w:r w:rsidR="0023603E">
              <w:rPr>
                <w:rFonts w:ascii="Arial Narrow" w:eastAsiaTheme="majorEastAsia" w:hAnsi="Arial Narrow" w:cstheme="majorBidi"/>
                <w:sz w:val="20"/>
                <w:vertAlign w:val="superscript"/>
              </w:rPr>
              <w:t>14</w:t>
            </w:r>
          </w:p>
        </w:tc>
        <w:tc>
          <w:tcPr>
            <w:tcW w:w="611" w:type="pct"/>
          </w:tcPr>
          <w:p w14:paraId="7ACC7706" w14:textId="16F87967" w:rsidR="007F4BC5" w:rsidRPr="0023603E"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sz w:val="20"/>
              </w:rPr>
              <w:t>$</w:t>
            </w:r>
            <w:r w:rsidR="00B37C73" w:rsidRPr="00B37C73">
              <w:rPr>
                <w:rFonts w:ascii="Arial Narrow" w:eastAsiaTheme="majorEastAsia" w:hAnsi="Arial Narrow" w:cstheme="majorBidi"/>
                <w:sz w:val="2"/>
                <w:highlight w:val="black"/>
              </w:rPr>
              <w:t>redacted content</w:t>
            </w:r>
            <w:r w:rsidR="0023603E">
              <w:rPr>
                <w:rFonts w:ascii="Arial Narrow" w:eastAsiaTheme="majorEastAsia" w:hAnsi="Arial Narrow" w:cstheme="majorBidi"/>
                <w:sz w:val="20"/>
                <w:vertAlign w:val="superscript"/>
              </w:rPr>
              <w:t>14</w:t>
            </w:r>
          </w:p>
        </w:tc>
      </w:tr>
      <w:tr w:rsidR="007F4BC5" w:rsidRPr="007F4BC5" w14:paraId="7BCF9AFE" w14:textId="77777777">
        <w:tc>
          <w:tcPr>
            <w:tcW w:w="5000" w:type="pct"/>
            <w:gridSpan w:val="7"/>
          </w:tcPr>
          <w:p w14:paraId="246618BC" w14:textId="77777777" w:rsidR="007F4BC5" w:rsidRPr="00C17763" w:rsidRDefault="007F4BC5" w:rsidP="007F4BC5">
            <w:pPr>
              <w:keepNext/>
              <w:keepLines/>
              <w:jc w:val="left"/>
              <w:rPr>
                <w:rFonts w:ascii="Arial Narrow" w:eastAsiaTheme="majorEastAsia" w:hAnsi="Arial Narrow" w:cstheme="majorBidi"/>
                <w:b/>
                <w:sz w:val="20"/>
              </w:rPr>
            </w:pPr>
            <w:r w:rsidRPr="00C17763">
              <w:rPr>
                <w:rFonts w:ascii="Arial Narrow" w:eastAsiaTheme="majorEastAsia" w:hAnsi="Arial Narrow" w:cstheme="majorBidi"/>
                <w:b/>
                <w:sz w:val="20"/>
              </w:rPr>
              <w:t>Scenario 2: 100% of patients continue EM dosing after year 1</w:t>
            </w:r>
          </w:p>
        </w:tc>
      </w:tr>
      <w:tr w:rsidR="007F4BC5" w:rsidRPr="007F4BC5" w14:paraId="442DA169" w14:textId="77777777">
        <w:tc>
          <w:tcPr>
            <w:tcW w:w="1334" w:type="pct"/>
          </w:tcPr>
          <w:p w14:paraId="6679F30A" w14:textId="77777777" w:rsidR="007F4BC5" w:rsidRPr="00C17763" w:rsidRDefault="007F4BC5" w:rsidP="007F4BC5">
            <w:pPr>
              <w:keepNext/>
              <w:keepLines/>
              <w:jc w:val="left"/>
              <w:rPr>
                <w:rFonts w:ascii="Arial Narrow" w:eastAsiaTheme="majorEastAsia" w:hAnsi="Arial Narrow" w:cstheme="majorBidi"/>
                <w:b/>
                <w:sz w:val="19"/>
                <w:szCs w:val="19"/>
              </w:rPr>
            </w:pPr>
            <w:r w:rsidRPr="00C17763">
              <w:rPr>
                <w:rFonts w:ascii="Arial Narrow" w:eastAsiaTheme="majorEastAsia" w:hAnsi="Arial Narrow" w:cstheme="majorBidi"/>
                <w:bCs/>
                <w:sz w:val="20"/>
              </w:rPr>
              <w:t>Net cost to the PBS/RPBS</w:t>
            </w:r>
          </w:p>
        </w:tc>
        <w:tc>
          <w:tcPr>
            <w:tcW w:w="611" w:type="pct"/>
          </w:tcPr>
          <w:p w14:paraId="6F6DAEB5" w14:textId="64AE490A" w:rsidR="007F4BC5" w:rsidRPr="007C517C"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7C517C">
              <w:rPr>
                <w:rFonts w:ascii="Arial Narrow" w:eastAsiaTheme="majorEastAsia" w:hAnsi="Arial Narrow" w:cstheme="majorBidi"/>
                <w:bCs/>
                <w:sz w:val="20"/>
                <w:vertAlign w:val="superscript"/>
              </w:rPr>
              <w:t>7</w:t>
            </w:r>
          </w:p>
        </w:tc>
        <w:tc>
          <w:tcPr>
            <w:tcW w:w="611" w:type="pct"/>
          </w:tcPr>
          <w:p w14:paraId="5DD43B0E" w14:textId="44440BB8" w:rsidR="007F4BC5" w:rsidRPr="00685AAC"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685AAC">
              <w:rPr>
                <w:rFonts w:ascii="Arial Narrow" w:eastAsiaTheme="majorEastAsia" w:hAnsi="Arial Narrow" w:cstheme="majorBidi"/>
                <w:bCs/>
                <w:sz w:val="20"/>
                <w:vertAlign w:val="superscript"/>
              </w:rPr>
              <w:t>9</w:t>
            </w:r>
          </w:p>
        </w:tc>
        <w:tc>
          <w:tcPr>
            <w:tcW w:w="611" w:type="pct"/>
          </w:tcPr>
          <w:p w14:paraId="31EA781B" w14:textId="029253F3" w:rsidR="007F4BC5" w:rsidRPr="000A674B"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0A674B">
              <w:rPr>
                <w:rFonts w:ascii="Arial Narrow" w:eastAsiaTheme="majorEastAsia" w:hAnsi="Arial Narrow" w:cstheme="majorBidi"/>
                <w:bCs/>
                <w:sz w:val="20"/>
                <w:vertAlign w:val="superscript"/>
              </w:rPr>
              <w:t>10</w:t>
            </w:r>
          </w:p>
        </w:tc>
        <w:tc>
          <w:tcPr>
            <w:tcW w:w="611" w:type="pct"/>
          </w:tcPr>
          <w:p w14:paraId="0B0E6C7E" w14:textId="3FBB9A4F" w:rsidR="007F4BC5" w:rsidRPr="0023603E"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23603E">
              <w:rPr>
                <w:rFonts w:ascii="Arial Narrow" w:eastAsiaTheme="majorEastAsia" w:hAnsi="Arial Narrow" w:cstheme="majorBidi"/>
                <w:bCs/>
                <w:sz w:val="20"/>
                <w:vertAlign w:val="superscript"/>
              </w:rPr>
              <w:t>14</w:t>
            </w:r>
          </w:p>
        </w:tc>
        <w:tc>
          <w:tcPr>
            <w:tcW w:w="611" w:type="pct"/>
          </w:tcPr>
          <w:p w14:paraId="4364D898" w14:textId="0FF205E4" w:rsidR="007F4BC5" w:rsidRPr="0023603E"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23603E">
              <w:rPr>
                <w:rFonts w:ascii="Arial Narrow" w:eastAsiaTheme="majorEastAsia" w:hAnsi="Arial Narrow" w:cstheme="majorBidi"/>
                <w:bCs/>
                <w:sz w:val="20"/>
                <w:vertAlign w:val="superscript"/>
              </w:rPr>
              <w:t>15</w:t>
            </w:r>
          </w:p>
        </w:tc>
        <w:tc>
          <w:tcPr>
            <w:tcW w:w="611" w:type="pct"/>
          </w:tcPr>
          <w:p w14:paraId="0ED60940" w14:textId="60597785" w:rsidR="007F4BC5" w:rsidRPr="0023603E" w:rsidRDefault="007F4BC5" w:rsidP="00270737">
            <w:pPr>
              <w:keepNext/>
              <w:keepLines/>
              <w:jc w:val="right"/>
              <w:rPr>
                <w:rFonts w:ascii="Arial Narrow" w:eastAsiaTheme="majorEastAsia" w:hAnsi="Arial Narrow" w:cstheme="majorBidi"/>
                <w:b/>
                <w:sz w:val="20"/>
                <w:vertAlign w:val="superscript"/>
              </w:rPr>
            </w:pPr>
            <w:r w:rsidRPr="00C17763">
              <w:rPr>
                <w:rFonts w:ascii="Arial Narrow" w:eastAsiaTheme="majorEastAsia" w:hAnsi="Arial Narrow" w:cstheme="majorBidi"/>
                <w:bCs/>
                <w:sz w:val="20"/>
              </w:rPr>
              <w:t>$</w:t>
            </w:r>
            <w:r w:rsidR="00B37C73" w:rsidRPr="00B37C73">
              <w:rPr>
                <w:rFonts w:ascii="Arial Narrow" w:eastAsiaTheme="majorEastAsia" w:hAnsi="Arial Narrow" w:cstheme="majorBidi"/>
                <w:bCs/>
                <w:sz w:val="2"/>
                <w:highlight w:val="black"/>
              </w:rPr>
              <w:t>redacted content</w:t>
            </w:r>
            <w:r w:rsidR="0023603E">
              <w:rPr>
                <w:rFonts w:ascii="Arial Narrow" w:eastAsiaTheme="majorEastAsia" w:hAnsi="Arial Narrow" w:cstheme="majorBidi"/>
                <w:bCs/>
                <w:sz w:val="20"/>
                <w:vertAlign w:val="superscript"/>
              </w:rPr>
              <w:t>15</w:t>
            </w:r>
          </w:p>
        </w:tc>
      </w:tr>
    </w:tbl>
    <w:p w14:paraId="259605B9" w14:textId="77777777" w:rsidR="007F4BC5" w:rsidRPr="007F4BC5" w:rsidRDefault="007F4BC5" w:rsidP="00512947">
      <w:pPr>
        <w:pStyle w:val="TableFigureFooter"/>
      </w:pPr>
      <w:r w:rsidRPr="007F4BC5">
        <w:t xml:space="preserve">Source: tabulated during the evaluation, from the “Attachment 14 – </w:t>
      </w:r>
      <w:proofErr w:type="spellStart"/>
      <w:r w:rsidRPr="007F4BC5">
        <w:t>Izervay</w:t>
      </w:r>
      <w:proofErr w:type="spellEnd"/>
      <w:r w:rsidRPr="007F4BC5">
        <w:t xml:space="preserve"> GA AMD Financial Model” workbook provided in the submission.</w:t>
      </w:r>
    </w:p>
    <w:p w14:paraId="0766561D" w14:textId="77777777" w:rsidR="007F4BC5" w:rsidRPr="007F4BC5" w:rsidRDefault="007F4BC5" w:rsidP="00512947">
      <w:pPr>
        <w:pStyle w:val="TableFigureFooter"/>
      </w:pPr>
      <w:r w:rsidRPr="007F4BC5">
        <w:t>ABS = Australian Bureau of Statistics; ACP = avacincaptad pegol; MBS = Medicare Benefits Schedule; PBS = Pharmaceutical Benefits Scheme; RPBS = Repatriation Pharmaceutical Benefits Scheme.</w:t>
      </w:r>
    </w:p>
    <w:p w14:paraId="7C024A15" w14:textId="77777777" w:rsidR="007F4BC5" w:rsidRPr="007F4BC5" w:rsidRDefault="007F4BC5" w:rsidP="00512947">
      <w:pPr>
        <w:pStyle w:val="TableFigureFooter"/>
      </w:pPr>
      <w:r w:rsidRPr="007F4BC5">
        <w:rPr>
          <w:vertAlign w:val="superscript"/>
        </w:rPr>
        <w:t>a</w:t>
      </w:r>
      <w:r w:rsidRPr="007F4BC5">
        <w:t xml:space="preserve"> Based on a mean treatment duration of 24.99 months. </w:t>
      </w:r>
    </w:p>
    <w:p w14:paraId="7EE106A1" w14:textId="77777777" w:rsidR="007F4BC5" w:rsidRPr="007F4BC5" w:rsidRDefault="007F4BC5" w:rsidP="00512947">
      <w:pPr>
        <w:pStyle w:val="TableFigureFooter"/>
      </w:pPr>
      <w:r w:rsidRPr="007F4BC5">
        <w:rPr>
          <w:vertAlign w:val="superscript"/>
        </w:rPr>
        <w:t xml:space="preserve">b </w:t>
      </w:r>
      <w:r w:rsidRPr="007F4BC5">
        <w:t xml:space="preserve">Assuming 12 scripts/year for initial treatment and 6 scripts/year for continuing treatment. </w:t>
      </w:r>
    </w:p>
    <w:p w14:paraId="19C84A33" w14:textId="20CB1EE3" w:rsidR="007F4BC5" w:rsidRPr="007F4BC5" w:rsidRDefault="007F4BC5" w:rsidP="00512947">
      <w:pPr>
        <w:pStyle w:val="TableFigureFooter"/>
      </w:pPr>
      <w:r w:rsidRPr="007F4BC5">
        <w:rPr>
          <w:vertAlign w:val="superscript"/>
        </w:rPr>
        <w:t xml:space="preserve">c </w:t>
      </w:r>
      <w:r w:rsidRPr="007F4BC5">
        <w:t>Based on a DPMA of $</w:t>
      </w:r>
      <w:r w:rsidR="00B37C73" w:rsidRPr="00B37C73">
        <w:rPr>
          <w:sz w:val="2"/>
          <w:highlight w:val="black"/>
        </w:rPr>
        <w:t>redacted content</w:t>
      </w:r>
      <w:r w:rsidRPr="007F4BC5">
        <w:t xml:space="preserve"> per script (AEMP of $</w:t>
      </w:r>
      <w:r w:rsidR="00B37C73" w:rsidRPr="00B37C73">
        <w:rPr>
          <w:sz w:val="2"/>
          <w:highlight w:val="black"/>
        </w:rPr>
        <w:t>redacted content</w:t>
      </w:r>
      <w:r w:rsidRPr="007F4BC5">
        <w:t xml:space="preserve"> per vial). </w:t>
      </w:r>
    </w:p>
    <w:p w14:paraId="33D335CF" w14:textId="77777777" w:rsidR="007F4BC5" w:rsidRPr="007F4BC5" w:rsidRDefault="007F4BC5" w:rsidP="00512947">
      <w:pPr>
        <w:pStyle w:val="TableFigureFooter"/>
      </w:pPr>
      <w:r w:rsidRPr="007F4BC5">
        <w:rPr>
          <w:vertAlign w:val="superscript"/>
        </w:rPr>
        <w:t xml:space="preserve">d </w:t>
      </w:r>
      <w:r w:rsidRPr="007F4BC5">
        <w:t xml:space="preserve">Based on 7 scripts for aflibercept and 8 scripts for ranibizumab. </w:t>
      </w:r>
    </w:p>
    <w:p w14:paraId="48C41147" w14:textId="77777777" w:rsidR="007F4BC5" w:rsidRPr="007F4BC5" w:rsidRDefault="007F4BC5" w:rsidP="00512947">
      <w:pPr>
        <w:pStyle w:val="TableFigureFooter"/>
      </w:pPr>
      <w:r w:rsidRPr="007F4BC5">
        <w:rPr>
          <w:vertAlign w:val="superscript"/>
        </w:rPr>
        <w:t xml:space="preserve">e </w:t>
      </w:r>
      <w:r w:rsidRPr="007F4BC5">
        <w:t xml:space="preserve">Based on DPMAs of $890.97 and $786.69, applied to 9.21% of patients (patients with CNV events in GATHER 1). </w:t>
      </w:r>
    </w:p>
    <w:p w14:paraId="3372C483" w14:textId="77777777" w:rsidR="00F15783" w:rsidRDefault="007F4BC5" w:rsidP="00F15783">
      <w:pPr>
        <w:pStyle w:val="TableFigureFooter"/>
        <w:spacing w:after="0"/>
      </w:pPr>
      <w:r w:rsidRPr="007F4BC5">
        <w:rPr>
          <w:vertAlign w:val="superscript"/>
        </w:rPr>
        <w:t xml:space="preserve">f </w:t>
      </w:r>
      <w:r w:rsidRPr="007F4BC5">
        <w:t>Based on MBS item 43030 ($350.85, 80% benefit) applied to each ACP script.</w:t>
      </w:r>
    </w:p>
    <w:p w14:paraId="4B6CBAD4" w14:textId="671CF834" w:rsidR="00F15783" w:rsidRPr="00F15783" w:rsidRDefault="00F15783" w:rsidP="00F15783">
      <w:pPr>
        <w:rPr>
          <w:rFonts w:ascii="Arial Narrow" w:hAnsi="Arial Narrow"/>
          <w:i/>
          <w:sz w:val="18"/>
          <w:szCs w:val="18"/>
        </w:rPr>
      </w:pPr>
      <w:r w:rsidRPr="00F15783">
        <w:rPr>
          <w:rFonts w:ascii="Arial Narrow" w:hAnsi="Arial Narrow"/>
          <w:i/>
          <w:sz w:val="18"/>
          <w:szCs w:val="18"/>
        </w:rPr>
        <w:t xml:space="preserve">The redacted values correspond to the following ranges: </w:t>
      </w:r>
    </w:p>
    <w:p w14:paraId="254825B1" w14:textId="33436DA9" w:rsidR="00F15783" w:rsidRPr="00F15783" w:rsidRDefault="00F15783" w:rsidP="00F15783">
      <w:pPr>
        <w:jc w:val="left"/>
        <w:rPr>
          <w:rFonts w:ascii="Arial Narrow" w:hAnsi="Arial Narrow"/>
          <w:i/>
          <w:sz w:val="18"/>
          <w:szCs w:val="18"/>
        </w:rPr>
      </w:pPr>
      <w:r w:rsidRPr="00F15783">
        <w:rPr>
          <w:rFonts w:ascii="Arial Narrow" w:hAnsi="Arial Narrow"/>
          <w:i/>
          <w:sz w:val="18"/>
          <w:szCs w:val="18"/>
          <w:vertAlign w:val="superscript"/>
        </w:rPr>
        <w:t>1</w:t>
      </w:r>
      <w:r w:rsidRPr="00F15783">
        <w:rPr>
          <w:rFonts w:ascii="Arial Narrow" w:hAnsi="Arial Narrow"/>
          <w:i/>
          <w:sz w:val="18"/>
          <w:szCs w:val="18"/>
        </w:rPr>
        <w:t xml:space="preserve"> </w:t>
      </w:r>
      <w:r w:rsidR="00F54CCF" w:rsidRPr="00F54CCF">
        <w:rPr>
          <w:rFonts w:ascii="Arial Narrow" w:hAnsi="Arial Narrow"/>
          <w:i/>
          <w:sz w:val="18"/>
          <w:szCs w:val="18"/>
        </w:rPr>
        <w:t>500 to &lt; 5,000</w:t>
      </w:r>
    </w:p>
    <w:p w14:paraId="5BDAC680" w14:textId="294D7D10" w:rsidR="00F15783" w:rsidRPr="00F15783" w:rsidRDefault="00F15783" w:rsidP="00F15783">
      <w:pPr>
        <w:jc w:val="left"/>
        <w:rPr>
          <w:rFonts w:ascii="Arial Narrow" w:hAnsi="Arial Narrow"/>
          <w:i/>
          <w:sz w:val="18"/>
          <w:szCs w:val="18"/>
        </w:rPr>
      </w:pPr>
      <w:r w:rsidRPr="00F15783">
        <w:rPr>
          <w:rFonts w:ascii="Arial Narrow" w:hAnsi="Arial Narrow"/>
          <w:i/>
          <w:sz w:val="18"/>
          <w:szCs w:val="18"/>
          <w:vertAlign w:val="superscript"/>
        </w:rPr>
        <w:t>2</w:t>
      </w:r>
      <w:r w:rsidRPr="00F15783">
        <w:rPr>
          <w:rFonts w:ascii="Arial Narrow" w:hAnsi="Arial Narrow"/>
          <w:i/>
          <w:sz w:val="18"/>
          <w:szCs w:val="18"/>
        </w:rPr>
        <w:t xml:space="preserve"> </w:t>
      </w:r>
      <w:r w:rsidR="00C745CA" w:rsidRPr="00C745CA">
        <w:rPr>
          <w:rFonts w:ascii="Arial Narrow" w:hAnsi="Arial Narrow"/>
          <w:i/>
          <w:sz w:val="18"/>
          <w:szCs w:val="18"/>
        </w:rPr>
        <w:t>5,000 to &lt; 10,000</w:t>
      </w:r>
    </w:p>
    <w:p w14:paraId="72FDF61D" w14:textId="0048D206" w:rsidR="00F15783" w:rsidRPr="00F15783" w:rsidRDefault="00F15783" w:rsidP="00F15783">
      <w:pPr>
        <w:jc w:val="left"/>
        <w:rPr>
          <w:rFonts w:ascii="Arial Narrow" w:hAnsi="Arial Narrow"/>
          <w:i/>
          <w:sz w:val="18"/>
          <w:szCs w:val="18"/>
        </w:rPr>
      </w:pPr>
      <w:r w:rsidRPr="00F15783">
        <w:rPr>
          <w:rFonts w:ascii="Arial Narrow" w:hAnsi="Arial Narrow"/>
          <w:i/>
          <w:sz w:val="18"/>
          <w:szCs w:val="18"/>
          <w:vertAlign w:val="superscript"/>
        </w:rPr>
        <w:t>3</w:t>
      </w:r>
      <w:r w:rsidRPr="00F15783">
        <w:rPr>
          <w:rFonts w:ascii="Arial Narrow" w:hAnsi="Arial Narrow"/>
          <w:i/>
          <w:sz w:val="18"/>
          <w:szCs w:val="18"/>
        </w:rPr>
        <w:t xml:space="preserve"> </w:t>
      </w:r>
      <w:r w:rsidR="005E59C3" w:rsidRPr="005E59C3">
        <w:rPr>
          <w:rFonts w:ascii="Arial Narrow" w:hAnsi="Arial Narrow"/>
          <w:i/>
          <w:sz w:val="18"/>
          <w:szCs w:val="18"/>
        </w:rPr>
        <w:t>20,000 to &lt; 30,000</w:t>
      </w:r>
    </w:p>
    <w:p w14:paraId="13D799AB" w14:textId="765B0451" w:rsidR="00F15783" w:rsidRPr="00F15783" w:rsidRDefault="00F15783" w:rsidP="00F15783">
      <w:pPr>
        <w:jc w:val="left"/>
        <w:rPr>
          <w:rFonts w:ascii="Arial Narrow" w:hAnsi="Arial Narrow"/>
          <w:i/>
          <w:sz w:val="18"/>
          <w:szCs w:val="18"/>
        </w:rPr>
      </w:pPr>
      <w:r w:rsidRPr="00F15783">
        <w:rPr>
          <w:rFonts w:ascii="Arial Narrow" w:hAnsi="Arial Narrow"/>
          <w:i/>
          <w:sz w:val="18"/>
          <w:szCs w:val="18"/>
          <w:vertAlign w:val="superscript"/>
        </w:rPr>
        <w:t>4</w:t>
      </w:r>
      <w:r w:rsidRPr="00F15783">
        <w:rPr>
          <w:rFonts w:ascii="Arial Narrow" w:hAnsi="Arial Narrow"/>
          <w:i/>
          <w:sz w:val="18"/>
          <w:szCs w:val="18"/>
        </w:rPr>
        <w:t xml:space="preserve"> </w:t>
      </w:r>
      <w:r w:rsidR="002D715C" w:rsidRPr="002D715C">
        <w:rPr>
          <w:rFonts w:ascii="Arial Narrow" w:hAnsi="Arial Narrow"/>
          <w:i/>
          <w:sz w:val="18"/>
          <w:szCs w:val="18"/>
        </w:rPr>
        <w:t>40,000 to &lt; 50,000</w:t>
      </w:r>
    </w:p>
    <w:p w14:paraId="512EF496" w14:textId="1C114C6A" w:rsidR="00F15783" w:rsidRPr="00F15783" w:rsidRDefault="00F15783" w:rsidP="00F15783">
      <w:pPr>
        <w:jc w:val="left"/>
        <w:rPr>
          <w:rFonts w:ascii="Arial Narrow" w:hAnsi="Arial Narrow"/>
          <w:i/>
          <w:sz w:val="18"/>
          <w:szCs w:val="18"/>
        </w:rPr>
      </w:pPr>
      <w:r w:rsidRPr="00F15783">
        <w:rPr>
          <w:rFonts w:ascii="Arial Narrow" w:hAnsi="Arial Narrow"/>
          <w:i/>
          <w:sz w:val="18"/>
          <w:szCs w:val="18"/>
          <w:vertAlign w:val="superscript"/>
        </w:rPr>
        <w:t>5</w:t>
      </w:r>
      <w:r w:rsidRPr="00F15783">
        <w:rPr>
          <w:rFonts w:ascii="Arial Narrow" w:hAnsi="Arial Narrow"/>
          <w:i/>
          <w:sz w:val="18"/>
          <w:szCs w:val="18"/>
        </w:rPr>
        <w:t xml:space="preserve"> </w:t>
      </w:r>
      <w:r w:rsidR="00E12E45" w:rsidRPr="00E12E45">
        <w:rPr>
          <w:rFonts w:ascii="Arial Narrow" w:hAnsi="Arial Narrow"/>
          <w:i/>
          <w:sz w:val="18"/>
          <w:szCs w:val="18"/>
        </w:rPr>
        <w:t>50,000 to &lt; 60,000</w:t>
      </w:r>
    </w:p>
    <w:p w14:paraId="2639A811" w14:textId="77777777" w:rsidR="00BF293E" w:rsidRPr="00BF293E" w:rsidRDefault="00F15783" w:rsidP="00BF293E">
      <w:pPr>
        <w:jc w:val="left"/>
        <w:rPr>
          <w:rFonts w:ascii="Arial Narrow" w:hAnsi="Arial Narrow"/>
          <w:i/>
          <w:sz w:val="18"/>
          <w:szCs w:val="18"/>
        </w:rPr>
      </w:pPr>
      <w:r w:rsidRPr="00F15783">
        <w:rPr>
          <w:rFonts w:ascii="Arial Narrow" w:hAnsi="Arial Narrow"/>
          <w:i/>
          <w:sz w:val="18"/>
          <w:szCs w:val="18"/>
          <w:vertAlign w:val="superscript"/>
        </w:rPr>
        <w:t>6</w:t>
      </w:r>
      <w:r w:rsidRPr="00F15783">
        <w:rPr>
          <w:rFonts w:ascii="Arial Narrow" w:hAnsi="Arial Narrow"/>
          <w:i/>
          <w:sz w:val="18"/>
          <w:szCs w:val="18"/>
        </w:rPr>
        <w:t xml:space="preserve"> </w:t>
      </w:r>
      <w:r w:rsidR="00BF293E" w:rsidRPr="00BF293E">
        <w:rPr>
          <w:rFonts w:ascii="Arial Narrow" w:hAnsi="Arial Narrow"/>
          <w:i/>
          <w:sz w:val="18"/>
          <w:szCs w:val="18"/>
        </w:rPr>
        <w:t>60,000 to &lt; 70,000</w:t>
      </w:r>
    </w:p>
    <w:p w14:paraId="1169F291" w14:textId="30D247FB" w:rsidR="00F15783" w:rsidRPr="00D41188" w:rsidRDefault="00BF293E" w:rsidP="00F15783">
      <w:pPr>
        <w:jc w:val="left"/>
        <w:rPr>
          <w:rFonts w:ascii="Arial Narrow" w:hAnsi="Arial Narrow"/>
          <w:i/>
          <w:sz w:val="18"/>
          <w:szCs w:val="18"/>
        </w:rPr>
      </w:pPr>
      <w:r>
        <w:rPr>
          <w:rFonts w:ascii="Arial Narrow" w:hAnsi="Arial Narrow"/>
          <w:i/>
          <w:sz w:val="18"/>
          <w:szCs w:val="18"/>
          <w:vertAlign w:val="superscript"/>
        </w:rPr>
        <w:t>7</w:t>
      </w:r>
      <w:r w:rsidR="00D41188">
        <w:rPr>
          <w:rFonts w:ascii="Arial Narrow" w:hAnsi="Arial Narrow"/>
          <w:i/>
          <w:sz w:val="18"/>
          <w:szCs w:val="18"/>
        </w:rPr>
        <w:t xml:space="preserve"> </w:t>
      </w:r>
      <w:r w:rsidR="00D41188" w:rsidRPr="00D41188">
        <w:rPr>
          <w:rFonts w:ascii="Arial Narrow" w:hAnsi="Arial Narrow"/>
          <w:i/>
          <w:sz w:val="18"/>
          <w:szCs w:val="18"/>
        </w:rPr>
        <w:t>$20 million to &lt; $30 million</w:t>
      </w:r>
    </w:p>
    <w:p w14:paraId="3D280920" w14:textId="0CD6819A" w:rsidR="00BF293E" w:rsidRDefault="00BF293E" w:rsidP="00F15783">
      <w:pPr>
        <w:jc w:val="left"/>
        <w:rPr>
          <w:rFonts w:ascii="Arial Narrow" w:hAnsi="Arial Narrow"/>
          <w:i/>
          <w:sz w:val="18"/>
          <w:szCs w:val="18"/>
        </w:rPr>
      </w:pPr>
      <w:r>
        <w:rPr>
          <w:rFonts w:ascii="Arial Narrow" w:hAnsi="Arial Narrow"/>
          <w:i/>
          <w:sz w:val="18"/>
          <w:szCs w:val="18"/>
          <w:vertAlign w:val="superscript"/>
        </w:rPr>
        <w:t>8</w:t>
      </w:r>
      <w:r w:rsidR="0033527C">
        <w:rPr>
          <w:rFonts w:ascii="Arial Narrow" w:hAnsi="Arial Narrow"/>
          <w:i/>
          <w:sz w:val="18"/>
          <w:szCs w:val="18"/>
          <w:vertAlign w:val="superscript"/>
        </w:rPr>
        <w:t xml:space="preserve"> </w:t>
      </w:r>
      <w:r w:rsidR="0033527C" w:rsidRPr="0033527C">
        <w:rPr>
          <w:rFonts w:ascii="Arial Narrow" w:hAnsi="Arial Narrow"/>
          <w:i/>
          <w:sz w:val="18"/>
          <w:szCs w:val="18"/>
        </w:rPr>
        <w:t>$40 million to &lt; $50 million</w:t>
      </w:r>
    </w:p>
    <w:p w14:paraId="4146D6DA" w14:textId="75BDA518" w:rsidR="0033527C" w:rsidRPr="00B97E92" w:rsidRDefault="0033527C" w:rsidP="00F15783">
      <w:pPr>
        <w:jc w:val="left"/>
        <w:rPr>
          <w:rFonts w:ascii="Arial Narrow" w:hAnsi="Arial Narrow"/>
          <w:i/>
          <w:sz w:val="18"/>
          <w:szCs w:val="18"/>
        </w:rPr>
      </w:pPr>
      <w:r>
        <w:rPr>
          <w:rFonts w:ascii="Arial Narrow" w:hAnsi="Arial Narrow"/>
          <w:i/>
          <w:sz w:val="18"/>
          <w:szCs w:val="18"/>
          <w:vertAlign w:val="superscript"/>
        </w:rPr>
        <w:t>9</w:t>
      </w:r>
      <w:r w:rsidR="00B97E92">
        <w:rPr>
          <w:rFonts w:ascii="Arial Narrow" w:hAnsi="Arial Narrow"/>
          <w:i/>
          <w:sz w:val="18"/>
          <w:szCs w:val="18"/>
          <w:vertAlign w:val="superscript"/>
        </w:rPr>
        <w:t xml:space="preserve"> </w:t>
      </w:r>
      <w:r w:rsidR="00B97E92" w:rsidRPr="00B97E92">
        <w:rPr>
          <w:rFonts w:ascii="Arial Narrow" w:hAnsi="Arial Narrow"/>
          <w:i/>
          <w:sz w:val="18"/>
          <w:szCs w:val="18"/>
        </w:rPr>
        <w:t>$50 million to &lt; $60 million</w:t>
      </w:r>
    </w:p>
    <w:p w14:paraId="1F0DB749" w14:textId="10F62585" w:rsidR="0033527C" w:rsidRPr="001F2717" w:rsidRDefault="0033527C" w:rsidP="00F15783">
      <w:pPr>
        <w:jc w:val="left"/>
        <w:rPr>
          <w:rFonts w:ascii="Arial Narrow" w:hAnsi="Arial Narrow"/>
          <w:i/>
          <w:sz w:val="18"/>
          <w:szCs w:val="18"/>
        </w:rPr>
      </w:pPr>
      <w:r>
        <w:rPr>
          <w:rFonts w:ascii="Arial Narrow" w:hAnsi="Arial Narrow"/>
          <w:i/>
          <w:sz w:val="18"/>
          <w:szCs w:val="18"/>
          <w:vertAlign w:val="superscript"/>
        </w:rPr>
        <w:t>10</w:t>
      </w:r>
      <w:r w:rsidR="001F2717">
        <w:rPr>
          <w:rFonts w:ascii="Arial Narrow" w:hAnsi="Arial Narrow"/>
          <w:i/>
          <w:sz w:val="18"/>
          <w:szCs w:val="18"/>
          <w:vertAlign w:val="superscript"/>
        </w:rPr>
        <w:t xml:space="preserve"> </w:t>
      </w:r>
      <w:r w:rsidR="001F2717" w:rsidRPr="001F2717">
        <w:rPr>
          <w:rFonts w:ascii="Arial Narrow" w:hAnsi="Arial Narrow"/>
          <w:i/>
          <w:sz w:val="18"/>
          <w:szCs w:val="18"/>
        </w:rPr>
        <w:t>$60 million to &lt; $70 million</w:t>
      </w:r>
    </w:p>
    <w:p w14:paraId="357FAF77" w14:textId="0299EB7A" w:rsidR="0033527C" w:rsidRPr="00DB1A35" w:rsidRDefault="0033527C" w:rsidP="00F15783">
      <w:pPr>
        <w:jc w:val="left"/>
        <w:rPr>
          <w:rFonts w:ascii="Arial Narrow" w:hAnsi="Arial Narrow"/>
          <w:i/>
          <w:sz w:val="18"/>
          <w:szCs w:val="18"/>
        </w:rPr>
      </w:pPr>
      <w:r>
        <w:rPr>
          <w:rFonts w:ascii="Arial Narrow" w:hAnsi="Arial Narrow"/>
          <w:i/>
          <w:sz w:val="18"/>
          <w:szCs w:val="18"/>
          <w:vertAlign w:val="superscript"/>
        </w:rPr>
        <w:t>11</w:t>
      </w:r>
      <w:r w:rsidR="00DB1A35">
        <w:rPr>
          <w:rFonts w:ascii="Arial Narrow" w:hAnsi="Arial Narrow"/>
          <w:i/>
          <w:sz w:val="18"/>
          <w:szCs w:val="18"/>
          <w:vertAlign w:val="superscript"/>
        </w:rPr>
        <w:t xml:space="preserve"> </w:t>
      </w:r>
      <w:r w:rsidR="00DB1A35" w:rsidRPr="00DB1A35">
        <w:rPr>
          <w:rFonts w:ascii="Arial Narrow" w:hAnsi="Arial Narrow"/>
          <w:i/>
          <w:sz w:val="18"/>
          <w:szCs w:val="18"/>
        </w:rPr>
        <w:t>$0 to &lt; $10 million</w:t>
      </w:r>
    </w:p>
    <w:p w14:paraId="44262699" w14:textId="241D15E6" w:rsidR="0033527C" w:rsidRPr="008B48F0" w:rsidRDefault="0033527C" w:rsidP="00F15783">
      <w:pPr>
        <w:jc w:val="left"/>
        <w:rPr>
          <w:rFonts w:ascii="Arial Narrow" w:hAnsi="Arial Narrow"/>
          <w:i/>
          <w:sz w:val="18"/>
          <w:szCs w:val="18"/>
        </w:rPr>
      </w:pPr>
      <w:r>
        <w:rPr>
          <w:rFonts w:ascii="Arial Narrow" w:hAnsi="Arial Narrow"/>
          <w:i/>
          <w:sz w:val="18"/>
          <w:szCs w:val="18"/>
          <w:vertAlign w:val="superscript"/>
        </w:rPr>
        <w:t>12</w:t>
      </w:r>
      <w:r w:rsidR="008B48F0">
        <w:rPr>
          <w:rFonts w:ascii="Arial Narrow" w:hAnsi="Arial Narrow"/>
          <w:i/>
          <w:sz w:val="18"/>
          <w:szCs w:val="18"/>
          <w:vertAlign w:val="superscript"/>
        </w:rPr>
        <w:t xml:space="preserve"> </w:t>
      </w:r>
      <w:r w:rsidR="008B48F0" w:rsidRPr="008B48F0">
        <w:rPr>
          <w:rFonts w:ascii="Arial Narrow" w:hAnsi="Arial Narrow"/>
          <w:i/>
          <w:sz w:val="18"/>
          <w:szCs w:val="18"/>
        </w:rPr>
        <w:t>$10 million to &lt; $20 million</w:t>
      </w:r>
    </w:p>
    <w:p w14:paraId="4C898116" w14:textId="2A265650" w:rsidR="0033527C" w:rsidRDefault="0033527C" w:rsidP="00F15783">
      <w:pPr>
        <w:jc w:val="left"/>
        <w:rPr>
          <w:rFonts w:ascii="Arial Narrow" w:hAnsi="Arial Narrow"/>
          <w:i/>
          <w:sz w:val="18"/>
          <w:szCs w:val="18"/>
        </w:rPr>
      </w:pPr>
      <w:r>
        <w:rPr>
          <w:rFonts w:ascii="Arial Narrow" w:hAnsi="Arial Narrow"/>
          <w:i/>
          <w:sz w:val="18"/>
          <w:szCs w:val="18"/>
          <w:vertAlign w:val="superscript"/>
        </w:rPr>
        <w:t>13</w:t>
      </w:r>
      <w:r w:rsidR="00D70AA6">
        <w:rPr>
          <w:rFonts w:ascii="Arial Narrow" w:hAnsi="Arial Narrow"/>
          <w:i/>
          <w:sz w:val="18"/>
          <w:szCs w:val="18"/>
          <w:vertAlign w:val="superscript"/>
        </w:rPr>
        <w:t xml:space="preserve"> </w:t>
      </w:r>
      <w:r w:rsidR="00343BE0" w:rsidRPr="00343BE0">
        <w:rPr>
          <w:rFonts w:ascii="Arial Narrow" w:hAnsi="Arial Narrow"/>
          <w:i/>
          <w:sz w:val="18"/>
          <w:szCs w:val="18"/>
        </w:rPr>
        <w:t>$30 million to &lt; $40 million</w:t>
      </w:r>
    </w:p>
    <w:p w14:paraId="11C25986" w14:textId="6648905B" w:rsidR="00C7671A" w:rsidRPr="00413686" w:rsidRDefault="00C7671A" w:rsidP="00F15783">
      <w:pPr>
        <w:jc w:val="left"/>
        <w:rPr>
          <w:rFonts w:ascii="Arial Narrow" w:hAnsi="Arial Narrow"/>
          <w:i/>
          <w:sz w:val="18"/>
          <w:szCs w:val="18"/>
        </w:rPr>
      </w:pPr>
      <w:r>
        <w:rPr>
          <w:rFonts w:ascii="Arial Narrow" w:hAnsi="Arial Narrow"/>
          <w:i/>
          <w:sz w:val="18"/>
          <w:szCs w:val="18"/>
          <w:vertAlign w:val="superscript"/>
        </w:rPr>
        <w:t>14</w:t>
      </w:r>
      <w:r w:rsidR="00413686">
        <w:rPr>
          <w:rFonts w:ascii="Arial Narrow" w:hAnsi="Arial Narrow"/>
          <w:i/>
          <w:sz w:val="18"/>
          <w:szCs w:val="18"/>
        </w:rPr>
        <w:t xml:space="preserve"> </w:t>
      </w:r>
      <w:r w:rsidR="00413686" w:rsidRPr="00413686">
        <w:rPr>
          <w:rFonts w:ascii="Arial Narrow" w:hAnsi="Arial Narrow"/>
          <w:i/>
          <w:sz w:val="18"/>
          <w:szCs w:val="18"/>
        </w:rPr>
        <w:t>$70 million to &lt; $80 million</w:t>
      </w:r>
    </w:p>
    <w:p w14:paraId="24D7AAC9" w14:textId="63112370" w:rsidR="007F4BC5" w:rsidRDefault="00C7671A" w:rsidP="00A4596F">
      <w:pPr>
        <w:jc w:val="left"/>
        <w:rPr>
          <w:rFonts w:ascii="Arial Narrow" w:hAnsi="Arial Narrow"/>
          <w:i/>
          <w:sz w:val="18"/>
          <w:szCs w:val="18"/>
        </w:rPr>
      </w:pPr>
      <w:r>
        <w:rPr>
          <w:rFonts w:ascii="Arial Narrow" w:hAnsi="Arial Narrow"/>
          <w:i/>
          <w:sz w:val="18"/>
          <w:szCs w:val="18"/>
          <w:vertAlign w:val="superscript"/>
        </w:rPr>
        <w:t>15</w:t>
      </w:r>
      <w:r w:rsidR="0023603E">
        <w:rPr>
          <w:rFonts w:ascii="Arial Narrow" w:hAnsi="Arial Narrow"/>
          <w:i/>
          <w:sz w:val="18"/>
          <w:szCs w:val="18"/>
          <w:vertAlign w:val="superscript"/>
        </w:rPr>
        <w:t xml:space="preserve"> </w:t>
      </w:r>
      <w:r w:rsidR="0023603E" w:rsidRPr="0023603E">
        <w:rPr>
          <w:rFonts w:ascii="Arial Narrow" w:hAnsi="Arial Narrow"/>
          <w:i/>
          <w:sz w:val="18"/>
          <w:szCs w:val="18"/>
        </w:rPr>
        <w:t>$80 million to &lt; $90 million</w:t>
      </w:r>
    </w:p>
    <w:p w14:paraId="43B3C2D1" w14:textId="77777777" w:rsidR="00A4596F" w:rsidRPr="00A4596F" w:rsidRDefault="00A4596F" w:rsidP="00A4596F">
      <w:pPr>
        <w:jc w:val="left"/>
        <w:rPr>
          <w:rFonts w:ascii="Arial Narrow" w:hAnsi="Arial Narrow"/>
          <w:i/>
          <w:sz w:val="18"/>
          <w:szCs w:val="18"/>
        </w:rPr>
      </w:pPr>
    </w:p>
    <w:p w14:paraId="00BF9A45" w14:textId="7C9405E5" w:rsidR="007F4BC5" w:rsidRPr="00480491" w:rsidRDefault="007F4BC5" w:rsidP="001A7CE8">
      <w:pPr>
        <w:numPr>
          <w:ilvl w:val="1"/>
          <w:numId w:val="6"/>
        </w:numPr>
        <w:spacing w:before="60" w:after="60"/>
        <w:rPr>
          <w:rFonts w:asciiTheme="minorHAnsi" w:eastAsiaTheme="minorHAnsi" w:hAnsiTheme="minorHAnsi" w:cstheme="minorBidi"/>
          <w:color w:val="0066FF"/>
          <w:szCs w:val="22"/>
        </w:rPr>
      </w:pPr>
      <w:bookmarkStart w:id="80" w:name="_Ref222334832"/>
      <w:r w:rsidRPr="00480491">
        <w:rPr>
          <w:rFonts w:asciiTheme="minorHAnsi" w:eastAsiaTheme="minorHAnsi" w:hAnsiTheme="minorHAnsi" w:cstheme="minorBidi"/>
          <w:szCs w:val="22"/>
        </w:rPr>
        <w:t xml:space="preserve">The submission estimated a cost of </w:t>
      </w:r>
      <w:r w:rsidR="005365E3" w:rsidRPr="005365E3">
        <w:rPr>
          <w:rFonts w:asciiTheme="minorHAnsi" w:eastAsiaTheme="minorHAnsi" w:hAnsiTheme="minorHAnsi" w:cstheme="minorBidi"/>
          <w:szCs w:val="22"/>
        </w:rPr>
        <w:t>$20 million to &lt; $30 million</w:t>
      </w:r>
      <w:r w:rsidRPr="00480491">
        <w:rPr>
          <w:rFonts w:asciiTheme="minorHAnsi" w:eastAsiaTheme="minorHAnsi" w:hAnsiTheme="minorHAnsi" w:cstheme="minorBidi"/>
          <w:szCs w:val="22"/>
        </w:rPr>
        <w:t xml:space="preserve"> in year 1, increasing to </w:t>
      </w:r>
      <w:r w:rsidR="0031498D" w:rsidRPr="0031498D">
        <w:rPr>
          <w:rFonts w:asciiTheme="minorHAnsi" w:eastAsiaTheme="minorHAnsi" w:hAnsiTheme="minorHAnsi" w:cstheme="minorBidi"/>
          <w:szCs w:val="22"/>
        </w:rPr>
        <w:t>$60 million to &lt; $70 million</w:t>
      </w:r>
      <w:r w:rsidRPr="00480491">
        <w:rPr>
          <w:rFonts w:asciiTheme="minorHAnsi" w:eastAsiaTheme="minorHAnsi" w:hAnsiTheme="minorHAnsi" w:cstheme="minorBidi"/>
          <w:szCs w:val="22"/>
        </w:rPr>
        <w:t xml:space="preserve"> in year 6 and a cumulative cost of </w:t>
      </w:r>
      <w:r w:rsidR="006D5083" w:rsidRPr="006D5083">
        <w:rPr>
          <w:rFonts w:asciiTheme="minorHAnsi" w:eastAsiaTheme="minorHAnsi" w:hAnsiTheme="minorHAnsi" w:cstheme="minorBidi"/>
          <w:szCs w:val="22"/>
        </w:rPr>
        <w:t>$300 million to &lt; $400 million</w:t>
      </w:r>
      <w:r w:rsidRPr="00480491">
        <w:rPr>
          <w:rFonts w:asciiTheme="minorHAnsi" w:eastAsiaTheme="minorHAnsi" w:hAnsiTheme="minorHAnsi" w:cstheme="minorBidi"/>
          <w:szCs w:val="22"/>
        </w:rPr>
        <w:t xml:space="preserve"> over the first 6 years of listing. As noted previously, the submission assumed that all patients would be treated with ACP EOM after the first year which </w:t>
      </w:r>
      <w:r w:rsidR="00281C24" w:rsidRPr="00C17763">
        <w:rPr>
          <w:rFonts w:asciiTheme="minorHAnsi" w:eastAsiaTheme="minorHAnsi" w:hAnsiTheme="minorHAnsi" w:cstheme="minorBidi"/>
          <w:szCs w:val="22"/>
        </w:rPr>
        <w:t>the ESC considered was</w:t>
      </w:r>
      <w:r w:rsidR="00281C24">
        <w:rPr>
          <w:rFonts w:asciiTheme="minorHAnsi" w:eastAsiaTheme="minorHAnsi" w:hAnsiTheme="minorHAnsi" w:cstheme="minorBidi"/>
          <w:szCs w:val="22"/>
        </w:rPr>
        <w:t xml:space="preserve"> </w:t>
      </w:r>
      <w:r w:rsidRPr="00480491">
        <w:rPr>
          <w:rFonts w:asciiTheme="minorHAnsi" w:eastAsiaTheme="minorHAnsi" w:hAnsiTheme="minorHAnsi" w:cstheme="minorBidi"/>
          <w:szCs w:val="22"/>
        </w:rPr>
        <w:t xml:space="preserve">not reasonable as the listing allows for EM/EOM dosing after year 1. </w:t>
      </w:r>
      <w:r w:rsidRPr="00480491">
        <w:rPr>
          <w:rFonts w:asciiTheme="minorHAnsi" w:eastAsiaTheme="minorHAnsi" w:hAnsiTheme="minorHAnsi" w:cstheme="minorBidi"/>
          <w:szCs w:val="22"/>
        </w:rPr>
        <w:lastRenderedPageBreak/>
        <w:t>Overall, the</w:t>
      </w:r>
      <w:r w:rsidR="001421ED">
        <w:rPr>
          <w:rFonts w:asciiTheme="minorHAnsi" w:eastAsiaTheme="minorHAnsi" w:hAnsiTheme="minorHAnsi" w:cstheme="minorBidi"/>
          <w:szCs w:val="22"/>
        </w:rPr>
        <w:t xml:space="preserve"> </w:t>
      </w:r>
      <w:r w:rsidR="001421ED" w:rsidRPr="00C17763">
        <w:rPr>
          <w:rFonts w:asciiTheme="minorHAnsi" w:eastAsiaTheme="minorHAnsi" w:hAnsiTheme="minorHAnsi" w:cstheme="minorBidi"/>
          <w:iCs/>
          <w:szCs w:val="22"/>
        </w:rPr>
        <w:t>ESC agreed with the evaluation that</w:t>
      </w:r>
      <w:r w:rsidR="001421ED" w:rsidRPr="00C17763">
        <w:rPr>
          <w:rFonts w:asciiTheme="minorHAnsi" w:eastAsiaTheme="minorHAnsi" w:hAnsiTheme="minorHAnsi" w:cstheme="minorBidi"/>
          <w:szCs w:val="22"/>
        </w:rPr>
        <w:t xml:space="preserve"> the</w:t>
      </w:r>
      <w:r w:rsidRPr="00480491">
        <w:rPr>
          <w:rFonts w:asciiTheme="minorHAnsi" w:eastAsiaTheme="minorHAnsi" w:hAnsiTheme="minorHAnsi" w:cstheme="minorBidi"/>
          <w:szCs w:val="22"/>
        </w:rPr>
        <w:t xml:space="preserve"> net costs to the PBS/RPBS have been underestimated in the submission. </w:t>
      </w:r>
      <w:r w:rsidR="000B3452" w:rsidRPr="00C17763">
        <w:rPr>
          <w:rFonts w:asciiTheme="minorHAnsi" w:eastAsiaTheme="minorHAnsi" w:hAnsiTheme="minorHAnsi" w:cstheme="minorBidi"/>
          <w:szCs w:val="22"/>
        </w:rPr>
        <w:t xml:space="preserve">The ESC considered it more </w:t>
      </w:r>
      <w:r w:rsidR="00BE3A00" w:rsidRPr="00C17763">
        <w:rPr>
          <w:rFonts w:asciiTheme="minorHAnsi" w:eastAsiaTheme="minorHAnsi" w:hAnsiTheme="minorHAnsi" w:cstheme="minorBidi"/>
          <w:szCs w:val="22"/>
        </w:rPr>
        <w:t>appropriate</w:t>
      </w:r>
      <w:r w:rsidR="003A00B9" w:rsidRPr="00C17763">
        <w:rPr>
          <w:rFonts w:asciiTheme="minorHAnsi" w:eastAsiaTheme="minorHAnsi" w:hAnsiTheme="minorHAnsi" w:cstheme="minorBidi"/>
          <w:szCs w:val="22"/>
        </w:rPr>
        <w:t xml:space="preserve"> to </w:t>
      </w:r>
      <w:r w:rsidR="00BE3A00" w:rsidRPr="00C17763">
        <w:rPr>
          <w:rFonts w:asciiTheme="minorHAnsi" w:eastAsiaTheme="minorHAnsi" w:hAnsiTheme="minorHAnsi" w:cstheme="minorBidi"/>
          <w:szCs w:val="22"/>
        </w:rPr>
        <w:t>anticipate</w:t>
      </w:r>
      <w:r w:rsidR="003A00B9" w:rsidRPr="00C17763">
        <w:rPr>
          <w:rFonts w:asciiTheme="minorHAnsi" w:eastAsiaTheme="minorHAnsi" w:hAnsiTheme="minorHAnsi" w:cstheme="minorBidi"/>
          <w:szCs w:val="22"/>
        </w:rPr>
        <w:t xml:space="preserve"> </w:t>
      </w:r>
      <w:r w:rsidR="000B3452" w:rsidRPr="00C17763">
        <w:rPr>
          <w:rFonts w:asciiTheme="minorHAnsi" w:eastAsiaTheme="minorHAnsi" w:hAnsiTheme="minorHAnsi" w:cstheme="minorBidi"/>
          <w:szCs w:val="22"/>
        </w:rPr>
        <w:t xml:space="preserve">that </w:t>
      </w:r>
      <w:r w:rsidR="00B4311C" w:rsidRPr="00C17763">
        <w:rPr>
          <w:rFonts w:asciiTheme="minorHAnsi" w:eastAsiaTheme="minorHAnsi" w:hAnsiTheme="minorHAnsi" w:cstheme="minorBidi"/>
          <w:szCs w:val="22"/>
        </w:rPr>
        <w:t xml:space="preserve">50% of patients would </w:t>
      </w:r>
      <w:r w:rsidR="00BE3A00" w:rsidRPr="00C17763">
        <w:rPr>
          <w:rFonts w:asciiTheme="minorHAnsi" w:eastAsiaTheme="minorHAnsi" w:hAnsiTheme="minorHAnsi" w:cstheme="minorBidi"/>
          <w:szCs w:val="22"/>
        </w:rPr>
        <w:t xml:space="preserve">likely </w:t>
      </w:r>
      <w:r w:rsidR="00B4311C" w:rsidRPr="00C17763">
        <w:rPr>
          <w:rFonts w:asciiTheme="minorHAnsi" w:eastAsiaTheme="minorHAnsi" w:hAnsiTheme="minorHAnsi" w:cstheme="minorBidi"/>
          <w:szCs w:val="22"/>
        </w:rPr>
        <w:t>continue to use EM dosing of ACP after 1 year</w:t>
      </w:r>
      <w:r w:rsidR="00803921" w:rsidRPr="00C17763">
        <w:rPr>
          <w:rFonts w:asciiTheme="minorHAnsi" w:eastAsiaTheme="minorHAnsi" w:hAnsiTheme="minorHAnsi" w:cstheme="minorBidi"/>
          <w:szCs w:val="22"/>
        </w:rPr>
        <w:t xml:space="preserve">. The ESC noted that while the estimated cost to the PBS/RPBS </w:t>
      </w:r>
      <w:r w:rsidR="00167917" w:rsidRPr="00C17763">
        <w:rPr>
          <w:rFonts w:asciiTheme="minorHAnsi" w:eastAsiaTheme="minorHAnsi" w:hAnsiTheme="minorHAnsi" w:cstheme="minorBidi"/>
          <w:szCs w:val="22"/>
        </w:rPr>
        <w:t xml:space="preserve">remained the same in year </w:t>
      </w:r>
      <w:r w:rsidR="00163B1E" w:rsidRPr="00C17763">
        <w:rPr>
          <w:rFonts w:asciiTheme="minorHAnsi" w:eastAsiaTheme="minorHAnsi" w:hAnsiTheme="minorHAnsi" w:cstheme="minorBidi"/>
          <w:szCs w:val="22"/>
        </w:rPr>
        <w:t>1</w:t>
      </w:r>
      <w:r w:rsidR="00D9652C" w:rsidRPr="00C17763">
        <w:rPr>
          <w:rFonts w:asciiTheme="minorHAnsi" w:eastAsiaTheme="minorHAnsi" w:hAnsiTheme="minorHAnsi" w:cstheme="minorBidi"/>
          <w:szCs w:val="22"/>
        </w:rPr>
        <w:t xml:space="preserve"> </w:t>
      </w:r>
      <w:r w:rsidR="00EC524E" w:rsidRPr="00C17763">
        <w:rPr>
          <w:rFonts w:asciiTheme="minorHAnsi" w:eastAsiaTheme="minorHAnsi" w:hAnsiTheme="minorHAnsi" w:cstheme="minorBidi"/>
          <w:szCs w:val="22"/>
        </w:rPr>
        <w:t>(</w:t>
      </w:r>
      <w:r w:rsidR="0039615E" w:rsidRPr="0039615E">
        <w:rPr>
          <w:rFonts w:asciiTheme="minorHAnsi" w:eastAsiaTheme="minorHAnsi" w:hAnsiTheme="minorHAnsi" w:cstheme="minorBidi"/>
          <w:szCs w:val="22"/>
        </w:rPr>
        <w:t>$20 million to &lt; $30 million</w:t>
      </w:r>
      <w:r w:rsidR="00AF1309" w:rsidRPr="00C17763">
        <w:rPr>
          <w:rFonts w:asciiTheme="minorHAnsi" w:eastAsiaTheme="minorHAnsi" w:hAnsiTheme="minorHAnsi" w:cstheme="minorBidi"/>
          <w:szCs w:val="22"/>
        </w:rPr>
        <w:t>)</w:t>
      </w:r>
      <w:r w:rsidR="00C82F80" w:rsidRPr="00C17763">
        <w:rPr>
          <w:rFonts w:asciiTheme="minorHAnsi" w:eastAsiaTheme="minorHAnsi" w:hAnsiTheme="minorHAnsi" w:cstheme="minorBidi"/>
          <w:szCs w:val="22"/>
        </w:rPr>
        <w:t>, th</w:t>
      </w:r>
      <w:r w:rsidR="003B1CAC" w:rsidRPr="00C17763">
        <w:rPr>
          <w:rFonts w:asciiTheme="minorHAnsi" w:eastAsiaTheme="minorHAnsi" w:hAnsiTheme="minorHAnsi" w:cstheme="minorBidi"/>
          <w:szCs w:val="22"/>
        </w:rPr>
        <w:t xml:space="preserve">e estimated cost increased to </w:t>
      </w:r>
      <w:r w:rsidR="006A1523" w:rsidRPr="006A1523">
        <w:rPr>
          <w:rFonts w:asciiTheme="minorHAnsi" w:eastAsiaTheme="minorHAnsi" w:hAnsiTheme="minorHAnsi" w:cstheme="minorBidi"/>
          <w:szCs w:val="22"/>
        </w:rPr>
        <w:t>$70 million to &lt; $80 million</w:t>
      </w:r>
      <w:r w:rsidR="00804BF6" w:rsidRPr="00C17763">
        <w:rPr>
          <w:rFonts w:asciiTheme="minorHAnsi" w:eastAsiaTheme="minorHAnsi" w:hAnsiTheme="minorHAnsi" w:cstheme="minorBidi"/>
          <w:szCs w:val="22"/>
        </w:rPr>
        <w:t xml:space="preserve"> in year 6 with a cumulative cost of </w:t>
      </w:r>
      <w:r w:rsidR="00294706" w:rsidRPr="00294706">
        <w:rPr>
          <w:rFonts w:asciiTheme="minorHAnsi" w:eastAsiaTheme="minorHAnsi" w:hAnsiTheme="minorHAnsi" w:cstheme="minorBidi"/>
          <w:szCs w:val="22"/>
        </w:rPr>
        <w:t>$300 million to &lt; $400 million</w:t>
      </w:r>
      <w:r w:rsidR="00CD579A" w:rsidRPr="00C17763">
        <w:rPr>
          <w:rFonts w:asciiTheme="minorHAnsi" w:eastAsiaTheme="minorHAnsi" w:hAnsiTheme="minorHAnsi" w:cstheme="minorBidi"/>
          <w:szCs w:val="22"/>
        </w:rPr>
        <w:t xml:space="preserve"> over the first 6 years of listing</w:t>
      </w:r>
      <w:r w:rsidR="00422B37" w:rsidRPr="00C17763">
        <w:rPr>
          <w:rFonts w:asciiTheme="minorHAnsi" w:eastAsiaTheme="minorHAnsi" w:hAnsiTheme="minorHAnsi" w:cstheme="minorBidi"/>
          <w:iCs/>
          <w:szCs w:val="22"/>
        </w:rPr>
        <w:t>.</w:t>
      </w:r>
      <w:bookmarkEnd w:id="80"/>
      <w:r w:rsidR="00422B37" w:rsidRPr="00C17763">
        <w:rPr>
          <w:rFonts w:asciiTheme="minorHAnsi" w:eastAsiaTheme="minorHAnsi" w:hAnsiTheme="minorHAnsi" w:cstheme="minorBidi"/>
          <w:iCs/>
          <w:szCs w:val="22"/>
        </w:rPr>
        <w:t xml:space="preserve"> </w:t>
      </w:r>
    </w:p>
    <w:bookmarkEnd w:id="61"/>
    <w:bookmarkEnd w:id="77"/>
    <w:p w14:paraId="3776E03E" w14:textId="77777777" w:rsidR="001E03CC" w:rsidRPr="007F4BC5" w:rsidRDefault="001E03CC" w:rsidP="001E03CC">
      <w:pPr>
        <w:keepNext/>
        <w:spacing w:before="120" w:after="120"/>
        <w:outlineLvl w:val="1"/>
        <w:rPr>
          <w:rFonts w:asciiTheme="minorHAnsi" w:eastAsiaTheme="majorEastAsia" w:hAnsiTheme="minorHAnsi" w:cstheme="majorBidi"/>
          <w:b/>
          <w:i/>
          <w:spacing w:val="5"/>
          <w:kern w:val="28"/>
          <w:sz w:val="28"/>
          <w:szCs w:val="36"/>
          <w:lang w:eastAsia="en-US"/>
        </w:rPr>
      </w:pPr>
      <w:r w:rsidRPr="007F4BC5">
        <w:rPr>
          <w:rFonts w:asciiTheme="minorHAnsi" w:eastAsiaTheme="majorEastAsia" w:hAnsiTheme="minorHAnsi" w:cstheme="majorBidi"/>
          <w:b/>
          <w:i/>
          <w:spacing w:val="5"/>
          <w:kern w:val="28"/>
          <w:sz w:val="28"/>
          <w:szCs w:val="36"/>
          <w:lang w:eastAsia="en-US"/>
        </w:rPr>
        <w:t>Quality Use of Medicines</w:t>
      </w:r>
    </w:p>
    <w:p w14:paraId="6DA480D9" w14:textId="3EE6B4BB" w:rsidR="0029317F" w:rsidRDefault="001E03CC" w:rsidP="001A7CE8">
      <w:pPr>
        <w:numPr>
          <w:ilvl w:val="1"/>
          <w:numId w:val="6"/>
        </w:numPr>
        <w:spacing w:before="60" w:after="60"/>
        <w:rPr>
          <w:rFonts w:asciiTheme="minorHAnsi" w:eastAsiaTheme="minorHAnsi" w:hAnsiTheme="minorHAnsi" w:cstheme="minorBidi"/>
          <w:szCs w:val="22"/>
        </w:rPr>
      </w:pPr>
      <w:r w:rsidRPr="007F4BC5">
        <w:rPr>
          <w:rFonts w:asciiTheme="minorHAnsi" w:eastAsiaTheme="minorHAnsi" w:hAnsiTheme="minorHAnsi" w:cstheme="minorBidi"/>
          <w:szCs w:val="22"/>
        </w:rPr>
        <w:t>The sponsor stated that comprehensive education materials that provide detailed information on the appropriate use of ACP, peer</w:t>
      </w:r>
      <w:r w:rsidR="009B60A6">
        <w:rPr>
          <w:rFonts w:asciiTheme="minorHAnsi" w:eastAsiaTheme="minorHAnsi" w:hAnsiTheme="minorHAnsi" w:cstheme="minorBidi"/>
          <w:szCs w:val="22"/>
        </w:rPr>
        <w:noBreakHyphen/>
      </w:r>
      <w:r w:rsidRPr="007F4BC5">
        <w:rPr>
          <w:rFonts w:asciiTheme="minorHAnsi" w:eastAsiaTheme="minorHAnsi" w:hAnsiTheme="minorHAnsi" w:cstheme="minorBidi"/>
          <w:szCs w:val="22"/>
        </w:rPr>
        <w:t>to</w:t>
      </w:r>
      <w:r w:rsidR="009B60A6">
        <w:rPr>
          <w:rFonts w:asciiTheme="minorHAnsi" w:eastAsiaTheme="minorHAnsi" w:hAnsiTheme="minorHAnsi" w:cstheme="minorBidi"/>
          <w:szCs w:val="22"/>
        </w:rPr>
        <w:noBreakHyphen/>
      </w:r>
      <w:r w:rsidRPr="007F4BC5">
        <w:rPr>
          <w:rFonts w:asciiTheme="minorHAnsi" w:eastAsiaTheme="minorHAnsi" w:hAnsiTheme="minorHAnsi" w:cstheme="minorBidi"/>
          <w:szCs w:val="22"/>
        </w:rPr>
        <w:t>peer education programs and a safety management program (including routine pharmacovigilance activities, real</w:t>
      </w:r>
      <w:r w:rsidR="009B60A6">
        <w:rPr>
          <w:rFonts w:asciiTheme="minorHAnsi" w:eastAsiaTheme="minorHAnsi" w:hAnsiTheme="minorHAnsi" w:cstheme="minorBidi"/>
          <w:szCs w:val="22"/>
        </w:rPr>
        <w:noBreakHyphen/>
      </w:r>
      <w:r w:rsidRPr="007F4BC5">
        <w:rPr>
          <w:rFonts w:asciiTheme="minorHAnsi" w:eastAsiaTheme="minorHAnsi" w:hAnsiTheme="minorHAnsi" w:cstheme="minorBidi"/>
          <w:szCs w:val="22"/>
        </w:rPr>
        <w:t>word evidence collection, up</w:t>
      </w:r>
      <w:r w:rsidR="009B60A6">
        <w:rPr>
          <w:rFonts w:asciiTheme="minorHAnsi" w:eastAsiaTheme="minorHAnsi" w:hAnsiTheme="minorHAnsi" w:cstheme="minorBidi"/>
          <w:szCs w:val="22"/>
        </w:rPr>
        <w:noBreakHyphen/>
      </w:r>
      <w:r w:rsidRPr="007F4BC5">
        <w:rPr>
          <w:rFonts w:asciiTheme="minorHAnsi" w:eastAsiaTheme="minorHAnsi" w:hAnsiTheme="minorHAnsi" w:cstheme="minorBidi"/>
          <w:szCs w:val="22"/>
        </w:rPr>
        <w:t>to</w:t>
      </w:r>
      <w:r w:rsidR="009B60A6">
        <w:rPr>
          <w:rFonts w:asciiTheme="minorHAnsi" w:eastAsiaTheme="minorHAnsi" w:hAnsiTheme="minorHAnsi" w:cstheme="minorBidi"/>
          <w:szCs w:val="22"/>
        </w:rPr>
        <w:noBreakHyphen/>
      </w:r>
      <w:r w:rsidRPr="007F4BC5">
        <w:rPr>
          <w:rFonts w:asciiTheme="minorHAnsi" w:eastAsiaTheme="minorHAnsi" w:hAnsiTheme="minorHAnsi" w:cstheme="minorBidi"/>
          <w:szCs w:val="22"/>
        </w:rPr>
        <w:t xml:space="preserve">date consumer medicines information and a risk management plan) would be developed </w:t>
      </w:r>
      <w:r w:rsidR="00C714C8" w:rsidRPr="007F4BC5">
        <w:rPr>
          <w:rFonts w:asciiTheme="minorHAnsi" w:eastAsiaTheme="minorHAnsi" w:hAnsiTheme="minorHAnsi" w:cstheme="minorBidi"/>
          <w:szCs w:val="22"/>
        </w:rPr>
        <w:t>i</w:t>
      </w:r>
      <w:r w:rsidR="00C714C8">
        <w:rPr>
          <w:rFonts w:asciiTheme="minorHAnsi" w:eastAsiaTheme="minorHAnsi" w:hAnsiTheme="minorHAnsi" w:cstheme="minorBidi"/>
          <w:szCs w:val="22"/>
        </w:rPr>
        <w:t>f</w:t>
      </w:r>
      <w:r w:rsidR="00C714C8" w:rsidRPr="007F4BC5">
        <w:rPr>
          <w:rFonts w:asciiTheme="minorHAnsi" w:eastAsiaTheme="minorHAnsi" w:hAnsiTheme="minorHAnsi" w:cstheme="minorBidi"/>
          <w:szCs w:val="22"/>
        </w:rPr>
        <w:t xml:space="preserve"> </w:t>
      </w:r>
      <w:r w:rsidRPr="007F4BC5">
        <w:rPr>
          <w:rFonts w:asciiTheme="minorHAnsi" w:eastAsiaTheme="minorHAnsi" w:hAnsiTheme="minorHAnsi" w:cstheme="minorBidi"/>
          <w:szCs w:val="22"/>
        </w:rPr>
        <w:t xml:space="preserve">ACP is listed on the PBS. </w:t>
      </w:r>
      <w:r w:rsidRPr="001E03CC">
        <w:rPr>
          <w:rFonts w:asciiTheme="minorHAnsi" w:eastAsiaTheme="minorHAnsi" w:hAnsiTheme="minorHAnsi" w:cstheme="minorBidi"/>
          <w:szCs w:val="22"/>
        </w:rPr>
        <w:t>No other QUM issues were identified.</w:t>
      </w:r>
      <w:r w:rsidRPr="007F4BC5">
        <w:rPr>
          <w:rFonts w:asciiTheme="minorHAnsi" w:eastAsiaTheme="minorHAnsi" w:hAnsiTheme="minorHAnsi" w:cstheme="minorBidi"/>
          <w:szCs w:val="22"/>
        </w:rPr>
        <w:t xml:space="preserve"> </w:t>
      </w:r>
    </w:p>
    <w:p w14:paraId="32452E67" w14:textId="77777777" w:rsidR="00EF53D8" w:rsidRDefault="00EF53D8" w:rsidP="00EF53D8">
      <w:pPr>
        <w:keepNext/>
        <w:spacing w:before="120" w:after="120"/>
        <w:outlineLvl w:val="1"/>
        <w:rPr>
          <w:rFonts w:asciiTheme="minorHAnsi" w:eastAsiaTheme="majorEastAsia" w:hAnsiTheme="minorHAnsi" w:cstheme="majorBidi"/>
          <w:b/>
          <w:i/>
          <w:spacing w:val="5"/>
          <w:kern w:val="28"/>
          <w:sz w:val="28"/>
          <w:szCs w:val="36"/>
          <w:lang w:eastAsia="en-US"/>
        </w:rPr>
      </w:pPr>
      <w:bookmarkStart w:id="81" w:name="_Toc219880049"/>
      <w:r w:rsidRPr="00EF53D8">
        <w:rPr>
          <w:rFonts w:asciiTheme="minorHAnsi" w:eastAsiaTheme="majorEastAsia" w:hAnsiTheme="minorHAnsi" w:cstheme="majorBidi"/>
          <w:b/>
          <w:i/>
          <w:spacing w:val="5"/>
          <w:kern w:val="28"/>
          <w:sz w:val="28"/>
          <w:szCs w:val="36"/>
          <w:lang w:eastAsia="en-US"/>
        </w:rPr>
        <w:t>Financial Management – Risk Sharing Arrangements</w:t>
      </w:r>
      <w:bookmarkEnd w:id="81"/>
    </w:p>
    <w:p w14:paraId="0ECFE900" w14:textId="11768788" w:rsidR="00EF53D8" w:rsidRPr="001A6A6B" w:rsidRDefault="00EF53D8" w:rsidP="00EF53D8">
      <w:pPr>
        <w:pStyle w:val="3-BodyText"/>
        <w:rPr>
          <w:lang w:eastAsia="en-US"/>
        </w:rPr>
      </w:pPr>
      <w:r w:rsidRPr="00C17763">
        <w:rPr>
          <w:iCs/>
          <w:lang w:eastAsia="en-US"/>
        </w:rPr>
        <w:t xml:space="preserve">The ESC noted that the submission did not propose </w:t>
      </w:r>
      <w:r w:rsidR="004357F6" w:rsidRPr="00C17763">
        <w:rPr>
          <w:iCs/>
          <w:lang w:eastAsia="en-US"/>
        </w:rPr>
        <w:t xml:space="preserve">a </w:t>
      </w:r>
      <w:r w:rsidRPr="00C17763">
        <w:rPr>
          <w:iCs/>
          <w:lang w:eastAsia="en-US"/>
        </w:rPr>
        <w:t>risk sharing arrangement</w:t>
      </w:r>
      <w:r w:rsidR="007C114D" w:rsidRPr="00C17763">
        <w:rPr>
          <w:iCs/>
          <w:lang w:eastAsia="en-US"/>
        </w:rPr>
        <w:t xml:space="preserve">. The ESC </w:t>
      </w:r>
      <w:r w:rsidR="00780388" w:rsidRPr="00C17763">
        <w:rPr>
          <w:iCs/>
          <w:lang w:eastAsia="en-US"/>
        </w:rPr>
        <w:t xml:space="preserve">considered that such an arrangement may be required to </w:t>
      </w:r>
      <w:r w:rsidR="007C114D" w:rsidRPr="00C17763">
        <w:rPr>
          <w:iCs/>
          <w:lang w:eastAsia="en-US"/>
        </w:rPr>
        <w:t xml:space="preserve">address any residual uncertainty around the patient numbers and the </w:t>
      </w:r>
      <w:r w:rsidR="00623686" w:rsidRPr="00C17763">
        <w:rPr>
          <w:iCs/>
          <w:lang w:eastAsia="en-US"/>
        </w:rPr>
        <w:t xml:space="preserve">proportion of </w:t>
      </w:r>
      <w:r w:rsidR="00E824A9" w:rsidRPr="00C17763">
        <w:rPr>
          <w:iCs/>
          <w:lang w:eastAsia="en-US"/>
        </w:rPr>
        <w:t xml:space="preserve">patients likely to receive EM </w:t>
      </w:r>
      <w:r w:rsidR="004F5492" w:rsidRPr="00C17763">
        <w:rPr>
          <w:iCs/>
          <w:lang w:eastAsia="en-US"/>
        </w:rPr>
        <w:t>or EOM dosing of ACP.</w:t>
      </w:r>
    </w:p>
    <w:p w14:paraId="2BACA702" w14:textId="1B8895A1" w:rsidR="001A6A6B" w:rsidRPr="00EF53D8" w:rsidRDefault="00817B31" w:rsidP="00EF53D8">
      <w:pPr>
        <w:pStyle w:val="3-BodyText"/>
        <w:rPr>
          <w:lang w:eastAsia="en-US"/>
        </w:rPr>
      </w:pPr>
      <w:r>
        <w:rPr>
          <w:iCs/>
          <w:lang w:eastAsia="en-US"/>
        </w:rPr>
        <w:t xml:space="preserve">In its </w:t>
      </w:r>
      <w:r w:rsidR="003E0FB4">
        <w:rPr>
          <w:iCs/>
          <w:lang w:eastAsia="en-US"/>
        </w:rPr>
        <w:t>recommendation for</w:t>
      </w:r>
      <w:r>
        <w:rPr>
          <w:iCs/>
          <w:lang w:eastAsia="en-US"/>
        </w:rPr>
        <w:t xml:space="preserve"> pegcetacoplan, t</w:t>
      </w:r>
      <w:r w:rsidR="001A6A6B">
        <w:rPr>
          <w:iCs/>
          <w:lang w:eastAsia="en-US"/>
        </w:rPr>
        <w:t xml:space="preserve">he PBAC </w:t>
      </w:r>
      <w:r w:rsidR="00690411">
        <w:rPr>
          <w:iCs/>
          <w:lang w:eastAsia="en-US"/>
        </w:rPr>
        <w:t xml:space="preserve">considered that a </w:t>
      </w:r>
      <w:r w:rsidR="00277BB1">
        <w:rPr>
          <w:iCs/>
          <w:lang w:eastAsia="en-US"/>
        </w:rPr>
        <w:t>risk sharing arrangement was required, including to address any residual uncertainty regarding estimated patient numbers</w:t>
      </w:r>
      <w:r w:rsidR="006B251D">
        <w:rPr>
          <w:iCs/>
          <w:lang w:eastAsia="en-US"/>
        </w:rPr>
        <w:t xml:space="preserve"> and </w:t>
      </w:r>
      <w:r w:rsidR="002D53AA">
        <w:rPr>
          <w:iCs/>
          <w:lang w:eastAsia="en-US"/>
        </w:rPr>
        <w:t>ensure PBS reimbursement was for treatment in one eye only</w:t>
      </w:r>
      <w:r w:rsidR="00277BB1">
        <w:rPr>
          <w:iCs/>
          <w:lang w:eastAsia="en-US"/>
        </w:rPr>
        <w:t xml:space="preserve"> (</w:t>
      </w:r>
      <w:r w:rsidR="00277BB1" w:rsidRPr="00277BB1">
        <w:rPr>
          <w:iCs/>
          <w:lang w:eastAsia="en-US"/>
        </w:rPr>
        <w:t>paragraph 7.</w:t>
      </w:r>
      <w:r w:rsidR="00277BB1">
        <w:rPr>
          <w:iCs/>
          <w:lang w:eastAsia="en-US"/>
        </w:rPr>
        <w:t>17</w:t>
      </w:r>
      <w:r w:rsidR="00277BB1" w:rsidRPr="00277BB1">
        <w:rPr>
          <w:iCs/>
          <w:lang w:eastAsia="en-US"/>
        </w:rPr>
        <w:t>, pegcetacoplan PSD, November 2025 PBAC meeting</w:t>
      </w:r>
      <w:r w:rsidR="00277BB1">
        <w:rPr>
          <w:iCs/>
          <w:lang w:eastAsia="en-US"/>
        </w:rPr>
        <w:t>).</w:t>
      </w:r>
    </w:p>
    <w:p w14:paraId="18A96C6D" w14:textId="77777777" w:rsidR="00812864" w:rsidRDefault="00812864" w:rsidP="00812864">
      <w:pPr>
        <w:ind w:firstLine="709"/>
        <w:rPr>
          <w:rFonts w:asciiTheme="minorHAnsi" w:hAnsiTheme="minorHAnsi"/>
          <w:i/>
        </w:rPr>
      </w:pPr>
    </w:p>
    <w:p w14:paraId="4DA348B2" w14:textId="732A38D3" w:rsidR="001344C1" w:rsidRPr="00166B1E" w:rsidRDefault="00812864" w:rsidP="00166B1E">
      <w:pPr>
        <w:ind w:firstLine="709"/>
        <w:rPr>
          <w:rFonts w:asciiTheme="minorHAnsi" w:hAnsiTheme="minorHAnsi"/>
          <w:i/>
        </w:rPr>
      </w:pPr>
      <w:r w:rsidRPr="00C33D30">
        <w:rPr>
          <w:rFonts w:asciiTheme="minorHAnsi" w:hAnsiTheme="minorHAnsi"/>
          <w:i/>
        </w:rPr>
        <w:t>For more detail on PBAC’s view, see section 7 PBAC outcome.</w:t>
      </w:r>
    </w:p>
    <w:p w14:paraId="51BE6B95" w14:textId="77777777" w:rsidR="00412A07" w:rsidRPr="0090150D" w:rsidRDefault="00412A07" w:rsidP="00412A07">
      <w:pPr>
        <w:pStyle w:val="2-SectionHeading"/>
        <w:numPr>
          <w:ilvl w:val="0"/>
          <w:numId w:val="1"/>
        </w:numPr>
      </w:pPr>
      <w:bookmarkStart w:id="82" w:name="_Hlk76381249"/>
      <w:bookmarkStart w:id="83" w:name="_Hlk76377955"/>
      <w:r w:rsidRPr="0090150D">
        <w:t>PBAC Outcome</w:t>
      </w:r>
    </w:p>
    <w:p w14:paraId="6928F111" w14:textId="51B1ABAA" w:rsidR="00447640" w:rsidRPr="00987AFC" w:rsidRDefault="00412A07" w:rsidP="00447640">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recommended the listing of</w:t>
      </w:r>
      <w:r w:rsidR="00C855F3">
        <w:rPr>
          <w:rFonts w:asciiTheme="minorHAnsi" w:hAnsiTheme="minorHAnsi"/>
          <w:snapToGrid w:val="0"/>
          <w:lang w:val="en-GB"/>
        </w:rPr>
        <w:t xml:space="preserve"> </w:t>
      </w:r>
      <w:r w:rsidR="00C855F3" w:rsidRPr="00E338D7">
        <w:t>avacincaptad pegol</w:t>
      </w:r>
      <w:r w:rsidR="00C855F3">
        <w:t xml:space="preserve"> (ACP)</w:t>
      </w:r>
      <w:r w:rsidRPr="00CE42B4">
        <w:rPr>
          <w:rFonts w:asciiTheme="minorHAnsi" w:hAnsiTheme="minorHAnsi"/>
          <w:snapToGrid w:val="0"/>
          <w:lang w:val="en-GB"/>
        </w:rPr>
        <w:t xml:space="preserve">, </w:t>
      </w:r>
      <w:r w:rsidR="00234F0D" w:rsidRPr="00987AFC">
        <w:rPr>
          <w:rFonts w:asciiTheme="minorHAnsi" w:hAnsiTheme="minorHAnsi"/>
          <w:snapToGrid w:val="0"/>
          <w:lang w:val="en-GB"/>
        </w:rPr>
        <w:t xml:space="preserve">on the basis that it should be available as a General Schedule listing for the treatment of </w:t>
      </w:r>
      <w:r w:rsidR="00234F0D">
        <w:t>g</w:t>
      </w:r>
      <w:r w:rsidR="00234F0D" w:rsidRPr="00E20031">
        <w:t xml:space="preserve">eographic </w:t>
      </w:r>
      <w:r w:rsidR="00234F0D">
        <w:t>a</w:t>
      </w:r>
      <w:r w:rsidR="00234F0D" w:rsidRPr="00E20031">
        <w:t xml:space="preserve">trophy </w:t>
      </w:r>
      <w:r w:rsidR="00234F0D">
        <w:t xml:space="preserve">(GA) </w:t>
      </w:r>
      <w:r w:rsidR="00234F0D" w:rsidRPr="00E20031">
        <w:t>secondary to age</w:t>
      </w:r>
      <w:r w:rsidR="009B60A6">
        <w:noBreakHyphen/>
      </w:r>
      <w:r w:rsidR="00234F0D" w:rsidRPr="00E20031">
        <w:t>related macular degeneration</w:t>
      </w:r>
      <w:r w:rsidR="00234F0D">
        <w:t xml:space="preserve"> (AMD)</w:t>
      </w:r>
      <w:r w:rsidR="00234F0D" w:rsidRPr="00987AFC">
        <w:rPr>
          <w:rFonts w:asciiTheme="minorHAnsi" w:hAnsiTheme="minorHAnsi"/>
          <w:snapToGrid w:val="0"/>
          <w:lang w:val="en-GB"/>
        </w:rPr>
        <w:t xml:space="preserve">. </w:t>
      </w:r>
      <w:r w:rsidR="00234F0D" w:rsidRPr="00987AFC">
        <w:rPr>
          <w:rFonts w:asciiTheme="minorHAnsi" w:hAnsiTheme="minorHAnsi"/>
          <w:snapToGrid w:val="0"/>
        </w:rPr>
        <w:t xml:space="preserve">The Committee acknowledged the high clinical need for treatments for GA, which is a leading cause of irreversible vision loss in older Australians. </w:t>
      </w:r>
      <w:r w:rsidR="00234F0D" w:rsidRPr="00987AFC">
        <w:rPr>
          <w:rFonts w:asciiTheme="minorHAnsi" w:hAnsiTheme="minorHAnsi"/>
          <w:snapToGrid w:val="0"/>
          <w:lang w:val="en-GB"/>
        </w:rPr>
        <w:t xml:space="preserve">The PBAC is satisfied that </w:t>
      </w:r>
      <w:r w:rsidR="00234F0D">
        <w:rPr>
          <w:rFonts w:asciiTheme="minorHAnsi" w:hAnsiTheme="minorHAnsi"/>
          <w:snapToGrid w:val="0"/>
          <w:lang w:val="en-GB"/>
        </w:rPr>
        <w:t xml:space="preserve">ACP </w:t>
      </w:r>
      <w:r w:rsidR="00234F0D" w:rsidRPr="00987AFC">
        <w:rPr>
          <w:rFonts w:asciiTheme="minorHAnsi" w:hAnsiTheme="minorHAnsi"/>
          <w:snapToGrid w:val="0"/>
          <w:lang w:val="en-GB"/>
        </w:rPr>
        <w:t xml:space="preserve">provides, for some patients, a significant improvement in efficacy over best supportive care </w:t>
      </w:r>
      <w:r w:rsidR="00234F0D">
        <w:rPr>
          <w:rFonts w:asciiTheme="minorHAnsi" w:hAnsiTheme="minorHAnsi"/>
          <w:snapToGrid w:val="0"/>
          <w:lang w:val="en-GB"/>
        </w:rPr>
        <w:t xml:space="preserve">(BSC) </w:t>
      </w:r>
      <w:r w:rsidR="00234F0D" w:rsidRPr="00987AFC">
        <w:rPr>
          <w:rFonts w:asciiTheme="minorHAnsi" w:hAnsiTheme="minorHAnsi"/>
          <w:snapToGrid w:val="0"/>
          <w:lang w:val="en-GB"/>
        </w:rPr>
        <w:t>in slowing the growth of GA lesions. Despite no significant differences demonstrated for functional outcomes</w:t>
      </w:r>
      <w:r w:rsidR="00234F0D">
        <w:rPr>
          <w:rFonts w:asciiTheme="minorHAnsi" w:hAnsiTheme="minorHAnsi"/>
          <w:snapToGrid w:val="0"/>
          <w:lang w:val="en-GB"/>
        </w:rPr>
        <w:t xml:space="preserve"> in the key trials</w:t>
      </w:r>
      <w:r w:rsidR="00234F0D" w:rsidRPr="00987AFC">
        <w:rPr>
          <w:rFonts w:asciiTheme="minorHAnsi" w:hAnsiTheme="minorHAnsi"/>
          <w:snapToGrid w:val="0"/>
          <w:lang w:val="en-GB"/>
        </w:rPr>
        <w:t>, the PBAC considered it was reasonable to assume anatomical preservation</w:t>
      </w:r>
      <w:r w:rsidR="00234F0D">
        <w:rPr>
          <w:rFonts w:asciiTheme="minorHAnsi" w:hAnsiTheme="minorHAnsi"/>
          <w:snapToGrid w:val="0"/>
          <w:lang w:val="en-GB"/>
        </w:rPr>
        <w:t xml:space="preserve"> </w:t>
      </w:r>
      <w:r w:rsidR="00234F0D" w:rsidRPr="00987AFC">
        <w:rPr>
          <w:rFonts w:asciiTheme="minorHAnsi" w:hAnsiTheme="minorHAnsi"/>
          <w:snapToGrid w:val="0"/>
          <w:lang w:val="en-GB"/>
        </w:rPr>
        <w:t>will result in better functional vision.</w:t>
      </w:r>
      <w:r w:rsidR="00234F0D">
        <w:rPr>
          <w:rFonts w:asciiTheme="minorHAnsi" w:hAnsiTheme="minorHAnsi"/>
          <w:snapToGrid w:val="0"/>
          <w:lang w:val="en-GB"/>
        </w:rPr>
        <w:t xml:space="preserve"> </w:t>
      </w:r>
      <w:r w:rsidR="00447640" w:rsidRPr="00987AFC">
        <w:rPr>
          <w:rFonts w:asciiTheme="minorHAnsi" w:hAnsiTheme="minorHAnsi"/>
          <w:snapToGrid w:val="0"/>
          <w:lang w:val="en-GB"/>
        </w:rPr>
        <w:t xml:space="preserve">The PBAC considered more conservative assumptions for the model would help address the uncertainty of transforming </w:t>
      </w:r>
      <w:r w:rsidR="00447640">
        <w:rPr>
          <w:rFonts w:asciiTheme="minorHAnsi" w:hAnsiTheme="minorHAnsi"/>
          <w:snapToGrid w:val="0"/>
          <w:lang w:val="en-GB"/>
        </w:rPr>
        <w:t>slower lesion growth</w:t>
      </w:r>
      <w:r w:rsidR="00447640" w:rsidRPr="00987AFC">
        <w:rPr>
          <w:rFonts w:asciiTheme="minorHAnsi" w:hAnsiTheme="minorHAnsi"/>
          <w:snapToGrid w:val="0"/>
          <w:lang w:val="en-GB"/>
        </w:rPr>
        <w:t xml:space="preserve"> to </w:t>
      </w:r>
      <w:r w:rsidR="00643FAD">
        <w:rPr>
          <w:rFonts w:asciiTheme="minorHAnsi" w:hAnsiTheme="minorHAnsi"/>
          <w:snapToGrid w:val="0"/>
          <w:lang w:val="en-GB"/>
        </w:rPr>
        <w:t xml:space="preserve">a </w:t>
      </w:r>
      <w:r w:rsidR="00C35E9B">
        <w:rPr>
          <w:rFonts w:asciiTheme="minorHAnsi" w:hAnsiTheme="minorHAnsi"/>
          <w:snapToGrid w:val="0"/>
          <w:lang w:val="en-GB"/>
        </w:rPr>
        <w:t>reduction in vision loss</w:t>
      </w:r>
      <w:r w:rsidR="00447640" w:rsidRPr="00987AFC">
        <w:rPr>
          <w:rFonts w:asciiTheme="minorHAnsi" w:hAnsiTheme="minorHAnsi"/>
          <w:snapToGrid w:val="0"/>
          <w:lang w:val="en-GB"/>
        </w:rPr>
        <w:t>. The PBAC considered</w:t>
      </w:r>
      <w:r w:rsidR="00447640" w:rsidRPr="00987AFC" w:rsidDel="002A67A6">
        <w:rPr>
          <w:rFonts w:asciiTheme="minorHAnsi" w:hAnsiTheme="minorHAnsi"/>
          <w:snapToGrid w:val="0"/>
          <w:lang w:val="en-GB"/>
        </w:rPr>
        <w:t xml:space="preserve"> </w:t>
      </w:r>
      <w:r w:rsidR="00447640" w:rsidRPr="00987AFC">
        <w:rPr>
          <w:rFonts w:asciiTheme="minorHAnsi" w:hAnsiTheme="minorHAnsi"/>
          <w:snapToGrid w:val="0"/>
          <w:lang w:val="en-GB"/>
        </w:rPr>
        <w:t>the cost</w:t>
      </w:r>
      <w:r w:rsidR="009B60A6">
        <w:rPr>
          <w:rFonts w:asciiTheme="minorHAnsi" w:hAnsiTheme="minorHAnsi"/>
          <w:snapToGrid w:val="0"/>
          <w:lang w:val="en-GB"/>
        </w:rPr>
        <w:noBreakHyphen/>
      </w:r>
      <w:r w:rsidR="00447640" w:rsidRPr="00987AFC">
        <w:rPr>
          <w:rFonts w:asciiTheme="minorHAnsi" w:hAnsiTheme="minorHAnsi"/>
          <w:snapToGrid w:val="0"/>
          <w:lang w:val="en-GB"/>
        </w:rPr>
        <w:t>effectiveness analysis would be more reliable with these alternative parameters and an incremental cost</w:t>
      </w:r>
      <w:r w:rsidR="009B60A6">
        <w:rPr>
          <w:rFonts w:asciiTheme="minorHAnsi" w:hAnsiTheme="minorHAnsi"/>
          <w:snapToGrid w:val="0"/>
          <w:lang w:val="en-GB"/>
        </w:rPr>
        <w:noBreakHyphen/>
      </w:r>
      <w:r w:rsidR="00447640" w:rsidRPr="00987AFC">
        <w:rPr>
          <w:rFonts w:asciiTheme="minorHAnsi" w:hAnsiTheme="minorHAnsi"/>
          <w:snapToGrid w:val="0"/>
          <w:lang w:val="en-GB"/>
        </w:rPr>
        <w:t>effectiveness ratio</w:t>
      </w:r>
      <w:r w:rsidR="00447640" w:rsidRPr="00987AFC">
        <w:rPr>
          <w:snapToGrid w:val="0"/>
        </w:rPr>
        <w:t xml:space="preserve"> </w:t>
      </w:r>
      <w:r w:rsidR="00447640">
        <w:rPr>
          <w:snapToGrid w:val="0"/>
        </w:rPr>
        <w:t xml:space="preserve">(ICER) in </w:t>
      </w:r>
      <w:r w:rsidR="00447640" w:rsidRPr="00987AFC">
        <w:rPr>
          <w:snapToGrid w:val="0"/>
        </w:rPr>
        <w:t xml:space="preserve">the order </w:t>
      </w:r>
      <w:r w:rsidR="00447640" w:rsidRPr="00987AFC">
        <w:rPr>
          <w:snapToGrid w:val="0"/>
        </w:rPr>
        <w:lastRenderedPageBreak/>
        <w:t>of</w:t>
      </w:r>
      <w:r w:rsidR="00447640" w:rsidRPr="00987AFC">
        <w:rPr>
          <w:rFonts w:asciiTheme="minorHAnsi" w:hAnsiTheme="minorHAnsi"/>
          <w:snapToGrid w:val="0"/>
          <w:lang w:val="en-GB"/>
        </w:rPr>
        <w:t xml:space="preserve"> </w:t>
      </w:r>
      <w:r w:rsidR="00C71F6D" w:rsidRPr="00C71F6D">
        <w:rPr>
          <w:rFonts w:asciiTheme="minorHAnsi" w:hAnsiTheme="minorHAnsi"/>
          <w:snapToGrid w:val="0"/>
          <w:lang w:val="en-GB"/>
        </w:rPr>
        <w:t>$45,000 to &lt; $55,000</w:t>
      </w:r>
      <w:r w:rsidR="00447640">
        <w:rPr>
          <w:rFonts w:asciiTheme="minorHAnsi" w:hAnsiTheme="minorHAnsi"/>
          <w:snapToGrid w:val="0"/>
          <w:lang w:val="en-GB"/>
        </w:rPr>
        <w:t xml:space="preserve"> per </w:t>
      </w:r>
      <w:r w:rsidR="00447640" w:rsidRPr="00987AFC">
        <w:rPr>
          <w:rFonts w:asciiTheme="minorHAnsi" w:hAnsiTheme="minorHAnsi"/>
          <w:snapToGrid w:val="0"/>
          <w:lang w:val="en-GB"/>
        </w:rPr>
        <w:t xml:space="preserve">QALY gained would be acceptable. </w:t>
      </w:r>
      <w:r w:rsidR="00447640">
        <w:rPr>
          <w:rFonts w:asciiTheme="minorHAnsi" w:hAnsiTheme="minorHAnsi"/>
          <w:snapToGrid w:val="0"/>
          <w:lang w:val="en-GB"/>
        </w:rPr>
        <w:t>A price reduction would be required to achieve cost</w:t>
      </w:r>
      <w:r w:rsidR="009B60A6">
        <w:rPr>
          <w:rFonts w:asciiTheme="minorHAnsi" w:hAnsiTheme="minorHAnsi"/>
          <w:snapToGrid w:val="0"/>
          <w:lang w:val="en-GB"/>
        </w:rPr>
        <w:noBreakHyphen/>
      </w:r>
      <w:r w:rsidR="00447640">
        <w:rPr>
          <w:rFonts w:asciiTheme="minorHAnsi" w:hAnsiTheme="minorHAnsi"/>
          <w:snapToGrid w:val="0"/>
          <w:lang w:val="en-GB"/>
        </w:rPr>
        <w:t xml:space="preserve">effectiveness based on the revised model. </w:t>
      </w:r>
      <w:r w:rsidR="00447640" w:rsidRPr="00987AFC">
        <w:rPr>
          <w:rFonts w:asciiTheme="minorHAnsi" w:hAnsiTheme="minorHAnsi"/>
          <w:snapToGrid w:val="0"/>
        </w:rPr>
        <w:t xml:space="preserve">In addition, the PBAC considered a risk sharing arrangement </w:t>
      </w:r>
      <w:r w:rsidR="00AC6C16">
        <w:rPr>
          <w:rFonts w:asciiTheme="minorHAnsi" w:hAnsiTheme="minorHAnsi"/>
          <w:snapToGrid w:val="0"/>
        </w:rPr>
        <w:t xml:space="preserve">(RSA) </w:t>
      </w:r>
      <w:r w:rsidR="00447640" w:rsidRPr="00987AFC">
        <w:rPr>
          <w:rFonts w:asciiTheme="minorHAnsi" w:hAnsiTheme="minorHAnsi"/>
          <w:snapToGrid w:val="0"/>
        </w:rPr>
        <w:t xml:space="preserve">was </w:t>
      </w:r>
      <w:r w:rsidR="00447640">
        <w:rPr>
          <w:rFonts w:asciiTheme="minorHAnsi" w:hAnsiTheme="minorHAnsi"/>
          <w:snapToGrid w:val="0"/>
        </w:rPr>
        <w:t>needed</w:t>
      </w:r>
      <w:r w:rsidR="00447640" w:rsidRPr="00987AFC">
        <w:rPr>
          <w:rFonts w:asciiTheme="minorHAnsi" w:hAnsiTheme="minorHAnsi"/>
          <w:snapToGrid w:val="0"/>
        </w:rPr>
        <w:t xml:space="preserve"> to address any residual uncertainty regarding estimated patient numbers and to ensure PBS reimbursement was for treatment in one eye only. </w:t>
      </w:r>
    </w:p>
    <w:p w14:paraId="47FF87B3" w14:textId="12351542" w:rsidR="00637727" w:rsidRPr="00637727" w:rsidRDefault="002F511F" w:rsidP="00241CFC">
      <w:pPr>
        <w:widowControl w:val="0"/>
        <w:numPr>
          <w:ilvl w:val="1"/>
          <w:numId w:val="1"/>
        </w:numPr>
        <w:spacing w:after="120"/>
        <w:rPr>
          <w:rFonts w:asciiTheme="minorHAnsi" w:hAnsiTheme="minorHAnsi"/>
          <w:snapToGrid w:val="0"/>
          <w:lang w:val="en-GB"/>
        </w:rPr>
      </w:pPr>
      <w:r w:rsidRPr="00C82B76">
        <w:rPr>
          <w:rFonts w:asciiTheme="minorHAnsi" w:hAnsiTheme="minorHAnsi"/>
          <w:snapToGrid w:val="0"/>
        </w:rPr>
        <w:t>The PBAC noted it had previously recommended pegcetacoplan for this condition at its November 2025 meeting</w:t>
      </w:r>
      <w:r w:rsidR="00457399">
        <w:rPr>
          <w:rFonts w:asciiTheme="minorHAnsi" w:hAnsiTheme="minorHAnsi"/>
          <w:snapToGrid w:val="0"/>
        </w:rPr>
        <w:t>, however</w:t>
      </w:r>
      <w:r w:rsidR="00F473CD">
        <w:rPr>
          <w:rFonts w:asciiTheme="minorHAnsi" w:hAnsiTheme="minorHAnsi"/>
          <w:snapToGrid w:val="0"/>
        </w:rPr>
        <w:t xml:space="preserve"> the</w:t>
      </w:r>
      <w:r w:rsidRPr="00C82B76">
        <w:rPr>
          <w:rFonts w:asciiTheme="minorHAnsi" w:hAnsiTheme="minorHAnsi"/>
          <w:snapToGrid w:val="0"/>
        </w:rPr>
        <w:t xml:space="preserve"> listing </w:t>
      </w:r>
      <w:r w:rsidR="00BB1223">
        <w:rPr>
          <w:rFonts w:asciiTheme="minorHAnsi" w:hAnsiTheme="minorHAnsi"/>
          <w:snapToGrid w:val="0"/>
        </w:rPr>
        <w:t>had not yet progressed</w:t>
      </w:r>
      <w:r w:rsidRPr="00C82B76">
        <w:rPr>
          <w:rFonts w:asciiTheme="minorHAnsi" w:hAnsiTheme="minorHAnsi"/>
          <w:snapToGrid w:val="0"/>
        </w:rPr>
        <w:t xml:space="preserve"> at the time of </w:t>
      </w:r>
      <w:r w:rsidR="00061833">
        <w:rPr>
          <w:rFonts w:asciiTheme="minorHAnsi" w:hAnsiTheme="minorHAnsi"/>
          <w:snapToGrid w:val="0"/>
        </w:rPr>
        <w:t xml:space="preserve">its </w:t>
      </w:r>
      <w:r w:rsidRPr="00C82B76">
        <w:rPr>
          <w:rFonts w:asciiTheme="minorHAnsi" w:hAnsiTheme="minorHAnsi"/>
          <w:snapToGrid w:val="0"/>
        </w:rPr>
        <w:t>consideration</w:t>
      </w:r>
      <w:r w:rsidR="003254E7" w:rsidRPr="00C82B76">
        <w:rPr>
          <w:rFonts w:asciiTheme="minorHAnsi" w:hAnsiTheme="minorHAnsi"/>
          <w:snapToGrid w:val="0"/>
        </w:rPr>
        <w:t xml:space="preserve"> of ACP</w:t>
      </w:r>
      <w:r w:rsidRPr="00C82B76">
        <w:rPr>
          <w:rFonts w:asciiTheme="minorHAnsi" w:hAnsiTheme="minorHAnsi"/>
          <w:snapToGrid w:val="0"/>
        </w:rPr>
        <w:t>. The PBAC considered that it does not appear that one agent is clearly superior to the other at slowing lesion growth.</w:t>
      </w:r>
      <w:r w:rsidR="002377DE" w:rsidRPr="00C82B76">
        <w:rPr>
          <w:rFonts w:asciiTheme="minorHAnsi" w:hAnsiTheme="minorHAnsi"/>
          <w:snapToGrid w:val="0"/>
        </w:rPr>
        <w:t xml:space="preserve"> Should pegcetacoplan proceed to PBS listing, the PBAC advised that a cost</w:t>
      </w:r>
      <w:r w:rsidR="009B60A6">
        <w:rPr>
          <w:rFonts w:asciiTheme="minorHAnsi" w:hAnsiTheme="minorHAnsi"/>
          <w:snapToGrid w:val="0"/>
        </w:rPr>
        <w:noBreakHyphen/>
      </w:r>
      <w:r w:rsidR="002377DE" w:rsidRPr="00C82B76">
        <w:rPr>
          <w:rFonts w:asciiTheme="minorHAnsi" w:hAnsiTheme="minorHAnsi"/>
          <w:snapToGrid w:val="0"/>
        </w:rPr>
        <w:t>minimisation approach</w:t>
      </w:r>
      <w:r w:rsidR="0042175A">
        <w:rPr>
          <w:rFonts w:asciiTheme="minorHAnsi" w:hAnsiTheme="minorHAnsi"/>
          <w:snapToGrid w:val="0"/>
        </w:rPr>
        <w:t xml:space="preserve"> (accounting for differences in administration costs)</w:t>
      </w:r>
      <w:r w:rsidR="002377DE" w:rsidRPr="00C82B76">
        <w:rPr>
          <w:rFonts w:asciiTheme="minorHAnsi" w:hAnsiTheme="minorHAnsi"/>
          <w:snapToGrid w:val="0"/>
        </w:rPr>
        <w:t xml:space="preserve"> was appropriate to ensure that </w:t>
      </w:r>
      <w:r w:rsidR="00B54351">
        <w:rPr>
          <w:rFonts w:asciiTheme="minorHAnsi" w:hAnsiTheme="minorHAnsi"/>
          <w:snapToGrid w:val="0"/>
        </w:rPr>
        <w:t>ACP</w:t>
      </w:r>
      <w:r w:rsidR="002377DE" w:rsidRPr="00C82B76">
        <w:rPr>
          <w:rFonts w:asciiTheme="minorHAnsi" w:hAnsiTheme="minorHAnsi"/>
          <w:snapToGrid w:val="0"/>
        </w:rPr>
        <w:t xml:space="preserve"> was no more costly than pegcetacoplan.</w:t>
      </w:r>
      <w:r w:rsidR="003254E7" w:rsidRPr="00C82B76">
        <w:rPr>
          <w:rFonts w:asciiTheme="minorHAnsi" w:hAnsiTheme="minorHAnsi"/>
          <w:snapToGrid w:val="0"/>
        </w:rPr>
        <w:t xml:space="preserve"> Equi</w:t>
      </w:r>
      <w:r w:rsidR="009B60A6">
        <w:rPr>
          <w:rFonts w:asciiTheme="minorHAnsi" w:hAnsiTheme="minorHAnsi"/>
          <w:snapToGrid w:val="0"/>
        </w:rPr>
        <w:noBreakHyphen/>
      </w:r>
      <w:r w:rsidR="003254E7" w:rsidRPr="00C82B76">
        <w:rPr>
          <w:rFonts w:asciiTheme="minorHAnsi" w:hAnsiTheme="minorHAnsi"/>
          <w:snapToGrid w:val="0"/>
        </w:rPr>
        <w:t xml:space="preserve">effective doses </w:t>
      </w:r>
      <w:r w:rsidR="001A1DAE">
        <w:rPr>
          <w:rFonts w:asciiTheme="minorHAnsi" w:hAnsiTheme="minorHAnsi"/>
          <w:snapToGrid w:val="0"/>
        </w:rPr>
        <w:t xml:space="preserve">over 2 years </w:t>
      </w:r>
      <w:r w:rsidR="00C5642A" w:rsidRPr="00C82B76">
        <w:rPr>
          <w:rFonts w:asciiTheme="minorHAnsi" w:hAnsiTheme="minorHAnsi"/>
          <w:snapToGrid w:val="0"/>
        </w:rPr>
        <w:t>were</w:t>
      </w:r>
      <w:r w:rsidR="00E41F34" w:rsidRPr="00C82B76">
        <w:rPr>
          <w:rFonts w:asciiTheme="minorHAnsi" w:hAnsiTheme="minorHAnsi"/>
          <w:snapToGrid w:val="0"/>
        </w:rPr>
        <w:t>:</w:t>
      </w:r>
    </w:p>
    <w:p w14:paraId="63218E7F" w14:textId="73BDD748" w:rsidR="00796051" w:rsidRPr="00796051" w:rsidRDefault="000550BA" w:rsidP="00637727">
      <w:pPr>
        <w:pStyle w:val="ListParagraph"/>
        <w:widowControl w:val="0"/>
        <w:numPr>
          <w:ilvl w:val="0"/>
          <w:numId w:val="36"/>
        </w:numPr>
        <w:rPr>
          <w:lang w:val="en-GB"/>
        </w:rPr>
      </w:pPr>
      <w:r w:rsidRPr="00637727">
        <w:t xml:space="preserve">ACP </w:t>
      </w:r>
      <w:r w:rsidR="00423DE4" w:rsidRPr="00A722CD">
        <w:t>2 mg</w:t>
      </w:r>
      <w:r w:rsidR="00423DE4">
        <w:t xml:space="preserve"> </w:t>
      </w:r>
      <w:r w:rsidR="001A1DAE">
        <w:t xml:space="preserve">once monthly intravitreal (IVT) injection (single eye) for the first 12 months, followed by </w:t>
      </w:r>
      <w:r w:rsidR="0077350E" w:rsidRPr="00A722CD">
        <w:t>2 mg</w:t>
      </w:r>
      <w:r w:rsidR="0077350E">
        <w:t xml:space="preserve"> </w:t>
      </w:r>
      <w:r w:rsidR="00D942D1">
        <w:t xml:space="preserve">IVT </w:t>
      </w:r>
      <w:r w:rsidR="005238A6">
        <w:t xml:space="preserve">injection </w:t>
      </w:r>
      <w:r w:rsidR="001A1DAE" w:rsidRPr="00034CA7">
        <w:t xml:space="preserve">every other month </w:t>
      </w:r>
      <w:r w:rsidR="001A1DAE">
        <w:t>(18 injections)</w:t>
      </w:r>
      <w:r w:rsidR="00796051">
        <w:t>; and</w:t>
      </w:r>
    </w:p>
    <w:p w14:paraId="7E7A9603" w14:textId="29ED722B" w:rsidR="00997A0F" w:rsidRPr="00637727" w:rsidRDefault="00E348B9" w:rsidP="00637727">
      <w:pPr>
        <w:pStyle w:val="ListParagraph"/>
        <w:widowControl w:val="0"/>
        <w:numPr>
          <w:ilvl w:val="0"/>
          <w:numId w:val="36"/>
        </w:numPr>
        <w:rPr>
          <w:lang w:val="en-GB"/>
        </w:rPr>
      </w:pPr>
      <w:r>
        <w:t>pegcetacop</w:t>
      </w:r>
      <w:r w:rsidR="00B95854">
        <w:t>l</w:t>
      </w:r>
      <w:r>
        <w:t xml:space="preserve">an </w:t>
      </w:r>
      <w:r w:rsidR="001A1DAE" w:rsidRPr="002A21B6">
        <w:t xml:space="preserve">15 mg </w:t>
      </w:r>
      <w:r w:rsidR="0040220D" w:rsidRPr="002A21B6">
        <w:t xml:space="preserve">IVT injection (single eye) once every other month </w:t>
      </w:r>
      <w:r>
        <w:t>(12 injections)</w:t>
      </w:r>
      <w:r w:rsidR="00810FC9">
        <w:t>.</w:t>
      </w:r>
    </w:p>
    <w:p w14:paraId="0FE813EC" w14:textId="4E4245A8" w:rsidR="006156C7" w:rsidRPr="00795A4F" w:rsidRDefault="006156C7" w:rsidP="00241CFC">
      <w:pPr>
        <w:pStyle w:val="3-BodyText"/>
        <w:widowControl w:val="0"/>
        <w:numPr>
          <w:ilvl w:val="1"/>
          <w:numId w:val="1"/>
        </w:numPr>
        <w:spacing w:after="120"/>
        <w:rPr>
          <w:snapToGrid w:val="0"/>
          <w:lang w:val="en-GB"/>
        </w:rPr>
      </w:pPr>
      <w:r w:rsidRPr="00795A4F">
        <w:rPr>
          <w:snapToGrid w:val="0"/>
          <w:lang w:val="en-GB"/>
        </w:rPr>
        <w:t xml:space="preserve">The PBAC noted the support from </w:t>
      </w:r>
      <w:r w:rsidR="00795A4F" w:rsidRPr="00795A4F">
        <w:rPr>
          <w:rFonts w:eastAsia="Times New Roman" w:cs="Arial"/>
          <w:snapToGrid w:val="0"/>
          <w:szCs w:val="24"/>
          <w:lang w:val="en-GB"/>
        </w:rPr>
        <w:t xml:space="preserve">Macular Disease Foundation Australia </w:t>
      </w:r>
      <w:r w:rsidRPr="00795A4F">
        <w:rPr>
          <w:snapToGrid w:val="0"/>
          <w:lang w:val="en-GB"/>
        </w:rPr>
        <w:t>and individuals for the PBS listing of pegcetacoplan, to provide an affordable, effective treatment to slow the progression of the disease which will impact different aspects of quality of life, including independent living, physical mobility and mental health.</w:t>
      </w:r>
      <w:r w:rsidR="00BF27FA">
        <w:rPr>
          <w:snapToGrid w:val="0"/>
          <w:lang w:val="en-GB"/>
        </w:rPr>
        <w:t xml:space="preserve"> </w:t>
      </w:r>
      <w:r w:rsidR="002A269F" w:rsidRPr="00795A4F">
        <w:rPr>
          <w:snapToGrid w:val="0"/>
          <w:lang w:val="en-GB"/>
        </w:rPr>
        <w:t xml:space="preserve">The </w:t>
      </w:r>
      <w:r w:rsidR="003226ED" w:rsidRPr="00795A4F">
        <w:rPr>
          <w:snapToGrid w:val="0"/>
          <w:lang w:val="en-GB"/>
        </w:rPr>
        <w:t>PBAC</w:t>
      </w:r>
      <w:r w:rsidR="002A269F" w:rsidRPr="00795A4F">
        <w:rPr>
          <w:snapToGrid w:val="0"/>
          <w:lang w:val="en-GB"/>
        </w:rPr>
        <w:t xml:space="preserve"> also noted mixed</w:t>
      </w:r>
      <w:r w:rsidR="003226ED" w:rsidRPr="00795A4F">
        <w:rPr>
          <w:snapToGrid w:val="0"/>
          <w:lang w:val="en-GB"/>
        </w:rPr>
        <w:t xml:space="preserve"> support fr</w:t>
      </w:r>
      <w:r w:rsidR="00387C22" w:rsidRPr="00795A4F">
        <w:rPr>
          <w:snapToGrid w:val="0"/>
          <w:lang w:val="en-GB"/>
        </w:rPr>
        <w:t>o</w:t>
      </w:r>
      <w:r w:rsidR="003226ED" w:rsidRPr="00795A4F">
        <w:rPr>
          <w:snapToGrid w:val="0"/>
          <w:lang w:val="en-GB"/>
        </w:rPr>
        <w:t xml:space="preserve">m health care professionals, </w:t>
      </w:r>
      <w:r w:rsidR="00387C22" w:rsidRPr="00795A4F">
        <w:rPr>
          <w:snapToGrid w:val="0"/>
          <w:lang w:val="en-GB"/>
        </w:rPr>
        <w:t xml:space="preserve">with some </w:t>
      </w:r>
      <w:r w:rsidR="00616E9F" w:rsidRPr="00795A4F">
        <w:rPr>
          <w:snapToGrid w:val="0"/>
          <w:lang w:val="en-GB"/>
        </w:rPr>
        <w:t xml:space="preserve">noting </w:t>
      </w:r>
      <w:r w:rsidR="00616E9F" w:rsidRPr="00795A4F">
        <w:rPr>
          <w:snapToGrid w:val="0"/>
        </w:rPr>
        <w:t xml:space="preserve">delayed retinal degeneration </w:t>
      </w:r>
      <w:r w:rsidR="00004A3E" w:rsidRPr="00795A4F">
        <w:rPr>
          <w:snapToGrid w:val="0"/>
        </w:rPr>
        <w:t xml:space="preserve">would </w:t>
      </w:r>
      <w:r w:rsidR="00616E9F" w:rsidRPr="00795A4F">
        <w:rPr>
          <w:snapToGrid w:val="0"/>
        </w:rPr>
        <w:t xml:space="preserve">offer meaningful benefit by helping </w:t>
      </w:r>
      <w:r w:rsidR="00004A3E" w:rsidRPr="00795A4F">
        <w:rPr>
          <w:snapToGrid w:val="0"/>
        </w:rPr>
        <w:t>patient</w:t>
      </w:r>
      <w:r w:rsidR="00616E9F" w:rsidRPr="00795A4F">
        <w:rPr>
          <w:snapToGrid w:val="0"/>
        </w:rPr>
        <w:t>s retain their sight for longer</w:t>
      </w:r>
      <w:r w:rsidR="00004A3E" w:rsidRPr="00795A4F">
        <w:rPr>
          <w:snapToGrid w:val="0"/>
        </w:rPr>
        <w:t xml:space="preserve">, with others suggesting the </w:t>
      </w:r>
      <w:r w:rsidR="00E61EB2" w:rsidRPr="00795A4F">
        <w:rPr>
          <w:snapToGrid w:val="0"/>
        </w:rPr>
        <w:t>evidentiary basis for PBS listing was limited</w:t>
      </w:r>
      <w:r w:rsidR="00395845" w:rsidRPr="00795A4F">
        <w:rPr>
          <w:snapToGrid w:val="0"/>
        </w:rPr>
        <w:t xml:space="preserve"> and such mild/small delays in </w:t>
      </w:r>
      <w:r w:rsidR="003513C4">
        <w:rPr>
          <w:snapToGrid w:val="0"/>
        </w:rPr>
        <w:t xml:space="preserve">anatomical </w:t>
      </w:r>
      <w:r w:rsidR="00395845" w:rsidRPr="00795A4F">
        <w:rPr>
          <w:snapToGrid w:val="0"/>
        </w:rPr>
        <w:t xml:space="preserve">progression of GA </w:t>
      </w:r>
      <w:r w:rsidR="00BE454D" w:rsidRPr="00795A4F">
        <w:rPr>
          <w:snapToGrid w:val="0"/>
        </w:rPr>
        <w:t xml:space="preserve">were insufficient to </w:t>
      </w:r>
      <w:r w:rsidR="00B15243" w:rsidRPr="00795A4F">
        <w:rPr>
          <w:snapToGrid w:val="0"/>
        </w:rPr>
        <w:t>translate into meaningful outcomes for patients.</w:t>
      </w:r>
    </w:p>
    <w:p w14:paraId="17891019" w14:textId="0FB26BA4" w:rsidR="00412A07" w:rsidRPr="00D12346" w:rsidRDefault="00B54C67" w:rsidP="00241CFC">
      <w:pPr>
        <w:widowControl w:val="0"/>
        <w:numPr>
          <w:ilvl w:val="1"/>
          <w:numId w:val="1"/>
        </w:numPr>
        <w:spacing w:after="120"/>
        <w:rPr>
          <w:rFonts w:asciiTheme="minorHAnsi" w:hAnsiTheme="minorHAnsi"/>
          <w:snapToGrid w:val="0"/>
          <w:lang w:val="en-GB"/>
        </w:rPr>
      </w:pPr>
      <w:r w:rsidRPr="00D77167">
        <w:rPr>
          <w:rFonts w:asciiTheme="minorHAnsi" w:hAnsiTheme="minorHAnsi"/>
          <w:snapToGrid w:val="0"/>
          <w:lang w:val="en-GB"/>
        </w:rPr>
        <w:t>The PBAC noted</w:t>
      </w:r>
      <w:r w:rsidR="00521874" w:rsidRPr="00D77167">
        <w:rPr>
          <w:rFonts w:asciiTheme="minorHAnsi" w:hAnsiTheme="minorHAnsi"/>
          <w:snapToGrid w:val="0"/>
          <w:lang w:val="en-GB"/>
        </w:rPr>
        <w:t xml:space="preserve"> the discrepancy in support for ACP, but also</w:t>
      </w:r>
      <w:r w:rsidRPr="00D77167">
        <w:rPr>
          <w:rFonts w:asciiTheme="minorHAnsi" w:hAnsiTheme="minorHAnsi"/>
          <w:snapToGrid w:val="0"/>
          <w:lang w:val="en-GB"/>
        </w:rPr>
        <w:t xml:space="preserve"> </w:t>
      </w:r>
      <w:r w:rsidR="00054605">
        <w:rPr>
          <w:rFonts w:asciiTheme="minorHAnsi" w:hAnsiTheme="minorHAnsi"/>
          <w:snapToGrid w:val="0"/>
          <w:lang w:val="en-GB"/>
        </w:rPr>
        <w:t>that there was a</w:t>
      </w:r>
      <w:r w:rsidRPr="00D77167">
        <w:rPr>
          <w:rFonts w:asciiTheme="minorHAnsi" w:hAnsiTheme="minorHAnsi"/>
          <w:snapToGrid w:val="0"/>
          <w:lang w:val="en-GB"/>
        </w:rPr>
        <w:t xml:space="preserve"> high clinical need for treatments to prevent vision loss in patients with GA secondary to AMD. The PBAC noted </w:t>
      </w:r>
      <w:r w:rsidR="00A0493F" w:rsidRPr="00D77167">
        <w:rPr>
          <w:rFonts w:asciiTheme="minorHAnsi" w:hAnsiTheme="minorHAnsi"/>
          <w:snapToGrid w:val="0"/>
          <w:lang w:val="en-GB"/>
        </w:rPr>
        <w:t xml:space="preserve">in its recommendation for pegcetacoplan in </w:t>
      </w:r>
      <w:r w:rsidR="00AA2F83" w:rsidRPr="00D77167">
        <w:rPr>
          <w:rFonts w:asciiTheme="minorHAnsi" w:hAnsiTheme="minorHAnsi"/>
          <w:snapToGrid w:val="0"/>
          <w:lang w:val="en-GB"/>
        </w:rPr>
        <w:t>November</w:t>
      </w:r>
      <w:r w:rsidR="00A0493F" w:rsidRPr="00D77167">
        <w:rPr>
          <w:rFonts w:asciiTheme="minorHAnsi" w:hAnsiTheme="minorHAnsi"/>
          <w:snapToGrid w:val="0"/>
          <w:lang w:val="en-GB"/>
        </w:rPr>
        <w:t xml:space="preserve"> 2025, </w:t>
      </w:r>
      <w:r w:rsidRPr="00D77167">
        <w:rPr>
          <w:rFonts w:asciiTheme="minorHAnsi" w:hAnsiTheme="minorHAnsi"/>
          <w:snapToGrid w:val="0"/>
          <w:lang w:val="en-GB"/>
        </w:rPr>
        <w:t>the proposed population</w:t>
      </w:r>
      <w:r w:rsidR="00A0493F" w:rsidRPr="00D77167">
        <w:rPr>
          <w:rFonts w:asciiTheme="minorHAnsi" w:hAnsiTheme="minorHAnsi"/>
          <w:snapToGrid w:val="0"/>
          <w:lang w:val="en-GB"/>
        </w:rPr>
        <w:t xml:space="preserve"> was for </w:t>
      </w:r>
      <w:r w:rsidR="00AA2F83">
        <w:rPr>
          <w:rFonts w:asciiTheme="minorHAnsi" w:hAnsiTheme="minorHAnsi"/>
          <w:snapToGrid w:val="0"/>
          <w:lang w:val="en-GB"/>
        </w:rPr>
        <w:t xml:space="preserve">treatment of </w:t>
      </w:r>
      <w:r w:rsidR="00A0493F" w:rsidRPr="00D77167">
        <w:rPr>
          <w:rFonts w:asciiTheme="minorHAnsi" w:hAnsiTheme="minorHAnsi"/>
          <w:snapToGrid w:val="0"/>
          <w:lang w:val="en-GB"/>
        </w:rPr>
        <w:t>patients</w:t>
      </w:r>
      <w:r w:rsidRPr="00D77167">
        <w:rPr>
          <w:rFonts w:asciiTheme="minorHAnsi" w:hAnsiTheme="minorHAnsi"/>
          <w:snapToGrid w:val="0"/>
          <w:lang w:val="en-GB"/>
        </w:rPr>
        <w:t xml:space="preserve"> who had already experienced vision loss in one eye, </w:t>
      </w:r>
      <w:r w:rsidR="00A0493F" w:rsidRPr="00D77167">
        <w:rPr>
          <w:rFonts w:asciiTheme="minorHAnsi" w:hAnsiTheme="minorHAnsi"/>
          <w:snapToGrid w:val="0"/>
          <w:lang w:val="en-GB"/>
        </w:rPr>
        <w:t>as these were considered</w:t>
      </w:r>
      <w:r w:rsidRPr="00D77167">
        <w:rPr>
          <w:rFonts w:asciiTheme="minorHAnsi" w:hAnsiTheme="minorHAnsi"/>
          <w:snapToGrid w:val="0"/>
          <w:lang w:val="en-GB"/>
        </w:rPr>
        <w:t xml:space="preserve"> the highest priority patients and </w:t>
      </w:r>
      <w:r w:rsidR="00265766" w:rsidRPr="00D77167">
        <w:rPr>
          <w:rFonts w:asciiTheme="minorHAnsi" w:hAnsiTheme="minorHAnsi"/>
          <w:snapToGrid w:val="0"/>
          <w:lang w:val="en-GB"/>
        </w:rPr>
        <w:t xml:space="preserve">it had </w:t>
      </w:r>
      <w:r w:rsidRPr="00D77167">
        <w:rPr>
          <w:rFonts w:asciiTheme="minorHAnsi" w:hAnsiTheme="minorHAnsi"/>
          <w:snapToGrid w:val="0"/>
          <w:lang w:val="en-GB"/>
        </w:rPr>
        <w:t xml:space="preserve">agreed with the </w:t>
      </w:r>
      <w:r w:rsidRPr="00D77167">
        <w:t>Advisory Committee on Medicines</w:t>
      </w:r>
      <w:r w:rsidRPr="00D77167">
        <w:rPr>
          <w:color w:val="000000" w:themeColor="text1"/>
        </w:rPr>
        <w:t xml:space="preserve"> (ACM) </w:t>
      </w:r>
      <w:r w:rsidRPr="00D77167">
        <w:rPr>
          <w:rFonts w:asciiTheme="minorHAnsi" w:hAnsiTheme="minorHAnsi"/>
          <w:snapToGrid w:val="0"/>
          <w:lang w:val="en-GB"/>
        </w:rPr>
        <w:t xml:space="preserve">that this was appropriate as these patients would </w:t>
      </w:r>
      <w:r w:rsidRPr="00D77167">
        <w:rPr>
          <w:color w:val="000000" w:themeColor="text1"/>
        </w:rPr>
        <w:t>be motivated to accept higher risks and less certainty in outcomes in order to potentially prevent or delay the same outcome for their other eye</w:t>
      </w:r>
      <w:r w:rsidR="00CB34A7">
        <w:rPr>
          <w:color w:val="000000" w:themeColor="text1"/>
        </w:rPr>
        <w:t xml:space="preserve"> (paragraph </w:t>
      </w:r>
      <w:r w:rsidR="00FC0E47">
        <w:rPr>
          <w:color w:val="000000" w:themeColor="text1"/>
        </w:rPr>
        <w:t xml:space="preserve">7.3, pegcetacoplan PSD, November </w:t>
      </w:r>
      <w:r w:rsidR="0005665A">
        <w:rPr>
          <w:color w:val="000000" w:themeColor="text1"/>
        </w:rPr>
        <w:t>2025</w:t>
      </w:r>
      <w:r w:rsidR="0089590C">
        <w:rPr>
          <w:color w:val="000000" w:themeColor="text1"/>
        </w:rPr>
        <w:t xml:space="preserve"> PBAC meeting</w:t>
      </w:r>
      <w:r w:rsidR="0005665A">
        <w:rPr>
          <w:color w:val="000000" w:themeColor="text1"/>
        </w:rPr>
        <w:t>)</w:t>
      </w:r>
      <w:r w:rsidRPr="00D77167">
        <w:rPr>
          <w:rFonts w:asciiTheme="minorHAnsi" w:hAnsiTheme="minorHAnsi"/>
          <w:snapToGrid w:val="0"/>
          <w:lang w:val="en-GB"/>
        </w:rPr>
        <w:t>.</w:t>
      </w:r>
      <w:r w:rsidR="00265766" w:rsidRPr="00D77167">
        <w:rPr>
          <w:rFonts w:asciiTheme="minorHAnsi" w:hAnsiTheme="minorHAnsi"/>
          <w:snapToGrid w:val="0"/>
          <w:lang w:val="en-GB"/>
        </w:rPr>
        <w:t xml:space="preserve"> As ACP </w:t>
      </w:r>
      <w:r w:rsidR="00FA1390" w:rsidRPr="00D77167">
        <w:rPr>
          <w:rFonts w:asciiTheme="minorHAnsi" w:hAnsiTheme="minorHAnsi"/>
          <w:snapToGrid w:val="0"/>
          <w:lang w:val="en-GB"/>
        </w:rPr>
        <w:t>evidence for safety and efficacy is similarly aligned with pegcetacoplan, the PBAC considered ACP should be made available on the PBS only under</w:t>
      </w:r>
      <w:r w:rsidR="00265766" w:rsidRPr="00D77167">
        <w:rPr>
          <w:rFonts w:asciiTheme="minorHAnsi" w:hAnsiTheme="minorHAnsi"/>
          <w:snapToGrid w:val="0"/>
          <w:lang w:val="en-GB"/>
        </w:rPr>
        <w:t xml:space="preserve"> </w:t>
      </w:r>
      <w:r w:rsidR="00D77167" w:rsidRPr="00D77167">
        <w:rPr>
          <w:rFonts w:asciiTheme="minorHAnsi" w:hAnsiTheme="minorHAnsi"/>
          <w:snapToGrid w:val="0"/>
          <w:lang w:val="en-GB"/>
        </w:rPr>
        <w:t>the same</w:t>
      </w:r>
      <w:r w:rsidR="00265766" w:rsidRPr="00D77167">
        <w:rPr>
          <w:rFonts w:asciiTheme="minorHAnsi" w:hAnsiTheme="minorHAnsi"/>
          <w:snapToGrid w:val="0"/>
          <w:lang w:val="en-GB"/>
        </w:rPr>
        <w:t xml:space="preserve"> circumstances</w:t>
      </w:r>
      <w:r w:rsidR="00CB18FE" w:rsidRPr="00D77167">
        <w:rPr>
          <w:rFonts w:asciiTheme="minorHAnsi" w:hAnsiTheme="minorHAnsi"/>
          <w:snapToGrid w:val="0"/>
          <w:lang w:val="en-GB"/>
        </w:rPr>
        <w:t>.</w:t>
      </w:r>
      <w:r w:rsidR="00C82B76" w:rsidRPr="00D77167">
        <w:t xml:space="preserve"> </w:t>
      </w:r>
    </w:p>
    <w:p w14:paraId="74FB8BF4" w14:textId="79786BB5" w:rsidR="00D12346" w:rsidRPr="00470B35" w:rsidRDefault="00D12346" w:rsidP="00241CFC">
      <w:pPr>
        <w:widowControl w:val="0"/>
        <w:numPr>
          <w:ilvl w:val="1"/>
          <w:numId w:val="1"/>
        </w:numPr>
        <w:spacing w:after="120"/>
        <w:rPr>
          <w:rFonts w:asciiTheme="minorHAnsi" w:hAnsiTheme="minorHAnsi"/>
          <w:snapToGrid w:val="0"/>
          <w:lang w:val="en-GB"/>
        </w:rPr>
      </w:pPr>
      <w:r>
        <w:t>The PBAC considered the PBS restriction for ACP should align with that recommended for pegcetacoplan</w:t>
      </w:r>
      <w:r w:rsidR="00904B8B">
        <w:t xml:space="preserve"> in November 2025</w:t>
      </w:r>
      <w:r>
        <w:t xml:space="preserve">. However, the PBAC noted the </w:t>
      </w:r>
      <w:r w:rsidR="00CF6C67">
        <w:t>pre</w:t>
      </w:r>
      <w:r w:rsidR="009B60A6">
        <w:noBreakHyphen/>
      </w:r>
      <w:r w:rsidR="00CF6C67">
        <w:t xml:space="preserve">PBAC response arguments </w:t>
      </w:r>
      <w:r w:rsidR="00A65347">
        <w:t>against</w:t>
      </w:r>
      <w:r w:rsidR="00CF6C67">
        <w:t xml:space="preserve"> the ESC’s suggested requirement</w:t>
      </w:r>
      <w:r w:rsidR="00A32473">
        <w:t xml:space="preserve"> of</w:t>
      </w:r>
      <w:r w:rsidR="00CF6C67">
        <w:t xml:space="preserve"> </w:t>
      </w:r>
      <w:r w:rsidR="00412C86" w:rsidRPr="00C17763">
        <w:rPr>
          <w:iCs/>
        </w:rPr>
        <w:t>specify</w:t>
      </w:r>
      <w:r w:rsidR="00412C86">
        <w:rPr>
          <w:iCs/>
        </w:rPr>
        <w:t>ing</w:t>
      </w:r>
      <w:r w:rsidR="00412C86" w:rsidRPr="00C17763">
        <w:rPr>
          <w:iCs/>
        </w:rPr>
        <w:t xml:space="preserve"> </w:t>
      </w:r>
      <w:r w:rsidR="003513C4">
        <w:rPr>
          <w:iCs/>
        </w:rPr>
        <w:t xml:space="preserve">an </w:t>
      </w:r>
      <w:r w:rsidR="003513C4">
        <w:rPr>
          <w:iCs/>
        </w:rPr>
        <w:lastRenderedPageBreak/>
        <w:t xml:space="preserve">anatomical distance for </w:t>
      </w:r>
      <w:r w:rsidR="00412C86" w:rsidRPr="00C17763">
        <w:rPr>
          <w:iCs/>
        </w:rPr>
        <w:t xml:space="preserve">the lesion from the foveal centre, or imaging </w:t>
      </w:r>
      <w:r w:rsidR="003513C4" w:rsidRPr="00C17763">
        <w:rPr>
          <w:iCs/>
        </w:rPr>
        <w:t>indicat</w:t>
      </w:r>
      <w:r w:rsidR="003513C4">
        <w:rPr>
          <w:iCs/>
        </w:rPr>
        <w:t>ing</w:t>
      </w:r>
      <w:r w:rsidR="003513C4" w:rsidRPr="00C17763">
        <w:rPr>
          <w:iCs/>
        </w:rPr>
        <w:t xml:space="preserve"> </w:t>
      </w:r>
      <w:r w:rsidR="003513C4">
        <w:rPr>
          <w:iCs/>
        </w:rPr>
        <w:t xml:space="preserve">lesion growth </w:t>
      </w:r>
      <w:r w:rsidR="00412C86" w:rsidRPr="00C17763">
        <w:rPr>
          <w:iCs/>
        </w:rPr>
        <w:t>progression towards the foveal centre</w:t>
      </w:r>
      <w:r w:rsidR="00603ED9">
        <w:rPr>
          <w:iCs/>
        </w:rPr>
        <w:t xml:space="preserve"> (see paragraph </w:t>
      </w:r>
      <w:r w:rsidR="00603ED9">
        <w:rPr>
          <w:iCs/>
        </w:rPr>
        <w:fldChar w:fldCharType="begin"/>
      </w:r>
      <w:r w:rsidR="00603ED9">
        <w:rPr>
          <w:iCs/>
        </w:rPr>
        <w:instrText xml:space="preserve"> REF _Ref222233489 \r \h </w:instrText>
      </w:r>
      <w:r w:rsidR="00603ED9">
        <w:rPr>
          <w:iCs/>
        </w:rPr>
      </w:r>
      <w:r w:rsidR="00603ED9">
        <w:rPr>
          <w:iCs/>
        </w:rPr>
        <w:fldChar w:fldCharType="separate"/>
      </w:r>
      <w:r w:rsidR="00605348">
        <w:rPr>
          <w:iCs/>
        </w:rPr>
        <w:t>3.3</w:t>
      </w:r>
      <w:r w:rsidR="00603ED9">
        <w:rPr>
          <w:iCs/>
        </w:rPr>
        <w:fldChar w:fldCharType="end"/>
      </w:r>
      <w:r w:rsidR="00603ED9">
        <w:rPr>
          <w:iCs/>
        </w:rPr>
        <w:t>)</w:t>
      </w:r>
      <w:r w:rsidR="00412C86">
        <w:rPr>
          <w:iCs/>
        </w:rPr>
        <w:t>. The PBAC</w:t>
      </w:r>
      <w:r w:rsidR="00C836AE">
        <w:rPr>
          <w:iCs/>
        </w:rPr>
        <w:t xml:space="preserve"> </w:t>
      </w:r>
      <w:r w:rsidR="003513C4">
        <w:rPr>
          <w:iCs/>
        </w:rPr>
        <w:t xml:space="preserve">agreed that </w:t>
      </w:r>
      <w:r w:rsidR="005905ED">
        <w:rPr>
          <w:iCs/>
        </w:rPr>
        <w:t>the intent was to identify high risk</w:t>
      </w:r>
      <w:r w:rsidR="000A71F0">
        <w:rPr>
          <w:iCs/>
        </w:rPr>
        <w:t xml:space="preserve"> patients, rather than </w:t>
      </w:r>
      <w:r w:rsidR="00287DEF">
        <w:rPr>
          <w:iCs/>
        </w:rPr>
        <w:t xml:space="preserve">specify a </w:t>
      </w:r>
      <w:r w:rsidR="00352FA2">
        <w:rPr>
          <w:iCs/>
        </w:rPr>
        <w:t>nu</w:t>
      </w:r>
      <w:r w:rsidR="00287DEF">
        <w:rPr>
          <w:iCs/>
        </w:rPr>
        <w:t>merical</w:t>
      </w:r>
      <w:r w:rsidR="00352FA2">
        <w:rPr>
          <w:iCs/>
        </w:rPr>
        <w:t xml:space="preserve"> threshold and</w:t>
      </w:r>
      <w:r w:rsidR="003513C4">
        <w:rPr>
          <w:iCs/>
        </w:rPr>
        <w:t>,</w:t>
      </w:r>
      <w:r w:rsidR="00352FA2">
        <w:rPr>
          <w:iCs/>
        </w:rPr>
        <w:t xml:space="preserve"> </w:t>
      </w:r>
      <w:r w:rsidR="00A32473">
        <w:rPr>
          <w:iCs/>
        </w:rPr>
        <w:t xml:space="preserve">as </w:t>
      </w:r>
      <w:r w:rsidR="00352FA2">
        <w:rPr>
          <w:iCs/>
        </w:rPr>
        <w:t>such</w:t>
      </w:r>
      <w:r w:rsidR="003513C4">
        <w:rPr>
          <w:iCs/>
        </w:rPr>
        <w:t>,</w:t>
      </w:r>
      <w:r w:rsidR="00352FA2">
        <w:rPr>
          <w:iCs/>
        </w:rPr>
        <w:t xml:space="preserve"> the PBAC recommended that </w:t>
      </w:r>
      <w:r w:rsidR="00334973">
        <w:rPr>
          <w:iCs/>
        </w:rPr>
        <w:t xml:space="preserve">the restriction </w:t>
      </w:r>
      <w:r w:rsidR="00B56282">
        <w:rPr>
          <w:iCs/>
        </w:rPr>
        <w:t xml:space="preserve">wording </w:t>
      </w:r>
      <w:r w:rsidR="006E3FA4">
        <w:rPr>
          <w:iCs/>
        </w:rPr>
        <w:t>would be</w:t>
      </w:r>
      <w:r w:rsidR="00B56282">
        <w:rPr>
          <w:iCs/>
        </w:rPr>
        <w:t xml:space="preserve"> sufficient </w:t>
      </w:r>
      <w:r w:rsidR="000959B3">
        <w:rPr>
          <w:iCs/>
        </w:rPr>
        <w:t>if it</w:t>
      </w:r>
      <w:r w:rsidR="00B56282">
        <w:rPr>
          <w:iCs/>
        </w:rPr>
        <w:t xml:space="preserve"> </w:t>
      </w:r>
      <w:r w:rsidR="007F4542">
        <w:rPr>
          <w:iCs/>
        </w:rPr>
        <w:t>specif</w:t>
      </w:r>
      <w:r w:rsidR="000959B3">
        <w:rPr>
          <w:iCs/>
        </w:rPr>
        <w:t>ied</w:t>
      </w:r>
      <w:r w:rsidR="00334973">
        <w:rPr>
          <w:iCs/>
        </w:rPr>
        <w:t xml:space="preserve"> that</w:t>
      </w:r>
      <w:r w:rsidR="00186619">
        <w:rPr>
          <w:iCs/>
        </w:rPr>
        <w:t xml:space="preserve"> </w:t>
      </w:r>
      <w:r w:rsidR="00B56282">
        <w:rPr>
          <w:iCs/>
        </w:rPr>
        <w:t xml:space="preserve">the patient must have an intact </w:t>
      </w:r>
      <w:r w:rsidR="00186619">
        <w:rPr>
          <w:iCs/>
        </w:rPr>
        <w:t xml:space="preserve">fovea </w:t>
      </w:r>
      <w:r w:rsidR="00B56282">
        <w:rPr>
          <w:iCs/>
        </w:rPr>
        <w:t>and that</w:t>
      </w:r>
      <w:r w:rsidR="00B721D8">
        <w:rPr>
          <w:iCs/>
        </w:rPr>
        <w:t xml:space="preserve"> a patient</w:t>
      </w:r>
      <w:r w:rsidR="001D32C9">
        <w:rPr>
          <w:iCs/>
        </w:rPr>
        <w:t xml:space="preserve">’s central vision is threatened </w:t>
      </w:r>
      <w:r w:rsidR="00B16830">
        <w:rPr>
          <w:iCs/>
        </w:rPr>
        <w:t>b</w:t>
      </w:r>
      <w:r w:rsidR="001D32C9">
        <w:rPr>
          <w:iCs/>
        </w:rPr>
        <w:t xml:space="preserve">y GA </w:t>
      </w:r>
      <w:r w:rsidR="00B16830">
        <w:rPr>
          <w:iCs/>
        </w:rPr>
        <w:t>lesion</w:t>
      </w:r>
      <w:r w:rsidR="001D32C9">
        <w:rPr>
          <w:iCs/>
        </w:rPr>
        <w:t xml:space="preserve"> growth</w:t>
      </w:r>
      <w:r w:rsidR="00B20653">
        <w:rPr>
          <w:iCs/>
        </w:rPr>
        <w:t xml:space="preserve"> </w:t>
      </w:r>
      <w:r w:rsidR="00B20653">
        <w:rPr>
          <w:rFonts w:cs="Calibri"/>
          <w:iCs/>
        </w:rPr>
        <w:t>—</w:t>
      </w:r>
      <w:r w:rsidR="00B20653">
        <w:rPr>
          <w:iCs/>
        </w:rPr>
        <w:t xml:space="preserve"> the following wording</w:t>
      </w:r>
      <w:r w:rsidR="00115AFB">
        <w:rPr>
          <w:iCs/>
        </w:rPr>
        <w:t xml:space="preserve"> could be used:</w:t>
      </w:r>
      <w:r w:rsidR="001D32C9">
        <w:rPr>
          <w:iCs/>
        </w:rPr>
        <w:t xml:space="preserve"> </w:t>
      </w:r>
      <w:r w:rsidR="00227B8E">
        <w:rPr>
          <w:iCs/>
        </w:rPr>
        <w:t xml:space="preserve">‘The </w:t>
      </w:r>
      <w:r w:rsidR="00EC206B">
        <w:rPr>
          <w:iCs/>
        </w:rPr>
        <w:t>pa</w:t>
      </w:r>
      <w:r w:rsidR="00696DF2">
        <w:rPr>
          <w:iCs/>
        </w:rPr>
        <w:t>tient must have non</w:t>
      </w:r>
      <w:r w:rsidR="009B60A6">
        <w:rPr>
          <w:iCs/>
        </w:rPr>
        <w:noBreakHyphen/>
      </w:r>
      <w:r w:rsidR="00696DF2">
        <w:rPr>
          <w:iCs/>
        </w:rPr>
        <w:t>sub</w:t>
      </w:r>
      <w:r w:rsidR="00CB7E11">
        <w:rPr>
          <w:iCs/>
        </w:rPr>
        <w:t>fo</w:t>
      </w:r>
      <w:r w:rsidR="001668A9">
        <w:rPr>
          <w:iCs/>
        </w:rPr>
        <w:t xml:space="preserve">veal geographic </w:t>
      </w:r>
      <w:r w:rsidR="00050DCF">
        <w:rPr>
          <w:iCs/>
        </w:rPr>
        <w:t xml:space="preserve">atrophy </w:t>
      </w:r>
      <w:r w:rsidR="00517EC4">
        <w:rPr>
          <w:iCs/>
        </w:rPr>
        <w:t>(GA) lesions(s)</w:t>
      </w:r>
      <w:r w:rsidR="00654BB4">
        <w:rPr>
          <w:iCs/>
        </w:rPr>
        <w:t xml:space="preserve"> in the treated eye’ and </w:t>
      </w:r>
      <w:r w:rsidR="00115AFB">
        <w:rPr>
          <w:iCs/>
        </w:rPr>
        <w:t>‘</w:t>
      </w:r>
      <w:r w:rsidR="0032366F" w:rsidRPr="0032366F">
        <w:rPr>
          <w:iCs/>
        </w:rPr>
        <w:t>Patient must have central vision in the treated eye threatened by growth of GA lesion(s), either due to proximity to the foveal centre or where historical imaging shows lesion progression towards the foveal centre and is located within the macula</w:t>
      </w:r>
      <w:r w:rsidR="00115AFB">
        <w:rPr>
          <w:iCs/>
        </w:rPr>
        <w:t>’.</w:t>
      </w:r>
      <w:r w:rsidR="0032366F" w:rsidRPr="0032366F">
        <w:rPr>
          <w:iCs/>
        </w:rPr>
        <w:t xml:space="preserve"> </w:t>
      </w:r>
      <w:r w:rsidR="001D32C9">
        <w:rPr>
          <w:iCs/>
        </w:rPr>
        <w:t xml:space="preserve">This </w:t>
      </w:r>
      <w:r w:rsidR="00B16830">
        <w:rPr>
          <w:iCs/>
        </w:rPr>
        <w:t>would allow</w:t>
      </w:r>
      <w:r w:rsidR="00186619">
        <w:rPr>
          <w:iCs/>
        </w:rPr>
        <w:t xml:space="preserve"> clinical </w:t>
      </w:r>
      <w:r w:rsidR="007F4542">
        <w:rPr>
          <w:iCs/>
        </w:rPr>
        <w:t>discretion</w:t>
      </w:r>
      <w:r w:rsidR="00186619">
        <w:rPr>
          <w:iCs/>
        </w:rPr>
        <w:t xml:space="preserve"> to determine if </w:t>
      </w:r>
      <w:r w:rsidR="00DB6F35">
        <w:rPr>
          <w:iCs/>
        </w:rPr>
        <w:t xml:space="preserve">a </w:t>
      </w:r>
      <w:r w:rsidR="00F47104">
        <w:rPr>
          <w:iCs/>
        </w:rPr>
        <w:t>patient could potentially benefit from treatment.</w:t>
      </w:r>
      <w:r w:rsidR="00611D4F">
        <w:rPr>
          <w:iCs/>
        </w:rPr>
        <w:t xml:space="preserve"> The PBAC noted that this differs from the recommended pegcetacoplan </w:t>
      </w:r>
      <w:r w:rsidR="008F0823">
        <w:rPr>
          <w:iCs/>
        </w:rPr>
        <w:t xml:space="preserve">restriction (see </w:t>
      </w:r>
      <w:r w:rsidR="00E874EF">
        <w:rPr>
          <w:iCs/>
        </w:rPr>
        <w:t>section 8</w:t>
      </w:r>
      <w:r w:rsidR="00E874EF" w:rsidRPr="00E874EF">
        <w:rPr>
          <w:iCs/>
        </w:rPr>
        <w:t xml:space="preserve">, </w:t>
      </w:r>
      <w:r w:rsidR="00E874EF">
        <w:rPr>
          <w:iCs/>
        </w:rPr>
        <w:t>pegcetacoplan</w:t>
      </w:r>
      <w:r w:rsidR="00E874EF" w:rsidRPr="00E874EF">
        <w:rPr>
          <w:iCs/>
        </w:rPr>
        <w:t xml:space="preserve"> PSD, </w:t>
      </w:r>
      <w:r w:rsidR="00E874EF">
        <w:rPr>
          <w:iCs/>
        </w:rPr>
        <w:t>November 2025</w:t>
      </w:r>
      <w:r w:rsidR="00E874EF" w:rsidRPr="00E874EF">
        <w:rPr>
          <w:iCs/>
        </w:rPr>
        <w:t xml:space="preserve"> PBAC meetin</w:t>
      </w:r>
      <w:r w:rsidR="00E874EF">
        <w:rPr>
          <w:iCs/>
        </w:rPr>
        <w:t>g)</w:t>
      </w:r>
      <w:r w:rsidR="00E12889">
        <w:rPr>
          <w:iCs/>
        </w:rPr>
        <w:t>, and that it would be appropriate to flow</w:t>
      </w:r>
      <w:r w:rsidR="009B60A6">
        <w:rPr>
          <w:iCs/>
        </w:rPr>
        <w:noBreakHyphen/>
      </w:r>
      <w:r w:rsidR="00E12889">
        <w:rPr>
          <w:iCs/>
        </w:rPr>
        <w:t>on this change to the pegcetacoplan restriction</w:t>
      </w:r>
      <w:r w:rsidR="00222A24">
        <w:rPr>
          <w:iCs/>
        </w:rPr>
        <w:t xml:space="preserve"> as outlined in paragraph </w:t>
      </w:r>
      <w:r w:rsidR="00F07DBC">
        <w:rPr>
          <w:iCs/>
        </w:rPr>
        <w:fldChar w:fldCharType="begin"/>
      </w:r>
      <w:r w:rsidR="00F07DBC">
        <w:rPr>
          <w:iCs/>
        </w:rPr>
        <w:instrText xml:space="preserve"> REF _Ref225179393 \r \h </w:instrText>
      </w:r>
      <w:r w:rsidR="00F07DBC">
        <w:rPr>
          <w:iCs/>
        </w:rPr>
      </w:r>
      <w:r w:rsidR="00F07DBC">
        <w:rPr>
          <w:iCs/>
        </w:rPr>
        <w:fldChar w:fldCharType="separate"/>
      </w:r>
      <w:r w:rsidR="00605348">
        <w:rPr>
          <w:iCs/>
        </w:rPr>
        <w:t>8.3</w:t>
      </w:r>
      <w:r w:rsidR="00F07DBC">
        <w:rPr>
          <w:iCs/>
        </w:rPr>
        <w:fldChar w:fldCharType="end"/>
      </w:r>
      <w:r w:rsidR="00E12889">
        <w:rPr>
          <w:iCs/>
        </w:rPr>
        <w:t>.</w:t>
      </w:r>
    </w:p>
    <w:p w14:paraId="521911FD" w14:textId="534660EC" w:rsidR="00470B35" w:rsidRPr="00025DF6" w:rsidRDefault="00470B35" w:rsidP="00241CFC">
      <w:pPr>
        <w:widowControl w:val="0"/>
        <w:numPr>
          <w:ilvl w:val="1"/>
          <w:numId w:val="1"/>
        </w:numPr>
        <w:spacing w:after="120"/>
        <w:rPr>
          <w:rFonts w:asciiTheme="minorHAnsi" w:hAnsiTheme="minorHAnsi"/>
          <w:snapToGrid w:val="0"/>
          <w:lang w:val="en-GB"/>
        </w:rPr>
      </w:pPr>
      <w:r>
        <w:rPr>
          <w:iCs/>
        </w:rPr>
        <w:t>The PBAC further advised that</w:t>
      </w:r>
      <w:r w:rsidR="00FC4011">
        <w:rPr>
          <w:iCs/>
        </w:rPr>
        <w:t xml:space="preserve"> no exclusion</w:t>
      </w:r>
      <w:r w:rsidR="00313EDE">
        <w:rPr>
          <w:iCs/>
        </w:rPr>
        <w:t xml:space="preserve"> </w:t>
      </w:r>
      <w:r w:rsidR="00FC4011">
        <w:rPr>
          <w:iCs/>
        </w:rPr>
        <w:t>o</w:t>
      </w:r>
      <w:r w:rsidR="00313EDE">
        <w:rPr>
          <w:iCs/>
        </w:rPr>
        <w:t>f</w:t>
      </w:r>
      <w:r w:rsidR="00FC4011">
        <w:rPr>
          <w:iCs/>
        </w:rPr>
        <w:t xml:space="preserve"> concomitant CNV therapy is required, and that </w:t>
      </w:r>
      <w:r w:rsidR="00DF6ECC">
        <w:rPr>
          <w:iCs/>
        </w:rPr>
        <w:t>concomitant treatment with CNV can be left t</w:t>
      </w:r>
      <w:r w:rsidR="006858CE">
        <w:rPr>
          <w:iCs/>
        </w:rPr>
        <w:t>o</w:t>
      </w:r>
      <w:r w:rsidR="00DF6ECC">
        <w:rPr>
          <w:iCs/>
        </w:rPr>
        <w:t xml:space="preserve"> clinician discretion. The PBAC advised that</w:t>
      </w:r>
      <w:r w:rsidR="00372302">
        <w:rPr>
          <w:iCs/>
        </w:rPr>
        <w:t>,</w:t>
      </w:r>
      <w:r w:rsidR="00AF2AF7">
        <w:rPr>
          <w:iCs/>
        </w:rPr>
        <w:t xml:space="preserve"> should pegcetacoplan proceed to listing,</w:t>
      </w:r>
      <w:r w:rsidR="00DF6ECC">
        <w:rPr>
          <w:iCs/>
        </w:rPr>
        <w:t xml:space="preserve"> no concomitant or sequential therapy with pegcetacoplan for </w:t>
      </w:r>
      <w:r w:rsidR="004217AA">
        <w:rPr>
          <w:iCs/>
        </w:rPr>
        <w:t xml:space="preserve">GA </w:t>
      </w:r>
      <w:r w:rsidR="004217AA" w:rsidRPr="00E20031">
        <w:t>secondary to</w:t>
      </w:r>
      <w:r w:rsidR="004217AA">
        <w:t xml:space="preserve"> AMD </w:t>
      </w:r>
      <w:r w:rsidR="003762E2">
        <w:t xml:space="preserve">should be </w:t>
      </w:r>
      <w:r w:rsidR="0045574F">
        <w:t xml:space="preserve">allowed given </w:t>
      </w:r>
      <w:r w:rsidR="00246F73">
        <w:t>the</w:t>
      </w:r>
      <w:r w:rsidR="00BD3C9B">
        <w:t xml:space="preserve"> similar</w:t>
      </w:r>
      <w:r w:rsidR="00246F73">
        <w:t xml:space="preserve"> </w:t>
      </w:r>
      <w:r w:rsidR="0045574F">
        <w:t>mechanism</w:t>
      </w:r>
      <w:r w:rsidR="00246F73">
        <w:t>s</w:t>
      </w:r>
      <w:r w:rsidR="0045574F">
        <w:t xml:space="preserve"> of action and </w:t>
      </w:r>
      <w:r w:rsidR="003513C4">
        <w:t xml:space="preserve">the absence of </w:t>
      </w:r>
      <w:r w:rsidR="0045574F">
        <w:t xml:space="preserve">clinical </w:t>
      </w:r>
      <w:r w:rsidR="00725250">
        <w:t xml:space="preserve">efficacy or safety </w:t>
      </w:r>
      <w:r w:rsidR="0045574F">
        <w:t>data</w:t>
      </w:r>
      <w:r w:rsidR="00313EDE">
        <w:rPr>
          <w:iCs/>
        </w:rPr>
        <w:t xml:space="preserve"> </w:t>
      </w:r>
      <w:r w:rsidR="00647D1D">
        <w:rPr>
          <w:iCs/>
        </w:rPr>
        <w:t xml:space="preserve">of concomitant or sequential use </w:t>
      </w:r>
      <w:r w:rsidR="00F67657">
        <w:rPr>
          <w:iCs/>
        </w:rPr>
        <w:t xml:space="preserve">(see paragraph </w:t>
      </w:r>
      <w:r w:rsidR="00F67657">
        <w:rPr>
          <w:iCs/>
        </w:rPr>
        <w:fldChar w:fldCharType="begin"/>
      </w:r>
      <w:r w:rsidR="00F67657">
        <w:rPr>
          <w:iCs/>
        </w:rPr>
        <w:instrText xml:space="preserve"> REF _Ref225179463 \r \h </w:instrText>
      </w:r>
      <w:r w:rsidR="00F67657">
        <w:rPr>
          <w:iCs/>
        </w:rPr>
      </w:r>
      <w:r w:rsidR="00F67657">
        <w:rPr>
          <w:iCs/>
        </w:rPr>
        <w:fldChar w:fldCharType="separate"/>
      </w:r>
      <w:r w:rsidR="00605348">
        <w:rPr>
          <w:iCs/>
        </w:rPr>
        <w:t>8.2</w:t>
      </w:r>
      <w:r w:rsidR="00F67657">
        <w:rPr>
          <w:iCs/>
        </w:rPr>
        <w:fldChar w:fldCharType="end"/>
      </w:r>
      <w:r w:rsidR="00F67657">
        <w:rPr>
          <w:iCs/>
        </w:rPr>
        <w:t xml:space="preserve"> and </w:t>
      </w:r>
      <w:r w:rsidR="00F67657">
        <w:rPr>
          <w:iCs/>
        </w:rPr>
        <w:fldChar w:fldCharType="begin"/>
      </w:r>
      <w:r w:rsidR="00F67657">
        <w:rPr>
          <w:iCs/>
        </w:rPr>
        <w:instrText xml:space="preserve"> REF _Ref225179471 \r \h </w:instrText>
      </w:r>
      <w:r w:rsidR="00F67657">
        <w:rPr>
          <w:iCs/>
        </w:rPr>
      </w:r>
      <w:r w:rsidR="00F67657">
        <w:rPr>
          <w:iCs/>
        </w:rPr>
        <w:fldChar w:fldCharType="separate"/>
      </w:r>
      <w:r w:rsidR="00962F38">
        <w:rPr>
          <w:iCs/>
        </w:rPr>
        <w:t>8.4</w:t>
      </w:r>
      <w:r w:rsidR="00F67657">
        <w:rPr>
          <w:iCs/>
        </w:rPr>
        <w:fldChar w:fldCharType="end"/>
      </w:r>
      <w:r w:rsidR="00F67657">
        <w:rPr>
          <w:iCs/>
        </w:rPr>
        <w:t>)</w:t>
      </w:r>
      <w:r w:rsidR="00725250">
        <w:rPr>
          <w:iCs/>
        </w:rPr>
        <w:t>.</w:t>
      </w:r>
      <w:r w:rsidR="00B6070E">
        <w:rPr>
          <w:iCs/>
        </w:rPr>
        <w:t xml:space="preserve"> The PBAC </w:t>
      </w:r>
      <w:r w:rsidR="00BA4E2F">
        <w:rPr>
          <w:iCs/>
        </w:rPr>
        <w:t>considered</w:t>
      </w:r>
      <w:r w:rsidR="00B6070E">
        <w:rPr>
          <w:iCs/>
        </w:rPr>
        <w:t xml:space="preserve"> that </w:t>
      </w:r>
      <w:r w:rsidR="00BA4E2F" w:rsidRPr="00BA4E2F">
        <w:rPr>
          <w:iCs/>
        </w:rPr>
        <w:t>the request</w:t>
      </w:r>
      <w:r w:rsidR="008D075B">
        <w:rPr>
          <w:iCs/>
        </w:rPr>
        <w:t>ed</w:t>
      </w:r>
      <w:r w:rsidR="00BA4E2F" w:rsidRPr="00BA4E2F">
        <w:rPr>
          <w:iCs/>
        </w:rPr>
        <w:t xml:space="preserve"> grandfathering restriction for patients in the sponsor’s patient access program would not be required as patients that would not meet the proposed PBS restriction eligibility criteria should not be eligible for PBS subsidy for </w:t>
      </w:r>
      <w:r w:rsidR="008D075B">
        <w:rPr>
          <w:iCs/>
        </w:rPr>
        <w:t>ACP</w:t>
      </w:r>
      <w:r w:rsidR="00B81BC5" w:rsidRPr="00025DF6">
        <w:rPr>
          <w:iCs/>
        </w:rPr>
        <w:t>.</w:t>
      </w:r>
    </w:p>
    <w:p w14:paraId="02C9C2C2" w14:textId="153D535A" w:rsidR="00412A07" w:rsidRPr="00647D1D" w:rsidRDefault="007F2819" w:rsidP="00412A07">
      <w:pPr>
        <w:widowControl w:val="0"/>
        <w:numPr>
          <w:ilvl w:val="1"/>
          <w:numId w:val="1"/>
        </w:numPr>
        <w:spacing w:after="120"/>
        <w:rPr>
          <w:rFonts w:asciiTheme="minorHAnsi" w:hAnsiTheme="minorHAnsi"/>
          <w:snapToGrid w:val="0"/>
          <w:lang w:val="en-GB"/>
        </w:rPr>
      </w:pPr>
      <w:r w:rsidRPr="00025DF6">
        <w:t>The PBAC accepted</w:t>
      </w:r>
      <w:r w:rsidRPr="00025DF6">
        <w:rPr>
          <w:iCs/>
        </w:rPr>
        <w:t xml:space="preserve"> the </w:t>
      </w:r>
      <w:r w:rsidRPr="00025DF6">
        <w:t xml:space="preserve">nominated comparator of BSC was appropriate. The PBAC accepted pegcetacoplan </w:t>
      </w:r>
      <w:r w:rsidR="004B6CE4">
        <w:t>w</w:t>
      </w:r>
      <w:r w:rsidRPr="00025DF6">
        <w:t>as an appropriate near market comparator.</w:t>
      </w:r>
    </w:p>
    <w:p w14:paraId="53ED0CBD" w14:textId="23669095" w:rsidR="00647D1D" w:rsidRPr="00FA16DC" w:rsidRDefault="00647D1D" w:rsidP="00412A07">
      <w:pPr>
        <w:widowControl w:val="0"/>
        <w:numPr>
          <w:ilvl w:val="1"/>
          <w:numId w:val="1"/>
        </w:numPr>
        <w:spacing w:after="120"/>
        <w:rPr>
          <w:rFonts w:asciiTheme="minorHAnsi" w:hAnsiTheme="minorHAnsi"/>
          <w:snapToGrid w:val="0"/>
          <w:lang w:val="en-GB"/>
        </w:rPr>
      </w:pPr>
      <w:r>
        <w:t xml:space="preserve">The PBAC </w:t>
      </w:r>
      <w:r w:rsidR="00DC6CBA">
        <w:t>noted the</w:t>
      </w:r>
      <w:r w:rsidR="00EA2985">
        <w:t xml:space="preserve"> submission was based on </w:t>
      </w:r>
      <w:r w:rsidR="00D438D9">
        <w:t>2 randomised</w:t>
      </w:r>
      <w:r w:rsidR="002C7267">
        <w:t xml:space="preserve"> </w:t>
      </w:r>
      <w:r w:rsidR="00AB30D3">
        <w:t>S</w:t>
      </w:r>
      <w:r w:rsidR="000C38CC">
        <w:t>ham</w:t>
      </w:r>
      <w:r w:rsidR="009B60A6">
        <w:noBreakHyphen/>
      </w:r>
      <w:r w:rsidR="002C7267">
        <w:t xml:space="preserve">controlled trials: </w:t>
      </w:r>
      <w:r w:rsidR="002C7267" w:rsidRPr="00081EC1">
        <w:t>GATHER1 (Phase 2/3) and GATHER2 (Phase 3)</w:t>
      </w:r>
      <w:r w:rsidR="002C7267">
        <w:t>.</w:t>
      </w:r>
      <w:r w:rsidR="000C38CC">
        <w:t xml:space="preserve"> </w:t>
      </w:r>
      <w:r w:rsidR="008C4981" w:rsidRPr="00081EC1">
        <w:t>In Part 1 of GATHER1, patients were randomised to receive ACP 1 mg IVT, ACP 2 mg IVT, or Sham. In Part 2 of GATHER1, patients were randomised to receive ACP 2 mg IVT, ACP 4 mg IVT, or Sham</w:t>
      </w:r>
      <w:r w:rsidR="008C4981">
        <w:t>.</w:t>
      </w:r>
      <w:r w:rsidR="00174E32">
        <w:t xml:space="preserve"> </w:t>
      </w:r>
      <w:r w:rsidR="00174E32" w:rsidRPr="00081EC1">
        <w:t>In GATHER1, there were 67 patients in the combined ACP 2 mg group (N = 67) and 110 patients in the combined Sham group (N = 110).</w:t>
      </w:r>
      <w:r w:rsidR="008C4981" w:rsidRPr="00081EC1">
        <w:t xml:space="preserve"> </w:t>
      </w:r>
      <w:r w:rsidR="00C837E7" w:rsidRPr="00081EC1">
        <w:t>In GATHER2, patients were randomised at baseline to receive either monthly ACP 2 mg IVT (N = 225) or Sham (N = 222). At Month 12, after the collection of data for the primary endpoint analyses, patients who had previously received monthly ACP 2 mg IVT were re</w:t>
      </w:r>
      <w:r w:rsidR="009B60A6">
        <w:noBreakHyphen/>
      </w:r>
      <w:r w:rsidR="00C837E7" w:rsidRPr="00081EC1">
        <w:t>randomised to receive either ACP 2 mg monthly (EM) (N = 96) or ACP 2</w:t>
      </w:r>
      <w:r w:rsidR="00B62324">
        <w:t> </w:t>
      </w:r>
      <w:r w:rsidR="00C837E7" w:rsidRPr="00081EC1">
        <w:t>mg every other month (EOM) (N =93).</w:t>
      </w:r>
      <w:r w:rsidR="00C837E7">
        <w:t xml:space="preserve"> </w:t>
      </w:r>
    </w:p>
    <w:p w14:paraId="3EC5C59E" w14:textId="1DD212F8" w:rsidR="00603F22" w:rsidRPr="00603F22" w:rsidRDefault="00B53080" w:rsidP="00412A07">
      <w:pPr>
        <w:widowControl w:val="0"/>
        <w:numPr>
          <w:ilvl w:val="1"/>
          <w:numId w:val="1"/>
        </w:numPr>
        <w:spacing w:after="120"/>
        <w:rPr>
          <w:rFonts w:asciiTheme="minorHAnsi" w:hAnsiTheme="minorHAnsi"/>
          <w:snapToGrid w:val="0"/>
          <w:lang w:val="en-GB"/>
        </w:rPr>
      </w:pPr>
      <w:r>
        <w:t>The PBAC noted the</w:t>
      </w:r>
      <w:r w:rsidR="009F34CE">
        <w:t xml:space="preserve"> </w:t>
      </w:r>
      <w:r w:rsidR="002E51FF">
        <w:t xml:space="preserve">outcomes of </w:t>
      </w:r>
      <w:r w:rsidR="000E7208">
        <w:t xml:space="preserve">observed </w:t>
      </w:r>
      <w:r w:rsidR="009F34CE">
        <w:t>mean rate of</w:t>
      </w:r>
      <w:r w:rsidR="006E7ACD">
        <w:t xml:space="preserve"> change in GA area and m</w:t>
      </w:r>
      <w:r w:rsidR="00115AFB">
        <w:t>e</w:t>
      </w:r>
      <w:r w:rsidR="006E7ACD">
        <w:t xml:space="preserve">an rate of change in GA growth were significantly </w:t>
      </w:r>
      <w:r w:rsidR="006E7ACD" w:rsidRPr="009C3015">
        <w:t xml:space="preserve">improved </w:t>
      </w:r>
      <w:r w:rsidR="004057C5" w:rsidRPr="009C3015">
        <w:t xml:space="preserve">with ACP </w:t>
      </w:r>
      <w:r w:rsidR="00745EFB" w:rsidRPr="009C3015">
        <w:t>treatment</w:t>
      </w:r>
      <w:r w:rsidR="004057C5" w:rsidRPr="009C3015">
        <w:t xml:space="preserve"> compared to </w:t>
      </w:r>
      <w:r w:rsidR="00AB30D3">
        <w:t>S</w:t>
      </w:r>
      <w:r w:rsidR="004057C5" w:rsidRPr="009C3015">
        <w:t>ham injection, over 12,</w:t>
      </w:r>
      <w:r w:rsidR="00115AFB" w:rsidRPr="009C3015">
        <w:t xml:space="preserve"> </w:t>
      </w:r>
      <w:r w:rsidR="004057C5" w:rsidRPr="009C3015">
        <w:t>18 and 24 month ti</w:t>
      </w:r>
      <w:r w:rsidR="00745EFB" w:rsidRPr="009C3015">
        <w:t>m</w:t>
      </w:r>
      <w:r w:rsidR="004057C5" w:rsidRPr="009C3015">
        <w:t>e</w:t>
      </w:r>
      <w:r w:rsidR="00745EFB" w:rsidRPr="009C3015">
        <w:t>p</w:t>
      </w:r>
      <w:r w:rsidR="004057C5" w:rsidRPr="009C3015">
        <w:t xml:space="preserve">oints (see </w:t>
      </w:r>
      <w:r w:rsidR="009C3015" w:rsidRPr="009C3015">
        <w:fldChar w:fldCharType="begin"/>
      </w:r>
      <w:r w:rsidR="009C3015" w:rsidRPr="009C3015">
        <w:instrText xml:space="preserve"> REF _Ref217394068 \h </w:instrText>
      </w:r>
      <w:r w:rsidR="009C3015">
        <w:instrText xml:space="preserve"> \* MERGEFORMAT </w:instrText>
      </w:r>
      <w:r w:rsidR="009C3015" w:rsidRPr="009C3015">
        <w:fldChar w:fldCharType="separate"/>
      </w:r>
      <w:r w:rsidR="00962F38">
        <w:t xml:space="preserve">Table </w:t>
      </w:r>
      <w:r w:rsidR="00962F38">
        <w:rPr>
          <w:noProof/>
        </w:rPr>
        <w:t>4</w:t>
      </w:r>
      <w:r w:rsidR="009C3015" w:rsidRPr="009C3015">
        <w:fldChar w:fldCharType="end"/>
      </w:r>
      <w:r w:rsidR="00F10861">
        <w:t xml:space="preserve"> </w:t>
      </w:r>
      <w:r w:rsidR="009C3015" w:rsidRPr="009C3015">
        <w:t xml:space="preserve">and </w:t>
      </w:r>
      <w:r w:rsidR="009C3015" w:rsidRPr="009C3015">
        <w:fldChar w:fldCharType="begin"/>
      </w:r>
      <w:r w:rsidR="009C3015" w:rsidRPr="009C3015">
        <w:instrText xml:space="preserve"> REF _Ref217395027 \h </w:instrText>
      </w:r>
      <w:r w:rsidR="009C3015">
        <w:instrText xml:space="preserve"> \* MERGEFORMAT </w:instrText>
      </w:r>
      <w:r w:rsidR="009C3015" w:rsidRPr="009C3015">
        <w:fldChar w:fldCharType="separate"/>
      </w:r>
      <w:r w:rsidR="00962F38">
        <w:t xml:space="preserve">Table </w:t>
      </w:r>
      <w:r w:rsidR="00962F38">
        <w:rPr>
          <w:noProof/>
        </w:rPr>
        <w:t>5</w:t>
      </w:r>
      <w:r w:rsidR="009C3015" w:rsidRPr="009C3015">
        <w:fldChar w:fldCharType="end"/>
      </w:r>
      <w:r w:rsidR="004057C5" w:rsidRPr="009C3015">
        <w:t>)</w:t>
      </w:r>
      <w:r w:rsidR="00F10861">
        <w:t>.</w:t>
      </w:r>
      <w:r w:rsidR="004057C5">
        <w:t xml:space="preserve"> </w:t>
      </w:r>
      <w:r w:rsidR="007E653D">
        <w:t xml:space="preserve">The PBAC noted that </w:t>
      </w:r>
      <w:r w:rsidR="009736B1">
        <w:t>t</w:t>
      </w:r>
      <w:r w:rsidR="009736B1" w:rsidRPr="004452FC">
        <w:rPr>
          <w:snapToGrid w:val="0"/>
          <w:color w:val="000000" w:themeColor="text1"/>
        </w:rPr>
        <w:t xml:space="preserve">he claim of similar efficacy for EOM </w:t>
      </w:r>
      <w:r w:rsidR="009736B1">
        <w:rPr>
          <w:snapToGrid w:val="0"/>
          <w:color w:val="000000" w:themeColor="text1"/>
        </w:rPr>
        <w:t xml:space="preserve">to EM IVT </w:t>
      </w:r>
      <w:r w:rsidR="009736B1" w:rsidRPr="004452FC">
        <w:rPr>
          <w:snapToGrid w:val="0"/>
          <w:color w:val="000000" w:themeColor="text1"/>
        </w:rPr>
        <w:t>is based on indirect inference rather than rigorous statistical evidence</w:t>
      </w:r>
      <w:r w:rsidR="008972FF">
        <w:rPr>
          <w:snapToGrid w:val="0"/>
          <w:color w:val="000000" w:themeColor="text1"/>
        </w:rPr>
        <w:t xml:space="preserve"> (paragraph </w:t>
      </w:r>
      <w:r w:rsidR="008972FF">
        <w:rPr>
          <w:snapToGrid w:val="0"/>
          <w:color w:val="000000" w:themeColor="text1"/>
        </w:rPr>
        <w:fldChar w:fldCharType="begin"/>
      </w:r>
      <w:r w:rsidR="008972FF">
        <w:rPr>
          <w:snapToGrid w:val="0"/>
          <w:color w:val="000000" w:themeColor="text1"/>
        </w:rPr>
        <w:instrText xml:space="preserve"> REF _Ref224642272 \r \h </w:instrText>
      </w:r>
      <w:r w:rsidR="008972FF">
        <w:rPr>
          <w:snapToGrid w:val="0"/>
          <w:color w:val="000000" w:themeColor="text1"/>
        </w:rPr>
      </w:r>
      <w:r w:rsidR="008972FF">
        <w:rPr>
          <w:snapToGrid w:val="0"/>
          <w:color w:val="000000" w:themeColor="text1"/>
        </w:rPr>
        <w:fldChar w:fldCharType="separate"/>
      </w:r>
      <w:r w:rsidR="00605348">
        <w:rPr>
          <w:snapToGrid w:val="0"/>
          <w:color w:val="000000" w:themeColor="text1"/>
        </w:rPr>
        <w:t>6.19</w:t>
      </w:r>
      <w:r w:rsidR="008972FF">
        <w:rPr>
          <w:snapToGrid w:val="0"/>
          <w:color w:val="000000" w:themeColor="text1"/>
        </w:rPr>
        <w:fldChar w:fldCharType="end"/>
      </w:r>
      <w:r w:rsidR="008972FF">
        <w:rPr>
          <w:snapToGrid w:val="0"/>
          <w:color w:val="000000" w:themeColor="text1"/>
        </w:rPr>
        <w:t xml:space="preserve">). </w:t>
      </w:r>
      <w:r w:rsidR="008972FF">
        <w:rPr>
          <w:snapToGrid w:val="0"/>
          <w:color w:val="000000" w:themeColor="text1"/>
        </w:rPr>
        <w:lastRenderedPageBreak/>
        <w:t>However, the PBAC was satisfied that</w:t>
      </w:r>
      <w:r w:rsidR="009736B1">
        <w:rPr>
          <w:snapToGrid w:val="0"/>
          <w:color w:val="000000" w:themeColor="text1"/>
        </w:rPr>
        <w:t xml:space="preserve"> </w:t>
      </w:r>
      <w:r w:rsidR="007E653D">
        <w:t>there were</w:t>
      </w:r>
      <w:r w:rsidR="005C7A28">
        <w:t xml:space="preserve"> </w:t>
      </w:r>
      <w:r w:rsidR="007E653D">
        <w:t>no</w:t>
      </w:r>
      <w:r w:rsidR="005C7A28">
        <w:t xml:space="preserve"> </w:t>
      </w:r>
      <w:r w:rsidR="008972FF">
        <w:t>substantial</w:t>
      </w:r>
      <w:r w:rsidR="005C7A28">
        <w:t xml:space="preserve"> differences in outcomes for patients receiving EM or EOM dosing, although it was noted the patient numbers were small</w:t>
      </w:r>
      <w:r w:rsidR="008972FF">
        <w:t>.</w:t>
      </w:r>
      <w:r w:rsidR="001265B1">
        <w:t xml:space="preserve"> </w:t>
      </w:r>
    </w:p>
    <w:p w14:paraId="1C059118" w14:textId="1DD53BBA" w:rsidR="007E653D" w:rsidRPr="000158A1" w:rsidRDefault="001265B1" w:rsidP="00412A07">
      <w:pPr>
        <w:widowControl w:val="0"/>
        <w:numPr>
          <w:ilvl w:val="1"/>
          <w:numId w:val="1"/>
        </w:numPr>
        <w:spacing w:after="120"/>
        <w:rPr>
          <w:rFonts w:asciiTheme="minorHAnsi" w:hAnsiTheme="minorHAnsi"/>
          <w:snapToGrid w:val="0"/>
          <w:lang w:val="en-GB"/>
        </w:rPr>
      </w:pPr>
      <w:r>
        <w:t xml:space="preserve">The PBAC noted there were no significant </w:t>
      </w:r>
      <w:r w:rsidR="002C2ACD">
        <w:t xml:space="preserve">benefits in </w:t>
      </w:r>
      <w:r w:rsidR="002A47D8" w:rsidRPr="004452FC">
        <w:t xml:space="preserve">the secondary efficacy endpoints </w:t>
      </w:r>
      <w:r w:rsidR="002A47D8">
        <w:rPr>
          <w:rFonts w:cstheme="minorHAnsi"/>
        </w:rPr>
        <w:t>of</w:t>
      </w:r>
      <w:r w:rsidR="002A47D8" w:rsidRPr="004452FC">
        <w:t xml:space="preserve"> BCVA and low luminance</w:t>
      </w:r>
      <w:r w:rsidR="009B60A6">
        <w:noBreakHyphen/>
      </w:r>
      <w:r w:rsidR="002A47D8" w:rsidRPr="004452FC">
        <w:t>BCVA (LL</w:t>
      </w:r>
      <w:r w:rsidR="009B60A6">
        <w:noBreakHyphen/>
      </w:r>
      <w:r w:rsidR="002A47D8" w:rsidRPr="004452FC">
        <w:t>BCVA]) (ETDRS letters)</w:t>
      </w:r>
      <w:r w:rsidR="002A47D8">
        <w:t xml:space="preserve"> (see </w:t>
      </w:r>
      <w:r w:rsidR="002A47D8">
        <w:fldChar w:fldCharType="begin"/>
      </w:r>
      <w:r w:rsidR="002A47D8">
        <w:instrText xml:space="preserve"> REF _Ref219119592 \h </w:instrText>
      </w:r>
      <w:r w:rsidR="002A47D8">
        <w:fldChar w:fldCharType="separate"/>
      </w:r>
      <w:r w:rsidR="00962F38">
        <w:t xml:space="preserve">Table </w:t>
      </w:r>
      <w:r w:rsidR="00962F38">
        <w:rPr>
          <w:noProof/>
        </w:rPr>
        <w:t>6</w:t>
      </w:r>
      <w:r w:rsidR="002A47D8">
        <w:fldChar w:fldCharType="end"/>
      </w:r>
      <w:r w:rsidR="002A47D8">
        <w:t xml:space="preserve">). </w:t>
      </w:r>
      <w:r w:rsidR="00971BC3">
        <w:t xml:space="preserve">The PBAC noted that, based on the TGA Delegate’s overview, </w:t>
      </w:r>
      <w:r w:rsidR="00971BC3" w:rsidRPr="004452FC">
        <w:rPr>
          <w:color w:val="000000" w:themeColor="text1"/>
        </w:rPr>
        <w:t xml:space="preserve">GA area has emerged as an appropriate variable to assess progression of GA, </w:t>
      </w:r>
      <w:proofErr w:type="gramStart"/>
      <w:r w:rsidR="00971BC3" w:rsidRPr="004452FC">
        <w:rPr>
          <w:color w:val="000000" w:themeColor="text1"/>
        </w:rPr>
        <w:t>in particular in</w:t>
      </w:r>
      <w:proofErr w:type="gramEnd"/>
      <w:r w:rsidR="00971BC3" w:rsidRPr="004452FC">
        <w:rPr>
          <w:color w:val="000000" w:themeColor="text1"/>
        </w:rPr>
        <w:t xml:space="preserve"> the earlier stages of the disease, since visual acuity </w:t>
      </w:r>
      <w:proofErr w:type="gramStart"/>
      <w:r w:rsidR="00971BC3">
        <w:rPr>
          <w:color w:val="000000" w:themeColor="text1"/>
        </w:rPr>
        <w:t>would</w:t>
      </w:r>
      <w:proofErr w:type="gramEnd"/>
      <w:r w:rsidR="00971BC3" w:rsidRPr="004452FC">
        <w:rPr>
          <w:color w:val="000000" w:themeColor="text1"/>
        </w:rPr>
        <w:t xml:space="preserve"> poorly reflect GA progression if the fovea remains unaffected</w:t>
      </w:r>
      <w:r w:rsidR="00971BC3">
        <w:rPr>
          <w:color w:val="000000" w:themeColor="text1"/>
        </w:rPr>
        <w:t xml:space="preserve"> (see paragraph </w:t>
      </w:r>
      <w:r w:rsidR="00971BC3">
        <w:rPr>
          <w:color w:val="000000" w:themeColor="text1"/>
        </w:rPr>
        <w:fldChar w:fldCharType="begin"/>
      </w:r>
      <w:r w:rsidR="00971BC3">
        <w:rPr>
          <w:color w:val="000000" w:themeColor="text1"/>
        </w:rPr>
        <w:instrText xml:space="preserve"> REF _Ref224646923 \r \h </w:instrText>
      </w:r>
      <w:r w:rsidR="00971BC3">
        <w:rPr>
          <w:color w:val="000000" w:themeColor="text1"/>
        </w:rPr>
      </w:r>
      <w:r w:rsidR="00971BC3">
        <w:rPr>
          <w:color w:val="000000" w:themeColor="text1"/>
        </w:rPr>
        <w:fldChar w:fldCharType="separate"/>
      </w:r>
      <w:r w:rsidR="00605348">
        <w:rPr>
          <w:color w:val="000000" w:themeColor="text1"/>
        </w:rPr>
        <w:t>6.12</w:t>
      </w:r>
      <w:r w:rsidR="00971BC3">
        <w:rPr>
          <w:color w:val="000000" w:themeColor="text1"/>
        </w:rPr>
        <w:fldChar w:fldCharType="end"/>
      </w:r>
      <w:r w:rsidR="00971BC3">
        <w:rPr>
          <w:color w:val="000000" w:themeColor="text1"/>
        </w:rPr>
        <w:t>)</w:t>
      </w:r>
      <w:r w:rsidR="00971BC3" w:rsidRPr="004452FC">
        <w:rPr>
          <w:color w:val="000000" w:themeColor="text1"/>
        </w:rPr>
        <w:t xml:space="preserve">. </w:t>
      </w:r>
      <w:r w:rsidR="00603F22">
        <w:t xml:space="preserve">The PBAC recalled from its November 2025 consideration of pegcetacoplan </w:t>
      </w:r>
      <w:r w:rsidR="00C12C84" w:rsidRPr="004452FC">
        <w:t xml:space="preserve">that, although the clinical trials did not demonstrate clear improvements in vision related activities, it </w:t>
      </w:r>
      <w:r w:rsidR="00AA0C2A">
        <w:t xml:space="preserve">had considered it </w:t>
      </w:r>
      <w:r w:rsidR="00C12C84" w:rsidRPr="004452FC">
        <w:t xml:space="preserve">was reasonable to assume that protecting the structure of the eye by slowing GA lesion growth </w:t>
      </w:r>
      <w:r w:rsidR="00D973E5">
        <w:t>would likely</w:t>
      </w:r>
      <w:r w:rsidR="00D973E5" w:rsidRPr="004452FC">
        <w:t xml:space="preserve"> </w:t>
      </w:r>
      <w:r w:rsidR="00C12C84" w:rsidRPr="004452FC">
        <w:t>result in slower loss of functional vision than current care.</w:t>
      </w:r>
      <w:r w:rsidR="00BF27FA">
        <w:t xml:space="preserve"> </w:t>
      </w:r>
      <w:r w:rsidR="00C12C84" w:rsidRPr="004452FC">
        <w:t>Despite uncertainty in the magnitude of this benefit on vision,</w:t>
      </w:r>
      <w:r w:rsidR="009C258C">
        <w:t xml:space="preserve"> in November 2025, </w:t>
      </w:r>
      <w:r w:rsidR="00C12C84" w:rsidRPr="004452FC">
        <w:t>the PBAC</w:t>
      </w:r>
      <w:r w:rsidR="009C258C">
        <w:t xml:space="preserve"> </w:t>
      </w:r>
      <w:r w:rsidR="00C12C84" w:rsidRPr="004452FC">
        <w:t xml:space="preserve">was satisfied that pegcetacoplan provides, for some patients, a significant improvement in efficacy over BSC (Pegcetacoplan, November 2025 PBAC Meeting outcomes). </w:t>
      </w:r>
      <w:r w:rsidR="00CE7A9B">
        <w:t>T</w:t>
      </w:r>
      <w:r w:rsidR="00C12C84">
        <w:t xml:space="preserve">he PBAC considered that for ACP, </w:t>
      </w:r>
      <w:r w:rsidR="00662D4E" w:rsidRPr="00C17763">
        <w:rPr>
          <w:iCs/>
        </w:rPr>
        <w:t xml:space="preserve">the claim of superior effectiveness </w:t>
      </w:r>
      <w:r w:rsidR="00662D4E">
        <w:rPr>
          <w:iCs/>
        </w:rPr>
        <w:t xml:space="preserve">to BSC </w:t>
      </w:r>
      <w:r w:rsidR="00662D4E" w:rsidRPr="00C17763">
        <w:rPr>
          <w:iCs/>
        </w:rPr>
        <w:t>was adequately supported but the magnitude of benefit was uncertain.</w:t>
      </w:r>
    </w:p>
    <w:p w14:paraId="53370133" w14:textId="0FB8211F" w:rsidR="008F71F4" w:rsidRDefault="008C7563" w:rsidP="008F71F4">
      <w:pPr>
        <w:pStyle w:val="3-BodyText"/>
      </w:pPr>
      <w:r>
        <w:rPr>
          <w:snapToGrid w:val="0"/>
          <w:lang w:val="en-GB"/>
        </w:rPr>
        <w:t xml:space="preserve">The PBAC noted that </w:t>
      </w:r>
      <w:r>
        <w:t>c</w:t>
      </w:r>
      <w:r w:rsidRPr="004452FC">
        <w:t>ombining data from GATHER1 and GATHER2, ACP 2 mg IVT appeared to have a stronger association with the development of CNV in the treated eye during the first 12 months of treatment</w:t>
      </w:r>
      <w:r w:rsidR="008F71F4">
        <w:t xml:space="preserve">. </w:t>
      </w:r>
      <w:r w:rsidR="0079396E">
        <w:t>The PBAC also</w:t>
      </w:r>
      <w:r w:rsidR="009746EE">
        <w:t xml:space="preserve"> noted that data from </w:t>
      </w:r>
      <w:r w:rsidR="007B557B">
        <w:rPr>
          <w:iCs/>
        </w:rPr>
        <w:t xml:space="preserve">the </w:t>
      </w:r>
      <w:r w:rsidR="007B557B" w:rsidRPr="00C17763">
        <w:rPr>
          <w:iCs/>
        </w:rPr>
        <w:t>American Academy of Ophthalmology (AAO)</w:t>
      </w:r>
      <w:r w:rsidR="0079396E" w:rsidRPr="00C17763">
        <w:rPr>
          <w:iCs/>
        </w:rPr>
        <w:t xml:space="preserve"> Intelligent Research in Sight (IRIS) Registry reported a lower percentage of patients developing CNV than reported in the clinical trials. </w:t>
      </w:r>
      <w:r w:rsidR="00BA37A9">
        <w:rPr>
          <w:iCs/>
        </w:rPr>
        <w:t>The PBAC noted a</w:t>
      </w:r>
      <w:r w:rsidR="008F71F4" w:rsidRPr="004452FC">
        <w:t xml:space="preserve">mong the adverse events of special interests (AESIs) in GATHER2, patients in the ACP group experienced 6 times higher rate of IOP </w:t>
      </w:r>
      <w:r w:rsidR="008F71F4" w:rsidRPr="004452FC">
        <w:rPr>
          <w:rFonts w:cstheme="minorHAnsi"/>
        </w:rPr>
        <w:t>≥</w:t>
      </w:r>
      <w:r w:rsidR="008F71F4" w:rsidRPr="004452FC">
        <w:t xml:space="preserve"> 30 mmHg (12.4% in ACP vs 1.8% in Sham) and a higher rate of increased IOP requiring surgery (4.4% in ACP vs 0 in Sham), and 3 times higher rate of decreased/blurred vision (15.1% in ACP vs 5.0% in Sham). </w:t>
      </w:r>
      <w:r w:rsidR="00CE7A9B">
        <w:t>Overall,</w:t>
      </w:r>
      <w:r w:rsidR="00BA37A9">
        <w:t xml:space="preserve"> the PBAC</w:t>
      </w:r>
      <w:r w:rsidR="00E75AA4">
        <w:t xml:space="preserve"> considered the claim of inferior </w:t>
      </w:r>
      <w:r w:rsidR="00C46CAD">
        <w:t xml:space="preserve">safety to BSC was </w:t>
      </w:r>
      <w:r w:rsidR="001D4E99">
        <w:t>appropriate</w:t>
      </w:r>
      <w:r w:rsidR="00C46CAD">
        <w:t>.</w:t>
      </w:r>
    </w:p>
    <w:p w14:paraId="316D60B5" w14:textId="7511FF8A" w:rsidR="00AB30D3" w:rsidRPr="003459A3" w:rsidRDefault="00AB30D3" w:rsidP="00AB30D3">
      <w:pPr>
        <w:pStyle w:val="3-BodyText"/>
        <w:rPr>
          <w:bCs/>
        </w:rPr>
      </w:pPr>
      <w:r>
        <w:t>The PBAC noted</w:t>
      </w:r>
      <w:r w:rsidRPr="00081EC1">
        <w:t xml:space="preserve"> no head</w:t>
      </w:r>
      <w:r w:rsidR="009B60A6">
        <w:noBreakHyphen/>
      </w:r>
      <w:r w:rsidRPr="00081EC1">
        <w:t>to</w:t>
      </w:r>
      <w:r w:rsidR="009B60A6">
        <w:noBreakHyphen/>
      </w:r>
      <w:r w:rsidRPr="00081EC1">
        <w:t>head trials directly compare</w:t>
      </w:r>
      <w:r w:rsidR="00CE7A9B">
        <w:t>d</w:t>
      </w:r>
      <w:r w:rsidRPr="00081EC1">
        <w:t xml:space="preserve"> the efficacy and safety of ACP v</w:t>
      </w:r>
      <w:r w:rsidR="00E63C90">
        <w:t>er</w:t>
      </w:r>
      <w:r w:rsidRPr="00081EC1">
        <w:t>s</w:t>
      </w:r>
      <w:r w:rsidR="00E63C90">
        <w:t>us</w:t>
      </w:r>
      <w:r w:rsidRPr="00081EC1">
        <w:t xml:space="preserve"> pegcetacoplan in the proposed target population, </w:t>
      </w:r>
      <w:r w:rsidR="006036F0">
        <w:t xml:space="preserve">and </w:t>
      </w:r>
      <w:r w:rsidRPr="00081EC1">
        <w:t>the</w:t>
      </w:r>
      <w:r w:rsidR="006036F0">
        <w:t>refore the</w:t>
      </w:r>
      <w:r w:rsidRPr="00081EC1">
        <w:t xml:space="preserve"> submission presented three indirect treatment comparisons (ITCs): an anchored matching</w:t>
      </w:r>
      <w:r w:rsidR="009B60A6">
        <w:noBreakHyphen/>
      </w:r>
      <w:r w:rsidRPr="00081EC1">
        <w:t>adjusted indirect comparison (MAIC)</w:t>
      </w:r>
      <w:r w:rsidRPr="00C55371">
        <w:rPr>
          <w:rStyle w:val="FootnoteReference"/>
        </w:rPr>
        <w:footnoteReference w:id="27"/>
      </w:r>
      <w:r w:rsidRPr="00081EC1">
        <w:t xml:space="preserve"> (the Sham arm was an anchor), an ITC using network meta</w:t>
      </w:r>
      <w:r w:rsidR="009B60A6">
        <w:noBreakHyphen/>
      </w:r>
      <w:r w:rsidRPr="00081EC1">
        <w:t>analysis (NMA)</w:t>
      </w:r>
      <w:r w:rsidRPr="00C55371">
        <w:rPr>
          <w:rStyle w:val="FootnoteReference"/>
        </w:rPr>
        <w:footnoteReference w:id="28"/>
      </w:r>
      <w:r w:rsidRPr="00081EC1">
        <w:t>, and an ITC using multi</w:t>
      </w:r>
      <w:r w:rsidR="009B60A6">
        <w:noBreakHyphen/>
      </w:r>
      <w:r w:rsidRPr="00081EC1">
        <w:t xml:space="preserve">level network </w:t>
      </w:r>
      <w:r w:rsidRPr="00081EC1">
        <w:lastRenderedPageBreak/>
        <w:t>meta</w:t>
      </w:r>
      <w:r w:rsidR="009B60A6">
        <w:noBreakHyphen/>
      </w:r>
      <w:r w:rsidRPr="00081EC1">
        <w:t>regression (ML</w:t>
      </w:r>
      <w:r w:rsidR="009B60A6">
        <w:noBreakHyphen/>
      </w:r>
      <w:r w:rsidRPr="00081EC1">
        <w:t>NMR)</w:t>
      </w:r>
      <w:r w:rsidRPr="00C55371">
        <w:rPr>
          <w:rStyle w:val="FootnoteReference"/>
        </w:rPr>
        <w:footnoteReference w:id="29"/>
      </w:r>
      <w:r w:rsidRPr="00081EC1">
        <w:t>.</w:t>
      </w:r>
      <w:r w:rsidRPr="003459A3">
        <w:rPr>
          <w:bCs/>
        </w:rPr>
        <w:t xml:space="preserve"> The MAIC was informed by GATHER2, and the DERBY and OAKS </w:t>
      </w:r>
      <w:r>
        <w:rPr>
          <w:bCs/>
        </w:rPr>
        <w:t xml:space="preserve">pegcetacoplan </w:t>
      </w:r>
      <w:r w:rsidRPr="003459A3">
        <w:rPr>
          <w:bCs/>
        </w:rPr>
        <w:t>trials; the ML</w:t>
      </w:r>
      <w:r w:rsidR="009B60A6">
        <w:rPr>
          <w:bCs/>
        </w:rPr>
        <w:noBreakHyphen/>
      </w:r>
      <w:r w:rsidRPr="003459A3">
        <w:rPr>
          <w:bCs/>
        </w:rPr>
        <w:t>NMR was informed by GATHER1 and GATHER2, and DERBY, OAKS, and FILLY. The NMR included ten RCTs and five complement inhibitors (ACP [C3i], pegcetacoplan [C5i], lampalizumab [Factor D], CLG561 [C3i and C5i], and LFG316 [C5i]) for analyses.</w:t>
      </w:r>
    </w:p>
    <w:p w14:paraId="41D55D69" w14:textId="3ECA5645" w:rsidR="00AB30D3" w:rsidRPr="00670B41" w:rsidRDefault="002824A3" w:rsidP="00412A07">
      <w:pPr>
        <w:widowControl w:val="0"/>
        <w:numPr>
          <w:ilvl w:val="1"/>
          <w:numId w:val="1"/>
        </w:numPr>
        <w:spacing w:after="120"/>
        <w:rPr>
          <w:rFonts w:asciiTheme="minorHAnsi" w:hAnsiTheme="minorHAnsi"/>
          <w:snapToGrid w:val="0"/>
          <w:lang w:val="en-GB"/>
        </w:rPr>
      </w:pPr>
      <w:r>
        <w:rPr>
          <w:iCs/>
          <w:color w:val="000000" w:themeColor="text1"/>
          <w:lang w:val="en-GB"/>
        </w:rPr>
        <w:t>The PBA</w:t>
      </w:r>
      <w:r w:rsidR="00602B4D">
        <w:rPr>
          <w:iCs/>
          <w:color w:val="000000" w:themeColor="text1"/>
          <w:lang w:val="en-GB"/>
        </w:rPr>
        <w:t>C</w:t>
      </w:r>
      <w:r>
        <w:rPr>
          <w:iCs/>
          <w:color w:val="000000" w:themeColor="text1"/>
          <w:lang w:val="en-GB"/>
        </w:rPr>
        <w:t xml:space="preserve"> noted </w:t>
      </w:r>
      <w:r w:rsidR="00602B4D">
        <w:rPr>
          <w:iCs/>
          <w:color w:val="000000" w:themeColor="text1"/>
          <w:lang w:val="en-GB"/>
        </w:rPr>
        <w:t>t</w:t>
      </w:r>
      <w:r>
        <w:rPr>
          <w:iCs/>
          <w:color w:val="000000" w:themeColor="text1"/>
          <w:lang w:val="en-GB"/>
        </w:rPr>
        <w:t xml:space="preserve">he </w:t>
      </w:r>
      <w:r w:rsidR="00F9629D">
        <w:rPr>
          <w:iCs/>
          <w:color w:val="000000" w:themeColor="text1"/>
          <w:lang w:val="en-GB"/>
        </w:rPr>
        <w:t>transitivity issues</w:t>
      </w:r>
      <w:r w:rsidR="005047BB">
        <w:rPr>
          <w:iCs/>
          <w:color w:val="000000" w:themeColor="text1"/>
          <w:lang w:val="en-GB"/>
        </w:rPr>
        <w:t xml:space="preserve"> with the ITCs and the </w:t>
      </w:r>
      <w:r w:rsidR="00893A74">
        <w:rPr>
          <w:color w:val="000000" w:themeColor="text1"/>
          <w:lang w:val="en-GB"/>
        </w:rPr>
        <w:t>l</w:t>
      </w:r>
      <w:r w:rsidR="00893A74" w:rsidRPr="004452FC">
        <w:rPr>
          <w:color w:val="000000" w:themeColor="text1"/>
          <w:lang w:val="en-GB"/>
        </w:rPr>
        <w:t xml:space="preserve">imitations of the </w:t>
      </w:r>
      <w:r w:rsidR="00602B4D">
        <w:rPr>
          <w:iCs/>
          <w:color w:val="000000" w:themeColor="text1"/>
          <w:lang w:val="en-GB"/>
        </w:rPr>
        <w:t>MAIC</w:t>
      </w:r>
      <w:r w:rsidR="00605781">
        <w:rPr>
          <w:iCs/>
          <w:color w:val="000000" w:themeColor="text1"/>
          <w:lang w:val="en-GB"/>
        </w:rPr>
        <w:t xml:space="preserve"> (</w:t>
      </w:r>
      <w:r w:rsidR="00893A74">
        <w:rPr>
          <w:iCs/>
          <w:color w:val="000000" w:themeColor="text1"/>
          <w:lang w:val="en-GB"/>
        </w:rPr>
        <w:t xml:space="preserve">see </w:t>
      </w:r>
      <w:r w:rsidR="00605781">
        <w:rPr>
          <w:iCs/>
          <w:color w:val="000000" w:themeColor="text1"/>
          <w:lang w:val="en-GB"/>
        </w:rPr>
        <w:t>paragraph</w:t>
      </w:r>
      <w:r w:rsidR="00893A74">
        <w:rPr>
          <w:iCs/>
          <w:color w:val="000000" w:themeColor="text1"/>
          <w:lang w:val="en-GB"/>
        </w:rPr>
        <w:t xml:space="preserve"> </w:t>
      </w:r>
      <w:r w:rsidR="00893A74">
        <w:rPr>
          <w:iCs/>
          <w:color w:val="000000" w:themeColor="text1"/>
          <w:lang w:val="en-GB"/>
        </w:rPr>
        <w:fldChar w:fldCharType="begin"/>
      </w:r>
      <w:r w:rsidR="00893A74">
        <w:rPr>
          <w:iCs/>
          <w:color w:val="000000" w:themeColor="text1"/>
          <w:lang w:val="en-GB"/>
        </w:rPr>
        <w:instrText xml:space="preserve"> REF _Ref224655082 \r \h </w:instrText>
      </w:r>
      <w:r w:rsidR="00893A74">
        <w:rPr>
          <w:iCs/>
          <w:color w:val="000000" w:themeColor="text1"/>
          <w:lang w:val="en-GB"/>
        </w:rPr>
      </w:r>
      <w:r w:rsidR="00893A74">
        <w:rPr>
          <w:iCs/>
          <w:color w:val="000000" w:themeColor="text1"/>
          <w:lang w:val="en-GB"/>
        </w:rPr>
        <w:fldChar w:fldCharType="separate"/>
      </w:r>
      <w:r w:rsidR="00605348">
        <w:rPr>
          <w:iCs/>
          <w:color w:val="000000" w:themeColor="text1"/>
          <w:lang w:val="en-GB"/>
        </w:rPr>
        <w:t>6.24</w:t>
      </w:r>
      <w:r w:rsidR="00893A74">
        <w:rPr>
          <w:iCs/>
          <w:color w:val="000000" w:themeColor="text1"/>
          <w:lang w:val="en-GB"/>
        </w:rPr>
        <w:fldChar w:fldCharType="end"/>
      </w:r>
      <w:r w:rsidR="00893A74">
        <w:rPr>
          <w:iCs/>
          <w:color w:val="000000" w:themeColor="text1"/>
          <w:lang w:val="en-GB"/>
        </w:rPr>
        <w:t>)</w:t>
      </w:r>
      <w:r w:rsidR="00602B4D">
        <w:rPr>
          <w:iCs/>
          <w:color w:val="000000" w:themeColor="text1"/>
          <w:lang w:val="en-GB"/>
        </w:rPr>
        <w:t>.</w:t>
      </w:r>
      <w:r>
        <w:rPr>
          <w:iCs/>
          <w:color w:val="000000" w:themeColor="text1"/>
          <w:lang w:val="en-GB"/>
        </w:rPr>
        <w:t xml:space="preserve"> </w:t>
      </w:r>
      <w:r w:rsidR="005047BB">
        <w:rPr>
          <w:iCs/>
          <w:color w:val="000000" w:themeColor="text1"/>
          <w:lang w:val="en-GB"/>
        </w:rPr>
        <w:t>The PBAC noted the</w:t>
      </w:r>
      <w:r w:rsidR="009C6294">
        <w:rPr>
          <w:iCs/>
          <w:color w:val="000000" w:themeColor="text1"/>
          <w:lang w:val="en-GB"/>
        </w:rPr>
        <w:t xml:space="preserve"> ESC </w:t>
      </w:r>
      <w:r w:rsidR="000B3D80">
        <w:rPr>
          <w:iCs/>
          <w:color w:val="000000" w:themeColor="text1"/>
          <w:lang w:val="en-GB"/>
        </w:rPr>
        <w:t>reviewed</w:t>
      </w:r>
      <w:r w:rsidR="0081215B">
        <w:rPr>
          <w:iCs/>
          <w:color w:val="000000" w:themeColor="text1"/>
          <w:lang w:val="en-GB"/>
        </w:rPr>
        <w:t xml:space="preserve"> </w:t>
      </w:r>
      <w:r w:rsidR="009C6294">
        <w:rPr>
          <w:iCs/>
          <w:color w:val="000000" w:themeColor="text1"/>
          <w:lang w:val="en-GB"/>
        </w:rPr>
        <w:t>the novel use of the ML</w:t>
      </w:r>
      <w:r w:rsidR="009B60A6">
        <w:rPr>
          <w:iCs/>
          <w:color w:val="000000" w:themeColor="text1"/>
          <w:lang w:val="en-GB"/>
        </w:rPr>
        <w:noBreakHyphen/>
      </w:r>
      <w:r w:rsidR="009C6294">
        <w:rPr>
          <w:iCs/>
          <w:color w:val="000000" w:themeColor="text1"/>
          <w:lang w:val="en-GB"/>
        </w:rPr>
        <w:t xml:space="preserve">NMR (see paragraph </w:t>
      </w:r>
      <w:r w:rsidR="009C6294">
        <w:rPr>
          <w:iCs/>
          <w:color w:val="000000" w:themeColor="text1"/>
          <w:lang w:val="en-GB"/>
        </w:rPr>
        <w:fldChar w:fldCharType="begin"/>
      </w:r>
      <w:r w:rsidR="009C6294">
        <w:rPr>
          <w:iCs/>
          <w:color w:val="000000" w:themeColor="text1"/>
          <w:lang w:val="en-GB"/>
        </w:rPr>
        <w:instrText xml:space="preserve"> REF _Ref224825191 \r \h </w:instrText>
      </w:r>
      <w:r w:rsidR="009C6294">
        <w:rPr>
          <w:iCs/>
          <w:color w:val="000000" w:themeColor="text1"/>
          <w:lang w:val="en-GB"/>
        </w:rPr>
      </w:r>
      <w:r w:rsidR="009C6294">
        <w:rPr>
          <w:iCs/>
          <w:color w:val="000000" w:themeColor="text1"/>
          <w:lang w:val="en-GB"/>
        </w:rPr>
        <w:fldChar w:fldCharType="separate"/>
      </w:r>
      <w:r w:rsidR="00605348">
        <w:rPr>
          <w:iCs/>
          <w:color w:val="000000" w:themeColor="text1"/>
          <w:lang w:val="en-GB"/>
        </w:rPr>
        <w:t>6.25</w:t>
      </w:r>
      <w:r w:rsidR="009C6294">
        <w:rPr>
          <w:iCs/>
          <w:color w:val="000000" w:themeColor="text1"/>
          <w:lang w:val="en-GB"/>
        </w:rPr>
        <w:fldChar w:fldCharType="end"/>
      </w:r>
      <w:r w:rsidR="009C6294">
        <w:rPr>
          <w:iCs/>
          <w:color w:val="000000" w:themeColor="text1"/>
          <w:lang w:val="en-GB"/>
        </w:rPr>
        <w:t xml:space="preserve">). </w:t>
      </w:r>
      <w:r w:rsidR="00602B4D">
        <w:rPr>
          <w:iCs/>
          <w:color w:val="000000" w:themeColor="text1"/>
          <w:lang w:val="en-GB"/>
        </w:rPr>
        <w:t xml:space="preserve">The PBAC agreed with the ESC that, </w:t>
      </w:r>
      <w:r w:rsidR="00F57E6C" w:rsidRPr="00C17763">
        <w:rPr>
          <w:iCs/>
          <w:color w:val="000000" w:themeColor="text1"/>
          <w:lang w:val="en-GB"/>
        </w:rPr>
        <w:t xml:space="preserve">as outlined in paragraph </w:t>
      </w:r>
      <w:r w:rsidR="00F57E6C" w:rsidRPr="00C17763">
        <w:rPr>
          <w:iCs/>
          <w:color w:val="000000" w:themeColor="text1"/>
          <w:lang w:val="en-GB"/>
        </w:rPr>
        <w:fldChar w:fldCharType="begin"/>
      </w:r>
      <w:r w:rsidR="00F57E6C" w:rsidRPr="00C17763">
        <w:rPr>
          <w:iCs/>
          <w:color w:val="000000" w:themeColor="text1"/>
          <w:lang w:val="en-GB"/>
        </w:rPr>
        <w:instrText xml:space="preserve"> REF _Ref222313843 \r \h </w:instrText>
      </w:r>
      <w:r w:rsidR="00F57E6C" w:rsidRPr="00C17763">
        <w:rPr>
          <w:iCs/>
          <w:color w:val="000000" w:themeColor="text1"/>
          <w:lang w:val="en-GB"/>
        </w:rPr>
      </w:r>
      <w:r w:rsidR="00F57E6C" w:rsidRPr="00C17763">
        <w:rPr>
          <w:iCs/>
          <w:color w:val="000000" w:themeColor="text1"/>
          <w:lang w:val="en-GB"/>
        </w:rPr>
        <w:fldChar w:fldCharType="separate"/>
      </w:r>
      <w:r w:rsidR="00605348">
        <w:rPr>
          <w:iCs/>
          <w:color w:val="000000" w:themeColor="text1"/>
          <w:lang w:val="en-GB"/>
        </w:rPr>
        <w:t>6.26</w:t>
      </w:r>
      <w:r w:rsidR="00F57E6C" w:rsidRPr="00C17763">
        <w:rPr>
          <w:iCs/>
          <w:color w:val="000000" w:themeColor="text1"/>
          <w:lang w:val="en-GB"/>
        </w:rPr>
        <w:fldChar w:fldCharType="end"/>
      </w:r>
      <w:r w:rsidR="00F57E6C" w:rsidRPr="00C17763">
        <w:rPr>
          <w:iCs/>
          <w:color w:val="000000" w:themeColor="text1"/>
          <w:lang w:val="en-GB"/>
        </w:rPr>
        <w:t xml:space="preserve">, </w:t>
      </w:r>
      <w:r w:rsidR="00236FDB">
        <w:rPr>
          <w:iCs/>
          <w:color w:val="000000" w:themeColor="text1"/>
          <w:lang w:val="en-GB"/>
        </w:rPr>
        <w:t xml:space="preserve">while </w:t>
      </w:r>
      <w:r w:rsidR="00F57E6C" w:rsidRPr="00C17763">
        <w:rPr>
          <w:iCs/>
          <w:color w:val="000000" w:themeColor="text1"/>
          <w:lang w:val="en-GB"/>
        </w:rPr>
        <w:t xml:space="preserve">the </w:t>
      </w:r>
      <w:r w:rsidR="00F57E6C" w:rsidRPr="00C17763">
        <w:rPr>
          <w:bCs/>
          <w:iCs/>
          <w:color w:val="000000" w:themeColor="text1"/>
          <w:lang w:val="en-GB"/>
        </w:rPr>
        <w:t xml:space="preserve">overall interpretation of the comparison between ACP and pegcetacoplan </w:t>
      </w:r>
      <w:r w:rsidR="000874D2">
        <w:rPr>
          <w:bCs/>
          <w:iCs/>
          <w:color w:val="000000" w:themeColor="text1"/>
          <w:lang w:val="en-GB"/>
        </w:rPr>
        <w:t>based on the ML</w:t>
      </w:r>
      <w:r w:rsidR="009B60A6">
        <w:rPr>
          <w:bCs/>
          <w:iCs/>
          <w:color w:val="000000" w:themeColor="text1"/>
          <w:lang w:val="en-GB"/>
        </w:rPr>
        <w:noBreakHyphen/>
      </w:r>
      <w:r w:rsidR="000874D2">
        <w:rPr>
          <w:bCs/>
          <w:iCs/>
          <w:color w:val="000000" w:themeColor="text1"/>
          <w:lang w:val="en-GB"/>
        </w:rPr>
        <w:t xml:space="preserve">NMR </w:t>
      </w:r>
      <w:r w:rsidR="00F57E6C" w:rsidRPr="00C17763">
        <w:rPr>
          <w:bCs/>
          <w:iCs/>
          <w:color w:val="000000" w:themeColor="text1"/>
          <w:lang w:val="en-GB"/>
        </w:rPr>
        <w:t>remained challenging</w:t>
      </w:r>
      <w:r w:rsidR="00236FDB">
        <w:rPr>
          <w:bCs/>
          <w:iCs/>
          <w:color w:val="000000" w:themeColor="text1"/>
          <w:lang w:val="en-GB"/>
        </w:rPr>
        <w:t>,</w:t>
      </w:r>
      <w:r w:rsidR="00F57E6C" w:rsidRPr="00C17763">
        <w:rPr>
          <w:bCs/>
          <w:iCs/>
          <w:color w:val="000000" w:themeColor="text1"/>
          <w:lang w:val="en-GB"/>
        </w:rPr>
        <w:t xml:space="preserve"> it does not appear that one agent is clearly superior to the other</w:t>
      </w:r>
      <w:r w:rsidR="00605781">
        <w:rPr>
          <w:bCs/>
          <w:iCs/>
          <w:color w:val="000000" w:themeColor="text1"/>
          <w:lang w:val="en-GB"/>
        </w:rPr>
        <w:t>, a</w:t>
      </w:r>
      <w:r w:rsidR="000874D2">
        <w:rPr>
          <w:bCs/>
          <w:iCs/>
          <w:color w:val="000000" w:themeColor="text1"/>
          <w:lang w:val="en-GB"/>
        </w:rPr>
        <w:t>n</w:t>
      </w:r>
      <w:r w:rsidR="00605781">
        <w:rPr>
          <w:bCs/>
          <w:iCs/>
          <w:color w:val="000000" w:themeColor="text1"/>
          <w:lang w:val="en-GB"/>
        </w:rPr>
        <w:t>d the claim of non</w:t>
      </w:r>
      <w:r w:rsidR="009B60A6">
        <w:rPr>
          <w:bCs/>
          <w:iCs/>
          <w:color w:val="000000" w:themeColor="text1"/>
          <w:lang w:val="en-GB"/>
        </w:rPr>
        <w:noBreakHyphen/>
      </w:r>
      <w:r w:rsidR="00605781">
        <w:rPr>
          <w:bCs/>
          <w:iCs/>
          <w:color w:val="000000" w:themeColor="text1"/>
          <w:lang w:val="en-GB"/>
        </w:rPr>
        <w:t>inferior comparative effectiveness to pegcetacoplan was reasonable.</w:t>
      </w:r>
    </w:p>
    <w:p w14:paraId="1C5A95BC" w14:textId="4AD834F7" w:rsidR="00670B41" w:rsidRPr="00025DF6" w:rsidRDefault="00FE1C00" w:rsidP="00412A07">
      <w:pPr>
        <w:widowControl w:val="0"/>
        <w:numPr>
          <w:ilvl w:val="1"/>
          <w:numId w:val="1"/>
        </w:numPr>
        <w:spacing w:after="120"/>
        <w:rPr>
          <w:rFonts w:asciiTheme="minorHAnsi" w:hAnsiTheme="minorHAnsi"/>
          <w:snapToGrid w:val="0"/>
          <w:lang w:val="en-GB"/>
        </w:rPr>
      </w:pPr>
      <w:r>
        <w:rPr>
          <w:rFonts w:eastAsia="Calibri"/>
        </w:rPr>
        <w:t>The submission described ACP as non</w:t>
      </w:r>
      <w:r w:rsidR="009B60A6">
        <w:rPr>
          <w:rFonts w:eastAsia="Calibri"/>
        </w:rPr>
        <w:noBreakHyphen/>
      </w:r>
      <w:r>
        <w:rPr>
          <w:rFonts w:eastAsia="Calibri"/>
        </w:rPr>
        <w:t xml:space="preserve">inferior to pegcetacoplan </w:t>
      </w:r>
      <w:r w:rsidR="007E6473">
        <w:rPr>
          <w:rFonts w:eastAsia="Calibri"/>
        </w:rPr>
        <w:t xml:space="preserve">in terms of safety. </w:t>
      </w:r>
      <w:r w:rsidR="009A6BB1">
        <w:rPr>
          <w:rFonts w:eastAsia="Calibri"/>
        </w:rPr>
        <w:t>The PBAC noted the</w:t>
      </w:r>
      <w:r w:rsidR="006D7D2A" w:rsidRPr="004452FC">
        <w:rPr>
          <w:rFonts w:eastAsia="Calibri"/>
        </w:rPr>
        <w:t xml:space="preserve"> key issue was that there was </w:t>
      </w:r>
      <w:r w:rsidR="009A6BB1">
        <w:rPr>
          <w:rFonts w:eastAsia="Calibri"/>
        </w:rPr>
        <w:t xml:space="preserve">a </w:t>
      </w:r>
      <w:r w:rsidR="006D7D2A" w:rsidRPr="004452FC">
        <w:rPr>
          <w:rFonts w:eastAsia="Calibri"/>
        </w:rPr>
        <w:t xml:space="preserve">fundamental difference in terms of the risk of new onset CNV in treated eye at baseline between the ACP trial population and the pegcetacoplan trial population which could not be adjusted for in the indirect comparison. </w:t>
      </w:r>
      <w:r w:rsidR="006D7D2A" w:rsidRPr="00C17763">
        <w:rPr>
          <w:bCs/>
          <w:iCs/>
          <w:lang w:val="en-GB"/>
        </w:rPr>
        <w:t>The PSCR clarified that the ML</w:t>
      </w:r>
      <w:r w:rsidR="009B60A6">
        <w:rPr>
          <w:bCs/>
          <w:iCs/>
          <w:lang w:val="en-GB"/>
        </w:rPr>
        <w:noBreakHyphen/>
      </w:r>
      <w:r w:rsidR="006D7D2A" w:rsidRPr="00C17763">
        <w:rPr>
          <w:bCs/>
          <w:iCs/>
          <w:lang w:val="en-GB"/>
        </w:rPr>
        <w:t xml:space="preserve">NMR compared risks for ACP with the pegcetacoplan patients in whom CNV was absent at baseline. Overall, the </w:t>
      </w:r>
      <w:r w:rsidR="0014105A">
        <w:rPr>
          <w:bCs/>
          <w:iCs/>
          <w:lang w:val="en-GB"/>
        </w:rPr>
        <w:t>PB</w:t>
      </w:r>
      <w:r w:rsidR="00EC11D9">
        <w:rPr>
          <w:bCs/>
          <w:iCs/>
          <w:lang w:val="en-GB"/>
        </w:rPr>
        <w:t>A</w:t>
      </w:r>
      <w:r w:rsidR="0014105A">
        <w:rPr>
          <w:bCs/>
          <w:iCs/>
          <w:lang w:val="en-GB"/>
        </w:rPr>
        <w:t>C agreed wit</w:t>
      </w:r>
      <w:r w:rsidR="005C450F">
        <w:rPr>
          <w:bCs/>
          <w:iCs/>
          <w:lang w:val="en-GB"/>
        </w:rPr>
        <w:t xml:space="preserve">h the </w:t>
      </w:r>
      <w:r w:rsidR="006D7D2A" w:rsidRPr="00C17763">
        <w:rPr>
          <w:bCs/>
          <w:iCs/>
          <w:lang w:val="en-GB"/>
        </w:rPr>
        <w:t>ESC that a claim of non</w:t>
      </w:r>
      <w:r w:rsidR="009B60A6">
        <w:rPr>
          <w:bCs/>
          <w:iCs/>
          <w:lang w:val="en-GB"/>
        </w:rPr>
        <w:noBreakHyphen/>
      </w:r>
      <w:r w:rsidR="006D7D2A" w:rsidRPr="00C17763">
        <w:rPr>
          <w:bCs/>
          <w:iCs/>
          <w:lang w:val="en-GB"/>
        </w:rPr>
        <w:t>inferior safety was uncertain but likely reasonable.</w:t>
      </w:r>
    </w:p>
    <w:p w14:paraId="16F1B8F3" w14:textId="77777777" w:rsidR="0011363D" w:rsidRPr="0011363D" w:rsidRDefault="007A5D90" w:rsidP="00FC309A">
      <w:pPr>
        <w:pStyle w:val="3-BodyText"/>
      </w:pPr>
      <w:r>
        <w:t xml:space="preserve">The PBAC noted the submission </w:t>
      </w:r>
      <w:r w:rsidRPr="00E20031">
        <w:t>presented a modelled economic evaluation based on</w:t>
      </w:r>
      <w:r w:rsidR="00AB3613">
        <w:t xml:space="preserve"> </w:t>
      </w:r>
      <w:r w:rsidR="00AB3613" w:rsidRPr="004452FC">
        <w:t xml:space="preserve">the direct randomised trials, GATHER1 and GATHER2. </w:t>
      </w:r>
      <w:r w:rsidR="00AB3613">
        <w:t>T</w:t>
      </w:r>
      <w:r w:rsidR="00AB3613" w:rsidRPr="004452FC">
        <w:t>he economic model relied on the progression of vision loss classified by health states differentiated based on GA area (small, medium, large, blind) and minimum distance to the foveal centre (close or far). These states are proxies for disease severity and risk of vision loss</w:t>
      </w:r>
      <w:r w:rsidR="00AB3613">
        <w:t xml:space="preserve">. </w:t>
      </w:r>
      <w:r w:rsidR="00190EDE">
        <w:t xml:space="preserve">The PBAC noted the </w:t>
      </w:r>
      <w:r w:rsidR="00190EDE" w:rsidRPr="00144785">
        <w:rPr>
          <w:iCs/>
        </w:rPr>
        <w:t xml:space="preserve">ESC had advised that the translation of these clinical measures into functional and directly patient relevant outcomes required additional assumptions and outcome translations that, while reasonable in principle (as indicated by the PBAC in their consideration for pegcetacoplan), are associated with considerable uncertainty. </w:t>
      </w:r>
    </w:p>
    <w:p w14:paraId="786D94DC" w14:textId="3FFD4239" w:rsidR="00FC309A" w:rsidRPr="00FA76E3" w:rsidRDefault="002E23DA" w:rsidP="00FC309A">
      <w:pPr>
        <w:pStyle w:val="3-BodyText"/>
      </w:pPr>
      <w:bookmarkStart w:id="84" w:name="_Ref224814532"/>
      <w:r w:rsidRPr="00144785">
        <w:rPr>
          <w:iCs/>
        </w:rPr>
        <w:t xml:space="preserve">The PBAC noted the ESC requested </w:t>
      </w:r>
      <w:r w:rsidR="00B56E6B">
        <w:rPr>
          <w:iCs/>
        </w:rPr>
        <w:t xml:space="preserve">a </w:t>
      </w:r>
      <w:r w:rsidRPr="00144785">
        <w:rPr>
          <w:iCs/>
        </w:rPr>
        <w:t xml:space="preserve">multivariate analysis (see </w:t>
      </w:r>
      <w:r w:rsidR="00B15A2C" w:rsidRPr="00144785">
        <w:rPr>
          <w:iCs/>
        </w:rPr>
        <w:t xml:space="preserve">paragraph </w:t>
      </w:r>
      <w:r w:rsidR="00B15A2C" w:rsidRPr="00144785">
        <w:rPr>
          <w:iCs/>
        </w:rPr>
        <w:fldChar w:fldCharType="begin"/>
      </w:r>
      <w:r w:rsidR="00B15A2C" w:rsidRPr="00144785">
        <w:rPr>
          <w:iCs/>
        </w:rPr>
        <w:instrText xml:space="preserve"> REF _Ref222329777 \r \h </w:instrText>
      </w:r>
      <w:r w:rsidR="00B15A2C" w:rsidRPr="00144785">
        <w:rPr>
          <w:iCs/>
        </w:rPr>
      </w:r>
      <w:r w:rsidR="00B15A2C" w:rsidRPr="00144785">
        <w:rPr>
          <w:iCs/>
        </w:rPr>
        <w:fldChar w:fldCharType="separate"/>
      </w:r>
      <w:r w:rsidR="00605348">
        <w:rPr>
          <w:iCs/>
        </w:rPr>
        <w:t>6.70</w:t>
      </w:r>
      <w:r w:rsidR="00B15A2C" w:rsidRPr="00144785">
        <w:rPr>
          <w:iCs/>
        </w:rPr>
        <w:fldChar w:fldCharType="end"/>
      </w:r>
      <w:r w:rsidR="00B15A2C" w:rsidRPr="00144785">
        <w:rPr>
          <w:iCs/>
        </w:rPr>
        <w:t xml:space="preserve"> and </w:t>
      </w:r>
      <w:r w:rsidR="00B15A2C" w:rsidRPr="00144785">
        <w:rPr>
          <w:iCs/>
        </w:rPr>
        <w:fldChar w:fldCharType="begin"/>
      </w:r>
      <w:r w:rsidR="00B15A2C" w:rsidRPr="00144785">
        <w:rPr>
          <w:iCs/>
        </w:rPr>
        <w:instrText xml:space="preserve"> REF _Ref104804865 \h  \* MERGEFORMAT </w:instrText>
      </w:r>
      <w:r w:rsidR="00B15A2C" w:rsidRPr="00144785">
        <w:rPr>
          <w:iCs/>
        </w:rPr>
      </w:r>
      <w:r w:rsidR="00B15A2C" w:rsidRPr="00144785">
        <w:rPr>
          <w:iCs/>
        </w:rPr>
        <w:fldChar w:fldCharType="separate"/>
      </w:r>
      <w:r w:rsidR="00962F38" w:rsidRPr="00962F38">
        <w:rPr>
          <w:iCs/>
        </w:rPr>
        <w:t>Table 15</w:t>
      </w:r>
      <w:r w:rsidR="00B15A2C" w:rsidRPr="00144785">
        <w:rPr>
          <w:iCs/>
        </w:rPr>
        <w:fldChar w:fldCharType="end"/>
      </w:r>
      <w:r w:rsidR="00B15A2C" w:rsidRPr="00144785">
        <w:rPr>
          <w:iCs/>
        </w:rPr>
        <w:t>)</w:t>
      </w:r>
      <w:r w:rsidR="00F6357A">
        <w:rPr>
          <w:iCs/>
        </w:rPr>
        <w:t xml:space="preserve"> to address its key concerns</w:t>
      </w:r>
      <w:r w:rsidR="00B56E6B">
        <w:rPr>
          <w:iCs/>
        </w:rPr>
        <w:t xml:space="preserve"> and offer an alternative base case</w:t>
      </w:r>
      <w:r w:rsidR="00B15A2C" w:rsidRPr="00144785">
        <w:rPr>
          <w:iCs/>
        </w:rPr>
        <w:t>.</w:t>
      </w:r>
      <w:r w:rsidR="00E74107" w:rsidRPr="00144785">
        <w:rPr>
          <w:iCs/>
        </w:rPr>
        <w:t xml:space="preserve"> </w:t>
      </w:r>
      <w:r w:rsidR="00B52E76" w:rsidRPr="00144785">
        <w:rPr>
          <w:iCs/>
        </w:rPr>
        <w:t>The PBAC agreed with</w:t>
      </w:r>
      <w:r w:rsidR="00473A31" w:rsidRPr="00144785">
        <w:rPr>
          <w:iCs/>
        </w:rPr>
        <w:t xml:space="preserve"> the </w:t>
      </w:r>
      <w:r w:rsidR="00144785" w:rsidRPr="00144785">
        <w:rPr>
          <w:iCs/>
        </w:rPr>
        <w:t xml:space="preserve">following </w:t>
      </w:r>
      <w:r w:rsidR="00473A31" w:rsidRPr="00144785">
        <w:rPr>
          <w:iCs/>
        </w:rPr>
        <w:t>alternative parameters</w:t>
      </w:r>
      <w:r w:rsidR="00144785" w:rsidRPr="00144785">
        <w:rPr>
          <w:iCs/>
        </w:rPr>
        <w:t xml:space="preserve"> to inform the base case ICER</w:t>
      </w:r>
      <w:r w:rsidR="007D7609">
        <w:rPr>
          <w:iCs/>
        </w:rPr>
        <w:t>:</w:t>
      </w:r>
      <w:r w:rsidR="00EC0108" w:rsidRPr="00144785">
        <w:rPr>
          <w:iCs/>
        </w:rPr>
        <w:t xml:space="preserve"> </w:t>
      </w:r>
      <w:r w:rsidR="00144785" w:rsidRPr="00144785">
        <w:rPr>
          <w:iCs/>
        </w:rPr>
        <w:t>reduce</w:t>
      </w:r>
      <w:r w:rsidR="00EF2C96">
        <w:rPr>
          <w:iCs/>
        </w:rPr>
        <w:t xml:space="preserve"> the</w:t>
      </w:r>
      <w:r w:rsidR="00144785" w:rsidRPr="00144785">
        <w:rPr>
          <w:iCs/>
        </w:rPr>
        <w:t xml:space="preserve"> time horizon from 20</w:t>
      </w:r>
      <w:r w:rsidR="009B60A6">
        <w:rPr>
          <w:iCs/>
        </w:rPr>
        <w:noBreakHyphen/>
      </w:r>
      <w:r w:rsidR="00144785" w:rsidRPr="00144785">
        <w:rPr>
          <w:iCs/>
        </w:rPr>
        <w:t>years to 15</w:t>
      </w:r>
      <w:r w:rsidR="009B60A6">
        <w:rPr>
          <w:iCs/>
        </w:rPr>
        <w:noBreakHyphen/>
      </w:r>
      <w:r w:rsidR="00144785" w:rsidRPr="00144785">
        <w:rPr>
          <w:iCs/>
        </w:rPr>
        <w:t>years; remove the application of excess mortality from the severe visual impairment health states; pool</w:t>
      </w:r>
      <w:r w:rsidR="00EF2C96">
        <w:rPr>
          <w:iCs/>
        </w:rPr>
        <w:t xml:space="preserve"> the</w:t>
      </w:r>
      <w:r w:rsidR="00144785" w:rsidRPr="00144785">
        <w:rPr>
          <w:iCs/>
        </w:rPr>
        <w:t xml:space="preserve"> data from GATHER1 and GATHER2; and</w:t>
      </w:r>
      <w:r w:rsidR="00144785">
        <w:rPr>
          <w:iCs/>
        </w:rPr>
        <w:t xml:space="preserve"> </w:t>
      </w:r>
      <w:r w:rsidR="00ED50F3" w:rsidRPr="00144785">
        <w:rPr>
          <w:iCs/>
        </w:rPr>
        <w:t>apply</w:t>
      </w:r>
      <w:r w:rsidR="00144785" w:rsidRPr="00144785">
        <w:rPr>
          <w:iCs/>
        </w:rPr>
        <w:t xml:space="preserve"> a utility decrement for ACP administration.</w:t>
      </w:r>
      <w:r w:rsidR="00144785">
        <w:rPr>
          <w:iCs/>
        </w:rPr>
        <w:t xml:space="preserve"> </w:t>
      </w:r>
      <w:r w:rsidR="00E74107" w:rsidRPr="00144785">
        <w:rPr>
          <w:iCs/>
        </w:rPr>
        <w:t xml:space="preserve">The PBAC noted that the </w:t>
      </w:r>
      <w:r w:rsidR="00C854B1" w:rsidRPr="00144785">
        <w:rPr>
          <w:iCs/>
        </w:rPr>
        <w:t xml:space="preserve">PSCR and </w:t>
      </w:r>
      <w:r w:rsidR="00E74107" w:rsidRPr="00144785">
        <w:rPr>
          <w:iCs/>
        </w:rPr>
        <w:t>pre</w:t>
      </w:r>
      <w:r w:rsidR="009B60A6">
        <w:rPr>
          <w:iCs/>
        </w:rPr>
        <w:noBreakHyphen/>
      </w:r>
      <w:r w:rsidR="00E74107" w:rsidRPr="00144785">
        <w:rPr>
          <w:iCs/>
        </w:rPr>
        <w:t>PBAC response</w:t>
      </w:r>
      <w:r w:rsidR="00B15A2C" w:rsidRPr="00144785">
        <w:rPr>
          <w:iCs/>
        </w:rPr>
        <w:t xml:space="preserve"> </w:t>
      </w:r>
      <w:r w:rsidR="002C5906" w:rsidRPr="00144785">
        <w:rPr>
          <w:iCs/>
        </w:rPr>
        <w:t xml:space="preserve">had emphasised the </w:t>
      </w:r>
      <w:r w:rsidR="008215AA" w:rsidRPr="00144785">
        <w:rPr>
          <w:bCs/>
          <w:iCs/>
        </w:rPr>
        <w:t xml:space="preserve">utilisation data from the United </w:t>
      </w:r>
      <w:r w:rsidR="008215AA" w:rsidRPr="00144785">
        <w:rPr>
          <w:bCs/>
          <w:iCs/>
        </w:rPr>
        <w:lastRenderedPageBreak/>
        <w:t>States of America (August 2023 to November 2025)</w:t>
      </w:r>
      <w:r w:rsidR="00B52E76" w:rsidRPr="00144785">
        <w:rPr>
          <w:bCs/>
          <w:iCs/>
        </w:rPr>
        <w:t xml:space="preserve"> and support from clinicians that EOM dosing was preferred</w:t>
      </w:r>
      <w:r w:rsidR="007D7609">
        <w:rPr>
          <w:bCs/>
          <w:iCs/>
        </w:rPr>
        <w:t xml:space="preserve"> to EM</w:t>
      </w:r>
      <w:r w:rsidR="00B52E76" w:rsidRPr="00144785">
        <w:rPr>
          <w:bCs/>
          <w:iCs/>
        </w:rPr>
        <w:t xml:space="preserve"> (see paragraph </w:t>
      </w:r>
      <w:r w:rsidR="00B52E76" w:rsidRPr="00144785">
        <w:rPr>
          <w:bCs/>
          <w:iCs/>
        </w:rPr>
        <w:fldChar w:fldCharType="begin"/>
      </w:r>
      <w:r w:rsidR="00B52E76" w:rsidRPr="00144785">
        <w:rPr>
          <w:bCs/>
          <w:iCs/>
        </w:rPr>
        <w:instrText xml:space="preserve"> REF _Ref222333467 \r \h </w:instrText>
      </w:r>
      <w:r w:rsidR="00B52E76" w:rsidRPr="00144785">
        <w:rPr>
          <w:bCs/>
          <w:iCs/>
        </w:rPr>
      </w:r>
      <w:r w:rsidR="00B52E76" w:rsidRPr="00144785">
        <w:rPr>
          <w:bCs/>
          <w:iCs/>
        </w:rPr>
        <w:fldChar w:fldCharType="separate"/>
      </w:r>
      <w:r w:rsidR="00605348">
        <w:rPr>
          <w:bCs/>
          <w:iCs/>
        </w:rPr>
        <w:t>6.60</w:t>
      </w:r>
      <w:r w:rsidR="00B52E76" w:rsidRPr="00144785">
        <w:rPr>
          <w:bCs/>
          <w:iCs/>
        </w:rPr>
        <w:fldChar w:fldCharType="end"/>
      </w:r>
      <w:r w:rsidR="00B52E76" w:rsidRPr="00144785">
        <w:rPr>
          <w:bCs/>
          <w:iCs/>
        </w:rPr>
        <w:t xml:space="preserve">). </w:t>
      </w:r>
      <w:r w:rsidR="00144785">
        <w:rPr>
          <w:bCs/>
          <w:iCs/>
        </w:rPr>
        <w:t xml:space="preserve">The PBAC </w:t>
      </w:r>
      <w:r w:rsidR="009F3ACA">
        <w:rPr>
          <w:bCs/>
          <w:iCs/>
        </w:rPr>
        <w:t>w</w:t>
      </w:r>
      <w:r w:rsidR="00144785">
        <w:rPr>
          <w:bCs/>
          <w:iCs/>
        </w:rPr>
        <w:t xml:space="preserve">as </w:t>
      </w:r>
      <w:r w:rsidR="00EA1C7B">
        <w:rPr>
          <w:bCs/>
          <w:iCs/>
        </w:rPr>
        <w:t>satisfied</w:t>
      </w:r>
      <w:r w:rsidR="00144785">
        <w:rPr>
          <w:bCs/>
          <w:iCs/>
        </w:rPr>
        <w:t xml:space="preserve"> that the </w:t>
      </w:r>
      <w:r w:rsidR="003820C1">
        <w:rPr>
          <w:bCs/>
          <w:iCs/>
        </w:rPr>
        <w:t xml:space="preserve">frequency of administration in the </w:t>
      </w:r>
      <w:r w:rsidR="00144785">
        <w:rPr>
          <w:bCs/>
          <w:iCs/>
        </w:rPr>
        <w:t xml:space="preserve">submission base case </w:t>
      </w:r>
      <w:r w:rsidR="003820C1">
        <w:rPr>
          <w:bCs/>
          <w:iCs/>
        </w:rPr>
        <w:t xml:space="preserve">was </w:t>
      </w:r>
      <w:r w:rsidR="009F3ACA">
        <w:rPr>
          <w:bCs/>
          <w:iCs/>
        </w:rPr>
        <w:t xml:space="preserve">likely </w:t>
      </w:r>
      <w:r w:rsidR="003820C1">
        <w:rPr>
          <w:bCs/>
          <w:iCs/>
        </w:rPr>
        <w:t>appropriate</w:t>
      </w:r>
      <w:r w:rsidR="009F3ACA">
        <w:rPr>
          <w:bCs/>
          <w:iCs/>
        </w:rPr>
        <w:t>,</w:t>
      </w:r>
      <w:r w:rsidR="003820C1">
        <w:rPr>
          <w:bCs/>
          <w:iCs/>
        </w:rPr>
        <w:t xml:space="preserve"> with EOM</w:t>
      </w:r>
      <w:r w:rsidR="00040B54">
        <w:rPr>
          <w:bCs/>
          <w:iCs/>
        </w:rPr>
        <w:t xml:space="preserve"> dosing fr</w:t>
      </w:r>
      <w:r w:rsidR="009F3ACA">
        <w:rPr>
          <w:bCs/>
          <w:iCs/>
        </w:rPr>
        <w:t>o</w:t>
      </w:r>
      <w:r w:rsidR="00040B54">
        <w:rPr>
          <w:bCs/>
          <w:iCs/>
        </w:rPr>
        <w:t>m year 2 onwards</w:t>
      </w:r>
      <w:r w:rsidR="00ED50F3">
        <w:rPr>
          <w:bCs/>
          <w:iCs/>
        </w:rPr>
        <w:t>, rather than the 50:50 split between EM and EOM as proposed by the ESC</w:t>
      </w:r>
      <w:r w:rsidR="00040B54">
        <w:rPr>
          <w:bCs/>
          <w:iCs/>
        </w:rPr>
        <w:t xml:space="preserve">. The PBAC noted the revised base case ICER </w:t>
      </w:r>
      <w:r w:rsidR="00ED50F3">
        <w:rPr>
          <w:bCs/>
          <w:iCs/>
        </w:rPr>
        <w:t xml:space="preserve">with its preferred parameters </w:t>
      </w:r>
      <w:r w:rsidR="00040B54">
        <w:rPr>
          <w:bCs/>
          <w:iCs/>
        </w:rPr>
        <w:t xml:space="preserve">would be </w:t>
      </w:r>
      <w:r w:rsidR="002616BB" w:rsidRPr="002616BB">
        <w:rPr>
          <w:bCs/>
          <w:iCs/>
        </w:rPr>
        <w:t>$75,000 to &lt; $95,000</w:t>
      </w:r>
      <w:r w:rsidR="006E5B4D">
        <w:rPr>
          <w:bCs/>
          <w:iCs/>
        </w:rPr>
        <w:t xml:space="preserve"> (see paragraph </w:t>
      </w:r>
      <w:r w:rsidR="006E5B4D">
        <w:rPr>
          <w:bCs/>
          <w:iCs/>
        </w:rPr>
        <w:fldChar w:fldCharType="begin"/>
      </w:r>
      <w:r w:rsidR="006E5B4D">
        <w:rPr>
          <w:bCs/>
          <w:iCs/>
        </w:rPr>
        <w:instrText xml:space="preserve"> REF _Ref224809925 \r \h </w:instrText>
      </w:r>
      <w:r w:rsidR="006E5B4D">
        <w:rPr>
          <w:bCs/>
          <w:iCs/>
        </w:rPr>
      </w:r>
      <w:r w:rsidR="006E5B4D">
        <w:rPr>
          <w:bCs/>
          <w:iCs/>
        </w:rPr>
        <w:fldChar w:fldCharType="separate"/>
      </w:r>
      <w:r w:rsidR="00605348">
        <w:rPr>
          <w:bCs/>
          <w:iCs/>
        </w:rPr>
        <w:t>6.71</w:t>
      </w:r>
      <w:r w:rsidR="006E5B4D">
        <w:rPr>
          <w:bCs/>
          <w:iCs/>
        </w:rPr>
        <w:fldChar w:fldCharType="end"/>
      </w:r>
      <w:r w:rsidR="006E5B4D">
        <w:rPr>
          <w:bCs/>
          <w:iCs/>
        </w:rPr>
        <w:t xml:space="preserve"> and </w:t>
      </w:r>
      <w:r w:rsidR="006E5B4D">
        <w:rPr>
          <w:bCs/>
          <w:iCs/>
        </w:rPr>
        <w:fldChar w:fldCharType="begin"/>
      </w:r>
      <w:r w:rsidR="006E5B4D">
        <w:rPr>
          <w:bCs/>
          <w:iCs/>
        </w:rPr>
        <w:instrText xml:space="preserve"> REF _Ref104804865 \h  \* MERGEFORMAT </w:instrText>
      </w:r>
      <w:r w:rsidR="006E5B4D">
        <w:rPr>
          <w:bCs/>
          <w:iCs/>
        </w:rPr>
      </w:r>
      <w:r w:rsidR="006E5B4D">
        <w:rPr>
          <w:bCs/>
          <w:iCs/>
        </w:rPr>
        <w:fldChar w:fldCharType="separate"/>
      </w:r>
      <w:r w:rsidR="00962F38" w:rsidRPr="00962F38">
        <w:rPr>
          <w:bCs/>
          <w:iCs/>
        </w:rPr>
        <w:t>Table 15</w:t>
      </w:r>
      <w:r w:rsidR="006E5B4D">
        <w:rPr>
          <w:bCs/>
          <w:iCs/>
        </w:rPr>
        <w:fldChar w:fldCharType="end"/>
      </w:r>
      <w:r w:rsidR="006E5B4D">
        <w:rPr>
          <w:bCs/>
          <w:iCs/>
        </w:rPr>
        <w:t>)</w:t>
      </w:r>
      <w:r w:rsidR="00FC309A">
        <w:rPr>
          <w:bCs/>
          <w:iCs/>
        </w:rPr>
        <w:t xml:space="preserve">. </w:t>
      </w:r>
      <w:r w:rsidR="00FC309A" w:rsidRPr="00987AFC">
        <w:rPr>
          <w:snapToGrid w:val="0"/>
          <w:lang w:val="en-GB"/>
        </w:rPr>
        <w:t>The PBAC considered with these alternative parameters the cost</w:t>
      </w:r>
      <w:r w:rsidR="009B60A6">
        <w:rPr>
          <w:snapToGrid w:val="0"/>
          <w:lang w:val="en-GB"/>
        </w:rPr>
        <w:noBreakHyphen/>
      </w:r>
      <w:r w:rsidR="00FC309A" w:rsidRPr="00987AFC">
        <w:rPr>
          <w:snapToGrid w:val="0"/>
          <w:lang w:val="en-GB"/>
        </w:rPr>
        <w:t>effectiveness analysis would be more reliable</w:t>
      </w:r>
      <w:r w:rsidR="00586C6E">
        <w:rPr>
          <w:snapToGrid w:val="0"/>
          <w:lang w:val="en-GB"/>
        </w:rPr>
        <w:t xml:space="preserve">. </w:t>
      </w:r>
      <w:r w:rsidR="006A67FE">
        <w:rPr>
          <w:snapToGrid w:val="0"/>
          <w:lang w:val="en-GB"/>
        </w:rPr>
        <w:t xml:space="preserve">The PBAC </w:t>
      </w:r>
      <w:r w:rsidR="00844F07">
        <w:rPr>
          <w:snapToGrid w:val="0"/>
          <w:lang w:val="en-GB"/>
        </w:rPr>
        <w:t xml:space="preserve">noted that </w:t>
      </w:r>
      <w:r w:rsidR="0076140F">
        <w:rPr>
          <w:snapToGrid w:val="0"/>
          <w:lang w:val="en-GB"/>
        </w:rPr>
        <w:t xml:space="preserve">in the ACP </w:t>
      </w:r>
      <w:r w:rsidR="008922CD">
        <w:rPr>
          <w:snapToGrid w:val="0"/>
          <w:lang w:val="en-GB"/>
        </w:rPr>
        <w:t xml:space="preserve">economic model </w:t>
      </w:r>
      <w:r w:rsidR="00D4377D">
        <w:rPr>
          <w:snapToGrid w:val="0"/>
          <w:lang w:val="en-GB"/>
        </w:rPr>
        <w:t xml:space="preserve">progression of </w:t>
      </w:r>
      <w:r w:rsidR="006E46A5">
        <w:rPr>
          <w:snapToGrid w:val="0"/>
          <w:lang w:val="en-GB"/>
        </w:rPr>
        <w:t>vision</w:t>
      </w:r>
      <w:r w:rsidR="00B63BEE">
        <w:rPr>
          <w:snapToGrid w:val="0"/>
          <w:lang w:val="en-GB"/>
        </w:rPr>
        <w:t xml:space="preserve"> loss was modelled based on GA</w:t>
      </w:r>
      <w:r w:rsidR="00D1384D">
        <w:rPr>
          <w:snapToGrid w:val="0"/>
          <w:lang w:val="en-GB"/>
        </w:rPr>
        <w:t xml:space="preserve"> area and minimum distance to the fove</w:t>
      </w:r>
      <w:r w:rsidR="00361F87">
        <w:rPr>
          <w:snapToGrid w:val="0"/>
          <w:lang w:val="en-GB"/>
        </w:rPr>
        <w:t>al centre</w:t>
      </w:r>
      <w:r w:rsidR="00261A3C">
        <w:rPr>
          <w:snapToGrid w:val="0"/>
          <w:lang w:val="en-GB"/>
        </w:rPr>
        <w:t xml:space="preserve">, whereas in the </w:t>
      </w:r>
      <w:r w:rsidR="003761CC">
        <w:rPr>
          <w:snapToGrid w:val="0"/>
          <w:lang w:val="en-GB"/>
        </w:rPr>
        <w:t xml:space="preserve">pegcetacoplan model </w:t>
      </w:r>
      <w:r w:rsidR="005B6103">
        <w:rPr>
          <w:snapToGrid w:val="0"/>
          <w:lang w:val="en-GB"/>
        </w:rPr>
        <w:t xml:space="preserve">progression was modelled based on </w:t>
      </w:r>
      <w:r w:rsidR="007D6CBB">
        <w:rPr>
          <w:snapToGrid w:val="0"/>
          <w:lang w:val="en-GB"/>
        </w:rPr>
        <w:t>Early Treatment Diabetic Retinopathy study (</w:t>
      </w:r>
      <w:r w:rsidR="005B6103">
        <w:rPr>
          <w:snapToGrid w:val="0"/>
          <w:lang w:val="en-GB"/>
        </w:rPr>
        <w:t>ETDRS</w:t>
      </w:r>
      <w:r w:rsidR="007D6CBB">
        <w:rPr>
          <w:snapToGrid w:val="0"/>
          <w:lang w:val="en-GB"/>
        </w:rPr>
        <w:t>)</w:t>
      </w:r>
      <w:r w:rsidR="005B6103">
        <w:rPr>
          <w:snapToGrid w:val="0"/>
          <w:lang w:val="en-GB"/>
        </w:rPr>
        <w:t xml:space="preserve"> letter</w:t>
      </w:r>
      <w:r w:rsidR="00147E10">
        <w:rPr>
          <w:snapToGrid w:val="0"/>
          <w:lang w:val="en-GB"/>
        </w:rPr>
        <w:t>s</w:t>
      </w:r>
      <w:r w:rsidR="00B32D45">
        <w:rPr>
          <w:snapToGrid w:val="0"/>
          <w:lang w:val="en-GB"/>
        </w:rPr>
        <w:t xml:space="preserve">. </w:t>
      </w:r>
      <w:r w:rsidR="00170750">
        <w:rPr>
          <w:snapToGrid w:val="0"/>
          <w:lang w:val="en-GB"/>
        </w:rPr>
        <w:t xml:space="preserve">While it was </w:t>
      </w:r>
      <w:r w:rsidR="00B32D45">
        <w:rPr>
          <w:snapToGrid w:val="0"/>
          <w:lang w:val="en-GB"/>
        </w:rPr>
        <w:t xml:space="preserve">not possible to </w:t>
      </w:r>
      <w:r w:rsidR="00DB5E74">
        <w:rPr>
          <w:snapToGrid w:val="0"/>
          <w:lang w:val="en-GB"/>
        </w:rPr>
        <w:t>directly compare the models</w:t>
      </w:r>
      <w:r w:rsidR="00170750">
        <w:rPr>
          <w:snapToGrid w:val="0"/>
          <w:lang w:val="en-GB"/>
        </w:rPr>
        <w:t xml:space="preserve"> the PBAC considered</w:t>
      </w:r>
      <w:r w:rsidR="00A41710">
        <w:rPr>
          <w:snapToGrid w:val="0"/>
          <w:lang w:val="en-GB"/>
        </w:rPr>
        <w:t xml:space="preserve"> the larger </w:t>
      </w:r>
      <w:r w:rsidR="007674BC">
        <w:rPr>
          <w:snapToGrid w:val="0"/>
          <w:lang w:val="en-GB"/>
        </w:rPr>
        <w:t xml:space="preserve">QALY gain </w:t>
      </w:r>
      <w:r w:rsidR="00512B31">
        <w:rPr>
          <w:snapToGrid w:val="0"/>
          <w:lang w:val="en-GB"/>
        </w:rPr>
        <w:t xml:space="preserve">estimated from the ACP model </w:t>
      </w:r>
      <w:r w:rsidR="00583A78">
        <w:rPr>
          <w:snapToGrid w:val="0"/>
          <w:lang w:val="en-GB"/>
        </w:rPr>
        <w:t xml:space="preserve">compared </w:t>
      </w:r>
      <w:r w:rsidR="007802D7">
        <w:rPr>
          <w:snapToGrid w:val="0"/>
          <w:lang w:val="en-GB"/>
        </w:rPr>
        <w:t xml:space="preserve">with the </w:t>
      </w:r>
      <w:r w:rsidR="00962562">
        <w:rPr>
          <w:snapToGrid w:val="0"/>
          <w:lang w:val="en-GB"/>
        </w:rPr>
        <w:t>pegcetacoplan model was inconsistent with the conclusion of non</w:t>
      </w:r>
      <w:r w:rsidR="009B60A6">
        <w:rPr>
          <w:snapToGrid w:val="0"/>
          <w:lang w:val="en-GB"/>
        </w:rPr>
        <w:noBreakHyphen/>
      </w:r>
      <w:r w:rsidR="00A1544B">
        <w:rPr>
          <w:snapToGrid w:val="0"/>
          <w:lang w:val="en-GB"/>
        </w:rPr>
        <w:t>inferior efficacy and safety</w:t>
      </w:r>
      <w:r w:rsidR="002B3E6E">
        <w:rPr>
          <w:snapToGrid w:val="0"/>
          <w:lang w:val="en-GB"/>
        </w:rPr>
        <w:t xml:space="preserve">. In this context the PBAC </w:t>
      </w:r>
      <w:r w:rsidR="0062092E">
        <w:rPr>
          <w:snapToGrid w:val="0"/>
          <w:lang w:val="en-GB"/>
        </w:rPr>
        <w:t>considered</w:t>
      </w:r>
      <w:r w:rsidR="00BF27FA">
        <w:rPr>
          <w:snapToGrid w:val="0"/>
          <w:lang w:val="en-GB"/>
        </w:rPr>
        <w:t xml:space="preserve"> </w:t>
      </w:r>
      <w:r w:rsidR="00FC309A" w:rsidRPr="00987AFC">
        <w:rPr>
          <w:snapToGrid w:val="0"/>
          <w:lang w:val="en-GB"/>
        </w:rPr>
        <w:t xml:space="preserve">an </w:t>
      </w:r>
      <w:r w:rsidR="00FC309A">
        <w:rPr>
          <w:snapToGrid w:val="0"/>
          <w:lang w:val="en-GB"/>
        </w:rPr>
        <w:t>ICER</w:t>
      </w:r>
      <w:r w:rsidR="00FC309A" w:rsidRPr="00987AFC">
        <w:rPr>
          <w:snapToGrid w:val="0"/>
        </w:rPr>
        <w:t xml:space="preserve"> </w:t>
      </w:r>
      <w:r w:rsidR="00FC309A">
        <w:rPr>
          <w:snapToGrid w:val="0"/>
        </w:rPr>
        <w:t xml:space="preserve">in </w:t>
      </w:r>
      <w:r w:rsidR="00FC309A" w:rsidRPr="00987AFC">
        <w:rPr>
          <w:snapToGrid w:val="0"/>
        </w:rPr>
        <w:t>the order of</w:t>
      </w:r>
      <w:r w:rsidR="00FC309A" w:rsidRPr="00987AFC">
        <w:rPr>
          <w:snapToGrid w:val="0"/>
          <w:lang w:val="en-GB"/>
        </w:rPr>
        <w:t xml:space="preserve"> </w:t>
      </w:r>
      <w:r w:rsidR="00C71F6D" w:rsidRPr="00C71F6D">
        <w:rPr>
          <w:snapToGrid w:val="0"/>
          <w:lang w:val="en-GB"/>
        </w:rPr>
        <w:t>$45,000 to &lt; $55,000</w:t>
      </w:r>
      <w:r w:rsidR="00FC309A">
        <w:rPr>
          <w:snapToGrid w:val="0"/>
          <w:lang w:val="en-GB"/>
        </w:rPr>
        <w:t xml:space="preserve"> per </w:t>
      </w:r>
      <w:r w:rsidR="00FC309A" w:rsidRPr="00987AFC">
        <w:rPr>
          <w:snapToGrid w:val="0"/>
          <w:lang w:val="en-GB"/>
        </w:rPr>
        <w:t>QALY gained would be acceptable.</w:t>
      </w:r>
      <w:r w:rsidR="00FC309A">
        <w:rPr>
          <w:snapToGrid w:val="0"/>
          <w:lang w:val="en-GB"/>
        </w:rPr>
        <w:t xml:space="preserve"> The PBAC noted that a price reduction would be required to achieve cost effectiveness.</w:t>
      </w:r>
      <w:bookmarkEnd w:id="84"/>
    </w:p>
    <w:p w14:paraId="2EAC4066" w14:textId="024E9975" w:rsidR="00412A07" w:rsidRPr="00BC7B74" w:rsidRDefault="00180FBF" w:rsidP="00412A07">
      <w:pPr>
        <w:widowControl w:val="0"/>
        <w:numPr>
          <w:ilvl w:val="1"/>
          <w:numId w:val="1"/>
        </w:numPr>
        <w:spacing w:after="120"/>
        <w:rPr>
          <w:rFonts w:asciiTheme="minorHAnsi" w:hAnsiTheme="minorHAnsi"/>
          <w:snapToGrid w:val="0"/>
          <w:lang w:val="en-GB"/>
        </w:rPr>
      </w:pPr>
      <w:r w:rsidRPr="008F0391">
        <w:rPr>
          <w:rFonts w:asciiTheme="minorHAnsi" w:hAnsiTheme="minorHAnsi"/>
          <w:snapToGrid w:val="0"/>
          <w:lang w:val="en-GB"/>
        </w:rPr>
        <w:t xml:space="preserve">The PBAC </w:t>
      </w:r>
      <w:r w:rsidR="0018697F">
        <w:rPr>
          <w:rFonts w:asciiTheme="minorHAnsi" w:hAnsiTheme="minorHAnsi"/>
          <w:snapToGrid w:val="0"/>
          <w:lang w:val="en-GB"/>
        </w:rPr>
        <w:t xml:space="preserve">noted that an </w:t>
      </w:r>
      <w:r w:rsidR="0018697F" w:rsidRPr="00480491">
        <w:rPr>
          <w:rFonts w:asciiTheme="minorHAnsi" w:eastAsiaTheme="minorHAnsi" w:hAnsiTheme="minorHAnsi" w:cstheme="minorBidi"/>
          <w:szCs w:val="22"/>
        </w:rPr>
        <w:t>epidemiological approach was used to estimate the extent of use and financial implications of listing ACP on the PBS</w:t>
      </w:r>
      <w:r w:rsidR="00AA21CE">
        <w:rPr>
          <w:rFonts w:asciiTheme="minorHAnsi" w:eastAsiaTheme="minorHAnsi" w:hAnsiTheme="minorHAnsi" w:cstheme="minorBidi"/>
          <w:szCs w:val="22"/>
        </w:rPr>
        <w:t xml:space="preserve">, which was reasonable. </w:t>
      </w:r>
      <w:r w:rsidR="00A46D1B">
        <w:rPr>
          <w:rFonts w:asciiTheme="minorHAnsi" w:hAnsiTheme="minorHAnsi"/>
          <w:snapToGrid w:val="0"/>
          <w:lang w:val="en-GB"/>
        </w:rPr>
        <w:t>The PBAC</w:t>
      </w:r>
      <w:r w:rsidR="00B81BF3">
        <w:rPr>
          <w:rFonts w:asciiTheme="minorHAnsi" w:hAnsiTheme="minorHAnsi"/>
          <w:snapToGrid w:val="0"/>
          <w:lang w:val="en-GB"/>
        </w:rPr>
        <w:t xml:space="preserve"> considered </w:t>
      </w:r>
      <w:r w:rsidR="00A46D1B">
        <w:t xml:space="preserve">the uptake rates </w:t>
      </w:r>
      <w:r w:rsidR="006819B4">
        <w:t xml:space="preserve">proposed by the submission </w:t>
      </w:r>
      <w:r w:rsidR="00A46D1B">
        <w:t>were uncertain</w:t>
      </w:r>
      <w:r w:rsidR="00F64851">
        <w:t xml:space="preserve">, </w:t>
      </w:r>
      <w:r w:rsidR="00234CA9">
        <w:t>particularly</w:t>
      </w:r>
      <w:r w:rsidR="00A46D1B">
        <w:t xml:space="preserve"> with the possibility of some hesitation due to the effective </w:t>
      </w:r>
      <w:r w:rsidR="00216A7C">
        <w:t>monocular</w:t>
      </w:r>
      <w:r w:rsidR="00A46D1B">
        <w:t xml:space="preserve"> </w:t>
      </w:r>
      <w:r w:rsidR="00F01167">
        <w:t>vi</w:t>
      </w:r>
      <w:r w:rsidR="004D5021">
        <w:t xml:space="preserve">sion </w:t>
      </w:r>
      <w:r w:rsidR="00A46D1B">
        <w:t>status of the target population. However, the PBAC noted that there are no other subsidised treatment options available for GA</w:t>
      </w:r>
      <w:r w:rsidR="00B81BF3">
        <w:t>.</w:t>
      </w:r>
      <w:r w:rsidR="00A46D1B">
        <w:t xml:space="preserve"> As such, the PBAC advised that the uptake rate in both Year 1 and Year 2 be increased to </w:t>
      </w:r>
      <w:r w:rsidR="00B37C73" w:rsidRPr="00B37C73">
        <w:rPr>
          <w:sz w:val="2"/>
          <w:highlight w:val="black"/>
        </w:rPr>
        <w:t>redacted content</w:t>
      </w:r>
      <w:r w:rsidR="00A46D1B">
        <w:t>% with the uptake rates in the remaining years</w:t>
      </w:r>
      <w:r w:rsidR="004D5021">
        <w:t xml:space="preserve"> </w:t>
      </w:r>
      <w:r w:rsidR="00234CA9">
        <w:t xml:space="preserve">increasing only </w:t>
      </w:r>
      <w:r w:rsidR="004D5021">
        <w:t>up</w:t>
      </w:r>
      <w:r w:rsidR="008532C1">
        <w:t xml:space="preserve"> to </w:t>
      </w:r>
      <w:r w:rsidR="00B37C73" w:rsidRPr="00B37C73">
        <w:rPr>
          <w:sz w:val="2"/>
          <w:highlight w:val="black"/>
        </w:rPr>
        <w:t>redacted content</w:t>
      </w:r>
      <w:r w:rsidR="008532C1">
        <w:t>% by year 6</w:t>
      </w:r>
      <w:r w:rsidR="00A46D1B">
        <w:t xml:space="preserve">. The PBAC considered that </w:t>
      </w:r>
      <w:r w:rsidR="00F95445">
        <w:t>patient</w:t>
      </w:r>
      <w:r w:rsidR="006C57A8">
        <w:t xml:space="preserve"> numbers </w:t>
      </w:r>
      <w:r w:rsidR="00F95445">
        <w:t xml:space="preserve">would need to </w:t>
      </w:r>
      <w:r w:rsidR="00234CA9">
        <w:t xml:space="preserve">be updated to </w:t>
      </w:r>
      <w:r w:rsidR="00F95445">
        <w:t xml:space="preserve">reflect </w:t>
      </w:r>
      <w:r w:rsidR="00234CA9">
        <w:t>patients</w:t>
      </w:r>
      <w:r w:rsidR="00F95445">
        <w:t xml:space="preserve"> with bi</w:t>
      </w:r>
      <w:r w:rsidR="004715AC">
        <w:t xml:space="preserve">lateral GA and </w:t>
      </w:r>
      <w:r w:rsidR="00234CA9">
        <w:t xml:space="preserve">the </w:t>
      </w:r>
      <w:r w:rsidR="004715AC">
        <w:t xml:space="preserve">proportion with </w:t>
      </w:r>
      <w:r w:rsidR="00297868" w:rsidRPr="00E20031">
        <w:t>non</w:t>
      </w:r>
      <w:r w:rsidR="009B60A6">
        <w:noBreakHyphen/>
      </w:r>
      <w:r w:rsidR="00297868" w:rsidRPr="00E20031">
        <w:t>subfoveal GA in one eye and subfoveal GA in the fellow eye</w:t>
      </w:r>
      <w:r w:rsidR="00234CA9">
        <w:t>.</w:t>
      </w:r>
      <w:r w:rsidR="00297868">
        <w:t xml:space="preserve"> </w:t>
      </w:r>
      <w:r w:rsidR="00234CA9">
        <w:t xml:space="preserve">The PBAC advised </w:t>
      </w:r>
      <w:r w:rsidR="00297868">
        <w:t>the</w:t>
      </w:r>
      <w:r w:rsidR="002B6086">
        <w:t>s</w:t>
      </w:r>
      <w:r w:rsidR="00297868">
        <w:t>e rates should align</w:t>
      </w:r>
      <w:r w:rsidR="00234CA9">
        <w:t xml:space="preserve"> </w:t>
      </w:r>
      <w:r w:rsidR="00297868">
        <w:t>with the pegceta</w:t>
      </w:r>
      <w:r w:rsidR="00234CA9">
        <w:t>c</w:t>
      </w:r>
      <w:r w:rsidR="00297868">
        <w:t>oplan</w:t>
      </w:r>
      <w:r w:rsidR="002B6086">
        <w:t xml:space="preserve"> consideration in November 2025</w:t>
      </w:r>
      <w:r w:rsidR="009F3E20">
        <w:t xml:space="preserve"> (Table 15, pegcetacoplan PSD, November 2025 PBAC meeting)</w:t>
      </w:r>
      <w:r w:rsidR="002B6086">
        <w:t>.</w:t>
      </w:r>
    </w:p>
    <w:p w14:paraId="6803278B" w14:textId="6D02FCBB" w:rsidR="00BC7B74" w:rsidRPr="00E61B3F" w:rsidRDefault="003E1197" w:rsidP="00412A07">
      <w:pPr>
        <w:widowControl w:val="0"/>
        <w:numPr>
          <w:ilvl w:val="1"/>
          <w:numId w:val="1"/>
        </w:numPr>
        <w:spacing w:after="120"/>
        <w:rPr>
          <w:rFonts w:asciiTheme="minorHAnsi" w:hAnsiTheme="minorHAnsi"/>
          <w:snapToGrid w:val="0"/>
          <w:lang w:val="en-GB"/>
        </w:rPr>
      </w:pPr>
      <w:r>
        <w:t xml:space="preserve">The PBAC noted that </w:t>
      </w:r>
      <w:r w:rsidR="003208D5">
        <w:t>the PBS listing of ACP would pose high financial risk to Government for uncertain functional benefits. To ensure</w:t>
      </w:r>
      <w:r w:rsidR="008B1D59">
        <w:t xml:space="preserve"> use remains within acceptable cost</w:t>
      </w:r>
      <w:r w:rsidR="009B60A6">
        <w:noBreakHyphen/>
      </w:r>
      <w:r w:rsidR="008B1D59">
        <w:t>effectiveness parameters, the PBAC considered a</w:t>
      </w:r>
      <w:r w:rsidR="00AC6C16">
        <w:t>n</w:t>
      </w:r>
      <w:r w:rsidR="008B1D59">
        <w:t xml:space="preserve"> </w:t>
      </w:r>
      <w:r w:rsidR="00813394">
        <w:t>RSA</w:t>
      </w:r>
      <w:r w:rsidR="008B1D59">
        <w:t xml:space="preserve"> was appropriate. The PBAC </w:t>
      </w:r>
      <w:r w:rsidR="00495F4D">
        <w:t>considered</w:t>
      </w:r>
      <w:r w:rsidR="008B1D59">
        <w:t xml:space="preserve"> the RSA would specifically </w:t>
      </w:r>
      <w:r w:rsidR="00BC7B74">
        <w:t xml:space="preserve">address uncertainty in the prevalence of </w:t>
      </w:r>
      <w:r w:rsidRPr="003E1197">
        <w:t>monocular patients</w:t>
      </w:r>
      <w:r>
        <w:t xml:space="preserve"> and the uptake rates</w:t>
      </w:r>
      <w:r w:rsidR="00495F4D">
        <w:t xml:space="preserve">. The PBAC </w:t>
      </w:r>
      <w:r w:rsidR="001F0EC2">
        <w:rPr>
          <w:rFonts w:asciiTheme="minorHAnsi" w:hAnsiTheme="minorHAnsi"/>
          <w:snapToGrid w:val="0"/>
        </w:rPr>
        <w:t xml:space="preserve">recommended an </w:t>
      </w:r>
      <w:r w:rsidR="00B37C73" w:rsidRPr="00B37C73">
        <w:rPr>
          <w:rFonts w:asciiTheme="minorHAnsi" w:hAnsiTheme="minorHAnsi"/>
          <w:snapToGrid w:val="0"/>
          <w:sz w:val="2"/>
          <w:highlight w:val="black"/>
        </w:rPr>
        <w:t>redacted content</w:t>
      </w:r>
      <w:r w:rsidR="001F0EC2">
        <w:rPr>
          <w:rFonts w:asciiTheme="minorHAnsi" w:hAnsiTheme="minorHAnsi"/>
          <w:snapToGrid w:val="0"/>
        </w:rPr>
        <w:t xml:space="preserve">% rebate </w:t>
      </w:r>
      <w:r w:rsidR="00424E86">
        <w:rPr>
          <w:rFonts w:asciiTheme="minorHAnsi" w:hAnsiTheme="minorHAnsi"/>
          <w:snapToGrid w:val="0"/>
        </w:rPr>
        <w:t xml:space="preserve">for expenditure </w:t>
      </w:r>
      <w:r w:rsidR="00C62EED">
        <w:rPr>
          <w:rFonts w:asciiTheme="minorHAnsi" w:hAnsiTheme="minorHAnsi"/>
          <w:snapToGrid w:val="0"/>
        </w:rPr>
        <w:t>above the RSA c</w:t>
      </w:r>
      <w:r w:rsidR="001D2222">
        <w:rPr>
          <w:rFonts w:asciiTheme="minorHAnsi" w:hAnsiTheme="minorHAnsi"/>
          <w:snapToGrid w:val="0"/>
        </w:rPr>
        <w:t>aps</w:t>
      </w:r>
      <w:r w:rsidR="001F0EC2">
        <w:rPr>
          <w:rFonts w:asciiTheme="minorHAnsi" w:hAnsiTheme="minorHAnsi"/>
          <w:snapToGrid w:val="0"/>
        </w:rPr>
        <w:t xml:space="preserve">. Should the pegcetacoplan </w:t>
      </w:r>
      <w:r w:rsidR="003165D1">
        <w:rPr>
          <w:rFonts w:asciiTheme="minorHAnsi" w:hAnsiTheme="minorHAnsi"/>
          <w:snapToGrid w:val="0"/>
        </w:rPr>
        <w:t xml:space="preserve">PBS listing be </w:t>
      </w:r>
      <w:r w:rsidR="006819B4">
        <w:rPr>
          <w:rFonts w:asciiTheme="minorHAnsi" w:hAnsiTheme="minorHAnsi"/>
          <w:snapToGrid w:val="0"/>
        </w:rPr>
        <w:t>finalised</w:t>
      </w:r>
      <w:r w:rsidR="00791723">
        <w:rPr>
          <w:rFonts w:asciiTheme="minorHAnsi" w:hAnsiTheme="minorHAnsi"/>
          <w:snapToGrid w:val="0"/>
        </w:rPr>
        <w:t xml:space="preserve"> ahead of ACP</w:t>
      </w:r>
      <w:r w:rsidR="003165D1">
        <w:rPr>
          <w:rFonts w:asciiTheme="minorHAnsi" w:hAnsiTheme="minorHAnsi"/>
          <w:snapToGrid w:val="0"/>
        </w:rPr>
        <w:t xml:space="preserve">, it would be appropriate for ACP to join the </w:t>
      </w:r>
      <w:r w:rsidR="00813394">
        <w:rPr>
          <w:rFonts w:asciiTheme="minorHAnsi" w:hAnsiTheme="minorHAnsi"/>
          <w:snapToGrid w:val="0"/>
        </w:rPr>
        <w:t xml:space="preserve">same </w:t>
      </w:r>
      <w:r w:rsidR="003165D1">
        <w:rPr>
          <w:rFonts w:asciiTheme="minorHAnsi" w:hAnsiTheme="minorHAnsi"/>
          <w:snapToGrid w:val="0"/>
        </w:rPr>
        <w:t>RSA</w:t>
      </w:r>
      <w:r w:rsidR="001F0EC2">
        <w:rPr>
          <w:rFonts w:asciiTheme="minorHAnsi" w:hAnsiTheme="minorHAnsi"/>
          <w:snapToGrid w:val="0"/>
        </w:rPr>
        <w:t xml:space="preserve"> </w:t>
      </w:r>
      <w:r w:rsidR="00813394">
        <w:rPr>
          <w:rFonts w:asciiTheme="minorHAnsi" w:hAnsiTheme="minorHAnsi"/>
          <w:snapToGrid w:val="0"/>
        </w:rPr>
        <w:t xml:space="preserve">as pegcetacoplan, with no increase </w:t>
      </w:r>
      <w:r w:rsidR="00813394" w:rsidRPr="00E61B3F">
        <w:rPr>
          <w:rFonts w:asciiTheme="minorHAnsi" w:hAnsiTheme="minorHAnsi"/>
          <w:snapToGrid w:val="0"/>
        </w:rPr>
        <w:t>in the caps.</w:t>
      </w:r>
    </w:p>
    <w:p w14:paraId="7F12C9F8" w14:textId="47CACE4B" w:rsidR="00412A07" w:rsidRPr="00E61B3F" w:rsidRDefault="00412A07" w:rsidP="00E61B3F">
      <w:pPr>
        <w:widowControl w:val="0"/>
        <w:numPr>
          <w:ilvl w:val="1"/>
          <w:numId w:val="1"/>
        </w:numPr>
        <w:spacing w:after="120"/>
        <w:rPr>
          <w:rFonts w:asciiTheme="minorHAnsi" w:hAnsiTheme="minorHAnsi"/>
          <w:bCs/>
          <w:snapToGrid w:val="0"/>
          <w:lang w:val="en-GB"/>
        </w:rPr>
      </w:pPr>
      <w:r w:rsidRPr="00E61B3F">
        <w:rPr>
          <w:rFonts w:asciiTheme="minorHAnsi" w:hAnsiTheme="minorHAnsi"/>
          <w:bCs/>
          <w:snapToGrid w:val="0"/>
          <w:lang w:val="en-GB"/>
        </w:rPr>
        <w:t xml:space="preserve">The </w:t>
      </w:r>
      <w:r w:rsidRPr="00E61B3F">
        <w:t>PBAC</w:t>
      </w:r>
      <w:r w:rsidRPr="00E61B3F">
        <w:rPr>
          <w:rFonts w:asciiTheme="minorHAnsi" w:hAnsiTheme="minorHAnsi"/>
          <w:bCs/>
          <w:snapToGrid w:val="0"/>
          <w:lang w:val="en-GB"/>
        </w:rPr>
        <w:t xml:space="preserve"> recommended that</w:t>
      </w:r>
      <w:r w:rsidR="00E61B3F" w:rsidRPr="00E61B3F">
        <w:rPr>
          <w:rFonts w:cs="Calibri"/>
          <w:lang w:eastAsia="en-US"/>
        </w:rPr>
        <w:t xml:space="preserve"> avacincaptad pegol</w:t>
      </w:r>
      <w:r w:rsidRPr="00E61B3F">
        <w:rPr>
          <w:rFonts w:asciiTheme="minorHAnsi" w:hAnsiTheme="minorHAnsi"/>
          <w:bCs/>
          <w:snapToGrid w:val="0"/>
          <w:lang w:val="en-GB"/>
        </w:rPr>
        <w:t xml:space="preserve"> should not be treated as</w:t>
      </w:r>
      <w:r w:rsidR="00763BF4">
        <w:rPr>
          <w:rFonts w:asciiTheme="minorHAnsi" w:hAnsiTheme="minorHAnsi"/>
          <w:bCs/>
          <w:snapToGrid w:val="0"/>
          <w:lang w:val="en-GB"/>
        </w:rPr>
        <w:t xml:space="preserve"> interchangeable</w:t>
      </w:r>
      <w:r w:rsidRPr="00E61B3F">
        <w:rPr>
          <w:rFonts w:asciiTheme="minorHAnsi" w:hAnsiTheme="minorHAnsi"/>
          <w:bCs/>
          <w:snapToGrid w:val="0"/>
          <w:lang w:val="en-GB"/>
        </w:rPr>
        <w:t xml:space="preserve"> with any other drugs</w:t>
      </w:r>
      <w:r w:rsidR="00E61B3F" w:rsidRPr="00E61B3F">
        <w:rPr>
          <w:rFonts w:asciiTheme="minorHAnsi" w:hAnsiTheme="minorHAnsi"/>
          <w:bCs/>
          <w:snapToGrid w:val="0"/>
          <w:lang w:val="en-GB"/>
        </w:rPr>
        <w:t>.</w:t>
      </w:r>
    </w:p>
    <w:p w14:paraId="4D083B16" w14:textId="13273565" w:rsidR="00B4638D" w:rsidRPr="00EF43D2" w:rsidRDefault="00B4638D" w:rsidP="00B4638D">
      <w:pPr>
        <w:widowControl w:val="0"/>
        <w:numPr>
          <w:ilvl w:val="1"/>
          <w:numId w:val="1"/>
        </w:numPr>
        <w:spacing w:after="120"/>
        <w:rPr>
          <w:rFonts w:asciiTheme="minorHAnsi" w:hAnsiTheme="minorHAnsi"/>
          <w:bCs/>
          <w:snapToGrid w:val="0"/>
          <w:lang w:val="en-GB"/>
        </w:rPr>
      </w:pPr>
      <w:r w:rsidRPr="005F7B51">
        <w:rPr>
          <w:rFonts w:asciiTheme="minorHAnsi" w:hAnsiTheme="minorHAnsi"/>
          <w:bCs/>
          <w:snapToGrid w:val="0"/>
          <w:lang w:val="en-GB"/>
        </w:rPr>
        <w:t xml:space="preserve">The PBAC advised that </w:t>
      </w:r>
      <w:r w:rsidRPr="00E61B3F">
        <w:rPr>
          <w:rFonts w:cs="Calibri"/>
          <w:lang w:eastAsia="en-US"/>
        </w:rPr>
        <w:t>avacincaptad pegol</w:t>
      </w:r>
      <w:r w:rsidRPr="005F7B51">
        <w:rPr>
          <w:rFonts w:asciiTheme="minorHAnsi" w:hAnsiTheme="minorHAnsi"/>
          <w:bCs/>
          <w:snapToGrid w:val="0"/>
          <w:lang w:val="en-GB"/>
        </w:rPr>
        <w:t xml:space="preserve"> is not suitable for prescribing by nurse practitioners. </w:t>
      </w:r>
      <w:r w:rsidRPr="00EF43D2">
        <w:rPr>
          <w:rFonts w:asciiTheme="minorHAnsi" w:hAnsiTheme="minorHAnsi"/>
          <w:bCs/>
          <w:snapToGrid w:val="0"/>
        </w:rPr>
        <w:t>The PBAC also recommended</w:t>
      </w:r>
      <w:r w:rsidRPr="00EF43D2" w:rsidDel="00EF43D2">
        <w:rPr>
          <w:rFonts w:asciiTheme="minorHAnsi" w:hAnsiTheme="minorHAnsi"/>
          <w:snapToGrid w:val="0"/>
        </w:rPr>
        <w:t xml:space="preserve"> that </w:t>
      </w:r>
      <w:r w:rsidRPr="00E61B3F">
        <w:rPr>
          <w:rFonts w:cs="Calibri"/>
          <w:lang w:eastAsia="en-US"/>
        </w:rPr>
        <w:t>avacincaptad pegol</w:t>
      </w:r>
      <w:r w:rsidRPr="00EF43D2">
        <w:rPr>
          <w:rFonts w:asciiTheme="minorHAnsi" w:hAnsiTheme="minorHAnsi"/>
          <w:bCs/>
          <w:snapToGrid w:val="0"/>
          <w:lang w:val="en-GB"/>
        </w:rPr>
        <w:t xml:space="preserve"> is suitable for prescribing by </w:t>
      </w:r>
      <w:r w:rsidRPr="00EF43D2">
        <w:rPr>
          <w:rFonts w:cstheme="minorHAnsi"/>
        </w:rPr>
        <w:t xml:space="preserve">an ophthalmologist or by an accredited ophthalmology registrar, in </w:t>
      </w:r>
      <w:r w:rsidRPr="00EF43D2">
        <w:rPr>
          <w:rFonts w:cstheme="minorHAnsi"/>
        </w:rPr>
        <w:lastRenderedPageBreak/>
        <w:t>consultation with an ophthalmologist</w:t>
      </w:r>
      <w:r w:rsidRPr="00EF43D2">
        <w:rPr>
          <w:rFonts w:asciiTheme="minorHAnsi" w:hAnsiTheme="minorHAnsi"/>
          <w:bCs/>
          <w:snapToGrid w:val="0"/>
          <w:lang w:val="en-GB"/>
        </w:rPr>
        <w:t xml:space="preserve"> only</w:t>
      </w:r>
      <w:r>
        <w:rPr>
          <w:rFonts w:asciiTheme="minorHAnsi" w:hAnsiTheme="minorHAnsi"/>
          <w:bCs/>
          <w:snapToGrid w:val="0"/>
          <w:lang w:val="en-GB"/>
        </w:rPr>
        <w:t xml:space="preserve">. GA secondary to AMD should be diagnosed </w:t>
      </w:r>
      <w:r w:rsidRPr="00EF43D2">
        <w:rPr>
          <w:rFonts w:asciiTheme="minorHAnsi" w:hAnsiTheme="minorHAnsi"/>
          <w:bCs/>
          <w:snapToGrid w:val="0"/>
        </w:rPr>
        <w:t>using fundus autofluorescence or optical coherence tomography (OCT)</w:t>
      </w:r>
      <w:r>
        <w:rPr>
          <w:rFonts w:asciiTheme="minorHAnsi" w:hAnsiTheme="minorHAnsi"/>
          <w:bCs/>
          <w:snapToGrid w:val="0"/>
        </w:rPr>
        <w:t xml:space="preserve"> with ongoing assessment to ensure that the fovea remains intact</w:t>
      </w:r>
      <w:r w:rsidRPr="00EF43D2">
        <w:rPr>
          <w:rFonts w:asciiTheme="minorHAnsi" w:hAnsiTheme="minorHAnsi"/>
          <w:bCs/>
          <w:snapToGrid w:val="0"/>
        </w:rPr>
        <w:t>.</w:t>
      </w:r>
    </w:p>
    <w:p w14:paraId="4FCFA41E" w14:textId="77777777" w:rsidR="00B4638D" w:rsidRDefault="00B4638D" w:rsidP="00B4638D">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recommended that the Early Supply Rule should not apply. </w:t>
      </w:r>
    </w:p>
    <w:p w14:paraId="6BD7E6AA" w14:textId="32DEBF26" w:rsidR="00B4638D" w:rsidRPr="00A8136D" w:rsidRDefault="00B4638D" w:rsidP="00B4638D">
      <w:pPr>
        <w:widowControl w:val="0"/>
        <w:numPr>
          <w:ilvl w:val="1"/>
          <w:numId w:val="1"/>
        </w:numPr>
        <w:spacing w:after="120"/>
        <w:rPr>
          <w:rFonts w:asciiTheme="minorHAnsi" w:hAnsiTheme="minorHAnsi"/>
          <w:bCs/>
          <w:snapToGrid w:val="0"/>
          <w:lang w:val="en-GB"/>
        </w:rPr>
      </w:pPr>
      <w:r w:rsidRPr="00A8136D">
        <w:rPr>
          <w:rFonts w:asciiTheme="minorHAnsi" w:hAnsiTheme="minorHAnsi" w:cstheme="minorHAnsi"/>
          <w:lang w:val="en-GB"/>
        </w:rPr>
        <w:t xml:space="preserve">The PBAC found that the criteria prescribed by the </w:t>
      </w:r>
      <w:r w:rsidRPr="00165EAB">
        <w:rPr>
          <w:rFonts w:asciiTheme="minorHAnsi" w:hAnsiTheme="minorHAnsi" w:cstheme="minorHAnsi"/>
          <w:i/>
          <w:lang w:val="en-GB"/>
        </w:rPr>
        <w:t>National Health (Pharmaceuticals and Vaccines – Cost Recovery) Regulations 2022</w:t>
      </w:r>
      <w:r w:rsidRPr="00A8136D">
        <w:rPr>
          <w:rFonts w:asciiTheme="minorHAnsi" w:hAnsiTheme="minorHAnsi" w:cstheme="minorHAnsi"/>
          <w:lang w:val="en-GB"/>
        </w:rPr>
        <w:t xml:space="preserve"> for Pricing Pathway A</w:t>
      </w:r>
      <w:r>
        <w:rPr>
          <w:rFonts w:asciiTheme="minorHAnsi" w:hAnsiTheme="minorHAnsi" w:cstheme="minorHAnsi"/>
          <w:lang w:val="en-GB"/>
        </w:rPr>
        <w:t xml:space="preserve"> </w:t>
      </w:r>
      <w:r w:rsidRPr="00A8136D">
        <w:rPr>
          <w:rFonts w:asciiTheme="minorHAnsi" w:hAnsiTheme="minorHAnsi" w:cstheme="minorHAnsi"/>
          <w:lang w:val="en-GB"/>
        </w:rPr>
        <w:t xml:space="preserve">were not met. Specifically, the PBAC found that in the circumstances of its recommendation for </w:t>
      </w:r>
      <w:r w:rsidRPr="00E61B3F">
        <w:rPr>
          <w:rFonts w:cs="Calibri"/>
          <w:lang w:eastAsia="en-US"/>
        </w:rPr>
        <w:t>avacincaptad pegol</w:t>
      </w:r>
      <w:r w:rsidRPr="00A8136D">
        <w:rPr>
          <w:rFonts w:asciiTheme="minorHAnsi" w:hAnsiTheme="minorHAnsi" w:cstheme="minorHAnsi"/>
          <w:lang w:val="en-GB"/>
        </w:rPr>
        <w:t>:</w:t>
      </w:r>
    </w:p>
    <w:p w14:paraId="54B90ACE" w14:textId="2657EC66" w:rsidR="00B4638D" w:rsidRPr="00763DFB" w:rsidRDefault="00B4638D" w:rsidP="00B4638D">
      <w:pPr>
        <w:widowControl w:val="0"/>
        <w:numPr>
          <w:ilvl w:val="1"/>
          <w:numId w:val="28"/>
        </w:numPr>
        <w:spacing w:after="120"/>
        <w:rPr>
          <w:rFonts w:asciiTheme="minorHAnsi" w:hAnsiTheme="minorHAnsi" w:cstheme="minorHAnsi"/>
          <w:lang w:val="en-GB"/>
        </w:rPr>
      </w:pPr>
      <w:r w:rsidRPr="00763DFB">
        <w:rPr>
          <w:rFonts w:asciiTheme="minorHAnsi" w:hAnsiTheme="minorHAnsi" w:cstheme="minorHAnsi"/>
          <w:lang w:val="en-GB"/>
        </w:rPr>
        <w:t>The treatment is expected to provide a clinically relevant improvement in efficacy</w:t>
      </w:r>
      <w:r>
        <w:rPr>
          <w:rFonts w:asciiTheme="minorHAnsi" w:hAnsiTheme="minorHAnsi" w:cstheme="minorHAnsi"/>
          <w:lang w:val="en-GB"/>
        </w:rPr>
        <w:t xml:space="preserve"> </w:t>
      </w:r>
      <w:r w:rsidRPr="00763DFB">
        <w:rPr>
          <w:rFonts w:asciiTheme="minorHAnsi" w:hAnsiTheme="minorHAnsi" w:cstheme="minorHAnsi"/>
          <w:lang w:val="en-GB"/>
        </w:rPr>
        <w:t xml:space="preserve">over </w:t>
      </w:r>
      <w:r>
        <w:rPr>
          <w:rFonts w:asciiTheme="minorHAnsi" w:hAnsiTheme="minorHAnsi" w:cstheme="minorHAnsi"/>
          <w:lang w:val="en-GB"/>
        </w:rPr>
        <w:t>standard care for slower GA lesion growth</w:t>
      </w:r>
      <w:r>
        <w:rPr>
          <w:snapToGrid w:val="0"/>
        </w:rPr>
        <w:t>, however, the magnitude of the effect on delaying vision loss was uncertain</w:t>
      </w:r>
      <w:r>
        <w:rPr>
          <w:rFonts w:asciiTheme="minorHAnsi" w:hAnsiTheme="minorHAnsi" w:cstheme="minorHAnsi"/>
          <w:lang w:val="en-GB"/>
        </w:rPr>
        <w:t>.</w:t>
      </w:r>
      <w:r w:rsidRPr="00763DFB">
        <w:rPr>
          <w:rFonts w:asciiTheme="minorHAnsi" w:hAnsiTheme="minorHAnsi" w:cstheme="minorHAnsi"/>
          <w:lang w:val="en-GB"/>
        </w:rPr>
        <w:t xml:space="preserve"> </w:t>
      </w:r>
    </w:p>
    <w:p w14:paraId="59E07533" w14:textId="77777777" w:rsidR="00B4638D" w:rsidRPr="00763DFB" w:rsidRDefault="00B4638D" w:rsidP="00B4638D">
      <w:pPr>
        <w:widowControl w:val="0"/>
        <w:numPr>
          <w:ilvl w:val="1"/>
          <w:numId w:val="28"/>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Pr>
          <w:rFonts w:asciiTheme="minorHAnsi" w:hAnsiTheme="minorHAnsi" w:cstheme="minorHAnsi"/>
          <w:lang w:val="en-GB"/>
        </w:rPr>
        <w:t xml:space="preserve">as there </w:t>
      </w:r>
      <w:r w:rsidRPr="00E20031">
        <w:rPr>
          <w:color w:val="000000" w:themeColor="text1"/>
        </w:rPr>
        <w:t>are currently no other drugs listed on the PBS for this population</w:t>
      </w:r>
      <w:r w:rsidRPr="00763DFB">
        <w:rPr>
          <w:rFonts w:asciiTheme="minorHAnsi" w:hAnsiTheme="minorHAnsi" w:cstheme="minorHAnsi"/>
          <w:lang w:val="en-GB"/>
        </w:rPr>
        <w:t>.</w:t>
      </w:r>
    </w:p>
    <w:p w14:paraId="12FD02BE" w14:textId="77777777" w:rsidR="00B4638D" w:rsidRPr="00C67FC2" w:rsidRDefault="00B4638D" w:rsidP="00B4638D">
      <w:pPr>
        <w:widowControl w:val="0"/>
        <w:numPr>
          <w:ilvl w:val="1"/>
          <w:numId w:val="28"/>
        </w:numPr>
        <w:spacing w:after="120"/>
        <w:rPr>
          <w:rFonts w:asciiTheme="minorHAnsi" w:hAnsiTheme="minorHAnsi"/>
          <w:bCs/>
          <w:snapToGrid w:val="0"/>
          <w:lang w:val="en-GB"/>
        </w:rPr>
      </w:pPr>
      <w:r w:rsidRPr="00763DFB">
        <w:rPr>
          <w:rFonts w:asciiTheme="minorHAnsi" w:hAnsiTheme="minorHAnsi" w:cstheme="minorHAnsi"/>
          <w:lang w:val="en-GB"/>
        </w:rPr>
        <w:t xml:space="preserve">It was not necessary to make a finding in relation to whether it would be in the public interest for the subsequent pricing application to be progressed under Pricing </w:t>
      </w:r>
      <w:r w:rsidRPr="00C67FC2">
        <w:rPr>
          <w:rFonts w:asciiTheme="minorHAnsi" w:hAnsiTheme="minorHAnsi" w:cstheme="minorHAnsi"/>
          <w:lang w:val="en-GB"/>
        </w:rPr>
        <w:t>Pathway A because one or more of the preceding tests had failed.</w:t>
      </w:r>
    </w:p>
    <w:p w14:paraId="670308B1" w14:textId="33A4960F" w:rsidR="00412A07" w:rsidRPr="001F5201" w:rsidRDefault="00B4638D" w:rsidP="00412A07">
      <w:pPr>
        <w:widowControl w:val="0"/>
        <w:numPr>
          <w:ilvl w:val="1"/>
          <w:numId w:val="1"/>
        </w:numPr>
        <w:contextualSpacing/>
        <w:rPr>
          <w:rFonts w:asciiTheme="minorHAnsi" w:hAnsiTheme="minorHAnsi"/>
          <w:bCs/>
          <w:snapToGrid w:val="0"/>
          <w:lang w:val="en-GB"/>
        </w:rPr>
      </w:pPr>
      <w:r w:rsidRPr="00C67FC2">
        <w:rPr>
          <w:snapToGrid w:val="0"/>
          <w:lang w:val="en-GB"/>
        </w:rPr>
        <w:t>The PBAC advised that this submission would not be eligible for an Independent Review as it received a positive recommendation.</w:t>
      </w:r>
    </w:p>
    <w:p w14:paraId="7A716A3B" w14:textId="77777777" w:rsidR="00412A07" w:rsidRPr="00C67FC2" w:rsidRDefault="00412A07" w:rsidP="00412A07">
      <w:pPr>
        <w:spacing w:before="240"/>
        <w:rPr>
          <w:rFonts w:asciiTheme="minorHAnsi" w:hAnsiTheme="minorHAnsi"/>
          <w:b/>
          <w:bCs/>
          <w:snapToGrid w:val="0"/>
          <w:lang w:val="en-GB"/>
        </w:rPr>
      </w:pPr>
      <w:r w:rsidRPr="00C67FC2">
        <w:rPr>
          <w:rFonts w:asciiTheme="minorHAnsi" w:hAnsiTheme="minorHAnsi"/>
          <w:b/>
          <w:bCs/>
          <w:snapToGrid w:val="0"/>
          <w:lang w:val="en-GB"/>
        </w:rPr>
        <w:t>Outcome:</w:t>
      </w:r>
    </w:p>
    <w:p w14:paraId="210AF978" w14:textId="15F0FC4A" w:rsidR="00412A07" w:rsidRPr="0080366B" w:rsidRDefault="00412A07" w:rsidP="0080366B">
      <w:pPr>
        <w:rPr>
          <w:rFonts w:asciiTheme="minorHAnsi" w:hAnsiTheme="minorHAnsi"/>
          <w:bCs/>
          <w:snapToGrid w:val="0"/>
          <w:lang w:val="en-GB"/>
        </w:rPr>
      </w:pPr>
      <w:r w:rsidRPr="00C67FC2">
        <w:rPr>
          <w:rFonts w:asciiTheme="minorHAnsi" w:hAnsiTheme="minorHAnsi"/>
          <w:bCs/>
          <w:snapToGrid w:val="0"/>
          <w:lang w:val="en-GB"/>
        </w:rPr>
        <w:t xml:space="preserve">Recommended </w:t>
      </w:r>
    </w:p>
    <w:bookmarkEnd w:id="82"/>
    <w:p w14:paraId="18D6D835" w14:textId="77777777" w:rsidR="00412A07" w:rsidRPr="00907671" w:rsidRDefault="00412A07" w:rsidP="00412A07">
      <w:pPr>
        <w:pStyle w:val="2-SectionHeading"/>
        <w:numPr>
          <w:ilvl w:val="0"/>
          <w:numId w:val="1"/>
        </w:numPr>
      </w:pPr>
      <w:r w:rsidRPr="00907671">
        <w:t>Recommended listing</w:t>
      </w:r>
    </w:p>
    <w:p w14:paraId="456F2FD9" w14:textId="14A11C52" w:rsidR="00412A07" w:rsidRDefault="00412A07" w:rsidP="007C24D1">
      <w:pPr>
        <w:pStyle w:val="3-BodyText"/>
        <w:rPr>
          <w:snapToGrid w:val="0"/>
        </w:rPr>
      </w:pPr>
      <w:r w:rsidRPr="00525B39">
        <w:rPr>
          <w:snapToGrid w:val="0"/>
        </w:rPr>
        <w:t>Add new item</w:t>
      </w:r>
      <w:r w:rsidR="00730496">
        <w:rPr>
          <w:snapToGrid w:val="0"/>
        </w:rPr>
        <w:t>:</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Pr>
      <w:tblGrid>
        <w:gridCol w:w="489"/>
        <w:gridCol w:w="780"/>
        <w:gridCol w:w="2634"/>
        <w:gridCol w:w="805"/>
        <w:gridCol w:w="806"/>
        <w:gridCol w:w="805"/>
        <w:gridCol w:w="806"/>
        <w:gridCol w:w="2433"/>
      </w:tblGrid>
      <w:tr w:rsidR="009619E1" w14:paraId="71441B13" w14:textId="77777777" w:rsidTr="00512304">
        <w:trPr>
          <w:cantSplit/>
          <w:trHeight w:val="20"/>
        </w:trPr>
        <w:tc>
          <w:tcPr>
            <w:tcW w:w="3903" w:type="dxa"/>
            <w:gridSpan w:val="3"/>
            <w:tcBorders>
              <w:top w:val="single" w:sz="4" w:space="0" w:color="auto"/>
              <w:left w:val="single" w:sz="4" w:space="0" w:color="auto"/>
              <w:bottom w:val="single" w:sz="4" w:space="0" w:color="auto"/>
              <w:right w:val="single" w:sz="4" w:space="0" w:color="auto"/>
            </w:tcBorders>
            <w:vAlign w:val="center"/>
            <w:hideMark/>
          </w:tcPr>
          <w:p w14:paraId="42987DB7" w14:textId="77777777" w:rsidR="009619E1" w:rsidRDefault="009619E1">
            <w:pPr>
              <w:pStyle w:val="2-SectionHeading"/>
              <w:numPr>
                <w:ilvl w:val="0"/>
                <w:numId w:val="0"/>
              </w:numPr>
              <w:spacing w:line="256" w:lineRule="auto"/>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MEDICINAL PRODUCT</w:t>
            </w:r>
            <w:r>
              <w:rPr>
                <w:rFonts w:ascii="Arial Narrow" w:hAnsi="Arial Narrow"/>
                <w:kern w:val="2"/>
                <w:sz w:val="20"/>
                <w:szCs w:val="20"/>
                <w:lang w:eastAsia="en-US"/>
                <w14:ligatures w14:val="standardContextual"/>
              </w:rPr>
              <w:br/>
              <w:t>medicinal product pack</w:t>
            </w:r>
          </w:p>
        </w:tc>
        <w:tc>
          <w:tcPr>
            <w:tcW w:w="805" w:type="dxa"/>
            <w:tcBorders>
              <w:top w:val="single" w:sz="4" w:space="0" w:color="auto"/>
              <w:left w:val="single" w:sz="4" w:space="0" w:color="auto"/>
              <w:bottom w:val="single" w:sz="4" w:space="0" w:color="auto"/>
              <w:right w:val="single" w:sz="4" w:space="0" w:color="auto"/>
            </w:tcBorders>
            <w:vAlign w:val="center"/>
            <w:hideMark/>
          </w:tcPr>
          <w:p w14:paraId="6F1BA979" w14:textId="77777777" w:rsidR="009619E1" w:rsidRDefault="009619E1">
            <w:pPr>
              <w:keepLines/>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PBS item code</w:t>
            </w:r>
          </w:p>
        </w:tc>
        <w:tc>
          <w:tcPr>
            <w:tcW w:w="806" w:type="dxa"/>
            <w:tcBorders>
              <w:top w:val="single" w:sz="4" w:space="0" w:color="auto"/>
              <w:left w:val="single" w:sz="4" w:space="0" w:color="auto"/>
              <w:bottom w:val="single" w:sz="4" w:space="0" w:color="auto"/>
              <w:right w:val="single" w:sz="4" w:space="0" w:color="auto"/>
            </w:tcBorders>
            <w:vAlign w:val="center"/>
            <w:hideMark/>
          </w:tcPr>
          <w:p w14:paraId="1341788D" w14:textId="77777777" w:rsidR="009619E1" w:rsidRDefault="009619E1">
            <w:pPr>
              <w:keepLines/>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Max. qty packs</w:t>
            </w:r>
          </w:p>
        </w:tc>
        <w:tc>
          <w:tcPr>
            <w:tcW w:w="805" w:type="dxa"/>
            <w:tcBorders>
              <w:top w:val="single" w:sz="4" w:space="0" w:color="auto"/>
              <w:left w:val="single" w:sz="4" w:space="0" w:color="auto"/>
              <w:bottom w:val="single" w:sz="4" w:space="0" w:color="auto"/>
              <w:right w:val="single" w:sz="4" w:space="0" w:color="auto"/>
            </w:tcBorders>
            <w:vAlign w:val="center"/>
            <w:hideMark/>
          </w:tcPr>
          <w:p w14:paraId="51BA7AC9" w14:textId="77777777" w:rsidR="009619E1" w:rsidRDefault="009619E1">
            <w:pPr>
              <w:keepLines/>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Max. qty units</w:t>
            </w:r>
          </w:p>
        </w:tc>
        <w:tc>
          <w:tcPr>
            <w:tcW w:w="806" w:type="dxa"/>
            <w:tcBorders>
              <w:top w:val="single" w:sz="4" w:space="0" w:color="auto"/>
              <w:left w:val="single" w:sz="4" w:space="0" w:color="auto"/>
              <w:bottom w:val="single" w:sz="4" w:space="0" w:color="auto"/>
              <w:right w:val="single" w:sz="4" w:space="0" w:color="auto"/>
            </w:tcBorders>
            <w:vAlign w:val="center"/>
            <w:hideMark/>
          </w:tcPr>
          <w:p w14:paraId="7A054862" w14:textId="77777777" w:rsidR="009619E1" w:rsidRDefault="009619E1">
            <w:pPr>
              <w:keepLines/>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№.of</w:t>
            </w:r>
          </w:p>
          <w:p w14:paraId="37B6CFDD" w14:textId="77777777" w:rsidR="009619E1" w:rsidRDefault="009619E1">
            <w:pPr>
              <w:keepLines/>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Rpts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B51194A" w14:textId="77777777" w:rsidR="009619E1" w:rsidRDefault="009619E1">
            <w:pPr>
              <w:keepLines/>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Available brands</w:t>
            </w:r>
          </w:p>
        </w:tc>
      </w:tr>
      <w:tr w:rsidR="009619E1" w14:paraId="22E1830B" w14:textId="77777777" w:rsidTr="00512304">
        <w:trPr>
          <w:cantSplit/>
          <w:trHeight w:val="20"/>
        </w:trPr>
        <w:tc>
          <w:tcPr>
            <w:tcW w:w="9558" w:type="dxa"/>
            <w:gridSpan w:val="8"/>
            <w:tcBorders>
              <w:top w:val="single" w:sz="4" w:space="0" w:color="auto"/>
              <w:left w:val="single" w:sz="4" w:space="0" w:color="auto"/>
              <w:bottom w:val="single" w:sz="4" w:space="0" w:color="auto"/>
              <w:right w:val="single" w:sz="4" w:space="0" w:color="auto"/>
            </w:tcBorders>
            <w:vAlign w:val="center"/>
            <w:hideMark/>
          </w:tcPr>
          <w:p w14:paraId="5CCF9705" w14:textId="77777777" w:rsidR="009619E1" w:rsidRDefault="009619E1">
            <w:pPr>
              <w:keepLines/>
              <w:spacing w:line="256" w:lineRule="auto"/>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AVACINCAPTAD PEGOL</w:t>
            </w:r>
          </w:p>
        </w:tc>
      </w:tr>
      <w:tr w:rsidR="009619E1" w14:paraId="5136083D" w14:textId="77777777" w:rsidTr="00512304">
        <w:trPr>
          <w:cantSplit/>
          <w:trHeight w:val="20"/>
        </w:trPr>
        <w:tc>
          <w:tcPr>
            <w:tcW w:w="3903" w:type="dxa"/>
            <w:gridSpan w:val="3"/>
            <w:tcBorders>
              <w:top w:val="single" w:sz="4" w:space="0" w:color="auto"/>
              <w:left w:val="single" w:sz="4" w:space="0" w:color="auto"/>
              <w:bottom w:val="single" w:sz="4" w:space="0" w:color="auto"/>
              <w:right w:val="single" w:sz="4" w:space="0" w:color="auto"/>
            </w:tcBorders>
            <w:vAlign w:val="center"/>
            <w:hideMark/>
          </w:tcPr>
          <w:p w14:paraId="406D09DF" w14:textId="77777777" w:rsidR="009619E1" w:rsidRDefault="009619E1">
            <w:pPr>
              <w:keepLines/>
              <w:spacing w:line="256" w:lineRule="auto"/>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 xml:space="preserve">avacincaptad pegol 8.68 mg (equivalent to oligonucleotide 2 mg)/0.1 mL intraocular injection, 0.1 mL vial </w:t>
            </w:r>
          </w:p>
        </w:tc>
        <w:tc>
          <w:tcPr>
            <w:tcW w:w="805" w:type="dxa"/>
            <w:tcBorders>
              <w:top w:val="single" w:sz="4" w:space="0" w:color="auto"/>
              <w:left w:val="single" w:sz="4" w:space="0" w:color="auto"/>
              <w:bottom w:val="single" w:sz="4" w:space="0" w:color="auto"/>
              <w:right w:val="single" w:sz="4" w:space="0" w:color="auto"/>
            </w:tcBorders>
            <w:vAlign w:val="center"/>
            <w:hideMark/>
          </w:tcPr>
          <w:p w14:paraId="322097CA" w14:textId="77777777" w:rsidR="009619E1" w:rsidRDefault="009619E1">
            <w:pPr>
              <w:keepLines/>
              <w:spacing w:line="256" w:lineRule="auto"/>
              <w:jc w:val="center"/>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NEW</w:t>
            </w:r>
          </w:p>
        </w:tc>
        <w:tc>
          <w:tcPr>
            <w:tcW w:w="806" w:type="dxa"/>
            <w:tcBorders>
              <w:top w:val="single" w:sz="4" w:space="0" w:color="auto"/>
              <w:left w:val="single" w:sz="4" w:space="0" w:color="auto"/>
              <w:bottom w:val="single" w:sz="4" w:space="0" w:color="auto"/>
              <w:right w:val="single" w:sz="4" w:space="0" w:color="auto"/>
            </w:tcBorders>
            <w:vAlign w:val="center"/>
            <w:hideMark/>
          </w:tcPr>
          <w:p w14:paraId="276BE9D0" w14:textId="77777777" w:rsidR="009619E1" w:rsidRDefault="009619E1">
            <w:pPr>
              <w:keepLines/>
              <w:spacing w:line="256" w:lineRule="auto"/>
              <w:jc w:val="center"/>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1F5AAB3" w14:textId="77777777" w:rsidR="009619E1" w:rsidRDefault="009619E1">
            <w:pPr>
              <w:keepLines/>
              <w:spacing w:line="256" w:lineRule="auto"/>
              <w:jc w:val="center"/>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78A28292" w14:textId="77777777" w:rsidR="009619E1" w:rsidRDefault="009619E1">
            <w:pPr>
              <w:keepLines/>
              <w:spacing w:line="256" w:lineRule="auto"/>
              <w:jc w:val="center"/>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5</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D780A76" w14:textId="77777777" w:rsidR="009619E1" w:rsidRDefault="009619E1">
            <w:pPr>
              <w:keepLines/>
              <w:spacing w:line="256" w:lineRule="auto"/>
              <w:rPr>
                <w:rFonts w:ascii="Arial Narrow" w:hAnsi="Arial Narrow"/>
                <w:kern w:val="2"/>
                <w:sz w:val="20"/>
                <w:szCs w:val="20"/>
                <w:lang w:eastAsia="en-US"/>
                <w14:ligatures w14:val="standardContextual"/>
              </w:rPr>
            </w:pPr>
            <w:proofErr w:type="spellStart"/>
            <w:r>
              <w:rPr>
                <w:rFonts w:ascii="Arial Narrow" w:hAnsi="Arial Narrow"/>
                <w:kern w:val="2"/>
                <w:sz w:val="20"/>
                <w:szCs w:val="20"/>
                <w:lang w:eastAsia="en-US"/>
                <w14:ligatures w14:val="standardContextual"/>
              </w:rPr>
              <w:t>Izervay</w:t>
            </w:r>
            <w:proofErr w:type="spellEnd"/>
          </w:p>
        </w:tc>
      </w:tr>
      <w:tr w:rsidR="009619E1" w14:paraId="56687048" w14:textId="77777777" w:rsidTr="00512304">
        <w:trPr>
          <w:trHeight w:val="20"/>
        </w:trPr>
        <w:tc>
          <w:tcPr>
            <w:tcW w:w="9558"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E6EEEB" w14:textId="77777777" w:rsidR="009619E1" w:rsidRDefault="009619E1">
            <w:pPr>
              <w:spacing w:line="256" w:lineRule="auto"/>
              <w:rPr>
                <w:rFonts w:ascii="Arial Narrow" w:hAnsi="Arial Narrow"/>
                <w:kern w:val="2"/>
                <w:sz w:val="20"/>
                <w:szCs w:val="20"/>
                <w:lang w:eastAsia="en-US"/>
                <w14:ligatures w14:val="standardContextual"/>
              </w:rPr>
            </w:pPr>
          </w:p>
        </w:tc>
      </w:tr>
      <w:tr w:rsidR="009619E1" w14:paraId="78D901BA" w14:textId="77777777" w:rsidTr="00512304">
        <w:trPr>
          <w:trHeight w:val="20"/>
        </w:trPr>
        <w:tc>
          <w:tcPr>
            <w:tcW w:w="9558"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A85BDC" w14:textId="77777777" w:rsidR="009619E1" w:rsidRDefault="009619E1">
            <w:pPr>
              <w:keepLines/>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Restriction Summary [new1]</w:t>
            </w:r>
            <w:r>
              <w:rPr>
                <w:rFonts w:ascii="Arial Narrow" w:hAnsi="Arial Narrow"/>
                <w:b/>
                <w:color w:val="FF0000"/>
                <w:kern w:val="2"/>
                <w:sz w:val="20"/>
                <w:szCs w:val="20"/>
                <w:lang w:eastAsia="en-US"/>
                <w14:ligatures w14:val="standardContextual"/>
              </w:rPr>
              <w:t xml:space="preserve"> </w:t>
            </w:r>
            <w:r>
              <w:rPr>
                <w:rFonts w:ascii="Arial Narrow" w:hAnsi="Arial Narrow"/>
                <w:b/>
                <w:kern w:val="2"/>
                <w:sz w:val="20"/>
                <w:szCs w:val="20"/>
                <w:lang w:eastAsia="en-US"/>
                <w14:ligatures w14:val="standardContextual"/>
              </w:rPr>
              <w:t xml:space="preserve">/ Treatment of Concept: [new1A] </w:t>
            </w:r>
          </w:p>
        </w:tc>
      </w:tr>
      <w:tr w:rsidR="009619E1" w14:paraId="23B7275A" w14:textId="77777777" w:rsidTr="00512304">
        <w:trPr>
          <w:trHeight w:val="20"/>
        </w:trPr>
        <w:tc>
          <w:tcPr>
            <w:tcW w:w="1269"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82431AF" w14:textId="77777777" w:rsidR="009619E1" w:rsidRDefault="009619E1">
            <w:pPr>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Concept ID </w:t>
            </w:r>
            <w:r>
              <w:rPr>
                <w:rFonts w:ascii="Arial Narrow" w:hAnsi="Arial Narrow"/>
                <w:kern w:val="2"/>
                <w:sz w:val="20"/>
                <w:szCs w:val="20"/>
                <w:lang w:eastAsia="en-US"/>
                <w14:ligatures w14:val="standardContextual"/>
              </w:rPr>
              <w:t>(for internal Dept. use)</w:t>
            </w: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92DCD1" w14:textId="77777777" w:rsidR="009619E1" w:rsidRDefault="009619E1">
            <w:pPr>
              <w:keepLines/>
              <w:spacing w:line="256" w:lineRule="auto"/>
              <w:rPr>
                <w:rFonts w:ascii="Arial Narrow" w:hAnsi="Arial Narrow"/>
                <w:kern w:val="2"/>
                <w:sz w:val="20"/>
                <w:szCs w:val="20"/>
                <w:lang w:eastAsia="en-US"/>
                <w14:ligatures w14:val="standardContextual"/>
              </w:rPr>
            </w:pPr>
            <w:r>
              <w:rPr>
                <w:rFonts w:ascii="Arial Narrow" w:hAnsi="Arial Narrow"/>
                <w:b/>
                <w:kern w:val="2"/>
                <w:sz w:val="20"/>
                <w:szCs w:val="20"/>
                <w:lang w:eastAsia="en-US"/>
                <w14:ligatures w14:val="standardContextual"/>
              </w:rPr>
              <w:t>Category / Program:</w:t>
            </w:r>
            <w:r>
              <w:rPr>
                <w:rFonts w:ascii="Arial Narrow" w:hAnsi="Arial Narrow"/>
                <w:color w:val="FF0000"/>
                <w:kern w:val="2"/>
                <w:sz w:val="20"/>
                <w:szCs w:val="20"/>
                <w:lang w:eastAsia="en-US"/>
                <w14:ligatures w14:val="standardContextual"/>
              </w:rPr>
              <w:t xml:space="preserve"> </w:t>
            </w:r>
          </w:p>
          <w:p w14:paraId="202E1A64" w14:textId="6DF1F5FE" w:rsidR="009619E1" w:rsidRDefault="009619E1">
            <w:pPr>
              <w:keepLines/>
              <w:spacing w:line="256" w:lineRule="auto"/>
              <w:rPr>
                <w:rFonts w:ascii="Arial Narrow" w:hAnsi="Arial Narrow"/>
                <w:kern w:val="2"/>
                <w:sz w:val="20"/>
                <w:szCs w:val="20"/>
                <w:lang w:eastAsia="en-US"/>
                <w14:ligatures w14:val="standardContextual"/>
              </w:rPr>
            </w:pPr>
            <w:r>
              <w:rPr>
                <w:rFonts w:ascii="Arial Narrow" w:eastAsia="Calibri" w:hAnsi="Arial Narrow"/>
                <w:kern w:val="2"/>
                <w:sz w:val="20"/>
                <w:szCs w:val="20"/>
                <w:lang w:eastAsia="en-US"/>
                <w14:ligatures w14:val="standardContextual"/>
              </w:rPr>
              <w:fldChar w:fldCharType="begin">
                <w:ffData>
                  <w:name w:val="Check1"/>
                  <w:enabled/>
                  <w:calcOnExit w:val="0"/>
                  <w:checkBox>
                    <w:sizeAuto/>
                    <w:default w:val="1"/>
                  </w:checkBox>
                </w:ffData>
              </w:fldChar>
            </w:r>
            <w:r>
              <w:rPr>
                <w:rFonts w:ascii="Arial Narrow" w:eastAsia="Calibri" w:hAnsi="Arial Narrow"/>
                <w:kern w:val="2"/>
                <w:sz w:val="20"/>
                <w:szCs w:val="20"/>
                <w:lang w:eastAsia="en-US"/>
                <w14:ligatures w14:val="standardContextual"/>
              </w:rPr>
              <w:instrText xml:space="preserve"> FORMCHECKBOX </w:instrText>
            </w:r>
            <w:r>
              <w:rPr>
                <w:rFonts w:ascii="Arial Narrow" w:eastAsia="Calibri" w:hAnsi="Arial Narrow"/>
                <w:kern w:val="2"/>
                <w:sz w:val="20"/>
                <w:szCs w:val="20"/>
                <w:lang w:eastAsia="en-US"/>
                <w14:ligatures w14:val="standardContextual"/>
              </w:rPr>
            </w:r>
            <w:r>
              <w:rPr>
                <w:rFonts w:ascii="Arial Narrow" w:eastAsia="Calibri" w:hAnsi="Arial Narrow"/>
                <w:kern w:val="2"/>
                <w:sz w:val="20"/>
                <w:szCs w:val="20"/>
                <w:lang w:eastAsia="en-US"/>
                <w14:ligatures w14:val="standardContextual"/>
              </w:rPr>
              <w:fldChar w:fldCharType="separate"/>
            </w:r>
            <w:r>
              <w:rPr>
                <w:rFonts w:ascii="Arial Narrow" w:eastAsia="Calibri" w:hAnsi="Arial Narrow"/>
                <w:kern w:val="2"/>
                <w:sz w:val="20"/>
                <w:szCs w:val="20"/>
                <w:lang w:eastAsia="en-US"/>
                <w14:ligatures w14:val="standardContextual"/>
              </w:rPr>
              <w:fldChar w:fldCharType="end"/>
            </w:r>
            <w:r>
              <w:rPr>
                <w:rFonts w:ascii="Arial Narrow" w:eastAsia="Calibri" w:hAnsi="Arial Narrow"/>
                <w:kern w:val="2"/>
                <w:sz w:val="20"/>
                <w:szCs w:val="20"/>
                <w:lang w:eastAsia="en-US"/>
                <w14:ligatures w14:val="standardContextual"/>
              </w:rPr>
              <w:t xml:space="preserve"> GENERAL </w:t>
            </w:r>
            <w:r w:rsidR="009B60A6">
              <w:rPr>
                <w:rFonts w:ascii="Arial Narrow" w:eastAsia="Calibri" w:hAnsi="Arial Narrow"/>
                <w:kern w:val="2"/>
                <w:sz w:val="20"/>
                <w:szCs w:val="20"/>
                <w:lang w:eastAsia="en-US"/>
                <w14:ligatures w14:val="standardContextual"/>
              </w:rPr>
              <w:noBreakHyphen/>
            </w:r>
            <w:r>
              <w:rPr>
                <w:rFonts w:ascii="Arial Narrow" w:eastAsia="Calibri" w:hAnsi="Arial Narrow"/>
                <w:kern w:val="2"/>
                <w:sz w:val="20"/>
                <w:szCs w:val="20"/>
                <w:lang w:eastAsia="en-US"/>
                <w14:ligatures w14:val="standardContextual"/>
              </w:rPr>
              <w:t xml:space="preserve"> General Schedule (Code GE) </w:t>
            </w:r>
          </w:p>
        </w:tc>
      </w:tr>
      <w:tr w:rsidR="009619E1" w14:paraId="52AF0B2F" w14:textId="77777777" w:rsidTr="6C858C6C">
        <w:trPr>
          <w:trHeight w:val="20"/>
        </w:trPr>
        <w:tc>
          <w:tcPr>
            <w:tcW w:w="1269" w:type="dxa"/>
            <w:gridSpan w:val="2"/>
            <w:vMerge/>
            <w:vAlign w:val="center"/>
            <w:hideMark/>
          </w:tcPr>
          <w:p w14:paraId="446D63F0" w14:textId="77777777" w:rsidR="009619E1" w:rsidRDefault="009619E1">
            <w:pPr>
              <w:spacing w:line="256" w:lineRule="auto"/>
              <w:jc w:val="left"/>
              <w:rPr>
                <w:rFonts w:ascii="Arial Narrow" w:hAnsi="Arial Narrow"/>
                <w:b/>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9FC987" w14:textId="77777777" w:rsidR="009619E1" w:rsidRDefault="009619E1">
            <w:pPr>
              <w:keepLines/>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Prescriber type: </w:t>
            </w:r>
          </w:p>
          <w:p w14:paraId="140303A2" w14:textId="77777777" w:rsidR="009619E1" w:rsidRDefault="009619E1">
            <w:pPr>
              <w:keepLines/>
              <w:spacing w:line="256" w:lineRule="auto"/>
              <w:rPr>
                <w:rFonts w:ascii="Arial Narrow" w:hAnsi="Arial Narrow"/>
                <w:b/>
                <w:kern w:val="2"/>
                <w:sz w:val="20"/>
                <w:szCs w:val="20"/>
                <w:lang w:eastAsia="en-US"/>
                <w14:ligatures w14:val="standardContextual"/>
              </w:rPr>
            </w:pPr>
            <w:r>
              <w:rPr>
                <w:rFonts w:ascii="Arial Narrow" w:hAnsi="Arial Narrow"/>
                <w:kern w:val="2"/>
                <w:sz w:val="20"/>
                <w:szCs w:val="20"/>
                <w:lang w:eastAsia="en-US"/>
                <w14:ligatures w14:val="standardContextual"/>
              </w:rPr>
              <w:fldChar w:fldCharType="begin">
                <w:ffData>
                  <w:name w:val=""/>
                  <w:enabled/>
                  <w:calcOnExit w:val="0"/>
                  <w:checkBox>
                    <w:sizeAuto/>
                    <w:default w:val="1"/>
                  </w:checkBox>
                </w:ffData>
              </w:fldChar>
            </w:r>
            <w:r>
              <w:rPr>
                <w:rFonts w:ascii="Arial Narrow" w:hAnsi="Arial Narrow"/>
                <w:kern w:val="2"/>
                <w:sz w:val="20"/>
                <w:szCs w:val="20"/>
                <w:lang w:eastAsia="en-US"/>
                <w14:ligatures w14:val="standardContextual"/>
              </w:rPr>
              <w:instrText xml:space="preserve"> FORMCHECKBOX </w:instrText>
            </w:r>
            <w:r>
              <w:rPr>
                <w:rFonts w:ascii="Arial Narrow" w:hAnsi="Arial Narrow"/>
                <w:kern w:val="2"/>
                <w:sz w:val="20"/>
                <w:szCs w:val="20"/>
                <w:lang w:eastAsia="en-US"/>
                <w14:ligatures w14:val="standardContextual"/>
              </w:rPr>
            </w:r>
            <w:r>
              <w:rPr>
                <w:rFonts w:ascii="Arial Narrow" w:hAnsi="Arial Narrow"/>
                <w:kern w:val="2"/>
                <w:sz w:val="20"/>
                <w:szCs w:val="20"/>
                <w:lang w:eastAsia="en-US"/>
                <w14:ligatures w14:val="standardContextual"/>
              </w:rPr>
              <w:fldChar w:fldCharType="separate"/>
            </w:r>
            <w:r>
              <w:rPr>
                <w:rFonts w:ascii="Arial Narrow" w:hAnsi="Arial Narrow"/>
                <w:kern w:val="2"/>
                <w:sz w:val="20"/>
                <w:szCs w:val="20"/>
                <w:lang w:eastAsia="en-US"/>
                <w14:ligatures w14:val="standardContextual"/>
              </w:rPr>
              <w:fldChar w:fldCharType="end"/>
            </w:r>
            <w:r>
              <w:rPr>
                <w:rFonts w:ascii="Arial Narrow" w:hAnsi="Arial Narrow"/>
                <w:kern w:val="2"/>
                <w:sz w:val="20"/>
                <w:szCs w:val="20"/>
                <w:lang w:eastAsia="en-US"/>
                <w14:ligatures w14:val="standardContextual"/>
              </w:rPr>
              <w:t xml:space="preserve">Medical Practitioners </w:t>
            </w:r>
          </w:p>
        </w:tc>
      </w:tr>
      <w:tr w:rsidR="009619E1" w14:paraId="26354405" w14:textId="77777777" w:rsidTr="6C858C6C">
        <w:trPr>
          <w:trHeight w:val="20"/>
        </w:trPr>
        <w:tc>
          <w:tcPr>
            <w:tcW w:w="1269" w:type="dxa"/>
            <w:gridSpan w:val="2"/>
            <w:vMerge/>
            <w:vAlign w:val="center"/>
            <w:hideMark/>
          </w:tcPr>
          <w:p w14:paraId="204CDFCB" w14:textId="77777777" w:rsidR="009619E1" w:rsidRDefault="009619E1">
            <w:pPr>
              <w:spacing w:line="256" w:lineRule="auto"/>
              <w:jc w:val="left"/>
              <w:rPr>
                <w:rFonts w:ascii="Arial Narrow" w:hAnsi="Arial Narrow"/>
                <w:b/>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3240CB" w14:textId="77777777" w:rsidR="009619E1" w:rsidRDefault="009619E1">
            <w:pPr>
              <w:keepLines/>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Restriction type: </w:t>
            </w:r>
          </w:p>
          <w:p w14:paraId="62EC819D" w14:textId="77777777" w:rsidR="009619E1" w:rsidRDefault="009619E1">
            <w:pPr>
              <w:keepLines/>
              <w:spacing w:line="256" w:lineRule="auto"/>
              <w:rPr>
                <w:rFonts w:ascii="Arial Narrow" w:eastAsia="Calibri" w:hAnsi="Arial Narrow"/>
                <w:color w:val="FF0000"/>
                <w:kern w:val="2"/>
                <w:sz w:val="20"/>
                <w:szCs w:val="20"/>
                <w:lang w:eastAsia="en-US"/>
                <w14:ligatures w14:val="standardContextual"/>
              </w:rPr>
            </w:pPr>
            <w:r>
              <w:rPr>
                <w:rFonts w:ascii="Arial Narrow" w:eastAsia="Calibri" w:hAnsi="Arial Narrow"/>
                <w:kern w:val="2"/>
                <w:sz w:val="20"/>
                <w:szCs w:val="20"/>
                <w:lang w:eastAsia="en-US"/>
                <w14:ligatures w14:val="standardContextual"/>
              </w:rPr>
              <w:fldChar w:fldCharType="begin">
                <w:ffData>
                  <w:name w:val=""/>
                  <w:enabled/>
                  <w:calcOnExit w:val="0"/>
                  <w:checkBox>
                    <w:sizeAuto/>
                    <w:default w:val="1"/>
                  </w:checkBox>
                </w:ffData>
              </w:fldChar>
            </w:r>
            <w:r>
              <w:rPr>
                <w:rFonts w:ascii="Arial Narrow" w:eastAsia="Calibri" w:hAnsi="Arial Narrow"/>
                <w:kern w:val="2"/>
                <w:sz w:val="20"/>
                <w:szCs w:val="20"/>
                <w:lang w:eastAsia="en-US"/>
                <w14:ligatures w14:val="standardContextual"/>
              </w:rPr>
              <w:instrText xml:space="preserve"> FORMCHECKBOX </w:instrText>
            </w:r>
            <w:r>
              <w:rPr>
                <w:rFonts w:ascii="Arial Narrow" w:eastAsia="Calibri" w:hAnsi="Arial Narrow"/>
                <w:kern w:val="2"/>
                <w:sz w:val="20"/>
                <w:szCs w:val="20"/>
                <w:lang w:eastAsia="en-US"/>
                <w14:ligatures w14:val="standardContextual"/>
              </w:rPr>
            </w:r>
            <w:r>
              <w:rPr>
                <w:rFonts w:ascii="Arial Narrow" w:eastAsia="Calibri" w:hAnsi="Arial Narrow"/>
                <w:kern w:val="2"/>
                <w:sz w:val="20"/>
                <w:szCs w:val="20"/>
                <w:lang w:eastAsia="en-US"/>
                <w14:ligatures w14:val="standardContextual"/>
              </w:rPr>
              <w:fldChar w:fldCharType="separate"/>
            </w:r>
            <w:r>
              <w:rPr>
                <w:rFonts w:ascii="Arial Narrow" w:eastAsia="Calibri" w:hAnsi="Arial Narrow"/>
                <w:kern w:val="2"/>
                <w:sz w:val="20"/>
                <w:szCs w:val="20"/>
                <w:lang w:eastAsia="en-US"/>
                <w14:ligatures w14:val="standardContextual"/>
              </w:rPr>
              <w:fldChar w:fldCharType="end"/>
            </w:r>
            <w:r>
              <w:rPr>
                <w:rFonts w:ascii="Arial Narrow" w:eastAsia="Calibri" w:hAnsi="Arial Narrow"/>
                <w:kern w:val="2"/>
                <w:sz w:val="20"/>
                <w:szCs w:val="20"/>
                <w:lang w:eastAsia="en-US"/>
                <w14:ligatures w14:val="standardContextual"/>
              </w:rPr>
              <w:t>Authority Required (FULL assessment) in writing only via OPA/post/HPOS upload</w:t>
            </w:r>
            <w:r>
              <w:rPr>
                <w:rFonts w:ascii="Arial Narrow" w:eastAsia="Calibri" w:hAnsi="Arial Narrow"/>
                <w:color w:val="FF0000"/>
                <w:kern w:val="2"/>
                <w:sz w:val="20"/>
                <w:szCs w:val="20"/>
                <w:lang w:eastAsia="en-US"/>
                <w14:ligatures w14:val="standardContextual"/>
              </w:rPr>
              <w:t xml:space="preserve"> </w:t>
            </w:r>
          </w:p>
        </w:tc>
      </w:tr>
      <w:tr w:rsidR="009619E1" w14:paraId="0935EED6" w14:textId="77777777" w:rsidTr="00512304">
        <w:trPr>
          <w:trHeight w:val="20"/>
        </w:trPr>
        <w:tc>
          <w:tcPr>
            <w:tcW w:w="489"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647F4171" w14:textId="77777777" w:rsidR="009619E1" w:rsidRDefault="009619E1">
            <w:pPr>
              <w:spacing w:line="256" w:lineRule="auto"/>
              <w:jc w:val="center"/>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Prescribing rule level</w:t>
            </w:r>
          </w:p>
        </w:tc>
        <w:tc>
          <w:tcPr>
            <w:tcW w:w="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FE6CCA" w14:textId="71E26C8E"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A0219A" w14:textId="77777777"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b/>
                <w:bCs/>
                <w:kern w:val="2"/>
                <w:sz w:val="20"/>
                <w:szCs w:val="20"/>
                <w:lang w:eastAsia="en-US"/>
                <w14:ligatures w14:val="standardContextual"/>
              </w:rPr>
              <w:t xml:space="preserve">Administrative Advice: </w:t>
            </w:r>
            <w:r>
              <w:rPr>
                <w:rFonts w:ascii="Arial Narrow" w:hAnsi="Arial Narrow"/>
                <w:bCs/>
                <w:kern w:val="2"/>
                <w:sz w:val="20"/>
                <w:szCs w:val="20"/>
                <w:lang w:eastAsia="en-US"/>
                <w14:ligatures w14:val="standardContextual"/>
              </w:rPr>
              <w:t>No increase in the maximum quantity or number of units may be authorised.</w:t>
            </w:r>
          </w:p>
        </w:tc>
      </w:tr>
      <w:tr w:rsidR="009619E1" w14:paraId="4AF938BF" w14:textId="77777777" w:rsidTr="6C858C6C">
        <w:trPr>
          <w:trHeight w:val="20"/>
        </w:trPr>
        <w:tc>
          <w:tcPr>
            <w:tcW w:w="489" w:type="dxa"/>
            <w:vMerge/>
            <w:vAlign w:val="center"/>
            <w:hideMark/>
          </w:tcPr>
          <w:p w14:paraId="7518372B" w14:textId="77777777" w:rsidR="009619E1" w:rsidRDefault="009619E1">
            <w:pPr>
              <w:spacing w:line="256" w:lineRule="auto"/>
              <w:jc w:val="left"/>
              <w:rPr>
                <w:rFonts w:ascii="Arial Narrow" w:hAnsi="Arial Narrow"/>
                <w:kern w:val="2"/>
                <w:sz w:val="20"/>
                <w:szCs w:val="20"/>
                <w:lang w:eastAsia="en-US"/>
                <w14:ligatures w14:val="standardContextual"/>
              </w:rPr>
            </w:pPr>
          </w:p>
        </w:tc>
        <w:tc>
          <w:tcPr>
            <w:tcW w:w="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096C00" w14:textId="166B7A5A"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810DC0" w14:textId="77777777" w:rsidR="009619E1" w:rsidRDefault="009619E1">
            <w:pPr>
              <w:spacing w:line="256" w:lineRule="auto"/>
              <w:rPr>
                <w:rFonts w:ascii="Arial Narrow" w:hAnsi="Arial Narrow"/>
                <w:b/>
                <w:bCs/>
                <w:color w:val="333333"/>
                <w:kern w:val="2"/>
                <w:sz w:val="20"/>
                <w:szCs w:val="20"/>
                <w:lang w:eastAsia="en-US"/>
                <w14:ligatures w14:val="standardContextual"/>
              </w:rPr>
            </w:pPr>
            <w:r>
              <w:rPr>
                <w:rFonts w:ascii="Arial Narrow" w:hAnsi="Arial Narrow"/>
                <w:b/>
                <w:bCs/>
                <w:kern w:val="2"/>
                <w:sz w:val="20"/>
                <w:szCs w:val="20"/>
                <w:lang w:eastAsia="en-US"/>
                <w14:ligatures w14:val="standardContextual"/>
              </w:rPr>
              <w:t xml:space="preserve">Administrative Advice: </w:t>
            </w:r>
            <w:r>
              <w:rPr>
                <w:rFonts w:ascii="Arial Narrow" w:hAnsi="Arial Narrow"/>
                <w:bCs/>
                <w:kern w:val="2"/>
                <w:sz w:val="20"/>
                <w:szCs w:val="20"/>
                <w:lang w:eastAsia="en-US"/>
                <w14:ligatures w14:val="standardContextual"/>
              </w:rPr>
              <w:t>No increase in the maximum number of repeats may be authorised.</w:t>
            </w:r>
          </w:p>
        </w:tc>
      </w:tr>
      <w:tr w:rsidR="009619E1" w14:paraId="3F1EC990" w14:textId="77777777" w:rsidTr="6C858C6C">
        <w:trPr>
          <w:trHeight w:val="20"/>
        </w:trPr>
        <w:tc>
          <w:tcPr>
            <w:tcW w:w="489" w:type="dxa"/>
            <w:vMerge/>
            <w:vAlign w:val="center"/>
            <w:hideMark/>
          </w:tcPr>
          <w:p w14:paraId="5602C17D" w14:textId="77777777" w:rsidR="009619E1" w:rsidRDefault="009619E1">
            <w:pPr>
              <w:spacing w:line="256" w:lineRule="auto"/>
              <w:jc w:val="left"/>
              <w:rPr>
                <w:rFonts w:ascii="Arial Narrow" w:hAnsi="Arial Narrow"/>
                <w:kern w:val="2"/>
                <w:sz w:val="20"/>
                <w:szCs w:val="20"/>
                <w:lang w:eastAsia="en-US"/>
                <w14:ligatures w14:val="standardContextual"/>
              </w:rPr>
            </w:pPr>
          </w:p>
        </w:tc>
        <w:tc>
          <w:tcPr>
            <w:tcW w:w="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C5CAE7" w14:textId="34417E6D" w:rsidR="009619E1" w:rsidRDefault="009619E1">
            <w:pPr>
              <w:spacing w:line="256" w:lineRule="auto"/>
              <w:jc w:val="center"/>
              <w:rPr>
                <w:rFonts w:ascii="Arial Narrow" w:hAnsi="Arial Narrow"/>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05C860" w14:textId="77777777" w:rsidR="009619E1" w:rsidRDefault="009619E1">
            <w:pPr>
              <w:spacing w:line="256" w:lineRule="auto"/>
              <w:rPr>
                <w:rFonts w:ascii="Arial Narrow" w:hAnsi="Arial Narrow"/>
                <w:kern w:val="2"/>
                <w:sz w:val="20"/>
                <w:szCs w:val="20"/>
                <w:lang w:eastAsia="en-US"/>
                <w14:ligatures w14:val="standardContextual"/>
              </w:rPr>
            </w:pPr>
            <w:r>
              <w:rPr>
                <w:rFonts w:ascii="Arial Narrow" w:hAnsi="Arial Narrow"/>
                <w:b/>
                <w:bCs/>
                <w:kern w:val="2"/>
                <w:sz w:val="20"/>
                <w:szCs w:val="20"/>
                <w:lang w:eastAsia="en-US"/>
                <w14:ligatures w14:val="standardContextual"/>
              </w:rPr>
              <w:t>Administrative Advice:</w:t>
            </w:r>
          </w:p>
          <w:p w14:paraId="2DE4D727" w14:textId="77777777" w:rsidR="009619E1" w:rsidRDefault="009619E1">
            <w:pPr>
              <w:spacing w:after="100" w:afterAutospacing="1" w:line="256" w:lineRule="auto"/>
              <w:rPr>
                <w:rFonts w:ascii="Arial Narrow" w:hAnsi="Arial Narrow"/>
                <w:b/>
                <w:bCs/>
                <w:kern w:val="2"/>
                <w:sz w:val="20"/>
                <w:szCs w:val="20"/>
                <w:lang w:eastAsia="en-US"/>
                <w14:ligatures w14:val="standardContextual"/>
              </w:rPr>
            </w:pPr>
            <w:r>
              <w:rPr>
                <w:rFonts w:ascii="Arial Narrow" w:hAnsi="Arial Narrow"/>
                <w:kern w:val="2"/>
                <w:sz w:val="20"/>
                <w:szCs w:val="20"/>
                <w:lang w:eastAsia="en-US"/>
                <w14:ligatures w14:val="standardContextual"/>
              </w:rPr>
              <w:t xml:space="preserve">Special Pricing Arrangements apply. </w:t>
            </w:r>
          </w:p>
        </w:tc>
      </w:tr>
      <w:tr w:rsidR="009619E1" w14:paraId="1AE06351" w14:textId="77777777" w:rsidTr="00512304">
        <w:trPr>
          <w:cantSplit/>
          <w:trHeight w:val="20"/>
        </w:trPr>
        <w:tc>
          <w:tcPr>
            <w:tcW w:w="1269"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275D5A" w14:textId="77777777" w:rsidR="009619E1" w:rsidRDefault="009619E1">
            <w:pPr>
              <w:keepLines/>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34F679" w14:textId="77777777" w:rsidR="009619E1" w:rsidRDefault="009619E1">
            <w:pPr>
              <w:keepLines/>
              <w:spacing w:line="256" w:lineRule="auto"/>
              <w:rPr>
                <w:rFonts w:ascii="Arial Narrow" w:hAnsi="Arial Narrow"/>
                <w:bCs/>
                <w:color w:val="BFBFBF"/>
                <w:kern w:val="2"/>
                <w:sz w:val="20"/>
                <w:szCs w:val="20"/>
                <w:lang w:eastAsia="en-US"/>
                <w14:ligatures w14:val="standardContextual"/>
              </w:rPr>
            </w:pPr>
            <w:r>
              <w:rPr>
                <w:rFonts w:ascii="Arial Narrow" w:hAnsi="Arial Narrow"/>
                <w:b/>
                <w:bCs/>
                <w:color w:val="BFBFBF"/>
                <w:kern w:val="2"/>
                <w:sz w:val="20"/>
                <w:szCs w:val="20"/>
                <w:lang w:eastAsia="en-US"/>
                <w14:ligatures w14:val="standardContextual"/>
              </w:rPr>
              <w:t>Episodicity:</w:t>
            </w:r>
          </w:p>
        </w:tc>
      </w:tr>
      <w:tr w:rsidR="009619E1" w14:paraId="58B62656" w14:textId="77777777" w:rsidTr="6C858C6C">
        <w:trPr>
          <w:cantSplit/>
          <w:trHeight w:val="20"/>
        </w:trPr>
        <w:tc>
          <w:tcPr>
            <w:tcW w:w="1269" w:type="dxa"/>
            <w:gridSpan w:val="2"/>
            <w:vMerge/>
            <w:vAlign w:val="center"/>
            <w:hideMark/>
          </w:tcPr>
          <w:p w14:paraId="2D4EC85C"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693229" w14:textId="77777777" w:rsidR="009619E1" w:rsidRDefault="009619E1">
            <w:pPr>
              <w:keepLines/>
              <w:spacing w:line="256" w:lineRule="auto"/>
              <w:rPr>
                <w:rFonts w:ascii="Arial Narrow" w:hAnsi="Arial Narrow"/>
                <w:b/>
                <w:bCs/>
                <w:color w:val="BFBFBF"/>
                <w:kern w:val="2"/>
                <w:sz w:val="20"/>
                <w:szCs w:val="20"/>
                <w:lang w:eastAsia="en-US"/>
                <w14:ligatures w14:val="standardContextual"/>
              </w:rPr>
            </w:pPr>
            <w:r>
              <w:rPr>
                <w:rFonts w:ascii="Arial Narrow" w:hAnsi="Arial Narrow"/>
                <w:b/>
                <w:bCs/>
                <w:color w:val="BFBFBF"/>
                <w:kern w:val="2"/>
                <w:sz w:val="20"/>
                <w:szCs w:val="20"/>
                <w:lang w:eastAsia="en-US"/>
                <w14:ligatures w14:val="standardContextual"/>
              </w:rPr>
              <w:t xml:space="preserve">Severity: </w:t>
            </w:r>
          </w:p>
        </w:tc>
      </w:tr>
      <w:tr w:rsidR="009619E1" w14:paraId="5AF8E0C8" w14:textId="77777777" w:rsidTr="6C858C6C">
        <w:trPr>
          <w:cantSplit/>
          <w:trHeight w:val="20"/>
        </w:trPr>
        <w:tc>
          <w:tcPr>
            <w:tcW w:w="1269" w:type="dxa"/>
            <w:gridSpan w:val="2"/>
            <w:vMerge/>
            <w:vAlign w:val="center"/>
            <w:hideMark/>
          </w:tcPr>
          <w:p w14:paraId="5EE98A1B"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6417FB" w14:textId="77777777" w:rsidR="009619E1" w:rsidRDefault="009619E1">
            <w:pPr>
              <w:keepLines/>
              <w:spacing w:line="256" w:lineRule="auto"/>
              <w:rPr>
                <w:rFonts w:ascii="Arial Narrow" w:hAnsi="Arial Narrow"/>
                <w:b/>
                <w:bCs/>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Condition:</w:t>
            </w:r>
            <w:r>
              <w:rPr>
                <w:rFonts w:ascii="Arial Narrow" w:eastAsia="Calibri" w:hAnsi="Arial Narrow" w:cs="Calibri"/>
                <w:kern w:val="2"/>
                <w:sz w:val="20"/>
                <w:szCs w:val="20"/>
                <w:lang w:eastAsia="en-US"/>
                <w14:ligatures w14:val="standardContextual"/>
              </w:rPr>
              <w:t xml:space="preserve"> </w:t>
            </w:r>
            <w:r>
              <w:rPr>
                <w:rFonts w:ascii="Arial Narrow" w:hAnsi="Arial Narrow"/>
                <w:color w:val="333333"/>
                <w:kern w:val="2"/>
                <w:sz w:val="20"/>
                <w:szCs w:val="20"/>
                <w:lang w:eastAsia="en-US"/>
                <w14:ligatures w14:val="standardContextual"/>
              </w:rPr>
              <w:t xml:space="preserve">Geographic Atrophy (GA) </w:t>
            </w:r>
          </w:p>
        </w:tc>
      </w:tr>
      <w:tr w:rsidR="009619E1" w14:paraId="6DC9BDA9"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D44861" w14:textId="4F9BEA1F" w:rsidR="009619E1" w:rsidRDefault="009619E1">
            <w:pPr>
              <w:keepLines/>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E95E0C" w14:textId="77777777" w:rsidR="009619E1" w:rsidRDefault="009619E1">
            <w:pPr>
              <w:keepLines/>
              <w:spacing w:line="256" w:lineRule="auto"/>
              <w:rPr>
                <w:rFonts w:ascii="Arial Narrow" w:hAnsi="Arial Narrow"/>
                <w:color w:val="000000"/>
                <w:kern w:val="2"/>
                <w:sz w:val="20"/>
                <w:szCs w:val="20"/>
                <w:lang w:eastAsia="en-US"/>
                <w14:ligatures w14:val="standardContextual"/>
              </w:rPr>
            </w:pPr>
            <w:r>
              <w:rPr>
                <w:rFonts w:ascii="Arial Narrow" w:hAnsi="Arial Narrow"/>
                <w:b/>
                <w:bCs/>
                <w:color w:val="000000"/>
                <w:kern w:val="2"/>
                <w:sz w:val="20"/>
                <w:szCs w:val="20"/>
                <w:lang w:eastAsia="en-US"/>
                <w14:ligatures w14:val="standardContextual"/>
              </w:rPr>
              <w:t>Indication:</w:t>
            </w:r>
            <w:r>
              <w:rPr>
                <w:rFonts w:ascii="Arial Narrow" w:hAnsi="Arial Narrow"/>
                <w:color w:val="000000"/>
                <w:kern w:val="2"/>
                <w:sz w:val="20"/>
                <w:szCs w:val="20"/>
                <w:lang w:eastAsia="en-US"/>
                <w14:ligatures w14:val="standardContextual"/>
              </w:rPr>
              <w:t xml:space="preserve"> Geographic Atrophy (GA) </w:t>
            </w:r>
          </w:p>
        </w:tc>
      </w:tr>
      <w:tr w:rsidR="009619E1" w14:paraId="54DA4955"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7DEB49" w14:textId="77777777" w:rsidR="009619E1" w:rsidRDefault="009619E1">
            <w:pPr>
              <w:rPr>
                <w:rFonts w:ascii="Arial Narrow" w:hAnsi="Arial Narrow"/>
                <w:color w:val="000000"/>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B84921" w14:textId="77777777" w:rsidR="009619E1" w:rsidRDefault="009619E1">
            <w:pPr>
              <w:spacing w:line="256" w:lineRule="auto"/>
              <w:rPr>
                <w:rFonts w:ascii="Arial Narrow" w:hAnsi="Arial Narrow"/>
                <w:color w:val="000000"/>
                <w:kern w:val="2"/>
                <w:sz w:val="20"/>
                <w:szCs w:val="20"/>
                <w:lang w:eastAsia="en-US"/>
                <w14:ligatures w14:val="standardContextual"/>
              </w:rPr>
            </w:pPr>
            <w:r>
              <w:rPr>
                <w:rFonts w:ascii="Arial Narrow" w:hAnsi="Arial Narrow"/>
                <w:b/>
                <w:bCs/>
                <w:color w:val="000000"/>
                <w:kern w:val="2"/>
                <w:sz w:val="20"/>
                <w:szCs w:val="20"/>
                <w:lang w:eastAsia="en-US"/>
                <w14:ligatures w14:val="standardContextual"/>
              </w:rPr>
              <w:t>Treatment Phase:</w:t>
            </w:r>
            <w:r>
              <w:rPr>
                <w:rFonts w:ascii="Arial Narrow" w:hAnsi="Arial Narrow"/>
                <w:color w:val="000000"/>
                <w:kern w:val="2"/>
                <w:sz w:val="20"/>
                <w:szCs w:val="20"/>
                <w:lang w:eastAsia="en-US"/>
                <w14:ligatures w14:val="standardContextual"/>
              </w:rPr>
              <w:t xml:space="preserve"> Initial treatment </w:t>
            </w:r>
          </w:p>
        </w:tc>
      </w:tr>
      <w:tr w:rsidR="009619E1" w14:paraId="52831B77"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3C339E" w14:textId="77777777" w:rsidR="009619E1" w:rsidRDefault="009619E1">
            <w:pPr>
              <w:spacing w:line="256" w:lineRule="auto"/>
              <w:jc w:val="center"/>
              <w:rPr>
                <w:rFonts w:ascii="Arial Narrow" w:hAnsi="Arial Narrow"/>
                <w:i/>
                <w:iCs/>
                <w:color w:val="FF0000"/>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952A44" w14:textId="77777777" w:rsidR="009619E1" w:rsidRDefault="009619E1">
            <w:pPr>
              <w:spacing w:line="256" w:lineRule="auto"/>
              <w:rPr>
                <w:rFonts w:ascii="Arial Narrow" w:hAnsi="Arial Narrow"/>
                <w:b/>
                <w:bCs/>
                <w:kern w:val="2"/>
                <w:sz w:val="20"/>
                <w:szCs w:val="20"/>
                <w:lang w:eastAsia="en-US"/>
                <w14:ligatures w14:val="standardContextual"/>
              </w:rPr>
            </w:pPr>
            <w:r>
              <w:rPr>
                <w:rFonts w:ascii="Arial Narrow" w:hAnsi="Arial Narrow"/>
                <w:b/>
                <w:bCs/>
                <w:kern w:val="2"/>
                <w:sz w:val="20"/>
                <w:szCs w:val="20"/>
                <w:lang w:eastAsia="en-US"/>
                <w14:ligatures w14:val="standardContextual"/>
              </w:rPr>
              <w:t>Clinical criteria:</w:t>
            </w:r>
          </w:p>
        </w:tc>
      </w:tr>
      <w:tr w:rsidR="009619E1" w14:paraId="3291E9B8"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C176E2" w14:textId="77777777" w:rsidR="009619E1" w:rsidRDefault="009619E1">
            <w:pPr>
              <w:spacing w:line="256" w:lineRule="auto"/>
              <w:jc w:val="center"/>
              <w:rPr>
                <w:rFonts w:ascii="Arial Narrow" w:hAnsi="Arial Narrow"/>
                <w:i/>
                <w:iCs/>
                <w:color w:val="FF0000"/>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A6217" w14:textId="4EB2E06A" w:rsidR="009619E1" w:rsidRDefault="009619E1">
            <w:pPr>
              <w:spacing w:line="256" w:lineRule="auto"/>
              <w:rPr>
                <w:rFonts w:ascii="Arial Narrow" w:hAnsi="Arial Narrow"/>
                <w:b/>
                <w:bCs/>
                <w:kern w:val="2"/>
                <w:sz w:val="20"/>
                <w:szCs w:val="20"/>
                <w:lang w:eastAsia="en-US"/>
                <w14:ligatures w14:val="standardContextual"/>
              </w:rPr>
            </w:pPr>
            <w:r>
              <w:rPr>
                <w:rFonts w:ascii="Arial Narrow" w:hAnsi="Arial Narrow" w:cstheme="minorHAnsi"/>
                <w:kern w:val="2"/>
                <w:sz w:val="20"/>
                <w:szCs w:val="20"/>
                <w:lang w:eastAsia="en-US"/>
                <w14:ligatures w14:val="standardContextual"/>
              </w:rPr>
              <w:t>The condition must be secondary to age</w:t>
            </w:r>
            <w:r w:rsidR="009B60A6">
              <w:rPr>
                <w:rFonts w:ascii="Arial Narrow" w:hAnsi="Arial Narrow" w:cstheme="minorHAnsi"/>
                <w:kern w:val="2"/>
                <w:sz w:val="20"/>
                <w:szCs w:val="20"/>
                <w:lang w:eastAsia="en-US"/>
                <w14:ligatures w14:val="standardContextual"/>
              </w:rPr>
              <w:noBreakHyphen/>
            </w:r>
            <w:r>
              <w:rPr>
                <w:rFonts w:ascii="Arial Narrow" w:hAnsi="Arial Narrow" w:cstheme="minorHAnsi"/>
                <w:kern w:val="2"/>
                <w:sz w:val="20"/>
                <w:szCs w:val="20"/>
                <w:lang w:eastAsia="en-US"/>
                <w14:ligatures w14:val="standardContextual"/>
              </w:rPr>
              <w:t>related macular degeneration (AMD)</w:t>
            </w:r>
          </w:p>
        </w:tc>
      </w:tr>
      <w:tr w:rsidR="009619E1" w14:paraId="7D16841A"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BFF7C2"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90A4FE" w14:textId="77777777" w:rsidR="009619E1" w:rsidRDefault="009619E1">
            <w:pPr>
              <w:spacing w:line="256" w:lineRule="auto"/>
              <w:rPr>
                <w:rFonts w:ascii="Arial Narrow" w:hAnsi="Arial Narrow" w:cstheme="minorHAnsi"/>
                <w:b/>
                <w:bCs/>
                <w:kern w:val="2"/>
                <w:sz w:val="20"/>
                <w:szCs w:val="20"/>
                <w:lang w:eastAsia="en-US"/>
                <w14:ligatures w14:val="standardContextual"/>
              </w:rPr>
            </w:pPr>
            <w:r>
              <w:rPr>
                <w:rFonts w:ascii="Arial Narrow" w:hAnsi="Arial Narrow" w:cstheme="minorHAnsi"/>
                <w:b/>
                <w:bCs/>
                <w:kern w:val="2"/>
                <w:sz w:val="20"/>
                <w:szCs w:val="20"/>
                <w:lang w:eastAsia="en-US"/>
                <w14:ligatures w14:val="standardContextual"/>
              </w:rPr>
              <w:t>AND</w:t>
            </w:r>
          </w:p>
        </w:tc>
      </w:tr>
      <w:tr w:rsidR="009619E1" w14:paraId="2FEA2A21"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D6E5DC" w14:textId="2B718EE4"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3D120C" w14:textId="77777777"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9619E1" w14:paraId="4E4BA42C"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5F10AD" w14:textId="3E837C52"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0F8AC5" w14:textId="77777777"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color w:val="333333"/>
                <w:kern w:val="2"/>
                <w:sz w:val="20"/>
                <w:szCs w:val="20"/>
                <w:lang w:eastAsia="en-US"/>
                <w14:ligatures w14:val="standardContextual"/>
              </w:rPr>
              <w:t xml:space="preserve">The condition must be diagnosed by optical coherence tomography; </w:t>
            </w:r>
          </w:p>
        </w:tc>
      </w:tr>
      <w:tr w:rsidR="009619E1" w14:paraId="4C0FCA9B"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E60885"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E1BCAC" w14:textId="77777777" w:rsidR="009619E1" w:rsidRDefault="009619E1">
            <w:pPr>
              <w:spacing w:line="256" w:lineRule="auto"/>
              <w:rPr>
                <w:rFonts w:ascii="Arial Narrow" w:hAnsi="Arial Narrow"/>
                <w:b/>
                <w:bCs/>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OR</w:t>
            </w:r>
          </w:p>
        </w:tc>
      </w:tr>
      <w:tr w:rsidR="009619E1" w14:paraId="26D42E46"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DC7807" w14:textId="5545382B"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F5553F" w14:textId="77777777"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color w:val="333333"/>
                <w:kern w:val="2"/>
                <w:sz w:val="20"/>
                <w:szCs w:val="20"/>
                <w:lang w:eastAsia="en-US"/>
                <w14:ligatures w14:val="standardContextual"/>
              </w:rPr>
              <w:t>The condition must be diagnosed by fundus autofluorescence</w:t>
            </w:r>
          </w:p>
        </w:tc>
      </w:tr>
      <w:tr w:rsidR="009619E1" w14:paraId="0CEC0D21"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000BD9"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D34432"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AND</w:t>
            </w:r>
          </w:p>
        </w:tc>
      </w:tr>
      <w:tr w:rsidR="009619E1" w14:paraId="2275F2AA"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C07218" w14:textId="5B88B66A"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E5EB05"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9619E1" w14:paraId="775D46A8"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EB210D" w14:textId="26CAF6D2"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5FB987" w14:textId="3391C501" w:rsidR="009619E1" w:rsidRDefault="009619E1">
            <w:pPr>
              <w:spacing w:line="256" w:lineRule="auto"/>
              <w:jc w:val="left"/>
              <w:rPr>
                <w:rFonts w:ascii="Arial Narrow" w:eastAsiaTheme="minorHAnsi" w:hAnsi="Arial Narrow" w:cstheme="minorHAnsi"/>
                <w:color w:val="FF0000"/>
                <w:kern w:val="2"/>
                <w:sz w:val="20"/>
                <w:szCs w:val="20"/>
                <w:lang w:eastAsia="en-US"/>
                <w14:ligatures w14:val="standardContextual"/>
              </w:rPr>
            </w:pPr>
            <w:r>
              <w:rPr>
                <w:rFonts w:ascii="Arial Narrow" w:hAnsi="Arial Narrow" w:cstheme="minorHAnsi"/>
                <w:kern w:val="2"/>
                <w:sz w:val="20"/>
                <w:szCs w:val="20"/>
                <w:lang w:eastAsia="en-US"/>
                <w14:ligatures w14:val="standardContextual"/>
              </w:rPr>
              <w:t>The patient must have non</w:t>
            </w:r>
            <w:r w:rsidR="009B60A6">
              <w:rPr>
                <w:rFonts w:ascii="Arial Narrow" w:hAnsi="Arial Narrow" w:cstheme="minorHAnsi"/>
                <w:kern w:val="2"/>
                <w:sz w:val="20"/>
                <w:szCs w:val="20"/>
                <w:lang w:eastAsia="en-US"/>
                <w14:ligatures w14:val="standardContextual"/>
              </w:rPr>
              <w:noBreakHyphen/>
            </w:r>
            <w:r>
              <w:rPr>
                <w:rFonts w:ascii="Arial Narrow" w:hAnsi="Arial Narrow" w:cstheme="minorHAnsi"/>
                <w:kern w:val="2"/>
                <w:sz w:val="20"/>
                <w:szCs w:val="20"/>
                <w:lang w:eastAsia="en-US"/>
                <w14:ligatures w14:val="standardContextual"/>
              </w:rPr>
              <w:t>subfoveal</w:t>
            </w:r>
            <w:r>
              <w:rPr>
                <w:rFonts w:ascii="Arial Narrow" w:hAnsi="Arial Narrow"/>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geographic atrophy (GA) lesion(s)</w:t>
            </w:r>
            <w:r w:rsidR="00612F9D" w:rsidRPr="00612F9D">
              <w:rPr>
                <w:rFonts w:ascii="Arial Narrow" w:hAnsi="Arial Narrow" w:cstheme="minorHAnsi"/>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in the</w:t>
            </w:r>
            <w:r w:rsidR="004321DB">
              <w:rPr>
                <w:rFonts w:ascii="Arial Narrow" w:hAnsi="Arial Narrow" w:cstheme="minorHAnsi"/>
                <w:kern w:val="2"/>
                <w:sz w:val="20"/>
                <w:szCs w:val="20"/>
                <w:lang w:eastAsia="en-US"/>
                <w14:ligatures w14:val="standardContextual"/>
              </w:rPr>
              <w:t xml:space="preserve"> </w:t>
            </w:r>
            <w:r w:rsidR="004321DB" w:rsidRPr="00791983">
              <w:rPr>
                <w:rFonts w:ascii="Arial Narrow" w:hAnsi="Arial Narrow" w:cstheme="minorHAnsi"/>
                <w:color w:val="000000" w:themeColor="text1"/>
                <w:kern w:val="2"/>
                <w:sz w:val="20"/>
                <w:szCs w:val="20"/>
                <w:lang w:eastAsia="en-US"/>
                <w14:ligatures w14:val="standardContextual"/>
              </w:rPr>
              <w:t>eye intending to be</w:t>
            </w:r>
            <w:r w:rsidRPr="00791983">
              <w:rPr>
                <w:rFonts w:ascii="Arial Narrow" w:hAnsi="Arial Narrow" w:cstheme="minorHAnsi"/>
                <w:color w:val="000000" w:themeColor="text1"/>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treated</w:t>
            </w:r>
            <w:r>
              <w:rPr>
                <w:rFonts w:ascii="Arial Narrow" w:hAnsi="Arial Narrow" w:cstheme="minorHAnsi"/>
                <w:strike/>
                <w:kern w:val="2"/>
                <w:sz w:val="20"/>
                <w:szCs w:val="20"/>
                <w:lang w:eastAsia="en-US"/>
                <w14:ligatures w14:val="standardContextual"/>
              </w:rPr>
              <w:t xml:space="preserve"> </w:t>
            </w:r>
          </w:p>
        </w:tc>
      </w:tr>
      <w:tr w:rsidR="009619E1" w14:paraId="7C2FA42A"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6C9A55"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69A018"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AND</w:t>
            </w:r>
          </w:p>
        </w:tc>
      </w:tr>
      <w:tr w:rsidR="009619E1" w14:paraId="511523B2"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B9CB61"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BC2646" w14:textId="77777777" w:rsidR="009619E1" w:rsidRDefault="009619E1">
            <w:pPr>
              <w:spacing w:line="256" w:lineRule="auto"/>
              <w:jc w:val="left"/>
              <w:rPr>
                <w:rFonts w:ascii="Arial Narrow" w:hAnsi="Arial Narrow"/>
                <w:b/>
                <w:bCs/>
                <w:kern w:val="2"/>
                <w:sz w:val="20"/>
                <w:szCs w:val="20"/>
                <w:lang w:eastAsia="en-US"/>
                <w14:ligatures w14:val="standardContextual"/>
              </w:rPr>
            </w:pPr>
            <w:r>
              <w:rPr>
                <w:rFonts w:ascii="Arial Narrow" w:hAnsi="Arial Narrow"/>
                <w:b/>
                <w:bCs/>
                <w:kern w:val="2"/>
                <w:sz w:val="20"/>
                <w:szCs w:val="20"/>
                <w:lang w:eastAsia="en-US"/>
                <w14:ligatures w14:val="standardContextual"/>
              </w:rPr>
              <w:t>Clinical criteria:</w:t>
            </w:r>
          </w:p>
        </w:tc>
      </w:tr>
      <w:tr w:rsidR="009619E1" w14:paraId="1F5149B1"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073C75"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A71159" w14:textId="70FAA8DB" w:rsidR="009619E1" w:rsidRDefault="009619E1">
            <w:pPr>
              <w:spacing w:line="256" w:lineRule="auto"/>
              <w:jc w:val="left"/>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Patient must have subfoveal GA lesion(s) involving the foveal centre point in the non</w:t>
            </w:r>
            <w:r w:rsidR="009B60A6">
              <w:rPr>
                <w:rFonts w:ascii="Arial Narrow" w:hAnsi="Arial Narrow"/>
                <w:kern w:val="2"/>
                <w:sz w:val="20"/>
                <w:szCs w:val="20"/>
                <w:lang w:eastAsia="en-US"/>
                <w14:ligatures w14:val="standardContextual"/>
              </w:rPr>
              <w:noBreakHyphen/>
            </w:r>
            <w:r>
              <w:rPr>
                <w:rFonts w:ascii="Arial Narrow" w:hAnsi="Arial Narrow"/>
                <w:kern w:val="2"/>
                <w:sz w:val="20"/>
                <w:szCs w:val="20"/>
                <w:lang w:eastAsia="en-US"/>
                <w14:ligatures w14:val="standardContextual"/>
              </w:rPr>
              <w:t>treated eye causing vision impairment (i.e. the fovea is no longer intact)</w:t>
            </w:r>
          </w:p>
        </w:tc>
      </w:tr>
      <w:tr w:rsidR="009619E1" w14:paraId="0550F8BF"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84D449"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D0A4D9" w14:textId="77777777" w:rsidR="009619E1" w:rsidRDefault="009619E1">
            <w:pPr>
              <w:spacing w:line="256" w:lineRule="auto"/>
              <w:jc w:val="left"/>
              <w:rPr>
                <w:rFonts w:ascii="Arial Narrow" w:hAnsi="Arial Narrow"/>
                <w:b/>
                <w:bCs/>
                <w:color w:val="000000" w:themeColor="text1"/>
                <w:kern w:val="2"/>
                <w:sz w:val="20"/>
                <w:szCs w:val="20"/>
                <w:lang w:eastAsia="en-US"/>
                <w14:ligatures w14:val="standardContextual"/>
              </w:rPr>
            </w:pPr>
            <w:r>
              <w:rPr>
                <w:rFonts w:ascii="Arial Narrow" w:hAnsi="Arial Narrow"/>
                <w:b/>
                <w:bCs/>
                <w:color w:val="000000" w:themeColor="text1"/>
                <w:kern w:val="2"/>
                <w:sz w:val="20"/>
                <w:szCs w:val="20"/>
                <w:lang w:eastAsia="en-US"/>
                <w14:ligatures w14:val="standardContextual"/>
              </w:rPr>
              <w:t>AND</w:t>
            </w:r>
          </w:p>
        </w:tc>
      </w:tr>
      <w:tr w:rsidR="009619E1" w14:paraId="4D41B962"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6357AF" w14:textId="536BA8DC"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279311"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9619E1" w14:paraId="0AD347A2"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71C602" w14:textId="6439E034"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C619A9" w14:textId="3307180C" w:rsidR="009619E1" w:rsidRDefault="009619E1">
            <w:pPr>
              <w:spacing w:line="256" w:lineRule="auto"/>
              <w:jc w:val="left"/>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 xml:space="preserve">Patient must have central vision in the eye </w:t>
            </w:r>
            <w:r w:rsidR="00CE5D2F" w:rsidRPr="000357DC">
              <w:rPr>
                <w:rFonts w:ascii="Arial Narrow" w:hAnsi="Arial Narrow"/>
                <w:color w:val="000000" w:themeColor="text1"/>
                <w:kern w:val="2"/>
                <w:sz w:val="20"/>
                <w:szCs w:val="20"/>
                <w:lang w:eastAsia="en-US"/>
                <w14:ligatures w14:val="standardContextual"/>
              </w:rPr>
              <w:t>intend</w:t>
            </w:r>
            <w:r w:rsidR="00CA6FDB" w:rsidRPr="000357DC">
              <w:rPr>
                <w:rFonts w:ascii="Arial Narrow" w:hAnsi="Arial Narrow"/>
                <w:color w:val="000000" w:themeColor="text1"/>
                <w:kern w:val="2"/>
                <w:sz w:val="20"/>
                <w:szCs w:val="20"/>
                <w:lang w:eastAsia="en-US"/>
                <w14:ligatures w14:val="standardContextual"/>
              </w:rPr>
              <w:t>ing</w:t>
            </w:r>
            <w:r w:rsidR="00CE5D2F" w:rsidRPr="000357DC">
              <w:rPr>
                <w:rFonts w:ascii="Arial Narrow" w:hAnsi="Arial Narrow"/>
                <w:color w:val="000000" w:themeColor="text1"/>
                <w:kern w:val="2"/>
                <w:sz w:val="20"/>
                <w:szCs w:val="20"/>
                <w:lang w:eastAsia="en-US"/>
                <w14:ligatures w14:val="standardContextual"/>
              </w:rPr>
              <w:t xml:space="preserve"> to be treated</w:t>
            </w:r>
            <w:r w:rsidR="00CE5D2F" w:rsidRPr="000357DC">
              <w:rPr>
                <w:rFonts w:ascii="Arial Narrow" w:hAnsi="Arial Narrow"/>
                <w:i/>
                <w:iCs/>
                <w:color w:val="000000" w:themeColor="text1"/>
                <w:kern w:val="2"/>
                <w:sz w:val="20"/>
                <w:szCs w:val="20"/>
                <w:lang w:eastAsia="en-US"/>
                <w14:ligatures w14:val="standardContextual"/>
              </w:rPr>
              <w:t xml:space="preserve"> </w:t>
            </w:r>
            <w:r>
              <w:rPr>
                <w:rFonts w:ascii="Arial Narrow" w:hAnsi="Arial Narrow"/>
                <w:kern w:val="2"/>
                <w:sz w:val="20"/>
                <w:szCs w:val="20"/>
                <w:lang w:eastAsia="en-US"/>
                <w14:ligatures w14:val="standardContextual"/>
              </w:rPr>
              <w:t xml:space="preserve">threatened by growth of GA lesion(s), </w:t>
            </w:r>
            <w:r w:rsidRPr="00512304">
              <w:rPr>
                <w:rFonts w:ascii="Arial Narrow" w:hAnsi="Arial Narrow"/>
                <w:kern w:val="2"/>
                <w:sz w:val="20"/>
                <w:szCs w:val="20"/>
                <w:lang w:eastAsia="en-US"/>
                <w14:ligatures w14:val="standardContextual"/>
              </w:rPr>
              <w:t>either due to proximity to the foveal centre or where historical imaging shows lesion progression towards the foveal centre and is located within the macula</w:t>
            </w:r>
          </w:p>
        </w:tc>
      </w:tr>
      <w:tr w:rsidR="009619E1" w14:paraId="6CF6F55E"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6FC028"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2BA21C"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AND</w:t>
            </w:r>
          </w:p>
        </w:tc>
      </w:tr>
      <w:tr w:rsidR="009619E1" w14:paraId="374A2B19"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301840" w14:textId="1B5B1464"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F27E4"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9619E1" w14:paraId="649FA592"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642CAF" w14:textId="102A1094"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2FDCF" w14:textId="6293E09F"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color w:val="333333"/>
                <w:kern w:val="2"/>
                <w:sz w:val="20"/>
                <w:szCs w:val="20"/>
                <w:lang w:eastAsia="en-US"/>
                <w14:ligatures w14:val="standardContextual"/>
              </w:rPr>
              <w:t>The treatment must be the sole PBS</w:t>
            </w:r>
            <w:r w:rsidR="009B60A6">
              <w:rPr>
                <w:rFonts w:ascii="Arial Narrow" w:hAnsi="Arial Narrow"/>
                <w:color w:val="333333"/>
                <w:kern w:val="2"/>
                <w:sz w:val="20"/>
                <w:szCs w:val="20"/>
                <w:lang w:eastAsia="en-US"/>
                <w14:ligatures w14:val="standardContextual"/>
              </w:rPr>
              <w:noBreakHyphen/>
            </w:r>
            <w:r>
              <w:rPr>
                <w:rFonts w:ascii="Arial Narrow" w:hAnsi="Arial Narrow"/>
                <w:color w:val="333333"/>
                <w:kern w:val="2"/>
                <w:sz w:val="20"/>
                <w:szCs w:val="20"/>
                <w:lang w:eastAsia="en-US"/>
                <w14:ligatures w14:val="standardContextual"/>
              </w:rPr>
              <w:t>subsidised therapy for this condition.</w:t>
            </w:r>
          </w:p>
        </w:tc>
      </w:tr>
      <w:tr w:rsidR="009619E1" w14:paraId="055D24E4"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723E82" w14:textId="38CAC5D9" w:rsidR="009619E1" w:rsidRDefault="009619E1">
            <w:pPr>
              <w:keepNext/>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D4F237" w14:textId="77777777" w:rsidR="009619E1" w:rsidRDefault="009619E1">
            <w:pPr>
              <w:keepNext/>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Treatment criteria:</w:t>
            </w:r>
          </w:p>
        </w:tc>
      </w:tr>
      <w:tr w:rsidR="009619E1" w14:paraId="68495D7C"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5CEA82" w14:textId="5614E5A1"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9D7975" w14:textId="77777777" w:rsidR="009619E1" w:rsidRDefault="009619E1">
            <w:pPr>
              <w:autoSpaceDE w:val="0"/>
              <w:autoSpaceDN w:val="0"/>
              <w:adjustRightInd w:val="0"/>
              <w:spacing w:line="256" w:lineRule="auto"/>
              <w:jc w:val="left"/>
              <w:rPr>
                <w:rFonts w:ascii="Arial Narrow" w:hAnsi="Arial Narrow" w:cs="Arial Narrow"/>
                <w:kern w:val="2"/>
                <w:sz w:val="20"/>
                <w:szCs w:val="20"/>
                <w:lang w:eastAsia="en-US"/>
                <w14:ligatures w14:val="standardContextual"/>
              </w:rPr>
            </w:pPr>
            <w:r>
              <w:rPr>
                <w:rFonts w:ascii="Arial Narrow" w:hAnsi="Arial Narrow" w:cs="Arial Narrow"/>
                <w:color w:val="000000"/>
                <w:kern w:val="2"/>
                <w:sz w:val="20"/>
                <w:szCs w:val="20"/>
                <w:lang w:eastAsia="en-US"/>
                <w14:ligatures w14:val="standardContextual"/>
              </w:rPr>
              <w:t>Must be treated by an ophthalmologist or by an accredited ophthalmology registrar in consultation with an ophthalmologist.</w:t>
            </w:r>
          </w:p>
        </w:tc>
      </w:tr>
      <w:tr w:rsidR="009619E1" w14:paraId="2BF7DFCE"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945209" w14:textId="7ABA3C7C"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1C0401" w14:textId="77777777" w:rsidR="009619E1" w:rsidRDefault="009619E1">
            <w:pPr>
              <w:spacing w:line="256" w:lineRule="auto"/>
              <w:jc w:val="left"/>
              <w:rPr>
                <w:rFonts w:ascii="Arial Narrow" w:hAnsi="Arial Narrow"/>
                <w:bCs/>
                <w:color w:val="FF0000"/>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 xml:space="preserve">Prescribing Instructions: </w:t>
            </w:r>
          </w:p>
          <w:p w14:paraId="57D260F2" w14:textId="77777777" w:rsidR="009619E1" w:rsidRDefault="009619E1">
            <w:pPr>
              <w:keepLines/>
              <w:suppressLineNumbers/>
              <w:spacing w:line="256" w:lineRule="auto"/>
              <w:jc w:val="left"/>
              <w:textboxTightWrap w:val="allLines"/>
              <w:rPr>
                <w:rFonts w:ascii="Arial Narrow" w:hAnsi="Arial Narrow"/>
                <w:strike/>
                <w:kern w:val="2"/>
                <w:sz w:val="20"/>
                <w:szCs w:val="20"/>
                <w:lang w:eastAsia="en-GB"/>
                <w14:ligatures w14:val="standardContextual"/>
              </w:rPr>
            </w:pPr>
            <w:r>
              <w:rPr>
                <w:rFonts w:ascii="Arial Narrow" w:hAnsi="Arial Narrow"/>
                <w:kern w:val="2"/>
                <w:sz w:val="20"/>
                <w:szCs w:val="20"/>
                <w:lang w:eastAsia="en-GB"/>
                <w14:ligatures w14:val="standardContextual"/>
              </w:rPr>
              <w:t>The authority application must be made via the Online PBS Authorities System (see www.servicesaustralia.gov.au/hpos) or in writing via HPOS form upload or mail and must include:</w:t>
            </w:r>
          </w:p>
          <w:p w14:paraId="3CDE01CD" w14:textId="77777777" w:rsidR="009619E1" w:rsidRDefault="009619E1">
            <w:pPr>
              <w:keepLines/>
              <w:suppressLineNumbers/>
              <w:spacing w:line="256" w:lineRule="auto"/>
              <w:jc w:val="left"/>
              <w:textboxTightWrap w:val="allLines"/>
              <w:rPr>
                <w:rFonts w:ascii="Arial Narrow" w:hAnsi="Arial Narrow"/>
                <w:kern w:val="2"/>
                <w:sz w:val="20"/>
                <w:szCs w:val="20"/>
                <w:lang w:eastAsia="en-GB"/>
                <w14:ligatures w14:val="standardContextual"/>
              </w:rPr>
            </w:pPr>
            <w:r>
              <w:rPr>
                <w:rFonts w:ascii="Arial Narrow" w:hAnsi="Arial Narrow"/>
                <w:kern w:val="2"/>
                <w:sz w:val="20"/>
                <w:szCs w:val="20"/>
                <w:lang w:eastAsia="en-GB"/>
                <w14:ligatures w14:val="standardContextual"/>
              </w:rPr>
              <w:t>(1) Details (date, unique identifying number/code or provider number) of the optical coherence tomography or fundus autofluorescence report.</w:t>
            </w:r>
          </w:p>
        </w:tc>
      </w:tr>
      <w:tr w:rsidR="009619E1" w14:paraId="78430728"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519C81" w14:textId="55AF4992"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DE351" w14:textId="77777777" w:rsidR="009619E1" w:rsidRDefault="009619E1">
            <w:pPr>
              <w:keepLines/>
              <w:suppressLineNumbers/>
              <w:spacing w:line="256" w:lineRule="auto"/>
              <w:jc w:val="left"/>
              <w:textboxTightWrap w:val="allLines"/>
              <w:rPr>
                <w:rFonts w:ascii="Arial Narrow" w:hAnsi="Arial Narrow"/>
                <w:kern w:val="2"/>
                <w:sz w:val="20"/>
                <w:szCs w:val="20"/>
                <w:lang w:eastAsia="en-GB"/>
                <w14:ligatures w14:val="standardContextual"/>
              </w:rPr>
            </w:pPr>
            <w:r>
              <w:rPr>
                <w:rFonts w:ascii="Arial Narrow" w:hAnsi="Arial Narrow"/>
                <w:kern w:val="2"/>
                <w:sz w:val="20"/>
                <w:szCs w:val="20"/>
                <w:lang w:eastAsia="en-GB"/>
                <w14:ligatures w14:val="standardContextual"/>
              </w:rPr>
              <w:t>If the application is submitted through HPOS form upload or mail, it must include:</w:t>
            </w:r>
          </w:p>
          <w:p w14:paraId="39368E31" w14:textId="77777777" w:rsidR="009619E1" w:rsidRDefault="009619E1">
            <w:pPr>
              <w:keepLines/>
              <w:suppressLineNumbers/>
              <w:spacing w:line="256" w:lineRule="auto"/>
              <w:jc w:val="left"/>
              <w:textboxTightWrap w:val="allLines"/>
              <w:rPr>
                <w:rFonts w:ascii="Arial Narrow" w:hAnsi="Arial Narrow"/>
                <w:kern w:val="2"/>
                <w:sz w:val="20"/>
                <w:szCs w:val="20"/>
                <w:lang w:eastAsia="en-GB"/>
                <w14:ligatures w14:val="standardContextual"/>
              </w:rPr>
            </w:pPr>
            <w:r>
              <w:rPr>
                <w:rFonts w:ascii="Arial Narrow" w:hAnsi="Arial Narrow"/>
                <w:kern w:val="2"/>
                <w:sz w:val="20"/>
                <w:szCs w:val="20"/>
                <w:lang w:eastAsia="en-GB"/>
                <w14:ligatures w14:val="standardContextual"/>
              </w:rPr>
              <w:t>(i) details of the proposed prescription; and</w:t>
            </w:r>
          </w:p>
          <w:p w14:paraId="7CF9B9A0" w14:textId="77777777" w:rsidR="009619E1" w:rsidRDefault="009619E1">
            <w:pPr>
              <w:keepLines/>
              <w:suppressLineNumbers/>
              <w:spacing w:line="256" w:lineRule="auto"/>
              <w:jc w:val="left"/>
              <w:textboxTightWrap w:val="allLines"/>
              <w:rPr>
                <w:rFonts w:ascii="Arial Narrow" w:hAnsi="Arial Narrow"/>
                <w:kern w:val="2"/>
                <w:sz w:val="20"/>
                <w:szCs w:val="20"/>
                <w:lang w:eastAsia="en-GB"/>
                <w14:ligatures w14:val="standardContextual"/>
              </w:rPr>
            </w:pPr>
            <w:r>
              <w:rPr>
                <w:rFonts w:ascii="Arial Narrow" w:hAnsi="Arial Narrow"/>
                <w:kern w:val="2"/>
                <w:sz w:val="20"/>
                <w:szCs w:val="20"/>
                <w:lang w:eastAsia="en-GB"/>
                <w14:ligatures w14:val="standardContextual"/>
              </w:rPr>
              <w:t>(ii) a completed authority application form relevant to the indication and treatment phase (the latest version is located on the website specified in the Administrative Advice).</w:t>
            </w:r>
          </w:p>
          <w:p w14:paraId="13532870" w14:textId="77777777" w:rsidR="009619E1" w:rsidRDefault="009619E1">
            <w:pPr>
              <w:keepLines/>
              <w:suppressLineNumbers/>
              <w:spacing w:line="256" w:lineRule="auto"/>
              <w:jc w:val="left"/>
              <w:textboxTightWrap w:val="allLines"/>
              <w:rPr>
                <w:rFonts w:ascii="Arial Narrow" w:hAnsi="Arial Narrow"/>
                <w:b/>
                <w:strike/>
                <w:kern w:val="2"/>
                <w:sz w:val="20"/>
                <w:szCs w:val="20"/>
                <w:lang w:eastAsia="en-GB"/>
                <w14:ligatures w14:val="standardContextual"/>
              </w:rPr>
            </w:pPr>
            <w:r>
              <w:rPr>
                <w:rFonts w:ascii="Arial Narrow" w:hAnsi="Arial Narrow"/>
                <w:kern w:val="2"/>
                <w:sz w:val="20"/>
                <w:szCs w:val="20"/>
                <w:lang w:eastAsia="en-GB"/>
                <w14:ligatures w14:val="standardContextual"/>
              </w:rPr>
              <w:t>All reports must be documented in the patient's medical records.</w:t>
            </w:r>
          </w:p>
        </w:tc>
      </w:tr>
      <w:tr w:rsidR="009619E1" w14:paraId="1ED0A061"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768BC2" w14:textId="40A64EDD" w:rsidR="009619E1" w:rsidRDefault="009619E1">
            <w:pPr>
              <w:spacing w:line="256" w:lineRule="auto"/>
              <w:jc w:val="center"/>
              <w:rPr>
                <w:rFonts w:ascii="Arial Narrow" w:hAnsi="Arial Narrow"/>
                <w:color w:val="333333"/>
                <w:kern w:val="2"/>
                <w:sz w:val="20"/>
                <w:szCs w:val="20"/>
                <w:lang w:eastAsia="en-US"/>
                <w14:ligatures w14:val="standardContextual"/>
              </w:rPr>
            </w:pPr>
          </w:p>
          <w:p w14:paraId="64DC5FA0" w14:textId="472C528B"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4D6845" w14:textId="77777777" w:rsidR="009619E1" w:rsidRDefault="009619E1">
            <w:pPr>
              <w:keepLines/>
              <w:suppressLineNumbers/>
              <w:spacing w:line="256" w:lineRule="auto"/>
              <w:jc w:val="left"/>
              <w:textboxTightWrap w:val="allLines"/>
              <w:rPr>
                <w:rFonts w:ascii="Arial Narrow" w:hAnsi="Arial Narrow"/>
                <w:b/>
                <w:kern w:val="2"/>
                <w:sz w:val="20"/>
                <w:szCs w:val="20"/>
                <w:lang w:eastAsia="en-GB"/>
                <w14:ligatures w14:val="standardContextual"/>
              </w:rPr>
            </w:pPr>
            <w:r>
              <w:rPr>
                <w:rFonts w:ascii="Arial Narrow" w:hAnsi="Arial Narrow"/>
                <w:b/>
                <w:kern w:val="2"/>
                <w:sz w:val="20"/>
                <w:szCs w:val="20"/>
                <w:lang w:eastAsia="en-GB"/>
                <w14:ligatures w14:val="standardContextual"/>
              </w:rPr>
              <w:t>Administrative Advice:</w:t>
            </w:r>
          </w:p>
          <w:p w14:paraId="35A61587"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Any queries concerning the arrangements to prescribe may be directed to Services Australia on 1800 700 270 (hours of operation 8 a.m. to 5 p.m. Monday to Friday).</w:t>
            </w:r>
          </w:p>
          <w:p w14:paraId="3F94BCA0"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Prescribing information (including Authority Application forms and other relevant documentation as applicable) is available on the Services Australia website at www.servicesaustralia.gov.au</w:t>
            </w:r>
          </w:p>
          <w:p w14:paraId="48152522"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Applications for authorisation under this restriction should be made in real time using the Online PBS Authorities system (see www.servicesaustralia.gov.au/hpos)</w:t>
            </w:r>
          </w:p>
          <w:p w14:paraId="6E3E6F7A"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Alternatively, applications for authority to prescribe can be submitted online using the form upload facility in Health Professional Online Services (HPOS) at www.servicesaustralia.gov.au/hpos</w:t>
            </w:r>
          </w:p>
          <w:p w14:paraId="6C478B43"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Or mailed to:</w:t>
            </w:r>
          </w:p>
          <w:p w14:paraId="0FB67192"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Services Australia</w:t>
            </w:r>
          </w:p>
          <w:p w14:paraId="652F94A0"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Complex Drugs</w:t>
            </w:r>
          </w:p>
          <w:p w14:paraId="6D65ACDE" w14:textId="77777777" w:rsidR="009619E1" w:rsidRDefault="009619E1">
            <w:pPr>
              <w:keepLines/>
              <w:suppressLineNumbers/>
              <w:spacing w:line="256" w:lineRule="auto"/>
              <w:jc w:val="left"/>
              <w:textboxTightWrap w:val="allLines"/>
              <w:rPr>
                <w:rFonts w:ascii="Arial Narrow" w:hAnsi="Arial Narrow"/>
                <w:bCs/>
                <w:kern w:val="2"/>
                <w:sz w:val="20"/>
                <w:szCs w:val="20"/>
                <w:lang w:eastAsia="en-GB"/>
                <w14:ligatures w14:val="standardContextual"/>
              </w:rPr>
            </w:pPr>
            <w:r>
              <w:rPr>
                <w:rFonts w:ascii="Arial Narrow" w:hAnsi="Arial Narrow"/>
                <w:bCs/>
                <w:kern w:val="2"/>
                <w:sz w:val="20"/>
                <w:szCs w:val="20"/>
                <w:lang w:eastAsia="en-GB"/>
                <w14:ligatures w14:val="standardContextual"/>
              </w:rPr>
              <w:t>Reply Paid 9826</w:t>
            </w:r>
          </w:p>
          <w:p w14:paraId="70A5AC51" w14:textId="77777777" w:rsidR="009619E1" w:rsidRDefault="009619E1">
            <w:pPr>
              <w:keepLines/>
              <w:suppressLineNumbers/>
              <w:spacing w:line="256" w:lineRule="auto"/>
              <w:jc w:val="left"/>
              <w:textboxTightWrap w:val="allLines"/>
              <w:rPr>
                <w:rFonts w:ascii="Arial Narrow" w:hAnsi="Arial Narrow"/>
                <w:b/>
                <w:strike/>
                <w:kern w:val="2"/>
                <w:sz w:val="20"/>
                <w:szCs w:val="20"/>
                <w:lang w:eastAsia="en-GB"/>
                <w14:ligatures w14:val="standardContextual"/>
              </w:rPr>
            </w:pPr>
            <w:r>
              <w:rPr>
                <w:rFonts w:ascii="Arial Narrow" w:hAnsi="Arial Narrow"/>
                <w:bCs/>
                <w:kern w:val="2"/>
                <w:sz w:val="20"/>
                <w:szCs w:val="20"/>
                <w:lang w:eastAsia="en-GB"/>
                <w14:ligatures w14:val="standardContextual"/>
              </w:rPr>
              <w:t>HOBART TAS 7001</w:t>
            </w:r>
          </w:p>
        </w:tc>
      </w:tr>
      <w:tr w:rsidR="009619E1" w14:paraId="1A5DC210" w14:textId="77777777" w:rsidTr="00512304">
        <w:trPr>
          <w:cantSplit/>
          <w:trHeight w:val="20"/>
        </w:trPr>
        <w:tc>
          <w:tcPr>
            <w:tcW w:w="9558"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A573F1" w14:textId="77777777" w:rsidR="009619E1" w:rsidRDefault="009619E1">
            <w:pPr>
              <w:spacing w:line="256" w:lineRule="auto"/>
              <w:rPr>
                <w:rFonts w:ascii="Arial Narrow" w:hAnsi="Arial Narrow"/>
                <w:bCs/>
                <w:color w:val="FF0000"/>
                <w:kern w:val="2"/>
                <w:sz w:val="20"/>
                <w:szCs w:val="20"/>
                <w:lang w:eastAsia="en-US"/>
                <w14:ligatures w14:val="standardContextual"/>
              </w:rPr>
            </w:pPr>
          </w:p>
        </w:tc>
      </w:tr>
      <w:tr w:rsidR="009619E1" w14:paraId="5B152208" w14:textId="77777777" w:rsidTr="00512304">
        <w:trPr>
          <w:cantSplit/>
          <w:trHeight w:val="20"/>
        </w:trPr>
        <w:tc>
          <w:tcPr>
            <w:tcW w:w="9558"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EAADAA" w14:textId="77777777" w:rsidR="009619E1" w:rsidRDefault="009619E1">
            <w:pPr>
              <w:keepNext/>
              <w:keepLines/>
              <w:spacing w:line="256" w:lineRule="auto"/>
              <w:rPr>
                <w:rFonts w:ascii="Arial Narrow" w:hAnsi="Arial Narrow"/>
                <w:b/>
                <w:bCs/>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Restriction Summary [new2]</w:t>
            </w:r>
            <w:r>
              <w:rPr>
                <w:rFonts w:ascii="Arial Narrow" w:hAnsi="Arial Narrow"/>
                <w:b/>
                <w:bCs/>
                <w:color w:val="FF0000"/>
                <w:kern w:val="2"/>
                <w:sz w:val="20"/>
                <w:szCs w:val="20"/>
                <w:lang w:eastAsia="en-US"/>
                <w14:ligatures w14:val="standardContextual"/>
              </w:rPr>
              <w:t xml:space="preserve"> </w:t>
            </w:r>
            <w:r>
              <w:rPr>
                <w:rFonts w:ascii="Arial Narrow" w:hAnsi="Arial Narrow"/>
                <w:b/>
                <w:bCs/>
                <w:color w:val="333333"/>
                <w:kern w:val="2"/>
                <w:sz w:val="20"/>
                <w:szCs w:val="20"/>
                <w:lang w:eastAsia="en-US"/>
                <w14:ligatures w14:val="standardContextual"/>
              </w:rPr>
              <w:t xml:space="preserve">/ Treatment of Concept: [new2A] </w:t>
            </w:r>
          </w:p>
        </w:tc>
      </w:tr>
      <w:tr w:rsidR="009619E1" w14:paraId="1298A796" w14:textId="77777777" w:rsidTr="00512304">
        <w:trPr>
          <w:cantSplit/>
          <w:trHeight w:val="20"/>
        </w:trPr>
        <w:tc>
          <w:tcPr>
            <w:tcW w:w="1269"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C76D7D" w14:textId="77777777" w:rsidR="009619E1" w:rsidRDefault="009619E1">
            <w:pPr>
              <w:spacing w:line="256" w:lineRule="auto"/>
              <w:jc w:val="center"/>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Concept ID </w:t>
            </w:r>
            <w:r>
              <w:rPr>
                <w:rFonts w:ascii="Arial Narrow" w:hAnsi="Arial Narrow"/>
                <w:kern w:val="2"/>
                <w:sz w:val="20"/>
                <w:szCs w:val="20"/>
                <w:lang w:eastAsia="en-US"/>
                <w14:ligatures w14:val="standardContextual"/>
              </w:rPr>
              <w:t>(for internal Dept. use)</w:t>
            </w: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C0336C" w14:textId="77777777" w:rsidR="009619E1" w:rsidRDefault="009619E1">
            <w:pPr>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Category / Program: </w:t>
            </w:r>
          </w:p>
          <w:p w14:paraId="45817600" w14:textId="1BCABCAE" w:rsidR="009619E1" w:rsidRDefault="009619E1">
            <w:pPr>
              <w:spacing w:line="256" w:lineRule="auto"/>
              <w:rPr>
                <w:rFonts w:ascii="Arial Narrow" w:hAnsi="Arial Narrow"/>
                <w:bCs/>
                <w:kern w:val="2"/>
                <w:sz w:val="20"/>
                <w:szCs w:val="20"/>
                <w:lang w:eastAsia="en-US"/>
                <w14:ligatures w14:val="standardContextual"/>
              </w:rPr>
            </w:pPr>
            <w:r>
              <w:rPr>
                <w:rFonts w:ascii="Arial Narrow" w:hAnsi="Arial Narrow"/>
                <w:bCs/>
                <w:kern w:val="2"/>
                <w:sz w:val="20"/>
                <w:szCs w:val="20"/>
                <w:lang w:eastAsia="en-US"/>
                <w14:ligatures w14:val="standardContextual"/>
              </w:rPr>
              <w:fldChar w:fldCharType="begin">
                <w:ffData>
                  <w:name w:val="Check1"/>
                  <w:enabled/>
                  <w:calcOnExit w:val="0"/>
                  <w:checkBox>
                    <w:sizeAuto/>
                    <w:default w:val="1"/>
                  </w:checkBox>
                </w:ffData>
              </w:fldChar>
            </w:r>
            <w:r>
              <w:rPr>
                <w:rFonts w:ascii="Arial Narrow" w:hAnsi="Arial Narrow"/>
                <w:bCs/>
                <w:kern w:val="2"/>
                <w:sz w:val="20"/>
                <w:szCs w:val="20"/>
                <w:lang w:eastAsia="en-US"/>
                <w14:ligatures w14:val="standardContextual"/>
              </w:rPr>
              <w:instrText xml:space="preserve"> FORMCHECKBOX </w:instrText>
            </w:r>
            <w:r>
              <w:rPr>
                <w:rFonts w:ascii="Arial Narrow" w:hAnsi="Arial Narrow"/>
                <w:bCs/>
                <w:kern w:val="2"/>
                <w:sz w:val="20"/>
                <w:szCs w:val="20"/>
                <w:lang w:eastAsia="en-US"/>
                <w14:ligatures w14:val="standardContextual"/>
              </w:rPr>
            </w:r>
            <w:r>
              <w:rPr>
                <w:rFonts w:ascii="Arial Narrow" w:hAnsi="Arial Narrow"/>
                <w:bCs/>
                <w:kern w:val="2"/>
                <w:sz w:val="20"/>
                <w:szCs w:val="20"/>
                <w:lang w:eastAsia="en-US"/>
                <w14:ligatures w14:val="standardContextual"/>
              </w:rPr>
              <w:fldChar w:fldCharType="separate"/>
            </w:r>
            <w:r>
              <w:rPr>
                <w:rFonts w:ascii="Arial Narrow" w:hAnsi="Arial Narrow"/>
                <w:bCs/>
                <w:kern w:val="2"/>
                <w:sz w:val="20"/>
                <w:szCs w:val="20"/>
                <w:lang w:eastAsia="en-US"/>
                <w14:ligatures w14:val="standardContextual"/>
              </w:rPr>
              <w:fldChar w:fldCharType="end"/>
            </w:r>
            <w:r>
              <w:rPr>
                <w:rFonts w:ascii="Arial Narrow" w:hAnsi="Arial Narrow"/>
                <w:bCs/>
                <w:kern w:val="2"/>
                <w:sz w:val="20"/>
                <w:szCs w:val="20"/>
                <w:lang w:eastAsia="en-US"/>
                <w14:ligatures w14:val="standardContextual"/>
              </w:rPr>
              <w:t xml:space="preserve"> GENERAL </w:t>
            </w:r>
            <w:r w:rsidR="009B60A6">
              <w:rPr>
                <w:rFonts w:ascii="Arial Narrow" w:hAnsi="Arial Narrow"/>
                <w:bCs/>
                <w:kern w:val="2"/>
                <w:sz w:val="20"/>
                <w:szCs w:val="20"/>
                <w:lang w:eastAsia="en-US"/>
                <w14:ligatures w14:val="standardContextual"/>
              </w:rPr>
              <w:noBreakHyphen/>
            </w:r>
            <w:r>
              <w:rPr>
                <w:rFonts w:ascii="Arial Narrow" w:hAnsi="Arial Narrow"/>
                <w:bCs/>
                <w:kern w:val="2"/>
                <w:sz w:val="20"/>
                <w:szCs w:val="20"/>
                <w:lang w:eastAsia="en-US"/>
                <w14:ligatures w14:val="standardContextual"/>
              </w:rPr>
              <w:t xml:space="preserve"> General Schedule (Code GE) </w:t>
            </w:r>
          </w:p>
        </w:tc>
      </w:tr>
      <w:tr w:rsidR="009619E1" w14:paraId="25878568" w14:textId="77777777" w:rsidTr="6C858C6C">
        <w:trPr>
          <w:cantSplit/>
          <w:trHeight w:val="20"/>
        </w:trPr>
        <w:tc>
          <w:tcPr>
            <w:tcW w:w="1269" w:type="dxa"/>
            <w:gridSpan w:val="2"/>
            <w:vMerge/>
            <w:vAlign w:val="center"/>
            <w:hideMark/>
          </w:tcPr>
          <w:p w14:paraId="0561D7D9" w14:textId="77777777" w:rsidR="009619E1" w:rsidRDefault="009619E1">
            <w:pPr>
              <w:spacing w:line="256" w:lineRule="auto"/>
              <w:jc w:val="left"/>
              <w:rPr>
                <w:rFonts w:ascii="Arial Narrow" w:hAnsi="Arial Narrow"/>
                <w:b/>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A255B5" w14:textId="77777777" w:rsidR="009619E1" w:rsidRDefault="009619E1">
            <w:pPr>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Prescriber type: </w:t>
            </w:r>
          </w:p>
          <w:p w14:paraId="0FBECB3C" w14:textId="77777777" w:rsidR="009619E1" w:rsidRDefault="009619E1">
            <w:pPr>
              <w:spacing w:line="256" w:lineRule="auto"/>
              <w:rPr>
                <w:rFonts w:ascii="Arial Narrow" w:hAnsi="Arial Narrow"/>
                <w:bCs/>
                <w:kern w:val="2"/>
                <w:sz w:val="20"/>
                <w:szCs w:val="20"/>
                <w:lang w:eastAsia="en-US"/>
                <w14:ligatures w14:val="standardContextual"/>
              </w:rPr>
            </w:pPr>
            <w:r>
              <w:rPr>
                <w:rFonts w:ascii="Arial Narrow" w:hAnsi="Arial Narrow"/>
                <w:bCs/>
                <w:kern w:val="2"/>
                <w:sz w:val="20"/>
                <w:szCs w:val="20"/>
                <w:lang w:eastAsia="en-US"/>
                <w14:ligatures w14:val="standardContextual"/>
              </w:rPr>
              <w:fldChar w:fldCharType="begin">
                <w:ffData>
                  <w:name w:val=""/>
                  <w:enabled/>
                  <w:calcOnExit w:val="0"/>
                  <w:checkBox>
                    <w:sizeAuto/>
                    <w:default w:val="1"/>
                  </w:checkBox>
                </w:ffData>
              </w:fldChar>
            </w:r>
            <w:r>
              <w:rPr>
                <w:rFonts w:ascii="Arial Narrow" w:hAnsi="Arial Narrow"/>
                <w:bCs/>
                <w:kern w:val="2"/>
                <w:sz w:val="20"/>
                <w:szCs w:val="20"/>
                <w:lang w:eastAsia="en-US"/>
                <w14:ligatures w14:val="standardContextual"/>
              </w:rPr>
              <w:instrText xml:space="preserve"> FORMCHECKBOX </w:instrText>
            </w:r>
            <w:r>
              <w:rPr>
                <w:rFonts w:ascii="Arial Narrow" w:hAnsi="Arial Narrow"/>
                <w:bCs/>
                <w:kern w:val="2"/>
                <w:sz w:val="20"/>
                <w:szCs w:val="20"/>
                <w:lang w:eastAsia="en-US"/>
                <w14:ligatures w14:val="standardContextual"/>
              </w:rPr>
            </w:r>
            <w:r>
              <w:rPr>
                <w:rFonts w:ascii="Arial Narrow" w:hAnsi="Arial Narrow"/>
                <w:bCs/>
                <w:kern w:val="2"/>
                <w:sz w:val="20"/>
                <w:szCs w:val="20"/>
                <w:lang w:eastAsia="en-US"/>
                <w14:ligatures w14:val="standardContextual"/>
              </w:rPr>
              <w:fldChar w:fldCharType="separate"/>
            </w:r>
            <w:r>
              <w:rPr>
                <w:rFonts w:ascii="Arial Narrow" w:hAnsi="Arial Narrow"/>
                <w:bCs/>
                <w:kern w:val="2"/>
                <w:sz w:val="20"/>
                <w:szCs w:val="20"/>
                <w:lang w:eastAsia="en-US"/>
                <w14:ligatures w14:val="standardContextual"/>
              </w:rPr>
              <w:fldChar w:fldCharType="end"/>
            </w:r>
            <w:r>
              <w:rPr>
                <w:rFonts w:ascii="Arial Narrow" w:hAnsi="Arial Narrow"/>
                <w:bCs/>
                <w:kern w:val="2"/>
                <w:sz w:val="20"/>
                <w:szCs w:val="20"/>
                <w:lang w:eastAsia="en-US"/>
                <w14:ligatures w14:val="standardContextual"/>
              </w:rPr>
              <w:t xml:space="preserve">Medical Practitioners </w:t>
            </w:r>
          </w:p>
        </w:tc>
      </w:tr>
      <w:tr w:rsidR="009619E1" w14:paraId="4B005FE7" w14:textId="77777777" w:rsidTr="6C858C6C">
        <w:trPr>
          <w:cantSplit/>
          <w:trHeight w:val="20"/>
        </w:trPr>
        <w:tc>
          <w:tcPr>
            <w:tcW w:w="1269" w:type="dxa"/>
            <w:gridSpan w:val="2"/>
            <w:vMerge/>
            <w:vAlign w:val="center"/>
            <w:hideMark/>
          </w:tcPr>
          <w:p w14:paraId="5B159AA1" w14:textId="77777777" w:rsidR="009619E1" w:rsidRDefault="009619E1">
            <w:pPr>
              <w:spacing w:line="256" w:lineRule="auto"/>
              <w:jc w:val="left"/>
              <w:rPr>
                <w:rFonts w:ascii="Arial Narrow" w:hAnsi="Arial Narrow"/>
                <w:b/>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DA0700" w14:textId="77777777" w:rsidR="009619E1" w:rsidRDefault="009619E1">
            <w:pPr>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t xml:space="preserve">Restriction type: </w:t>
            </w:r>
          </w:p>
          <w:p w14:paraId="554B7625" w14:textId="77777777" w:rsidR="009619E1" w:rsidRDefault="009619E1">
            <w:pPr>
              <w:spacing w:line="256" w:lineRule="auto"/>
              <w:rPr>
                <w:rFonts w:ascii="Arial Narrow" w:hAnsi="Arial Narrow"/>
                <w:b/>
                <w:kern w:val="2"/>
                <w:sz w:val="20"/>
                <w:szCs w:val="20"/>
                <w:lang w:eastAsia="en-US"/>
                <w14:ligatures w14:val="standardContextual"/>
              </w:rPr>
            </w:pPr>
            <w:r>
              <w:rPr>
                <w:rFonts w:ascii="Arial Narrow" w:hAnsi="Arial Narrow"/>
                <w:b/>
                <w:kern w:val="2"/>
                <w:sz w:val="20"/>
                <w:szCs w:val="20"/>
                <w:lang w:eastAsia="en-US"/>
                <w14:ligatures w14:val="standardContextual"/>
              </w:rPr>
              <w:fldChar w:fldCharType="begin">
                <w:ffData>
                  <w:name w:val=""/>
                  <w:enabled/>
                  <w:calcOnExit w:val="0"/>
                  <w:checkBox>
                    <w:sizeAuto/>
                    <w:default w:val="1"/>
                  </w:checkBox>
                </w:ffData>
              </w:fldChar>
            </w:r>
            <w:r>
              <w:rPr>
                <w:rFonts w:ascii="Arial Narrow" w:hAnsi="Arial Narrow"/>
                <w:b/>
                <w:kern w:val="2"/>
                <w:sz w:val="20"/>
                <w:szCs w:val="20"/>
                <w:lang w:eastAsia="en-US"/>
                <w14:ligatures w14:val="standardContextual"/>
              </w:rPr>
              <w:instrText xml:space="preserve"> FORMCHECKBOX </w:instrText>
            </w:r>
            <w:r>
              <w:rPr>
                <w:rFonts w:ascii="Arial Narrow" w:hAnsi="Arial Narrow"/>
                <w:b/>
                <w:kern w:val="2"/>
                <w:sz w:val="20"/>
                <w:szCs w:val="20"/>
                <w:lang w:eastAsia="en-US"/>
                <w14:ligatures w14:val="standardContextual"/>
              </w:rPr>
            </w:r>
            <w:r>
              <w:rPr>
                <w:rFonts w:ascii="Arial Narrow" w:hAnsi="Arial Narrow"/>
                <w:b/>
                <w:kern w:val="2"/>
                <w:sz w:val="20"/>
                <w:szCs w:val="20"/>
                <w:lang w:eastAsia="en-US"/>
                <w14:ligatures w14:val="standardContextual"/>
              </w:rPr>
              <w:fldChar w:fldCharType="separate"/>
            </w:r>
            <w:r>
              <w:rPr>
                <w:rFonts w:ascii="Arial Narrow" w:hAnsi="Arial Narrow"/>
                <w:b/>
                <w:kern w:val="2"/>
                <w:sz w:val="20"/>
                <w:szCs w:val="20"/>
                <w:lang w:eastAsia="en-US"/>
                <w14:ligatures w14:val="standardContextual"/>
              </w:rPr>
              <w:fldChar w:fldCharType="end"/>
            </w:r>
            <w:r>
              <w:rPr>
                <w:rFonts w:ascii="Arial Narrow" w:hAnsi="Arial Narrow"/>
                <w:bCs/>
                <w:kern w:val="2"/>
                <w:sz w:val="20"/>
                <w:szCs w:val="20"/>
                <w:lang w:eastAsia="en-US"/>
                <w14:ligatures w14:val="standardContextual"/>
              </w:rPr>
              <w:t>Authority Required (Streamlined) [NEW]</w:t>
            </w:r>
          </w:p>
        </w:tc>
      </w:tr>
      <w:tr w:rsidR="009619E1" w14:paraId="279E9370" w14:textId="77777777" w:rsidTr="00512304">
        <w:trPr>
          <w:trHeight w:val="20"/>
        </w:trPr>
        <w:tc>
          <w:tcPr>
            <w:tcW w:w="489"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686C016C" w14:textId="77777777" w:rsidR="009619E1" w:rsidRDefault="009619E1">
            <w:pPr>
              <w:spacing w:line="256" w:lineRule="auto"/>
              <w:jc w:val="center"/>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Prescribing rule level</w:t>
            </w:r>
          </w:p>
        </w:tc>
        <w:tc>
          <w:tcPr>
            <w:tcW w:w="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7F8AA4" w14:textId="0A678BAC"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F67977" w14:textId="77777777" w:rsidR="009619E1" w:rsidRPr="008B4F5E" w:rsidRDefault="009619E1">
            <w:pPr>
              <w:spacing w:line="256" w:lineRule="auto"/>
              <w:jc w:val="left"/>
              <w:rPr>
                <w:rFonts w:ascii="Arial Narrow" w:hAnsi="Arial Narrow"/>
                <w:color w:val="333333"/>
                <w:kern w:val="2"/>
                <w:sz w:val="20"/>
                <w:szCs w:val="20"/>
                <w:lang w:eastAsia="en-US"/>
                <w14:ligatures w14:val="standardContextual"/>
              </w:rPr>
            </w:pPr>
            <w:r w:rsidRPr="008B4F5E">
              <w:rPr>
                <w:rFonts w:ascii="Arial Narrow" w:hAnsi="Arial Narrow"/>
                <w:b/>
                <w:bCs/>
                <w:kern w:val="2"/>
                <w:sz w:val="20"/>
                <w:szCs w:val="20"/>
                <w:lang w:eastAsia="en-US"/>
                <w14:ligatures w14:val="standardContextual"/>
              </w:rPr>
              <w:t xml:space="preserve">Administrative Advice: </w:t>
            </w:r>
            <w:r w:rsidRPr="008B4F5E">
              <w:rPr>
                <w:rFonts w:ascii="Arial Narrow" w:hAnsi="Arial Narrow"/>
                <w:bCs/>
                <w:kern w:val="2"/>
                <w:sz w:val="20"/>
                <w:szCs w:val="20"/>
                <w:lang w:eastAsia="en-US"/>
                <w14:ligatures w14:val="standardContextual"/>
              </w:rPr>
              <w:t>No increase in the maximum quantity or number of units may be authorised.</w:t>
            </w:r>
          </w:p>
        </w:tc>
      </w:tr>
      <w:tr w:rsidR="009619E1" w14:paraId="48A0BB7A" w14:textId="77777777" w:rsidTr="6C858C6C">
        <w:trPr>
          <w:trHeight w:val="20"/>
        </w:trPr>
        <w:tc>
          <w:tcPr>
            <w:tcW w:w="489" w:type="dxa"/>
            <w:vMerge/>
            <w:vAlign w:val="center"/>
            <w:hideMark/>
          </w:tcPr>
          <w:p w14:paraId="098AF4ED" w14:textId="77777777" w:rsidR="009619E1" w:rsidRDefault="009619E1">
            <w:pPr>
              <w:spacing w:line="256" w:lineRule="auto"/>
              <w:jc w:val="left"/>
              <w:rPr>
                <w:rFonts w:ascii="Arial Narrow" w:hAnsi="Arial Narrow"/>
                <w:kern w:val="2"/>
                <w:sz w:val="20"/>
                <w:szCs w:val="20"/>
                <w:lang w:eastAsia="en-US"/>
                <w14:ligatures w14:val="standardContextual"/>
              </w:rPr>
            </w:pPr>
          </w:p>
        </w:tc>
        <w:tc>
          <w:tcPr>
            <w:tcW w:w="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E2D548" w14:textId="4165EB8C" w:rsidR="009619E1" w:rsidRDefault="009619E1">
            <w:pPr>
              <w:spacing w:line="256" w:lineRule="auto"/>
              <w:jc w:val="center"/>
              <w:rPr>
                <w:rFonts w:ascii="Arial Narrow" w:hAnsi="Arial Narrow"/>
                <w:bCs/>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1CF2F0" w14:textId="77777777" w:rsidR="009619E1" w:rsidRPr="008B4F5E" w:rsidRDefault="009619E1">
            <w:pPr>
              <w:spacing w:line="256" w:lineRule="auto"/>
              <w:jc w:val="left"/>
              <w:rPr>
                <w:rFonts w:ascii="Arial Narrow" w:hAnsi="Arial Narrow"/>
                <w:b/>
                <w:bCs/>
                <w:kern w:val="2"/>
                <w:sz w:val="20"/>
                <w:szCs w:val="20"/>
                <w:lang w:eastAsia="en-US"/>
                <w14:ligatures w14:val="standardContextual"/>
              </w:rPr>
            </w:pPr>
            <w:r w:rsidRPr="008B4F5E">
              <w:rPr>
                <w:rFonts w:ascii="Arial Narrow" w:hAnsi="Arial Narrow"/>
                <w:b/>
                <w:bCs/>
                <w:kern w:val="2"/>
                <w:sz w:val="20"/>
                <w:szCs w:val="20"/>
                <w:lang w:eastAsia="en-US"/>
                <w14:ligatures w14:val="standardContextual"/>
              </w:rPr>
              <w:t xml:space="preserve">Administrative Advice: </w:t>
            </w:r>
            <w:r w:rsidRPr="008B4F5E">
              <w:rPr>
                <w:rFonts w:ascii="Arial Narrow" w:hAnsi="Arial Narrow"/>
                <w:bCs/>
                <w:kern w:val="2"/>
                <w:sz w:val="20"/>
                <w:szCs w:val="20"/>
                <w:lang w:eastAsia="en-US"/>
                <w14:ligatures w14:val="standardContextual"/>
              </w:rPr>
              <w:t>No increase in the maximum number of repeats may be authorised.</w:t>
            </w:r>
          </w:p>
        </w:tc>
      </w:tr>
      <w:tr w:rsidR="009619E1" w14:paraId="3BA9CFED" w14:textId="77777777" w:rsidTr="6C858C6C">
        <w:trPr>
          <w:trHeight w:val="20"/>
        </w:trPr>
        <w:tc>
          <w:tcPr>
            <w:tcW w:w="489" w:type="dxa"/>
            <w:vMerge/>
            <w:vAlign w:val="center"/>
            <w:hideMark/>
          </w:tcPr>
          <w:p w14:paraId="59450C70" w14:textId="77777777" w:rsidR="009619E1" w:rsidRDefault="009619E1">
            <w:pPr>
              <w:spacing w:line="256" w:lineRule="auto"/>
              <w:jc w:val="left"/>
              <w:rPr>
                <w:rFonts w:ascii="Arial Narrow" w:hAnsi="Arial Narrow"/>
                <w:kern w:val="2"/>
                <w:sz w:val="20"/>
                <w:szCs w:val="20"/>
                <w:lang w:eastAsia="en-US"/>
                <w14:ligatures w14:val="standardContextual"/>
              </w:rPr>
            </w:pPr>
          </w:p>
        </w:tc>
        <w:tc>
          <w:tcPr>
            <w:tcW w:w="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FB0BB7" w14:textId="7E0A3E2F" w:rsidR="009619E1" w:rsidRDefault="009619E1">
            <w:pPr>
              <w:spacing w:line="256" w:lineRule="auto"/>
              <w:jc w:val="center"/>
              <w:rPr>
                <w:rFonts w:ascii="Arial Narrow" w:hAnsi="Arial Narrow"/>
                <w:bCs/>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FD3BF4" w14:textId="77777777" w:rsidR="009619E1" w:rsidRDefault="009619E1">
            <w:pPr>
              <w:spacing w:line="256" w:lineRule="auto"/>
              <w:rPr>
                <w:rFonts w:ascii="Arial Narrow" w:hAnsi="Arial Narrow"/>
                <w:kern w:val="2"/>
                <w:sz w:val="20"/>
                <w:szCs w:val="20"/>
                <w:lang w:eastAsia="en-US"/>
                <w14:ligatures w14:val="standardContextual"/>
              </w:rPr>
            </w:pPr>
            <w:r>
              <w:rPr>
                <w:rFonts w:ascii="Arial Narrow" w:hAnsi="Arial Narrow"/>
                <w:b/>
                <w:bCs/>
                <w:kern w:val="2"/>
                <w:sz w:val="20"/>
                <w:szCs w:val="20"/>
                <w:lang w:eastAsia="en-US"/>
                <w14:ligatures w14:val="standardContextual"/>
              </w:rPr>
              <w:t>Administrative Advice:</w:t>
            </w:r>
          </w:p>
          <w:p w14:paraId="4AF1DCA0" w14:textId="77777777" w:rsidR="009619E1" w:rsidRDefault="009619E1">
            <w:pPr>
              <w:spacing w:line="256" w:lineRule="auto"/>
              <w:rPr>
                <w:rFonts w:ascii="Arial Narrow" w:hAnsi="Arial Narrow"/>
                <w:b/>
                <w:bCs/>
                <w:kern w:val="2"/>
                <w:sz w:val="20"/>
                <w:szCs w:val="20"/>
                <w:lang w:eastAsia="en-US"/>
                <w14:ligatures w14:val="standardContextual"/>
              </w:rPr>
            </w:pPr>
            <w:r>
              <w:rPr>
                <w:rFonts w:ascii="Arial Narrow" w:hAnsi="Arial Narrow"/>
                <w:kern w:val="2"/>
                <w:sz w:val="20"/>
                <w:szCs w:val="20"/>
                <w:lang w:eastAsia="en-US"/>
                <w14:ligatures w14:val="standardContextual"/>
              </w:rPr>
              <w:t xml:space="preserve">Special Pricing Arrangements apply. </w:t>
            </w:r>
          </w:p>
        </w:tc>
      </w:tr>
      <w:tr w:rsidR="009619E1" w14:paraId="29BB9F84" w14:textId="77777777" w:rsidTr="00512304">
        <w:trPr>
          <w:cantSplit/>
          <w:trHeight w:val="20"/>
        </w:trPr>
        <w:tc>
          <w:tcPr>
            <w:tcW w:w="1269"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8EF8AB" w14:textId="77777777" w:rsidR="009619E1" w:rsidRDefault="009619E1">
            <w:pPr>
              <w:keepLines/>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E6B507" w14:textId="77777777" w:rsidR="009619E1" w:rsidRDefault="009619E1">
            <w:pPr>
              <w:keepLines/>
              <w:spacing w:line="256" w:lineRule="auto"/>
              <w:rPr>
                <w:rFonts w:ascii="Arial Narrow" w:hAnsi="Arial Narrow"/>
                <w:bCs/>
                <w:color w:val="BFBFBF"/>
                <w:kern w:val="2"/>
                <w:sz w:val="20"/>
                <w:szCs w:val="20"/>
                <w:lang w:eastAsia="en-US"/>
                <w14:ligatures w14:val="standardContextual"/>
              </w:rPr>
            </w:pPr>
            <w:r>
              <w:rPr>
                <w:rFonts w:ascii="Arial Narrow" w:hAnsi="Arial Narrow"/>
                <w:b/>
                <w:bCs/>
                <w:color w:val="BFBFBF"/>
                <w:kern w:val="2"/>
                <w:sz w:val="20"/>
                <w:szCs w:val="20"/>
                <w:lang w:eastAsia="en-US"/>
                <w14:ligatures w14:val="standardContextual"/>
              </w:rPr>
              <w:t>Episodicity:</w:t>
            </w:r>
          </w:p>
        </w:tc>
      </w:tr>
      <w:tr w:rsidR="009619E1" w14:paraId="75152B39" w14:textId="77777777" w:rsidTr="6C858C6C">
        <w:trPr>
          <w:cantSplit/>
          <w:trHeight w:val="20"/>
        </w:trPr>
        <w:tc>
          <w:tcPr>
            <w:tcW w:w="1269" w:type="dxa"/>
            <w:gridSpan w:val="2"/>
            <w:vMerge/>
            <w:vAlign w:val="center"/>
            <w:hideMark/>
          </w:tcPr>
          <w:p w14:paraId="1DE359DB"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FAE44D" w14:textId="77777777" w:rsidR="009619E1" w:rsidRDefault="009619E1">
            <w:pPr>
              <w:keepLines/>
              <w:spacing w:line="256" w:lineRule="auto"/>
              <w:rPr>
                <w:rFonts w:ascii="Arial Narrow" w:hAnsi="Arial Narrow"/>
                <w:b/>
                <w:bCs/>
                <w:color w:val="BFBFBF"/>
                <w:kern w:val="2"/>
                <w:sz w:val="20"/>
                <w:szCs w:val="20"/>
                <w:lang w:eastAsia="en-US"/>
                <w14:ligatures w14:val="standardContextual"/>
              </w:rPr>
            </w:pPr>
            <w:r>
              <w:rPr>
                <w:rFonts w:ascii="Arial Narrow" w:hAnsi="Arial Narrow"/>
                <w:b/>
                <w:bCs/>
                <w:color w:val="BFBFBF"/>
                <w:kern w:val="2"/>
                <w:sz w:val="20"/>
                <w:szCs w:val="20"/>
                <w:lang w:eastAsia="en-US"/>
                <w14:ligatures w14:val="standardContextual"/>
              </w:rPr>
              <w:t xml:space="preserve">Severity: </w:t>
            </w:r>
          </w:p>
        </w:tc>
      </w:tr>
      <w:tr w:rsidR="009619E1" w14:paraId="4992F057" w14:textId="77777777" w:rsidTr="6C858C6C">
        <w:trPr>
          <w:cantSplit/>
          <w:trHeight w:val="20"/>
        </w:trPr>
        <w:tc>
          <w:tcPr>
            <w:tcW w:w="1269" w:type="dxa"/>
            <w:gridSpan w:val="2"/>
            <w:vMerge/>
            <w:vAlign w:val="center"/>
            <w:hideMark/>
          </w:tcPr>
          <w:p w14:paraId="48280DF6"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AC71B4" w14:textId="77777777" w:rsidR="009619E1" w:rsidRDefault="009619E1">
            <w:pPr>
              <w:keepLines/>
              <w:spacing w:line="256" w:lineRule="auto"/>
              <w:rPr>
                <w:rFonts w:ascii="Arial Narrow" w:hAnsi="Arial Narrow"/>
                <w:b/>
                <w:bCs/>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Condition:</w:t>
            </w:r>
            <w:r>
              <w:rPr>
                <w:rFonts w:ascii="Arial Narrow" w:eastAsia="Calibri" w:hAnsi="Arial Narrow" w:cs="Calibri"/>
                <w:kern w:val="2"/>
                <w:sz w:val="20"/>
                <w:szCs w:val="20"/>
                <w:lang w:eastAsia="en-US"/>
                <w14:ligatures w14:val="standardContextual"/>
              </w:rPr>
              <w:t xml:space="preserve"> </w:t>
            </w:r>
            <w:r>
              <w:rPr>
                <w:rFonts w:ascii="Arial Narrow" w:hAnsi="Arial Narrow"/>
                <w:color w:val="333333"/>
                <w:kern w:val="2"/>
                <w:sz w:val="20"/>
                <w:szCs w:val="20"/>
                <w:lang w:eastAsia="en-US"/>
                <w14:ligatures w14:val="standardContextual"/>
              </w:rPr>
              <w:t xml:space="preserve">Geographic Atrophy (GA) </w:t>
            </w:r>
          </w:p>
        </w:tc>
      </w:tr>
      <w:tr w:rsidR="009619E1" w14:paraId="5EF21058"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B0D4D" w14:textId="6A009997" w:rsidR="009619E1" w:rsidRDefault="009619E1">
            <w:pPr>
              <w:keepLines/>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DA18B1" w14:textId="77777777" w:rsidR="009619E1" w:rsidRDefault="009619E1">
            <w:pPr>
              <w:keepLines/>
              <w:spacing w:line="256" w:lineRule="auto"/>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Indication:</w:t>
            </w:r>
            <w:r>
              <w:rPr>
                <w:rFonts w:ascii="Arial Narrow" w:hAnsi="Arial Narrow"/>
                <w:color w:val="333333"/>
                <w:kern w:val="2"/>
                <w:sz w:val="20"/>
                <w:szCs w:val="20"/>
                <w:lang w:eastAsia="en-US"/>
                <w14:ligatures w14:val="standardContextual"/>
              </w:rPr>
              <w:t xml:space="preserve"> Geographic Atrophy (GA) </w:t>
            </w:r>
          </w:p>
        </w:tc>
      </w:tr>
      <w:tr w:rsidR="009619E1" w14:paraId="126F3F38"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69FC34" w14:textId="77777777" w:rsidR="009619E1" w:rsidRDefault="009619E1">
            <w:pP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FD1084" w14:textId="77777777" w:rsidR="009619E1" w:rsidRDefault="009619E1">
            <w:pPr>
              <w:spacing w:line="256" w:lineRule="auto"/>
              <w:rPr>
                <w:rFonts w:ascii="Arial Narrow" w:hAnsi="Arial Narrow"/>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Treatment Phase:</w:t>
            </w:r>
            <w:r>
              <w:rPr>
                <w:rFonts w:ascii="Arial Narrow" w:hAnsi="Arial Narrow"/>
                <w:color w:val="FF0000"/>
                <w:kern w:val="2"/>
                <w:sz w:val="20"/>
                <w:szCs w:val="20"/>
                <w:lang w:eastAsia="en-US"/>
                <w14:ligatures w14:val="standardContextual"/>
              </w:rPr>
              <w:t xml:space="preserve"> </w:t>
            </w:r>
            <w:r>
              <w:rPr>
                <w:rFonts w:ascii="Arial Narrow" w:hAnsi="Arial Narrow"/>
                <w:color w:val="000000"/>
                <w:kern w:val="2"/>
                <w:sz w:val="20"/>
                <w:szCs w:val="20"/>
                <w:lang w:eastAsia="en-US"/>
                <w14:ligatures w14:val="standardContextual"/>
              </w:rPr>
              <w:t xml:space="preserve">Continuing treatment </w:t>
            </w:r>
          </w:p>
        </w:tc>
      </w:tr>
      <w:tr w:rsidR="009619E1" w14:paraId="5F5A93B2"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D901B6" w14:textId="34113443" w:rsidR="009619E1" w:rsidRDefault="009619E1">
            <w:pPr>
              <w:spacing w:line="256" w:lineRule="auto"/>
              <w:jc w:val="center"/>
              <w:rPr>
                <w:rFonts w:ascii="Arial Narrow" w:hAnsi="Arial Narrow"/>
                <w:color w:val="000000"/>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239010" w14:textId="77777777" w:rsidR="009619E1" w:rsidRDefault="009619E1">
            <w:pPr>
              <w:spacing w:line="256" w:lineRule="auto"/>
              <w:jc w:val="left"/>
              <w:rPr>
                <w:rFonts w:ascii="Arial Narrow" w:hAnsi="Arial Narrow"/>
                <w:color w:val="000000"/>
                <w:kern w:val="2"/>
                <w:sz w:val="20"/>
                <w:szCs w:val="20"/>
                <w:lang w:eastAsia="en-US"/>
                <w14:ligatures w14:val="standardContextual"/>
              </w:rPr>
            </w:pPr>
            <w:r>
              <w:rPr>
                <w:rFonts w:ascii="Arial Narrow" w:hAnsi="Arial Narrow"/>
                <w:b/>
                <w:bCs/>
                <w:color w:val="000000"/>
                <w:kern w:val="2"/>
                <w:sz w:val="20"/>
                <w:szCs w:val="20"/>
                <w:lang w:eastAsia="en-US"/>
                <w14:ligatures w14:val="standardContextual"/>
              </w:rPr>
              <w:t xml:space="preserve">Clinical criteria: </w:t>
            </w:r>
          </w:p>
        </w:tc>
      </w:tr>
      <w:tr w:rsidR="009619E1" w14:paraId="5FEA6CCF"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E1045C" w14:textId="130EB23A" w:rsidR="009619E1" w:rsidRDefault="009619E1">
            <w:pPr>
              <w:spacing w:line="256" w:lineRule="auto"/>
              <w:jc w:val="center"/>
              <w:rPr>
                <w:rFonts w:ascii="Arial Narrow" w:hAnsi="Arial Narrow"/>
                <w:color w:val="000000"/>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70F817" w14:textId="7EC582A5" w:rsidR="009619E1" w:rsidRDefault="009619E1">
            <w:pPr>
              <w:spacing w:line="256" w:lineRule="auto"/>
              <w:jc w:val="left"/>
              <w:rPr>
                <w:rFonts w:ascii="Arial Narrow" w:hAnsi="Arial Narrow"/>
                <w:color w:val="000000"/>
                <w:kern w:val="2"/>
                <w:sz w:val="20"/>
                <w:szCs w:val="20"/>
                <w:lang w:eastAsia="en-US"/>
                <w14:ligatures w14:val="standardContextual"/>
              </w:rPr>
            </w:pPr>
            <w:r>
              <w:rPr>
                <w:rFonts w:ascii="Arial Narrow" w:hAnsi="Arial Narrow"/>
                <w:color w:val="000000"/>
                <w:kern w:val="2"/>
                <w:sz w:val="20"/>
                <w:szCs w:val="20"/>
                <w:lang w:eastAsia="en-US"/>
                <w14:ligatures w14:val="standardContextual"/>
              </w:rPr>
              <w:t>Patient must have previously received PBS</w:t>
            </w:r>
            <w:r w:rsidR="009B60A6">
              <w:rPr>
                <w:rFonts w:ascii="Arial Narrow" w:hAnsi="Arial Narrow"/>
                <w:color w:val="000000"/>
                <w:kern w:val="2"/>
                <w:sz w:val="20"/>
                <w:szCs w:val="20"/>
                <w:lang w:eastAsia="en-US"/>
                <w14:ligatures w14:val="standardContextual"/>
              </w:rPr>
              <w:noBreakHyphen/>
            </w:r>
            <w:r>
              <w:rPr>
                <w:rFonts w:ascii="Arial Narrow" w:hAnsi="Arial Narrow"/>
                <w:color w:val="000000"/>
                <w:kern w:val="2"/>
                <w:sz w:val="20"/>
                <w:szCs w:val="20"/>
                <w:lang w:eastAsia="en-US"/>
                <w14:ligatures w14:val="standardContextual"/>
              </w:rPr>
              <w:t>subsidised treatment with this drug for this condition for the same eye</w:t>
            </w:r>
          </w:p>
        </w:tc>
      </w:tr>
      <w:tr w:rsidR="009619E1" w14:paraId="3C8647E5"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5D34F7" w14:textId="77777777" w:rsidR="009619E1" w:rsidRDefault="009619E1">
            <w:pPr>
              <w:spacing w:line="256" w:lineRule="auto"/>
              <w:jc w:val="center"/>
              <w:rPr>
                <w:rFonts w:ascii="Arial Narrow" w:hAnsi="Arial Narrow"/>
                <w:color w:val="000000"/>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C5B38E" w14:textId="77777777" w:rsidR="009619E1" w:rsidRDefault="009619E1">
            <w:pPr>
              <w:spacing w:line="256" w:lineRule="auto"/>
              <w:rPr>
                <w:rFonts w:ascii="Arial Narrow" w:hAnsi="Arial Narrow"/>
                <w:color w:val="000000"/>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AND</w:t>
            </w:r>
          </w:p>
        </w:tc>
      </w:tr>
      <w:tr w:rsidR="009619E1" w14:paraId="19B22CC9"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80F908" w14:textId="35D82447" w:rsidR="009619E1" w:rsidRDefault="009619E1">
            <w:pPr>
              <w:spacing w:line="256" w:lineRule="auto"/>
              <w:jc w:val="center"/>
              <w:rPr>
                <w:rFonts w:ascii="Arial Narrow" w:hAnsi="Arial Narrow"/>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DE5D68" w14:textId="77777777" w:rsidR="009619E1" w:rsidRDefault="009619E1">
            <w:pPr>
              <w:spacing w:line="256" w:lineRule="auto"/>
              <w:rPr>
                <w:rFonts w:ascii="Arial Narrow" w:hAnsi="Arial Narrow"/>
                <w:kern w:val="2"/>
                <w:sz w:val="20"/>
                <w:szCs w:val="20"/>
                <w:lang w:eastAsia="en-US"/>
                <w14:ligatures w14:val="standardContextual"/>
              </w:rPr>
            </w:pPr>
            <w:r>
              <w:rPr>
                <w:rFonts w:ascii="Arial Narrow" w:hAnsi="Arial Narrow"/>
                <w:b/>
                <w:bCs/>
                <w:kern w:val="2"/>
                <w:sz w:val="20"/>
                <w:szCs w:val="20"/>
                <w:lang w:eastAsia="en-US"/>
                <w14:ligatures w14:val="standardContextual"/>
              </w:rPr>
              <w:t>Clinical criteria:</w:t>
            </w:r>
          </w:p>
        </w:tc>
      </w:tr>
      <w:tr w:rsidR="009619E1" w14:paraId="28D80EAC"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6CD1DD" w14:textId="3FF47D07" w:rsidR="009619E1" w:rsidRDefault="009619E1">
            <w:pPr>
              <w:spacing w:line="256" w:lineRule="auto"/>
              <w:jc w:val="center"/>
              <w:rPr>
                <w:rFonts w:ascii="Arial Narrow" w:hAnsi="Arial Narrow"/>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BC09FD" w14:textId="6AE89052" w:rsidR="009619E1" w:rsidRDefault="009619E1">
            <w:pPr>
              <w:spacing w:line="256" w:lineRule="auto"/>
              <w:rPr>
                <w:rFonts w:ascii="Arial Narrow" w:hAnsi="Arial Narrow"/>
                <w:kern w:val="2"/>
                <w:sz w:val="20"/>
                <w:szCs w:val="20"/>
                <w:lang w:eastAsia="en-US"/>
                <w14:ligatures w14:val="standardContextual"/>
              </w:rPr>
            </w:pPr>
            <w:r>
              <w:rPr>
                <w:rFonts w:ascii="Arial Narrow" w:hAnsi="Arial Narrow" w:cstheme="minorHAnsi"/>
                <w:kern w:val="2"/>
                <w:sz w:val="20"/>
                <w:szCs w:val="20"/>
                <w:lang w:eastAsia="en-US"/>
                <w14:ligatures w14:val="standardContextual"/>
              </w:rPr>
              <w:t>The condition must be secondary to age</w:t>
            </w:r>
            <w:r w:rsidR="009B60A6">
              <w:rPr>
                <w:rFonts w:ascii="Arial Narrow" w:hAnsi="Arial Narrow" w:cstheme="minorHAnsi"/>
                <w:kern w:val="2"/>
                <w:sz w:val="20"/>
                <w:szCs w:val="20"/>
                <w:lang w:eastAsia="en-US"/>
                <w14:ligatures w14:val="standardContextual"/>
              </w:rPr>
              <w:noBreakHyphen/>
            </w:r>
            <w:r>
              <w:rPr>
                <w:rFonts w:ascii="Arial Narrow" w:hAnsi="Arial Narrow" w:cstheme="minorHAnsi"/>
                <w:kern w:val="2"/>
                <w:sz w:val="20"/>
                <w:szCs w:val="20"/>
                <w:lang w:eastAsia="en-US"/>
                <w14:ligatures w14:val="standardContextual"/>
              </w:rPr>
              <w:t>related macular degeneration (AMD).</w:t>
            </w:r>
          </w:p>
        </w:tc>
      </w:tr>
      <w:tr w:rsidR="009619E1" w14:paraId="2408275F"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B79536" w14:textId="77777777" w:rsidR="009619E1" w:rsidRDefault="009619E1">
            <w:pPr>
              <w:spacing w:line="256" w:lineRule="auto"/>
              <w:jc w:val="center"/>
              <w:rPr>
                <w:rFonts w:ascii="Arial Narrow" w:hAnsi="Arial Narrow"/>
                <w:strike/>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E3D8FD" w14:textId="77777777" w:rsidR="009619E1" w:rsidRDefault="009619E1">
            <w:pPr>
              <w:spacing w:line="256" w:lineRule="auto"/>
              <w:rPr>
                <w:rFonts w:ascii="Arial Narrow" w:hAnsi="Arial Narrow"/>
                <w:strike/>
                <w:color w:val="333333"/>
                <w:kern w:val="2"/>
                <w:sz w:val="20"/>
                <w:szCs w:val="20"/>
                <w:lang w:eastAsia="en-US"/>
                <w14:ligatures w14:val="standardContextual"/>
              </w:rPr>
            </w:pPr>
            <w:r>
              <w:rPr>
                <w:rFonts w:ascii="Arial Narrow" w:hAnsi="Arial Narrow"/>
                <w:b/>
                <w:bCs/>
                <w:strike/>
                <w:color w:val="333333"/>
                <w:kern w:val="2"/>
                <w:sz w:val="20"/>
                <w:szCs w:val="20"/>
                <w:lang w:eastAsia="en-US"/>
                <w14:ligatures w14:val="standardContextual"/>
              </w:rPr>
              <w:t>AND</w:t>
            </w:r>
          </w:p>
        </w:tc>
      </w:tr>
      <w:tr w:rsidR="009619E1" w14:paraId="372F2F33"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DB2999" w14:textId="7777777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D7B45D" w14:textId="77777777"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AND</w:t>
            </w:r>
          </w:p>
        </w:tc>
      </w:tr>
      <w:tr w:rsidR="009619E1" w14:paraId="25E0B3FC"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328215" w14:textId="216D4917"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B52F34" w14:textId="77777777"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9619E1" w14:paraId="3154401E"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659913" w14:textId="7899BF22"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AE2F2B" w14:textId="42FFA69D" w:rsidR="009619E1" w:rsidRDefault="009619E1">
            <w:pPr>
              <w:spacing w:line="256" w:lineRule="auto"/>
              <w:rPr>
                <w:rFonts w:ascii="Arial Narrow" w:hAnsi="Arial Narrow"/>
                <w:color w:val="333333"/>
                <w:kern w:val="2"/>
                <w:sz w:val="20"/>
                <w:szCs w:val="20"/>
                <w:lang w:eastAsia="en-US"/>
                <w14:ligatures w14:val="standardContextual"/>
              </w:rPr>
            </w:pPr>
            <w:r>
              <w:rPr>
                <w:rFonts w:ascii="Arial Narrow" w:hAnsi="Arial Narrow"/>
                <w:color w:val="333333"/>
                <w:kern w:val="2"/>
                <w:sz w:val="20"/>
                <w:szCs w:val="20"/>
                <w:lang w:eastAsia="en-US"/>
                <w14:ligatures w14:val="standardContextual"/>
              </w:rPr>
              <w:t>The treatment must be the sole PBS</w:t>
            </w:r>
            <w:r w:rsidR="009B60A6">
              <w:rPr>
                <w:rFonts w:ascii="Arial Narrow" w:hAnsi="Arial Narrow"/>
                <w:color w:val="333333"/>
                <w:kern w:val="2"/>
                <w:sz w:val="20"/>
                <w:szCs w:val="20"/>
                <w:lang w:eastAsia="en-US"/>
                <w14:ligatures w14:val="standardContextual"/>
              </w:rPr>
              <w:noBreakHyphen/>
            </w:r>
            <w:r>
              <w:rPr>
                <w:rFonts w:ascii="Arial Narrow" w:hAnsi="Arial Narrow"/>
                <w:color w:val="333333"/>
                <w:kern w:val="2"/>
                <w:sz w:val="20"/>
                <w:szCs w:val="20"/>
                <w:lang w:eastAsia="en-US"/>
                <w14:ligatures w14:val="standardContextual"/>
              </w:rPr>
              <w:t>subsidised therapy for this condition</w:t>
            </w:r>
          </w:p>
        </w:tc>
      </w:tr>
      <w:tr w:rsidR="009619E1" w14:paraId="4FBDF18C"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5D131E" w14:textId="77777777" w:rsidR="009619E1" w:rsidRDefault="009619E1">
            <w:pPr>
              <w:spacing w:line="256" w:lineRule="auto"/>
              <w:jc w:val="center"/>
              <w:rPr>
                <w:rFonts w:ascii="Arial Narrow" w:hAnsi="Arial Narrow"/>
                <w:strike/>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B339D2" w14:textId="77777777" w:rsidR="009619E1" w:rsidRDefault="009619E1">
            <w:pPr>
              <w:spacing w:line="256" w:lineRule="auto"/>
              <w:rPr>
                <w:rFonts w:ascii="Arial Narrow" w:hAnsi="Arial Narrow"/>
                <w:strike/>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AND</w:t>
            </w:r>
          </w:p>
        </w:tc>
      </w:tr>
      <w:tr w:rsidR="009619E1" w14:paraId="10CDECDA"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E873E8" w14:textId="3D467C01"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B36246" w14:textId="77777777" w:rsidR="009619E1" w:rsidRDefault="009619E1">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9619E1" w14:paraId="63F95DFC"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041D5E" w14:textId="5410078E"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E78581" w14:textId="0E37ACB5" w:rsidR="009619E1" w:rsidRDefault="009619E1">
            <w:pPr>
              <w:spacing w:line="256" w:lineRule="auto"/>
              <w:jc w:val="left"/>
              <w:rPr>
                <w:rFonts w:ascii="Arial Narrow" w:eastAsiaTheme="minorHAnsi" w:hAnsi="Arial Narrow" w:cstheme="minorHAnsi"/>
                <w:color w:val="FF0000"/>
                <w:kern w:val="2"/>
                <w:sz w:val="20"/>
                <w:szCs w:val="20"/>
                <w:lang w:eastAsia="en-US"/>
                <w14:ligatures w14:val="standardContextual"/>
              </w:rPr>
            </w:pPr>
            <w:r>
              <w:rPr>
                <w:rFonts w:ascii="Arial Narrow" w:hAnsi="Arial Narrow" w:cstheme="minorHAnsi"/>
                <w:kern w:val="2"/>
                <w:sz w:val="20"/>
                <w:szCs w:val="20"/>
                <w:lang w:eastAsia="en-US"/>
                <w14:ligatures w14:val="standardContextual"/>
              </w:rPr>
              <w:t>The patient must have non</w:t>
            </w:r>
            <w:r w:rsidR="009B60A6">
              <w:rPr>
                <w:rFonts w:ascii="Arial Narrow" w:hAnsi="Arial Narrow" w:cstheme="minorHAnsi"/>
                <w:kern w:val="2"/>
                <w:sz w:val="20"/>
                <w:szCs w:val="20"/>
                <w:lang w:eastAsia="en-US"/>
                <w14:ligatures w14:val="standardContextual"/>
              </w:rPr>
              <w:noBreakHyphen/>
            </w:r>
            <w:r>
              <w:rPr>
                <w:rFonts w:ascii="Arial Narrow" w:hAnsi="Arial Narrow" w:cstheme="minorHAnsi"/>
                <w:kern w:val="2"/>
                <w:sz w:val="20"/>
                <w:szCs w:val="20"/>
                <w:lang w:eastAsia="en-US"/>
                <w14:ligatures w14:val="standardContextual"/>
              </w:rPr>
              <w:t>subfoveal</w:t>
            </w:r>
            <w:r>
              <w:rPr>
                <w:rFonts w:ascii="Arial Narrow" w:hAnsi="Arial Narrow"/>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GA lesion(s)</w:t>
            </w:r>
            <w:r w:rsidR="00A767A3" w:rsidRPr="00A767A3">
              <w:rPr>
                <w:rFonts w:ascii="Arial Narrow" w:hAnsi="Arial Narrow" w:cstheme="minorHAnsi"/>
                <w:color w:val="FF0000"/>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in the treated eye</w:t>
            </w:r>
            <w:r>
              <w:rPr>
                <w:rFonts w:ascii="Arial Narrow" w:hAnsi="Arial Narrow" w:cstheme="minorHAnsi"/>
                <w:strike/>
                <w:kern w:val="2"/>
                <w:sz w:val="20"/>
                <w:szCs w:val="20"/>
                <w:lang w:eastAsia="en-US"/>
                <w14:ligatures w14:val="standardContextual"/>
              </w:rPr>
              <w:t xml:space="preserve"> </w:t>
            </w:r>
          </w:p>
        </w:tc>
      </w:tr>
      <w:tr w:rsidR="009619E1" w14:paraId="1B085EF3"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976842" w14:textId="05FEC096" w:rsidR="009619E1" w:rsidRDefault="009619E1">
            <w:pPr>
              <w:keepNext/>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879266" w14:textId="77777777" w:rsidR="009619E1" w:rsidRDefault="009619E1">
            <w:pPr>
              <w:keepNext/>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Treatment criteria:</w:t>
            </w:r>
          </w:p>
        </w:tc>
      </w:tr>
      <w:tr w:rsidR="009619E1" w14:paraId="068FB56A"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2F488D" w14:textId="192EE07C"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FF0C82" w14:textId="77777777" w:rsidR="009619E1" w:rsidRDefault="009619E1">
            <w:pPr>
              <w:autoSpaceDE w:val="0"/>
              <w:autoSpaceDN w:val="0"/>
              <w:adjustRightInd w:val="0"/>
              <w:spacing w:line="256" w:lineRule="auto"/>
              <w:jc w:val="left"/>
              <w:rPr>
                <w:rFonts w:ascii="Arial Narrow" w:hAnsi="Arial Narrow" w:cs="Arial Narrow"/>
                <w:kern w:val="2"/>
                <w:sz w:val="20"/>
                <w:szCs w:val="20"/>
                <w:lang w:eastAsia="en-US"/>
                <w14:ligatures w14:val="standardContextual"/>
              </w:rPr>
            </w:pPr>
            <w:r>
              <w:rPr>
                <w:rFonts w:ascii="Arial Narrow" w:hAnsi="Arial Narrow" w:cs="Arial Narrow"/>
                <w:color w:val="000000"/>
                <w:kern w:val="2"/>
                <w:sz w:val="20"/>
                <w:szCs w:val="20"/>
                <w:lang w:eastAsia="en-US"/>
                <w14:ligatures w14:val="standardContextual"/>
              </w:rPr>
              <w:t>Must be treated by an ophthalmologist or by an accredited ophthalmology registrar in consultation with an ophthalmologist.</w:t>
            </w:r>
          </w:p>
        </w:tc>
      </w:tr>
      <w:tr w:rsidR="009619E1" w14:paraId="0EF28022"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2F6359" w14:textId="3666AC0C" w:rsidR="009619E1" w:rsidRDefault="009619E1">
            <w:pPr>
              <w:spacing w:line="256" w:lineRule="auto"/>
              <w:jc w:val="center"/>
              <w:rPr>
                <w:rFonts w:ascii="Arial Narrow" w:hAnsi="Arial Narrow"/>
                <w:i/>
                <w:iCs/>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031DE0" w14:textId="77777777" w:rsidR="009619E1" w:rsidRPr="009902BA" w:rsidRDefault="009619E1">
            <w:pPr>
              <w:spacing w:line="256" w:lineRule="auto"/>
              <w:rPr>
                <w:rFonts w:ascii="Arial Narrow" w:hAnsi="Arial Narrow"/>
                <w:b/>
                <w:kern w:val="2"/>
                <w:sz w:val="20"/>
                <w:szCs w:val="20"/>
                <w:lang w:eastAsia="en-US"/>
                <w14:ligatures w14:val="standardContextual"/>
              </w:rPr>
            </w:pPr>
            <w:r w:rsidRPr="009902BA">
              <w:rPr>
                <w:rFonts w:ascii="Arial Narrow" w:hAnsi="Arial Narrow"/>
                <w:b/>
                <w:kern w:val="2"/>
                <w:sz w:val="20"/>
                <w:szCs w:val="20"/>
                <w:lang w:eastAsia="en-US"/>
                <w14:ligatures w14:val="standardContextual"/>
              </w:rPr>
              <w:t>Prescribing Instructions:</w:t>
            </w:r>
          </w:p>
          <w:p w14:paraId="359E24B2" w14:textId="64C81375" w:rsidR="009619E1" w:rsidRDefault="009619E1">
            <w:pPr>
              <w:autoSpaceDE w:val="0"/>
              <w:autoSpaceDN w:val="0"/>
              <w:adjustRightInd w:val="0"/>
              <w:spacing w:line="256" w:lineRule="auto"/>
              <w:jc w:val="left"/>
              <w:rPr>
                <w:rFonts w:ascii="Arial Narrow" w:hAnsi="Arial Narrow" w:cs="Arial Narrow"/>
                <w:i/>
                <w:iCs/>
                <w:kern w:val="2"/>
                <w:sz w:val="20"/>
                <w:szCs w:val="20"/>
                <w:lang w:eastAsia="en-US"/>
                <w14:ligatures w14:val="standardContextual"/>
              </w:rPr>
            </w:pPr>
            <w:r w:rsidRPr="009902BA">
              <w:rPr>
                <w:rFonts w:ascii="Arial Narrow" w:hAnsi="Arial Narrow"/>
                <w:kern w:val="2"/>
                <w:sz w:val="20"/>
                <w:szCs w:val="20"/>
                <w:lang w:eastAsia="en-US"/>
                <w14:ligatures w14:val="standardContextual"/>
              </w:rPr>
              <w:t>At the time of the authority application, medical practitioners should request the appropriate number of repeats to provide for a continuing course of this drug sufficient for up to 24 weeks of therapy.</w:t>
            </w:r>
          </w:p>
        </w:tc>
      </w:tr>
      <w:tr w:rsidR="009619E1" w14:paraId="157DBB5E" w14:textId="77777777" w:rsidTr="00512304">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2A4610" w14:textId="1BE30847" w:rsidR="009619E1" w:rsidRDefault="009619E1">
            <w:pPr>
              <w:spacing w:line="256" w:lineRule="auto"/>
              <w:jc w:val="center"/>
              <w:rPr>
                <w:rFonts w:ascii="Arial Narrow" w:hAnsi="Arial Narrow"/>
                <w:color w:val="333333"/>
                <w:kern w:val="2"/>
                <w:sz w:val="20"/>
                <w:szCs w:val="20"/>
                <w:lang w:eastAsia="en-US"/>
                <w14:ligatures w14:val="standardContextual"/>
              </w:rPr>
            </w:pPr>
          </w:p>
          <w:p w14:paraId="58CE7FA5" w14:textId="6FC13CF1" w:rsidR="009619E1" w:rsidRDefault="009619E1">
            <w:pPr>
              <w:spacing w:line="256" w:lineRule="auto"/>
              <w:jc w:val="center"/>
              <w:rPr>
                <w:rFonts w:ascii="Arial Narrow" w:hAnsi="Arial Narrow"/>
                <w:color w:val="333333"/>
                <w:kern w:val="2"/>
                <w:sz w:val="20"/>
                <w:szCs w:val="20"/>
                <w:lang w:eastAsia="en-US"/>
                <w14:ligatures w14:val="standardContextual"/>
              </w:rPr>
            </w:pPr>
          </w:p>
        </w:tc>
        <w:tc>
          <w:tcPr>
            <w:tcW w:w="82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03C0C0" w14:textId="77777777" w:rsidR="009619E1" w:rsidRDefault="009619E1">
            <w:pPr>
              <w:spacing w:line="256" w:lineRule="auto"/>
              <w:jc w:val="left"/>
              <w:rPr>
                <w:rFonts w:ascii="Arial Narrow" w:hAnsi="Arial Narrow"/>
                <w:bCs/>
                <w:color w:val="FF0000"/>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 xml:space="preserve">Administrative Advice: </w:t>
            </w:r>
          </w:p>
          <w:p w14:paraId="7C063720" w14:textId="77777777" w:rsidR="009619E1" w:rsidRDefault="009619E1">
            <w:pPr>
              <w:keepLines/>
              <w:suppressLineNumbers/>
              <w:spacing w:after="80" w:line="256" w:lineRule="auto"/>
              <w:jc w:val="left"/>
              <w:textboxTightWrap w:val="allLines"/>
              <w:rPr>
                <w:rFonts w:ascii="Arial Narrow" w:hAnsi="Arial Narrow"/>
                <w:kern w:val="2"/>
                <w:sz w:val="20"/>
                <w:szCs w:val="20"/>
                <w:lang w:eastAsia="en-GB"/>
                <w14:ligatures w14:val="standardContextual"/>
              </w:rPr>
            </w:pPr>
            <w:r>
              <w:rPr>
                <w:rFonts w:ascii="Arial Narrow" w:hAnsi="Arial Narrow"/>
                <w:kern w:val="2"/>
                <w:sz w:val="20"/>
                <w:szCs w:val="20"/>
                <w:lang w:eastAsia="en-GB"/>
                <w14:ligatures w14:val="standardContextual"/>
              </w:rPr>
              <w:t>Any queries concerning the arrangements to prescribe may be directed to Services Australia on 1800 700 270 (hours of operation 8 a.m. to 5 p.m. Monday to Friday).</w:t>
            </w:r>
          </w:p>
        </w:tc>
      </w:tr>
    </w:tbl>
    <w:p w14:paraId="3C08E96E" w14:textId="77777777" w:rsidR="004C7E28" w:rsidRDefault="004C7E28" w:rsidP="004C7E28">
      <w:pPr>
        <w:pStyle w:val="3-BodyText"/>
        <w:numPr>
          <w:ilvl w:val="0"/>
          <w:numId w:val="0"/>
        </w:numPr>
        <w:ind w:left="720"/>
        <w:rPr>
          <w:snapToGrid w:val="0"/>
        </w:rPr>
      </w:pPr>
    </w:p>
    <w:p w14:paraId="1E4EE655" w14:textId="2B3A3E61" w:rsidR="009619E1" w:rsidRPr="00AD7281" w:rsidRDefault="00BA7CF6" w:rsidP="00AD7281">
      <w:pPr>
        <w:pStyle w:val="3-BodyText"/>
        <w:rPr>
          <w:snapToGrid w:val="0"/>
        </w:rPr>
      </w:pPr>
      <w:bookmarkStart w:id="85" w:name="_Ref225179463"/>
      <w:r w:rsidRPr="00F4647A">
        <w:rPr>
          <w:snapToGrid w:val="0"/>
        </w:rPr>
        <w:t>Flow on changes to</w:t>
      </w:r>
      <w:r w:rsidR="00974BBA" w:rsidRPr="00F4647A">
        <w:rPr>
          <w:snapToGrid w:val="0"/>
        </w:rPr>
        <w:t xml:space="preserve"> </w:t>
      </w:r>
      <w:r w:rsidR="00D235E0" w:rsidRPr="00F4647A">
        <w:rPr>
          <w:snapToGrid w:val="0"/>
        </w:rPr>
        <w:t>ACP</w:t>
      </w:r>
      <w:r w:rsidRPr="00F4647A">
        <w:rPr>
          <w:snapToGrid w:val="0"/>
        </w:rPr>
        <w:t xml:space="preserve"> listing</w:t>
      </w:r>
      <w:r w:rsidR="00985250">
        <w:rPr>
          <w:snapToGrid w:val="0"/>
        </w:rPr>
        <w:t xml:space="preserve"> </w:t>
      </w:r>
      <w:r w:rsidR="00AD7281">
        <w:rPr>
          <w:snapToGrid w:val="0"/>
        </w:rPr>
        <w:t>s</w:t>
      </w:r>
      <w:r w:rsidRPr="00AD7281">
        <w:rPr>
          <w:snapToGrid w:val="0"/>
        </w:rPr>
        <w:t>hould pegcetacoplan be listed for this indication</w:t>
      </w:r>
      <w:r w:rsidR="00AD7281">
        <w:rPr>
          <w:snapToGrid w:val="0"/>
        </w:rPr>
        <w:t>:</w:t>
      </w:r>
      <w:r w:rsidR="00BF1440" w:rsidRPr="00AD7281">
        <w:rPr>
          <w:snapToGrid w:val="0"/>
        </w:rPr>
        <w:t xml:space="preserve"> </w:t>
      </w:r>
      <w:r w:rsidR="00AD7281">
        <w:rPr>
          <w:snapToGrid w:val="0"/>
        </w:rPr>
        <w:t>A</w:t>
      </w:r>
      <w:r w:rsidR="00BF1440" w:rsidRPr="00AD7281">
        <w:rPr>
          <w:snapToGrid w:val="0"/>
        </w:rPr>
        <w:t xml:space="preserve">mend Initial treatment and Continuing treatment listings for </w:t>
      </w:r>
      <w:r w:rsidR="00A02E73" w:rsidRPr="00AD7281">
        <w:rPr>
          <w:snapToGrid w:val="0"/>
        </w:rPr>
        <w:t>ACP with the addition of the following clinical criteria:</w:t>
      </w:r>
      <w:bookmarkEnd w:id="85"/>
    </w:p>
    <w:p w14:paraId="3D9A5A75" w14:textId="77777777" w:rsidR="00427FC0" w:rsidRDefault="00427FC0" w:rsidP="00427FC0">
      <w:pPr>
        <w:pStyle w:val="3-BodyText"/>
        <w:numPr>
          <w:ilvl w:val="0"/>
          <w:numId w:val="0"/>
        </w:numPr>
        <w:rPr>
          <w:szCs w:val="24"/>
        </w:rPr>
      </w:pPr>
      <w:r>
        <w:t xml:space="preserve">Initial treatment: </w:t>
      </w:r>
    </w:p>
    <w:p w14:paraId="658D158A" w14:textId="77777777" w:rsidR="00427FC0" w:rsidRDefault="00427FC0" w:rsidP="00427FC0">
      <w:pPr>
        <w:pStyle w:val="3-BodyText"/>
        <w:numPr>
          <w:ilvl w:val="0"/>
          <w:numId w:val="0"/>
        </w:numPr>
        <w:ind w:left="720" w:hanging="720"/>
      </w:pPr>
      <w:r>
        <w:t>Add new concept IDs:</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avacincaptad pegol listing should pegcetacoplan be listed for this indication"/>
      </w:tblPr>
      <w:tblGrid>
        <w:gridCol w:w="1267"/>
        <w:gridCol w:w="8291"/>
      </w:tblGrid>
      <w:tr w:rsidR="00427FC0" w14:paraId="232064A4"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804392" w14:textId="77777777" w:rsidR="00427FC0" w:rsidRDefault="00427FC0">
            <w:pPr>
              <w:spacing w:line="256" w:lineRule="auto"/>
              <w:jc w:val="center"/>
              <w:rPr>
                <w:rFonts w:ascii="Arial Narrow" w:hAnsi="Arial Narrow"/>
                <w:i/>
                <w:iCs/>
                <w:color w:val="333333"/>
                <w:kern w:val="2"/>
                <w:sz w:val="20"/>
                <w:szCs w:val="20"/>
                <w:lang w:eastAsia="en-US"/>
                <w14:ligatures w14:val="standardContextual"/>
              </w:rPr>
            </w:pPr>
            <w:r w:rsidRPr="00A250C5">
              <w:rPr>
                <w:rFonts w:ascii="Arial Narrow" w:hAnsi="Arial Narrow"/>
                <w:i/>
                <w:iCs/>
                <w:color w:val="000000" w:themeColor="text1"/>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AD1C39" w14:textId="77777777" w:rsidR="00427FC0" w:rsidRDefault="00427FC0">
            <w:pPr>
              <w:spacing w:line="256" w:lineRule="auto"/>
              <w:jc w:val="left"/>
              <w:rPr>
                <w:rFonts w:ascii="Arial Narrow" w:hAnsi="Arial Narrow"/>
                <w:i/>
                <w:iCs/>
                <w:kern w:val="2"/>
                <w:sz w:val="20"/>
                <w:szCs w:val="20"/>
                <w:lang w:eastAsia="en-US"/>
                <w14:ligatures w14:val="standardContextual"/>
              </w:rPr>
            </w:pPr>
            <w:r>
              <w:rPr>
                <w:rFonts w:ascii="Arial Narrow" w:hAnsi="Arial Narrow"/>
                <w:b/>
                <w:bCs/>
                <w:i/>
                <w:iCs/>
                <w:kern w:val="2"/>
                <w:sz w:val="20"/>
                <w:szCs w:val="20"/>
                <w:lang w:eastAsia="en-US"/>
                <w14:ligatures w14:val="standardContextual"/>
              </w:rPr>
              <w:t>Clinical criteria:</w:t>
            </w:r>
          </w:p>
        </w:tc>
      </w:tr>
      <w:tr w:rsidR="00427FC0" w14:paraId="1D71D784"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C1A851" w14:textId="77777777" w:rsidR="00427FC0" w:rsidRDefault="00427FC0">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6302DF" w14:textId="7B630727" w:rsidR="00427FC0" w:rsidRDefault="00427FC0">
            <w:pPr>
              <w:spacing w:line="256" w:lineRule="auto"/>
              <w:jc w:val="left"/>
              <w:rPr>
                <w:rFonts w:ascii="Arial Narrow" w:hAnsi="Arial Narrow"/>
                <w:i/>
                <w:iCs/>
                <w:kern w:val="2"/>
                <w:sz w:val="20"/>
                <w:szCs w:val="20"/>
                <w:lang w:eastAsia="en-US"/>
                <w14:ligatures w14:val="standardContextual"/>
              </w:rPr>
            </w:pPr>
            <w:r>
              <w:rPr>
                <w:rFonts w:ascii="Arial Narrow" w:hAnsi="Arial Narrow"/>
                <w:i/>
                <w:iCs/>
                <w:kern w:val="2"/>
                <w:sz w:val="20"/>
                <w:szCs w:val="20"/>
                <w:lang w:eastAsia="en-US"/>
                <w14:ligatures w14:val="standardContextual"/>
              </w:rPr>
              <w:t xml:space="preserve">Patient must not have </w:t>
            </w:r>
            <w:r w:rsidR="00A451C7" w:rsidRPr="00A250C5">
              <w:rPr>
                <w:rFonts w:ascii="Arial Narrow" w:hAnsi="Arial Narrow"/>
                <w:i/>
                <w:iCs/>
                <w:color w:val="000000" w:themeColor="text1"/>
                <w:kern w:val="2"/>
                <w:sz w:val="20"/>
                <w:szCs w:val="20"/>
                <w:lang w:eastAsia="en-US"/>
                <w14:ligatures w14:val="standardContextual"/>
              </w:rPr>
              <w:t xml:space="preserve">previously received treatment with </w:t>
            </w:r>
            <w:r>
              <w:rPr>
                <w:rFonts w:ascii="Arial Narrow" w:hAnsi="Arial Narrow"/>
                <w:i/>
                <w:iCs/>
                <w:kern w:val="2"/>
                <w:sz w:val="20"/>
                <w:szCs w:val="20"/>
                <w:lang w:eastAsia="en-US"/>
                <w14:ligatures w14:val="standardContextual"/>
              </w:rPr>
              <w:t>pegcetacoplan for this condition prior to initiating PBS</w:t>
            </w:r>
            <w:r w:rsidR="009B60A6">
              <w:rPr>
                <w:rFonts w:ascii="Arial Narrow" w:hAnsi="Arial Narrow"/>
                <w:i/>
                <w:iCs/>
                <w:kern w:val="2"/>
                <w:sz w:val="20"/>
                <w:szCs w:val="20"/>
                <w:lang w:eastAsia="en-US"/>
                <w14:ligatures w14:val="standardContextual"/>
              </w:rPr>
              <w:noBreakHyphen/>
            </w:r>
            <w:r>
              <w:rPr>
                <w:rFonts w:ascii="Arial Narrow" w:hAnsi="Arial Narrow"/>
                <w:i/>
                <w:iCs/>
                <w:kern w:val="2"/>
                <w:sz w:val="20"/>
                <w:szCs w:val="20"/>
                <w:lang w:eastAsia="en-US"/>
                <w14:ligatures w14:val="standardContextual"/>
              </w:rPr>
              <w:t>subsidised treatment with this drug</w:t>
            </w:r>
          </w:p>
        </w:tc>
      </w:tr>
      <w:tr w:rsidR="00427FC0" w14:paraId="7AAF0B67"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65A6C4" w14:textId="77777777" w:rsidR="00427FC0" w:rsidRDefault="00427FC0">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BB6F70" w14:textId="77777777" w:rsidR="00427FC0" w:rsidRDefault="00427FC0">
            <w:pPr>
              <w:spacing w:line="256" w:lineRule="auto"/>
              <w:jc w:val="left"/>
              <w:rPr>
                <w:rFonts w:ascii="Arial Narrow" w:hAnsi="Arial Narrow"/>
                <w:i/>
                <w:iCs/>
                <w:kern w:val="2"/>
                <w:sz w:val="20"/>
                <w:szCs w:val="20"/>
                <w:lang w:eastAsia="en-US"/>
                <w14:ligatures w14:val="standardContextual"/>
              </w:rPr>
            </w:pPr>
            <w:r>
              <w:rPr>
                <w:rFonts w:ascii="Arial Narrow" w:hAnsi="Arial Narrow"/>
                <w:b/>
                <w:bCs/>
                <w:i/>
                <w:iCs/>
                <w:kern w:val="2"/>
                <w:sz w:val="20"/>
                <w:szCs w:val="20"/>
                <w:lang w:eastAsia="en-US"/>
                <w14:ligatures w14:val="standardContextual"/>
              </w:rPr>
              <w:t>AND</w:t>
            </w:r>
          </w:p>
        </w:tc>
      </w:tr>
      <w:tr w:rsidR="00427FC0" w14:paraId="60BFBA2F"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5567F4" w14:textId="77777777" w:rsidR="00427FC0" w:rsidRDefault="00427FC0">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81C717" w14:textId="77777777" w:rsidR="00427FC0" w:rsidRDefault="00427FC0">
            <w:pPr>
              <w:spacing w:line="256" w:lineRule="auto"/>
              <w:jc w:val="left"/>
              <w:rPr>
                <w:rFonts w:ascii="Arial Narrow" w:hAnsi="Arial Narrow"/>
                <w:i/>
                <w:iCs/>
                <w:kern w:val="2"/>
                <w:sz w:val="20"/>
                <w:szCs w:val="20"/>
                <w:lang w:eastAsia="en-US"/>
                <w14:ligatures w14:val="standardContextual"/>
              </w:rPr>
            </w:pPr>
            <w:r>
              <w:rPr>
                <w:rFonts w:ascii="Arial Narrow" w:hAnsi="Arial Narrow"/>
                <w:b/>
                <w:bCs/>
                <w:i/>
                <w:iCs/>
                <w:kern w:val="2"/>
                <w:sz w:val="20"/>
                <w:szCs w:val="20"/>
                <w:lang w:eastAsia="en-US"/>
                <w14:ligatures w14:val="standardContextual"/>
              </w:rPr>
              <w:t>Clinical criteria:</w:t>
            </w:r>
          </w:p>
        </w:tc>
      </w:tr>
      <w:tr w:rsidR="00427FC0" w14:paraId="3F03620D"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568E97" w14:textId="77777777" w:rsidR="00427FC0" w:rsidRDefault="00427FC0">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A917D0" w14:textId="697B7508" w:rsidR="00427FC0" w:rsidRDefault="00427FC0">
            <w:pPr>
              <w:spacing w:line="256" w:lineRule="auto"/>
              <w:jc w:val="left"/>
              <w:rPr>
                <w:rFonts w:ascii="Arial Narrow" w:hAnsi="Arial Narrow"/>
                <w:i/>
                <w:iCs/>
                <w:kern w:val="2"/>
                <w:sz w:val="20"/>
                <w:szCs w:val="20"/>
                <w:lang w:eastAsia="en-US"/>
                <w14:ligatures w14:val="standardContextual"/>
              </w:rPr>
            </w:pPr>
            <w:r>
              <w:rPr>
                <w:rFonts w:ascii="Arial Narrow" w:hAnsi="Arial Narrow"/>
                <w:i/>
                <w:iCs/>
                <w:kern w:val="2"/>
                <w:sz w:val="20"/>
                <w:szCs w:val="20"/>
                <w:lang w:eastAsia="en-US"/>
                <w14:ligatures w14:val="standardContextual"/>
              </w:rPr>
              <w:t xml:space="preserve">Patient must not be receiving concomitant treatment with </w:t>
            </w:r>
            <w:r w:rsidR="00803460">
              <w:rPr>
                <w:rFonts w:ascii="Arial Narrow" w:hAnsi="Arial Narrow"/>
                <w:i/>
                <w:iCs/>
                <w:kern w:val="2"/>
                <w:sz w:val="20"/>
                <w:szCs w:val="20"/>
                <w:lang w:eastAsia="en-US"/>
                <w14:ligatures w14:val="standardContextual"/>
              </w:rPr>
              <w:t>pegcetacoplan</w:t>
            </w:r>
            <w:r>
              <w:rPr>
                <w:rFonts w:ascii="Arial Narrow" w:hAnsi="Arial Narrow"/>
                <w:i/>
                <w:iCs/>
                <w:kern w:val="2"/>
                <w:sz w:val="20"/>
                <w:szCs w:val="20"/>
                <w:lang w:eastAsia="en-US"/>
                <w14:ligatures w14:val="standardContextual"/>
              </w:rPr>
              <w:t xml:space="preserve"> for this condition</w:t>
            </w:r>
          </w:p>
        </w:tc>
      </w:tr>
    </w:tbl>
    <w:p w14:paraId="378D6257" w14:textId="3B3A5121" w:rsidR="00427FC0" w:rsidRPr="00433380" w:rsidRDefault="00427FC0" w:rsidP="00433380">
      <w:pPr>
        <w:pStyle w:val="3-BodyText"/>
        <w:numPr>
          <w:ilvl w:val="0"/>
          <w:numId w:val="0"/>
        </w:numPr>
      </w:pPr>
      <w:r>
        <w:t>Continuing treatment:</w:t>
      </w:r>
    </w:p>
    <w:p w14:paraId="46027A26" w14:textId="435FFC0C" w:rsidR="00427FC0" w:rsidRPr="0049767F" w:rsidRDefault="00427FC0" w:rsidP="0049767F">
      <w:pPr>
        <w:pStyle w:val="3-BodyText"/>
        <w:numPr>
          <w:ilvl w:val="0"/>
          <w:numId w:val="0"/>
        </w:numPr>
        <w:ind w:left="720" w:hanging="720"/>
        <w:rPr>
          <w:snapToGrid w:val="0"/>
        </w:rPr>
      </w:pPr>
      <w:r w:rsidRPr="0049767F">
        <w:rPr>
          <w:snapToGrid w:val="0"/>
        </w:rPr>
        <w:t>Add new concept IDs:</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avacincaptad pegol listing should pegcetacoplan be listed for this indication"/>
      </w:tblPr>
      <w:tblGrid>
        <w:gridCol w:w="1267"/>
        <w:gridCol w:w="8291"/>
      </w:tblGrid>
      <w:tr w:rsidR="00427FC0" w14:paraId="5212F5E7"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14D5C6" w14:textId="77777777" w:rsidR="00427FC0" w:rsidRDefault="00427FC0">
            <w:pPr>
              <w:spacing w:line="256" w:lineRule="auto"/>
              <w:jc w:val="center"/>
              <w:rPr>
                <w:rFonts w:ascii="Arial Narrow" w:hAnsi="Arial Narrow"/>
                <w:i/>
                <w:iCs/>
                <w:color w:val="333333"/>
                <w:kern w:val="2"/>
                <w:sz w:val="20"/>
                <w:szCs w:val="20"/>
                <w:lang w:eastAsia="en-US"/>
                <w14:ligatures w14:val="standardContextual"/>
              </w:rPr>
            </w:pPr>
            <w:r w:rsidRPr="00A250C5">
              <w:rPr>
                <w:rFonts w:ascii="Arial Narrow" w:hAnsi="Arial Narrow"/>
                <w:i/>
                <w:iCs/>
                <w:color w:val="000000" w:themeColor="text1"/>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5A0232" w14:textId="77777777" w:rsidR="00427FC0" w:rsidRDefault="00427FC0">
            <w:pPr>
              <w:spacing w:line="256" w:lineRule="auto"/>
              <w:rPr>
                <w:rFonts w:ascii="Arial Narrow" w:hAnsi="Arial Narrow"/>
                <w:kern w:val="2"/>
                <w:sz w:val="20"/>
                <w:szCs w:val="20"/>
                <w:lang w:eastAsia="en-US"/>
                <w14:ligatures w14:val="standardContextual"/>
              </w:rPr>
            </w:pPr>
            <w:r>
              <w:rPr>
                <w:rFonts w:ascii="Arial Narrow" w:hAnsi="Arial Narrow"/>
                <w:b/>
                <w:bCs/>
                <w:i/>
                <w:iCs/>
                <w:kern w:val="2"/>
                <w:sz w:val="20"/>
                <w:szCs w:val="20"/>
                <w:lang w:eastAsia="en-US"/>
                <w14:ligatures w14:val="standardContextual"/>
              </w:rPr>
              <w:t>Clinical criteria:</w:t>
            </w:r>
          </w:p>
        </w:tc>
      </w:tr>
      <w:tr w:rsidR="00427FC0" w14:paraId="681959E1"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709289" w14:textId="77777777" w:rsidR="00427FC0" w:rsidRDefault="00427FC0">
            <w:pPr>
              <w:spacing w:line="256" w:lineRule="auto"/>
              <w:jc w:val="center"/>
              <w:rPr>
                <w:rFonts w:ascii="Arial Narrow" w:hAnsi="Arial Narrow"/>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B266AA" w14:textId="6E7B5DBE" w:rsidR="00427FC0" w:rsidRDefault="00427FC0">
            <w:pPr>
              <w:spacing w:line="256" w:lineRule="auto"/>
              <w:rPr>
                <w:rFonts w:ascii="Arial Narrow" w:hAnsi="Arial Narrow"/>
                <w:b/>
                <w:bCs/>
                <w:i/>
                <w:iCs/>
                <w:kern w:val="2"/>
                <w:sz w:val="20"/>
                <w:szCs w:val="20"/>
                <w:lang w:eastAsia="en-US"/>
                <w14:ligatures w14:val="standardContextual"/>
              </w:rPr>
            </w:pPr>
            <w:r>
              <w:rPr>
                <w:rFonts w:ascii="Arial Narrow" w:hAnsi="Arial Narrow"/>
                <w:i/>
                <w:iCs/>
                <w:kern w:val="2"/>
                <w:sz w:val="20"/>
                <w:szCs w:val="20"/>
                <w:lang w:eastAsia="en-US"/>
                <w14:ligatures w14:val="standardContextual"/>
              </w:rPr>
              <w:t xml:space="preserve">Patient must not be receiving concomitant treatment with </w:t>
            </w:r>
            <w:r w:rsidR="0049767F">
              <w:rPr>
                <w:rFonts w:ascii="Arial Narrow" w:hAnsi="Arial Narrow"/>
                <w:i/>
                <w:iCs/>
                <w:kern w:val="2"/>
                <w:sz w:val="20"/>
                <w:szCs w:val="20"/>
                <w:lang w:eastAsia="en-US"/>
                <w14:ligatures w14:val="standardContextual"/>
              </w:rPr>
              <w:t>pegcetacoplan</w:t>
            </w:r>
            <w:r>
              <w:rPr>
                <w:rFonts w:ascii="Arial Narrow" w:hAnsi="Arial Narrow"/>
                <w:i/>
                <w:iCs/>
                <w:kern w:val="2"/>
                <w:sz w:val="20"/>
                <w:szCs w:val="20"/>
                <w:lang w:eastAsia="en-US"/>
                <w14:ligatures w14:val="standardContextual"/>
              </w:rPr>
              <w:t xml:space="preserve"> for this condition</w:t>
            </w:r>
          </w:p>
        </w:tc>
      </w:tr>
    </w:tbl>
    <w:p w14:paraId="3BF4AF54" w14:textId="77777777" w:rsidR="00A02E73" w:rsidRDefault="00A02E73" w:rsidP="00A02E73">
      <w:pPr>
        <w:pStyle w:val="3-BodyText"/>
        <w:numPr>
          <w:ilvl w:val="0"/>
          <w:numId w:val="0"/>
        </w:numPr>
        <w:rPr>
          <w:snapToGrid w:val="0"/>
        </w:rPr>
      </w:pPr>
    </w:p>
    <w:p w14:paraId="29F4E22F" w14:textId="1F710EEE" w:rsidR="00E01496" w:rsidRDefault="00FC212C" w:rsidP="00E01496">
      <w:pPr>
        <w:pStyle w:val="3-BodyText"/>
        <w:rPr>
          <w:snapToGrid w:val="0"/>
        </w:rPr>
      </w:pPr>
      <w:bookmarkStart w:id="86" w:name="_Ref225179393"/>
      <w:r>
        <w:rPr>
          <w:snapToGrid w:val="0"/>
        </w:rPr>
        <w:t xml:space="preserve">Flow on changes to </w:t>
      </w:r>
      <w:r w:rsidR="00284195">
        <w:rPr>
          <w:snapToGrid w:val="0"/>
        </w:rPr>
        <w:t>pegcetacoplan listing</w:t>
      </w:r>
      <w:r w:rsidR="00F21C1C">
        <w:rPr>
          <w:snapToGrid w:val="0"/>
        </w:rPr>
        <w:t xml:space="preserve"> </w:t>
      </w:r>
      <w:r w:rsidR="00E01496" w:rsidRPr="00E01496">
        <w:rPr>
          <w:snapToGrid w:val="0"/>
        </w:rPr>
        <w:t>s</w:t>
      </w:r>
      <w:r w:rsidR="00284195" w:rsidRPr="00E01496">
        <w:rPr>
          <w:snapToGrid w:val="0"/>
        </w:rPr>
        <w:t>hould pegcetacoplan be listed for this indication</w:t>
      </w:r>
      <w:r w:rsidR="00E01496">
        <w:rPr>
          <w:snapToGrid w:val="0"/>
        </w:rPr>
        <w:t>:</w:t>
      </w:r>
    </w:p>
    <w:p w14:paraId="1F6D8D77" w14:textId="3C8778E5" w:rsidR="00CA204B" w:rsidRPr="00E01496" w:rsidRDefault="00E01496" w:rsidP="00E01496">
      <w:pPr>
        <w:pStyle w:val="3-BodyText"/>
        <w:numPr>
          <w:ilvl w:val="0"/>
          <w:numId w:val="0"/>
        </w:numPr>
        <w:ind w:left="720"/>
        <w:rPr>
          <w:snapToGrid w:val="0"/>
        </w:rPr>
      </w:pPr>
      <w:r>
        <w:rPr>
          <w:snapToGrid w:val="0"/>
        </w:rPr>
        <w:t>A</w:t>
      </w:r>
      <w:r w:rsidR="00284195" w:rsidRPr="00E01496">
        <w:rPr>
          <w:snapToGrid w:val="0"/>
        </w:rPr>
        <w:t xml:space="preserve">mend the Initial treatment and Continuing treatment listings </w:t>
      </w:r>
      <w:r w:rsidR="001E6592" w:rsidRPr="00E01496">
        <w:rPr>
          <w:snapToGrid w:val="0"/>
        </w:rPr>
        <w:t>outlined in Section 8</w:t>
      </w:r>
      <w:r w:rsidR="00001B72" w:rsidRPr="00E01496">
        <w:rPr>
          <w:iCs/>
        </w:rPr>
        <w:t>, pegcetacoplan PSD, November 2025 PBAC meeting</w:t>
      </w:r>
      <w:r w:rsidR="009C09B3" w:rsidRPr="00E01496">
        <w:rPr>
          <w:iCs/>
        </w:rPr>
        <w:t xml:space="preserve"> as follow</w:t>
      </w:r>
      <w:r w:rsidR="00083D25" w:rsidRPr="00E01496">
        <w:rPr>
          <w:iCs/>
        </w:rPr>
        <w:t>s</w:t>
      </w:r>
      <w:r w:rsidR="005622B1" w:rsidRPr="00E01496">
        <w:rPr>
          <w:iCs/>
        </w:rPr>
        <w:t xml:space="preserve"> </w:t>
      </w:r>
      <w:proofErr w:type="gramStart"/>
      <w:r w:rsidR="005622B1" w:rsidRPr="00E01496">
        <w:rPr>
          <w:iCs/>
        </w:rPr>
        <w:t>in order</w:t>
      </w:r>
      <w:r w:rsidR="00083D25" w:rsidRPr="00E01496">
        <w:rPr>
          <w:iCs/>
        </w:rPr>
        <w:t xml:space="preserve"> to</w:t>
      </w:r>
      <w:proofErr w:type="gramEnd"/>
      <w:r w:rsidR="00083D25" w:rsidRPr="00E01496">
        <w:rPr>
          <w:iCs/>
        </w:rPr>
        <w:t xml:space="preserve"> r</w:t>
      </w:r>
      <w:r w:rsidR="00CA204B" w:rsidRPr="00083D25">
        <w:t>emove numerical values associated with confirmation of lesion growth and location:</w:t>
      </w:r>
      <w:bookmarkEnd w:id="86"/>
    </w:p>
    <w:p w14:paraId="3ED10B53" w14:textId="77777777" w:rsidR="00CA204B" w:rsidRPr="00CF62A9" w:rsidRDefault="00CA204B" w:rsidP="00CA204B">
      <w:pPr>
        <w:rPr>
          <w:rFonts w:asciiTheme="minorHAnsi" w:eastAsiaTheme="minorHAnsi" w:hAnsiTheme="minorHAnsi" w:cstheme="minorBidi"/>
          <w:szCs w:val="22"/>
        </w:rPr>
      </w:pPr>
      <w:r w:rsidRPr="00CF62A9">
        <w:rPr>
          <w:rFonts w:asciiTheme="minorHAnsi" w:eastAsiaTheme="minorHAnsi" w:hAnsiTheme="minorHAnsi" w:cstheme="minorBidi"/>
          <w:szCs w:val="22"/>
        </w:rPr>
        <w:t xml:space="preserve">Initial treatment: </w:t>
      </w:r>
    </w:p>
    <w:p w14:paraId="74AC325C" w14:textId="77777777" w:rsidR="00CA204B" w:rsidRPr="00CF62A9" w:rsidRDefault="00CA204B" w:rsidP="00CA204B">
      <w:pPr>
        <w:rPr>
          <w:rFonts w:asciiTheme="minorHAnsi" w:eastAsiaTheme="minorHAnsi" w:hAnsiTheme="minorHAnsi" w:cstheme="minorBidi"/>
          <w:szCs w:val="22"/>
        </w:rPr>
      </w:pPr>
      <w:r w:rsidRPr="00CF62A9">
        <w:rPr>
          <w:rFonts w:asciiTheme="minorHAnsi" w:eastAsiaTheme="minorHAnsi" w:hAnsiTheme="minorHAnsi" w:cstheme="minorBidi"/>
          <w:szCs w:val="22"/>
        </w:rPr>
        <w:t xml:space="preserve">Amend concept IDs: </w:t>
      </w:r>
    </w:p>
    <w:p w14:paraId="0D14F101" w14:textId="77777777" w:rsidR="00CA204B" w:rsidRDefault="00CA204B" w:rsidP="00CA204B">
      <w:pPr>
        <w:rPr>
          <w:rFonts w:ascii="Arial Narrow" w:hAnsi="Arial Narrow"/>
          <w:color w:val="FF0000"/>
          <w:sz w:val="20"/>
          <w:szCs w:val="20"/>
        </w:rPr>
      </w:pP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8.3 Flow on changes to pegcetacoplan listing should pegcetacoplan be listed for this indication"/>
      </w:tblPr>
      <w:tblGrid>
        <w:gridCol w:w="1267"/>
        <w:gridCol w:w="8291"/>
      </w:tblGrid>
      <w:tr w:rsidR="00CA204B" w14:paraId="4F5C06C7"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6E7752" w14:textId="77777777" w:rsidR="00CA204B" w:rsidRDefault="00CA204B">
            <w:pPr>
              <w:spacing w:line="256" w:lineRule="auto"/>
              <w:jc w:val="center"/>
              <w:rPr>
                <w:rFonts w:ascii="Arial Narrow" w:hAnsi="Arial Narrow"/>
                <w:i/>
                <w:iCs/>
                <w:color w:val="FF0000"/>
                <w:kern w:val="2"/>
                <w:sz w:val="20"/>
                <w:szCs w:val="20"/>
                <w:lang w:eastAsia="en-US"/>
                <w14:ligatures w14:val="standardContextual"/>
              </w:rPr>
            </w:pPr>
            <w:r>
              <w:rPr>
                <w:rFonts w:ascii="Arial Narrow" w:hAnsi="Arial Narrow"/>
                <w:i/>
                <w:iCs/>
                <w:color w:val="FF0000"/>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E47B53" w14:textId="77777777" w:rsidR="00CA204B" w:rsidRDefault="00CA204B">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CA204B" w14:paraId="3DB32DDF"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7CE227" w14:textId="77777777" w:rsidR="00CA204B" w:rsidRDefault="00CA204B">
            <w:pPr>
              <w:spacing w:line="256" w:lineRule="auto"/>
              <w:jc w:val="center"/>
              <w:rPr>
                <w:rFonts w:ascii="Arial Narrow" w:hAnsi="Arial Narrow"/>
                <w:color w:val="FF0000"/>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FCAE30" w14:textId="708DA0AC" w:rsidR="00CA204B" w:rsidRPr="00C61D6C" w:rsidRDefault="00CA204B">
            <w:pPr>
              <w:spacing w:line="256" w:lineRule="auto"/>
              <w:jc w:val="left"/>
              <w:rPr>
                <w:rFonts w:ascii="Arial Narrow" w:eastAsiaTheme="minorHAnsi" w:hAnsi="Arial Narrow" w:cstheme="minorHAnsi"/>
                <w:i/>
                <w:iCs/>
                <w:color w:val="FF0000"/>
                <w:kern w:val="2"/>
                <w:sz w:val="20"/>
                <w:szCs w:val="20"/>
                <w:lang w:eastAsia="en-US"/>
                <w14:ligatures w14:val="standardContextual"/>
              </w:rPr>
            </w:pPr>
            <w:r>
              <w:rPr>
                <w:rFonts w:ascii="Arial Narrow" w:hAnsi="Arial Narrow" w:cstheme="minorHAnsi"/>
                <w:kern w:val="2"/>
                <w:sz w:val="20"/>
                <w:szCs w:val="20"/>
                <w:lang w:eastAsia="en-US"/>
                <w14:ligatures w14:val="standardContextual"/>
              </w:rPr>
              <w:t>The patient must have non</w:t>
            </w:r>
            <w:r w:rsidR="009B60A6">
              <w:rPr>
                <w:rFonts w:ascii="Arial Narrow" w:hAnsi="Arial Narrow" w:cstheme="minorHAnsi"/>
                <w:kern w:val="2"/>
                <w:sz w:val="20"/>
                <w:szCs w:val="20"/>
                <w:lang w:eastAsia="en-US"/>
                <w14:ligatures w14:val="standardContextual"/>
              </w:rPr>
              <w:noBreakHyphen/>
            </w:r>
            <w:r>
              <w:rPr>
                <w:rFonts w:ascii="Arial Narrow" w:hAnsi="Arial Narrow" w:cstheme="minorHAnsi"/>
                <w:kern w:val="2"/>
                <w:sz w:val="20"/>
                <w:szCs w:val="20"/>
                <w:lang w:eastAsia="en-US"/>
                <w14:ligatures w14:val="standardContextual"/>
              </w:rPr>
              <w:t>subfoveal</w:t>
            </w:r>
            <w:r>
              <w:rPr>
                <w:rFonts w:ascii="Arial Narrow" w:hAnsi="Arial Narrow"/>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 xml:space="preserve">geographic atrophy (GA) lesion(s), </w:t>
            </w:r>
            <w:r>
              <w:rPr>
                <w:rFonts w:ascii="Arial Narrow" w:hAnsi="Arial Narrow" w:cstheme="minorHAnsi"/>
                <w:strike/>
                <w:color w:val="FF0000"/>
                <w:kern w:val="2"/>
                <w:sz w:val="20"/>
                <w:szCs w:val="20"/>
                <w:lang w:eastAsia="en-US"/>
                <w14:ligatures w14:val="standardContextual"/>
              </w:rPr>
              <w:t xml:space="preserve">distanced from the centre point of the fovea by at least 1 micrometre </w:t>
            </w:r>
            <w:r>
              <w:rPr>
                <w:rFonts w:ascii="Arial Narrow" w:hAnsi="Arial Narrow" w:cstheme="minorHAnsi"/>
                <w:kern w:val="2"/>
                <w:sz w:val="20"/>
                <w:szCs w:val="20"/>
                <w:lang w:eastAsia="en-US"/>
                <w14:ligatures w14:val="standardContextual"/>
              </w:rPr>
              <w:t xml:space="preserve">in the </w:t>
            </w:r>
            <w:r w:rsidRPr="00C61D6C">
              <w:rPr>
                <w:rFonts w:ascii="Arial Narrow" w:hAnsi="Arial Narrow" w:cstheme="minorHAnsi"/>
                <w:strike/>
                <w:kern w:val="2"/>
                <w:sz w:val="20"/>
                <w:szCs w:val="20"/>
                <w:lang w:eastAsia="en-US"/>
                <w14:ligatures w14:val="standardContextual"/>
              </w:rPr>
              <w:t xml:space="preserve">treated </w:t>
            </w:r>
            <w:r>
              <w:rPr>
                <w:rFonts w:ascii="Arial Narrow" w:hAnsi="Arial Narrow" w:cstheme="minorHAnsi"/>
                <w:kern w:val="2"/>
                <w:sz w:val="20"/>
                <w:szCs w:val="20"/>
                <w:lang w:eastAsia="en-US"/>
                <w14:ligatures w14:val="standardContextual"/>
              </w:rPr>
              <w:t>eye</w:t>
            </w:r>
            <w:r>
              <w:rPr>
                <w:rFonts w:ascii="Arial Narrow" w:hAnsi="Arial Narrow" w:cstheme="minorHAnsi"/>
                <w:strike/>
                <w:kern w:val="2"/>
                <w:sz w:val="20"/>
                <w:szCs w:val="20"/>
                <w:lang w:eastAsia="en-US"/>
                <w14:ligatures w14:val="standardContextual"/>
              </w:rPr>
              <w:t xml:space="preserve"> </w:t>
            </w:r>
            <w:r w:rsidR="00C61D6C" w:rsidRPr="00C61D6C">
              <w:rPr>
                <w:rFonts w:ascii="Arial Narrow" w:hAnsi="Arial Narrow" w:cstheme="minorHAnsi"/>
                <w:i/>
                <w:iCs/>
                <w:color w:val="FF0000"/>
                <w:kern w:val="2"/>
                <w:sz w:val="20"/>
                <w:szCs w:val="20"/>
                <w:lang w:eastAsia="en-US"/>
                <w14:ligatures w14:val="standardContextual"/>
              </w:rPr>
              <w:t>intending to be treated</w:t>
            </w:r>
          </w:p>
        </w:tc>
      </w:tr>
      <w:tr w:rsidR="00CA204B" w14:paraId="60FCD578"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F393F6" w14:textId="77777777" w:rsidR="00CA204B" w:rsidRDefault="00CA204B">
            <w:pPr>
              <w:spacing w:line="256" w:lineRule="auto"/>
              <w:jc w:val="center"/>
              <w:rPr>
                <w:rFonts w:ascii="Arial Narrow" w:hAnsi="Arial Narrow"/>
                <w:color w:val="FF0000"/>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8016F1" w14:textId="77777777" w:rsidR="00CA204B" w:rsidRDefault="00CA204B">
            <w:pPr>
              <w:spacing w:line="256" w:lineRule="auto"/>
              <w:jc w:val="left"/>
              <w:rPr>
                <w:rFonts w:ascii="Arial Narrow" w:hAnsi="Arial Narrow"/>
                <w:b/>
                <w:bCs/>
                <w:color w:val="000000" w:themeColor="text1"/>
                <w:kern w:val="2"/>
                <w:sz w:val="20"/>
                <w:szCs w:val="20"/>
                <w:lang w:eastAsia="en-US"/>
                <w14:ligatures w14:val="standardContextual"/>
              </w:rPr>
            </w:pPr>
            <w:r>
              <w:rPr>
                <w:rFonts w:ascii="Arial Narrow" w:hAnsi="Arial Narrow"/>
                <w:b/>
                <w:bCs/>
                <w:color w:val="000000" w:themeColor="text1"/>
                <w:kern w:val="2"/>
                <w:sz w:val="20"/>
                <w:szCs w:val="20"/>
                <w:lang w:eastAsia="en-US"/>
                <w14:ligatures w14:val="standardContextual"/>
              </w:rPr>
              <w:t>AND</w:t>
            </w:r>
          </w:p>
        </w:tc>
      </w:tr>
      <w:tr w:rsidR="00CA204B" w14:paraId="4F42B02D"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964617" w14:textId="77777777" w:rsidR="00CA204B" w:rsidRDefault="00CA204B">
            <w:pPr>
              <w:spacing w:line="256" w:lineRule="auto"/>
              <w:jc w:val="center"/>
              <w:rPr>
                <w:rFonts w:ascii="Arial Narrow" w:hAnsi="Arial Narrow"/>
                <w:i/>
                <w:iCs/>
                <w:color w:val="FF0000"/>
                <w:kern w:val="2"/>
                <w:sz w:val="20"/>
                <w:szCs w:val="20"/>
                <w:lang w:eastAsia="en-US"/>
                <w14:ligatures w14:val="standardContextual"/>
              </w:rPr>
            </w:pPr>
            <w:r>
              <w:rPr>
                <w:rFonts w:ascii="Arial Narrow" w:hAnsi="Arial Narrow"/>
                <w:i/>
                <w:iCs/>
                <w:color w:val="FF0000"/>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0BD6F8" w14:textId="77777777" w:rsidR="00CA204B" w:rsidRDefault="00CA204B">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CA204B" w14:paraId="08547D37"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6D7E25" w14:textId="77777777" w:rsidR="00CA204B" w:rsidRDefault="00CA204B">
            <w:pPr>
              <w:spacing w:line="256" w:lineRule="auto"/>
              <w:jc w:val="center"/>
              <w:rPr>
                <w:rFonts w:ascii="Arial Narrow" w:hAnsi="Arial Narrow"/>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8D3C71" w14:textId="62CCE7B3" w:rsidR="00CA204B" w:rsidRDefault="00CA204B">
            <w:pPr>
              <w:spacing w:line="256" w:lineRule="auto"/>
              <w:jc w:val="left"/>
              <w:rPr>
                <w:rFonts w:ascii="Arial Narrow" w:hAnsi="Arial Narrow"/>
                <w:kern w:val="2"/>
                <w:sz w:val="20"/>
                <w:szCs w:val="20"/>
                <w:lang w:eastAsia="en-US"/>
                <w14:ligatures w14:val="standardContextual"/>
              </w:rPr>
            </w:pPr>
            <w:r>
              <w:rPr>
                <w:rFonts w:ascii="Arial Narrow" w:hAnsi="Arial Narrow"/>
                <w:kern w:val="2"/>
                <w:sz w:val="20"/>
                <w:szCs w:val="20"/>
                <w:lang w:eastAsia="en-US"/>
                <w14:ligatures w14:val="standardContextual"/>
              </w:rPr>
              <w:t>Patient must have central vision in the</w:t>
            </w:r>
            <w:r w:rsidRPr="00D17DED">
              <w:rPr>
                <w:rFonts w:ascii="Arial Narrow" w:hAnsi="Arial Narrow"/>
                <w:strike/>
                <w:kern w:val="2"/>
                <w:sz w:val="20"/>
                <w:szCs w:val="20"/>
                <w:lang w:eastAsia="en-US"/>
                <w14:ligatures w14:val="standardContextual"/>
              </w:rPr>
              <w:t xml:space="preserve"> treated </w:t>
            </w:r>
            <w:r>
              <w:rPr>
                <w:rFonts w:ascii="Arial Narrow" w:hAnsi="Arial Narrow"/>
                <w:kern w:val="2"/>
                <w:sz w:val="20"/>
                <w:szCs w:val="20"/>
                <w:lang w:eastAsia="en-US"/>
                <w14:ligatures w14:val="standardContextual"/>
              </w:rPr>
              <w:t>eye</w:t>
            </w:r>
            <w:r w:rsidR="00CA6FDB">
              <w:rPr>
                <w:rFonts w:ascii="Arial Narrow" w:hAnsi="Arial Narrow"/>
                <w:kern w:val="2"/>
                <w:sz w:val="20"/>
                <w:szCs w:val="20"/>
                <w:lang w:eastAsia="en-US"/>
                <w14:ligatures w14:val="standardContextual"/>
              </w:rPr>
              <w:t xml:space="preserve"> </w:t>
            </w:r>
            <w:r w:rsidR="00CA6FDB">
              <w:rPr>
                <w:rFonts w:ascii="Arial Narrow" w:hAnsi="Arial Narrow"/>
                <w:i/>
                <w:iCs/>
                <w:color w:val="FF0000"/>
                <w:kern w:val="2"/>
                <w:sz w:val="20"/>
                <w:szCs w:val="20"/>
                <w:lang w:eastAsia="en-US"/>
                <w14:ligatures w14:val="standardContextual"/>
              </w:rPr>
              <w:t>intending to be treated</w:t>
            </w:r>
            <w:r>
              <w:rPr>
                <w:rFonts w:ascii="Arial Narrow" w:hAnsi="Arial Narrow"/>
                <w:kern w:val="2"/>
                <w:sz w:val="20"/>
                <w:szCs w:val="20"/>
                <w:lang w:eastAsia="en-US"/>
                <w14:ligatures w14:val="standardContextual"/>
              </w:rPr>
              <w:t xml:space="preserve"> threatened by growth of GA lesion(s), </w:t>
            </w:r>
            <w:r>
              <w:rPr>
                <w:rFonts w:ascii="Arial Narrow" w:hAnsi="Arial Narrow"/>
                <w:i/>
                <w:iCs/>
                <w:color w:val="FF0000"/>
                <w:kern w:val="2"/>
                <w:sz w:val="20"/>
                <w:szCs w:val="20"/>
                <w:lang w:eastAsia="en-US"/>
                <w14:ligatures w14:val="standardContextual"/>
              </w:rPr>
              <w:t>either due to proximity to the foveal centre or where historical imaging shows lesion progression towards the foveal centre and is located within the macula</w:t>
            </w:r>
            <w:r w:rsidR="00BF27FA">
              <w:rPr>
                <w:rFonts w:ascii="Arial Narrow" w:hAnsi="Arial Narrow"/>
                <w:i/>
                <w:iCs/>
                <w:color w:val="FF0000"/>
                <w:kern w:val="2"/>
                <w:sz w:val="20"/>
                <w:szCs w:val="20"/>
                <w:lang w:eastAsia="en-US"/>
                <w14:ligatures w14:val="standardContextual"/>
              </w:rPr>
              <w:t xml:space="preserve"> </w:t>
            </w:r>
            <w:r>
              <w:rPr>
                <w:rFonts w:ascii="Arial Narrow" w:hAnsi="Arial Narrow"/>
                <w:strike/>
                <w:color w:val="FF0000"/>
                <w:kern w:val="2"/>
                <w:sz w:val="20"/>
                <w:szCs w:val="20"/>
                <w:lang w:eastAsia="en-US"/>
                <w14:ligatures w14:val="standardContextual"/>
              </w:rPr>
              <w:t>defined as either: (i) located within the 750 micrometre radius of the foveal centre, or (ii) located beyond 750 micrometres from the foveal centre, where historical imaging shows lesion progression toward the foveal centre, and is located within the macula (defined as the 5.5 millimetre diameter area).</w:t>
            </w:r>
          </w:p>
        </w:tc>
      </w:tr>
    </w:tbl>
    <w:p w14:paraId="2C54695E" w14:textId="77777777" w:rsidR="00CA204B" w:rsidRDefault="00CA204B" w:rsidP="00CA204B">
      <w:pPr>
        <w:rPr>
          <w:rFonts w:ascii="Arial Narrow" w:hAnsi="Arial Narrow"/>
          <w:color w:val="FF0000"/>
          <w:sz w:val="20"/>
          <w:szCs w:val="20"/>
        </w:rPr>
      </w:pPr>
    </w:p>
    <w:p w14:paraId="3D5B1271" w14:textId="77777777" w:rsidR="00CA204B" w:rsidRPr="00660685" w:rsidRDefault="00CA204B" w:rsidP="00CA204B">
      <w:pPr>
        <w:rPr>
          <w:rFonts w:asciiTheme="minorHAnsi" w:eastAsiaTheme="minorHAnsi" w:hAnsiTheme="minorHAnsi" w:cstheme="minorBidi"/>
          <w:szCs w:val="22"/>
        </w:rPr>
      </w:pPr>
      <w:r w:rsidRPr="00660685">
        <w:rPr>
          <w:rFonts w:asciiTheme="minorHAnsi" w:eastAsiaTheme="minorHAnsi" w:hAnsiTheme="minorHAnsi" w:cstheme="minorBidi"/>
          <w:szCs w:val="22"/>
        </w:rPr>
        <w:lastRenderedPageBreak/>
        <w:t xml:space="preserve">Continuing treatment: </w:t>
      </w:r>
    </w:p>
    <w:p w14:paraId="69DF43FA" w14:textId="77777777" w:rsidR="00CA204B" w:rsidRPr="00660685" w:rsidRDefault="00CA204B" w:rsidP="00CA204B">
      <w:pPr>
        <w:rPr>
          <w:rFonts w:asciiTheme="minorHAnsi" w:eastAsiaTheme="minorHAnsi" w:hAnsiTheme="minorHAnsi" w:cstheme="minorBidi"/>
          <w:szCs w:val="22"/>
        </w:rPr>
      </w:pPr>
      <w:r w:rsidRPr="00660685">
        <w:rPr>
          <w:rFonts w:asciiTheme="minorHAnsi" w:eastAsiaTheme="minorHAnsi" w:hAnsiTheme="minorHAnsi" w:cstheme="minorBidi"/>
          <w:szCs w:val="22"/>
        </w:rPr>
        <w:t xml:space="preserve">Amend concept IDs: </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8.3 Flow on changes to pegcetacoplan listing should pegcetacoplan be listed for this indication"/>
      </w:tblPr>
      <w:tblGrid>
        <w:gridCol w:w="1267"/>
        <w:gridCol w:w="8291"/>
      </w:tblGrid>
      <w:tr w:rsidR="00CA204B" w14:paraId="51E5A1B4"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3FC03D" w14:textId="77777777" w:rsidR="00CA204B" w:rsidRDefault="00CA204B">
            <w:pPr>
              <w:spacing w:line="256" w:lineRule="auto"/>
              <w:jc w:val="center"/>
              <w:rPr>
                <w:rFonts w:ascii="Arial Narrow" w:hAnsi="Arial Narrow"/>
                <w:i/>
                <w:iCs/>
                <w:color w:val="333333"/>
                <w:kern w:val="2"/>
                <w:sz w:val="20"/>
                <w:szCs w:val="20"/>
                <w:lang w:eastAsia="en-US"/>
                <w14:ligatures w14:val="standardContextual"/>
              </w:rPr>
            </w:pPr>
            <w:r w:rsidRPr="00660685">
              <w:rPr>
                <w:rFonts w:ascii="Arial Narrow" w:hAnsi="Arial Narrow"/>
                <w:i/>
                <w:iCs/>
                <w:color w:val="FF0000"/>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BEA5A5" w14:textId="77777777" w:rsidR="00CA204B" w:rsidRDefault="00CA204B">
            <w:pPr>
              <w:spacing w:line="256" w:lineRule="auto"/>
              <w:jc w:val="left"/>
              <w:rPr>
                <w:rFonts w:ascii="Arial Narrow" w:hAnsi="Arial Narrow"/>
                <w:color w:val="333333"/>
                <w:kern w:val="2"/>
                <w:sz w:val="20"/>
                <w:szCs w:val="20"/>
                <w:lang w:eastAsia="en-US"/>
                <w14:ligatures w14:val="standardContextual"/>
              </w:rPr>
            </w:pPr>
            <w:r>
              <w:rPr>
                <w:rFonts w:ascii="Arial Narrow" w:hAnsi="Arial Narrow"/>
                <w:b/>
                <w:bCs/>
                <w:color w:val="333333"/>
                <w:kern w:val="2"/>
                <w:sz w:val="20"/>
                <w:szCs w:val="20"/>
                <w:lang w:eastAsia="en-US"/>
                <w14:ligatures w14:val="standardContextual"/>
              </w:rPr>
              <w:t>Clinical criteria:</w:t>
            </w:r>
          </w:p>
        </w:tc>
      </w:tr>
      <w:tr w:rsidR="00CA204B" w14:paraId="094E01DA"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794C68" w14:textId="77777777" w:rsidR="00CA204B" w:rsidRDefault="00CA204B">
            <w:pPr>
              <w:spacing w:line="256" w:lineRule="auto"/>
              <w:jc w:val="center"/>
              <w:rPr>
                <w:rFonts w:ascii="Arial Narrow" w:hAnsi="Arial Narrow"/>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751FB3" w14:textId="07A06383" w:rsidR="00CA204B" w:rsidRDefault="00CA204B">
            <w:pPr>
              <w:spacing w:line="256" w:lineRule="auto"/>
              <w:jc w:val="left"/>
              <w:rPr>
                <w:rFonts w:ascii="Arial Narrow" w:eastAsiaTheme="minorHAnsi" w:hAnsi="Arial Narrow" w:cstheme="minorHAnsi"/>
                <w:color w:val="FF0000"/>
                <w:kern w:val="2"/>
                <w:sz w:val="20"/>
                <w:szCs w:val="20"/>
                <w:lang w:eastAsia="en-US"/>
                <w14:ligatures w14:val="standardContextual"/>
              </w:rPr>
            </w:pPr>
            <w:r>
              <w:rPr>
                <w:rFonts w:ascii="Arial Narrow" w:hAnsi="Arial Narrow" w:cstheme="minorHAnsi"/>
                <w:kern w:val="2"/>
                <w:sz w:val="20"/>
                <w:szCs w:val="20"/>
                <w:lang w:eastAsia="en-US"/>
                <w14:ligatures w14:val="standardContextual"/>
              </w:rPr>
              <w:t>The patient must have non</w:t>
            </w:r>
            <w:r w:rsidR="009B60A6">
              <w:rPr>
                <w:rFonts w:ascii="Arial Narrow" w:hAnsi="Arial Narrow" w:cstheme="minorHAnsi"/>
                <w:kern w:val="2"/>
                <w:sz w:val="20"/>
                <w:szCs w:val="20"/>
                <w:lang w:eastAsia="en-US"/>
                <w14:ligatures w14:val="standardContextual"/>
              </w:rPr>
              <w:noBreakHyphen/>
            </w:r>
            <w:r>
              <w:rPr>
                <w:rFonts w:ascii="Arial Narrow" w:hAnsi="Arial Narrow" w:cstheme="minorHAnsi"/>
                <w:kern w:val="2"/>
                <w:sz w:val="20"/>
                <w:szCs w:val="20"/>
                <w:lang w:eastAsia="en-US"/>
                <w14:ligatures w14:val="standardContextual"/>
              </w:rPr>
              <w:t>subfoveal</w:t>
            </w:r>
            <w:r>
              <w:rPr>
                <w:rFonts w:ascii="Arial Narrow" w:hAnsi="Arial Narrow"/>
                <w:kern w:val="2"/>
                <w:sz w:val="20"/>
                <w:szCs w:val="20"/>
                <w:lang w:eastAsia="en-US"/>
                <w14:ligatures w14:val="standardContextual"/>
              </w:rPr>
              <w:t xml:space="preserve"> </w:t>
            </w:r>
            <w:r>
              <w:rPr>
                <w:rFonts w:ascii="Arial Narrow" w:hAnsi="Arial Narrow" w:cstheme="minorHAnsi"/>
                <w:kern w:val="2"/>
                <w:sz w:val="20"/>
                <w:szCs w:val="20"/>
                <w:lang w:eastAsia="en-US"/>
                <w14:ligatures w14:val="standardContextual"/>
              </w:rPr>
              <w:t>GA lesion(s)</w:t>
            </w:r>
            <w:r>
              <w:rPr>
                <w:rFonts w:ascii="Arial Narrow" w:hAnsi="Arial Narrow" w:cstheme="minorHAnsi"/>
                <w:strike/>
                <w:color w:val="FF0000"/>
                <w:kern w:val="2"/>
                <w:sz w:val="20"/>
                <w:szCs w:val="20"/>
                <w:lang w:eastAsia="en-US"/>
                <w14:ligatures w14:val="standardContextual"/>
              </w:rPr>
              <w:t xml:space="preserve">, distanced from the centre point of the fovea by at least 1 micrometre </w:t>
            </w:r>
            <w:r>
              <w:rPr>
                <w:rFonts w:ascii="Arial Narrow" w:hAnsi="Arial Narrow" w:cstheme="minorHAnsi"/>
                <w:kern w:val="2"/>
                <w:sz w:val="20"/>
                <w:szCs w:val="20"/>
                <w:lang w:eastAsia="en-US"/>
                <w14:ligatures w14:val="standardContextual"/>
              </w:rPr>
              <w:t>in the treated eye</w:t>
            </w:r>
            <w:r>
              <w:rPr>
                <w:rFonts w:ascii="Arial Narrow" w:hAnsi="Arial Narrow" w:cstheme="minorHAnsi"/>
                <w:strike/>
                <w:kern w:val="2"/>
                <w:sz w:val="20"/>
                <w:szCs w:val="20"/>
                <w:lang w:eastAsia="en-US"/>
                <w14:ligatures w14:val="standardContextual"/>
              </w:rPr>
              <w:t xml:space="preserve"> </w:t>
            </w:r>
          </w:p>
        </w:tc>
      </w:tr>
    </w:tbl>
    <w:p w14:paraId="254CC62A" w14:textId="77777777" w:rsidR="009C09B3" w:rsidRDefault="009C09B3" w:rsidP="009C09B3">
      <w:pPr>
        <w:pStyle w:val="3-BodyText"/>
        <w:numPr>
          <w:ilvl w:val="0"/>
          <w:numId w:val="0"/>
        </w:numPr>
        <w:rPr>
          <w:snapToGrid w:val="0"/>
        </w:rPr>
      </w:pPr>
    </w:p>
    <w:p w14:paraId="7AA2A048" w14:textId="2815E34A" w:rsidR="004B5D4F" w:rsidRDefault="00083D25" w:rsidP="00BA74D8">
      <w:pPr>
        <w:pStyle w:val="3-BodyText"/>
        <w:rPr>
          <w:snapToGrid w:val="0"/>
        </w:rPr>
      </w:pPr>
      <w:bookmarkStart w:id="87" w:name="_Ref225179471"/>
      <w:r>
        <w:rPr>
          <w:snapToGrid w:val="0"/>
        </w:rPr>
        <w:t xml:space="preserve">Flow on changes to pegcetacoplan listing </w:t>
      </w:r>
      <w:r w:rsidR="00BA74D8">
        <w:rPr>
          <w:snapToGrid w:val="0"/>
        </w:rPr>
        <w:t>s</w:t>
      </w:r>
      <w:r w:rsidRPr="00BA74D8">
        <w:rPr>
          <w:snapToGrid w:val="0"/>
        </w:rPr>
        <w:t xml:space="preserve">hould </w:t>
      </w:r>
      <w:r w:rsidR="007D25F9" w:rsidRPr="00BA74D8">
        <w:rPr>
          <w:b/>
          <w:bCs/>
          <w:i/>
          <w:iCs/>
          <w:snapToGrid w:val="0"/>
        </w:rPr>
        <w:t>both</w:t>
      </w:r>
      <w:r w:rsidR="007D25F9" w:rsidRPr="00BA74D8">
        <w:rPr>
          <w:snapToGrid w:val="0"/>
        </w:rPr>
        <w:t xml:space="preserve"> </w:t>
      </w:r>
      <w:r w:rsidRPr="00BA74D8">
        <w:rPr>
          <w:snapToGrid w:val="0"/>
        </w:rPr>
        <w:t xml:space="preserve">pegcetacoplan </w:t>
      </w:r>
      <w:r w:rsidR="007D25F9" w:rsidRPr="00BA74D8">
        <w:rPr>
          <w:snapToGrid w:val="0"/>
        </w:rPr>
        <w:t xml:space="preserve">and ACP </w:t>
      </w:r>
      <w:r w:rsidRPr="00BA74D8">
        <w:rPr>
          <w:snapToGrid w:val="0"/>
        </w:rPr>
        <w:t>be listed for this indication</w:t>
      </w:r>
      <w:r w:rsidR="004B5D4F">
        <w:rPr>
          <w:snapToGrid w:val="0"/>
        </w:rPr>
        <w:t>:</w:t>
      </w:r>
      <w:r w:rsidRPr="00BA74D8">
        <w:rPr>
          <w:snapToGrid w:val="0"/>
        </w:rPr>
        <w:t xml:space="preserve"> </w:t>
      </w:r>
    </w:p>
    <w:p w14:paraId="1D7ACD7E" w14:textId="38E5A269" w:rsidR="00083D25" w:rsidRPr="00BA74D8" w:rsidRDefault="004B5D4F" w:rsidP="004B5D4F">
      <w:pPr>
        <w:pStyle w:val="3-BodyText"/>
        <w:numPr>
          <w:ilvl w:val="0"/>
          <w:numId w:val="0"/>
        </w:numPr>
        <w:ind w:left="720"/>
        <w:rPr>
          <w:snapToGrid w:val="0"/>
        </w:rPr>
      </w:pPr>
      <w:r>
        <w:rPr>
          <w:snapToGrid w:val="0"/>
        </w:rPr>
        <w:t>A</w:t>
      </w:r>
      <w:r w:rsidR="00083D25" w:rsidRPr="00BA74D8">
        <w:rPr>
          <w:snapToGrid w:val="0"/>
        </w:rPr>
        <w:t xml:space="preserve">mend the Initial treatment and Continuing treatment listings </w:t>
      </w:r>
      <w:r w:rsidR="007D25F9" w:rsidRPr="00BA74D8">
        <w:rPr>
          <w:snapToGrid w:val="0"/>
        </w:rPr>
        <w:t xml:space="preserve">for pegcetacoplan </w:t>
      </w:r>
      <w:r w:rsidR="00083D25" w:rsidRPr="00BA74D8">
        <w:rPr>
          <w:snapToGrid w:val="0"/>
        </w:rPr>
        <w:t>outlined in Section 8</w:t>
      </w:r>
      <w:r w:rsidR="00083D25" w:rsidRPr="00BA74D8">
        <w:rPr>
          <w:iCs/>
        </w:rPr>
        <w:t xml:space="preserve">, pegcetacoplan PSD, November 2025 PBAC meeting as follows to </w:t>
      </w:r>
      <w:r w:rsidR="00360D7D" w:rsidRPr="00BA74D8">
        <w:rPr>
          <w:iCs/>
        </w:rPr>
        <w:t>add new concept ID excluding sequential and concomitant therapy with ACP</w:t>
      </w:r>
      <w:r w:rsidR="00083D25" w:rsidRPr="00083D25">
        <w:t>:</w:t>
      </w:r>
      <w:bookmarkEnd w:id="87"/>
    </w:p>
    <w:p w14:paraId="2845A318" w14:textId="77777777" w:rsidR="00083D25" w:rsidRPr="00360D7D" w:rsidRDefault="00083D25" w:rsidP="00360D7D">
      <w:pPr>
        <w:pStyle w:val="3-BodyText"/>
        <w:numPr>
          <w:ilvl w:val="0"/>
          <w:numId w:val="0"/>
        </w:numPr>
        <w:rPr>
          <w:snapToGrid w:val="0"/>
        </w:rPr>
      </w:pPr>
      <w:r w:rsidRPr="00CA204B">
        <w:t xml:space="preserve">Initial treatment: </w:t>
      </w:r>
    </w:p>
    <w:p w14:paraId="128E86F2" w14:textId="77777777" w:rsidR="00083D25" w:rsidRPr="00CA204B" w:rsidRDefault="00083D25" w:rsidP="00360D7D">
      <w:pPr>
        <w:pStyle w:val="3-BodyText"/>
        <w:numPr>
          <w:ilvl w:val="0"/>
          <w:numId w:val="0"/>
        </w:numPr>
        <w:ind w:left="720" w:hanging="720"/>
      </w:pPr>
      <w:r w:rsidRPr="00CA204B">
        <w:t>Add new concept IDs:</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pegcetacoplan listing should both pegcetacoplan and avacincaptad pegol be listed for this indication "/>
      </w:tblPr>
      <w:tblGrid>
        <w:gridCol w:w="1267"/>
        <w:gridCol w:w="8291"/>
      </w:tblGrid>
      <w:tr w:rsidR="00083D25" w14:paraId="289285B8" w14:textId="0F9D8A93"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DBA060" w14:textId="77777777" w:rsidR="00083D25" w:rsidRDefault="00083D25" w:rsidP="00241CFC">
            <w:pPr>
              <w:spacing w:line="256" w:lineRule="auto"/>
              <w:jc w:val="center"/>
              <w:rPr>
                <w:rFonts w:ascii="Arial Narrow" w:hAnsi="Arial Narrow"/>
                <w:i/>
                <w:iCs/>
                <w:color w:val="333333"/>
                <w:kern w:val="2"/>
                <w:sz w:val="20"/>
                <w:szCs w:val="20"/>
                <w:lang w:eastAsia="en-US"/>
                <w14:ligatures w14:val="standardContextual"/>
              </w:rPr>
            </w:pPr>
            <w:r w:rsidRPr="009346A9">
              <w:rPr>
                <w:rFonts w:ascii="Arial Narrow" w:hAnsi="Arial Narrow"/>
                <w:i/>
                <w:iCs/>
                <w:color w:val="000000" w:themeColor="text1"/>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A427AB" w14:textId="77777777" w:rsidR="00083D25" w:rsidRDefault="00083D25" w:rsidP="00241CFC">
            <w:pPr>
              <w:spacing w:line="256" w:lineRule="auto"/>
              <w:jc w:val="left"/>
              <w:rPr>
                <w:rFonts w:ascii="Arial Narrow" w:hAnsi="Arial Narrow"/>
                <w:i/>
                <w:iCs/>
                <w:kern w:val="2"/>
                <w:sz w:val="20"/>
                <w:szCs w:val="20"/>
                <w:lang w:eastAsia="en-US"/>
                <w14:ligatures w14:val="standardContextual"/>
              </w:rPr>
            </w:pPr>
            <w:r>
              <w:rPr>
                <w:rFonts w:ascii="Arial Narrow" w:hAnsi="Arial Narrow"/>
                <w:b/>
                <w:bCs/>
                <w:i/>
                <w:iCs/>
                <w:kern w:val="2"/>
                <w:sz w:val="20"/>
                <w:szCs w:val="20"/>
                <w:lang w:eastAsia="en-US"/>
                <w14:ligatures w14:val="standardContextual"/>
              </w:rPr>
              <w:t>Clinical criteria:</w:t>
            </w:r>
          </w:p>
        </w:tc>
      </w:tr>
      <w:tr w:rsidR="00083D25" w14:paraId="69B18D79" w14:textId="3327D6F8"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20A478" w14:textId="77777777" w:rsidR="00083D25" w:rsidRDefault="00083D25" w:rsidP="00241CFC">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5241C2" w14:textId="081FFAF1" w:rsidR="00083D25" w:rsidRDefault="00083D25" w:rsidP="22DF9C97">
            <w:pPr>
              <w:spacing w:line="256" w:lineRule="auto"/>
              <w:jc w:val="left"/>
              <w:rPr>
                <w:rFonts w:ascii="Arial Narrow" w:hAnsi="Arial Narrow"/>
                <w:i/>
                <w:iCs/>
                <w:kern w:val="2"/>
                <w:sz w:val="20"/>
                <w:szCs w:val="20"/>
                <w:lang w:eastAsia="en-US"/>
                <w14:ligatures w14:val="standardContextual"/>
              </w:rPr>
            </w:pPr>
            <w:r w:rsidRPr="22DF9C97">
              <w:rPr>
                <w:rFonts w:ascii="Arial Narrow" w:hAnsi="Arial Narrow"/>
                <w:i/>
                <w:iCs/>
                <w:sz w:val="20"/>
                <w:szCs w:val="20"/>
                <w:lang w:eastAsia="en-US"/>
              </w:rPr>
              <w:t xml:space="preserve">Patient must not have </w:t>
            </w:r>
            <w:r w:rsidR="008C4985" w:rsidRPr="009346A9">
              <w:rPr>
                <w:rFonts w:ascii="Arial Narrow" w:hAnsi="Arial Narrow"/>
                <w:i/>
                <w:iCs/>
                <w:color w:val="000000" w:themeColor="text1"/>
                <w:sz w:val="20"/>
                <w:szCs w:val="20"/>
                <w:lang w:eastAsia="en-US"/>
              </w:rPr>
              <w:t>previously received treatment</w:t>
            </w:r>
            <w:r w:rsidR="008C4985" w:rsidRPr="009346A9">
              <w:rPr>
                <w:rFonts w:ascii="Arial Narrow" w:hAnsi="Arial Narrow"/>
                <w:i/>
                <w:color w:val="000000" w:themeColor="text1"/>
                <w:sz w:val="20"/>
                <w:szCs w:val="20"/>
                <w:lang w:eastAsia="en-US"/>
              </w:rPr>
              <w:t xml:space="preserve"> </w:t>
            </w:r>
            <w:r w:rsidR="008C4985" w:rsidRPr="009346A9">
              <w:rPr>
                <w:rFonts w:ascii="Arial Narrow" w:hAnsi="Arial Narrow"/>
                <w:i/>
                <w:sz w:val="20"/>
                <w:szCs w:val="20"/>
                <w:lang w:eastAsia="en-US"/>
              </w:rPr>
              <w:t>with</w:t>
            </w:r>
            <w:r w:rsidRPr="00AF7B2A">
              <w:rPr>
                <w:rFonts w:ascii="Arial Narrow" w:hAnsi="Arial Narrow"/>
                <w:i/>
                <w:iCs/>
                <w:color w:val="FF0000"/>
                <w:sz w:val="20"/>
                <w:szCs w:val="20"/>
                <w:lang w:eastAsia="en-US"/>
              </w:rPr>
              <w:t xml:space="preserve"> </w:t>
            </w:r>
            <w:r w:rsidRPr="22DF9C97">
              <w:rPr>
                <w:rFonts w:ascii="Arial Narrow" w:hAnsi="Arial Narrow"/>
                <w:i/>
                <w:iCs/>
                <w:sz w:val="20"/>
                <w:szCs w:val="20"/>
                <w:lang w:eastAsia="en-US"/>
              </w:rPr>
              <w:t>avacincaptad pegol for this condition prior to initiating PBS</w:t>
            </w:r>
            <w:r w:rsidR="009B60A6">
              <w:rPr>
                <w:rFonts w:ascii="Arial Narrow" w:hAnsi="Arial Narrow"/>
                <w:i/>
                <w:iCs/>
                <w:sz w:val="20"/>
                <w:szCs w:val="20"/>
                <w:lang w:eastAsia="en-US"/>
              </w:rPr>
              <w:noBreakHyphen/>
            </w:r>
            <w:r w:rsidRPr="22DF9C97">
              <w:rPr>
                <w:rFonts w:ascii="Arial Narrow" w:hAnsi="Arial Narrow"/>
                <w:i/>
                <w:iCs/>
                <w:sz w:val="20"/>
                <w:szCs w:val="20"/>
                <w:lang w:eastAsia="en-US"/>
              </w:rPr>
              <w:t>subsidised treatment with this drug</w:t>
            </w:r>
          </w:p>
        </w:tc>
      </w:tr>
      <w:tr w:rsidR="00083D25" w14:paraId="41DDCA62" w14:textId="1EAF3867"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8D42F5" w14:textId="77777777" w:rsidR="00083D25" w:rsidRDefault="00083D25" w:rsidP="00241CFC">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4E8F56" w14:textId="77777777" w:rsidR="00083D25" w:rsidRDefault="00083D25" w:rsidP="00241CFC">
            <w:pPr>
              <w:spacing w:line="256" w:lineRule="auto"/>
              <w:jc w:val="left"/>
              <w:rPr>
                <w:rFonts w:ascii="Arial Narrow" w:hAnsi="Arial Narrow"/>
                <w:i/>
                <w:iCs/>
                <w:kern w:val="2"/>
                <w:sz w:val="20"/>
                <w:szCs w:val="20"/>
                <w:lang w:eastAsia="en-US"/>
                <w14:ligatures w14:val="standardContextual"/>
              </w:rPr>
            </w:pPr>
            <w:r>
              <w:rPr>
                <w:rFonts w:ascii="Arial Narrow" w:hAnsi="Arial Narrow"/>
                <w:b/>
                <w:bCs/>
                <w:i/>
                <w:iCs/>
                <w:kern w:val="2"/>
                <w:sz w:val="20"/>
                <w:szCs w:val="20"/>
                <w:lang w:eastAsia="en-US"/>
                <w14:ligatures w14:val="standardContextual"/>
              </w:rPr>
              <w:t>AND</w:t>
            </w:r>
          </w:p>
        </w:tc>
      </w:tr>
      <w:tr w:rsidR="00083D25" w14:paraId="74030B2E" w14:textId="67E6A0DB"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A9D9E8" w14:textId="77777777" w:rsidR="00083D25" w:rsidRDefault="00083D25" w:rsidP="00241CFC">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197DFC" w14:textId="77777777" w:rsidR="00083D25" w:rsidRDefault="00083D25" w:rsidP="00241CFC">
            <w:pPr>
              <w:spacing w:line="256" w:lineRule="auto"/>
              <w:jc w:val="left"/>
              <w:rPr>
                <w:rFonts w:ascii="Arial Narrow" w:hAnsi="Arial Narrow"/>
                <w:i/>
                <w:iCs/>
                <w:kern w:val="2"/>
                <w:sz w:val="20"/>
                <w:szCs w:val="20"/>
                <w:lang w:eastAsia="en-US"/>
                <w14:ligatures w14:val="standardContextual"/>
              </w:rPr>
            </w:pPr>
            <w:r>
              <w:rPr>
                <w:rFonts w:ascii="Arial Narrow" w:hAnsi="Arial Narrow"/>
                <w:b/>
                <w:bCs/>
                <w:i/>
                <w:iCs/>
                <w:kern w:val="2"/>
                <w:sz w:val="20"/>
                <w:szCs w:val="20"/>
                <w:lang w:eastAsia="en-US"/>
                <w14:ligatures w14:val="standardContextual"/>
              </w:rPr>
              <w:t>Clinical criteria:</w:t>
            </w:r>
          </w:p>
        </w:tc>
      </w:tr>
      <w:tr w:rsidR="00083D25" w14:paraId="31EC8041" w14:textId="3CEC57C9"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D0CD5C" w14:textId="77777777" w:rsidR="00083D25" w:rsidRDefault="00083D25" w:rsidP="00241CFC">
            <w:pPr>
              <w:spacing w:line="256" w:lineRule="auto"/>
              <w:jc w:val="center"/>
              <w:rPr>
                <w:rFonts w:ascii="Arial Narrow" w:hAnsi="Arial Narrow"/>
                <w:i/>
                <w:iCs/>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6320C1" w14:textId="77777777" w:rsidR="00083D25" w:rsidRDefault="00083D25" w:rsidP="00241CFC">
            <w:pPr>
              <w:spacing w:line="256" w:lineRule="auto"/>
              <w:jc w:val="left"/>
              <w:rPr>
                <w:rFonts w:ascii="Arial Narrow" w:hAnsi="Arial Narrow"/>
                <w:i/>
                <w:iCs/>
                <w:kern w:val="2"/>
                <w:sz w:val="20"/>
                <w:szCs w:val="20"/>
                <w:lang w:eastAsia="en-US"/>
                <w14:ligatures w14:val="standardContextual"/>
              </w:rPr>
            </w:pPr>
            <w:r w:rsidRPr="22DF9C97">
              <w:rPr>
                <w:rFonts w:ascii="Arial Narrow" w:hAnsi="Arial Narrow"/>
                <w:i/>
                <w:iCs/>
                <w:sz w:val="20"/>
                <w:szCs w:val="20"/>
                <w:lang w:eastAsia="en-US"/>
              </w:rPr>
              <w:t>Patient must not be receiving concomitant treatment with avacincaptad pegol for this condition</w:t>
            </w:r>
          </w:p>
        </w:tc>
      </w:tr>
    </w:tbl>
    <w:p w14:paraId="1752ACD2" w14:textId="5A212382" w:rsidR="00083D25" w:rsidRDefault="00083D25" w:rsidP="001F5201">
      <w:pPr>
        <w:pStyle w:val="3-BodyText"/>
        <w:numPr>
          <w:ilvl w:val="0"/>
          <w:numId w:val="0"/>
        </w:numPr>
        <w:rPr>
          <w:szCs w:val="24"/>
        </w:rPr>
      </w:pPr>
      <w:r>
        <w:t>Continuing treatment:</w:t>
      </w:r>
    </w:p>
    <w:p w14:paraId="59BCA451" w14:textId="0FCDE2D7" w:rsidR="00083D25" w:rsidRDefault="00083D25" w:rsidP="00360D7D">
      <w:pPr>
        <w:pStyle w:val="3-BodyText"/>
        <w:numPr>
          <w:ilvl w:val="0"/>
          <w:numId w:val="0"/>
        </w:numPr>
        <w:ind w:left="720" w:hanging="720"/>
      </w:pPr>
      <w:r>
        <w:t>Add new concept IDs:</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pegcetacoplan listing should both pegcetacoplan and avacincaptad pegol be listed for this indication "/>
      </w:tblPr>
      <w:tblGrid>
        <w:gridCol w:w="1267"/>
        <w:gridCol w:w="8291"/>
      </w:tblGrid>
      <w:tr w:rsidR="00083D25" w14:paraId="58C3391A" w14:textId="43D5272C"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F8A1D3" w14:textId="77777777" w:rsidR="00083D25" w:rsidRDefault="00083D25" w:rsidP="00241CFC">
            <w:pPr>
              <w:spacing w:line="256" w:lineRule="auto"/>
              <w:jc w:val="center"/>
              <w:rPr>
                <w:rFonts w:ascii="Arial Narrow" w:hAnsi="Arial Narrow"/>
                <w:i/>
                <w:iCs/>
                <w:color w:val="333333"/>
                <w:kern w:val="2"/>
                <w:sz w:val="20"/>
                <w:szCs w:val="20"/>
                <w:lang w:eastAsia="en-US"/>
                <w14:ligatures w14:val="standardContextual"/>
              </w:rPr>
            </w:pPr>
            <w:r w:rsidRPr="00045263">
              <w:rPr>
                <w:rFonts w:ascii="Arial Narrow" w:hAnsi="Arial Narrow"/>
                <w:i/>
                <w:iCs/>
                <w:color w:val="000000" w:themeColor="text1"/>
                <w:kern w:val="2"/>
                <w:sz w:val="20"/>
                <w:szCs w:val="20"/>
                <w:lang w:eastAsia="en-US"/>
                <w14:ligatures w14:val="standardContextual"/>
              </w:rPr>
              <w:t>New CC</w:t>
            </w: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64F2CB" w14:textId="77777777" w:rsidR="00083D25" w:rsidRDefault="00083D25" w:rsidP="00241CFC">
            <w:pPr>
              <w:spacing w:line="256" w:lineRule="auto"/>
              <w:rPr>
                <w:rFonts w:ascii="Arial Narrow" w:hAnsi="Arial Narrow"/>
                <w:kern w:val="2"/>
                <w:sz w:val="20"/>
                <w:szCs w:val="20"/>
                <w:lang w:eastAsia="en-US"/>
                <w14:ligatures w14:val="standardContextual"/>
              </w:rPr>
            </w:pPr>
            <w:r>
              <w:rPr>
                <w:rFonts w:ascii="Arial Narrow" w:hAnsi="Arial Narrow"/>
                <w:b/>
                <w:bCs/>
                <w:i/>
                <w:iCs/>
                <w:kern w:val="2"/>
                <w:sz w:val="20"/>
                <w:szCs w:val="20"/>
                <w:lang w:eastAsia="en-US"/>
                <w14:ligatures w14:val="standardContextual"/>
              </w:rPr>
              <w:t>Clinical criteria:</w:t>
            </w:r>
          </w:p>
        </w:tc>
      </w:tr>
      <w:tr w:rsidR="00083D25" w14:paraId="72A82347" w14:textId="4D29FF62" w:rsidTr="22DF9C9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726EBD" w14:textId="77777777" w:rsidR="00083D25" w:rsidRDefault="00083D25" w:rsidP="00241CFC">
            <w:pPr>
              <w:spacing w:line="256" w:lineRule="auto"/>
              <w:jc w:val="center"/>
              <w:rPr>
                <w:rFonts w:ascii="Arial Narrow" w:hAnsi="Arial Narrow"/>
                <w:color w:val="333333"/>
                <w:kern w:val="2"/>
                <w:sz w:val="20"/>
                <w:szCs w:val="20"/>
                <w:lang w:eastAsia="en-US"/>
                <w14:ligatures w14:val="standardContextual"/>
              </w:rPr>
            </w:pPr>
          </w:p>
        </w:tc>
        <w:tc>
          <w:tcPr>
            <w:tcW w:w="836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0F2FC3" w14:textId="133CEA9E" w:rsidR="00083D25" w:rsidRDefault="00083D25" w:rsidP="00241CFC">
            <w:pPr>
              <w:spacing w:line="256" w:lineRule="auto"/>
              <w:rPr>
                <w:rFonts w:ascii="Arial Narrow" w:hAnsi="Arial Narrow"/>
                <w:b/>
                <w:bCs/>
                <w:i/>
                <w:iCs/>
                <w:kern w:val="2"/>
                <w:sz w:val="20"/>
                <w:szCs w:val="20"/>
                <w:lang w:eastAsia="en-US"/>
                <w14:ligatures w14:val="standardContextual"/>
              </w:rPr>
            </w:pPr>
            <w:r w:rsidRPr="22DF9C97">
              <w:rPr>
                <w:rFonts w:ascii="Arial Narrow" w:hAnsi="Arial Narrow"/>
                <w:i/>
                <w:iCs/>
                <w:sz w:val="20"/>
                <w:szCs w:val="20"/>
                <w:lang w:eastAsia="en-US"/>
              </w:rPr>
              <w:t>Patient must not be receiving concomitant treatment with avacincaptad pegol for this condition</w:t>
            </w:r>
          </w:p>
        </w:tc>
      </w:tr>
    </w:tbl>
    <w:p w14:paraId="12AC0F97" w14:textId="6C5186C9" w:rsidR="009166D4" w:rsidRDefault="00412A07" w:rsidP="001F5201">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83"/>
    </w:p>
    <w:p w14:paraId="0FBE5C42" w14:textId="20F5D4F1" w:rsidR="00830436" w:rsidRPr="00830436" w:rsidRDefault="00830436" w:rsidP="00830436">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830436">
        <w:rPr>
          <w:rFonts w:asciiTheme="minorHAnsi" w:hAnsiTheme="minorHAnsi"/>
          <w:b/>
          <w:snapToGrid w:val="0"/>
          <w:sz w:val="32"/>
          <w:szCs w:val="32"/>
          <w:lang w:eastAsia="en-US"/>
        </w:rPr>
        <w:tab/>
        <w:t>Context for Decision</w:t>
      </w:r>
    </w:p>
    <w:p w14:paraId="14E60E2C" w14:textId="77777777" w:rsidR="00830436" w:rsidRPr="00830436" w:rsidRDefault="00830436" w:rsidP="00830436">
      <w:pPr>
        <w:spacing w:after="120"/>
        <w:ind w:left="720"/>
        <w:rPr>
          <w:rFonts w:cs="Calibri"/>
          <w:bCs/>
          <w:szCs w:val="22"/>
          <w:lang w:val="en-GB"/>
        </w:rPr>
      </w:pPr>
      <w:r w:rsidRPr="00830436">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BA5851" w14:textId="7CA4D88F" w:rsidR="00830436" w:rsidRPr="00830436" w:rsidRDefault="00830436" w:rsidP="00830436">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10</w:t>
      </w:r>
      <w:r w:rsidRPr="00830436">
        <w:rPr>
          <w:rFonts w:asciiTheme="minorHAnsi" w:hAnsiTheme="minorHAnsi"/>
          <w:b/>
          <w:snapToGrid w:val="0"/>
          <w:sz w:val="32"/>
          <w:szCs w:val="32"/>
          <w:lang w:eastAsia="en-US"/>
        </w:rPr>
        <w:tab/>
        <w:t>Sponsor’s Comment</w:t>
      </w:r>
    </w:p>
    <w:p w14:paraId="2ED9E3C3" w14:textId="6A2E5405" w:rsidR="002B09A4" w:rsidRPr="00927D3C" w:rsidRDefault="008B327A" w:rsidP="00927D3C">
      <w:pPr>
        <w:ind w:left="720"/>
      </w:pPr>
      <w:r>
        <w:rPr>
          <w:rFonts w:cs="Calibri"/>
          <w:bCs/>
          <w:szCs w:val="22"/>
          <w:lang w:val="en-GB" w:eastAsia="en-US"/>
        </w:rPr>
        <w:t>Astellas Pharma Australia thanks PBAC for the recommendation and looks forward to coming to a commercially agree</w:t>
      </w:r>
      <w:r w:rsidR="009A29F0">
        <w:rPr>
          <w:rFonts w:cs="Calibri"/>
          <w:bCs/>
          <w:szCs w:val="22"/>
          <w:lang w:val="en-GB" w:eastAsia="en-US"/>
        </w:rPr>
        <w:t>able</w:t>
      </w:r>
      <w:r>
        <w:rPr>
          <w:rFonts w:cs="Calibri"/>
          <w:bCs/>
          <w:szCs w:val="22"/>
          <w:lang w:val="en-GB" w:eastAsia="en-US"/>
        </w:rPr>
        <w:t xml:space="preserve"> </w:t>
      </w:r>
      <w:r w:rsidR="003D2BEE">
        <w:rPr>
          <w:rFonts w:cs="Calibri"/>
          <w:bCs/>
          <w:szCs w:val="22"/>
          <w:lang w:val="en-GB" w:eastAsia="en-US"/>
        </w:rPr>
        <w:t>and evidence-based</w:t>
      </w:r>
      <w:r w:rsidR="009C5BCE">
        <w:rPr>
          <w:rFonts w:cs="Calibri"/>
          <w:bCs/>
          <w:szCs w:val="22"/>
          <w:lang w:val="en-GB" w:eastAsia="en-US"/>
        </w:rPr>
        <w:t xml:space="preserve"> arrangement</w:t>
      </w:r>
      <w:r w:rsidR="00450A2F">
        <w:rPr>
          <w:rFonts w:cs="Calibri"/>
          <w:bCs/>
          <w:szCs w:val="22"/>
          <w:lang w:val="en-GB" w:eastAsia="en-US"/>
        </w:rPr>
        <w:t xml:space="preserve"> -</w:t>
      </w:r>
      <w:r w:rsidR="009C5BCE">
        <w:rPr>
          <w:rFonts w:cs="Calibri"/>
          <w:bCs/>
          <w:szCs w:val="22"/>
          <w:lang w:val="en-GB" w:eastAsia="en-US"/>
        </w:rPr>
        <w:t xml:space="preserve"> </w:t>
      </w:r>
      <w:proofErr w:type="gramStart"/>
      <w:r w:rsidR="009C5BCE">
        <w:rPr>
          <w:rFonts w:cs="Calibri"/>
          <w:bCs/>
          <w:szCs w:val="22"/>
          <w:lang w:val="en-GB" w:eastAsia="en-US"/>
        </w:rPr>
        <w:t>in order to</w:t>
      </w:r>
      <w:proofErr w:type="gramEnd"/>
      <w:r w:rsidR="009C5BCE">
        <w:rPr>
          <w:rFonts w:cs="Calibri"/>
          <w:bCs/>
          <w:szCs w:val="22"/>
          <w:lang w:val="en-GB" w:eastAsia="en-US"/>
        </w:rPr>
        <w:t xml:space="preserve"> </w:t>
      </w:r>
      <w:r w:rsidR="00E537BB">
        <w:rPr>
          <w:rFonts w:cs="Calibri"/>
          <w:bCs/>
          <w:szCs w:val="22"/>
          <w:lang w:val="en-GB" w:eastAsia="en-US"/>
        </w:rPr>
        <w:t>PBS List</w:t>
      </w:r>
      <w:r w:rsidR="009C5BCE">
        <w:rPr>
          <w:rFonts w:cs="Calibri"/>
          <w:bCs/>
          <w:szCs w:val="22"/>
          <w:lang w:val="en-GB" w:eastAsia="en-US"/>
        </w:rPr>
        <w:t>.</w:t>
      </w:r>
    </w:p>
    <w:sectPr w:rsidR="002B09A4" w:rsidRPr="00927D3C" w:rsidSect="00585B3A">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9594" w14:textId="77777777" w:rsidR="0018344D" w:rsidRDefault="0018344D" w:rsidP="00124A51">
      <w:r>
        <w:separator/>
      </w:r>
    </w:p>
    <w:p w14:paraId="3E851340" w14:textId="77777777" w:rsidR="0018344D" w:rsidRDefault="0018344D"/>
  </w:endnote>
  <w:endnote w:type="continuationSeparator" w:id="0">
    <w:p w14:paraId="499CFABC" w14:textId="77777777" w:rsidR="0018344D" w:rsidRDefault="0018344D" w:rsidP="00124A51">
      <w:r>
        <w:continuationSeparator/>
      </w:r>
    </w:p>
    <w:p w14:paraId="264BD4D7" w14:textId="77777777" w:rsidR="0018344D" w:rsidRDefault="00183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4081" w14:textId="2F3A4D3C" w:rsidR="00EB6036" w:rsidRDefault="00D20306">
    <w:pPr>
      <w:pStyle w:val="Footer"/>
    </w:pPr>
    <w:r>
      <w:rPr>
        <w:noProof/>
      </w:rPr>
      <mc:AlternateContent>
        <mc:Choice Requires="wps">
          <w:drawing>
            <wp:anchor distT="0" distB="0" distL="0" distR="0" simplePos="0" relativeHeight="251658244" behindDoc="0" locked="0" layoutInCell="1" allowOverlap="1" wp14:anchorId="6AB1D474" wp14:editId="3BDCB883">
              <wp:simplePos x="635" y="635"/>
              <wp:positionH relativeFrom="page">
                <wp:align>center</wp:align>
              </wp:positionH>
              <wp:positionV relativeFrom="page">
                <wp:align>bottom</wp:align>
              </wp:positionV>
              <wp:extent cx="622300" cy="376555"/>
              <wp:effectExtent l="0" t="0" r="6350" b="0"/>
              <wp:wrapNone/>
              <wp:docPr id="1549789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1DCC47" w14:textId="1932A121"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1D47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31DCC47" w14:textId="1932A121"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0419D718" w:rsidR="00D843F2" w:rsidRDefault="00D20306" w:rsidP="00753B29">
    <w:pPr>
      <w:pStyle w:val="Footer"/>
      <w:jc w:val="center"/>
    </w:pPr>
    <w:r>
      <w:rPr>
        <w:noProof/>
      </w:rPr>
      <mc:AlternateContent>
        <mc:Choice Requires="wps">
          <w:drawing>
            <wp:anchor distT="0" distB="0" distL="0" distR="0" simplePos="0" relativeHeight="251658245" behindDoc="0" locked="0" layoutInCell="1" allowOverlap="1" wp14:anchorId="6E5D6851" wp14:editId="62961024">
              <wp:simplePos x="635" y="635"/>
              <wp:positionH relativeFrom="page">
                <wp:align>center</wp:align>
              </wp:positionH>
              <wp:positionV relativeFrom="page">
                <wp:align>bottom</wp:align>
              </wp:positionV>
              <wp:extent cx="622300" cy="376555"/>
              <wp:effectExtent l="0" t="0" r="6350" b="0"/>
              <wp:wrapNone/>
              <wp:docPr id="18549941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C8B191" w14:textId="0E50E27E"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D685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0C8B191" w14:textId="0E50E27E"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v:textbox>
              <w10:wrap anchorx="page" anchory="page"/>
            </v:shape>
          </w:pict>
        </mc:Fallback>
      </mc:AlternateContent>
    </w:r>
  </w:p>
  <w:p w14:paraId="37484CD3" w14:textId="59E5ACAB"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DAA" w14:textId="138725D8" w:rsidR="00EB6036" w:rsidRDefault="00D20306">
    <w:pPr>
      <w:pStyle w:val="Footer"/>
    </w:pPr>
    <w:r>
      <w:rPr>
        <w:noProof/>
      </w:rPr>
      <mc:AlternateContent>
        <mc:Choice Requires="wps">
          <w:drawing>
            <wp:anchor distT="0" distB="0" distL="0" distR="0" simplePos="0" relativeHeight="251658243" behindDoc="0" locked="0" layoutInCell="1" allowOverlap="1" wp14:anchorId="42C38E42" wp14:editId="3BE090A1">
              <wp:simplePos x="635" y="635"/>
              <wp:positionH relativeFrom="page">
                <wp:align>center</wp:align>
              </wp:positionH>
              <wp:positionV relativeFrom="page">
                <wp:align>bottom</wp:align>
              </wp:positionV>
              <wp:extent cx="622300" cy="376555"/>
              <wp:effectExtent l="0" t="0" r="6350" b="0"/>
              <wp:wrapNone/>
              <wp:docPr id="383870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197C60" w14:textId="19C528F2"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38E42"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1197C60" w14:textId="19C528F2"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2A1A" w14:textId="77777777" w:rsidR="0018344D" w:rsidRDefault="0018344D" w:rsidP="00124A51">
      <w:r>
        <w:separator/>
      </w:r>
    </w:p>
    <w:p w14:paraId="198DF9DE" w14:textId="77777777" w:rsidR="0018344D" w:rsidRDefault="0018344D"/>
  </w:footnote>
  <w:footnote w:type="continuationSeparator" w:id="0">
    <w:p w14:paraId="7A828103" w14:textId="77777777" w:rsidR="0018344D" w:rsidRDefault="0018344D" w:rsidP="00124A51">
      <w:r>
        <w:continuationSeparator/>
      </w:r>
    </w:p>
    <w:p w14:paraId="7B9C4619" w14:textId="77777777" w:rsidR="0018344D" w:rsidRDefault="0018344D"/>
  </w:footnote>
  <w:footnote w:id="1">
    <w:p w14:paraId="2E6ADF57" w14:textId="3F4BE065" w:rsidR="006F64AE" w:rsidRPr="00CD57E4" w:rsidRDefault="006F64AE">
      <w:pPr>
        <w:pStyle w:val="FootnoteText"/>
      </w:pPr>
      <w:r w:rsidRPr="00CD57E4">
        <w:rPr>
          <w:rStyle w:val="FootnoteReference"/>
        </w:rPr>
        <w:footnoteRef/>
      </w:r>
      <w:r w:rsidRPr="002F62A7">
        <w:rPr>
          <w:lang w:val="it-IT"/>
        </w:rPr>
        <w:t xml:space="preserve"> Keiko K, Gale R, Li X et al. </w:t>
      </w:r>
      <w:r w:rsidRPr="00CD57E4">
        <w:t xml:space="preserve">Simultaneous GA and CNV/MNV: incidence, characteristics, and treatments. </w:t>
      </w:r>
      <w:r w:rsidRPr="00CD57E4">
        <w:rPr>
          <w:i/>
          <w:iCs/>
        </w:rPr>
        <w:t>Graefes Arch Clin Exp Ophthalmol</w:t>
      </w:r>
      <w:r w:rsidRPr="00CD57E4">
        <w:t xml:space="preserve"> 2025.14;263(5): 1197</w:t>
      </w:r>
      <w:r w:rsidR="009B60A6" w:rsidRPr="00CD57E4">
        <w:noBreakHyphen/>
      </w:r>
      <w:r w:rsidRPr="00CD57E4">
        <w:t>1212.</w:t>
      </w:r>
    </w:p>
  </w:footnote>
  <w:footnote w:id="2">
    <w:p w14:paraId="7248D5D4" w14:textId="6D601A6B" w:rsidR="00A9474A" w:rsidRPr="002F62A7" w:rsidRDefault="00A9474A" w:rsidP="00FD3176">
      <w:pPr>
        <w:pStyle w:val="FootnoteText"/>
        <w:rPr>
          <w:lang w:val="pt-PT"/>
        </w:rPr>
      </w:pPr>
      <w:r w:rsidRPr="00A5338E">
        <w:rPr>
          <w:rStyle w:val="FootnoteReference"/>
          <w:sz w:val="18"/>
          <w:szCs w:val="18"/>
        </w:rPr>
        <w:footnoteRef/>
      </w:r>
      <w:r w:rsidRPr="00A5338E">
        <w:rPr>
          <w:sz w:val="18"/>
          <w:szCs w:val="18"/>
        </w:rPr>
        <w:t xml:space="preserve"> </w:t>
      </w:r>
      <w:r w:rsidR="00FD3176" w:rsidRPr="00A5338E">
        <w:rPr>
          <w:sz w:val="18"/>
          <w:szCs w:val="18"/>
        </w:rPr>
        <w:t>Fl</w:t>
      </w:r>
      <w:r w:rsidRPr="00A5338E">
        <w:rPr>
          <w:sz w:val="18"/>
          <w:szCs w:val="18"/>
        </w:rPr>
        <w:t xml:space="preserve">eckenstein M, Mitchell P, Freund KB, </w:t>
      </w:r>
      <w:proofErr w:type="spellStart"/>
      <w:r w:rsidRPr="00A5338E">
        <w:rPr>
          <w:sz w:val="18"/>
          <w:szCs w:val="18"/>
        </w:rPr>
        <w:t>Sadda</w:t>
      </w:r>
      <w:proofErr w:type="spellEnd"/>
      <w:r w:rsidRPr="00A5338E">
        <w:rPr>
          <w:sz w:val="18"/>
          <w:szCs w:val="18"/>
        </w:rPr>
        <w:t xml:space="preserve"> S, Holz FG, Brittain C, et al. The Progression of Geographic Atrophy Secondary to Age</w:t>
      </w:r>
      <w:r w:rsidR="009B60A6">
        <w:rPr>
          <w:sz w:val="18"/>
          <w:szCs w:val="18"/>
        </w:rPr>
        <w:noBreakHyphen/>
      </w:r>
      <w:r w:rsidRPr="00A5338E">
        <w:rPr>
          <w:sz w:val="18"/>
          <w:szCs w:val="18"/>
        </w:rPr>
        <w:t xml:space="preserve">Related Macular Degeneration. </w:t>
      </w:r>
      <w:r w:rsidRPr="002F62A7">
        <w:rPr>
          <w:i/>
          <w:sz w:val="18"/>
          <w:szCs w:val="18"/>
          <w:lang w:val="pt-PT"/>
        </w:rPr>
        <w:t>Ophthalmology</w:t>
      </w:r>
      <w:r w:rsidRPr="002F62A7">
        <w:rPr>
          <w:sz w:val="18"/>
          <w:szCs w:val="18"/>
          <w:lang w:val="pt-PT"/>
        </w:rPr>
        <w:t>. 2018;25(3):369</w:t>
      </w:r>
      <w:r w:rsidR="009B60A6" w:rsidRPr="002F62A7">
        <w:rPr>
          <w:sz w:val="18"/>
          <w:szCs w:val="18"/>
          <w:lang w:val="pt-PT"/>
        </w:rPr>
        <w:noBreakHyphen/>
      </w:r>
      <w:r w:rsidRPr="002F62A7">
        <w:rPr>
          <w:sz w:val="18"/>
          <w:szCs w:val="18"/>
          <w:lang w:val="pt-PT"/>
        </w:rPr>
        <w:t>90.</w:t>
      </w:r>
    </w:p>
  </w:footnote>
  <w:footnote w:id="3">
    <w:p w14:paraId="6CE47BDC" w14:textId="49D18391" w:rsidR="00A9474A" w:rsidRPr="00385DFB" w:rsidRDefault="00A9474A" w:rsidP="00FD3176">
      <w:pPr>
        <w:pStyle w:val="FootnoteText"/>
        <w:rPr>
          <w:sz w:val="18"/>
          <w:szCs w:val="18"/>
        </w:rPr>
      </w:pPr>
      <w:r w:rsidRPr="00385DFB">
        <w:rPr>
          <w:rStyle w:val="FootnoteReference"/>
          <w:sz w:val="18"/>
          <w:szCs w:val="18"/>
        </w:rPr>
        <w:footnoteRef/>
      </w:r>
      <w:r w:rsidRPr="002F62A7">
        <w:rPr>
          <w:sz w:val="18"/>
          <w:szCs w:val="18"/>
          <w:lang w:val="pt-PT"/>
        </w:rPr>
        <w:t xml:space="preserve"> </w:t>
      </w:r>
      <w:r w:rsidRPr="002F62A7">
        <w:rPr>
          <w:sz w:val="18"/>
          <w:szCs w:val="18"/>
          <w:lang w:val="pt-PT"/>
        </w:rPr>
        <w:t xml:space="preserve">Flores R, Carneiro Â, Vieira M, Tenreiro S, Seabra MC. </w:t>
      </w:r>
      <w:r w:rsidRPr="00385DFB">
        <w:rPr>
          <w:sz w:val="18"/>
          <w:szCs w:val="18"/>
        </w:rPr>
        <w:t>Age</w:t>
      </w:r>
      <w:r w:rsidR="009B60A6">
        <w:rPr>
          <w:sz w:val="18"/>
          <w:szCs w:val="18"/>
        </w:rPr>
        <w:noBreakHyphen/>
      </w:r>
      <w:r w:rsidRPr="00385DFB">
        <w:rPr>
          <w:sz w:val="18"/>
          <w:szCs w:val="18"/>
        </w:rPr>
        <w:t xml:space="preserve">Related Macular Degeneration: Pathophysiology, Management, and Future Perspectives. </w:t>
      </w:r>
      <w:proofErr w:type="spellStart"/>
      <w:r w:rsidRPr="00385DFB">
        <w:rPr>
          <w:i/>
          <w:iCs/>
          <w:sz w:val="18"/>
          <w:szCs w:val="18"/>
        </w:rPr>
        <w:t>Ophthalmologica</w:t>
      </w:r>
      <w:proofErr w:type="spellEnd"/>
      <w:r w:rsidRPr="00385DFB">
        <w:rPr>
          <w:sz w:val="18"/>
          <w:szCs w:val="18"/>
        </w:rPr>
        <w:t>. 2021;244(6):495</w:t>
      </w:r>
      <w:r w:rsidR="009B60A6">
        <w:rPr>
          <w:sz w:val="18"/>
          <w:szCs w:val="18"/>
        </w:rPr>
        <w:noBreakHyphen/>
      </w:r>
      <w:r w:rsidRPr="00385DFB">
        <w:rPr>
          <w:sz w:val="18"/>
          <w:szCs w:val="18"/>
        </w:rPr>
        <w:t>511.</w:t>
      </w:r>
    </w:p>
  </w:footnote>
  <w:footnote w:id="4">
    <w:p w14:paraId="4A60D3D7" w14:textId="295CF266" w:rsidR="00F02032" w:rsidRPr="00385DFB" w:rsidRDefault="00F02032">
      <w:pPr>
        <w:pStyle w:val="FootnoteText"/>
        <w:rPr>
          <w:sz w:val="18"/>
          <w:szCs w:val="18"/>
        </w:rPr>
      </w:pPr>
      <w:r w:rsidRPr="00385DFB">
        <w:rPr>
          <w:rStyle w:val="FootnoteReference"/>
          <w:sz w:val="18"/>
          <w:szCs w:val="18"/>
        </w:rPr>
        <w:footnoteRef/>
      </w:r>
      <w:r w:rsidRPr="00385DFB">
        <w:rPr>
          <w:sz w:val="18"/>
          <w:szCs w:val="18"/>
        </w:rPr>
        <w:t xml:space="preserve"> Geographic atrophy (GA). Retina Australia. URL: https://retinaaustralia.com.au/ </w:t>
      </w:r>
    </w:p>
  </w:footnote>
  <w:footnote w:id="5">
    <w:p w14:paraId="2252E59A" w14:textId="78525EF5" w:rsidR="00ED73D2" w:rsidRPr="00385DFB" w:rsidRDefault="00ED73D2">
      <w:pPr>
        <w:pStyle w:val="FootnoteText"/>
        <w:rPr>
          <w:sz w:val="18"/>
          <w:szCs w:val="18"/>
        </w:rPr>
      </w:pPr>
      <w:r w:rsidRPr="00385DFB">
        <w:rPr>
          <w:rStyle w:val="FootnoteReference"/>
          <w:sz w:val="18"/>
          <w:szCs w:val="18"/>
        </w:rPr>
        <w:footnoteRef/>
      </w:r>
      <w:r w:rsidRPr="00385DFB">
        <w:rPr>
          <w:sz w:val="18"/>
          <w:szCs w:val="18"/>
        </w:rPr>
        <w:t xml:space="preserve"> Krogh Nielsen M, Hinnerskov JMV, S</w:t>
      </w:r>
      <w:r w:rsidRPr="00385DFB">
        <w:rPr>
          <w:rFonts w:cs="Calibri"/>
          <w:sz w:val="18"/>
          <w:szCs w:val="18"/>
        </w:rPr>
        <w:t>ø</w:t>
      </w:r>
      <w:r w:rsidRPr="00385DFB">
        <w:rPr>
          <w:sz w:val="18"/>
          <w:szCs w:val="18"/>
        </w:rPr>
        <w:t xml:space="preserve">rensen TL. Geographic atrophy: Signs, symptoms, and quality of life. </w:t>
      </w:r>
      <w:r w:rsidRPr="00385DFB">
        <w:rPr>
          <w:i/>
          <w:iCs/>
          <w:sz w:val="18"/>
          <w:szCs w:val="18"/>
        </w:rPr>
        <w:t xml:space="preserve">Acta </w:t>
      </w:r>
      <w:proofErr w:type="spellStart"/>
      <w:r w:rsidRPr="00385DFB">
        <w:rPr>
          <w:i/>
          <w:iCs/>
          <w:sz w:val="18"/>
          <w:szCs w:val="18"/>
        </w:rPr>
        <w:t>Ophthalmologica</w:t>
      </w:r>
      <w:proofErr w:type="spellEnd"/>
      <w:r w:rsidRPr="00385DFB">
        <w:rPr>
          <w:sz w:val="18"/>
          <w:szCs w:val="18"/>
        </w:rPr>
        <w:t>. 2023; 101(8):896</w:t>
      </w:r>
      <w:r w:rsidR="009B60A6">
        <w:rPr>
          <w:sz w:val="18"/>
          <w:szCs w:val="18"/>
        </w:rPr>
        <w:noBreakHyphen/>
      </w:r>
      <w:r w:rsidRPr="00385DFB">
        <w:rPr>
          <w:sz w:val="18"/>
          <w:szCs w:val="18"/>
        </w:rPr>
        <w:t>902.</w:t>
      </w:r>
    </w:p>
  </w:footnote>
  <w:footnote w:id="6">
    <w:p w14:paraId="4A4B68F8" w14:textId="31178BD9" w:rsidR="0029681D" w:rsidRPr="00385DFB" w:rsidRDefault="0029681D">
      <w:pPr>
        <w:pStyle w:val="FootnoteText"/>
        <w:rPr>
          <w:sz w:val="18"/>
          <w:szCs w:val="18"/>
        </w:rPr>
      </w:pPr>
      <w:r w:rsidRPr="00385DFB">
        <w:rPr>
          <w:rStyle w:val="FootnoteReference"/>
          <w:sz w:val="18"/>
          <w:szCs w:val="18"/>
        </w:rPr>
        <w:footnoteRef/>
      </w:r>
      <w:r w:rsidRPr="00385DFB">
        <w:rPr>
          <w:sz w:val="18"/>
          <w:szCs w:val="18"/>
        </w:rPr>
        <w:t xml:space="preserve"> Macular Disease Foundation Australia. Navigating the changing geographic atrophy landscape. URL: </w:t>
      </w:r>
      <w:hyperlink r:id="rId1" w:history="1">
        <w:r w:rsidRPr="00385DFB">
          <w:rPr>
            <w:rStyle w:val="Hyperlink"/>
            <w:sz w:val="18"/>
            <w:szCs w:val="18"/>
          </w:rPr>
          <w:t>https://www.mdfoundation.com.au/wp</w:t>
        </w:r>
        <w:r w:rsidR="009B60A6">
          <w:rPr>
            <w:rStyle w:val="Hyperlink"/>
            <w:sz w:val="18"/>
            <w:szCs w:val="18"/>
          </w:rPr>
          <w:noBreakHyphen/>
        </w:r>
        <w:r w:rsidRPr="00385DFB">
          <w:rPr>
            <w:rStyle w:val="Hyperlink"/>
            <w:sz w:val="18"/>
            <w:szCs w:val="18"/>
          </w:rPr>
          <w:t>content/uploads/2024/08/13283</w:t>
        </w:r>
        <w:r w:rsidR="009B60A6">
          <w:rPr>
            <w:rStyle w:val="Hyperlink"/>
            <w:sz w:val="18"/>
            <w:szCs w:val="18"/>
          </w:rPr>
          <w:noBreakHyphen/>
        </w:r>
        <w:r w:rsidRPr="00385DFB">
          <w:rPr>
            <w:rStyle w:val="Hyperlink"/>
            <w:sz w:val="18"/>
            <w:szCs w:val="18"/>
          </w:rPr>
          <w:t>MDFA</w:t>
        </w:r>
        <w:r w:rsidR="009B60A6">
          <w:rPr>
            <w:rStyle w:val="Hyperlink"/>
            <w:sz w:val="18"/>
            <w:szCs w:val="18"/>
          </w:rPr>
          <w:noBreakHyphen/>
        </w:r>
        <w:r w:rsidRPr="00385DFB">
          <w:rPr>
            <w:rStyle w:val="Hyperlink"/>
            <w:sz w:val="18"/>
            <w:szCs w:val="18"/>
          </w:rPr>
          <w:t>New</w:t>
        </w:r>
        <w:r w:rsidR="009B60A6">
          <w:rPr>
            <w:rStyle w:val="Hyperlink"/>
            <w:sz w:val="18"/>
            <w:szCs w:val="18"/>
          </w:rPr>
          <w:noBreakHyphen/>
        </w:r>
        <w:r w:rsidRPr="00385DFB">
          <w:rPr>
            <w:rStyle w:val="Hyperlink"/>
            <w:sz w:val="18"/>
            <w:szCs w:val="18"/>
          </w:rPr>
          <w:t>HCP</w:t>
        </w:r>
        <w:r w:rsidR="009B60A6">
          <w:rPr>
            <w:rStyle w:val="Hyperlink"/>
            <w:sz w:val="18"/>
            <w:szCs w:val="18"/>
          </w:rPr>
          <w:noBreakHyphen/>
        </w:r>
        <w:r w:rsidRPr="00385DFB">
          <w:rPr>
            <w:rStyle w:val="Hyperlink"/>
            <w:sz w:val="18"/>
            <w:szCs w:val="18"/>
          </w:rPr>
          <w:t>Training</w:t>
        </w:r>
        <w:r w:rsidR="009B60A6">
          <w:rPr>
            <w:rStyle w:val="Hyperlink"/>
            <w:sz w:val="18"/>
            <w:szCs w:val="18"/>
          </w:rPr>
          <w:noBreakHyphen/>
        </w:r>
        <w:r w:rsidRPr="00385DFB">
          <w:rPr>
            <w:rStyle w:val="Hyperlink"/>
            <w:sz w:val="18"/>
            <w:szCs w:val="18"/>
          </w:rPr>
          <w:t>Manual</w:t>
        </w:r>
        <w:r w:rsidR="009B60A6">
          <w:rPr>
            <w:rStyle w:val="Hyperlink"/>
            <w:sz w:val="18"/>
            <w:szCs w:val="18"/>
          </w:rPr>
          <w:noBreakHyphen/>
        </w:r>
        <w:r w:rsidRPr="00385DFB">
          <w:rPr>
            <w:rStyle w:val="Hyperlink"/>
            <w:sz w:val="18"/>
            <w:szCs w:val="18"/>
          </w:rPr>
          <w:t>A4x24PP.pdf</w:t>
        </w:r>
      </w:hyperlink>
      <w:r w:rsidRPr="00385DFB">
        <w:rPr>
          <w:sz w:val="18"/>
          <w:szCs w:val="18"/>
        </w:rPr>
        <w:t xml:space="preserve"> </w:t>
      </w:r>
    </w:p>
  </w:footnote>
  <w:footnote w:id="7">
    <w:p w14:paraId="4E010BD8" w14:textId="51D1B84A" w:rsidR="00675EEA" w:rsidRPr="00385DFB" w:rsidRDefault="00675EEA">
      <w:pPr>
        <w:pStyle w:val="FootnoteText"/>
        <w:rPr>
          <w:sz w:val="18"/>
          <w:szCs w:val="18"/>
        </w:rPr>
      </w:pPr>
      <w:r w:rsidRPr="00385DFB">
        <w:rPr>
          <w:rStyle w:val="FootnoteReference"/>
          <w:sz w:val="18"/>
          <w:szCs w:val="18"/>
        </w:rPr>
        <w:footnoteRef/>
      </w:r>
      <w:r w:rsidRPr="00385DFB">
        <w:rPr>
          <w:sz w:val="18"/>
          <w:szCs w:val="18"/>
        </w:rPr>
        <w:t xml:space="preserve"> Keel S, Xie J, Foreman J, van </w:t>
      </w:r>
      <w:proofErr w:type="spellStart"/>
      <w:r w:rsidRPr="00385DFB">
        <w:rPr>
          <w:sz w:val="18"/>
          <w:szCs w:val="18"/>
        </w:rPr>
        <w:t>Wijingaarden</w:t>
      </w:r>
      <w:proofErr w:type="spellEnd"/>
      <w:r w:rsidRPr="00385DFB">
        <w:rPr>
          <w:sz w:val="18"/>
          <w:szCs w:val="18"/>
        </w:rPr>
        <w:t xml:space="preserve"> P, Taylor HR, Dirani M. Prevalence of age</w:t>
      </w:r>
      <w:r w:rsidR="009B60A6">
        <w:rPr>
          <w:sz w:val="18"/>
          <w:szCs w:val="18"/>
        </w:rPr>
        <w:noBreakHyphen/>
      </w:r>
      <w:r w:rsidRPr="00385DFB">
        <w:rPr>
          <w:sz w:val="18"/>
          <w:szCs w:val="18"/>
        </w:rPr>
        <w:t xml:space="preserve">related macular degeneration in Australia: The Australian National Eye Health Survey. </w:t>
      </w:r>
      <w:r w:rsidRPr="00385DFB">
        <w:rPr>
          <w:i/>
          <w:iCs/>
          <w:sz w:val="18"/>
          <w:szCs w:val="18"/>
        </w:rPr>
        <w:t>JAMA Ophthalmology.</w:t>
      </w:r>
      <w:r w:rsidRPr="00385DFB">
        <w:rPr>
          <w:sz w:val="18"/>
          <w:szCs w:val="18"/>
        </w:rPr>
        <w:t xml:space="preserve"> 2017; 135(11): 1242</w:t>
      </w:r>
      <w:r w:rsidR="009B60A6">
        <w:rPr>
          <w:sz w:val="18"/>
          <w:szCs w:val="18"/>
        </w:rPr>
        <w:noBreakHyphen/>
      </w:r>
      <w:r w:rsidRPr="00385DFB">
        <w:rPr>
          <w:sz w:val="18"/>
          <w:szCs w:val="18"/>
        </w:rPr>
        <w:t>1249.</w:t>
      </w:r>
    </w:p>
  </w:footnote>
  <w:footnote w:id="8">
    <w:p w14:paraId="39DC5825" w14:textId="226BFB6B" w:rsidR="00FC44A3" w:rsidRPr="00385DFB" w:rsidRDefault="00FC44A3">
      <w:pPr>
        <w:pStyle w:val="FootnoteText"/>
        <w:rPr>
          <w:sz w:val="18"/>
          <w:szCs w:val="18"/>
        </w:rPr>
      </w:pPr>
      <w:r w:rsidRPr="00385DFB">
        <w:rPr>
          <w:rStyle w:val="FootnoteReference"/>
          <w:sz w:val="18"/>
          <w:szCs w:val="18"/>
        </w:rPr>
        <w:footnoteRef/>
      </w:r>
      <w:r w:rsidRPr="00385DFB">
        <w:rPr>
          <w:sz w:val="18"/>
          <w:szCs w:val="18"/>
        </w:rPr>
        <w:t xml:space="preserve"> Keenan TD, Agr</w:t>
      </w:r>
      <w:r w:rsidRPr="00385DFB">
        <w:rPr>
          <w:rFonts w:cs="Calibri"/>
          <w:sz w:val="18"/>
          <w:szCs w:val="18"/>
        </w:rPr>
        <w:t>ó</w:t>
      </w:r>
      <w:r w:rsidRPr="00385DFB">
        <w:rPr>
          <w:sz w:val="18"/>
          <w:szCs w:val="18"/>
        </w:rPr>
        <w:t xml:space="preserve">n E, </w:t>
      </w:r>
      <w:proofErr w:type="spellStart"/>
      <w:r w:rsidRPr="00385DFB">
        <w:rPr>
          <w:sz w:val="18"/>
          <w:szCs w:val="18"/>
        </w:rPr>
        <w:t>Domalpally</w:t>
      </w:r>
      <w:proofErr w:type="spellEnd"/>
      <w:r w:rsidRPr="00385DFB">
        <w:rPr>
          <w:sz w:val="18"/>
          <w:szCs w:val="18"/>
        </w:rPr>
        <w:t xml:space="preserve"> A, Clemons TE, van Asten F, Wong WT et al. Progression of geographic atrophy in age</w:t>
      </w:r>
      <w:r w:rsidR="009B60A6">
        <w:rPr>
          <w:sz w:val="18"/>
          <w:szCs w:val="18"/>
        </w:rPr>
        <w:noBreakHyphen/>
      </w:r>
      <w:r w:rsidRPr="00385DFB">
        <w:rPr>
          <w:sz w:val="18"/>
          <w:szCs w:val="18"/>
        </w:rPr>
        <w:t xml:space="preserve">related macular degeneration: AREDS2 Report </w:t>
      </w:r>
      <w:r w:rsidR="006D4756" w:rsidRPr="00385DFB">
        <w:rPr>
          <w:sz w:val="18"/>
          <w:szCs w:val="18"/>
        </w:rPr>
        <w:t>N</w:t>
      </w:r>
      <w:r w:rsidRPr="00385DFB">
        <w:rPr>
          <w:sz w:val="18"/>
          <w:szCs w:val="18"/>
        </w:rPr>
        <w:t>umber 16.</w:t>
      </w:r>
      <w:r w:rsidR="006D4756" w:rsidRPr="00385DFB">
        <w:rPr>
          <w:sz w:val="18"/>
          <w:szCs w:val="18"/>
        </w:rPr>
        <w:t xml:space="preserve"> </w:t>
      </w:r>
      <w:r w:rsidR="006D4756" w:rsidRPr="00385DFB">
        <w:rPr>
          <w:i/>
          <w:sz w:val="18"/>
          <w:szCs w:val="18"/>
        </w:rPr>
        <w:t>Ophthalmology</w:t>
      </w:r>
      <w:r w:rsidR="006D4756" w:rsidRPr="00385DFB">
        <w:rPr>
          <w:sz w:val="18"/>
          <w:szCs w:val="18"/>
        </w:rPr>
        <w:t>. 2018; 125 (12): 1913</w:t>
      </w:r>
      <w:r w:rsidR="009B60A6">
        <w:rPr>
          <w:sz w:val="18"/>
          <w:szCs w:val="18"/>
        </w:rPr>
        <w:noBreakHyphen/>
      </w:r>
      <w:r w:rsidR="006D4756" w:rsidRPr="00385DFB">
        <w:rPr>
          <w:sz w:val="18"/>
          <w:szCs w:val="18"/>
        </w:rPr>
        <w:t>1928.</w:t>
      </w:r>
    </w:p>
  </w:footnote>
  <w:footnote w:id="9">
    <w:p w14:paraId="24330DE1" w14:textId="73FD67D3" w:rsidR="005C646D" w:rsidRPr="00385DFB" w:rsidRDefault="005C646D">
      <w:pPr>
        <w:pStyle w:val="FootnoteText"/>
        <w:rPr>
          <w:sz w:val="18"/>
          <w:szCs w:val="18"/>
        </w:rPr>
      </w:pPr>
      <w:r w:rsidRPr="00385DFB">
        <w:rPr>
          <w:rStyle w:val="FootnoteReference"/>
          <w:sz w:val="18"/>
          <w:szCs w:val="18"/>
        </w:rPr>
        <w:footnoteRef/>
      </w:r>
      <w:r w:rsidRPr="00385DFB">
        <w:rPr>
          <w:sz w:val="18"/>
          <w:szCs w:val="18"/>
        </w:rPr>
        <w:t xml:space="preserve"> Lindblad AS, Lloyd PC, Clemons TE, Gensler GR, Ferris FL, Klein ML et al. </w:t>
      </w:r>
      <w:proofErr w:type="spellStart"/>
      <w:r w:rsidRPr="00385DFB">
        <w:rPr>
          <w:sz w:val="18"/>
          <w:szCs w:val="18"/>
        </w:rPr>
        <w:t>Ghance</w:t>
      </w:r>
      <w:proofErr w:type="spellEnd"/>
      <w:r w:rsidRPr="00385DFB">
        <w:rPr>
          <w:sz w:val="18"/>
          <w:szCs w:val="18"/>
        </w:rPr>
        <w:t xml:space="preserve"> in area of geographic atrophy in the Age</w:t>
      </w:r>
      <w:r w:rsidR="009B60A6">
        <w:rPr>
          <w:sz w:val="18"/>
          <w:szCs w:val="18"/>
        </w:rPr>
        <w:noBreakHyphen/>
      </w:r>
      <w:r w:rsidRPr="00385DFB">
        <w:rPr>
          <w:sz w:val="18"/>
          <w:szCs w:val="18"/>
        </w:rPr>
        <w:t xml:space="preserve">related Eye Disease Study: AREDS Report number 26. </w:t>
      </w:r>
      <w:r w:rsidRPr="00385DFB">
        <w:rPr>
          <w:i/>
          <w:iCs/>
          <w:sz w:val="18"/>
          <w:szCs w:val="18"/>
        </w:rPr>
        <w:t xml:space="preserve">Archives of Ophthalmological Research. </w:t>
      </w:r>
      <w:r w:rsidRPr="00385DFB">
        <w:rPr>
          <w:sz w:val="18"/>
          <w:szCs w:val="18"/>
        </w:rPr>
        <w:t>2009; 127 (9): 1168</w:t>
      </w:r>
      <w:r w:rsidR="009B60A6">
        <w:rPr>
          <w:sz w:val="18"/>
          <w:szCs w:val="18"/>
        </w:rPr>
        <w:noBreakHyphen/>
      </w:r>
      <w:r w:rsidRPr="00385DFB">
        <w:rPr>
          <w:sz w:val="18"/>
          <w:szCs w:val="18"/>
        </w:rPr>
        <w:t>1174.</w:t>
      </w:r>
    </w:p>
  </w:footnote>
  <w:footnote w:id="10">
    <w:p w14:paraId="2D585C6E" w14:textId="15E9E11C" w:rsidR="00065832" w:rsidRPr="00065832" w:rsidRDefault="00065832">
      <w:pPr>
        <w:pStyle w:val="FootnoteText"/>
      </w:pPr>
      <w:r w:rsidRPr="00385DFB">
        <w:rPr>
          <w:rStyle w:val="FootnoteReference"/>
          <w:sz w:val="18"/>
          <w:szCs w:val="18"/>
        </w:rPr>
        <w:footnoteRef/>
      </w:r>
      <w:r w:rsidRPr="00385DFB">
        <w:rPr>
          <w:sz w:val="18"/>
          <w:szCs w:val="18"/>
        </w:rPr>
        <w:t xml:space="preserve"> Wilke GA, Apte RS. Complement regulation in the eye: Implications for age</w:t>
      </w:r>
      <w:r w:rsidR="009B60A6">
        <w:rPr>
          <w:sz w:val="18"/>
          <w:szCs w:val="18"/>
        </w:rPr>
        <w:noBreakHyphen/>
      </w:r>
      <w:r w:rsidRPr="00385DFB">
        <w:rPr>
          <w:sz w:val="18"/>
          <w:szCs w:val="18"/>
        </w:rPr>
        <w:t xml:space="preserve">related macular degeneration. </w:t>
      </w:r>
      <w:r w:rsidRPr="00385DFB">
        <w:rPr>
          <w:i/>
          <w:iCs/>
          <w:sz w:val="18"/>
          <w:szCs w:val="18"/>
        </w:rPr>
        <w:t>Journal of Clinical Investigation</w:t>
      </w:r>
      <w:r w:rsidRPr="00385DFB">
        <w:rPr>
          <w:sz w:val="18"/>
          <w:szCs w:val="18"/>
        </w:rPr>
        <w:t>. 2024; 134(9). Accession Number: 38690727 PMCID: PMC11060743 DOI: 10.1172/jci178296.</w:t>
      </w:r>
      <w:r w:rsidRPr="00385DFB">
        <w:rPr>
          <w:sz w:val="18"/>
          <w:szCs w:val="18"/>
        </w:rPr>
        <w:cr/>
      </w:r>
    </w:p>
  </w:footnote>
  <w:footnote w:id="11">
    <w:p w14:paraId="236A09B5" w14:textId="77777777" w:rsidR="003459A3" w:rsidRPr="00A5338E" w:rsidRDefault="003459A3" w:rsidP="003459A3">
      <w:pPr>
        <w:pStyle w:val="FootnoteText"/>
        <w:rPr>
          <w:sz w:val="18"/>
          <w:szCs w:val="18"/>
        </w:rPr>
      </w:pPr>
      <w:r w:rsidRPr="00A5338E">
        <w:rPr>
          <w:rStyle w:val="FootnoteReference"/>
          <w:sz w:val="18"/>
          <w:szCs w:val="18"/>
        </w:rPr>
        <w:footnoteRef/>
      </w:r>
      <w:r w:rsidRPr="002F62A7">
        <w:rPr>
          <w:sz w:val="18"/>
          <w:szCs w:val="18"/>
          <w:lang w:val="de-DE"/>
        </w:rPr>
        <w:t xml:space="preserve"> </w:t>
      </w:r>
      <w:r w:rsidRPr="002F62A7">
        <w:rPr>
          <w:sz w:val="18"/>
          <w:szCs w:val="18"/>
          <w:lang w:val="de-DE"/>
        </w:rPr>
        <w:t xml:space="preserve">Hahn P, Eichenbaum D, Dhoot D et al. </w:t>
      </w:r>
      <w:r w:rsidRPr="00A5338E">
        <w:rPr>
          <w:sz w:val="18"/>
          <w:szCs w:val="18"/>
        </w:rPr>
        <w:t xml:space="preserve">Efficacy of intravitreal pegcetacoplan vs avacincaptad pegol in patients with geographic atrophy. </w:t>
      </w:r>
      <w:r w:rsidRPr="00A5338E">
        <w:rPr>
          <w:i/>
          <w:iCs/>
          <w:sz w:val="18"/>
          <w:szCs w:val="18"/>
        </w:rPr>
        <w:t xml:space="preserve">J </w:t>
      </w:r>
      <w:proofErr w:type="spellStart"/>
      <w:r w:rsidRPr="00A5338E">
        <w:rPr>
          <w:i/>
          <w:iCs/>
          <w:sz w:val="18"/>
          <w:szCs w:val="18"/>
        </w:rPr>
        <w:t>Vitreoretin</w:t>
      </w:r>
      <w:proofErr w:type="spellEnd"/>
      <w:r w:rsidRPr="00A5338E">
        <w:rPr>
          <w:i/>
          <w:iCs/>
          <w:sz w:val="18"/>
          <w:szCs w:val="18"/>
        </w:rPr>
        <w:t xml:space="preserve"> Dis</w:t>
      </w:r>
      <w:r w:rsidRPr="00A5338E">
        <w:rPr>
          <w:sz w:val="18"/>
          <w:szCs w:val="18"/>
        </w:rPr>
        <w:t xml:space="preserve"> 2025. DOI 10.1177/24741264251379842</w:t>
      </w:r>
    </w:p>
  </w:footnote>
  <w:footnote w:id="12">
    <w:p w14:paraId="360328DD" w14:textId="202FD5B1" w:rsidR="003459A3" w:rsidRPr="00A5338E" w:rsidRDefault="003459A3" w:rsidP="003459A3">
      <w:pPr>
        <w:pStyle w:val="FootnoteText"/>
        <w:rPr>
          <w:sz w:val="18"/>
          <w:szCs w:val="18"/>
        </w:rPr>
      </w:pPr>
      <w:r w:rsidRPr="00A5338E">
        <w:rPr>
          <w:rStyle w:val="FootnoteReference"/>
          <w:sz w:val="18"/>
          <w:szCs w:val="18"/>
        </w:rPr>
        <w:footnoteRef/>
      </w:r>
      <w:r w:rsidRPr="00A5338E">
        <w:rPr>
          <w:sz w:val="18"/>
          <w:szCs w:val="18"/>
        </w:rPr>
        <w:t xml:space="preserve"> Wang H, Zheng J, Zhang Q et al. Efficacy and safety of complement inhibitors in patients with geographic atrophy associated with age</w:t>
      </w:r>
      <w:r w:rsidR="009B60A6">
        <w:rPr>
          <w:sz w:val="18"/>
          <w:szCs w:val="18"/>
        </w:rPr>
        <w:noBreakHyphen/>
      </w:r>
      <w:r w:rsidRPr="00A5338E">
        <w:rPr>
          <w:sz w:val="18"/>
          <w:szCs w:val="18"/>
        </w:rPr>
        <w:t>related macular degeneration: a network meta</w:t>
      </w:r>
      <w:r w:rsidR="009B60A6">
        <w:rPr>
          <w:sz w:val="18"/>
          <w:szCs w:val="18"/>
        </w:rPr>
        <w:noBreakHyphen/>
      </w:r>
      <w:r w:rsidRPr="00A5338E">
        <w:rPr>
          <w:sz w:val="18"/>
          <w:szCs w:val="18"/>
        </w:rPr>
        <w:t xml:space="preserve">analysis of randomized controlled trials. </w:t>
      </w:r>
      <w:r w:rsidRPr="00A5338E">
        <w:rPr>
          <w:i/>
          <w:iCs/>
          <w:sz w:val="18"/>
          <w:szCs w:val="18"/>
        </w:rPr>
        <w:t xml:space="preserve">Front Pharmacol </w:t>
      </w:r>
      <w:r w:rsidRPr="00A5338E">
        <w:rPr>
          <w:sz w:val="18"/>
          <w:szCs w:val="18"/>
        </w:rPr>
        <w:t>2024; 15:1410172.</w:t>
      </w:r>
    </w:p>
  </w:footnote>
  <w:footnote w:id="13">
    <w:p w14:paraId="32438465" w14:textId="50895E18" w:rsidR="003459A3" w:rsidRDefault="003459A3" w:rsidP="003459A3">
      <w:pPr>
        <w:pStyle w:val="FootnoteText"/>
      </w:pPr>
      <w:r w:rsidRPr="00A5338E">
        <w:rPr>
          <w:rStyle w:val="FootnoteReference"/>
          <w:sz w:val="18"/>
          <w:szCs w:val="18"/>
        </w:rPr>
        <w:footnoteRef/>
      </w:r>
      <w:r w:rsidRPr="00A5338E">
        <w:rPr>
          <w:sz w:val="18"/>
          <w:szCs w:val="18"/>
        </w:rPr>
        <w:t xml:space="preserve"> Jovanovi</w:t>
      </w:r>
      <w:r w:rsidRPr="00A5338E">
        <w:rPr>
          <w:rFonts w:cs="Calibri"/>
          <w:sz w:val="18"/>
          <w:szCs w:val="18"/>
        </w:rPr>
        <w:t>ć</w:t>
      </w:r>
      <w:r w:rsidRPr="00A5338E">
        <w:rPr>
          <w:sz w:val="18"/>
          <w:szCs w:val="18"/>
        </w:rPr>
        <w:t xml:space="preserve"> J, Daki V, </w:t>
      </w:r>
      <w:proofErr w:type="spellStart"/>
      <w:r w:rsidRPr="00A5338E">
        <w:rPr>
          <w:sz w:val="18"/>
          <w:szCs w:val="18"/>
        </w:rPr>
        <w:t>Kantidakis</w:t>
      </w:r>
      <w:proofErr w:type="spellEnd"/>
      <w:r w:rsidRPr="00A5338E">
        <w:rPr>
          <w:sz w:val="18"/>
          <w:szCs w:val="18"/>
        </w:rPr>
        <w:t xml:space="preserve"> G et al. (2025) Comparative efficacy and safety of avacincaptad pegol vs pegcetacoplan in treatment of geographic atrophy: insights from a multilevel network meta</w:t>
      </w:r>
      <w:r w:rsidR="009B60A6">
        <w:rPr>
          <w:sz w:val="18"/>
          <w:szCs w:val="18"/>
        </w:rPr>
        <w:noBreakHyphen/>
      </w:r>
      <w:r w:rsidRPr="00A5338E">
        <w:rPr>
          <w:sz w:val="18"/>
          <w:szCs w:val="18"/>
        </w:rPr>
        <w:t>regression (Conference paper).</w:t>
      </w:r>
    </w:p>
  </w:footnote>
  <w:footnote w:id="14">
    <w:p w14:paraId="00C67EE6" w14:textId="72A94AD1" w:rsidR="00C16E03" w:rsidRPr="00CD57E4" w:rsidRDefault="00C16E03" w:rsidP="00C16E03">
      <w:pPr>
        <w:pStyle w:val="FootnoteText"/>
        <w:rPr>
          <w:iCs/>
        </w:rPr>
      </w:pPr>
      <w:r w:rsidRPr="00CD57E4">
        <w:rPr>
          <w:rStyle w:val="FootnoteReference"/>
        </w:rPr>
        <w:footnoteRef/>
      </w:r>
      <w:r w:rsidRPr="002F62A7">
        <w:rPr>
          <w:lang w:val="da-DK"/>
        </w:rPr>
        <w:t xml:space="preserve"> </w:t>
      </w:r>
      <w:r w:rsidRPr="002F62A7">
        <w:rPr>
          <w:lang w:val="da-DK"/>
        </w:rPr>
        <w:t xml:space="preserve">Keel S, Xie J, Foreman J et al. </w:t>
      </w:r>
      <w:r w:rsidRPr="00CD57E4">
        <w:t>Prevalence of age</w:t>
      </w:r>
      <w:r w:rsidR="009B60A6" w:rsidRPr="00CD57E4">
        <w:noBreakHyphen/>
      </w:r>
      <w:r w:rsidRPr="00CD57E4">
        <w:t xml:space="preserve">related macular degeneration in Australia: The Australian National Eye Health Survey. </w:t>
      </w:r>
      <w:r w:rsidRPr="00CD57E4">
        <w:rPr>
          <w:i/>
          <w:iCs/>
        </w:rPr>
        <w:t xml:space="preserve">JAMA Ophthalmology </w:t>
      </w:r>
      <w:r w:rsidRPr="00CD57E4">
        <w:rPr>
          <w:iCs/>
        </w:rPr>
        <w:t>2017; 135(11): 1242</w:t>
      </w:r>
      <w:r w:rsidR="009B60A6" w:rsidRPr="00CD57E4">
        <w:rPr>
          <w:iCs/>
        </w:rPr>
        <w:noBreakHyphen/>
      </w:r>
      <w:r w:rsidRPr="00CD57E4">
        <w:rPr>
          <w:iCs/>
        </w:rPr>
        <w:t>1249.</w:t>
      </w:r>
    </w:p>
  </w:footnote>
  <w:footnote w:id="15">
    <w:p w14:paraId="06A8690F" w14:textId="77777777" w:rsidR="00D9326E" w:rsidRPr="009E59C7" w:rsidRDefault="00D9326E" w:rsidP="00D9326E">
      <w:pPr>
        <w:pStyle w:val="FootnoteText"/>
        <w:rPr>
          <w:sz w:val="18"/>
          <w:szCs w:val="18"/>
        </w:rPr>
      </w:pPr>
      <w:r w:rsidRPr="009E59C7">
        <w:rPr>
          <w:rStyle w:val="FootnoteReference"/>
          <w:sz w:val="18"/>
          <w:szCs w:val="18"/>
        </w:rPr>
        <w:footnoteRef/>
      </w:r>
      <w:r w:rsidRPr="009E59C7">
        <w:rPr>
          <w:color w:val="000000" w:themeColor="text1"/>
          <w:sz w:val="18"/>
          <w:szCs w:val="18"/>
        </w:rPr>
        <w:t xml:space="preserve"> In OAKS and DERBY, fellow eye CNV at baseline was identified in 45 (21%), 39 (18%), and 45 (21%) patients in OAKS, and in 39 (19%), 42 (20%), and 42 (20%) patients in DERBY who received pegcetacoplan monthly, EOM, and sham, respectively. </w:t>
      </w:r>
    </w:p>
  </w:footnote>
  <w:footnote w:id="16">
    <w:p w14:paraId="28D542E1" w14:textId="77777777" w:rsidR="00D9326E" w:rsidRDefault="00D9326E" w:rsidP="00D9326E">
      <w:pPr>
        <w:pStyle w:val="FootnoteText"/>
      </w:pPr>
      <w:r w:rsidRPr="009E59C7">
        <w:rPr>
          <w:rStyle w:val="FootnoteReference"/>
          <w:sz w:val="18"/>
          <w:szCs w:val="18"/>
        </w:rPr>
        <w:footnoteRef/>
      </w:r>
      <w:r w:rsidRPr="009E59C7">
        <w:rPr>
          <w:sz w:val="18"/>
          <w:szCs w:val="18"/>
        </w:rPr>
        <w:t xml:space="preserve"> In OAKS, 116 (57%), 131 (63%), and 147 (71%) patients, and in DERBY, 129 (63%), 120 (60%), and 122 (63%) patients who received pegcetacoplan monthly, EOM, and sham, respectively, had GA lesions in study eye involving the fovea.</w:t>
      </w:r>
    </w:p>
  </w:footnote>
  <w:footnote w:id="17">
    <w:p w14:paraId="29655268" w14:textId="5E5D871C" w:rsidR="00EC5143" w:rsidRPr="009E59C7" w:rsidRDefault="00EC5143" w:rsidP="00EC5143">
      <w:pPr>
        <w:pStyle w:val="FootnoteText"/>
        <w:rPr>
          <w:sz w:val="18"/>
          <w:szCs w:val="18"/>
        </w:rPr>
      </w:pPr>
      <w:r w:rsidRPr="009E59C7">
        <w:rPr>
          <w:rStyle w:val="FootnoteReference"/>
          <w:sz w:val="18"/>
          <w:szCs w:val="18"/>
        </w:rPr>
        <w:footnoteRef/>
      </w:r>
      <w:r w:rsidRPr="009E59C7">
        <w:rPr>
          <w:sz w:val="18"/>
          <w:szCs w:val="18"/>
        </w:rPr>
        <w:t xml:space="preserve"> National Eye Institute Visual Functioning Questionnaire </w:t>
      </w:r>
      <w:r w:rsidR="009B60A6">
        <w:rPr>
          <w:sz w:val="18"/>
          <w:szCs w:val="18"/>
        </w:rPr>
        <w:noBreakHyphen/>
      </w:r>
      <w:r w:rsidRPr="009E59C7">
        <w:rPr>
          <w:sz w:val="18"/>
          <w:szCs w:val="18"/>
        </w:rPr>
        <w:t>25 (VFQ</w:t>
      </w:r>
      <w:r w:rsidR="009B60A6">
        <w:rPr>
          <w:sz w:val="18"/>
          <w:szCs w:val="18"/>
        </w:rPr>
        <w:noBreakHyphen/>
      </w:r>
      <w:r w:rsidRPr="009E59C7">
        <w:rPr>
          <w:sz w:val="18"/>
          <w:szCs w:val="18"/>
        </w:rPr>
        <w:t xml:space="preserve">25). URL: </w:t>
      </w:r>
      <w:hyperlink r:id="rId2" w:history="1">
        <w:r w:rsidRPr="009E59C7">
          <w:rPr>
            <w:rStyle w:val="Hyperlink"/>
            <w:sz w:val="18"/>
            <w:szCs w:val="18"/>
          </w:rPr>
          <w:t>https://www.rand.org/content/dam/rand/www/external/health/surveys_tools/vfq/vfq25survey_selfadmin.pdf</w:t>
        </w:r>
      </w:hyperlink>
      <w:r w:rsidRPr="009E59C7">
        <w:rPr>
          <w:sz w:val="18"/>
          <w:szCs w:val="18"/>
        </w:rPr>
        <w:t>. Higher score represents better function.</w:t>
      </w:r>
    </w:p>
  </w:footnote>
  <w:footnote w:id="18">
    <w:p w14:paraId="1B1F6854" w14:textId="525DDB0C" w:rsidR="001A48EB" w:rsidRPr="009E59C7" w:rsidRDefault="001A48EB">
      <w:pPr>
        <w:pStyle w:val="FootnoteText"/>
        <w:rPr>
          <w:sz w:val="18"/>
          <w:szCs w:val="18"/>
        </w:rPr>
      </w:pPr>
      <w:r w:rsidRPr="009E59C7">
        <w:rPr>
          <w:rStyle w:val="FootnoteReference"/>
          <w:sz w:val="18"/>
          <w:szCs w:val="18"/>
        </w:rPr>
        <w:footnoteRef/>
      </w:r>
      <w:r w:rsidRPr="009E59C7">
        <w:rPr>
          <w:sz w:val="18"/>
          <w:szCs w:val="18"/>
        </w:rPr>
        <w:t xml:space="preserve"> Marella M,</w:t>
      </w:r>
      <w:r w:rsidR="00BF27FA">
        <w:rPr>
          <w:sz w:val="18"/>
          <w:szCs w:val="18"/>
        </w:rPr>
        <w:t xml:space="preserve"> </w:t>
      </w:r>
      <w:proofErr w:type="spellStart"/>
      <w:r w:rsidRPr="009E59C7">
        <w:rPr>
          <w:sz w:val="18"/>
          <w:szCs w:val="18"/>
        </w:rPr>
        <w:t>Pesudovs</w:t>
      </w:r>
      <w:proofErr w:type="spellEnd"/>
      <w:r w:rsidRPr="009E59C7">
        <w:rPr>
          <w:sz w:val="18"/>
          <w:szCs w:val="18"/>
        </w:rPr>
        <w:t xml:space="preserve"> K, Keeffe JE et al. The psychometric validity of the NEI VFQ</w:t>
      </w:r>
      <w:r w:rsidR="009B60A6">
        <w:rPr>
          <w:sz w:val="18"/>
          <w:szCs w:val="18"/>
        </w:rPr>
        <w:noBreakHyphen/>
      </w:r>
      <w:r w:rsidRPr="009E59C7">
        <w:rPr>
          <w:sz w:val="18"/>
          <w:szCs w:val="18"/>
        </w:rPr>
        <w:t>25 for use in a low</w:t>
      </w:r>
      <w:r w:rsidR="009B60A6">
        <w:rPr>
          <w:sz w:val="18"/>
          <w:szCs w:val="18"/>
        </w:rPr>
        <w:noBreakHyphen/>
      </w:r>
      <w:r w:rsidRPr="009E59C7">
        <w:rPr>
          <w:sz w:val="18"/>
          <w:szCs w:val="18"/>
        </w:rPr>
        <w:t xml:space="preserve">vision population. </w:t>
      </w:r>
      <w:r w:rsidRPr="009E59C7">
        <w:rPr>
          <w:i/>
          <w:iCs/>
          <w:sz w:val="18"/>
          <w:szCs w:val="18"/>
        </w:rPr>
        <w:t>Invest Ophthalmol Vis Sci</w:t>
      </w:r>
      <w:r w:rsidRPr="009E59C7">
        <w:rPr>
          <w:sz w:val="18"/>
          <w:szCs w:val="18"/>
        </w:rPr>
        <w:t xml:space="preserve"> 2010; 51(6): 2878</w:t>
      </w:r>
      <w:r w:rsidR="009B60A6">
        <w:rPr>
          <w:sz w:val="18"/>
          <w:szCs w:val="18"/>
        </w:rPr>
        <w:noBreakHyphen/>
      </w:r>
      <w:r w:rsidRPr="009E59C7">
        <w:rPr>
          <w:sz w:val="18"/>
          <w:szCs w:val="18"/>
        </w:rPr>
        <w:t>2884.</w:t>
      </w:r>
    </w:p>
  </w:footnote>
  <w:footnote w:id="19">
    <w:p w14:paraId="570E9469" w14:textId="63E37AAE" w:rsidR="007A2EF2" w:rsidRDefault="007A2EF2">
      <w:pPr>
        <w:pStyle w:val="FootnoteText"/>
      </w:pPr>
      <w:r w:rsidRPr="009E59C7">
        <w:rPr>
          <w:rStyle w:val="FootnoteReference"/>
          <w:sz w:val="18"/>
          <w:szCs w:val="18"/>
        </w:rPr>
        <w:footnoteRef/>
      </w:r>
      <w:r w:rsidRPr="009E59C7">
        <w:rPr>
          <w:sz w:val="18"/>
          <w:szCs w:val="18"/>
        </w:rPr>
        <w:t xml:space="preserve"> Hahn P, Eichenbaum D, Dhoot D et al. Efficacy of intravitreal pegcetacoplan vs avacincaptad pegol in patients with geographic atrophy. </w:t>
      </w:r>
      <w:r w:rsidRPr="009E59C7">
        <w:rPr>
          <w:i/>
          <w:iCs/>
          <w:sz w:val="18"/>
          <w:szCs w:val="18"/>
        </w:rPr>
        <w:t xml:space="preserve">J </w:t>
      </w:r>
      <w:proofErr w:type="spellStart"/>
      <w:r w:rsidRPr="009E59C7">
        <w:rPr>
          <w:i/>
          <w:iCs/>
          <w:sz w:val="18"/>
          <w:szCs w:val="18"/>
        </w:rPr>
        <w:t>Vitreoretin</w:t>
      </w:r>
      <w:proofErr w:type="spellEnd"/>
      <w:r w:rsidRPr="009E59C7">
        <w:rPr>
          <w:i/>
          <w:iCs/>
          <w:sz w:val="18"/>
          <w:szCs w:val="18"/>
        </w:rPr>
        <w:t xml:space="preserve"> Dis</w:t>
      </w:r>
      <w:r w:rsidRPr="009E59C7">
        <w:rPr>
          <w:sz w:val="18"/>
          <w:szCs w:val="18"/>
        </w:rPr>
        <w:t xml:space="preserve"> 2025. DOI 10.1177/24741264251379842</w:t>
      </w:r>
    </w:p>
  </w:footnote>
  <w:footnote w:id="20">
    <w:p w14:paraId="3CB00991" w14:textId="218C224B" w:rsidR="004A6956" w:rsidRPr="00D75319" w:rsidRDefault="004A6956" w:rsidP="004A6956">
      <w:pPr>
        <w:pStyle w:val="FootnoteText"/>
        <w:rPr>
          <w:sz w:val="18"/>
          <w:szCs w:val="18"/>
        </w:rPr>
      </w:pPr>
      <w:r w:rsidRPr="00D75319">
        <w:rPr>
          <w:rStyle w:val="FootnoteReference"/>
          <w:sz w:val="18"/>
          <w:szCs w:val="18"/>
        </w:rPr>
        <w:footnoteRef/>
      </w:r>
      <w:r w:rsidRPr="00D75319">
        <w:rPr>
          <w:sz w:val="18"/>
          <w:szCs w:val="18"/>
        </w:rPr>
        <w:t xml:space="preserve"> Phillippo DM, Dias S, Ades AE et al. Multilevel network meta</w:t>
      </w:r>
      <w:r w:rsidR="009B60A6">
        <w:rPr>
          <w:sz w:val="18"/>
          <w:szCs w:val="18"/>
        </w:rPr>
        <w:noBreakHyphen/>
      </w:r>
      <w:r w:rsidRPr="00D75319">
        <w:rPr>
          <w:sz w:val="18"/>
          <w:szCs w:val="18"/>
        </w:rPr>
        <w:t>regression for population</w:t>
      </w:r>
      <w:r w:rsidR="009B60A6">
        <w:rPr>
          <w:sz w:val="18"/>
          <w:szCs w:val="18"/>
        </w:rPr>
        <w:noBreakHyphen/>
      </w:r>
      <w:r w:rsidRPr="00D75319">
        <w:rPr>
          <w:sz w:val="18"/>
          <w:szCs w:val="18"/>
        </w:rPr>
        <w:t xml:space="preserve">adjusted treatment comparisons. </w:t>
      </w:r>
      <w:r w:rsidRPr="00D75319">
        <w:rPr>
          <w:i/>
          <w:iCs/>
          <w:sz w:val="18"/>
          <w:szCs w:val="18"/>
        </w:rPr>
        <w:t>J R Stat Soc Ser A Stat Soc</w:t>
      </w:r>
      <w:r w:rsidRPr="00D75319">
        <w:rPr>
          <w:sz w:val="18"/>
          <w:szCs w:val="18"/>
        </w:rPr>
        <w:t xml:space="preserve"> 2020;183(3):1189</w:t>
      </w:r>
      <w:r w:rsidR="009B60A6">
        <w:rPr>
          <w:sz w:val="18"/>
          <w:szCs w:val="18"/>
        </w:rPr>
        <w:noBreakHyphen/>
      </w:r>
      <w:r w:rsidRPr="00D75319">
        <w:rPr>
          <w:sz w:val="18"/>
          <w:szCs w:val="18"/>
        </w:rPr>
        <w:t>1210.</w:t>
      </w:r>
    </w:p>
  </w:footnote>
  <w:footnote w:id="21">
    <w:p w14:paraId="60F7C5EC" w14:textId="77777777" w:rsidR="00307E5B" w:rsidRPr="00083CB0" w:rsidRDefault="00307E5B" w:rsidP="00307E5B">
      <w:pPr>
        <w:contextualSpacing/>
        <w:rPr>
          <w:i/>
          <w:iCs/>
          <w:sz w:val="18"/>
          <w:szCs w:val="18"/>
        </w:rPr>
      </w:pPr>
      <w:r w:rsidRPr="00083CB0">
        <w:rPr>
          <w:i/>
          <w:iCs/>
          <w:sz w:val="18"/>
          <w:szCs w:val="18"/>
          <w:vertAlign w:val="superscript"/>
        </w:rPr>
        <w:footnoteRef/>
      </w:r>
      <w:r w:rsidRPr="00083CB0">
        <w:rPr>
          <w:i/>
          <w:iCs/>
          <w:sz w:val="18"/>
          <w:szCs w:val="18"/>
          <w:vertAlign w:val="superscript"/>
        </w:rPr>
        <w:t xml:space="preserve"> </w:t>
      </w:r>
      <w:r w:rsidRPr="00083CB0">
        <w:rPr>
          <w:i/>
          <w:iCs/>
          <w:sz w:val="18"/>
          <w:szCs w:val="18"/>
        </w:rPr>
        <w:t>Borkar D, et.al. Treatment Patterns and Safety of ACP in Real World Patients with GA. Presented at: American Association of Ophthalmology 2025; Orlando, Florida, USA.</w:t>
      </w:r>
    </w:p>
    <w:p w14:paraId="30BF750A" w14:textId="1C70D610" w:rsidR="00307E5B" w:rsidRDefault="00307E5B">
      <w:pPr>
        <w:pStyle w:val="FootnoteText"/>
      </w:pPr>
    </w:p>
  </w:footnote>
  <w:footnote w:id="22">
    <w:p w14:paraId="4D809C8D" w14:textId="14F45CBC" w:rsidR="00F046F3" w:rsidRPr="00CD57E4" w:rsidRDefault="00F046F3">
      <w:pPr>
        <w:pStyle w:val="FootnoteText"/>
      </w:pPr>
      <w:r w:rsidRPr="00CD57E4">
        <w:rPr>
          <w:rStyle w:val="FootnoteReference"/>
        </w:rPr>
        <w:footnoteRef/>
      </w:r>
      <w:r w:rsidRPr="00CD57E4">
        <w:t xml:space="preserve"> </w:t>
      </w:r>
      <w:r w:rsidR="0074484C" w:rsidRPr="00CD57E4">
        <w:t>Ahluwalia A, Shen LL, Chen EM, Sun M, Park MM, Young BK, Del Priore LV. Geographic atrophy severity and mortality in age</w:t>
      </w:r>
      <w:r w:rsidR="009B60A6" w:rsidRPr="00CD57E4">
        <w:noBreakHyphen/>
      </w:r>
      <w:r w:rsidR="0074484C" w:rsidRPr="00CD57E4">
        <w:t>related macular degeneration. Graefes Arch Clin Exp Ophthalmol. 2021 Sep;259(9):2643</w:t>
      </w:r>
      <w:r w:rsidR="009B60A6" w:rsidRPr="00CD57E4">
        <w:noBreakHyphen/>
      </w:r>
      <w:r w:rsidR="0074484C" w:rsidRPr="00CD57E4">
        <w:t>2651. doi: 10.1007/s00417</w:t>
      </w:r>
      <w:r w:rsidR="009B60A6" w:rsidRPr="00CD57E4">
        <w:noBreakHyphen/>
      </w:r>
      <w:r w:rsidR="0074484C" w:rsidRPr="00CD57E4">
        <w:t>021</w:t>
      </w:r>
      <w:r w:rsidR="009B60A6" w:rsidRPr="00CD57E4">
        <w:noBreakHyphen/>
      </w:r>
      <w:r w:rsidR="0074484C" w:rsidRPr="00CD57E4">
        <w:t>05145</w:t>
      </w:r>
      <w:r w:rsidR="009B60A6" w:rsidRPr="00CD57E4">
        <w:noBreakHyphen/>
      </w:r>
      <w:r w:rsidR="0074484C" w:rsidRPr="00CD57E4">
        <w:t xml:space="preserve">9. </w:t>
      </w:r>
      <w:proofErr w:type="spellStart"/>
      <w:r w:rsidR="0074484C" w:rsidRPr="00CD57E4">
        <w:t>Epub</w:t>
      </w:r>
      <w:proofErr w:type="spellEnd"/>
      <w:r w:rsidR="0074484C" w:rsidRPr="00CD57E4">
        <w:t xml:space="preserve"> 2021 Mar 19. PMID: 33742280</w:t>
      </w:r>
    </w:p>
  </w:footnote>
  <w:footnote w:id="23">
    <w:p w14:paraId="100E589E" w14:textId="75270EF0" w:rsidR="003D3BA5" w:rsidRPr="00CD57E4" w:rsidRDefault="003D3BA5">
      <w:pPr>
        <w:pStyle w:val="FootnoteText"/>
        <w:rPr>
          <w:i/>
          <w:iCs/>
        </w:rPr>
      </w:pPr>
      <w:r w:rsidRPr="00CD57E4">
        <w:footnoteRef/>
      </w:r>
      <w:r w:rsidRPr="00CD57E4">
        <w:t xml:space="preserve"> NICE guideline NG82, Appendix J: Health Economics</w:t>
      </w:r>
    </w:p>
  </w:footnote>
  <w:footnote w:id="24">
    <w:p w14:paraId="2C0D96ED" w14:textId="43C1B0C6" w:rsidR="007F4BC5" w:rsidRPr="009E3294" w:rsidRDefault="007F4BC5" w:rsidP="007F4BC5">
      <w:pPr>
        <w:pStyle w:val="FootnoteText"/>
      </w:pPr>
      <w:r w:rsidRPr="009E3294">
        <w:rPr>
          <w:rStyle w:val="FootnoteReference"/>
        </w:rPr>
        <w:footnoteRef/>
      </w:r>
      <w:r w:rsidRPr="009E3294">
        <w:t xml:space="preserve"> Wang JJ, </w:t>
      </w:r>
      <w:proofErr w:type="spellStart"/>
      <w:r w:rsidRPr="009E3294">
        <w:t>Rochtchina</w:t>
      </w:r>
      <w:proofErr w:type="spellEnd"/>
      <w:r w:rsidRPr="009E3294">
        <w:t xml:space="preserve"> E, Lee AJ, Chia E</w:t>
      </w:r>
      <w:r w:rsidR="009B60A6" w:rsidRPr="009E3294">
        <w:noBreakHyphen/>
      </w:r>
      <w:r w:rsidRPr="009E3294">
        <w:t>M, Smith W, Cumming RG, Mitchell P. Ten</w:t>
      </w:r>
      <w:r w:rsidR="009B60A6" w:rsidRPr="009E3294">
        <w:noBreakHyphen/>
      </w:r>
      <w:r w:rsidRPr="009E3294">
        <w:t>year incidence and progression of age</w:t>
      </w:r>
      <w:r w:rsidR="009B60A6" w:rsidRPr="009E3294">
        <w:noBreakHyphen/>
      </w:r>
      <w:r w:rsidRPr="009E3294">
        <w:t>related maculopathy: the blue Mountains Eye Study. Ophthalmology. 2007;114(1):92</w:t>
      </w:r>
      <w:r w:rsidR="009B60A6" w:rsidRPr="009E3294">
        <w:noBreakHyphen/>
      </w:r>
      <w:r w:rsidRPr="009E3294">
        <w:t>8.</w:t>
      </w:r>
    </w:p>
  </w:footnote>
  <w:footnote w:id="25">
    <w:p w14:paraId="2063DEA3" w14:textId="6808FA24" w:rsidR="007F4BC5" w:rsidRPr="009E3294" w:rsidRDefault="007F4BC5" w:rsidP="007F4BC5">
      <w:pPr>
        <w:pStyle w:val="FootnoteText"/>
      </w:pPr>
      <w:r w:rsidRPr="009E3294">
        <w:rPr>
          <w:rStyle w:val="FootnoteReference"/>
        </w:rPr>
        <w:footnoteRef/>
      </w:r>
      <w:r w:rsidRPr="009E3294">
        <w:t xml:space="preserve"> Keel S, Xie J, Foreman J, Van Wijngaarden P, Taylor HR, Dirani M. Prevalence of age</w:t>
      </w:r>
      <w:r w:rsidR="009B60A6" w:rsidRPr="009E3294">
        <w:noBreakHyphen/>
      </w:r>
      <w:r w:rsidRPr="009E3294">
        <w:t>related macular degeneration in Australia: the Australian National Eye Health Survey. JAMA ophthalmology. 2017;135(11):1242</w:t>
      </w:r>
      <w:r w:rsidR="009B60A6" w:rsidRPr="009E3294">
        <w:noBreakHyphen/>
      </w:r>
      <w:r w:rsidRPr="009E3294">
        <w:t>9.</w:t>
      </w:r>
    </w:p>
  </w:footnote>
  <w:footnote w:id="26">
    <w:p w14:paraId="3260D334" w14:textId="77777777" w:rsidR="007F4BC5" w:rsidRDefault="007F4BC5" w:rsidP="007F4BC5">
      <w:pPr>
        <w:pStyle w:val="FootnoteText"/>
      </w:pPr>
      <w:r w:rsidRPr="009E3294">
        <w:rPr>
          <w:rStyle w:val="FootnoteReference"/>
        </w:rPr>
        <w:footnoteRef/>
      </w:r>
      <w:r w:rsidRPr="009E3294">
        <w:t xml:space="preserve"> </w:t>
      </w:r>
      <w:proofErr w:type="spellStart"/>
      <w:r w:rsidRPr="009E3294">
        <w:t>Rahimy</w:t>
      </w:r>
      <w:proofErr w:type="spellEnd"/>
      <w:r w:rsidRPr="009E3294">
        <w:t xml:space="preserve"> E, Khan MA, Ho AC, Hatfield M, Nguyen TH, Jones D, et al. Progression of geographic atrophy: retrospective analysis of patients from the IRIS® Registry (Intelligent Research in Sight). Ophthalmology Science. 2023;3(4):100318.</w:t>
      </w:r>
    </w:p>
  </w:footnote>
  <w:footnote w:id="27">
    <w:p w14:paraId="4C23D83E" w14:textId="77777777" w:rsidR="00AB30D3" w:rsidRPr="00D33EED" w:rsidRDefault="00AB30D3" w:rsidP="00AB30D3">
      <w:pPr>
        <w:pStyle w:val="FootnoteText"/>
      </w:pPr>
      <w:r w:rsidRPr="00D33EED">
        <w:rPr>
          <w:rStyle w:val="FootnoteReference"/>
        </w:rPr>
        <w:footnoteRef/>
      </w:r>
      <w:r w:rsidRPr="00D33EED">
        <w:t xml:space="preserve"> Hahn P, Eichenbaum D, Dhoot D et al. Efficacy of intravitreal pegcetacoplan vs avacincaptad pegol in patients with geographic atrophy. </w:t>
      </w:r>
      <w:r w:rsidRPr="00D33EED">
        <w:rPr>
          <w:i/>
          <w:iCs/>
        </w:rPr>
        <w:t xml:space="preserve">J </w:t>
      </w:r>
      <w:proofErr w:type="spellStart"/>
      <w:r w:rsidRPr="00D33EED">
        <w:rPr>
          <w:i/>
          <w:iCs/>
        </w:rPr>
        <w:t>Vitreoretin</w:t>
      </w:r>
      <w:proofErr w:type="spellEnd"/>
      <w:r w:rsidRPr="00D33EED">
        <w:rPr>
          <w:i/>
          <w:iCs/>
        </w:rPr>
        <w:t xml:space="preserve"> Dis</w:t>
      </w:r>
      <w:r w:rsidRPr="00D33EED">
        <w:t xml:space="preserve"> 2025. DOI 10.1177/24741264251379842</w:t>
      </w:r>
    </w:p>
  </w:footnote>
  <w:footnote w:id="28">
    <w:p w14:paraId="162BB039" w14:textId="1BC8541A" w:rsidR="00AB30D3" w:rsidRPr="00D33EED" w:rsidRDefault="00AB30D3" w:rsidP="00AB30D3">
      <w:pPr>
        <w:pStyle w:val="FootnoteText"/>
      </w:pPr>
      <w:r w:rsidRPr="00D33EED">
        <w:rPr>
          <w:rStyle w:val="FootnoteReference"/>
        </w:rPr>
        <w:footnoteRef/>
      </w:r>
      <w:r w:rsidRPr="00D33EED">
        <w:t xml:space="preserve"> Wang H, Zheng J, Zhang Q et al. Efficacy and safety of complement inhibitors in patients with geographic atrophy associated with age</w:t>
      </w:r>
      <w:r w:rsidR="009B60A6" w:rsidRPr="00D33EED">
        <w:noBreakHyphen/>
      </w:r>
      <w:r w:rsidRPr="00D33EED">
        <w:t>related macular degeneration: a network meta</w:t>
      </w:r>
      <w:r w:rsidR="009B60A6" w:rsidRPr="00D33EED">
        <w:noBreakHyphen/>
      </w:r>
      <w:r w:rsidRPr="00D33EED">
        <w:t xml:space="preserve">analysis of randomized controlled trials. </w:t>
      </w:r>
      <w:r w:rsidRPr="00D33EED">
        <w:rPr>
          <w:i/>
          <w:iCs/>
        </w:rPr>
        <w:t xml:space="preserve">Front Pharmacol </w:t>
      </w:r>
      <w:r w:rsidRPr="00D33EED">
        <w:t>2024; 15:1410172.</w:t>
      </w:r>
    </w:p>
  </w:footnote>
  <w:footnote w:id="29">
    <w:p w14:paraId="25142B30" w14:textId="4BDB5B76" w:rsidR="00AB30D3" w:rsidRDefault="00AB30D3" w:rsidP="00AB30D3">
      <w:pPr>
        <w:pStyle w:val="FootnoteText"/>
      </w:pPr>
      <w:r w:rsidRPr="00D33EED">
        <w:rPr>
          <w:rStyle w:val="FootnoteReference"/>
        </w:rPr>
        <w:footnoteRef/>
      </w:r>
      <w:r w:rsidRPr="00D33EED">
        <w:t xml:space="preserve"> Jovanovi</w:t>
      </w:r>
      <w:r w:rsidRPr="00D33EED">
        <w:rPr>
          <w:rFonts w:cs="Calibri"/>
        </w:rPr>
        <w:t>ć</w:t>
      </w:r>
      <w:r w:rsidRPr="00D33EED">
        <w:t xml:space="preserve"> J, Daki V, </w:t>
      </w:r>
      <w:proofErr w:type="spellStart"/>
      <w:r w:rsidRPr="00D33EED">
        <w:t>Kantidakis</w:t>
      </w:r>
      <w:proofErr w:type="spellEnd"/>
      <w:r w:rsidRPr="00D33EED">
        <w:t xml:space="preserve"> G et al. (2025) Comparative efficacy and safety of avacincaptad pegol vs pegcetacoplan in treatment of geographic atrophy: insights from a multilevel network meta</w:t>
      </w:r>
      <w:r w:rsidR="009B60A6" w:rsidRPr="00D33EED">
        <w:noBreakHyphen/>
      </w:r>
      <w:r w:rsidRPr="00D33EED">
        <w:t>regression (Conference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51B3" w14:textId="37E9ABF2" w:rsidR="00EB6036" w:rsidRDefault="00D20306">
    <w:pPr>
      <w:pStyle w:val="Header"/>
    </w:pPr>
    <w:r>
      <w:rPr>
        <w:noProof/>
      </w:rPr>
      <mc:AlternateContent>
        <mc:Choice Requires="wps">
          <w:drawing>
            <wp:anchor distT="0" distB="0" distL="0" distR="0" simplePos="0" relativeHeight="251658241" behindDoc="0" locked="0" layoutInCell="1" allowOverlap="1" wp14:anchorId="1A7633D7" wp14:editId="48CE6A36">
              <wp:simplePos x="635" y="635"/>
              <wp:positionH relativeFrom="page">
                <wp:align>center</wp:align>
              </wp:positionH>
              <wp:positionV relativeFrom="page">
                <wp:align>top</wp:align>
              </wp:positionV>
              <wp:extent cx="622300" cy="376555"/>
              <wp:effectExtent l="0" t="0" r="6350" b="4445"/>
              <wp:wrapNone/>
              <wp:docPr id="847992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C8846C" w14:textId="508CEB3D"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7633D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DC8846C" w14:textId="508CEB3D"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8" w:name="_Hlk76375146"/>
  <w:p w14:paraId="05A491C6" w14:textId="73395883" w:rsidR="00B247B3" w:rsidRPr="00E33CFC" w:rsidRDefault="00D20306" w:rsidP="00B247B3">
    <w:pPr>
      <w:pStyle w:val="Header"/>
      <w:ind w:left="360"/>
      <w:rPr>
        <w:rFonts w:cs="Calibri"/>
        <w:i w:val="0"/>
        <w:color w:val="808080"/>
      </w:rPr>
    </w:pPr>
    <w:r>
      <w:rPr>
        <w:rFonts w:cs="Calibri"/>
        <w:noProof/>
        <w:color w:val="808080"/>
      </w:rPr>
      <mc:AlternateContent>
        <mc:Choice Requires="wps">
          <w:drawing>
            <wp:anchor distT="0" distB="0" distL="0" distR="0" simplePos="0" relativeHeight="251658242" behindDoc="0" locked="0" layoutInCell="1" allowOverlap="1" wp14:anchorId="544AB963" wp14:editId="6C962B9C">
              <wp:simplePos x="635" y="635"/>
              <wp:positionH relativeFrom="page">
                <wp:align>center</wp:align>
              </wp:positionH>
              <wp:positionV relativeFrom="page">
                <wp:align>top</wp:align>
              </wp:positionV>
              <wp:extent cx="622300" cy="376555"/>
              <wp:effectExtent l="0" t="0" r="6350" b="4445"/>
              <wp:wrapNone/>
              <wp:docPr id="20248231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677026" w14:textId="07465AD1"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AB96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C677026" w14:textId="07465AD1"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v:textbox>
              <w10:wrap anchorx="page" anchory="page"/>
            </v:shape>
          </w:pict>
        </mc:Fallback>
      </mc:AlternateContent>
    </w:r>
    <w:r w:rsidR="00522E5B">
      <w:rPr>
        <w:rFonts w:cs="Calibri"/>
        <w:color w:val="808080"/>
      </w:rPr>
      <w:t>Public Summary Document</w:t>
    </w:r>
    <w:r w:rsidR="00B247B3" w:rsidRPr="00E33CFC">
      <w:rPr>
        <w:rFonts w:cs="Calibri"/>
        <w:color w:val="808080"/>
      </w:rPr>
      <w:t xml:space="preserve"> – March 2026 PBAC Meeting</w:t>
    </w:r>
  </w:p>
  <w:bookmarkEnd w:id="88"/>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2E2C" w14:textId="770838CD" w:rsidR="00EB6036" w:rsidRDefault="00D20306">
    <w:pPr>
      <w:pStyle w:val="Header"/>
    </w:pPr>
    <w:r>
      <w:rPr>
        <w:noProof/>
      </w:rPr>
      <mc:AlternateContent>
        <mc:Choice Requires="wps">
          <w:drawing>
            <wp:anchor distT="0" distB="0" distL="0" distR="0" simplePos="0" relativeHeight="251658240" behindDoc="0" locked="0" layoutInCell="1" allowOverlap="1" wp14:anchorId="1177F88D" wp14:editId="68742C22">
              <wp:simplePos x="635" y="635"/>
              <wp:positionH relativeFrom="page">
                <wp:align>center</wp:align>
              </wp:positionH>
              <wp:positionV relativeFrom="page">
                <wp:align>top</wp:align>
              </wp:positionV>
              <wp:extent cx="622300" cy="376555"/>
              <wp:effectExtent l="0" t="0" r="6350" b="4445"/>
              <wp:wrapNone/>
              <wp:docPr id="2126925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EE0CC8" w14:textId="1D6D3F95"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7F88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EEE0CC8" w14:textId="1D6D3F95" w:rsidR="00D20306" w:rsidRPr="00D20306" w:rsidRDefault="00D20306" w:rsidP="00D20306">
                    <w:pPr>
                      <w:rPr>
                        <w:rFonts w:ascii="Aptos" w:eastAsia="Aptos" w:hAnsi="Aptos" w:cs="Aptos"/>
                        <w:noProof/>
                        <w:color w:val="FF0000"/>
                      </w:rPr>
                    </w:pPr>
                    <w:r w:rsidRPr="00D2030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629E8"/>
    <w:multiLevelType w:val="hybridMultilevel"/>
    <w:tmpl w:val="E0CA2208"/>
    <w:lvl w:ilvl="0" w:tplc="09229874">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C896FDD"/>
    <w:multiLevelType w:val="hybridMultilevel"/>
    <w:tmpl w:val="07A0C5A2"/>
    <w:lvl w:ilvl="0" w:tplc="56E606B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D2722D"/>
    <w:multiLevelType w:val="hybridMultilevel"/>
    <w:tmpl w:val="2D36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56A77"/>
    <w:multiLevelType w:val="hybridMultilevel"/>
    <w:tmpl w:val="4B822A9E"/>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0" w15:restartNumberingAfterBreak="0">
    <w:nsid w:val="2AE66FAF"/>
    <w:multiLevelType w:val="hybridMultilevel"/>
    <w:tmpl w:val="DB8E58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0659E"/>
    <w:multiLevelType w:val="hybridMultilevel"/>
    <w:tmpl w:val="60D2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A45CBB"/>
    <w:multiLevelType w:val="hybridMultilevel"/>
    <w:tmpl w:val="7B6EAB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E32C9"/>
    <w:multiLevelType w:val="hybridMultilevel"/>
    <w:tmpl w:val="B0009706"/>
    <w:lvl w:ilvl="0" w:tplc="56E606B4">
      <w:numFmt w:val="bullet"/>
      <w:lvlText w:val="•"/>
      <w:lvlJc w:val="left"/>
      <w:pPr>
        <w:ind w:left="720" w:hanging="360"/>
      </w:pPr>
      <w:rPr>
        <w:rFonts w:ascii="Arial Narrow" w:eastAsiaTheme="majorEastAsia" w:hAnsi="Arial Narrow"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5A1834"/>
    <w:multiLevelType w:val="hybridMultilevel"/>
    <w:tmpl w:val="EDBCC7F6"/>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EAB0F9C"/>
    <w:multiLevelType w:val="hybridMultilevel"/>
    <w:tmpl w:val="A3265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033047"/>
    <w:multiLevelType w:val="hybridMultilevel"/>
    <w:tmpl w:val="A6E053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F2724BA"/>
    <w:multiLevelType w:val="hybridMultilevel"/>
    <w:tmpl w:val="058C4D0E"/>
    <w:lvl w:ilvl="0" w:tplc="775200BE">
      <w:start w:val="1"/>
      <w:numFmt w:val="bullet"/>
      <w:pStyle w:val="BulletLas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6F39F4"/>
    <w:multiLevelType w:val="hybridMultilevel"/>
    <w:tmpl w:val="55A6422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53672A"/>
    <w:multiLevelType w:val="hybridMultilevel"/>
    <w:tmpl w:val="A4B43658"/>
    <w:lvl w:ilvl="0" w:tplc="1788446E">
      <w:start w:val="1"/>
      <w:numFmt w:val="decimal"/>
      <w:lvlText w:val="%1."/>
      <w:lvlJc w:val="left"/>
      <w:pPr>
        <w:ind w:left="1440" w:hanging="360"/>
      </w:pPr>
      <w:rPr>
        <w:i/>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816186631">
    <w:abstractNumId w:val="28"/>
  </w:num>
  <w:num w:numId="2" w16cid:durableId="917793048">
    <w:abstractNumId w:val="16"/>
  </w:num>
  <w:num w:numId="3" w16cid:durableId="263461728">
    <w:abstractNumId w:val="0"/>
  </w:num>
  <w:num w:numId="4" w16cid:durableId="220360847">
    <w:abstractNumId w:val="25"/>
  </w:num>
  <w:num w:numId="5" w16cid:durableId="268196418">
    <w:abstractNumId w:val="12"/>
  </w:num>
  <w:num w:numId="6" w16cid:durableId="1048839230">
    <w:abstractNumId w:val="28"/>
  </w:num>
  <w:num w:numId="7" w16cid:durableId="613286999">
    <w:abstractNumId w:val="5"/>
  </w:num>
  <w:num w:numId="8" w16cid:durableId="890265897">
    <w:abstractNumId w:val="14"/>
  </w:num>
  <w:num w:numId="9" w16cid:durableId="1104961710">
    <w:abstractNumId w:val="23"/>
  </w:num>
  <w:num w:numId="10" w16cid:durableId="1491092372">
    <w:abstractNumId w:val="15"/>
  </w:num>
  <w:num w:numId="11" w16cid:durableId="1297298472">
    <w:abstractNumId w:val="8"/>
  </w:num>
  <w:num w:numId="12" w16cid:durableId="562329825">
    <w:abstractNumId w:val="4"/>
  </w:num>
  <w:num w:numId="13" w16cid:durableId="365646795">
    <w:abstractNumId w:val="17"/>
  </w:num>
  <w:num w:numId="14" w16cid:durableId="1473323599">
    <w:abstractNumId w:val="22"/>
  </w:num>
  <w:num w:numId="15" w16cid:durableId="355808617">
    <w:abstractNumId w:val="10"/>
  </w:num>
  <w:num w:numId="16" w16cid:durableId="1519157215">
    <w:abstractNumId w:val="3"/>
  </w:num>
  <w:num w:numId="17" w16cid:durableId="1947349301">
    <w:abstractNumId w:val="29"/>
  </w:num>
  <w:num w:numId="18" w16cid:durableId="148442827">
    <w:abstractNumId w:val="21"/>
  </w:num>
  <w:num w:numId="19" w16cid:durableId="1101491226">
    <w:abstractNumId w:val="20"/>
  </w:num>
  <w:num w:numId="20" w16cid:durableId="1573005167">
    <w:abstractNumId w:val="18"/>
  </w:num>
  <w:num w:numId="21" w16cid:durableId="408699874">
    <w:abstractNumId w:val="19"/>
  </w:num>
  <w:num w:numId="22" w16cid:durableId="1569418770">
    <w:abstractNumId w:val="2"/>
  </w:num>
  <w:num w:numId="23" w16cid:durableId="705176722">
    <w:abstractNumId w:val="1"/>
  </w:num>
  <w:num w:numId="24" w16cid:durableId="1926569401">
    <w:abstractNumId w:val="7"/>
  </w:num>
  <w:num w:numId="25" w16cid:durableId="1979457665">
    <w:abstractNumId w:val="11"/>
  </w:num>
  <w:num w:numId="26" w16cid:durableId="2038313566">
    <w:abstractNumId w:val="6"/>
  </w:num>
  <w:num w:numId="27"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7201">
    <w:abstractNumId w:val="26"/>
  </w:num>
  <w:num w:numId="29" w16cid:durableId="1156729720">
    <w:abstractNumId w:val="13"/>
  </w:num>
  <w:num w:numId="30" w16cid:durableId="526061470">
    <w:abstractNumId w:val="28"/>
  </w:num>
  <w:num w:numId="31" w16cid:durableId="807744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9038835">
    <w:abstractNumId w:val="28"/>
  </w:num>
  <w:num w:numId="33" w16cid:durableId="3948569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3057857">
    <w:abstractNumId w:val="28"/>
  </w:num>
  <w:num w:numId="35" w16cid:durableId="484200929">
    <w:abstractNumId w:val="27"/>
  </w:num>
  <w:num w:numId="36" w16cid:durableId="203961817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a5fr5st0vxw2ee5exvrs59rtpx5wsssaxr&quot;&gt;ACP-Ref-Library&lt;record-ids&gt;&lt;item&gt;1&lt;/item&gt;&lt;item&gt;6&lt;/item&gt;&lt;item&gt;15&lt;/item&gt;&lt;item&gt;16&lt;/item&gt;&lt;item&gt;17&lt;/item&gt;&lt;item&gt;21&lt;/item&gt;&lt;item&gt;65&lt;/item&gt;&lt;item&gt;66&lt;/item&gt;&lt;item&gt;69&lt;/item&gt;&lt;item&gt;80&lt;/item&gt;&lt;item&gt;95&lt;/item&gt;&lt;item&gt;96&lt;/item&gt;&lt;item&gt;107&lt;/item&gt;&lt;item&gt;108&lt;/item&gt;&lt;item&gt;109&lt;/item&gt;&lt;item&gt;110&lt;/item&gt;&lt;item&gt;112&lt;/item&gt;&lt;item&gt;113&lt;/item&gt;&lt;item&gt;121&lt;/item&gt;&lt;item&gt;122&lt;/item&gt;&lt;item&gt;123&lt;/item&gt;&lt;item&gt;124&lt;/item&gt;&lt;item&gt;125&lt;/item&gt;&lt;item&gt;126&lt;/item&gt;&lt;/record-ids&gt;&lt;/item&gt;&lt;item db-id=&quot;fs5dv5dwbwxta7e2z23v9rfitwwza0paxdta&quot;&gt;Avacincaptad pegol_OC&lt;record-ids&gt;&lt;item&gt;4&lt;/item&gt;&lt;item&gt;5&lt;/item&gt;&lt;item&gt;7&lt;/item&gt;&lt;item&gt;10&lt;/item&gt;&lt;item&gt;11&lt;/item&gt;&lt;item&gt;12&lt;/item&gt;&lt;item&gt;15&lt;/item&gt;&lt;item&gt;16&lt;/item&gt;&lt;item&gt;25&lt;/item&gt;&lt;item&gt;28&lt;/item&gt;&lt;item&gt;29&lt;/item&gt;&lt;item&gt;30&lt;/item&gt;&lt;item&gt;33&lt;/item&gt;&lt;/record-ids&gt;&lt;/item&gt;&lt;/Libraries&gt;"/>
    <w:docVar w:name="EN.UseJSCitationFormat" w:val="False"/>
  </w:docVars>
  <w:rsids>
    <w:rsidRoot w:val="00E65E79"/>
    <w:rsid w:val="00000141"/>
    <w:rsid w:val="00000790"/>
    <w:rsid w:val="0000110B"/>
    <w:rsid w:val="0000194E"/>
    <w:rsid w:val="00001B08"/>
    <w:rsid w:val="00001B72"/>
    <w:rsid w:val="000027AA"/>
    <w:rsid w:val="00003499"/>
    <w:rsid w:val="000034B6"/>
    <w:rsid w:val="00003657"/>
    <w:rsid w:val="000039B7"/>
    <w:rsid w:val="00004032"/>
    <w:rsid w:val="0000462B"/>
    <w:rsid w:val="00004A3E"/>
    <w:rsid w:val="000056B9"/>
    <w:rsid w:val="00005AAA"/>
    <w:rsid w:val="00005BB7"/>
    <w:rsid w:val="0000639A"/>
    <w:rsid w:val="0000676E"/>
    <w:rsid w:val="00007394"/>
    <w:rsid w:val="00007471"/>
    <w:rsid w:val="00007742"/>
    <w:rsid w:val="00007868"/>
    <w:rsid w:val="00007970"/>
    <w:rsid w:val="00010083"/>
    <w:rsid w:val="000101C6"/>
    <w:rsid w:val="00010677"/>
    <w:rsid w:val="000109D6"/>
    <w:rsid w:val="00010BDA"/>
    <w:rsid w:val="00010DAE"/>
    <w:rsid w:val="00011178"/>
    <w:rsid w:val="000114E1"/>
    <w:rsid w:val="00011B8B"/>
    <w:rsid w:val="00011CE3"/>
    <w:rsid w:val="00012137"/>
    <w:rsid w:val="00013247"/>
    <w:rsid w:val="00013951"/>
    <w:rsid w:val="00015886"/>
    <w:rsid w:val="000158A1"/>
    <w:rsid w:val="00016220"/>
    <w:rsid w:val="000162EF"/>
    <w:rsid w:val="00016B6C"/>
    <w:rsid w:val="00016F11"/>
    <w:rsid w:val="00017C58"/>
    <w:rsid w:val="00020630"/>
    <w:rsid w:val="000207C9"/>
    <w:rsid w:val="00020C49"/>
    <w:rsid w:val="00021916"/>
    <w:rsid w:val="0002225F"/>
    <w:rsid w:val="00022804"/>
    <w:rsid w:val="00022AD7"/>
    <w:rsid w:val="00023011"/>
    <w:rsid w:val="00023763"/>
    <w:rsid w:val="00023AFC"/>
    <w:rsid w:val="00023B06"/>
    <w:rsid w:val="00024227"/>
    <w:rsid w:val="00024EB5"/>
    <w:rsid w:val="00025012"/>
    <w:rsid w:val="000257CC"/>
    <w:rsid w:val="00025BC0"/>
    <w:rsid w:val="00025C58"/>
    <w:rsid w:val="00025DF6"/>
    <w:rsid w:val="00026268"/>
    <w:rsid w:val="000274B8"/>
    <w:rsid w:val="00027669"/>
    <w:rsid w:val="000277F8"/>
    <w:rsid w:val="000310A1"/>
    <w:rsid w:val="00032862"/>
    <w:rsid w:val="000334D1"/>
    <w:rsid w:val="0003377D"/>
    <w:rsid w:val="00033863"/>
    <w:rsid w:val="000339F6"/>
    <w:rsid w:val="00034CA7"/>
    <w:rsid w:val="000357DC"/>
    <w:rsid w:val="00035DC0"/>
    <w:rsid w:val="00035F5E"/>
    <w:rsid w:val="000362AF"/>
    <w:rsid w:val="00036422"/>
    <w:rsid w:val="00036829"/>
    <w:rsid w:val="00036E9D"/>
    <w:rsid w:val="000400B4"/>
    <w:rsid w:val="00040895"/>
    <w:rsid w:val="00040B54"/>
    <w:rsid w:val="00041023"/>
    <w:rsid w:val="000410A0"/>
    <w:rsid w:val="00041B1A"/>
    <w:rsid w:val="0004217F"/>
    <w:rsid w:val="00042531"/>
    <w:rsid w:val="000426BF"/>
    <w:rsid w:val="00042AD5"/>
    <w:rsid w:val="00042D42"/>
    <w:rsid w:val="000435EE"/>
    <w:rsid w:val="00043C37"/>
    <w:rsid w:val="00043FA5"/>
    <w:rsid w:val="00044142"/>
    <w:rsid w:val="000444C2"/>
    <w:rsid w:val="0004488C"/>
    <w:rsid w:val="00044DF2"/>
    <w:rsid w:val="00044F8A"/>
    <w:rsid w:val="00045017"/>
    <w:rsid w:val="00045263"/>
    <w:rsid w:val="0004542D"/>
    <w:rsid w:val="00045A2B"/>
    <w:rsid w:val="00045B75"/>
    <w:rsid w:val="00045E6B"/>
    <w:rsid w:val="00045F63"/>
    <w:rsid w:val="00045FE6"/>
    <w:rsid w:val="000466A9"/>
    <w:rsid w:val="0004698F"/>
    <w:rsid w:val="00046D64"/>
    <w:rsid w:val="00046DE6"/>
    <w:rsid w:val="00047E20"/>
    <w:rsid w:val="00047E67"/>
    <w:rsid w:val="00047F4B"/>
    <w:rsid w:val="000508C2"/>
    <w:rsid w:val="00050BF3"/>
    <w:rsid w:val="00050DCF"/>
    <w:rsid w:val="00050E01"/>
    <w:rsid w:val="000511A6"/>
    <w:rsid w:val="000511D8"/>
    <w:rsid w:val="00051D55"/>
    <w:rsid w:val="0005257E"/>
    <w:rsid w:val="00052867"/>
    <w:rsid w:val="000535AF"/>
    <w:rsid w:val="000539D0"/>
    <w:rsid w:val="00053B36"/>
    <w:rsid w:val="00054605"/>
    <w:rsid w:val="00054621"/>
    <w:rsid w:val="000546D7"/>
    <w:rsid w:val="00054A8D"/>
    <w:rsid w:val="000550BA"/>
    <w:rsid w:val="00055FFF"/>
    <w:rsid w:val="0005665A"/>
    <w:rsid w:val="00056A4E"/>
    <w:rsid w:val="00056CF0"/>
    <w:rsid w:val="00056ECF"/>
    <w:rsid w:val="0005757D"/>
    <w:rsid w:val="0005761D"/>
    <w:rsid w:val="00060490"/>
    <w:rsid w:val="000604DF"/>
    <w:rsid w:val="00061036"/>
    <w:rsid w:val="00061271"/>
    <w:rsid w:val="000612C4"/>
    <w:rsid w:val="000617BF"/>
    <w:rsid w:val="00061833"/>
    <w:rsid w:val="00062040"/>
    <w:rsid w:val="00062324"/>
    <w:rsid w:val="00062F10"/>
    <w:rsid w:val="0006376D"/>
    <w:rsid w:val="00064479"/>
    <w:rsid w:val="0006452F"/>
    <w:rsid w:val="00064713"/>
    <w:rsid w:val="00064A85"/>
    <w:rsid w:val="00064ECF"/>
    <w:rsid w:val="000653B1"/>
    <w:rsid w:val="000653B5"/>
    <w:rsid w:val="00065832"/>
    <w:rsid w:val="000661D4"/>
    <w:rsid w:val="00066360"/>
    <w:rsid w:val="00066ADC"/>
    <w:rsid w:val="00066AF8"/>
    <w:rsid w:val="00066C90"/>
    <w:rsid w:val="00067386"/>
    <w:rsid w:val="000677C7"/>
    <w:rsid w:val="00067E25"/>
    <w:rsid w:val="000704C4"/>
    <w:rsid w:val="00070E46"/>
    <w:rsid w:val="00070F71"/>
    <w:rsid w:val="00071248"/>
    <w:rsid w:val="000714B3"/>
    <w:rsid w:val="00071C01"/>
    <w:rsid w:val="000720B9"/>
    <w:rsid w:val="0007229D"/>
    <w:rsid w:val="00072A92"/>
    <w:rsid w:val="00072AB5"/>
    <w:rsid w:val="000732E9"/>
    <w:rsid w:val="000737F7"/>
    <w:rsid w:val="00073867"/>
    <w:rsid w:val="00073F68"/>
    <w:rsid w:val="0007403A"/>
    <w:rsid w:val="00074C9E"/>
    <w:rsid w:val="0007569A"/>
    <w:rsid w:val="00075AE4"/>
    <w:rsid w:val="000762DB"/>
    <w:rsid w:val="0007652C"/>
    <w:rsid w:val="0007672F"/>
    <w:rsid w:val="0007682C"/>
    <w:rsid w:val="00076B54"/>
    <w:rsid w:val="00076CB7"/>
    <w:rsid w:val="00076D7F"/>
    <w:rsid w:val="000774F0"/>
    <w:rsid w:val="0007798F"/>
    <w:rsid w:val="00077F4C"/>
    <w:rsid w:val="000803BD"/>
    <w:rsid w:val="000806B4"/>
    <w:rsid w:val="00080909"/>
    <w:rsid w:val="00080CE5"/>
    <w:rsid w:val="0008129F"/>
    <w:rsid w:val="000812CA"/>
    <w:rsid w:val="00081E63"/>
    <w:rsid w:val="00081EC1"/>
    <w:rsid w:val="00082289"/>
    <w:rsid w:val="0008258D"/>
    <w:rsid w:val="00082E70"/>
    <w:rsid w:val="000836F1"/>
    <w:rsid w:val="00083CB0"/>
    <w:rsid w:val="00083D25"/>
    <w:rsid w:val="00083E99"/>
    <w:rsid w:val="00084219"/>
    <w:rsid w:val="00084691"/>
    <w:rsid w:val="00084778"/>
    <w:rsid w:val="00084EF1"/>
    <w:rsid w:val="00084FA8"/>
    <w:rsid w:val="000852CF"/>
    <w:rsid w:val="0008531B"/>
    <w:rsid w:val="000856C5"/>
    <w:rsid w:val="0008581F"/>
    <w:rsid w:val="00085C31"/>
    <w:rsid w:val="00086423"/>
    <w:rsid w:val="00086A99"/>
    <w:rsid w:val="00086C4E"/>
    <w:rsid w:val="000874D2"/>
    <w:rsid w:val="0009006E"/>
    <w:rsid w:val="000902D9"/>
    <w:rsid w:val="00090534"/>
    <w:rsid w:val="0009061B"/>
    <w:rsid w:val="000908A5"/>
    <w:rsid w:val="00090C7E"/>
    <w:rsid w:val="0009101A"/>
    <w:rsid w:val="000911AC"/>
    <w:rsid w:val="000911C1"/>
    <w:rsid w:val="00092089"/>
    <w:rsid w:val="000921DE"/>
    <w:rsid w:val="00092600"/>
    <w:rsid w:val="0009262B"/>
    <w:rsid w:val="00093310"/>
    <w:rsid w:val="00093720"/>
    <w:rsid w:val="000941D2"/>
    <w:rsid w:val="0009445C"/>
    <w:rsid w:val="00095200"/>
    <w:rsid w:val="000959B3"/>
    <w:rsid w:val="00095BD1"/>
    <w:rsid w:val="00095C8F"/>
    <w:rsid w:val="00095ECA"/>
    <w:rsid w:val="00095F0F"/>
    <w:rsid w:val="00095FE5"/>
    <w:rsid w:val="00096284"/>
    <w:rsid w:val="000963ED"/>
    <w:rsid w:val="00096B00"/>
    <w:rsid w:val="00096C62"/>
    <w:rsid w:val="00097EBE"/>
    <w:rsid w:val="000A0478"/>
    <w:rsid w:val="000A0754"/>
    <w:rsid w:val="000A09C6"/>
    <w:rsid w:val="000A1BC0"/>
    <w:rsid w:val="000A1D41"/>
    <w:rsid w:val="000A1DC6"/>
    <w:rsid w:val="000A217E"/>
    <w:rsid w:val="000A2428"/>
    <w:rsid w:val="000A2E98"/>
    <w:rsid w:val="000A2F9E"/>
    <w:rsid w:val="000A3194"/>
    <w:rsid w:val="000A367C"/>
    <w:rsid w:val="000A37C4"/>
    <w:rsid w:val="000A37F8"/>
    <w:rsid w:val="000A3A53"/>
    <w:rsid w:val="000A3BA9"/>
    <w:rsid w:val="000A3E47"/>
    <w:rsid w:val="000A4661"/>
    <w:rsid w:val="000A4A03"/>
    <w:rsid w:val="000A4E80"/>
    <w:rsid w:val="000A522B"/>
    <w:rsid w:val="000A527A"/>
    <w:rsid w:val="000A55BB"/>
    <w:rsid w:val="000A5A7E"/>
    <w:rsid w:val="000A5EB1"/>
    <w:rsid w:val="000A6039"/>
    <w:rsid w:val="000A6570"/>
    <w:rsid w:val="000A674B"/>
    <w:rsid w:val="000A6FA0"/>
    <w:rsid w:val="000A71F0"/>
    <w:rsid w:val="000A7453"/>
    <w:rsid w:val="000A7D08"/>
    <w:rsid w:val="000B0121"/>
    <w:rsid w:val="000B0670"/>
    <w:rsid w:val="000B0E75"/>
    <w:rsid w:val="000B1C2B"/>
    <w:rsid w:val="000B1D3D"/>
    <w:rsid w:val="000B1DCC"/>
    <w:rsid w:val="000B20CB"/>
    <w:rsid w:val="000B2602"/>
    <w:rsid w:val="000B2DCB"/>
    <w:rsid w:val="000B3011"/>
    <w:rsid w:val="000B3452"/>
    <w:rsid w:val="000B386A"/>
    <w:rsid w:val="000B3CC4"/>
    <w:rsid w:val="000B3D80"/>
    <w:rsid w:val="000B4A85"/>
    <w:rsid w:val="000B4CAD"/>
    <w:rsid w:val="000B5CE0"/>
    <w:rsid w:val="000B66C7"/>
    <w:rsid w:val="000B6C79"/>
    <w:rsid w:val="000B6CAC"/>
    <w:rsid w:val="000B71A0"/>
    <w:rsid w:val="000B7612"/>
    <w:rsid w:val="000B78AE"/>
    <w:rsid w:val="000C043A"/>
    <w:rsid w:val="000C057A"/>
    <w:rsid w:val="000C07D1"/>
    <w:rsid w:val="000C0C7D"/>
    <w:rsid w:val="000C18BE"/>
    <w:rsid w:val="000C1A84"/>
    <w:rsid w:val="000C1CFB"/>
    <w:rsid w:val="000C3325"/>
    <w:rsid w:val="000C348E"/>
    <w:rsid w:val="000C38CC"/>
    <w:rsid w:val="000C3DF9"/>
    <w:rsid w:val="000C4CF2"/>
    <w:rsid w:val="000C6713"/>
    <w:rsid w:val="000C6A99"/>
    <w:rsid w:val="000C6ACF"/>
    <w:rsid w:val="000C75E6"/>
    <w:rsid w:val="000C785D"/>
    <w:rsid w:val="000C79FA"/>
    <w:rsid w:val="000C7FD5"/>
    <w:rsid w:val="000D0311"/>
    <w:rsid w:val="000D0711"/>
    <w:rsid w:val="000D12A9"/>
    <w:rsid w:val="000D166C"/>
    <w:rsid w:val="000D1686"/>
    <w:rsid w:val="000D1BFC"/>
    <w:rsid w:val="000D1D5D"/>
    <w:rsid w:val="000D2064"/>
    <w:rsid w:val="000D2509"/>
    <w:rsid w:val="000D26EF"/>
    <w:rsid w:val="000D281A"/>
    <w:rsid w:val="000D2848"/>
    <w:rsid w:val="000D30BB"/>
    <w:rsid w:val="000D326A"/>
    <w:rsid w:val="000D3A45"/>
    <w:rsid w:val="000D3CB0"/>
    <w:rsid w:val="000D4DD7"/>
    <w:rsid w:val="000D51FB"/>
    <w:rsid w:val="000D56B4"/>
    <w:rsid w:val="000D5CC9"/>
    <w:rsid w:val="000D623D"/>
    <w:rsid w:val="000D7050"/>
    <w:rsid w:val="000D789F"/>
    <w:rsid w:val="000E0640"/>
    <w:rsid w:val="000E0946"/>
    <w:rsid w:val="000E0CA5"/>
    <w:rsid w:val="000E110B"/>
    <w:rsid w:val="000E135D"/>
    <w:rsid w:val="000E2293"/>
    <w:rsid w:val="000E2EB8"/>
    <w:rsid w:val="000E337D"/>
    <w:rsid w:val="000E45E7"/>
    <w:rsid w:val="000E47CA"/>
    <w:rsid w:val="000E488D"/>
    <w:rsid w:val="000E57D6"/>
    <w:rsid w:val="000E5C3A"/>
    <w:rsid w:val="000E5E1D"/>
    <w:rsid w:val="000E7208"/>
    <w:rsid w:val="000E75A4"/>
    <w:rsid w:val="000E75B0"/>
    <w:rsid w:val="000E7862"/>
    <w:rsid w:val="000F00BA"/>
    <w:rsid w:val="000F05D1"/>
    <w:rsid w:val="000F0995"/>
    <w:rsid w:val="000F09D1"/>
    <w:rsid w:val="000F0CF6"/>
    <w:rsid w:val="000F0D51"/>
    <w:rsid w:val="000F14E5"/>
    <w:rsid w:val="000F1910"/>
    <w:rsid w:val="000F2398"/>
    <w:rsid w:val="000F316A"/>
    <w:rsid w:val="000F3C74"/>
    <w:rsid w:val="000F3EFA"/>
    <w:rsid w:val="000F447B"/>
    <w:rsid w:val="000F4B68"/>
    <w:rsid w:val="000F4BB8"/>
    <w:rsid w:val="000F4E9C"/>
    <w:rsid w:val="000F4FA9"/>
    <w:rsid w:val="000F53FB"/>
    <w:rsid w:val="000F585D"/>
    <w:rsid w:val="000F5974"/>
    <w:rsid w:val="000F5F1E"/>
    <w:rsid w:val="000F6065"/>
    <w:rsid w:val="000F615A"/>
    <w:rsid w:val="000F7127"/>
    <w:rsid w:val="000F7AB5"/>
    <w:rsid w:val="000F7B54"/>
    <w:rsid w:val="001000B3"/>
    <w:rsid w:val="00100F8A"/>
    <w:rsid w:val="00101257"/>
    <w:rsid w:val="00101810"/>
    <w:rsid w:val="00101CA8"/>
    <w:rsid w:val="00102968"/>
    <w:rsid w:val="00102C82"/>
    <w:rsid w:val="00102D65"/>
    <w:rsid w:val="001032A9"/>
    <w:rsid w:val="001034E8"/>
    <w:rsid w:val="00104230"/>
    <w:rsid w:val="0010452E"/>
    <w:rsid w:val="00104ADC"/>
    <w:rsid w:val="00104ADF"/>
    <w:rsid w:val="001056A4"/>
    <w:rsid w:val="00105A80"/>
    <w:rsid w:val="00105AE2"/>
    <w:rsid w:val="00106095"/>
    <w:rsid w:val="001060C6"/>
    <w:rsid w:val="00106B80"/>
    <w:rsid w:val="00107750"/>
    <w:rsid w:val="00107C4A"/>
    <w:rsid w:val="0011032E"/>
    <w:rsid w:val="001113A1"/>
    <w:rsid w:val="00112427"/>
    <w:rsid w:val="001131D2"/>
    <w:rsid w:val="0011326C"/>
    <w:rsid w:val="0011348B"/>
    <w:rsid w:val="0011363D"/>
    <w:rsid w:val="0011580B"/>
    <w:rsid w:val="00115982"/>
    <w:rsid w:val="00115AFB"/>
    <w:rsid w:val="00115FF9"/>
    <w:rsid w:val="0011607A"/>
    <w:rsid w:val="001161BE"/>
    <w:rsid w:val="00116C53"/>
    <w:rsid w:val="001175AC"/>
    <w:rsid w:val="00117F75"/>
    <w:rsid w:val="00120AE4"/>
    <w:rsid w:val="00120AFA"/>
    <w:rsid w:val="00120B66"/>
    <w:rsid w:val="00121004"/>
    <w:rsid w:val="00121799"/>
    <w:rsid w:val="001222FC"/>
    <w:rsid w:val="001232D4"/>
    <w:rsid w:val="001236B1"/>
    <w:rsid w:val="00123902"/>
    <w:rsid w:val="0012458D"/>
    <w:rsid w:val="00124A51"/>
    <w:rsid w:val="00125250"/>
    <w:rsid w:val="00125916"/>
    <w:rsid w:val="00125F5B"/>
    <w:rsid w:val="001261F2"/>
    <w:rsid w:val="001265B1"/>
    <w:rsid w:val="00126621"/>
    <w:rsid w:val="001267A0"/>
    <w:rsid w:val="00126865"/>
    <w:rsid w:val="00126B1D"/>
    <w:rsid w:val="00126BDA"/>
    <w:rsid w:val="001271E1"/>
    <w:rsid w:val="00130077"/>
    <w:rsid w:val="001301E9"/>
    <w:rsid w:val="0013037C"/>
    <w:rsid w:val="0013139E"/>
    <w:rsid w:val="00131698"/>
    <w:rsid w:val="00131832"/>
    <w:rsid w:val="00131B65"/>
    <w:rsid w:val="00131D82"/>
    <w:rsid w:val="0013239F"/>
    <w:rsid w:val="001328F6"/>
    <w:rsid w:val="00132B06"/>
    <w:rsid w:val="00132B22"/>
    <w:rsid w:val="00132C52"/>
    <w:rsid w:val="00132F5D"/>
    <w:rsid w:val="00133205"/>
    <w:rsid w:val="0013346F"/>
    <w:rsid w:val="00133D36"/>
    <w:rsid w:val="001344C1"/>
    <w:rsid w:val="001344E0"/>
    <w:rsid w:val="00135CBF"/>
    <w:rsid w:val="0013652E"/>
    <w:rsid w:val="00136762"/>
    <w:rsid w:val="00137645"/>
    <w:rsid w:val="00137C96"/>
    <w:rsid w:val="0014015A"/>
    <w:rsid w:val="00140A01"/>
    <w:rsid w:val="00140E99"/>
    <w:rsid w:val="00140FB8"/>
    <w:rsid w:val="0014105A"/>
    <w:rsid w:val="00141E83"/>
    <w:rsid w:val="00141F7D"/>
    <w:rsid w:val="001421ED"/>
    <w:rsid w:val="0014246E"/>
    <w:rsid w:val="00142EC7"/>
    <w:rsid w:val="00142F73"/>
    <w:rsid w:val="0014377F"/>
    <w:rsid w:val="00143815"/>
    <w:rsid w:val="0014390B"/>
    <w:rsid w:val="00143A79"/>
    <w:rsid w:val="00143E80"/>
    <w:rsid w:val="00143F67"/>
    <w:rsid w:val="00144785"/>
    <w:rsid w:val="00144864"/>
    <w:rsid w:val="00144AE5"/>
    <w:rsid w:val="00144E7A"/>
    <w:rsid w:val="00145234"/>
    <w:rsid w:val="00145540"/>
    <w:rsid w:val="001455A3"/>
    <w:rsid w:val="001456B0"/>
    <w:rsid w:val="0014574F"/>
    <w:rsid w:val="0014594A"/>
    <w:rsid w:val="00145B9E"/>
    <w:rsid w:val="001460D1"/>
    <w:rsid w:val="0014634E"/>
    <w:rsid w:val="001467FF"/>
    <w:rsid w:val="00147140"/>
    <w:rsid w:val="0014790A"/>
    <w:rsid w:val="00147AFA"/>
    <w:rsid w:val="00147E10"/>
    <w:rsid w:val="00147F86"/>
    <w:rsid w:val="001506D3"/>
    <w:rsid w:val="00150BB5"/>
    <w:rsid w:val="00150E3C"/>
    <w:rsid w:val="001517B9"/>
    <w:rsid w:val="00151A62"/>
    <w:rsid w:val="00151D59"/>
    <w:rsid w:val="00152375"/>
    <w:rsid w:val="001525B1"/>
    <w:rsid w:val="001528FE"/>
    <w:rsid w:val="001535A3"/>
    <w:rsid w:val="00153F96"/>
    <w:rsid w:val="00153FBE"/>
    <w:rsid w:val="001543CE"/>
    <w:rsid w:val="001545C5"/>
    <w:rsid w:val="001547AB"/>
    <w:rsid w:val="0015486F"/>
    <w:rsid w:val="00155098"/>
    <w:rsid w:val="001556BD"/>
    <w:rsid w:val="00155A67"/>
    <w:rsid w:val="00156380"/>
    <w:rsid w:val="0015640D"/>
    <w:rsid w:val="001567DA"/>
    <w:rsid w:val="00156F8F"/>
    <w:rsid w:val="00157130"/>
    <w:rsid w:val="001576B1"/>
    <w:rsid w:val="00157790"/>
    <w:rsid w:val="00157B03"/>
    <w:rsid w:val="00157C0B"/>
    <w:rsid w:val="00157C49"/>
    <w:rsid w:val="001602FD"/>
    <w:rsid w:val="0016047B"/>
    <w:rsid w:val="00160984"/>
    <w:rsid w:val="00160A4C"/>
    <w:rsid w:val="0016196B"/>
    <w:rsid w:val="00162913"/>
    <w:rsid w:val="00162EE8"/>
    <w:rsid w:val="0016356E"/>
    <w:rsid w:val="00163594"/>
    <w:rsid w:val="001639AF"/>
    <w:rsid w:val="00163A0F"/>
    <w:rsid w:val="00163B1E"/>
    <w:rsid w:val="00163BAD"/>
    <w:rsid w:val="00163EFF"/>
    <w:rsid w:val="00163F66"/>
    <w:rsid w:val="001643BB"/>
    <w:rsid w:val="0016465A"/>
    <w:rsid w:val="0016478E"/>
    <w:rsid w:val="00164B4E"/>
    <w:rsid w:val="001656BB"/>
    <w:rsid w:val="00165EC4"/>
    <w:rsid w:val="001661FB"/>
    <w:rsid w:val="001663B0"/>
    <w:rsid w:val="001668A9"/>
    <w:rsid w:val="00166B1E"/>
    <w:rsid w:val="001671A0"/>
    <w:rsid w:val="0016767F"/>
    <w:rsid w:val="00167917"/>
    <w:rsid w:val="00167F20"/>
    <w:rsid w:val="00170750"/>
    <w:rsid w:val="00170E09"/>
    <w:rsid w:val="001710A2"/>
    <w:rsid w:val="0017139E"/>
    <w:rsid w:val="001726D3"/>
    <w:rsid w:val="001727A4"/>
    <w:rsid w:val="001731F2"/>
    <w:rsid w:val="0017345E"/>
    <w:rsid w:val="00173565"/>
    <w:rsid w:val="00173B07"/>
    <w:rsid w:val="00174A1A"/>
    <w:rsid w:val="00174CC4"/>
    <w:rsid w:val="00174E32"/>
    <w:rsid w:val="001751FA"/>
    <w:rsid w:val="00175FAA"/>
    <w:rsid w:val="001763E9"/>
    <w:rsid w:val="00176A68"/>
    <w:rsid w:val="00176B63"/>
    <w:rsid w:val="0017728E"/>
    <w:rsid w:val="001772DB"/>
    <w:rsid w:val="00177470"/>
    <w:rsid w:val="001802DE"/>
    <w:rsid w:val="001806EB"/>
    <w:rsid w:val="00180FBF"/>
    <w:rsid w:val="00181842"/>
    <w:rsid w:val="00181BEE"/>
    <w:rsid w:val="00181C10"/>
    <w:rsid w:val="00181D9C"/>
    <w:rsid w:val="00181E1A"/>
    <w:rsid w:val="001828F5"/>
    <w:rsid w:val="00182DC8"/>
    <w:rsid w:val="00183324"/>
    <w:rsid w:val="0018344D"/>
    <w:rsid w:val="001837FF"/>
    <w:rsid w:val="00183A8E"/>
    <w:rsid w:val="00184A83"/>
    <w:rsid w:val="00184B0E"/>
    <w:rsid w:val="00185A66"/>
    <w:rsid w:val="00185C98"/>
    <w:rsid w:val="00186619"/>
    <w:rsid w:val="0018697F"/>
    <w:rsid w:val="0018752F"/>
    <w:rsid w:val="00187F90"/>
    <w:rsid w:val="00190D49"/>
    <w:rsid w:val="00190EDE"/>
    <w:rsid w:val="00191035"/>
    <w:rsid w:val="0019120F"/>
    <w:rsid w:val="00191A0B"/>
    <w:rsid w:val="00191BD3"/>
    <w:rsid w:val="00192147"/>
    <w:rsid w:val="00192551"/>
    <w:rsid w:val="00192831"/>
    <w:rsid w:val="00192CED"/>
    <w:rsid w:val="00192D55"/>
    <w:rsid w:val="00193838"/>
    <w:rsid w:val="00193D6E"/>
    <w:rsid w:val="001948AC"/>
    <w:rsid w:val="00194AD8"/>
    <w:rsid w:val="00195222"/>
    <w:rsid w:val="00195452"/>
    <w:rsid w:val="00195D86"/>
    <w:rsid w:val="00196CE0"/>
    <w:rsid w:val="001975D8"/>
    <w:rsid w:val="00197DD1"/>
    <w:rsid w:val="001A0392"/>
    <w:rsid w:val="001A0B79"/>
    <w:rsid w:val="001A0CDE"/>
    <w:rsid w:val="001A0E3C"/>
    <w:rsid w:val="001A1005"/>
    <w:rsid w:val="001A118E"/>
    <w:rsid w:val="001A178E"/>
    <w:rsid w:val="001A1CBD"/>
    <w:rsid w:val="001A1DAE"/>
    <w:rsid w:val="001A2565"/>
    <w:rsid w:val="001A2DC2"/>
    <w:rsid w:val="001A35E5"/>
    <w:rsid w:val="001A38B6"/>
    <w:rsid w:val="001A3957"/>
    <w:rsid w:val="001A3F11"/>
    <w:rsid w:val="001A43FA"/>
    <w:rsid w:val="001A47C5"/>
    <w:rsid w:val="001A48EB"/>
    <w:rsid w:val="001A59FB"/>
    <w:rsid w:val="001A5A3C"/>
    <w:rsid w:val="001A5E9E"/>
    <w:rsid w:val="001A6020"/>
    <w:rsid w:val="001A61CC"/>
    <w:rsid w:val="001A6354"/>
    <w:rsid w:val="001A6366"/>
    <w:rsid w:val="001A68C0"/>
    <w:rsid w:val="001A6A6B"/>
    <w:rsid w:val="001A6CA3"/>
    <w:rsid w:val="001A6F2D"/>
    <w:rsid w:val="001A727E"/>
    <w:rsid w:val="001A7AE8"/>
    <w:rsid w:val="001A7B36"/>
    <w:rsid w:val="001A7CE8"/>
    <w:rsid w:val="001A7E9B"/>
    <w:rsid w:val="001B1445"/>
    <w:rsid w:val="001B14F8"/>
    <w:rsid w:val="001B204E"/>
    <w:rsid w:val="001B2372"/>
    <w:rsid w:val="001B2938"/>
    <w:rsid w:val="001B2CCF"/>
    <w:rsid w:val="001B340B"/>
    <w:rsid w:val="001B3443"/>
    <w:rsid w:val="001B3E09"/>
    <w:rsid w:val="001B4815"/>
    <w:rsid w:val="001B4A07"/>
    <w:rsid w:val="001B4D20"/>
    <w:rsid w:val="001B51D4"/>
    <w:rsid w:val="001B6459"/>
    <w:rsid w:val="001B7556"/>
    <w:rsid w:val="001B7A46"/>
    <w:rsid w:val="001B7F84"/>
    <w:rsid w:val="001C030F"/>
    <w:rsid w:val="001C1C9B"/>
    <w:rsid w:val="001C2A18"/>
    <w:rsid w:val="001C2A9B"/>
    <w:rsid w:val="001C3180"/>
    <w:rsid w:val="001C3404"/>
    <w:rsid w:val="001C364F"/>
    <w:rsid w:val="001C3DD6"/>
    <w:rsid w:val="001C4291"/>
    <w:rsid w:val="001C4299"/>
    <w:rsid w:val="001C466C"/>
    <w:rsid w:val="001C4874"/>
    <w:rsid w:val="001C4886"/>
    <w:rsid w:val="001C567B"/>
    <w:rsid w:val="001C5908"/>
    <w:rsid w:val="001C5F94"/>
    <w:rsid w:val="001C5FEF"/>
    <w:rsid w:val="001C6E66"/>
    <w:rsid w:val="001C7570"/>
    <w:rsid w:val="001D1068"/>
    <w:rsid w:val="001D1100"/>
    <w:rsid w:val="001D1391"/>
    <w:rsid w:val="001D1DBE"/>
    <w:rsid w:val="001D2222"/>
    <w:rsid w:val="001D2325"/>
    <w:rsid w:val="001D25D7"/>
    <w:rsid w:val="001D2B65"/>
    <w:rsid w:val="001D2BBE"/>
    <w:rsid w:val="001D32C9"/>
    <w:rsid w:val="001D3979"/>
    <w:rsid w:val="001D3EE3"/>
    <w:rsid w:val="001D4144"/>
    <w:rsid w:val="001D44CA"/>
    <w:rsid w:val="001D4E99"/>
    <w:rsid w:val="001D50B2"/>
    <w:rsid w:val="001D51A5"/>
    <w:rsid w:val="001D5939"/>
    <w:rsid w:val="001D5D61"/>
    <w:rsid w:val="001D61DE"/>
    <w:rsid w:val="001D6BBC"/>
    <w:rsid w:val="001D71B3"/>
    <w:rsid w:val="001D71F4"/>
    <w:rsid w:val="001D7645"/>
    <w:rsid w:val="001D78C7"/>
    <w:rsid w:val="001D7D19"/>
    <w:rsid w:val="001E02C1"/>
    <w:rsid w:val="001E03CC"/>
    <w:rsid w:val="001E06A5"/>
    <w:rsid w:val="001E0B2E"/>
    <w:rsid w:val="001E0B2F"/>
    <w:rsid w:val="001E0E1E"/>
    <w:rsid w:val="001E1220"/>
    <w:rsid w:val="001E1692"/>
    <w:rsid w:val="001E1CE2"/>
    <w:rsid w:val="001E1E86"/>
    <w:rsid w:val="001E238E"/>
    <w:rsid w:val="001E2483"/>
    <w:rsid w:val="001E2829"/>
    <w:rsid w:val="001E2B1E"/>
    <w:rsid w:val="001E2CFF"/>
    <w:rsid w:val="001E2F24"/>
    <w:rsid w:val="001E30D4"/>
    <w:rsid w:val="001E34DF"/>
    <w:rsid w:val="001E4221"/>
    <w:rsid w:val="001E42DD"/>
    <w:rsid w:val="001E49AD"/>
    <w:rsid w:val="001E4BB0"/>
    <w:rsid w:val="001E4E0B"/>
    <w:rsid w:val="001E52EB"/>
    <w:rsid w:val="001E5832"/>
    <w:rsid w:val="001E61D2"/>
    <w:rsid w:val="001E6592"/>
    <w:rsid w:val="001E6C8F"/>
    <w:rsid w:val="001E6ECE"/>
    <w:rsid w:val="001E7182"/>
    <w:rsid w:val="001E72A2"/>
    <w:rsid w:val="001E740C"/>
    <w:rsid w:val="001E7EF1"/>
    <w:rsid w:val="001F0D1A"/>
    <w:rsid w:val="001F0DD6"/>
    <w:rsid w:val="001F0E7C"/>
    <w:rsid w:val="001F0EC2"/>
    <w:rsid w:val="001F0F59"/>
    <w:rsid w:val="001F1235"/>
    <w:rsid w:val="001F12A1"/>
    <w:rsid w:val="001F13BF"/>
    <w:rsid w:val="001F197A"/>
    <w:rsid w:val="001F1CB3"/>
    <w:rsid w:val="001F1F07"/>
    <w:rsid w:val="001F20F0"/>
    <w:rsid w:val="001F2717"/>
    <w:rsid w:val="001F2891"/>
    <w:rsid w:val="001F38B5"/>
    <w:rsid w:val="001F4081"/>
    <w:rsid w:val="001F4751"/>
    <w:rsid w:val="001F480C"/>
    <w:rsid w:val="001F4DEF"/>
    <w:rsid w:val="001F5201"/>
    <w:rsid w:val="001F58A7"/>
    <w:rsid w:val="001F5A8D"/>
    <w:rsid w:val="001F6F55"/>
    <w:rsid w:val="001F720F"/>
    <w:rsid w:val="001F7361"/>
    <w:rsid w:val="001F75D6"/>
    <w:rsid w:val="001F7CA3"/>
    <w:rsid w:val="001F7D36"/>
    <w:rsid w:val="00200728"/>
    <w:rsid w:val="00200F46"/>
    <w:rsid w:val="00201082"/>
    <w:rsid w:val="002011B0"/>
    <w:rsid w:val="002019B0"/>
    <w:rsid w:val="00201E13"/>
    <w:rsid w:val="00201EC0"/>
    <w:rsid w:val="00203181"/>
    <w:rsid w:val="002031A4"/>
    <w:rsid w:val="002034C9"/>
    <w:rsid w:val="002035A4"/>
    <w:rsid w:val="0020375E"/>
    <w:rsid w:val="00203783"/>
    <w:rsid w:val="0020385F"/>
    <w:rsid w:val="00203D19"/>
    <w:rsid w:val="0020456E"/>
    <w:rsid w:val="00204A4F"/>
    <w:rsid w:val="00205891"/>
    <w:rsid w:val="00206130"/>
    <w:rsid w:val="002062FF"/>
    <w:rsid w:val="002068A0"/>
    <w:rsid w:val="00206FEB"/>
    <w:rsid w:val="00207021"/>
    <w:rsid w:val="0020732F"/>
    <w:rsid w:val="00207348"/>
    <w:rsid w:val="0020771C"/>
    <w:rsid w:val="002079AB"/>
    <w:rsid w:val="00207CEF"/>
    <w:rsid w:val="00207D00"/>
    <w:rsid w:val="0021013C"/>
    <w:rsid w:val="00210182"/>
    <w:rsid w:val="002105C1"/>
    <w:rsid w:val="00210720"/>
    <w:rsid w:val="00210B5A"/>
    <w:rsid w:val="002112D8"/>
    <w:rsid w:val="002113BF"/>
    <w:rsid w:val="002113E9"/>
    <w:rsid w:val="002116FD"/>
    <w:rsid w:val="002120B8"/>
    <w:rsid w:val="00212705"/>
    <w:rsid w:val="00212D8E"/>
    <w:rsid w:val="00213EAE"/>
    <w:rsid w:val="00213EF5"/>
    <w:rsid w:val="002143A2"/>
    <w:rsid w:val="002146C9"/>
    <w:rsid w:val="002147C9"/>
    <w:rsid w:val="00215C7B"/>
    <w:rsid w:val="00215CB1"/>
    <w:rsid w:val="00216271"/>
    <w:rsid w:val="00216A7C"/>
    <w:rsid w:val="00216BF5"/>
    <w:rsid w:val="00217F7B"/>
    <w:rsid w:val="0022000A"/>
    <w:rsid w:val="002200B3"/>
    <w:rsid w:val="00220668"/>
    <w:rsid w:val="00220AEC"/>
    <w:rsid w:val="002216B9"/>
    <w:rsid w:val="00221F02"/>
    <w:rsid w:val="002221C3"/>
    <w:rsid w:val="0022220E"/>
    <w:rsid w:val="0022237B"/>
    <w:rsid w:val="002224AE"/>
    <w:rsid w:val="002224DF"/>
    <w:rsid w:val="00222A24"/>
    <w:rsid w:val="00222BC0"/>
    <w:rsid w:val="00222F8B"/>
    <w:rsid w:val="002236FD"/>
    <w:rsid w:val="00223AC7"/>
    <w:rsid w:val="00223B49"/>
    <w:rsid w:val="00223D5A"/>
    <w:rsid w:val="00224C6F"/>
    <w:rsid w:val="00224DD4"/>
    <w:rsid w:val="0022535B"/>
    <w:rsid w:val="002256D4"/>
    <w:rsid w:val="00225E60"/>
    <w:rsid w:val="002268EB"/>
    <w:rsid w:val="00226A47"/>
    <w:rsid w:val="00227121"/>
    <w:rsid w:val="0022753E"/>
    <w:rsid w:val="002278A0"/>
    <w:rsid w:val="00227B8E"/>
    <w:rsid w:val="00227CAD"/>
    <w:rsid w:val="002309CC"/>
    <w:rsid w:val="00230DB7"/>
    <w:rsid w:val="00230E36"/>
    <w:rsid w:val="00230F1D"/>
    <w:rsid w:val="00231055"/>
    <w:rsid w:val="0023117B"/>
    <w:rsid w:val="002317CF"/>
    <w:rsid w:val="002319D3"/>
    <w:rsid w:val="00231B52"/>
    <w:rsid w:val="00231BA9"/>
    <w:rsid w:val="00231DFF"/>
    <w:rsid w:val="00231E85"/>
    <w:rsid w:val="0023209F"/>
    <w:rsid w:val="00233C01"/>
    <w:rsid w:val="0023413C"/>
    <w:rsid w:val="002346F0"/>
    <w:rsid w:val="00234805"/>
    <w:rsid w:val="00234B7C"/>
    <w:rsid w:val="00234BD2"/>
    <w:rsid w:val="00234CA9"/>
    <w:rsid w:val="00234F0D"/>
    <w:rsid w:val="00235104"/>
    <w:rsid w:val="0023603E"/>
    <w:rsid w:val="0023629D"/>
    <w:rsid w:val="00236FDB"/>
    <w:rsid w:val="0023718E"/>
    <w:rsid w:val="002371AB"/>
    <w:rsid w:val="00237255"/>
    <w:rsid w:val="002374C8"/>
    <w:rsid w:val="002377DE"/>
    <w:rsid w:val="002379B1"/>
    <w:rsid w:val="00237C7F"/>
    <w:rsid w:val="0024005C"/>
    <w:rsid w:val="002401C1"/>
    <w:rsid w:val="002406B4"/>
    <w:rsid w:val="002407C9"/>
    <w:rsid w:val="00241479"/>
    <w:rsid w:val="00241CFC"/>
    <w:rsid w:val="002424AF"/>
    <w:rsid w:val="00243022"/>
    <w:rsid w:val="002439DC"/>
    <w:rsid w:val="00243E5C"/>
    <w:rsid w:val="002441D2"/>
    <w:rsid w:val="002445A3"/>
    <w:rsid w:val="0024472D"/>
    <w:rsid w:val="00244DC8"/>
    <w:rsid w:val="00244E58"/>
    <w:rsid w:val="002451AA"/>
    <w:rsid w:val="00245256"/>
    <w:rsid w:val="002452F4"/>
    <w:rsid w:val="002454F3"/>
    <w:rsid w:val="0024589A"/>
    <w:rsid w:val="002458BA"/>
    <w:rsid w:val="002459AD"/>
    <w:rsid w:val="00245CE9"/>
    <w:rsid w:val="0024623F"/>
    <w:rsid w:val="0024636C"/>
    <w:rsid w:val="002467CD"/>
    <w:rsid w:val="00246CD4"/>
    <w:rsid w:val="00246F73"/>
    <w:rsid w:val="00247925"/>
    <w:rsid w:val="00250D49"/>
    <w:rsid w:val="00251006"/>
    <w:rsid w:val="0025146E"/>
    <w:rsid w:val="002524D5"/>
    <w:rsid w:val="00252648"/>
    <w:rsid w:val="00252981"/>
    <w:rsid w:val="00253B1D"/>
    <w:rsid w:val="00253F4D"/>
    <w:rsid w:val="002540FE"/>
    <w:rsid w:val="00254357"/>
    <w:rsid w:val="00254741"/>
    <w:rsid w:val="00254DCF"/>
    <w:rsid w:val="0025534B"/>
    <w:rsid w:val="00255883"/>
    <w:rsid w:val="00255A31"/>
    <w:rsid w:val="00255B4E"/>
    <w:rsid w:val="00255BB7"/>
    <w:rsid w:val="002563C7"/>
    <w:rsid w:val="00256AC2"/>
    <w:rsid w:val="00257541"/>
    <w:rsid w:val="00257A39"/>
    <w:rsid w:val="00257AC4"/>
    <w:rsid w:val="00257BBE"/>
    <w:rsid w:val="002600F8"/>
    <w:rsid w:val="0026053D"/>
    <w:rsid w:val="0026060F"/>
    <w:rsid w:val="00260A74"/>
    <w:rsid w:val="00260F8E"/>
    <w:rsid w:val="002616BB"/>
    <w:rsid w:val="00261A3C"/>
    <w:rsid w:val="00261EEF"/>
    <w:rsid w:val="00261F9B"/>
    <w:rsid w:val="00262384"/>
    <w:rsid w:val="002626C8"/>
    <w:rsid w:val="00262A1A"/>
    <w:rsid w:val="00262A87"/>
    <w:rsid w:val="00262AE2"/>
    <w:rsid w:val="00262B1E"/>
    <w:rsid w:val="002637AB"/>
    <w:rsid w:val="00263B98"/>
    <w:rsid w:val="00264731"/>
    <w:rsid w:val="00264D26"/>
    <w:rsid w:val="00264FD6"/>
    <w:rsid w:val="002650E1"/>
    <w:rsid w:val="00265766"/>
    <w:rsid w:val="00265F4A"/>
    <w:rsid w:val="00266523"/>
    <w:rsid w:val="00266805"/>
    <w:rsid w:val="002672B4"/>
    <w:rsid w:val="00267642"/>
    <w:rsid w:val="00267AEA"/>
    <w:rsid w:val="00267D8F"/>
    <w:rsid w:val="002700E6"/>
    <w:rsid w:val="0027042D"/>
    <w:rsid w:val="0027069B"/>
    <w:rsid w:val="00270737"/>
    <w:rsid w:val="00270F4F"/>
    <w:rsid w:val="00271777"/>
    <w:rsid w:val="0027245C"/>
    <w:rsid w:val="00272576"/>
    <w:rsid w:val="002727B4"/>
    <w:rsid w:val="00272882"/>
    <w:rsid w:val="0027294B"/>
    <w:rsid w:val="00273143"/>
    <w:rsid w:val="0027352B"/>
    <w:rsid w:val="0027374D"/>
    <w:rsid w:val="00273ACC"/>
    <w:rsid w:val="00273EB4"/>
    <w:rsid w:val="0027429C"/>
    <w:rsid w:val="00274656"/>
    <w:rsid w:val="00274682"/>
    <w:rsid w:val="00275158"/>
    <w:rsid w:val="00275176"/>
    <w:rsid w:val="002751C2"/>
    <w:rsid w:val="00275C5A"/>
    <w:rsid w:val="00276D05"/>
    <w:rsid w:val="002772E7"/>
    <w:rsid w:val="00277419"/>
    <w:rsid w:val="00277BB1"/>
    <w:rsid w:val="00277DEB"/>
    <w:rsid w:val="002806BA"/>
    <w:rsid w:val="00280B90"/>
    <w:rsid w:val="00281014"/>
    <w:rsid w:val="00281913"/>
    <w:rsid w:val="00281C24"/>
    <w:rsid w:val="00281F21"/>
    <w:rsid w:val="002824A3"/>
    <w:rsid w:val="00282D18"/>
    <w:rsid w:val="002832ED"/>
    <w:rsid w:val="002839EB"/>
    <w:rsid w:val="00283AD9"/>
    <w:rsid w:val="00283BC8"/>
    <w:rsid w:val="00283D6B"/>
    <w:rsid w:val="00284128"/>
    <w:rsid w:val="00284195"/>
    <w:rsid w:val="002843D7"/>
    <w:rsid w:val="00284882"/>
    <w:rsid w:val="00284B54"/>
    <w:rsid w:val="00285BCE"/>
    <w:rsid w:val="00285C1E"/>
    <w:rsid w:val="00285F42"/>
    <w:rsid w:val="0028665D"/>
    <w:rsid w:val="002868FA"/>
    <w:rsid w:val="00287C6A"/>
    <w:rsid w:val="00287DEF"/>
    <w:rsid w:val="00287ECE"/>
    <w:rsid w:val="0029004B"/>
    <w:rsid w:val="0029015D"/>
    <w:rsid w:val="00290B28"/>
    <w:rsid w:val="00290D1C"/>
    <w:rsid w:val="00292428"/>
    <w:rsid w:val="002924A3"/>
    <w:rsid w:val="0029317F"/>
    <w:rsid w:val="00293D59"/>
    <w:rsid w:val="00294195"/>
    <w:rsid w:val="00294706"/>
    <w:rsid w:val="00295822"/>
    <w:rsid w:val="00295C2C"/>
    <w:rsid w:val="00295D41"/>
    <w:rsid w:val="0029681D"/>
    <w:rsid w:val="00297365"/>
    <w:rsid w:val="00297663"/>
    <w:rsid w:val="0029766A"/>
    <w:rsid w:val="002977A3"/>
    <w:rsid w:val="00297831"/>
    <w:rsid w:val="00297868"/>
    <w:rsid w:val="002A01F2"/>
    <w:rsid w:val="002A052F"/>
    <w:rsid w:val="002A0800"/>
    <w:rsid w:val="002A0B8C"/>
    <w:rsid w:val="002A0DBA"/>
    <w:rsid w:val="002A14AB"/>
    <w:rsid w:val="002A154D"/>
    <w:rsid w:val="002A21B6"/>
    <w:rsid w:val="002A22E0"/>
    <w:rsid w:val="002A269F"/>
    <w:rsid w:val="002A2A2E"/>
    <w:rsid w:val="002A2A9B"/>
    <w:rsid w:val="002A2ADE"/>
    <w:rsid w:val="002A2F50"/>
    <w:rsid w:val="002A33DF"/>
    <w:rsid w:val="002A3674"/>
    <w:rsid w:val="002A415F"/>
    <w:rsid w:val="002A445B"/>
    <w:rsid w:val="002A47B4"/>
    <w:rsid w:val="002A47D8"/>
    <w:rsid w:val="002A4BB1"/>
    <w:rsid w:val="002A60F8"/>
    <w:rsid w:val="002A694E"/>
    <w:rsid w:val="002A6B28"/>
    <w:rsid w:val="002A7943"/>
    <w:rsid w:val="002A79E4"/>
    <w:rsid w:val="002A7B08"/>
    <w:rsid w:val="002B010A"/>
    <w:rsid w:val="002B05A1"/>
    <w:rsid w:val="002B09A4"/>
    <w:rsid w:val="002B0A9A"/>
    <w:rsid w:val="002B11D6"/>
    <w:rsid w:val="002B155F"/>
    <w:rsid w:val="002B1C1F"/>
    <w:rsid w:val="002B2762"/>
    <w:rsid w:val="002B29A3"/>
    <w:rsid w:val="002B3006"/>
    <w:rsid w:val="002B30FE"/>
    <w:rsid w:val="002B3155"/>
    <w:rsid w:val="002B34D5"/>
    <w:rsid w:val="002B36A9"/>
    <w:rsid w:val="002B3E6E"/>
    <w:rsid w:val="002B3ECA"/>
    <w:rsid w:val="002B427B"/>
    <w:rsid w:val="002B432F"/>
    <w:rsid w:val="002B4CB4"/>
    <w:rsid w:val="002B57C8"/>
    <w:rsid w:val="002B5C6D"/>
    <w:rsid w:val="002B6086"/>
    <w:rsid w:val="002B62B3"/>
    <w:rsid w:val="002B64AB"/>
    <w:rsid w:val="002B6754"/>
    <w:rsid w:val="002B6CCE"/>
    <w:rsid w:val="002B72B1"/>
    <w:rsid w:val="002B72CB"/>
    <w:rsid w:val="002B73E9"/>
    <w:rsid w:val="002B76CC"/>
    <w:rsid w:val="002B7735"/>
    <w:rsid w:val="002B7D3A"/>
    <w:rsid w:val="002C0059"/>
    <w:rsid w:val="002C0152"/>
    <w:rsid w:val="002C07AB"/>
    <w:rsid w:val="002C0B9D"/>
    <w:rsid w:val="002C2127"/>
    <w:rsid w:val="002C2510"/>
    <w:rsid w:val="002C2775"/>
    <w:rsid w:val="002C27C1"/>
    <w:rsid w:val="002C29C3"/>
    <w:rsid w:val="002C2A5C"/>
    <w:rsid w:val="002C2ACD"/>
    <w:rsid w:val="002C2CC8"/>
    <w:rsid w:val="002C2F02"/>
    <w:rsid w:val="002C36E3"/>
    <w:rsid w:val="002C386D"/>
    <w:rsid w:val="002C4B3F"/>
    <w:rsid w:val="002C4F64"/>
    <w:rsid w:val="002C5099"/>
    <w:rsid w:val="002C54B5"/>
    <w:rsid w:val="002C5889"/>
    <w:rsid w:val="002C5906"/>
    <w:rsid w:val="002C70BE"/>
    <w:rsid w:val="002C71CE"/>
    <w:rsid w:val="002C7267"/>
    <w:rsid w:val="002C7C17"/>
    <w:rsid w:val="002C7E2F"/>
    <w:rsid w:val="002D022F"/>
    <w:rsid w:val="002D08F8"/>
    <w:rsid w:val="002D0924"/>
    <w:rsid w:val="002D1599"/>
    <w:rsid w:val="002D177D"/>
    <w:rsid w:val="002D18D3"/>
    <w:rsid w:val="002D19EA"/>
    <w:rsid w:val="002D1CE6"/>
    <w:rsid w:val="002D24BB"/>
    <w:rsid w:val="002D2619"/>
    <w:rsid w:val="002D50F0"/>
    <w:rsid w:val="002D53AA"/>
    <w:rsid w:val="002D577C"/>
    <w:rsid w:val="002D57BE"/>
    <w:rsid w:val="002D57D8"/>
    <w:rsid w:val="002D69AB"/>
    <w:rsid w:val="002D6AA1"/>
    <w:rsid w:val="002D715C"/>
    <w:rsid w:val="002D7203"/>
    <w:rsid w:val="002D7691"/>
    <w:rsid w:val="002D7832"/>
    <w:rsid w:val="002E032D"/>
    <w:rsid w:val="002E092C"/>
    <w:rsid w:val="002E0B67"/>
    <w:rsid w:val="002E0C26"/>
    <w:rsid w:val="002E0C38"/>
    <w:rsid w:val="002E1019"/>
    <w:rsid w:val="002E1071"/>
    <w:rsid w:val="002E149C"/>
    <w:rsid w:val="002E1598"/>
    <w:rsid w:val="002E15B9"/>
    <w:rsid w:val="002E17C4"/>
    <w:rsid w:val="002E1AC0"/>
    <w:rsid w:val="002E2158"/>
    <w:rsid w:val="002E23DA"/>
    <w:rsid w:val="002E33D4"/>
    <w:rsid w:val="002E35F0"/>
    <w:rsid w:val="002E382C"/>
    <w:rsid w:val="002E3C54"/>
    <w:rsid w:val="002E443D"/>
    <w:rsid w:val="002E49B9"/>
    <w:rsid w:val="002E4DB9"/>
    <w:rsid w:val="002E4F02"/>
    <w:rsid w:val="002E51FF"/>
    <w:rsid w:val="002E5C1C"/>
    <w:rsid w:val="002E5D98"/>
    <w:rsid w:val="002E6040"/>
    <w:rsid w:val="002E662D"/>
    <w:rsid w:val="002E721A"/>
    <w:rsid w:val="002E726C"/>
    <w:rsid w:val="002E76B0"/>
    <w:rsid w:val="002E7722"/>
    <w:rsid w:val="002F07BA"/>
    <w:rsid w:val="002F0A4E"/>
    <w:rsid w:val="002F0A8C"/>
    <w:rsid w:val="002F0DA9"/>
    <w:rsid w:val="002F1014"/>
    <w:rsid w:val="002F14B0"/>
    <w:rsid w:val="002F1667"/>
    <w:rsid w:val="002F1E30"/>
    <w:rsid w:val="002F1E3B"/>
    <w:rsid w:val="002F25C2"/>
    <w:rsid w:val="002F2AD5"/>
    <w:rsid w:val="002F2C5A"/>
    <w:rsid w:val="002F2E12"/>
    <w:rsid w:val="002F3986"/>
    <w:rsid w:val="002F3F15"/>
    <w:rsid w:val="002F4022"/>
    <w:rsid w:val="002F4BFF"/>
    <w:rsid w:val="002F511F"/>
    <w:rsid w:val="002F528B"/>
    <w:rsid w:val="002F5903"/>
    <w:rsid w:val="002F61A8"/>
    <w:rsid w:val="002F627A"/>
    <w:rsid w:val="002F62A7"/>
    <w:rsid w:val="002F643C"/>
    <w:rsid w:val="002F65AE"/>
    <w:rsid w:val="002F6A01"/>
    <w:rsid w:val="002F71C0"/>
    <w:rsid w:val="002F74F1"/>
    <w:rsid w:val="002F7AEA"/>
    <w:rsid w:val="00300040"/>
    <w:rsid w:val="0030023F"/>
    <w:rsid w:val="00300278"/>
    <w:rsid w:val="00300A1C"/>
    <w:rsid w:val="00301017"/>
    <w:rsid w:val="0030155F"/>
    <w:rsid w:val="00301592"/>
    <w:rsid w:val="00301867"/>
    <w:rsid w:val="00301902"/>
    <w:rsid w:val="00302632"/>
    <w:rsid w:val="0030263C"/>
    <w:rsid w:val="00302ABF"/>
    <w:rsid w:val="00303561"/>
    <w:rsid w:val="003036B5"/>
    <w:rsid w:val="00303A5E"/>
    <w:rsid w:val="00303B7E"/>
    <w:rsid w:val="0030498D"/>
    <w:rsid w:val="00304FB6"/>
    <w:rsid w:val="0030587B"/>
    <w:rsid w:val="00305D4B"/>
    <w:rsid w:val="0030605F"/>
    <w:rsid w:val="003060E3"/>
    <w:rsid w:val="00306D98"/>
    <w:rsid w:val="0030786C"/>
    <w:rsid w:val="00307E5B"/>
    <w:rsid w:val="00310136"/>
    <w:rsid w:val="003101ED"/>
    <w:rsid w:val="00310225"/>
    <w:rsid w:val="0031023F"/>
    <w:rsid w:val="0031031A"/>
    <w:rsid w:val="00310707"/>
    <w:rsid w:val="00310981"/>
    <w:rsid w:val="00310ED9"/>
    <w:rsid w:val="003115E9"/>
    <w:rsid w:val="00311D9B"/>
    <w:rsid w:val="00311F6F"/>
    <w:rsid w:val="003124D9"/>
    <w:rsid w:val="00312594"/>
    <w:rsid w:val="00312787"/>
    <w:rsid w:val="00313225"/>
    <w:rsid w:val="003132B4"/>
    <w:rsid w:val="00313EDE"/>
    <w:rsid w:val="0031413E"/>
    <w:rsid w:val="00314701"/>
    <w:rsid w:val="0031498D"/>
    <w:rsid w:val="00314D1F"/>
    <w:rsid w:val="003151AA"/>
    <w:rsid w:val="00315231"/>
    <w:rsid w:val="003153F8"/>
    <w:rsid w:val="00315498"/>
    <w:rsid w:val="00315699"/>
    <w:rsid w:val="0031569F"/>
    <w:rsid w:val="00316273"/>
    <w:rsid w:val="00316474"/>
    <w:rsid w:val="0031656A"/>
    <w:rsid w:val="003165D1"/>
    <w:rsid w:val="003166A3"/>
    <w:rsid w:val="00316999"/>
    <w:rsid w:val="0031699E"/>
    <w:rsid w:val="00316C02"/>
    <w:rsid w:val="00317A0B"/>
    <w:rsid w:val="00317A7D"/>
    <w:rsid w:val="00320659"/>
    <w:rsid w:val="003208D5"/>
    <w:rsid w:val="00320BDB"/>
    <w:rsid w:val="00320CC1"/>
    <w:rsid w:val="0032104C"/>
    <w:rsid w:val="00321142"/>
    <w:rsid w:val="003213C3"/>
    <w:rsid w:val="00321E24"/>
    <w:rsid w:val="00322107"/>
    <w:rsid w:val="00322355"/>
    <w:rsid w:val="003226ED"/>
    <w:rsid w:val="00322846"/>
    <w:rsid w:val="0032296B"/>
    <w:rsid w:val="0032366F"/>
    <w:rsid w:val="00323D58"/>
    <w:rsid w:val="003249C0"/>
    <w:rsid w:val="003254E7"/>
    <w:rsid w:val="00325F2E"/>
    <w:rsid w:val="00326120"/>
    <w:rsid w:val="00326DA7"/>
    <w:rsid w:val="003270E4"/>
    <w:rsid w:val="003305E6"/>
    <w:rsid w:val="00330A4C"/>
    <w:rsid w:val="00330DAA"/>
    <w:rsid w:val="00330F5C"/>
    <w:rsid w:val="00331DC1"/>
    <w:rsid w:val="003323A2"/>
    <w:rsid w:val="0033255A"/>
    <w:rsid w:val="003327AE"/>
    <w:rsid w:val="00333CBB"/>
    <w:rsid w:val="003344F7"/>
    <w:rsid w:val="00334569"/>
    <w:rsid w:val="00334806"/>
    <w:rsid w:val="00334973"/>
    <w:rsid w:val="00334E80"/>
    <w:rsid w:val="00335099"/>
    <w:rsid w:val="0033527C"/>
    <w:rsid w:val="00335CE9"/>
    <w:rsid w:val="00335D36"/>
    <w:rsid w:val="00335DC7"/>
    <w:rsid w:val="003366C9"/>
    <w:rsid w:val="00337003"/>
    <w:rsid w:val="00337078"/>
    <w:rsid w:val="003370D6"/>
    <w:rsid w:val="003371B0"/>
    <w:rsid w:val="00340B2A"/>
    <w:rsid w:val="00340DF1"/>
    <w:rsid w:val="00340ED2"/>
    <w:rsid w:val="00341380"/>
    <w:rsid w:val="00341C9E"/>
    <w:rsid w:val="003426EE"/>
    <w:rsid w:val="00343BE0"/>
    <w:rsid w:val="00344516"/>
    <w:rsid w:val="00344749"/>
    <w:rsid w:val="00344E4C"/>
    <w:rsid w:val="00344EC5"/>
    <w:rsid w:val="003453F3"/>
    <w:rsid w:val="003459A3"/>
    <w:rsid w:val="00345B3A"/>
    <w:rsid w:val="00345CAD"/>
    <w:rsid w:val="0034676D"/>
    <w:rsid w:val="003467A7"/>
    <w:rsid w:val="00346E41"/>
    <w:rsid w:val="003479D2"/>
    <w:rsid w:val="00347E37"/>
    <w:rsid w:val="00350182"/>
    <w:rsid w:val="00350814"/>
    <w:rsid w:val="003513C4"/>
    <w:rsid w:val="0035146F"/>
    <w:rsid w:val="003516C5"/>
    <w:rsid w:val="003517F9"/>
    <w:rsid w:val="0035196A"/>
    <w:rsid w:val="003519FF"/>
    <w:rsid w:val="00351BA9"/>
    <w:rsid w:val="00351E10"/>
    <w:rsid w:val="00352189"/>
    <w:rsid w:val="003521BC"/>
    <w:rsid w:val="0035242E"/>
    <w:rsid w:val="00352869"/>
    <w:rsid w:val="00352FA2"/>
    <w:rsid w:val="00353735"/>
    <w:rsid w:val="00353B2E"/>
    <w:rsid w:val="0035463E"/>
    <w:rsid w:val="00354F64"/>
    <w:rsid w:val="003551E2"/>
    <w:rsid w:val="0035528C"/>
    <w:rsid w:val="0035620E"/>
    <w:rsid w:val="00356434"/>
    <w:rsid w:val="003565C3"/>
    <w:rsid w:val="00356948"/>
    <w:rsid w:val="00357314"/>
    <w:rsid w:val="003575BE"/>
    <w:rsid w:val="00360184"/>
    <w:rsid w:val="00360345"/>
    <w:rsid w:val="00360D7D"/>
    <w:rsid w:val="003615C6"/>
    <w:rsid w:val="00361A05"/>
    <w:rsid w:val="00361F87"/>
    <w:rsid w:val="003624C4"/>
    <w:rsid w:val="00363093"/>
    <w:rsid w:val="00363B00"/>
    <w:rsid w:val="00364CA4"/>
    <w:rsid w:val="003654AC"/>
    <w:rsid w:val="00365A09"/>
    <w:rsid w:val="00365D45"/>
    <w:rsid w:val="00365E79"/>
    <w:rsid w:val="00365F88"/>
    <w:rsid w:val="00366480"/>
    <w:rsid w:val="00366AE6"/>
    <w:rsid w:val="00366D4F"/>
    <w:rsid w:val="00367244"/>
    <w:rsid w:val="00367D80"/>
    <w:rsid w:val="00367E28"/>
    <w:rsid w:val="00370126"/>
    <w:rsid w:val="003701F4"/>
    <w:rsid w:val="0037076A"/>
    <w:rsid w:val="003710A0"/>
    <w:rsid w:val="003710CF"/>
    <w:rsid w:val="00371245"/>
    <w:rsid w:val="00371422"/>
    <w:rsid w:val="00371CE3"/>
    <w:rsid w:val="00371DF3"/>
    <w:rsid w:val="00372302"/>
    <w:rsid w:val="003733D3"/>
    <w:rsid w:val="0037358A"/>
    <w:rsid w:val="00373FF7"/>
    <w:rsid w:val="003741D3"/>
    <w:rsid w:val="00374B21"/>
    <w:rsid w:val="00374B9B"/>
    <w:rsid w:val="003750F6"/>
    <w:rsid w:val="00375537"/>
    <w:rsid w:val="003759ED"/>
    <w:rsid w:val="003760FC"/>
    <w:rsid w:val="003761CC"/>
    <w:rsid w:val="003762E2"/>
    <w:rsid w:val="00376873"/>
    <w:rsid w:val="0037689E"/>
    <w:rsid w:val="00376924"/>
    <w:rsid w:val="00376BC0"/>
    <w:rsid w:val="00376FB2"/>
    <w:rsid w:val="00380DF5"/>
    <w:rsid w:val="003813A6"/>
    <w:rsid w:val="00381C2B"/>
    <w:rsid w:val="003820C1"/>
    <w:rsid w:val="003822C7"/>
    <w:rsid w:val="00382664"/>
    <w:rsid w:val="00382BF4"/>
    <w:rsid w:val="0038331D"/>
    <w:rsid w:val="00383459"/>
    <w:rsid w:val="0038365C"/>
    <w:rsid w:val="0038369B"/>
    <w:rsid w:val="00383B78"/>
    <w:rsid w:val="00383EC5"/>
    <w:rsid w:val="003846A3"/>
    <w:rsid w:val="00384E4F"/>
    <w:rsid w:val="0038565E"/>
    <w:rsid w:val="003856AC"/>
    <w:rsid w:val="00385A9D"/>
    <w:rsid w:val="00385CFE"/>
    <w:rsid w:val="00385DFB"/>
    <w:rsid w:val="00386739"/>
    <w:rsid w:val="00386AA3"/>
    <w:rsid w:val="00386B67"/>
    <w:rsid w:val="00387121"/>
    <w:rsid w:val="00387C22"/>
    <w:rsid w:val="003902B1"/>
    <w:rsid w:val="00391060"/>
    <w:rsid w:val="0039179C"/>
    <w:rsid w:val="00392351"/>
    <w:rsid w:val="00392C05"/>
    <w:rsid w:val="0039311B"/>
    <w:rsid w:val="00393CB2"/>
    <w:rsid w:val="00393D3F"/>
    <w:rsid w:val="00394BE9"/>
    <w:rsid w:val="00394EAA"/>
    <w:rsid w:val="0039528A"/>
    <w:rsid w:val="00395845"/>
    <w:rsid w:val="00395BBF"/>
    <w:rsid w:val="0039615E"/>
    <w:rsid w:val="00396896"/>
    <w:rsid w:val="00396EA0"/>
    <w:rsid w:val="00396FD0"/>
    <w:rsid w:val="00397946"/>
    <w:rsid w:val="003A00B9"/>
    <w:rsid w:val="003A061B"/>
    <w:rsid w:val="003A0E67"/>
    <w:rsid w:val="003A1A7A"/>
    <w:rsid w:val="003A2392"/>
    <w:rsid w:val="003A2831"/>
    <w:rsid w:val="003A2870"/>
    <w:rsid w:val="003A34B7"/>
    <w:rsid w:val="003A381C"/>
    <w:rsid w:val="003A3CB6"/>
    <w:rsid w:val="003A3ED1"/>
    <w:rsid w:val="003A40C4"/>
    <w:rsid w:val="003A4126"/>
    <w:rsid w:val="003A44DB"/>
    <w:rsid w:val="003A45FF"/>
    <w:rsid w:val="003A4C14"/>
    <w:rsid w:val="003A504C"/>
    <w:rsid w:val="003A58A5"/>
    <w:rsid w:val="003A5CA8"/>
    <w:rsid w:val="003A5FA3"/>
    <w:rsid w:val="003A5FEB"/>
    <w:rsid w:val="003A64CB"/>
    <w:rsid w:val="003A697E"/>
    <w:rsid w:val="003A6BC8"/>
    <w:rsid w:val="003A747E"/>
    <w:rsid w:val="003A7B99"/>
    <w:rsid w:val="003A7DF8"/>
    <w:rsid w:val="003B02C0"/>
    <w:rsid w:val="003B02D7"/>
    <w:rsid w:val="003B1021"/>
    <w:rsid w:val="003B119D"/>
    <w:rsid w:val="003B1CAC"/>
    <w:rsid w:val="003B223F"/>
    <w:rsid w:val="003B3094"/>
    <w:rsid w:val="003B3804"/>
    <w:rsid w:val="003B3858"/>
    <w:rsid w:val="003B3971"/>
    <w:rsid w:val="003B47FC"/>
    <w:rsid w:val="003B494C"/>
    <w:rsid w:val="003B54BE"/>
    <w:rsid w:val="003B55D1"/>
    <w:rsid w:val="003B5A6A"/>
    <w:rsid w:val="003B5B61"/>
    <w:rsid w:val="003B610D"/>
    <w:rsid w:val="003B623D"/>
    <w:rsid w:val="003B66E2"/>
    <w:rsid w:val="003B6D22"/>
    <w:rsid w:val="003B7CA6"/>
    <w:rsid w:val="003C04E6"/>
    <w:rsid w:val="003C0FF8"/>
    <w:rsid w:val="003C1654"/>
    <w:rsid w:val="003C1D0C"/>
    <w:rsid w:val="003C1FCB"/>
    <w:rsid w:val="003C230E"/>
    <w:rsid w:val="003C2CFE"/>
    <w:rsid w:val="003C306A"/>
    <w:rsid w:val="003C355F"/>
    <w:rsid w:val="003C3818"/>
    <w:rsid w:val="003C3D00"/>
    <w:rsid w:val="003C424C"/>
    <w:rsid w:val="003C5542"/>
    <w:rsid w:val="003C5926"/>
    <w:rsid w:val="003C5935"/>
    <w:rsid w:val="003C5A77"/>
    <w:rsid w:val="003C5CCB"/>
    <w:rsid w:val="003C6DFE"/>
    <w:rsid w:val="003C7278"/>
    <w:rsid w:val="003C7331"/>
    <w:rsid w:val="003C7423"/>
    <w:rsid w:val="003C7768"/>
    <w:rsid w:val="003C7A25"/>
    <w:rsid w:val="003C7C15"/>
    <w:rsid w:val="003C7D19"/>
    <w:rsid w:val="003C7D2F"/>
    <w:rsid w:val="003C7F6C"/>
    <w:rsid w:val="003D01FA"/>
    <w:rsid w:val="003D0245"/>
    <w:rsid w:val="003D0C5A"/>
    <w:rsid w:val="003D152E"/>
    <w:rsid w:val="003D1828"/>
    <w:rsid w:val="003D1DE4"/>
    <w:rsid w:val="003D1E9A"/>
    <w:rsid w:val="003D2021"/>
    <w:rsid w:val="003D2422"/>
    <w:rsid w:val="003D2BEE"/>
    <w:rsid w:val="003D307F"/>
    <w:rsid w:val="003D3896"/>
    <w:rsid w:val="003D397B"/>
    <w:rsid w:val="003D39A1"/>
    <w:rsid w:val="003D3BA5"/>
    <w:rsid w:val="003D3FBF"/>
    <w:rsid w:val="003D4336"/>
    <w:rsid w:val="003D49F2"/>
    <w:rsid w:val="003D4A30"/>
    <w:rsid w:val="003D550A"/>
    <w:rsid w:val="003D5A74"/>
    <w:rsid w:val="003D5A81"/>
    <w:rsid w:val="003D5AEE"/>
    <w:rsid w:val="003D5D59"/>
    <w:rsid w:val="003D6CEE"/>
    <w:rsid w:val="003D744B"/>
    <w:rsid w:val="003D7452"/>
    <w:rsid w:val="003D7559"/>
    <w:rsid w:val="003D79BB"/>
    <w:rsid w:val="003D79D6"/>
    <w:rsid w:val="003D7C98"/>
    <w:rsid w:val="003D7D9D"/>
    <w:rsid w:val="003E0543"/>
    <w:rsid w:val="003E0FB4"/>
    <w:rsid w:val="003E1197"/>
    <w:rsid w:val="003E1654"/>
    <w:rsid w:val="003E1742"/>
    <w:rsid w:val="003E288C"/>
    <w:rsid w:val="003E333C"/>
    <w:rsid w:val="003E39CF"/>
    <w:rsid w:val="003E3D0C"/>
    <w:rsid w:val="003E41A8"/>
    <w:rsid w:val="003E5450"/>
    <w:rsid w:val="003E5603"/>
    <w:rsid w:val="003E5F11"/>
    <w:rsid w:val="003E5F7F"/>
    <w:rsid w:val="003E5FA8"/>
    <w:rsid w:val="003E6041"/>
    <w:rsid w:val="003E61A5"/>
    <w:rsid w:val="003E63C5"/>
    <w:rsid w:val="003E65DA"/>
    <w:rsid w:val="003E749E"/>
    <w:rsid w:val="003E7717"/>
    <w:rsid w:val="003E79D3"/>
    <w:rsid w:val="003E7C45"/>
    <w:rsid w:val="003E7C4B"/>
    <w:rsid w:val="003E7EF1"/>
    <w:rsid w:val="003F0A87"/>
    <w:rsid w:val="003F1F4C"/>
    <w:rsid w:val="003F2F37"/>
    <w:rsid w:val="003F3770"/>
    <w:rsid w:val="003F3C74"/>
    <w:rsid w:val="003F4156"/>
    <w:rsid w:val="003F44F3"/>
    <w:rsid w:val="003F4AA6"/>
    <w:rsid w:val="003F570E"/>
    <w:rsid w:val="003F5924"/>
    <w:rsid w:val="003F5ADF"/>
    <w:rsid w:val="003F6041"/>
    <w:rsid w:val="003F6A7A"/>
    <w:rsid w:val="003F7055"/>
    <w:rsid w:val="003F743F"/>
    <w:rsid w:val="003F74B6"/>
    <w:rsid w:val="00400303"/>
    <w:rsid w:val="00400B29"/>
    <w:rsid w:val="00401D1C"/>
    <w:rsid w:val="0040220D"/>
    <w:rsid w:val="004022AF"/>
    <w:rsid w:val="00402812"/>
    <w:rsid w:val="00402969"/>
    <w:rsid w:val="00404B12"/>
    <w:rsid w:val="00404B3B"/>
    <w:rsid w:val="00404BAA"/>
    <w:rsid w:val="0040504B"/>
    <w:rsid w:val="004050B4"/>
    <w:rsid w:val="00405435"/>
    <w:rsid w:val="004057C5"/>
    <w:rsid w:val="004059AD"/>
    <w:rsid w:val="004059F4"/>
    <w:rsid w:val="004063D5"/>
    <w:rsid w:val="00407100"/>
    <w:rsid w:val="0040769D"/>
    <w:rsid w:val="00407FD5"/>
    <w:rsid w:val="00407FE5"/>
    <w:rsid w:val="004101B0"/>
    <w:rsid w:val="00410326"/>
    <w:rsid w:val="00410374"/>
    <w:rsid w:val="00410598"/>
    <w:rsid w:val="00410708"/>
    <w:rsid w:val="0041087F"/>
    <w:rsid w:val="00410EC7"/>
    <w:rsid w:val="00410FC4"/>
    <w:rsid w:val="00411B39"/>
    <w:rsid w:val="00411B9F"/>
    <w:rsid w:val="004122D5"/>
    <w:rsid w:val="004127A7"/>
    <w:rsid w:val="00412A07"/>
    <w:rsid w:val="00412AE0"/>
    <w:rsid w:val="00412C86"/>
    <w:rsid w:val="00413686"/>
    <w:rsid w:val="00413A1E"/>
    <w:rsid w:val="004140CE"/>
    <w:rsid w:val="00414476"/>
    <w:rsid w:val="00414C2E"/>
    <w:rsid w:val="004150EA"/>
    <w:rsid w:val="004151CF"/>
    <w:rsid w:val="00415328"/>
    <w:rsid w:val="00415422"/>
    <w:rsid w:val="00416182"/>
    <w:rsid w:val="00416364"/>
    <w:rsid w:val="00416666"/>
    <w:rsid w:val="0041682B"/>
    <w:rsid w:val="00416ACC"/>
    <w:rsid w:val="00417405"/>
    <w:rsid w:val="00417911"/>
    <w:rsid w:val="0042047F"/>
    <w:rsid w:val="00420AA6"/>
    <w:rsid w:val="00420B9F"/>
    <w:rsid w:val="004212B8"/>
    <w:rsid w:val="0042175A"/>
    <w:rsid w:val="004217AA"/>
    <w:rsid w:val="0042192C"/>
    <w:rsid w:val="00422260"/>
    <w:rsid w:val="00422513"/>
    <w:rsid w:val="00422B37"/>
    <w:rsid w:val="00422F9F"/>
    <w:rsid w:val="00423954"/>
    <w:rsid w:val="00423CA5"/>
    <w:rsid w:val="00423DE4"/>
    <w:rsid w:val="0042413F"/>
    <w:rsid w:val="00424E86"/>
    <w:rsid w:val="00425445"/>
    <w:rsid w:val="004258E0"/>
    <w:rsid w:val="004265EF"/>
    <w:rsid w:val="00427016"/>
    <w:rsid w:val="0042712C"/>
    <w:rsid w:val="00427C81"/>
    <w:rsid w:val="00427FC0"/>
    <w:rsid w:val="00430699"/>
    <w:rsid w:val="00430BA4"/>
    <w:rsid w:val="00430C49"/>
    <w:rsid w:val="004316E1"/>
    <w:rsid w:val="0043197F"/>
    <w:rsid w:val="004319F8"/>
    <w:rsid w:val="00431E55"/>
    <w:rsid w:val="004321C7"/>
    <w:rsid w:val="004321DB"/>
    <w:rsid w:val="004321F6"/>
    <w:rsid w:val="0043240A"/>
    <w:rsid w:val="00432819"/>
    <w:rsid w:val="00432BED"/>
    <w:rsid w:val="00432FF5"/>
    <w:rsid w:val="00433044"/>
    <w:rsid w:val="00433380"/>
    <w:rsid w:val="00433764"/>
    <w:rsid w:val="004337BD"/>
    <w:rsid w:val="00433EE0"/>
    <w:rsid w:val="00434088"/>
    <w:rsid w:val="00434695"/>
    <w:rsid w:val="00434929"/>
    <w:rsid w:val="004351E1"/>
    <w:rsid w:val="00435451"/>
    <w:rsid w:val="004357E2"/>
    <w:rsid w:val="004357F6"/>
    <w:rsid w:val="0043640C"/>
    <w:rsid w:val="004369DB"/>
    <w:rsid w:val="00436DE1"/>
    <w:rsid w:val="0043708B"/>
    <w:rsid w:val="004375B9"/>
    <w:rsid w:val="00440B6F"/>
    <w:rsid w:val="004411D8"/>
    <w:rsid w:val="0044126A"/>
    <w:rsid w:val="00441579"/>
    <w:rsid w:val="004428D0"/>
    <w:rsid w:val="00442A4C"/>
    <w:rsid w:val="00443553"/>
    <w:rsid w:val="00443A9E"/>
    <w:rsid w:val="0044407E"/>
    <w:rsid w:val="00444185"/>
    <w:rsid w:val="0044423F"/>
    <w:rsid w:val="004443A7"/>
    <w:rsid w:val="0044442C"/>
    <w:rsid w:val="0044454F"/>
    <w:rsid w:val="00444C13"/>
    <w:rsid w:val="00444F62"/>
    <w:rsid w:val="004452FC"/>
    <w:rsid w:val="00445941"/>
    <w:rsid w:val="0044638F"/>
    <w:rsid w:val="004464EB"/>
    <w:rsid w:val="0044687A"/>
    <w:rsid w:val="00446C80"/>
    <w:rsid w:val="00447640"/>
    <w:rsid w:val="00447D26"/>
    <w:rsid w:val="00447D6C"/>
    <w:rsid w:val="00447DFC"/>
    <w:rsid w:val="00447F45"/>
    <w:rsid w:val="00450A2F"/>
    <w:rsid w:val="004522A3"/>
    <w:rsid w:val="004523E2"/>
    <w:rsid w:val="00452A13"/>
    <w:rsid w:val="00452CAA"/>
    <w:rsid w:val="00453E7A"/>
    <w:rsid w:val="0045439B"/>
    <w:rsid w:val="004546AC"/>
    <w:rsid w:val="00455400"/>
    <w:rsid w:val="00455598"/>
    <w:rsid w:val="0045574F"/>
    <w:rsid w:val="00455D02"/>
    <w:rsid w:val="00455D45"/>
    <w:rsid w:val="00456915"/>
    <w:rsid w:val="00456AC5"/>
    <w:rsid w:val="00457399"/>
    <w:rsid w:val="004605E0"/>
    <w:rsid w:val="00460862"/>
    <w:rsid w:val="00461C0B"/>
    <w:rsid w:val="00462ABB"/>
    <w:rsid w:val="00462D0D"/>
    <w:rsid w:val="00462D99"/>
    <w:rsid w:val="0046330D"/>
    <w:rsid w:val="004634B9"/>
    <w:rsid w:val="00463C99"/>
    <w:rsid w:val="00464595"/>
    <w:rsid w:val="004652AB"/>
    <w:rsid w:val="004658B5"/>
    <w:rsid w:val="00465C8E"/>
    <w:rsid w:val="004660D2"/>
    <w:rsid w:val="0046642E"/>
    <w:rsid w:val="0046762E"/>
    <w:rsid w:val="00467B4C"/>
    <w:rsid w:val="00467D0D"/>
    <w:rsid w:val="004701AE"/>
    <w:rsid w:val="00470272"/>
    <w:rsid w:val="00470B35"/>
    <w:rsid w:val="004715AC"/>
    <w:rsid w:val="00471EA5"/>
    <w:rsid w:val="00472A79"/>
    <w:rsid w:val="0047312E"/>
    <w:rsid w:val="00473862"/>
    <w:rsid w:val="00473A31"/>
    <w:rsid w:val="00473B8A"/>
    <w:rsid w:val="00473F19"/>
    <w:rsid w:val="004742C0"/>
    <w:rsid w:val="00474B68"/>
    <w:rsid w:val="004759C7"/>
    <w:rsid w:val="00475E22"/>
    <w:rsid w:val="004764F1"/>
    <w:rsid w:val="00476950"/>
    <w:rsid w:val="00477AE3"/>
    <w:rsid w:val="00477DE7"/>
    <w:rsid w:val="00480491"/>
    <w:rsid w:val="0048088E"/>
    <w:rsid w:val="00480F2B"/>
    <w:rsid w:val="00482720"/>
    <w:rsid w:val="004827C0"/>
    <w:rsid w:val="004832C4"/>
    <w:rsid w:val="004835E7"/>
    <w:rsid w:val="00483FFD"/>
    <w:rsid w:val="004841DE"/>
    <w:rsid w:val="004847D6"/>
    <w:rsid w:val="00485441"/>
    <w:rsid w:val="00485728"/>
    <w:rsid w:val="004859E1"/>
    <w:rsid w:val="00485D6A"/>
    <w:rsid w:val="004860BB"/>
    <w:rsid w:val="004867E2"/>
    <w:rsid w:val="004868A0"/>
    <w:rsid w:val="004874F0"/>
    <w:rsid w:val="004877E7"/>
    <w:rsid w:val="00487A7A"/>
    <w:rsid w:val="004902C8"/>
    <w:rsid w:val="00490B17"/>
    <w:rsid w:val="00490D50"/>
    <w:rsid w:val="0049195E"/>
    <w:rsid w:val="00491B3A"/>
    <w:rsid w:val="00492131"/>
    <w:rsid w:val="004922CF"/>
    <w:rsid w:val="00492CFD"/>
    <w:rsid w:val="0049350C"/>
    <w:rsid w:val="00493A9E"/>
    <w:rsid w:val="00493CED"/>
    <w:rsid w:val="00494207"/>
    <w:rsid w:val="00494DD5"/>
    <w:rsid w:val="00495F4D"/>
    <w:rsid w:val="004962D2"/>
    <w:rsid w:val="00496331"/>
    <w:rsid w:val="0049767F"/>
    <w:rsid w:val="00497B19"/>
    <w:rsid w:val="004A05E3"/>
    <w:rsid w:val="004A07D0"/>
    <w:rsid w:val="004A0AA4"/>
    <w:rsid w:val="004A0DA1"/>
    <w:rsid w:val="004A13D6"/>
    <w:rsid w:val="004A29CE"/>
    <w:rsid w:val="004A2F69"/>
    <w:rsid w:val="004A3147"/>
    <w:rsid w:val="004A34EA"/>
    <w:rsid w:val="004A3775"/>
    <w:rsid w:val="004A3913"/>
    <w:rsid w:val="004A39FF"/>
    <w:rsid w:val="004A4106"/>
    <w:rsid w:val="004A4C85"/>
    <w:rsid w:val="004A52E9"/>
    <w:rsid w:val="004A582F"/>
    <w:rsid w:val="004A5B6B"/>
    <w:rsid w:val="004A5FE9"/>
    <w:rsid w:val="004A6040"/>
    <w:rsid w:val="004A6174"/>
    <w:rsid w:val="004A6597"/>
    <w:rsid w:val="004A6956"/>
    <w:rsid w:val="004A6BF4"/>
    <w:rsid w:val="004A6CB2"/>
    <w:rsid w:val="004A7848"/>
    <w:rsid w:val="004A793B"/>
    <w:rsid w:val="004B12B1"/>
    <w:rsid w:val="004B12E5"/>
    <w:rsid w:val="004B1CB4"/>
    <w:rsid w:val="004B224D"/>
    <w:rsid w:val="004B2B27"/>
    <w:rsid w:val="004B2F18"/>
    <w:rsid w:val="004B3508"/>
    <w:rsid w:val="004B37D5"/>
    <w:rsid w:val="004B3DDB"/>
    <w:rsid w:val="004B40FC"/>
    <w:rsid w:val="004B44FD"/>
    <w:rsid w:val="004B4F90"/>
    <w:rsid w:val="004B4F92"/>
    <w:rsid w:val="004B5B7E"/>
    <w:rsid w:val="004B5CFC"/>
    <w:rsid w:val="004B5D10"/>
    <w:rsid w:val="004B5D4F"/>
    <w:rsid w:val="004B5D5F"/>
    <w:rsid w:val="004B5F39"/>
    <w:rsid w:val="004B6096"/>
    <w:rsid w:val="004B6C6E"/>
    <w:rsid w:val="004B6CE4"/>
    <w:rsid w:val="004B6EA5"/>
    <w:rsid w:val="004B6F79"/>
    <w:rsid w:val="004B7354"/>
    <w:rsid w:val="004B774D"/>
    <w:rsid w:val="004B77FF"/>
    <w:rsid w:val="004B79CA"/>
    <w:rsid w:val="004C02CB"/>
    <w:rsid w:val="004C0306"/>
    <w:rsid w:val="004C0607"/>
    <w:rsid w:val="004C084D"/>
    <w:rsid w:val="004C1178"/>
    <w:rsid w:val="004C1564"/>
    <w:rsid w:val="004C1669"/>
    <w:rsid w:val="004C18EB"/>
    <w:rsid w:val="004C2AC2"/>
    <w:rsid w:val="004C2E54"/>
    <w:rsid w:val="004C2EFC"/>
    <w:rsid w:val="004C2F39"/>
    <w:rsid w:val="004C30CE"/>
    <w:rsid w:val="004C358A"/>
    <w:rsid w:val="004C3B02"/>
    <w:rsid w:val="004C3E91"/>
    <w:rsid w:val="004C465A"/>
    <w:rsid w:val="004C4AED"/>
    <w:rsid w:val="004C5639"/>
    <w:rsid w:val="004C5E90"/>
    <w:rsid w:val="004C5F04"/>
    <w:rsid w:val="004C62DD"/>
    <w:rsid w:val="004C64AD"/>
    <w:rsid w:val="004C774C"/>
    <w:rsid w:val="004C7BA0"/>
    <w:rsid w:val="004C7E28"/>
    <w:rsid w:val="004D0156"/>
    <w:rsid w:val="004D0311"/>
    <w:rsid w:val="004D07BF"/>
    <w:rsid w:val="004D0EAF"/>
    <w:rsid w:val="004D1814"/>
    <w:rsid w:val="004D192D"/>
    <w:rsid w:val="004D2385"/>
    <w:rsid w:val="004D2461"/>
    <w:rsid w:val="004D28FD"/>
    <w:rsid w:val="004D2951"/>
    <w:rsid w:val="004D29DC"/>
    <w:rsid w:val="004D2A08"/>
    <w:rsid w:val="004D2C2D"/>
    <w:rsid w:val="004D2F5C"/>
    <w:rsid w:val="004D3DB8"/>
    <w:rsid w:val="004D4142"/>
    <w:rsid w:val="004D4378"/>
    <w:rsid w:val="004D47E7"/>
    <w:rsid w:val="004D4A7B"/>
    <w:rsid w:val="004D4AAF"/>
    <w:rsid w:val="004D4ACE"/>
    <w:rsid w:val="004D5021"/>
    <w:rsid w:val="004D5204"/>
    <w:rsid w:val="004D627E"/>
    <w:rsid w:val="004D69B5"/>
    <w:rsid w:val="004D7227"/>
    <w:rsid w:val="004D791A"/>
    <w:rsid w:val="004D7A2A"/>
    <w:rsid w:val="004D7B5E"/>
    <w:rsid w:val="004D7E4D"/>
    <w:rsid w:val="004E0257"/>
    <w:rsid w:val="004E036C"/>
    <w:rsid w:val="004E0785"/>
    <w:rsid w:val="004E0BE6"/>
    <w:rsid w:val="004E0E7F"/>
    <w:rsid w:val="004E0EB8"/>
    <w:rsid w:val="004E18E9"/>
    <w:rsid w:val="004E2A2F"/>
    <w:rsid w:val="004E2ADC"/>
    <w:rsid w:val="004E3548"/>
    <w:rsid w:val="004E41A3"/>
    <w:rsid w:val="004E43B2"/>
    <w:rsid w:val="004E4A1A"/>
    <w:rsid w:val="004E4E7F"/>
    <w:rsid w:val="004E4FBF"/>
    <w:rsid w:val="004E51BD"/>
    <w:rsid w:val="004E565B"/>
    <w:rsid w:val="004E586D"/>
    <w:rsid w:val="004E648C"/>
    <w:rsid w:val="004E67CE"/>
    <w:rsid w:val="004E690F"/>
    <w:rsid w:val="004E76A4"/>
    <w:rsid w:val="004E7A49"/>
    <w:rsid w:val="004E7DC5"/>
    <w:rsid w:val="004F091C"/>
    <w:rsid w:val="004F0EAE"/>
    <w:rsid w:val="004F1043"/>
    <w:rsid w:val="004F1D02"/>
    <w:rsid w:val="004F2679"/>
    <w:rsid w:val="004F2984"/>
    <w:rsid w:val="004F2A41"/>
    <w:rsid w:val="004F2D17"/>
    <w:rsid w:val="004F2F21"/>
    <w:rsid w:val="004F377B"/>
    <w:rsid w:val="004F3846"/>
    <w:rsid w:val="004F3876"/>
    <w:rsid w:val="004F39F3"/>
    <w:rsid w:val="004F3A3B"/>
    <w:rsid w:val="004F3BA4"/>
    <w:rsid w:val="004F3C90"/>
    <w:rsid w:val="004F3DE5"/>
    <w:rsid w:val="004F5492"/>
    <w:rsid w:val="004F5C8F"/>
    <w:rsid w:val="004F6021"/>
    <w:rsid w:val="004F63AA"/>
    <w:rsid w:val="004F63E5"/>
    <w:rsid w:val="004F6913"/>
    <w:rsid w:val="004F711F"/>
    <w:rsid w:val="004F721B"/>
    <w:rsid w:val="004F754E"/>
    <w:rsid w:val="004F7865"/>
    <w:rsid w:val="004F78B0"/>
    <w:rsid w:val="004F7AD1"/>
    <w:rsid w:val="004F7E3C"/>
    <w:rsid w:val="00500204"/>
    <w:rsid w:val="0050174E"/>
    <w:rsid w:val="00501786"/>
    <w:rsid w:val="00501854"/>
    <w:rsid w:val="0050219B"/>
    <w:rsid w:val="0050261F"/>
    <w:rsid w:val="005027CE"/>
    <w:rsid w:val="00502F23"/>
    <w:rsid w:val="005031E4"/>
    <w:rsid w:val="00503F17"/>
    <w:rsid w:val="00503F3A"/>
    <w:rsid w:val="005047BB"/>
    <w:rsid w:val="00504882"/>
    <w:rsid w:val="005049FF"/>
    <w:rsid w:val="00505D67"/>
    <w:rsid w:val="00506928"/>
    <w:rsid w:val="005070F5"/>
    <w:rsid w:val="005072BC"/>
    <w:rsid w:val="005077EF"/>
    <w:rsid w:val="00507B23"/>
    <w:rsid w:val="00507D22"/>
    <w:rsid w:val="00507D61"/>
    <w:rsid w:val="00507E0D"/>
    <w:rsid w:val="00510521"/>
    <w:rsid w:val="00510655"/>
    <w:rsid w:val="00510FA2"/>
    <w:rsid w:val="00511406"/>
    <w:rsid w:val="00511AD5"/>
    <w:rsid w:val="00511D8F"/>
    <w:rsid w:val="00511DC7"/>
    <w:rsid w:val="00512304"/>
    <w:rsid w:val="00512947"/>
    <w:rsid w:val="00512AA5"/>
    <w:rsid w:val="00512B31"/>
    <w:rsid w:val="0051342C"/>
    <w:rsid w:val="00513884"/>
    <w:rsid w:val="005142C5"/>
    <w:rsid w:val="005146BE"/>
    <w:rsid w:val="00514DF1"/>
    <w:rsid w:val="0051501B"/>
    <w:rsid w:val="005152B5"/>
    <w:rsid w:val="00515886"/>
    <w:rsid w:val="005163B3"/>
    <w:rsid w:val="005168D8"/>
    <w:rsid w:val="00516BAF"/>
    <w:rsid w:val="00516FE6"/>
    <w:rsid w:val="00517143"/>
    <w:rsid w:val="005172ED"/>
    <w:rsid w:val="00517AE1"/>
    <w:rsid w:val="00517CFA"/>
    <w:rsid w:val="00517EC4"/>
    <w:rsid w:val="00520430"/>
    <w:rsid w:val="00520C26"/>
    <w:rsid w:val="0052123C"/>
    <w:rsid w:val="00521319"/>
    <w:rsid w:val="00521763"/>
    <w:rsid w:val="00521874"/>
    <w:rsid w:val="0052215A"/>
    <w:rsid w:val="005221C0"/>
    <w:rsid w:val="00522776"/>
    <w:rsid w:val="00522895"/>
    <w:rsid w:val="00522BC8"/>
    <w:rsid w:val="00522E5B"/>
    <w:rsid w:val="00522F8A"/>
    <w:rsid w:val="00523276"/>
    <w:rsid w:val="005238A6"/>
    <w:rsid w:val="00523C28"/>
    <w:rsid w:val="005241A5"/>
    <w:rsid w:val="00524396"/>
    <w:rsid w:val="00524657"/>
    <w:rsid w:val="00524870"/>
    <w:rsid w:val="00524931"/>
    <w:rsid w:val="00524D8F"/>
    <w:rsid w:val="00525491"/>
    <w:rsid w:val="00525521"/>
    <w:rsid w:val="005258D3"/>
    <w:rsid w:val="00525C61"/>
    <w:rsid w:val="00525FD3"/>
    <w:rsid w:val="00526338"/>
    <w:rsid w:val="0052654F"/>
    <w:rsid w:val="00526E5A"/>
    <w:rsid w:val="00527435"/>
    <w:rsid w:val="0052794B"/>
    <w:rsid w:val="00527AF1"/>
    <w:rsid w:val="0053017B"/>
    <w:rsid w:val="00530532"/>
    <w:rsid w:val="00530B46"/>
    <w:rsid w:val="00530B55"/>
    <w:rsid w:val="005312F8"/>
    <w:rsid w:val="0053176B"/>
    <w:rsid w:val="0053181A"/>
    <w:rsid w:val="00531FDC"/>
    <w:rsid w:val="005323C6"/>
    <w:rsid w:val="005327A1"/>
    <w:rsid w:val="005341B3"/>
    <w:rsid w:val="0053451E"/>
    <w:rsid w:val="0053481B"/>
    <w:rsid w:val="00534FE7"/>
    <w:rsid w:val="00535A00"/>
    <w:rsid w:val="00535BF6"/>
    <w:rsid w:val="005365E3"/>
    <w:rsid w:val="00536C39"/>
    <w:rsid w:val="00536F42"/>
    <w:rsid w:val="005370F4"/>
    <w:rsid w:val="00537182"/>
    <w:rsid w:val="00537556"/>
    <w:rsid w:val="0053779B"/>
    <w:rsid w:val="005404B1"/>
    <w:rsid w:val="00540546"/>
    <w:rsid w:val="00540904"/>
    <w:rsid w:val="00540A80"/>
    <w:rsid w:val="005415F0"/>
    <w:rsid w:val="00541BE1"/>
    <w:rsid w:val="00541C15"/>
    <w:rsid w:val="00541EDD"/>
    <w:rsid w:val="00541F03"/>
    <w:rsid w:val="005424D9"/>
    <w:rsid w:val="00542743"/>
    <w:rsid w:val="00542C2D"/>
    <w:rsid w:val="00543484"/>
    <w:rsid w:val="005434A1"/>
    <w:rsid w:val="005442A9"/>
    <w:rsid w:val="0054472A"/>
    <w:rsid w:val="00544732"/>
    <w:rsid w:val="00544743"/>
    <w:rsid w:val="00545A09"/>
    <w:rsid w:val="00545B35"/>
    <w:rsid w:val="0054629B"/>
    <w:rsid w:val="00546430"/>
    <w:rsid w:val="0054706E"/>
    <w:rsid w:val="005470AB"/>
    <w:rsid w:val="005478BD"/>
    <w:rsid w:val="005479E3"/>
    <w:rsid w:val="005508B6"/>
    <w:rsid w:val="005508FB"/>
    <w:rsid w:val="00550EDA"/>
    <w:rsid w:val="00551349"/>
    <w:rsid w:val="00551843"/>
    <w:rsid w:val="00551985"/>
    <w:rsid w:val="00552634"/>
    <w:rsid w:val="00552BD3"/>
    <w:rsid w:val="0055310B"/>
    <w:rsid w:val="005532A0"/>
    <w:rsid w:val="0055431F"/>
    <w:rsid w:val="005547A6"/>
    <w:rsid w:val="00555109"/>
    <w:rsid w:val="005555B3"/>
    <w:rsid w:val="0055609B"/>
    <w:rsid w:val="00556B35"/>
    <w:rsid w:val="0055741A"/>
    <w:rsid w:val="005578A1"/>
    <w:rsid w:val="005579EA"/>
    <w:rsid w:val="00557BA8"/>
    <w:rsid w:val="005603B9"/>
    <w:rsid w:val="005604EF"/>
    <w:rsid w:val="005606CF"/>
    <w:rsid w:val="00560895"/>
    <w:rsid w:val="00560BD8"/>
    <w:rsid w:val="0056115A"/>
    <w:rsid w:val="005611B7"/>
    <w:rsid w:val="00561343"/>
    <w:rsid w:val="005618D4"/>
    <w:rsid w:val="00561A29"/>
    <w:rsid w:val="0056215C"/>
    <w:rsid w:val="005622B1"/>
    <w:rsid w:val="005622B6"/>
    <w:rsid w:val="00562359"/>
    <w:rsid w:val="0056268A"/>
    <w:rsid w:val="00562862"/>
    <w:rsid w:val="005634E5"/>
    <w:rsid w:val="0056478E"/>
    <w:rsid w:val="00564867"/>
    <w:rsid w:val="00564A67"/>
    <w:rsid w:val="00564D28"/>
    <w:rsid w:val="00564D7A"/>
    <w:rsid w:val="00565446"/>
    <w:rsid w:val="00565C79"/>
    <w:rsid w:val="00565DF0"/>
    <w:rsid w:val="005663DF"/>
    <w:rsid w:val="005667D0"/>
    <w:rsid w:val="0056696F"/>
    <w:rsid w:val="0056753B"/>
    <w:rsid w:val="00567CF9"/>
    <w:rsid w:val="005719DB"/>
    <w:rsid w:val="00572004"/>
    <w:rsid w:val="00572269"/>
    <w:rsid w:val="005723EA"/>
    <w:rsid w:val="0057244A"/>
    <w:rsid w:val="005725A9"/>
    <w:rsid w:val="0057269F"/>
    <w:rsid w:val="00572C7F"/>
    <w:rsid w:val="00572F26"/>
    <w:rsid w:val="00573062"/>
    <w:rsid w:val="00573092"/>
    <w:rsid w:val="005732A9"/>
    <w:rsid w:val="0057339A"/>
    <w:rsid w:val="00573753"/>
    <w:rsid w:val="00573B81"/>
    <w:rsid w:val="00573FC9"/>
    <w:rsid w:val="0057438E"/>
    <w:rsid w:val="005750C5"/>
    <w:rsid w:val="005750E7"/>
    <w:rsid w:val="00575182"/>
    <w:rsid w:val="005752DE"/>
    <w:rsid w:val="00575D60"/>
    <w:rsid w:val="00575D8D"/>
    <w:rsid w:val="00576972"/>
    <w:rsid w:val="00576C39"/>
    <w:rsid w:val="00577248"/>
    <w:rsid w:val="00577F03"/>
    <w:rsid w:val="00580159"/>
    <w:rsid w:val="00581385"/>
    <w:rsid w:val="00581500"/>
    <w:rsid w:val="00581628"/>
    <w:rsid w:val="00582503"/>
    <w:rsid w:val="005830C8"/>
    <w:rsid w:val="005831D9"/>
    <w:rsid w:val="00583638"/>
    <w:rsid w:val="00583699"/>
    <w:rsid w:val="00583A78"/>
    <w:rsid w:val="00584B42"/>
    <w:rsid w:val="00584E83"/>
    <w:rsid w:val="00585281"/>
    <w:rsid w:val="00585B3A"/>
    <w:rsid w:val="00585CDD"/>
    <w:rsid w:val="00585DF3"/>
    <w:rsid w:val="00585FA3"/>
    <w:rsid w:val="005860C1"/>
    <w:rsid w:val="00586755"/>
    <w:rsid w:val="00586C6E"/>
    <w:rsid w:val="00586C87"/>
    <w:rsid w:val="00586FE0"/>
    <w:rsid w:val="00587058"/>
    <w:rsid w:val="005905ED"/>
    <w:rsid w:val="005907F3"/>
    <w:rsid w:val="00590A3C"/>
    <w:rsid w:val="00590F7D"/>
    <w:rsid w:val="00591165"/>
    <w:rsid w:val="00591957"/>
    <w:rsid w:val="00592719"/>
    <w:rsid w:val="005927CF"/>
    <w:rsid w:val="00592A36"/>
    <w:rsid w:val="005930CD"/>
    <w:rsid w:val="0059325D"/>
    <w:rsid w:val="005936D1"/>
    <w:rsid w:val="00593BBB"/>
    <w:rsid w:val="00593D5A"/>
    <w:rsid w:val="00593FE6"/>
    <w:rsid w:val="005942F5"/>
    <w:rsid w:val="00594A37"/>
    <w:rsid w:val="005954CB"/>
    <w:rsid w:val="005955B3"/>
    <w:rsid w:val="00596029"/>
    <w:rsid w:val="005972E4"/>
    <w:rsid w:val="00597509"/>
    <w:rsid w:val="00597804"/>
    <w:rsid w:val="00597BF9"/>
    <w:rsid w:val="00597F21"/>
    <w:rsid w:val="005A0C11"/>
    <w:rsid w:val="005A1824"/>
    <w:rsid w:val="005A2DC0"/>
    <w:rsid w:val="005A309A"/>
    <w:rsid w:val="005A31E7"/>
    <w:rsid w:val="005A35FF"/>
    <w:rsid w:val="005A373D"/>
    <w:rsid w:val="005A46D6"/>
    <w:rsid w:val="005A4DEB"/>
    <w:rsid w:val="005A4FEF"/>
    <w:rsid w:val="005A54F0"/>
    <w:rsid w:val="005A55E9"/>
    <w:rsid w:val="005A672D"/>
    <w:rsid w:val="005A6D57"/>
    <w:rsid w:val="005A71C0"/>
    <w:rsid w:val="005B03D8"/>
    <w:rsid w:val="005B05B2"/>
    <w:rsid w:val="005B085A"/>
    <w:rsid w:val="005B0A9B"/>
    <w:rsid w:val="005B0B58"/>
    <w:rsid w:val="005B1017"/>
    <w:rsid w:val="005B12E9"/>
    <w:rsid w:val="005B15DA"/>
    <w:rsid w:val="005B1928"/>
    <w:rsid w:val="005B29A3"/>
    <w:rsid w:val="005B3788"/>
    <w:rsid w:val="005B392A"/>
    <w:rsid w:val="005B432B"/>
    <w:rsid w:val="005B451F"/>
    <w:rsid w:val="005B48F7"/>
    <w:rsid w:val="005B4E53"/>
    <w:rsid w:val="005B5622"/>
    <w:rsid w:val="005B5857"/>
    <w:rsid w:val="005B598F"/>
    <w:rsid w:val="005B5D04"/>
    <w:rsid w:val="005B6103"/>
    <w:rsid w:val="005B6A02"/>
    <w:rsid w:val="005B7460"/>
    <w:rsid w:val="005B746D"/>
    <w:rsid w:val="005B771B"/>
    <w:rsid w:val="005C02A9"/>
    <w:rsid w:val="005C0414"/>
    <w:rsid w:val="005C149B"/>
    <w:rsid w:val="005C162D"/>
    <w:rsid w:val="005C1967"/>
    <w:rsid w:val="005C19C4"/>
    <w:rsid w:val="005C1B83"/>
    <w:rsid w:val="005C1F1B"/>
    <w:rsid w:val="005C25FF"/>
    <w:rsid w:val="005C2D55"/>
    <w:rsid w:val="005C2EF4"/>
    <w:rsid w:val="005C346B"/>
    <w:rsid w:val="005C34BE"/>
    <w:rsid w:val="005C450F"/>
    <w:rsid w:val="005C496D"/>
    <w:rsid w:val="005C4B71"/>
    <w:rsid w:val="005C57EE"/>
    <w:rsid w:val="005C5ABC"/>
    <w:rsid w:val="005C5E2C"/>
    <w:rsid w:val="005C5EB4"/>
    <w:rsid w:val="005C63E3"/>
    <w:rsid w:val="005C646D"/>
    <w:rsid w:val="005C76D6"/>
    <w:rsid w:val="005C7A28"/>
    <w:rsid w:val="005C7D64"/>
    <w:rsid w:val="005C7D9A"/>
    <w:rsid w:val="005D029E"/>
    <w:rsid w:val="005D02C5"/>
    <w:rsid w:val="005D02FC"/>
    <w:rsid w:val="005D032C"/>
    <w:rsid w:val="005D034C"/>
    <w:rsid w:val="005D044D"/>
    <w:rsid w:val="005D0718"/>
    <w:rsid w:val="005D096C"/>
    <w:rsid w:val="005D0ABD"/>
    <w:rsid w:val="005D0B34"/>
    <w:rsid w:val="005D0BA7"/>
    <w:rsid w:val="005D0D3E"/>
    <w:rsid w:val="005D0FA5"/>
    <w:rsid w:val="005D13C8"/>
    <w:rsid w:val="005D1842"/>
    <w:rsid w:val="005D18AD"/>
    <w:rsid w:val="005D18D1"/>
    <w:rsid w:val="005D1EB8"/>
    <w:rsid w:val="005D26B4"/>
    <w:rsid w:val="005D2903"/>
    <w:rsid w:val="005D2BF7"/>
    <w:rsid w:val="005D35A9"/>
    <w:rsid w:val="005D5379"/>
    <w:rsid w:val="005D5DC6"/>
    <w:rsid w:val="005D6141"/>
    <w:rsid w:val="005D6B5A"/>
    <w:rsid w:val="005D6D6F"/>
    <w:rsid w:val="005D7E18"/>
    <w:rsid w:val="005E079E"/>
    <w:rsid w:val="005E0902"/>
    <w:rsid w:val="005E1258"/>
    <w:rsid w:val="005E1994"/>
    <w:rsid w:val="005E1995"/>
    <w:rsid w:val="005E2323"/>
    <w:rsid w:val="005E35EF"/>
    <w:rsid w:val="005E3C35"/>
    <w:rsid w:val="005E3EB7"/>
    <w:rsid w:val="005E4035"/>
    <w:rsid w:val="005E43C4"/>
    <w:rsid w:val="005E4AA2"/>
    <w:rsid w:val="005E4D40"/>
    <w:rsid w:val="005E59C3"/>
    <w:rsid w:val="005E5E9D"/>
    <w:rsid w:val="005E61C8"/>
    <w:rsid w:val="005E6A4F"/>
    <w:rsid w:val="005E6CBC"/>
    <w:rsid w:val="005E72FF"/>
    <w:rsid w:val="005E73C0"/>
    <w:rsid w:val="005E7463"/>
    <w:rsid w:val="005F06A2"/>
    <w:rsid w:val="005F07ED"/>
    <w:rsid w:val="005F0DDE"/>
    <w:rsid w:val="005F0ED7"/>
    <w:rsid w:val="005F1140"/>
    <w:rsid w:val="005F195C"/>
    <w:rsid w:val="005F1BB4"/>
    <w:rsid w:val="005F2034"/>
    <w:rsid w:val="005F22BF"/>
    <w:rsid w:val="005F24B7"/>
    <w:rsid w:val="005F2706"/>
    <w:rsid w:val="005F2CD8"/>
    <w:rsid w:val="005F2D38"/>
    <w:rsid w:val="005F4B27"/>
    <w:rsid w:val="005F4CE5"/>
    <w:rsid w:val="005F517F"/>
    <w:rsid w:val="005F51C6"/>
    <w:rsid w:val="005F5258"/>
    <w:rsid w:val="005F570F"/>
    <w:rsid w:val="005F59FF"/>
    <w:rsid w:val="005F5A34"/>
    <w:rsid w:val="005F6436"/>
    <w:rsid w:val="005F646E"/>
    <w:rsid w:val="005F6A8F"/>
    <w:rsid w:val="005F6BB7"/>
    <w:rsid w:val="005F6E3D"/>
    <w:rsid w:val="005F7588"/>
    <w:rsid w:val="005F769F"/>
    <w:rsid w:val="005F7FD0"/>
    <w:rsid w:val="00600121"/>
    <w:rsid w:val="00601871"/>
    <w:rsid w:val="006023B2"/>
    <w:rsid w:val="006028D3"/>
    <w:rsid w:val="00602B4D"/>
    <w:rsid w:val="006036F0"/>
    <w:rsid w:val="006038BF"/>
    <w:rsid w:val="00603C45"/>
    <w:rsid w:val="00603C7E"/>
    <w:rsid w:val="00603DB9"/>
    <w:rsid w:val="00603ED9"/>
    <w:rsid w:val="00603F22"/>
    <w:rsid w:val="006044B8"/>
    <w:rsid w:val="006046ED"/>
    <w:rsid w:val="00604CE9"/>
    <w:rsid w:val="00604EC3"/>
    <w:rsid w:val="00605348"/>
    <w:rsid w:val="00605535"/>
    <w:rsid w:val="0060567F"/>
    <w:rsid w:val="00605781"/>
    <w:rsid w:val="00605E41"/>
    <w:rsid w:val="0060624C"/>
    <w:rsid w:val="006065EE"/>
    <w:rsid w:val="00606FBA"/>
    <w:rsid w:val="0060719C"/>
    <w:rsid w:val="006075DA"/>
    <w:rsid w:val="00607669"/>
    <w:rsid w:val="006076F4"/>
    <w:rsid w:val="00607860"/>
    <w:rsid w:val="00607AFD"/>
    <w:rsid w:val="00610F95"/>
    <w:rsid w:val="00611595"/>
    <w:rsid w:val="006119E6"/>
    <w:rsid w:val="00611B12"/>
    <w:rsid w:val="00611B37"/>
    <w:rsid w:val="00611D4F"/>
    <w:rsid w:val="00612DC1"/>
    <w:rsid w:val="00612F97"/>
    <w:rsid w:val="00612F9D"/>
    <w:rsid w:val="006132F7"/>
    <w:rsid w:val="0061345D"/>
    <w:rsid w:val="00613598"/>
    <w:rsid w:val="006143A5"/>
    <w:rsid w:val="00614F9A"/>
    <w:rsid w:val="006152E3"/>
    <w:rsid w:val="0061549B"/>
    <w:rsid w:val="006156C7"/>
    <w:rsid w:val="006161F2"/>
    <w:rsid w:val="006162E6"/>
    <w:rsid w:val="00616802"/>
    <w:rsid w:val="00616B5B"/>
    <w:rsid w:val="00616BDF"/>
    <w:rsid w:val="00616E9F"/>
    <w:rsid w:val="006174F3"/>
    <w:rsid w:val="00617E12"/>
    <w:rsid w:val="0062015E"/>
    <w:rsid w:val="006205BC"/>
    <w:rsid w:val="00620795"/>
    <w:rsid w:val="0062092E"/>
    <w:rsid w:val="00620C25"/>
    <w:rsid w:val="00620F78"/>
    <w:rsid w:val="0062105C"/>
    <w:rsid w:val="0062106F"/>
    <w:rsid w:val="00621477"/>
    <w:rsid w:val="00621A79"/>
    <w:rsid w:val="00621ADA"/>
    <w:rsid w:val="00621E06"/>
    <w:rsid w:val="00622302"/>
    <w:rsid w:val="006224EB"/>
    <w:rsid w:val="006229EE"/>
    <w:rsid w:val="00622B8D"/>
    <w:rsid w:val="00622E48"/>
    <w:rsid w:val="00622EAA"/>
    <w:rsid w:val="00623686"/>
    <w:rsid w:val="00623754"/>
    <w:rsid w:val="00623A88"/>
    <w:rsid w:val="00623EEE"/>
    <w:rsid w:val="00623F7B"/>
    <w:rsid w:val="0062415C"/>
    <w:rsid w:val="006242B4"/>
    <w:rsid w:val="0062464D"/>
    <w:rsid w:val="0062470B"/>
    <w:rsid w:val="00624852"/>
    <w:rsid w:val="00624B6F"/>
    <w:rsid w:val="00624BD4"/>
    <w:rsid w:val="0062501C"/>
    <w:rsid w:val="006251C9"/>
    <w:rsid w:val="0062549D"/>
    <w:rsid w:val="00625A19"/>
    <w:rsid w:val="00625A23"/>
    <w:rsid w:val="00627C49"/>
    <w:rsid w:val="006300FE"/>
    <w:rsid w:val="00630455"/>
    <w:rsid w:val="00630928"/>
    <w:rsid w:val="0063158F"/>
    <w:rsid w:val="0063160B"/>
    <w:rsid w:val="00631D6B"/>
    <w:rsid w:val="00632183"/>
    <w:rsid w:val="006330A1"/>
    <w:rsid w:val="006330A4"/>
    <w:rsid w:val="0063479F"/>
    <w:rsid w:val="00634CE3"/>
    <w:rsid w:val="006353F0"/>
    <w:rsid w:val="006357B5"/>
    <w:rsid w:val="00635A7E"/>
    <w:rsid w:val="00635AA0"/>
    <w:rsid w:val="00635C5E"/>
    <w:rsid w:val="00635EA4"/>
    <w:rsid w:val="00636161"/>
    <w:rsid w:val="006364A1"/>
    <w:rsid w:val="006365C3"/>
    <w:rsid w:val="0063678E"/>
    <w:rsid w:val="00636C33"/>
    <w:rsid w:val="00636E1E"/>
    <w:rsid w:val="00637727"/>
    <w:rsid w:val="00637948"/>
    <w:rsid w:val="00637BFD"/>
    <w:rsid w:val="00637C5C"/>
    <w:rsid w:val="0064161D"/>
    <w:rsid w:val="00641C4E"/>
    <w:rsid w:val="00641FB3"/>
    <w:rsid w:val="00642383"/>
    <w:rsid w:val="00642A1A"/>
    <w:rsid w:val="00642F11"/>
    <w:rsid w:val="0064300B"/>
    <w:rsid w:val="00643514"/>
    <w:rsid w:val="00643992"/>
    <w:rsid w:val="00643B23"/>
    <w:rsid w:val="00643FAD"/>
    <w:rsid w:val="0064434C"/>
    <w:rsid w:val="00644E2C"/>
    <w:rsid w:val="006451FF"/>
    <w:rsid w:val="00645779"/>
    <w:rsid w:val="006459FC"/>
    <w:rsid w:val="006464E0"/>
    <w:rsid w:val="00646661"/>
    <w:rsid w:val="006466F5"/>
    <w:rsid w:val="00646FE3"/>
    <w:rsid w:val="006471CC"/>
    <w:rsid w:val="006472FE"/>
    <w:rsid w:val="00647A29"/>
    <w:rsid w:val="00647C6E"/>
    <w:rsid w:val="00647D1D"/>
    <w:rsid w:val="006503A5"/>
    <w:rsid w:val="0065079F"/>
    <w:rsid w:val="00650D73"/>
    <w:rsid w:val="00650EB2"/>
    <w:rsid w:val="0065125A"/>
    <w:rsid w:val="00651EA4"/>
    <w:rsid w:val="00652284"/>
    <w:rsid w:val="00652A28"/>
    <w:rsid w:val="00652AE5"/>
    <w:rsid w:val="00652DB7"/>
    <w:rsid w:val="00653180"/>
    <w:rsid w:val="0065379F"/>
    <w:rsid w:val="00653BBE"/>
    <w:rsid w:val="00653F92"/>
    <w:rsid w:val="00654BB4"/>
    <w:rsid w:val="00655749"/>
    <w:rsid w:val="006557E6"/>
    <w:rsid w:val="00656188"/>
    <w:rsid w:val="006563F6"/>
    <w:rsid w:val="006564C5"/>
    <w:rsid w:val="00656B0A"/>
    <w:rsid w:val="00656CB3"/>
    <w:rsid w:val="0065715A"/>
    <w:rsid w:val="00657258"/>
    <w:rsid w:val="0065783A"/>
    <w:rsid w:val="00657C8C"/>
    <w:rsid w:val="00657CC6"/>
    <w:rsid w:val="00657E68"/>
    <w:rsid w:val="00660407"/>
    <w:rsid w:val="00660685"/>
    <w:rsid w:val="006610F1"/>
    <w:rsid w:val="00661501"/>
    <w:rsid w:val="00661992"/>
    <w:rsid w:val="00661C6B"/>
    <w:rsid w:val="00662D3E"/>
    <w:rsid w:val="00662D4E"/>
    <w:rsid w:val="006645F0"/>
    <w:rsid w:val="00665457"/>
    <w:rsid w:val="00665D32"/>
    <w:rsid w:val="00665F08"/>
    <w:rsid w:val="00666738"/>
    <w:rsid w:val="00666C69"/>
    <w:rsid w:val="00666DBE"/>
    <w:rsid w:val="0066702F"/>
    <w:rsid w:val="0066758D"/>
    <w:rsid w:val="006676EA"/>
    <w:rsid w:val="006679DC"/>
    <w:rsid w:val="00667AC8"/>
    <w:rsid w:val="00667BE3"/>
    <w:rsid w:val="00667C00"/>
    <w:rsid w:val="00667E55"/>
    <w:rsid w:val="00670097"/>
    <w:rsid w:val="00670B41"/>
    <w:rsid w:val="00671004"/>
    <w:rsid w:val="00671196"/>
    <w:rsid w:val="006714D1"/>
    <w:rsid w:val="00671613"/>
    <w:rsid w:val="006720DE"/>
    <w:rsid w:val="00672646"/>
    <w:rsid w:val="0067388F"/>
    <w:rsid w:val="00673D89"/>
    <w:rsid w:val="00673FA8"/>
    <w:rsid w:val="006746E8"/>
    <w:rsid w:val="00674E42"/>
    <w:rsid w:val="006754F7"/>
    <w:rsid w:val="00675902"/>
    <w:rsid w:val="00675EEA"/>
    <w:rsid w:val="006762AE"/>
    <w:rsid w:val="00676563"/>
    <w:rsid w:val="00676C42"/>
    <w:rsid w:val="00676E8E"/>
    <w:rsid w:val="00676EE3"/>
    <w:rsid w:val="00677884"/>
    <w:rsid w:val="00677BCD"/>
    <w:rsid w:val="00677EC6"/>
    <w:rsid w:val="00680386"/>
    <w:rsid w:val="006805CD"/>
    <w:rsid w:val="006809AE"/>
    <w:rsid w:val="00680A1C"/>
    <w:rsid w:val="006813F8"/>
    <w:rsid w:val="00681807"/>
    <w:rsid w:val="006819B4"/>
    <w:rsid w:val="00682112"/>
    <w:rsid w:val="006822C1"/>
    <w:rsid w:val="00682671"/>
    <w:rsid w:val="006828F8"/>
    <w:rsid w:val="00682BA6"/>
    <w:rsid w:val="0068447E"/>
    <w:rsid w:val="006845C0"/>
    <w:rsid w:val="00685675"/>
    <w:rsid w:val="00685800"/>
    <w:rsid w:val="006858CE"/>
    <w:rsid w:val="00685AAC"/>
    <w:rsid w:val="00685D21"/>
    <w:rsid w:val="00685FE3"/>
    <w:rsid w:val="00686957"/>
    <w:rsid w:val="00686A13"/>
    <w:rsid w:val="00686D3B"/>
    <w:rsid w:val="00686E63"/>
    <w:rsid w:val="006872BA"/>
    <w:rsid w:val="00687415"/>
    <w:rsid w:val="006875A8"/>
    <w:rsid w:val="006875B8"/>
    <w:rsid w:val="00687809"/>
    <w:rsid w:val="00687819"/>
    <w:rsid w:val="006902BA"/>
    <w:rsid w:val="00690411"/>
    <w:rsid w:val="006904F7"/>
    <w:rsid w:val="00690795"/>
    <w:rsid w:val="00690821"/>
    <w:rsid w:val="00690EC7"/>
    <w:rsid w:val="00691648"/>
    <w:rsid w:val="006917D7"/>
    <w:rsid w:val="00693B40"/>
    <w:rsid w:val="0069434C"/>
    <w:rsid w:val="00694550"/>
    <w:rsid w:val="006945F7"/>
    <w:rsid w:val="006946EE"/>
    <w:rsid w:val="00694F44"/>
    <w:rsid w:val="006950E8"/>
    <w:rsid w:val="00696023"/>
    <w:rsid w:val="0069679C"/>
    <w:rsid w:val="006967A9"/>
    <w:rsid w:val="00696DF2"/>
    <w:rsid w:val="00696EF9"/>
    <w:rsid w:val="00696F51"/>
    <w:rsid w:val="006978BB"/>
    <w:rsid w:val="006979A5"/>
    <w:rsid w:val="00697FDD"/>
    <w:rsid w:val="00697FF2"/>
    <w:rsid w:val="006A0012"/>
    <w:rsid w:val="006A016F"/>
    <w:rsid w:val="006A090D"/>
    <w:rsid w:val="006A0DF7"/>
    <w:rsid w:val="006A0EEB"/>
    <w:rsid w:val="006A14A7"/>
    <w:rsid w:val="006A1523"/>
    <w:rsid w:val="006A1AC1"/>
    <w:rsid w:val="006A30DA"/>
    <w:rsid w:val="006A313F"/>
    <w:rsid w:val="006A318D"/>
    <w:rsid w:val="006A329E"/>
    <w:rsid w:val="006A3720"/>
    <w:rsid w:val="006A3DF9"/>
    <w:rsid w:val="006A4321"/>
    <w:rsid w:val="006A43D9"/>
    <w:rsid w:val="006A4400"/>
    <w:rsid w:val="006A50FF"/>
    <w:rsid w:val="006A5D4F"/>
    <w:rsid w:val="006A5D52"/>
    <w:rsid w:val="006A6461"/>
    <w:rsid w:val="006A67FE"/>
    <w:rsid w:val="006A6B99"/>
    <w:rsid w:val="006A6E44"/>
    <w:rsid w:val="006A7454"/>
    <w:rsid w:val="006A7DD3"/>
    <w:rsid w:val="006A7E5F"/>
    <w:rsid w:val="006A7EBD"/>
    <w:rsid w:val="006B0FAE"/>
    <w:rsid w:val="006B1A98"/>
    <w:rsid w:val="006B1E88"/>
    <w:rsid w:val="006B1E8E"/>
    <w:rsid w:val="006B251D"/>
    <w:rsid w:val="006B261B"/>
    <w:rsid w:val="006B2C90"/>
    <w:rsid w:val="006B31CE"/>
    <w:rsid w:val="006B35E6"/>
    <w:rsid w:val="006B4615"/>
    <w:rsid w:val="006B465A"/>
    <w:rsid w:val="006B4A24"/>
    <w:rsid w:val="006B538D"/>
    <w:rsid w:val="006B5E3A"/>
    <w:rsid w:val="006B5F2B"/>
    <w:rsid w:val="006B5F99"/>
    <w:rsid w:val="006B64C7"/>
    <w:rsid w:val="006B6DD0"/>
    <w:rsid w:val="006B7378"/>
    <w:rsid w:val="006B79D5"/>
    <w:rsid w:val="006B79F5"/>
    <w:rsid w:val="006C0399"/>
    <w:rsid w:val="006C0943"/>
    <w:rsid w:val="006C1317"/>
    <w:rsid w:val="006C14FE"/>
    <w:rsid w:val="006C1AE0"/>
    <w:rsid w:val="006C1ED6"/>
    <w:rsid w:val="006C27CF"/>
    <w:rsid w:val="006C29A0"/>
    <w:rsid w:val="006C2A8E"/>
    <w:rsid w:val="006C3233"/>
    <w:rsid w:val="006C3255"/>
    <w:rsid w:val="006C39D6"/>
    <w:rsid w:val="006C3B64"/>
    <w:rsid w:val="006C3F26"/>
    <w:rsid w:val="006C465F"/>
    <w:rsid w:val="006C4787"/>
    <w:rsid w:val="006C4B0C"/>
    <w:rsid w:val="006C4FD3"/>
    <w:rsid w:val="006C51EE"/>
    <w:rsid w:val="006C57A8"/>
    <w:rsid w:val="006C5852"/>
    <w:rsid w:val="006C5BC7"/>
    <w:rsid w:val="006C7A20"/>
    <w:rsid w:val="006D08A6"/>
    <w:rsid w:val="006D0AD5"/>
    <w:rsid w:val="006D0D17"/>
    <w:rsid w:val="006D0FF2"/>
    <w:rsid w:val="006D1DAA"/>
    <w:rsid w:val="006D21CC"/>
    <w:rsid w:val="006D238F"/>
    <w:rsid w:val="006D280D"/>
    <w:rsid w:val="006D28B6"/>
    <w:rsid w:val="006D2C2F"/>
    <w:rsid w:val="006D2D1A"/>
    <w:rsid w:val="006D2FE2"/>
    <w:rsid w:val="006D3947"/>
    <w:rsid w:val="006D3AA4"/>
    <w:rsid w:val="006D3C7D"/>
    <w:rsid w:val="006D40FC"/>
    <w:rsid w:val="006D4659"/>
    <w:rsid w:val="006D4756"/>
    <w:rsid w:val="006D5083"/>
    <w:rsid w:val="006D5D5F"/>
    <w:rsid w:val="006D5E99"/>
    <w:rsid w:val="006D6080"/>
    <w:rsid w:val="006D66B2"/>
    <w:rsid w:val="006D68FB"/>
    <w:rsid w:val="006D6F55"/>
    <w:rsid w:val="006D71A0"/>
    <w:rsid w:val="006D73EA"/>
    <w:rsid w:val="006D7D2A"/>
    <w:rsid w:val="006E045D"/>
    <w:rsid w:val="006E05B9"/>
    <w:rsid w:val="006E077B"/>
    <w:rsid w:val="006E0902"/>
    <w:rsid w:val="006E10D6"/>
    <w:rsid w:val="006E18E3"/>
    <w:rsid w:val="006E24AE"/>
    <w:rsid w:val="006E2868"/>
    <w:rsid w:val="006E313A"/>
    <w:rsid w:val="006E3329"/>
    <w:rsid w:val="006E3FA4"/>
    <w:rsid w:val="006E4396"/>
    <w:rsid w:val="006E46A5"/>
    <w:rsid w:val="006E46E7"/>
    <w:rsid w:val="006E500C"/>
    <w:rsid w:val="006E52E9"/>
    <w:rsid w:val="006E53A9"/>
    <w:rsid w:val="006E5B4D"/>
    <w:rsid w:val="006E6B76"/>
    <w:rsid w:val="006E70BF"/>
    <w:rsid w:val="006E75E7"/>
    <w:rsid w:val="006E7ACD"/>
    <w:rsid w:val="006E7C15"/>
    <w:rsid w:val="006E7F6F"/>
    <w:rsid w:val="006F00ED"/>
    <w:rsid w:val="006F029C"/>
    <w:rsid w:val="006F0D6E"/>
    <w:rsid w:val="006F1C3B"/>
    <w:rsid w:val="006F2143"/>
    <w:rsid w:val="006F23A1"/>
    <w:rsid w:val="006F29CA"/>
    <w:rsid w:val="006F2B87"/>
    <w:rsid w:val="006F2FC8"/>
    <w:rsid w:val="006F306C"/>
    <w:rsid w:val="006F31DC"/>
    <w:rsid w:val="006F33B1"/>
    <w:rsid w:val="006F439F"/>
    <w:rsid w:val="006F53BC"/>
    <w:rsid w:val="006F577F"/>
    <w:rsid w:val="006F59C9"/>
    <w:rsid w:val="006F5FCE"/>
    <w:rsid w:val="006F63A5"/>
    <w:rsid w:val="006F64AE"/>
    <w:rsid w:val="006F7412"/>
    <w:rsid w:val="007006CE"/>
    <w:rsid w:val="00700B67"/>
    <w:rsid w:val="0070142B"/>
    <w:rsid w:val="0070276E"/>
    <w:rsid w:val="007028E1"/>
    <w:rsid w:val="00702F8F"/>
    <w:rsid w:val="00703626"/>
    <w:rsid w:val="007039EF"/>
    <w:rsid w:val="00703B3D"/>
    <w:rsid w:val="00704AD3"/>
    <w:rsid w:val="0070507F"/>
    <w:rsid w:val="00705855"/>
    <w:rsid w:val="007058D0"/>
    <w:rsid w:val="00706259"/>
    <w:rsid w:val="007067E3"/>
    <w:rsid w:val="00706C6F"/>
    <w:rsid w:val="00707403"/>
    <w:rsid w:val="007074A1"/>
    <w:rsid w:val="00707615"/>
    <w:rsid w:val="007079FC"/>
    <w:rsid w:val="00710360"/>
    <w:rsid w:val="00710D32"/>
    <w:rsid w:val="00711A36"/>
    <w:rsid w:val="00712023"/>
    <w:rsid w:val="007125D3"/>
    <w:rsid w:val="00712629"/>
    <w:rsid w:val="00712A1C"/>
    <w:rsid w:val="007135E5"/>
    <w:rsid w:val="0071371C"/>
    <w:rsid w:val="00714622"/>
    <w:rsid w:val="0071480B"/>
    <w:rsid w:val="00714C26"/>
    <w:rsid w:val="0071529C"/>
    <w:rsid w:val="007153EA"/>
    <w:rsid w:val="0071586F"/>
    <w:rsid w:val="00716320"/>
    <w:rsid w:val="0071658F"/>
    <w:rsid w:val="00716AA2"/>
    <w:rsid w:val="007170DA"/>
    <w:rsid w:val="007172AD"/>
    <w:rsid w:val="00717546"/>
    <w:rsid w:val="007175DB"/>
    <w:rsid w:val="00720317"/>
    <w:rsid w:val="00720801"/>
    <w:rsid w:val="00720E95"/>
    <w:rsid w:val="00721C94"/>
    <w:rsid w:val="007224B0"/>
    <w:rsid w:val="00722673"/>
    <w:rsid w:val="00722912"/>
    <w:rsid w:val="00722B1B"/>
    <w:rsid w:val="007230ED"/>
    <w:rsid w:val="0072332D"/>
    <w:rsid w:val="00723346"/>
    <w:rsid w:val="0072357F"/>
    <w:rsid w:val="00723679"/>
    <w:rsid w:val="00723681"/>
    <w:rsid w:val="007237A5"/>
    <w:rsid w:val="0072416F"/>
    <w:rsid w:val="0072486C"/>
    <w:rsid w:val="00724C36"/>
    <w:rsid w:val="00725250"/>
    <w:rsid w:val="007259D2"/>
    <w:rsid w:val="00725AF1"/>
    <w:rsid w:val="00725E64"/>
    <w:rsid w:val="00726159"/>
    <w:rsid w:val="007266A6"/>
    <w:rsid w:val="00726FF5"/>
    <w:rsid w:val="00727C94"/>
    <w:rsid w:val="00727D7B"/>
    <w:rsid w:val="00730496"/>
    <w:rsid w:val="00730E35"/>
    <w:rsid w:val="0073134A"/>
    <w:rsid w:val="00731397"/>
    <w:rsid w:val="00731819"/>
    <w:rsid w:val="00731A8D"/>
    <w:rsid w:val="00731B0A"/>
    <w:rsid w:val="00731D14"/>
    <w:rsid w:val="00731EAE"/>
    <w:rsid w:val="007325A4"/>
    <w:rsid w:val="00733073"/>
    <w:rsid w:val="0073401D"/>
    <w:rsid w:val="00734C40"/>
    <w:rsid w:val="00734EC6"/>
    <w:rsid w:val="00735033"/>
    <w:rsid w:val="00735328"/>
    <w:rsid w:val="0073560A"/>
    <w:rsid w:val="00736612"/>
    <w:rsid w:val="0073685B"/>
    <w:rsid w:val="00736A37"/>
    <w:rsid w:val="00737AB5"/>
    <w:rsid w:val="00740038"/>
    <w:rsid w:val="0074010C"/>
    <w:rsid w:val="0074116B"/>
    <w:rsid w:val="007413B0"/>
    <w:rsid w:val="007414B0"/>
    <w:rsid w:val="007422DF"/>
    <w:rsid w:val="0074299A"/>
    <w:rsid w:val="007430A6"/>
    <w:rsid w:val="00743754"/>
    <w:rsid w:val="00743DD0"/>
    <w:rsid w:val="00743F2B"/>
    <w:rsid w:val="00744338"/>
    <w:rsid w:val="0074484C"/>
    <w:rsid w:val="007449BF"/>
    <w:rsid w:val="00745989"/>
    <w:rsid w:val="00745EFB"/>
    <w:rsid w:val="007460EB"/>
    <w:rsid w:val="00746158"/>
    <w:rsid w:val="007463BE"/>
    <w:rsid w:val="007463FE"/>
    <w:rsid w:val="00746593"/>
    <w:rsid w:val="0074666A"/>
    <w:rsid w:val="00746BC0"/>
    <w:rsid w:val="00747E0F"/>
    <w:rsid w:val="007501C5"/>
    <w:rsid w:val="00750BFD"/>
    <w:rsid w:val="00750E56"/>
    <w:rsid w:val="00750F32"/>
    <w:rsid w:val="007510B4"/>
    <w:rsid w:val="007512AE"/>
    <w:rsid w:val="00751AC7"/>
    <w:rsid w:val="00752142"/>
    <w:rsid w:val="007523F9"/>
    <w:rsid w:val="0075357E"/>
    <w:rsid w:val="00753A82"/>
    <w:rsid w:val="00753B29"/>
    <w:rsid w:val="0075484F"/>
    <w:rsid w:val="00755863"/>
    <w:rsid w:val="00756F73"/>
    <w:rsid w:val="007573E8"/>
    <w:rsid w:val="00757513"/>
    <w:rsid w:val="007601E6"/>
    <w:rsid w:val="00760487"/>
    <w:rsid w:val="00760C4E"/>
    <w:rsid w:val="00760F9E"/>
    <w:rsid w:val="007613E3"/>
    <w:rsid w:val="0076140F"/>
    <w:rsid w:val="007616E6"/>
    <w:rsid w:val="00761968"/>
    <w:rsid w:val="00762366"/>
    <w:rsid w:val="007627BA"/>
    <w:rsid w:val="007627BE"/>
    <w:rsid w:val="00762D09"/>
    <w:rsid w:val="00763142"/>
    <w:rsid w:val="00763991"/>
    <w:rsid w:val="00763BF4"/>
    <w:rsid w:val="00764981"/>
    <w:rsid w:val="00764F03"/>
    <w:rsid w:val="00765A61"/>
    <w:rsid w:val="00765AB3"/>
    <w:rsid w:val="00765B1A"/>
    <w:rsid w:val="00765C03"/>
    <w:rsid w:val="00765DC1"/>
    <w:rsid w:val="00765F3B"/>
    <w:rsid w:val="007674BC"/>
    <w:rsid w:val="0077080A"/>
    <w:rsid w:val="00770C72"/>
    <w:rsid w:val="00770E71"/>
    <w:rsid w:val="007711D1"/>
    <w:rsid w:val="007719FD"/>
    <w:rsid w:val="00772250"/>
    <w:rsid w:val="0077228B"/>
    <w:rsid w:val="00772441"/>
    <w:rsid w:val="007733B2"/>
    <w:rsid w:val="0077350E"/>
    <w:rsid w:val="007739FE"/>
    <w:rsid w:val="00773AAD"/>
    <w:rsid w:val="00773BF3"/>
    <w:rsid w:val="0077498F"/>
    <w:rsid w:val="00775B0F"/>
    <w:rsid w:val="00775C9A"/>
    <w:rsid w:val="007761D8"/>
    <w:rsid w:val="00776A29"/>
    <w:rsid w:val="00776C2D"/>
    <w:rsid w:val="0077701C"/>
    <w:rsid w:val="007771D0"/>
    <w:rsid w:val="007772A4"/>
    <w:rsid w:val="00777335"/>
    <w:rsid w:val="00777B37"/>
    <w:rsid w:val="00780189"/>
    <w:rsid w:val="007802D7"/>
    <w:rsid w:val="00780388"/>
    <w:rsid w:val="00780CCE"/>
    <w:rsid w:val="0078180A"/>
    <w:rsid w:val="00781B1F"/>
    <w:rsid w:val="007821EB"/>
    <w:rsid w:val="0078226A"/>
    <w:rsid w:val="00782AB8"/>
    <w:rsid w:val="00782F8F"/>
    <w:rsid w:val="00783050"/>
    <w:rsid w:val="00783A55"/>
    <w:rsid w:val="00783AF5"/>
    <w:rsid w:val="00783BBE"/>
    <w:rsid w:val="007840A1"/>
    <w:rsid w:val="007843F2"/>
    <w:rsid w:val="007846FA"/>
    <w:rsid w:val="00784718"/>
    <w:rsid w:val="00784B26"/>
    <w:rsid w:val="00785A9F"/>
    <w:rsid w:val="00785AD3"/>
    <w:rsid w:val="00785D89"/>
    <w:rsid w:val="00785E80"/>
    <w:rsid w:val="00786565"/>
    <w:rsid w:val="00786F87"/>
    <w:rsid w:val="0078753E"/>
    <w:rsid w:val="00787788"/>
    <w:rsid w:val="00787CA1"/>
    <w:rsid w:val="0079021F"/>
    <w:rsid w:val="007906AD"/>
    <w:rsid w:val="00790866"/>
    <w:rsid w:val="00790CBA"/>
    <w:rsid w:val="00790DFE"/>
    <w:rsid w:val="00791360"/>
    <w:rsid w:val="0079146E"/>
    <w:rsid w:val="00791723"/>
    <w:rsid w:val="0079175D"/>
    <w:rsid w:val="00791983"/>
    <w:rsid w:val="00791E21"/>
    <w:rsid w:val="007925DF"/>
    <w:rsid w:val="007928D0"/>
    <w:rsid w:val="007929C1"/>
    <w:rsid w:val="0079396E"/>
    <w:rsid w:val="00793E88"/>
    <w:rsid w:val="00793F2F"/>
    <w:rsid w:val="00795A4F"/>
    <w:rsid w:val="00796051"/>
    <w:rsid w:val="00796A52"/>
    <w:rsid w:val="00797524"/>
    <w:rsid w:val="00797CB1"/>
    <w:rsid w:val="007A08AA"/>
    <w:rsid w:val="007A0A12"/>
    <w:rsid w:val="007A0DA4"/>
    <w:rsid w:val="007A0DD8"/>
    <w:rsid w:val="007A0E89"/>
    <w:rsid w:val="007A0F03"/>
    <w:rsid w:val="007A132D"/>
    <w:rsid w:val="007A1345"/>
    <w:rsid w:val="007A23C1"/>
    <w:rsid w:val="007A2C00"/>
    <w:rsid w:val="007A2DDB"/>
    <w:rsid w:val="007A2DE3"/>
    <w:rsid w:val="007A2EF2"/>
    <w:rsid w:val="007A36DA"/>
    <w:rsid w:val="007A4008"/>
    <w:rsid w:val="007A510C"/>
    <w:rsid w:val="007A5386"/>
    <w:rsid w:val="007A593D"/>
    <w:rsid w:val="007A5D90"/>
    <w:rsid w:val="007A688C"/>
    <w:rsid w:val="007A70BA"/>
    <w:rsid w:val="007A7EA5"/>
    <w:rsid w:val="007A7EF6"/>
    <w:rsid w:val="007B00CF"/>
    <w:rsid w:val="007B09AA"/>
    <w:rsid w:val="007B0D68"/>
    <w:rsid w:val="007B10B4"/>
    <w:rsid w:val="007B159C"/>
    <w:rsid w:val="007B1C92"/>
    <w:rsid w:val="007B1E8B"/>
    <w:rsid w:val="007B251D"/>
    <w:rsid w:val="007B2949"/>
    <w:rsid w:val="007B2B34"/>
    <w:rsid w:val="007B2CC9"/>
    <w:rsid w:val="007B3533"/>
    <w:rsid w:val="007B3816"/>
    <w:rsid w:val="007B384E"/>
    <w:rsid w:val="007B39C2"/>
    <w:rsid w:val="007B48BF"/>
    <w:rsid w:val="007B4F58"/>
    <w:rsid w:val="007B528D"/>
    <w:rsid w:val="007B557B"/>
    <w:rsid w:val="007B6017"/>
    <w:rsid w:val="007B63CA"/>
    <w:rsid w:val="007B6958"/>
    <w:rsid w:val="007B6B6B"/>
    <w:rsid w:val="007B6DF4"/>
    <w:rsid w:val="007B7495"/>
    <w:rsid w:val="007B77D1"/>
    <w:rsid w:val="007B7C24"/>
    <w:rsid w:val="007C06E0"/>
    <w:rsid w:val="007C07C7"/>
    <w:rsid w:val="007C114D"/>
    <w:rsid w:val="007C1CD9"/>
    <w:rsid w:val="007C2236"/>
    <w:rsid w:val="007C24D1"/>
    <w:rsid w:val="007C2FB0"/>
    <w:rsid w:val="007C304B"/>
    <w:rsid w:val="007C3132"/>
    <w:rsid w:val="007C32EF"/>
    <w:rsid w:val="007C361D"/>
    <w:rsid w:val="007C3793"/>
    <w:rsid w:val="007C3899"/>
    <w:rsid w:val="007C4645"/>
    <w:rsid w:val="007C475F"/>
    <w:rsid w:val="007C4B84"/>
    <w:rsid w:val="007C517C"/>
    <w:rsid w:val="007C68F5"/>
    <w:rsid w:val="007C6E7D"/>
    <w:rsid w:val="007C70FF"/>
    <w:rsid w:val="007C7C25"/>
    <w:rsid w:val="007D004F"/>
    <w:rsid w:val="007D0062"/>
    <w:rsid w:val="007D035F"/>
    <w:rsid w:val="007D06B2"/>
    <w:rsid w:val="007D0A7D"/>
    <w:rsid w:val="007D0B38"/>
    <w:rsid w:val="007D0D51"/>
    <w:rsid w:val="007D16D9"/>
    <w:rsid w:val="007D1999"/>
    <w:rsid w:val="007D25F9"/>
    <w:rsid w:val="007D293F"/>
    <w:rsid w:val="007D369D"/>
    <w:rsid w:val="007D3FC3"/>
    <w:rsid w:val="007D4412"/>
    <w:rsid w:val="007D5440"/>
    <w:rsid w:val="007D57D3"/>
    <w:rsid w:val="007D5E92"/>
    <w:rsid w:val="007D601B"/>
    <w:rsid w:val="007D649B"/>
    <w:rsid w:val="007D69EB"/>
    <w:rsid w:val="007D6CBB"/>
    <w:rsid w:val="007D71C1"/>
    <w:rsid w:val="007D7391"/>
    <w:rsid w:val="007D73DE"/>
    <w:rsid w:val="007D7609"/>
    <w:rsid w:val="007E0208"/>
    <w:rsid w:val="007E0884"/>
    <w:rsid w:val="007E121F"/>
    <w:rsid w:val="007E128F"/>
    <w:rsid w:val="007E2625"/>
    <w:rsid w:val="007E2C44"/>
    <w:rsid w:val="007E3889"/>
    <w:rsid w:val="007E3A1E"/>
    <w:rsid w:val="007E43DA"/>
    <w:rsid w:val="007E461A"/>
    <w:rsid w:val="007E4B57"/>
    <w:rsid w:val="007E4E43"/>
    <w:rsid w:val="007E4FA2"/>
    <w:rsid w:val="007E5035"/>
    <w:rsid w:val="007E5205"/>
    <w:rsid w:val="007E6049"/>
    <w:rsid w:val="007E61C4"/>
    <w:rsid w:val="007E6473"/>
    <w:rsid w:val="007E653D"/>
    <w:rsid w:val="007E6ED9"/>
    <w:rsid w:val="007E70BE"/>
    <w:rsid w:val="007E71A5"/>
    <w:rsid w:val="007F0BBA"/>
    <w:rsid w:val="007F0F10"/>
    <w:rsid w:val="007F1017"/>
    <w:rsid w:val="007F177E"/>
    <w:rsid w:val="007F1A52"/>
    <w:rsid w:val="007F2142"/>
    <w:rsid w:val="007F2249"/>
    <w:rsid w:val="007F272B"/>
    <w:rsid w:val="007F2819"/>
    <w:rsid w:val="007F43BF"/>
    <w:rsid w:val="007F4485"/>
    <w:rsid w:val="007F4542"/>
    <w:rsid w:val="007F470E"/>
    <w:rsid w:val="007F4A3F"/>
    <w:rsid w:val="007F4A61"/>
    <w:rsid w:val="007F4BC5"/>
    <w:rsid w:val="007F5014"/>
    <w:rsid w:val="007F506A"/>
    <w:rsid w:val="007F50F6"/>
    <w:rsid w:val="007F5255"/>
    <w:rsid w:val="007F56CC"/>
    <w:rsid w:val="007F61C2"/>
    <w:rsid w:val="007F68C7"/>
    <w:rsid w:val="007F747B"/>
    <w:rsid w:val="007F7858"/>
    <w:rsid w:val="007F78C0"/>
    <w:rsid w:val="007F7C9E"/>
    <w:rsid w:val="008009AA"/>
    <w:rsid w:val="00800E7A"/>
    <w:rsid w:val="008014A5"/>
    <w:rsid w:val="00801EF5"/>
    <w:rsid w:val="00801F36"/>
    <w:rsid w:val="00803145"/>
    <w:rsid w:val="00803460"/>
    <w:rsid w:val="0080366B"/>
    <w:rsid w:val="00803921"/>
    <w:rsid w:val="0080443D"/>
    <w:rsid w:val="00804BF6"/>
    <w:rsid w:val="00804CBF"/>
    <w:rsid w:val="00805142"/>
    <w:rsid w:val="00805300"/>
    <w:rsid w:val="008055AE"/>
    <w:rsid w:val="0080566B"/>
    <w:rsid w:val="00805875"/>
    <w:rsid w:val="00805FCE"/>
    <w:rsid w:val="00806793"/>
    <w:rsid w:val="00806C9F"/>
    <w:rsid w:val="008073FA"/>
    <w:rsid w:val="00807A8B"/>
    <w:rsid w:val="00810287"/>
    <w:rsid w:val="008106F7"/>
    <w:rsid w:val="00810E19"/>
    <w:rsid w:val="00810FC9"/>
    <w:rsid w:val="00811383"/>
    <w:rsid w:val="00812149"/>
    <w:rsid w:val="0081215B"/>
    <w:rsid w:val="0081233A"/>
    <w:rsid w:val="008124DA"/>
    <w:rsid w:val="00812864"/>
    <w:rsid w:val="00812CAC"/>
    <w:rsid w:val="00813209"/>
    <w:rsid w:val="00813394"/>
    <w:rsid w:val="008133DF"/>
    <w:rsid w:val="0081426B"/>
    <w:rsid w:val="00814E3F"/>
    <w:rsid w:val="00815675"/>
    <w:rsid w:val="00815F27"/>
    <w:rsid w:val="00816361"/>
    <w:rsid w:val="008166EF"/>
    <w:rsid w:val="00816834"/>
    <w:rsid w:val="00816A03"/>
    <w:rsid w:val="00816C79"/>
    <w:rsid w:val="00816EA2"/>
    <w:rsid w:val="00816FEF"/>
    <w:rsid w:val="0081771B"/>
    <w:rsid w:val="00817B31"/>
    <w:rsid w:val="00817CD4"/>
    <w:rsid w:val="00817CDA"/>
    <w:rsid w:val="00820902"/>
    <w:rsid w:val="00820920"/>
    <w:rsid w:val="00820A8C"/>
    <w:rsid w:val="008210BC"/>
    <w:rsid w:val="00821188"/>
    <w:rsid w:val="008211A7"/>
    <w:rsid w:val="008214C5"/>
    <w:rsid w:val="008215AA"/>
    <w:rsid w:val="008215FB"/>
    <w:rsid w:val="008220CC"/>
    <w:rsid w:val="0082240C"/>
    <w:rsid w:val="00823174"/>
    <w:rsid w:val="00823B32"/>
    <w:rsid w:val="00823CBD"/>
    <w:rsid w:val="00823CE1"/>
    <w:rsid w:val="0082542A"/>
    <w:rsid w:val="00825751"/>
    <w:rsid w:val="008261F4"/>
    <w:rsid w:val="008264EB"/>
    <w:rsid w:val="00826549"/>
    <w:rsid w:val="008268CE"/>
    <w:rsid w:val="00826E5E"/>
    <w:rsid w:val="00827C23"/>
    <w:rsid w:val="00830436"/>
    <w:rsid w:val="008305C8"/>
    <w:rsid w:val="00831DB1"/>
    <w:rsid w:val="00831FE8"/>
    <w:rsid w:val="008323A3"/>
    <w:rsid w:val="00833977"/>
    <w:rsid w:val="00833B05"/>
    <w:rsid w:val="00833F4D"/>
    <w:rsid w:val="00834573"/>
    <w:rsid w:val="00834F68"/>
    <w:rsid w:val="008351D6"/>
    <w:rsid w:val="008352F4"/>
    <w:rsid w:val="00835360"/>
    <w:rsid w:val="008354C8"/>
    <w:rsid w:val="0083592D"/>
    <w:rsid w:val="00835A49"/>
    <w:rsid w:val="008362B4"/>
    <w:rsid w:val="0083637A"/>
    <w:rsid w:val="00836448"/>
    <w:rsid w:val="00836DB8"/>
    <w:rsid w:val="008375AC"/>
    <w:rsid w:val="00837DD2"/>
    <w:rsid w:val="0084009E"/>
    <w:rsid w:val="00840CA2"/>
    <w:rsid w:val="008412C0"/>
    <w:rsid w:val="00842470"/>
    <w:rsid w:val="008427FC"/>
    <w:rsid w:val="00842D70"/>
    <w:rsid w:val="00843201"/>
    <w:rsid w:val="0084331D"/>
    <w:rsid w:val="0084374F"/>
    <w:rsid w:val="00843BE6"/>
    <w:rsid w:val="00843C83"/>
    <w:rsid w:val="00843DE0"/>
    <w:rsid w:val="008445D3"/>
    <w:rsid w:val="00844A22"/>
    <w:rsid w:val="00844E3E"/>
    <w:rsid w:val="00844F07"/>
    <w:rsid w:val="008451C3"/>
    <w:rsid w:val="0084536C"/>
    <w:rsid w:val="0084579A"/>
    <w:rsid w:val="00845FA4"/>
    <w:rsid w:val="0084655C"/>
    <w:rsid w:val="00846918"/>
    <w:rsid w:val="00846B3F"/>
    <w:rsid w:val="00847703"/>
    <w:rsid w:val="00847764"/>
    <w:rsid w:val="00847DF5"/>
    <w:rsid w:val="008507AF"/>
    <w:rsid w:val="0085143A"/>
    <w:rsid w:val="00852B2C"/>
    <w:rsid w:val="0085309D"/>
    <w:rsid w:val="008530AD"/>
    <w:rsid w:val="00853235"/>
    <w:rsid w:val="008532C1"/>
    <w:rsid w:val="00853454"/>
    <w:rsid w:val="00853458"/>
    <w:rsid w:val="00853A57"/>
    <w:rsid w:val="00853A8F"/>
    <w:rsid w:val="00853CB4"/>
    <w:rsid w:val="008541CB"/>
    <w:rsid w:val="0085458C"/>
    <w:rsid w:val="0085467F"/>
    <w:rsid w:val="0085486D"/>
    <w:rsid w:val="00854CFB"/>
    <w:rsid w:val="0085583A"/>
    <w:rsid w:val="00855A72"/>
    <w:rsid w:val="00855CFB"/>
    <w:rsid w:val="008561FE"/>
    <w:rsid w:val="008563FA"/>
    <w:rsid w:val="00856897"/>
    <w:rsid w:val="00856E9A"/>
    <w:rsid w:val="00857DCB"/>
    <w:rsid w:val="00860552"/>
    <w:rsid w:val="0086075D"/>
    <w:rsid w:val="00860795"/>
    <w:rsid w:val="00861297"/>
    <w:rsid w:val="00861816"/>
    <w:rsid w:val="00862502"/>
    <w:rsid w:val="00862AF7"/>
    <w:rsid w:val="00862CC1"/>
    <w:rsid w:val="0086304A"/>
    <w:rsid w:val="00863465"/>
    <w:rsid w:val="00863844"/>
    <w:rsid w:val="00863F61"/>
    <w:rsid w:val="008642A7"/>
    <w:rsid w:val="008646BD"/>
    <w:rsid w:val="0086478A"/>
    <w:rsid w:val="00865B2B"/>
    <w:rsid w:val="00865BC7"/>
    <w:rsid w:val="008660D4"/>
    <w:rsid w:val="00866367"/>
    <w:rsid w:val="00866827"/>
    <w:rsid w:val="00866FE0"/>
    <w:rsid w:val="00867B34"/>
    <w:rsid w:val="00870404"/>
    <w:rsid w:val="00871375"/>
    <w:rsid w:val="0087184D"/>
    <w:rsid w:val="00871904"/>
    <w:rsid w:val="00871A35"/>
    <w:rsid w:val="00871FA9"/>
    <w:rsid w:val="008728E9"/>
    <w:rsid w:val="00872E90"/>
    <w:rsid w:val="008737D1"/>
    <w:rsid w:val="00873A0B"/>
    <w:rsid w:val="00873C94"/>
    <w:rsid w:val="00874024"/>
    <w:rsid w:val="0087411A"/>
    <w:rsid w:val="00875688"/>
    <w:rsid w:val="0087642A"/>
    <w:rsid w:val="0087647A"/>
    <w:rsid w:val="0087676E"/>
    <w:rsid w:val="008768C9"/>
    <w:rsid w:val="008804FF"/>
    <w:rsid w:val="00880C1B"/>
    <w:rsid w:val="00881392"/>
    <w:rsid w:val="00881B1B"/>
    <w:rsid w:val="008827A7"/>
    <w:rsid w:val="00882874"/>
    <w:rsid w:val="008828F7"/>
    <w:rsid w:val="00882BC4"/>
    <w:rsid w:val="00882E3C"/>
    <w:rsid w:val="0088308A"/>
    <w:rsid w:val="00883562"/>
    <w:rsid w:val="00883787"/>
    <w:rsid w:val="00883954"/>
    <w:rsid w:val="008855E4"/>
    <w:rsid w:val="00885A82"/>
    <w:rsid w:val="00886072"/>
    <w:rsid w:val="008863A9"/>
    <w:rsid w:val="00886B4B"/>
    <w:rsid w:val="00886C9F"/>
    <w:rsid w:val="00886CD2"/>
    <w:rsid w:val="00887351"/>
    <w:rsid w:val="00887411"/>
    <w:rsid w:val="008877C1"/>
    <w:rsid w:val="00887802"/>
    <w:rsid w:val="00887C15"/>
    <w:rsid w:val="00887E96"/>
    <w:rsid w:val="0089002C"/>
    <w:rsid w:val="0089048A"/>
    <w:rsid w:val="00890953"/>
    <w:rsid w:val="008909AF"/>
    <w:rsid w:val="00890B06"/>
    <w:rsid w:val="00890D79"/>
    <w:rsid w:val="008917BF"/>
    <w:rsid w:val="008917D6"/>
    <w:rsid w:val="00891D37"/>
    <w:rsid w:val="00891E6F"/>
    <w:rsid w:val="00891E82"/>
    <w:rsid w:val="00891FAB"/>
    <w:rsid w:val="008922CD"/>
    <w:rsid w:val="0089275D"/>
    <w:rsid w:val="008927F5"/>
    <w:rsid w:val="00892A36"/>
    <w:rsid w:val="00892D4A"/>
    <w:rsid w:val="00893239"/>
    <w:rsid w:val="00893A74"/>
    <w:rsid w:val="0089420E"/>
    <w:rsid w:val="00894489"/>
    <w:rsid w:val="00894919"/>
    <w:rsid w:val="00894CD6"/>
    <w:rsid w:val="008956C4"/>
    <w:rsid w:val="0089590C"/>
    <w:rsid w:val="00895B0F"/>
    <w:rsid w:val="00896063"/>
    <w:rsid w:val="008963A5"/>
    <w:rsid w:val="00896D5D"/>
    <w:rsid w:val="008972FF"/>
    <w:rsid w:val="00897A45"/>
    <w:rsid w:val="008A003A"/>
    <w:rsid w:val="008A125F"/>
    <w:rsid w:val="008A1299"/>
    <w:rsid w:val="008A13CE"/>
    <w:rsid w:val="008A2BD5"/>
    <w:rsid w:val="008A3158"/>
    <w:rsid w:val="008A3363"/>
    <w:rsid w:val="008A3371"/>
    <w:rsid w:val="008A3621"/>
    <w:rsid w:val="008A3C3E"/>
    <w:rsid w:val="008A41D3"/>
    <w:rsid w:val="008A4325"/>
    <w:rsid w:val="008A48C8"/>
    <w:rsid w:val="008A50F4"/>
    <w:rsid w:val="008A5BC5"/>
    <w:rsid w:val="008A67FF"/>
    <w:rsid w:val="008A683D"/>
    <w:rsid w:val="008A6861"/>
    <w:rsid w:val="008A69AE"/>
    <w:rsid w:val="008A6D61"/>
    <w:rsid w:val="008A79DE"/>
    <w:rsid w:val="008A7D11"/>
    <w:rsid w:val="008A7F14"/>
    <w:rsid w:val="008B0B1F"/>
    <w:rsid w:val="008B0B25"/>
    <w:rsid w:val="008B0E3B"/>
    <w:rsid w:val="008B1007"/>
    <w:rsid w:val="008B1757"/>
    <w:rsid w:val="008B1A58"/>
    <w:rsid w:val="008B1C33"/>
    <w:rsid w:val="008B1D59"/>
    <w:rsid w:val="008B2096"/>
    <w:rsid w:val="008B2452"/>
    <w:rsid w:val="008B327A"/>
    <w:rsid w:val="008B3708"/>
    <w:rsid w:val="008B39A4"/>
    <w:rsid w:val="008B48F0"/>
    <w:rsid w:val="008B49AB"/>
    <w:rsid w:val="008B4AD2"/>
    <w:rsid w:val="008B4B6F"/>
    <w:rsid w:val="008B4E28"/>
    <w:rsid w:val="008B4F5E"/>
    <w:rsid w:val="008B61E4"/>
    <w:rsid w:val="008B6C00"/>
    <w:rsid w:val="008B6C83"/>
    <w:rsid w:val="008B6F39"/>
    <w:rsid w:val="008B752C"/>
    <w:rsid w:val="008B7992"/>
    <w:rsid w:val="008B7A84"/>
    <w:rsid w:val="008B7BE9"/>
    <w:rsid w:val="008B7D7E"/>
    <w:rsid w:val="008B7E29"/>
    <w:rsid w:val="008C0272"/>
    <w:rsid w:val="008C07CB"/>
    <w:rsid w:val="008C0873"/>
    <w:rsid w:val="008C159E"/>
    <w:rsid w:val="008C18B4"/>
    <w:rsid w:val="008C1BAC"/>
    <w:rsid w:val="008C1F5C"/>
    <w:rsid w:val="008C27E6"/>
    <w:rsid w:val="008C3326"/>
    <w:rsid w:val="008C345A"/>
    <w:rsid w:val="008C3DD0"/>
    <w:rsid w:val="008C4981"/>
    <w:rsid w:val="008C4985"/>
    <w:rsid w:val="008C4B6D"/>
    <w:rsid w:val="008C4EBB"/>
    <w:rsid w:val="008C52E3"/>
    <w:rsid w:val="008C5610"/>
    <w:rsid w:val="008C5739"/>
    <w:rsid w:val="008C5BE9"/>
    <w:rsid w:val="008C6473"/>
    <w:rsid w:val="008C6677"/>
    <w:rsid w:val="008C7282"/>
    <w:rsid w:val="008C7563"/>
    <w:rsid w:val="008C7B93"/>
    <w:rsid w:val="008C7C61"/>
    <w:rsid w:val="008C7ECB"/>
    <w:rsid w:val="008D0389"/>
    <w:rsid w:val="008D069C"/>
    <w:rsid w:val="008D075B"/>
    <w:rsid w:val="008D1593"/>
    <w:rsid w:val="008D1AAA"/>
    <w:rsid w:val="008D3B86"/>
    <w:rsid w:val="008D43FD"/>
    <w:rsid w:val="008D46F9"/>
    <w:rsid w:val="008D4755"/>
    <w:rsid w:val="008D4B2C"/>
    <w:rsid w:val="008D4C3D"/>
    <w:rsid w:val="008D533A"/>
    <w:rsid w:val="008D5579"/>
    <w:rsid w:val="008D6D2B"/>
    <w:rsid w:val="008D7095"/>
    <w:rsid w:val="008D743C"/>
    <w:rsid w:val="008E0360"/>
    <w:rsid w:val="008E078C"/>
    <w:rsid w:val="008E0D3C"/>
    <w:rsid w:val="008E116F"/>
    <w:rsid w:val="008E1B9E"/>
    <w:rsid w:val="008E2F47"/>
    <w:rsid w:val="008E33B6"/>
    <w:rsid w:val="008E4677"/>
    <w:rsid w:val="008E4B53"/>
    <w:rsid w:val="008E4F49"/>
    <w:rsid w:val="008E5092"/>
    <w:rsid w:val="008E52FF"/>
    <w:rsid w:val="008E55A7"/>
    <w:rsid w:val="008E55AB"/>
    <w:rsid w:val="008E596F"/>
    <w:rsid w:val="008E66D6"/>
    <w:rsid w:val="008E6B3E"/>
    <w:rsid w:val="008E7568"/>
    <w:rsid w:val="008F0391"/>
    <w:rsid w:val="008F0823"/>
    <w:rsid w:val="008F0983"/>
    <w:rsid w:val="008F0E68"/>
    <w:rsid w:val="008F1199"/>
    <w:rsid w:val="008F120A"/>
    <w:rsid w:val="008F178A"/>
    <w:rsid w:val="008F181D"/>
    <w:rsid w:val="008F27E0"/>
    <w:rsid w:val="008F2A34"/>
    <w:rsid w:val="008F2C32"/>
    <w:rsid w:val="008F3A33"/>
    <w:rsid w:val="008F3E96"/>
    <w:rsid w:val="008F48EB"/>
    <w:rsid w:val="008F4B2E"/>
    <w:rsid w:val="008F4EA6"/>
    <w:rsid w:val="008F4F0B"/>
    <w:rsid w:val="008F51B3"/>
    <w:rsid w:val="008F5A1D"/>
    <w:rsid w:val="008F68BB"/>
    <w:rsid w:val="008F6FE5"/>
    <w:rsid w:val="008F71F4"/>
    <w:rsid w:val="008F7413"/>
    <w:rsid w:val="008F78C4"/>
    <w:rsid w:val="008F7A91"/>
    <w:rsid w:val="008F7EF4"/>
    <w:rsid w:val="0090095E"/>
    <w:rsid w:val="0090111C"/>
    <w:rsid w:val="0090184F"/>
    <w:rsid w:val="00901CB8"/>
    <w:rsid w:val="00901E9C"/>
    <w:rsid w:val="00902917"/>
    <w:rsid w:val="009030F2"/>
    <w:rsid w:val="00903C8C"/>
    <w:rsid w:val="00903F40"/>
    <w:rsid w:val="00904671"/>
    <w:rsid w:val="009046C4"/>
    <w:rsid w:val="009049B4"/>
    <w:rsid w:val="00904B8B"/>
    <w:rsid w:val="00904C27"/>
    <w:rsid w:val="00904DBD"/>
    <w:rsid w:val="0090549C"/>
    <w:rsid w:val="00905791"/>
    <w:rsid w:val="009062A5"/>
    <w:rsid w:val="009065BB"/>
    <w:rsid w:val="00906715"/>
    <w:rsid w:val="009067F5"/>
    <w:rsid w:val="009071EB"/>
    <w:rsid w:val="00907699"/>
    <w:rsid w:val="009104FE"/>
    <w:rsid w:val="009105E6"/>
    <w:rsid w:val="00910FA7"/>
    <w:rsid w:val="00911272"/>
    <w:rsid w:val="00911339"/>
    <w:rsid w:val="00911FF8"/>
    <w:rsid w:val="00912362"/>
    <w:rsid w:val="00912C8D"/>
    <w:rsid w:val="009135D6"/>
    <w:rsid w:val="00913A9B"/>
    <w:rsid w:val="00914286"/>
    <w:rsid w:val="0091467A"/>
    <w:rsid w:val="009146E0"/>
    <w:rsid w:val="00914C77"/>
    <w:rsid w:val="00914E74"/>
    <w:rsid w:val="00914F03"/>
    <w:rsid w:val="009153F0"/>
    <w:rsid w:val="00916224"/>
    <w:rsid w:val="009163FC"/>
    <w:rsid w:val="009166D4"/>
    <w:rsid w:val="00916C1F"/>
    <w:rsid w:val="00917625"/>
    <w:rsid w:val="00917634"/>
    <w:rsid w:val="009178FC"/>
    <w:rsid w:val="00917FA1"/>
    <w:rsid w:val="009213D5"/>
    <w:rsid w:val="009218F1"/>
    <w:rsid w:val="00921ACB"/>
    <w:rsid w:val="00921CD8"/>
    <w:rsid w:val="00921EC0"/>
    <w:rsid w:val="0092227D"/>
    <w:rsid w:val="00922576"/>
    <w:rsid w:val="00922DB3"/>
    <w:rsid w:val="009232C0"/>
    <w:rsid w:val="0092369B"/>
    <w:rsid w:val="00923DD3"/>
    <w:rsid w:val="00923E41"/>
    <w:rsid w:val="0092419B"/>
    <w:rsid w:val="00924538"/>
    <w:rsid w:val="009249E8"/>
    <w:rsid w:val="00924A35"/>
    <w:rsid w:val="00925D51"/>
    <w:rsid w:val="00926075"/>
    <w:rsid w:val="00927C21"/>
    <w:rsid w:val="00927D3C"/>
    <w:rsid w:val="00930770"/>
    <w:rsid w:val="00930A46"/>
    <w:rsid w:val="009317FF"/>
    <w:rsid w:val="00931C44"/>
    <w:rsid w:val="009321DF"/>
    <w:rsid w:val="00932447"/>
    <w:rsid w:val="00932463"/>
    <w:rsid w:val="009330C4"/>
    <w:rsid w:val="0093464E"/>
    <w:rsid w:val="009346A9"/>
    <w:rsid w:val="0093490A"/>
    <w:rsid w:val="00934988"/>
    <w:rsid w:val="00934A38"/>
    <w:rsid w:val="00935589"/>
    <w:rsid w:val="0093566E"/>
    <w:rsid w:val="00935CFB"/>
    <w:rsid w:val="00936BF1"/>
    <w:rsid w:val="00936D78"/>
    <w:rsid w:val="00937089"/>
    <w:rsid w:val="00937211"/>
    <w:rsid w:val="009372FF"/>
    <w:rsid w:val="009376D9"/>
    <w:rsid w:val="00937E18"/>
    <w:rsid w:val="0094058A"/>
    <w:rsid w:val="00940AE0"/>
    <w:rsid w:val="00940C72"/>
    <w:rsid w:val="00940D6E"/>
    <w:rsid w:val="00941288"/>
    <w:rsid w:val="009413C2"/>
    <w:rsid w:val="00941A6B"/>
    <w:rsid w:val="00941D96"/>
    <w:rsid w:val="0094234F"/>
    <w:rsid w:val="0094256A"/>
    <w:rsid w:val="00942BEB"/>
    <w:rsid w:val="00943646"/>
    <w:rsid w:val="00943836"/>
    <w:rsid w:val="009439F3"/>
    <w:rsid w:val="00944F8A"/>
    <w:rsid w:val="009458C5"/>
    <w:rsid w:val="0094619C"/>
    <w:rsid w:val="00947004"/>
    <w:rsid w:val="00947283"/>
    <w:rsid w:val="00947648"/>
    <w:rsid w:val="00947A70"/>
    <w:rsid w:val="00947EFB"/>
    <w:rsid w:val="00950357"/>
    <w:rsid w:val="00950694"/>
    <w:rsid w:val="009510A2"/>
    <w:rsid w:val="009511CF"/>
    <w:rsid w:val="009513ED"/>
    <w:rsid w:val="009528E9"/>
    <w:rsid w:val="00952B32"/>
    <w:rsid w:val="00953257"/>
    <w:rsid w:val="00953B50"/>
    <w:rsid w:val="00954086"/>
    <w:rsid w:val="0095474C"/>
    <w:rsid w:val="00954A85"/>
    <w:rsid w:val="00955FB4"/>
    <w:rsid w:val="009560E4"/>
    <w:rsid w:val="0095610C"/>
    <w:rsid w:val="0095752C"/>
    <w:rsid w:val="009577E9"/>
    <w:rsid w:val="00957D92"/>
    <w:rsid w:val="009604AF"/>
    <w:rsid w:val="009610DA"/>
    <w:rsid w:val="009619E1"/>
    <w:rsid w:val="00961A4B"/>
    <w:rsid w:val="00962366"/>
    <w:rsid w:val="00962415"/>
    <w:rsid w:val="00962562"/>
    <w:rsid w:val="009626ED"/>
    <w:rsid w:val="009628DD"/>
    <w:rsid w:val="00962BA6"/>
    <w:rsid w:val="00962CB9"/>
    <w:rsid w:val="00962F38"/>
    <w:rsid w:val="00963146"/>
    <w:rsid w:val="009642C9"/>
    <w:rsid w:val="00964312"/>
    <w:rsid w:val="00964568"/>
    <w:rsid w:val="00964CAC"/>
    <w:rsid w:val="00965326"/>
    <w:rsid w:val="00965700"/>
    <w:rsid w:val="00965B8A"/>
    <w:rsid w:val="00965CDA"/>
    <w:rsid w:val="00965DF5"/>
    <w:rsid w:val="00967156"/>
    <w:rsid w:val="009674B3"/>
    <w:rsid w:val="00967918"/>
    <w:rsid w:val="009704AD"/>
    <w:rsid w:val="0097071F"/>
    <w:rsid w:val="00970BDE"/>
    <w:rsid w:val="009717AC"/>
    <w:rsid w:val="00971A4D"/>
    <w:rsid w:val="00971BC3"/>
    <w:rsid w:val="00971C55"/>
    <w:rsid w:val="00971E15"/>
    <w:rsid w:val="00972592"/>
    <w:rsid w:val="009727D1"/>
    <w:rsid w:val="00972959"/>
    <w:rsid w:val="009736B1"/>
    <w:rsid w:val="0097397C"/>
    <w:rsid w:val="009746EE"/>
    <w:rsid w:val="00974AA1"/>
    <w:rsid w:val="00974BBA"/>
    <w:rsid w:val="009751C1"/>
    <w:rsid w:val="00975269"/>
    <w:rsid w:val="009753F8"/>
    <w:rsid w:val="00975444"/>
    <w:rsid w:val="009758B1"/>
    <w:rsid w:val="00975A2F"/>
    <w:rsid w:val="00975DCF"/>
    <w:rsid w:val="009768E9"/>
    <w:rsid w:val="009773F0"/>
    <w:rsid w:val="00977C45"/>
    <w:rsid w:val="009807E0"/>
    <w:rsid w:val="009811F1"/>
    <w:rsid w:val="00981400"/>
    <w:rsid w:val="00981D9F"/>
    <w:rsid w:val="00982449"/>
    <w:rsid w:val="0098262F"/>
    <w:rsid w:val="0098356F"/>
    <w:rsid w:val="00983E57"/>
    <w:rsid w:val="009847B2"/>
    <w:rsid w:val="00985062"/>
    <w:rsid w:val="00985250"/>
    <w:rsid w:val="00985DE2"/>
    <w:rsid w:val="009862B4"/>
    <w:rsid w:val="0098675D"/>
    <w:rsid w:val="0098690B"/>
    <w:rsid w:val="00986AD5"/>
    <w:rsid w:val="00986D11"/>
    <w:rsid w:val="00987871"/>
    <w:rsid w:val="00987BA4"/>
    <w:rsid w:val="00987D45"/>
    <w:rsid w:val="009901D7"/>
    <w:rsid w:val="00990230"/>
    <w:rsid w:val="009902BA"/>
    <w:rsid w:val="0099063F"/>
    <w:rsid w:val="009907E9"/>
    <w:rsid w:val="00990DB2"/>
    <w:rsid w:val="0099178F"/>
    <w:rsid w:val="009926E0"/>
    <w:rsid w:val="00992EC8"/>
    <w:rsid w:val="00992F92"/>
    <w:rsid w:val="0099451E"/>
    <w:rsid w:val="00994985"/>
    <w:rsid w:val="009956D3"/>
    <w:rsid w:val="0099596B"/>
    <w:rsid w:val="00996230"/>
    <w:rsid w:val="0099641D"/>
    <w:rsid w:val="0099693E"/>
    <w:rsid w:val="00996B1A"/>
    <w:rsid w:val="00997302"/>
    <w:rsid w:val="0099731F"/>
    <w:rsid w:val="00997370"/>
    <w:rsid w:val="00997A0F"/>
    <w:rsid w:val="00997B6C"/>
    <w:rsid w:val="009A0797"/>
    <w:rsid w:val="009A0E1C"/>
    <w:rsid w:val="009A18F6"/>
    <w:rsid w:val="009A1C7C"/>
    <w:rsid w:val="009A22DF"/>
    <w:rsid w:val="009A2342"/>
    <w:rsid w:val="009A29F0"/>
    <w:rsid w:val="009A2DCC"/>
    <w:rsid w:val="009A40DA"/>
    <w:rsid w:val="009A41C5"/>
    <w:rsid w:val="009A5209"/>
    <w:rsid w:val="009A5ABC"/>
    <w:rsid w:val="009A5C22"/>
    <w:rsid w:val="009A64FE"/>
    <w:rsid w:val="009A673D"/>
    <w:rsid w:val="009A6BB1"/>
    <w:rsid w:val="009A7524"/>
    <w:rsid w:val="009A78C5"/>
    <w:rsid w:val="009A7F10"/>
    <w:rsid w:val="009B0873"/>
    <w:rsid w:val="009B12A5"/>
    <w:rsid w:val="009B1381"/>
    <w:rsid w:val="009B145C"/>
    <w:rsid w:val="009B2688"/>
    <w:rsid w:val="009B3351"/>
    <w:rsid w:val="009B37AF"/>
    <w:rsid w:val="009B380C"/>
    <w:rsid w:val="009B3816"/>
    <w:rsid w:val="009B3E26"/>
    <w:rsid w:val="009B3FCE"/>
    <w:rsid w:val="009B4747"/>
    <w:rsid w:val="009B4936"/>
    <w:rsid w:val="009B4E3F"/>
    <w:rsid w:val="009B50FE"/>
    <w:rsid w:val="009B5CFD"/>
    <w:rsid w:val="009B5D4C"/>
    <w:rsid w:val="009B60A6"/>
    <w:rsid w:val="009B6B2A"/>
    <w:rsid w:val="009B722B"/>
    <w:rsid w:val="009B7861"/>
    <w:rsid w:val="009B7AFF"/>
    <w:rsid w:val="009C09B3"/>
    <w:rsid w:val="009C1271"/>
    <w:rsid w:val="009C1942"/>
    <w:rsid w:val="009C1C78"/>
    <w:rsid w:val="009C258C"/>
    <w:rsid w:val="009C3015"/>
    <w:rsid w:val="009C33C4"/>
    <w:rsid w:val="009C3706"/>
    <w:rsid w:val="009C3A3A"/>
    <w:rsid w:val="009C3D68"/>
    <w:rsid w:val="009C41D4"/>
    <w:rsid w:val="009C426B"/>
    <w:rsid w:val="009C42FF"/>
    <w:rsid w:val="009C58D3"/>
    <w:rsid w:val="009C5BCE"/>
    <w:rsid w:val="009C6294"/>
    <w:rsid w:val="009C6C70"/>
    <w:rsid w:val="009C6CEA"/>
    <w:rsid w:val="009C7205"/>
    <w:rsid w:val="009C74BF"/>
    <w:rsid w:val="009C7B85"/>
    <w:rsid w:val="009D0254"/>
    <w:rsid w:val="009D0DA9"/>
    <w:rsid w:val="009D1A64"/>
    <w:rsid w:val="009D24F3"/>
    <w:rsid w:val="009D2717"/>
    <w:rsid w:val="009D27C6"/>
    <w:rsid w:val="009D2C8E"/>
    <w:rsid w:val="009D3821"/>
    <w:rsid w:val="009D3C5F"/>
    <w:rsid w:val="009D5A78"/>
    <w:rsid w:val="009D5B91"/>
    <w:rsid w:val="009D60EC"/>
    <w:rsid w:val="009D646B"/>
    <w:rsid w:val="009D792E"/>
    <w:rsid w:val="009E01C1"/>
    <w:rsid w:val="009E0A33"/>
    <w:rsid w:val="009E0DFE"/>
    <w:rsid w:val="009E1E75"/>
    <w:rsid w:val="009E25D9"/>
    <w:rsid w:val="009E2DE5"/>
    <w:rsid w:val="009E31F6"/>
    <w:rsid w:val="009E3294"/>
    <w:rsid w:val="009E3731"/>
    <w:rsid w:val="009E37BD"/>
    <w:rsid w:val="009E489F"/>
    <w:rsid w:val="009E4A2C"/>
    <w:rsid w:val="009E4C07"/>
    <w:rsid w:val="009E4DE7"/>
    <w:rsid w:val="009E545A"/>
    <w:rsid w:val="009E59C7"/>
    <w:rsid w:val="009E5A02"/>
    <w:rsid w:val="009E5A8A"/>
    <w:rsid w:val="009E5D12"/>
    <w:rsid w:val="009E5D77"/>
    <w:rsid w:val="009E5F09"/>
    <w:rsid w:val="009E777F"/>
    <w:rsid w:val="009E7846"/>
    <w:rsid w:val="009E7F7E"/>
    <w:rsid w:val="009F047A"/>
    <w:rsid w:val="009F05CE"/>
    <w:rsid w:val="009F15EE"/>
    <w:rsid w:val="009F1A7E"/>
    <w:rsid w:val="009F3094"/>
    <w:rsid w:val="009F34CE"/>
    <w:rsid w:val="009F3890"/>
    <w:rsid w:val="009F3ACA"/>
    <w:rsid w:val="009F3E20"/>
    <w:rsid w:val="009F484D"/>
    <w:rsid w:val="009F58A5"/>
    <w:rsid w:val="009F6095"/>
    <w:rsid w:val="009F60A2"/>
    <w:rsid w:val="009F6120"/>
    <w:rsid w:val="009F61B2"/>
    <w:rsid w:val="009F67D5"/>
    <w:rsid w:val="009F6B66"/>
    <w:rsid w:val="00A001AB"/>
    <w:rsid w:val="00A00683"/>
    <w:rsid w:val="00A00D76"/>
    <w:rsid w:val="00A01184"/>
    <w:rsid w:val="00A01449"/>
    <w:rsid w:val="00A01E22"/>
    <w:rsid w:val="00A02124"/>
    <w:rsid w:val="00A02170"/>
    <w:rsid w:val="00A0264C"/>
    <w:rsid w:val="00A02E05"/>
    <w:rsid w:val="00A02E73"/>
    <w:rsid w:val="00A037C2"/>
    <w:rsid w:val="00A037DE"/>
    <w:rsid w:val="00A03D43"/>
    <w:rsid w:val="00A03DEB"/>
    <w:rsid w:val="00A04131"/>
    <w:rsid w:val="00A04380"/>
    <w:rsid w:val="00A04786"/>
    <w:rsid w:val="00A0493F"/>
    <w:rsid w:val="00A05472"/>
    <w:rsid w:val="00A05A12"/>
    <w:rsid w:val="00A05B95"/>
    <w:rsid w:val="00A05C1C"/>
    <w:rsid w:val="00A05C32"/>
    <w:rsid w:val="00A05C72"/>
    <w:rsid w:val="00A0653F"/>
    <w:rsid w:val="00A07169"/>
    <w:rsid w:val="00A101B2"/>
    <w:rsid w:val="00A10D8F"/>
    <w:rsid w:val="00A11CD0"/>
    <w:rsid w:val="00A12D28"/>
    <w:rsid w:val="00A13948"/>
    <w:rsid w:val="00A14E1E"/>
    <w:rsid w:val="00A14F3E"/>
    <w:rsid w:val="00A15329"/>
    <w:rsid w:val="00A1544B"/>
    <w:rsid w:val="00A1555B"/>
    <w:rsid w:val="00A155C5"/>
    <w:rsid w:val="00A15CE5"/>
    <w:rsid w:val="00A162A3"/>
    <w:rsid w:val="00A1630D"/>
    <w:rsid w:val="00A1687B"/>
    <w:rsid w:val="00A16AD8"/>
    <w:rsid w:val="00A170C1"/>
    <w:rsid w:val="00A17F70"/>
    <w:rsid w:val="00A2021E"/>
    <w:rsid w:val="00A20A89"/>
    <w:rsid w:val="00A2103D"/>
    <w:rsid w:val="00A21276"/>
    <w:rsid w:val="00A214F7"/>
    <w:rsid w:val="00A21BB2"/>
    <w:rsid w:val="00A21C95"/>
    <w:rsid w:val="00A21CF3"/>
    <w:rsid w:val="00A2259E"/>
    <w:rsid w:val="00A22865"/>
    <w:rsid w:val="00A229DE"/>
    <w:rsid w:val="00A22A12"/>
    <w:rsid w:val="00A23547"/>
    <w:rsid w:val="00A24813"/>
    <w:rsid w:val="00A250C5"/>
    <w:rsid w:val="00A25235"/>
    <w:rsid w:val="00A258F0"/>
    <w:rsid w:val="00A268E8"/>
    <w:rsid w:val="00A26FA6"/>
    <w:rsid w:val="00A277E5"/>
    <w:rsid w:val="00A27AE6"/>
    <w:rsid w:val="00A27AEC"/>
    <w:rsid w:val="00A30132"/>
    <w:rsid w:val="00A304C9"/>
    <w:rsid w:val="00A30540"/>
    <w:rsid w:val="00A30B8F"/>
    <w:rsid w:val="00A31BF0"/>
    <w:rsid w:val="00A31CC0"/>
    <w:rsid w:val="00A31E80"/>
    <w:rsid w:val="00A320DB"/>
    <w:rsid w:val="00A323D9"/>
    <w:rsid w:val="00A32473"/>
    <w:rsid w:val="00A32A3A"/>
    <w:rsid w:val="00A334FB"/>
    <w:rsid w:val="00A341E8"/>
    <w:rsid w:val="00A342A4"/>
    <w:rsid w:val="00A346E6"/>
    <w:rsid w:val="00A34900"/>
    <w:rsid w:val="00A35D16"/>
    <w:rsid w:val="00A35E21"/>
    <w:rsid w:val="00A35F67"/>
    <w:rsid w:val="00A365B2"/>
    <w:rsid w:val="00A36E4F"/>
    <w:rsid w:val="00A36F82"/>
    <w:rsid w:val="00A379E7"/>
    <w:rsid w:val="00A37BCD"/>
    <w:rsid w:val="00A4157A"/>
    <w:rsid w:val="00A41689"/>
    <w:rsid w:val="00A41710"/>
    <w:rsid w:val="00A41C30"/>
    <w:rsid w:val="00A42592"/>
    <w:rsid w:val="00A426DC"/>
    <w:rsid w:val="00A429BB"/>
    <w:rsid w:val="00A434E5"/>
    <w:rsid w:val="00A43C59"/>
    <w:rsid w:val="00A44C39"/>
    <w:rsid w:val="00A44F65"/>
    <w:rsid w:val="00A451C7"/>
    <w:rsid w:val="00A454A7"/>
    <w:rsid w:val="00A4596F"/>
    <w:rsid w:val="00A46416"/>
    <w:rsid w:val="00A46C12"/>
    <w:rsid w:val="00A46D1B"/>
    <w:rsid w:val="00A47CF6"/>
    <w:rsid w:val="00A5027D"/>
    <w:rsid w:val="00A50363"/>
    <w:rsid w:val="00A50ECD"/>
    <w:rsid w:val="00A513D4"/>
    <w:rsid w:val="00A51618"/>
    <w:rsid w:val="00A518F3"/>
    <w:rsid w:val="00A52729"/>
    <w:rsid w:val="00A527BE"/>
    <w:rsid w:val="00A52AB2"/>
    <w:rsid w:val="00A5338E"/>
    <w:rsid w:val="00A5339F"/>
    <w:rsid w:val="00A53675"/>
    <w:rsid w:val="00A5420A"/>
    <w:rsid w:val="00A54620"/>
    <w:rsid w:val="00A54E6A"/>
    <w:rsid w:val="00A555CA"/>
    <w:rsid w:val="00A55BA4"/>
    <w:rsid w:val="00A561B8"/>
    <w:rsid w:val="00A561C8"/>
    <w:rsid w:val="00A564D7"/>
    <w:rsid w:val="00A56B6A"/>
    <w:rsid w:val="00A57056"/>
    <w:rsid w:val="00A57387"/>
    <w:rsid w:val="00A57838"/>
    <w:rsid w:val="00A578DC"/>
    <w:rsid w:val="00A57AF1"/>
    <w:rsid w:val="00A57E2C"/>
    <w:rsid w:val="00A601C8"/>
    <w:rsid w:val="00A60DFD"/>
    <w:rsid w:val="00A60E09"/>
    <w:rsid w:val="00A60F1B"/>
    <w:rsid w:val="00A6112E"/>
    <w:rsid w:val="00A6136B"/>
    <w:rsid w:val="00A6189B"/>
    <w:rsid w:val="00A6229D"/>
    <w:rsid w:val="00A623DA"/>
    <w:rsid w:val="00A627BB"/>
    <w:rsid w:val="00A62C0F"/>
    <w:rsid w:val="00A640E2"/>
    <w:rsid w:val="00A64D65"/>
    <w:rsid w:val="00A64EBB"/>
    <w:rsid w:val="00A65347"/>
    <w:rsid w:val="00A65388"/>
    <w:rsid w:val="00A6602A"/>
    <w:rsid w:val="00A666BC"/>
    <w:rsid w:val="00A66CD2"/>
    <w:rsid w:val="00A66CD4"/>
    <w:rsid w:val="00A670FB"/>
    <w:rsid w:val="00A6725B"/>
    <w:rsid w:val="00A676D6"/>
    <w:rsid w:val="00A67739"/>
    <w:rsid w:val="00A67931"/>
    <w:rsid w:val="00A67C35"/>
    <w:rsid w:val="00A67FC8"/>
    <w:rsid w:val="00A705CF"/>
    <w:rsid w:val="00A70605"/>
    <w:rsid w:val="00A71B0F"/>
    <w:rsid w:val="00A722CD"/>
    <w:rsid w:val="00A72F6C"/>
    <w:rsid w:val="00A73134"/>
    <w:rsid w:val="00A7365A"/>
    <w:rsid w:val="00A74354"/>
    <w:rsid w:val="00A750C6"/>
    <w:rsid w:val="00A75127"/>
    <w:rsid w:val="00A755D7"/>
    <w:rsid w:val="00A76001"/>
    <w:rsid w:val="00A761BC"/>
    <w:rsid w:val="00A76336"/>
    <w:rsid w:val="00A763EE"/>
    <w:rsid w:val="00A767A3"/>
    <w:rsid w:val="00A7695C"/>
    <w:rsid w:val="00A76BC3"/>
    <w:rsid w:val="00A76F38"/>
    <w:rsid w:val="00A7756F"/>
    <w:rsid w:val="00A7773B"/>
    <w:rsid w:val="00A777B2"/>
    <w:rsid w:val="00A77870"/>
    <w:rsid w:val="00A779BC"/>
    <w:rsid w:val="00A77C3E"/>
    <w:rsid w:val="00A77F23"/>
    <w:rsid w:val="00A807AA"/>
    <w:rsid w:val="00A80F1E"/>
    <w:rsid w:val="00A817B6"/>
    <w:rsid w:val="00A81A00"/>
    <w:rsid w:val="00A81AE8"/>
    <w:rsid w:val="00A81EB1"/>
    <w:rsid w:val="00A825D4"/>
    <w:rsid w:val="00A828F6"/>
    <w:rsid w:val="00A82938"/>
    <w:rsid w:val="00A82B73"/>
    <w:rsid w:val="00A82C8D"/>
    <w:rsid w:val="00A82E3C"/>
    <w:rsid w:val="00A837AA"/>
    <w:rsid w:val="00A83C47"/>
    <w:rsid w:val="00A8421A"/>
    <w:rsid w:val="00A84353"/>
    <w:rsid w:val="00A85A7B"/>
    <w:rsid w:val="00A85B98"/>
    <w:rsid w:val="00A86547"/>
    <w:rsid w:val="00A86E8B"/>
    <w:rsid w:val="00A86F8F"/>
    <w:rsid w:val="00A87164"/>
    <w:rsid w:val="00A871A9"/>
    <w:rsid w:val="00A87862"/>
    <w:rsid w:val="00A9058B"/>
    <w:rsid w:val="00A90DB6"/>
    <w:rsid w:val="00A928A7"/>
    <w:rsid w:val="00A92ADC"/>
    <w:rsid w:val="00A93072"/>
    <w:rsid w:val="00A938BD"/>
    <w:rsid w:val="00A9394B"/>
    <w:rsid w:val="00A93953"/>
    <w:rsid w:val="00A943A0"/>
    <w:rsid w:val="00A9473D"/>
    <w:rsid w:val="00A9474A"/>
    <w:rsid w:val="00A94A7F"/>
    <w:rsid w:val="00A954A0"/>
    <w:rsid w:val="00A959D8"/>
    <w:rsid w:val="00A9606E"/>
    <w:rsid w:val="00A97F4C"/>
    <w:rsid w:val="00AA0369"/>
    <w:rsid w:val="00AA037E"/>
    <w:rsid w:val="00AA0C2A"/>
    <w:rsid w:val="00AA0CDC"/>
    <w:rsid w:val="00AA113D"/>
    <w:rsid w:val="00AA1515"/>
    <w:rsid w:val="00AA1632"/>
    <w:rsid w:val="00AA18DB"/>
    <w:rsid w:val="00AA1E2C"/>
    <w:rsid w:val="00AA21CE"/>
    <w:rsid w:val="00AA2F83"/>
    <w:rsid w:val="00AA3516"/>
    <w:rsid w:val="00AA467F"/>
    <w:rsid w:val="00AA5EE9"/>
    <w:rsid w:val="00AA6BD5"/>
    <w:rsid w:val="00AA6BD8"/>
    <w:rsid w:val="00AA6C7D"/>
    <w:rsid w:val="00AA6F36"/>
    <w:rsid w:val="00AA7400"/>
    <w:rsid w:val="00AA7900"/>
    <w:rsid w:val="00AA7FD6"/>
    <w:rsid w:val="00AB0224"/>
    <w:rsid w:val="00AB042A"/>
    <w:rsid w:val="00AB0973"/>
    <w:rsid w:val="00AB11AD"/>
    <w:rsid w:val="00AB19EF"/>
    <w:rsid w:val="00AB2495"/>
    <w:rsid w:val="00AB2D34"/>
    <w:rsid w:val="00AB2F8A"/>
    <w:rsid w:val="00AB2FD5"/>
    <w:rsid w:val="00AB30D3"/>
    <w:rsid w:val="00AB31C4"/>
    <w:rsid w:val="00AB3430"/>
    <w:rsid w:val="00AB3613"/>
    <w:rsid w:val="00AB37B9"/>
    <w:rsid w:val="00AB407D"/>
    <w:rsid w:val="00AB4301"/>
    <w:rsid w:val="00AB4AD1"/>
    <w:rsid w:val="00AB5055"/>
    <w:rsid w:val="00AB58FF"/>
    <w:rsid w:val="00AB5D3D"/>
    <w:rsid w:val="00AB5D8E"/>
    <w:rsid w:val="00AB5E07"/>
    <w:rsid w:val="00AB6C0F"/>
    <w:rsid w:val="00AB6E98"/>
    <w:rsid w:val="00AB71B0"/>
    <w:rsid w:val="00AB73E8"/>
    <w:rsid w:val="00AB75A0"/>
    <w:rsid w:val="00AB7698"/>
    <w:rsid w:val="00AB7CFA"/>
    <w:rsid w:val="00AB7D02"/>
    <w:rsid w:val="00AC030D"/>
    <w:rsid w:val="00AC057F"/>
    <w:rsid w:val="00AC192A"/>
    <w:rsid w:val="00AC1F78"/>
    <w:rsid w:val="00AC2C08"/>
    <w:rsid w:val="00AC2DB9"/>
    <w:rsid w:val="00AC3E60"/>
    <w:rsid w:val="00AC4365"/>
    <w:rsid w:val="00AC530B"/>
    <w:rsid w:val="00AC5694"/>
    <w:rsid w:val="00AC5B42"/>
    <w:rsid w:val="00AC5B48"/>
    <w:rsid w:val="00AC5BCC"/>
    <w:rsid w:val="00AC5CBB"/>
    <w:rsid w:val="00AC6A70"/>
    <w:rsid w:val="00AC6C16"/>
    <w:rsid w:val="00AC7B4A"/>
    <w:rsid w:val="00AC7D0A"/>
    <w:rsid w:val="00AD05AD"/>
    <w:rsid w:val="00AD1336"/>
    <w:rsid w:val="00AD1450"/>
    <w:rsid w:val="00AD15E8"/>
    <w:rsid w:val="00AD19D0"/>
    <w:rsid w:val="00AD206B"/>
    <w:rsid w:val="00AD30B8"/>
    <w:rsid w:val="00AD3452"/>
    <w:rsid w:val="00AD356D"/>
    <w:rsid w:val="00AD4BE3"/>
    <w:rsid w:val="00AD4F45"/>
    <w:rsid w:val="00AD5577"/>
    <w:rsid w:val="00AD594A"/>
    <w:rsid w:val="00AD6263"/>
    <w:rsid w:val="00AD6502"/>
    <w:rsid w:val="00AD6C6E"/>
    <w:rsid w:val="00AD7058"/>
    <w:rsid w:val="00AD7281"/>
    <w:rsid w:val="00AD7698"/>
    <w:rsid w:val="00AD7B5C"/>
    <w:rsid w:val="00AE0695"/>
    <w:rsid w:val="00AE1221"/>
    <w:rsid w:val="00AE147E"/>
    <w:rsid w:val="00AE1DC3"/>
    <w:rsid w:val="00AE2848"/>
    <w:rsid w:val="00AE2D57"/>
    <w:rsid w:val="00AE3CA8"/>
    <w:rsid w:val="00AE3E7E"/>
    <w:rsid w:val="00AE4923"/>
    <w:rsid w:val="00AE4AA2"/>
    <w:rsid w:val="00AE4C79"/>
    <w:rsid w:val="00AE4D46"/>
    <w:rsid w:val="00AE54A0"/>
    <w:rsid w:val="00AE5760"/>
    <w:rsid w:val="00AE5D98"/>
    <w:rsid w:val="00AE5FE0"/>
    <w:rsid w:val="00AE71CB"/>
    <w:rsid w:val="00AE73E7"/>
    <w:rsid w:val="00AE7483"/>
    <w:rsid w:val="00AE76A5"/>
    <w:rsid w:val="00AE7965"/>
    <w:rsid w:val="00AE7DB9"/>
    <w:rsid w:val="00AE7E53"/>
    <w:rsid w:val="00AE7E66"/>
    <w:rsid w:val="00AF00AC"/>
    <w:rsid w:val="00AF072B"/>
    <w:rsid w:val="00AF1309"/>
    <w:rsid w:val="00AF1315"/>
    <w:rsid w:val="00AF13F7"/>
    <w:rsid w:val="00AF16E3"/>
    <w:rsid w:val="00AF19BF"/>
    <w:rsid w:val="00AF1A20"/>
    <w:rsid w:val="00AF1CBB"/>
    <w:rsid w:val="00AF214A"/>
    <w:rsid w:val="00AF2AF7"/>
    <w:rsid w:val="00AF2DC3"/>
    <w:rsid w:val="00AF2FB2"/>
    <w:rsid w:val="00AF3306"/>
    <w:rsid w:val="00AF3963"/>
    <w:rsid w:val="00AF3EB7"/>
    <w:rsid w:val="00AF4E40"/>
    <w:rsid w:val="00AF513A"/>
    <w:rsid w:val="00AF51EF"/>
    <w:rsid w:val="00AF587A"/>
    <w:rsid w:val="00AF5CCB"/>
    <w:rsid w:val="00AF717A"/>
    <w:rsid w:val="00AF7413"/>
    <w:rsid w:val="00AF7B2A"/>
    <w:rsid w:val="00B00558"/>
    <w:rsid w:val="00B0092E"/>
    <w:rsid w:val="00B00C91"/>
    <w:rsid w:val="00B0163C"/>
    <w:rsid w:val="00B024D2"/>
    <w:rsid w:val="00B02F84"/>
    <w:rsid w:val="00B030C5"/>
    <w:rsid w:val="00B033E5"/>
    <w:rsid w:val="00B03A63"/>
    <w:rsid w:val="00B03DD3"/>
    <w:rsid w:val="00B05878"/>
    <w:rsid w:val="00B066F8"/>
    <w:rsid w:val="00B06806"/>
    <w:rsid w:val="00B06B8D"/>
    <w:rsid w:val="00B06C5F"/>
    <w:rsid w:val="00B0780B"/>
    <w:rsid w:val="00B07B85"/>
    <w:rsid w:val="00B103BD"/>
    <w:rsid w:val="00B129A4"/>
    <w:rsid w:val="00B12F13"/>
    <w:rsid w:val="00B13472"/>
    <w:rsid w:val="00B1365C"/>
    <w:rsid w:val="00B1403A"/>
    <w:rsid w:val="00B144DD"/>
    <w:rsid w:val="00B14675"/>
    <w:rsid w:val="00B14752"/>
    <w:rsid w:val="00B14A94"/>
    <w:rsid w:val="00B14F5B"/>
    <w:rsid w:val="00B15243"/>
    <w:rsid w:val="00B153EB"/>
    <w:rsid w:val="00B154C8"/>
    <w:rsid w:val="00B15742"/>
    <w:rsid w:val="00B15A2C"/>
    <w:rsid w:val="00B15BCF"/>
    <w:rsid w:val="00B15EB4"/>
    <w:rsid w:val="00B15F25"/>
    <w:rsid w:val="00B16830"/>
    <w:rsid w:val="00B1722C"/>
    <w:rsid w:val="00B1790F"/>
    <w:rsid w:val="00B201A4"/>
    <w:rsid w:val="00B201D1"/>
    <w:rsid w:val="00B204A1"/>
    <w:rsid w:val="00B20653"/>
    <w:rsid w:val="00B213A6"/>
    <w:rsid w:val="00B22EEB"/>
    <w:rsid w:val="00B233A3"/>
    <w:rsid w:val="00B235B0"/>
    <w:rsid w:val="00B2420F"/>
    <w:rsid w:val="00B244AD"/>
    <w:rsid w:val="00B247B3"/>
    <w:rsid w:val="00B24AA5"/>
    <w:rsid w:val="00B24DB7"/>
    <w:rsid w:val="00B24DF6"/>
    <w:rsid w:val="00B24F9C"/>
    <w:rsid w:val="00B24FBF"/>
    <w:rsid w:val="00B25E37"/>
    <w:rsid w:val="00B27A61"/>
    <w:rsid w:val="00B27A79"/>
    <w:rsid w:val="00B27AF4"/>
    <w:rsid w:val="00B30423"/>
    <w:rsid w:val="00B30830"/>
    <w:rsid w:val="00B30A99"/>
    <w:rsid w:val="00B30D55"/>
    <w:rsid w:val="00B30F84"/>
    <w:rsid w:val="00B31455"/>
    <w:rsid w:val="00B314F8"/>
    <w:rsid w:val="00B3230E"/>
    <w:rsid w:val="00B32482"/>
    <w:rsid w:val="00B32B03"/>
    <w:rsid w:val="00B32B71"/>
    <w:rsid w:val="00B32D45"/>
    <w:rsid w:val="00B32EFF"/>
    <w:rsid w:val="00B3361C"/>
    <w:rsid w:val="00B337B5"/>
    <w:rsid w:val="00B338FC"/>
    <w:rsid w:val="00B33C06"/>
    <w:rsid w:val="00B347F9"/>
    <w:rsid w:val="00B34D35"/>
    <w:rsid w:val="00B34FE2"/>
    <w:rsid w:val="00B35166"/>
    <w:rsid w:val="00B352DA"/>
    <w:rsid w:val="00B357D8"/>
    <w:rsid w:val="00B35B4E"/>
    <w:rsid w:val="00B360F4"/>
    <w:rsid w:val="00B3661F"/>
    <w:rsid w:val="00B36A00"/>
    <w:rsid w:val="00B36ABC"/>
    <w:rsid w:val="00B36B5F"/>
    <w:rsid w:val="00B3740C"/>
    <w:rsid w:val="00B37515"/>
    <w:rsid w:val="00B37722"/>
    <w:rsid w:val="00B3791F"/>
    <w:rsid w:val="00B3792B"/>
    <w:rsid w:val="00B37BFC"/>
    <w:rsid w:val="00B37C73"/>
    <w:rsid w:val="00B400A3"/>
    <w:rsid w:val="00B402A8"/>
    <w:rsid w:val="00B40358"/>
    <w:rsid w:val="00B41614"/>
    <w:rsid w:val="00B41998"/>
    <w:rsid w:val="00B42851"/>
    <w:rsid w:val="00B42F80"/>
    <w:rsid w:val="00B4311C"/>
    <w:rsid w:val="00B435CB"/>
    <w:rsid w:val="00B43851"/>
    <w:rsid w:val="00B44917"/>
    <w:rsid w:val="00B44F8B"/>
    <w:rsid w:val="00B45366"/>
    <w:rsid w:val="00B45AC3"/>
    <w:rsid w:val="00B4638D"/>
    <w:rsid w:val="00B464F8"/>
    <w:rsid w:val="00B465EC"/>
    <w:rsid w:val="00B50598"/>
    <w:rsid w:val="00B505C8"/>
    <w:rsid w:val="00B50DB8"/>
    <w:rsid w:val="00B512BB"/>
    <w:rsid w:val="00B51671"/>
    <w:rsid w:val="00B51C01"/>
    <w:rsid w:val="00B52E76"/>
    <w:rsid w:val="00B53080"/>
    <w:rsid w:val="00B5318E"/>
    <w:rsid w:val="00B5358A"/>
    <w:rsid w:val="00B53654"/>
    <w:rsid w:val="00B53905"/>
    <w:rsid w:val="00B53F08"/>
    <w:rsid w:val="00B54351"/>
    <w:rsid w:val="00B546DB"/>
    <w:rsid w:val="00B54B5B"/>
    <w:rsid w:val="00B54C67"/>
    <w:rsid w:val="00B55323"/>
    <w:rsid w:val="00B555B6"/>
    <w:rsid w:val="00B5562E"/>
    <w:rsid w:val="00B557EF"/>
    <w:rsid w:val="00B55862"/>
    <w:rsid w:val="00B55D65"/>
    <w:rsid w:val="00B56282"/>
    <w:rsid w:val="00B56305"/>
    <w:rsid w:val="00B56D4B"/>
    <w:rsid w:val="00B56E6B"/>
    <w:rsid w:val="00B57000"/>
    <w:rsid w:val="00B6027A"/>
    <w:rsid w:val="00B6070E"/>
    <w:rsid w:val="00B60939"/>
    <w:rsid w:val="00B60AFD"/>
    <w:rsid w:val="00B60D6A"/>
    <w:rsid w:val="00B61E54"/>
    <w:rsid w:val="00B62324"/>
    <w:rsid w:val="00B6240B"/>
    <w:rsid w:val="00B62715"/>
    <w:rsid w:val="00B63008"/>
    <w:rsid w:val="00B63BEE"/>
    <w:rsid w:val="00B64328"/>
    <w:rsid w:val="00B64B19"/>
    <w:rsid w:val="00B654CA"/>
    <w:rsid w:val="00B65611"/>
    <w:rsid w:val="00B65E78"/>
    <w:rsid w:val="00B703E2"/>
    <w:rsid w:val="00B70C63"/>
    <w:rsid w:val="00B70E8E"/>
    <w:rsid w:val="00B711FB"/>
    <w:rsid w:val="00B71DF4"/>
    <w:rsid w:val="00B721D8"/>
    <w:rsid w:val="00B7280D"/>
    <w:rsid w:val="00B729E2"/>
    <w:rsid w:val="00B74E3C"/>
    <w:rsid w:val="00B7535D"/>
    <w:rsid w:val="00B75478"/>
    <w:rsid w:val="00B75C0E"/>
    <w:rsid w:val="00B75F5F"/>
    <w:rsid w:val="00B76C92"/>
    <w:rsid w:val="00B7727D"/>
    <w:rsid w:val="00B773E0"/>
    <w:rsid w:val="00B77B22"/>
    <w:rsid w:val="00B80EFD"/>
    <w:rsid w:val="00B810B8"/>
    <w:rsid w:val="00B81439"/>
    <w:rsid w:val="00B817C1"/>
    <w:rsid w:val="00B818A4"/>
    <w:rsid w:val="00B81BC5"/>
    <w:rsid w:val="00B81BF3"/>
    <w:rsid w:val="00B822E4"/>
    <w:rsid w:val="00B822E5"/>
    <w:rsid w:val="00B8236C"/>
    <w:rsid w:val="00B8272F"/>
    <w:rsid w:val="00B82CEE"/>
    <w:rsid w:val="00B83739"/>
    <w:rsid w:val="00B84117"/>
    <w:rsid w:val="00B844BA"/>
    <w:rsid w:val="00B84C56"/>
    <w:rsid w:val="00B84D85"/>
    <w:rsid w:val="00B84E35"/>
    <w:rsid w:val="00B85082"/>
    <w:rsid w:val="00B858F0"/>
    <w:rsid w:val="00B85AA2"/>
    <w:rsid w:val="00B85CA3"/>
    <w:rsid w:val="00B85FD7"/>
    <w:rsid w:val="00B8649C"/>
    <w:rsid w:val="00B8695D"/>
    <w:rsid w:val="00B86ABE"/>
    <w:rsid w:val="00B8763C"/>
    <w:rsid w:val="00B878B4"/>
    <w:rsid w:val="00B87E5F"/>
    <w:rsid w:val="00B87F0A"/>
    <w:rsid w:val="00B90018"/>
    <w:rsid w:val="00B904F8"/>
    <w:rsid w:val="00B91705"/>
    <w:rsid w:val="00B91E9E"/>
    <w:rsid w:val="00B92D0B"/>
    <w:rsid w:val="00B93487"/>
    <w:rsid w:val="00B9427A"/>
    <w:rsid w:val="00B94945"/>
    <w:rsid w:val="00B94DD6"/>
    <w:rsid w:val="00B9560C"/>
    <w:rsid w:val="00B95854"/>
    <w:rsid w:val="00B95B55"/>
    <w:rsid w:val="00B97E92"/>
    <w:rsid w:val="00BA01A1"/>
    <w:rsid w:val="00BA03AF"/>
    <w:rsid w:val="00BA0489"/>
    <w:rsid w:val="00BA0D6A"/>
    <w:rsid w:val="00BA0FBF"/>
    <w:rsid w:val="00BA1427"/>
    <w:rsid w:val="00BA1586"/>
    <w:rsid w:val="00BA2572"/>
    <w:rsid w:val="00BA2AEE"/>
    <w:rsid w:val="00BA311D"/>
    <w:rsid w:val="00BA322D"/>
    <w:rsid w:val="00BA32DC"/>
    <w:rsid w:val="00BA37A9"/>
    <w:rsid w:val="00BA4539"/>
    <w:rsid w:val="00BA4581"/>
    <w:rsid w:val="00BA4587"/>
    <w:rsid w:val="00BA46C1"/>
    <w:rsid w:val="00BA4DEB"/>
    <w:rsid w:val="00BA4E2F"/>
    <w:rsid w:val="00BA4E99"/>
    <w:rsid w:val="00BA4F55"/>
    <w:rsid w:val="00BA5CD8"/>
    <w:rsid w:val="00BA62C5"/>
    <w:rsid w:val="00BA6301"/>
    <w:rsid w:val="00BA63FA"/>
    <w:rsid w:val="00BA6487"/>
    <w:rsid w:val="00BA6895"/>
    <w:rsid w:val="00BA698A"/>
    <w:rsid w:val="00BA6CDB"/>
    <w:rsid w:val="00BA74D8"/>
    <w:rsid w:val="00BA7CF6"/>
    <w:rsid w:val="00BA7E3B"/>
    <w:rsid w:val="00BB0018"/>
    <w:rsid w:val="00BB00B3"/>
    <w:rsid w:val="00BB05E6"/>
    <w:rsid w:val="00BB0BDD"/>
    <w:rsid w:val="00BB0C91"/>
    <w:rsid w:val="00BB0D03"/>
    <w:rsid w:val="00BB0ED2"/>
    <w:rsid w:val="00BB1223"/>
    <w:rsid w:val="00BB1464"/>
    <w:rsid w:val="00BB176C"/>
    <w:rsid w:val="00BB178B"/>
    <w:rsid w:val="00BB19D6"/>
    <w:rsid w:val="00BB1C80"/>
    <w:rsid w:val="00BB292B"/>
    <w:rsid w:val="00BB2A73"/>
    <w:rsid w:val="00BB33C2"/>
    <w:rsid w:val="00BB36F9"/>
    <w:rsid w:val="00BB3A45"/>
    <w:rsid w:val="00BB3D65"/>
    <w:rsid w:val="00BB4ACC"/>
    <w:rsid w:val="00BB4F86"/>
    <w:rsid w:val="00BB4F9D"/>
    <w:rsid w:val="00BB51B8"/>
    <w:rsid w:val="00BB5578"/>
    <w:rsid w:val="00BB5BC3"/>
    <w:rsid w:val="00BB6881"/>
    <w:rsid w:val="00BB6FA9"/>
    <w:rsid w:val="00BB703E"/>
    <w:rsid w:val="00BB732D"/>
    <w:rsid w:val="00BB7405"/>
    <w:rsid w:val="00BC01BD"/>
    <w:rsid w:val="00BC07BD"/>
    <w:rsid w:val="00BC0A72"/>
    <w:rsid w:val="00BC0C34"/>
    <w:rsid w:val="00BC128C"/>
    <w:rsid w:val="00BC1570"/>
    <w:rsid w:val="00BC1991"/>
    <w:rsid w:val="00BC26CD"/>
    <w:rsid w:val="00BC3631"/>
    <w:rsid w:val="00BC3F66"/>
    <w:rsid w:val="00BC4095"/>
    <w:rsid w:val="00BC424E"/>
    <w:rsid w:val="00BC4EE6"/>
    <w:rsid w:val="00BC591F"/>
    <w:rsid w:val="00BC5C5A"/>
    <w:rsid w:val="00BC6151"/>
    <w:rsid w:val="00BC6417"/>
    <w:rsid w:val="00BC705B"/>
    <w:rsid w:val="00BC714A"/>
    <w:rsid w:val="00BC7627"/>
    <w:rsid w:val="00BC7B12"/>
    <w:rsid w:val="00BC7B74"/>
    <w:rsid w:val="00BC7BF2"/>
    <w:rsid w:val="00BC7C9A"/>
    <w:rsid w:val="00BC7D6D"/>
    <w:rsid w:val="00BD0F81"/>
    <w:rsid w:val="00BD1814"/>
    <w:rsid w:val="00BD1AD8"/>
    <w:rsid w:val="00BD2108"/>
    <w:rsid w:val="00BD221F"/>
    <w:rsid w:val="00BD2E19"/>
    <w:rsid w:val="00BD3467"/>
    <w:rsid w:val="00BD3C9B"/>
    <w:rsid w:val="00BD3CD2"/>
    <w:rsid w:val="00BD53AD"/>
    <w:rsid w:val="00BD6246"/>
    <w:rsid w:val="00BD68A3"/>
    <w:rsid w:val="00BD6938"/>
    <w:rsid w:val="00BD6CF3"/>
    <w:rsid w:val="00BD6FFA"/>
    <w:rsid w:val="00BD702D"/>
    <w:rsid w:val="00BD7412"/>
    <w:rsid w:val="00BD7939"/>
    <w:rsid w:val="00BD7E18"/>
    <w:rsid w:val="00BD7F72"/>
    <w:rsid w:val="00BE0ECA"/>
    <w:rsid w:val="00BE1B9C"/>
    <w:rsid w:val="00BE1D9A"/>
    <w:rsid w:val="00BE1FA2"/>
    <w:rsid w:val="00BE2180"/>
    <w:rsid w:val="00BE21F2"/>
    <w:rsid w:val="00BE2615"/>
    <w:rsid w:val="00BE29E5"/>
    <w:rsid w:val="00BE3A00"/>
    <w:rsid w:val="00BE4230"/>
    <w:rsid w:val="00BE4275"/>
    <w:rsid w:val="00BE454D"/>
    <w:rsid w:val="00BE503D"/>
    <w:rsid w:val="00BE53DA"/>
    <w:rsid w:val="00BE5E8E"/>
    <w:rsid w:val="00BE6816"/>
    <w:rsid w:val="00BE685A"/>
    <w:rsid w:val="00BE6908"/>
    <w:rsid w:val="00BE699A"/>
    <w:rsid w:val="00BE6CB3"/>
    <w:rsid w:val="00BF013A"/>
    <w:rsid w:val="00BF06AE"/>
    <w:rsid w:val="00BF0711"/>
    <w:rsid w:val="00BF0D32"/>
    <w:rsid w:val="00BF0F95"/>
    <w:rsid w:val="00BF1440"/>
    <w:rsid w:val="00BF1765"/>
    <w:rsid w:val="00BF17B4"/>
    <w:rsid w:val="00BF1C31"/>
    <w:rsid w:val="00BF2433"/>
    <w:rsid w:val="00BF27FA"/>
    <w:rsid w:val="00BF293E"/>
    <w:rsid w:val="00BF2E6E"/>
    <w:rsid w:val="00BF3282"/>
    <w:rsid w:val="00BF4071"/>
    <w:rsid w:val="00BF4389"/>
    <w:rsid w:val="00BF4557"/>
    <w:rsid w:val="00BF45D3"/>
    <w:rsid w:val="00BF47F8"/>
    <w:rsid w:val="00BF4C5B"/>
    <w:rsid w:val="00BF52A2"/>
    <w:rsid w:val="00BF59E7"/>
    <w:rsid w:val="00BF5EE9"/>
    <w:rsid w:val="00BF61C9"/>
    <w:rsid w:val="00BF6775"/>
    <w:rsid w:val="00BF6C94"/>
    <w:rsid w:val="00BF707A"/>
    <w:rsid w:val="00BF73B1"/>
    <w:rsid w:val="00BF7537"/>
    <w:rsid w:val="00BF76E0"/>
    <w:rsid w:val="00BF7B4D"/>
    <w:rsid w:val="00C001BD"/>
    <w:rsid w:val="00C00424"/>
    <w:rsid w:val="00C00BB0"/>
    <w:rsid w:val="00C00D19"/>
    <w:rsid w:val="00C00FBA"/>
    <w:rsid w:val="00C0133A"/>
    <w:rsid w:val="00C013C1"/>
    <w:rsid w:val="00C02ECE"/>
    <w:rsid w:val="00C03D00"/>
    <w:rsid w:val="00C03DB9"/>
    <w:rsid w:val="00C0458A"/>
    <w:rsid w:val="00C04E97"/>
    <w:rsid w:val="00C05F1A"/>
    <w:rsid w:val="00C063E8"/>
    <w:rsid w:val="00C06731"/>
    <w:rsid w:val="00C071FE"/>
    <w:rsid w:val="00C07531"/>
    <w:rsid w:val="00C078D4"/>
    <w:rsid w:val="00C1005E"/>
    <w:rsid w:val="00C103CC"/>
    <w:rsid w:val="00C10B56"/>
    <w:rsid w:val="00C10F1E"/>
    <w:rsid w:val="00C11258"/>
    <w:rsid w:val="00C11605"/>
    <w:rsid w:val="00C1179F"/>
    <w:rsid w:val="00C127B9"/>
    <w:rsid w:val="00C128FA"/>
    <w:rsid w:val="00C12C14"/>
    <w:rsid w:val="00C12C84"/>
    <w:rsid w:val="00C14E2D"/>
    <w:rsid w:val="00C1506B"/>
    <w:rsid w:val="00C1508B"/>
    <w:rsid w:val="00C152F9"/>
    <w:rsid w:val="00C157C1"/>
    <w:rsid w:val="00C15F04"/>
    <w:rsid w:val="00C16CCA"/>
    <w:rsid w:val="00C16E03"/>
    <w:rsid w:val="00C17763"/>
    <w:rsid w:val="00C1787A"/>
    <w:rsid w:val="00C179B3"/>
    <w:rsid w:val="00C17E3F"/>
    <w:rsid w:val="00C200AA"/>
    <w:rsid w:val="00C2039F"/>
    <w:rsid w:val="00C216AD"/>
    <w:rsid w:val="00C216FC"/>
    <w:rsid w:val="00C2170D"/>
    <w:rsid w:val="00C21A33"/>
    <w:rsid w:val="00C21E22"/>
    <w:rsid w:val="00C21F43"/>
    <w:rsid w:val="00C220BE"/>
    <w:rsid w:val="00C225E8"/>
    <w:rsid w:val="00C228F1"/>
    <w:rsid w:val="00C23282"/>
    <w:rsid w:val="00C237ED"/>
    <w:rsid w:val="00C23C4C"/>
    <w:rsid w:val="00C24414"/>
    <w:rsid w:val="00C2447D"/>
    <w:rsid w:val="00C24632"/>
    <w:rsid w:val="00C24A50"/>
    <w:rsid w:val="00C24D84"/>
    <w:rsid w:val="00C2532B"/>
    <w:rsid w:val="00C25418"/>
    <w:rsid w:val="00C25D9C"/>
    <w:rsid w:val="00C26094"/>
    <w:rsid w:val="00C26542"/>
    <w:rsid w:val="00C26AC9"/>
    <w:rsid w:val="00C2740D"/>
    <w:rsid w:val="00C2778B"/>
    <w:rsid w:val="00C27860"/>
    <w:rsid w:val="00C27976"/>
    <w:rsid w:val="00C27E2B"/>
    <w:rsid w:val="00C30B50"/>
    <w:rsid w:val="00C31603"/>
    <w:rsid w:val="00C31649"/>
    <w:rsid w:val="00C31A9D"/>
    <w:rsid w:val="00C32823"/>
    <w:rsid w:val="00C328F0"/>
    <w:rsid w:val="00C32AE9"/>
    <w:rsid w:val="00C32EF4"/>
    <w:rsid w:val="00C3434C"/>
    <w:rsid w:val="00C34430"/>
    <w:rsid w:val="00C35C56"/>
    <w:rsid w:val="00C35E9B"/>
    <w:rsid w:val="00C361C3"/>
    <w:rsid w:val="00C36C79"/>
    <w:rsid w:val="00C36E49"/>
    <w:rsid w:val="00C37DCA"/>
    <w:rsid w:val="00C40385"/>
    <w:rsid w:val="00C40889"/>
    <w:rsid w:val="00C40A32"/>
    <w:rsid w:val="00C40D88"/>
    <w:rsid w:val="00C41712"/>
    <w:rsid w:val="00C41768"/>
    <w:rsid w:val="00C41849"/>
    <w:rsid w:val="00C41E26"/>
    <w:rsid w:val="00C43021"/>
    <w:rsid w:val="00C437BB"/>
    <w:rsid w:val="00C45981"/>
    <w:rsid w:val="00C45BC5"/>
    <w:rsid w:val="00C46BD1"/>
    <w:rsid w:val="00C46CAD"/>
    <w:rsid w:val="00C46E6E"/>
    <w:rsid w:val="00C475AA"/>
    <w:rsid w:val="00C47616"/>
    <w:rsid w:val="00C47A6F"/>
    <w:rsid w:val="00C47AD7"/>
    <w:rsid w:val="00C5030E"/>
    <w:rsid w:val="00C507AF"/>
    <w:rsid w:val="00C51406"/>
    <w:rsid w:val="00C514E3"/>
    <w:rsid w:val="00C514E6"/>
    <w:rsid w:val="00C5187A"/>
    <w:rsid w:val="00C519F2"/>
    <w:rsid w:val="00C5245B"/>
    <w:rsid w:val="00C527C7"/>
    <w:rsid w:val="00C52A3F"/>
    <w:rsid w:val="00C52EC4"/>
    <w:rsid w:val="00C53C98"/>
    <w:rsid w:val="00C53FB6"/>
    <w:rsid w:val="00C5507A"/>
    <w:rsid w:val="00C551E9"/>
    <w:rsid w:val="00C55371"/>
    <w:rsid w:val="00C556F6"/>
    <w:rsid w:val="00C5642A"/>
    <w:rsid w:val="00C565A7"/>
    <w:rsid w:val="00C56763"/>
    <w:rsid w:val="00C56ADF"/>
    <w:rsid w:val="00C56FCF"/>
    <w:rsid w:val="00C572F6"/>
    <w:rsid w:val="00C57B6C"/>
    <w:rsid w:val="00C6084A"/>
    <w:rsid w:val="00C618AA"/>
    <w:rsid w:val="00C61986"/>
    <w:rsid w:val="00C61A59"/>
    <w:rsid w:val="00C61D6C"/>
    <w:rsid w:val="00C628A6"/>
    <w:rsid w:val="00C62E0F"/>
    <w:rsid w:val="00C62EDB"/>
    <w:rsid w:val="00C62EED"/>
    <w:rsid w:val="00C62EEF"/>
    <w:rsid w:val="00C63402"/>
    <w:rsid w:val="00C63C2F"/>
    <w:rsid w:val="00C63E44"/>
    <w:rsid w:val="00C64344"/>
    <w:rsid w:val="00C64A59"/>
    <w:rsid w:val="00C64B8D"/>
    <w:rsid w:val="00C64F1E"/>
    <w:rsid w:val="00C64F46"/>
    <w:rsid w:val="00C65108"/>
    <w:rsid w:val="00C65576"/>
    <w:rsid w:val="00C656BD"/>
    <w:rsid w:val="00C65A48"/>
    <w:rsid w:val="00C65A81"/>
    <w:rsid w:val="00C65B9C"/>
    <w:rsid w:val="00C66165"/>
    <w:rsid w:val="00C66C61"/>
    <w:rsid w:val="00C6730E"/>
    <w:rsid w:val="00C67FC2"/>
    <w:rsid w:val="00C70291"/>
    <w:rsid w:val="00C7060A"/>
    <w:rsid w:val="00C7082B"/>
    <w:rsid w:val="00C708C3"/>
    <w:rsid w:val="00C70A09"/>
    <w:rsid w:val="00C70D8E"/>
    <w:rsid w:val="00C710CD"/>
    <w:rsid w:val="00C71479"/>
    <w:rsid w:val="00C714C8"/>
    <w:rsid w:val="00C7151A"/>
    <w:rsid w:val="00C717E3"/>
    <w:rsid w:val="00C719A8"/>
    <w:rsid w:val="00C71D83"/>
    <w:rsid w:val="00C71D8E"/>
    <w:rsid w:val="00C71F60"/>
    <w:rsid w:val="00C71F6D"/>
    <w:rsid w:val="00C72241"/>
    <w:rsid w:val="00C727D8"/>
    <w:rsid w:val="00C72C56"/>
    <w:rsid w:val="00C72D26"/>
    <w:rsid w:val="00C73144"/>
    <w:rsid w:val="00C736FB"/>
    <w:rsid w:val="00C745CA"/>
    <w:rsid w:val="00C74EDB"/>
    <w:rsid w:val="00C74F4D"/>
    <w:rsid w:val="00C750C8"/>
    <w:rsid w:val="00C7560F"/>
    <w:rsid w:val="00C76623"/>
    <w:rsid w:val="00C7671A"/>
    <w:rsid w:val="00C76866"/>
    <w:rsid w:val="00C7703C"/>
    <w:rsid w:val="00C774E6"/>
    <w:rsid w:val="00C77C29"/>
    <w:rsid w:val="00C77EB0"/>
    <w:rsid w:val="00C80076"/>
    <w:rsid w:val="00C8013D"/>
    <w:rsid w:val="00C80A0E"/>
    <w:rsid w:val="00C8170F"/>
    <w:rsid w:val="00C8213F"/>
    <w:rsid w:val="00C824E8"/>
    <w:rsid w:val="00C82B76"/>
    <w:rsid w:val="00C82B9F"/>
    <w:rsid w:val="00C82F80"/>
    <w:rsid w:val="00C8303F"/>
    <w:rsid w:val="00C83215"/>
    <w:rsid w:val="00C8347C"/>
    <w:rsid w:val="00C836AE"/>
    <w:rsid w:val="00C836B1"/>
    <w:rsid w:val="00C837E7"/>
    <w:rsid w:val="00C83A83"/>
    <w:rsid w:val="00C8428A"/>
    <w:rsid w:val="00C843B1"/>
    <w:rsid w:val="00C844BF"/>
    <w:rsid w:val="00C84616"/>
    <w:rsid w:val="00C848A8"/>
    <w:rsid w:val="00C84B9E"/>
    <w:rsid w:val="00C84C5D"/>
    <w:rsid w:val="00C8514F"/>
    <w:rsid w:val="00C85154"/>
    <w:rsid w:val="00C853EA"/>
    <w:rsid w:val="00C85414"/>
    <w:rsid w:val="00C854B1"/>
    <w:rsid w:val="00C85540"/>
    <w:rsid w:val="00C855F3"/>
    <w:rsid w:val="00C85A70"/>
    <w:rsid w:val="00C862C9"/>
    <w:rsid w:val="00C86F95"/>
    <w:rsid w:val="00C87374"/>
    <w:rsid w:val="00C8743C"/>
    <w:rsid w:val="00C8768B"/>
    <w:rsid w:val="00C8797A"/>
    <w:rsid w:val="00C87B5F"/>
    <w:rsid w:val="00C87C85"/>
    <w:rsid w:val="00C900B8"/>
    <w:rsid w:val="00C90197"/>
    <w:rsid w:val="00C90771"/>
    <w:rsid w:val="00C90C71"/>
    <w:rsid w:val="00C90D30"/>
    <w:rsid w:val="00C90DC9"/>
    <w:rsid w:val="00C90E44"/>
    <w:rsid w:val="00C90F23"/>
    <w:rsid w:val="00C91177"/>
    <w:rsid w:val="00C91549"/>
    <w:rsid w:val="00C915A6"/>
    <w:rsid w:val="00C91FD1"/>
    <w:rsid w:val="00C92632"/>
    <w:rsid w:val="00C92DA1"/>
    <w:rsid w:val="00C931CF"/>
    <w:rsid w:val="00C931E4"/>
    <w:rsid w:val="00C932B4"/>
    <w:rsid w:val="00C938CF"/>
    <w:rsid w:val="00C94053"/>
    <w:rsid w:val="00C946AD"/>
    <w:rsid w:val="00C94F42"/>
    <w:rsid w:val="00C95DA1"/>
    <w:rsid w:val="00C9624D"/>
    <w:rsid w:val="00C969DA"/>
    <w:rsid w:val="00C96B1F"/>
    <w:rsid w:val="00C970FA"/>
    <w:rsid w:val="00C9712A"/>
    <w:rsid w:val="00C97715"/>
    <w:rsid w:val="00C97AD7"/>
    <w:rsid w:val="00CA0A59"/>
    <w:rsid w:val="00CA0C1C"/>
    <w:rsid w:val="00CA1C69"/>
    <w:rsid w:val="00CA1DA0"/>
    <w:rsid w:val="00CA1F61"/>
    <w:rsid w:val="00CA204B"/>
    <w:rsid w:val="00CA2349"/>
    <w:rsid w:val="00CA241D"/>
    <w:rsid w:val="00CA2C77"/>
    <w:rsid w:val="00CA3640"/>
    <w:rsid w:val="00CA3B05"/>
    <w:rsid w:val="00CA3E48"/>
    <w:rsid w:val="00CA444F"/>
    <w:rsid w:val="00CA4958"/>
    <w:rsid w:val="00CA4B36"/>
    <w:rsid w:val="00CA4E40"/>
    <w:rsid w:val="00CA5245"/>
    <w:rsid w:val="00CA53C7"/>
    <w:rsid w:val="00CA54AF"/>
    <w:rsid w:val="00CA5B63"/>
    <w:rsid w:val="00CA688C"/>
    <w:rsid w:val="00CA6ACC"/>
    <w:rsid w:val="00CA6FDB"/>
    <w:rsid w:val="00CA71F4"/>
    <w:rsid w:val="00CA7B09"/>
    <w:rsid w:val="00CB0807"/>
    <w:rsid w:val="00CB0BAC"/>
    <w:rsid w:val="00CB12A5"/>
    <w:rsid w:val="00CB13E7"/>
    <w:rsid w:val="00CB1642"/>
    <w:rsid w:val="00CB18FE"/>
    <w:rsid w:val="00CB1AB5"/>
    <w:rsid w:val="00CB1CAC"/>
    <w:rsid w:val="00CB2268"/>
    <w:rsid w:val="00CB2567"/>
    <w:rsid w:val="00CB258A"/>
    <w:rsid w:val="00CB2B5C"/>
    <w:rsid w:val="00CB2F2A"/>
    <w:rsid w:val="00CB331C"/>
    <w:rsid w:val="00CB34A7"/>
    <w:rsid w:val="00CB3863"/>
    <w:rsid w:val="00CB4F4F"/>
    <w:rsid w:val="00CB526B"/>
    <w:rsid w:val="00CB55DF"/>
    <w:rsid w:val="00CB5B1A"/>
    <w:rsid w:val="00CB6038"/>
    <w:rsid w:val="00CB645D"/>
    <w:rsid w:val="00CB6501"/>
    <w:rsid w:val="00CB6599"/>
    <w:rsid w:val="00CB659D"/>
    <w:rsid w:val="00CB6B22"/>
    <w:rsid w:val="00CB72E4"/>
    <w:rsid w:val="00CB7A3E"/>
    <w:rsid w:val="00CB7DDA"/>
    <w:rsid w:val="00CB7E11"/>
    <w:rsid w:val="00CB7F5F"/>
    <w:rsid w:val="00CC0278"/>
    <w:rsid w:val="00CC03BD"/>
    <w:rsid w:val="00CC0965"/>
    <w:rsid w:val="00CC1B39"/>
    <w:rsid w:val="00CC1BFA"/>
    <w:rsid w:val="00CC1D34"/>
    <w:rsid w:val="00CC25F6"/>
    <w:rsid w:val="00CC28FD"/>
    <w:rsid w:val="00CC2B13"/>
    <w:rsid w:val="00CC2E15"/>
    <w:rsid w:val="00CC2E9F"/>
    <w:rsid w:val="00CC34D0"/>
    <w:rsid w:val="00CC35EA"/>
    <w:rsid w:val="00CC3848"/>
    <w:rsid w:val="00CC39B7"/>
    <w:rsid w:val="00CC3F3F"/>
    <w:rsid w:val="00CC443B"/>
    <w:rsid w:val="00CC46B2"/>
    <w:rsid w:val="00CC4925"/>
    <w:rsid w:val="00CC4F25"/>
    <w:rsid w:val="00CC5FE8"/>
    <w:rsid w:val="00CC6655"/>
    <w:rsid w:val="00CC6C93"/>
    <w:rsid w:val="00CC6CE2"/>
    <w:rsid w:val="00CC6D5E"/>
    <w:rsid w:val="00CC7758"/>
    <w:rsid w:val="00CC7FF5"/>
    <w:rsid w:val="00CD011F"/>
    <w:rsid w:val="00CD0200"/>
    <w:rsid w:val="00CD0B2B"/>
    <w:rsid w:val="00CD0CE7"/>
    <w:rsid w:val="00CD0E08"/>
    <w:rsid w:val="00CD0E9E"/>
    <w:rsid w:val="00CD104E"/>
    <w:rsid w:val="00CD180F"/>
    <w:rsid w:val="00CD1E43"/>
    <w:rsid w:val="00CD2698"/>
    <w:rsid w:val="00CD275D"/>
    <w:rsid w:val="00CD2FDF"/>
    <w:rsid w:val="00CD3118"/>
    <w:rsid w:val="00CD3322"/>
    <w:rsid w:val="00CD390D"/>
    <w:rsid w:val="00CD3993"/>
    <w:rsid w:val="00CD3A4A"/>
    <w:rsid w:val="00CD3F77"/>
    <w:rsid w:val="00CD420B"/>
    <w:rsid w:val="00CD4B3D"/>
    <w:rsid w:val="00CD4E48"/>
    <w:rsid w:val="00CD5570"/>
    <w:rsid w:val="00CD579A"/>
    <w:rsid w:val="00CD57E4"/>
    <w:rsid w:val="00CD597C"/>
    <w:rsid w:val="00CD66CE"/>
    <w:rsid w:val="00CD6ADC"/>
    <w:rsid w:val="00CD7084"/>
    <w:rsid w:val="00CD7193"/>
    <w:rsid w:val="00CD79A3"/>
    <w:rsid w:val="00CD7CF9"/>
    <w:rsid w:val="00CE0209"/>
    <w:rsid w:val="00CE036D"/>
    <w:rsid w:val="00CE04EA"/>
    <w:rsid w:val="00CE04ED"/>
    <w:rsid w:val="00CE08A2"/>
    <w:rsid w:val="00CE0D2A"/>
    <w:rsid w:val="00CE104D"/>
    <w:rsid w:val="00CE117F"/>
    <w:rsid w:val="00CE136A"/>
    <w:rsid w:val="00CE1CAC"/>
    <w:rsid w:val="00CE2196"/>
    <w:rsid w:val="00CE31D3"/>
    <w:rsid w:val="00CE330E"/>
    <w:rsid w:val="00CE38C8"/>
    <w:rsid w:val="00CE3AAE"/>
    <w:rsid w:val="00CE3D70"/>
    <w:rsid w:val="00CE411A"/>
    <w:rsid w:val="00CE4E68"/>
    <w:rsid w:val="00CE524F"/>
    <w:rsid w:val="00CE58CC"/>
    <w:rsid w:val="00CE5D2F"/>
    <w:rsid w:val="00CE6274"/>
    <w:rsid w:val="00CE7112"/>
    <w:rsid w:val="00CE7522"/>
    <w:rsid w:val="00CE7606"/>
    <w:rsid w:val="00CE76BF"/>
    <w:rsid w:val="00CE77B6"/>
    <w:rsid w:val="00CE7A9B"/>
    <w:rsid w:val="00CE7F22"/>
    <w:rsid w:val="00CF046B"/>
    <w:rsid w:val="00CF094A"/>
    <w:rsid w:val="00CF0ABA"/>
    <w:rsid w:val="00CF0B5E"/>
    <w:rsid w:val="00CF16CB"/>
    <w:rsid w:val="00CF1AB1"/>
    <w:rsid w:val="00CF1B0D"/>
    <w:rsid w:val="00CF1D18"/>
    <w:rsid w:val="00CF24D7"/>
    <w:rsid w:val="00CF2B8D"/>
    <w:rsid w:val="00CF3120"/>
    <w:rsid w:val="00CF34DF"/>
    <w:rsid w:val="00CF395F"/>
    <w:rsid w:val="00CF3A1B"/>
    <w:rsid w:val="00CF456B"/>
    <w:rsid w:val="00CF5159"/>
    <w:rsid w:val="00CF5A22"/>
    <w:rsid w:val="00CF62A9"/>
    <w:rsid w:val="00CF637F"/>
    <w:rsid w:val="00CF6C67"/>
    <w:rsid w:val="00CF6C9A"/>
    <w:rsid w:val="00CF6F61"/>
    <w:rsid w:val="00CF6FCF"/>
    <w:rsid w:val="00CF71CC"/>
    <w:rsid w:val="00D006A4"/>
    <w:rsid w:val="00D01B22"/>
    <w:rsid w:val="00D01F78"/>
    <w:rsid w:val="00D0262E"/>
    <w:rsid w:val="00D02D18"/>
    <w:rsid w:val="00D02F64"/>
    <w:rsid w:val="00D03679"/>
    <w:rsid w:val="00D0390C"/>
    <w:rsid w:val="00D040DC"/>
    <w:rsid w:val="00D052C5"/>
    <w:rsid w:val="00D05886"/>
    <w:rsid w:val="00D05E3D"/>
    <w:rsid w:val="00D06139"/>
    <w:rsid w:val="00D06656"/>
    <w:rsid w:val="00D06A12"/>
    <w:rsid w:val="00D06D36"/>
    <w:rsid w:val="00D10265"/>
    <w:rsid w:val="00D10610"/>
    <w:rsid w:val="00D110BD"/>
    <w:rsid w:val="00D118BD"/>
    <w:rsid w:val="00D11991"/>
    <w:rsid w:val="00D11BDC"/>
    <w:rsid w:val="00D12346"/>
    <w:rsid w:val="00D12655"/>
    <w:rsid w:val="00D13675"/>
    <w:rsid w:val="00D1384D"/>
    <w:rsid w:val="00D141E1"/>
    <w:rsid w:val="00D14CD6"/>
    <w:rsid w:val="00D14D3B"/>
    <w:rsid w:val="00D15006"/>
    <w:rsid w:val="00D15314"/>
    <w:rsid w:val="00D153D0"/>
    <w:rsid w:val="00D158A6"/>
    <w:rsid w:val="00D15B48"/>
    <w:rsid w:val="00D15BF4"/>
    <w:rsid w:val="00D1637C"/>
    <w:rsid w:val="00D167C0"/>
    <w:rsid w:val="00D17228"/>
    <w:rsid w:val="00D17D6C"/>
    <w:rsid w:val="00D17DED"/>
    <w:rsid w:val="00D20306"/>
    <w:rsid w:val="00D20B55"/>
    <w:rsid w:val="00D20D80"/>
    <w:rsid w:val="00D2155B"/>
    <w:rsid w:val="00D2229A"/>
    <w:rsid w:val="00D2255F"/>
    <w:rsid w:val="00D235E0"/>
    <w:rsid w:val="00D23D11"/>
    <w:rsid w:val="00D240F7"/>
    <w:rsid w:val="00D2447B"/>
    <w:rsid w:val="00D244B6"/>
    <w:rsid w:val="00D24D39"/>
    <w:rsid w:val="00D25506"/>
    <w:rsid w:val="00D255CD"/>
    <w:rsid w:val="00D25D39"/>
    <w:rsid w:val="00D25F7E"/>
    <w:rsid w:val="00D26331"/>
    <w:rsid w:val="00D269C3"/>
    <w:rsid w:val="00D26C18"/>
    <w:rsid w:val="00D26C56"/>
    <w:rsid w:val="00D26E36"/>
    <w:rsid w:val="00D27065"/>
    <w:rsid w:val="00D2754D"/>
    <w:rsid w:val="00D27B27"/>
    <w:rsid w:val="00D27EBB"/>
    <w:rsid w:val="00D302AA"/>
    <w:rsid w:val="00D3032A"/>
    <w:rsid w:val="00D30D5B"/>
    <w:rsid w:val="00D3196F"/>
    <w:rsid w:val="00D31F6E"/>
    <w:rsid w:val="00D320AA"/>
    <w:rsid w:val="00D32272"/>
    <w:rsid w:val="00D33481"/>
    <w:rsid w:val="00D33BE9"/>
    <w:rsid w:val="00D33EA4"/>
    <w:rsid w:val="00D33EA8"/>
    <w:rsid w:val="00D33EED"/>
    <w:rsid w:val="00D33F93"/>
    <w:rsid w:val="00D357FF"/>
    <w:rsid w:val="00D35B6D"/>
    <w:rsid w:val="00D35F65"/>
    <w:rsid w:val="00D36A2E"/>
    <w:rsid w:val="00D3778A"/>
    <w:rsid w:val="00D37C20"/>
    <w:rsid w:val="00D37D07"/>
    <w:rsid w:val="00D4015E"/>
    <w:rsid w:val="00D408A3"/>
    <w:rsid w:val="00D41188"/>
    <w:rsid w:val="00D41256"/>
    <w:rsid w:val="00D415D4"/>
    <w:rsid w:val="00D41BD3"/>
    <w:rsid w:val="00D41DCD"/>
    <w:rsid w:val="00D4214F"/>
    <w:rsid w:val="00D424C7"/>
    <w:rsid w:val="00D425B3"/>
    <w:rsid w:val="00D4297A"/>
    <w:rsid w:val="00D42A36"/>
    <w:rsid w:val="00D42D86"/>
    <w:rsid w:val="00D435F8"/>
    <w:rsid w:val="00D4377D"/>
    <w:rsid w:val="00D438D9"/>
    <w:rsid w:val="00D43B2A"/>
    <w:rsid w:val="00D43CF1"/>
    <w:rsid w:val="00D43D83"/>
    <w:rsid w:val="00D44252"/>
    <w:rsid w:val="00D44CE7"/>
    <w:rsid w:val="00D44DCC"/>
    <w:rsid w:val="00D45177"/>
    <w:rsid w:val="00D45423"/>
    <w:rsid w:val="00D458CD"/>
    <w:rsid w:val="00D461E3"/>
    <w:rsid w:val="00D46A77"/>
    <w:rsid w:val="00D471A9"/>
    <w:rsid w:val="00D47467"/>
    <w:rsid w:val="00D47575"/>
    <w:rsid w:val="00D476B9"/>
    <w:rsid w:val="00D47F94"/>
    <w:rsid w:val="00D50133"/>
    <w:rsid w:val="00D501C7"/>
    <w:rsid w:val="00D50283"/>
    <w:rsid w:val="00D50343"/>
    <w:rsid w:val="00D51AD5"/>
    <w:rsid w:val="00D51D44"/>
    <w:rsid w:val="00D5241F"/>
    <w:rsid w:val="00D5243B"/>
    <w:rsid w:val="00D525E8"/>
    <w:rsid w:val="00D52992"/>
    <w:rsid w:val="00D52C8C"/>
    <w:rsid w:val="00D5313C"/>
    <w:rsid w:val="00D533BD"/>
    <w:rsid w:val="00D533EC"/>
    <w:rsid w:val="00D538AA"/>
    <w:rsid w:val="00D538F0"/>
    <w:rsid w:val="00D53B93"/>
    <w:rsid w:val="00D54124"/>
    <w:rsid w:val="00D546C7"/>
    <w:rsid w:val="00D54C85"/>
    <w:rsid w:val="00D54D4D"/>
    <w:rsid w:val="00D54EB8"/>
    <w:rsid w:val="00D556E6"/>
    <w:rsid w:val="00D55CEF"/>
    <w:rsid w:val="00D55EA0"/>
    <w:rsid w:val="00D5624E"/>
    <w:rsid w:val="00D56344"/>
    <w:rsid w:val="00D565E8"/>
    <w:rsid w:val="00D56A95"/>
    <w:rsid w:val="00D56B49"/>
    <w:rsid w:val="00D572C0"/>
    <w:rsid w:val="00D5732B"/>
    <w:rsid w:val="00D57F5E"/>
    <w:rsid w:val="00D60064"/>
    <w:rsid w:val="00D60714"/>
    <w:rsid w:val="00D6076E"/>
    <w:rsid w:val="00D60ACB"/>
    <w:rsid w:val="00D60BB2"/>
    <w:rsid w:val="00D6110B"/>
    <w:rsid w:val="00D61301"/>
    <w:rsid w:val="00D62446"/>
    <w:rsid w:val="00D62723"/>
    <w:rsid w:val="00D63617"/>
    <w:rsid w:val="00D63B7E"/>
    <w:rsid w:val="00D63CF7"/>
    <w:rsid w:val="00D648D9"/>
    <w:rsid w:val="00D65100"/>
    <w:rsid w:val="00D65193"/>
    <w:rsid w:val="00D6565A"/>
    <w:rsid w:val="00D65A89"/>
    <w:rsid w:val="00D65D07"/>
    <w:rsid w:val="00D67244"/>
    <w:rsid w:val="00D673D4"/>
    <w:rsid w:val="00D673EF"/>
    <w:rsid w:val="00D70AA6"/>
    <w:rsid w:val="00D70F16"/>
    <w:rsid w:val="00D7129C"/>
    <w:rsid w:val="00D717CD"/>
    <w:rsid w:val="00D71AA3"/>
    <w:rsid w:val="00D72617"/>
    <w:rsid w:val="00D72821"/>
    <w:rsid w:val="00D72F57"/>
    <w:rsid w:val="00D72F99"/>
    <w:rsid w:val="00D73043"/>
    <w:rsid w:val="00D73523"/>
    <w:rsid w:val="00D73CBD"/>
    <w:rsid w:val="00D73D2C"/>
    <w:rsid w:val="00D74684"/>
    <w:rsid w:val="00D74955"/>
    <w:rsid w:val="00D74C44"/>
    <w:rsid w:val="00D75319"/>
    <w:rsid w:val="00D7546F"/>
    <w:rsid w:val="00D758EB"/>
    <w:rsid w:val="00D75B36"/>
    <w:rsid w:val="00D76153"/>
    <w:rsid w:val="00D761BB"/>
    <w:rsid w:val="00D7681F"/>
    <w:rsid w:val="00D76A44"/>
    <w:rsid w:val="00D77167"/>
    <w:rsid w:val="00D7722D"/>
    <w:rsid w:val="00D805EF"/>
    <w:rsid w:val="00D815AC"/>
    <w:rsid w:val="00D815EF"/>
    <w:rsid w:val="00D81949"/>
    <w:rsid w:val="00D81DBA"/>
    <w:rsid w:val="00D81F26"/>
    <w:rsid w:val="00D821A6"/>
    <w:rsid w:val="00D822E2"/>
    <w:rsid w:val="00D834E8"/>
    <w:rsid w:val="00D843F2"/>
    <w:rsid w:val="00D847C3"/>
    <w:rsid w:val="00D84B67"/>
    <w:rsid w:val="00D84CAF"/>
    <w:rsid w:val="00D85357"/>
    <w:rsid w:val="00D85507"/>
    <w:rsid w:val="00D85BEA"/>
    <w:rsid w:val="00D85D47"/>
    <w:rsid w:val="00D86231"/>
    <w:rsid w:val="00D863E4"/>
    <w:rsid w:val="00D868E8"/>
    <w:rsid w:val="00D86933"/>
    <w:rsid w:val="00D869D5"/>
    <w:rsid w:val="00D86D87"/>
    <w:rsid w:val="00D86DF6"/>
    <w:rsid w:val="00D86E77"/>
    <w:rsid w:val="00D8759F"/>
    <w:rsid w:val="00D8774E"/>
    <w:rsid w:val="00D87935"/>
    <w:rsid w:val="00D90201"/>
    <w:rsid w:val="00D912AB"/>
    <w:rsid w:val="00D91923"/>
    <w:rsid w:val="00D91E9E"/>
    <w:rsid w:val="00D921A4"/>
    <w:rsid w:val="00D92D9D"/>
    <w:rsid w:val="00D9326E"/>
    <w:rsid w:val="00D93753"/>
    <w:rsid w:val="00D942D1"/>
    <w:rsid w:val="00D943AD"/>
    <w:rsid w:val="00D949B9"/>
    <w:rsid w:val="00D951AF"/>
    <w:rsid w:val="00D951F8"/>
    <w:rsid w:val="00D9652C"/>
    <w:rsid w:val="00D96720"/>
    <w:rsid w:val="00D97071"/>
    <w:rsid w:val="00D973E5"/>
    <w:rsid w:val="00D974E1"/>
    <w:rsid w:val="00D97A8E"/>
    <w:rsid w:val="00D97FDD"/>
    <w:rsid w:val="00DA004A"/>
    <w:rsid w:val="00DA04FF"/>
    <w:rsid w:val="00DA0511"/>
    <w:rsid w:val="00DA0A4F"/>
    <w:rsid w:val="00DA0AF3"/>
    <w:rsid w:val="00DA0E24"/>
    <w:rsid w:val="00DA1D8F"/>
    <w:rsid w:val="00DA2410"/>
    <w:rsid w:val="00DA28E8"/>
    <w:rsid w:val="00DA2F1F"/>
    <w:rsid w:val="00DA3167"/>
    <w:rsid w:val="00DA3195"/>
    <w:rsid w:val="00DA34EC"/>
    <w:rsid w:val="00DA3E6B"/>
    <w:rsid w:val="00DA4DC3"/>
    <w:rsid w:val="00DA60CA"/>
    <w:rsid w:val="00DA61AB"/>
    <w:rsid w:val="00DA66D6"/>
    <w:rsid w:val="00DA6F74"/>
    <w:rsid w:val="00DA774F"/>
    <w:rsid w:val="00DA77A5"/>
    <w:rsid w:val="00DA7F19"/>
    <w:rsid w:val="00DB050D"/>
    <w:rsid w:val="00DB062E"/>
    <w:rsid w:val="00DB0E36"/>
    <w:rsid w:val="00DB1A35"/>
    <w:rsid w:val="00DB1B25"/>
    <w:rsid w:val="00DB1C23"/>
    <w:rsid w:val="00DB22B9"/>
    <w:rsid w:val="00DB22FC"/>
    <w:rsid w:val="00DB2723"/>
    <w:rsid w:val="00DB2A8B"/>
    <w:rsid w:val="00DB3142"/>
    <w:rsid w:val="00DB315D"/>
    <w:rsid w:val="00DB35EE"/>
    <w:rsid w:val="00DB3DBF"/>
    <w:rsid w:val="00DB484F"/>
    <w:rsid w:val="00DB526F"/>
    <w:rsid w:val="00DB5A2C"/>
    <w:rsid w:val="00DB5E74"/>
    <w:rsid w:val="00DB6427"/>
    <w:rsid w:val="00DB6804"/>
    <w:rsid w:val="00DB6F35"/>
    <w:rsid w:val="00DB773F"/>
    <w:rsid w:val="00DB79EC"/>
    <w:rsid w:val="00DB7B0C"/>
    <w:rsid w:val="00DB7E0E"/>
    <w:rsid w:val="00DC04F6"/>
    <w:rsid w:val="00DC0690"/>
    <w:rsid w:val="00DC0B07"/>
    <w:rsid w:val="00DC0B28"/>
    <w:rsid w:val="00DC0D42"/>
    <w:rsid w:val="00DC15F5"/>
    <w:rsid w:val="00DC196C"/>
    <w:rsid w:val="00DC1B4F"/>
    <w:rsid w:val="00DC1D65"/>
    <w:rsid w:val="00DC20A6"/>
    <w:rsid w:val="00DC2C93"/>
    <w:rsid w:val="00DC2CEC"/>
    <w:rsid w:val="00DC3079"/>
    <w:rsid w:val="00DC349B"/>
    <w:rsid w:val="00DC3C57"/>
    <w:rsid w:val="00DC4373"/>
    <w:rsid w:val="00DC44A9"/>
    <w:rsid w:val="00DC5454"/>
    <w:rsid w:val="00DC5501"/>
    <w:rsid w:val="00DC5D78"/>
    <w:rsid w:val="00DC5DE4"/>
    <w:rsid w:val="00DC5E52"/>
    <w:rsid w:val="00DC6582"/>
    <w:rsid w:val="00DC6921"/>
    <w:rsid w:val="00DC6CBA"/>
    <w:rsid w:val="00DC7154"/>
    <w:rsid w:val="00DC7B8C"/>
    <w:rsid w:val="00DC7E8A"/>
    <w:rsid w:val="00DD08D0"/>
    <w:rsid w:val="00DD0A8A"/>
    <w:rsid w:val="00DD0BD6"/>
    <w:rsid w:val="00DD0F78"/>
    <w:rsid w:val="00DD1335"/>
    <w:rsid w:val="00DD1DBE"/>
    <w:rsid w:val="00DD273C"/>
    <w:rsid w:val="00DD2A10"/>
    <w:rsid w:val="00DD2C93"/>
    <w:rsid w:val="00DD372A"/>
    <w:rsid w:val="00DD37BD"/>
    <w:rsid w:val="00DD38EC"/>
    <w:rsid w:val="00DD3E3E"/>
    <w:rsid w:val="00DD3F28"/>
    <w:rsid w:val="00DD41DE"/>
    <w:rsid w:val="00DD4446"/>
    <w:rsid w:val="00DD4537"/>
    <w:rsid w:val="00DD4E15"/>
    <w:rsid w:val="00DD4EF2"/>
    <w:rsid w:val="00DD5110"/>
    <w:rsid w:val="00DD5DF2"/>
    <w:rsid w:val="00DD738B"/>
    <w:rsid w:val="00DD7BBA"/>
    <w:rsid w:val="00DD7C45"/>
    <w:rsid w:val="00DD7F11"/>
    <w:rsid w:val="00DE0A03"/>
    <w:rsid w:val="00DE179B"/>
    <w:rsid w:val="00DE1A64"/>
    <w:rsid w:val="00DE1DC5"/>
    <w:rsid w:val="00DE213D"/>
    <w:rsid w:val="00DE2304"/>
    <w:rsid w:val="00DE2588"/>
    <w:rsid w:val="00DE2A26"/>
    <w:rsid w:val="00DE2E9F"/>
    <w:rsid w:val="00DE3138"/>
    <w:rsid w:val="00DE37F8"/>
    <w:rsid w:val="00DE417C"/>
    <w:rsid w:val="00DE4273"/>
    <w:rsid w:val="00DE435E"/>
    <w:rsid w:val="00DE45EE"/>
    <w:rsid w:val="00DE49F7"/>
    <w:rsid w:val="00DE4D69"/>
    <w:rsid w:val="00DE4FCB"/>
    <w:rsid w:val="00DE580A"/>
    <w:rsid w:val="00DE5C26"/>
    <w:rsid w:val="00DE5D07"/>
    <w:rsid w:val="00DE6A61"/>
    <w:rsid w:val="00DE6BCA"/>
    <w:rsid w:val="00DE72A7"/>
    <w:rsid w:val="00DE72FD"/>
    <w:rsid w:val="00DE7832"/>
    <w:rsid w:val="00DE7CCE"/>
    <w:rsid w:val="00DF01C3"/>
    <w:rsid w:val="00DF0603"/>
    <w:rsid w:val="00DF0C49"/>
    <w:rsid w:val="00DF1048"/>
    <w:rsid w:val="00DF1466"/>
    <w:rsid w:val="00DF18FC"/>
    <w:rsid w:val="00DF2A55"/>
    <w:rsid w:val="00DF3F3C"/>
    <w:rsid w:val="00DF410D"/>
    <w:rsid w:val="00DF421D"/>
    <w:rsid w:val="00DF4900"/>
    <w:rsid w:val="00DF58C6"/>
    <w:rsid w:val="00DF59B3"/>
    <w:rsid w:val="00DF5D2B"/>
    <w:rsid w:val="00DF6341"/>
    <w:rsid w:val="00DF654B"/>
    <w:rsid w:val="00DF6ECC"/>
    <w:rsid w:val="00DF701B"/>
    <w:rsid w:val="00DF78E8"/>
    <w:rsid w:val="00DF79BB"/>
    <w:rsid w:val="00E00AB2"/>
    <w:rsid w:val="00E00BF0"/>
    <w:rsid w:val="00E00E8E"/>
    <w:rsid w:val="00E00F13"/>
    <w:rsid w:val="00E01496"/>
    <w:rsid w:val="00E018DB"/>
    <w:rsid w:val="00E01A8B"/>
    <w:rsid w:val="00E01E39"/>
    <w:rsid w:val="00E01ED0"/>
    <w:rsid w:val="00E020F1"/>
    <w:rsid w:val="00E02F7A"/>
    <w:rsid w:val="00E037FB"/>
    <w:rsid w:val="00E039BD"/>
    <w:rsid w:val="00E03D57"/>
    <w:rsid w:val="00E0409C"/>
    <w:rsid w:val="00E0428F"/>
    <w:rsid w:val="00E0431B"/>
    <w:rsid w:val="00E04876"/>
    <w:rsid w:val="00E04CB8"/>
    <w:rsid w:val="00E04DEF"/>
    <w:rsid w:val="00E05630"/>
    <w:rsid w:val="00E0613D"/>
    <w:rsid w:val="00E06A69"/>
    <w:rsid w:val="00E06B60"/>
    <w:rsid w:val="00E06DBB"/>
    <w:rsid w:val="00E0705D"/>
    <w:rsid w:val="00E10149"/>
    <w:rsid w:val="00E101B1"/>
    <w:rsid w:val="00E106A5"/>
    <w:rsid w:val="00E10864"/>
    <w:rsid w:val="00E10DC0"/>
    <w:rsid w:val="00E11340"/>
    <w:rsid w:val="00E116DB"/>
    <w:rsid w:val="00E11D97"/>
    <w:rsid w:val="00E11E5D"/>
    <w:rsid w:val="00E122A1"/>
    <w:rsid w:val="00E12889"/>
    <w:rsid w:val="00E12E45"/>
    <w:rsid w:val="00E13591"/>
    <w:rsid w:val="00E138E8"/>
    <w:rsid w:val="00E13D21"/>
    <w:rsid w:val="00E1413E"/>
    <w:rsid w:val="00E14445"/>
    <w:rsid w:val="00E14506"/>
    <w:rsid w:val="00E14551"/>
    <w:rsid w:val="00E15095"/>
    <w:rsid w:val="00E15512"/>
    <w:rsid w:val="00E16372"/>
    <w:rsid w:val="00E1677D"/>
    <w:rsid w:val="00E16963"/>
    <w:rsid w:val="00E16AD8"/>
    <w:rsid w:val="00E16AE1"/>
    <w:rsid w:val="00E17FCC"/>
    <w:rsid w:val="00E17FFA"/>
    <w:rsid w:val="00E200ED"/>
    <w:rsid w:val="00E2013B"/>
    <w:rsid w:val="00E2014B"/>
    <w:rsid w:val="00E20A49"/>
    <w:rsid w:val="00E20E4D"/>
    <w:rsid w:val="00E20ED6"/>
    <w:rsid w:val="00E20FC1"/>
    <w:rsid w:val="00E21358"/>
    <w:rsid w:val="00E222C7"/>
    <w:rsid w:val="00E22388"/>
    <w:rsid w:val="00E2249B"/>
    <w:rsid w:val="00E225D0"/>
    <w:rsid w:val="00E22A0D"/>
    <w:rsid w:val="00E22C85"/>
    <w:rsid w:val="00E2367A"/>
    <w:rsid w:val="00E23752"/>
    <w:rsid w:val="00E23A01"/>
    <w:rsid w:val="00E244F6"/>
    <w:rsid w:val="00E247BB"/>
    <w:rsid w:val="00E24E70"/>
    <w:rsid w:val="00E2512B"/>
    <w:rsid w:val="00E251F4"/>
    <w:rsid w:val="00E25270"/>
    <w:rsid w:val="00E254D4"/>
    <w:rsid w:val="00E256F3"/>
    <w:rsid w:val="00E258DB"/>
    <w:rsid w:val="00E26289"/>
    <w:rsid w:val="00E2771E"/>
    <w:rsid w:val="00E27A3D"/>
    <w:rsid w:val="00E3053E"/>
    <w:rsid w:val="00E305DE"/>
    <w:rsid w:val="00E30983"/>
    <w:rsid w:val="00E30B91"/>
    <w:rsid w:val="00E31121"/>
    <w:rsid w:val="00E311EF"/>
    <w:rsid w:val="00E31287"/>
    <w:rsid w:val="00E314B4"/>
    <w:rsid w:val="00E32180"/>
    <w:rsid w:val="00E33253"/>
    <w:rsid w:val="00E338D7"/>
    <w:rsid w:val="00E3396B"/>
    <w:rsid w:val="00E33CFC"/>
    <w:rsid w:val="00E3406B"/>
    <w:rsid w:val="00E34102"/>
    <w:rsid w:val="00E348B9"/>
    <w:rsid w:val="00E34948"/>
    <w:rsid w:val="00E34A20"/>
    <w:rsid w:val="00E34A4E"/>
    <w:rsid w:val="00E35089"/>
    <w:rsid w:val="00E351B1"/>
    <w:rsid w:val="00E35519"/>
    <w:rsid w:val="00E35906"/>
    <w:rsid w:val="00E3625C"/>
    <w:rsid w:val="00E363E1"/>
    <w:rsid w:val="00E3643E"/>
    <w:rsid w:val="00E37105"/>
    <w:rsid w:val="00E37569"/>
    <w:rsid w:val="00E376E5"/>
    <w:rsid w:val="00E37BDC"/>
    <w:rsid w:val="00E401B2"/>
    <w:rsid w:val="00E40DD0"/>
    <w:rsid w:val="00E41200"/>
    <w:rsid w:val="00E4189D"/>
    <w:rsid w:val="00E41E30"/>
    <w:rsid w:val="00E41F34"/>
    <w:rsid w:val="00E4267B"/>
    <w:rsid w:val="00E42BBC"/>
    <w:rsid w:val="00E42D27"/>
    <w:rsid w:val="00E42D7B"/>
    <w:rsid w:val="00E42F73"/>
    <w:rsid w:val="00E433DE"/>
    <w:rsid w:val="00E43808"/>
    <w:rsid w:val="00E43848"/>
    <w:rsid w:val="00E43A5B"/>
    <w:rsid w:val="00E43D70"/>
    <w:rsid w:val="00E43DED"/>
    <w:rsid w:val="00E43F63"/>
    <w:rsid w:val="00E44979"/>
    <w:rsid w:val="00E45150"/>
    <w:rsid w:val="00E457E6"/>
    <w:rsid w:val="00E466F3"/>
    <w:rsid w:val="00E46FF1"/>
    <w:rsid w:val="00E472DF"/>
    <w:rsid w:val="00E47B2C"/>
    <w:rsid w:val="00E47C76"/>
    <w:rsid w:val="00E50604"/>
    <w:rsid w:val="00E50816"/>
    <w:rsid w:val="00E51006"/>
    <w:rsid w:val="00E51560"/>
    <w:rsid w:val="00E51821"/>
    <w:rsid w:val="00E52423"/>
    <w:rsid w:val="00E526EF"/>
    <w:rsid w:val="00E52756"/>
    <w:rsid w:val="00E5276F"/>
    <w:rsid w:val="00E52AFE"/>
    <w:rsid w:val="00E52B86"/>
    <w:rsid w:val="00E530E7"/>
    <w:rsid w:val="00E53417"/>
    <w:rsid w:val="00E535EB"/>
    <w:rsid w:val="00E537BB"/>
    <w:rsid w:val="00E5383E"/>
    <w:rsid w:val="00E53AFE"/>
    <w:rsid w:val="00E53FC8"/>
    <w:rsid w:val="00E54347"/>
    <w:rsid w:val="00E548AC"/>
    <w:rsid w:val="00E54BBB"/>
    <w:rsid w:val="00E55360"/>
    <w:rsid w:val="00E55424"/>
    <w:rsid w:val="00E55720"/>
    <w:rsid w:val="00E55915"/>
    <w:rsid w:val="00E55BB5"/>
    <w:rsid w:val="00E55F4E"/>
    <w:rsid w:val="00E560F2"/>
    <w:rsid w:val="00E56E30"/>
    <w:rsid w:val="00E579BE"/>
    <w:rsid w:val="00E60700"/>
    <w:rsid w:val="00E6082D"/>
    <w:rsid w:val="00E60B37"/>
    <w:rsid w:val="00E60D11"/>
    <w:rsid w:val="00E611DF"/>
    <w:rsid w:val="00E61A5F"/>
    <w:rsid w:val="00E61B3F"/>
    <w:rsid w:val="00E61EB2"/>
    <w:rsid w:val="00E6241A"/>
    <w:rsid w:val="00E6262A"/>
    <w:rsid w:val="00E62CDD"/>
    <w:rsid w:val="00E637B9"/>
    <w:rsid w:val="00E6383A"/>
    <w:rsid w:val="00E63878"/>
    <w:rsid w:val="00E6391C"/>
    <w:rsid w:val="00E63980"/>
    <w:rsid w:val="00E63ABB"/>
    <w:rsid w:val="00E63C90"/>
    <w:rsid w:val="00E644FF"/>
    <w:rsid w:val="00E64B24"/>
    <w:rsid w:val="00E64CFC"/>
    <w:rsid w:val="00E64F9A"/>
    <w:rsid w:val="00E650AA"/>
    <w:rsid w:val="00E65105"/>
    <w:rsid w:val="00E653E4"/>
    <w:rsid w:val="00E65E79"/>
    <w:rsid w:val="00E65F0E"/>
    <w:rsid w:val="00E662A7"/>
    <w:rsid w:val="00E666BD"/>
    <w:rsid w:val="00E66953"/>
    <w:rsid w:val="00E66BA2"/>
    <w:rsid w:val="00E66F18"/>
    <w:rsid w:val="00E67416"/>
    <w:rsid w:val="00E67575"/>
    <w:rsid w:val="00E677FD"/>
    <w:rsid w:val="00E67DC4"/>
    <w:rsid w:val="00E67EF2"/>
    <w:rsid w:val="00E70098"/>
    <w:rsid w:val="00E7024B"/>
    <w:rsid w:val="00E702BC"/>
    <w:rsid w:val="00E704F3"/>
    <w:rsid w:val="00E70518"/>
    <w:rsid w:val="00E71048"/>
    <w:rsid w:val="00E7162E"/>
    <w:rsid w:val="00E718B6"/>
    <w:rsid w:val="00E722AD"/>
    <w:rsid w:val="00E723BA"/>
    <w:rsid w:val="00E73581"/>
    <w:rsid w:val="00E73595"/>
    <w:rsid w:val="00E74107"/>
    <w:rsid w:val="00E74242"/>
    <w:rsid w:val="00E74C2D"/>
    <w:rsid w:val="00E74EB5"/>
    <w:rsid w:val="00E75A8E"/>
    <w:rsid w:val="00E75AA4"/>
    <w:rsid w:val="00E76BD0"/>
    <w:rsid w:val="00E76E3C"/>
    <w:rsid w:val="00E77103"/>
    <w:rsid w:val="00E77119"/>
    <w:rsid w:val="00E7729E"/>
    <w:rsid w:val="00E7770C"/>
    <w:rsid w:val="00E77BDD"/>
    <w:rsid w:val="00E80480"/>
    <w:rsid w:val="00E805A6"/>
    <w:rsid w:val="00E80B66"/>
    <w:rsid w:val="00E80FB0"/>
    <w:rsid w:val="00E81037"/>
    <w:rsid w:val="00E811FF"/>
    <w:rsid w:val="00E81B71"/>
    <w:rsid w:val="00E81DBB"/>
    <w:rsid w:val="00E82409"/>
    <w:rsid w:val="00E824A9"/>
    <w:rsid w:val="00E82598"/>
    <w:rsid w:val="00E8277D"/>
    <w:rsid w:val="00E8332B"/>
    <w:rsid w:val="00E833F7"/>
    <w:rsid w:val="00E83BDF"/>
    <w:rsid w:val="00E8447C"/>
    <w:rsid w:val="00E85454"/>
    <w:rsid w:val="00E86C02"/>
    <w:rsid w:val="00E86C99"/>
    <w:rsid w:val="00E86FCC"/>
    <w:rsid w:val="00E86FEA"/>
    <w:rsid w:val="00E874EF"/>
    <w:rsid w:val="00E87A1D"/>
    <w:rsid w:val="00E87AE9"/>
    <w:rsid w:val="00E904F4"/>
    <w:rsid w:val="00E906AF"/>
    <w:rsid w:val="00E9094A"/>
    <w:rsid w:val="00E9097C"/>
    <w:rsid w:val="00E910AB"/>
    <w:rsid w:val="00E91302"/>
    <w:rsid w:val="00E9162C"/>
    <w:rsid w:val="00E91901"/>
    <w:rsid w:val="00E91C06"/>
    <w:rsid w:val="00E91D35"/>
    <w:rsid w:val="00E91DEE"/>
    <w:rsid w:val="00E926A5"/>
    <w:rsid w:val="00E9346D"/>
    <w:rsid w:val="00E94547"/>
    <w:rsid w:val="00E94807"/>
    <w:rsid w:val="00E94E01"/>
    <w:rsid w:val="00E94ED7"/>
    <w:rsid w:val="00E96002"/>
    <w:rsid w:val="00E962CC"/>
    <w:rsid w:val="00E967A3"/>
    <w:rsid w:val="00E96B22"/>
    <w:rsid w:val="00E970E0"/>
    <w:rsid w:val="00E97A23"/>
    <w:rsid w:val="00E97FD6"/>
    <w:rsid w:val="00EA00DF"/>
    <w:rsid w:val="00EA026F"/>
    <w:rsid w:val="00EA09E6"/>
    <w:rsid w:val="00EA12A0"/>
    <w:rsid w:val="00EA17C3"/>
    <w:rsid w:val="00EA1942"/>
    <w:rsid w:val="00EA1C7B"/>
    <w:rsid w:val="00EA2708"/>
    <w:rsid w:val="00EA2985"/>
    <w:rsid w:val="00EA2CAA"/>
    <w:rsid w:val="00EA2D1B"/>
    <w:rsid w:val="00EA3864"/>
    <w:rsid w:val="00EA43C2"/>
    <w:rsid w:val="00EA464A"/>
    <w:rsid w:val="00EA4908"/>
    <w:rsid w:val="00EA5146"/>
    <w:rsid w:val="00EA5A44"/>
    <w:rsid w:val="00EA5CFA"/>
    <w:rsid w:val="00EA5D77"/>
    <w:rsid w:val="00EA5F9E"/>
    <w:rsid w:val="00EA65A9"/>
    <w:rsid w:val="00EA69AF"/>
    <w:rsid w:val="00EA6C1C"/>
    <w:rsid w:val="00EA7EF1"/>
    <w:rsid w:val="00EA7F1C"/>
    <w:rsid w:val="00EA7FFA"/>
    <w:rsid w:val="00EB0055"/>
    <w:rsid w:val="00EB07DE"/>
    <w:rsid w:val="00EB15B6"/>
    <w:rsid w:val="00EB1C1E"/>
    <w:rsid w:val="00EB3D06"/>
    <w:rsid w:val="00EB46C0"/>
    <w:rsid w:val="00EB4727"/>
    <w:rsid w:val="00EB484D"/>
    <w:rsid w:val="00EB4916"/>
    <w:rsid w:val="00EB4B1C"/>
    <w:rsid w:val="00EB54C3"/>
    <w:rsid w:val="00EB5E25"/>
    <w:rsid w:val="00EB6036"/>
    <w:rsid w:val="00EB62D7"/>
    <w:rsid w:val="00EB6627"/>
    <w:rsid w:val="00EB7882"/>
    <w:rsid w:val="00EB7C7D"/>
    <w:rsid w:val="00EB7DA1"/>
    <w:rsid w:val="00EC00C9"/>
    <w:rsid w:val="00EC0108"/>
    <w:rsid w:val="00EC0D80"/>
    <w:rsid w:val="00EC0DD9"/>
    <w:rsid w:val="00EC11D9"/>
    <w:rsid w:val="00EC153D"/>
    <w:rsid w:val="00EC1ADA"/>
    <w:rsid w:val="00EC1D0E"/>
    <w:rsid w:val="00EC206B"/>
    <w:rsid w:val="00EC2649"/>
    <w:rsid w:val="00EC2EEA"/>
    <w:rsid w:val="00EC3093"/>
    <w:rsid w:val="00EC31ED"/>
    <w:rsid w:val="00EC435C"/>
    <w:rsid w:val="00EC487C"/>
    <w:rsid w:val="00EC5143"/>
    <w:rsid w:val="00EC524E"/>
    <w:rsid w:val="00EC5355"/>
    <w:rsid w:val="00EC549B"/>
    <w:rsid w:val="00EC5836"/>
    <w:rsid w:val="00EC59C4"/>
    <w:rsid w:val="00EC62DC"/>
    <w:rsid w:val="00EC6446"/>
    <w:rsid w:val="00EC688C"/>
    <w:rsid w:val="00EC6B1F"/>
    <w:rsid w:val="00EC6CFA"/>
    <w:rsid w:val="00EC6D39"/>
    <w:rsid w:val="00EC6EAA"/>
    <w:rsid w:val="00EC702A"/>
    <w:rsid w:val="00EC7041"/>
    <w:rsid w:val="00EC7325"/>
    <w:rsid w:val="00EC7354"/>
    <w:rsid w:val="00EC7510"/>
    <w:rsid w:val="00EC7B5E"/>
    <w:rsid w:val="00ED063E"/>
    <w:rsid w:val="00ED0CBB"/>
    <w:rsid w:val="00ED0D5B"/>
    <w:rsid w:val="00ED12E3"/>
    <w:rsid w:val="00ED13AD"/>
    <w:rsid w:val="00ED2290"/>
    <w:rsid w:val="00ED2D09"/>
    <w:rsid w:val="00ED3B08"/>
    <w:rsid w:val="00ED3D2D"/>
    <w:rsid w:val="00ED3DBD"/>
    <w:rsid w:val="00ED428B"/>
    <w:rsid w:val="00ED4B04"/>
    <w:rsid w:val="00ED4DAF"/>
    <w:rsid w:val="00ED50F3"/>
    <w:rsid w:val="00ED52B5"/>
    <w:rsid w:val="00ED57EA"/>
    <w:rsid w:val="00ED5BD4"/>
    <w:rsid w:val="00ED6572"/>
    <w:rsid w:val="00ED6DA3"/>
    <w:rsid w:val="00ED73D2"/>
    <w:rsid w:val="00ED7D14"/>
    <w:rsid w:val="00EE07D3"/>
    <w:rsid w:val="00EE0972"/>
    <w:rsid w:val="00EE1925"/>
    <w:rsid w:val="00EE1996"/>
    <w:rsid w:val="00EE1A65"/>
    <w:rsid w:val="00EE1C01"/>
    <w:rsid w:val="00EE22AF"/>
    <w:rsid w:val="00EE2B65"/>
    <w:rsid w:val="00EE35AC"/>
    <w:rsid w:val="00EE52B8"/>
    <w:rsid w:val="00EE54C8"/>
    <w:rsid w:val="00EE5B6C"/>
    <w:rsid w:val="00EE62B8"/>
    <w:rsid w:val="00EE7C45"/>
    <w:rsid w:val="00EF0171"/>
    <w:rsid w:val="00EF050A"/>
    <w:rsid w:val="00EF0A34"/>
    <w:rsid w:val="00EF0E43"/>
    <w:rsid w:val="00EF12DF"/>
    <w:rsid w:val="00EF151F"/>
    <w:rsid w:val="00EF1B25"/>
    <w:rsid w:val="00EF1D3B"/>
    <w:rsid w:val="00EF1DA0"/>
    <w:rsid w:val="00EF2C96"/>
    <w:rsid w:val="00EF31F8"/>
    <w:rsid w:val="00EF3BBD"/>
    <w:rsid w:val="00EF41EC"/>
    <w:rsid w:val="00EF4747"/>
    <w:rsid w:val="00EF4A7C"/>
    <w:rsid w:val="00EF4BF8"/>
    <w:rsid w:val="00EF53D8"/>
    <w:rsid w:val="00EF54A1"/>
    <w:rsid w:val="00EF59EB"/>
    <w:rsid w:val="00EF5DC3"/>
    <w:rsid w:val="00EF6026"/>
    <w:rsid w:val="00EF62F7"/>
    <w:rsid w:val="00EF65BE"/>
    <w:rsid w:val="00EF7B97"/>
    <w:rsid w:val="00F00113"/>
    <w:rsid w:val="00F00628"/>
    <w:rsid w:val="00F00B71"/>
    <w:rsid w:val="00F00D3C"/>
    <w:rsid w:val="00F01167"/>
    <w:rsid w:val="00F01473"/>
    <w:rsid w:val="00F01C0E"/>
    <w:rsid w:val="00F02032"/>
    <w:rsid w:val="00F02253"/>
    <w:rsid w:val="00F0233A"/>
    <w:rsid w:val="00F02773"/>
    <w:rsid w:val="00F02B0A"/>
    <w:rsid w:val="00F02C67"/>
    <w:rsid w:val="00F0308F"/>
    <w:rsid w:val="00F03C2E"/>
    <w:rsid w:val="00F046F3"/>
    <w:rsid w:val="00F04A66"/>
    <w:rsid w:val="00F04A98"/>
    <w:rsid w:val="00F04B4B"/>
    <w:rsid w:val="00F04DAC"/>
    <w:rsid w:val="00F0516C"/>
    <w:rsid w:val="00F051E5"/>
    <w:rsid w:val="00F0531F"/>
    <w:rsid w:val="00F05DC7"/>
    <w:rsid w:val="00F067A2"/>
    <w:rsid w:val="00F068D7"/>
    <w:rsid w:val="00F069CB"/>
    <w:rsid w:val="00F06C14"/>
    <w:rsid w:val="00F06D5B"/>
    <w:rsid w:val="00F0794C"/>
    <w:rsid w:val="00F07B9E"/>
    <w:rsid w:val="00F07DBC"/>
    <w:rsid w:val="00F10861"/>
    <w:rsid w:val="00F1116F"/>
    <w:rsid w:val="00F1263A"/>
    <w:rsid w:val="00F12E24"/>
    <w:rsid w:val="00F1325D"/>
    <w:rsid w:val="00F139C5"/>
    <w:rsid w:val="00F139F1"/>
    <w:rsid w:val="00F13D3F"/>
    <w:rsid w:val="00F1492D"/>
    <w:rsid w:val="00F150AC"/>
    <w:rsid w:val="00F1540E"/>
    <w:rsid w:val="00F1558D"/>
    <w:rsid w:val="00F156E3"/>
    <w:rsid w:val="00F15783"/>
    <w:rsid w:val="00F15943"/>
    <w:rsid w:val="00F15B77"/>
    <w:rsid w:val="00F161DE"/>
    <w:rsid w:val="00F165F0"/>
    <w:rsid w:val="00F16D30"/>
    <w:rsid w:val="00F1727A"/>
    <w:rsid w:val="00F2019F"/>
    <w:rsid w:val="00F2032D"/>
    <w:rsid w:val="00F208CE"/>
    <w:rsid w:val="00F20A55"/>
    <w:rsid w:val="00F20D19"/>
    <w:rsid w:val="00F20EEE"/>
    <w:rsid w:val="00F21236"/>
    <w:rsid w:val="00F21B0C"/>
    <w:rsid w:val="00F21C1C"/>
    <w:rsid w:val="00F21DC5"/>
    <w:rsid w:val="00F228F1"/>
    <w:rsid w:val="00F22C1B"/>
    <w:rsid w:val="00F239DF"/>
    <w:rsid w:val="00F2457A"/>
    <w:rsid w:val="00F2464C"/>
    <w:rsid w:val="00F24837"/>
    <w:rsid w:val="00F248DD"/>
    <w:rsid w:val="00F24E43"/>
    <w:rsid w:val="00F25285"/>
    <w:rsid w:val="00F253C3"/>
    <w:rsid w:val="00F2558A"/>
    <w:rsid w:val="00F2575F"/>
    <w:rsid w:val="00F268A8"/>
    <w:rsid w:val="00F26986"/>
    <w:rsid w:val="00F27172"/>
    <w:rsid w:val="00F27565"/>
    <w:rsid w:val="00F3061B"/>
    <w:rsid w:val="00F30669"/>
    <w:rsid w:val="00F310D4"/>
    <w:rsid w:val="00F31D5A"/>
    <w:rsid w:val="00F31E8A"/>
    <w:rsid w:val="00F320C5"/>
    <w:rsid w:val="00F335BD"/>
    <w:rsid w:val="00F33975"/>
    <w:rsid w:val="00F33DE9"/>
    <w:rsid w:val="00F346B9"/>
    <w:rsid w:val="00F3480B"/>
    <w:rsid w:val="00F348A4"/>
    <w:rsid w:val="00F34923"/>
    <w:rsid w:val="00F35527"/>
    <w:rsid w:val="00F35B0A"/>
    <w:rsid w:val="00F35E6D"/>
    <w:rsid w:val="00F3619A"/>
    <w:rsid w:val="00F36C7E"/>
    <w:rsid w:val="00F36DBE"/>
    <w:rsid w:val="00F36FB8"/>
    <w:rsid w:val="00F36FD0"/>
    <w:rsid w:val="00F36FD8"/>
    <w:rsid w:val="00F37E36"/>
    <w:rsid w:val="00F40AAA"/>
    <w:rsid w:val="00F40BA7"/>
    <w:rsid w:val="00F40F9D"/>
    <w:rsid w:val="00F41087"/>
    <w:rsid w:val="00F41ACD"/>
    <w:rsid w:val="00F41EDB"/>
    <w:rsid w:val="00F42088"/>
    <w:rsid w:val="00F4270E"/>
    <w:rsid w:val="00F4288C"/>
    <w:rsid w:val="00F42975"/>
    <w:rsid w:val="00F42E0A"/>
    <w:rsid w:val="00F43EE5"/>
    <w:rsid w:val="00F45836"/>
    <w:rsid w:val="00F45C05"/>
    <w:rsid w:val="00F4647A"/>
    <w:rsid w:val="00F46672"/>
    <w:rsid w:val="00F46CB6"/>
    <w:rsid w:val="00F46F5F"/>
    <w:rsid w:val="00F47104"/>
    <w:rsid w:val="00F472EE"/>
    <w:rsid w:val="00F473CD"/>
    <w:rsid w:val="00F4756D"/>
    <w:rsid w:val="00F476AA"/>
    <w:rsid w:val="00F47D02"/>
    <w:rsid w:val="00F47DE8"/>
    <w:rsid w:val="00F47FF1"/>
    <w:rsid w:val="00F50C14"/>
    <w:rsid w:val="00F50DA6"/>
    <w:rsid w:val="00F52038"/>
    <w:rsid w:val="00F5216A"/>
    <w:rsid w:val="00F52553"/>
    <w:rsid w:val="00F52DC0"/>
    <w:rsid w:val="00F52EAC"/>
    <w:rsid w:val="00F542C1"/>
    <w:rsid w:val="00F54CCF"/>
    <w:rsid w:val="00F550E3"/>
    <w:rsid w:val="00F556EA"/>
    <w:rsid w:val="00F557E5"/>
    <w:rsid w:val="00F55AE1"/>
    <w:rsid w:val="00F55E73"/>
    <w:rsid w:val="00F55EDA"/>
    <w:rsid w:val="00F5626B"/>
    <w:rsid w:val="00F56BEE"/>
    <w:rsid w:val="00F56C80"/>
    <w:rsid w:val="00F56E11"/>
    <w:rsid w:val="00F577A7"/>
    <w:rsid w:val="00F57E6C"/>
    <w:rsid w:val="00F60092"/>
    <w:rsid w:val="00F611C0"/>
    <w:rsid w:val="00F6141F"/>
    <w:rsid w:val="00F618E3"/>
    <w:rsid w:val="00F61C18"/>
    <w:rsid w:val="00F620E3"/>
    <w:rsid w:val="00F6357A"/>
    <w:rsid w:val="00F638BA"/>
    <w:rsid w:val="00F639CF"/>
    <w:rsid w:val="00F643DE"/>
    <w:rsid w:val="00F64851"/>
    <w:rsid w:val="00F64F0E"/>
    <w:rsid w:val="00F64F8E"/>
    <w:rsid w:val="00F65088"/>
    <w:rsid w:val="00F65713"/>
    <w:rsid w:val="00F6597C"/>
    <w:rsid w:val="00F65F4B"/>
    <w:rsid w:val="00F66DA1"/>
    <w:rsid w:val="00F6720C"/>
    <w:rsid w:val="00F67657"/>
    <w:rsid w:val="00F67A69"/>
    <w:rsid w:val="00F70BFF"/>
    <w:rsid w:val="00F70C9D"/>
    <w:rsid w:val="00F70E04"/>
    <w:rsid w:val="00F71155"/>
    <w:rsid w:val="00F712AB"/>
    <w:rsid w:val="00F71C19"/>
    <w:rsid w:val="00F7254D"/>
    <w:rsid w:val="00F733FF"/>
    <w:rsid w:val="00F73BC3"/>
    <w:rsid w:val="00F73E08"/>
    <w:rsid w:val="00F73E25"/>
    <w:rsid w:val="00F74CD9"/>
    <w:rsid w:val="00F74CDF"/>
    <w:rsid w:val="00F74EA9"/>
    <w:rsid w:val="00F75056"/>
    <w:rsid w:val="00F750AB"/>
    <w:rsid w:val="00F75E1F"/>
    <w:rsid w:val="00F77033"/>
    <w:rsid w:val="00F772F1"/>
    <w:rsid w:val="00F776DF"/>
    <w:rsid w:val="00F77F80"/>
    <w:rsid w:val="00F8063A"/>
    <w:rsid w:val="00F808E8"/>
    <w:rsid w:val="00F80A7B"/>
    <w:rsid w:val="00F80D97"/>
    <w:rsid w:val="00F80E5D"/>
    <w:rsid w:val="00F80F23"/>
    <w:rsid w:val="00F81DEE"/>
    <w:rsid w:val="00F81E78"/>
    <w:rsid w:val="00F82067"/>
    <w:rsid w:val="00F8222D"/>
    <w:rsid w:val="00F8288E"/>
    <w:rsid w:val="00F82D1D"/>
    <w:rsid w:val="00F82E8C"/>
    <w:rsid w:val="00F83916"/>
    <w:rsid w:val="00F83A04"/>
    <w:rsid w:val="00F83AC8"/>
    <w:rsid w:val="00F84702"/>
    <w:rsid w:val="00F84D00"/>
    <w:rsid w:val="00F851CE"/>
    <w:rsid w:val="00F85786"/>
    <w:rsid w:val="00F863FD"/>
    <w:rsid w:val="00F864E0"/>
    <w:rsid w:val="00F8679E"/>
    <w:rsid w:val="00F86EFA"/>
    <w:rsid w:val="00F87259"/>
    <w:rsid w:val="00F87F0C"/>
    <w:rsid w:val="00F87F3E"/>
    <w:rsid w:val="00F90008"/>
    <w:rsid w:val="00F906C5"/>
    <w:rsid w:val="00F90CD8"/>
    <w:rsid w:val="00F90E8D"/>
    <w:rsid w:val="00F91219"/>
    <w:rsid w:val="00F9148F"/>
    <w:rsid w:val="00F915CA"/>
    <w:rsid w:val="00F91AD6"/>
    <w:rsid w:val="00F91E5A"/>
    <w:rsid w:val="00F920DC"/>
    <w:rsid w:val="00F92444"/>
    <w:rsid w:val="00F92501"/>
    <w:rsid w:val="00F92704"/>
    <w:rsid w:val="00F92A65"/>
    <w:rsid w:val="00F92E38"/>
    <w:rsid w:val="00F9314D"/>
    <w:rsid w:val="00F9393E"/>
    <w:rsid w:val="00F93FF2"/>
    <w:rsid w:val="00F95252"/>
    <w:rsid w:val="00F95445"/>
    <w:rsid w:val="00F95BC6"/>
    <w:rsid w:val="00F9629D"/>
    <w:rsid w:val="00F9641B"/>
    <w:rsid w:val="00F96FD0"/>
    <w:rsid w:val="00F97100"/>
    <w:rsid w:val="00F9771B"/>
    <w:rsid w:val="00F97A78"/>
    <w:rsid w:val="00F97C59"/>
    <w:rsid w:val="00FA048C"/>
    <w:rsid w:val="00FA0B20"/>
    <w:rsid w:val="00FA11AA"/>
    <w:rsid w:val="00FA1390"/>
    <w:rsid w:val="00FA16DC"/>
    <w:rsid w:val="00FA1795"/>
    <w:rsid w:val="00FA1A79"/>
    <w:rsid w:val="00FA2057"/>
    <w:rsid w:val="00FA24E7"/>
    <w:rsid w:val="00FA376B"/>
    <w:rsid w:val="00FA38D4"/>
    <w:rsid w:val="00FA3AA0"/>
    <w:rsid w:val="00FA3B2E"/>
    <w:rsid w:val="00FA5B32"/>
    <w:rsid w:val="00FA5CF7"/>
    <w:rsid w:val="00FA5EE6"/>
    <w:rsid w:val="00FA67F0"/>
    <w:rsid w:val="00FA695B"/>
    <w:rsid w:val="00FA757B"/>
    <w:rsid w:val="00FA77B2"/>
    <w:rsid w:val="00FA7956"/>
    <w:rsid w:val="00FA7D74"/>
    <w:rsid w:val="00FB034F"/>
    <w:rsid w:val="00FB0824"/>
    <w:rsid w:val="00FB2489"/>
    <w:rsid w:val="00FB2FCB"/>
    <w:rsid w:val="00FB315C"/>
    <w:rsid w:val="00FB4C9C"/>
    <w:rsid w:val="00FB4DF7"/>
    <w:rsid w:val="00FB5585"/>
    <w:rsid w:val="00FB5924"/>
    <w:rsid w:val="00FB61A8"/>
    <w:rsid w:val="00FB6285"/>
    <w:rsid w:val="00FB78C1"/>
    <w:rsid w:val="00FB7B59"/>
    <w:rsid w:val="00FB7C55"/>
    <w:rsid w:val="00FC0013"/>
    <w:rsid w:val="00FC016C"/>
    <w:rsid w:val="00FC0BFF"/>
    <w:rsid w:val="00FC0D8D"/>
    <w:rsid w:val="00FC0E47"/>
    <w:rsid w:val="00FC0F1C"/>
    <w:rsid w:val="00FC1074"/>
    <w:rsid w:val="00FC1884"/>
    <w:rsid w:val="00FC212C"/>
    <w:rsid w:val="00FC25E7"/>
    <w:rsid w:val="00FC309A"/>
    <w:rsid w:val="00FC371D"/>
    <w:rsid w:val="00FC3B88"/>
    <w:rsid w:val="00FC3C43"/>
    <w:rsid w:val="00FC3F9C"/>
    <w:rsid w:val="00FC4011"/>
    <w:rsid w:val="00FC44A3"/>
    <w:rsid w:val="00FC45DB"/>
    <w:rsid w:val="00FC4B6B"/>
    <w:rsid w:val="00FC4FC2"/>
    <w:rsid w:val="00FC5205"/>
    <w:rsid w:val="00FC55B7"/>
    <w:rsid w:val="00FC5F0B"/>
    <w:rsid w:val="00FC6126"/>
    <w:rsid w:val="00FC636A"/>
    <w:rsid w:val="00FC681E"/>
    <w:rsid w:val="00FC71EB"/>
    <w:rsid w:val="00FC728D"/>
    <w:rsid w:val="00FC7540"/>
    <w:rsid w:val="00FC7D34"/>
    <w:rsid w:val="00FD17C5"/>
    <w:rsid w:val="00FD1973"/>
    <w:rsid w:val="00FD1C10"/>
    <w:rsid w:val="00FD2100"/>
    <w:rsid w:val="00FD234E"/>
    <w:rsid w:val="00FD2B50"/>
    <w:rsid w:val="00FD3176"/>
    <w:rsid w:val="00FD36ED"/>
    <w:rsid w:val="00FD3758"/>
    <w:rsid w:val="00FD3B41"/>
    <w:rsid w:val="00FD3EF5"/>
    <w:rsid w:val="00FD436C"/>
    <w:rsid w:val="00FD4435"/>
    <w:rsid w:val="00FD446D"/>
    <w:rsid w:val="00FD4C52"/>
    <w:rsid w:val="00FD4E82"/>
    <w:rsid w:val="00FD4F2C"/>
    <w:rsid w:val="00FD5395"/>
    <w:rsid w:val="00FD58D4"/>
    <w:rsid w:val="00FD6394"/>
    <w:rsid w:val="00FD6980"/>
    <w:rsid w:val="00FD7CCD"/>
    <w:rsid w:val="00FE0476"/>
    <w:rsid w:val="00FE09C1"/>
    <w:rsid w:val="00FE0CA4"/>
    <w:rsid w:val="00FE0D77"/>
    <w:rsid w:val="00FE0E6C"/>
    <w:rsid w:val="00FE119A"/>
    <w:rsid w:val="00FE1C00"/>
    <w:rsid w:val="00FE1CDC"/>
    <w:rsid w:val="00FE21AE"/>
    <w:rsid w:val="00FE236D"/>
    <w:rsid w:val="00FE2401"/>
    <w:rsid w:val="00FE2FA0"/>
    <w:rsid w:val="00FE3070"/>
    <w:rsid w:val="00FE308C"/>
    <w:rsid w:val="00FE38DA"/>
    <w:rsid w:val="00FE4120"/>
    <w:rsid w:val="00FE53A9"/>
    <w:rsid w:val="00FE560E"/>
    <w:rsid w:val="00FE70C3"/>
    <w:rsid w:val="00FE7E6C"/>
    <w:rsid w:val="00FF0051"/>
    <w:rsid w:val="00FF12D7"/>
    <w:rsid w:val="00FF17E4"/>
    <w:rsid w:val="00FF1A8B"/>
    <w:rsid w:val="00FF2AD9"/>
    <w:rsid w:val="00FF2BCA"/>
    <w:rsid w:val="00FF359F"/>
    <w:rsid w:val="00FF39B3"/>
    <w:rsid w:val="00FF3DCF"/>
    <w:rsid w:val="00FF492C"/>
    <w:rsid w:val="00FF4A21"/>
    <w:rsid w:val="00FF5AA3"/>
    <w:rsid w:val="00FF5AD8"/>
    <w:rsid w:val="00FF5B68"/>
    <w:rsid w:val="00FF60EE"/>
    <w:rsid w:val="00FF6121"/>
    <w:rsid w:val="00FF64F7"/>
    <w:rsid w:val="00FF654B"/>
    <w:rsid w:val="00FF721F"/>
    <w:rsid w:val="00FF7240"/>
    <w:rsid w:val="00FF7406"/>
    <w:rsid w:val="00FF76F3"/>
    <w:rsid w:val="00FF7AD1"/>
    <w:rsid w:val="22DF9C97"/>
    <w:rsid w:val="276881FB"/>
    <w:rsid w:val="47573929"/>
    <w:rsid w:val="4930ABBB"/>
    <w:rsid w:val="5C9F1D7C"/>
    <w:rsid w:val="5FE817EF"/>
    <w:rsid w:val="6C858C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86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Procedure Outlined,Body Text Char1 Char Char1 Char,Body Text Char1 Char Char1 Char Char Char,Body Text Char Char Char Char Char Char Char,Body Text Char1,Body Text Char1 Char1,Body Text Char Char1 Char1,Body Text Char2 Char Char Char Char1"/>
    <w:basedOn w:val="Normal"/>
    <w:link w:val="BodyTextChar"/>
    <w:rsid w:val="004B3DDB"/>
    <w:pPr>
      <w:jc w:val="left"/>
    </w:pPr>
  </w:style>
  <w:style w:type="character" w:customStyle="1" w:styleId="BodyTextChar">
    <w:name w:val="Body Text Char"/>
    <w:aliases w:val="Procedure Outlined Char,Body Text Char1 Char Char1 Char Char,Body Text Char1 Char Char1 Char Char Char Char,Body Text Char Char Char Char Char Char Char Char,Body Text Char1 Char,Body Text Char1 Char1 Char,Body Text Char Char1 Char1 Char"/>
    <w:basedOn w:val="DefaultParagraphFont"/>
    <w:link w:val="BodyText"/>
    <w:uiPriority w:val="1"/>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Dossier table,Section 3- footnotes,Header Table,NICE instructions,Source table_,HealthConsult,new style,PBAC table,Lash Style Table,HTAtableplain,PHE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Annotationtext,Car17,Car17 Car,Char Char Char,Char Char1,Comment Text Char Char,Comment Text Char Char Char,Comment Text Char Char1,Comment Text Char1 Char,Comment Text Char1,Merknadstekst,Kommentartext,Char Char Ch, Car17, Car17 C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Annotationtext Char,Car17 Char,Car17 Car Char,Char Char Char Char,Char Char1 Char,Comment Text Char Char Char1,Comment Text Char Char Char Char,Comment Text Char Char1 Char,Comment Text Char1 Char Char,Merknadsteks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paragraph" w:styleId="FootnoteText">
    <w:name w:val="footnote text"/>
    <w:basedOn w:val="Normal"/>
    <w:link w:val="FootnoteTextChar"/>
    <w:unhideWhenUsed/>
    <w:rsid w:val="00266523"/>
    <w:rPr>
      <w:sz w:val="20"/>
      <w:szCs w:val="20"/>
    </w:rPr>
  </w:style>
  <w:style w:type="character" w:customStyle="1" w:styleId="FootnoteTextChar">
    <w:name w:val="Footnote Text Char"/>
    <w:basedOn w:val="DefaultParagraphFont"/>
    <w:link w:val="FootnoteText"/>
    <w:rsid w:val="00266523"/>
    <w:rPr>
      <w:rFonts w:ascii="Calibri" w:hAnsi="Calibri" w:cs="Arial"/>
    </w:rPr>
  </w:style>
  <w:style w:type="character" w:styleId="FootnoteReference">
    <w:name w:val="footnote reference"/>
    <w:basedOn w:val="DefaultParagraphFont"/>
    <w:semiHidden/>
    <w:unhideWhenUsed/>
    <w:rsid w:val="00266523"/>
    <w:rPr>
      <w:vertAlign w:val="superscript"/>
    </w:rPr>
  </w:style>
  <w:style w:type="character" w:styleId="UnresolvedMention">
    <w:name w:val="Unresolved Mention"/>
    <w:basedOn w:val="DefaultParagraphFont"/>
    <w:uiPriority w:val="99"/>
    <w:semiHidden/>
    <w:unhideWhenUsed/>
    <w:rsid w:val="00266523"/>
    <w:rPr>
      <w:color w:val="605E5C"/>
      <w:shd w:val="clear" w:color="auto" w:fill="E1DFDD"/>
    </w:rPr>
  </w:style>
  <w:style w:type="character" w:styleId="Strong">
    <w:name w:val="Strong"/>
    <w:uiPriority w:val="22"/>
    <w:qFormat/>
    <w:rsid w:val="00E20FC1"/>
    <w:rPr>
      <w:b/>
    </w:rPr>
  </w:style>
  <w:style w:type="paragraph" w:customStyle="1" w:styleId="PBACTabletext">
    <w:name w:val="PBAC Table text"/>
    <w:qFormat/>
    <w:rsid w:val="00E20FC1"/>
    <w:pPr>
      <w:keepLines/>
      <w:suppressLineNumbers/>
      <w:spacing w:after="80"/>
      <w:textboxTightWrap w:val="allLines"/>
    </w:pPr>
    <w:rPr>
      <w:rFonts w:ascii="Arial Narrow" w:hAnsi="Arial Narrow" w:cs="Arial"/>
      <w:szCs w:val="24"/>
      <w:lang w:eastAsia="en-GB"/>
    </w:rPr>
  </w:style>
  <w:style w:type="paragraph" w:customStyle="1" w:styleId="TableBullet">
    <w:name w:val="Table Bullet"/>
    <w:basedOn w:val="TableText0"/>
    <w:qFormat/>
    <w:rsid w:val="009E37BD"/>
    <w:pPr>
      <w:keepNext w:val="0"/>
      <w:keepLines w:val="0"/>
      <w:numPr>
        <w:numId w:val="7"/>
      </w:numPr>
      <w:spacing w:before="40" w:after="40" w:line="276" w:lineRule="auto"/>
    </w:pPr>
    <w:rPr>
      <w:rFonts w:eastAsiaTheme="minorHAnsi" w:cs="Calibri (Body)"/>
      <w:bCs w:val="0"/>
      <w:szCs w:val="20"/>
      <w:lang w:eastAsia="en-US"/>
    </w:rPr>
  </w:style>
  <w:style w:type="paragraph" w:customStyle="1" w:styleId="BulletLast">
    <w:name w:val="Bullet Last"/>
    <w:basedOn w:val="bullet"/>
    <w:qFormat/>
    <w:rsid w:val="0056478E"/>
    <w:pPr>
      <w:numPr>
        <w:numId w:val="9"/>
      </w:numPr>
      <w:spacing w:after="240" w:line="276" w:lineRule="auto"/>
      <w:contextualSpacing/>
    </w:pPr>
    <w:rPr>
      <w:rFonts w:asciiTheme="minorHAnsi" w:eastAsiaTheme="minorHAnsi" w:hAnsiTheme="minorHAnsi" w:cs="Calibri (Body)"/>
      <w:i w:val="0"/>
      <w:szCs w:val="20"/>
    </w:rPr>
  </w:style>
  <w:style w:type="character" w:styleId="PlaceholderText">
    <w:name w:val="Placeholder Text"/>
    <w:basedOn w:val="DefaultParagraphFont"/>
    <w:uiPriority w:val="99"/>
    <w:semiHidden/>
    <w:rsid w:val="006A3DF9"/>
    <w:rPr>
      <w:color w:val="666666"/>
    </w:rPr>
  </w:style>
  <w:style w:type="table" w:customStyle="1" w:styleId="HeaderTab1">
    <w:name w:val="Header Tab1"/>
    <w:basedOn w:val="TableNormal"/>
    <w:next w:val="TableGrid"/>
    <w:uiPriority w:val="39"/>
    <w:rsid w:val="008D6D2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512BB"/>
    <w:pPr>
      <w:jc w:val="center"/>
    </w:pPr>
    <w:rPr>
      <w:rFonts w:ascii="Arial Narrow" w:hAnsi="Arial Narrow"/>
      <w:noProof/>
      <w:sz w:val="18"/>
    </w:rPr>
  </w:style>
  <w:style w:type="character" w:customStyle="1" w:styleId="EndNoteBibliographyTitleChar">
    <w:name w:val="EndNote Bibliography Title Char"/>
    <w:basedOn w:val="TableTextChar0"/>
    <w:link w:val="EndNoteBibliographyTitle"/>
    <w:rsid w:val="00B512BB"/>
    <w:rPr>
      <w:rFonts w:ascii="Arial Narrow" w:eastAsiaTheme="majorEastAsia" w:hAnsi="Arial Narrow" w:cs="Arial"/>
      <w:bCs w:val="0"/>
      <w:noProof/>
      <w:sz w:val="18"/>
      <w:szCs w:val="24"/>
    </w:rPr>
  </w:style>
  <w:style w:type="paragraph" w:customStyle="1" w:styleId="EndNoteBibliography">
    <w:name w:val="EndNote Bibliography"/>
    <w:basedOn w:val="Normal"/>
    <w:link w:val="EndNoteBibliographyChar"/>
    <w:rsid w:val="00B512BB"/>
    <w:pPr>
      <w:jc w:val="left"/>
    </w:pPr>
    <w:rPr>
      <w:rFonts w:ascii="Arial Narrow" w:hAnsi="Arial Narrow"/>
      <w:noProof/>
      <w:sz w:val="18"/>
    </w:rPr>
  </w:style>
  <w:style w:type="character" w:customStyle="1" w:styleId="EndNoteBibliographyChar">
    <w:name w:val="EndNote Bibliography Char"/>
    <w:basedOn w:val="TableTextChar0"/>
    <w:link w:val="EndNoteBibliography"/>
    <w:rsid w:val="00B512BB"/>
    <w:rPr>
      <w:rFonts w:ascii="Arial Narrow" w:eastAsiaTheme="majorEastAsia" w:hAnsi="Arial Narrow" w:cs="Arial"/>
      <w:bCs w:val="0"/>
      <w:noProof/>
      <w:sz w:val="18"/>
      <w:szCs w:val="24"/>
    </w:rPr>
  </w:style>
  <w:style w:type="character" w:styleId="Mention">
    <w:name w:val="Mention"/>
    <w:basedOn w:val="DefaultParagraphFont"/>
    <w:uiPriority w:val="99"/>
    <w:unhideWhenUsed/>
    <w:rsid w:val="002B72B1"/>
    <w:rPr>
      <w:color w:val="2B579A"/>
      <w:shd w:val="clear" w:color="auto" w:fill="E1DFDD"/>
    </w:rPr>
  </w:style>
  <w:style w:type="paragraph" w:customStyle="1" w:styleId="3-SubsectionHeading">
    <w:name w:val="3-Subsection Heading"/>
    <w:basedOn w:val="Heading2"/>
    <w:next w:val="Normal"/>
    <w:link w:val="3-SubsectionHeadingChar"/>
    <w:qFormat/>
    <w:rsid w:val="003D6CE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D6CEE"/>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nd.org/content/dam/rand/www/external/health/surveys_tools/vfq/vfq25survey_selfadmin.pdf" TargetMode="External"/><Relationship Id="rId1" Type="http://schemas.openxmlformats.org/officeDocument/2006/relationships/hyperlink" Target="https://www.mdfoundation.com.au/wp-content/uploads/2024/08/13283-MDFA-New-HCP-Training-Manual-A4x24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C238BD11-3777-4058-8AB9-280DACF4B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C4FF6-8A0F-4B65-8907-00AFBE2BEAE0}">
  <ds:schemaRefs>
    <ds:schemaRef ds:uri="http://schemas.openxmlformats.org/officeDocument/2006/bibliography"/>
  </ds:schemaRefs>
</ds:datastoreItem>
</file>

<file path=customXml/itemProps3.xml><?xml version="1.0" encoding="utf-8"?>
<ds:datastoreItem xmlns:ds="http://schemas.openxmlformats.org/officeDocument/2006/customXml" ds:itemID="{6E14C2FC-7F62-4B0A-B6F7-69F83DC89898}">
  <ds:schemaRefs>
    <ds:schemaRef ds:uri="http://schemas.microsoft.com/sharepoint/v3/contenttype/forms"/>
  </ds:schemaRefs>
</ds:datastoreItem>
</file>

<file path=customXml/itemProps4.xml><?xml version="1.0" encoding="utf-8"?>
<ds:datastoreItem xmlns:ds="http://schemas.openxmlformats.org/officeDocument/2006/customXml" ds:itemID="{A600A115-0E65-4C2A-BD23-89D1225B657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22420</Words>
  <Characters>125556</Characters>
  <Application>Microsoft Office Word</Application>
  <DocSecurity>0</DocSecurity>
  <Lines>3304</Lines>
  <Paragraphs>1921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146055</CharactersWithSpaces>
  <SharedDoc>false</SharedDoc>
  <HLinks>
    <vt:vector size="12" baseType="variant">
      <vt:variant>
        <vt:i4>1900623</vt:i4>
      </vt:variant>
      <vt:variant>
        <vt:i4>3</vt:i4>
      </vt:variant>
      <vt:variant>
        <vt:i4>0</vt:i4>
      </vt:variant>
      <vt:variant>
        <vt:i4>5</vt:i4>
      </vt:variant>
      <vt:variant>
        <vt:lpwstr>https://www.rand.org/content/dam/rand/www/external/health/surveys_tools/vfq/vfq25survey_selfadmin.pdf</vt:lpwstr>
      </vt:variant>
      <vt:variant>
        <vt:lpwstr/>
      </vt:variant>
      <vt:variant>
        <vt:i4>852059</vt:i4>
      </vt:variant>
      <vt:variant>
        <vt:i4>0</vt:i4>
      </vt:variant>
      <vt:variant>
        <vt:i4>0</vt:i4>
      </vt:variant>
      <vt:variant>
        <vt:i4>5</vt:i4>
      </vt:variant>
      <vt:variant>
        <vt:lpwstr>https://www.mdfoundation.com.au/wp-content/uploads/2024/08/13283-MDFA-New-HCP-Training-Manual-A4x24PP.pdf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2026-04-02T04:40:00Z</dcterms:created>
  <dcterms:modified xsi:type="dcterms:W3CDTF">2026-07-06T02:55:00Z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7ec64f3f,328b55ba,78b0596a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249bd59,5c5fe8ce,6e90f6b4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2026-04-02T04:40:58Z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2815061e-cf56-48c6-9411-e92ccd1d9468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Order">
    <vt:r8>59912200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