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5F982" w14:textId="39BDE13E" w:rsidR="00303211" w:rsidRPr="001C4FE6" w:rsidRDefault="008F000C" w:rsidP="004B083B">
      <w:pPr>
        <w:pStyle w:val="COMH1-notnumbered"/>
        <w:spacing w:before="160"/>
        <w:rPr>
          <w:rFonts w:cstheme="minorHAnsi"/>
        </w:rPr>
      </w:pPr>
      <w:bookmarkStart w:id="0" w:name="_Toc216092651"/>
      <w:bookmarkStart w:id="1" w:name="_Toc219811810"/>
      <w:bookmarkStart w:id="2" w:name="_Toc380679747"/>
      <w:bookmarkStart w:id="3" w:name="_Toc380742604"/>
      <w:bookmarkStart w:id="4" w:name="_Toc380746171"/>
      <w:bookmarkStart w:id="5" w:name="_Toc380746294"/>
      <w:bookmarkStart w:id="6" w:name="_Toc380746578"/>
      <w:r w:rsidRPr="001C4FE6">
        <w:rPr>
          <w:rFonts w:cstheme="minorHAnsi"/>
        </w:rPr>
        <w:t>5</w:t>
      </w:r>
      <w:r w:rsidR="00303211" w:rsidRPr="001C4FE6">
        <w:rPr>
          <w:rFonts w:cstheme="minorHAnsi"/>
        </w:rPr>
        <w:t>.</w:t>
      </w:r>
      <w:r w:rsidRPr="001C4FE6">
        <w:rPr>
          <w:rFonts w:cstheme="minorHAnsi"/>
        </w:rPr>
        <w:t>04</w:t>
      </w:r>
      <w:r w:rsidR="00303211" w:rsidRPr="001C4FE6">
        <w:rPr>
          <w:rFonts w:cstheme="minorHAnsi"/>
        </w:rPr>
        <w:tab/>
        <w:t>CANAKINUMAB,</w:t>
      </w:r>
      <w:r w:rsidR="00303211" w:rsidRPr="001C4FE6">
        <w:rPr>
          <w:rFonts w:cstheme="minorHAnsi"/>
        </w:rPr>
        <w:br/>
      </w:r>
      <w:r w:rsidR="003C0071">
        <w:rPr>
          <w:rFonts w:cstheme="minorHAnsi"/>
        </w:rPr>
        <w:t>S</w:t>
      </w:r>
      <w:r w:rsidR="00303211" w:rsidRPr="001C4FE6">
        <w:rPr>
          <w:rFonts w:cstheme="minorHAnsi"/>
        </w:rPr>
        <w:t>olution for injection</w:t>
      </w:r>
      <w:r w:rsidR="009E40CF" w:rsidRPr="001C4FE6">
        <w:rPr>
          <w:rFonts w:cstheme="minorHAnsi"/>
        </w:rPr>
        <w:t xml:space="preserve"> 1</w:t>
      </w:r>
      <w:r w:rsidR="00303211" w:rsidRPr="001C4FE6">
        <w:rPr>
          <w:rFonts w:cstheme="minorHAnsi"/>
        </w:rPr>
        <w:t>50 mg in 1 mL,</w:t>
      </w:r>
      <w:r w:rsidR="00303211" w:rsidRPr="001C4FE6">
        <w:rPr>
          <w:rFonts w:cstheme="minorHAnsi"/>
        </w:rPr>
        <w:br/>
      </w:r>
      <w:proofErr w:type="spellStart"/>
      <w:r w:rsidR="00303211" w:rsidRPr="001C4FE6">
        <w:rPr>
          <w:rFonts w:cstheme="minorHAnsi"/>
        </w:rPr>
        <w:t>Ilaris</w:t>
      </w:r>
      <w:proofErr w:type="spellEnd"/>
      <w:r w:rsidR="00303211" w:rsidRPr="001C4FE6">
        <w:rPr>
          <w:rFonts w:cstheme="minorHAnsi"/>
          <w:vertAlign w:val="superscript"/>
        </w:rPr>
        <w:t>®</w:t>
      </w:r>
      <w:r w:rsidR="00303211" w:rsidRPr="001C4FE6">
        <w:rPr>
          <w:rFonts w:cstheme="minorHAnsi"/>
        </w:rPr>
        <w:t>,</w:t>
      </w:r>
      <w:r w:rsidR="00303211" w:rsidRPr="001C4FE6">
        <w:rPr>
          <w:rFonts w:cstheme="minorHAnsi"/>
        </w:rPr>
        <w:br/>
        <w:t>Novartis Pharmaceuticals Australia Pty Ltd.</w:t>
      </w:r>
      <w:bookmarkEnd w:id="0"/>
      <w:bookmarkEnd w:id="1"/>
    </w:p>
    <w:p w14:paraId="0C94AC8B" w14:textId="77777777" w:rsidR="00303211" w:rsidRPr="001C4FE6" w:rsidRDefault="00303211" w:rsidP="004B083B">
      <w:pPr>
        <w:pStyle w:val="COMESH2"/>
        <w:spacing w:before="160" w:after="160"/>
        <w:rPr>
          <w:rFonts w:cstheme="minorHAnsi"/>
        </w:rPr>
      </w:pPr>
      <w:bookmarkStart w:id="7" w:name="_Toc216092653"/>
      <w:bookmarkStart w:id="8" w:name="_Toc219811812"/>
      <w:r w:rsidRPr="001C4FE6">
        <w:rPr>
          <w:rFonts w:cstheme="minorHAnsi"/>
        </w:rPr>
        <w:t>Purpose of submission</w:t>
      </w:r>
      <w:bookmarkEnd w:id="7"/>
      <w:bookmarkEnd w:id="8"/>
    </w:p>
    <w:p w14:paraId="3EAC107C" w14:textId="79C03FEC" w:rsidR="00303211" w:rsidRPr="001C4FE6" w:rsidRDefault="00303211" w:rsidP="004B083B">
      <w:pPr>
        <w:pStyle w:val="COMESnumberedpara"/>
        <w:spacing w:before="160" w:after="160"/>
        <w:rPr>
          <w:rFonts w:cstheme="minorHAnsi"/>
        </w:rPr>
      </w:pPr>
      <w:r w:rsidRPr="001C4FE6">
        <w:rPr>
          <w:rFonts w:cstheme="minorHAnsi"/>
        </w:rPr>
        <w:t xml:space="preserve">The Category 1 submission requested </w:t>
      </w:r>
      <w:r w:rsidR="002C5108" w:rsidRPr="001C4FE6">
        <w:rPr>
          <w:rFonts w:cstheme="minorHAnsi"/>
        </w:rPr>
        <w:t xml:space="preserve">a </w:t>
      </w:r>
      <w:r w:rsidRPr="001C4FE6">
        <w:rPr>
          <w:rFonts w:cstheme="minorHAnsi"/>
        </w:rPr>
        <w:t>Section 100 (Highly Specialised Drugs Program) Authority Required listing for canakinumab</w:t>
      </w:r>
      <w:r w:rsidR="002C5108" w:rsidRPr="001C4FE6">
        <w:rPr>
          <w:rFonts w:cstheme="minorHAnsi"/>
        </w:rPr>
        <w:t>,</w:t>
      </w:r>
      <w:r w:rsidRPr="001C4FE6">
        <w:rPr>
          <w:rFonts w:cstheme="minorHAnsi"/>
        </w:rPr>
        <w:t xml:space="preserve"> for the treatment of paediatric colchicine-resistant or intolerant familial Mediterranean fever (FMF) patients who continue canakinumab treatment into adulthood (provided they initiated canakinumab treatment before turning 18 years of age). </w:t>
      </w:r>
    </w:p>
    <w:p w14:paraId="6A014387" w14:textId="2B225B84" w:rsidR="00303211" w:rsidRPr="001C4FE6" w:rsidRDefault="00303211" w:rsidP="004B083B">
      <w:pPr>
        <w:pStyle w:val="COMESnumberedpara"/>
        <w:spacing w:before="160" w:after="160"/>
        <w:rPr>
          <w:rFonts w:cstheme="minorHAnsi"/>
        </w:rPr>
      </w:pPr>
      <w:r w:rsidRPr="001C4FE6">
        <w:rPr>
          <w:rFonts w:cstheme="minorHAnsi"/>
        </w:rPr>
        <w:t xml:space="preserve">Listing was requested </w:t>
      </w:r>
      <w:proofErr w:type="gramStart"/>
      <w:r w:rsidRPr="001C4FE6">
        <w:rPr>
          <w:rFonts w:cstheme="minorHAnsi"/>
        </w:rPr>
        <w:t>on the basis of</w:t>
      </w:r>
      <w:proofErr w:type="gramEnd"/>
      <w:r w:rsidRPr="001C4FE6">
        <w:rPr>
          <w:rFonts w:cstheme="minorHAnsi"/>
        </w:rPr>
        <w:t xml:space="preserve"> a cost-effectiveness analysis versus best supportive care</w:t>
      </w:r>
      <w:r w:rsidR="0069457C" w:rsidRPr="001C4FE6">
        <w:rPr>
          <w:rFonts w:cstheme="minorHAnsi"/>
        </w:rPr>
        <w:t xml:space="preserve"> (BSC)</w:t>
      </w:r>
      <w:r w:rsidRPr="001C4FE6">
        <w:rPr>
          <w:rFonts w:cstheme="minorHAnsi"/>
        </w:rPr>
        <w:t xml:space="preserve">, comprised of colchicine at the maximum tolerated dose, symptomatic treatment with </w:t>
      </w:r>
      <w:r w:rsidR="002C5108" w:rsidRPr="001C4FE6">
        <w:rPr>
          <w:rFonts w:cstheme="minorHAnsi"/>
        </w:rPr>
        <w:t>non-steroidal anti-inflammatory drugs (</w:t>
      </w:r>
      <w:r w:rsidRPr="001C4FE6">
        <w:rPr>
          <w:rFonts w:cstheme="minorHAnsi"/>
        </w:rPr>
        <w:t>NSAIDs</w:t>
      </w:r>
      <w:r w:rsidR="002C5108" w:rsidRPr="001C4FE6">
        <w:rPr>
          <w:rFonts w:cstheme="minorHAnsi"/>
        </w:rPr>
        <w:t>)</w:t>
      </w:r>
      <w:r w:rsidRPr="001C4FE6">
        <w:rPr>
          <w:rFonts w:cstheme="minorHAnsi"/>
        </w:rPr>
        <w:t>, and oral corticosteroids where necessary for protracted febrile myalgia.</w:t>
      </w:r>
      <w:r w:rsidR="00B90395" w:rsidRPr="00B90395">
        <w:rPr>
          <w:rFonts w:cstheme="minorHAnsi"/>
          <w:color w:val="0066FF"/>
        </w:rPr>
        <w:t xml:space="preserve"> </w:t>
      </w:r>
    </w:p>
    <w:p w14:paraId="4D88941E" w14:textId="2274703A" w:rsidR="00303211" w:rsidRPr="0098262F" w:rsidRDefault="00303211" w:rsidP="004B083B">
      <w:pPr>
        <w:pStyle w:val="COMTableFigurecaption"/>
        <w:rPr>
          <w:b w:val="0"/>
        </w:rPr>
      </w:pPr>
      <w:r w:rsidRPr="0098262F">
        <w:t xml:space="preserve">Table </w:t>
      </w:r>
      <w:fldSimple w:instr=" SEQ Table \* ARABIC ">
        <w:r w:rsidR="00815AB6">
          <w:rPr>
            <w:noProof/>
          </w:rPr>
          <w:t>1</w:t>
        </w:r>
      </w:fldSimple>
      <w:r w:rsidRPr="0098262F">
        <w:t xml:space="preserve">: Key components of the clinical issue addressed </w:t>
      </w:r>
      <w:r>
        <w:t>in</w:t>
      </w:r>
      <w:r w:rsidRPr="0098262F">
        <w:t xml:space="preserve"> the 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submission (as stated in the submission)"/>
      </w:tblPr>
      <w:tblGrid>
        <w:gridCol w:w="1668"/>
        <w:gridCol w:w="7488"/>
      </w:tblGrid>
      <w:tr w:rsidR="00303211" w:rsidRPr="0098262F" w14:paraId="5C7A23E6" w14:textId="77777777">
        <w:tc>
          <w:tcPr>
            <w:tcW w:w="1668" w:type="dxa"/>
            <w:vAlign w:val="center"/>
          </w:tcPr>
          <w:p w14:paraId="0BA72954" w14:textId="77777777" w:rsidR="00303211" w:rsidRPr="0098262F" w:rsidRDefault="00303211" w:rsidP="004B083B">
            <w:pPr>
              <w:pStyle w:val="COMTableheadingrow"/>
            </w:pPr>
            <w:bookmarkStart w:id="9" w:name="_Toc216092654"/>
            <w:r w:rsidRPr="0098262F">
              <w:t>Component</w:t>
            </w:r>
          </w:p>
        </w:tc>
        <w:tc>
          <w:tcPr>
            <w:tcW w:w="7488" w:type="dxa"/>
            <w:vAlign w:val="center"/>
          </w:tcPr>
          <w:p w14:paraId="26E93A9B" w14:textId="77777777" w:rsidR="00303211" w:rsidRPr="0098262F" w:rsidRDefault="00303211" w:rsidP="004B083B">
            <w:pPr>
              <w:pStyle w:val="COMTableheadingrow"/>
            </w:pPr>
            <w:r w:rsidRPr="0098262F">
              <w:t>Description</w:t>
            </w:r>
          </w:p>
        </w:tc>
      </w:tr>
      <w:tr w:rsidR="00303211" w:rsidRPr="0098262F" w14:paraId="68BE4442" w14:textId="77777777">
        <w:tc>
          <w:tcPr>
            <w:tcW w:w="1668" w:type="dxa"/>
            <w:vAlign w:val="center"/>
          </w:tcPr>
          <w:p w14:paraId="54C0155B" w14:textId="77777777" w:rsidR="00303211" w:rsidRPr="0098262F" w:rsidRDefault="00303211" w:rsidP="004B083B">
            <w:pPr>
              <w:pStyle w:val="COMTabletext"/>
            </w:pPr>
            <w:r w:rsidRPr="0098262F">
              <w:t>Population</w:t>
            </w:r>
          </w:p>
        </w:tc>
        <w:tc>
          <w:tcPr>
            <w:tcW w:w="7488" w:type="dxa"/>
            <w:vAlign w:val="center"/>
          </w:tcPr>
          <w:p w14:paraId="680025FD" w14:textId="77777777" w:rsidR="00303211" w:rsidRPr="0098262F" w:rsidRDefault="00303211" w:rsidP="004B083B">
            <w:pPr>
              <w:pStyle w:val="COMTabletext"/>
            </w:pPr>
            <w:r>
              <w:t>Paediatric patients with colchicine-resistant or intolerant FMF, continuing treatment into adulthood provided the first dose of canakinumab is received prior to turning 18 years of age.</w:t>
            </w:r>
          </w:p>
        </w:tc>
      </w:tr>
      <w:tr w:rsidR="00303211" w:rsidRPr="0098262F" w14:paraId="200F1D53" w14:textId="77777777">
        <w:tc>
          <w:tcPr>
            <w:tcW w:w="1668" w:type="dxa"/>
            <w:vAlign w:val="center"/>
          </w:tcPr>
          <w:p w14:paraId="664D80A6" w14:textId="77777777" w:rsidR="00303211" w:rsidRPr="0098262F" w:rsidRDefault="00303211" w:rsidP="004B083B">
            <w:pPr>
              <w:pStyle w:val="COMTabletext"/>
            </w:pPr>
            <w:r w:rsidRPr="0098262F">
              <w:t>Intervention</w:t>
            </w:r>
          </w:p>
        </w:tc>
        <w:tc>
          <w:tcPr>
            <w:tcW w:w="7488" w:type="dxa"/>
            <w:vAlign w:val="center"/>
          </w:tcPr>
          <w:p w14:paraId="464D56FE" w14:textId="360079C4" w:rsidR="00303211" w:rsidRPr="0098262F" w:rsidRDefault="00303211" w:rsidP="004B083B">
            <w:pPr>
              <w:pStyle w:val="COMTabletext"/>
            </w:pPr>
            <w:r>
              <w:t xml:space="preserve">Canakinumab 150 mg or 300 mg subcutaneous injection every 4 or 8 weeks added to </w:t>
            </w:r>
            <w:r w:rsidR="0069457C">
              <w:t>BSC</w:t>
            </w:r>
            <w:r>
              <w:t>.</w:t>
            </w:r>
          </w:p>
        </w:tc>
      </w:tr>
      <w:tr w:rsidR="00303211" w:rsidRPr="0098262F" w14:paraId="5EC98F0B" w14:textId="77777777">
        <w:tc>
          <w:tcPr>
            <w:tcW w:w="1668" w:type="dxa"/>
            <w:vAlign w:val="center"/>
          </w:tcPr>
          <w:p w14:paraId="7EE4C4D4" w14:textId="77777777" w:rsidR="00303211" w:rsidRPr="0098262F" w:rsidRDefault="00303211" w:rsidP="004B083B">
            <w:pPr>
              <w:pStyle w:val="COMTabletext"/>
            </w:pPr>
            <w:r w:rsidRPr="0098262F">
              <w:t>Comparator</w:t>
            </w:r>
          </w:p>
        </w:tc>
        <w:tc>
          <w:tcPr>
            <w:tcW w:w="7488" w:type="dxa"/>
            <w:vAlign w:val="center"/>
          </w:tcPr>
          <w:p w14:paraId="295FE464" w14:textId="58EFB7F0" w:rsidR="00303211" w:rsidRPr="0098262F" w:rsidRDefault="0069457C" w:rsidP="004B083B">
            <w:pPr>
              <w:pStyle w:val="COMTabletext"/>
            </w:pPr>
            <w:r>
              <w:t>BSC</w:t>
            </w:r>
            <w:r w:rsidR="00303211">
              <w:t>, comprised of colchicine at the highest tolerated dose, and symptomatic treatment with non-steroidal anti-inflammatory drugs and oral corticosteroids.</w:t>
            </w:r>
          </w:p>
        </w:tc>
      </w:tr>
      <w:tr w:rsidR="00303211" w:rsidRPr="0098262F" w14:paraId="5896BD1D" w14:textId="77777777">
        <w:tc>
          <w:tcPr>
            <w:tcW w:w="1668" w:type="dxa"/>
            <w:vAlign w:val="center"/>
          </w:tcPr>
          <w:p w14:paraId="7581741B" w14:textId="77777777" w:rsidR="00303211" w:rsidRPr="0098262F" w:rsidRDefault="00303211" w:rsidP="004B083B">
            <w:pPr>
              <w:pStyle w:val="COMTabletext"/>
            </w:pPr>
            <w:r w:rsidRPr="0098262F">
              <w:t>Outcomes</w:t>
            </w:r>
          </w:p>
        </w:tc>
        <w:tc>
          <w:tcPr>
            <w:tcW w:w="7488" w:type="dxa"/>
            <w:vAlign w:val="center"/>
          </w:tcPr>
          <w:p w14:paraId="02502B38" w14:textId="77777777" w:rsidR="00303211" w:rsidRPr="0098262F" w:rsidRDefault="00303211" w:rsidP="004B083B">
            <w:pPr>
              <w:pStyle w:val="COMTabletext"/>
            </w:pPr>
            <w:r>
              <w:t>Complete response, disease flares while on treatment, suppression of acute phase reactants (C</w:t>
            </w:r>
            <w:r>
              <w:noBreakHyphen/>
              <w:t>reactive protein and serum amyloid A), health related quality of life, safety.</w:t>
            </w:r>
          </w:p>
        </w:tc>
      </w:tr>
      <w:tr w:rsidR="00303211" w:rsidRPr="0098262F" w14:paraId="6F85A707" w14:textId="77777777">
        <w:tc>
          <w:tcPr>
            <w:tcW w:w="1668" w:type="dxa"/>
            <w:vAlign w:val="center"/>
          </w:tcPr>
          <w:p w14:paraId="29E1DD1A" w14:textId="77777777" w:rsidR="00303211" w:rsidRPr="0098262F" w:rsidRDefault="00303211" w:rsidP="004B083B">
            <w:pPr>
              <w:pStyle w:val="COMTabletext"/>
            </w:pPr>
            <w:r w:rsidRPr="0098262F">
              <w:t>Clinical claim</w:t>
            </w:r>
          </w:p>
        </w:tc>
        <w:tc>
          <w:tcPr>
            <w:tcW w:w="7488" w:type="dxa"/>
            <w:vAlign w:val="center"/>
          </w:tcPr>
          <w:p w14:paraId="58EBF793" w14:textId="0AD65F53" w:rsidR="00303211" w:rsidRPr="0098262F" w:rsidRDefault="00303211" w:rsidP="004B083B">
            <w:pPr>
              <w:pStyle w:val="COMTabletext"/>
            </w:pPr>
            <w:r>
              <w:t xml:space="preserve">In paediatric patients with colchicine-resistant or intolerant FMF, canakinumab plus </w:t>
            </w:r>
            <w:r w:rsidR="00420B39">
              <w:t>BSC</w:t>
            </w:r>
            <w:r>
              <w:t xml:space="preserve"> is more effective than </w:t>
            </w:r>
            <w:r w:rsidR="00420B39">
              <w:t>BSC</w:t>
            </w:r>
            <w:r>
              <w:t xml:space="preserve"> alone, with inferior but tolerable safety.</w:t>
            </w:r>
          </w:p>
        </w:tc>
      </w:tr>
    </w:tbl>
    <w:p w14:paraId="7565B592" w14:textId="77777777" w:rsidR="00303211" w:rsidRDefault="00303211" w:rsidP="004B083B">
      <w:pPr>
        <w:pStyle w:val="COMTablefooter"/>
      </w:pPr>
      <w:r w:rsidRPr="0098262F">
        <w:t xml:space="preserve">Source: </w:t>
      </w:r>
      <w:r>
        <w:t>T</w:t>
      </w:r>
      <w:r w:rsidRPr="0098262F">
        <w:t>able</w:t>
      </w:r>
      <w:r>
        <w:t xml:space="preserve"> 1.1</w:t>
      </w:r>
      <w:r w:rsidRPr="0098262F">
        <w:t xml:space="preserve">, </w:t>
      </w:r>
      <w:r>
        <w:t>p29</w:t>
      </w:r>
      <w:r w:rsidRPr="0098262F">
        <w:t xml:space="preserve"> of the submission.</w:t>
      </w:r>
    </w:p>
    <w:p w14:paraId="59F38FF5" w14:textId="0E7D2E20" w:rsidR="00303211" w:rsidRPr="0098262F" w:rsidRDefault="00303211" w:rsidP="004B083B">
      <w:pPr>
        <w:pStyle w:val="COMTablefooter"/>
        <w:spacing w:before="160" w:after="160"/>
      </w:pPr>
      <w:r>
        <w:t xml:space="preserve">Abbreviations: </w:t>
      </w:r>
      <w:r w:rsidR="0069457C">
        <w:t>BSC, best supportive care</w:t>
      </w:r>
      <w:r w:rsidR="002A7DB0">
        <w:t xml:space="preserve">; </w:t>
      </w:r>
      <w:r>
        <w:t>FMF, familial Mediterranean fever</w:t>
      </w:r>
    </w:p>
    <w:p w14:paraId="6FE695D3" w14:textId="77777777" w:rsidR="00303211" w:rsidRPr="001C4FE6" w:rsidRDefault="00303211" w:rsidP="004B083B">
      <w:pPr>
        <w:pStyle w:val="COMESH2"/>
        <w:spacing w:before="160" w:after="160"/>
        <w:rPr>
          <w:rFonts w:cstheme="minorHAnsi"/>
        </w:rPr>
      </w:pPr>
      <w:bookmarkStart w:id="10" w:name="_Toc219811813"/>
      <w:r w:rsidRPr="001C4FE6">
        <w:rPr>
          <w:rFonts w:cstheme="minorHAnsi"/>
        </w:rPr>
        <w:t>Background</w:t>
      </w:r>
      <w:bookmarkEnd w:id="9"/>
      <w:bookmarkEnd w:id="10"/>
    </w:p>
    <w:p w14:paraId="7C0EA819" w14:textId="77777777" w:rsidR="00303211" w:rsidRPr="001C4FE6" w:rsidRDefault="00303211" w:rsidP="004B083B">
      <w:pPr>
        <w:pStyle w:val="COMESSubsectionheading"/>
      </w:pPr>
      <w:bookmarkStart w:id="11" w:name="_Toc216092655"/>
      <w:bookmarkStart w:id="12" w:name="_Toc219811814"/>
      <w:r w:rsidRPr="001C4FE6">
        <w:t>Registration status</w:t>
      </w:r>
      <w:bookmarkEnd w:id="11"/>
      <w:bookmarkEnd w:id="12"/>
    </w:p>
    <w:p w14:paraId="17217330" w14:textId="3893F2E7" w:rsidR="005E6000" w:rsidRPr="001C4FE6" w:rsidRDefault="005E6000" w:rsidP="004B083B">
      <w:pPr>
        <w:pStyle w:val="COMESnumberedpara"/>
        <w:spacing w:before="160" w:after="160"/>
        <w:rPr>
          <w:rFonts w:cstheme="minorHAnsi"/>
        </w:rPr>
      </w:pPr>
      <w:r w:rsidRPr="001C4FE6">
        <w:rPr>
          <w:rFonts w:cstheme="minorHAnsi"/>
        </w:rPr>
        <w:t>Canakinumab was registered by the TGA on 16 January 2025 for the treatment of various autoinflammatory periodic fever syndromes in adults, adolescents and children aged 2 years and older, including:</w:t>
      </w:r>
      <w:r w:rsidR="004B083B">
        <w:rPr>
          <w:rFonts w:cstheme="minorHAnsi"/>
        </w:rPr>
        <w:t xml:space="preserve"> </w:t>
      </w:r>
    </w:p>
    <w:p w14:paraId="794CA9BD" w14:textId="4E6A7E07" w:rsidR="005E6000" w:rsidRPr="001C4FE6" w:rsidRDefault="005E6000" w:rsidP="004B083B">
      <w:pPr>
        <w:pStyle w:val="COMESbulletlist"/>
        <w:spacing w:before="160" w:after="160"/>
        <w:rPr>
          <w:rFonts w:cstheme="minorHAnsi"/>
          <w:i w:val="0"/>
          <w:iCs w:val="0"/>
        </w:rPr>
      </w:pPr>
      <w:r w:rsidRPr="001C4FE6">
        <w:rPr>
          <w:rFonts w:cstheme="minorHAnsi"/>
          <w:i w:val="0"/>
          <w:iCs w:val="0"/>
        </w:rPr>
        <w:t>Cryopyrin-associated periodic syndromes (CAPS), including familial cold autoinflammatory syndrome/familial cold urticaria, Muckle-Wells syndrome, neonatal-onset multisystem inflammatory disease/chronic infantile neurological, cutaneous, articular syndrome.</w:t>
      </w:r>
    </w:p>
    <w:p w14:paraId="0D18A56F" w14:textId="77777777" w:rsidR="005E6000" w:rsidRPr="001C4FE6" w:rsidRDefault="005E6000" w:rsidP="004B083B">
      <w:pPr>
        <w:pStyle w:val="COMESbulletlist"/>
        <w:spacing w:before="160" w:after="160"/>
        <w:rPr>
          <w:rFonts w:cstheme="minorHAnsi"/>
          <w:i w:val="0"/>
          <w:iCs w:val="0"/>
        </w:rPr>
      </w:pPr>
      <w:r w:rsidRPr="001C4FE6">
        <w:rPr>
          <w:rFonts w:cstheme="minorHAnsi"/>
          <w:i w:val="0"/>
          <w:iCs w:val="0"/>
        </w:rPr>
        <w:t>Tumour necrosis factor receptor associated periodic syndrome (TRAPS).</w:t>
      </w:r>
    </w:p>
    <w:p w14:paraId="058F4ADA" w14:textId="06472E67" w:rsidR="005E6000" w:rsidRPr="001C4FE6" w:rsidRDefault="005E6000" w:rsidP="004B083B">
      <w:pPr>
        <w:pStyle w:val="COMESbulletlist"/>
        <w:spacing w:before="160" w:after="160"/>
        <w:rPr>
          <w:rFonts w:cstheme="minorHAnsi"/>
          <w:i w:val="0"/>
          <w:iCs w:val="0"/>
        </w:rPr>
      </w:pPr>
      <w:r w:rsidRPr="001C4FE6">
        <w:rPr>
          <w:rFonts w:cstheme="minorHAnsi"/>
          <w:i w:val="0"/>
          <w:iCs w:val="0"/>
        </w:rPr>
        <w:lastRenderedPageBreak/>
        <w:t>Hyperimmunoglobulin D syndrome (HIDS)/mevalonate kinase deficiency (MKD).</w:t>
      </w:r>
    </w:p>
    <w:p w14:paraId="5953CF60" w14:textId="1A570FEE" w:rsidR="00303211" w:rsidRPr="001C4FE6" w:rsidRDefault="005E6000" w:rsidP="004B083B">
      <w:pPr>
        <w:pStyle w:val="COMESbulletlist"/>
        <w:spacing w:before="160" w:after="160"/>
        <w:rPr>
          <w:rFonts w:cstheme="minorHAnsi"/>
          <w:i w:val="0"/>
          <w:iCs w:val="0"/>
        </w:rPr>
      </w:pPr>
      <w:r w:rsidRPr="001C4FE6">
        <w:rPr>
          <w:rFonts w:cstheme="minorHAnsi"/>
          <w:i w:val="0"/>
          <w:iCs w:val="0"/>
        </w:rPr>
        <w:t>Familial Mediterranean fever (FMF). Canakinumab should be given in combination with colchicine, if appropriate.</w:t>
      </w:r>
    </w:p>
    <w:p w14:paraId="7F477F4C" w14:textId="77777777" w:rsidR="00303211" w:rsidRPr="001C4FE6" w:rsidRDefault="00303211" w:rsidP="004B083B">
      <w:pPr>
        <w:pStyle w:val="COMESSubsectionheading"/>
      </w:pPr>
      <w:bookmarkStart w:id="13" w:name="_Toc216092656"/>
      <w:bookmarkStart w:id="14" w:name="_Toc219811815"/>
      <w:r w:rsidRPr="001C4FE6">
        <w:t>Previous PBAC consideration</w:t>
      </w:r>
      <w:bookmarkEnd w:id="13"/>
      <w:bookmarkEnd w:id="14"/>
    </w:p>
    <w:p w14:paraId="082467F8" w14:textId="0A945660" w:rsidR="00303211" w:rsidRDefault="00303211" w:rsidP="004B083B">
      <w:pPr>
        <w:pStyle w:val="COMESnumberedpara"/>
        <w:spacing w:before="160" w:after="160"/>
        <w:rPr>
          <w:rFonts w:cstheme="minorHAnsi"/>
        </w:rPr>
      </w:pPr>
      <w:r w:rsidRPr="001C4FE6">
        <w:rPr>
          <w:rFonts w:cstheme="minorHAnsi"/>
        </w:rPr>
        <w:t>The PBAC recommended canakinumab for the treatment of systemic juvenile idiopathic arthritis (</w:t>
      </w:r>
      <w:proofErr w:type="spellStart"/>
      <w:r w:rsidRPr="001C4FE6">
        <w:rPr>
          <w:rFonts w:cstheme="minorHAnsi"/>
        </w:rPr>
        <w:t>sJIA</w:t>
      </w:r>
      <w:proofErr w:type="spellEnd"/>
      <w:r w:rsidRPr="001C4FE6">
        <w:rPr>
          <w:rFonts w:cstheme="minorHAnsi"/>
        </w:rPr>
        <w:t xml:space="preserve">) at the March 2015 PBAC meeting and for moderate to severe CAPS at the November 2017 PBAC meeting. However, the submission noted that </w:t>
      </w:r>
      <w:r w:rsidR="00C42BA2" w:rsidRPr="001C4FE6">
        <w:rPr>
          <w:rFonts w:cstheme="minorHAnsi"/>
        </w:rPr>
        <w:t>neither recommendation proceeded to a PBS listing as the sponsor was unable to obtain internal pricing approval post recommendation.</w:t>
      </w:r>
    </w:p>
    <w:p w14:paraId="0E83A68C" w14:textId="77777777" w:rsidR="00E37C70" w:rsidRPr="001C4FE6" w:rsidRDefault="00E37C70" w:rsidP="004B083B">
      <w:pPr>
        <w:pStyle w:val="COMESnumberedpara"/>
        <w:numPr>
          <w:ilvl w:val="0"/>
          <w:numId w:val="0"/>
        </w:numPr>
        <w:spacing w:before="160" w:after="160"/>
        <w:rPr>
          <w:rFonts w:cstheme="minorHAnsi"/>
        </w:rPr>
      </w:pPr>
    </w:p>
    <w:p w14:paraId="77B54C2A" w14:textId="77777777" w:rsidR="00303211" w:rsidRPr="001C4FE6" w:rsidRDefault="00303211" w:rsidP="004B083B">
      <w:pPr>
        <w:pStyle w:val="COMESH2"/>
        <w:spacing w:before="160" w:after="160"/>
        <w:rPr>
          <w:rFonts w:cstheme="minorHAnsi"/>
        </w:rPr>
      </w:pPr>
      <w:bookmarkStart w:id="15" w:name="_Toc216092657"/>
      <w:bookmarkStart w:id="16" w:name="_Toc219811816"/>
      <w:r w:rsidRPr="001C4FE6">
        <w:rPr>
          <w:rFonts w:cstheme="minorHAnsi"/>
        </w:rPr>
        <w:lastRenderedPageBreak/>
        <w:t>Requested listing</w:t>
      </w:r>
      <w:bookmarkEnd w:id="15"/>
      <w:bookmarkEnd w:id="16"/>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2943"/>
        <w:gridCol w:w="2271"/>
        <w:gridCol w:w="967"/>
        <w:gridCol w:w="967"/>
        <w:gridCol w:w="830"/>
        <w:gridCol w:w="1044"/>
      </w:tblGrid>
      <w:tr w:rsidR="003B4E57" w:rsidRPr="0098262F" w14:paraId="0157FCED" w14:textId="77777777" w:rsidTr="007B646B">
        <w:trPr>
          <w:cantSplit/>
          <w:trHeight w:val="20"/>
        </w:trPr>
        <w:tc>
          <w:tcPr>
            <w:tcW w:w="2943" w:type="dxa"/>
            <w:vAlign w:val="center"/>
          </w:tcPr>
          <w:p w14:paraId="7AAE2CB4" w14:textId="77777777" w:rsidR="003B4E57" w:rsidRPr="00EE7434" w:rsidRDefault="003B4E57" w:rsidP="004B083B">
            <w:pPr>
              <w:pStyle w:val="COMTableheadingrow"/>
            </w:pPr>
            <w:r w:rsidRPr="00EE7434">
              <w:t>MEDICINAL PRODUCT</w:t>
            </w:r>
          </w:p>
          <w:p w14:paraId="06F5F0E0" w14:textId="77777777" w:rsidR="003B4E57" w:rsidRPr="00EE7434" w:rsidRDefault="003B4E57" w:rsidP="004B083B">
            <w:pPr>
              <w:pStyle w:val="COMTableheadingrow"/>
            </w:pPr>
            <w:r w:rsidRPr="00EE7434">
              <w:t>medicinal product pack</w:t>
            </w:r>
          </w:p>
        </w:tc>
        <w:tc>
          <w:tcPr>
            <w:tcW w:w="2271" w:type="dxa"/>
            <w:vAlign w:val="center"/>
          </w:tcPr>
          <w:p w14:paraId="2426820A" w14:textId="77777777" w:rsidR="003B4E57" w:rsidRPr="00EE7434" w:rsidRDefault="003B4E57" w:rsidP="004B083B">
            <w:pPr>
              <w:pStyle w:val="COMTableheadingrow"/>
              <w:jc w:val="center"/>
            </w:pPr>
            <w:r w:rsidRPr="00EE7434">
              <w:rPr>
                <w:snapToGrid w:val="0"/>
              </w:rPr>
              <w:t>Dispensed Price for Max. Qty</w:t>
            </w:r>
          </w:p>
        </w:tc>
        <w:tc>
          <w:tcPr>
            <w:tcW w:w="967" w:type="dxa"/>
            <w:vAlign w:val="center"/>
          </w:tcPr>
          <w:p w14:paraId="74578A1A" w14:textId="77777777" w:rsidR="003B4E57" w:rsidRPr="00EE7434" w:rsidRDefault="003B4E57" w:rsidP="004B083B">
            <w:pPr>
              <w:pStyle w:val="COMTableheadingrow"/>
              <w:jc w:val="center"/>
            </w:pPr>
            <w:r w:rsidRPr="00EE7434">
              <w:t>Max. qty packs</w:t>
            </w:r>
          </w:p>
        </w:tc>
        <w:tc>
          <w:tcPr>
            <w:tcW w:w="967" w:type="dxa"/>
            <w:vAlign w:val="center"/>
          </w:tcPr>
          <w:p w14:paraId="5D5A0ACB" w14:textId="77777777" w:rsidR="003B4E57" w:rsidRPr="00EE7434" w:rsidRDefault="003B4E57" w:rsidP="004B083B">
            <w:pPr>
              <w:pStyle w:val="COMTableheadingrow"/>
              <w:jc w:val="center"/>
            </w:pPr>
            <w:r w:rsidRPr="00EE7434">
              <w:t>Max. qty units</w:t>
            </w:r>
          </w:p>
        </w:tc>
        <w:tc>
          <w:tcPr>
            <w:tcW w:w="830" w:type="dxa"/>
            <w:vAlign w:val="center"/>
          </w:tcPr>
          <w:p w14:paraId="625CF79E" w14:textId="77777777" w:rsidR="003B4E57" w:rsidRPr="00EE7434" w:rsidRDefault="003B4E57" w:rsidP="004B083B">
            <w:pPr>
              <w:pStyle w:val="COMTableheadingrow"/>
              <w:jc w:val="center"/>
            </w:pPr>
            <w:proofErr w:type="gramStart"/>
            <w:r w:rsidRPr="00EE7434">
              <w:t>№.of</w:t>
            </w:r>
            <w:proofErr w:type="gramEnd"/>
          </w:p>
          <w:p w14:paraId="23945B7E" w14:textId="77777777" w:rsidR="003B4E57" w:rsidRPr="00EE7434" w:rsidRDefault="003B4E57" w:rsidP="004B083B">
            <w:pPr>
              <w:pStyle w:val="COMTableheadingrow"/>
              <w:jc w:val="center"/>
            </w:pPr>
            <w:proofErr w:type="spellStart"/>
            <w:r w:rsidRPr="00EE7434">
              <w:t>Rpts</w:t>
            </w:r>
            <w:proofErr w:type="spellEnd"/>
          </w:p>
        </w:tc>
        <w:tc>
          <w:tcPr>
            <w:tcW w:w="1044" w:type="dxa"/>
            <w:vAlign w:val="center"/>
          </w:tcPr>
          <w:p w14:paraId="0D86A441" w14:textId="77777777" w:rsidR="003B4E57" w:rsidRPr="00EE7434" w:rsidRDefault="003B4E57" w:rsidP="004B083B">
            <w:pPr>
              <w:pStyle w:val="COMTableheadingrow"/>
              <w:jc w:val="center"/>
            </w:pPr>
            <w:r w:rsidRPr="00EE7434">
              <w:t>Available brands</w:t>
            </w:r>
          </w:p>
        </w:tc>
      </w:tr>
      <w:tr w:rsidR="003B4E57" w:rsidRPr="0098262F" w14:paraId="2AE070DA" w14:textId="77777777" w:rsidTr="007B646B">
        <w:trPr>
          <w:cantSplit/>
          <w:trHeight w:val="20"/>
        </w:trPr>
        <w:tc>
          <w:tcPr>
            <w:tcW w:w="9022" w:type="dxa"/>
            <w:gridSpan w:val="6"/>
            <w:vAlign w:val="center"/>
          </w:tcPr>
          <w:p w14:paraId="278EC320" w14:textId="77777777" w:rsidR="003B4E57" w:rsidRPr="0098262F" w:rsidRDefault="003B4E57" w:rsidP="004B083B">
            <w:pPr>
              <w:pStyle w:val="COMTabletext"/>
              <w:rPr>
                <w:rFonts w:cs="Arial"/>
                <w:szCs w:val="20"/>
              </w:rPr>
            </w:pPr>
            <w:r>
              <w:rPr>
                <w:smallCaps/>
              </w:rPr>
              <w:t>Canakinumab</w:t>
            </w:r>
            <w:r w:rsidRPr="0098262F">
              <w:rPr>
                <w:rFonts w:cs="Arial"/>
                <w:color w:val="0066FF"/>
                <w:szCs w:val="20"/>
              </w:rPr>
              <w:t xml:space="preserve"> </w:t>
            </w:r>
          </w:p>
        </w:tc>
      </w:tr>
      <w:tr w:rsidR="003B4E57" w:rsidRPr="00D57F3E" w14:paraId="28DA4068" w14:textId="77777777" w:rsidTr="007B646B">
        <w:trPr>
          <w:cantSplit/>
          <w:trHeight w:val="20"/>
        </w:trPr>
        <w:tc>
          <w:tcPr>
            <w:tcW w:w="9022" w:type="dxa"/>
            <w:gridSpan w:val="6"/>
            <w:vAlign w:val="center"/>
          </w:tcPr>
          <w:p w14:paraId="7F563272" w14:textId="77777777" w:rsidR="003B4E57" w:rsidRPr="00D57F3E" w:rsidRDefault="003B4E57" w:rsidP="004B083B">
            <w:pPr>
              <w:pStyle w:val="COMTabletext"/>
              <w:rPr>
                <w:b/>
                <w:bCs w:val="0"/>
              </w:rPr>
            </w:pPr>
            <w:r w:rsidRPr="00D57F3E">
              <w:rPr>
                <w:b/>
                <w:bCs w:val="0"/>
              </w:rPr>
              <w:t>Initial, grandfathered and continuing treatment</w:t>
            </w:r>
          </w:p>
        </w:tc>
      </w:tr>
      <w:tr w:rsidR="003B4E57" w:rsidRPr="0098262F" w14:paraId="66B433B1" w14:textId="77777777" w:rsidTr="007B646B">
        <w:trPr>
          <w:cantSplit/>
          <w:trHeight w:val="1377"/>
        </w:trPr>
        <w:tc>
          <w:tcPr>
            <w:tcW w:w="2943" w:type="dxa"/>
            <w:vAlign w:val="center"/>
          </w:tcPr>
          <w:p w14:paraId="57E590C0" w14:textId="77777777" w:rsidR="003B4E57" w:rsidRPr="0098262F" w:rsidRDefault="003B4E57" w:rsidP="004B083B">
            <w:pPr>
              <w:pStyle w:val="COMTabletext"/>
              <w:rPr>
                <w:color w:val="0066FF"/>
                <w:szCs w:val="20"/>
              </w:rPr>
            </w:pPr>
            <w:r>
              <w:t>Canakinumab 150 mg in 1 mL, solution for injection, 1</w:t>
            </w:r>
          </w:p>
        </w:tc>
        <w:tc>
          <w:tcPr>
            <w:tcW w:w="2271" w:type="dxa"/>
            <w:vAlign w:val="center"/>
          </w:tcPr>
          <w:p w14:paraId="1CEEEDB8" w14:textId="77777777" w:rsidR="003B4E57" w:rsidRPr="0032730C" w:rsidRDefault="003B4E57" w:rsidP="004B083B">
            <w:pPr>
              <w:pStyle w:val="COMTabletext"/>
              <w:jc w:val="center"/>
              <w:rPr>
                <w:u w:val="single"/>
              </w:rPr>
            </w:pPr>
            <w:r w:rsidRPr="0032730C">
              <w:rPr>
                <w:u w:val="single"/>
              </w:rPr>
              <w:t>Public hospital:</w:t>
            </w:r>
          </w:p>
          <w:p w14:paraId="152268C3" w14:textId="77777777" w:rsidR="003B4E57" w:rsidRPr="0098262F" w:rsidRDefault="003B4E57" w:rsidP="004B083B">
            <w:pPr>
              <w:pStyle w:val="COMTabletext"/>
              <w:jc w:val="center"/>
            </w:pPr>
            <w:r w:rsidRPr="0098262F">
              <w:t>$</w:t>
            </w:r>
            <w:r>
              <w:t>20,000.00</w:t>
            </w:r>
            <w:r w:rsidRPr="0098262F">
              <w:t xml:space="preserve"> published price</w:t>
            </w:r>
          </w:p>
          <w:p w14:paraId="6419CE2A" w14:textId="1A908FB3" w:rsidR="003B4E57" w:rsidRPr="0098262F" w:rsidRDefault="003B4E57" w:rsidP="004B083B">
            <w:pPr>
              <w:pStyle w:val="COMTabletext"/>
              <w:jc w:val="center"/>
              <w:rPr>
                <w:szCs w:val="20"/>
              </w:rPr>
            </w:pPr>
            <w:r w:rsidRPr="0098262F">
              <w:t>$</w:t>
            </w:r>
            <w:r w:rsidR="00B90395" w:rsidRPr="00B90395">
              <w:rPr>
                <w:sz w:val="2"/>
                <w:highlight w:val="black"/>
              </w:rPr>
              <w:t>redacted content</w:t>
            </w:r>
            <w:r w:rsidRPr="0098262F">
              <w:t xml:space="preserve"> effective price</w:t>
            </w:r>
          </w:p>
          <w:p w14:paraId="4D070C7B" w14:textId="77777777" w:rsidR="003B4E57" w:rsidRPr="0032730C" w:rsidRDefault="003B4E57" w:rsidP="004B083B">
            <w:pPr>
              <w:pStyle w:val="COMTabletext"/>
              <w:jc w:val="center"/>
              <w:rPr>
                <w:u w:val="single"/>
              </w:rPr>
            </w:pPr>
            <w:r w:rsidRPr="0032730C">
              <w:rPr>
                <w:u w:val="single"/>
              </w:rPr>
              <w:t>Private hospital:</w:t>
            </w:r>
          </w:p>
          <w:p w14:paraId="2276A1C1" w14:textId="7BB540AD" w:rsidR="003B4E57" w:rsidRPr="0098262F" w:rsidRDefault="003B4E57" w:rsidP="004B083B">
            <w:pPr>
              <w:pStyle w:val="COMTabletext"/>
              <w:jc w:val="center"/>
            </w:pPr>
            <w:r w:rsidRPr="0098262F">
              <w:t>$</w:t>
            </w:r>
            <w:r>
              <w:t>20,048.</w:t>
            </w:r>
            <w:r w:rsidR="004A3170">
              <w:t>88</w:t>
            </w:r>
            <w:r w:rsidRPr="0098262F">
              <w:t xml:space="preserve"> published price</w:t>
            </w:r>
          </w:p>
          <w:p w14:paraId="3C281F23" w14:textId="1FEE3372" w:rsidR="003B4E57" w:rsidRPr="0098262F" w:rsidRDefault="003B4E57" w:rsidP="004B083B">
            <w:pPr>
              <w:pStyle w:val="COMTabletext"/>
              <w:jc w:val="center"/>
              <w:rPr>
                <w:szCs w:val="20"/>
              </w:rPr>
            </w:pPr>
            <w:r w:rsidRPr="0098262F">
              <w:t>$</w:t>
            </w:r>
            <w:r w:rsidR="00B90395" w:rsidRPr="00B90395">
              <w:rPr>
                <w:sz w:val="2"/>
                <w:highlight w:val="black"/>
              </w:rPr>
              <w:t>redacted content</w:t>
            </w:r>
            <w:r w:rsidRPr="0098262F">
              <w:t xml:space="preserve"> effective price</w:t>
            </w:r>
          </w:p>
        </w:tc>
        <w:tc>
          <w:tcPr>
            <w:tcW w:w="967" w:type="dxa"/>
            <w:vAlign w:val="center"/>
          </w:tcPr>
          <w:p w14:paraId="6A3F5A21" w14:textId="77777777" w:rsidR="003B4E57" w:rsidRPr="0098262F" w:rsidRDefault="003B4E57" w:rsidP="004B083B">
            <w:pPr>
              <w:pStyle w:val="COMTabletext"/>
              <w:jc w:val="center"/>
              <w:rPr>
                <w:szCs w:val="20"/>
              </w:rPr>
            </w:pPr>
            <w:r>
              <w:t>1</w:t>
            </w:r>
          </w:p>
        </w:tc>
        <w:tc>
          <w:tcPr>
            <w:tcW w:w="967" w:type="dxa"/>
            <w:vAlign w:val="center"/>
          </w:tcPr>
          <w:p w14:paraId="1B718AB8" w14:textId="77777777" w:rsidR="003B4E57" w:rsidRPr="0098262F" w:rsidRDefault="003B4E57" w:rsidP="004B083B">
            <w:pPr>
              <w:pStyle w:val="COMTabletext"/>
              <w:jc w:val="center"/>
              <w:rPr>
                <w:szCs w:val="20"/>
              </w:rPr>
            </w:pPr>
            <w:r>
              <w:t>1</w:t>
            </w:r>
          </w:p>
        </w:tc>
        <w:tc>
          <w:tcPr>
            <w:tcW w:w="830" w:type="dxa"/>
            <w:vAlign w:val="center"/>
          </w:tcPr>
          <w:p w14:paraId="6DE36971" w14:textId="77777777" w:rsidR="003B4E57" w:rsidRPr="0098262F" w:rsidRDefault="003B4E57" w:rsidP="004B083B">
            <w:pPr>
              <w:pStyle w:val="COMTabletext"/>
              <w:jc w:val="center"/>
              <w:rPr>
                <w:szCs w:val="20"/>
              </w:rPr>
            </w:pPr>
            <w:r>
              <w:t>5</w:t>
            </w:r>
          </w:p>
        </w:tc>
        <w:tc>
          <w:tcPr>
            <w:tcW w:w="1044" w:type="dxa"/>
            <w:vAlign w:val="center"/>
          </w:tcPr>
          <w:p w14:paraId="48510185" w14:textId="77777777" w:rsidR="003B4E57" w:rsidRPr="0098262F" w:rsidRDefault="003B4E57" w:rsidP="004B083B">
            <w:pPr>
              <w:pStyle w:val="COMTabletext"/>
              <w:rPr>
                <w:color w:val="0066FF"/>
                <w:szCs w:val="20"/>
              </w:rPr>
            </w:pPr>
            <w:proofErr w:type="spellStart"/>
            <w:r>
              <w:rPr>
                <w:szCs w:val="20"/>
              </w:rPr>
              <w:t>Ilaris</w:t>
            </w:r>
            <w:proofErr w:type="spellEnd"/>
          </w:p>
        </w:tc>
      </w:tr>
      <w:tr w:rsidR="003B4E57" w:rsidRPr="00D57F3E" w14:paraId="0AE88013" w14:textId="77777777" w:rsidTr="007B646B">
        <w:trPr>
          <w:cantSplit/>
          <w:trHeight w:val="20"/>
        </w:trPr>
        <w:tc>
          <w:tcPr>
            <w:tcW w:w="9022" w:type="dxa"/>
            <w:gridSpan w:val="6"/>
            <w:tcBorders>
              <w:bottom w:val="single" w:sz="4" w:space="0" w:color="auto"/>
            </w:tcBorders>
            <w:vAlign w:val="center"/>
          </w:tcPr>
          <w:p w14:paraId="2A2FE81E" w14:textId="77777777" w:rsidR="003B4E57" w:rsidRPr="00D57F3E" w:rsidRDefault="003B4E57" w:rsidP="004B083B">
            <w:pPr>
              <w:pStyle w:val="COMTabletext"/>
              <w:rPr>
                <w:b/>
                <w:bCs w:val="0"/>
                <w:color w:val="0066FF"/>
                <w:szCs w:val="20"/>
              </w:rPr>
            </w:pPr>
            <w:r w:rsidRPr="00D57F3E">
              <w:rPr>
                <w:b/>
                <w:bCs w:val="0"/>
              </w:rPr>
              <w:t>Balance of supply for initial treatment</w:t>
            </w:r>
          </w:p>
        </w:tc>
      </w:tr>
      <w:tr w:rsidR="007B646B" w:rsidRPr="0098262F" w14:paraId="798E1D0F" w14:textId="77777777" w:rsidTr="007B646B">
        <w:trPr>
          <w:cantSplit/>
          <w:trHeight w:val="20"/>
        </w:trPr>
        <w:tc>
          <w:tcPr>
            <w:tcW w:w="2943" w:type="dxa"/>
            <w:tcBorders>
              <w:top w:val="single" w:sz="4" w:space="0" w:color="auto"/>
              <w:left w:val="single" w:sz="4" w:space="0" w:color="auto"/>
              <w:bottom w:val="double" w:sz="4" w:space="0" w:color="auto"/>
              <w:right w:val="single" w:sz="4" w:space="0" w:color="auto"/>
            </w:tcBorders>
            <w:vAlign w:val="center"/>
          </w:tcPr>
          <w:p w14:paraId="1485FCB9" w14:textId="77777777" w:rsidR="003B4E57" w:rsidRDefault="003B4E57" w:rsidP="004B083B">
            <w:pPr>
              <w:pStyle w:val="COMTabletext"/>
            </w:pPr>
            <w:r>
              <w:t>Canakinumab 150 mg in 1 mL, solution for injection, 1</w:t>
            </w:r>
          </w:p>
        </w:tc>
        <w:tc>
          <w:tcPr>
            <w:tcW w:w="2271" w:type="dxa"/>
            <w:tcBorders>
              <w:top w:val="single" w:sz="4" w:space="0" w:color="auto"/>
              <w:left w:val="single" w:sz="4" w:space="0" w:color="auto"/>
              <w:bottom w:val="double" w:sz="4" w:space="0" w:color="auto"/>
              <w:right w:val="single" w:sz="4" w:space="0" w:color="auto"/>
            </w:tcBorders>
          </w:tcPr>
          <w:p w14:paraId="733CF1F0" w14:textId="77777777" w:rsidR="003B4E57" w:rsidRPr="0032730C" w:rsidRDefault="003B4E57" w:rsidP="004B083B">
            <w:pPr>
              <w:pStyle w:val="COMTabletext"/>
              <w:jc w:val="center"/>
              <w:rPr>
                <w:u w:val="single"/>
              </w:rPr>
            </w:pPr>
            <w:r w:rsidRPr="0032730C">
              <w:rPr>
                <w:u w:val="single"/>
              </w:rPr>
              <w:t>Public hospital:</w:t>
            </w:r>
          </w:p>
          <w:p w14:paraId="041A6EE4" w14:textId="77777777" w:rsidR="003B4E57" w:rsidRPr="0098262F" w:rsidRDefault="003B4E57" w:rsidP="004B083B">
            <w:pPr>
              <w:pStyle w:val="COMTabletext"/>
              <w:jc w:val="center"/>
            </w:pPr>
            <w:r w:rsidRPr="0098262F">
              <w:t>$</w:t>
            </w:r>
            <w:r>
              <w:t>20,000.00</w:t>
            </w:r>
            <w:r w:rsidRPr="0098262F">
              <w:t xml:space="preserve"> published price</w:t>
            </w:r>
          </w:p>
          <w:p w14:paraId="051CC71F" w14:textId="5F5181FA" w:rsidR="003B4E57" w:rsidRPr="0098262F" w:rsidRDefault="00B90395" w:rsidP="004B083B">
            <w:pPr>
              <w:pStyle w:val="COMTabletext"/>
              <w:jc w:val="center"/>
              <w:rPr>
                <w:szCs w:val="20"/>
              </w:rPr>
            </w:pPr>
            <w:r w:rsidRPr="00B90395">
              <w:rPr>
                <w:sz w:val="2"/>
                <w:highlight w:val="black"/>
              </w:rPr>
              <w:t>redacted content</w:t>
            </w:r>
            <w:r w:rsidR="003B4E57" w:rsidRPr="0098262F">
              <w:t xml:space="preserve"> effective price</w:t>
            </w:r>
          </w:p>
          <w:p w14:paraId="3C0F9CC5" w14:textId="77777777" w:rsidR="003B4E57" w:rsidRPr="0032730C" w:rsidRDefault="003B4E57" w:rsidP="004B083B">
            <w:pPr>
              <w:pStyle w:val="COMTabletext"/>
              <w:jc w:val="center"/>
              <w:rPr>
                <w:u w:val="single"/>
              </w:rPr>
            </w:pPr>
            <w:r w:rsidRPr="0032730C">
              <w:rPr>
                <w:u w:val="single"/>
              </w:rPr>
              <w:t>Private hospital:</w:t>
            </w:r>
          </w:p>
          <w:p w14:paraId="3DFE075C" w14:textId="6A36CE7B" w:rsidR="003B4E57" w:rsidRPr="0098262F" w:rsidRDefault="003B4E57" w:rsidP="004B083B">
            <w:pPr>
              <w:pStyle w:val="COMTabletext"/>
              <w:jc w:val="center"/>
            </w:pPr>
            <w:r w:rsidRPr="0098262F">
              <w:t>$</w:t>
            </w:r>
            <w:r>
              <w:t>20,048.</w:t>
            </w:r>
            <w:r w:rsidR="004A3170">
              <w:t>88</w:t>
            </w:r>
            <w:r w:rsidRPr="0098262F">
              <w:t xml:space="preserve"> published price</w:t>
            </w:r>
          </w:p>
          <w:p w14:paraId="556D2D70" w14:textId="378B326E" w:rsidR="003B4E57" w:rsidRPr="0098262F" w:rsidRDefault="003B4E57" w:rsidP="004B083B">
            <w:pPr>
              <w:pStyle w:val="COMTabletext"/>
              <w:jc w:val="center"/>
              <w:rPr>
                <w:szCs w:val="20"/>
              </w:rPr>
            </w:pPr>
            <w:r w:rsidRPr="0098262F">
              <w:t>$</w:t>
            </w:r>
            <w:r w:rsidR="00B90395" w:rsidRPr="00B90395">
              <w:rPr>
                <w:sz w:val="2"/>
                <w:highlight w:val="black"/>
              </w:rPr>
              <w:t>redacted content</w:t>
            </w:r>
            <w:r w:rsidRPr="0098262F">
              <w:t xml:space="preserve"> effective price</w:t>
            </w:r>
          </w:p>
        </w:tc>
        <w:tc>
          <w:tcPr>
            <w:tcW w:w="967" w:type="dxa"/>
            <w:tcBorders>
              <w:top w:val="single" w:sz="4" w:space="0" w:color="auto"/>
              <w:left w:val="single" w:sz="4" w:space="0" w:color="auto"/>
              <w:bottom w:val="double" w:sz="4" w:space="0" w:color="auto"/>
              <w:right w:val="single" w:sz="4" w:space="0" w:color="auto"/>
            </w:tcBorders>
            <w:vAlign w:val="center"/>
          </w:tcPr>
          <w:p w14:paraId="5874F36F" w14:textId="77777777" w:rsidR="003B4E57" w:rsidRDefault="003B4E57" w:rsidP="004B083B">
            <w:pPr>
              <w:pStyle w:val="COMTabletext"/>
              <w:jc w:val="center"/>
            </w:pPr>
            <w:r>
              <w:t>1</w:t>
            </w:r>
          </w:p>
        </w:tc>
        <w:tc>
          <w:tcPr>
            <w:tcW w:w="967" w:type="dxa"/>
            <w:tcBorders>
              <w:top w:val="single" w:sz="4" w:space="0" w:color="auto"/>
              <w:left w:val="single" w:sz="4" w:space="0" w:color="auto"/>
              <w:bottom w:val="double" w:sz="4" w:space="0" w:color="auto"/>
              <w:right w:val="single" w:sz="4" w:space="0" w:color="auto"/>
            </w:tcBorders>
            <w:vAlign w:val="center"/>
          </w:tcPr>
          <w:p w14:paraId="19ABC9AF" w14:textId="77777777" w:rsidR="003B4E57" w:rsidRDefault="003B4E57" w:rsidP="004B083B">
            <w:pPr>
              <w:pStyle w:val="COMTabletext"/>
              <w:jc w:val="center"/>
            </w:pPr>
            <w:r>
              <w:t>1</w:t>
            </w:r>
          </w:p>
        </w:tc>
        <w:tc>
          <w:tcPr>
            <w:tcW w:w="830" w:type="dxa"/>
            <w:tcBorders>
              <w:top w:val="single" w:sz="4" w:space="0" w:color="auto"/>
              <w:left w:val="single" w:sz="4" w:space="0" w:color="auto"/>
              <w:bottom w:val="double" w:sz="4" w:space="0" w:color="auto"/>
              <w:right w:val="single" w:sz="4" w:space="0" w:color="auto"/>
            </w:tcBorders>
            <w:vAlign w:val="center"/>
          </w:tcPr>
          <w:p w14:paraId="6E6508AD" w14:textId="77777777" w:rsidR="003B4E57" w:rsidRDefault="003B4E57" w:rsidP="004B083B">
            <w:pPr>
              <w:pStyle w:val="COMTabletext"/>
              <w:jc w:val="center"/>
            </w:pPr>
            <w:r>
              <w:t>1</w:t>
            </w:r>
          </w:p>
        </w:tc>
        <w:tc>
          <w:tcPr>
            <w:tcW w:w="1044" w:type="dxa"/>
            <w:tcBorders>
              <w:top w:val="single" w:sz="4" w:space="0" w:color="auto"/>
              <w:left w:val="single" w:sz="4" w:space="0" w:color="auto"/>
              <w:bottom w:val="double" w:sz="4" w:space="0" w:color="auto"/>
              <w:right w:val="single" w:sz="4" w:space="0" w:color="auto"/>
            </w:tcBorders>
            <w:vAlign w:val="center"/>
          </w:tcPr>
          <w:p w14:paraId="350AC757" w14:textId="77777777" w:rsidR="003B4E57" w:rsidRPr="0098262F" w:rsidRDefault="003B4E57" w:rsidP="004B083B">
            <w:pPr>
              <w:pStyle w:val="COMTabletext"/>
              <w:rPr>
                <w:color w:val="0066FF"/>
                <w:szCs w:val="20"/>
              </w:rPr>
            </w:pPr>
            <w:proofErr w:type="spellStart"/>
            <w:r>
              <w:rPr>
                <w:szCs w:val="20"/>
              </w:rPr>
              <w:t>Ilaris</w:t>
            </w:r>
            <w:proofErr w:type="spellEnd"/>
          </w:p>
        </w:tc>
      </w:tr>
      <w:tr w:rsidR="00D57F3E" w:rsidRPr="0098262F" w14:paraId="2F5DE1DE"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tcBorders>
              <w:top w:val="double" w:sz="4" w:space="0" w:color="auto"/>
              <w:bottom w:val="single" w:sz="4" w:space="0" w:color="auto"/>
            </w:tcBorders>
          </w:tcPr>
          <w:p w14:paraId="3FDD7EFF" w14:textId="6CF8EDD3" w:rsidR="00D57F3E" w:rsidRPr="0098262F" w:rsidRDefault="007B646B" w:rsidP="004B083B">
            <w:pPr>
              <w:pStyle w:val="COMTabletext"/>
              <w:rPr>
                <w:b/>
              </w:rPr>
            </w:pPr>
            <w:r>
              <w:rPr>
                <w:b/>
              </w:rPr>
              <w:t>Requested restriction (initial treatment)</w:t>
            </w:r>
          </w:p>
        </w:tc>
      </w:tr>
      <w:tr w:rsidR="00050929" w:rsidRPr="0098262F" w14:paraId="7ACC9960"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tcBorders>
              <w:top w:val="single" w:sz="4" w:space="0" w:color="auto"/>
            </w:tcBorders>
          </w:tcPr>
          <w:p w14:paraId="3F85604F" w14:textId="77777777" w:rsidR="00050929" w:rsidRPr="0098262F" w:rsidRDefault="00050929" w:rsidP="004B083B">
            <w:pPr>
              <w:pStyle w:val="COMTabletext"/>
            </w:pPr>
            <w:r w:rsidRPr="0098262F">
              <w:rPr>
                <w:b/>
              </w:rPr>
              <w:t xml:space="preserve">Category / Program: </w:t>
            </w:r>
            <w:r w:rsidRPr="0098262F">
              <w:t>Section 100</w:t>
            </w:r>
          </w:p>
        </w:tc>
      </w:tr>
      <w:tr w:rsidR="00050929" w:rsidRPr="0098262F" w14:paraId="2492BA53"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tcPr>
          <w:p w14:paraId="1625008C" w14:textId="77777777" w:rsidR="00050929" w:rsidRPr="0098262F" w:rsidRDefault="00050929" w:rsidP="004B083B">
            <w:pPr>
              <w:pStyle w:val="COMTabletext"/>
              <w:rPr>
                <w:b/>
              </w:rPr>
            </w:pPr>
            <w:r w:rsidRPr="0098262F">
              <w:rPr>
                <w:b/>
              </w:rPr>
              <w:t xml:space="preserve">Prescriber type: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98262F">
              <w:t>Medical Practitioners</w:t>
            </w:r>
          </w:p>
        </w:tc>
      </w:tr>
      <w:tr w:rsidR="00050929" w:rsidRPr="0098262F" w14:paraId="03E11AE8"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tcPr>
          <w:p w14:paraId="2C02D639" w14:textId="77777777" w:rsidR="00050929" w:rsidRPr="0098262F" w:rsidRDefault="00050929" w:rsidP="004B083B">
            <w:pPr>
              <w:pStyle w:val="COMTabletext"/>
              <w:rPr>
                <w:rFonts w:eastAsia="Times New Roman"/>
              </w:rPr>
            </w:pPr>
            <w:r w:rsidRPr="0098262F">
              <w:rPr>
                <w:b/>
              </w:rPr>
              <w:t xml:space="preserve">Restriction type: </w:t>
            </w:r>
            <w:r>
              <w:rPr>
                <w:rFonts w:eastAsia="Times New Roman"/>
              </w:rPr>
              <w:fldChar w:fldCharType="begin">
                <w:ffData>
                  <w:name w:val="Check3"/>
                  <w:enabled/>
                  <w:calcOnExit w:val="0"/>
                  <w:checkBox>
                    <w:sizeAuto/>
                    <w:default w:val="1"/>
                  </w:checkBox>
                </w:ffData>
              </w:fldChar>
            </w:r>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r w:rsidRPr="0098262F">
              <w:rPr>
                <w:rFonts w:eastAsia="Times New Roman"/>
              </w:rPr>
              <w:t>Authority Required (telephone/online PBS Authorities system)</w:t>
            </w:r>
          </w:p>
        </w:tc>
      </w:tr>
      <w:tr w:rsidR="00050929" w:rsidRPr="0098262F" w14:paraId="2A7FD7F3"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6DD1F3B8" w14:textId="77777777" w:rsidR="00050929" w:rsidRPr="0098262F" w:rsidRDefault="00050929" w:rsidP="004B083B">
            <w:pPr>
              <w:pStyle w:val="COMTabletext"/>
              <w:rPr>
                <w:b/>
              </w:rPr>
            </w:pPr>
            <w:r w:rsidRPr="0098262F">
              <w:rPr>
                <w:b/>
              </w:rPr>
              <w:t xml:space="preserve">Condition: </w:t>
            </w:r>
            <w:r>
              <w:rPr>
                <w:bCs w:val="0"/>
              </w:rPr>
              <w:t>Colchicine-resistant</w:t>
            </w:r>
            <w:r w:rsidRPr="000A1A5B">
              <w:rPr>
                <w:bCs w:val="0"/>
              </w:rPr>
              <w:t xml:space="preserve"> or intolerant familial mediterranean fever (</w:t>
            </w:r>
            <w:proofErr w:type="spellStart"/>
            <w:r w:rsidRPr="000A1A5B">
              <w:rPr>
                <w:bCs w:val="0"/>
              </w:rPr>
              <w:t>crFMF</w:t>
            </w:r>
            <w:proofErr w:type="spellEnd"/>
            <w:r w:rsidRPr="000A1A5B">
              <w:rPr>
                <w:bCs w:val="0"/>
              </w:rPr>
              <w:t>)</w:t>
            </w:r>
          </w:p>
        </w:tc>
      </w:tr>
      <w:tr w:rsidR="00050929" w:rsidRPr="0098262F" w14:paraId="7374E73A"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058C53BB" w14:textId="77777777" w:rsidR="00050929" w:rsidRPr="00623872" w:rsidRDefault="00050929" w:rsidP="004B083B">
            <w:pPr>
              <w:pStyle w:val="COMTabletext"/>
            </w:pPr>
            <w:r w:rsidRPr="00623872">
              <w:rPr>
                <w:b/>
              </w:rPr>
              <w:t>Indication:</w:t>
            </w:r>
            <w:r w:rsidRPr="00623872">
              <w:t xml:space="preserve"> </w:t>
            </w:r>
            <w:r>
              <w:t>Colchicine-resistant</w:t>
            </w:r>
            <w:r w:rsidRPr="00623872">
              <w:t xml:space="preserve"> or intolerant familial mediterranean fever (</w:t>
            </w:r>
            <w:proofErr w:type="spellStart"/>
            <w:r w:rsidRPr="00623872">
              <w:t>crFMF</w:t>
            </w:r>
            <w:proofErr w:type="spellEnd"/>
            <w:r w:rsidRPr="00623872">
              <w:t>)</w:t>
            </w:r>
          </w:p>
        </w:tc>
      </w:tr>
      <w:tr w:rsidR="00050929" w:rsidRPr="0098262F" w14:paraId="74A4E870"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66D7820C" w14:textId="77777777" w:rsidR="00050929" w:rsidRPr="0098262F" w:rsidRDefault="00050929" w:rsidP="004B083B">
            <w:pPr>
              <w:pStyle w:val="COMTabletext"/>
            </w:pPr>
            <w:r w:rsidRPr="0098262F">
              <w:rPr>
                <w:b/>
              </w:rPr>
              <w:t>Treatment Phase:</w:t>
            </w:r>
            <w:r w:rsidRPr="0098262F">
              <w:t xml:space="preserve"> </w:t>
            </w:r>
            <w:r>
              <w:rPr>
                <w:bCs w:val="0"/>
              </w:rPr>
              <w:t>Initial treatment</w:t>
            </w:r>
          </w:p>
        </w:tc>
      </w:tr>
      <w:tr w:rsidR="00050929" w:rsidRPr="0098262F" w14:paraId="4C1CBBE4"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757607F8" w14:textId="77777777" w:rsidR="00050929" w:rsidRPr="0098262F" w:rsidRDefault="00050929" w:rsidP="004B083B">
            <w:pPr>
              <w:pStyle w:val="COMTabletext"/>
            </w:pPr>
            <w:r w:rsidRPr="0098262F">
              <w:rPr>
                <w:b/>
              </w:rPr>
              <w:t>Clinical criteria:</w:t>
            </w:r>
          </w:p>
        </w:tc>
      </w:tr>
      <w:tr w:rsidR="00050929" w:rsidRPr="0098262F" w14:paraId="722347CB"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0560EAFB" w14:textId="77777777" w:rsidR="00050929" w:rsidRPr="00F31435" w:rsidRDefault="00050929" w:rsidP="004B083B">
            <w:pPr>
              <w:pStyle w:val="COMTabletext"/>
            </w:pPr>
            <w:r w:rsidRPr="00F31435">
              <w:t>Patient must have a documented diagnosis of FMF based on the Tel-</w:t>
            </w:r>
            <w:proofErr w:type="spellStart"/>
            <w:r w:rsidRPr="00F31435">
              <w:t>Hashomer</w:t>
            </w:r>
            <w:proofErr w:type="spellEnd"/>
            <w:r w:rsidRPr="00F31435">
              <w:t xml:space="preserve"> diagnostic criteria.</w:t>
            </w:r>
          </w:p>
        </w:tc>
      </w:tr>
      <w:tr w:rsidR="00050929" w:rsidRPr="0098262F" w14:paraId="0ACC3E7F"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4E8621D1" w14:textId="77777777" w:rsidR="00050929" w:rsidRPr="0098262F" w:rsidRDefault="00050929" w:rsidP="004B083B">
            <w:pPr>
              <w:pStyle w:val="COMTabletext"/>
            </w:pPr>
            <w:r w:rsidRPr="0098262F">
              <w:rPr>
                <w:b/>
              </w:rPr>
              <w:t>AND</w:t>
            </w:r>
          </w:p>
        </w:tc>
      </w:tr>
      <w:tr w:rsidR="00050929" w:rsidRPr="0098262F" w14:paraId="3439370F"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5886535F" w14:textId="77777777" w:rsidR="00050929" w:rsidRPr="0098262F" w:rsidRDefault="00050929" w:rsidP="004B083B">
            <w:pPr>
              <w:pStyle w:val="COMTabletext"/>
            </w:pPr>
            <w:r w:rsidRPr="0098262F">
              <w:rPr>
                <w:b/>
              </w:rPr>
              <w:t>Clinical criteria:</w:t>
            </w:r>
          </w:p>
        </w:tc>
      </w:tr>
      <w:tr w:rsidR="00050929" w:rsidRPr="0098262F" w14:paraId="721C6BB8"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1202023C" w14:textId="77777777" w:rsidR="00050929" w:rsidRPr="0098262F" w:rsidRDefault="00050929" w:rsidP="004B083B">
            <w:pPr>
              <w:pStyle w:val="COMTabletext"/>
              <w:rPr>
                <w:color w:val="0066FF"/>
              </w:rPr>
            </w:pPr>
            <w:r w:rsidRPr="00C6626C">
              <w:t>Patient must have at least one known MEFV gene exon 10 mutation, confirmed by genetic testing and documented in the patient’s medical records.</w:t>
            </w:r>
          </w:p>
        </w:tc>
      </w:tr>
      <w:tr w:rsidR="00050929" w:rsidRPr="0098262F" w14:paraId="6637F02D"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475D6D53" w14:textId="77777777" w:rsidR="00050929" w:rsidRPr="00A06D5D" w:rsidRDefault="00050929" w:rsidP="004B083B">
            <w:pPr>
              <w:pStyle w:val="COMTabletext"/>
              <w:rPr>
                <w:b/>
                <w:bCs w:val="0"/>
              </w:rPr>
            </w:pPr>
            <w:r>
              <w:rPr>
                <w:b/>
                <w:bCs w:val="0"/>
              </w:rPr>
              <w:t>AND</w:t>
            </w:r>
          </w:p>
        </w:tc>
      </w:tr>
      <w:tr w:rsidR="00050929" w:rsidRPr="0098262F" w14:paraId="7C36190F"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0B05E530" w14:textId="77777777" w:rsidR="00050929" w:rsidRPr="0098262F" w:rsidRDefault="00050929" w:rsidP="004B083B">
            <w:pPr>
              <w:pStyle w:val="COMTabletext"/>
            </w:pPr>
            <w:r w:rsidRPr="0098262F">
              <w:rPr>
                <w:b/>
              </w:rPr>
              <w:t>Clinical criteria:</w:t>
            </w:r>
          </w:p>
        </w:tc>
      </w:tr>
      <w:tr w:rsidR="00050929" w:rsidRPr="0098262F" w14:paraId="4D9CE302"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426C3E40" w14:textId="77777777" w:rsidR="00050929" w:rsidRPr="0098262F" w:rsidRDefault="00050929" w:rsidP="004B083B">
            <w:pPr>
              <w:pStyle w:val="COMTabletext"/>
              <w:rPr>
                <w:i/>
                <w:iCs/>
              </w:rPr>
            </w:pPr>
            <w:r w:rsidRPr="00EC2670">
              <w:t>Patient must have documented evidence of active disease defined as at least one febrile attack per month for at least three months despite maximally tolerated doses of colchicine treatment;</w:t>
            </w:r>
            <w:r>
              <w:t xml:space="preserve"> OR</w:t>
            </w:r>
          </w:p>
        </w:tc>
      </w:tr>
      <w:tr w:rsidR="00050929" w:rsidRPr="0098262F" w14:paraId="03F0AE3D"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16BDA1B1" w14:textId="77777777" w:rsidR="00050929" w:rsidRPr="00EC2670" w:rsidRDefault="00050929" w:rsidP="004B083B">
            <w:pPr>
              <w:pStyle w:val="COMTabletext"/>
            </w:pPr>
            <w:r w:rsidRPr="00884032">
              <w:t>Patient must have documented evidence of chronic or recurrent disease activity supported by persistently elevated C-reactive protein or serum amyloid A during the attack-free period for at least three months despite maximally tolerated doses of colchicine treatment;</w:t>
            </w:r>
            <w:r>
              <w:t xml:space="preserve"> OR</w:t>
            </w:r>
          </w:p>
        </w:tc>
      </w:tr>
      <w:tr w:rsidR="00050929" w:rsidRPr="0098262F" w14:paraId="4AE2D295"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435910B5" w14:textId="77777777" w:rsidR="00050929" w:rsidRPr="00EC2670" w:rsidRDefault="00050929" w:rsidP="004B083B">
            <w:pPr>
              <w:pStyle w:val="COMTabletext"/>
              <w:keepNext w:val="0"/>
            </w:pPr>
            <w:r w:rsidRPr="00252C7C">
              <w:t>Patient must have a documented contraindication to colchicine therapy or side-effects necessitating discontinuation in addition to persistent clinical flares or subclinical inflammation for at least 3 months as described above.</w:t>
            </w:r>
          </w:p>
        </w:tc>
      </w:tr>
      <w:tr w:rsidR="00050929" w:rsidRPr="0098262F" w14:paraId="2223B019"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7AB58E5E" w14:textId="77777777" w:rsidR="00050929" w:rsidRDefault="00050929" w:rsidP="004B083B">
            <w:pPr>
              <w:pStyle w:val="COMTabletext"/>
              <w:rPr>
                <w:b/>
                <w:bCs w:val="0"/>
              </w:rPr>
            </w:pPr>
            <w:r w:rsidRPr="00366CA2">
              <w:rPr>
                <w:b/>
                <w:bCs w:val="0"/>
              </w:rPr>
              <w:lastRenderedPageBreak/>
              <w:t>Treatment criteria:</w:t>
            </w:r>
          </w:p>
        </w:tc>
      </w:tr>
      <w:tr w:rsidR="00050929" w:rsidRPr="0098262F" w14:paraId="5CFEDFF1"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4E2783FA" w14:textId="77777777" w:rsidR="00050929" w:rsidRDefault="00050929" w:rsidP="004B083B">
            <w:pPr>
              <w:pStyle w:val="COMTabletext"/>
              <w:rPr>
                <w:b/>
                <w:bCs w:val="0"/>
              </w:rPr>
            </w:pPr>
            <w:r w:rsidRPr="00366CA2">
              <w:t>Must be treated by a medical practitioner who is at least one of: (a) rheumatologist, (b) clinical immunologist, (c) physician experienced in the management of FMF patients, (d) in consultation with one of these prescriber types.</w:t>
            </w:r>
          </w:p>
        </w:tc>
      </w:tr>
      <w:tr w:rsidR="00050929" w:rsidRPr="0098262F" w14:paraId="50C29AD4"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38E1FD63" w14:textId="77777777" w:rsidR="00050929" w:rsidRPr="00252C7C" w:rsidRDefault="00050929" w:rsidP="004B083B">
            <w:pPr>
              <w:pStyle w:val="COMTabletext"/>
            </w:pPr>
            <w:r w:rsidRPr="002870AB">
              <w:t>The treatment must be in combination with colchicine unless contraindicated or the patient has documented evidence of having experienced an adverse event necessitating discontinuation.</w:t>
            </w:r>
          </w:p>
        </w:tc>
      </w:tr>
      <w:tr w:rsidR="00050929" w:rsidRPr="0098262F" w14:paraId="128DC7AB"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54BA8504" w14:textId="77777777" w:rsidR="00050929" w:rsidRPr="0098262F" w:rsidRDefault="00050929" w:rsidP="004B083B">
            <w:pPr>
              <w:pStyle w:val="COMTabletext"/>
            </w:pPr>
            <w:r w:rsidRPr="0098262F">
              <w:rPr>
                <w:b/>
              </w:rPr>
              <w:t>Population criteria:</w:t>
            </w:r>
          </w:p>
        </w:tc>
      </w:tr>
      <w:tr w:rsidR="00050929" w:rsidRPr="0098262F" w14:paraId="5E64A7D7"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64319D19" w14:textId="77777777" w:rsidR="00050929" w:rsidRPr="00DC1474" w:rsidRDefault="00050929" w:rsidP="004B083B">
            <w:pPr>
              <w:pStyle w:val="COMTabletext"/>
            </w:pPr>
            <w:r w:rsidRPr="00DC1474">
              <w:t xml:space="preserve">Patient must be at least 2 years of age, </w:t>
            </w:r>
            <w:proofErr w:type="gramStart"/>
            <w:r w:rsidRPr="00DC1474">
              <w:t>but yet</w:t>
            </w:r>
            <w:proofErr w:type="gramEnd"/>
            <w:r w:rsidRPr="00DC1474">
              <w:t xml:space="preserve"> to turn 18 years of age, at treatment initiation with this drug.</w:t>
            </w:r>
          </w:p>
        </w:tc>
      </w:tr>
      <w:tr w:rsidR="00050929" w:rsidRPr="0098262F" w14:paraId="56B5853A"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tcBorders>
              <w:bottom w:val="double" w:sz="4" w:space="0" w:color="auto"/>
            </w:tcBorders>
            <w:vAlign w:val="center"/>
            <w:hideMark/>
          </w:tcPr>
          <w:p w14:paraId="5687C230" w14:textId="77777777" w:rsidR="00050929" w:rsidRPr="00F87E50" w:rsidRDefault="00050929" w:rsidP="004B083B">
            <w:pPr>
              <w:pStyle w:val="COMTabletext"/>
            </w:pPr>
            <w:r w:rsidRPr="0098262F">
              <w:rPr>
                <w:b/>
              </w:rPr>
              <w:t xml:space="preserve">Administrative Advice: </w:t>
            </w:r>
            <w:r w:rsidRPr="00F87E50">
              <w:t>No increase in the maximum quantity or number of units above 2 may be authorised.</w:t>
            </w:r>
          </w:p>
          <w:p w14:paraId="31319889" w14:textId="77777777" w:rsidR="00050929" w:rsidRPr="0098262F" w:rsidRDefault="00050929" w:rsidP="004B083B">
            <w:pPr>
              <w:pStyle w:val="COMTabletext"/>
            </w:pPr>
            <w:r w:rsidRPr="00F87E50">
              <w:t>Applications for authorisation under this restriction may be made in real time using the Online PBS</w:t>
            </w:r>
            <w:r>
              <w:t xml:space="preserve"> </w:t>
            </w:r>
            <w:r w:rsidRPr="00F87E50">
              <w:t>Authorities system (see www.servicesaustralia.gov.au/HPOS) or by telephone by contacting Services</w:t>
            </w:r>
            <w:r>
              <w:t xml:space="preserve"> </w:t>
            </w:r>
            <w:r w:rsidRPr="00F87E50">
              <w:t>Australia on 1800 700 270 (hours of operation 8 a.m. to 5 p.m. Monday to Friday)</w:t>
            </w:r>
            <w:r>
              <w:t>.</w:t>
            </w:r>
          </w:p>
        </w:tc>
      </w:tr>
      <w:tr w:rsidR="007B646B" w:rsidRPr="0098262F" w14:paraId="2C30ED91"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tcBorders>
              <w:top w:val="double" w:sz="4" w:space="0" w:color="auto"/>
              <w:left w:val="single" w:sz="4" w:space="0" w:color="auto"/>
              <w:bottom w:val="single" w:sz="4" w:space="0" w:color="auto"/>
              <w:right w:val="single" w:sz="4" w:space="0" w:color="auto"/>
            </w:tcBorders>
            <w:vAlign w:val="center"/>
            <w:hideMark/>
          </w:tcPr>
          <w:p w14:paraId="7CDFAE5C" w14:textId="0F7FDCFA" w:rsidR="007B646B" w:rsidRPr="0098262F" w:rsidRDefault="007B646B" w:rsidP="004B083B">
            <w:pPr>
              <w:pStyle w:val="COMTabletext"/>
              <w:rPr>
                <w:b/>
              </w:rPr>
            </w:pPr>
            <w:r>
              <w:rPr>
                <w:b/>
              </w:rPr>
              <w:t>Requested restriction (grandfathered patients)</w:t>
            </w:r>
          </w:p>
        </w:tc>
      </w:tr>
      <w:tr w:rsidR="00BC3544" w:rsidRPr="0098262F" w14:paraId="6431B364"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tcPr>
          <w:p w14:paraId="6B743567" w14:textId="77777777" w:rsidR="00BC3544" w:rsidRPr="0098262F" w:rsidRDefault="00BC3544" w:rsidP="004B083B">
            <w:pPr>
              <w:pStyle w:val="COMTabletext"/>
            </w:pPr>
            <w:r w:rsidRPr="0098262F">
              <w:rPr>
                <w:b/>
              </w:rPr>
              <w:t xml:space="preserve">Category / Program: </w:t>
            </w:r>
            <w:r w:rsidRPr="0098262F">
              <w:t>Section 100</w:t>
            </w:r>
          </w:p>
        </w:tc>
      </w:tr>
      <w:tr w:rsidR="00BC3544" w:rsidRPr="0098262F" w14:paraId="020BEAAC"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tcPr>
          <w:p w14:paraId="61BBF0A6" w14:textId="77777777" w:rsidR="00BC3544" w:rsidRPr="0098262F" w:rsidRDefault="00BC3544" w:rsidP="004B083B">
            <w:pPr>
              <w:pStyle w:val="COMTabletext"/>
              <w:rPr>
                <w:b/>
              </w:rPr>
            </w:pPr>
            <w:r w:rsidRPr="0098262F">
              <w:rPr>
                <w:b/>
              </w:rPr>
              <w:t xml:space="preserve">Prescriber type: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98262F">
              <w:t>Medical Practitioners</w:t>
            </w:r>
          </w:p>
        </w:tc>
      </w:tr>
      <w:tr w:rsidR="00BC3544" w:rsidRPr="0098262F" w14:paraId="2B949A2A"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tcPr>
          <w:p w14:paraId="1E367E36" w14:textId="77777777" w:rsidR="00BC3544" w:rsidRPr="0098262F" w:rsidRDefault="00BC3544" w:rsidP="004B083B">
            <w:pPr>
              <w:pStyle w:val="COMTabletext"/>
              <w:rPr>
                <w:rFonts w:eastAsia="Times New Roman"/>
              </w:rPr>
            </w:pPr>
            <w:r w:rsidRPr="0098262F">
              <w:rPr>
                <w:b/>
              </w:rPr>
              <w:t xml:space="preserve">Restriction type: </w:t>
            </w:r>
            <w:r>
              <w:rPr>
                <w:rFonts w:eastAsia="Times New Roman"/>
              </w:rPr>
              <w:fldChar w:fldCharType="begin">
                <w:ffData>
                  <w:name w:val="Check3"/>
                  <w:enabled/>
                  <w:calcOnExit w:val="0"/>
                  <w:checkBox>
                    <w:sizeAuto/>
                    <w:default w:val="1"/>
                  </w:checkBox>
                </w:ffData>
              </w:fldChar>
            </w:r>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r w:rsidRPr="0098262F">
              <w:rPr>
                <w:rFonts w:eastAsia="Times New Roman"/>
              </w:rPr>
              <w:t>Authority Required (telephone/online PBS Authorities system)</w:t>
            </w:r>
          </w:p>
        </w:tc>
      </w:tr>
      <w:tr w:rsidR="00BC3544" w:rsidRPr="0098262F" w14:paraId="183BB5CA"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7EEAFEBE" w14:textId="77777777" w:rsidR="00BC3544" w:rsidRPr="0098262F" w:rsidRDefault="00BC3544" w:rsidP="004B083B">
            <w:pPr>
              <w:pStyle w:val="COMTabletext"/>
              <w:rPr>
                <w:b/>
              </w:rPr>
            </w:pPr>
            <w:r w:rsidRPr="0098262F">
              <w:rPr>
                <w:b/>
              </w:rPr>
              <w:t xml:space="preserve">Condition: </w:t>
            </w:r>
            <w:r>
              <w:rPr>
                <w:bCs w:val="0"/>
              </w:rPr>
              <w:t>Colchicine-resistant</w:t>
            </w:r>
            <w:r w:rsidRPr="000A1A5B">
              <w:rPr>
                <w:bCs w:val="0"/>
              </w:rPr>
              <w:t xml:space="preserve"> or intolerant familial mediterranean fever (</w:t>
            </w:r>
            <w:proofErr w:type="spellStart"/>
            <w:r w:rsidRPr="000A1A5B">
              <w:rPr>
                <w:bCs w:val="0"/>
              </w:rPr>
              <w:t>crFMF</w:t>
            </w:r>
            <w:proofErr w:type="spellEnd"/>
            <w:r w:rsidRPr="000A1A5B">
              <w:rPr>
                <w:bCs w:val="0"/>
              </w:rPr>
              <w:t>)</w:t>
            </w:r>
          </w:p>
        </w:tc>
      </w:tr>
      <w:tr w:rsidR="00BC3544" w:rsidRPr="0098262F" w14:paraId="008C4510"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45B9B61D" w14:textId="77777777" w:rsidR="00BC3544" w:rsidRPr="00623872" w:rsidRDefault="00BC3544" w:rsidP="004B083B">
            <w:pPr>
              <w:pStyle w:val="COMTabletext"/>
            </w:pPr>
            <w:r w:rsidRPr="00623872">
              <w:rPr>
                <w:b/>
              </w:rPr>
              <w:t>Indication:</w:t>
            </w:r>
            <w:r w:rsidRPr="00623872">
              <w:t xml:space="preserve"> </w:t>
            </w:r>
            <w:r>
              <w:t>Colchicine-resistant</w:t>
            </w:r>
            <w:r w:rsidRPr="00623872">
              <w:t xml:space="preserve"> or intolerant familial mediterranean fever (</w:t>
            </w:r>
            <w:proofErr w:type="spellStart"/>
            <w:r w:rsidRPr="00623872">
              <w:t>crFMF</w:t>
            </w:r>
            <w:proofErr w:type="spellEnd"/>
            <w:r w:rsidRPr="00623872">
              <w:t>)</w:t>
            </w:r>
          </w:p>
        </w:tc>
      </w:tr>
      <w:tr w:rsidR="00BC3544" w:rsidRPr="0098262F" w14:paraId="276E12C3"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20423814" w14:textId="77777777" w:rsidR="00BC3544" w:rsidRPr="0098262F" w:rsidRDefault="00BC3544" w:rsidP="004B083B">
            <w:pPr>
              <w:pStyle w:val="COMTabletext"/>
            </w:pPr>
            <w:r w:rsidRPr="0098262F">
              <w:rPr>
                <w:b/>
              </w:rPr>
              <w:t>Treatment Phase:</w:t>
            </w:r>
            <w:r w:rsidRPr="0098262F">
              <w:t xml:space="preserve"> </w:t>
            </w:r>
            <w:r>
              <w:rPr>
                <w:bCs w:val="0"/>
              </w:rPr>
              <w:t>Grandfathered patients</w:t>
            </w:r>
          </w:p>
        </w:tc>
      </w:tr>
      <w:tr w:rsidR="00BC3544" w:rsidRPr="0098262F" w14:paraId="5C12C080"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44D28A5C" w14:textId="77777777" w:rsidR="00BC3544" w:rsidRPr="0098262F" w:rsidRDefault="00BC3544" w:rsidP="004B083B">
            <w:pPr>
              <w:pStyle w:val="COMTabletext"/>
            </w:pPr>
            <w:r w:rsidRPr="0098262F">
              <w:rPr>
                <w:b/>
              </w:rPr>
              <w:t>Clinical criteria:</w:t>
            </w:r>
          </w:p>
        </w:tc>
      </w:tr>
      <w:tr w:rsidR="00BC3544" w:rsidRPr="0098262F" w14:paraId="1DB8317D"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566FE52F" w14:textId="77777777" w:rsidR="00BC3544" w:rsidRPr="00F31435" w:rsidRDefault="00BC3544" w:rsidP="004B083B">
            <w:pPr>
              <w:pStyle w:val="COMTabletext"/>
            </w:pPr>
            <w:r w:rsidRPr="00F31435">
              <w:t>Patient must have a documented diagnosis of FMF based on the Tel-</w:t>
            </w:r>
            <w:proofErr w:type="spellStart"/>
            <w:r w:rsidRPr="00F31435">
              <w:t>Hashomer</w:t>
            </w:r>
            <w:proofErr w:type="spellEnd"/>
            <w:r w:rsidRPr="00F31435">
              <w:t xml:space="preserve"> diagnostic criteria.</w:t>
            </w:r>
          </w:p>
        </w:tc>
      </w:tr>
      <w:tr w:rsidR="00BC3544" w:rsidRPr="0098262F" w14:paraId="0459BB5E"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3E4F5417" w14:textId="77777777" w:rsidR="00BC3544" w:rsidRPr="0098262F" w:rsidRDefault="00BC3544" w:rsidP="004B083B">
            <w:pPr>
              <w:pStyle w:val="COMTabletext"/>
            </w:pPr>
            <w:r w:rsidRPr="0098262F">
              <w:rPr>
                <w:b/>
              </w:rPr>
              <w:t>AND</w:t>
            </w:r>
          </w:p>
        </w:tc>
      </w:tr>
      <w:tr w:rsidR="00BC3544" w:rsidRPr="0098262F" w14:paraId="1DE4F088"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0175C3CB" w14:textId="77777777" w:rsidR="00BC3544" w:rsidRPr="0098262F" w:rsidRDefault="00BC3544" w:rsidP="004B083B">
            <w:pPr>
              <w:pStyle w:val="COMTabletext"/>
            </w:pPr>
            <w:r w:rsidRPr="0098262F">
              <w:rPr>
                <w:b/>
              </w:rPr>
              <w:t>Clinical criteria:</w:t>
            </w:r>
          </w:p>
        </w:tc>
      </w:tr>
      <w:tr w:rsidR="00BC3544" w:rsidRPr="0098262F" w14:paraId="6D019070"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72EC4435" w14:textId="77777777" w:rsidR="00BC3544" w:rsidRPr="0098262F" w:rsidRDefault="00BC3544" w:rsidP="004B083B">
            <w:pPr>
              <w:pStyle w:val="COMTabletext"/>
              <w:rPr>
                <w:color w:val="0066FF"/>
              </w:rPr>
            </w:pPr>
            <w:r w:rsidRPr="00C6626C">
              <w:t>Patient must have at least one known MEFV gene exon 10 mutation, confirmed by genetic testing and documented in the patient’s medical records.</w:t>
            </w:r>
          </w:p>
        </w:tc>
      </w:tr>
      <w:tr w:rsidR="00BC3544" w:rsidRPr="0098262F" w14:paraId="0A6F204A"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700EFF90" w14:textId="77777777" w:rsidR="00BC3544" w:rsidRPr="00A06D5D" w:rsidRDefault="00BC3544" w:rsidP="004B083B">
            <w:pPr>
              <w:pStyle w:val="COMTabletext"/>
              <w:rPr>
                <w:b/>
                <w:bCs w:val="0"/>
              </w:rPr>
            </w:pPr>
            <w:r w:rsidRPr="00A06D5D">
              <w:rPr>
                <w:b/>
                <w:bCs w:val="0"/>
              </w:rPr>
              <w:t>AND</w:t>
            </w:r>
          </w:p>
        </w:tc>
      </w:tr>
      <w:tr w:rsidR="00BC3544" w:rsidRPr="0098262F" w14:paraId="195E3D48"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64367CCA" w14:textId="77777777" w:rsidR="00BC3544" w:rsidRPr="0098262F" w:rsidRDefault="00BC3544" w:rsidP="004B083B">
            <w:pPr>
              <w:pStyle w:val="COMTabletext"/>
            </w:pPr>
            <w:r w:rsidRPr="0098262F">
              <w:rPr>
                <w:b/>
              </w:rPr>
              <w:t>Clinical criteria:</w:t>
            </w:r>
          </w:p>
        </w:tc>
      </w:tr>
      <w:tr w:rsidR="00BC3544" w:rsidRPr="0098262F" w14:paraId="737E4146"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4F61BC36" w14:textId="77777777" w:rsidR="00BC3544" w:rsidRPr="0098262F" w:rsidRDefault="00BC3544" w:rsidP="004B083B">
            <w:pPr>
              <w:pStyle w:val="COMTabletext"/>
              <w:rPr>
                <w:i/>
                <w:iCs/>
              </w:rPr>
            </w:pPr>
            <w:r w:rsidRPr="00EC2670">
              <w:t>Patient must have</w:t>
            </w:r>
            <w:r>
              <w:t xml:space="preserve"> had, prior to initiating non-PBS-subsidised treatment,</w:t>
            </w:r>
            <w:r w:rsidRPr="00EC2670">
              <w:t xml:space="preserve"> documented evidence of active disease defined as at least one febrile attack per month for at least three months despite maximally tolerated doses of colchicine treatment;</w:t>
            </w:r>
            <w:r>
              <w:t xml:space="preserve"> OR</w:t>
            </w:r>
          </w:p>
        </w:tc>
      </w:tr>
      <w:tr w:rsidR="00BC3544" w:rsidRPr="0098262F" w14:paraId="52A4473C"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4D9B1C94" w14:textId="77777777" w:rsidR="00BC3544" w:rsidRPr="00EC2670" w:rsidRDefault="00BC3544" w:rsidP="004B083B">
            <w:pPr>
              <w:pStyle w:val="COMTabletext"/>
            </w:pPr>
            <w:r w:rsidRPr="00EC2670">
              <w:t>Patient must have</w:t>
            </w:r>
            <w:r>
              <w:t xml:space="preserve"> had, prior to initiating non-PBS-subsidised treatment,</w:t>
            </w:r>
            <w:r w:rsidRPr="00EC2670">
              <w:t xml:space="preserve"> </w:t>
            </w:r>
            <w:r w:rsidRPr="00884032">
              <w:t>documented evidence of chronic or recurrent disease activity supported by persistently elevated C-reactive protein or serum amyloid A during the attack-free period for at least three months despite maximally tolerated doses of colchicine treatment;</w:t>
            </w:r>
            <w:r>
              <w:t xml:space="preserve"> OR</w:t>
            </w:r>
          </w:p>
        </w:tc>
      </w:tr>
      <w:tr w:rsidR="00BC3544" w:rsidRPr="0098262F" w14:paraId="568FDFED"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034DB11A" w14:textId="77777777" w:rsidR="00BC3544" w:rsidRPr="00EC2670" w:rsidRDefault="00BC3544" w:rsidP="004B083B">
            <w:pPr>
              <w:pStyle w:val="COMTabletext"/>
            </w:pPr>
            <w:r w:rsidRPr="00EC2670">
              <w:t>Patient must have</w:t>
            </w:r>
            <w:r>
              <w:t xml:space="preserve"> had, prior to initiating non-PBS-subsidised treatment,</w:t>
            </w:r>
            <w:r w:rsidRPr="00EC2670">
              <w:t xml:space="preserve"> </w:t>
            </w:r>
            <w:r w:rsidRPr="00252C7C">
              <w:t>a documented contraindication to colchicine therapy or side-effects necessitating discontinuation in addition to persistent clinical flares or subclinical inflammation for at least 3 months as described above.</w:t>
            </w:r>
          </w:p>
        </w:tc>
      </w:tr>
      <w:tr w:rsidR="00BC3544" w:rsidRPr="00252C7C" w14:paraId="3AA24EEC"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688E6AC1" w14:textId="77777777" w:rsidR="00BC3544" w:rsidRPr="00366CA2" w:rsidRDefault="00BC3544" w:rsidP="004B083B">
            <w:pPr>
              <w:pStyle w:val="COMTabletext"/>
              <w:rPr>
                <w:b/>
                <w:bCs w:val="0"/>
              </w:rPr>
            </w:pPr>
            <w:r w:rsidRPr="00366CA2">
              <w:rPr>
                <w:b/>
                <w:bCs w:val="0"/>
              </w:rPr>
              <w:t>Treatment criteria:</w:t>
            </w:r>
          </w:p>
        </w:tc>
      </w:tr>
      <w:tr w:rsidR="00BC3544" w:rsidRPr="0098262F" w14:paraId="30FEA749"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7FBA8148" w14:textId="77777777" w:rsidR="00BC3544" w:rsidRPr="00366CA2" w:rsidRDefault="00BC3544" w:rsidP="004B083B">
            <w:pPr>
              <w:pStyle w:val="COMTabletext"/>
            </w:pPr>
            <w:r w:rsidRPr="00366CA2">
              <w:t>Must be treated by a medical practitioner who is at least one of: (a) rheumatologist, (b) clinical immunologist, (c) physician experienced in the management of FMF patients, (d) in consultation with one of these prescriber types.</w:t>
            </w:r>
          </w:p>
        </w:tc>
      </w:tr>
      <w:tr w:rsidR="00BC3544" w:rsidRPr="0098262F" w14:paraId="0AB835F6"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34646660" w14:textId="77777777" w:rsidR="00BC3544" w:rsidRPr="00252C7C" w:rsidRDefault="00BC3544" w:rsidP="004B083B">
            <w:pPr>
              <w:pStyle w:val="COMTabletext"/>
            </w:pPr>
            <w:r w:rsidRPr="002870AB">
              <w:t>The treatment must be in combination with colchicine unless contraindicated or the patient has documented evidence of having experienced an adverse event necessitating discontinuation.</w:t>
            </w:r>
          </w:p>
        </w:tc>
      </w:tr>
      <w:tr w:rsidR="00BC3544" w:rsidRPr="0098262F" w14:paraId="4F08BDD8"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57FAE3F9" w14:textId="77777777" w:rsidR="00BC3544" w:rsidRPr="0098262F" w:rsidRDefault="00BC3544" w:rsidP="004B083B">
            <w:pPr>
              <w:pStyle w:val="COMTabletext"/>
            </w:pPr>
            <w:r w:rsidRPr="0098262F">
              <w:rPr>
                <w:b/>
              </w:rPr>
              <w:t>Population criteria:</w:t>
            </w:r>
          </w:p>
        </w:tc>
      </w:tr>
      <w:tr w:rsidR="00BC3544" w:rsidRPr="0098262F" w14:paraId="352FE5E4"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1D67E103" w14:textId="77777777" w:rsidR="00BC3544" w:rsidRPr="00DC1474" w:rsidRDefault="00BC3544" w:rsidP="004B083B">
            <w:pPr>
              <w:pStyle w:val="COMTabletext"/>
            </w:pPr>
            <w:r w:rsidRPr="00DC1474">
              <w:t xml:space="preserve">Patient must be at least 2 years of age, </w:t>
            </w:r>
            <w:proofErr w:type="gramStart"/>
            <w:r w:rsidRPr="00DC1474">
              <w:t>but yet</w:t>
            </w:r>
            <w:proofErr w:type="gramEnd"/>
            <w:r w:rsidRPr="00DC1474">
              <w:t xml:space="preserve"> to turn 18 years of age, at treatment initiation with this drug.</w:t>
            </w:r>
          </w:p>
        </w:tc>
      </w:tr>
      <w:tr w:rsidR="00BC3544" w:rsidRPr="0098262F" w14:paraId="0CA6ABB9"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tcBorders>
              <w:bottom w:val="double" w:sz="4" w:space="0" w:color="auto"/>
            </w:tcBorders>
            <w:vAlign w:val="center"/>
            <w:hideMark/>
          </w:tcPr>
          <w:p w14:paraId="09931F58" w14:textId="77777777" w:rsidR="00BC3544" w:rsidRPr="00F87E50" w:rsidRDefault="00BC3544" w:rsidP="004B083B">
            <w:pPr>
              <w:pStyle w:val="COMTabletext"/>
            </w:pPr>
            <w:r w:rsidRPr="0098262F">
              <w:rPr>
                <w:b/>
              </w:rPr>
              <w:t xml:space="preserve">Administrative Advice: </w:t>
            </w:r>
            <w:r w:rsidRPr="00F87E50">
              <w:t>No increase in the maximum quantity or number of units above 2 may be authorised.</w:t>
            </w:r>
          </w:p>
          <w:p w14:paraId="6C261954" w14:textId="77777777" w:rsidR="00BC3544" w:rsidRPr="0098262F" w:rsidRDefault="00BC3544" w:rsidP="004B083B">
            <w:pPr>
              <w:pStyle w:val="COMTabletext"/>
            </w:pPr>
            <w:r w:rsidRPr="00F87E50">
              <w:t>Applications for authorisation under this restriction may be made in real time using the Online PBS</w:t>
            </w:r>
            <w:r>
              <w:t xml:space="preserve"> </w:t>
            </w:r>
            <w:r w:rsidRPr="00F87E50">
              <w:t>Authorities system (see www.servicesaustralia.gov.au/HPOS) or by telephone by contacting Services</w:t>
            </w:r>
            <w:r>
              <w:t xml:space="preserve"> </w:t>
            </w:r>
            <w:r w:rsidRPr="00F87E50">
              <w:t>Australia on 1800 700 270 (hours of operation 8 a.m. to 5 p.m. Monday to Friday)</w:t>
            </w:r>
            <w:r>
              <w:t>.</w:t>
            </w:r>
          </w:p>
        </w:tc>
      </w:tr>
      <w:tr w:rsidR="007B646B" w:rsidRPr="0098262F" w14:paraId="38D19D76"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tcBorders>
              <w:top w:val="double" w:sz="4" w:space="0" w:color="auto"/>
              <w:left w:val="single" w:sz="4" w:space="0" w:color="auto"/>
              <w:bottom w:val="single" w:sz="4" w:space="0" w:color="auto"/>
              <w:right w:val="single" w:sz="4" w:space="0" w:color="auto"/>
            </w:tcBorders>
            <w:vAlign w:val="center"/>
            <w:hideMark/>
          </w:tcPr>
          <w:p w14:paraId="36BE2D03" w14:textId="0738A89D" w:rsidR="007B646B" w:rsidRPr="0098262F" w:rsidRDefault="007B646B" w:rsidP="004B083B">
            <w:pPr>
              <w:pStyle w:val="COMTabletext"/>
              <w:rPr>
                <w:b/>
              </w:rPr>
            </w:pPr>
            <w:r>
              <w:rPr>
                <w:b/>
              </w:rPr>
              <w:t>Requested restriction (Continuing treatment)</w:t>
            </w:r>
          </w:p>
        </w:tc>
      </w:tr>
      <w:tr w:rsidR="00BC3544" w:rsidRPr="0098262F" w14:paraId="2CFABA37"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tcPr>
          <w:p w14:paraId="3BCC703D" w14:textId="77777777" w:rsidR="00BC3544" w:rsidRPr="0098262F" w:rsidRDefault="00BC3544" w:rsidP="004B083B">
            <w:pPr>
              <w:pStyle w:val="COMTabletext"/>
            </w:pPr>
            <w:r w:rsidRPr="0098262F">
              <w:rPr>
                <w:b/>
              </w:rPr>
              <w:t xml:space="preserve">Category / Program: </w:t>
            </w:r>
            <w:r w:rsidRPr="0098262F">
              <w:t>Section 100</w:t>
            </w:r>
          </w:p>
        </w:tc>
      </w:tr>
      <w:tr w:rsidR="00BC3544" w:rsidRPr="0098262F" w14:paraId="41F2970D"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tcPr>
          <w:p w14:paraId="29C69298" w14:textId="77777777" w:rsidR="00BC3544" w:rsidRPr="0098262F" w:rsidRDefault="00BC3544" w:rsidP="004B083B">
            <w:pPr>
              <w:pStyle w:val="COMTabletext"/>
              <w:rPr>
                <w:b/>
              </w:rPr>
            </w:pPr>
            <w:r w:rsidRPr="0098262F">
              <w:rPr>
                <w:b/>
              </w:rPr>
              <w:t xml:space="preserve">Prescriber type: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98262F">
              <w:t>Medical Practitioners</w:t>
            </w:r>
          </w:p>
        </w:tc>
      </w:tr>
      <w:tr w:rsidR="00BC3544" w:rsidRPr="0098262F" w14:paraId="2D677DD8"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tcPr>
          <w:p w14:paraId="1299B2A7" w14:textId="2D9B70CF" w:rsidR="00BC3544" w:rsidRPr="0098262F" w:rsidRDefault="00BC3544" w:rsidP="004B083B">
            <w:pPr>
              <w:pStyle w:val="COMTabletext"/>
              <w:rPr>
                <w:rFonts w:eastAsia="Times New Roman"/>
              </w:rPr>
            </w:pPr>
            <w:r w:rsidRPr="0098262F">
              <w:rPr>
                <w:b/>
              </w:rPr>
              <w:lastRenderedPageBreak/>
              <w:t xml:space="preserve">Restriction type: </w:t>
            </w:r>
            <w:r>
              <w:rPr>
                <w:rFonts w:eastAsia="Times New Roman"/>
              </w:rPr>
              <w:fldChar w:fldCharType="begin">
                <w:ffData>
                  <w:name w:val="Check3"/>
                  <w:enabled/>
                  <w:calcOnExit w:val="0"/>
                  <w:checkBox>
                    <w:sizeAuto/>
                    <w:default w:val="1"/>
                  </w:checkBox>
                </w:ffData>
              </w:fldChar>
            </w:r>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r w:rsidRPr="0098262F">
              <w:rPr>
                <w:rFonts w:eastAsia="Times New Roman"/>
              </w:rPr>
              <w:t>Authority Required (</w:t>
            </w:r>
            <w:r w:rsidR="00A34175">
              <w:rPr>
                <w:rFonts w:eastAsia="Times New Roman"/>
              </w:rPr>
              <w:t>STREAMLINED</w:t>
            </w:r>
            <w:r w:rsidRPr="0098262F">
              <w:rPr>
                <w:rFonts w:eastAsia="Times New Roman"/>
              </w:rPr>
              <w:t>)</w:t>
            </w:r>
          </w:p>
        </w:tc>
      </w:tr>
      <w:tr w:rsidR="00BC3544" w:rsidRPr="0098262F" w14:paraId="01E45F6D"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7653A4C0" w14:textId="77777777" w:rsidR="00BC3544" w:rsidRPr="0098262F" w:rsidRDefault="00BC3544" w:rsidP="004B083B">
            <w:pPr>
              <w:pStyle w:val="COMTabletext"/>
              <w:rPr>
                <w:b/>
              </w:rPr>
            </w:pPr>
            <w:r w:rsidRPr="0098262F">
              <w:rPr>
                <w:b/>
              </w:rPr>
              <w:t xml:space="preserve">Condition: </w:t>
            </w:r>
            <w:r>
              <w:rPr>
                <w:bCs w:val="0"/>
              </w:rPr>
              <w:t>Colchicine-resistant</w:t>
            </w:r>
            <w:r w:rsidRPr="000A1A5B">
              <w:rPr>
                <w:bCs w:val="0"/>
              </w:rPr>
              <w:t xml:space="preserve"> or intolerant familial mediterranean fever (</w:t>
            </w:r>
            <w:proofErr w:type="spellStart"/>
            <w:r w:rsidRPr="000A1A5B">
              <w:rPr>
                <w:bCs w:val="0"/>
              </w:rPr>
              <w:t>crFMF</w:t>
            </w:r>
            <w:proofErr w:type="spellEnd"/>
            <w:r w:rsidRPr="000A1A5B">
              <w:rPr>
                <w:bCs w:val="0"/>
              </w:rPr>
              <w:t>)</w:t>
            </w:r>
          </w:p>
        </w:tc>
      </w:tr>
      <w:tr w:rsidR="00BC3544" w:rsidRPr="00623872" w14:paraId="3BA88379"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312D8DDF" w14:textId="77777777" w:rsidR="00BC3544" w:rsidRPr="00623872" w:rsidRDefault="00BC3544" w:rsidP="004B083B">
            <w:pPr>
              <w:pStyle w:val="COMTabletext"/>
            </w:pPr>
            <w:r w:rsidRPr="00623872">
              <w:rPr>
                <w:b/>
              </w:rPr>
              <w:t>Indication:</w:t>
            </w:r>
            <w:r w:rsidRPr="00623872">
              <w:t xml:space="preserve"> </w:t>
            </w:r>
            <w:r>
              <w:t>Colchicine-resistant</w:t>
            </w:r>
            <w:r w:rsidRPr="00623872">
              <w:t xml:space="preserve"> or intolerant familial mediterranean fever (</w:t>
            </w:r>
            <w:proofErr w:type="spellStart"/>
            <w:r w:rsidRPr="00623872">
              <w:t>crFMF</w:t>
            </w:r>
            <w:proofErr w:type="spellEnd"/>
            <w:r w:rsidRPr="00623872">
              <w:t>)</w:t>
            </w:r>
          </w:p>
        </w:tc>
      </w:tr>
      <w:tr w:rsidR="00BC3544" w:rsidRPr="0098262F" w14:paraId="0BC2CD23"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4AC8932C" w14:textId="77777777" w:rsidR="00BC3544" w:rsidRPr="0098262F" w:rsidRDefault="00BC3544" w:rsidP="004B083B">
            <w:pPr>
              <w:pStyle w:val="COMTabletext"/>
            </w:pPr>
            <w:r w:rsidRPr="0098262F">
              <w:rPr>
                <w:b/>
              </w:rPr>
              <w:t>Treatment Phase:</w:t>
            </w:r>
            <w:r w:rsidRPr="0098262F">
              <w:t xml:space="preserve"> </w:t>
            </w:r>
            <w:r w:rsidRPr="008E23EC">
              <w:rPr>
                <w:bCs w:val="0"/>
              </w:rPr>
              <w:t>Continuing treatment</w:t>
            </w:r>
          </w:p>
        </w:tc>
      </w:tr>
      <w:tr w:rsidR="00BC3544" w:rsidRPr="0098262F" w14:paraId="1D690A9A"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4B447C80" w14:textId="77777777" w:rsidR="00BC3544" w:rsidRPr="0098262F" w:rsidRDefault="00BC3544" w:rsidP="004B083B">
            <w:pPr>
              <w:pStyle w:val="COMTabletext"/>
            </w:pPr>
            <w:r w:rsidRPr="0098262F">
              <w:rPr>
                <w:b/>
              </w:rPr>
              <w:t>Clinical criteria:</w:t>
            </w:r>
          </w:p>
        </w:tc>
      </w:tr>
      <w:tr w:rsidR="00BC3544" w:rsidRPr="0098262F" w14:paraId="6180FA65"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61C87017" w14:textId="77777777" w:rsidR="00BC3544" w:rsidRPr="008E23EC" w:rsidRDefault="00BC3544" w:rsidP="004B083B">
            <w:pPr>
              <w:pStyle w:val="COMTabletext"/>
            </w:pPr>
            <w:r>
              <w:t>Patient must have previously received PBS-subsidised treatment with this drug for this condition.</w:t>
            </w:r>
          </w:p>
        </w:tc>
      </w:tr>
      <w:tr w:rsidR="00BC3544" w:rsidRPr="0098262F" w14:paraId="6AFF8CC1"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2C12DEF1" w14:textId="77777777" w:rsidR="00BC3544" w:rsidRPr="0098262F" w:rsidRDefault="00BC3544" w:rsidP="004B083B">
            <w:pPr>
              <w:pStyle w:val="COMTabletext"/>
            </w:pPr>
            <w:r w:rsidRPr="0098262F">
              <w:rPr>
                <w:b/>
              </w:rPr>
              <w:t>AND</w:t>
            </w:r>
          </w:p>
        </w:tc>
      </w:tr>
      <w:tr w:rsidR="00BC3544" w:rsidRPr="0098262F" w14:paraId="504620A9"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68C7B3B5" w14:textId="77777777" w:rsidR="00BC3544" w:rsidRPr="0098262F" w:rsidRDefault="00BC3544" w:rsidP="004B083B">
            <w:pPr>
              <w:pStyle w:val="COMTabletext"/>
            </w:pPr>
            <w:r w:rsidRPr="0098262F">
              <w:rPr>
                <w:b/>
              </w:rPr>
              <w:t>Clinical criteria:</w:t>
            </w:r>
          </w:p>
        </w:tc>
      </w:tr>
      <w:tr w:rsidR="00BC3544" w:rsidRPr="0098262F" w14:paraId="525C456C"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2D5FE18A" w14:textId="77777777" w:rsidR="00BC3544" w:rsidRPr="0098262F" w:rsidRDefault="00BC3544" w:rsidP="004B083B">
            <w:pPr>
              <w:pStyle w:val="COMTabletext"/>
              <w:rPr>
                <w:color w:val="0066FF"/>
              </w:rPr>
            </w:pPr>
            <w:r>
              <w:t>The treatment must have commenced between the ages of 2 to 17 years inclusive.</w:t>
            </w:r>
          </w:p>
        </w:tc>
      </w:tr>
      <w:tr w:rsidR="00BC3544" w:rsidRPr="0098262F" w14:paraId="07A004BA"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38E0155B" w14:textId="77777777" w:rsidR="00BC3544" w:rsidRPr="000147AA" w:rsidRDefault="00BC3544" w:rsidP="004B083B">
            <w:pPr>
              <w:pStyle w:val="COMTabletext"/>
            </w:pPr>
            <w:r w:rsidRPr="000147AA">
              <w:rPr>
                <w:b/>
              </w:rPr>
              <w:t>Treatment criteria:</w:t>
            </w:r>
          </w:p>
        </w:tc>
      </w:tr>
      <w:tr w:rsidR="00BC3544" w:rsidRPr="0098262F" w14:paraId="18CDD933"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20E1FDAF" w14:textId="77777777" w:rsidR="00BC3544" w:rsidRPr="000147AA" w:rsidRDefault="00BC3544" w:rsidP="004B083B">
            <w:pPr>
              <w:pStyle w:val="COMTabletext"/>
              <w:rPr>
                <w:i/>
                <w:iCs/>
              </w:rPr>
            </w:pPr>
            <w:r w:rsidRPr="000147AA">
              <w:t>Must be treated by a medical practitioner who is at least one of: (a) rheumatologist, (b) clinical immunologist, (c) physician experienced in the management of FMF patients, (d) in consultation with one of these prescriber types.</w:t>
            </w:r>
          </w:p>
        </w:tc>
      </w:tr>
      <w:tr w:rsidR="00BC3544" w:rsidRPr="0098262F" w14:paraId="52B9957D"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2C123CF7" w14:textId="77777777" w:rsidR="00BC3544" w:rsidRPr="00027EEF" w:rsidRDefault="00BC3544" w:rsidP="004B083B">
            <w:pPr>
              <w:pStyle w:val="COMTabletext"/>
            </w:pPr>
            <w:r w:rsidRPr="00027EEF">
              <w:t>The treatment must be in combination with colchicine unless contraindicated or the patient has documented evidence of having experienced an adverse event necessitating discontinuation.</w:t>
            </w:r>
          </w:p>
        </w:tc>
      </w:tr>
      <w:tr w:rsidR="00BC3544" w:rsidRPr="0098262F" w14:paraId="27B9A51D"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tcBorders>
              <w:bottom w:val="double" w:sz="4" w:space="0" w:color="auto"/>
            </w:tcBorders>
            <w:vAlign w:val="center"/>
            <w:hideMark/>
          </w:tcPr>
          <w:p w14:paraId="34A8BA5F" w14:textId="77777777" w:rsidR="00BC3544" w:rsidRDefault="00BC3544" w:rsidP="004B083B">
            <w:pPr>
              <w:pStyle w:val="COMTabletext"/>
              <w:rPr>
                <w:bCs w:val="0"/>
              </w:rPr>
            </w:pPr>
            <w:r w:rsidRPr="0098262F">
              <w:rPr>
                <w:b/>
              </w:rPr>
              <w:t xml:space="preserve">Administrative Advice: </w:t>
            </w:r>
            <w:r w:rsidRPr="00435926">
              <w:rPr>
                <w:bCs w:val="0"/>
              </w:rPr>
              <w:t>An increase in the maximum quantity to 2 should be sought for patients requiring a maintenance dose of canakinumab above 150 mg every 4 weeks.</w:t>
            </w:r>
          </w:p>
          <w:p w14:paraId="48029FCF" w14:textId="77777777" w:rsidR="00BC3544" w:rsidRPr="00435926" w:rsidRDefault="00BC3544" w:rsidP="004B083B">
            <w:pPr>
              <w:pStyle w:val="COMTabletext"/>
              <w:rPr>
                <w:b/>
              </w:rPr>
            </w:pPr>
            <w:r w:rsidRPr="00F87E50">
              <w:t>No increase in the maximum quantity or number of units above 2 may be authorised.</w:t>
            </w:r>
          </w:p>
        </w:tc>
      </w:tr>
      <w:tr w:rsidR="007B646B" w:rsidRPr="0098262F" w14:paraId="3605B602" w14:textId="77777777" w:rsidTr="007B646B">
        <w:tblPrEx>
          <w:tblCellMar>
            <w:top w:w="15" w:type="dxa"/>
            <w:bottom w:w="15" w:type="dxa"/>
          </w:tblCellMar>
          <w:tblLook w:val="04A0" w:firstRow="1" w:lastRow="0" w:firstColumn="1" w:lastColumn="0" w:noHBand="0" w:noVBand="1"/>
        </w:tblPrEx>
        <w:trPr>
          <w:cantSplit/>
          <w:trHeight w:val="20"/>
        </w:trPr>
        <w:tc>
          <w:tcPr>
            <w:tcW w:w="9022" w:type="dxa"/>
            <w:gridSpan w:val="6"/>
            <w:tcBorders>
              <w:top w:val="double" w:sz="4" w:space="0" w:color="auto"/>
              <w:left w:val="single" w:sz="4" w:space="0" w:color="auto"/>
              <w:bottom w:val="single" w:sz="4" w:space="0" w:color="auto"/>
              <w:right w:val="single" w:sz="4" w:space="0" w:color="auto"/>
            </w:tcBorders>
            <w:vAlign w:val="center"/>
            <w:hideMark/>
          </w:tcPr>
          <w:p w14:paraId="3DD1D5D9" w14:textId="3B548582" w:rsidR="007B646B" w:rsidRPr="0098262F" w:rsidRDefault="007B646B" w:rsidP="004B083B">
            <w:pPr>
              <w:pStyle w:val="COMTabletext"/>
              <w:rPr>
                <w:b/>
              </w:rPr>
            </w:pPr>
            <w:r>
              <w:rPr>
                <w:b/>
              </w:rPr>
              <w:t>Requested restriction (Balance of supply for initial treatment)</w:t>
            </w:r>
          </w:p>
        </w:tc>
      </w:tr>
      <w:tr w:rsidR="00BC3544" w:rsidRPr="0098262F" w14:paraId="05161CFF" w14:textId="77777777" w:rsidTr="00393A0F">
        <w:tblPrEx>
          <w:tblCellMar>
            <w:top w:w="15" w:type="dxa"/>
            <w:bottom w:w="15" w:type="dxa"/>
          </w:tblCellMar>
          <w:tblLook w:val="04A0" w:firstRow="1" w:lastRow="0" w:firstColumn="1" w:lastColumn="0" w:noHBand="0" w:noVBand="1"/>
        </w:tblPrEx>
        <w:trPr>
          <w:cantSplit/>
          <w:trHeight w:val="20"/>
        </w:trPr>
        <w:tc>
          <w:tcPr>
            <w:tcW w:w="9022" w:type="dxa"/>
            <w:gridSpan w:val="6"/>
          </w:tcPr>
          <w:p w14:paraId="30DC0E1C" w14:textId="77777777" w:rsidR="00BC3544" w:rsidRPr="0098262F" w:rsidRDefault="00BC3544" w:rsidP="004B083B">
            <w:pPr>
              <w:pStyle w:val="COMTabletext"/>
            </w:pPr>
            <w:r w:rsidRPr="0098262F">
              <w:rPr>
                <w:b/>
              </w:rPr>
              <w:t xml:space="preserve">Category / Program: </w:t>
            </w:r>
            <w:r w:rsidRPr="0098262F">
              <w:t>Section 100</w:t>
            </w:r>
          </w:p>
        </w:tc>
      </w:tr>
      <w:tr w:rsidR="00BC3544" w:rsidRPr="0098262F" w14:paraId="3E20C18E" w14:textId="77777777" w:rsidTr="00393A0F">
        <w:tblPrEx>
          <w:tblCellMar>
            <w:top w:w="15" w:type="dxa"/>
            <w:bottom w:w="15" w:type="dxa"/>
          </w:tblCellMar>
          <w:tblLook w:val="04A0" w:firstRow="1" w:lastRow="0" w:firstColumn="1" w:lastColumn="0" w:noHBand="0" w:noVBand="1"/>
        </w:tblPrEx>
        <w:trPr>
          <w:cantSplit/>
          <w:trHeight w:val="20"/>
        </w:trPr>
        <w:tc>
          <w:tcPr>
            <w:tcW w:w="9022" w:type="dxa"/>
            <w:gridSpan w:val="6"/>
          </w:tcPr>
          <w:p w14:paraId="3C63076D" w14:textId="77777777" w:rsidR="00BC3544" w:rsidRPr="0098262F" w:rsidRDefault="00BC3544" w:rsidP="004B083B">
            <w:pPr>
              <w:pStyle w:val="COMTabletext"/>
              <w:rPr>
                <w:b/>
              </w:rPr>
            </w:pPr>
            <w:r w:rsidRPr="0098262F">
              <w:rPr>
                <w:b/>
              </w:rPr>
              <w:t xml:space="preserve">Prescriber type: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98262F">
              <w:t>Medical Practitioners</w:t>
            </w:r>
          </w:p>
        </w:tc>
      </w:tr>
      <w:tr w:rsidR="00BC3544" w:rsidRPr="0098262F" w14:paraId="7CDCEA6C" w14:textId="77777777" w:rsidTr="00393A0F">
        <w:tblPrEx>
          <w:tblCellMar>
            <w:top w:w="15" w:type="dxa"/>
            <w:bottom w:w="15" w:type="dxa"/>
          </w:tblCellMar>
          <w:tblLook w:val="04A0" w:firstRow="1" w:lastRow="0" w:firstColumn="1" w:lastColumn="0" w:noHBand="0" w:noVBand="1"/>
        </w:tblPrEx>
        <w:trPr>
          <w:cantSplit/>
          <w:trHeight w:val="20"/>
        </w:trPr>
        <w:tc>
          <w:tcPr>
            <w:tcW w:w="9022" w:type="dxa"/>
            <w:gridSpan w:val="6"/>
          </w:tcPr>
          <w:p w14:paraId="09AE4014" w14:textId="77777777" w:rsidR="00BC3544" w:rsidRPr="0098262F" w:rsidRDefault="00BC3544" w:rsidP="004B083B">
            <w:pPr>
              <w:pStyle w:val="COMTabletext"/>
              <w:rPr>
                <w:rFonts w:eastAsia="Times New Roman"/>
              </w:rPr>
            </w:pPr>
            <w:r w:rsidRPr="0098262F">
              <w:rPr>
                <w:b/>
              </w:rPr>
              <w:t xml:space="preserve">Restriction type: </w:t>
            </w:r>
            <w:r>
              <w:rPr>
                <w:rFonts w:eastAsia="Times New Roman"/>
              </w:rPr>
              <w:fldChar w:fldCharType="begin">
                <w:ffData>
                  <w:name w:val="Check3"/>
                  <w:enabled/>
                  <w:calcOnExit w:val="0"/>
                  <w:checkBox>
                    <w:sizeAuto/>
                    <w:default w:val="1"/>
                  </w:checkBox>
                </w:ffData>
              </w:fldChar>
            </w:r>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r w:rsidRPr="0098262F">
              <w:rPr>
                <w:rFonts w:eastAsia="Times New Roman"/>
              </w:rPr>
              <w:t>Authority Required (telephone/online PBS Authorities system)</w:t>
            </w:r>
          </w:p>
        </w:tc>
      </w:tr>
      <w:tr w:rsidR="00BC3544" w:rsidRPr="0098262F" w14:paraId="7FBF8043" w14:textId="77777777" w:rsidTr="00393A0F">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421A230D" w14:textId="77777777" w:rsidR="00BC3544" w:rsidRPr="0098262F" w:rsidRDefault="00BC3544" w:rsidP="004B083B">
            <w:pPr>
              <w:pStyle w:val="COMTabletext"/>
              <w:rPr>
                <w:b/>
              </w:rPr>
            </w:pPr>
            <w:r w:rsidRPr="0098262F">
              <w:rPr>
                <w:b/>
              </w:rPr>
              <w:t xml:space="preserve">Condition: </w:t>
            </w:r>
            <w:r>
              <w:rPr>
                <w:bCs w:val="0"/>
              </w:rPr>
              <w:t>Colchicine-resistant</w:t>
            </w:r>
            <w:r w:rsidRPr="000A1A5B">
              <w:rPr>
                <w:bCs w:val="0"/>
              </w:rPr>
              <w:t xml:space="preserve"> or intolerant familial mediterranean fever (</w:t>
            </w:r>
            <w:proofErr w:type="spellStart"/>
            <w:r w:rsidRPr="000A1A5B">
              <w:rPr>
                <w:bCs w:val="0"/>
              </w:rPr>
              <w:t>crFMF</w:t>
            </w:r>
            <w:proofErr w:type="spellEnd"/>
            <w:r w:rsidRPr="000A1A5B">
              <w:rPr>
                <w:bCs w:val="0"/>
              </w:rPr>
              <w:t>)</w:t>
            </w:r>
          </w:p>
        </w:tc>
      </w:tr>
      <w:tr w:rsidR="00BC3544" w:rsidRPr="00623872" w14:paraId="0BA9F5E7" w14:textId="77777777" w:rsidTr="00393A0F">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70A882AC" w14:textId="77777777" w:rsidR="00BC3544" w:rsidRPr="00623872" w:rsidRDefault="00BC3544" w:rsidP="004B083B">
            <w:pPr>
              <w:pStyle w:val="COMTabletext"/>
            </w:pPr>
            <w:r w:rsidRPr="00623872">
              <w:rPr>
                <w:b/>
              </w:rPr>
              <w:t>Indication:</w:t>
            </w:r>
            <w:r w:rsidRPr="00623872">
              <w:t xml:space="preserve"> </w:t>
            </w:r>
            <w:r>
              <w:t>Colchicine-resistant</w:t>
            </w:r>
            <w:r w:rsidRPr="00623872">
              <w:t xml:space="preserve"> or intolerant familial mediterranean fever (</w:t>
            </w:r>
            <w:proofErr w:type="spellStart"/>
            <w:r w:rsidRPr="00623872">
              <w:t>crFMF</w:t>
            </w:r>
            <w:proofErr w:type="spellEnd"/>
            <w:r w:rsidRPr="00623872">
              <w:t>)</w:t>
            </w:r>
          </w:p>
        </w:tc>
      </w:tr>
      <w:tr w:rsidR="00BC3544" w:rsidRPr="0098262F" w14:paraId="6C8856AD" w14:textId="77777777" w:rsidTr="00393A0F">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124B444F" w14:textId="77777777" w:rsidR="00BC3544" w:rsidRPr="0098262F" w:rsidRDefault="00BC3544" w:rsidP="004B083B">
            <w:pPr>
              <w:pStyle w:val="COMTabletext"/>
            </w:pPr>
            <w:r w:rsidRPr="0098262F">
              <w:rPr>
                <w:b/>
              </w:rPr>
              <w:t>Treatment Phase:</w:t>
            </w:r>
            <w:r w:rsidRPr="0098262F">
              <w:t xml:space="preserve"> </w:t>
            </w:r>
            <w:r>
              <w:rPr>
                <w:bCs w:val="0"/>
              </w:rPr>
              <w:t>Balance of supply for initial treatment</w:t>
            </w:r>
          </w:p>
        </w:tc>
      </w:tr>
      <w:tr w:rsidR="00BC3544" w:rsidRPr="0098262F" w14:paraId="4338D987" w14:textId="77777777" w:rsidTr="00393A0F">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45720BBB" w14:textId="77777777" w:rsidR="00BC3544" w:rsidRPr="0098262F" w:rsidRDefault="00BC3544" w:rsidP="004B083B">
            <w:pPr>
              <w:pStyle w:val="COMTabletext"/>
            </w:pPr>
            <w:r w:rsidRPr="0098262F">
              <w:rPr>
                <w:b/>
              </w:rPr>
              <w:t>Clinical criteria:</w:t>
            </w:r>
          </w:p>
        </w:tc>
      </w:tr>
      <w:tr w:rsidR="00BC3544" w:rsidRPr="0098262F" w14:paraId="066CAFFE" w14:textId="77777777" w:rsidTr="00393A0F">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76FDECA7" w14:textId="77777777" w:rsidR="00BC3544" w:rsidRPr="008E23EC" w:rsidRDefault="00BC3544" w:rsidP="004B083B">
            <w:pPr>
              <w:pStyle w:val="COMTabletext"/>
            </w:pPr>
            <w:r>
              <w:t>Patient must have previously received PBS-subsidised treatment with this drug for this condition.</w:t>
            </w:r>
          </w:p>
        </w:tc>
      </w:tr>
      <w:tr w:rsidR="00BC3544" w:rsidRPr="0098262F" w14:paraId="5F2BD463" w14:textId="77777777" w:rsidTr="00393A0F">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12A8575A" w14:textId="77777777" w:rsidR="00BC3544" w:rsidRPr="0098262F" w:rsidRDefault="00BC3544" w:rsidP="004B083B">
            <w:pPr>
              <w:pStyle w:val="COMTabletext"/>
            </w:pPr>
            <w:r w:rsidRPr="0098262F">
              <w:rPr>
                <w:b/>
              </w:rPr>
              <w:t>AND</w:t>
            </w:r>
          </w:p>
        </w:tc>
      </w:tr>
      <w:tr w:rsidR="00BC3544" w:rsidRPr="0098262F" w14:paraId="51DF6EF9" w14:textId="77777777" w:rsidTr="00393A0F">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2F7FB8C0" w14:textId="77777777" w:rsidR="00BC3544" w:rsidRPr="0098262F" w:rsidRDefault="00BC3544" w:rsidP="004B083B">
            <w:pPr>
              <w:pStyle w:val="COMTabletext"/>
            </w:pPr>
            <w:r w:rsidRPr="0098262F">
              <w:rPr>
                <w:b/>
              </w:rPr>
              <w:t>Clinical criteria:</w:t>
            </w:r>
          </w:p>
        </w:tc>
      </w:tr>
      <w:tr w:rsidR="00BC3544" w:rsidRPr="0098262F" w14:paraId="3C9B5C02" w14:textId="77777777" w:rsidTr="00393A0F">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03B11C67" w14:textId="77777777" w:rsidR="00BC3544" w:rsidRPr="0098262F" w:rsidRDefault="00BC3544" w:rsidP="004B083B">
            <w:pPr>
              <w:pStyle w:val="COMTabletext"/>
              <w:rPr>
                <w:color w:val="0066FF"/>
              </w:rPr>
            </w:pPr>
            <w:r>
              <w:t>The treatment must have commenced between the ages of 2 to 17 years inclusive.</w:t>
            </w:r>
          </w:p>
        </w:tc>
      </w:tr>
      <w:tr w:rsidR="00BC3544" w:rsidRPr="0098262F" w14:paraId="4D01F28A" w14:textId="77777777" w:rsidTr="00393A0F">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2F25823C" w14:textId="77777777" w:rsidR="00BC3544" w:rsidRPr="000147AA" w:rsidRDefault="00BC3544" w:rsidP="004B083B">
            <w:pPr>
              <w:pStyle w:val="COMTabletext"/>
            </w:pPr>
            <w:r w:rsidRPr="000147AA">
              <w:rPr>
                <w:b/>
              </w:rPr>
              <w:t>Treatment criteria:</w:t>
            </w:r>
          </w:p>
        </w:tc>
      </w:tr>
      <w:tr w:rsidR="00BC3544" w:rsidRPr="0098262F" w14:paraId="66F1143A" w14:textId="77777777" w:rsidTr="00393A0F">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5EC2818E" w14:textId="77777777" w:rsidR="00BC3544" w:rsidRPr="007B7968" w:rsidRDefault="00BC3544" w:rsidP="004B083B">
            <w:pPr>
              <w:pStyle w:val="COMTabletext"/>
            </w:pPr>
            <w:r>
              <w:t>The treatment must provide no more than the balance of up to 24 weeks treatment available under this restriction.</w:t>
            </w:r>
          </w:p>
        </w:tc>
      </w:tr>
      <w:tr w:rsidR="00BC3544" w:rsidRPr="0098262F" w14:paraId="634027A3" w14:textId="77777777" w:rsidTr="00393A0F">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49A1E7A3" w14:textId="77777777" w:rsidR="00BC3544" w:rsidRPr="000147AA" w:rsidRDefault="00BC3544" w:rsidP="004B083B">
            <w:pPr>
              <w:pStyle w:val="COMTabletext"/>
              <w:rPr>
                <w:i/>
                <w:iCs/>
              </w:rPr>
            </w:pPr>
            <w:r w:rsidRPr="000147AA">
              <w:t>Must be treated by a medical practitioner who is at least one of: (a) rheumatologist, (b) clinical immunologist, (c) physician experienced in the management of FMF patients, (d) in consultation with one of these prescriber types.</w:t>
            </w:r>
          </w:p>
        </w:tc>
      </w:tr>
      <w:tr w:rsidR="00BC3544" w:rsidRPr="0098262F" w14:paraId="6666B110" w14:textId="77777777" w:rsidTr="00393A0F">
        <w:tblPrEx>
          <w:tblCellMar>
            <w:top w:w="15" w:type="dxa"/>
            <w:bottom w:w="15" w:type="dxa"/>
          </w:tblCellMar>
          <w:tblLook w:val="04A0" w:firstRow="1" w:lastRow="0" w:firstColumn="1" w:lastColumn="0" w:noHBand="0" w:noVBand="1"/>
        </w:tblPrEx>
        <w:trPr>
          <w:cantSplit/>
          <w:trHeight w:val="20"/>
        </w:trPr>
        <w:tc>
          <w:tcPr>
            <w:tcW w:w="9022" w:type="dxa"/>
            <w:gridSpan w:val="6"/>
            <w:vAlign w:val="center"/>
          </w:tcPr>
          <w:p w14:paraId="2F3D86BC" w14:textId="77777777" w:rsidR="00BC3544" w:rsidRPr="00027EEF" w:rsidRDefault="00BC3544" w:rsidP="004B083B">
            <w:pPr>
              <w:pStyle w:val="COMTabletext"/>
            </w:pPr>
            <w:r w:rsidRPr="00027EEF">
              <w:t>The treatment must be in combination with colchicine unless contraindicated or the patient has documented evidence of having experienced an adverse event necessitating discontinuation.</w:t>
            </w:r>
          </w:p>
        </w:tc>
      </w:tr>
      <w:tr w:rsidR="00BC3544" w:rsidRPr="0098262F" w14:paraId="288A3FF9" w14:textId="77777777" w:rsidTr="00393A0F">
        <w:tblPrEx>
          <w:tblCellMar>
            <w:top w:w="15" w:type="dxa"/>
            <w:bottom w:w="15" w:type="dxa"/>
          </w:tblCellMar>
          <w:tblLook w:val="04A0" w:firstRow="1" w:lastRow="0" w:firstColumn="1" w:lastColumn="0" w:noHBand="0" w:noVBand="1"/>
        </w:tblPrEx>
        <w:trPr>
          <w:cantSplit/>
          <w:trHeight w:val="20"/>
        </w:trPr>
        <w:tc>
          <w:tcPr>
            <w:tcW w:w="9022" w:type="dxa"/>
            <w:gridSpan w:val="6"/>
            <w:vAlign w:val="center"/>
            <w:hideMark/>
          </w:tcPr>
          <w:p w14:paraId="0CA399B1" w14:textId="77777777" w:rsidR="00BC3544" w:rsidRDefault="00BC3544" w:rsidP="004B083B">
            <w:pPr>
              <w:pStyle w:val="COMTabletext"/>
              <w:rPr>
                <w:bCs w:val="0"/>
              </w:rPr>
            </w:pPr>
            <w:r w:rsidRPr="0098262F">
              <w:rPr>
                <w:b/>
              </w:rPr>
              <w:t xml:space="preserve">Administrative Advice: </w:t>
            </w:r>
            <w:r w:rsidRPr="00435926">
              <w:rPr>
                <w:bCs w:val="0"/>
              </w:rPr>
              <w:t>An increase in the maximum quantity to 2 should be sought for patients requiring a maintenance dose of canakinumab above 150 mg every 4 weeks.</w:t>
            </w:r>
          </w:p>
          <w:p w14:paraId="7B4BDDD5" w14:textId="77777777" w:rsidR="00BC3544" w:rsidRPr="00435926" w:rsidRDefault="00BC3544" w:rsidP="004B083B">
            <w:pPr>
              <w:pStyle w:val="COMTabletext"/>
              <w:rPr>
                <w:b/>
              </w:rPr>
            </w:pPr>
            <w:r w:rsidRPr="00F87E50">
              <w:t>No increase in the maximum quantity or number of units above 2 may be authorised.</w:t>
            </w:r>
          </w:p>
        </w:tc>
      </w:tr>
    </w:tbl>
    <w:p w14:paraId="116C1761" w14:textId="7768FD6F" w:rsidR="00303211" w:rsidRPr="00393A0F" w:rsidRDefault="000712DF" w:rsidP="004B083B">
      <w:pPr>
        <w:pStyle w:val="COMESnumberedpara"/>
        <w:spacing w:before="160" w:after="160"/>
        <w:rPr>
          <w:rFonts w:cstheme="minorHAnsi"/>
        </w:rPr>
      </w:pPr>
      <w:r w:rsidRPr="00393A0F">
        <w:rPr>
          <w:rFonts w:cstheme="minorHAnsi"/>
        </w:rPr>
        <w:t xml:space="preserve">The submission noted that canakinumab is available as a 150 mg solution and a 150 mg powder, but only the 150 mg solution </w:t>
      </w:r>
      <w:r w:rsidR="00C84A5C">
        <w:rPr>
          <w:rFonts w:cstheme="minorHAnsi"/>
        </w:rPr>
        <w:t>wa</w:t>
      </w:r>
      <w:r w:rsidRPr="00393A0F">
        <w:rPr>
          <w:rFonts w:cstheme="minorHAnsi"/>
        </w:rPr>
        <w:t>s proposed for PBS</w:t>
      </w:r>
      <w:r w:rsidR="00C42BA2" w:rsidRPr="00393A0F">
        <w:rPr>
          <w:rFonts w:cstheme="minorHAnsi"/>
        </w:rPr>
        <w:t xml:space="preserve"> </w:t>
      </w:r>
      <w:r w:rsidRPr="00393A0F">
        <w:rPr>
          <w:rFonts w:cstheme="minorHAnsi"/>
        </w:rPr>
        <w:t>listing.</w:t>
      </w:r>
    </w:p>
    <w:p w14:paraId="7699CE87" w14:textId="79BD5A26" w:rsidR="000C1F8B" w:rsidRPr="00393A0F" w:rsidRDefault="007B646B" w:rsidP="004B083B">
      <w:pPr>
        <w:pStyle w:val="COMESnumberedpara"/>
        <w:spacing w:before="160" w:after="160"/>
        <w:rPr>
          <w:rFonts w:cstheme="minorHAnsi"/>
        </w:rPr>
      </w:pPr>
      <w:r w:rsidRPr="00393A0F">
        <w:rPr>
          <w:rFonts w:cstheme="minorHAnsi"/>
        </w:rPr>
        <w:t xml:space="preserve">The submission proposed a </w:t>
      </w:r>
      <w:r w:rsidR="00453648" w:rsidRPr="00393A0F">
        <w:rPr>
          <w:rFonts w:cstheme="minorHAnsi"/>
        </w:rPr>
        <w:t>special pricing arrangement</w:t>
      </w:r>
      <w:r w:rsidRPr="00393A0F">
        <w:rPr>
          <w:rFonts w:cstheme="minorHAnsi"/>
        </w:rPr>
        <w:t xml:space="preserve"> with a published </w:t>
      </w:r>
      <w:r w:rsidR="00DB160C" w:rsidRPr="00393A0F">
        <w:rPr>
          <w:rFonts w:cstheme="minorHAnsi"/>
        </w:rPr>
        <w:t>a</w:t>
      </w:r>
      <w:r w:rsidR="005E4DBD" w:rsidRPr="00393A0F">
        <w:rPr>
          <w:rFonts w:cstheme="minorHAnsi"/>
        </w:rPr>
        <w:t xml:space="preserve">pproved ex-manufacturer </w:t>
      </w:r>
      <w:r w:rsidRPr="00393A0F">
        <w:rPr>
          <w:rFonts w:cstheme="minorHAnsi"/>
        </w:rPr>
        <w:t>price</w:t>
      </w:r>
      <w:r w:rsidR="005E4DBD" w:rsidRPr="00393A0F">
        <w:rPr>
          <w:rFonts w:cstheme="minorHAnsi"/>
        </w:rPr>
        <w:t xml:space="preserve"> (AEMP)</w:t>
      </w:r>
      <w:r w:rsidRPr="00393A0F">
        <w:rPr>
          <w:rFonts w:cstheme="minorHAnsi"/>
        </w:rPr>
        <w:t xml:space="preserve"> of </w:t>
      </w:r>
      <w:r w:rsidR="00AC1E19" w:rsidRPr="00393A0F">
        <w:rPr>
          <w:rFonts w:cstheme="minorHAnsi"/>
        </w:rPr>
        <w:t>$</w:t>
      </w:r>
      <w:r w:rsidR="00E564C2" w:rsidRPr="00393A0F">
        <w:rPr>
          <w:rFonts w:cstheme="minorHAnsi"/>
        </w:rPr>
        <w:t xml:space="preserve">20,000 </w:t>
      </w:r>
      <w:r w:rsidR="00AC1E19" w:rsidRPr="00393A0F">
        <w:rPr>
          <w:rFonts w:cstheme="minorHAnsi"/>
        </w:rPr>
        <w:t xml:space="preserve">and an effective </w:t>
      </w:r>
      <w:r w:rsidR="005E4DBD" w:rsidRPr="00393A0F">
        <w:rPr>
          <w:rFonts w:cstheme="minorHAnsi"/>
        </w:rPr>
        <w:t>AEMP</w:t>
      </w:r>
      <w:r w:rsidR="00AC1E19" w:rsidRPr="00393A0F">
        <w:rPr>
          <w:rFonts w:cstheme="minorHAnsi"/>
        </w:rPr>
        <w:t xml:space="preserve"> of $</w:t>
      </w:r>
      <w:r w:rsidR="00B90395" w:rsidRPr="00B90395">
        <w:rPr>
          <w:rFonts w:cstheme="minorHAnsi"/>
          <w:sz w:val="2"/>
          <w:highlight w:val="black"/>
        </w:rPr>
        <w:t>redacted content</w:t>
      </w:r>
      <w:r w:rsidR="00FF4F1C" w:rsidRPr="00393A0F">
        <w:rPr>
          <w:rFonts w:cstheme="minorHAnsi"/>
        </w:rPr>
        <w:t xml:space="preserve"> </w:t>
      </w:r>
      <w:r w:rsidR="00AC1E19" w:rsidRPr="00393A0F">
        <w:rPr>
          <w:rFonts w:cstheme="minorHAnsi"/>
        </w:rPr>
        <w:t>per</w:t>
      </w:r>
      <w:r w:rsidR="00FF15E4" w:rsidRPr="00393A0F">
        <w:rPr>
          <w:rFonts w:cstheme="minorHAnsi"/>
        </w:rPr>
        <w:t xml:space="preserve"> 150 mg vial</w:t>
      </w:r>
      <w:r w:rsidR="00453648" w:rsidRPr="00393A0F">
        <w:rPr>
          <w:rFonts w:cstheme="minorHAnsi"/>
        </w:rPr>
        <w:t xml:space="preserve">. </w:t>
      </w:r>
    </w:p>
    <w:p w14:paraId="283AC64E" w14:textId="3AE52126" w:rsidR="00303211" w:rsidRDefault="000C1F8B" w:rsidP="004B083B">
      <w:pPr>
        <w:pStyle w:val="COMESnumberedpara"/>
        <w:spacing w:before="160" w:after="160"/>
        <w:rPr>
          <w:rFonts w:cstheme="minorHAnsi"/>
        </w:rPr>
      </w:pPr>
      <w:r w:rsidRPr="00393A0F">
        <w:rPr>
          <w:rFonts w:cstheme="minorHAnsi"/>
        </w:rPr>
        <w:t xml:space="preserve">The </w:t>
      </w:r>
      <w:r w:rsidR="00546890" w:rsidRPr="00393A0F">
        <w:rPr>
          <w:rFonts w:cstheme="minorHAnsi"/>
        </w:rPr>
        <w:t>proposed PBS restrictions</w:t>
      </w:r>
      <w:r w:rsidRPr="00393A0F">
        <w:rPr>
          <w:rFonts w:cstheme="minorHAnsi"/>
        </w:rPr>
        <w:t xml:space="preserve"> </w:t>
      </w:r>
      <w:r w:rsidR="008547C0">
        <w:rPr>
          <w:rFonts w:cstheme="minorHAnsi"/>
        </w:rPr>
        <w:t>we</w:t>
      </w:r>
      <w:r w:rsidRPr="00393A0F">
        <w:rPr>
          <w:rFonts w:cstheme="minorHAnsi"/>
        </w:rPr>
        <w:t xml:space="preserve">re narrower than the TGA indication and the clinical trial evidence presented in </w:t>
      </w:r>
      <w:r w:rsidR="00216C4B" w:rsidRPr="00393A0F">
        <w:rPr>
          <w:rFonts w:cstheme="minorHAnsi"/>
        </w:rPr>
        <w:t>the submission</w:t>
      </w:r>
      <w:r w:rsidRPr="00393A0F">
        <w:rPr>
          <w:rFonts w:cstheme="minorHAnsi"/>
        </w:rPr>
        <w:t xml:space="preserve">, as they </w:t>
      </w:r>
      <w:r w:rsidR="008547C0">
        <w:rPr>
          <w:rFonts w:cstheme="minorHAnsi"/>
        </w:rPr>
        <w:t xml:space="preserve">proposed to </w:t>
      </w:r>
      <w:r w:rsidRPr="00393A0F">
        <w:rPr>
          <w:rFonts w:cstheme="minorHAnsi"/>
        </w:rPr>
        <w:t xml:space="preserve">limit treatment to patients under 18 years at treatment initiation. The submission argued that the paediatric population experiences the most significant and disproportionate disease </w:t>
      </w:r>
      <w:r w:rsidRPr="00393A0F">
        <w:rPr>
          <w:rFonts w:cstheme="minorHAnsi"/>
        </w:rPr>
        <w:lastRenderedPageBreak/>
        <w:t xml:space="preserve">burden due to the paediatric onset of disease and limited treatment options with tolerable </w:t>
      </w:r>
      <w:r w:rsidRPr="000E3835">
        <w:rPr>
          <w:rFonts w:cstheme="minorHAnsi"/>
        </w:rPr>
        <w:t>administration and</w:t>
      </w:r>
      <w:r w:rsidR="00E1482E" w:rsidRPr="000E3835">
        <w:rPr>
          <w:rFonts w:cstheme="minorHAnsi"/>
        </w:rPr>
        <w:t xml:space="preserve"> </w:t>
      </w:r>
      <w:r w:rsidR="000D33BB" w:rsidRPr="000E3835">
        <w:rPr>
          <w:rFonts w:cstheme="minorHAnsi"/>
        </w:rPr>
        <w:t>randomised controlled trial (</w:t>
      </w:r>
      <w:r w:rsidRPr="000E3835">
        <w:rPr>
          <w:rFonts w:cstheme="minorHAnsi"/>
        </w:rPr>
        <w:t>RCT</w:t>
      </w:r>
      <w:r w:rsidR="000D33BB" w:rsidRPr="000E3835">
        <w:rPr>
          <w:rFonts w:cstheme="minorHAnsi"/>
        </w:rPr>
        <w:t>)</w:t>
      </w:r>
      <w:r w:rsidRPr="000E3835">
        <w:rPr>
          <w:rFonts w:cstheme="minorHAnsi"/>
        </w:rPr>
        <w:t xml:space="preserve"> evidence of efficacy and safety. </w:t>
      </w:r>
      <w:r w:rsidR="00EB3EA1" w:rsidRPr="000E3835">
        <w:rPr>
          <w:rFonts w:cstheme="minorHAnsi"/>
        </w:rPr>
        <w:t xml:space="preserve">The evaluation and the ESC considered that it </w:t>
      </w:r>
      <w:r w:rsidRPr="000E3835">
        <w:rPr>
          <w:rFonts w:cstheme="minorHAnsi"/>
        </w:rPr>
        <w:t>may not be reasonable to limit treatment to paediatric patients, given evidence of clinical benefit was also demonstrated in adult patients in the CLUSTER trial</w:t>
      </w:r>
      <w:r w:rsidR="00A403FF" w:rsidRPr="000E3835">
        <w:rPr>
          <w:rFonts w:cstheme="minorHAnsi"/>
        </w:rPr>
        <w:t xml:space="preserve"> and</w:t>
      </w:r>
      <w:r w:rsidRPr="000E3835">
        <w:rPr>
          <w:rFonts w:cstheme="minorHAnsi"/>
        </w:rPr>
        <w:t xml:space="preserve"> the TGA indication includes treatment of adult patients</w:t>
      </w:r>
      <w:r w:rsidR="00A403FF" w:rsidRPr="000E3835">
        <w:rPr>
          <w:rFonts w:cstheme="minorHAnsi"/>
        </w:rPr>
        <w:t>.</w:t>
      </w:r>
      <w:r w:rsidR="004B083B">
        <w:rPr>
          <w:rFonts w:cstheme="minorHAnsi"/>
        </w:rPr>
        <w:t xml:space="preserve"> </w:t>
      </w:r>
      <w:r w:rsidR="00A403FF" w:rsidRPr="000E3835">
        <w:rPr>
          <w:rFonts w:cstheme="minorHAnsi"/>
        </w:rPr>
        <w:t>G</w:t>
      </w:r>
      <w:r w:rsidR="007B7452" w:rsidRPr="000E3835">
        <w:rPr>
          <w:rFonts w:cstheme="minorHAnsi"/>
        </w:rPr>
        <w:t xml:space="preserve">iven the lack of other available PBS listed treatment options </w:t>
      </w:r>
      <w:r w:rsidRPr="000E3835">
        <w:rPr>
          <w:rFonts w:cstheme="minorHAnsi"/>
        </w:rPr>
        <w:t>for this population</w:t>
      </w:r>
      <w:r w:rsidR="00A403FF" w:rsidRPr="000E3835">
        <w:rPr>
          <w:rFonts w:cstheme="minorHAnsi"/>
        </w:rPr>
        <w:t xml:space="preserve"> t</w:t>
      </w:r>
      <w:r w:rsidR="0035528F" w:rsidRPr="000E3835">
        <w:rPr>
          <w:rFonts w:cstheme="minorHAnsi"/>
        </w:rPr>
        <w:t xml:space="preserve">he ESC considered that </w:t>
      </w:r>
      <w:r w:rsidR="00FF0F04" w:rsidRPr="000E3835">
        <w:rPr>
          <w:rFonts w:cstheme="minorHAnsi"/>
        </w:rPr>
        <w:t>limiting treatment to patients &lt;18</w:t>
      </w:r>
      <w:r w:rsidR="005664D5" w:rsidRPr="000E3835">
        <w:rPr>
          <w:rFonts w:cstheme="minorHAnsi"/>
        </w:rPr>
        <w:t xml:space="preserve"> years</w:t>
      </w:r>
      <w:r w:rsidR="00FF0F04" w:rsidRPr="000E3835">
        <w:rPr>
          <w:rFonts w:cstheme="minorHAnsi"/>
        </w:rPr>
        <w:t xml:space="preserve"> at initiation is likely to result in equity concerns</w:t>
      </w:r>
      <w:r w:rsidR="003C7C4F" w:rsidRPr="000E3835">
        <w:rPr>
          <w:rFonts w:cstheme="minorHAnsi"/>
        </w:rPr>
        <w:t xml:space="preserve"> for those patients &gt;18</w:t>
      </w:r>
      <w:r w:rsidR="005664D5" w:rsidRPr="000E3835">
        <w:rPr>
          <w:rFonts w:cstheme="minorHAnsi"/>
        </w:rPr>
        <w:t xml:space="preserve"> years</w:t>
      </w:r>
      <w:r w:rsidR="003C7C4F" w:rsidRPr="000E3835">
        <w:rPr>
          <w:rFonts w:cstheme="minorHAnsi"/>
        </w:rPr>
        <w:t xml:space="preserve"> at </w:t>
      </w:r>
      <w:r w:rsidR="003708F7" w:rsidRPr="000E3835">
        <w:rPr>
          <w:rFonts w:cstheme="minorHAnsi"/>
        </w:rPr>
        <w:t>the time of PBS listing</w:t>
      </w:r>
      <w:r w:rsidR="000E01EA" w:rsidRPr="000E3835">
        <w:rPr>
          <w:rFonts w:cstheme="minorHAnsi"/>
        </w:rPr>
        <w:t>.</w:t>
      </w:r>
      <w:r w:rsidR="00A21A7F">
        <w:rPr>
          <w:rFonts w:cstheme="minorHAnsi"/>
        </w:rPr>
        <w:t xml:space="preserve"> The PBAC considered that an age-agnostic listing would be appropriate.</w:t>
      </w:r>
    </w:p>
    <w:p w14:paraId="22ACC159" w14:textId="37B6B464" w:rsidR="009A77BD" w:rsidRPr="000E3835" w:rsidRDefault="009A77BD" w:rsidP="004B083B">
      <w:pPr>
        <w:pStyle w:val="COMESnumberedpara"/>
        <w:spacing w:before="160" w:after="160"/>
        <w:rPr>
          <w:rFonts w:cstheme="minorHAnsi"/>
        </w:rPr>
      </w:pPr>
      <w:r>
        <w:rPr>
          <w:rFonts w:cstheme="minorHAnsi"/>
        </w:rPr>
        <w:t xml:space="preserve">The </w:t>
      </w:r>
      <w:proofErr w:type="gramStart"/>
      <w:r>
        <w:rPr>
          <w:rFonts w:cstheme="minorHAnsi"/>
        </w:rPr>
        <w:t>Pre-PBAC</w:t>
      </w:r>
      <w:proofErr w:type="gramEnd"/>
      <w:r>
        <w:rPr>
          <w:rFonts w:cstheme="minorHAnsi"/>
        </w:rPr>
        <w:t xml:space="preserve"> </w:t>
      </w:r>
      <w:r w:rsidR="0087650C">
        <w:rPr>
          <w:rFonts w:cstheme="minorHAnsi"/>
        </w:rPr>
        <w:t>r</w:t>
      </w:r>
      <w:r>
        <w:rPr>
          <w:rFonts w:cstheme="minorHAnsi"/>
        </w:rPr>
        <w:t xml:space="preserve">esponse stated that </w:t>
      </w:r>
      <w:r w:rsidR="00CA66E6">
        <w:rPr>
          <w:rFonts w:cstheme="minorHAnsi"/>
        </w:rPr>
        <w:t xml:space="preserve">as </w:t>
      </w:r>
      <w:r>
        <w:rPr>
          <w:rFonts w:cstheme="minorHAnsi"/>
        </w:rPr>
        <w:t>the sponsor has limited price flexibility</w:t>
      </w:r>
      <w:r w:rsidR="00CA66E6">
        <w:rPr>
          <w:rFonts w:cstheme="minorHAnsi"/>
        </w:rPr>
        <w:t xml:space="preserve"> that the decision was made to focus the request for reimbursement on the population with the greate</w:t>
      </w:r>
      <w:r w:rsidR="00587F5F">
        <w:rPr>
          <w:rFonts w:cstheme="minorHAnsi"/>
        </w:rPr>
        <w:t>st</w:t>
      </w:r>
      <w:r w:rsidR="00CA66E6">
        <w:rPr>
          <w:rFonts w:cstheme="minorHAnsi"/>
        </w:rPr>
        <w:t xml:space="preserve"> need</w:t>
      </w:r>
      <w:r w:rsidR="00587F5F">
        <w:rPr>
          <w:rFonts w:cstheme="minorHAnsi"/>
        </w:rPr>
        <w:t>.</w:t>
      </w:r>
      <w:r w:rsidR="004B083B">
        <w:rPr>
          <w:rFonts w:cstheme="minorHAnsi"/>
        </w:rPr>
        <w:t xml:space="preserve"> </w:t>
      </w:r>
      <w:r w:rsidR="008026E9">
        <w:rPr>
          <w:rFonts w:cstheme="minorHAnsi"/>
        </w:rPr>
        <w:t xml:space="preserve">The Response highlighted that </w:t>
      </w:r>
      <w:r w:rsidR="005849C7">
        <w:rPr>
          <w:rFonts w:cstheme="minorHAnsi"/>
        </w:rPr>
        <w:t xml:space="preserve">both </w:t>
      </w:r>
      <w:r w:rsidR="005849C7" w:rsidRPr="005849C7">
        <w:rPr>
          <w:rFonts w:cstheme="minorHAnsi"/>
        </w:rPr>
        <w:t xml:space="preserve">the Australian Parliament and the </w:t>
      </w:r>
      <w:r w:rsidR="005849C7" w:rsidRPr="005849C7">
        <w:rPr>
          <w:rFonts w:cstheme="minorHAnsi"/>
          <w:i/>
          <w:iCs/>
        </w:rPr>
        <w:t xml:space="preserve">Health Technology Assessment Review 2024 </w:t>
      </w:r>
      <w:r w:rsidR="005849C7" w:rsidRPr="005849C7">
        <w:rPr>
          <w:rFonts w:cstheme="minorHAnsi"/>
        </w:rPr>
        <w:t>consider access to PBS-listed medicine for paediatric patients as a priority.</w:t>
      </w:r>
    </w:p>
    <w:p w14:paraId="7E9584F5" w14:textId="71288FAC" w:rsidR="00AB63CA" w:rsidRPr="000E3835" w:rsidRDefault="00303211" w:rsidP="004B083B">
      <w:pPr>
        <w:pStyle w:val="COMESnumberedpara"/>
        <w:spacing w:before="160" w:after="160"/>
        <w:rPr>
          <w:rFonts w:cstheme="minorHAnsi"/>
        </w:rPr>
      </w:pPr>
      <w:r w:rsidRPr="000E3835">
        <w:rPr>
          <w:rFonts w:cstheme="minorHAnsi"/>
        </w:rPr>
        <w:t xml:space="preserve">The submission argued that the requirement for MEFV exon-10 </w:t>
      </w:r>
      <w:r w:rsidR="00683FA2" w:rsidRPr="000E3835">
        <w:rPr>
          <w:rFonts w:cstheme="minorHAnsi"/>
        </w:rPr>
        <w:t>pathogenic variant</w:t>
      </w:r>
      <w:r w:rsidRPr="000E3835">
        <w:rPr>
          <w:rFonts w:cstheme="minorHAnsi"/>
        </w:rPr>
        <w:t xml:space="preserve">-positive disease in the requested restriction would ensure treatment occurs in the cost-effective population and would help to </w:t>
      </w:r>
      <w:r w:rsidR="000528CF" w:rsidRPr="000E3835">
        <w:rPr>
          <w:rFonts w:cstheme="minorHAnsi"/>
        </w:rPr>
        <w:t xml:space="preserve">prevent </w:t>
      </w:r>
      <w:r w:rsidR="00FF2CE0" w:rsidRPr="000E3835">
        <w:rPr>
          <w:rFonts w:cstheme="minorHAnsi"/>
        </w:rPr>
        <w:t>use outside of FMF, in other</w:t>
      </w:r>
      <w:r w:rsidRPr="000E3835">
        <w:rPr>
          <w:rFonts w:cstheme="minorHAnsi"/>
        </w:rPr>
        <w:t xml:space="preserve"> periodic fever syndromes. </w:t>
      </w:r>
      <w:r w:rsidR="00EB3EA1" w:rsidRPr="000E3835">
        <w:rPr>
          <w:rFonts w:cstheme="minorHAnsi"/>
        </w:rPr>
        <w:t>T</w:t>
      </w:r>
      <w:r w:rsidR="009E4254" w:rsidRPr="000E3835">
        <w:rPr>
          <w:rFonts w:cstheme="minorHAnsi"/>
        </w:rPr>
        <w:t xml:space="preserve">he submission noted that not all patients with clinically diagnosed FMF will return a positive MEFV </w:t>
      </w:r>
      <w:r w:rsidR="00683FA2" w:rsidRPr="000E3835">
        <w:rPr>
          <w:rFonts w:cstheme="minorHAnsi"/>
        </w:rPr>
        <w:t>pathogenic variant</w:t>
      </w:r>
      <w:r w:rsidR="009E4254" w:rsidRPr="000E3835">
        <w:rPr>
          <w:rFonts w:cstheme="minorHAnsi"/>
        </w:rPr>
        <w:t xml:space="preserve"> test. These patients would not be eligible for treatment with canakinumab under the proposed restriction. In addition, authors of a retrospective review of MEFV gene testing in a major Melbourne referral centre (Shan &amp; Mian 2024) noted that the MEFV gene test is not required within any diagnostic criteria for FMF (</w:t>
      </w:r>
      <w:r w:rsidR="00E1482E" w:rsidRPr="000E3835">
        <w:rPr>
          <w:rFonts w:cstheme="minorHAnsi"/>
        </w:rPr>
        <w:t>d</w:t>
      </w:r>
      <w:r w:rsidR="009E4254" w:rsidRPr="000E3835">
        <w:rPr>
          <w:rFonts w:cstheme="minorHAnsi"/>
        </w:rPr>
        <w:t xml:space="preserve">iagnosis of FMF using the Tel </w:t>
      </w:r>
      <w:proofErr w:type="spellStart"/>
      <w:r w:rsidR="009E4254" w:rsidRPr="000E3835">
        <w:rPr>
          <w:rFonts w:cstheme="minorHAnsi"/>
        </w:rPr>
        <w:t>Hashomer</w:t>
      </w:r>
      <w:proofErr w:type="spellEnd"/>
      <w:r w:rsidR="009E4254" w:rsidRPr="000E3835">
        <w:rPr>
          <w:rFonts w:cstheme="minorHAnsi"/>
        </w:rPr>
        <w:t xml:space="preserve"> criteria is based on a combination of presenting symptoms and response to colchicine), and that genetic testing can be laborious and costly and requires an out-of-pocket payment in Australia. It is unclear whether all Australian patients diagnosed with FMF have received the MEFV </w:t>
      </w:r>
      <w:r w:rsidR="00744DAE" w:rsidRPr="000E3835">
        <w:rPr>
          <w:rFonts w:cstheme="minorHAnsi"/>
        </w:rPr>
        <w:t xml:space="preserve">gene </w:t>
      </w:r>
      <w:r w:rsidR="009E4254" w:rsidRPr="000E3835">
        <w:rPr>
          <w:rFonts w:cstheme="minorHAnsi"/>
        </w:rPr>
        <w:t>test.</w:t>
      </w:r>
      <w:r w:rsidR="0043580B" w:rsidRPr="000E3835">
        <w:rPr>
          <w:rFonts w:cstheme="minorHAnsi"/>
        </w:rPr>
        <w:t xml:space="preserve"> </w:t>
      </w:r>
      <w:r w:rsidR="00D8482B" w:rsidRPr="000E3835">
        <w:rPr>
          <w:rFonts w:cstheme="minorHAnsi"/>
        </w:rPr>
        <w:t xml:space="preserve">The </w:t>
      </w:r>
      <w:r w:rsidR="00D5205B" w:rsidRPr="000E3835">
        <w:rPr>
          <w:rFonts w:cstheme="minorHAnsi"/>
        </w:rPr>
        <w:t>Pre-Sub-Committee Response (</w:t>
      </w:r>
      <w:r w:rsidR="00D8482B" w:rsidRPr="000E3835">
        <w:rPr>
          <w:rFonts w:cstheme="minorHAnsi"/>
        </w:rPr>
        <w:t>PSCR</w:t>
      </w:r>
      <w:r w:rsidR="00D5205B" w:rsidRPr="000E3835">
        <w:rPr>
          <w:rFonts w:cstheme="minorHAnsi"/>
        </w:rPr>
        <w:t>)</w:t>
      </w:r>
      <w:r w:rsidR="00D8482B" w:rsidRPr="000E3835">
        <w:rPr>
          <w:rFonts w:cstheme="minorHAnsi"/>
        </w:rPr>
        <w:t xml:space="preserve"> </w:t>
      </w:r>
      <w:proofErr w:type="gramStart"/>
      <w:r w:rsidR="00D8482B" w:rsidRPr="000E3835">
        <w:rPr>
          <w:rFonts w:cstheme="minorHAnsi"/>
        </w:rPr>
        <w:t>stated ,</w:t>
      </w:r>
      <w:proofErr w:type="gramEnd"/>
      <w:r w:rsidR="00D8482B" w:rsidRPr="000E3835">
        <w:rPr>
          <w:rFonts w:cstheme="minorHAnsi"/>
        </w:rPr>
        <w:t xml:space="preserve"> “</w:t>
      </w:r>
      <w:r w:rsidR="00D8482B" w:rsidRPr="000E3835">
        <w:t>Australian paediatric rheumatologists refer FMF patients to hospitals that offer fee-free genetic testing. Gene testing is recommended for every patient with suspected FMF in the EULAR 2024 guidelines (Ozen et al., 2025). It is appropriate therefore for patients to have their diagnosis confirmed via genetic testing for access to canakinumab</w:t>
      </w:r>
      <w:r w:rsidR="005B1979" w:rsidRPr="000E3835">
        <w:t>”</w:t>
      </w:r>
      <w:r w:rsidR="00D8482B" w:rsidRPr="000E3835">
        <w:t>.</w:t>
      </w:r>
      <w:r w:rsidR="00CF2FEE">
        <w:t xml:space="preserve"> The PBAC considered it would be appropriate for patients to return a positive MEFV pathogenic variant test and</w:t>
      </w:r>
      <w:r w:rsidR="001A314D">
        <w:t xml:space="preserve"> for diagnosis of FMF to be confirmed using the Tel </w:t>
      </w:r>
      <w:proofErr w:type="spellStart"/>
      <w:r w:rsidR="001A314D">
        <w:t>Hashomer</w:t>
      </w:r>
      <w:proofErr w:type="spellEnd"/>
      <w:r w:rsidR="001A314D">
        <w:t xml:space="preserve"> criteria</w:t>
      </w:r>
      <w:r w:rsidR="00C92A6D">
        <w:t xml:space="preserve"> prior to </w:t>
      </w:r>
      <w:r w:rsidR="00647ED2">
        <w:t>accessing canakinumab on the PBS</w:t>
      </w:r>
      <w:r w:rsidR="001A314D">
        <w:t>.</w:t>
      </w:r>
    </w:p>
    <w:p w14:paraId="77754D7A" w14:textId="6096D3BB" w:rsidR="00303211" w:rsidRPr="00431DAB" w:rsidRDefault="00303211" w:rsidP="004B083B">
      <w:pPr>
        <w:pStyle w:val="COMESnumberedpara"/>
        <w:spacing w:before="160" w:after="160"/>
        <w:rPr>
          <w:rFonts w:cstheme="minorHAnsi"/>
          <w:color w:val="0066FF"/>
        </w:rPr>
      </w:pPr>
      <w:r w:rsidRPr="008B18A3">
        <w:rPr>
          <w:rFonts w:cstheme="minorHAnsi"/>
        </w:rPr>
        <w:t xml:space="preserve">The submission acknowledged that the requested restriction for continuing treatment </w:t>
      </w:r>
      <w:r w:rsidR="00E1482E" w:rsidRPr="008B18A3">
        <w:rPr>
          <w:rFonts w:cstheme="minorHAnsi"/>
        </w:rPr>
        <w:t xml:space="preserve">does </w:t>
      </w:r>
      <w:r w:rsidRPr="008B18A3">
        <w:rPr>
          <w:rFonts w:cstheme="minorHAnsi"/>
        </w:rPr>
        <w:t>not include a definition for adequate response to canakinumab. The submission argued that the key CLUSTER trial demonstrated that 96.6% of patients completed 72</w:t>
      </w:r>
      <w:r w:rsidR="00E1482E" w:rsidRPr="008B18A3">
        <w:rPr>
          <w:rFonts w:cstheme="minorHAnsi"/>
        </w:rPr>
        <w:t> </w:t>
      </w:r>
      <w:r w:rsidRPr="008B18A3">
        <w:rPr>
          <w:rFonts w:cstheme="minorHAnsi"/>
        </w:rPr>
        <w:t xml:space="preserve">weeks of treatment with canakinumab with one or fewer disease flares, and therefore most of the proposed PBS population would </w:t>
      </w:r>
      <w:r w:rsidR="00434491" w:rsidRPr="008B18A3">
        <w:rPr>
          <w:rFonts w:cstheme="minorHAnsi"/>
        </w:rPr>
        <w:t xml:space="preserve">be expected to </w:t>
      </w:r>
      <w:r w:rsidRPr="008B18A3">
        <w:rPr>
          <w:rFonts w:cstheme="minorHAnsi"/>
        </w:rPr>
        <w:t xml:space="preserve">experience large clinical benefits. Expert opinion from Australian </w:t>
      </w:r>
      <w:r w:rsidR="00434491" w:rsidRPr="008B18A3">
        <w:rPr>
          <w:rFonts w:cstheme="minorHAnsi"/>
        </w:rPr>
        <w:t>p</w:t>
      </w:r>
      <w:r w:rsidRPr="008B18A3">
        <w:rPr>
          <w:rFonts w:cstheme="minorHAnsi"/>
        </w:rPr>
        <w:t xml:space="preserve">aediatric </w:t>
      </w:r>
      <w:r w:rsidR="00434491" w:rsidRPr="008B18A3">
        <w:rPr>
          <w:rFonts w:cstheme="minorHAnsi"/>
        </w:rPr>
        <w:t>r</w:t>
      </w:r>
      <w:r w:rsidRPr="008B18A3">
        <w:rPr>
          <w:rFonts w:cstheme="minorHAnsi"/>
        </w:rPr>
        <w:t xml:space="preserve">heumatologists included in the submission reinforced that they would discontinue treatment in </w:t>
      </w:r>
      <w:r w:rsidRPr="008B18A3">
        <w:rPr>
          <w:rFonts w:cstheme="minorHAnsi"/>
        </w:rPr>
        <w:lastRenderedPageBreak/>
        <w:t xml:space="preserve">patients who did not </w:t>
      </w:r>
      <w:r w:rsidR="00E1482E" w:rsidRPr="008B18A3">
        <w:rPr>
          <w:rFonts w:cstheme="minorHAnsi"/>
        </w:rPr>
        <w:t xml:space="preserve">achieve </w:t>
      </w:r>
      <w:r w:rsidRPr="008B18A3">
        <w:rPr>
          <w:rFonts w:cstheme="minorHAnsi"/>
        </w:rPr>
        <w:t xml:space="preserve">a clinical benefit. The submission noted that should the PBAC agree with this approach, the initial and continuing restrictions could be combined into a single restriction. </w:t>
      </w:r>
      <w:r w:rsidR="007034E3" w:rsidRPr="000E3835">
        <w:rPr>
          <w:rFonts w:cstheme="minorHAnsi"/>
        </w:rPr>
        <w:t xml:space="preserve">The ESC noted that in clinical practice </w:t>
      </w:r>
      <w:r w:rsidR="000205C3" w:rsidRPr="000E3835">
        <w:rPr>
          <w:rFonts w:cstheme="minorHAnsi"/>
        </w:rPr>
        <w:t xml:space="preserve">serum AA </w:t>
      </w:r>
      <w:r w:rsidR="00935F22" w:rsidRPr="000E3835">
        <w:rPr>
          <w:rFonts w:cstheme="minorHAnsi"/>
        </w:rPr>
        <w:t xml:space="preserve">can be useful </w:t>
      </w:r>
      <w:r w:rsidR="001C1CBD" w:rsidRPr="000E3835">
        <w:rPr>
          <w:rFonts w:cstheme="minorHAnsi"/>
        </w:rPr>
        <w:t>to detect</w:t>
      </w:r>
      <w:r w:rsidR="00935F22" w:rsidRPr="000E3835">
        <w:rPr>
          <w:rFonts w:cstheme="minorHAnsi"/>
        </w:rPr>
        <w:t xml:space="preserve"> baseline</w:t>
      </w:r>
      <w:r w:rsidR="001C1CBD" w:rsidRPr="000E3835">
        <w:rPr>
          <w:rFonts w:cstheme="minorHAnsi"/>
        </w:rPr>
        <w:t xml:space="preserve"> inflammation in non-symptomatic patients</w:t>
      </w:r>
      <w:r w:rsidR="005C436C" w:rsidRPr="000E3835">
        <w:rPr>
          <w:rFonts w:cstheme="minorHAnsi"/>
        </w:rPr>
        <w:t xml:space="preserve">, particularly when </w:t>
      </w:r>
      <w:r w:rsidR="000A6D32" w:rsidRPr="000A6D32">
        <w:rPr>
          <w:rFonts w:cstheme="minorHAnsi"/>
          <w:bCs/>
          <w:iCs/>
        </w:rPr>
        <w:t>C-</w:t>
      </w:r>
      <w:r w:rsidR="00DD7473">
        <w:rPr>
          <w:rFonts w:cstheme="minorHAnsi"/>
          <w:bCs/>
          <w:iCs/>
        </w:rPr>
        <w:t>R</w:t>
      </w:r>
      <w:r w:rsidR="000A6D32" w:rsidRPr="000A6D32">
        <w:rPr>
          <w:rFonts w:cstheme="minorHAnsi"/>
          <w:bCs/>
          <w:iCs/>
        </w:rPr>
        <w:t xml:space="preserve">eactive </w:t>
      </w:r>
      <w:r w:rsidR="00DD7473">
        <w:rPr>
          <w:rFonts w:cstheme="minorHAnsi"/>
          <w:bCs/>
          <w:iCs/>
        </w:rPr>
        <w:t>P</w:t>
      </w:r>
      <w:r w:rsidR="000A6D32" w:rsidRPr="000A6D32">
        <w:rPr>
          <w:rFonts w:cstheme="minorHAnsi"/>
          <w:bCs/>
          <w:iCs/>
        </w:rPr>
        <w:t>rotein (</w:t>
      </w:r>
      <w:r w:rsidR="005C436C" w:rsidRPr="000E3835">
        <w:rPr>
          <w:rFonts w:cstheme="minorHAnsi"/>
        </w:rPr>
        <w:t>CRP</w:t>
      </w:r>
      <w:r w:rsidR="000A6D32">
        <w:rPr>
          <w:rFonts w:cstheme="minorHAnsi"/>
        </w:rPr>
        <w:t>)</w:t>
      </w:r>
      <w:r w:rsidR="005C436C" w:rsidRPr="000E3835">
        <w:rPr>
          <w:rFonts w:cstheme="minorHAnsi"/>
        </w:rPr>
        <w:t xml:space="preserve"> is normal</w:t>
      </w:r>
      <w:r w:rsidR="00935F22" w:rsidRPr="000E3835">
        <w:rPr>
          <w:rFonts w:cstheme="minorHAnsi"/>
        </w:rPr>
        <w:t>,</w:t>
      </w:r>
      <w:r w:rsidR="001C1CBD" w:rsidRPr="000E3835">
        <w:rPr>
          <w:rFonts w:cstheme="minorHAnsi"/>
        </w:rPr>
        <w:t xml:space="preserve"> but </w:t>
      </w:r>
      <w:r w:rsidR="000205C3" w:rsidRPr="000E3835">
        <w:rPr>
          <w:rFonts w:cstheme="minorHAnsi"/>
        </w:rPr>
        <w:t xml:space="preserve">is </w:t>
      </w:r>
      <w:r w:rsidR="005C436C" w:rsidRPr="000E3835">
        <w:rPr>
          <w:rFonts w:cstheme="minorHAnsi"/>
        </w:rPr>
        <w:t xml:space="preserve">not routinely </w:t>
      </w:r>
      <w:r w:rsidR="000205C3" w:rsidRPr="000E3835">
        <w:rPr>
          <w:rFonts w:cstheme="minorHAnsi"/>
        </w:rPr>
        <w:t xml:space="preserve">measured as the test </w:t>
      </w:r>
      <w:r w:rsidR="00B02135" w:rsidRPr="000E3835">
        <w:rPr>
          <w:rFonts w:cstheme="minorHAnsi"/>
        </w:rPr>
        <w:t xml:space="preserve">is </w:t>
      </w:r>
      <w:r w:rsidR="00F4516C" w:rsidRPr="000E3835">
        <w:rPr>
          <w:rFonts w:cstheme="minorHAnsi"/>
        </w:rPr>
        <w:t>only available at a small number of laboratories</w:t>
      </w:r>
      <w:r w:rsidR="001C1CBD" w:rsidRPr="000E3835">
        <w:rPr>
          <w:rFonts w:cstheme="minorHAnsi"/>
        </w:rPr>
        <w:t>,</w:t>
      </w:r>
      <w:r w:rsidR="00F4516C" w:rsidRPr="000E3835">
        <w:rPr>
          <w:rFonts w:cstheme="minorHAnsi"/>
        </w:rPr>
        <w:t xml:space="preserve"> </w:t>
      </w:r>
      <w:r w:rsidR="00B02135" w:rsidRPr="000E3835">
        <w:rPr>
          <w:rFonts w:cstheme="minorHAnsi"/>
        </w:rPr>
        <w:t xml:space="preserve">whereas </w:t>
      </w:r>
      <w:r w:rsidR="00F4516C" w:rsidRPr="000E3835">
        <w:rPr>
          <w:rFonts w:cstheme="minorHAnsi"/>
        </w:rPr>
        <w:t xml:space="preserve">CRP testing </w:t>
      </w:r>
      <w:r w:rsidR="000D4D63" w:rsidRPr="000E3835">
        <w:rPr>
          <w:rFonts w:cstheme="minorHAnsi"/>
        </w:rPr>
        <w:t xml:space="preserve">is widely available and </w:t>
      </w:r>
      <w:r w:rsidR="00F4516C" w:rsidRPr="000E3835">
        <w:rPr>
          <w:rFonts w:cstheme="minorHAnsi"/>
        </w:rPr>
        <w:t xml:space="preserve">provides an indication of </w:t>
      </w:r>
      <w:r w:rsidR="00304C34" w:rsidRPr="000E3835">
        <w:rPr>
          <w:rFonts w:cstheme="minorHAnsi"/>
        </w:rPr>
        <w:t>the level of inflammation.</w:t>
      </w:r>
      <w:r w:rsidR="00AF3DAE" w:rsidRPr="000E3835">
        <w:rPr>
          <w:rFonts w:cstheme="minorHAnsi"/>
        </w:rPr>
        <w:t xml:space="preserve"> </w:t>
      </w:r>
      <w:r w:rsidR="00732F1C">
        <w:rPr>
          <w:rFonts w:cstheme="minorHAnsi"/>
        </w:rPr>
        <w:t>T</w:t>
      </w:r>
      <w:r w:rsidR="00491DC0" w:rsidRPr="000E3835">
        <w:rPr>
          <w:rFonts w:cstheme="minorHAnsi"/>
        </w:rPr>
        <w:t xml:space="preserve">he </w:t>
      </w:r>
      <w:r w:rsidR="00732F1C">
        <w:rPr>
          <w:rFonts w:cstheme="minorHAnsi"/>
        </w:rPr>
        <w:t xml:space="preserve">PBAC agreed with the </w:t>
      </w:r>
      <w:r w:rsidR="00491DC0" w:rsidRPr="000E3835">
        <w:rPr>
          <w:rFonts w:cstheme="minorHAnsi"/>
        </w:rPr>
        <w:t>ESC that it</w:t>
      </w:r>
      <w:r w:rsidR="00491DC0" w:rsidRPr="000E3835" w:rsidDel="00732F1C">
        <w:rPr>
          <w:rFonts w:cstheme="minorHAnsi"/>
        </w:rPr>
        <w:t xml:space="preserve"> </w:t>
      </w:r>
      <w:r w:rsidR="00732F1C">
        <w:rPr>
          <w:rFonts w:cstheme="minorHAnsi"/>
        </w:rPr>
        <w:t>would</w:t>
      </w:r>
      <w:r w:rsidR="00732F1C" w:rsidRPr="000E3835">
        <w:rPr>
          <w:rFonts w:cstheme="minorHAnsi"/>
        </w:rPr>
        <w:t xml:space="preserve"> </w:t>
      </w:r>
      <w:r w:rsidR="00491DC0" w:rsidRPr="000E3835">
        <w:rPr>
          <w:rFonts w:cstheme="minorHAnsi"/>
        </w:rPr>
        <w:t xml:space="preserve">be reasonable for </w:t>
      </w:r>
      <w:r w:rsidR="00E84BC5" w:rsidRPr="000E3835">
        <w:rPr>
          <w:rFonts w:cstheme="minorHAnsi"/>
        </w:rPr>
        <w:t>assessment of adequate response to be based on clinician judgement</w:t>
      </w:r>
      <w:r w:rsidR="00B35DE0" w:rsidRPr="000E3835">
        <w:rPr>
          <w:rFonts w:cstheme="minorHAnsi"/>
        </w:rPr>
        <w:t xml:space="preserve"> rather than requiring a strict definition.</w:t>
      </w:r>
    </w:p>
    <w:p w14:paraId="1F705E42" w14:textId="0D386C3B" w:rsidR="00431DAB" w:rsidRPr="00A82439" w:rsidRDefault="00543D5D" w:rsidP="004B083B">
      <w:pPr>
        <w:pStyle w:val="COMESnumberedpara"/>
        <w:spacing w:before="160" w:after="160"/>
        <w:rPr>
          <w:rFonts w:cstheme="minorHAnsi"/>
        </w:rPr>
      </w:pPr>
      <w:r w:rsidRPr="00A82439">
        <w:rPr>
          <w:rFonts w:cstheme="minorHAnsi"/>
        </w:rPr>
        <w:t xml:space="preserve">The PBAC also considered that </w:t>
      </w:r>
      <w:r w:rsidR="007E4F43" w:rsidRPr="00A82439">
        <w:rPr>
          <w:rFonts w:cstheme="minorHAnsi"/>
        </w:rPr>
        <w:t>prescribing instructions</w:t>
      </w:r>
      <w:r w:rsidR="00C054AC" w:rsidRPr="00A82439">
        <w:rPr>
          <w:rFonts w:cstheme="minorHAnsi"/>
        </w:rPr>
        <w:t xml:space="preserve"> </w:t>
      </w:r>
      <w:r w:rsidR="0042410D">
        <w:rPr>
          <w:rFonts w:cstheme="minorHAnsi"/>
        </w:rPr>
        <w:t>regarding dose reductions</w:t>
      </w:r>
      <w:r w:rsidR="003F3733">
        <w:rPr>
          <w:rFonts w:cstheme="minorHAnsi"/>
        </w:rPr>
        <w:t xml:space="preserve"> and increased </w:t>
      </w:r>
      <w:r w:rsidR="00C054AC" w:rsidRPr="00A82439">
        <w:rPr>
          <w:rFonts w:cstheme="minorHAnsi"/>
        </w:rPr>
        <w:t xml:space="preserve">should </w:t>
      </w:r>
      <w:r w:rsidR="0042410D">
        <w:rPr>
          <w:rFonts w:cstheme="minorHAnsi"/>
        </w:rPr>
        <w:t>be included</w:t>
      </w:r>
      <w:r w:rsidR="001E1A7D" w:rsidRPr="00A82439">
        <w:rPr>
          <w:rFonts w:cstheme="minorHAnsi"/>
        </w:rPr>
        <w:t xml:space="preserve"> to ensure that patients are treated with the minimum effective dose.</w:t>
      </w:r>
      <w:r w:rsidR="00C054AC" w:rsidRPr="00A82439">
        <w:rPr>
          <w:rFonts w:cstheme="minorHAnsi"/>
        </w:rPr>
        <w:t xml:space="preserve"> </w:t>
      </w:r>
    </w:p>
    <w:p w14:paraId="0744F83C" w14:textId="247DFC61" w:rsidR="00D277E4" w:rsidRPr="00D277E4" w:rsidRDefault="00D277E4" w:rsidP="004B083B">
      <w:pPr>
        <w:pStyle w:val="COMESnumberedpara"/>
        <w:numPr>
          <w:ilvl w:val="0"/>
          <w:numId w:val="0"/>
        </w:numPr>
        <w:spacing w:before="160" w:after="160"/>
        <w:ind w:firstLine="720"/>
        <w:rPr>
          <w:rFonts w:cstheme="minorHAnsi"/>
          <w:i/>
          <w:iCs/>
        </w:rPr>
      </w:pPr>
      <w:r w:rsidRPr="00D277E4">
        <w:rPr>
          <w:rFonts w:cstheme="minorHAnsi"/>
          <w:i/>
          <w:iCs/>
        </w:rPr>
        <w:t>For more detail on PBAC’s view, see section 7 PBAC outcome.</w:t>
      </w:r>
    </w:p>
    <w:p w14:paraId="6A2A2F76" w14:textId="77777777" w:rsidR="00303211" w:rsidRPr="000E3835" w:rsidDel="00195452" w:rsidRDefault="00303211" w:rsidP="004B083B">
      <w:pPr>
        <w:pStyle w:val="COMESH2"/>
        <w:spacing w:before="160" w:after="160"/>
        <w:rPr>
          <w:rFonts w:cstheme="minorHAnsi"/>
        </w:rPr>
      </w:pPr>
      <w:bookmarkStart w:id="17" w:name="_Toc216092658"/>
      <w:bookmarkStart w:id="18" w:name="_Toc219811817"/>
      <w:r w:rsidRPr="000E3835" w:rsidDel="00195452">
        <w:rPr>
          <w:rFonts w:cstheme="minorHAnsi"/>
        </w:rPr>
        <w:t>Population and disease</w:t>
      </w:r>
      <w:bookmarkEnd w:id="17"/>
      <w:bookmarkEnd w:id="18"/>
    </w:p>
    <w:p w14:paraId="6F6BC2AB" w14:textId="07928015" w:rsidR="00303211" w:rsidRPr="000E3835" w:rsidRDefault="00303211" w:rsidP="004B083B">
      <w:pPr>
        <w:pStyle w:val="COMESnumberedpara"/>
        <w:spacing w:before="160" w:after="160"/>
        <w:rPr>
          <w:rFonts w:cstheme="minorHAnsi"/>
          <w:color w:val="0066FF"/>
        </w:rPr>
      </w:pPr>
      <w:r w:rsidRPr="000E3835">
        <w:rPr>
          <w:rFonts w:cstheme="minorHAnsi"/>
        </w:rPr>
        <w:t xml:space="preserve">FMF is the most common of the periodic fever syndromes, a group of rare genetic autoinflammatory diseases characterised by recurrent febrile attacks and severe systemic inflammation. FMF is an autosomal recessive genetic disorder, caused by one or more </w:t>
      </w:r>
      <w:r w:rsidR="000147E8" w:rsidRPr="000E3835">
        <w:rPr>
          <w:rFonts w:cstheme="minorHAnsi"/>
        </w:rPr>
        <w:t>patho</w:t>
      </w:r>
      <w:r w:rsidR="000147E8">
        <w:rPr>
          <w:rFonts w:cstheme="minorHAnsi"/>
        </w:rPr>
        <w:t>genic</w:t>
      </w:r>
      <w:r w:rsidR="000147E8" w:rsidRPr="000E3835">
        <w:rPr>
          <w:rFonts w:cstheme="minorHAnsi"/>
        </w:rPr>
        <w:t xml:space="preserve"> </w:t>
      </w:r>
      <w:r w:rsidR="00744DAE" w:rsidRPr="000E3835">
        <w:rPr>
          <w:rFonts w:cstheme="minorHAnsi"/>
        </w:rPr>
        <w:t xml:space="preserve">variants </w:t>
      </w:r>
      <w:r w:rsidRPr="000E3835">
        <w:rPr>
          <w:rFonts w:cstheme="minorHAnsi"/>
        </w:rPr>
        <w:t xml:space="preserve">in the MEFV gene (Lachmann and Hawkins 2009; </w:t>
      </w:r>
      <w:proofErr w:type="spellStart"/>
      <w:r w:rsidRPr="000E3835">
        <w:rPr>
          <w:rFonts w:cstheme="minorHAnsi"/>
        </w:rPr>
        <w:t>Livneh</w:t>
      </w:r>
      <w:proofErr w:type="spellEnd"/>
      <w:r w:rsidRPr="000E3835">
        <w:rPr>
          <w:rFonts w:cstheme="minorHAnsi"/>
        </w:rPr>
        <w:t xml:space="preserve"> and </w:t>
      </w:r>
      <w:proofErr w:type="spellStart"/>
      <w:r w:rsidRPr="000E3835">
        <w:rPr>
          <w:rFonts w:cstheme="minorHAnsi"/>
        </w:rPr>
        <w:t>Langevitz</w:t>
      </w:r>
      <w:proofErr w:type="spellEnd"/>
      <w:r w:rsidRPr="000E3835">
        <w:rPr>
          <w:rFonts w:cstheme="minorHAnsi"/>
        </w:rPr>
        <w:t xml:space="preserve"> 2000). Onset of disease is typically in the first decade of life with median age of onset of 4 years, and 75% and 90% of patients experiencing their first febrile attack before 10 and 20 years of age, respectively (</w:t>
      </w:r>
      <w:proofErr w:type="spellStart"/>
      <w:r w:rsidRPr="000E3835">
        <w:rPr>
          <w:rFonts w:cstheme="minorHAnsi"/>
        </w:rPr>
        <w:t>Kallinich</w:t>
      </w:r>
      <w:proofErr w:type="spellEnd"/>
      <w:r w:rsidRPr="000E3835">
        <w:rPr>
          <w:rFonts w:cstheme="minorHAnsi"/>
        </w:rPr>
        <w:t xml:space="preserve"> 2015; </w:t>
      </w:r>
      <w:proofErr w:type="spellStart"/>
      <w:r w:rsidRPr="000E3835">
        <w:rPr>
          <w:rFonts w:cstheme="minorHAnsi"/>
        </w:rPr>
        <w:t>Georgin-Lavialle</w:t>
      </w:r>
      <w:proofErr w:type="spellEnd"/>
      <w:r w:rsidRPr="000E3835">
        <w:rPr>
          <w:rFonts w:cstheme="minorHAnsi"/>
        </w:rPr>
        <w:t xml:space="preserve"> 2023)</w:t>
      </w:r>
      <w:r w:rsidR="00793DC8" w:rsidRPr="000E3835">
        <w:rPr>
          <w:rFonts w:cstheme="minorHAnsi"/>
        </w:rPr>
        <w:t>, though the ESC noted that diagnosis is often delayed</w:t>
      </w:r>
      <w:r w:rsidRPr="000E3835">
        <w:rPr>
          <w:rFonts w:cstheme="minorHAnsi"/>
        </w:rPr>
        <w:t xml:space="preserve">. </w:t>
      </w:r>
    </w:p>
    <w:p w14:paraId="1417FD2E" w14:textId="45055844" w:rsidR="00303211" w:rsidRPr="008B18A3" w:rsidRDefault="00303211" w:rsidP="004B083B">
      <w:pPr>
        <w:pStyle w:val="COMESnumberedpara"/>
        <w:spacing w:before="160" w:after="160"/>
        <w:rPr>
          <w:rFonts w:cstheme="minorHAnsi"/>
          <w:color w:val="0066FF"/>
        </w:rPr>
      </w:pPr>
      <w:r w:rsidRPr="008B18A3">
        <w:rPr>
          <w:rFonts w:cstheme="minorHAnsi"/>
        </w:rPr>
        <w:t xml:space="preserve">The incidence and prevalence of FMF is highest in countries around the Mediterranean basin and primarily affects individuals of Turkish (prevalence ranging from approximately 1 in 20 to 1 in 35,000 in different regions), Armenian (1 in 500), Non-Ashkenazi Jewish (1 in 500 to 1 in 1,000), Middle Eastern, and Arab descent. However, due to global migration patterns and an increase in recognition and diagnostic sensitivity, </w:t>
      </w:r>
      <w:r w:rsidR="008F2EC3" w:rsidRPr="008B18A3">
        <w:rPr>
          <w:rFonts w:cstheme="minorHAnsi"/>
        </w:rPr>
        <w:t>more patients in Australia have been diagnosed over time</w:t>
      </w:r>
      <w:r w:rsidRPr="008B18A3">
        <w:rPr>
          <w:rFonts w:cstheme="minorHAnsi"/>
        </w:rPr>
        <w:t xml:space="preserve">, although there are no published epidemiological data for FMF in Australia. </w:t>
      </w:r>
      <w:r w:rsidR="002621AF" w:rsidRPr="002621AF">
        <w:rPr>
          <w:rFonts w:cstheme="minorHAnsi"/>
        </w:rPr>
        <w:t xml:space="preserve">The PBAC noted that within Australia, patients who are culturally and linguistically diverse (CALD) are disproportionately affected by </w:t>
      </w:r>
      <w:proofErr w:type="spellStart"/>
      <w:r w:rsidR="002621AF" w:rsidRPr="002621AF">
        <w:rPr>
          <w:rFonts w:cstheme="minorHAnsi"/>
        </w:rPr>
        <w:t>crFMF</w:t>
      </w:r>
      <w:proofErr w:type="spellEnd"/>
      <w:r w:rsidR="002621AF" w:rsidRPr="002621AF">
        <w:rPr>
          <w:rFonts w:cstheme="minorHAnsi"/>
        </w:rPr>
        <w:t>.</w:t>
      </w:r>
    </w:p>
    <w:p w14:paraId="1A245751" w14:textId="3D932777" w:rsidR="00303211" w:rsidRPr="008B18A3" w:rsidRDefault="00303211" w:rsidP="004B083B">
      <w:pPr>
        <w:pStyle w:val="COMESnumberedpara"/>
        <w:spacing w:before="160" w:after="160"/>
        <w:rPr>
          <w:rFonts w:cstheme="minorHAnsi"/>
        </w:rPr>
      </w:pPr>
      <w:r w:rsidRPr="008B18A3">
        <w:rPr>
          <w:rFonts w:cstheme="minorHAnsi"/>
        </w:rPr>
        <w:t xml:space="preserve">FMF patients experience recurrent episodes of systemic inflammation (‘flares’), </w:t>
      </w:r>
      <w:r w:rsidR="003B0E12" w:rsidRPr="008B18A3">
        <w:rPr>
          <w:rFonts w:cstheme="minorHAnsi"/>
        </w:rPr>
        <w:t xml:space="preserve">which are typically </w:t>
      </w:r>
      <w:r w:rsidRPr="008B18A3">
        <w:rPr>
          <w:rFonts w:cstheme="minorHAnsi"/>
        </w:rPr>
        <w:t>accompanied by fever</w:t>
      </w:r>
      <w:r w:rsidR="003B0E12" w:rsidRPr="008B18A3">
        <w:rPr>
          <w:rFonts w:cstheme="minorHAnsi"/>
        </w:rPr>
        <w:t xml:space="preserve">, and other systemic symptoms associated with </w:t>
      </w:r>
      <w:r w:rsidR="00AD17B8" w:rsidRPr="008B18A3">
        <w:rPr>
          <w:rFonts w:cstheme="minorHAnsi"/>
        </w:rPr>
        <w:t xml:space="preserve">peritonitis (inflammation of the lining of the abdomen), pleuritis (inflammation of the lining of the lungs and chest), arthritis and erysipelas-like erythema (a red, swollen skin rash that has an identical appearance to a rash caused </w:t>
      </w:r>
      <w:r w:rsidR="00371BAB" w:rsidRPr="008B18A3">
        <w:rPr>
          <w:rFonts w:cstheme="minorHAnsi"/>
        </w:rPr>
        <w:t xml:space="preserve">by </w:t>
      </w:r>
      <w:r w:rsidR="00AD17B8" w:rsidRPr="008B18A3">
        <w:rPr>
          <w:rFonts w:cstheme="minorHAnsi"/>
        </w:rPr>
        <w:t>an erysipelas bacterial infection).</w:t>
      </w:r>
      <w:r w:rsidRPr="008B18A3">
        <w:rPr>
          <w:rFonts w:cstheme="minorHAnsi"/>
        </w:rPr>
        <w:t xml:space="preserve"> Flares typically resolve spontaneously within 1-3 days. The frequency of flares is highly variable, even in the same patient, and can range from every few days to several months apart (UpToDate 2025). Between attacks, patients are generally asymptomatic although some patients experience persistent subclinical inflammation. </w:t>
      </w:r>
      <w:r w:rsidR="00BC5951" w:rsidRPr="008B18A3">
        <w:rPr>
          <w:rFonts w:cstheme="minorHAnsi"/>
        </w:rPr>
        <w:lastRenderedPageBreak/>
        <w:t xml:space="preserve">Persistent inflammation or frequent inflammatory attacks place patients at risk of developing </w:t>
      </w:r>
      <w:bookmarkStart w:id="19" w:name="_Hlk216717958"/>
      <w:r w:rsidR="00BC5951" w:rsidRPr="008B18A3">
        <w:rPr>
          <w:rFonts w:cstheme="minorHAnsi"/>
        </w:rPr>
        <w:t>amyloid A (AA)</w:t>
      </w:r>
      <w:bookmarkEnd w:id="19"/>
      <w:r w:rsidR="00BC5951" w:rsidRPr="008B18A3">
        <w:rPr>
          <w:rFonts w:cstheme="minorHAnsi"/>
        </w:rPr>
        <w:t xml:space="preserve"> amyloidosis, which occurs due to deposition of insoluble amyloid fibrils in organs. AA amyloidosis commonly leads to renal damage, which may require dialysis or transplant, and is the major cause of early mortality for patients with FMF (Ozeri 2025).</w:t>
      </w:r>
    </w:p>
    <w:p w14:paraId="7F368C46" w14:textId="03C62D18" w:rsidR="00303211" w:rsidRPr="008B18A3" w:rsidRDefault="00303211" w:rsidP="004B083B">
      <w:pPr>
        <w:pStyle w:val="COMESnumberedpara"/>
        <w:spacing w:before="160" w:after="160"/>
        <w:rPr>
          <w:rFonts w:cstheme="minorHAnsi"/>
        </w:rPr>
      </w:pPr>
      <w:r w:rsidRPr="008B18A3">
        <w:rPr>
          <w:rFonts w:cstheme="minorHAnsi"/>
        </w:rPr>
        <w:t xml:space="preserve">The standard of care for FMF is daily colchicine, </w:t>
      </w:r>
      <w:r w:rsidR="00A13CAF" w:rsidRPr="008B18A3">
        <w:rPr>
          <w:rFonts w:cstheme="minorHAnsi"/>
        </w:rPr>
        <w:t xml:space="preserve">which </w:t>
      </w:r>
      <w:r w:rsidRPr="008B18A3">
        <w:rPr>
          <w:rFonts w:cstheme="minorHAnsi"/>
        </w:rPr>
        <w:t xml:space="preserve">prevents febrile attacks and </w:t>
      </w:r>
      <w:r w:rsidR="00A13CAF" w:rsidRPr="008B18A3">
        <w:rPr>
          <w:rFonts w:cstheme="minorHAnsi"/>
        </w:rPr>
        <w:t xml:space="preserve">the development of </w:t>
      </w:r>
      <w:r w:rsidRPr="008B18A3">
        <w:rPr>
          <w:rFonts w:cstheme="minorHAnsi"/>
        </w:rPr>
        <w:t>secondary amyloidosis</w:t>
      </w:r>
      <w:r w:rsidR="00A13CAF" w:rsidRPr="008B18A3">
        <w:rPr>
          <w:rFonts w:cstheme="minorHAnsi"/>
        </w:rPr>
        <w:t xml:space="preserve"> by suppressing inflammation</w:t>
      </w:r>
      <w:r w:rsidRPr="008B18A3">
        <w:rPr>
          <w:rFonts w:cstheme="minorHAnsi"/>
        </w:rPr>
        <w:t xml:space="preserve">. </w:t>
      </w:r>
      <w:r w:rsidR="00C568C8" w:rsidRPr="008B18A3">
        <w:rPr>
          <w:rFonts w:cstheme="minorHAnsi"/>
        </w:rPr>
        <w:t xml:space="preserve">While colchicine is not TGA-indicated for FMF, it has an unrestricted PBS listing and is commonly used for the treatment of FMF in Australia. </w:t>
      </w:r>
      <w:r w:rsidR="00217A93" w:rsidRPr="008B18A3">
        <w:rPr>
          <w:rFonts w:cstheme="minorHAnsi"/>
        </w:rPr>
        <w:t xml:space="preserve">Other treatments for FMF include </w:t>
      </w:r>
      <w:r w:rsidR="008603D3" w:rsidRPr="008B18A3">
        <w:rPr>
          <w:rFonts w:cstheme="minorHAnsi"/>
        </w:rPr>
        <w:t xml:space="preserve">NSAIDs </w:t>
      </w:r>
      <w:r w:rsidR="00217A93" w:rsidRPr="008B18A3">
        <w:rPr>
          <w:rFonts w:cstheme="minorHAnsi"/>
        </w:rPr>
        <w:t>and corticosteroids for treatment of acute symptoms.</w:t>
      </w:r>
    </w:p>
    <w:p w14:paraId="2B66AE4F" w14:textId="77777777" w:rsidR="00D97548" w:rsidRPr="00D97548" w:rsidRDefault="00303211" w:rsidP="004B083B">
      <w:pPr>
        <w:pStyle w:val="COMESnumberedpara"/>
        <w:spacing w:before="160" w:after="160"/>
        <w:rPr>
          <w:rFonts w:cstheme="minorHAnsi"/>
          <w:color w:val="0066FF"/>
        </w:rPr>
      </w:pPr>
      <w:r w:rsidRPr="008B18A3">
        <w:rPr>
          <w:rFonts w:cstheme="minorHAnsi"/>
        </w:rPr>
        <w:t xml:space="preserve">A proportion of patients develop resistance and/or intolerance to colchicine treatment (Ozen 2016) and continue to experience one or more febrile attacks despite receiving the maximally tolerated colchicine dose for at least 3 </w:t>
      </w:r>
      <w:r w:rsidR="00165308" w:rsidRPr="008B18A3">
        <w:rPr>
          <w:rFonts w:cstheme="minorHAnsi"/>
        </w:rPr>
        <w:t>months or</w:t>
      </w:r>
      <w:r w:rsidRPr="008B18A3">
        <w:rPr>
          <w:rFonts w:cstheme="minorHAnsi"/>
        </w:rPr>
        <w:t xml:space="preserve"> have persistent subclinical inflammation (elevated C-reactive protein and </w:t>
      </w:r>
      <w:r w:rsidR="000D0EAE" w:rsidRPr="008B18A3">
        <w:rPr>
          <w:rFonts w:cstheme="minorHAnsi"/>
        </w:rPr>
        <w:t>s</w:t>
      </w:r>
      <w:r w:rsidRPr="008B18A3">
        <w:rPr>
          <w:rFonts w:cstheme="minorHAnsi"/>
        </w:rPr>
        <w:t xml:space="preserve">erum amyloid A levels between flares). </w:t>
      </w:r>
    </w:p>
    <w:p w14:paraId="222650A5" w14:textId="60C6C441" w:rsidR="007B24AE" w:rsidRPr="00FD3FFB" w:rsidDel="00195452" w:rsidRDefault="00224787" w:rsidP="004B083B">
      <w:pPr>
        <w:pStyle w:val="COMESnumberedpara"/>
        <w:spacing w:before="160" w:after="160"/>
        <w:rPr>
          <w:rFonts w:cstheme="minorHAnsi"/>
          <w:color w:val="0066FF"/>
        </w:rPr>
      </w:pPr>
      <w:r w:rsidRPr="008B18A3">
        <w:rPr>
          <w:rFonts w:cstheme="minorHAnsi"/>
        </w:rPr>
        <w:t xml:space="preserve">Canakinumab was positioned as an add-on therapy to maximum tolerated doses of colchicine </w:t>
      </w:r>
      <w:r w:rsidR="007F37CA" w:rsidRPr="008B18A3">
        <w:rPr>
          <w:rFonts w:cstheme="minorHAnsi"/>
        </w:rPr>
        <w:t xml:space="preserve">in </w:t>
      </w:r>
      <w:r w:rsidR="007B24AE" w:rsidRPr="008B18A3">
        <w:rPr>
          <w:rFonts w:cstheme="minorHAnsi"/>
        </w:rPr>
        <w:t>patients aged 2-17 years with FMF who are colchicine-resistant or intolerant</w:t>
      </w:r>
      <w:r w:rsidR="00340B39" w:rsidRPr="008B18A3">
        <w:rPr>
          <w:rFonts w:cstheme="minorHAnsi"/>
        </w:rPr>
        <w:t>, with treatment continued into adulthood</w:t>
      </w:r>
      <w:r w:rsidR="007B24AE" w:rsidRPr="008B18A3">
        <w:rPr>
          <w:rFonts w:cstheme="minorHAnsi"/>
        </w:rPr>
        <w:t>.</w:t>
      </w:r>
      <w:r w:rsidR="007B24AE" w:rsidRPr="008B18A3" w:rsidDel="00195452">
        <w:rPr>
          <w:rFonts w:cstheme="minorHAnsi"/>
        </w:rPr>
        <w:t xml:space="preserve"> </w:t>
      </w:r>
      <w:r w:rsidR="00FD3FFB" w:rsidRPr="00EC13A6">
        <w:t>The ESC</w:t>
      </w:r>
      <w:r w:rsidR="006754BF" w:rsidRPr="00EC13A6">
        <w:t xml:space="preserve"> considered that this positioning was appropriate</w:t>
      </w:r>
      <w:r w:rsidR="00D115DB" w:rsidRPr="00EC13A6">
        <w:t xml:space="preserve"> and</w:t>
      </w:r>
      <w:r w:rsidR="00FD3FFB" w:rsidRPr="00EC13A6">
        <w:t xml:space="preserve"> noted that </w:t>
      </w:r>
      <w:r w:rsidR="00FD3FFB" w:rsidRPr="00EC13A6">
        <w:rPr>
          <w:rFonts w:cstheme="minorHAnsi"/>
        </w:rPr>
        <w:t>colchicine is the first line therapy in all guidelines</w:t>
      </w:r>
      <w:r w:rsidR="00D115DB" w:rsidRPr="00EC13A6">
        <w:rPr>
          <w:rFonts w:cstheme="minorHAnsi"/>
        </w:rPr>
        <w:t xml:space="preserve">, is </w:t>
      </w:r>
      <w:r w:rsidR="007050FA" w:rsidRPr="00EC13A6">
        <w:rPr>
          <w:rFonts w:cstheme="minorHAnsi"/>
        </w:rPr>
        <w:t>easy to take and often well-tolerated</w:t>
      </w:r>
      <w:r w:rsidR="00A55585" w:rsidRPr="00EC13A6">
        <w:rPr>
          <w:rFonts w:cstheme="minorHAnsi"/>
        </w:rPr>
        <w:t>,</w:t>
      </w:r>
      <w:r w:rsidR="00FD3FFB" w:rsidRPr="00EC13A6">
        <w:rPr>
          <w:rFonts w:cstheme="minorHAnsi"/>
        </w:rPr>
        <w:t xml:space="preserve"> </w:t>
      </w:r>
      <w:r w:rsidR="006754BF" w:rsidRPr="00EC13A6">
        <w:rPr>
          <w:rFonts w:cstheme="minorHAnsi"/>
        </w:rPr>
        <w:t xml:space="preserve">and </w:t>
      </w:r>
      <w:r w:rsidR="00531A94" w:rsidRPr="00EC13A6">
        <w:rPr>
          <w:rFonts w:cstheme="minorHAnsi"/>
        </w:rPr>
        <w:t xml:space="preserve">is </w:t>
      </w:r>
      <w:r w:rsidR="006754BF" w:rsidRPr="00EC13A6">
        <w:rPr>
          <w:rFonts w:cstheme="minorHAnsi"/>
        </w:rPr>
        <w:t xml:space="preserve">effective in preventing attacks. </w:t>
      </w:r>
      <w:r w:rsidR="00531A94" w:rsidRPr="00EC13A6">
        <w:rPr>
          <w:rFonts w:cstheme="minorHAnsi"/>
        </w:rPr>
        <w:t xml:space="preserve">However, the ESC </w:t>
      </w:r>
      <w:r w:rsidR="00FD3FFB" w:rsidRPr="00EC13A6">
        <w:rPr>
          <w:rFonts w:cstheme="minorHAnsi"/>
        </w:rPr>
        <w:t xml:space="preserve">considered that </w:t>
      </w:r>
      <w:r w:rsidR="00E76697" w:rsidRPr="00EC13A6">
        <w:rPr>
          <w:rFonts w:cstheme="minorHAnsi"/>
        </w:rPr>
        <w:t>some patients may</w:t>
      </w:r>
      <w:r w:rsidR="00FD3FFB" w:rsidRPr="00EC13A6">
        <w:rPr>
          <w:rFonts w:cstheme="minorHAnsi"/>
        </w:rPr>
        <w:t xml:space="preserve"> cycle through colchicine to access canakinumab</w:t>
      </w:r>
      <w:r w:rsidR="00CC66F4" w:rsidRPr="00EC13A6">
        <w:rPr>
          <w:rFonts w:cstheme="minorHAnsi"/>
        </w:rPr>
        <w:t xml:space="preserve"> without a reasonable trial of </w:t>
      </w:r>
      <w:r w:rsidR="00917CF4" w:rsidRPr="00EC13A6">
        <w:rPr>
          <w:rFonts w:cstheme="minorHAnsi"/>
        </w:rPr>
        <w:t>colchicine’s</w:t>
      </w:r>
      <w:r w:rsidR="00CC66F4" w:rsidRPr="00EC13A6">
        <w:rPr>
          <w:rFonts w:cstheme="minorHAnsi"/>
        </w:rPr>
        <w:t xml:space="preserve"> tolerability and efficacy</w:t>
      </w:r>
      <w:r w:rsidR="00FD3FFB" w:rsidRPr="00EC13A6">
        <w:rPr>
          <w:rFonts w:cstheme="minorHAnsi"/>
        </w:rPr>
        <w:t>.</w:t>
      </w:r>
      <w:r w:rsidR="00FD3FFB" w:rsidRPr="00C94CFC">
        <w:rPr>
          <w:rFonts w:cstheme="minorHAnsi"/>
          <w:i/>
          <w:iCs/>
        </w:rPr>
        <w:t xml:space="preserve"> </w:t>
      </w:r>
    </w:p>
    <w:p w14:paraId="7A601DA2" w14:textId="60588C55" w:rsidR="00D679D8" w:rsidRPr="0099475B" w:rsidRDefault="007F37CA" w:rsidP="004B083B">
      <w:pPr>
        <w:pStyle w:val="COMESnumberedpara"/>
        <w:spacing w:before="160" w:after="160"/>
        <w:rPr>
          <w:rFonts w:cstheme="minorHAnsi"/>
        </w:rPr>
      </w:pPr>
      <w:r w:rsidRPr="0099475B">
        <w:rPr>
          <w:rFonts w:cstheme="minorHAnsi"/>
        </w:rPr>
        <w:t>The recommended dose</w:t>
      </w:r>
      <w:r w:rsidR="00303211" w:rsidRPr="0099475B">
        <w:rPr>
          <w:rFonts w:cstheme="minorHAnsi"/>
        </w:rPr>
        <w:t xml:space="preserve"> </w:t>
      </w:r>
      <w:r w:rsidR="00715400" w:rsidRPr="0099475B">
        <w:rPr>
          <w:rFonts w:cstheme="minorHAnsi"/>
        </w:rPr>
        <w:t>of canakinumab</w:t>
      </w:r>
      <w:r w:rsidRPr="0099475B">
        <w:rPr>
          <w:rFonts w:cstheme="minorHAnsi"/>
        </w:rPr>
        <w:t xml:space="preserve"> is</w:t>
      </w:r>
      <w:r w:rsidR="00715400" w:rsidRPr="0099475B">
        <w:rPr>
          <w:rFonts w:cstheme="minorHAnsi"/>
        </w:rPr>
        <w:t xml:space="preserve"> 150 mg (or 2 mg/kg for patients with body weight between 7.5 kg and 40 kg)</w:t>
      </w:r>
      <w:r w:rsidR="00E60F9D" w:rsidRPr="0099475B">
        <w:rPr>
          <w:rFonts w:cstheme="minorHAnsi"/>
        </w:rPr>
        <w:t xml:space="preserve"> administered by subcutaneous injection</w:t>
      </w:r>
      <w:r w:rsidR="00715400" w:rsidRPr="0099475B">
        <w:rPr>
          <w:rFonts w:cstheme="minorHAnsi"/>
        </w:rPr>
        <w:t xml:space="preserve"> every 4</w:t>
      </w:r>
      <w:r w:rsidR="00A13CAF" w:rsidRPr="0099475B">
        <w:rPr>
          <w:rFonts w:cstheme="minorHAnsi"/>
        </w:rPr>
        <w:t> </w:t>
      </w:r>
      <w:r w:rsidR="00715400" w:rsidRPr="0099475B">
        <w:rPr>
          <w:rFonts w:cstheme="minorHAnsi"/>
        </w:rPr>
        <w:t xml:space="preserve">weeks. </w:t>
      </w:r>
      <w:r w:rsidR="0034044C" w:rsidRPr="0099475B">
        <w:rPr>
          <w:rFonts w:cstheme="minorHAnsi"/>
        </w:rPr>
        <w:t>I</w:t>
      </w:r>
      <w:r w:rsidR="00715400" w:rsidRPr="0099475B">
        <w:rPr>
          <w:rFonts w:cstheme="minorHAnsi"/>
        </w:rPr>
        <w:t>ncreas</w:t>
      </w:r>
      <w:r w:rsidR="0034044C" w:rsidRPr="0099475B">
        <w:rPr>
          <w:rFonts w:cstheme="minorHAnsi"/>
        </w:rPr>
        <w:t>ing the dose of</w:t>
      </w:r>
      <w:r w:rsidR="00715400" w:rsidRPr="0099475B">
        <w:rPr>
          <w:rFonts w:cstheme="minorHAnsi"/>
        </w:rPr>
        <w:t xml:space="preserve"> canakinumab from 150 mg to 300 mg (or from 2 mg/kg to 4 mg/kg for body weight between 7.5 kg and 40 kg) every 4 weeks</w:t>
      </w:r>
      <w:r w:rsidR="0034044C" w:rsidRPr="0099475B">
        <w:rPr>
          <w:rFonts w:cstheme="minorHAnsi"/>
        </w:rPr>
        <w:t xml:space="preserve"> is recommended for patients who do not achieve a treatment response</w:t>
      </w:r>
      <w:r w:rsidR="00715400" w:rsidRPr="0099475B">
        <w:rPr>
          <w:rFonts w:cstheme="minorHAnsi"/>
        </w:rPr>
        <w:t>.</w:t>
      </w:r>
      <w:r w:rsidR="0099475B">
        <w:rPr>
          <w:rFonts w:cstheme="minorHAnsi"/>
        </w:rPr>
        <w:t xml:space="preserve"> </w:t>
      </w:r>
      <w:r w:rsidR="00D679D8" w:rsidRPr="0099475B">
        <w:rPr>
          <w:rFonts w:cstheme="minorHAnsi"/>
        </w:rPr>
        <w:t>The submission noted feedback from Australian paediatric rheumatologists indicating that they are likely to increase the dose interval of canakinumab from 4 to 8 weeks following clinical and biochemical remission. The canakinumab product information does not include recommendations for changing the dose interval</w:t>
      </w:r>
      <w:r w:rsidR="00F17531">
        <w:rPr>
          <w:rFonts w:cstheme="minorHAnsi"/>
        </w:rPr>
        <w:t xml:space="preserve"> for </w:t>
      </w:r>
      <w:r w:rsidR="00AA1384">
        <w:rPr>
          <w:rFonts w:cstheme="minorHAnsi"/>
        </w:rPr>
        <w:t xml:space="preserve">the </w:t>
      </w:r>
      <w:r w:rsidR="00F17531">
        <w:rPr>
          <w:rFonts w:cstheme="minorHAnsi"/>
        </w:rPr>
        <w:t>FMF</w:t>
      </w:r>
      <w:r w:rsidR="00AA1384">
        <w:rPr>
          <w:rFonts w:cstheme="minorHAnsi"/>
        </w:rPr>
        <w:t xml:space="preserve"> indication</w:t>
      </w:r>
      <w:r w:rsidR="00D679D8" w:rsidRPr="0099475B">
        <w:rPr>
          <w:rFonts w:cstheme="minorHAnsi"/>
        </w:rPr>
        <w:t>.</w:t>
      </w:r>
    </w:p>
    <w:p w14:paraId="3F836CD5" w14:textId="0C8F9ADE" w:rsidR="005F51BC" w:rsidRDefault="005F51BC" w:rsidP="004B083B">
      <w:pPr>
        <w:pStyle w:val="COMESnumberedpara"/>
        <w:spacing w:before="160" w:after="160"/>
        <w:rPr>
          <w:rFonts w:cstheme="minorHAnsi"/>
        </w:rPr>
      </w:pPr>
      <w:r>
        <w:rPr>
          <w:rFonts w:cstheme="minorHAnsi"/>
        </w:rPr>
        <w:t xml:space="preserve">The Pre-PBAC </w:t>
      </w:r>
      <w:r w:rsidR="00AA1384">
        <w:rPr>
          <w:rFonts w:cstheme="minorHAnsi"/>
        </w:rPr>
        <w:t>r</w:t>
      </w:r>
      <w:r>
        <w:rPr>
          <w:rFonts w:cstheme="minorHAnsi"/>
        </w:rPr>
        <w:t>esponse</w:t>
      </w:r>
      <w:r w:rsidR="006C489C">
        <w:rPr>
          <w:rFonts w:cstheme="minorHAnsi"/>
        </w:rPr>
        <w:t xml:space="preserve"> noted that </w:t>
      </w:r>
      <w:r w:rsidRPr="005F51BC">
        <w:rPr>
          <w:rFonts w:cstheme="minorHAnsi"/>
        </w:rPr>
        <w:t xml:space="preserve">access to canakinumab is </w:t>
      </w:r>
      <w:r w:rsidR="00EB1AEB">
        <w:rPr>
          <w:rFonts w:cstheme="minorHAnsi"/>
        </w:rPr>
        <w:t xml:space="preserve">available </w:t>
      </w:r>
      <w:r w:rsidRPr="005F51BC">
        <w:rPr>
          <w:rFonts w:cstheme="minorHAnsi"/>
        </w:rPr>
        <w:t>for</w:t>
      </w:r>
      <w:r w:rsidR="00EB1AEB">
        <w:rPr>
          <w:rFonts w:cstheme="minorHAnsi"/>
        </w:rPr>
        <w:t xml:space="preserve"> patients treated at</w:t>
      </w:r>
      <w:r w:rsidRPr="005F51BC">
        <w:rPr>
          <w:rFonts w:cstheme="minorHAnsi"/>
        </w:rPr>
        <w:t xml:space="preserve"> the </w:t>
      </w:r>
      <w:r w:rsidR="00FD1AB4">
        <w:rPr>
          <w:rFonts w:cstheme="minorHAnsi"/>
        </w:rPr>
        <w:t>major academic teaching hospitals</w:t>
      </w:r>
      <w:r w:rsidRPr="005F51BC">
        <w:rPr>
          <w:rFonts w:cstheme="minorHAnsi"/>
        </w:rPr>
        <w:t xml:space="preserve"> (</w:t>
      </w:r>
      <w:r w:rsidR="00713CE8">
        <w:rPr>
          <w:rFonts w:cstheme="minorHAnsi"/>
        </w:rPr>
        <w:t>with the sponsor receiv</w:t>
      </w:r>
      <w:r w:rsidR="00F423AA">
        <w:rPr>
          <w:rFonts w:cstheme="minorHAnsi"/>
        </w:rPr>
        <w:t>ing</w:t>
      </w:r>
      <w:r w:rsidR="00713CE8">
        <w:rPr>
          <w:rFonts w:cstheme="minorHAnsi"/>
        </w:rPr>
        <w:t xml:space="preserve"> </w:t>
      </w:r>
      <w:r w:rsidRPr="005F51BC">
        <w:rPr>
          <w:rFonts w:cstheme="minorHAnsi"/>
        </w:rPr>
        <w:t>the requested net price)</w:t>
      </w:r>
      <w:r w:rsidR="00FD1AB4">
        <w:rPr>
          <w:rFonts w:cstheme="minorHAnsi"/>
        </w:rPr>
        <w:t xml:space="preserve">, </w:t>
      </w:r>
      <w:r w:rsidR="00976D3D">
        <w:rPr>
          <w:rFonts w:cstheme="minorHAnsi"/>
        </w:rPr>
        <w:t xml:space="preserve">but </w:t>
      </w:r>
      <w:r w:rsidR="00FD1AB4">
        <w:rPr>
          <w:rFonts w:cstheme="minorHAnsi"/>
        </w:rPr>
        <w:t xml:space="preserve">that patients who </w:t>
      </w:r>
      <w:r w:rsidR="00A12384">
        <w:rPr>
          <w:rFonts w:cstheme="minorHAnsi"/>
        </w:rPr>
        <w:t>are not treated at these hospitals</w:t>
      </w:r>
      <w:r w:rsidRPr="005F51BC">
        <w:rPr>
          <w:rFonts w:cstheme="minorHAnsi"/>
        </w:rPr>
        <w:t xml:space="preserve"> are limited to either BSC, or off-label anakinra if available via individual patient submissions to local hospital drug usage committees</w:t>
      </w:r>
      <w:r w:rsidR="00976D3D">
        <w:rPr>
          <w:rFonts w:cstheme="minorHAnsi"/>
        </w:rPr>
        <w:t>.</w:t>
      </w:r>
      <w:r w:rsidRPr="005F51BC">
        <w:rPr>
          <w:rFonts w:cstheme="minorHAnsi"/>
        </w:rPr>
        <w:t xml:space="preserve"> </w:t>
      </w:r>
    </w:p>
    <w:p w14:paraId="4DA7E7B4" w14:textId="77777777" w:rsidR="00E37C70" w:rsidRPr="00C33D30" w:rsidRDefault="00E37C70" w:rsidP="004B083B">
      <w:pPr>
        <w:ind w:firstLine="709"/>
        <w:rPr>
          <w:rFonts w:asciiTheme="minorHAnsi" w:hAnsiTheme="minorHAnsi"/>
          <w:i/>
        </w:rPr>
      </w:pPr>
      <w:r w:rsidRPr="00C33D30">
        <w:rPr>
          <w:rFonts w:asciiTheme="minorHAnsi" w:hAnsiTheme="minorHAnsi"/>
          <w:i/>
        </w:rPr>
        <w:t>For more detail on PBAC’s view, see section 7 PBAC outcome.</w:t>
      </w:r>
    </w:p>
    <w:p w14:paraId="35B032F5" w14:textId="77777777" w:rsidR="00303211" w:rsidRPr="00D92284" w:rsidRDefault="00303211" w:rsidP="004B083B">
      <w:pPr>
        <w:pStyle w:val="COMESH2"/>
        <w:spacing w:before="160" w:after="160"/>
        <w:rPr>
          <w:rFonts w:cstheme="minorHAnsi"/>
        </w:rPr>
      </w:pPr>
      <w:bookmarkStart w:id="20" w:name="_Toc216092659"/>
      <w:bookmarkStart w:id="21" w:name="_Toc219811818"/>
      <w:r w:rsidRPr="00D92284">
        <w:rPr>
          <w:rFonts w:cstheme="minorHAnsi"/>
        </w:rPr>
        <w:lastRenderedPageBreak/>
        <w:t>Comparator</w:t>
      </w:r>
      <w:bookmarkEnd w:id="20"/>
      <w:bookmarkEnd w:id="21"/>
    </w:p>
    <w:p w14:paraId="439FAB55" w14:textId="033397FD" w:rsidR="00303211" w:rsidRPr="00E37C70" w:rsidRDefault="00303211" w:rsidP="004B083B">
      <w:pPr>
        <w:pStyle w:val="COMESnumberedpara"/>
        <w:spacing w:before="160" w:after="160"/>
        <w:rPr>
          <w:rFonts w:cstheme="minorHAnsi"/>
          <w:color w:val="0066FF"/>
        </w:rPr>
      </w:pPr>
      <w:r w:rsidRPr="00D92284">
        <w:rPr>
          <w:rFonts w:cstheme="minorHAnsi"/>
        </w:rPr>
        <w:t xml:space="preserve">The submission nominated </w:t>
      </w:r>
      <w:r w:rsidR="002A7DB0" w:rsidRPr="00D92284">
        <w:rPr>
          <w:rFonts w:cstheme="minorHAnsi"/>
        </w:rPr>
        <w:t>BSC</w:t>
      </w:r>
      <w:r w:rsidRPr="00D92284">
        <w:rPr>
          <w:rFonts w:cstheme="minorHAnsi"/>
        </w:rPr>
        <w:t xml:space="preserve"> as the main comparator, comprising colchicine at the maximum tolerated dose, with NSAIDs and oral corticosteroids where necessary for treatment of acute symptoms and protracted febrile myalgia. The main arguments provided in support of this nomination were that canakinumab is the only TGA-registered medicine for the treatment of FMF, </w:t>
      </w:r>
      <w:r w:rsidR="00A13CAF" w:rsidRPr="00D92284">
        <w:rPr>
          <w:rFonts w:cstheme="minorHAnsi"/>
        </w:rPr>
        <w:t xml:space="preserve">and </w:t>
      </w:r>
      <w:r w:rsidRPr="00D92284">
        <w:rPr>
          <w:rFonts w:cstheme="minorHAnsi"/>
        </w:rPr>
        <w:t>canakinumab will be used in addition to, rather than replacing colchicine</w:t>
      </w:r>
      <w:r w:rsidR="00A13CAF" w:rsidRPr="00D92284">
        <w:rPr>
          <w:rFonts w:cstheme="minorHAnsi"/>
        </w:rPr>
        <w:t>.</w:t>
      </w:r>
      <w:r w:rsidRPr="00D92284">
        <w:rPr>
          <w:rFonts w:cstheme="minorHAnsi"/>
        </w:rPr>
        <w:t xml:space="preserve"> </w:t>
      </w:r>
      <w:r w:rsidR="00BF7A24" w:rsidRPr="00E37C70">
        <w:rPr>
          <w:rFonts w:cstheme="minorHAnsi"/>
        </w:rPr>
        <w:t>The ESC</w:t>
      </w:r>
      <w:r w:rsidR="00A843E7" w:rsidRPr="00E37C70">
        <w:rPr>
          <w:rFonts w:cstheme="minorHAnsi"/>
        </w:rPr>
        <w:t xml:space="preserve"> agreed with the evaluation that </w:t>
      </w:r>
      <w:r w:rsidR="002A7DB0" w:rsidRPr="00E37C70">
        <w:rPr>
          <w:rFonts w:cstheme="minorHAnsi"/>
        </w:rPr>
        <w:t>BSC</w:t>
      </w:r>
      <w:r w:rsidRPr="00E37C70">
        <w:rPr>
          <w:rFonts w:cstheme="minorHAnsi"/>
        </w:rPr>
        <w:t xml:space="preserve"> is an appropriate comparator. </w:t>
      </w:r>
    </w:p>
    <w:p w14:paraId="5F7CBCE9" w14:textId="3AC99BDC" w:rsidR="00303211" w:rsidRPr="00145966" w:rsidRDefault="00510888" w:rsidP="004B083B">
      <w:pPr>
        <w:pStyle w:val="COMESnumberedpara"/>
        <w:spacing w:before="160" w:after="160"/>
        <w:rPr>
          <w:rFonts w:cstheme="minorHAnsi"/>
        </w:rPr>
      </w:pPr>
      <w:r w:rsidRPr="00E37C70">
        <w:rPr>
          <w:rFonts w:cstheme="minorHAnsi"/>
        </w:rPr>
        <w:t xml:space="preserve">The submission noted feedback from Australian paediatric rheumatologists that some patients with </w:t>
      </w:r>
      <w:proofErr w:type="spellStart"/>
      <w:r w:rsidR="00BC0A38">
        <w:rPr>
          <w:rFonts w:cstheme="minorHAnsi"/>
        </w:rPr>
        <w:t>cr</w:t>
      </w:r>
      <w:r w:rsidRPr="00E37C70">
        <w:rPr>
          <w:rFonts w:cstheme="minorHAnsi"/>
        </w:rPr>
        <w:t>FMF</w:t>
      </w:r>
      <w:proofErr w:type="spellEnd"/>
      <w:r w:rsidRPr="00E37C70">
        <w:rPr>
          <w:rFonts w:cstheme="minorHAnsi"/>
        </w:rPr>
        <w:t xml:space="preserve"> are currently receiving treatment with anakinra</w:t>
      </w:r>
      <w:r w:rsidR="004F2CC3" w:rsidRPr="00E37C70">
        <w:rPr>
          <w:rFonts w:cstheme="minorHAnsi"/>
        </w:rPr>
        <w:t xml:space="preserve">, an interleukin-1 </w:t>
      </w:r>
      <w:r w:rsidR="00231940">
        <w:rPr>
          <w:rFonts w:cstheme="minorHAnsi"/>
        </w:rPr>
        <w:t xml:space="preserve">(IL-1) </w:t>
      </w:r>
      <w:r w:rsidR="004F2CC3" w:rsidRPr="00E37C70">
        <w:rPr>
          <w:rFonts w:cstheme="minorHAnsi"/>
        </w:rPr>
        <w:t>receptor antagonist</w:t>
      </w:r>
      <w:r w:rsidRPr="00E37C70">
        <w:rPr>
          <w:rFonts w:cstheme="minorHAnsi"/>
        </w:rPr>
        <w:t xml:space="preserve">. The submission argued that anakinra is not a relevant comparator on the basis that it is not TGA-registered for the treatment of FMF, and there is a lack of RCT evidence for anakinra in paediatric patients with </w:t>
      </w:r>
      <w:proofErr w:type="spellStart"/>
      <w:r w:rsidR="0082033E">
        <w:rPr>
          <w:rFonts w:cstheme="minorHAnsi"/>
        </w:rPr>
        <w:t>cr</w:t>
      </w:r>
      <w:r w:rsidRPr="00E37C70">
        <w:rPr>
          <w:rFonts w:cstheme="minorHAnsi"/>
        </w:rPr>
        <w:t>FMF</w:t>
      </w:r>
      <w:proofErr w:type="spellEnd"/>
      <w:r w:rsidRPr="00E37C70">
        <w:rPr>
          <w:rFonts w:cstheme="minorHAnsi"/>
        </w:rPr>
        <w:t>. However</w:t>
      </w:r>
      <w:r w:rsidR="00597E53" w:rsidRPr="00E37C70">
        <w:rPr>
          <w:rFonts w:cstheme="minorHAnsi"/>
        </w:rPr>
        <w:t>,</w:t>
      </w:r>
      <w:r w:rsidR="00CA4347" w:rsidRPr="00E37C70">
        <w:rPr>
          <w:rFonts w:cstheme="minorHAnsi"/>
        </w:rPr>
        <w:t xml:space="preserve"> t</w:t>
      </w:r>
      <w:r w:rsidR="00D50C33" w:rsidRPr="00E37C70">
        <w:rPr>
          <w:rFonts w:cstheme="minorHAnsi"/>
        </w:rPr>
        <w:t>he ESC considered that</w:t>
      </w:r>
      <w:r w:rsidRPr="00E37C70">
        <w:rPr>
          <w:rFonts w:cstheme="minorHAnsi"/>
        </w:rPr>
        <w:t xml:space="preserve"> a comparison of canakinumab versus anakinra may have been informative, as the listing of canakinumab on the PBS would likely lead to substitution among patients who are receiving anakinra treatment that is self-funded, hospital </w:t>
      </w:r>
      <w:r w:rsidR="00165308" w:rsidRPr="00E37C70">
        <w:rPr>
          <w:rFonts w:cstheme="minorHAnsi"/>
        </w:rPr>
        <w:t>funded or</w:t>
      </w:r>
      <w:r w:rsidRPr="00E37C70">
        <w:rPr>
          <w:rFonts w:cstheme="minorHAnsi"/>
        </w:rPr>
        <w:t xml:space="preserve"> obtained through a compassionate access scheme.</w:t>
      </w:r>
      <w:r w:rsidR="006C2129" w:rsidRPr="00E37C70">
        <w:rPr>
          <w:rFonts w:cstheme="minorHAnsi"/>
        </w:rPr>
        <w:t xml:space="preserve"> The ESC noted that the cost for anakinra on the PBS (for moderate to severe cryopyrin associated periodic syndromes (CAPS)) was $1,146.64 DPMQ (public hospital) compared to $</w:t>
      </w:r>
      <w:r w:rsidR="00B90395" w:rsidRPr="00B90395">
        <w:rPr>
          <w:rFonts w:cstheme="minorHAnsi"/>
          <w:sz w:val="2"/>
          <w:highlight w:val="black"/>
        </w:rPr>
        <w:t>redacted content</w:t>
      </w:r>
      <w:r w:rsidR="006C2129" w:rsidRPr="00E37C70">
        <w:rPr>
          <w:rFonts w:cstheme="minorHAnsi"/>
        </w:rPr>
        <w:t xml:space="preserve"> DPMQ </w:t>
      </w:r>
      <w:r w:rsidR="009A098A" w:rsidRPr="00E37C70">
        <w:rPr>
          <w:rFonts w:cstheme="minorHAnsi"/>
        </w:rPr>
        <w:t xml:space="preserve">proposed </w:t>
      </w:r>
      <w:r w:rsidR="006C2129" w:rsidRPr="00E37C70">
        <w:rPr>
          <w:rFonts w:cstheme="minorHAnsi"/>
        </w:rPr>
        <w:t>for canakinumab.</w:t>
      </w:r>
      <w:r w:rsidR="004B083B">
        <w:rPr>
          <w:rFonts w:cstheme="minorHAnsi"/>
        </w:rPr>
        <w:t xml:space="preserve"> </w:t>
      </w:r>
    </w:p>
    <w:p w14:paraId="7460FCED" w14:textId="36590850" w:rsidR="009C2944" w:rsidRPr="002F1F6B" w:rsidRDefault="00145966" w:rsidP="004B083B">
      <w:pPr>
        <w:pStyle w:val="COMESnumberedpara"/>
        <w:spacing w:before="160" w:after="160"/>
        <w:rPr>
          <w:rFonts w:cstheme="minorHAnsi"/>
        </w:rPr>
      </w:pPr>
      <w:r w:rsidRPr="002F1F6B">
        <w:rPr>
          <w:rFonts w:cstheme="minorHAnsi"/>
        </w:rPr>
        <w:t xml:space="preserve">The </w:t>
      </w:r>
      <w:proofErr w:type="gramStart"/>
      <w:r w:rsidRPr="002F1F6B">
        <w:rPr>
          <w:rFonts w:cstheme="minorHAnsi"/>
        </w:rPr>
        <w:t>Pre-PBAC</w:t>
      </w:r>
      <w:proofErr w:type="gramEnd"/>
      <w:r w:rsidRPr="002F1F6B">
        <w:rPr>
          <w:rFonts w:cstheme="minorHAnsi"/>
        </w:rPr>
        <w:t xml:space="preserve"> </w:t>
      </w:r>
      <w:r w:rsidR="00AE0E3A">
        <w:rPr>
          <w:rFonts w:cstheme="minorHAnsi"/>
        </w:rPr>
        <w:t>r</w:t>
      </w:r>
      <w:r w:rsidRPr="002F1F6B">
        <w:rPr>
          <w:rFonts w:cstheme="minorHAnsi"/>
        </w:rPr>
        <w:t xml:space="preserve">esponse </w:t>
      </w:r>
      <w:r w:rsidR="009F2FF6" w:rsidRPr="002F1F6B">
        <w:rPr>
          <w:rFonts w:cstheme="minorHAnsi"/>
        </w:rPr>
        <w:t xml:space="preserve">maintained that BSC is the </w:t>
      </w:r>
      <w:r w:rsidR="00F53A86" w:rsidRPr="002F1F6B">
        <w:rPr>
          <w:rFonts w:cstheme="minorHAnsi"/>
        </w:rPr>
        <w:t xml:space="preserve">only </w:t>
      </w:r>
      <w:r w:rsidR="009F2FF6" w:rsidRPr="002F1F6B">
        <w:rPr>
          <w:rFonts w:cstheme="minorHAnsi"/>
        </w:rPr>
        <w:t>appropriate c</w:t>
      </w:r>
      <w:r w:rsidR="002E7CE6" w:rsidRPr="002F1F6B">
        <w:rPr>
          <w:rFonts w:cstheme="minorHAnsi"/>
        </w:rPr>
        <w:t>omparator</w:t>
      </w:r>
      <w:r w:rsidR="00525A84" w:rsidRPr="002F1F6B">
        <w:rPr>
          <w:rFonts w:cstheme="minorHAnsi"/>
        </w:rPr>
        <w:t xml:space="preserve"> </w:t>
      </w:r>
      <w:r w:rsidR="00F30D46">
        <w:rPr>
          <w:rFonts w:cstheme="minorHAnsi"/>
        </w:rPr>
        <w:t xml:space="preserve">as it is the </w:t>
      </w:r>
      <w:r w:rsidR="00220C49" w:rsidRPr="002F1F6B">
        <w:rPr>
          <w:rFonts w:cstheme="minorHAnsi"/>
        </w:rPr>
        <w:t>treatment</w:t>
      </w:r>
      <w:r w:rsidR="00F30D46">
        <w:rPr>
          <w:rFonts w:cstheme="minorHAnsi"/>
        </w:rPr>
        <w:t xml:space="preserve"> that is </w:t>
      </w:r>
      <w:r w:rsidR="00220C49" w:rsidRPr="002F1F6B">
        <w:rPr>
          <w:rFonts w:cstheme="minorHAnsi"/>
        </w:rPr>
        <w:t xml:space="preserve">accessible and affordable to </w:t>
      </w:r>
      <w:r w:rsidR="00F30D46">
        <w:rPr>
          <w:rFonts w:cstheme="minorHAnsi"/>
        </w:rPr>
        <w:t xml:space="preserve">all </w:t>
      </w:r>
      <w:r w:rsidR="00220C49" w:rsidRPr="002F1F6B">
        <w:rPr>
          <w:rFonts w:cstheme="minorHAnsi"/>
        </w:rPr>
        <w:t>patients.</w:t>
      </w:r>
      <w:r w:rsidR="002E7CE6" w:rsidRPr="002F1F6B" w:rsidDel="00F30D46">
        <w:rPr>
          <w:rFonts w:cstheme="minorHAnsi"/>
        </w:rPr>
        <w:t xml:space="preserve"> </w:t>
      </w:r>
      <w:r w:rsidR="00F53A86" w:rsidRPr="002F1F6B">
        <w:rPr>
          <w:rFonts w:cstheme="minorHAnsi"/>
        </w:rPr>
        <w:t xml:space="preserve">The Response </w:t>
      </w:r>
      <w:r w:rsidR="00860C63">
        <w:rPr>
          <w:rFonts w:cstheme="minorHAnsi"/>
        </w:rPr>
        <w:t>stated</w:t>
      </w:r>
      <w:r w:rsidR="00F53A86" w:rsidRPr="002F1F6B">
        <w:rPr>
          <w:rFonts w:cstheme="minorHAnsi"/>
        </w:rPr>
        <w:t xml:space="preserve"> that anakinra has an extremely high needle burden and sub-optimal compliance and efficacy</w:t>
      </w:r>
      <w:r w:rsidR="00364D42">
        <w:rPr>
          <w:rFonts w:cstheme="minorHAnsi"/>
        </w:rPr>
        <w:t>. The PBAC noted that this was consistent with input</w:t>
      </w:r>
      <w:r w:rsidR="002C6091">
        <w:rPr>
          <w:rFonts w:cstheme="minorHAnsi"/>
        </w:rPr>
        <w:t xml:space="preserve"> provided in the written statement from a paediatric rheumatologist</w:t>
      </w:r>
      <w:r w:rsidR="00C5778D">
        <w:rPr>
          <w:rFonts w:cstheme="minorHAnsi"/>
        </w:rPr>
        <w:t xml:space="preserve"> (see paragraph </w:t>
      </w:r>
      <w:r w:rsidR="00C5778D">
        <w:rPr>
          <w:rFonts w:cstheme="minorHAnsi"/>
        </w:rPr>
        <w:fldChar w:fldCharType="begin"/>
      </w:r>
      <w:r w:rsidR="00C5778D">
        <w:rPr>
          <w:rFonts w:cstheme="minorHAnsi"/>
        </w:rPr>
        <w:instrText xml:space="preserve"> REF _Ref225164726 \r \h </w:instrText>
      </w:r>
      <w:r w:rsidR="00C5778D">
        <w:rPr>
          <w:rFonts w:cstheme="minorHAnsi"/>
        </w:rPr>
      </w:r>
      <w:r w:rsidR="00C5778D">
        <w:rPr>
          <w:rFonts w:cstheme="minorHAnsi"/>
        </w:rPr>
        <w:fldChar w:fldCharType="separate"/>
      </w:r>
      <w:r w:rsidR="00815AB6">
        <w:rPr>
          <w:rFonts w:cstheme="minorHAnsi"/>
        </w:rPr>
        <w:t>6.1</w:t>
      </w:r>
      <w:r w:rsidR="00C5778D">
        <w:rPr>
          <w:rFonts w:cstheme="minorHAnsi"/>
        </w:rPr>
        <w:fldChar w:fldCharType="end"/>
      </w:r>
      <w:r w:rsidR="00C5778D">
        <w:rPr>
          <w:rFonts w:cstheme="minorHAnsi"/>
        </w:rPr>
        <w:t>)</w:t>
      </w:r>
      <w:r w:rsidR="00E35CE0">
        <w:rPr>
          <w:rFonts w:cstheme="minorHAnsi"/>
        </w:rPr>
        <w:t xml:space="preserve"> and </w:t>
      </w:r>
      <w:r w:rsidR="00F72E40">
        <w:rPr>
          <w:rFonts w:cstheme="minorHAnsi"/>
        </w:rPr>
        <w:t xml:space="preserve">input from </w:t>
      </w:r>
      <w:r w:rsidR="00E35CE0">
        <w:rPr>
          <w:rFonts w:cstheme="minorHAnsi"/>
        </w:rPr>
        <w:t xml:space="preserve">other healthcare professionals </w:t>
      </w:r>
      <w:r w:rsidR="00F72E40" w:rsidRPr="004C5FA2">
        <w:rPr>
          <w:snapToGrid w:val="0"/>
        </w:rPr>
        <w:t>via the Office of Health Technology Assessment Consultation Hub</w:t>
      </w:r>
      <w:r w:rsidR="00F53A86" w:rsidRPr="002F1F6B">
        <w:rPr>
          <w:rFonts w:cstheme="minorHAnsi"/>
        </w:rPr>
        <w:t xml:space="preserve">. </w:t>
      </w:r>
      <w:r w:rsidR="00220C49" w:rsidRPr="002F1F6B">
        <w:rPr>
          <w:rFonts w:cstheme="minorHAnsi"/>
        </w:rPr>
        <w:t xml:space="preserve">The Response </w:t>
      </w:r>
      <w:r w:rsidR="00F30D46">
        <w:rPr>
          <w:rFonts w:cstheme="minorHAnsi"/>
        </w:rPr>
        <w:t xml:space="preserve">also </w:t>
      </w:r>
      <w:r w:rsidR="00220C49" w:rsidRPr="002F1F6B">
        <w:rPr>
          <w:rFonts w:cstheme="minorHAnsi"/>
        </w:rPr>
        <w:t xml:space="preserve">stated </w:t>
      </w:r>
      <w:r w:rsidR="002E7CE6" w:rsidRPr="002F1F6B">
        <w:rPr>
          <w:rFonts w:cstheme="minorHAnsi"/>
        </w:rPr>
        <w:t>that</w:t>
      </w:r>
      <w:r w:rsidR="009F2FF6" w:rsidRPr="002F1F6B">
        <w:rPr>
          <w:rFonts w:cstheme="minorHAnsi"/>
        </w:rPr>
        <w:t xml:space="preserve"> a comparison to anakinra would be inappropriate, uncertain and not informative given the different trial endpoints and a lack of data in the requested population. </w:t>
      </w:r>
    </w:p>
    <w:p w14:paraId="1633F392" w14:textId="77777777" w:rsidR="00E37C70" w:rsidRPr="00C33D30" w:rsidRDefault="00E37C70" w:rsidP="004B083B">
      <w:pPr>
        <w:ind w:firstLine="709"/>
        <w:rPr>
          <w:rFonts w:asciiTheme="minorHAnsi" w:hAnsiTheme="minorHAnsi"/>
          <w:i/>
        </w:rPr>
      </w:pPr>
      <w:r w:rsidRPr="00C33D30">
        <w:rPr>
          <w:rFonts w:asciiTheme="minorHAnsi" w:hAnsiTheme="minorHAnsi"/>
          <w:i/>
        </w:rPr>
        <w:t>For more detail on PBAC’s view, see section 7 PBAC outcome.</w:t>
      </w:r>
    </w:p>
    <w:p w14:paraId="4F68191A" w14:textId="77777777" w:rsidR="00303211" w:rsidRPr="008B18A3" w:rsidRDefault="00303211" w:rsidP="004B083B">
      <w:pPr>
        <w:pStyle w:val="COMESH2"/>
        <w:spacing w:before="160" w:after="160"/>
        <w:rPr>
          <w:rFonts w:cstheme="minorHAnsi"/>
        </w:rPr>
      </w:pPr>
      <w:bookmarkStart w:id="22" w:name="_Toc216092660"/>
      <w:bookmarkStart w:id="23" w:name="_Toc219811819"/>
      <w:r w:rsidRPr="008B18A3">
        <w:rPr>
          <w:rFonts w:cstheme="minorHAnsi"/>
        </w:rPr>
        <w:t>Consideration of the evidence</w:t>
      </w:r>
      <w:bookmarkEnd w:id="22"/>
      <w:bookmarkEnd w:id="23"/>
    </w:p>
    <w:p w14:paraId="4D1E3DB3" w14:textId="77777777" w:rsidR="006A0D23" w:rsidRPr="006E1229" w:rsidRDefault="006A0D23" w:rsidP="004B083B">
      <w:pPr>
        <w:pStyle w:val="COMESSubsectionheading"/>
      </w:pPr>
      <w:r w:rsidRPr="006E1229">
        <w:t>Sponsor hearing</w:t>
      </w:r>
    </w:p>
    <w:p w14:paraId="1C31D92A" w14:textId="643A7C59" w:rsidR="006A0D23" w:rsidRPr="00836F75" w:rsidRDefault="006A0D23" w:rsidP="004B083B">
      <w:pPr>
        <w:pStyle w:val="COMESnumberedpara"/>
        <w:rPr>
          <w:snapToGrid w:val="0"/>
        </w:rPr>
      </w:pPr>
      <w:bookmarkStart w:id="24" w:name="_Ref225164726"/>
      <w:bookmarkStart w:id="25" w:name="_Hlk76382586"/>
      <w:r w:rsidRPr="00836F75">
        <w:rPr>
          <w:snapToGrid w:val="0"/>
        </w:rPr>
        <w:t>The</w:t>
      </w:r>
      <w:r w:rsidR="00E4309D">
        <w:rPr>
          <w:snapToGrid w:val="0"/>
        </w:rPr>
        <w:t xml:space="preserve">re was no </w:t>
      </w:r>
      <w:r w:rsidRPr="00836F75">
        <w:rPr>
          <w:snapToGrid w:val="0"/>
        </w:rPr>
        <w:t>hearing for this item</w:t>
      </w:r>
      <w:r w:rsidR="00E4309D">
        <w:rPr>
          <w:snapToGrid w:val="0"/>
        </w:rPr>
        <w:t xml:space="preserve">, however the sponsor provided a written statement from a </w:t>
      </w:r>
      <w:r w:rsidR="00251192">
        <w:rPr>
          <w:snapToGrid w:val="0"/>
        </w:rPr>
        <w:t>paediatric rheumatologist</w:t>
      </w:r>
      <w:r w:rsidR="00D8006E">
        <w:rPr>
          <w:snapToGrid w:val="0"/>
        </w:rPr>
        <w:t>. The rheumatologist</w:t>
      </w:r>
      <w:r w:rsidR="00251192" w:rsidRPr="00836F75">
        <w:rPr>
          <w:snapToGrid w:val="0"/>
        </w:rPr>
        <w:t xml:space="preserve"> </w:t>
      </w:r>
      <w:r w:rsidRPr="00836F75">
        <w:rPr>
          <w:snapToGrid w:val="0"/>
        </w:rPr>
        <w:t xml:space="preserve">discussed </w:t>
      </w:r>
      <w:r w:rsidR="00DC67D7">
        <w:rPr>
          <w:snapToGrid w:val="0"/>
        </w:rPr>
        <w:t>FMF</w:t>
      </w:r>
      <w:r w:rsidR="00257B9F">
        <w:rPr>
          <w:snapToGrid w:val="0"/>
        </w:rPr>
        <w:t>, stating</w:t>
      </w:r>
      <w:r w:rsidR="00317986">
        <w:rPr>
          <w:snapToGrid w:val="0"/>
        </w:rPr>
        <w:t xml:space="preserve"> that</w:t>
      </w:r>
      <w:r w:rsidR="002F272D">
        <w:rPr>
          <w:snapToGrid w:val="0"/>
        </w:rPr>
        <w:t xml:space="preserve"> </w:t>
      </w:r>
      <w:r w:rsidR="0072250B">
        <w:rPr>
          <w:snapToGrid w:val="0"/>
        </w:rPr>
        <w:t>flares can manifest as high-grade fevers for several days</w:t>
      </w:r>
      <w:r w:rsidR="00E015D8">
        <w:rPr>
          <w:snapToGrid w:val="0"/>
        </w:rPr>
        <w:t xml:space="preserve"> and</w:t>
      </w:r>
      <w:r w:rsidR="00774E99">
        <w:rPr>
          <w:snapToGrid w:val="0"/>
        </w:rPr>
        <w:t xml:space="preserve"> </w:t>
      </w:r>
      <w:r w:rsidR="002D2D66">
        <w:rPr>
          <w:snapToGrid w:val="0"/>
        </w:rPr>
        <w:t xml:space="preserve">that </w:t>
      </w:r>
      <w:r w:rsidR="00317986">
        <w:rPr>
          <w:snapToGrid w:val="0"/>
        </w:rPr>
        <w:t>the condition</w:t>
      </w:r>
      <w:r w:rsidR="002D2D66">
        <w:rPr>
          <w:snapToGrid w:val="0"/>
        </w:rPr>
        <w:t xml:space="preserve"> is </w:t>
      </w:r>
      <w:r w:rsidR="0072250B">
        <w:rPr>
          <w:snapToGrid w:val="0"/>
        </w:rPr>
        <w:t>often associated with severe abdominal pain and fatigue</w:t>
      </w:r>
      <w:r w:rsidR="00774E99">
        <w:rPr>
          <w:snapToGrid w:val="0"/>
        </w:rPr>
        <w:t xml:space="preserve">. The </w:t>
      </w:r>
      <w:r w:rsidR="00317986">
        <w:rPr>
          <w:snapToGrid w:val="0"/>
        </w:rPr>
        <w:t>rheumatologist</w:t>
      </w:r>
      <w:r w:rsidR="002D2D66">
        <w:rPr>
          <w:snapToGrid w:val="0"/>
        </w:rPr>
        <w:t xml:space="preserve"> </w:t>
      </w:r>
      <w:r w:rsidR="00FB2C6D">
        <w:rPr>
          <w:snapToGrid w:val="0"/>
        </w:rPr>
        <w:t>highlight</w:t>
      </w:r>
      <w:r w:rsidR="0072250B">
        <w:rPr>
          <w:snapToGrid w:val="0"/>
        </w:rPr>
        <w:t>ed</w:t>
      </w:r>
      <w:r w:rsidR="00006596">
        <w:rPr>
          <w:snapToGrid w:val="0"/>
        </w:rPr>
        <w:t xml:space="preserve"> </w:t>
      </w:r>
      <w:r w:rsidR="00FB2C6D">
        <w:rPr>
          <w:snapToGrid w:val="0"/>
        </w:rPr>
        <w:t>that</w:t>
      </w:r>
      <w:r w:rsidR="002432C3">
        <w:rPr>
          <w:snapToGrid w:val="0"/>
        </w:rPr>
        <w:t xml:space="preserve"> poorly controlled FMF </w:t>
      </w:r>
      <w:r w:rsidR="00774E99">
        <w:rPr>
          <w:snapToGrid w:val="0"/>
        </w:rPr>
        <w:t>affects t</w:t>
      </w:r>
      <w:r w:rsidR="0054031E">
        <w:rPr>
          <w:snapToGrid w:val="0"/>
        </w:rPr>
        <w:t>he ability of children to attend school and interact with family and friends</w:t>
      </w:r>
      <w:r w:rsidR="00B259B5">
        <w:rPr>
          <w:snapToGrid w:val="0"/>
        </w:rPr>
        <w:t xml:space="preserve"> and </w:t>
      </w:r>
      <w:r w:rsidR="002B037D">
        <w:rPr>
          <w:snapToGrid w:val="0"/>
        </w:rPr>
        <w:t xml:space="preserve">effective treatment </w:t>
      </w:r>
      <w:r w:rsidR="00225543">
        <w:rPr>
          <w:snapToGrid w:val="0"/>
        </w:rPr>
        <w:t>can</w:t>
      </w:r>
      <w:r w:rsidR="00832457">
        <w:rPr>
          <w:snapToGrid w:val="0"/>
        </w:rPr>
        <w:t xml:space="preserve"> </w:t>
      </w:r>
      <w:r w:rsidR="00780E1F">
        <w:rPr>
          <w:snapToGrid w:val="0"/>
        </w:rPr>
        <w:t xml:space="preserve">improve work attendance and </w:t>
      </w:r>
      <w:r w:rsidR="00780E1F">
        <w:rPr>
          <w:snapToGrid w:val="0"/>
        </w:rPr>
        <w:lastRenderedPageBreak/>
        <w:t>reduce hospital visits</w:t>
      </w:r>
      <w:r w:rsidR="00B259B5">
        <w:rPr>
          <w:snapToGrid w:val="0"/>
        </w:rPr>
        <w:t xml:space="preserve"> in adults</w:t>
      </w:r>
      <w:r w:rsidR="00780E1F">
        <w:rPr>
          <w:snapToGrid w:val="0"/>
        </w:rPr>
        <w:t>.</w:t>
      </w:r>
      <w:r w:rsidR="00D30F02">
        <w:rPr>
          <w:snapToGrid w:val="0"/>
        </w:rPr>
        <w:t xml:space="preserve"> </w:t>
      </w:r>
      <w:r w:rsidR="00C40314">
        <w:rPr>
          <w:snapToGrid w:val="0"/>
        </w:rPr>
        <w:t>C</w:t>
      </w:r>
      <w:r w:rsidR="00D30F02">
        <w:rPr>
          <w:snapToGrid w:val="0"/>
        </w:rPr>
        <w:t xml:space="preserve">urrent </w:t>
      </w:r>
      <w:r w:rsidR="0095552F">
        <w:rPr>
          <w:snapToGrid w:val="0"/>
        </w:rPr>
        <w:t xml:space="preserve">access to </w:t>
      </w:r>
      <w:r w:rsidR="008E3D4F">
        <w:rPr>
          <w:snapToGrid w:val="0"/>
        </w:rPr>
        <w:t xml:space="preserve">IL-1 blockade medicines </w:t>
      </w:r>
      <w:r w:rsidR="00C40314">
        <w:rPr>
          <w:snapToGrid w:val="0"/>
        </w:rPr>
        <w:t xml:space="preserve">was described as </w:t>
      </w:r>
      <w:r w:rsidR="008E3D4F">
        <w:rPr>
          <w:snapToGrid w:val="0"/>
        </w:rPr>
        <w:t>rel</w:t>
      </w:r>
      <w:r w:rsidR="00C40314">
        <w:rPr>
          <w:snapToGrid w:val="0"/>
        </w:rPr>
        <w:t>ying</w:t>
      </w:r>
      <w:r w:rsidR="008E3D4F">
        <w:rPr>
          <w:snapToGrid w:val="0"/>
        </w:rPr>
        <w:t xml:space="preserve"> on individual patient submissions to local hospital drug usage committees</w:t>
      </w:r>
      <w:r w:rsidR="00F750B5">
        <w:rPr>
          <w:snapToGrid w:val="0"/>
        </w:rPr>
        <w:t xml:space="preserve">, which leads to pressure on individual hospital budgets and issues with inequity of access to appropriate care. </w:t>
      </w:r>
      <w:r w:rsidR="004B1805">
        <w:rPr>
          <w:snapToGrid w:val="0"/>
        </w:rPr>
        <w:t>T</w:t>
      </w:r>
      <w:r w:rsidR="0052661C">
        <w:rPr>
          <w:snapToGrid w:val="0"/>
        </w:rPr>
        <w:t xml:space="preserve">he preferred treatment </w:t>
      </w:r>
      <w:r w:rsidR="004B1805">
        <w:rPr>
          <w:snapToGrid w:val="0"/>
        </w:rPr>
        <w:t>was stated to be</w:t>
      </w:r>
      <w:r w:rsidR="00FA5478">
        <w:rPr>
          <w:snapToGrid w:val="0"/>
        </w:rPr>
        <w:t xml:space="preserve"> </w:t>
      </w:r>
      <w:r w:rsidR="0052661C">
        <w:rPr>
          <w:snapToGrid w:val="0"/>
        </w:rPr>
        <w:t xml:space="preserve">canakinumab, </w:t>
      </w:r>
      <w:r w:rsidR="004B1805">
        <w:rPr>
          <w:snapToGrid w:val="0"/>
        </w:rPr>
        <w:t xml:space="preserve">however, </w:t>
      </w:r>
      <w:r w:rsidR="000E016B">
        <w:rPr>
          <w:snapToGrid w:val="0"/>
        </w:rPr>
        <w:t xml:space="preserve">the </w:t>
      </w:r>
      <w:r w:rsidR="00930773">
        <w:rPr>
          <w:snapToGrid w:val="0"/>
        </w:rPr>
        <w:t xml:space="preserve">rheumatologist stated that the </w:t>
      </w:r>
      <w:r w:rsidR="00925F37">
        <w:rPr>
          <w:snapToGrid w:val="0"/>
        </w:rPr>
        <w:t xml:space="preserve">agent most commonly </w:t>
      </w:r>
      <w:r w:rsidR="0052661C">
        <w:rPr>
          <w:snapToGrid w:val="0"/>
        </w:rPr>
        <w:t>access</w:t>
      </w:r>
      <w:r w:rsidR="00657964">
        <w:rPr>
          <w:snapToGrid w:val="0"/>
        </w:rPr>
        <w:t xml:space="preserve">ible via drug usage committees </w:t>
      </w:r>
      <w:r w:rsidR="00930773">
        <w:rPr>
          <w:snapToGrid w:val="0"/>
        </w:rPr>
        <w:t xml:space="preserve">is </w:t>
      </w:r>
      <w:r w:rsidR="00657964">
        <w:rPr>
          <w:snapToGrid w:val="0"/>
        </w:rPr>
        <w:t>anakinra</w:t>
      </w:r>
      <w:r w:rsidR="001D3873">
        <w:rPr>
          <w:snapToGrid w:val="0"/>
        </w:rPr>
        <w:t>, which requires daily injections</w:t>
      </w:r>
      <w:r w:rsidR="00657964">
        <w:rPr>
          <w:snapToGrid w:val="0"/>
        </w:rPr>
        <w:t xml:space="preserve">. </w:t>
      </w:r>
      <w:r w:rsidR="000B5902">
        <w:rPr>
          <w:snapToGrid w:val="0"/>
        </w:rPr>
        <w:t xml:space="preserve">The </w:t>
      </w:r>
      <w:r w:rsidR="009B020E">
        <w:rPr>
          <w:snapToGrid w:val="0"/>
        </w:rPr>
        <w:t>rheumatologist</w:t>
      </w:r>
      <w:r w:rsidR="000B5902">
        <w:rPr>
          <w:snapToGrid w:val="0"/>
        </w:rPr>
        <w:t xml:space="preserve"> described how </w:t>
      </w:r>
      <w:r w:rsidR="00EA32DD">
        <w:rPr>
          <w:snapToGrid w:val="0"/>
        </w:rPr>
        <w:t xml:space="preserve">injection pain and local reactions with </w:t>
      </w:r>
      <w:r w:rsidR="000B5902">
        <w:rPr>
          <w:snapToGrid w:val="0"/>
        </w:rPr>
        <w:t>anakinra</w:t>
      </w:r>
      <w:r w:rsidR="006025F7">
        <w:rPr>
          <w:snapToGrid w:val="0"/>
        </w:rPr>
        <w:t xml:space="preserve"> can </w:t>
      </w:r>
      <w:r w:rsidR="00960564">
        <w:rPr>
          <w:snapToGrid w:val="0"/>
        </w:rPr>
        <w:t>lead to</w:t>
      </w:r>
      <w:r w:rsidR="006025F7">
        <w:rPr>
          <w:snapToGrid w:val="0"/>
        </w:rPr>
        <w:t xml:space="preserve"> challenges with compliance </w:t>
      </w:r>
      <w:r w:rsidR="00EA32DD">
        <w:rPr>
          <w:snapToGrid w:val="0"/>
        </w:rPr>
        <w:t>that</w:t>
      </w:r>
      <w:r w:rsidR="009B527E">
        <w:rPr>
          <w:snapToGrid w:val="0"/>
        </w:rPr>
        <w:t xml:space="preserve"> </w:t>
      </w:r>
      <w:r w:rsidR="00C3386D">
        <w:rPr>
          <w:snapToGrid w:val="0"/>
        </w:rPr>
        <w:t>result in</w:t>
      </w:r>
      <w:r w:rsidR="006D7F4B">
        <w:rPr>
          <w:snapToGrid w:val="0"/>
        </w:rPr>
        <w:t xml:space="preserve"> suboptimal disease control and </w:t>
      </w:r>
      <w:r w:rsidR="00660EA5">
        <w:rPr>
          <w:snapToGrid w:val="0"/>
        </w:rPr>
        <w:t xml:space="preserve">less than optimal long term inflammatory outcomes. </w:t>
      </w:r>
      <w:r w:rsidR="00854E2B">
        <w:rPr>
          <w:snapToGrid w:val="0"/>
        </w:rPr>
        <w:t xml:space="preserve">The </w:t>
      </w:r>
      <w:r w:rsidR="009B020E">
        <w:rPr>
          <w:snapToGrid w:val="0"/>
        </w:rPr>
        <w:t>rheumatologist</w:t>
      </w:r>
      <w:r w:rsidR="00854E2B">
        <w:rPr>
          <w:snapToGrid w:val="0"/>
        </w:rPr>
        <w:t xml:space="preserve"> highlighted that </w:t>
      </w:r>
      <w:r w:rsidR="00EF4DD9">
        <w:rPr>
          <w:snapToGrid w:val="0"/>
        </w:rPr>
        <w:t>canakinumab is infrequently dosed</w:t>
      </w:r>
      <w:r w:rsidR="00204A75">
        <w:rPr>
          <w:snapToGrid w:val="0"/>
        </w:rPr>
        <w:t xml:space="preserve"> and has improved tolerability over </w:t>
      </w:r>
      <w:proofErr w:type="gramStart"/>
      <w:r w:rsidR="00204A75">
        <w:rPr>
          <w:snapToGrid w:val="0"/>
        </w:rPr>
        <w:t xml:space="preserve">anakinra, </w:t>
      </w:r>
      <w:r w:rsidR="00FF27BE">
        <w:rPr>
          <w:snapToGrid w:val="0"/>
        </w:rPr>
        <w:t>and</w:t>
      </w:r>
      <w:proofErr w:type="gramEnd"/>
      <w:r w:rsidR="00FF27BE">
        <w:rPr>
          <w:snapToGrid w:val="0"/>
        </w:rPr>
        <w:t xml:space="preserve"> stated that having access to canakinumab </w:t>
      </w:r>
      <w:r w:rsidR="00204A75">
        <w:rPr>
          <w:snapToGrid w:val="0"/>
        </w:rPr>
        <w:t xml:space="preserve">would align </w:t>
      </w:r>
      <w:r w:rsidR="00D373C9">
        <w:rPr>
          <w:snapToGrid w:val="0"/>
        </w:rPr>
        <w:t xml:space="preserve">their </w:t>
      </w:r>
      <w:r w:rsidR="00204A75">
        <w:rPr>
          <w:snapToGrid w:val="0"/>
        </w:rPr>
        <w:t>clinical practice with evidence based international standards of care</w:t>
      </w:r>
      <w:r w:rsidR="00025D59">
        <w:rPr>
          <w:snapToGrid w:val="0"/>
        </w:rPr>
        <w:t xml:space="preserve"> and prevent predictable harm and crisis drive care.</w:t>
      </w:r>
      <w:bookmarkEnd w:id="24"/>
      <w:r w:rsidR="00025D59">
        <w:rPr>
          <w:snapToGrid w:val="0"/>
        </w:rPr>
        <w:t xml:space="preserve"> </w:t>
      </w:r>
    </w:p>
    <w:bookmarkEnd w:id="25"/>
    <w:p w14:paraId="1153A1DC" w14:textId="77777777" w:rsidR="006A0D23" w:rsidRPr="006E1229" w:rsidRDefault="006A0D23" w:rsidP="004B083B">
      <w:pPr>
        <w:pStyle w:val="COMESSubsectionheading"/>
      </w:pPr>
      <w:r w:rsidRPr="006E1229">
        <w:t xml:space="preserve">Consumer </w:t>
      </w:r>
      <w:r>
        <w:t>input</w:t>
      </w:r>
      <w:r w:rsidRPr="006E1229">
        <w:t>s</w:t>
      </w:r>
    </w:p>
    <w:p w14:paraId="7BC19481" w14:textId="7778EC9F" w:rsidR="00DE3276" w:rsidRPr="004C5FA2" w:rsidRDefault="006A0D23" w:rsidP="004B083B">
      <w:pPr>
        <w:pStyle w:val="COMESnumberedpara"/>
        <w:rPr>
          <w:snapToGrid w:val="0"/>
        </w:rPr>
      </w:pPr>
      <w:r w:rsidRPr="004C5FA2">
        <w:rPr>
          <w:snapToGrid w:val="0"/>
        </w:rPr>
        <w:t>The PBAC noted and welcomed the input from individuals (</w:t>
      </w:r>
      <w:r w:rsidR="005B6538" w:rsidRPr="004C5FA2">
        <w:rPr>
          <w:snapToGrid w:val="0"/>
        </w:rPr>
        <w:t>7</w:t>
      </w:r>
      <w:r w:rsidRPr="004C5FA2">
        <w:rPr>
          <w:snapToGrid w:val="0"/>
        </w:rPr>
        <w:t>), health care professionals (1</w:t>
      </w:r>
      <w:r w:rsidR="005B6538" w:rsidRPr="004C5FA2">
        <w:rPr>
          <w:snapToGrid w:val="0"/>
        </w:rPr>
        <w:t>1</w:t>
      </w:r>
      <w:r w:rsidR="00C0467F">
        <w:rPr>
          <w:snapToGrid w:val="0"/>
        </w:rPr>
        <w:t xml:space="preserve"> rheumatologists and immunologists</w:t>
      </w:r>
      <w:r w:rsidRPr="004C5FA2">
        <w:rPr>
          <w:snapToGrid w:val="0"/>
        </w:rPr>
        <w:t>) and organisations (</w:t>
      </w:r>
      <w:r w:rsidR="004C3555" w:rsidRPr="004C5FA2">
        <w:rPr>
          <w:snapToGrid w:val="0"/>
        </w:rPr>
        <w:t>4</w:t>
      </w:r>
      <w:r w:rsidRPr="004C5FA2">
        <w:rPr>
          <w:snapToGrid w:val="0"/>
        </w:rPr>
        <w:t>) via the Office of Health Technology Assessment Consultation Hub.</w:t>
      </w:r>
      <w:r w:rsidR="004B083B">
        <w:rPr>
          <w:snapToGrid w:val="0"/>
        </w:rPr>
        <w:t xml:space="preserve"> </w:t>
      </w:r>
    </w:p>
    <w:p w14:paraId="15F9CE7F" w14:textId="6D3F3C68" w:rsidR="00391A80" w:rsidRPr="00E501CA" w:rsidRDefault="004D7BBB" w:rsidP="004B083B">
      <w:pPr>
        <w:pStyle w:val="COMESnumberedpara"/>
        <w:rPr>
          <w:snapToGrid w:val="0"/>
        </w:rPr>
      </w:pPr>
      <w:r w:rsidRPr="00E501CA">
        <w:rPr>
          <w:snapToGrid w:val="0"/>
        </w:rPr>
        <w:t>Input fro</w:t>
      </w:r>
      <w:r w:rsidR="00DC1112" w:rsidRPr="00E501CA">
        <w:rPr>
          <w:snapToGrid w:val="0"/>
        </w:rPr>
        <w:t xml:space="preserve">m </w:t>
      </w:r>
      <w:r w:rsidR="00BC5089" w:rsidRPr="00E501CA">
        <w:rPr>
          <w:snapToGrid w:val="0"/>
        </w:rPr>
        <w:t>individual</w:t>
      </w:r>
      <w:r w:rsidR="00A5591F" w:rsidRPr="00E501CA">
        <w:rPr>
          <w:snapToGrid w:val="0"/>
        </w:rPr>
        <w:t>s</w:t>
      </w:r>
      <w:r w:rsidR="008F7131" w:rsidRPr="00E501CA">
        <w:rPr>
          <w:snapToGrid w:val="0"/>
        </w:rPr>
        <w:t xml:space="preserve"> and health care professionals </w:t>
      </w:r>
      <w:r w:rsidR="00DC1112" w:rsidRPr="00E501CA">
        <w:rPr>
          <w:snapToGrid w:val="0"/>
        </w:rPr>
        <w:t>highlighted</w:t>
      </w:r>
      <w:r w:rsidR="008F07FC" w:rsidRPr="00E501CA">
        <w:rPr>
          <w:snapToGrid w:val="0"/>
        </w:rPr>
        <w:t xml:space="preserve"> the lack of PBS-listed alternatives to colchicine for patients with </w:t>
      </w:r>
      <w:proofErr w:type="spellStart"/>
      <w:r w:rsidR="008F07FC" w:rsidRPr="00E501CA">
        <w:rPr>
          <w:snapToGrid w:val="0"/>
        </w:rPr>
        <w:t>crFMF</w:t>
      </w:r>
      <w:proofErr w:type="spellEnd"/>
      <w:r w:rsidR="005F398C" w:rsidRPr="00E501CA">
        <w:rPr>
          <w:snapToGrid w:val="0"/>
        </w:rPr>
        <w:t xml:space="preserve">. </w:t>
      </w:r>
      <w:r w:rsidR="00C92D74" w:rsidRPr="00E501CA">
        <w:rPr>
          <w:snapToGrid w:val="0"/>
        </w:rPr>
        <w:t xml:space="preserve">One paediatric </w:t>
      </w:r>
      <w:r w:rsidR="00391A80" w:rsidRPr="00E501CA">
        <w:rPr>
          <w:snapToGrid w:val="0"/>
        </w:rPr>
        <w:t>rheumatologist</w:t>
      </w:r>
      <w:r w:rsidR="00C92D74" w:rsidRPr="00E501CA">
        <w:rPr>
          <w:snapToGrid w:val="0"/>
        </w:rPr>
        <w:t xml:space="preserve"> </w:t>
      </w:r>
      <w:r w:rsidR="00F007E7" w:rsidRPr="00E501CA">
        <w:rPr>
          <w:snapToGrid w:val="0"/>
        </w:rPr>
        <w:t xml:space="preserve">stated that </w:t>
      </w:r>
      <w:r w:rsidR="007B12AF" w:rsidRPr="00E501CA">
        <w:rPr>
          <w:snapToGrid w:val="0"/>
        </w:rPr>
        <w:t xml:space="preserve">based on </w:t>
      </w:r>
      <w:r w:rsidR="00F007E7" w:rsidRPr="00E501CA">
        <w:rPr>
          <w:snapToGrid w:val="0"/>
        </w:rPr>
        <w:t>local experience that the proportion of patients who do not respond to colchicine with complete remission</w:t>
      </w:r>
      <w:r w:rsidR="00391A80" w:rsidRPr="00E501CA">
        <w:rPr>
          <w:snapToGrid w:val="0"/>
        </w:rPr>
        <w:t xml:space="preserve"> would be higher than the 5-10% rate reported in international cohorts</w:t>
      </w:r>
      <w:r w:rsidR="00F50405" w:rsidRPr="00E501CA">
        <w:rPr>
          <w:snapToGrid w:val="0"/>
        </w:rPr>
        <w:t xml:space="preserve">, and that in addition </w:t>
      </w:r>
      <w:r w:rsidR="007B12AF" w:rsidRPr="00E501CA">
        <w:rPr>
          <w:snapToGrid w:val="0"/>
        </w:rPr>
        <w:t xml:space="preserve">to that subset, </w:t>
      </w:r>
      <w:r w:rsidR="00F50405" w:rsidRPr="00E501CA">
        <w:rPr>
          <w:snapToGrid w:val="0"/>
        </w:rPr>
        <w:t xml:space="preserve">there are </w:t>
      </w:r>
      <w:r w:rsidR="007B12AF" w:rsidRPr="00E501CA">
        <w:rPr>
          <w:snapToGrid w:val="0"/>
        </w:rPr>
        <w:t xml:space="preserve">also </w:t>
      </w:r>
      <w:r w:rsidR="00565EB6" w:rsidRPr="00E501CA">
        <w:rPr>
          <w:snapToGrid w:val="0"/>
        </w:rPr>
        <w:t xml:space="preserve">some patients who cannot tolerate colchicine in sufficient doses to prevent inflammation due to gastrointestinal </w:t>
      </w:r>
      <w:r w:rsidR="0022564A" w:rsidRPr="00E501CA">
        <w:rPr>
          <w:snapToGrid w:val="0"/>
        </w:rPr>
        <w:t>effects</w:t>
      </w:r>
      <w:r w:rsidR="00391A80" w:rsidRPr="00E501CA">
        <w:rPr>
          <w:snapToGrid w:val="0"/>
        </w:rPr>
        <w:t xml:space="preserve">. </w:t>
      </w:r>
      <w:r w:rsidR="00956135" w:rsidRPr="00E501CA">
        <w:rPr>
          <w:snapToGrid w:val="0"/>
        </w:rPr>
        <w:t xml:space="preserve">Health care </w:t>
      </w:r>
      <w:r w:rsidR="00950525" w:rsidRPr="00E501CA">
        <w:rPr>
          <w:snapToGrid w:val="0"/>
        </w:rPr>
        <w:t>professionals</w:t>
      </w:r>
      <w:r w:rsidR="00CE41D4" w:rsidRPr="00E501CA">
        <w:rPr>
          <w:snapToGrid w:val="0"/>
        </w:rPr>
        <w:t xml:space="preserve"> highlighted that </w:t>
      </w:r>
      <w:r w:rsidR="0097644A" w:rsidRPr="00E501CA">
        <w:rPr>
          <w:snapToGrid w:val="0"/>
        </w:rPr>
        <w:t xml:space="preserve">treatment with </w:t>
      </w:r>
      <w:r w:rsidR="002177BE" w:rsidRPr="00E501CA">
        <w:rPr>
          <w:snapToGrid w:val="0"/>
        </w:rPr>
        <w:t xml:space="preserve">IL-1 </w:t>
      </w:r>
      <w:r w:rsidR="0097644A" w:rsidRPr="00E501CA">
        <w:rPr>
          <w:snapToGrid w:val="0"/>
        </w:rPr>
        <w:t>receptor antagonists, including canakinumab</w:t>
      </w:r>
      <w:r w:rsidR="00BD0DB2" w:rsidRPr="00E501CA">
        <w:rPr>
          <w:snapToGrid w:val="0"/>
        </w:rPr>
        <w:t>,</w:t>
      </w:r>
      <w:r w:rsidR="003B1648" w:rsidRPr="00E501CA">
        <w:rPr>
          <w:snapToGrid w:val="0"/>
        </w:rPr>
        <w:t xml:space="preserve"> for these patients is best practice according to international guidelines</w:t>
      </w:r>
      <w:r w:rsidR="0066334D" w:rsidRPr="00E501CA">
        <w:rPr>
          <w:snapToGrid w:val="0"/>
        </w:rPr>
        <w:t>,</w:t>
      </w:r>
      <w:r w:rsidR="002177BE" w:rsidRPr="00E501CA">
        <w:rPr>
          <w:snapToGrid w:val="0"/>
        </w:rPr>
        <w:t xml:space="preserve"> </w:t>
      </w:r>
      <w:r w:rsidR="00935E5E" w:rsidRPr="00E501CA">
        <w:rPr>
          <w:snapToGrid w:val="0"/>
        </w:rPr>
        <w:t>and that current</w:t>
      </w:r>
      <w:r w:rsidR="00765CC7" w:rsidRPr="00E501CA">
        <w:rPr>
          <w:snapToGrid w:val="0"/>
        </w:rPr>
        <w:t>ly there is a reliance on ad hoc hospital funding. The input stated that there is a need for equitable access to effective therapy</w:t>
      </w:r>
      <w:r w:rsidR="002B2C9D" w:rsidRPr="00E501CA">
        <w:rPr>
          <w:snapToGrid w:val="0"/>
        </w:rPr>
        <w:t xml:space="preserve">, with one health care professional stating that </w:t>
      </w:r>
      <w:r w:rsidR="002177BE" w:rsidRPr="00E501CA">
        <w:rPr>
          <w:snapToGrid w:val="0"/>
        </w:rPr>
        <w:t>lack of a PBS-listed anti-IL-1 therapy places</w:t>
      </w:r>
      <w:r w:rsidR="005E33B4" w:rsidRPr="00E501CA">
        <w:rPr>
          <w:snapToGrid w:val="0"/>
        </w:rPr>
        <w:t xml:space="preserve"> “children at risk of undertreatment and creates major challenges during transition to adult public services, where access to hospital</w:t>
      </w:r>
      <w:r w:rsidR="00FE0918" w:rsidRPr="00E501CA">
        <w:rPr>
          <w:snapToGrid w:val="0"/>
        </w:rPr>
        <w:t>-funded biologics is even more constrained”</w:t>
      </w:r>
      <w:r w:rsidR="003B1648" w:rsidRPr="00E501CA">
        <w:rPr>
          <w:snapToGrid w:val="0"/>
        </w:rPr>
        <w:t>.</w:t>
      </w:r>
    </w:p>
    <w:p w14:paraId="309D865A" w14:textId="196D1463" w:rsidR="007C646E" w:rsidRPr="004C5FA2" w:rsidRDefault="00E501CA" w:rsidP="004B083B">
      <w:pPr>
        <w:pStyle w:val="COMESnumberedpara"/>
        <w:rPr>
          <w:snapToGrid w:val="0"/>
        </w:rPr>
      </w:pPr>
      <w:r>
        <w:rPr>
          <w:snapToGrid w:val="0"/>
        </w:rPr>
        <w:t>Both p</w:t>
      </w:r>
      <w:r w:rsidR="008B6137" w:rsidRPr="004C5FA2">
        <w:rPr>
          <w:snapToGrid w:val="0"/>
        </w:rPr>
        <w:t xml:space="preserve">arents of individuals with </w:t>
      </w:r>
      <w:proofErr w:type="spellStart"/>
      <w:r w:rsidR="002F7460" w:rsidRPr="004C5FA2">
        <w:rPr>
          <w:snapToGrid w:val="0"/>
        </w:rPr>
        <w:t>crFMF</w:t>
      </w:r>
      <w:proofErr w:type="spellEnd"/>
      <w:r w:rsidR="002F7460" w:rsidRPr="004C5FA2">
        <w:rPr>
          <w:snapToGrid w:val="0"/>
        </w:rPr>
        <w:t xml:space="preserve"> </w:t>
      </w:r>
      <w:r w:rsidR="002E0DAF" w:rsidRPr="004C5FA2">
        <w:rPr>
          <w:snapToGrid w:val="0"/>
        </w:rPr>
        <w:t xml:space="preserve">and health care professionals </w:t>
      </w:r>
      <w:r w:rsidR="002F7460" w:rsidRPr="004C5FA2">
        <w:rPr>
          <w:snapToGrid w:val="0"/>
        </w:rPr>
        <w:t>stated that ongoing and unpredictable flares contribute to stress, anxiety</w:t>
      </w:r>
      <w:r w:rsidR="00264018" w:rsidRPr="004C5FA2">
        <w:rPr>
          <w:snapToGrid w:val="0"/>
        </w:rPr>
        <w:t xml:space="preserve"> and worry for family members, which affects the overall wellbeing and day-to-day functioning</w:t>
      </w:r>
      <w:r w:rsidR="00CA54D9">
        <w:rPr>
          <w:snapToGrid w:val="0"/>
        </w:rPr>
        <w:t xml:space="preserve"> of families</w:t>
      </w:r>
      <w:r w:rsidR="00264018" w:rsidRPr="004C5FA2">
        <w:rPr>
          <w:snapToGrid w:val="0"/>
        </w:rPr>
        <w:t xml:space="preserve">. </w:t>
      </w:r>
      <w:r w:rsidR="005C0F42" w:rsidRPr="004C5FA2">
        <w:rPr>
          <w:snapToGrid w:val="0"/>
        </w:rPr>
        <w:t>Health care professionals highlighted that recurrent fl</w:t>
      </w:r>
      <w:r w:rsidR="00170432" w:rsidRPr="004C5FA2">
        <w:rPr>
          <w:snapToGrid w:val="0"/>
        </w:rPr>
        <w:t xml:space="preserve">ares </w:t>
      </w:r>
      <w:proofErr w:type="gramStart"/>
      <w:r w:rsidR="00567C47" w:rsidRPr="004C5FA2">
        <w:rPr>
          <w:snapToGrid w:val="0"/>
        </w:rPr>
        <w:t>c</w:t>
      </w:r>
      <w:r w:rsidR="00303BBF">
        <w:rPr>
          <w:snapToGrid w:val="0"/>
        </w:rPr>
        <w:t>an</w:t>
      </w:r>
      <w:proofErr w:type="gramEnd"/>
      <w:r w:rsidR="00170432" w:rsidRPr="004C5FA2">
        <w:rPr>
          <w:snapToGrid w:val="0"/>
        </w:rPr>
        <w:t xml:space="preserve"> lead to irreversible organ damage, including AA amyloidosis, kidney failure and reduced life expectancy</w:t>
      </w:r>
      <w:r w:rsidR="00640F8B">
        <w:rPr>
          <w:snapToGrid w:val="0"/>
        </w:rPr>
        <w:t>. One</w:t>
      </w:r>
      <w:r w:rsidR="00AF0D0D">
        <w:rPr>
          <w:snapToGrid w:val="0"/>
        </w:rPr>
        <w:t xml:space="preserve"> </w:t>
      </w:r>
      <w:r w:rsidR="00B5360B">
        <w:rPr>
          <w:snapToGrid w:val="0"/>
        </w:rPr>
        <w:t xml:space="preserve">clinician who </w:t>
      </w:r>
      <w:r w:rsidR="007C4296">
        <w:rPr>
          <w:snapToGrid w:val="0"/>
        </w:rPr>
        <w:t xml:space="preserve">undertook training overseas </w:t>
      </w:r>
      <w:r w:rsidR="00AC5A6D">
        <w:rPr>
          <w:snapToGrid w:val="0"/>
        </w:rPr>
        <w:t xml:space="preserve">and saw canakinumab in use for patients with autoinflammatory diseases regularly, </w:t>
      </w:r>
      <w:r w:rsidR="00640F8B">
        <w:rPr>
          <w:snapToGrid w:val="0"/>
        </w:rPr>
        <w:t>believed</w:t>
      </w:r>
      <w:r w:rsidR="00DB31C1">
        <w:rPr>
          <w:snapToGrid w:val="0"/>
        </w:rPr>
        <w:t xml:space="preserve"> </w:t>
      </w:r>
      <w:r w:rsidR="00AC5A6D">
        <w:rPr>
          <w:snapToGrid w:val="0"/>
        </w:rPr>
        <w:t>canakinumab</w:t>
      </w:r>
      <w:r w:rsidR="00DB31C1">
        <w:rPr>
          <w:snapToGrid w:val="0"/>
        </w:rPr>
        <w:t xml:space="preserve"> </w:t>
      </w:r>
      <w:r w:rsidR="00640F8B">
        <w:rPr>
          <w:snapToGrid w:val="0"/>
        </w:rPr>
        <w:t>to be</w:t>
      </w:r>
      <w:r w:rsidR="00DB31C1">
        <w:rPr>
          <w:snapToGrid w:val="0"/>
        </w:rPr>
        <w:t xml:space="preserve"> a life changing medication</w:t>
      </w:r>
      <w:r w:rsidR="00C67B5F">
        <w:rPr>
          <w:snapToGrid w:val="0"/>
        </w:rPr>
        <w:t>.</w:t>
      </w:r>
    </w:p>
    <w:p w14:paraId="1A8CD616" w14:textId="5F0C8D16" w:rsidR="00820E89" w:rsidRPr="00820E89" w:rsidRDefault="007C646E" w:rsidP="004B083B">
      <w:pPr>
        <w:pStyle w:val="COMESnumberedpara"/>
        <w:rPr>
          <w:snapToGrid w:val="0"/>
        </w:rPr>
      </w:pPr>
      <w:r w:rsidRPr="004C5FA2">
        <w:rPr>
          <w:snapToGrid w:val="0"/>
        </w:rPr>
        <w:t>I</w:t>
      </w:r>
      <w:r w:rsidR="0028726A" w:rsidRPr="004C5FA2">
        <w:rPr>
          <w:snapToGrid w:val="0"/>
        </w:rPr>
        <w:t xml:space="preserve">ndividuals highlighted </w:t>
      </w:r>
      <w:r w:rsidR="0092318E" w:rsidRPr="004C5FA2">
        <w:rPr>
          <w:snapToGrid w:val="0"/>
        </w:rPr>
        <w:t>that flares result in considerable pain</w:t>
      </w:r>
      <w:r w:rsidR="00CC7059" w:rsidRPr="004C5FA2">
        <w:rPr>
          <w:snapToGrid w:val="0"/>
        </w:rPr>
        <w:t>, with one</w:t>
      </w:r>
      <w:r w:rsidR="00DD77A8" w:rsidRPr="004C5FA2">
        <w:rPr>
          <w:snapToGrid w:val="0"/>
        </w:rPr>
        <w:t xml:space="preserve"> individual </w:t>
      </w:r>
      <w:r w:rsidR="00E331C8">
        <w:rPr>
          <w:snapToGrid w:val="0"/>
        </w:rPr>
        <w:t>stat</w:t>
      </w:r>
      <w:r w:rsidR="005856D2">
        <w:rPr>
          <w:snapToGrid w:val="0"/>
        </w:rPr>
        <w:t>i</w:t>
      </w:r>
      <w:r w:rsidR="00CC7059" w:rsidRPr="004C5FA2">
        <w:rPr>
          <w:snapToGrid w:val="0"/>
        </w:rPr>
        <w:t>ng</w:t>
      </w:r>
      <w:r w:rsidR="0092318E" w:rsidRPr="004C5FA2">
        <w:rPr>
          <w:snapToGrid w:val="0"/>
        </w:rPr>
        <w:t xml:space="preserve"> </w:t>
      </w:r>
      <w:r w:rsidR="0028726A" w:rsidRPr="004C5FA2">
        <w:rPr>
          <w:snapToGrid w:val="0"/>
        </w:rPr>
        <w:t xml:space="preserve">that uncontrolled inflammation has led to recurrent pericarditis and organ </w:t>
      </w:r>
      <w:r w:rsidR="0028726A" w:rsidRPr="004C5FA2">
        <w:rPr>
          <w:snapToGrid w:val="0"/>
        </w:rPr>
        <w:lastRenderedPageBreak/>
        <w:t>failure</w:t>
      </w:r>
      <w:r w:rsidR="00CC7059" w:rsidRPr="004C5FA2">
        <w:rPr>
          <w:snapToGrid w:val="0"/>
        </w:rPr>
        <w:t xml:space="preserve">. </w:t>
      </w:r>
      <w:r w:rsidR="00820E89" w:rsidRPr="00820E89">
        <w:rPr>
          <w:snapToGrid w:val="0"/>
        </w:rPr>
        <w:t xml:space="preserve">One parent </w:t>
      </w:r>
      <w:r w:rsidR="005856D2">
        <w:rPr>
          <w:snapToGrid w:val="0"/>
        </w:rPr>
        <w:t>stat</w:t>
      </w:r>
      <w:r w:rsidR="00820E89" w:rsidRPr="00820E89">
        <w:rPr>
          <w:snapToGrid w:val="0"/>
        </w:rPr>
        <w:t>ed that canakinumab has provided predictable disease control and reduced emotional distress associated with less painful injections for their child.</w:t>
      </w:r>
    </w:p>
    <w:p w14:paraId="3063E0CC" w14:textId="77908EC2" w:rsidR="00FD4CF8" w:rsidRPr="004C5FA2" w:rsidRDefault="00CC7059" w:rsidP="004B083B">
      <w:pPr>
        <w:pStyle w:val="COMESnumberedpara"/>
        <w:rPr>
          <w:snapToGrid w:val="0"/>
        </w:rPr>
      </w:pPr>
      <w:r w:rsidRPr="004C5FA2">
        <w:rPr>
          <w:snapToGrid w:val="0"/>
        </w:rPr>
        <w:t>While</w:t>
      </w:r>
      <w:r w:rsidR="0028726A" w:rsidRPr="004C5FA2">
        <w:rPr>
          <w:snapToGrid w:val="0"/>
        </w:rPr>
        <w:t xml:space="preserve"> </w:t>
      </w:r>
      <w:r w:rsidR="00820E89">
        <w:rPr>
          <w:snapToGrid w:val="0"/>
        </w:rPr>
        <w:t xml:space="preserve">input from individuals noted that </w:t>
      </w:r>
      <w:r w:rsidR="0028726A" w:rsidRPr="004C5FA2">
        <w:rPr>
          <w:snapToGrid w:val="0"/>
        </w:rPr>
        <w:t xml:space="preserve">anakinra injections have provided symptom relief, </w:t>
      </w:r>
      <w:r w:rsidRPr="004C5FA2">
        <w:rPr>
          <w:snapToGrid w:val="0"/>
        </w:rPr>
        <w:t xml:space="preserve">one individual stated </w:t>
      </w:r>
      <w:r w:rsidR="0028726A" w:rsidRPr="004C5FA2">
        <w:rPr>
          <w:snapToGrid w:val="0"/>
        </w:rPr>
        <w:t xml:space="preserve">that a monthly injection schedule would be easier and less stressful. </w:t>
      </w:r>
      <w:r w:rsidR="00FD4CF8" w:rsidRPr="004C5FA2">
        <w:rPr>
          <w:snapToGrid w:val="0"/>
        </w:rPr>
        <w:t>Health care professionals reinforced this view, stating that canakinumab is generally well tolerated and associated with less injection-site pain compared to anakinra</w:t>
      </w:r>
      <w:r w:rsidR="00A161B9" w:rsidRPr="004C5FA2">
        <w:rPr>
          <w:snapToGrid w:val="0"/>
        </w:rPr>
        <w:t xml:space="preserve">, </w:t>
      </w:r>
      <w:r w:rsidR="00B67FAC">
        <w:rPr>
          <w:snapToGrid w:val="0"/>
        </w:rPr>
        <w:t xml:space="preserve">highlighting that injection pain </w:t>
      </w:r>
      <w:r w:rsidR="008364C0" w:rsidRPr="004C5FA2">
        <w:rPr>
          <w:snapToGrid w:val="0"/>
        </w:rPr>
        <w:t xml:space="preserve">can result in missed doses, poorer disease control and more frequent inflammatory flares in children, where the pain of injections is a significant barrier to adherence. </w:t>
      </w:r>
    </w:p>
    <w:p w14:paraId="50753F2D" w14:textId="2D88B8E9" w:rsidR="006A0D23" w:rsidRDefault="00C3232A" w:rsidP="004B083B">
      <w:pPr>
        <w:pStyle w:val="COMESnumberedpara"/>
        <w:rPr>
          <w:snapToGrid w:val="0"/>
        </w:rPr>
      </w:pPr>
      <w:r>
        <w:rPr>
          <w:snapToGrid w:val="0"/>
        </w:rPr>
        <w:t>Health care professionals</w:t>
      </w:r>
      <w:r w:rsidR="004661A3">
        <w:rPr>
          <w:snapToGrid w:val="0"/>
        </w:rPr>
        <w:t xml:space="preserve"> stated that canakinumab leads to a marked reduction in flares, normalisation of inflammatory markers</w:t>
      </w:r>
      <w:r w:rsidR="00C618F0">
        <w:rPr>
          <w:snapToGrid w:val="0"/>
        </w:rPr>
        <w:t>, prevention of amyloidosis, and better long-term disease suppression control compared with intermittent or poorly tolerated anakinra.</w:t>
      </w:r>
      <w:r w:rsidR="00D53421" w:rsidRPr="00D53421">
        <w:rPr>
          <w:snapToGrid w:val="0"/>
        </w:rPr>
        <w:t xml:space="preserve"> </w:t>
      </w:r>
      <w:r w:rsidR="00CA23BC">
        <w:rPr>
          <w:snapToGrid w:val="0"/>
        </w:rPr>
        <w:t xml:space="preserve">While noting the high cost of canakinumab, the input noted that </w:t>
      </w:r>
      <w:r w:rsidR="001A53A9">
        <w:rPr>
          <w:snapToGrid w:val="0"/>
        </w:rPr>
        <w:t xml:space="preserve">downstream costs of </w:t>
      </w:r>
      <w:r w:rsidR="00CA23BC">
        <w:rPr>
          <w:snapToGrid w:val="0"/>
        </w:rPr>
        <w:t xml:space="preserve">inadequately treated FMF </w:t>
      </w:r>
      <w:r w:rsidR="001A53A9">
        <w:rPr>
          <w:snapToGrid w:val="0"/>
        </w:rPr>
        <w:t xml:space="preserve">include hospital admissions for acute inflammatory attacks, treatment of complications such as renal failure and amyloidosis, long term disability and loss of workforce participation, and inappropriate use of </w:t>
      </w:r>
      <w:r w:rsidR="001010FA">
        <w:rPr>
          <w:snapToGrid w:val="0"/>
        </w:rPr>
        <w:t>non-targeted</w:t>
      </w:r>
      <w:r w:rsidR="001A53A9">
        <w:rPr>
          <w:snapToGrid w:val="0"/>
        </w:rPr>
        <w:t xml:space="preserve"> therapies.</w:t>
      </w:r>
      <w:r w:rsidR="00004B05">
        <w:rPr>
          <w:snapToGrid w:val="0"/>
        </w:rPr>
        <w:t xml:space="preserve"> </w:t>
      </w:r>
    </w:p>
    <w:p w14:paraId="5C75F2C9" w14:textId="78AAED8B" w:rsidR="00DD543A" w:rsidRDefault="00DD543A" w:rsidP="004B083B">
      <w:pPr>
        <w:pStyle w:val="COMESnumberedpara"/>
        <w:rPr>
          <w:snapToGrid w:val="0"/>
        </w:rPr>
      </w:pPr>
      <w:r>
        <w:rPr>
          <w:snapToGrid w:val="0"/>
        </w:rPr>
        <w:t xml:space="preserve">Health care professionals </w:t>
      </w:r>
      <w:r w:rsidR="00343C80">
        <w:rPr>
          <w:snapToGrid w:val="0"/>
        </w:rPr>
        <w:t>asserted that there is no biological or clinical justification for limiting access to canakinumab by disease subtype</w:t>
      </w:r>
      <w:r w:rsidR="00F42E90">
        <w:rPr>
          <w:snapToGrid w:val="0"/>
        </w:rPr>
        <w:t xml:space="preserve"> when IL-1 is the common pathogenic driver to many autoinflammatory diseases</w:t>
      </w:r>
      <w:r w:rsidR="00195F15">
        <w:rPr>
          <w:snapToGrid w:val="0"/>
        </w:rPr>
        <w:t xml:space="preserve">, or by age, given the disease does not </w:t>
      </w:r>
      <w:r w:rsidR="001010FA">
        <w:rPr>
          <w:snapToGrid w:val="0"/>
        </w:rPr>
        <w:t>fundamentally change when patients transition to adulthood.</w:t>
      </w:r>
    </w:p>
    <w:p w14:paraId="07B8E112" w14:textId="5D460FA4" w:rsidR="0079616B" w:rsidRPr="004C5FA2" w:rsidRDefault="0079616B" w:rsidP="004B083B">
      <w:pPr>
        <w:pStyle w:val="COMESnumberedpara"/>
        <w:rPr>
          <w:snapToGrid w:val="0"/>
        </w:rPr>
      </w:pPr>
      <w:r>
        <w:rPr>
          <w:snapToGrid w:val="0"/>
        </w:rPr>
        <w:t xml:space="preserve">One health care professional highlighted that standard practice in the UK and the USA is to prescribe </w:t>
      </w:r>
      <w:r w:rsidR="009F1F9A">
        <w:rPr>
          <w:snapToGrid w:val="0"/>
        </w:rPr>
        <w:t>anakinra plus canakinumab for patients with severe disease.</w:t>
      </w:r>
    </w:p>
    <w:p w14:paraId="73F016C9" w14:textId="54A72B4F" w:rsidR="003F59F7" w:rsidRDefault="001601B5" w:rsidP="004B083B">
      <w:pPr>
        <w:pStyle w:val="COMESnumberedpara"/>
        <w:rPr>
          <w:snapToGrid w:val="0"/>
        </w:rPr>
      </w:pPr>
      <w:r>
        <w:rPr>
          <w:snapToGrid w:val="0"/>
        </w:rPr>
        <w:t>All</w:t>
      </w:r>
      <w:r w:rsidR="003F59F7">
        <w:rPr>
          <w:snapToGrid w:val="0"/>
        </w:rPr>
        <w:t xml:space="preserve"> four o</w:t>
      </w:r>
      <w:r w:rsidR="00D21188">
        <w:rPr>
          <w:snapToGrid w:val="0"/>
        </w:rPr>
        <w:t xml:space="preserve">rganisations </w:t>
      </w:r>
      <w:r w:rsidR="00667B9E">
        <w:rPr>
          <w:snapToGrid w:val="0"/>
        </w:rPr>
        <w:t xml:space="preserve">providing input </w:t>
      </w:r>
      <w:r w:rsidR="00D21188">
        <w:rPr>
          <w:snapToGrid w:val="0"/>
        </w:rPr>
        <w:t>supported the listing</w:t>
      </w:r>
      <w:r w:rsidR="003F59F7">
        <w:rPr>
          <w:snapToGrid w:val="0"/>
        </w:rPr>
        <w:t xml:space="preserve"> of canakinumab on the PBS. </w:t>
      </w:r>
    </w:p>
    <w:p w14:paraId="146F1404" w14:textId="26D08712" w:rsidR="00D411CF" w:rsidRDefault="00D411CF" w:rsidP="004B083B">
      <w:pPr>
        <w:pStyle w:val="COMESnumberedpara"/>
        <w:numPr>
          <w:ilvl w:val="1"/>
          <w:numId w:val="23"/>
        </w:numPr>
        <w:ind w:left="993" w:hanging="357"/>
        <w:rPr>
          <w:snapToGrid w:val="0"/>
        </w:rPr>
      </w:pPr>
      <w:r>
        <w:rPr>
          <w:snapToGrid w:val="0"/>
        </w:rPr>
        <w:t xml:space="preserve">The </w:t>
      </w:r>
      <w:r w:rsidRPr="00D411CF">
        <w:rPr>
          <w:snapToGrid w:val="0"/>
        </w:rPr>
        <w:t xml:space="preserve">Australasian Society of Clinical Immunology and Allergy </w:t>
      </w:r>
      <w:r w:rsidR="00EC29BD">
        <w:rPr>
          <w:snapToGrid w:val="0"/>
        </w:rPr>
        <w:t>stated there is a</w:t>
      </w:r>
      <w:r w:rsidR="003D58AC">
        <w:rPr>
          <w:snapToGrid w:val="0"/>
        </w:rPr>
        <w:t xml:space="preserve"> </w:t>
      </w:r>
      <w:r w:rsidR="00943BCA">
        <w:rPr>
          <w:snapToGrid w:val="0"/>
        </w:rPr>
        <w:t>need for an alternative effective treatment option for patients with colchicine-resistant or intolerant FMF</w:t>
      </w:r>
      <w:r w:rsidR="00A421FA">
        <w:rPr>
          <w:snapToGrid w:val="0"/>
        </w:rPr>
        <w:t xml:space="preserve"> and that PBS listing </w:t>
      </w:r>
      <w:r w:rsidR="005F5FE8">
        <w:rPr>
          <w:snapToGrid w:val="0"/>
        </w:rPr>
        <w:t xml:space="preserve">should improve access for patients. The </w:t>
      </w:r>
      <w:r w:rsidR="0014381A">
        <w:rPr>
          <w:snapToGrid w:val="0"/>
        </w:rPr>
        <w:t>input</w:t>
      </w:r>
      <w:r w:rsidR="005F5FE8">
        <w:rPr>
          <w:snapToGrid w:val="0"/>
        </w:rPr>
        <w:t xml:space="preserve"> further</w:t>
      </w:r>
      <w:r w:rsidR="00EC29BD">
        <w:rPr>
          <w:snapToGrid w:val="0"/>
        </w:rPr>
        <w:t xml:space="preserve"> highlighted </w:t>
      </w:r>
      <w:r w:rsidR="001601B5">
        <w:rPr>
          <w:snapToGrid w:val="0"/>
        </w:rPr>
        <w:t>th</w:t>
      </w:r>
      <w:r w:rsidR="00EC29BD">
        <w:rPr>
          <w:snapToGrid w:val="0"/>
        </w:rPr>
        <w:t xml:space="preserve">e </w:t>
      </w:r>
      <w:r w:rsidR="001601B5">
        <w:rPr>
          <w:snapToGrid w:val="0"/>
        </w:rPr>
        <w:t xml:space="preserve">considerable </w:t>
      </w:r>
      <w:r w:rsidR="003D58AC">
        <w:rPr>
          <w:snapToGrid w:val="0"/>
        </w:rPr>
        <w:t xml:space="preserve">cost </w:t>
      </w:r>
      <w:r w:rsidR="00612F47">
        <w:rPr>
          <w:snapToGrid w:val="0"/>
        </w:rPr>
        <w:t>of consultations for poorly controlled disease</w:t>
      </w:r>
      <w:r w:rsidR="00855F3C">
        <w:rPr>
          <w:snapToGrid w:val="0"/>
        </w:rPr>
        <w:t>.</w:t>
      </w:r>
    </w:p>
    <w:p w14:paraId="27F52B85" w14:textId="0F162E73" w:rsidR="00855F3C" w:rsidRDefault="00855F3C" w:rsidP="004B083B">
      <w:pPr>
        <w:pStyle w:val="COMESnumberedpara"/>
        <w:numPr>
          <w:ilvl w:val="1"/>
          <w:numId w:val="23"/>
        </w:numPr>
        <w:ind w:left="993" w:hanging="357"/>
        <w:rPr>
          <w:snapToGrid w:val="0"/>
        </w:rPr>
      </w:pPr>
      <w:r>
        <w:rPr>
          <w:snapToGrid w:val="0"/>
        </w:rPr>
        <w:t xml:space="preserve">The National Paediatric Medicines Forum </w:t>
      </w:r>
      <w:r w:rsidR="00831E79">
        <w:rPr>
          <w:snapToGrid w:val="0"/>
        </w:rPr>
        <w:t>noted</w:t>
      </w:r>
      <w:r w:rsidR="004F4D9C">
        <w:rPr>
          <w:snapToGrid w:val="0"/>
        </w:rPr>
        <w:t xml:space="preserve"> that </w:t>
      </w:r>
      <w:r w:rsidR="00BE4332">
        <w:rPr>
          <w:snapToGrid w:val="0"/>
        </w:rPr>
        <w:t>an alternative to the daily injections of anakinra would assist with compliance</w:t>
      </w:r>
      <w:r>
        <w:rPr>
          <w:snapToGrid w:val="0"/>
        </w:rPr>
        <w:t>.</w:t>
      </w:r>
    </w:p>
    <w:p w14:paraId="7A7BD8DB" w14:textId="0DFC56C3" w:rsidR="00855F3C" w:rsidRDefault="00855F3C" w:rsidP="004B083B">
      <w:pPr>
        <w:pStyle w:val="COMESnumberedpara"/>
        <w:numPr>
          <w:ilvl w:val="1"/>
          <w:numId w:val="23"/>
        </w:numPr>
        <w:ind w:left="993" w:hanging="357"/>
        <w:rPr>
          <w:snapToGrid w:val="0"/>
        </w:rPr>
      </w:pPr>
      <w:r>
        <w:rPr>
          <w:snapToGrid w:val="0"/>
        </w:rPr>
        <w:t xml:space="preserve">Comments received from Juvenile Arthritis Foundation Australia </w:t>
      </w:r>
      <w:r w:rsidR="002D0851">
        <w:rPr>
          <w:snapToGrid w:val="0"/>
        </w:rPr>
        <w:t xml:space="preserve">outlined </w:t>
      </w:r>
      <w:r w:rsidR="00AF0A9D">
        <w:rPr>
          <w:snapToGrid w:val="0"/>
        </w:rPr>
        <w:t>th</w:t>
      </w:r>
      <w:r w:rsidR="002349FB">
        <w:rPr>
          <w:snapToGrid w:val="0"/>
        </w:rPr>
        <w:t>e</w:t>
      </w:r>
      <w:r w:rsidR="00AF0A9D">
        <w:rPr>
          <w:snapToGrid w:val="0"/>
        </w:rPr>
        <w:t xml:space="preserve"> effectiveness </w:t>
      </w:r>
      <w:r w:rsidR="002349FB">
        <w:rPr>
          <w:snapToGrid w:val="0"/>
        </w:rPr>
        <w:t xml:space="preserve">of canakinumab </w:t>
      </w:r>
      <w:r w:rsidR="00AF0A9D">
        <w:rPr>
          <w:snapToGrid w:val="0"/>
        </w:rPr>
        <w:t xml:space="preserve">in </w:t>
      </w:r>
      <w:proofErr w:type="spellStart"/>
      <w:r w:rsidR="00AF0A9D">
        <w:rPr>
          <w:snapToGrid w:val="0"/>
        </w:rPr>
        <w:t>crFMF</w:t>
      </w:r>
      <w:proofErr w:type="spellEnd"/>
      <w:r w:rsidR="00AF0A9D">
        <w:rPr>
          <w:snapToGrid w:val="0"/>
        </w:rPr>
        <w:t xml:space="preserve"> and </w:t>
      </w:r>
      <w:r w:rsidR="003A03FF">
        <w:rPr>
          <w:snapToGrid w:val="0"/>
        </w:rPr>
        <w:t>its good tolerability</w:t>
      </w:r>
      <w:r w:rsidR="0027589A">
        <w:rPr>
          <w:snapToGrid w:val="0"/>
        </w:rPr>
        <w:t xml:space="preserve">, as well as the </w:t>
      </w:r>
      <w:r w:rsidR="00582655">
        <w:rPr>
          <w:snapToGrid w:val="0"/>
        </w:rPr>
        <w:t xml:space="preserve">positive impact that long term treatment would have on outcomes and </w:t>
      </w:r>
      <w:r w:rsidR="00610FCB">
        <w:rPr>
          <w:snapToGrid w:val="0"/>
        </w:rPr>
        <w:t>quality of life for patients and carers</w:t>
      </w:r>
      <w:r w:rsidR="002D0851">
        <w:rPr>
          <w:snapToGrid w:val="0"/>
        </w:rPr>
        <w:t>.</w:t>
      </w:r>
    </w:p>
    <w:p w14:paraId="78F31D85" w14:textId="28DA82C6" w:rsidR="009B25D1" w:rsidRPr="00044F9F" w:rsidRDefault="002D0851" w:rsidP="004B083B">
      <w:pPr>
        <w:pStyle w:val="COMESnumberedpara"/>
        <w:numPr>
          <w:ilvl w:val="1"/>
          <w:numId w:val="23"/>
        </w:numPr>
        <w:ind w:left="993" w:hanging="357"/>
        <w:rPr>
          <w:snapToGrid w:val="0"/>
        </w:rPr>
      </w:pPr>
      <w:r w:rsidRPr="00044F9F">
        <w:rPr>
          <w:snapToGrid w:val="0"/>
        </w:rPr>
        <w:t xml:space="preserve">The </w:t>
      </w:r>
      <w:r w:rsidR="00167CBD" w:rsidRPr="00044F9F">
        <w:rPr>
          <w:snapToGrid w:val="0"/>
        </w:rPr>
        <w:t xml:space="preserve">Australia and New Zealand Forum for </w:t>
      </w:r>
      <w:proofErr w:type="spellStart"/>
      <w:r w:rsidR="00167CBD" w:rsidRPr="00044F9F">
        <w:rPr>
          <w:snapToGrid w:val="0"/>
        </w:rPr>
        <w:t>AutoInflammatory</w:t>
      </w:r>
      <w:proofErr w:type="spellEnd"/>
      <w:r w:rsidR="00167CBD" w:rsidRPr="00044F9F">
        <w:rPr>
          <w:snapToGrid w:val="0"/>
        </w:rPr>
        <w:t xml:space="preserve"> Diseases</w:t>
      </w:r>
      <w:r w:rsidR="0032525C" w:rsidRPr="00044F9F">
        <w:rPr>
          <w:snapToGrid w:val="0"/>
        </w:rPr>
        <w:t xml:space="preserve"> </w:t>
      </w:r>
      <w:r w:rsidRPr="00044F9F">
        <w:rPr>
          <w:snapToGrid w:val="0"/>
        </w:rPr>
        <w:t xml:space="preserve">stated that </w:t>
      </w:r>
      <w:r w:rsidR="00276CD2" w:rsidRPr="00044F9F">
        <w:rPr>
          <w:snapToGrid w:val="0"/>
        </w:rPr>
        <w:t>while colchicine is effective for many patients</w:t>
      </w:r>
      <w:r w:rsidR="00945153" w:rsidRPr="00044F9F">
        <w:rPr>
          <w:snapToGrid w:val="0"/>
        </w:rPr>
        <w:t>, that patients and carers frequently describe the experience of managing colchicine intolerance as particularly distressing</w:t>
      </w:r>
      <w:r w:rsidR="003C060F" w:rsidRPr="00044F9F">
        <w:rPr>
          <w:snapToGrid w:val="0"/>
        </w:rPr>
        <w:t>, reporting feeling pressured to continue colchicine therapy despite clear adverse effects</w:t>
      </w:r>
      <w:r w:rsidR="00DB2D0D" w:rsidRPr="00044F9F">
        <w:rPr>
          <w:snapToGrid w:val="0"/>
        </w:rPr>
        <w:t xml:space="preserve"> given the absence of funded alternatives</w:t>
      </w:r>
      <w:r w:rsidRPr="00044F9F">
        <w:rPr>
          <w:snapToGrid w:val="0"/>
        </w:rPr>
        <w:t xml:space="preserve">. </w:t>
      </w:r>
      <w:r w:rsidR="0032525C" w:rsidRPr="00044F9F">
        <w:rPr>
          <w:snapToGrid w:val="0"/>
        </w:rPr>
        <w:t xml:space="preserve">The </w:t>
      </w:r>
      <w:r w:rsidR="00DD2E36">
        <w:rPr>
          <w:snapToGrid w:val="0"/>
        </w:rPr>
        <w:t>input</w:t>
      </w:r>
      <w:r w:rsidR="0032525C" w:rsidRPr="00044F9F">
        <w:rPr>
          <w:snapToGrid w:val="0"/>
        </w:rPr>
        <w:t xml:space="preserve"> stated that </w:t>
      </w:r>
      <w:r w:rsidR="0032525C" w:rsidRPr="00044F9F">
        <w:rPr>
          <w:snapToGrid w:val="0"/>
        </w:rPr>
        <w:lastRenderedPageBreak/>
        <w:t xml:space="preserve">families have described lack of medical guidance on how to introduce or adjust colchicine </w:t>
      </w:r>
      <w:r w:rsidR="008D12F4" w:rsidRPr="00044F9F">
        <w:rPr>
          <w:snapToGrid w:val="0"/>
        </w:rPr>
        <w:t>therapy and</w:t>
      </w:r>
      <w:r w:rsidR="0032525C" w:rsidRPr="00044F9F">
        <w:rPr>
          <w:snapToGrid w:val="0"/>
        </w:rPr>
        <w:t xml:space="preserve"> noted that this </w:t>
      </w:r>
      <w:r w:rsidR="002D5C69" w:rsidRPr="00044F9F">
        <w:rPr>
          <w:snapToGrid w:val="0"/>
        </w:rPr>
        <w:t>has left parents to balance disease control against visible harm to their child’s well-being.</w:t>
      </w:r>
      <w:r w:rsidR="00115D28">
        <w:rPr>
          <w:snapToGrid w:val="0"/>
        </w:rPr>
        <w:t xml:space="preserve"> The input </w:t>
      </w:r>
      <w:r w:rsidR="00F23B94">
        <w:rPr>
          <w:snapToGrid w:val="0"/>
        </w:rPr>
        <w:t xml:space="preserve">further </w:t>
      </w:r>
      <w:r w:rsidR="005E2F92">
        <w:rPr>
          <w:snapToGrid w:val="0"/>
        </w:rPr>
        <w:t xml:space="preserve">highlighted that </w:t>
      </w:r>
      <w:r w:rsidR="008B591D">
        <w:rPr>
          <w:snapToGrid w:val="0"/>
        </w:rPr>
        <w:t xml:space="preserve">ongoing systemic inflammation increases the risk of </w:t>
      </w:r>
      <w:r w:rsidR="00291812">
        <w:rPr>
          <w:snapToGrid w:val="0"/>
        </w:rPr>
        <w:t xml:space="preserve">AA amyloidosis, chronic pain, fatigue and cumulative organ damage and that the </w:t>
      </w:r>
      <w:r w:rsidR="00490038">
        <w:rPr>
          <w:snapToGrid w:val="0"/>
        </w:rPr>
        <w:t>impact is particularly significant in childhood and adolescence, when unstable disease can affect physical development, education and psychosocial well-being</w:t>
      </w:r>
      <w:r w:rsidR="00291812">
        <w:rPr>
          <w:snapToGrid w:val="0"/>
        </w:rPr>
        <w:t>.</w:t>
      </w:r>
      <w:r w:rsidR="00316BA2">
        <w:rPr>
          <w:snapToGrid w:val="0"/>
        </w:rPr>
        <w:t xml:space="preserve"> Without access to TGA-approved biologic treatments for FMF in Australia, the input highlighted </w:t>
      </w:r>
      <w:r w:rsidR="000F4728">
        <w:rPr>
          <w:snapToGrid w:val="0"/>
        </w:rPr>
        <w:t xml:space="preserve">that patients are accessing off-label biologic therapies, and that </w:t>
      </w:r>
      <w:r w:rsidR="001C2EAB">
        <w:rPr>
          <w:snapToGrid w:val="0"/>
        </w:rPr>
        <w:t xml:space="preserve">these have resulted in treatment fatigue and difficulty in maintaining long-term adherence. </w:t>
      </w:r>
      <w:r w:rsidR="00483FBD">
        <w:rPr>
          <w:snapToGrid w:val="0"/>
        </w:rPr>
        <w:t xml:space="preserve">Based on access to canakinumab through clinical </w:t>
      </w:r>
      <w:r w:rsidR="008D12F4">
        <w:rPr>
          <w:snapToGrid w:val="0"/>
        </w:rPr>
        <w:t>trials,</w:t>
      </w:r>
      <w:r w:rsidR="00483FBD">
        <w:rPr>
          <w:snapToGrid w:val="0"/>
        </w:rPr>
        <w:t xml:space="preserve"> compassionate access programs, or private funding, </w:t>
      </w:r>
      <w:r w:rsidR="004E60A9">
        <w:rPr>
          <w:snapToGrid w:val="0"/>
        </w:rPr>
        <w:t>families have reported improved disease control, reduced flare frequency, and meaningful improvements in daily functioning and quality of life</w:t>
      </w:r>
      <w:r w:rsidR="008E7D1A">
        <w:rPr>
          <w:snapToGrid w:val="0"/>
        </w:rPr>
        <w:t>, as well as sustained adherence due to reduced treatment burden.</w:t>
      </w:r>
      <w:r w:rsidR="00486E2C">
        <w:rPr>
          <w:snapToGrid w:val="0"/>
        </w:rPr>
        <w:t xml:space="preserve"> The input </w:t>
      </w:r>
      <w:r w:rsidR="00BA7166">
        <w:rPr>
          <w:snapToGrid w:val="0"/>
        </w:rPr>
        <w:t>stated that it is important for patients to be able to continue treatment into adulthood.</w:t>
      </w:r>
    </w:p>
    <w:p w14:paraId="78AE5A1C" w14:textId="77777777" w:rsidR="00A829E9" w:rsidRPr="008B18A3" w:rsidRDefault="00A829E9" w:rsidP="004B083B">
      <w:pPr>
        <w:pStyle w:val="COMESSubsectionheading"/>
      </w:pPr>
      <w:r w:rsidRPr="008B18A3">
        <w:t>Clinical trials</w:t>
      </w:r>
    </w:p>
    <w:p w14:paraId="44DA9BA9" w14:textId="40A80EA4" w:rsidR="00303211" w:rsidRPr="00B37498" w:rsidRDefault="00303211" w:rsidP="004B083B">
      <w:pPr>
        <w:pStyle w:val="COMESnumberedpara"/>
        <w:spacing w:before="160" w:after="160"/>
        <w:rPr>
          <w:rFonts w:cstheme="minorHAnsi"/>
          <w:color w:val="0066FF"/>
        </w:rPr>
      </w:pPr>
      <w:r w:rsidRPr="00B37498">
        <w:rPr>
          <w:rFonts w:cstheme="minorHAnsi"/>
        </w:rPr>
        <w:t xml:space="preserve">The submission was based on one head-to-head trial comparing canakinumab with </w:t>
      </w:r>
      <w:r w:rsidR="002A7DB0" w:rsidRPr="00B37498">
        <w:rPr>
          <w:rFonts w:cstheme="minorHAnsi"/>
        </w:rPr>
        <w:t>BSC</w:t>
      </w:r>
      <w:r w:rsidRPr="00B37498">
        <w:rPr>
          <w:rFonts w:cstheme="minorHAnsi"/>
        </w:rPr>
        <w:t xml:space="preserve"> to </w:t>
      </w:r>
      <w:r w:rsidR="002A7DB0" w:rsidRPr="00B37498">
        <w:rPr>
          <w:rFonts w:cstheme="minorHAnsi"/>
        </w:rPr>
        <w:t>BSC</w:t>
      </w:r>
      <w:r w:rsidRPr="00B37498">
        <w:rPr>
          <w:rFonts w:cstheme="minorHAnsi"/>
        </w:rPr>
        <w:t xml:space="preserve"> alone (n=63 randomised patients; CLUSTER trial).</w:t>
      </w:r>
    </w:p>
    <w:p w14:paraId="11927558" w14:textId="67EE762E" w:rsidR="00303211" w:rsidRPr="00B37498" w:rsidRDefault="00303211" w:rsidP="004B083B">
      <w:pPr>
        <w:pStyle w:val="COMESnumberedpara"/>
        <w:spacing w:before="160" w:after="160"/>
        <w:rPr>
          <w:rFonts w:cstheme="minorHAnsi"/>
        </w:rPr>
      </w:pPr>
      <w:r w:rsidRPr="00B37498">
        <w:rPr>
          <w:rFonts w:cstheme="minorHAnsi"/>
        </w:rPr>
        <w:t>Details of the trial presented in the submission are provided in</w:t>
      </w:r>
      <w:r w:rsidR="00014E1B" w:rsidRPr="00B37498">
        <w:rPr>
          <w:rFonts w:cstheme="minorHAnsi"/>
        </w:rPr>
        <w:t xml:space="preserve"> </w:t>
      </w:r>
      <w:r w:rsidR="00014E1B" w:rsidRPr="00B37498">
        <w:rPr>
          <w:rFonts w:cstheme="minorHAnsi"/>
        </w:rPr>
        <w:fldChar w:fldCharType="begin"/>
      </w:r>
      <w:r w:rsidR="00014E1B" w:rsidRPr="00B37498">
        <w:rPr>
          <w:rFonts w:cstheme="minorHAnsi"/>
        </w:rPr>
        <w:instrText xml:space="preserve"> REF _Ref216684075 \h </w:instrText>
      </w:r>
      <w:r w:rsidR="008B18A3" w:rsidRPr="00B37498">
        <w:rPr>
          <w:rFonts w:cstheme="minorHAnsi"/>
        </w:rPr>
        <w:instrText xml:space="preserve"> \* MERGEFORMAT </w:instrText>
      </w:r>
      <w:r w:rsidR="00014E1B" w:rsidRPr="00B37498">
        <w:rPr>
          <w:rFonts w:cstheme="minorHAnsi"/>
        </w:rPr>
      </w:r>
      <w:r w:rsidR="00014E1B" w:rsidRPr="00B37498">
        <w:rPr>
          <w:rFonts w:cstheme="minorHAnsi"/>
        </w:rPr>
        <w:fldChar w:fldCharType="separate"/>
      </w:r>
      <w:r w:rsidR="00815AB6" w:rsidRPr="00815AB6">
        <w:rPr>
          <w:rFonts w:cstheme="minorHAnsi"/>
        </w:rPr>
        <w:t xml:space="preserve">Table </w:t>
      </w:r>
      <w:r w:rsidR="00815AB6" w:rsidRPr="00815AB6">
        <w:rPr>
          <w:rFonts w:cstheme="minorHAnsi"/>
          <w:noProof/>
        </w:rPr>
        <w:t>2</w:t>
      </w:r>
      <w:r w:rsidR="00014E1B" w:rsidRPr="00B37498">
        <w:rPr>
          <w:rFonts w:cstheme="minorHAnsi"/>
        </w:rPr>
        <w:fldChar w:fldCharType="end"/>
      </w:r>
      <w:r w:rsidRPr="00B37498">
        <w:rPr>
          <w:rFonts w:cstheme="minorHAnsi"/>
        </w:rPr>
        <w:t xml:space="preserve">. </w:t>
      </w:r>
    </w:p>
    <w:p w14:paraId="3AAC675E" w14:textId="25C312AB" w:rsidR="00303211" w:rsidRPr="00B37498" w:rsidRDefault="00303211" w:rsidP="004B083B">
      <w:pPr>
        <w:pStyle w:val="COMTableFigurecaption"/>
        <w:spacing w:before="160"/>
        <w:rPr>
          <w:b w:val="0"/>
        </w:rPr>
      </w:pPr>
      <w:bookmarkStart w:id="26" w:name="_Ref216684075"/>
      <w:r w:rsidRPr="00B37498">
        <w:t xml:space="preserve">Table </w:t>
      </w:r>
      <w:fldSimple w:instr=" SEQ Table \* ARABIC ">
        <w:r w:rsidR="00815AB6">
          <w:rPr>
            <w:noProof/>
          </w:rPr>
          <w:t>2</w:t>
        </w:r>
      </w:fldSimple>
      <w:bookmarkEnd w:id="26"/>
      <w:r w:rsidRPr="00B37498">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303211" w:rsidRPr="00B37498" w14:paraId="5D3D1429" w14:textId="77777777">
        <w:trPr>
          <w:tblHeader/>
        </w:trPr>
        <w:tc>
          <w:tcPr>
            <w:tcW w:w="796" w:type="pct"/>
            <w:vAlign w:val="center"/>
          </w:tcPr>
          <w:p w14:paraId="0306560C" w14:textId="77777777" w:rsidR="00303211" w:rsidRPr="00B37498" w:rsidRDefault="00303211" w:rsidP="004B083B">
            <w:pPr>
              <w:pStyle w:val="COMTableheadingrow"/>
            </w:pPr>
            <w:r w:rsidRPr="00B37498">
              <w:t>Trial ID</w:t>
            </w:r>
          </w:p>
        </w:tc>
        <w:tc>
          <w:tcPr>
            <w:tcW w:w="3027" w:type="pct"/>
            <w:vAlign w:val="center"/>
          </w:tcPr>
          <w:p w14:paraId="251FB61F" w14:textId="77777777" w:rsidR="00303211" w:rsidRPr="00B37498" w:rsidRDefault="00303211" w:rsidP="004B083B">
            <w:pPr>
              <w:pStyle w:val="COMTableheadingrow"/>
            </w:pPr>
            <w:r w:rsidRPr="00B37498">
              <w:t>Protocol title/ Publication title</w:t>
            </w:r>
          </w:p>
        </w:tc>
        <w:tc>
          <w:tcPr>
            <w:tcW w:w="1177" w:type="pct"/>
            <w:vAlign w:val="center"/>
          </w:tcPr>
          <w:p w14:paraId="4C9A79BD" w14:textId="77777777" w:rsidR="00303211" w:rsidRPr="00B37498" w:rsidRDefault="00303211" w:rsidP="004B083B">
            <w:pPr>
              <w:pStyle w:val="COMTableheadingrow"/>
            </w:pPr>
            <w:r w:rsidRPr="00B37498">
              <w:t>Publication citation</w:t>
            </w:r>
          </w:p>
        </w:tc>
      </w:tr>
      <w:tr w:rsidR="00303211" w:rsidRPr="00B37498" w14:paraId="017932E7" w14:textId="77777777" w:rsidTr="008C084C">
        <w:tc>
          <w:tcPr>
            <w:tcW w:w="796" w:type="pct"/>
            <w:vMerge w:val="restart"/>
            <w:vAlign w:val="center"/>
          </w:tcPr>
          <w:p w14:paraId="0B3B5432" w14:textId="77777777" w:rsidR="00303211" w:rsidRPr="00B37498" w:rsidRDefault="00303211" w:rsidP="004B083B">
            <w:pPr>
              <w:pStyle w:val="COMTabletext"/>
            </w:pPr>
            <w:r w:rsidRPr="00B37498">
              <w:t>CLUSTER</w:t>
            </w:r>
          </w:p>
        </w:tc>
        <w:tc>
          <w:tcPr>
            <w:tcW w:w="3027" w:type="pct"/>
            <w:tcBorders>
              <w:bottom w:val="nil"/>
            </w:tcBorders>
          </w:tcPr>
          <w:p w14:paraId="7E19B9D5" w14:textId="77777777" w:rsidR="00303211" w:rsidRPr="00B37498" w:rsidRDefault="00303211" w:rsidP="004B083B">
            <w:pPr>
              <w:pStyle w:val="COMTabletext"/>
              <w:rPr>
                <w:szCs w:val="18"/>
              </w:rPr>
            </w:pPr>
            <w:r w:rsidRPr="00B37498">
              <w:rPr>
                <w:szCs w:val="18"/>
              </w:rPr>
              <w:t xml:space="preserve">A randomized, double-blind </w:t>
            </w:r>
            <w:proofErr w:type="gramStart"/>
            <w:r w:rsidRPr="00B37498">
              <w:rPr>
                <w:szCs w:val="18"/>
              </w:rPr>
              <w:t>placebo controlled</w:t>
            </w:r>
            <w:proofErr w:type="gramEnd"/>
            <w:r w:rsidRPr="00B37498">
              <w:rPr>
                <w:szCs w:val="18"/>
              </w:rPr>
              <w:t xml:space="preserve"> study of canakinumab in patients with Hereditary Periodic Fevers (TRAPS, HIDS, or </w:t>
            </w:r>
            <w:proofErr w:type="spellStart"/>
            <w:r w:rsidRPr="00B37498">
              <w:rPr>
                <w:szCs w:val="18"/>
              </w:rPr>
              <w:t>crFMF</w:t>
            </w:r>
            <w:proofErr w:type="spellEnd"/>
            <w:r w:rsidRPr="00B37498">
              <w:rPr>
                <w:szCs w:val="18"/>
              </w:rPr>
              <w:t>), with subsequent randomized withdrawal/dosing frequency reduction and open-label long term treatment epochs.</w:t>
            </w:r>
          </w:p>
        </w:tc>
        <w:tc>
          <w:tcPr>
            <w:tcW w:w="1177" w:type="pct"/>
            <w:tcBorders>
              <w:bottom w:val="nil"/>
            </w:tcBorders>
          </w:tcPr>
          <w:p w14:paraId="3BFB1F02" w14:textId="77777777" w:rsidR="00303211" w:rsidRPr="00B37498" w:rsidRDefault="00303211" w:rsidP="004B083B">
            <w:pPr>
              <w:pStyle w:val="COMTabletext"/>
            </w:pPr>
            <w:r w:rsidRPr="00B37498">
              <w:t>Clinical Study Reports, 20 January 2014:</w:t>
            </w:r>
          </w:p>
          <w:p w14:paraId="2BE168AB" w14:textId="77777777" w:rsidR="00303211" w:rsidRPr="00B37498" w:rsidRDefault="00303211" w:rsidP="004B083B">
            <w:pPr>
              <w:pStyle w:val="COMTabletext"/>
            </w:pPr>
            <w:r w:rsidRPr="00B37498">
              <w:t>Week 16 primary endpoint analysis; Week 40 analysis; Week 112 analysis.</w:t>
            </w:r>
          </w:p>
        </w:tc>
      </w:tr>
      <w:tr w:rsidR="00303211" w:rsidRPr="00B37498" w14:paraId="350D45A1" w14:textId="77777777">
        <w:tc>
          <w:tcPr>
            <w:tcW w:w="796" w:type="pct"/>
            <w:vMerge/>
            <w:vAlign w:val="center"/>
          </w:tcPr>
          <w:p w14:paraId="21A28609" w14:textId="77777777" w:rsidR="00303211" w:rsidRPr="00B37498" w:rsidRDefault="00303211" w:rsidP="004B083B">
            <w:pPr>
              <w:pStyle w:val="COMTabletext"/>
            </w:pPr>
          </w:p>
        </w:tc>
        <w:tc>
          <w:tcPr>
            <w:tcW w:w="3027" w:type="pct"/>
            <w:tcBorders>
              <w:top w:val="nil"/>
              <w:bottom w:val="nil"/>
              <w:right w:val="single" w:sz="4" w:space="0" w:color="auto"/>
            </w:tcBorders>
            <w:vAlign w:val="center"/>
          </w:tcPr>
          <w:p w14:paraId="72FCD0FF" w14:textId="77777777" w:rsidR="00303211" w:rsidRPr="00B37498" w:rsidRDefault="00303211" w:rsidP="004B083B">
            <w:pPr>
              <w:pStyle w:val="COMTabletext"/>
              <w:rPr>
                <w:szCs w:val="18"/>
              </w:rPr>
            </w:pPr>
            <w:r w:rsidRPr="00B37498">
              <w:rPr>
                <w:szCs w:val="18"/>
              </w:rPr>
              <w:t xml:space="preserve">De Benedetti F, </w:t>
            </w:r>
            <w:proofErr w:type="spellStart"/>
            <w:r w:rsidRPr="00B37498">
              <w:rPr>
                <w:szCs w:val="18"/>
              </w:rPr>
              <w:t>Gattorno</w:t>
            </w:r>
            <w:proofErr w:type="spellEnd"/>
            <w:r w:rsidRPr="00B37498">
              <w:rPr>
                <w:szCs w:val="18"/>
              </w:rPr>
              <w:t xml:space="preserve"> M, Anton J, et al. Canakinumab for the treatment of autoinflammatory recurrent fever syndromes.</w:t>
            </w:r>
          </w:p>
        </w:tc>
        <w:tc>
          <w:tcPr>
            <w:tcW w:w="1177" w:type="pct"/>
            <w:tcBorders>
              <w:top w:val="nil"/>
              <w:left w:val="single" w:sz="4" w:space="0" w:color="auto"/>
              <w:bottom w:val="nil"/>
            </w:tcBorders>
          </w:tcPr>
          <w:p w14:paraId="67EAC826" w14:textId="77777777" w:rsidR="00303211" w:rsidRPr="00B37498" w:rsidRDefault="00303211" w:rsidP="004B083B">
            <w:pPr>
              <w:pStyle w:val="COMTabletext"/>
              <w:spacing w:before="60" w:after="60"/>
            </w:pPr>
            <w:r w:rsidRPr="00B37498">
              <w:t>New Eng J Med 2018; 378(20): 1908-1919.</w:t>
            </w:r>
          </w:p>
        </w:tc>
      </w:tr>
      <w:tr w:rsidR="00303211" w:rsidRPr="00B37498" w14:paraId="35CCC3F7" w14:textId="77777777">
        <w:tc>
          <w:tcPr>
            <w:tcW w:w="796" w:type="pct"/>
            <w:vMerge/>
            <w:tcBorders>
              <w:bottom w:val="single" w:sz="4" w:space="0" w:color="auto"/>
            </w:tcBorders>
            <w:vAlign w:val="center"/>
          </w:tcPr>
          <w:p w14:paraId="5934F393" w14:textId="77777777" w:rsidR="00303211" w:rsidRPr="00B37498" w:rsidRDefault="00303211" w:rsidP="004B083B">
            <w:pPr>
              <w:pStyle w:val="COMTabletext"/>
            </w:pPr>
          </w:p>
        </w:tc>
        <w:tc>
          <w:tcPr>
            <w:tcW w:w="3027" w:type="pct"/>
            <w:tcBorders>
              <w:top w:val="nil"/>
              <w:bottom w:val="single" w:sz="4" w:space="0" w:color="auto"/>
              <w:right w:val="single" w:sz="4" w:space="0" w:color="auto"/>
            </w:tcBorders>
            <w:vAlign w:val="center"/>
          </w:tcPr>
          <w:p w14:paraId="5F71302F" w14:textId="77777777" w:rsidR="00303211" w:rsidRPr="00B37498" w:rsidRDefault="00303211" w:rsidP="004B083B">
            <w:pPr>
              <w:pStyle w:val="COMTabletext"/>
              <w:rPr>
                <w:szCs w:val="18"/>
              </w:rPr>
            </w:pPr>
            <w:r w:rsidRPr="00B37498">
              <w:rPr>
                <w:szCs w:val="18"/>
              </w:rPr>
              <w:t>Koné-</w:t>
            </w:r>
            <w:proofErr w:type="spellStart"/>
            <w:r w:rsidRPr="00B37498">
              <w:rPr>
                <w:szCs w:val="18"/>
              </w:rPr>
              <w:t>Paut</w:t>
            </w:r>
            <w:proofErr w:type="spellEnd"/>
            <w:r w:rsidRPr="00B37498">
              <w:rPr>
                <w:szCs w:val="18"/>
              </w:rPr>
              <w:t xml:space="preserve"> I, Piram M, </w:t>
            </w:r>
            <w:proofErr w:type="spellStart"/>
            <w:r w:rsidRPr="00B37498">
              <w:rPr>
                <w:szCs w:val="18"/>
              </w:rPr>
              <w:t>Benseler</w:t>
            </w:r>
            <w:proofErr w:type="spellEnd"/>
            <w:r w:rsidRPr="00B37498">
              <w:rPr>
                <w:szCs w:val="18"/>
              </w:rPr>
              <w:t xml:space="preserve"> S, et al. Use of the auto-inflammatory disease activity index to monitor disease activity in patients with colchicine-resistant Familial Mediterranean Fever, Mevalonate Kinase Deficiency, and TRAPS treated with canakinumab.</w:t>
            </w:r>
          </w:p>
        </w:tc>
        <w:tc>
          <w:tcPr>
            <w:tcW w:w="1177" w:type="pct"/>
            <w:tcBorders>
              <w:top w:val="nil"/>
              <w:left w:val="single" w:sz="4" w:space="0" w:color="auto"/>
              <w:bottom w:val="single" w:sz="4" w:space="0" w:color="auto"/>
            </w:tcBorders>
          </w:tcPr>
          <w:p w14:paraId="1452567D" w14:textId="77777777" w:rsidR="00303211" w:rsidRPr="00B37498" w:rsidRDefault="00303211" w:rsidP="004B083B">
            <w:pPr>
              <w:pStyle w:val="COMTabletext"/>
            </w:pPr>
            <w:r w:rsidRPr="00B37498">
              <w:t>Joint Bone Spine 2022; 89(6).</w:t>
            </w:r>
          </w:p>
        </w:tc>
      </w:tr>
    </w:tbl>
    <w:p w14:paraId="0B86AA4F" w14:textId="77777777" w:rsidR="00303211" w:rsidRPr="00B37498" w:rsidRDefault="00303211" w:rsidP="004B083B">
      <w:pPr>
        <w:pStyle w:val="COMTablefooter"/>
        <w:spacing w:after="0"/>
        <w:rPr>
          <w:sz w:val="20"/>
        </w:rPr>
      </w:pPr>
      <w:r w:rsidRPr="00B37498">
        <w:t>Source: Table 2.4, p84 of the submission.</w:t>
      </w:r>
    </w:p>
    <w:p w14:paraId="4840486E" w14:textId="37EF4AE6" w:rsidR="00303211" w:rsidRPr="00B37498" w:rsidRDefault="00303211" w:rsidP="004B083B">
      <w:pPr>
        <w:pStyle w:val="COMESnumberedpara"/>
        <w:spacing w:before="160"/>
      </w:pPr>
      <w:r w:rsidRPr="00B37498">
        <w:t xml:space="preserve">The key features of the CLUSTER trial are summarised in </w:t>
      </w:r>
      <w:r w:rsidR="008C084C" w:rsidRPr="00B37498">
        <w:fldChar w:fldCharType="begin"/>
      </w:r>
      <w:r w:rsidR="008C084C" w:rsidRPr="00B37498">
        <w:instrText xml:space="preserve"> REF _Ref216684116 \h </w:instrText>
      </w:r>
      <w:r w:rsidR="00B37498" w:rsidRPr="00B37498">
        <w:instrText xml:space="preserve"> \* MERGEFORMAT </w:instrText>
      </w:r>
      <w:r w:rsidR="008C084C" w:rsidRPr="00B37498">
        <w:fldChar w:fldCharType="separate"/>
      </w:r>
      <w:r w:rsidR="00815AB6" w:rsidRPr="00B37498">
        <w:t xml:space="preserve">Table </w:t>
      </w:r>
      <w:r w:rsidR="00815AB6">
        <w:rPr>
          <w:noProof/>
        </w:rPr>
        <w:t>3</w:t>
      </w:r>
      <w:r w:rsidR="008C084C" w:rsidRPr="00B37498">
        <w:fldChar w:fldCharType="end"/>
      </w:r>
      <w:r w:rsidRPr="00B37498">
        <w:t xml:space="preserve">. </w:t>
      </w:r>
    </w:p>
    <w:p w14:paraId="6527727C" w14:textId="6A218BBA" w:rsidR="00303211" w:rsidRPr="00B37498" w:rsidRDefault="00303211" w:rsidP="004B083B">
      <w:pPr>
        <w:pStyle w:val="COMtablefigcaption"/>
        <w:spacing w:before="160"/>
      </w:pPr>
      <w:bookmarkStart w:id="27" w:name="_Ref216684116"/>
      <w:r w:rsidRPr="00B37498">
        <w:t xml:space="preserve">Table </w:t>
      </w:r>
      <w:fldSimple w:instr=" SEQ Table \* ARABIC ">
        <w:r w:rsidR="00815AB6">
          <w:rPr>
            <w:noProof/>
          </w:rPr>
          <w:t>3</w:t>
        </w:r>
      </w:fldSimple>
      <w:bookmarkEnd w:id="27"/>
      <w:r w:rsidRPr="00B37498">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845"/>
        <w:gridCol w:w="426"/>
        <w:gridCol w:w="2269"/>
        <w:gridCol w:w="851"/>
        <w:gridCol w:w="1701"/>
        <w:gridCol w:w="1562"/>
        <w:gridCol w:w="1363"/>
      </w:tblGrid>
      <w:tr w:rsidR="00303211" w:rsidRPr="00B37498" w14:paraId="0E7F4EE2" w14:textId="77777777" w:rsidTr="00C66377">
        <w:trPr>
          <w:cantSplit/>
          <w:tblHeader/>
        </w:trPr>
        <w:tc>
          <w:tcPr>
            <w:tcW w:w="469" w:type="pct"/>
            <w:vAlign w:val="center"/>
          </w:tcPr>
          <w:p w14:paraId="355FE6AC" w14:textId="77777777" w:rsidR="00303211" w:rsidRPr="00B37498" w:rsidRDefault="00303211" w:rsidP="004B083B">
            <w:pPr>
              <w:pStyle w:val="COMTableheadingrow"/>
            </w:pPr>
            <w:r w:rsidRPr="00B37498">
              <w:t>Trial</w:t>
            </w:r>
          </w:p>
        </w:tc>
        <w:tc>
          <w:tcPr>
            <w:tcW w:w="236" w:type="pct"/>
            <w:vAlign w:val="center"/>
          </w:tcPr>
          <w:p w14:paraId="3B213657" w14:textId="77777777" w:rsidR="00303211" w:rsidRPr="00B37498" w:rsidRDefault="00303211" w:rsidP="004B083B">
            <w:pPr>
              <w:pStyle w:val="COMTableheadingrow"/>
              <w:jc w:val="center"/>
            </w:pPr>
            <w:r w:rsidRPr="00B37498">
              <w:t>N</w:t>
            </w:r>
          </w:p>
        </w:tc>
        <w:tc>
          <w:tcPr>
            <w:tcW w:w="1258" w:type="pct"/>
            <w:vAlign w:val="center"/>
          </w:tcPr>
          <w:p w14:paraId="042E89FE" w14:textId="77777777" w:rsidR="00303211" w:rsidRPr="00B37498" w:rsidRDefault="00303211" w:rsidP="004B083B">
            <w:pPr>
              <w:pStyle w:val="COMTableheadingrow"/>
              <w:jc w:val="center"/>
            </w:pPr>
            <w:r w:rsidRPr="00B37498">
              <w:t>Design/ duration</w:t>
            </w:r>
          </w:p>
        </w:tc>
        <w:tc>
          <w:tcPr>
            <w:tcW w:w="472" w:type="pct"/>
            <w:vAlign w:val="center"/>
          </w:tcPr>
          <w:p w14:paraId="08707559" w14:textId="77777777" w:rsidR="00303211" w:rsidRPr="00B37498" w:rsidRDefault="00303211" w:rsidP="004B083B">
            <w:pPr>
              <w:pStyle w:val="COMTableheadingrow"/>
              <w:jc w:val="center"/>
            </w:pPr>
            <w:r w:rsidRPr="00B37498">
              <w:t>Risk of bias</w:t>
            </w:r>
          </w:p>
        </w:tc>
        <w:tc>
          <w:tcPr>
            <w:tcW w:w="943" w:type="pct"/>
            <w:vAlign w:val="center"/>
          </w:tcPr>
          <w:p w14:paraId="5D5280EA" w14:textId="77777777" w:rsidR="00303211" w:rsidRPr="00B37498" w:rsidRDefault="00303211" w:rsidP="004B083B">
            <w:pPr>
              <w:pStyle w:val="COMTableheadingrow"/>
              <w:jc w:val="center"/>
            </w:pPr>
            <w:r w:rsidRPr="00B37498">
              <w:t>Patient population</w:t>
            </w:r>
          </w:p>
        </w:tc>
        <w:tc>
          <w:tcPr>
            <w:tcW w:w="866" w:type="pct"/>
            <w:vAlign w:val="center"/>
          </w:tcPr>
          <w:p w14:paraId="412889F1" w14:textId="1F44554B" w:rsidR="00303211" w:rsidRPr="00B37498" w:rsidRDefault="00303211" w:rsidP="004B083B">
            <w:pPr>
              <w:pStyle w:val="COMTableheadingrow"/>
              <w:jc w:val="center"/>
            </w:pPr>
            <w:r w:rsidRPr="00B37498">
              <w:t>Outcomes</w:t>
            </w:r>
          </w:p>
        </w:tc>
        <w:tc>
          <w:tcPr>
            <w:tcW w:w="757" w:type="pct"/>
            <w:vAlign w:val="center"/>
          </w:tcPr>
          <w:p w14:paraId="4B40C2D5" w14:textId="77777777" w:rsidR="00303211" w:rsidRPr="00B37498" w:rsidRDefault="00303211" w:rsidP="004B083B">
            <w:pPr>
              <w:pStyle w:val="COMTableheadingrow"/>
              <w:jc w:val="center"/>
            </w:pPr>
            <w:r w:rsidRPr="00B37498">
              <w:t>Use in modelled evaluation</w:t>
            </w:r>
          </w:p>
        </w:tc>
      </w:tr>
      <w:tr w:rsidR="00303211" w:rsidRPr="00B37498" w14:paraId="73ADFAFD" w14:textId="77777777">
        <w:trPr>
          <w:cantSplit/>
        </w:trPr>
        <w:tc>
          <w:tcPr>
            <w:tcW w:w="5000" w:type="pct"/>
            <w:gridSpan w:val="7"/>
            <w:vAlign w:val="center"/>
          </w:tcPr>
          <w:p w14:paraId="4501DDFD" w14:textId="77777777" w:rsidR="00303211" w:rsidRPr="00B37498" w:rsidRDefault="00303211" w:rsidP="004B083B">
            <w:pPr>
              <w:pStyle w:val="COMTableheadingrow"/>
            </w:pPr>
            <w:r w:rsidRPr="00B37498">
              <w:t>Canakinumab plus BSC versus BSC alone</w:t>
            </w:r>
          </w:p>
        </w:tc>
      </w:tr>
      <w:tr w:rsidR="00303211" w:rsidRPr="00B37498" w14:paraId="7003F1ED" w14:textId="77777777" w:rsidTr="00C66377">
        <w:trPr>
          <w:cantSplit/>
        </w:trPr>
        <w:tc>
          <w:tcPr>
            <w:tcW w:w="469" w:type="pct"/>
            <w:vAlign w:val="center"/>
          </w:tcPr>
          <w:p w14:paraId="7482B212" w14:textId="77777777" w:rsidR="00303211" w:rsidRPr="00B37498" w:rsidRDefault="00303211" w:rsidP="004B083B">
            <w:pPr>
              <w:pStyle w:val="COMTabletext"/>
            </w:pPr>
            <w:r w:rsidRPr="00B37498">
              <w:t>CLUSTER</w:t>
            </w:r>
          </w:p>
        </w:tc>
        <w:tc>
          <w:tcPr>
            <w:tcW w:w="236" w:type="pct"/>
            <w:vAlign w:val="center"/>
          </w:tcPr>
          <w:p w14:paraId="54F6479C" w14:textId="77777777" w:rsidR="00303211" w:rsidRPr="00B37498" w:rsidRDefault="00303211" w:rsidP="004B083B">
            <w:pPr>
              <w:pStyle w:val="COMTabletext"/>
              <w:jc w:val="center"/>
            </w:pPr>
            <w:r w:rsidRPr="00B37498">
              <w:t>63</w:t>
            </w:r>
          </w:p>
        </w:tc>
        <w:tc>
          <w:tcPr>
            <w:tcW w:w="1258" w:type="pct"/>
            <w:vAlign w:val="center"/>
          </w:tcPr>
          <w:p w14:paraId="07261B3E" w14:textId="715276EC" w:rsidR="00303211" w:rsidRPr="00B37498" w:rsidRDefault="00303211" w:rsidP="004B083B">
            <w:pPr>
              <w:pStyle w:val="COMTabletext"/>
              <w:jc w:val="center"/>
            </w:pPr>
            <w:r w:rsidRPr="00B37498">
              <w:t xml:space="preserve">MC, 4 </w:t>
            </w:r>
            <w:r w:rsidR="00434491" w:rsidRPr="00B37498">
              <w:t>s</w:t>
            </w:r>
            <w:r w:rsidRPr="00B37498">
              <w:t xml:space="preserve">tage trial with DB, </w:t>
            </w:r>
            <w:r w:rsidR="00501C90" w:rsidRPr="00B37498">
              <w:t>randomised</w:t>
            </w:r>
            <w:r w:rsidRPr="00B37498">
              <w:t xml:space="preserve"> stage (16 weeks), DB, re-randomised stage for responders (24 weeks)</w:t>
            </w:r>
            <w:r w:rsidR="00501C90" w:rsidRPr="00B37498">
              <w:t xml:space="preserve"> plus OL cohort,</w:t>
            </w:r>
            <w:r w:rsidRPr="00B37498">
              <w:t xml:space="preserve"> and </w:t>
            </w:r>
            <w:proofErr w:type="gramStart"/>
            <w:r w:rsidRPr="00B37498">
              <w:t>long term</w:t>
            </w:r>
            <w:proofErr w:type="gramEnd"/>
            <w:r w:rsidRPr="00B37498">
              <w:t xml:space="preserve"> follow-up (72 weeks)</w:t>
            </w:r>
          </w:p>
        </w:tc>
        <w:tc>
          <w:tcPr>
            <w:tcW w:w="472" w:type="pct"/>
            <w:vAlign w:val="center"/>
          </w:tcPr>
          <w:p w14:paraId="5BEFDEC1" w14:textId="77777777" w:rsidR="00303211" w:rsidRPr="00B37498" w:rsidRDefault="00303211" w:rsidP="004B083B">
            <w:pPr>
              <w:pStyle w:val="COMTabletext"/>
              <w:jc w:val="center"/>
            </w:pPr>
            <w:r w:rsidRPr="00B37498">
              <w:t>Unclear</w:t>
            </w:r>
          </w:p>
        </w:tc>
        <w:tc>
          <w:tcPr>
            <w:tcW w:w="943" w:type="pct"/>
            <w:vAlign w:val="center"/>
          </w:tcPr>
          <w:p w14:paraId="1C418C06" w14:textId="77777777" w:rsidR="00303211" w:rsidRPr="00B37498" w:rsidRDefault="00303211" w:rsidP="004B083B">
            <w:pPr>
              <w:pStyle w:val="COMTabletext"/>
              <w:jc w:val="center"/>
            </w:pPr>
            <w:r w:rsidRPr="00B37498">
              <w:t>Patients with FMF aged ≥2 years with active disease despite maximum tolerated colchicine therapy</w:t>
            </w:r>
          </w:p>
        </w:tc>
        <w:tc>
          <w:tcPr>
            <w:tcW w:w="866" w:type="pct"/>
            <w:vAlign w:val="center"/>
          </w:tcPr>
          <w:p w14:paraId="19A589F7" w14:textId="77777777" w:rsidR="00303211" w:rsidRPr="00B37498" w:rsidRDefault="00303211" w:rsidP="004B083B">
            <w:pPr>
              <w:pStyle w:val="COMTabletext"/>
              <w:jc w:val="center"/>
            </w:pPr>
            <w:r w:rsidRPr="00B37498">
              <w:t>Complete response, PGA, CRP, SAA response,</w:t>
            </w:r>
          </w:p>
          <w:p w14:paraId="7EAA7CA7" w14:textId="0AC9E1D7" w:rsidR="00303211" w:rsidRPr="00B37498" w:rsidRDefault="00434491" w:rsidP="004B083B">
            <w:pPr>
              <w:pStyle w:val="COMTabletext"/>
              <w:jc w:val="center"/>
            </w:pPr>
            <w:r w:rsidRPr="00B37498">
              <w:t>n</w:t>
            </w:r>
            <w:r w:rsidR="00303211" w:rsidRPr="00B37498">
              <w:t>umber of flares,</w:t>
            </w:r>
          </w:p>
          <w:p w14:paraId="6D7D0E26" w14:textId="56AFECAF" w:rsidR="00303211" w:rsidRPr="00B37498" w:rsidRDefault="00303211" w:rsidP="004B083B">
            <w:pPr>
              <w:pStyle w:val="COMTabletext"/>
              <w:jc w:val="center"/>
            </w:pPr>
            <w:proofErr w:type="spellStart"/>
            <w:r w:rsidRPr="00B37498">
              <w:t>HRQoL</w:t>
            </w:r>
            <w:proofErr w:type="spellEnd"/>
            <w:r w:rsidRPr="00B37498">
              <w:t xml:space="preserve">, </w:t>
            </w:r>
            <w:r w:rsidR="00C87333" w:rsidRPr="00B37498">
              <w:t>a</w:t>
            </w:r>
            <w:r w:rsidR="0018593D" w:rsidRPr="00B37498">
              <w:t>dverse events</w:t>
            </w:r>
          </w:p>
        </w:tc>
        <w:tc>
          <w:tcPr>
            <w:tcW w:w="757" w:type="pct"/>
            <w:vAlign w:val="center"/>
          </w:tcPr>
          <w:p w14:paraId="7194AED4" w14:textId="136434CC" w:rsidR="0018593D" w:rsidRPr="00B37498" w:rsidRDefault="0018593D" w:rsidP="004B083B">
            <w:pPr>
              <w:pStyle w:val="COMTabletext"/>
              <w:jc w:val="center"/>
            </w:pPr>
            <w:r w:rsidRPr="00B37498">
              <w:t xml:space="preserve">Number of flares, </w:t>
            </w:r>
            <w:proofErr w:type="spellStart"/>
            <w:r w:rsidRPr="00B37498">
              <w:t>HRQoL</w:t>
            </w:r>
            <w:proofErr w:type="spellEnd"/>
            <w:r w:rsidRPr="00B37498">
              <w:t>, adverse events</w:t>
            </w:r>
          </w:p>
        </w:tc>
      </w:tr>
    </w:tbl>
    <w:p w14:paraId="6264F520" w14:textId="4F780228" w:rsidR="00303211" w:rsidRPr="00B37498" w:rsidRDefault="00303211" w:rsidP="004B083B">
      <w:pPr>
        <w:pStyle w:val="COMTablefooter"/>
      </w:pPr>
      <w:r w:rsidRPr="00B37498">
        <w:t xml:space="preserve">Source: </w:t>
      </w:r>
      <w:r w:rsidR="00143CEF" w:rsidRPr="00B37498">
        <w:t xml:space="preserve">Table 2.10, pp103-104; </w:t>
      </w:r>
      <w:r w:rsidR="00403070" w:rsidRPr="00B37498">
        <w:t>Table 2.14, pp115-116;</w:t>
      </w:r>
      <w:r w:rsidR="00A709C5" w:rsidRPr="00B37498">
        <w:t xml:space="preserve"> Section 2.3, p85 of the submission.</w:t>
      </w:r>
      <w:r w:rsidR="00403070" w:rsidRPr="00B37498">
        <w:t xml:space="preserve"> </w:t>
      </w:r>
    </w:p>
    <w:p w14:paraId="561CB958" w14:textId="131865F0" w:rsidR="00303211" w:rsidRPr="00B37498" w:rsidRDefault="00303211" w:rsidP="004B083B">
      <w:pPr>
        <w:pStyle w:val="COMTablefooter"/>
        <w:rPr>
          <w:sz w:val="20"/>
        </w:rPr>
      </w:pPr>
      <w:r w:rsidRPr="00B37498">
        <w:lastRenderedPageBreak/>
        <w:t xml:space="preserve">Abbreviations: BSC, best supportive care; CRP, C-reactive protein; DB, double blind; </w:t>
      </w:r>
      <w:proofErr w:type="spellStart"/>
      <w:r w:rsidRPr="00B37498">
        <w:t>HRQoL</w:t>
      </w:r>
      <w:proofErr w:type="spellEnd"/>
      <w:r w:rsidRPr="00B37498">
        <w:t xml:space="preserve">, health-related quality of life; MC, multi-centre; OL, open label; PGA, </w:t>
      </w:r>
      <w:r w:rsidR="000B375F" w:rsidRPr="00B37498">
        <w:t>Physician Global</w:t>
      </w:r>
      <w:r w:rsidRPr="00B37498">
        <w:t xml:space="preserve"> Assessment; R, randomised; SAA, serum amyloid A.</w:t>
      </w:r>
    </w:p>
    <w:p w14:paraId="26FF5450" w14:textId="6899A428" w:rsidR="00303211" w:rsidRPr="00B37498" w:rsidRDefault="00303211" w:rsidP="004B083B">
      <w:pPr>
        <w:pStyle w:val="COMESnumberedpara"/>
        <w:spacing w:before="160" w:after="160"/>
      </w:pPr>
      <w:r w:rsidRPr="00B37498">
        <w:t xml:space="preserve">The CLUSTER trial is a multi-stage </w:t>
      </w:r>
      <w:r w:rsidR="00434491" w:rsidRPr="00B37498">
        <w:t>p</w:t>
      </w:r>
      <w:r w:rsidRPr="00B37498">
        <w:t xml:space="preserve">hase 3 trial comparing canakinumab added to </w:t>
      </w:r>
      <w:r w:rsidR="002A7DB0" w:rsidRPr="00B37498">
        <w:t>BSC</w:t>
      </w:r>
      <w:r w:rsidRPr="00B37498">
        <w:t xml:space="preserve"> with </w:t>
      </w:r>
      <w:r w:rsidR="002A7DB0" w:rsidRPr="00B37498">
        <w:t>BSC</w:t>
      </w:r>
      <w:r w:rsidRPr="00B37498">
        <w:t xml:space="preserve"> alone in </w:t>
      </w:r>
      <w:r w:rsidR="00434491" w:rsidRPr="00B37498">
        <w:t>3</w:t>
      </w:r>
      <w:r w:rsidRPr="00B37498">
        <w:t xml:space="preserve"> randomised cohorts of patients with different periodic fever syndromes</w:t>
      </w:r>
      <w:r w:rsidR="0093317A" w:rsidRPr="00B37498">
        <w:t>,</w:t>
      </w:r>
      <w:r w:rsidRPr="00B37498">
        <w:t xml:space="preserve"> including colchicine-resistant FMF. The proposed PBS population aligns with a subgroup of the colchicine-resistant FMF cohort who are aged &lt;18 years, while results from the total colchicine-resistant FMF cohort inform treatment outcomes once these patients continue treatment into adulthood. </w:t>
      </w:r>
    </w:p>
    <w:p w14:paraId="7EF08CD3" w14:textId="75BCF59E" w:rsidR="00255830" w:rsidRPr="00B37498" w:rsidRDefault="00303211" w:rsidP="004B083B">
      <w:pPr>
        <w:pStyle w:val="COMESnumberedpara"/>
        <w:spacing w:before="160" w:after="160"/>
      </w:pPr>
      <w:r w:rsidRPr="00B37498">
        <w:t xml:space="preserve">The </w:t>
      </w:r>
      <w:r w:rsidR="00434491" w:rsidRPr="00B37498">
        <w:t>4</w:t>
      </w:r>
      <w:r w:rsidRPr="00B37498">
        <w:t xml:space="preserve"> stages of the CLUSTER trial</w:t>
      </w:r>
      <w:r w:rsidR="00255830" w:rsidRPr="00B37498">
        <w:t xml:space="preserve"> are summarised in </w:t>
      </w:r>
      <w:r w:rsidR="00C63838" w:rsidRPr="00B37498">
        <w:fldChar w:fldCharType="begin"/>
      </w:r>
      <w:r w:rsidR="00C63838" w:rsidRPr="00B37498">
        <w:instrText xml:space="preserve"> REF _Ref216700723 \h </w:instrText>
      </w:r>
      <w:r w:rsidR="00B37498" w:rsidRPr="00B37498">
        <w:instrText xml:space="preserve"> \* MERGEFORMAT </w:instrText>
      </w:r>
      <w:r w:rsidR="00C63838" w:rsidRPr="00B37498">
        <w:fldChar w:fldCharType="separate"/>
      </w:r>
      <w:r w:rsidR="00815AB6" w:rsidRPr="00B37498">
        <w:t xml:space="preserve">Figure </w:t>
      </w:r>
      <w:r w:rsidR="00815AB6">
        <w:rPr>
          <w:noProof/>
        </w:rPr>
        <w:t>1</w:t>
      </w:r>
      <w:r w:rsidR="00C63838" w:rsidRPr="00B37498">
        <w:fldChar w:fldCharType="end"/>
      </w:r>
      <w:r w:rsidR="00255830" w:rsidRPr="00B37498">
        <w:t xml:space="preserve">. </w:t>
      </w:r>
    </w:p>
    <w:p w14:paraId="6A0B7529" w14:textId="3886E263" w:rsidR="00C63838" w:rsidRPr="00B37498" w:rsidRDefault="00C63838" w:rsidP="004B083B">
      <w:pPr>
        <w:pStyle w:val="COMtablefigcaption"/>
      </w:pPr>
      <w:bookmarkStart w:id="28" w:name="_Ref216700723"/>
      <w:r w:rsidRPr="00B37498">
        <w:t xml:space="preserve">Figure </w:t>
      </w:r>
      <w:fldSimple w:instr=" SEQ Figure \* ARABIC ">
        <w:r w:rsidR="00815AB6">
          <w:rPr>
            <w:noProof/>
          </w:rPr>
          <w:t>1</w:t>
        </w:r>
      </w:fldSimple>
      <w:bookmarkEnd w:id="28"/>
      <w:r w:rsidRPr="00B37498">
        <w:t>: CLUSTER trial study design</w:t>
      </w:r>
    </w:p>
    <w:p w14:paraId="549A8BDF" w14:textId="77777777" w:rsidR="00C63838" w:rsidRPr="00B37498" w:rsidRDefault="00C63838" w:rsidP="004B083B">
      <w:pPr>
        <w:pStyle w:val="COMTablefooter"/>
      </w:pPr>
      <w:r w:rsidRPr="00B37498">
        <w:rPr>
          <w:noProof/>
        </w:rPr>
        <w:drawing>
          <wp:inline distT="0" distB="0" distL="0" distR="0" wp14:anchorId="5F3B5B1E" wp14:editId="58EE8A62">
            <wp:extent cx="5732145" cy="4211320"/>
            <wp:effectExtent l="0" t="0" r="1905" b="0"/>
            <wp:docPr id="1302493323" name="Picture 1" descr="Figure 1: CLUSTER trial study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93323" name="Picture 1" descr="Figure 1: CLUSTER trial study design"/>
                    <pic:cNvPicPr/>
                  </pic:nvPicPr>
                  <pic:blipFill>
                    <a:blip r:embed="rId11"/>
                    <a:stretch>
                      <a:fillRect/>
                    </a:stretch>
                  </pic:blipFill>
                  <pic:spPr>
                    <a:xfrm>
                      <a:off x="0" y="0"/>
                      <a:ext cx="5732145" cy="4211320"/>
                    </a:xfrm>
                    <a:prstGeom prst="rect">
                      <a:avLst/>
                    </a:prstGeom>
                  </pic:spPr>
                </pic:pic>
              </a:graphicData>
            </a:graphic>
          </wp:inline>
        </w:drawing>
      </w:r>
    </w:p>
    <w:p w14:paraId="47F4CC05" w14:textId="77777777" w:rsidR="00C63838" w:rsidRPr="00B37498" w:rsidRDefault="00C63838" w:rsidP="004B083B">
      <w:pPr>
        <w:pStyle w:val="COMTablefooter"/>
      </w:pPr>
      <w:r w:rsidRPr="00B37498">
        <w:t>Source: Figure 2.2, p87 of the submission</w:t>
      </w:r>
    </w:p>
    <w:p w14:paraId="1543A5C6" w14:textId="77777777" w:rsidR="00C63838" w:rsidRPr="00B37498" w:rsidRDefault="00C63838" w:rsidP="004B083B">
      <w:pPr>
        <w:pStyle w:val="COMTablefooter"/>
      </w:pPr>
      <w:r w:rsidRPr="00B37498">
        <w:t xml:space="preserve">Abbreviations: CAN, canakinumab; </w:t>
      </w:r>
      <w:proofErr w:type="spellStart"/>
      <w:r w:rsidRPr="00B37498">
        <w:t>crFMF</w:t>
      </w:r>
      <w:proofErr w:type="spellEnd"/>
      <w:r w:rsidRPr="00B37498">
        <w:t>, colchicine-resistant familial Mediterranean fever; HIDS, hyperimmunoglobulin D syndrome; q4w, every 4 weeks; q8w, every 8 weeks; TRAPS, tumour necrosis factor receptor associated periodic syndrome.</w:t>
      </w:r>
    </w:p>
    <w:p w14:paraId="2C5257C2" w14:textId="506FB030" w:rsidR="00303211" w:rsidRPr="00B37498" w:rsidRDefault="00255830" w:rsidP="004B083B">
      <w:pPr>
        <w:pStyle w:val="COMESnumberedpara"/>
        <w:spacing w:before="160" w:after="160"/>
        <w:rPr>
          <w:rFonts w:cstheme="minorHAnsi"/>
        </w:rPr>
      </w:pPr>
      <w:r w:rsidRPr="00B37498">
        <w:rPr>
          <w:rFonts w:cstheme="minorHAnsi"/>
        </w:rPr>
        <w:t>The trial</w:t>
      </w:r>
      <w:r w:rsidR="00303211" w:rsidRPr="00B37498">
        <w:rPr>
          <w:rFonts w:cstheme="minorHAnsi"/>
        </w:rPr>
        <w:t xml:space="preserve"> include</w:t>
      </w:r>
      <w:r w:rsidR="00090CCB" w:rsidRPr="00B37498">
        <w:rPr>
          <w:rFonts w:cstheme="minorHAnsi"/>
        </w:rPr>
        <w:t>d</w:t>
      </w:r>
      <w:r w:rsidR="00303211" w:rsidRPr="00B37498">
        <w:rPr>
          <w:rFonts w:cstheme="minorHAnsi"/>
        </w:rPr>
        <w:t xml:space="preserve"> a screening stage of up to 12 weeks (Stage 1), during </w:t>
      </w:r>
      <w:r w:rsidR="00652739" w:rsidRPr="00B37498">
        <w:rPr>
          <w:rFonts w:cstheme="minorHAnsi"/>
        </w:rPr>
        <w:t>which eligible patients</w:t>
      </w:r>
      <w:r w:rsidR="00303211" w:rsidRPr="00B37498">
        <w:rPr>
          <w:rFonts w:cstheme="minorHAnsi"/>
        </w:rPr>
        <w:t xml:space="preserve"> who experienced a disease flare could immediately enter the randomised treatment stage (Stage 2, 16 weeks duration). Patients were randomised to canakinumab 150 mg (or 2 mg/kg for patients with body weight </w:t>
      </w:r>
      <w:r w:rsidR="009F7D53" w:rsidRPr="00B37498">
        <w:rPr>
          <w:rFonts w:cstheme="minorHAnsi"/>
        </w:rPr>
        <w:t>≤40 kg</w:t>
      </w:r>
      <w:r w:rsidR="00303211" w:rsidRPr="00B37498">
        <w:rPr>
          <w:rFonts w:cstheme="minorHAnsi"/>
        </w:rPr>
        <w:t xml:space="preserve">) every 4 weeks or matched placebo, both with concomitant </w:t>
      </w:r>
      <w:r w:rsidR="002A7DB0" w:rsidRPr="00B37498">
        <w:rPr>
          <w:rFonts w:cstheme="minorHAnsi"/>
        </w:rPr>
        <w:t>BSC</w:t>
      </w:r>
      <w:r w:rsidR="00303211" w:rsidRPr="00B37498">
        <w:rPr>
          <w:rFonts w:cstheme="minorHAnsi"/>
        </w:rPr>
        <w:t xml:space="preserve">. Patients whose index flare had resolved remained on their randomised treatment and dosage. There were 2 possible escape options for patients who did not respond to treatment of their index disease </w:t>
      </w:r>
      <w:r w:rsidR="00303211" w:rsidRPr="00B37498">
        <w:rPr>
          <w:rFonts w:cstheme="minorHAnsi"/>
        </w:rPr>
        <w:lastRenderedPageBreak/>
        <w:t xml:space="preserve">flare: blinded escape from Day 1 to Day 28, where the randomised therapy remained </w:t>
      </w:r>
      <w:r w:rsidR="00165308" w:rsidRPr="00B37498">
        <w:rPr>
          <w:rFonts w:cstheme="minorHAnsi"/>
        </w:rPr>
        <w:t>blinded,</w:t>
      </w:r>
      <w:r w:rsidR="00303211" w:rsidRPr="00B37498">
        <w:rPr>
          <w:rFonts w:cstheme="minorHAnsi"/>
        </w:rPr>
        <w:t xml:space="preserve"> but patients received a single add-on subcutaneous injection of canakinumab 150 mg (or 2 mg/kg</w:t>
      </w:r>
      <w:r w:rsidR="00A729B7" w:rsidRPr="00B37498">
        <w:rPr>
          <w:rFonts w:cstheme="minorHAnsi"/>
        </w:rPr>
        <w:t>) and</w:t>
      </w:r>
      <w:r w:rsidR="00303211" w:rsidRPr="00B37498">
        <w:rPr>
          <w:rFonts w:cstheme="minorHAnsi"/>
        </w:rPr>
        <w:t xml:space="preserve"> were then up-titrated to the ongoing higher dose from Day</w:t>
      </w:r>
      <w:r w:rsidR="00C87333" w:rsidRPr="00B37498">
        <w:rPr>
          <w:rFonts w:cstheme="minorHAnsi"/>
        </w:rPr>
        <w:t> </w:t>
      </w:r>
      <w:r w:rsidR="00303211" w:rsidRPr="00B37498">
        <w:rPr>
          <w:rFonts w:cstheme="minorHAnsi"/>
        </w:rPr>
        <w:t xml:space="preserve">29 onwards. This resulted in patients initially randomised to canakinumab 150 mg (or 2 mg/kg) every 4 weeks receiving blinded treatment with canakinumab 300 mg </w:t>
      </w:r>
      <w:r w:rsidR="0018593D" w:rsidRPr="00B37498">
        <w:rPr>
          <w:rFonts w:cstheme="minorHAnsi"/>
        </w:rPr>
        <w:t>(or 4</w:t>
      </w:r>
      <w:r w:rsidR="004F2CC3" w:rsidRPr="00B37498">
        <w:rPr>
          <w:rFonts w:cstheme="minorHAnsi"/>
        </w:rPr>
        <w:t> </w:t>
      </w:r>
      <w:r w:rsidR="0018593D" w:rsidRPr="00B37498">
        <w:rPr>
          <w:rFonts w:cstheme="minorHAnsi"/>
        </w:rPr>
        <w:t xml:space="preserve">mg/kg) </w:t>
      </w:r>
      <w:r w:rsidR="00303211" w:rsidRPr="00B37498">
        <w:rPr>
          <w:rFonts w:cstheme="minorHAnsi"/>
        </w:rPr>
        <w:t xml:space="preserve">every 4 weeks, and patients initially randomised to placebo receiving blinded treatment with canakinumab 150 mg (or </w:t>
      </w:r>
      <w:r w:rsidR="0018593D" w:rsidRPr="00B37498">
        <w:rPr>
          <w:rFonts w:cstheme="minorHAnsi"/>
        </w:rPr>
        <w:t>2 </w:t>
      </w:r>
      <w:r w:rsidR="00303211" w:rsidRPr="00B37498">
        <w:rPr>
          <w:rFonts w:cstheme="minorHAnsi"/>
        </w:rPr>
        <w:t>mg/kg) plus placebo injection every 4</w:t>
      </w:r>
      <w:r w:rsidR="004F2CC3" w:rsidRPr="00B37498">
        <w:rPr>
          <w:rFonts w:cstheme="minorHAnsi"/>
        </w:rPr>
        <w:t> </w:t>
      </w:r>
      <w:r w:rsidR="00303211" w:rsidRPr="00B37498">
        <w:rPr>
          <w:rFonts w:cstheme="minorHAnsi"/>
        </w:rPr>
        <w:t>weeks for the remainder of the randomised phase. If on or after day 29 patients still had disease activity (both clinical and laboratory measures of disease flare), patients randomised to canakinumab moved to open-label treatment with canakinumab 300</w:t>
      </w:r>
      <w:r w:rsidR="004F2CC3" w:rsidRPr="00B37498">
        <w:rPr>
          <w:rFonts w:cstheme="minorHAnsi"/>
        </w:rPr>
        <w:t> </w:t>
      </w:r>
      <w:r w:rsidR="00303211" w:rsidRPr="00B37498">
        <w:rPr>
          <w:rFonts w:cstheme="minorHAnsi"/>
        </w:rPr>
        <w:t>mg every 4 weeks, and patients randomised to placebo moved to open-label treatment with canakinumab 150 mg every 4 weeks (with the option to increase to 300 mg every 4 weeks if needed). Patients who had already received blinded escape prior to Day 29 and who required a second up-titration on or after Day 29 were also eligible to move to open label up-titrated doses. However, patients were not permitted to exceed the maximum canakinumab dose of 300 mg every 4 weeks.</w:t>
      </w:r>
    </w:p>
    <w:p w14:paraId="6DFD6705" w14:textId="587A8612" w:rsidR="00303211" w:rsidRPr="00B37498" w:rsidRDefault="00303211" w:rsidP="004B083B">
      <w:pPr>
        <w:pStyle w:val="COMESnumberedpara"/>
        <w:spacing w:before="160" w:after="160"/>
        <w:rPr>
          <w:rFonts w:cstheme="minorHAnsi"/>
        </w:rPr>
      </w:pPr>
      <w:r w:rsidRPr="00B37498">
        <w:rPr>
          <w:rFonts w:cstheme="minorHAnsi"/>
        </w:rPr>
        <w:t>In Stage 3 (dose tapering/withdrawal phase), patients who were initially randomised to the canakinumab arm whose index flare had resolved and who did not have an additional disease flare in Stage 2 (canakinumab responders) were re-randomised to canakinumab 150 mg (or 2 mg/kg) or placebo every 8 weeks for 24 weeks to assess the potential for canakinumab to maintain clinical efficacy at a reduced dosing frequency or complete withdrawal. Patients randomised to placebo who did not have an additional disease flare in Stage 2 were considered placebo responders and were withdrawn from study treatment. Patients who required any up-titration or crossed over from placebo to canakinumab treatment during Stage 2 were switched to open label 8</w:t>
      </w:r>
      <w:r w:rsidR="003E30A1" w:rsidRPr="00B37498">
        <w:rPr>
          <w:rFonts w:cstheme="minorHAnsi"/>
        </w:rPr>
        <w:t>-</w:t>
      </w:r>
      <w:r w:rsidRPr="00B37498">
        <w:rPr>
          <w:rFonts w:cstheme="minorHAnsi"/>
        </w:rPr>
        <w:t xml:space="preserve">weekly dosing at their current escape dose of 150 mg or 300 </w:t>
      </w:r>
      <w:r w:rsidR="00165308" w:rsidRPr="00B37498">
        <w:rPr>
          <w:rFonts w:cstheme="minorHAnsi"/>
        </w:rPr>
        <w:t>mg but</w:t>
      </w:r>
      <w:r w:rsidRPr="00B37498">
        <w:rPr>
          <w:rFonts w:cstheme="minorHAnsi"/>
        </w:rPr>
        <w:t xml:space="preserve"> were allowed to revert to 4</w:t>
      </w:r>
      <w:r w:rsidR="003E30A1" w:rsidRPr="00B37498">
        <w:rPr>
          <w:rFonts w:cstheme="minorHAnsi"/>
        </w:rPr>
        <w:t>-</w:t>
      </w:r>
      <w:r w:rsidRPr="00B37498">
        <w:rPr>
          <w:rFonts w:cstheme="minorHAnsi"/>
        </w:rPr>
        <w:t>weekly dosing in the event of a re-flare. In the event of a disease flare less than 8 weeks into Stage 3, patients re-randomised to placebo were switched to open label canakinumab 150 mg every 4 weeks, while a flare after 8 weeks resulted in a switch to open</w:t>
      </w:r>
      <w:r w:rsidR="007421D8">
        <w:rPr>
          <w:rFonts w:cstheme="minorHAnsi"/>
        </w:rPr>
        <w:t xml:space="preserve"> </w:t>
      </w:r>
      <w:r w:rsidRPr="00B37498">
        <w:rPr>
          <w:rFonts w:cstheme="minorHAnsi"/>
        </w:rPr>
        <w:t xml:space="preserve">label canakinumab 150 mg every 8 weeks. Patients re-randomised to canakinumab 150 mg every 8 weeks who had a disease flare reverted to open label canakinumab 150 mg every 4 weeks. </w:t>
      </w:r>
    </w:p>
    <w:p w14:paraId="2D6617D7" w14:textId="0D043515" w:rsidR="00303211" w:rsidRPr="00B37498" w:rsidRDefault="00303211" w:rsidP="004B083B">
      <w:pPr>
        <w:pStyle w:val="COMESnumberedpara"/>
        <w:spacing w:before="160" w:after="160"/>
        <w:rPr>
          <w:rFonts w:cstheme="minorHAnsi"/>
        </w:rPr>
      </w:pPr>
      <w:r w:rsidRPr="00B37498">
        <w:rPr>
          <w:rFonts w:cstheme="minorHAnsi"/>
        </w:rPr>
        <w:t>Stage 4 of the CLUSTER trial was an open-label long-term safety follow-up (72 weeks duration), with up-titration of canakinumab permitted on disease flare to a maximum of 300 mg every 4 weeks. Patients already receiving canakinumab in Stage 3 continued their dosing regime</w:t>
      </w:r>
      <w:r w:rsidR="003115A2" w:rsidRPr="00B37498">
        <w:rPr>
          <w:rFonts w:cstheme="minorHAnsi"/>
        </w:rPr>
        <w:t>n</w:t>
      </w:r>
      <w:r w:rsidRPr="00B37498">
        <w:rPr>
          <w:rFonts w:cstheme="minorHAnsi"/>
        </w:rPr>
        <w:t xml:space="preserve"> into Stage 4, while placebo-treated patients attended scheduled visits but did not receive ongoing investigational treatments. Patients who re-flared during Stage 4 received open-label canakinumab 150 mg every 8 weeks, with up-titration as required. No down titration was permitted during Stage 4.</w:t>
      </w:r>
    </w:p>
    <w:p w14:paraId="40AD51AC" w14:textId="0AEBA38B" w:rsidR="00303211" w:rsidRPr="00B37498" w:rsidRDefault="00303211" w:rsidP="004B083B">
      <w:pPr>
        <w:pStyle w:val="COMESnumberedpara"/>
        <w:spacing w:before="160" w:after="160"/>
        <w:rPr>
          <w:rFonts w:cstheme="minorHAnsi"/>
          <w:color w:val="0066FF"/>
        </w:rPr>
      </w:pPr>
      <w:r w:rsidRPr="00B37498">
        <w:rPr>
          <w:rFonts w:cstheme="minorHAnsi"/>
        </w:rPr>
        <w:t xml:space="preserve">Overall, the CLUSTER trial had an uncertain risk of bias due to the study design that incorporated treatment switching from placebo to canakinumab or dose up-titration in the canakinumab arm. The submission </w:t>
      </w:r>
      <w:r w:rsidR="00C87333" w:rsidRPr="00B37498">
        <w:rPr>
          <w:rFonts w:cstheme="minorHAnsi"/>
        </w:rPr>
        <w:t xml:space="preserve">argued </w:t>
      </w:r>
      <w:r w:rsidRPr="00B37498">
        <w:rPr>
          <w:rFonts w:cstheme="minorHAnsi"/>
        </w:rPr>
        <w:t xml:space="preserve">that the incorporation of treatment </w:t>
      </w:r>
      <w:r w:rsidRPr="00B37498">
        <w:rPr>
          <w:rFonts w:cstheme="minorHAnsi"/>
        </w:rPr>
        <w:lastRenderedPageBreak/>
        <w:t xml:space="preserve">switching into the CLUSTER trial </w:t>
      </w:r>
      <w:r w:rsidR="006A5B84" w:rsidRPr="00B37498">
        <w:rPr>
          <w:rFonts w:cstheme="minorHAnsi"/>
        </w:rPr>
        <w:t xml:space="preserve">addressed </w:t>
      </w:r>
      <w:r w:rsidRPr="00B37498">
        <w:rPr>
          <w:rFonts w:cstheme="minorHAnsi"/>
        </w:rPr>
        <w:t xml:space="preserve">the ethical implications of withholding an effective treatment from patients with a rare disease and high clinical unmet need. The primary and secondary outcomes were designed so that placebo patients who crossed over to canakinumab due to a new flare, and canakinumab patients who required up titration due to a re-flare were considered as non-responders. However, for exploratory efficacy and safety outcomes, results were presented by treatment sequence (e.g., placebo (no flare), or placebo to canakinumab 150 mg every 4 weeks), and no analyses were conducted to measure a comparative treatment effect between canakinumab and </w:t>
      </w:r>
      <w:r w:rsidR="002A7DB0" w:rsidRPr="00B37498">
        <w:rPr>
          <w:rFonts w:cstheme="minorHAnsi"/>
        </w:rPr>
        <w:t>BSC</w:t>
      </w:r>
      <w:r w:rsidRPr="00B37498">
        <w:rPr>
          <w:rFonts w:cstheme="minorHAnsi"/>
        </w:rPr>
        <w:t>. In addition, there was the potential for treatment unmasking (patient awareness of treatment allocation) due to the disappearance of symptoms whilst treated with canakinumab. While the key primary and secondary outcomes assessed in the trial were objective laboratory measures or assessed by physicians, measures of health-related quality of life were patient reported and may</w:t>
      </w:r>
      <w:r w:rsidR="00B07B51" w:rsidRPr="00B37498">
        <w:rPr>
          <w:rFonts w:cstheme="minorHAnsi"/>
        </w:rPr>
        <w:t xml:space="preserve"> have </w:t>
      </w:r>
      <w:r w:rsidRPr="00B37498">
        <w:rPr>
          <w:rFonts w:cstheme="minorHAnsi"/>
        </w:rPr>
        <w:t>be</w:t>
      </w:r>
      <w:r w:rsidR="00B07B51" w:rsidRPr="00B37498">
        <w:rPr>
          <w:rFonts w:cstheme="minorHAnsi"/>
        </w:rPr>
        <w:t>en</w:t>
      </w:r>
      <w:r w:rsidRPr="00B37498">
        <w:rPr>
          <w:rFonts w:cstheme="minorHAnsi"/>
        </w:rPr>
        <w:t xml:space="preserve"> influenced by patient awareness of treatment allocation.</w:t>
      </w:r>
    </w:p>
    <w:p w14:paraId="0B7425FD" w14:textId="0CEDD11C" w:rsidR="00DC02F8" w:rsidRPr="008B18A3" w:rsidRDefault="00303211" w:rsidP="004B083B">
      <w:pPr>
        <w:pStyle w:val="COMESnumberedpara"/>
        <w:spacing w:before="160" w:after="160"/>
        <w:rPr>
          <w:rFonts w:cstheme="minorHAnsi"/>
          <w:color w:val="0066FF"/>
        </w:rPr>
      </w:pPr>
      <w:r w:rsidRPr="008B18A3">
        <w:rPr>
          <w:rFonts w:cstheme="minorHAnsi"/>
        </w:rPr>
        <w:t xml:space="preserve">Randomised patients in the CLUSTER trial were predominantly White (85.7%), had a mean age of 22 years, </w:t>
      </w:r>
      <w:r w:rsidR="00C87333" w:rsidRPr="008B18A3">
        <w:rPr>
          <w:rFonts w:cstheme="minorHAnsi"/>
        </w:rPr>
        <w:t xml:space="preserve">and there were </w:t>
      </w:r>
      <w:r w:rsidRPr="008B18A3">
        <w:rPr>
          <w:rFonts w:cstheme="minorHAnsi"/>
        </w:rPr>
        <w:t xml:space="preserve">slightly more males than females enrolled (54.0%). All patients had a confirmed </w:t>
      </w:r>
      <w:r w:rsidR="00AE29D1" w:rsidRPr="008B18A3">
        <w:rPr>
          <w:rFonts w:cstheme="minorHAnsi"/>
        </w:rPr>
        <w:t>pathogenic variant</w:t>
      </w:r>
      <w:r w:rsidRPr="008B18A3">
        <w:rPr>
          <w:rFonts w:cstheme="minorHAnsi"/>
        </w:rPr>
        <w:t xml:space="preserve">, with the M694V </w:t>
      </w:r>
      <w:r w:rsidR="00AE29D1" w:rsidRPr="008B18A3">
        <w:rPr>
          <w:rFonts w:cstheme="minorHAnsi"/>
        </w:rPr>
        <w:t>variant</w:t>
      </w:r>
      <w:r w:rsidRPr="008B18A3">
        <w:rPr>
          <w:rFonts w:cstheme="minorHAnsi"/>
        </w:rPr>
        <w:t xml:space="preserve"> recorded in </w:t>
      </w:r>
      <w:r w:rsidR="00991443">
        <w:rPr>
          <w:rFonts w:cstheme="minorHAnsi"/>
        </w:rPr>
        <w:t>most</w:t>
      </w:r>
      <w:r w:rsidRPr="008B18A3">
        <w:rPr>
          <w:rFonts w:cstheme="minorHAnsi"/>
        </w:rPr>
        <w:t xml:space="preserve"> patients (85.7%; 68.3% homozygous, 17.5% heterozygous). Mean time since first symptoms was 16 years, with patients experiencing an average </w:t>
      </w:r>
      <w:r w:rsidR="00C87333" w:rsidRPr="008B18A3">
        <w:rPr>
          <w:rFonts w:cstheme="minorHAnsi"/>
        </w:rPr>
        <w:t xml:space="preserve">of </w:t>
      </w:r>
      <w:r w:rsidRPr="008B18A3">
        <w:rPr>
          <w:rFonts w:cstheme="minorHAnsi"/>
        </w:rPr>
        <w:t xml:space="preserve">24 disease flares per year. Most patients were assessed as having moderate (57.1%) or severe (28.6%) disease according to the </w:t>
      </w:r>
      <w:r w:rsidR="000B375F" w:rsidRPr="008B18A3">
        <w:rPr>
          <w:rFonts w:cstheme="minorHAnsi"/>
        </w:rPr>
        <w:t>Physician Global</w:t>
      </w:r>
      <w:r w:rsidRPr="008B18A3">
        <w:rPr>
          <w:rFonts w:cstheme="minorHAnsi"/>
        </w:rPr>
        <w:t xml:space="preserve"> Assessment of disease. Of the randomised patients in Stage 2, only 29 patients (46.1%) were representative of the proposed PBS population (paediatric patients aged 2-17 years).</w:t>
      </w:r>
      <w:r w:rsidR="005F4F8D" w:rsidRPr="008B18A3">
        <w:rPr>
          <w:rFonts w:cstheme="minorHAnsi"/>
        </w:rPr>
        <w:t xml:space="preserve"> </w:t>
      </w:r>
    </w:p>
    <w:p w14:paraId="5D66DD30" w14:textId="05634F89" w:rsidR="005F4F8D" w:rsidRPr="008B18A3" w:rsidRDefault="001C3934" w:rsidP="004B083B">
      <w:pPr>
        <w:pStyle w:val="COMESnumberedpara"/>
        <w:spacing w:before="160" w:after="160"/>
        <w:rPr>
          <w:rFonts w:cstheme="minorHAnsi"/>
          <w:color w:val="0066FF"/>
        </w:rPr>
      </w:pPr>
      <w:r w:rsidRPr="008B18A3">
        <w:rPr>
          <w:rFonts w:cstheme="minorHAnsi"/>
        </w:rPr>
        <w:t xml:space="preserve">There were some differences noted between </w:t>
      </w:r>
      <w:r w:rsidR="00B95420" w:rsidRPr="008B18A3">
        <w:rPr>
          <w:rFonts w:cstheme="minorHAnsi"/>
        </w:rPr>
        <w:t xml:space="preserve">treatment arms within and across the paediatric and adult subgroups. </w:t>
      </w:r>
      <w:r w:rsidR="00333B11" w:rsidRPr="008B18A3">
        <w:rPr>
          <w:rFonts w:cstheme="minorHAnsi"/>
        </w:rPr>
        <w:t xml:space="preserve">The mean number of flares per year in paediatric canakinumab </w:t>
      </w:r>
      <w:r w:rsidR="00461489" w:rsidRPr="008B18A3">
        <w:rPr>
          <w:rFonts w:cstheme="minorHAnsi"/>
        </w:rPr>
        <w:t>patients</w:t>
      </w:r>
      <w:r w:rsidR="00333B11" w:rsidRPr="008B18A3">
        <w:rPr>
          <w:rFonts w:cstheme="minorHAnsi"/>
        </w:rPr>
        <w:t xml:space="preserve"> (27.4) was </w:t>
      </w:r>
      <w:proofErr w:type="gramStart"/>
      <w:r w:rsidR="00333B11" w:rsidRPr="008B18A3">
        <w:rPr>
          <w:rFonts w:cstheme="minorHAnsi"/>
        </w:rPr>
        <w:t>similar to</w:t>
      </w:r>
      <w:proofErr w:type="gramEnd"/>
      <w:r w:rsidR="00333B11" w:rsidRPr="008B18A3">
        <w:rPr>
          <w:rFonts w:cstheme="minorHAnsi"/>
        </w:rPr>
        <w:t xml:space="preserve"> adult canakinumab patients (28.4) and adult placebo patients (24.2), however patients in the paediatric placebo group reported a lower mean number of flares per year (16.3). The average duration of each flare was lower in the paediatric canakinumab group (2.3 days) compared to the paediatric placebo group (3.5 days), and the adult canakinumab (3.6 days) and </w:t>
      </w:r>
      <w:r w:rsidR="00CD6F44" w:rsidRPr="008B18A3">
        <w:rPr>
          <w:rFonts w:cstheme="minorHAnsi"/>
        </w:rPr>
        <w:t xml:space="preserve">the adult </w:t>
      </w:r>
      <w:r w:rsidR="00333B11" w:rsidRPr="008B18A3">
        <w:rPr>
          <w:rFonts w:cstheme="minorHAnsi"/>
        </w:rPr>
        <w:t xml:space="preserve">placebo groups (3.8 days). There was a greater proportion of males in the paediatric canakinumab arm (71.4%) compared to the adult canakinumab arm (41.2%). All patients in the paediatric canakinumab arm had the M694V variant, compared to 80% in the paediatric placebo arm, 94.1% in the adult canakinumab arm and 70.6% in the adult placebo arm. Proportions of patients with mild, moderate or severe disease as measured by the Physician Global Assessment were similar between age groups. </w:t>
      </w:r>
      <w:r w:rsidR="005F4F8D" w:rsidRPr="008B18A3">
        <w:rPr>
          <w:rFonts w:cstheme="minorHAnsi"/>
        </w:rPr>
        <w:t>Subgroups</w:t>
      </w:r>
      <w:r w:rsidR="00FF1753" w:rsidRPr="008B18A3">
        <w:rPr>
          <w:rFonts w:cstheme="minorHAnsi"/>
        </w:rPr>
        <w:t xml:space="preserve"> analysed during the trial, including</w:t>
      </w:r>
      <w:r w:rsidR="005F4F8D" w:rsidRPr="008B18A3">
        <w:rPr>
          <w:rFonts w:cstheme="minorHAnsi"/>
        </w:rPr>
        <w:t xml:space="preserve"> paediatric and adult age groups</w:t>
      </w:r>
      <w:r w:rsidR="00FF1753" w:rsidRPr="008B18A3">
        <w:rPr>
          <w:rFonts w:cstheme="minorHAnsi"/>
        </w:rPr>
        <w:t>,</w:t>
      </w:r>
      <w:r w:rsidR="005F4F8D" w:rsidRPr="008B18A3">
        <w:rPr>
          <w:rFonts w:cstheme="minorHAnsi"/>
        </w:rPr>
        <w:t xml:space="preserve"> were not stratified at randomisation, and no statistical adjustments for multiple comparisons were reported.</w:t>
      </w:r>
      <w:r w:rsidR="00FF1753" w:rsidRPr="008B18A3">
        <w:rPr>
          <w:rFonts w:cstheme="minorHAnsi"/>
        </w:rPr>
        <w:t xml:space="preserve"> </w:t>
      </w:r>
    </w:p>
    <w:p w14:paraId="5DDD30AE" w14:textId="1B3CEF29" w:rsidR="00303211" w:rsidRPr="008B18A3" w:rsidRDefault="00303211" w:rsidP="004B083B">
      <w:pPr>
        <w:pStyle w:val="COMESnumberedpara"/>
        <w:spacing w:before="160" w:after="160"/>
        <w:rPr>
          <w:rFonts w:cstheme="minorHAnsi"/>
        </w:rPr>
      </w:pPr>
      <w:r w:rsidRPr="008B18A3">
        <w:rPr>
          <w:rFonts w:cstheme="minorHAnsi"/>
        </w:rPr>
        <w:t>Patients in the canakinumab arm had a longer mean time since first symptoms (17.1</w:t>
      </w:r>
      <w:r w:rsidR="004F2CC3" w:rsidRPr="008B18A3">
        <w:rPr>
          <w:rFonts w:cstheme="minorHAnsi"/>
        </w:rPr>
        <w:t> </w:t>
      </w:r>
      <w:r w:rsidRPr="008B18A3">
        <w:rPr>
          <w:rFonts w:cstheme="minorHAnsi"/>
        </w:rPr>
        <w:t xml:space="preserve">years) compared to the placebo arm (15.1 years), had a higher mean number of flares per year (27.9 versus 20.5), higher mean C-reactive protein values at baseline </w:t>
      </w:r>
      <w:r w:rsidRPr="008B18A3">
        <w:rPr>
          <w:rFonts w:cstheme="minorHAnsi"/>
        </w:rPr>
        <w:lastRenderedPageBreak/>
        <w:t>(163.9 versus 118.2</w:t>
      </w:r>
      <w:r w:rsidR="00C87333" w:rsidRPr="008B18A3">
        <w:rPr>
          <w:rFonts w:cstheme="minorHAnsi"/>
        </w:rPr>
        <w:t> mg/L</w:t>
      </w:r>
      <w:r w:rsidRPr="008B18A3">
        <w:rPr>
          <w:rFonts w:cstheme="minorHAnsi"/>
        </w:rPr>
        <w:t>), higher mean serum amyloid A values at baseline (1,684.8 versus 865.4</w:t>
      </w:r>
      <w:r w:rsidR="00C87333" w:rsidRPr="008B18A3">
        <w:rPr>
          <w:rFonts w:cstheme="minorHAnsi"/>
        </w:rPr>
        <w:t> mg/L</w:t>
      </w:r>
      <w:r w:rsidRPr="008B18A3">
        <w:rPr>
          <w:rFonts w:cstheme="minorHAnsi"/>
        </w:rPr>
        <w:t xml:space="preserve">), and were more likely to have ‘severe’ disease measured with the </w:t>
      </w:r>
      <w:r w:rsidR="000B375F" w:rsidRPr="008B18A3">
        <w:rPr>
          <w:rFonts w:cstheme="minorHAnsi"/>
        </w:rPr>
        <w:t>Physician Global</w:t>
      </w:r>
      <w:r w:rsidRPr="008B18A3">
        <w:rPr>
          <w:rFonts w:cstheme="minorHAnsi"/>
        </w:rPr>
        <w:t xml:space="preserve"> Assessment (35.5% versus 21.9%). The submission </w:t>
      </w:r>
      <w:r w:rsidR="00F80A21" w:rsidRPr="008B18A3">
        <w:rPr>
          <w:rFonts w:cstheme="minorHAnsi"/>
        </w:rPr>
        <w:t>argued</w:t>
      </w:r>
      <w:r w:rsidRPr="008B18A3">
        <w:rPr>
          <w:rFonts w:cstheme="minorHAnsi"/>
        </w:rPr>
        <w:t xml:space="preserve"> that these differences favour</w:t>
      </w:r>
      <w:r w:rsidR="00F80A21" w:rsidRPr="008B18A3">
        <w:rPr>
          <w:rFonts w:cstheme="minorHAnsi"/>
        </w:rPr>
        <w:t>ed</w:t>
      </w:r>
      <w:r w:rsidRPr="008B18A3">
        <w:rPr>
          <w:rFonts w:cstheme="minorHAnsi"/>
        </w:rPr>
        <w:t xml:space="preserve"> the placebo arm for efficacy outcomes.</w:t>
      </w:r>
    </w:p>
    <w:p w14:paraId="09A16286" w14:textId="6DB10B09" w:rsidR="00303211" w:rsidRPr="008B18A3" w:rsidRDefault="00303211" w:rsidP="004B083B">
      <w:pPr>
        <w:pStyle w:val="COMESnumberedpara"/>
        <w:spacing w:before="160" w:after="160"/>
        <w:rPr>
          <w:rFonts w:cstheme="minorHAnsi"/>
        </w:rPr>
      </w:pPr>
      <w:r w:rsidRPr="008B18A3">
        <w:rPr>
          <w:rFonts w:cstheme="minorHAnsi"/>
        </w:rPr>
        <w:t>Almost all patients randomised to placebo during Stage 2 did not respond to treatment of their index disease flare and moved to canakinumab treatment during the 16</w:t>
      </w:r>
      <w:r w:rsidR="00F80A21" w:rsidRPr="008B18A3">
        <w:rPr>
          <w:rFonts w:cstheme="minorHAnsi"/>
        </w:rPr>
        <w:t>-</w:t>
      </w:r>
      <w:r w:rsidRPr="008B18A3">
        <w:rPr>
          <w:rFonts w:cstheme="minorHAnsi"/>
        </w:rPr>
        <w:t>week randomised phase, with 27 (84.4%) switching to canakinumab 150 mg every 4 weeks, including 5 patients (15.6%) who required further up-titration to canakinumab 300 mg every 4 weeks. There were 10 (</w:t>
      </w:r>
      <w:r w:rsidR="00F80A21" w:rsidRPr="008B18A3">
        <w:rPr>
          <w:rFonts w:cstheme="minorHAnsi"/>
        </w:rPr>
        <w:t>32.2</w:t>
      </w:r>
      <w:r w:rsidRPr="008B18A3">
        <w:rPr>
          <w:rFonts w:cstheme="minorHAnsi"/>
        </w:rPr>
        <w:t>%) patients in the canakinumab arm who required up-titration to 300 mg every 4 weeks due to disease activity in the randomised stage.</w:t>
      </w:r>
    </w:p>
    <w:p w14:paraId="0F4D63F5" w14:textId="31C5E786" w:rsidR="00303211" w:rsidRDefault="00303211" w:rsidP="004B083B">
      <w:pPr>
        <w:pStyle w:val="COMESnumberedpara"/>
        <w:spacing w:before="160" w:after="160"/>
        <w:rPr>
          <w:rFonts w:cstheme="minorHAnsi"/>
        </w:rPr>
      </w:pPr>
      <w:r w:rsidRPr="008B18A3">
        <w:rPr>
          <w:rFonts w:cstheme="minorHAnsi"/>
        </w:rPr>
        <w:t xml:space="preserve">In the paediatric </w:t>
      </w:r>
      <w:r w:rsidR="00C87333" w:rsidRPr="008B18A3">
        <w:rPr>
          <w:rFonts w:cstheme="minorHAnsi"/>
        </w:rPr>
        <w:t>subgroup</w:t>
      </w:r>
      <w:r w:rsidRPr="008B18A3">
        <w:rPr>
          <w:rFonts w:cstheme="minorHAnsi"/>
        </w:rPr>
        <w:t xml:space="preserve">, 12/15 patients in the placebo arm (80%) switched to canakinumab treatment, including 2 patients (13.3%) who required up-titration to canakinumab 300 mg every 4 weeks (or weight-based equivalent dose). In the canakinumab arm, 4/14 paediatric patients (28.6%) had their dose </w:t>
      </w:r>
      <w:proofErr w:type="gramStart"/>
      <w:r w:rsidRPr="008B18A3">
        <w:rPr>
          <w:rFonts w:cstheme="minorHAnsi"/>
        </w:rPr>
        <w:t>up-titrated</w:t>
      </w:r>
      <w:proofErr w:type="gramEnd"/>
      <w:r w:rsidRPr="008B18A3">
        <w:rPr>
          <w:rFonts w:cstheme="minorHAnsi"/>
        </w:rPr>
        <w:t xml:space="preserve"> during the randomised stage. Similar results were observed in the adult age group, with 15/17 (88.2%) patients in the placebo arm switching to canakinumab (including 3</w:t>
      </w:r>
      <w:r w:rsidR="004F2CC3" w:rsidRPr="008B18A3">
        <w:rPr>
          <w:rFonts w:cstheme="minorHAnsi"/>
        </w:rPr>
        <w:t> </w:t>
      </w:r>
      <w:r w:rsidRPr="008B18A3">
        <w:rPr>
          <w:rFonts w:cstheme="minorHAnsi"/>
        </w:rPr>
        <w:t>(17.6%) up-titrated), and 6/17 (35.3%) patients in the canakinumab arm requiring dose up-titration.</w:t>
      </w:r>
    </w:p>
    <w:p w14:paraId="78AD6CBF" w14:textId="2E11CFEE" w:rsidR="00FB4D5D" w:rsidRPr="00B91308" w:rsidRDefault="00EA3F5A" w:rsidP="004B083B">
      <w:pPr>
        <w:pStyle w:val="COMESnumberedpara"/>
        <w:spacing w:before="160" w:after="160"/>
        <w:rPr>
          <w:rFonts w:cstheme="minorHAnsi"/>
        </w:rPr>
      </w:pPr>
      <w:bookmarkStart w:id="29" w:name="_Ref222738707"/>
      <w:r w:rsidRPr="00155D73">
        <w:rPr>
          <w:rFonts w:cstheme="minorHAnsi"/>
        </w:rPr>
        <w:t>The submission noted that the CLUSTER trial only reported the number of flares on treatment and the proportion of patients who achieved a complete response, whereas the target clinical endpoints in the model are the development of AA amyloidosis and end-stage renal disease.</w:t>
      </w:r>
      <w:r>
        <w:rPr>
          <w:rFonts w:cstheme="minorHAnsi"/>
        </w:rPr>
        <w:t xml:space="preserve"> </w:t>
      </w:r>
      <w:r w:rsidR="00FB4D5D" w:rsidRPr="00155D73">
        <w:rPr>
          <w:rFonts w:cstheme="minorHAnsi"/>
        </w:rPr>
        <w:t>The submission assessed the relationship between FMF disease flares and the development of AA amyloidosis and end-stage renal disease</w:t>
      </w:r>
      <w:r w:rsidR="005109AE">
        <w:rPr>
          <w:rFonts w:cstheme="minorHAnsi"/>
        </w:rPr>
        <w:t xml:space="preserve">, providing </w:t>
      </w:r>
      <w:r w:rsidR="00FB4D5D" w:rsidRPr="00155D73">
        <w:rPr>
          <w:rFonts w:cstheme="minorHAnsi"/>
        </w:rPr>
        <w:t>responses to components of the surrogate to target clinical outcomes framework.</w:t>
      </w:r>
      <w:bookmarkEnd w:id="29"/>
      <w:r w:rsidR="005109AE">
        <w:rPr>
          <w:rFonts w:cstheme="minorHAnsi"/>
        </w:rPr>
        <w:t xml:space="preserve"> </w:t>
      </w:r>
      <w:r w:rsidR="00CB7D22" w:rsidRPr="00B91308">
        <w:rPr>
          <w:rFonts w:cstheme="minorHAnsi"/>
        </w:rPr>
        <w:t>T</w:t>
      </w:r>
      <w:r w:rsidR="00B34EE0" w:rsidRPr="00B91308">
        <w:rPr>
          <w:rFonts w:cstheme="minorHAnsi"/>
        </w:rPr>
        <w:t>he ESC considered that it is reasonable to assume that the reduction of inflammation would lead to lower SAA and reduced deposition of AA amyloid over time. The ESC noted that guidelines (EULAR/</w:t>
      </w:r>
      <w:proofErr w:type="spellStart"/>
      <w:r w:rsidR="00B34EE0" w:rsidRPr="00B91308">
        <w:rPr>
          <w:rFonts w:cstheme="minorHAnsi"/>
        </w:rPr>
        <w:t>PReS</w:t>
      </w:r>
      <w:proofErr w:type="spellEnd"/>
      <w:r w:rsidR="00B34EE0" w:rsidRPr="00B91308">
        <w:rPr>
          <w:rFonts w:cstheme="minorHAnsi"/>
        </w:rPr>
        <w:t xml:space="preserve"> 2024</w:t>
      </w:r>
      <w:r w:rsidR="001F0AC7">
        <w:rPr>
          <w:rStyle w:val="FootnoteReference"/>
          <w:rFonts w:cstheme="minorHAnsi"/>
        </w:rPr>
        <w:footnoteReference w:id="1"/>
      </w:r>
      <w:r w:rsidR="001F0AC7">
        <w:rPr>
          <w:rFonts w:cstheme="minorHAnsi"/>
        </w:rPr>
        <w:t xml:space="preserve">) </w:t>
      </w:r>
      <w:r w:rsidR="00B34EE0" w:rsidRPr="00B91308">
        <w:rPr>
          <w:rFonts w:cstheme="minorHAnsi"/>
        </w:rPr>
        <w:t>highlight that AA amyloidosis is due to ongoing inflammation which is not adequately suppressed.</w:t>
      </w:r>
    </w:p>
    <w:p w14:paraId="4A4FE085" w14:textId="1C5613CC" w:rsidR="00B60939" w:rsidRPr="008B18A3" w:rsidRDefault="00B60939" w:rsidP="004B083B">
      <w:pPr>
        <w:pStyle w:val="COMESSubsectionheading"/>
      </w:pPr>
      <w:bookmarkStart w:id="30" w:name="_Toc107902078"/>
      <w:bookmarkStart w:id="31" w:name="_Toc22897641"/>
      <w:bookmarkStart w:id="32" w:name="_Toc219811821"/>
      <w:bookmarkEnd w:id="2"/>
      <w:bookmarkEnd w:id="3"/>
      <w:bookmarkEnd w:id="4"/>
      <w:bookmarkEnd w:id="5"/>
      <w:bookmarkEnd w:id="6"/>
      <w:bookmarkEnd w:id="30"/>
      <w:r w:rsidRPr="008B18A3">
        <w:t>Comparative effectiveness</w:t>
      </w:r>
      <w:bookmarkEnd w:id="31"/>
      <w:bookmarkEnd w:id="32"/>
    </w:p>
    <w:p w14:paraId="20BDD648" w14:textId="1F4277E0" w:rsidR="004F4A11" w:rsidRPr="008B18A3" w:rsidRDefault="004F4A11" w:rsidP="004B083B">
      <w:pPr>
        <w:pStyle w:val="COMESnumberedpara"/>
        <w:spacing w:before="160" w:after="160"/>
        <w:rPr>
          <w:rFonts w:cstheme="minorHAnsi"/>
        </w:rPr>
      </w:pPr>
      <w:r w:rsidRPr="008B18A3">
        <w:rPr>
          <w:rFonts w:cstheme="minorHAnsi"/>
        </w:rPr>
        <w:t>Results for the primary</w:t>
      </w:r>
      <w:r w:rsidR="00FE495C" w:rsidRPr="008B18A3">
        <w:rPr>
          <w:rFonts w:cstheme="minorHAnsi"/>
        </w:rPr>
        <w:t xml:space="preserve"> outcome, the proportion of patients with a complete response at the </w:t>
      </w:r>
      <w:r w:rsidR="00205FE8" w:rsidRPr="008B18A3">
        <w:rPr>
          <w:rFonts w:cstheme="minorHAnsi"/>
        </w:rPr>
        <w:t>end of the 16</w:t>
      </w:r>
      <w:r w:rsidR="00C87333" w:rsidRPr="008B18A3">
        <w:rPr>
          <w:rFonts w:cstheme="minorHAnsi"/>
        </w:rPr>
        <w:t>-</w:t>
      </w:r>
      <w:r w:rsidR="00205FE8" w:rsidRPr="008B18A3">
        <w:rPr>
          <w:rFonts w:cstheme="minorHAnsi"/>
        </w:rPr>
        <w:t>week randomised phase (Stage 2),</w:t>
      </w:r>
      <w:r w:rsidRPr="008B18A3">
        <w:rPr>
          <w:rFonts w:cstheme="minorHAnsi"/>
        </w:rPr>
        <w:t xml:space="preserve"> and key secondary outcomes </w:t>
      </w:r>
      <w:r w:rsidR="008B09E2" w:rsidRPr="008B18A3">
        <w:rPr>
          <w:rFonts w:cstheme="minorHAnsi"/>
        </w:rPr>
        <w:lastRenderedPageBreak/>
        <w:t xml:space="preserve">or the full analysis set and </w:t>
      </w:r>
      <w:r w:rsidRPr="008B18A3">
        <w:rPr>
          <w:rFonts w:cstheme="minorHAnsi"/>
        </w:rPr>
        <w:t xml:space="preserve">subgroup analyses by </w:t>
      </w:r>
      <w:r w:rsidR="008B09E2" w:rsidRPr="008B18A3">
        <w:rPr>
          <w:rFonts w:cstheme="minorHAnsi"/>
        </w:rPr>
        <w:t xml:space="preserve">paediatric/adult patients </w:t>
      </w:r>
      <w:r w:rsidRPr="008B18A3">
        <w:rPr>
          <w:rFonts w:cstheme="minorHAnsi"/>
        </w:rPr>
        <w:t xml:space="preserve">are summarised in </w:t>
      </w:r>
      <w:r w:rsidR="008B09E2" w:rsidRPr="008B18A3">
        <w:rPr>
          <w:rFonts w:cstheme="minorHAnsi"/>
        </w:rPr>
        <w:fldChar w:fldCharType="begin"/>
      </w:r>
      <w:r w:rsidR="008B09E2" w:rsidRPr="008B18A3">
        <w:rPr>
          <w:rFonts w:cstheme="minorHAnsi"/>
        </w:rPr>
        <w:instrText xml:space="preserve"> REF _Ref216616397 \h </w:instrText>
      </w:r>
      <w:r w:rsidR="008B18A3">
        <w:rPr>
          <w:rFonts w:cstheme="minorHAnsi"/>
        </w:rPr>
        <w:instrText xml:space="preserve"> \* MERGEFORMAT </w:instrText>
      </w:r>
      <w:r w:rsidR="008B09E2" w:rsidRPr="008B18A3">
        <w:rPr>
          <w:rFonts w:cstheme="minorHAnsi"/>
        </w:rPr>
      </w:r>
      <w:r w:rsidR="008B09E2" w:rsidRPr="008B18A3">
        <w:rPr>
          <w:rFonts w:cstheme="minorHAnsi"/>
        </w:rPr>
        <w:fldChar w:fldCharType="separate"/>
      </w:r>
      <w:r w:rsidR="00815AB6" w:rsidRPr="00815AB6">
        <w:rPr>
          <w:rFonts w:cstheme="minorHAnsi"/>
        </w:rPr>
        <w:t xml:space="preserve">Table </w:t>
      </w:r>
      <w:r w:rsidR="00815AB6" w:rsidRPr="00815AB6">
        <w:rPr>
          <w:rFonts w:cstheme="minorHAnsi"/>
          <w:noProof/>
        </w:rPr>
        <w:t>4</w:t>
      </w:r>
      <w:r w:rsidR="008B09E2" w:rsidRPr="008B18A3">
        <w:rPr>
          <w:rFonts w:cstheme="minorHAnsi"/>
        </w:rPr>
        <w:fldChar w:fldCharType="end"/>
      </w:r>
      <w:r w:rsidRPr="008B18A3">
        <w:rPr>
          <w:rFonts w:cstheme="minorHAnsi"/>
        </w:rPr>
        <w:t>.</w:t>
      </w:r>
    </w:p>
    <w:p w14:paraId="74DF0C2D" w14:textId="20001601" w:rsidR="004F4A11" w:rsidRPr="0098262F" w:rsidRDefault="004F4A11" w:rsidP="004B083B">
      <w:pPr>
        <w:pStyle w:val="COMtablefigcaption"/>
        <w:spacing w:before="160"/>
      </w:pPr>
      <w:bookmarkStart w:id="33" w:name="_Ref216616397"/>
      <w:bookmarkStart w:id="34" w:name="_Ref216616392"/>
      <w:r>
        <w:t>T</w:t>
      </w:r>
      <w:r w:rsidRPr="0098262F">
        <w:t>able</w:t>
      </w:r>
      <w:r>
        <w:t xml:space="preserve"> </w:t>
      </w:r>
      <w:fldSimple w:instr=" SEQ Table \* ARABIC ">
        <w:r w:rsidR="00815AB6">
          <w:rPr>
            <w:noProof/>
          </w:rPr>
          <w:t>4</w:t>
        </w:r>
      </w:fldSimple>
      <w:bookmarkEnd w:id="33"/>
      <w:r w:rsidRPr="0098262F">
        <w:t xml:space="preserve">: </w:t>
      </w:r>
      <w:r w:rsidR="008B09E2">
        <w:t>Results for the primary and key secondary outcome</w:t>
      </w:r>
      <w:r w:rsidR="00C87333">
        <w:t>s</w:t>
      </w:r>
      <w:r w:rsidR="008B09E2">
        <w:t xml:space="preserve"> from Stage 2 </w:t>
      </w:r>
      <w:r>
        <w:t>of the CLUSTER trial</w:t>
      </w:r>
      <w:bookmarkEnd w:id="34"/>
      <w:r w:rsidR="008B09E2">
        <w:t>, full analysis set and subgroups by 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Results for the primary and key secondary outcomes from Stage 2 of the CLUSTER trial, full analysis set and subgroups by age"/>
      </w:tblPr>
      <w:tblGrid>
        <w:gridCol w:w="2269"/>
        <w:gridCol w:w="2443"/>
        <w:gridCol w:w="2270"/>
        <w:gridCol w:w="2035"/>
      </w:tblGrid>
      <w:tr w:rsidR="004F4A11" w:rsidRPr="0098262F" w14:paraId="3D59C5B5" w14:textId="77777777">
        <w:trPr>
          <w:tblHeader/>
        </w:trPr>
        <w:tc>
          <w:tcPr>
            <w:tcW w:w="2269" w:type="dxa"/>
            <w:vAlign w:val="center"/>
          </w:tcPr>
          <w:p w14:paraId="2BE31502" w14:textId="77777777" w:rsidR="004F4A11" w:rsidRPr="0098262F" w:rsidRDefault="004F4A11" w:rsidP="004B083B">
            <w:pPr>
              <w:pStyle w:val="COMTableheadingrow"/>
            </w:pPr>
            <w:r w:rsidRPr="0098262F">
              <w:t>Population</w:t>
            </w:r>
          </w:p>
        </w:tc>
        <w:tc>
          <w:tcPr>
            <w:tcW w:w="2443" w:type="dxa"/>
            <w:vAlign w:val="center"/>
          </w:tcPr>
          <w:p w14:paraId="41A9AE8A" w14:textId="77777777" w:rsidR="004F4A11" w:rsidRPr="0098262F" w:rsidRDefault="004F4A11" w:rsidP="004B083B">
            <w:pPr>
              <w:pStyle w:val="COMTableheadingrow"/>
              <w:jc w:val="center"/>
            </w:pPr>
            <w:r>
              <w:t>Canakinumab</w:t>
            </w:r>
          </w:p>
        </w:tc>
        <w:tc>
          <w:tcPr>
            <w:tcW w:w="2270" w:type="dxa"/>
            <w:vAlign w:val="center"/>
          </w:tcPr>
          <w:p w14:paraId="2599C28B" w14:textId="77777777" w:rsidR="004F4A11" w:rsidRPr="0098262F" w:rsidRDefault="004F4A11" w:rsidP="004B083B">
            <w:pPr>
              <w:pStyle w:val="COMTableheadingrow"/>
              <w:jc w:val="center"/>
            </w:pPr>
            <w:r>
              <w:t>Placebo</w:t>
            </w:r>
          </w:p>
        </w:tc>
        <w:tc>
          <w:tcPr>
            <w:tcW w:w="2035" w:type="dxa"/>
            <w:vAlign w:val="center"/>
          </w:tcPr>
          <w:p w14:paraId="16C9233E" w14:textId="77777777" w:rsidR="004F4A11" w:rsidRPr="0098262F" w:rsidRDefault="004F4A11" w:rsidP="004B083B">
            <w:pPr>
              <w:pStyle w:val="COMTableheadingrow"/>
              <w:jc w:val="center"/>
            </w:pPr>
            <w:r>
              <w:t>OR</w:t>
            </w:r>
            <w:r w:rsidRPr="0098262F">
              <w:t xml:space="preserve"> (95% CI)</w:t>
            </w:r>
          </w:p>
        </w:tc>
      </w:tr>
      <w:tr w:rsidR="004F4A11" w:rsidRPr="0098262F" w14:paraId="563AE77E" w14:textId="77777777">
        <w:trPr>
          <w:tblHeader/>
        </w:trPr>
        <w:tc>
          <w:tcPr>
            <w:tcW w:w="9017" w:type="dxa"/>
            <w:gridSpan w:val="4"/>
            <w:vAlign w:val="center"/>
          </w:tcPr>
          <w:p w14:paraId="380295D5" w14:textId="4087AC83" w:rsidR="004F4A11" w:rsidRPr="0098262F" w:rsidRDefault="004F4A11" w:rsidP="004B083B">
            <w:pPr>
              <w:pStyle w:val="COMTableheadingrow"/>
            </w:pPr>
            <w:r>
              <w:t>Primary outcome – patients with complete response</w:t>
            </w:r>
            <w:r w:rsidR="00205FE8">
              <w:t xml:space="preserve"> </w:t>
            </w:r>
            <w:r w:rsidR="00205FE8">
              <w:rPr>
                <w:vertAlign w:val="superscript"/>
              </w:rPr>
              <w:t>a</w:t>
            </w:r>
            <w:r>
              <w:t xml:space="preserve"> </w:t>
            </w:r>
            <w:proofErr w:type="spellStart"/>
            <w:r>
              <w:t>at</w:t>
            </w:r>
            <w:proofErr w:type="spellEnd"/>
            <w:r>
              <w:t xml:space="preserve"> Week 16, n/N (%)</w:t>
            </w:r>
          </w:p>
        </w:tc>
      </w:tr>
      <w:tr w:rsidR="004F4A11" w:rsidRPr="0098262F" w14:paraId="73CEA841" w14:textId="77777777">
        <w:tc>
          <w:tcPr>
            <w:tcW w:w="2269" w:type="dxa"/>
            <w:vAlign w:val="center"/>
          </w:tcPr>
          <w:p w14:paraId="2CCFA1D2" w14:textId="77777777" w:rsidR="004F4A11" w:rsidRPr="0098262F" w:rsidRDefault="004F4A11" w:rsidP="004B083B">
            <w:pPr>
              <w:pStyle w:val="COMTabletext"/>
            </w:pPr>
            <w:r>
              <w:t>Full analysis set</w:t>
            </w:r>
          </w:p>
        </w:tc>
        <w:tc>
          <w:tcPr>
            <w:tcW w:w="2443" w:type="dxa"/>
            <w:vAlign w:val="center"/>
          </w:tcPr>
          <w:p w14:paraId="347FAEFC" w14:textId="77777777" w:rsidR="004F4A11" w:rsidRPr="0098262F" w:rsidRDefault="004F4A11" w:rsidP="004B083B">
            <w:pPr>
              <w:pStyle w:val="COMTabletext"/>
              <w:jc w:val="center"/>
              <w:rPr>
                <w:rFonts w:ascii="Times" w:hAnsi="Times"/>
              </w:rPr>
            </w:pPr>
            <w:r>
              <w:t>19/31 (61.3)</w:t>
            </w:r>
          </w:p>
        </w:tc>
        <w:tc>
          <w:tcPr>
            <w:tcW w:w="2270" w:type="dxa"/>
            <w:vAlign w:val="center"/>
          </w:tcPr>
          <w:p w14:paraId="2168CE25" w14:textId="77777777" w:rsidR="004F4A11" w:rsidRPr="0098262F" w:rsidRDefault="004F4A11" w:rsidP="004B083B">
            <w:pPr>
              <w:pStyle w:val="COMTabletext"/>
              <w:jc w:val="center"/>
              <w:rPr>
                <w:rFonts w:ascii="Times" w:hAnsi="Times"/>
              </w:rPr>
            </w:pPr>
            <w:r>
              <w:t>2/32 (6.3)</w:t>
            </w:r>
          </w:p>
        </w:tc>
        <w:tc>
          <w:tcPr>
            <w:tcW w:w="2035" w:type="dxa"/>
            <w:vAlign w:val="center"/>
          </w:tcPr>
          <w:p w14:paraId="4CB917B0" w14:textId="77777777" w:rsidR="004F4A11" w:rsidRPr="0098262F" w:rsidRDefault="004F4A11" w:rsidP="004B083B">
            <w:pPr>
              <w:pStyle w:val="COMTabletext"/>
              <w:jc w:val="center"/>
              <w:rPr>
                <w:rFonts w:ascii="Times" w:hAnsi="Times"/>
              </w:rPr>
            </w:pPr>
            <w:r>
              <w:rPr>
                <w:b/>
              </w:rPr>
              <w:t>23.75 (4.38, 227.53)</w:t>
            </w:r>
          </w:p>
        </w:tc>
      </w:tr>
      <w:tr w:rsidR="004F4A11" w:rsidRPr="0098262F" w14:paraId="7D946950" w14:textId="77777777">
        <w:tc>
          <w:tcPr>
            <w:tcW w:w="2269" w:type="dxa"/>
            <w:vAlign w:val="center"/>
          </w:tcPr>
          <w:p w14:paraId="5A19C657" w14:textId="77777777" w:rsidR="004F4A11" w:rsidRPr="0098262F" w:rsidRDefault="004F4A11" w:rsidP="004B083B">
            <w:pPr>
              <w:pStyle w:val="COMTabletext"/>
              <w:rPr>
                <w:rFonts w:ascii="Times" w:hAnsi="Times"/>
              </w:rPr>
            </w:pPr>
            <w:r>
              <w:t>Age &lt;18 years</w:t>
            </w:r>
          </w:p>
        </w:tc>
        <w:tc>
          <w:tcPr>
            <w:tcW w:w="2443" w:type="dxa"/>
            <w:vAlign w:val="center"/>
          </w:tcPr>
          <w:p w14:paraId="29DAD3D8" w14:textId="77777777" w:rsidR="004F4A11" w:rsidRPr="00044687" w:rsidRDefault="004F4A11" w:rsidP="004B083B">
            <w:pPr>
              <w:pStyle w:val="COMTabletext"/>
              <w:jc w:val="center"/>
            </w:pPr>
            <w:r w:rsidRPr="00044687">
              <w:t>10/14 (71.4)</w:t>
            </w:r>
          </w:p>
        </w:tc>
        <w:tc>
          <w:tcPr>
            <w:tcW w:w="2270" w:type="dxa"/>
            <w:vAlign w:val="center"/>
          </w:tcPr>
          <w:p w14:paraId="4AFDCFF2" w14:textId="77777777" w:rsidR="004F4A11" w:rsidRPr="00044687" w:rsidRDefault="004F4A11" w:rsidP="004B083B">
            <w:pPr>
              <w:pStyle w:val="COMTabletext"/>
              <w:jc w:val="center"/>
            </w:pPr>
            <w:r w:rsidRPr="00044687">
              <w:t>1/15 (6.7)</w:t>
            </w:r>
          </w:p>
        </w:tc>
        <w:tc>
          <w:tcPr>
            <w:tcW w:w="2035" w:type="dxa"/>
            <w:vAlign w:val="center"/>
          </w:tcPr>
          <w:p w14:paraId="061F65E3" w14:textId="77777777" w:rsidR="004F4A11" w:rsidRPr="00044687" w:rsidRDefault="004F4A11" w:rsidP="004B083B">
            <w:pPr>
              <w:pStyle w:val="COMTabletext"/>
              <w:jc w:val="center"/>
            </w:pPr>
            <w:r>
              <w:t>35.00 (2.88, 1,622.69)</w:t>
            </w:r>
          </w:p>
        </w:tc>
      </w:tr>
      <w:tr w:rsidR="004F4A11" w:rsidRPr="0098262F" w14:paraId="0EEBB6DB" w14:textId="77777777">
        <w:tc>
          <w:tcPr>
            <w:tcW w:w="2269" w:type="dxa"/>
            <w:vAlign w:val="center"/>
          </w:tcPr>
          <w:p w14:paraId="41991694" w14:textId="77777777" w:rsidR="004F4A11" w:rsidRPr="0098262F" w:rsidRDefault="004F4A11" w:rsidP="004B083B">
            <w:pPr>
              <w:pStyle w:val="COMTabletext"/>
              <w:rPr>
                <w:rFonts w:ascii="Times" w:hAnsi="Times"/>
              </w:rPr>
            </w:pPr>
            <w:r>
              <w:t>Age ≥18 years</w:t>
            </w:r>
          </w:p>
        </w:tc>
        <w:tc>
          <w:tcPr>
            <w:tcW w:w="2443" w:type="dxa"/>
            <w:vAlign w:val="center"/>
          </w:tcPr>
          <w:p w14:paraId="2903F0A0" w14:textId="77777777" w:rsidR="004F4A11" w:rsidRPr="00044687" w:rsidRDefault="004F4A11" w:rsidP="004B083B">
            <w:pPr>
              <w:pStyle w:val="COMTabletext"/>
              <w:jc w:val="center"/>
            </w:pPr>
            <w:r>
              <w:t>9/17 (52.9)</w:t>
            </w:r>
          </w:p>
        </w:tc>
        <w:tc>
          <w:tcPr>
            <w:tcW w:w="2270" w:type="dxa"/>
            <w:vAlign w:val="center"/>
          </w:tcPr>
          <w:p w14:paraId="17330132" w14:textId="77777777" w:rsidR="004F4A11" w:rsidRPr="00044687" w:rsidRDefault="004F4A11" w:rsidP="004B083B">
            <w:pPr>
              <w:pStyle w:val="COMTabletext"/>
              <w:jc w:val="center"/>
            </w:pPr>
            <w:r>
              <w:t>1/17 (5.9)</w:t>
            </w:r>
          </w:p>
        </w:tc>
        <w:tc>
          <w:tcPr>
            <w:tcW w:w="2035" w:type="dxa"/>
            <w:vAlign w:val="center"/>
          </w:tcPr>
          <w:p w14:paraId="1AC19131" w14:textId="77777777" w:rsidR="004F4A11" w:rsidRPr="00044687" w:rsidRDefault="004F4A11" w:rsidP="004B083B">
            <w:pPr>
              <w:pStyle w:val="COMTabletext"/>
              <w:jc w:val="center"/>
            </w:pPr>
            <w:r>
              <w:t>18.00 (1.77, 836.71)</w:t>
            </w:r>
          </w:p>
        </w:tc>
      </w:tr>
      <w:tr w:rsidR="004F4A11" w:rsidRPr="005117F7" w14:paraId="44B3CBB3" w14:textId="77777777">
        <w:tc>
          <w:tcPr>
            <w:tcW w:w="9017" w:type="dxa"/>
            <w:gridSpan w:val="4"/>
            <w:vAlign w:val="center"/>
          </w:tcPr>
          <w:p w14:paraId="03D2AFED" w14:textId="77777777" w:rsidR="004F4A11" w:rsidRPr="00044687" w:rsidRDefault="004F4A11" w:rsidP="004B083B">
            <w:pPr>
              <w:pStyle w:val="COMTabletext"/>
            </w:pPr>
            <w:r w:rsidRPr="005117F7">
              <w:rPr>
                <w:b/>
                <w:bCs w:val="0"/>
              </w:rPr>
              <w:t>Secondary outcome</w:t>
            </w:r>
            <w:r>
              <w:rPr>
                <w:b/>
                <w:bCs w:val="0"/>
              </w:rPr>
              <w:t xml:space="preserve"> – patients with PGA &lt;</w:t>
            </w:r>
            <w:r w:rsidRPr="00BA5F44">
              <w:rPr>
                <w:b/>
                <w:bCs w:val="0"/>
              </w:rPr>
              <w:t>2 at Week 16, n</w:t>
            </w:r>
            <w:r>
              <w:rPr>
                <w:b/>
                <w:bCs w:val="0"/>
              </w:rPr>
              <w:t>/N (%)</w:t>
            </w:r>
          </w:p>
        </w:tc>
      </w:tr>
      <w:tr w:rsidR="004F4A11" w:rsidRPr="0098262F" w14:paraId="417D3E90" w14:textId="77777777">
        <w:tc>
          <w:tcPr>
            <w:tcW w:w="2269" w:type="dxa"/>
            <w:vAlign w:val="center"/>
          </w:tcPr>
          <w:p w14:paraId="409A5922" w14:textId="77777777" w:rsidR="004F4A11" w:rsidRPr="0098262F" w:rsidRDefault="004F4A11" w:rsidP="004B083B">
            <w:pPr>
              <w:pStyle w:val="COMTabletext"/>
            </w:pPr>
            <w:r>
              <w:t>Full analysis set</w:t>
            </w:r>
          </w:p>
        </w:tc>
        <w:tc>
          <w:tcPr>
            <w:tcW w:w="2443" w:type="dxa"/>
            <w:vAlign w:val="center"/>
          </w:tcPr>
          <w:p w14:paraId="7C5A55A6" w14:textId="77777777" w:rsidR="004F4A11" w:rsidRPr="00044687" w:rsidRDefault="004F4A11" w:rsidP="004B083B">
            <w:pPr>
              <w:pStyle w:val="COMTabletext"/>
              <w:jc w:val="center"/>
            </w:pPr>
            <w:r w:rsidRPr="00080581">
              <w:t>20</w:t>
            </w:r>
            <w:r>
              <w:t>/31</w:t>
            </w:r>
            <w:r w:rsidRPr="00080581">
              <w:t xml:space="preserve"> (64.5)</w:t>
            </w:r>
          </w:p>
        </w:tc>
        <w:tc>
          <w:tcPr>
            <w:tcW w:w="2270" w:type="dxa"/>
            <w:vAlign w:val="center"/>
          </w:tcPr>
          <w:p w14:paraId="3094BB84" w14:textId="77777777" w:rsidR="004F4A11" w:rsidRPr="00044687" w:rsidRDefault="004F4A11" w:rsidP="004B083B">
            <w:pPr>
              <w:pStyle w:val="COMTabletext"/>
              <w:jc w:val="center"/>
            </w:pPr>
            <w:r w:rsidRPr="00080581">
              <w:t>3</w:t>
            </w:r>
            <w:r>
              <w:t>/32</w:t>
            </w:r>
            <w:r w:rsidRPr="00080581">
              <w:t xml:space="preserve"> (9.4)</w:t>
            </w:r>
          </w:p>
        </w:tc>
        <w:tc>
          <w:tcPr>
            <w:tcW w:w="2035" w:type="dxa"/>
            <w:vAlign w:val="center"/>
          </w:tcPr>
          <w:p w14:paraId="54EA7452" w14:textId="77777777" w:rsidR="004F4A11" w:rsidRPr="0024309E" w:rsidRDefault="004F4A11" w:rsidP="004B083B">
            <w:pPr>
              <w:pStyle w:val="COMTabletext"/>
              <w:jc w:val="center"/>
              <w:rPr>
                <w:b/>
                <w:bCs w:val="0"/>
                <w:highlight w:val="yellow"/>
              </w:rPr>
            </w:pPr>
            <w:r w:rsidRPr="0024309E">
              <w:rPr>
                <w:b/>
                <w:bCs w:val="0"/>
              </w:rPr>
              <w:t>16.96 (4.15, 69.21)</w:t>
            </w:r>
          </w:p>
        </w:tc>
      </w:tr>
      <w:tr w:rsidR="004F4A11" w:rsidRPr="0098262F" w14:paraId="5709E160" w14:textId="77777777">
        <w:tc>
          <w:tcPr>
            <w:tcW w:w="2269" w:type="dxa"/>
            <w:vAlign w:val="center"/>
          </w:tcPr>
          <w:p w14:paraId="7CD5ECCE" w14:textId="77777777" w:rsidR="004F4A11" w:rsidRDefault="004F4A11" w:rsidP="004B083B">
            <w:pPr>
              <w:pStyle w:val="COMTabletext"/>
            </w:pPr>
            <w:r>
              <w:t>Age &lt;18 years</w:t>
            </w:r>
          </w:p>
        </w:tc>
        <w:tc>
          <w:tcPr>
            <w:tcW w:w="2443" w:type="dxa"/>
            <w:vAlign w:val="center"/>
          </w:tcPr>
          <w:p w14:paraId="35EA9A84" w14:textId="77777777" w:rsidR="004F4A11" w:rsidRPr="00080581" w:rsidRDefault="004F4A11" w:rsidP="004B083B">
            <w:pPr>
              <w:pStyle w:val="COMTabletext"/>
              <w:jc w:val="center"/>
            </w:pPr>
            <w:r>
              <w:t>10/14 (71.4)</w:t>
            </w:r>
          </w:p>
        </w:tc>
        <w:tc>
          <w:tcPr>
            <w:tcW w:w="2270" w:type="dxa"/>
            <w:vAlign w:val="center"/>
          </w:tcPr>
          <w:p w14:paraId="04368137" w14:textId="77777777" w:rsidR="004F4A11" w:rsidRPr="00080581" w:rsidRDefault="004F4A11" w:rsidP="004B083B">
            <w:pPr>
              <w:pStyle w:val="COMTabletext"/>
              <w:jc w:val="center"/>
            </w:pPr>
            <w:r>
              <w:t>2/15 (13.3)</w:t>
            </w:r>
          </w:p>
        </w:tc>
        <w:tc>
          <w:tcPr>
            <w:tcW w:w="2035" w:type="dxa"/>
            <w:vAlign w:val="center"/>
          </w:tcPr>
          <w:p w14:paraId="3A07C47E" w14:textId="77777777" w:rsidR="004F4A11" w:rsidRPr="0080570D" w:rsidRDefault="004F4A11" w:rsidP="004B083B">
            <w:pPr>
              <w:pStyle w:val="COMTabletext"/>
              <w:jc w:val="center"/>
              <w:rPr>
                <w:highlight w:val="yellow"/>
              </w:rPr>
            </w:pPr>
            <w:r w:rsidRPr="009F4703">
              <w:t>12.67 (1.59, 185.72)</w:t>
            </w:r>
          </w:p>
        </w:tc>
      </w:tr>
      <w:tr w:rsidR="004F4A11" w:rsidRPr="0098262F" w14:paraId="3B5678A1" w14:textId="77777777">
        <w:tc>
          <w:tcPr>
            <w:tcW w:w="2269" w:type="dxa"/>
            <w:vAlign w:val="center"/>
          </w:tcPr>
          <w:p w14:paraId="31180448" w14:textId="77777777" w:rsidR="004F4A11" w:rsidRDefault="004F4A11" w:rsidP="004B083B">
            <w:pPr>
              <w:pStyle w:val="COMTabletext"/>
            </w:pPr>
            <w:r>
              <w:t>Age ≥18 years</w:t>
            </w:r>
          </w:p>
        </w:tc>
        <w:tc>
          <w:tcPr>
            <w:tcW w:w="2443" w:type="dxa"/>
            <w:vAlign w:val="center"/>
          </w:tcPr>
          <w:p w14:paraId="016900EC" w14:textId="77777777" w:rsidR="004F4A11" w:rsidRPr="00080581" w:rsidRDefault="004F4A11" w:rsidP="004B083B">
            <w:pPr>
              <w:pStyle w:val="COMTabletext"/>
              <w:jc w:val="center"/>
            </w:pPr>
            <w:r>
              <w:t>10/17 (58.8)</w:t>
            </w:r>
          </w:p>
        </w:tc>
        <w:tc>
          <w:tcPr>
            <w:tcW w:w="2270" w:type="dxa"/>
            <w:vAlign w:val="center"/>
          </w:tcPr>
          <w:p w14:paraId="34550B24" w14:textId="77777777" w:rsidR="004F4A11" w:rsidRPr="00080581" w:rsidRDefault="004F4A11" w:rsidP="004B083B">
            <w:pPr>
              <w:pStyle w:val="COMTabletext"/>
              <w:jc w:val="center"/>
            </w:pPr>
            <w:r>
              <w:t>1/17 (5.9)</w:t>
            </w:r>
          </w:p>
        </w:tc>
        <w:tc>
          <w:tcPr>
            <w:tcW w:w="2035" w:type="dxa"/>
            <w:vAlign w:val="center"/>
          </w:tcPr>
          <w:p w14:paraId="3D9940C4" w14:textId="77777777" w:rsidR="004F4A11" w:rsidRPr="0080570D" w:rsidRDefault="004F4A11" w:rsidP="004B083B">
            <w:pPr>
              <w:pStyle w:val="COMTabletext"/>
              <w:jc w:val="center"/>
              <w:rPr>
                <w:highlight w:val="yellow"/>
              </w:rPr>
            </w:pPr>
            <w:r w:rsidRPr="00521BE3">
              <w:t>22.13 (2.32, 1</w:t>
            </w:r>
            <w:r>
              <w:t>,</w:t>
            </w:r>
            <w:r w:rsidRPr="00521BE3">
              <w:t>164.24)</w:t>
            </w:r>
          </w:p>
        </w:tc>
      </w:tr>
      <w:tr w:rsidR="004F4A11" w:rsidRPr="0080570D" w14:paraId="6BC6FF2D" w14:textId="77777777">
        <w:tc>
          <w:tcPr>
            <w:tcW w:w="9017" w:type="dxa"/>
            <w:gridSpan w:val="4"/>
            <w:vAlign w:val="center"/>
          </w:tcPr>
          <w:p w14:paraId="7F5E9D57" w14:textId="77777777" w:rsidR="004F4A11" w:rsidRPr="0080570D" w:rsidRDefault="004F4A11" w:rsidP="004B083B">
            <w:pPr>
              <w:pStyle w:val="COMTabletext"/>
              <w:rPr>
                <w:b/>
                <w:bCs w:val="0"/>
                <w:highlight w:val="yellow"/>
              </w:rPr>
            </w:pPr>
            <w:r>
              <w:rPr>
                <w:b/>
                <w:bCs w:val="0"/>
              </w:rPr>
              <w:t>Secondary outcome - p</w:t>
            </w:r>
            <w:r w:rsidRPr="0080570D">
              <w:rPr>
                <w:b/>
                <w:bCs w:val="0"/>
              </w:rPr>
              <w:t>atients with CRP ≤10 mg/</w:t>
            </w:r>
            <w:r w:rsidRPr="00BA5F44">
              <w:rPr>
                <w:b/>
                <w:bCs w:val="0"/>
              </w:rPr>
              <w:t>L at Week 16, n (%)</w:t>
            </w:r>
          </w:p>
        </w:tc>
      </w:tr>
      <w:tr w:rsidR="004F4A11" w:rsidRPr="0098262F" w14:paraId="1F6F10BA" w14:textId="77777777">
        <w:tc>
          <w:tcPr>
            <w:tcW w:w="2269" w:type="dxa"/>
            <w:vAlign w:val="center"/>
          </w:tcPr>
          <w:p w14:paraId="4C3842D4" w14:textId="77777777" w:rsidR="004F4A11" w:rsidRDefault="004F4A11" w:rsidP="004B083B">
            <w:pPr>
              <w:pStyle w:val="COMTabletext"/>
            </w:pPr>
            <w:r>
              <w:t>Full analysis set</w:t>
            </w:r>
          </w:p>
        </w:tc>
        <w:tc>
          <w:tcPr>
            <w:tcW w:w="2443" w:type="dxa"/>
            <w:vAlign w:val="center"/>
          </w:tcPr>
          <w:p w14:paraId="2568A4FF" w14:textId="77777777" w:rsidR="004F4A11" w:rsidRPr="00080581" w:rsidRDefault="004F4A11" w:rsidP="004B083B">
            <w:pPr>
              <w:pStyle w:val="COMTabletext"/>
              <w:jc w:val="center"/>
            </w:pPr>
            <w:r w:rsidRPr="00080581">
              <w:t>21</w:t>
            </w:r>
            <w:r>
              <w:t>/31</w:t>
            </w:r>
            <w:r w:rsidRPr="00080581">
              <w:t xml:space="preserve"> (67.7)</w:t>
            </w:r>
          </w:p>
        </w:tc>
        <w:tc>
          <w:tcPr>
            <w:tcW w:w="2270" w:type="dxa"/>
            <w:vAlign w:val="center"/>
          </w:tcPr>
          <w:p w14:paraId="3A8E8648" w14:textId="77777777" w:rsidR="004F4A11" w:rsidRPr="00080581" w:rsidRDefault="004F4A11" w:rsidP="004B083B">
            <w:pPr>
              <w:pStyle w:val="COMTabletext"/>
              <w:jc w:val="center"/>
            </w:pPr>
            <w:r w:rsidRPr="00080581">
              <w:t>2</w:t>
            </w:r>
            <w:r>
              <w:t>/32</w:t>
            </w:r>
            <w:r w:rsidRPr="00080581">
              <w:t xml:space="preserve"> (6.3)</w:t>
            </w:r>
          </w:p>
        </w:tc>
        <w:tc>
          <w:tcPr>
            <w:tcW w:w="2035" w:type="dxa"/>
            <w:vAlign w:val="center"/>
          </w:tcPr>
          <w:p w14:paraId="08C2421D" w14:textId="77777777" w:rsidR="004F4A11" w:rsidRPr="0024309E" w:rsidRDefault="004F4A11" w:rsidP="004B083B">
            <w:pPr>
              <w:pStyle w:val="COMTabletext"/>
              <w:jc w:val="center"/>
              <w:rPr>
                <w:b/>
                <w:bCs w:val="0"/>
              </w:rPr>
            </w:pPr>
            <w:r w:rsidRPr="0024309E">
              <w:rPr>
                <w:b/>
                <w:bCs w:val="0"/>
              </w:rPr>
              <w:t>29.78 (5.86, 151.31)</w:t>
            </w:r>
          </w:p>
        </w:tc>
      </w:tr>
      <w:tr w:rsidR="004F4A11" w:rsidRPr="0098262F" w14:paraId="4D2A91B3" w14:textId="77777777">
        <w:tc>
          <w:tcPr>
            <w:tcW w:w="2269" w:type="dxa"/>
            <w:vAlign w:val="center"/>
          </w:tcPr>
          <w:p w14:paraId="02E18046" w14:textId="77777777" w:rsidR="004F4A11" w:rsidRDefault="004F4A11" w:rsidP="004B083B">
            <w:pPr>
              <w:pStyle w:val="COMTabletext"/>
            </w:pPr>
            <w:r>
              <w:t>Age &lt;18 years</w:t>
            </w:r>
          </w:p>
        </w:tc>
        <w:tc>
          <w:tcPr>
            <w:tcW w:w="2443" w:type="dxa"/>
            <w:vAlign w:val="center"/>
          </w:tcPr>
          <w:p w14:paraId="2002A299" w14:textId="77777777" w:rsidR="004F4A11" w:rsidRPr="00080581" w:rsidRDefault="004F4A11" w:rsidP="004B083B">
            <w:pPr>
              <w:pStyle w:val="COMTabletext"/>
              <w:jc w:val="center"/>
            </w:pPr>
            <w:r>
              <w:t>10/14 (71.4)</w:t>
            </w:r>
          </w:p>
        </w:tc>
        <w:tc>
          <w:tcPr>
            <w:tcW w:w="2270" w:type="dxa"/>
            <w:vAlign w:val="center"/>
          </w:tcPr>
          <w:p w14:paraId="20247EA9" w14:textId="77777777" w:rsidR="004F4A11" w:rsidRPr="00080581" w:rsidRDefault="004F4A11" w:rsidP="004B083B">
            <w:pPr>
              <w:pStyle w:val="COMTabletext"/>
              <w:jc w:val="center"/>
            </w:pPr>
            <w:r>
              <w:t>1/15 (6.7)</w:t>
            </w:r>
          </w:p>
        </w:tc>
        <w:tc>
          <w:tcPr>
            <w:tcW w:w="2035" w:type="dxa"/>
            <w:vAlign w:val="center"/>
          </w:tcPr>
          <w:p w14:paraId="331BD0EB" w14:textId="77777777" w:rsidR="004F4A11" w:rsidRPr="00642A4C" w:rsidRDefault="004F4A11" w:rsidP="004B083B">
            <w:pPr>
              <w:pStyle w:val="COMTabletext"/>
              <w:jc w:val="center"/>
            </w:pPr>
            <w:r w:rsidRPr="00642A4C">
              <w:t>2.66 (0.91, ∞)</w:t>
            </w:r>
          </w:p>
        </w:tc>
      </w:tr>
      <w:tr w:rsidR="004F4A11" w:rsidRPr="0098262F" w14:paraId="36C79625" w14:textId="77777777">
        <w:tc>
          <w:tcPr>
            <w:tcW w:w="2269" w:type="dxa"/>
            <w:vAlign w:val="center"/>
          </w:tcPr>
          <w:p w14:paraId="7524610E" w14:textId="77777777" w:rsidR="004F4A11" w:rsidRDefault="004F4A11" w:rsidP="004B083B">
            <w:pPr>
              <w:pStyle w:val="COMTabletext"/>
            </w:pPr>
            <w:r>
              <w:t>Age ≥18 years</w:t>
            </w:r>
          </w:p>
        </w:tc>
        <w:tc>
          <w:tcPr>
            <w:tcW w:w="2443" w:type="dxa"/>
            <w:vAlign w:val="center"/>
          </w:tcPr>
          <w:p w14:paraId="0FAC5EE9" w14:textId="77777777" w:rsidR="004F4A11" w:rsidRPr="00080581" w:rsidRDefault="004F4A11" w:rsidP="004B083B">
            <w:pPr>
              <w:pStyle w:val="COMTabletext"/>
              <w:jc w:val="center"/>
            </w:pPr>
            <w:r>
              <w:t>11/17 (64.7)</w:t>
            </w:r>
          </w:p>
        </w:tc>
        <w:tc>
          <w:tcPr>
            <w:tcW w:w="2270" w:type="dxa"/>
            <w:vAlign w:val="center"/>
          </w:tcPr>
          <w:p w14:paraId="62C1B7D5" w14:textId="77777777" w:rsidR="004F4A11" w:rsidRPr="00080581" w:rsidRDefault="004F4A11" w:rsidP="004B083B">
            <w:pPr>
              <w:pStyle w:val="COMTabletext"/>
              <w:jc w:val="center"/>
            </w:pPr>
            <w:r>
              <w:t>1/17 (5.9)</w:t>
            </w:r>
          </w:p>
        </w:tc>
        <w:tc>
          <w:tcPr>
            <w:tcW w:w="2035" w:type="dxa"/>
            <w:vAlign w:val="center"/>
          </w:tcPr>
          <w:p w14:paraId="3CB64025" w14:textId="77777777" w:rsidR="004F4A11" w:rsidRPr="00642A4C" w:rsidRDefault="004F4A11" w:rsidP="004B083B">
            <w:pPr>
              <w:pStyle w:val="COMTabletext"/>
              <w:jc w:val="center"/>
            </w:pPr>
            <w:r w:rsidRPr="00642A4C">
              <w:t>6.60 (1.85, ∞)</w:t>
            </w:r>
          </w:p>
        </w:tc>
      </w:tr>
      <w:tr w:rsidR="004F4A11" w:rsidRPr="0098262F" w14:paraId="72C3EC7D" w14:textId="77777777">
        <w:tc>
          <w:tcPr>
            <w:tcW w:w="9017" w:type="dxa"/>
            <w:gridSpan w:val="4"/>
            <w:vAlign w:val="center"/>
          </w:tcPr>
          <w:p w14:paraId="21D7E6F4" w14:textId="77777777" w:rsidR="004F4A11" w:rsidRPr="0080570D" w:rsidRDefault="004F4A11" w:rsidP="004B083B">
            <w:pPr>
              <w:pStyle w:val="COMTabletext"/>
              <w:rPr>
                <w:b/>
                <w:bCs w:val="0"/>
                <w:highlight w:val="yellow"/>
              </w:rPr>
            </w:pPr>
            <w:r>
              <w:rPr>
                <w:b/>
                <w:bCs w:val="0"/>
              </w:rPr>
              <w:t>Secondary outcome - p</w:t>
            </w:r>
            <w:r w:rsidRPr="0080570D">
              <w:rPr>
                <w:b/>
                <w:bCs w:val="0"/>
              </w:rPr>
              <w:t>atients with SAA ≤10 mg/</w:t>
            </w:r>
            <w:r w:rsidRPr="00BA5F44">
              <w:rPr>
                <w:b/>
                <w:bCs w:val="0"/>
              </w:rPr>
              <w:t>L at Week 16, n</w:t>
            </w:r>
            <w:r w:rsidRPr="0080570D">
              <w:rPr>
                <w:b/>
                <w:bCs w:val="0"/>
              </w:rPr>
              <w:t xml:space="preserve"> (%)</w:t>
            </w:r>
          </w:p>
        </w:tc>
      </w:tr>
      <w:tr w:rsidR="004F4A11" w:rsidRPr="0098262F" w14:paraId="6C91E1FD" w14:textId="77777777">
        <w:tc>
          <w:tcPr>
            <w:tcW w:w="2269" w:type="dxa"/>
            <w:vAlign w:val="center"/>
          </w:tcPr>
          <w:p w14:paraId="61546D0C" w14:textId="77777777" w:rsidR="004F4A11" w:rsidRPr="0098262F" w:rsidRDefault="004F4A11" w:rsidP="004B083B">
            <w:pPr>
              <w:pStyle w:val="COMTabletext"/>
            </w:pPr>
            <w:r>
              <w:t>Full analysis set</w:t>
            </w:r>
          </w:p>
        </w:tc>
        <w:tc>
          <w:tcPr>
            <w:tcW w:w="2443" w:type="dxa"/>
            <w:vAlign w:val="center"/>
          </w:tcPr>
          <w:p w14:paraId="7EE84617" w14:textId="77777777" w:rsidR="004F4A11" w:rsidRPr="00044687" w:rsidRDefault="004F4A11" w:rsidP="004B083B">
            <w:pPr>
              <w:pStyle w:val="COMTabletext"/>
              <w:jc w:val="center"/>
            </w:pPr>
            <w:r>
              <w:t>8/31 (25.8)</w:t>
            </w:r>
          </w:p>
        </w:tc>
        <w:tc>
          <w:tcPr>
            <w:tcW w:w="2270" w:type="dxa"/>
            <w:vAlign w:val="center"/>
          </w:tcPr>
          <w:p w14:paraId="2FD5CD4D" w14:textId="77777777" w:rsidR="004F4A11" w:rsidRPr="00044687" w:rsidRDefault="004F4A11" w:rsidP="004B083B">
            <w:pPr>
              <w:pStyle w:val="COMTabletext"/>
              <w:jc w:val="center"/>
            </w:pPr>
            <w:r>
              <w:t>0/32 (0)</w:t>
            </w:r>
          </w:p>
        </w:tc>
        <w:tc>
          <w:tcPr>
            <w:tcW w:w="2035" w:type="dxa"/>
            <w:vAlign w:val="center"/>
          </w:tcPr>
          <w:p w14:paraId="3831E102" w14:textId="77777777" w:rsidR="004F4A11" w:rsidRPr="00642A4C" w:rsidRDefault="004F4A11" w:rsidP="004B083B">
            <w:pPr>
              <w:pStyle w:val="COMTabletext"/>
              <w:jc w:val="center"/>
            </w:pPr>
            <w:r w:rsidRPr="00642A4C">
              <w:t>17.46 (0.92, 332.92)</w:t>
            </w:r>
          </w:p>
        </w:tc>
      </w:tr>
      <w:tr w:rsidR="004F4A11" w:rsidRPr="0098262F" w14:paraId="1400F16A" w14:textId="77777777">
        <w:tc>
          <w:tcPr>
            <w:tcW w:w="2269" w:type="dxa"/>
            <w:vAlign w:val="center"/>
          </w:tcPr>
          <w:p w14:paraId="3397A611" w14:textId="77777777" w:rsidR="004F4A11" w:rsidRPr="0098262F" w:rsidRDefault="004F4A11" w:rsidP="004B083B">
            <w:pPr>
              <w:pStyle w:val="COMTabletext"/>
            </w:pPr>
            <w:r>
              <w:t>Age &lt;18 years</w:t>
            </w:r>
          </w:p>
        </w:tc>
        <w:tc>
          <w:tcPr>
            <w:tcW w:w="2443" w:type="dxa"/>
            <w:vAlign w:val="center"/>
          </w:tcPr>
          <w:p w14:paraId="5BCA9717" w14:textId="77777777" w:rsidR="004F4A11" w:rsidRDefault="004F4A11" w:rsidP="004B083B">
            <w:pPr>
              <w:pStyle w:val="COMTabletext"/>
              <w:jc w:val="center"/>
            </w:pPr>
            <w:r>
              <w:t>4/14 (28.6)</w:t>
            </w:r>
          </w:p>
        </w:tc>
        <w:tc>
          <w:tcPr>
            <w:tcW w:w="2270" w:type="dxa"/>
            <w:vAlign w:val="center"/>
          </w:tcPr>
          <w:p w14:paraId="0613410C" w14:textId="77777777" w:rsidR="004F4A11" w:rsidRDefault="004F4A11" w:rsidP="004B083B">
            <w:pPr>
              <w:pStyle w:val="COMTabletext"/>
              <w:jc w:val="center"/>
            </w:pPr>
            <w:r>
              <w:t>0/15 (0)</w:t>
            </w:r>
          </w:p>
        </w:tc>
        <w:tc>
          <w:tcPr>
            <w:tcW w:w="2035" w:type="dxa"/>
            <w:vAlign w:val="center"/>
          </w:tcPr>
          <w:p w14:paraId="2BB32E38" w14:textId="77777777" w:rsidR="004F4A11" w:rsidRPr="00642A4C" w:rsidRDefault="004F4A11" w:rsidP="004B083B">
            <w:pPr>
              <w:pStyle w:val="COMTabletext"/>
              <w:jc w:val="center"/>
            </w:pPr>
            <w:r w:rsidRPr="00642A4C">
              <w:t>1.19 (0.30, ∞)</w:t>
            </w:r>
          </w:p>
        </w:tc>
      </w:tr>
      <w:tr w:rsidR="004F4A11" w:rsidRPr="0098262F" w14:paraId="092D555B" w14:textId="77777777">
        <w:tc>
          <w:tcPr>
            <w:tcW w:w="2269" w:type="dxa"/>
            <w:vAlign w:val="center"/>
          </w:tcPr>
          <w:p w14:paraId="033A2589" w14:textId="77777777" w:rsidR="004F4A11" w:rsidRPr="0098262F" w:rsidRDefault="004F4A11" w:rsidP="004B083B">
            <w:pPr>
              <w:pStyle w:val="COMTabletext"/>
            </w:pPr>
            <w:r>
              <w:t>Age ≥18 years</w:t>
            </w:r>
          </w:p>
        </w:tc>
        <w:tc>
          <w:tcPr>
            <w:tcW w:w="2443" w:type="dxa"/>
            <w:vAlign w:val="center"/>
          </w:tcPr>
          <w:p w14:paraId="68BEAAD2" w14:textId="77777777" w:rsidR="004F4A11" w:rsidRDefault="004F4A11" w:rsidP="004B083B">
            <w:pPr>
              <w:pStyle w:val="COMTabletext"/>
              <w:jc w:val="center"/>
            </w:pPr>
            <w:r>
              <w:t>4/17 (23.5)</w:t>
            </w:r>
          </w:p>
        </w:tc>
        <w:tc>
          <w:tcPr>
            <w:tcW w:w="2270" w:type="dxa"/>
            <w:vAlign w:val="center"/>
          </w:tcPr>
          <w:p w14:paraId="75AC2104" w14:textId="77777777" w:rsidR="004F4A11" w:rsidRDefault="004F4A11" w:rsidP="004B083B">
            <w:pPr>
              <w:pStyle w:val="COMTabletext"/>
              <w:jc w:val="center"/>
            </w:pPr>
            <w:r>
              <w:t>0/17 (0)</w:t>
            </w:r>
          </w:p>
        </w:tc>
        <w:tc>
          <w:tcPr>
            <w:tcW w:w="2035" w:type="dxa"/>
            <w:vAlign w:val="center"/>
          </w:tcPr>
          <w:p w14:paraId="677B886B" w14:textId="77777777" w:rsidR="004F4A11" w:rsidRPr="00642A4C" w:rsidRDefault="004F4A11" w:rsidP="004B083B">
            <w:pPr>
              <w:pStyle w:val="COMTabletext"/>
              <w:jc w:val="center"/>
            </w:pPr>
            <w:r w:rsidRPr="00642A4C">
              <w:t>0.40 (0.02, ∞)</w:t>
            </w:r>
          </w:p>
        </w:tc>
      </w:tr>
    </w:tbl>
    <w:p w14:paraId="2B30276D" w14:textId="77777777" w:rsidR="004F4A11" w:rsidRPr="00CF7D3C" w:rsidRDefault="004F4A11" w:rsidP="004B083B">
      <w:pPr>
        <w:pStyle w:val="COMTablefooter"/>
      </w:pPr>
      <w:r w:rsidRPr="00CF7D3C">
        <w:t xml:space="preserve">Source: Table 2.59, p187; Table </w:t>
      </w:r>
      <w:r>
        <w:t>2.60, pp188-189</w:t>
      </w:r>
      <w:r w:rsidRPr="00CF7D3C">
        <w:t xml:space="preserve"> of the submission.</w:t>
      </w:r>
    </w:p>
    <w:p w14:paraId="7165503E" w14:textId="31E668FB" w:rsidR="004F4A11" w:rsidRDefault="004F4A11" w:rsidP="004B083B">
      <w:pPr>
        <w:pStyle w:val="COMTablefooter"/>
        <w:rPr>
          <w:rFonts w:eastAsia="Calibri"/>
        </w:rPr>
      </w:pPr>
      <w:r w:rsidRPr="00CF7D3C">
        <w:rPr>
          <w:rFonts w:eastAsia="Calibri"/>
        </w:rPr>
        <w:t>Abbreviations: CI</w:t>
      </w:r>
      <w:r>
        <w:rPr>
          <w:rFonts w:eastAsia="Calibri"/>
        </w:rPr>
        <w:t>,</w:t>
      </w:r>
      <w:r w:rsidRPr="00CF7D3C">
        <w:rPr>
          <w:rFonts w:eastAsia="Calibri"/>
        </w:rPr>
        <w:t xml:space="preserve"> confidence interval; </w:t>
      </w:r>
      <w:r>
        <w:rPr>
          <w:rFonts w:eastAsia="Calibri"/>
        </w:rPr>
        <w:t>CRP, C-reactive protein</w:t>
      </w:r>
      <w:r w:rsidRPr="00CF7D3C">
        <w:rPr>
          <w:rFonts w:eastAsia="Calibri"/>
        </w:rPr>
        <w:t xml:space="preserve">; </w:t>
      </w:r>
      <w:r>
        <w:rPr>
          <w:rFonts w:eastAsia="Calibri"/>
        </w:rPr>
        <w:t xml:space="preserve">PGA, Physician Global Assessment; </w:t>
      </w:r>
      <w:proofErr w:type="gramStart"/>
      <w:r w:rsidRPr="00CF7D3C">
        <w:rPr>
          <w:rFonts w:eastAsia="Calibri"/>
        </w:rPr>
        <w:t>OR</w:t>
      </w:r>
      <w:r>
        <w:rPr>
          <w:rFonts w:eastAsia="Calibri"/>
        </w:rPr>
        <w:t>,</w:t>
      </w:r>
      <w:proofErr w:type="gramEnd"/>
      <w:r w:rsidRPr="00CF7D3C">
        <w:rPr>
          <w:rFonts w:eastAsia="Calibri"/>
        </w:rPr>
        <w:t xml:space="preserve"> odds rati</w:t>
      </w:r>
      <w:r>
        <w:rPr>
          <w:rFonts w:eastAsia="Calibri"/>
        </w:rPr>
        <w:t>o; SAA, serum amyloid</w:t>
      </w:r>
      <w:r w:rsidR="00C87333">
        <w:rPr>
          <w:rFonts w:eastAsia="Calibri"/>
        </w:rPr>
        <w:t> </w:t>
      </w:r>
      <w:r>
        <w:rPr>
          <w:rFonts w:eastAsia="Calibri"/>
        </w:rPr>
        <w:t>A.</w:t>
      </w:r>
      <w:r w:rsidRPr="00CF7D3C">
        <w:rPr>
          <w:rFonts w:eastAsia="Calibri"/>
        </w:rPr>
        <w:t xml:space="preserve"> </w:t>
      </w:r>
    </w:p>
    <w:p w14:paraId="001E0D39" w14:textId="77777777" w:rsidR="00205FE8" w:rsidRPr="0052569A" w:rsidRDefault="00205FE8" w:rsidP="004B083B">
      <w:pPr>
        <w:pStyle w:val="COMTablefooter"/>
        <w:rPr>
          <w:sz w:val="20"/>
        </w:rPr>
      </w:pPr>
      <w:r>
        <w:rPr>
          <w:b/>
          <w:bCs/>
        </w:rPr>
        <w:t>Bold</w:t>
      </w:r>
      <w:r>
        <w:t xml:space="preserve"> indicates statistically significant results. S</w:t>
      </w:r>
      <w:r w:rsidRPr="00324719">
        <w:t>tatistical significance (one-sided)</w:t>
      </w:r>
      <w:r>
        <w:t xml:space="preserve"> was measured</w:t>
      </w:r>
      <w:r w:rsidRPr="00324719">
        <w:t xml:space="preserve"> at the 0.025 level based on the logistic regression model with treatment group and baseline PGA, CRP or SAA as explanatory variables</w:t>
      </w:r>
      <w:r>
        <w:t>.</w:t>
      </w:r>
    </w:p>
    <w:p w14:paraId="56C45DF2" w14:textId="081FA5D9" w:rsidR="004F4A11" w:rsidRDefault="004F4A11" w:rsidP="004B083B">
      <w:pPr>
        <w:pStyle w:val="COMTablefooter"/>
        <w:rPr>
          <w:rFonts w:eastAsia="Calibri"/>
        </w:rPr>
      </w:pPr>
      <w:r>
        <w:rPr>
          <w:rFonts w:eastAsia="Calibri"/>
        </w:rPr>
        <w:t xml:space="preserve">Note: </w:t>
      </w:r>
      <w:r w:rsidR="00205FE8">
        <w:rPr>
          <w:rFonts w:eastAsia="Calibri"/>
        </w:rPr>
        <w:t>Subgroup c</w:t>
      </w:r>
      <w:r w:rsidRPr="000B6682">
        <w:rPr>
          <w:rFonts w:eastAsia="Calibri"/>
        </w:rPr>
        <w:t>omparison between treatment groups</w:t>
      </w:r>
      <w:r>
        <w:rPr>
          <w:rFonts w:eastAsia="Calibri"/>
        </w:rPr>
        <w:t xml:space="preserve"> wa</w:t>
      </w:r>
      <w:r w:rsidRPr="000B6682">
        <w:rPr>
          <w:rFonts w:eastAsia="Calibri"/>
        </w:rPr>
        <w:t>s performed using a logistic regression model with treatment group and baseline values as explanatory variables. Fisher exact test was used if exact logistic regression is not estimable.</w:t>
      </w:r>
      <w:r w:rsidR="002E49E3">
        <w:rPr>
          <w:rFonts w:eastAsia="Calibri"/>
        </w:rPr>
        <w:t xml:space="preserve"> </w:t>
      </w:r>
      <w:r w:rsidR="002E49E3" w:rsidRPr="002E49E3">
        <w:rPr>
          <w:rFonts w:eastAsia="Calibri"/>
        </w:rPr>
        <w:t>Tests for treatment effect interaction were not reported.</w:t>
      </w:r>
    </w:p>
    <w:p w14:paraId="482BBE8B" w14:textId="77777777" w:rsidR="00205FE8" w:rsidRDefault="00205FE8" w:rsidP="004B083B">
      <w:pPr>
        <w:pStyle w:val="COMTablefooter"/>
      </w:pPr>
      <w:r>
        <w:rPr>
          <w:vertAlign w:val="superscript"/>
        </w:rPr>
        <w:t>a</w:t>
      </w:r>
      <w:r w:rsidRPr="009E574A">
        <w:t xml:space="preserve"> Complete response was defined as a resolution of the index flare at Day 15 (</w:t>
      </w:r>
      <w:r>
        <w:t>Physician Global</w:t>
      </w:r>
      <w:r w:rsidRPr="009E574A">
        <w:t xml:space="preserve"> Assessment score &lt;2 and </w:t>
      </w:r>
      <w:r>
        <w:t>C-reactive protein</w:t>
      </w:r>
      <w:r w:rsidRPr="009E574A">
        <w:t xml:space="preserve"> within normal range ≤10 mg/L or reduction ≥70% from baseline) with no new disease flares over 16 weeks of treatment. A new flare following the resolution of the index flare was defined as the simultaneous occurrence of </w:t>
      </w:r>
      <w:r>
        <w:t>a Physician Global</w:t>
      </w:r>
      <w:r w:rsidRPr="009E574A">
        <w:t xml:space="preserve"> Assessment score ≥2 (clinical flare) and </w:t>
      </w:r>
      <w:r>
        <w:t>C-reactive protein</w:t>
      </w:r>
      <w:r w:rsidRPr="009E574A">
        <w:t xml:space="preserve"> ≥30 mg/L (serological flare) from the time of resolution of the index flare</w:t>
      </w:r>
      <w:r>
        <w:t>.</w:t>
      </w:r>
    </w:p>
    <w:p w14:paraId="4654FDD5" w14:textId="158E6965" w:rsidR="004F4A11" w:rsidRPr="00B741A0" w:rsidRDefault="00511138" w:rsidP="004B083B">
      <w:pPr>
        <w:pStyle w:val="COMESnumberedpara"/>
        <w:spacing w:before="160"/>
        <w:rPr>
          <w:i/>
          <w:iCs/>
        </w:rPr>
      </w:pPr>
      <w:r w:rsidRPr="00166022">
        <w:t>A statistically significantly greater proportion of patients in the canakinumab arm achieved a complete response at Week 16 compared to placebo (OR 23.75, 95% CI 4.38, 227.53)</w:t>
      </w:r>
      <w:r>
        <w:t xml:space="preserve">. Results for the individual components of Physician Global Assessment and C-reactive protein response were consistent with the primary outcome. Fewer patients overall met the threshold for serum amyloid A response (with the difference between treatment arms not reaching statistical significance at the 2.5% level), however all responders were in the canakinumab arm. </w:t>
      </w:r>
      <w:r w:rsidR="004F4A11" w:rsidRPr="00B741A0">
        <w:t>Results for the primary and key secondary outcomes in the paediatric and adult subgroups were consistent with the full analysis set for all outcomes</w:t>
      </w:r>
      <w:r w:rsidR="004F4A11">
        <w:t>, with canakinumab treated patients more likely to respond on all measures compared to the placebo arm</w:t>
      </w:r>
      <w:r w:rsidR="004F4A11" w:rsidRPr="00B741A0">
        <w:t>. The submission noted that the difference between treatment arms for the primary outcome of complete response was greater in the paediatric subgroup compared to the adult subgroup</w:t>
      </w:r>
      <w:r w:rsidR="004F4A11">
        <w:t xml:space="preserve">, with a greater proportion of paediatric patients showing a complete response with canakinumab treatment compared to the </w:t>
      </w:r>
      <w:r w:rsidR="004F4A11" w:rsidRPr="00B37498">
        <w:t>adult subgroup. Small patient numbers mean that results of subgroup analyses should be interpreted with caution.</w:t>
      </w:r>
      <w:r w:rsidR="00A14346" w:rsidRPr="00B37498">
        <w:t xml:space="preserve"> </w:t>
      </w:r>
      <w:r w:rsidR="00CC26AB" w:rsidRPr="00B37498">
        <w:t>Tests for treatment effect interaction were not reported.</w:t>
      </w:r>
    </w:p>
    <w:p w14:paraId="08B1CE8A" w14:textId="1378D70A" w:rsidR="00814CFD" w:rsidRPr="00814CFD" w:rsidRDefault="00814CFD" w:rsidP="004B083B">
      <w:pPr>
        <w:pStyle w:val="COMESnumberedpara"/>
        <w:spacing w:before="160"/>
      </w:pPr>
      <w:r w:rsidRPr="00814CFD">
        <w:lastRenderedPageBreak/>
        <w:t>The absence of new flares at Week 40 was the only secondary outcome assessed in Stage 3 of the CLUSTER trial. All patients analysed for this outcome were canakinumab responders in Stage 2 who were re-randomised to canakinumab 150 mg (or 2 mg/kg) every 8 weeks (n=9), or to placebo (n=10). In the re-randomised canakinumab arm, 7 patients (77.8%) maintained a clinically meaningful response (absence of new flares) at Week 40, compared to 3 patients in the re-randomised placebo arm (30%; OR 8.17, 95% CI 0.75, 113.44). Patients needing dose escalation in the canakinumab arm, patients who crossed over from placebo to canakinumab, and patients who discontinued from the study for any reason during Stage 3 were considered non-responders. Due to the hierarchical structure of outcome assessment, the difference between treatment arms was not analysed statistically (i.e., as there was no statistically significant difference between treatment arms in Stage 2 for serum amyloid A response). The clinical study report also noted that the number of patients in each group was small, and that the results should be interpreted with caution.</w:t>
      </w:r>
    </w:p>
    <w:p w14:paraId="4B13B1D6" w14:textId="3936A7B4" w:rsidR="003C667F" w:rsidRPr="003C667F" w:rsidRDefault="003C667F" w:rsidP="004B083B">
      <w:pPr>
        <w:pStyle w:val="COMESnumberedpara"/>
        <w:spacing w:before="160"/>
      </w:pPr>
      <w:r w:rsidRPr="003C667F">
        <w:t xml:space="preserve">Patient-reported outcomes were measured during Stages 2 and 3 of the CLUSTER trial as exploratory outcomes. The submission noted that comparisons between canakinumab and placebo </w:t>
      </w:r>
      <w:r w:rsidR="00C87333">
        <w:t>were</w:t>
      </w:r>
      <w:r w:rsidR="00C87333" w:rsidRPr="003C667F">
        <w:t xml:space="preserve"> </w:t>
      </w:r>
      <w:r w:rsidRPr="003C667F">
        <w:t xml:space="preserve">limited </w:t>
      </w:r>
      <w:r w:rsidR="00C87333">
        <w:t>due to</w:t>
      </w:r>
      <w:r w:rsidR="00C87333" w:rsidRPr="003C667F">
        <w:t xml:space="preserve"> </w:t>
      </w:r>
      <w:r w:rsidRPr="003C667F">
        <w:t xml:space="preserve">the high proportion of patients randomised to placebo who switched to canakinumab during the trial, with no statistical analyses for a comparative treatment effect conducted. The submission argued that results in the placebo arm for patients who did not cross over to canakinumab </w:t>
      </w:r>
      <w:r w:rsidR="00C6113A">
        <w:t xml:space="preserve">in Stage 3 </w:t>
      </w:r>
      <w:r w:rsidRPr="003C667F">
        <w:t>may overestimate any treatment effect as these patients represent only those who complete</w:t>
      </w:r>
      <w:r w:rsidR="004029D2">
        <w:t>d</w:t>
      </w:r>
      <w:r w:rsidRPr="003C667F">
        <w:t xml:space="preserve"> Stage 2 with no flare.</w:t>
      </w:r>
    </w:p>
    <w:p w14:paraId="311EDE40" w14:textId="632D4934" w:rsidR="003C667F" w:rsidRDefault="003C667F" w:rsidP="004B083B">
      <w:pPr>
        <w:pStyle w:val="COMESnumberedpara"/>
        <w:spacing w:before="160"/>
      </w:pPr>
      <w:r w:rsidRPr="003C667F">
        <w:t xml:space="preserve">Changes in median scores from baseline to the end of Stage 2 for key health-related quality of life measures (AIDAI, SF-12 physical component score, CHQ-P50 physical component score and the Sheehan Disability Scale global functional impairment score) are summarised in </w:t>
      </w:r>
      <w:r>
        <w:fldChar w:fldCharType="begin"/>
      </w:r>
      <w:r>
        <w:instrText xml:space="preserve"> REF _Ref216616960 \h </w:instrText>
      </w:r>
      <w:r>
        <w:fldChar w:fldCharType="separate"/>
      </w:r>
      <w:r w:rsidR="00815AB6">
        <w:t xml:space="preserve">Table </w:t>
      </w:r>
      <w:r w:rsidR="00815AB6">
        <w:rPr>
          <w:noProof/>
        </w:rPr>
        <w:t>5</w:t>
      </w:r>
      <w:r>
        <w:fldChar w:fldCharType="end"/>
      </w:r>
      <w:r w:rsidRPr="003C667F">
        <w:t xml:space="preserve">. As comparisons between treatment arms are not informative due to treatment switching, results are grouped by ‘no flare’ (patients who did not receive add-on doses or up-titration or patients who stayed on their randomised treatment regimen), and ‘≥1 flare’ (patients who received add on dose or up-titration, or patients who did not stay on their randomised treatment regimen at the end of Stage 2), as included in the CLUSTER clinical trial report. </w:t>
      </w:r>
    </w:p>
    <w:p w14:paraId="26DCD402" w14:textId="66EBA782" w:rsidR="003C667F" w:rsidRDefault="003C667F" w:rsidP="004B083B">
      <w:pPr>
        <w:pStyle w:val="COMtablefigcaption"/>
        <w:spacing w:before="160"/>
      </w:pPr>
      <w:bookmarkStart w:id="35" w:name="_Ref216616960"/>
      <w:r>
        <w:lastRenderedPageBreak/>
        <w:t xml:space="preserve">Table </w:t>
      </w:r>
      <w:fldSimple w:instr=" SEQ Table \* ARABIC ">
        <w:r w:rsidR="00815AB6">
          <w:rPr>
            <w:noProof/>
          </w:rPr>
          <w:t>5</w:t>
        </w:r>
      </w:fldSimple>
      <w:bookmarkEnd w:id="35"/>
      <w:r>
        <w:t xml:space="preserve">: Change from baseline to Week 16/17 in key health-related quality of life measures by flare/no flare during Stage 2, CLUSTER trial </w:t>
      </w:r>
    </w:p>
    <w:tbl>
      <w:tblPr>
        <w:tblStyle w:val="TableGrid"/>
        <w:tblW w:w="0" w:type="auto"/>
        <w:tblLook w:val="04A0" w:firstRow="1" w:lastRow="0" w:firstColumn="1" w:lastColumn="0" w:noHBand="0" w:noVBand="1"/>
        <w:tblCaption w:val="Table 5: Change from baseline to Week 16/17 in key health-related quality of life measures by flare/no flare during Stage 2, CLUSTER trial "/>
      </w:tblPr>
      <w:tblGrid>
        <w:gridCol w:w="2255"/>
        <w:gridCol w:w="1690"/>
        <w:gridCol w:w="1690"/>
        <w:gridCol w:w="1692"/>
        <w:gridCol w:w="1690"/>
      </w:tblGrid>
      <w:tr w:rsidR="003C667F" w:rsidRPr="008A7CAC" w14:paraId="0EF51952" w14:textId="77777777">
        <w:trPr>
          <w:trHeight w:val="160"/>
        </w:trPr>
        <w:tc>
          <w:tcPr>
            <w:tcW w:w="2255" w:type="dxa"/>
            <w:vMerge w:val="restart"/>
            <w:tcBorders>
              <w:top w:val="single" w:sz="4" w:space="0" w:color="auto"/>
            </w:tcBorders>
          </w:tcPr>
          <w:p w14:paraId="00BE0EFF" w14:textId="77777777" w:rsidR="003C667F" w:rsidRPr="0045651A" w:rsidRDefault="003C667F" w:rsidP="004B083B">
            <w:pPr>
              <w:pStyle w:val="COMTableheadingrow"/>
            </w:pPr>
          </w:p>
        </w:tc>
        <w:tc>
          <w:tcPr>
            <w:tcW w:w="5072" w:type="dxa"/>
            <w:gridSpan w:val="3"/>
            <w:tcBorders>
              <w:top w:val="single" w:sz="4" w:space="0" w:color="auto"/>
            </w:tcBorders>
            <w:vAlign w:val="center"/>
          </w:tcPr>
          <w:p w14:paraId="1651FDF1" w14:textId="77777777" w:rsidR="003C667F" w:rsidRPr="0085531D" w:rsidRDefault="003C667F" w:rsidP="004B083B">
            <w:pPr>
              <w:pStyle w:val="COMTableheadingrow"/>
              <w:jc w:val="center"/>
            </w:pPr>
            <w:r>
              <w:t>Randomised to canakinumab 150 mg every 4 weeks</w:t>
            </w:r>
          </w:p>
        </w:tc>
        <w:tc>
          <w:tcPr>
            <w:tcW w:w="1690" w:type="dxa"/>
            <w:vMerge w:val="restart"/>
            <w:tcBorders>
              <w:top w:val="single" w:sz="4" w:space="0" w:color="auto"/>
            </w:tcBorders>
            <w:vAlign w:val="center"/>
          </w:tcPr>
          <w:p w14:paraId="6287CDF5" w14:textId="73323C33" w:rsidR="003C667F" w:rsidRPr="0085531D" w:rsidRDefault="003C667F" w:rsidP="004B083B">
            <w:pPr>
              <w:pStyle w:val="COMTableheadingrow"/>
              <w:jc w:val="center"/>
            </w:pPr>
            <w:r w:rsidRPr="0085531D">
              <w:t>Placebo to canakinumab 150</w:t>
            </w:r>
            <w:r w:rsidR="005E62B2">
              <w:t> </w:t>
            </w:r>
            <w:r w:rsidRPr="0085531D">
              <w:t>mg every 4 weeks (</w:t>
            </w:r>
            <w:r w:rsidRPr="00D75EC0">
              <w:rPr>
                <w:snapToGrid w:val="0"/>
                <w:sz w:val="18"/>
                <w:szCs w:val="22"/>
              </w:rPr>
              <w:t>≥</w:t>
            </w:r>
            <w:r>
              <w:rPr>
                <w:snapToGrid w:val="0"/>
                <w:sz w:val="18"/>
                <w:szCs w:val="22"/>
              </w:rPr>
              <w:t xml:space="preserve">1 </w:t>
            </w:r>
            <w:r w:rsidRPr="0085531D">
              <w:t>flare)</w:t>
            </w:r>
          </w:p>
        </w:tc>
      </w:tr>
      <w:tr w:rsidR="003C667F" w:rsidRPr="008A7CAC" w14:paraId="1E88A815" w14:textId="77777777">
        <w:trPr>
          <w:trHeight w:val="160"/>
        </w:trPr>
        <w:tc>
          <w:tcPr>
            <w:tcW w:w="2255" w:type="dxa"/>
            <w:vMerge/>
          </w:tcPr>
          <w:p w14:paraId="6BD90A65" w14:textId="77777777" w:rsidR="003C667F" w:rsidRPr="0045651A" w:rsidRDefault="003C667F" w:rsidP="004B083B">
            <w:pPr>
              <w:pStyle w:val="COMTableheadingrow"/>
            </w:pPr>
          </w:p>
        </w:tc>
        <w:tc>
          <w:tcPr>
            <w:tcW w:w="1690" w:type="dxa"/>
            <w:tcBorders>
              <w:top w:val="single" w:sz="4" w:space="0" w:color="auto"/>
            </w:tcBorders>
            <w:vAlign w:val="center"/>
          </w:tcPr>
          <w:p w14:paraId="0070B9F5" w14:textId="77777777" w:rsidR="003C667F" w:rsidRPr="0085531D" w:rsidRDefault="003C667F" w:rsidP="004B083B">
            <w:pPr>
              <w:pStyle w:val="COMTableheadingrow"/>
              <w:jc w:val="center"/>
            </w:pPr>
            <w:r>
              <w:t>All randomised to canakinumab</w:t>
            </w:r>
          </w:p>
        </w:tc>
        <w:tc>
          <w:tcPr>
            <w:tcW w:w="1690" w:type="dxa"/>
            <w:tcBorders>
              <w:top w:val="single" w:sz="4" w:space="0" w:color="auto"/>
            </w:tcBorders>
            <w:vAlign w:val="center"/>
          </w:tcPr>
          <w:p w14:paraId="7F9AA9D1" w14:textId="77777777" w:rsidR="003C667F" w:rsidRDefault="003C667F" w:rsidP="004B083B">
            <w:pPr>
              <w:pStyle w:val="COMTableheadingrow"/>
              <w:jc w:val="center"/>
            </w:pPr>
            <w:r>
              <w:t xml:space="preserve">No up-titration </w:t>
            </w:r>
          </w:p>
          <w:p w14:paraId="6B71B182" w14:textId="77777777" w:rsidR="003C667F" w:rsidRPr="0085531D" w:rsidRDefault="003C667F" w:rsidP="004B083B">
            <w:pPr>
              <w:pStyle w:val="COMTableheadingrow"/>
              <w:jc w:val="center"/>
            </w:pPr>
            <w:r>
              <w:t>(no flare)</w:t>
            </w:r>
          </w:p>
        </w:tc>
        <w:tc>
          <w:tcPr>
            <w:tcW w:w="1692" w:type="dxa"/>
            <w:tcBorders>
              <w:top w:val="single" w:sz="4" w:space="0" w:color="auto"/>
            </w:tcBorders>
            <w:vAlign w:val="center"/>
          </w:tcPr>
          <w:p w14:paraId="03B3B3E7" w14:textId="77777777" w:rsidR="003C667F" w:rsidRDefault="003C667F" w:rsidP="004B083B">
            <w:pPr>
              <w:pStyle w:val="COMTableheadingrow"/>
              <w:jc w:val="center"/>
            </w:pPr>
            <w:r>
              <w:t xml:space="preserve">150 mg to 300 mg every 4 weeks </w:t>
            </w:r>
          </w:p>
          <w:p w14:paraId="20095925" w14:textId="77777777" w:rsidR="003C667F" w:rsidRPr="0085531D" w:rsidRDefault="003C667F" w:rsidP="004B083B">
            <w:pPr>
              <w:pStyle w:val="COMTableheadingrow"/>
              <w:jc w:val="center"/>
            </w:pPr>
            <w:r>
              <w:t>(</w:t>
            </w:r>
            <w:r w:rsidRPr="00D75EC0">
              <w:rPr>
                <w:snapToGrid w:val="0"/>
                <w:sz w:val="18"/>
                <w:szCs w:val="22"/>
              </w:rPr>
              <w:t>≥</w:t>
            </w:r>
            <w:r>
              <w:rPr>
                <w:snapToGrid w:val="0"/>
                <w:sz w:val="18"/>
                <w:szCs w:val="22"/>
              </w:rPr>
              <w:t xml:space="preserve">1 </w:t>
            </w:r>
            <w:r>
              <w:t>flare)</w:t>
            </w:r>
          </w:p>
        </w:tc>
        <w:tc>
          <w:tcPr>
            <w:tcW w:w="1690" w:type="dxa"/>
            <w:vMerge/>
            <w:vAlign w:val="center"/>
          </w:tcPr>
          <w:p w14:paraId="21ADAB12" w14:textId="77777777" w:rsidR="003C667F" w:rsidRPr="0085531D" w:rsidRDefault="003C667F" w:rsidP="004B083B">
            <w:pPr>
              <w:pStyle w:val="COMTableheadingrow"/>
              <w:jc w:val="center"/>
            </w:pPr>
          </w:p>
        </w:tc>
      </w:tr>
      <w:tr w:rsidR="003C667F" w:rsidRPr="008A7CAC" w14:paraId="03EE85D9" w14:textId="77777777">
        <w:trPr>
          <w:trHeight w:val="160"/>
        </w:trPr>
        <w:tc>
          <w:tcPr>
            <w:tcW w:w="0" w:type="auto"/>
            <w:gridSpan w:val="5"/>
            <w:tcBorders>
              <w:top w:val="single" w:sz="4" w:space="0" w:color="auto"/>
            </w:tcBorders>
          </w:tcPr>
          <w:p w14:paraId="7BA4FF99" w14:textId="77777777" w:rsidR="003C667F" w:rsidRPr="0061523D" w:rsidRDefault="003C667F" w:rsidP="004B083B">
            <w:pPr>
              <w:pStyle w:val="COMTableheadingrow"/>
              <w:rPr>
                <w:vertAlign w:val="superscript"/>
              </w:rPr>
            </w:pPr>
            <w:r w:rsidRPr="008A7CAC">
              <w:t>Median AIDAI score</w:t>
            </w:r>
            <w:r>
              <w:t xml:space="preserve"> </w:t>
            </w:r>
            <w:r>
              <w:rPr>
                <w:vertAlign w:val="superscript"/>
              </w:rPr>
              <w:t>a</w:t>
            </w:r>
          </w:p>
        </w:tc>
      </w:tr>
      <w:tr w:rsidR="003C667F" w:rsidRPr="008A7CAC" w14:paraId="5EC0283B" w14:textId="77777777">
        <w:trPr>
          <w:trHeight w:val="160"/>
        </w:trPr>
        <w:tc>
          <w:tcPr>
            <w:tcW w:w="2255" w:type="dxa"/>
          </w:tcPr>
          <w:p w14:paraId="709193A5" w14:textId="77777777" w:rsidR="003C667F" w:rsidRPr="008A7CAC" w:rsidRDefault="003C667F" w:rsidP="004B083B">
            <w:pPr>
              <w:pStyle w:val="COMTabletext"/>
            </w:pPr>
            <w:r w:rsidRPr="008A7CAC">
              <w:t>N</w:t>
            </w:r>
          </w:p>
        </w:tc>
        <w:tc>
          <w:tcPr>
            <w:tcW w:w="1690" w:type="dxa"/>
          </w:tcPr>
          <w:p w14:paraId="1BDA1B87" w14:textId="77777777" w:rsidR="003C667F" w:rsidRPr="008A7CAC" w:rsidRDefault="003C667F" w:rsidP="004B083B">
            <w:pPr>
              <w:pStyle w:val="COMTabletext"/>
              <w:jc w:val="center"/>
            </w:pPr>
            <w:r w:rsidRPr="008A7CAC">
              <w:t>31</w:t>
            </w:r>
          </w:p>
        </w:tc>
        <w:tc>
          <w:tcPr>
            <w:tcW w:w="1690" w:type="dxa"/>
          </w:tcPr>
          <w:p w14:paraId="195EC3D1" w14:textId="77777777" w:rsidR="003C667F" w:rsidRPr="008A7CAC" w:rsidRDefault="003C667F" w:rsidP="004B083B">
            <w:pPr>
              <w:pStyle w:val="COMTabletext"/>
              <w:jc w:val="center"/>
            </w:pPr>
            <w:r w:rsidRPr="008A7CAC">
              <w:t>21</w:t>
            </w:r>
          </w:p>
        </w:tc>
        <w:tc>
          <w:tcPr>
            <w:tcW w:w="1692" w:type="dxa"/>
          </w:tcPr>
          <w:p w14:paraId="638ADE1F" w14:textId="77777777" w:rsidR="003C667F" w:rsidRPr="008A7CAC" w:rsidRDefault="003C667F" w:rsidP="004B083B">
            <w:pPr>
              <w:pStyle w:val="COMTabletext"/>
              <w:jc w:val="center"/>
            </w:pPr>
            <w:r w:rsidRPr="008A7CAC">
              <w:t>10</w:t>
            </w:r>
          </w:p>
        </w:tc>
        <w:tc>
          <w:tcPr>
            <w:tcW w:w="1690" w:type="dxa"/>
          </w:tcPr>
          <w:p w14:paraId="61784A1D" w14:textId="77777777" w:rsidR="003C667F" w:rsidRPr="008A7CAC" w:rsidRDefault="003C667F" w:rsidP="004B083B">
            <w:pPr>
              <w:pStyle w:val="COMTabletext"/>
              <w:jc w:val="center"/>
            </w:pPr>
            <w:r w:rsidRPr="008A7CAC">
              <w:t>22</w:t>
            </w:r>
          </w:p>
        </w:tc>
      </w:tr>
      <w:tr w:rsidR="003C667F" w:rsidRPr="008A7CAC" w14:paraId="7B7DEE8C" w14:textId="77777777">
        <w:trPr>
          <w:trHeight w:val="160"/>
        </w:trPr>
        <w:tc>
          <w:tcPr>
            <w:tcW w:w="2255" w:type="dxa"/>
          </w:tcPr>
          <w:p w14:paraId="0CD43647" w14:textId="77777777" w:rsidR="003C667F" w:rsidRPr="008A7CAC" w:rsidRDefault="003C667F" w:rsidP="004B083B">
            <w:pPr>
              <w:pStyle w:val="COMTabletext"/>
            </w:pPr>
            <w:r w:rsidRPr="008A7CAC">
              <w:t xml:space="preserve">Baseline </w:t>
            </w:r>
          </w:p>
        </w:tc>
        <w:tc>
          <w:tcPr>
            <w:tcW w:w="1690" w:type="dxa"/>
          </w:tcPr>
          <w:p w14:paraId="44330946" w14:textId="77777777" w:rsidR="003C667F" w:rsidRPr="008A7CAC" w:rsidRDefault="003C667F" w:rsidP="004B083B">
            <w:pPr>
              <w:pStyle w:val="COMTabletext"/>
              <w:jc w:val="center"/>
            </w:pPr>
            <w:r w:rsidRPr="008A7CAC">
              <w:t>2.38</w:t>
            </w:r>
          </w:p>
        </w:tc>
        <w:tc>
          <w:tcPr>
            <w:tcW w:w="1690" w:type="dxa"/>
          </w:tcPr>
          <w:p w14:paraId="74F7A735" w14:textId="77777777" w:rsidR="003C667F" w:rsidRPr="008A7CAC" w:rsidRDefault="003C667F" w:rsidP="004B083B">
            <w:pPr>
              <w:pStyle w:val="COMTabletext"/>
              <w:jc w:val="center"/>
            </w:pPr>
            <w:r w:rsidRPr="008A7CAC">
              <w:t>1.75</w:t>
            </w:r>
          </w:p>
        </w:tc>
        <w:tc>
          <w:tcPr>
            <w:tcW w:w="1692" w:type="dxa"/>
          </w:tcPr>
          <w:p w14:paraId="5BD681DB" w14:textId="77777777" w:rsidR="003C667F" w:rsidRPr="008A7CAC" w:rsidRDefault="003C667F" w:rsidP="004B083B">
            <w:pPr>
              <w:pStyle w:val="COMTabletext"/>
              <w:jc w:val="center"/>
            </w:pPr>
            <w:r w:rsidRPr="008A7CAC">
              <w:t>2.69</w:t>
            </w:r>
          </w:p>
        </w:tc>
        <w:tc>
          <w:tcPr>
            <w:tcW w:w="1690" w:type="dxa"/>
          </w:tcPr>
          <w:p w14:paraId="4F409416" w14:textId="77777777" w:rsidR="003C667F" w:rsidRPr="008A7CAC" w:rsidRDefault="003C667F" w:rsidP="004B083B">
            <w:pPr>
              <w:pStyle w:val="COMTabletext"/>
              <w:jc w:val="center"/>
            </w:pPr>
            <w:r w:rsidRPr="008A7CAC">
              <w:t>2.50</w:t>
            </w:r>
          </w:p>
        </w:tc>
      </w:tr>
      <w:tr w:rsidR="003C667F" w:rsidRPr="008A7CAC" w14:paraId="11810F26" w14:textId="77777777">
        <w:trPr>
          <w:trHeight w:val="160"/>
        </w:trPr>
        <w:tc>
          <w:tcPr>
            <w:tcW w:w="2255" w:type="dxa"/>
          </w:tcPr>
          <w:p w14:paraId="293579E8" w14:textId="77777777" w:rsidR="003C667F" w:rsidRPr="008A7CAC" w:rsidRDefault="003C667F" w:rsidP="004B083B">
            <w:pPr>
              <w:pStyle w:val="COMTabletext"/>
            </w:pPr>
            <w:r w:rsidRPr="008A7CAC">
              <w:t>Week 2 (change)</w:t>
            </w:r>
          </w:p>
        </w:tc>
        <w:tc>
          <w:tcPr>
            <w:tcW w:w="1690" w:type="dxa"/>
          </w:tcPr>
          <w:p w14:paraId="0392754E" w14:textId="77777777" w:rsidR="003C667F" w:rsidRPr="008A7CAC" w:rsidRDefault="003C667F" w:rsidP="004B083B">
            <w:pPr>
              <w:pStyle w:val="COMTabletext"/>
              <w:jc w:val="center"/>
            </w:pPr>
            <w:r w:rsidRPr="008A7CAC">
              <w:t>0.76 (−1.16)</w:t>
            </w:r>
          </w:p>
        </w:tc>
        <w:tc>
          <w:tcPr>
            <w:tcW w:w="1690" w:type="dxa"/>
          </w:tcPr>
          <w:p w14:paraId="24AAD168" w14:textId="77777777" w:rsidR="003C667F" w:rsidRPr="008A7CAC" w:rsidRDefault="003C667F" w:rsidP="004B083B">
            <w:pPr>
              <w:pStyle w:val="COMTabletext"/>
              <w:jc w:val="center"/>
            </w:pPr>
            <w:r w:rsidRPr="008A7CAC">
              <w:t>0.64 (−1.31)</w:t>
            </w:r>
          </w:p>
        </w:tc>
        <w:tc>
          <w:tcPr>
            <w:tcW w:w="1692" w:type="dxa"/>
          </w:tcPr>
          <w:p w14:paraId="483052BB" w14:textId="77777777" w:rsidR="003C667F" w:rsidRPr="008A7CAC" w:rsidRDefault="003C667F" w:rsidP="004B083B">
            <w:pPr>
              <w:pStyle w:val="COMTabletext"/>
              <w:jc w:val="center"/>
            </w:pPr>
            <w:r w:rsidRPr="008A7CAC">
              <w:t>1.23 (−0.67)</w:t>
            </w:r>
          </w:p>
        </w:tc>
        <w:tc>
          <w:tcPr>
            <w:tcW w:w="1690" w:type="dxa"/>
          </w:tcPr>
          <w:p w14:paraId="00E2A282" w14:textId="77777777" w:rsidR="003C667F" w:rsidRPr="008A7CAC" w:rsidRDefault="003C667F" w:rsidP="004B083B">
            <w:pPr>
              <w:pStyle w:val="COMTabletext"/>
              <w:jc w:val="center"/>
            </w:pPr>
            <w:r w:rsidRPr="008A7CAC">
              <w:t>1.83 (−0.66)</w:t>
            </w:r>
          </w:p>
        </w:tc>
      </w:tr>
      <w:tr w:rsidR="003C667F" w:rsidRPr="008A7CAC" w14:paraId="49499D61" w14:textId="77777777">
        <w:trPr>
          <w:trHeight w:val="160"/>
        </w:trPr>
        <w:tc>
          <w:tcPr>
            <w:tcW w:w="2255" w:type="dxa"/>
          </w:tcPr>
          <w:p w14:paraId="1F2EE7F2" w14:textId="77777777" w:rsidR="003C667F" w:rsidRPr="008A7CAC" w:rsidRDefault="003C667F" w:rsidP="004B083B">
            <w:pPr>
              <w:pStyle w:val="COMTabletext"/>
            </w:pPr>
            <w:r w:rsidRPr="008A7CAC">
              <w:t>Week 5 (change)</w:t>
            </w:r>
          </w:p>
        </w:tc>
        <w:tc>
          <w:tcPr>
            <w:tcW w:w="1690" w:type="dxa"/>
          </w:tcPr>
          <w:p w14:paraId="6584E44C" w14:textId="77777777" w:rsidR="003C667F" w:rsidRPr="008A7CAC" w:rsidRDefault="003C667F" w:rsidP="004B083B">
            <w:pPr>
              <w:pStyle w:val="COMTabletext"/>
              <w:jc w:val="center"/>
            </w:pPr>
            <w:r w:rsidRPr="008A7CAC">
              <w:t>0.60 (−1.50)</w:t>
            </w:r>
          </w:p>
        </w:tc>
        <w:tc>
          <w:tcPr>
            <w:tcW w:w="1690" w:type="dxa"/>
          </w:tcPr>
          <w:p w14:paraId="363734B4" w14:textId="77777777" w:rsidR="003C667F" w:rsidRPr="008A7CAC" w:rsidRDefault="003C667F" w:rsidP="004B083B">
            <w:pPr>
              <w:pStyle w:val="COMTabletext"/>
              <w:jc w:val="center"/>
            </w:pPr>
            <w:r w:rsidRPr="008A7CAC">
              <w:t>0.60 (−1.27)</w:t>
            </w:r>
          </w:p>
        </w:tc>
        <w:tc>
          <w:tcPr>
            <w:tcW w:w="1692" w:type="dxa"/>
          </w:tcPr>
          <w:p w14:paraId="7EEDAD8F" w14:textId="77777777" w:rsidR="003C667F" w:rsidRPr="008A7CAC" w:rsidRDefault="003C667F" w:rsidP="004B083B">
            <w:pPr>
              <w:pStyle w:val="COMTabletext"/>
              <w:jc w:val="center"/>
            </w:pPr>
            <w:r w:rsidRPr="008A7CAC">
              <w:t>0.52 (−1.63)</w:t>
            </w:r>
          </w:p>
        </w:tc>
        <w:tc>
          <w:tcPr>
            <w:tcW w:w="1690" w:type="dxa"/>
          </w:tcPr>
          <w:p w14:paraId="7F2854C9" w14:textId="77777777" w:rsidR="003C667F" w:rsidRPr="008A7CAC" w:rsidRDefault="003C667F" w:rsidP="004B083B">
            <w:pPr>
              <w:pStyle w:val="COMTabletext"/>
              <w:jc w:val="center"/>
            </w:pPr>
            <w:r w:rsidRPr="008A7CAC">
              <w:t>0.00 (−1.25)</w:t>
            </w:r>
          </w:p>
        </w:tc>
      </w:tr>
      <w:tr w:rsidR="003C667F" w:rsidRPr="008A7CAC" w14:paraId="2958BF7D" w14:textId="77777777">
        <w:trPr>
          <w:trHeight w:val="160"/>
        </w:trPr>
        <w:tc>
          <w:tcPr>
            <w:tcW w:w="2255" w:type="dxa"/>
          </w:tcPr>
          <w:p w14:paraId="28275D8B" w14:textId="77777777" w:rsidR="003C667F" w:rsidRPr="008A7CAC" w:rsidRDefault="003C667F" w:rsidP="004B083B">
            <w:pPr>
              <w:pStyle w:val="COMTabletext"/>
            </w:pPr>
            <w:r w:rsidRPr="008A7CAC">
              <w:t>Week 16 median (change)</w:t>
            </w:r>
          </w:p>
        </w:tc>
        <w:tc>
          <w:tcPr>
            <w:tcW w:w="1690" w:type="dxa"/>
          </w:tcPr>
          <w:p w14:paraId="093C6608" w14:textId="77777777" w:rsidR="003C667F" w:rsidRPr="008A7CAC" w:rsidRDefault="003C667F" w:rsidP="004B083B">
            <w:pPr>
              <w:pStyle w:val="COMTabletext"/>
              <w:jc w:val="center"/>
            </w:pPr>
            <w:r w:rsidRPr="008A7CAC">
              <w:t>0.43 (−1.71)</w:t>
            </w:r>
          </w:p>
        </w:tc>
        <w:tc>
          <w:tcPr>
            <w:tcW w:w="1690" w:type="dxa"/>
          </w:tcPr>
          <w:p w14:paraId="6D22EDC9" w14:textId="77777777" w:rsidR="003C667F" w:rsidRPr="008A7CAC" w:rsidRDefault="003C667F" w:rsidP="004B083B">
            <w:pPr>
              <w:pStyle w:val="COMTabletext"/>
              <w:jc w:val="center"/>
            </w:pPr>
            <w:r w:rsidRPr="008A7CAC">
              <w:t>0.16 (−1.37)</w:t>
            </w:r>
          </w:p>
        </w:tc>
        <w:tc>
          <w:tcPr>
            <w:tcW w:w="1692" w:type="dxa"/>
          </w:tcPr>
          <w:p w14:paraId="700930A7" w14:textId="77777777" w:rsidR="003C667F" w:rsidRPr="008A7CAC" w:rsidRDefault="003C667F" w:rsidP="004B083B">
            <w:pPr>
              <w:pStyle w:val="COMTabletext"/>
              <w:jc w:val="center"/>
            </w:pPr>
            <w:r w:rsidRPr="008A7CAC">
              <w:t>0.80 (−2.14)</w:t>
            </w:r>
          </w:p>
        </w:tc>
        <w:tc>
          <w:tcPr>
            <w:tcW w:w="1690" w:type="dxa"/>
          </w:tcPr>
          <w:p w14:paraId="2B9C6198" w14:textId="77777777" w:rsidR="003C667F" w:rsidRPr="008A7CAC" w:rsidRDefault="003C667F" w:rsidP="004B083B">
            <w:pPr>
              <w:pStyle w:val="COMTabletext"/>
              <w:jc w:val="center"/>
            </w:pPr>
            <w:r w:rsidRPr="008A7CAC">
              <w:t>0.07 (−2.00)</w:t>
            </w:r>
          </w:p>
        </w:tc>
      </w:tr>
      <w:tr w:rsidR="003C667F" w:rsidRPr="008A7CAC" w14:paraId="20843643" w14:textId="77777777">
        <w:trPr>
          <w:trHeight w:val="160"/>
        </w:trPr>
        <w:tc>
          <w:tcPr>
            <w:tcW w:w="0" w:type="auto"/>
            <w:gridSpan w:val="5"/>
          </w:tcPr>
          <w:p w14:paraId="4CB6EBE3" w14:textId="77777777" w:rsidR="003C667F" w:rsidRPr="000C65B7" w:rsidRDefault="003C667F" w:rsidP="004B083B">
            <w:pPr>
              <w:pStyle w:val="COMTableheadingrow"/>
            </w:pPr>
            <w:r w:rsidRPr="008A7CAC">
              <w:t xml:space="preserve">Median SF-12 physical component score </w:t>
            </w:r>
            <w:r w:rsidRPr="006C2954">
              <w:t>(&gt;18 years of age at baseline)</w:t>
            </w:r>
            <w:r>
              <w:t xml:space="preserve"> </w:t>
            </w:r>
            <w:r>
              <w:rPr>
                <w:vertAlign w:val="superscript"/>
              </w:rPr>
              <w:t>b</w:t>
            </w:r>
          </w:p>
        </w:tc>
      </w:tr>
      <w:tr w:rsidR="003C667F" w:rsidRPr="00C37385" w14:paraId="1A73D659" w14:textId="77777777">
        <w:trPr>
          <w:trHeight w:val="160"/>
        </w:trPr>
        <w:tc>
          <w:tcPr>
            <w:tcW w:w="2255" w:type="dxa"/>
          </w:tcPr>
          <w:p w14:paraId="0B22772B" w14:textId="77777777" w:rsidR="003C667F" w:rsidRPr="00C37385" w:rsidRDefault="003C667F" w:rsidP="004B083B">
            <w:pPr>
              <w:pStyle w:val="COMTabletext"/>
            </w:pPr>
            <w:r w:rsidRPr="00C37385">
              <w:t>N</w:t>
            </w:r>
          </w:p>
        </w:tc>
        <w:tc>
          <w:tcPr>
            <w:tcW w:w="1690" w:type="dxa"/>
          </w:tcPr>
          <w:p w14:paraId="44426365" w14:textId="77777777" w:rsidR="003C667F" w:rsidRPr="00C37385" w:rsidRDefault="003C667F" w:rsidP="004B083B">
            <w:pPr>
              <w:pStyle w:val="COMTabletext"/>
              <w:jc w:val="center"/>
            </w:pPr>
            <w:r w:rsidRPr="00C37385">
              <w:t>17</w:t>
            </w:r>
          </w:p>
        </w:tc>
        <w:tc>
          <w:tcPr>
            <w:tcW w:w="1690" w:type="dxa"/>
          </w:tcPr>
          <w:p w14:paraId="41EBEB10" w14:textId="77777777" w:rsidR="003C667F" w:rsidRPr="00C37385" w:rsidRDefault="003C667F" w:rsidP="004B083B">
            <w:pPr>
              <w:pStyle w:val="COMTabletext"/>
              <w:jc w:val="center"/>
            </w:pPr>
            <w:r w:rsidRPr="00C37385">
              <w:t>11</w:t>
            </w:r>
          </w:p>
        </w:tc>
        <w:tc>
          <w:tcPr>
            <w:tcW w:w="1692" w:type="dxa"/>
          </w:tcPr>
          <w:p w14:paraId="12A5A8B2" w14:textId="77777777" w:rsidR="003C667F" w:rsidRPr="00C37385" w:rsidRDefault="003C667F" w:rsidP="004B083B">
            <w:pPr>
              <w:pStyle w:val="COMTabletext"/>
              <w:jc w:val="center"/>
            </w:pPr>
            <w:r w:rsidRPr="00C37385">
              <w:t>6</w:t>
            </w:r>
          </w:p>
        </w:tc>
        <w:tc>
          <w:tcPr>
            <w:tcW w:w="1690" w:type="dxa"/>
          </w:tcPr>
          <w:p w14:paraId="78456D02" w14:textId="77777777" w:rsidR="003C667F" w:rsidRPr="00C37385" w:rsidRDefault="003C667F" w:rsidP="004B083B">
            <w:pPr>
              <w:pStyle w:val="COMTabletext"/>
              <w:jc w:val="center"/>
            </w:pPr>
            <w:r w:rsidRPr="00C37385">
              <w:t>11</w:t>
            </w:r>
          </w:p>
        </w:tc>
      </w:tr>
      <w:tr w:rsidR="003C667F" w:rsidRPr="00C37385" w14:paraId="5025FF57" w14:textId="77777777">
        <w:trPr>
          <w:trHeight w:val="160"/>
        </w:trPr>
        <w:tc>
          <w:tcPr>
            <w:tcW w:w="2255" w:type="dxa"/>
          </w:tcPr>
          <w:p w14:paraId="68F2C81B" w14:textId="77777777" w:rsidR="003C667F" w:rsidRPr="00C37385" w:rsidRDefault="003C667F" w:rsidP="004B083B">
            <w:pPr>
              <w:pStyle w:val="COMTabletext"/>
            </w:pPr>
            <w:r w:rsidRPr="00C37385">
              <w:t xml:space="preserve">Baseline </w:t>
            </w:r>
          </w:p>
        </w:tc>
        <w:tc>
          <w:tcPr>
            <w:tcW w:w="1690" w:type="dxa"/>
          </w:tcPr>
          <w:p w14:paraId="44F3A15B" w14:textId="77777777" w:rsidR="003C667F" w:rsidRPr="00C37385" w:rsidRDefault="003C667F" w:rsidP="004B083B">
            <w:pPr>
              <w:pStyle w:val="COMTabletext"/>
              <w:jc w:val="center"/>
            </w:pPr>
            <w:r w:rsidRPr="00C37385">
              <w:t>38.74</w:t>
            </w:r>
          </w:p>
        </w:tc>
        <w:tc>
          <w:tcPr>
            <w:tcW w:w="1690" w:type="dxa"/>
          </w:tcPr>
          <w:p w14:paraId="5181E8F7" w14:textId="77777777" w:rsidR="003C667F" w:rsidRPr="00C37385" w:rsidRDefault="003C667F" w:rsidP="004B083B">
            <w:pPr>
              <w:pStyle w:val="COMTabletext"/>
              <w:jc w:val="center"/>
            </w:pPr>
            <w:r w:rsidRPr="00C37385">
              <w:t>37.91</w:t>
            </w:r>
          </w:p>
        </w:tc>
        <w:tc>
          <w:tcPr>
            <w:tcW w:w="1692" w:type="dxa"/>
          </w:tcPr>
          <w:p w14:paraId="7FD31B73" w14:textId="77777777" w:rsidR="003C667F" w:rsidRPr="00C37385" w:rsidRDefault="003C667F" w:rsidP="004B083B">
            <w:pPr>
              <w:pStyle w:val="COMTabletext"/>
              <w:jc w:val="center"/>
            </w:pPr>
            <w:r w:rsidRPr="00C37385">
              <w:t>41.31</w:t>
            </w:r>
          </w:p>
        </w:tc>
        <w:tc>
          <w:tcPr>
            <w:tcW w:w="1690" w:type="dxa"/>
          </w:tcPr>
          <w:p w14:paraId="60D1152B" w14:textId="77777777" w:rsidR="003C667F" w:rsidRPr="00C37385" w:rsidRDefault="003C667F" w:rsidP="004B083B">
            <w:pPr>
              <w:pStyle w:val="COMTabletext"/>
              <w:jc w:val="center"/>
            </w:pPr>
            <w:r w:rsidRPr="00C37385">
              <w:t>36.46</w:t>
            </w:r>
          </w:p>
        </w:tc>
      </w:tr>
      <w:tr w:rsidR="003C667F" w:rsidRPr="00C37385" w14:paraId="596226B1" w14:textId="77777777">
        <w:trPr>
          <w:trHeight w:val="160"/>
        </w:trPr>
        <w:tc>
          <w:tcPr>
            <w:tcW w:w="2255" w:type="dxa"/>
          </w:tcPr>
          <w:p w14:paraId="5CC19BF3" w14:textId="77777777" w:rsidR="003C667F" w:rsidRPr="00C37385" w:rsidRDefault="003C667F" w:rsidP="004B083B">
            <w:pPr>
              <w:pStyle w:val="COMTabletext"/>
            </w:pPr>
            <w:r w:rsidRPr="00C37385">
              <w:t>Day 29 (change)</w:t>
            </w:r>
          </w:p>
        </w:tc>
        <w:tc>
          <w:tcPr>
            <w:tcW w:w="1690" w:type="dxa"/>
          </w:tcPr>
          <w:p w14:paraId="0A888FF9" w14:textId="77777777" w:rsidR="003C667F" w:rsidRPr="00C37385" w:rsidRDefault="003C667F" w:rsidP="004B083B">
            <w:pPr>
              <w:pStyle w:val="COMTabletext"/>
              <w:jc w:val="center"/>
            </w:pPr>
            <w:r w:rsidRPr="00C37385">
              <w:t>45.87 (10.39)</w:t>
            </w:r>
          </w:p>
        </w:tc>
        <w:tc>
          <w:tcPr>
            <w:tcW w:w="1690" w:type="dxa"/>
          </w:tcPr>
          <w:p w14:paraId="3407FD01" w14:textId="77777777" w:rsidR="003C667F" w:rsidRPr="00C37385" w:rsidRDefault="003C667F" w:rsidP="004B083B">
            <w:pPr>
              <w:pStyle w:val="COMTabletext"/>
              <w:jc w:val="center"/>
            </w:pPr>
            <w:r w:rsidRPr="00C37385">
              <w:t>47.54 (11.83)</w:t>
            </w:r>
          </w:p>
        </w:tc>
        <w:tc>
          <w:tcPr>
            <w:tcW w:w="1692" w:type="dxa"/>
          </w:tcPr>
          <w:p w14:paraId="3181D606" w14:textId="77777777" w:rsidR="003C667F" w:rsidRPr="00C37385" w:rsidRDefault="003C667F" w:rsidP="004B083B">
            <w:pPr>
              <w:pStyle w:val="COMTabletext"/>
              <w:jc w:val="center"/>
            </w:pPr>
            <w:r w:rsidRPr="00C37385">
              <w:t>45.38 (8.56)</w:t>
            </w:r>
          </w:p>
        </w:tc>
        <w:tc>
          <w:tcPr>
            <w:tcW w:w="1690" w:type="dxa"/>
          </w:tcPr>
          <w:p w14:paraId="5CFC62AB" w14:textId="77777777" w:rsidR="003C667F" w:rsidRPr="00C37385" w:rsidRDefault="003C667F" w:rsidP="004B083B">
            <w:pPr>
              <w:pStyle w:val="COMTabletext"/>
              <w:jc w:val="center"/>
            </w:pPr>
            <w:r w:rsidRPr="00C37385">
              <w:t>42.97 (10.40)</w:t>
            </w:r>
          </w:p>
        </w:tc>
      </w:tr>
      <w:tr w:rsidR="003C667F" w:rsidRPr="00C37385" w14:paraId="2FB081E2" w14:textId="77777777">
        <w:trPr>
          <w:trHeight w:val="160"/>
        </w:trPr>
        <w:tc>
          <w:tcPr>
            <w:tcW w:w="2255" w:type="dxa"/>
          </w:tcPr>
          <w:p w14:paraId="257335B6" w14:textId="77777777" w:rsidR="003C667F" w:rsidRPr="00C37385" w:rsidRDefault="003C667F" w:rsidP="004B083B">
            <w:pPr>
              <w:pStyle w:val="COMTabletext"/>
            </w:pPr>
            <w:r w:rsidRPr="00C37385">
              <w:t>Week 17 (change)</w:t>
            </w:r>
          </w:p>
        </w:tc>
        <w:tc>
          <w:tcPr>
            <w:tcW w:w="1690" w:type="dxa"/>
          </w:tcPr>
          <w:p w14:paraId="4FE03FB0" w14:textId="77777777" w:rsidR="003C667F" w:rsidRPr="00C37385" w:rsidRDefault="003C667F" w:rsidP="004B083B">
            <w:pPr>
              <w:pStyle w:val="COMTabletext"/>
              <w:jc w:val="center"/>
            </w:pPr>
            <w:r w:rsidRPr="00C37385">
              <w:t>47.76 (6.69)</w:t>
            </w:r>
          </w:p>
        </w:tc>
        <w:tc>
          <w:tcPr>
            <w:tcW w:w="1690" w:type="dxa"/>
          </w:tcPr>
          <w:p w14:paraId="68F82218" w14:textId="77777777" w:rsidR="003C667F" w:rsidRPr="00C37385" w:rsidRDefault="003C667F" w:rsidP="004B083B">
            <w:pPr>
              <w:pStyle w:val="COMTabletext"/>
              <w:jc w:val="center"/>
            </w:pPr>
            <w:r w:rsidRPr="00C37385">
              <w:t>48.30 (9.07)</w:t>
            </w:r>
          </w:p>
        </w:tc>
        <w:tc>
          <w:tcPr>
            <w:tcW w:w="1692" w:type="dxa"/>
          </w:tcPr>
          <w:p w14:paraId="1240E6C9" w14:textId="77777777" w:rsidR="003C667F" w:rsidRPr="00C37385" w:rsidRDefault="003C667F" w:rsidP="004B083B">
            <w:pPr>
              <w:pStyle w:val="COMTabletext"/>
              <w:jc w:val="center"/>
            </w:pPr>
            <w:r w:rsidRPr="00C37385">
              <w:t>42.70 (−1.72)</w:t>
            </w:r>
          </w:p>
        </w:tc>
        <w:tc>
          <w:tcPr>
            <w:tcW w:w="1690" w:type="dxa"/>
          </w:tcPr>
          <w:p w14:paraId="5EE26E5B" w14:textId="77777777" w:rsidR="003C667F" w:rsidRPr="00C37385" w:rsidRDefault="003C667F" w:rsidP="004B083B">
            <w:pPr>
              <w:pStyle w:val="COMTabletext"/>
              <w:jc w:val="center"/>
            </w:pPr>
            <w:r w:rsidRPr="00C37385">
              <w:t>53.41 (12.79)</w:t>
            </w:r>
          </w:p>
        </w:tc>
      </w:tr>
      <w:tr w:rsidR="003C667F" w:rsidRPr="008A7CAC" w14:paraId="6ACF4B97" w14:textId="77777777">
        <w:trPr>
          <w:trHeight w:val="160"/>
        </w:trPr>
        <w:tc>
          <w:tcPr>
            <w:tcW w:w="0" w:type="auto"/>
            <w:gridSpan w:val="5"/>
          </w:tcPr>
          <w:p w14:paraId="2173995D" w14:textId="77777777" w:rsidR="003C667F" w:rsidRPr="00747E3B" w:rsidRDefault="003C667F" w:rsidP="004B083B">
            <w:pPr>
              <w:pStyle w:val="COMTableheadingrow"/>
            </w:pPr>
            <w:r w:rsidRPr="008A7CAC">
              <w:t xml:space="preserve">Median CHQ-PF50 physical component score </w:t>
            </w:r>
            <w:r w:rsidRPr="006C2954">
              <w:t>(&gt;5 to &lt;18 years of age at baseline</w:t>
            </w:r>
            <w:r>
              <w:t>, completed by parent</w:t>
            </w:r>
            <w:r w:rsidRPr="006C2954">
              <w:t>)</w:t>
            </w:r>
            <w:r>
              <w:t xml:space="preserve"> </w:t>
            </w:r>
            <w:r>
              <w:rPr>
                <w:vertAlign w:val="superscript"/>
              </w:rPr>
              <w:t>c</w:t>
            </w:r>
          </w:p>
        </w:tc>
      </w:tr>
      <w:tr w:rsidR="003C667F" w:rsidRPr="00F550CA" w14:paraId="217E9EA4" w14:textId="77777777">
        <w:trPr>
          <w:trHeight w:val="160"/>
        </w:trPr>
        <w:tc>
          <w:tcPr>
            <w:tcW w:w="2255" w:type="dxa"/>
          </w:tcPr>
          <w:p w14:paraId="2D93D2A6" w14:textId="77777777" w:rsidR="003C667F" w:rsidRPr="00F550CA" w:rsidRDefault="003C667F" w:rsidP="004B083B">
            <w:pPr>
              <w:pStyle w:val="COMTabletext"/>
            </w:pPr>
            <w:r w:rsidRPr="00F550CA">
              <w:t>N</w:t>
            </w:r>
          </w:p>
        </w:tc>
        <w:tc>
          <w:tcPr>
            <w:tcW w:w="1690" w:type="dxa"/>
          </w:tcPr>
          <w:p w14:paraId="1B04E846" w14:textId="77777777" w:rsidR="003C667F" w:rsidRPr="00F550CA" w:rsidRDefault="003C667F" w:rsidP="004B083B">
            <w:pPr>
              <w:pStyle w:val="COMTabletext"/>
              <w:jc w:val="center"/>
            </w:pPr>
            <w:r w:rsidRPr="00F550CA">
              <w:t>12</w:t>
            </w:r>
          </w:p>
        </w:tc>
        <w:tc>
          <w:tcPr>
            <w:tcW w:w="1690" w:type="dxa"/>
          </w:tcPr>
          <w:p w14:paraId="264F8139" w14:textId="77777777" w:rsidR="003C667F" w:rsidRPr="00F550CA" w:rsidRDefault="003C667F" w:rsidP="004B083B">
            <w:pPr>
              <w:pStyle w:val="COMTabletext"/>
              <w:jc w:val="center"/>
            </w:pPr>
            <w:r w:rsidRPr="00F550CA">
              <w:t>9</w:t>
            </w:r>
          </w:p>
        </w:tc>
        <w:tc>
          <w:tcPr>
            <w:tcW w:w="1692" w:type="dxa"/>
          </w:tcPr>
          <w:p w14:paraId="531D3F99" w14:textId="77777777" w:rsidR="003C667F" w:rsidRPr="00F550CA" w:rsidRDefault="003C667F" w:rsidP="004B083B">
            <w:pPr>
              <w:pStyle w:val="COMTabletext"/>
              <w:jc w:val="center"/>
            </w:pPr>
            <w:r w:rsidRPr="00F550CA">
              <w:t>3</w:t>
            </w:r>
          </w:p>
        </w:tc>
        <w:tc>
          <w:tcPr>
            <w:tcW w:w="1690" w:type="dxa"/>
          </w:tcPr>
          <w:p w14:paraId="241DACE5" w14:textId="77777777" w:rsidR="003C667F" w:rsidRPr="00F550CA" w:rsidRDefault="003C667F" w:rsidP="004B083B">
            <w:pPr>
              <w:pStyle w:val="COMTabletext"/>
              <w:jc w:val="center"/>
            </w:pPr>
            <w:r w:rsidRPr="00F550CA">
              <w:t>10</w:t>
            </w:r>
          </w:p>
        </w:tc>
      </w:tr>
      <w:tr w:rsidR="003C667F" w:rsidRPr="00F550CA" w14:paraId="26FBC6BB" w14:textId="77777777">
        <w:trPr>
          <w:trHeight w:val="160"/>
        </w:trPr>
        <w:tc>
          <w:tcPr>
            <w:tcW w:w="2255" w:type="dxa"/>
          </w:tcPr>
          <w:p w14:paraId="1198BE11" w14:textId="77777777" w:rsidR="003C667F" w:rsidRPr="00F550CA" w:rsidRDefault="003C667F" w:rsidP="004B083B">
            <w:pPr>
              <w:pStyle w:val="COMTabletext"/>
            </w:pPr>
            <w:r w:rsidRPr="00F550CA">
              <w:t>Baseline</w:t>
            </w:r>
          </w:p>
        </w:tc>
        <w:tc>
          <w:tcPr>
            <w:tcW w:w="1690" w:type="dxa"/>
          </w:tcPr>
          <w:p w14:paraId="2BC04667" w14:textId="77777777" w:rsidR="003C667F" w:rsidRPr="00F550CA" w:rsidRDefault="003C667F" w:rsidP="004B083B">
            <w:pPr>
              <w:pStyle w:val="COMTabletext"/>
              <w:jc w:val="center"/>
            </w:pPr>
            <w:r w:rsidRPr="00F550CA">
              <w:t>24.8</w:t>
            </w:r>
          </w:p>
        </w:tc>
        <w:tc>
          <w:tcPr>
            <w:tcW w:w="1690" w:type="dxa"/>
          </w:tcPr>
          <w:p w14:paraId="0A59A80D" w14:textId="77777777" w:rsidR="003C667F" w:rsidRPr="00F550CA" w:rsidRDefault="003C667F" w:rsidP="004B083B">
            <w:pPr>
              <w:pStyle w:val="COMTabletext"/>
              <w:jc w:val="center"/>
            </w:pPr>
            <w:r w:rsidRPr="00F550CA">
              <w:t>26.8</w:t>
            </w:r>
          </w:p>
        </w:tc>
        <w:tc>
          <w:tcPr>
            <w:tcW w:w="1692" w:type="dxa"/>
          </w:tcPr>
          <w:p w14:paraId="2C90AAE7" w14:textId="77777777" w:rsidR="003C667F" w:rsidRPr="00F550CA" w:rsidRDefault="003C667F" w:rsidP="004B083B">
            <w:pPr>
              <w:pStyle w:val="COMTabletext"/>
              <w:jc w:val="center"/>
            </w:pPr>
            <w:r w:rsidRPr="00F550CA">
              <w:t>13.2</w:t>
            </w:r>
          </w:p>
        </w:tc>
        <w:tc>
          <w:tcPr>
            <w:tcW w:w="1690" w:type="dxa"/>
          </w:tcPr>
          <w:p w14:paraId="44F931E4" w14:textId="77777777" w:rsidR="003C667F" w:rsidRPr="00F550CA" w:rsidRDefault="003C667F" w:rsidP="004B083B">
            <w:pPr>
              <w:pStyle w:val="COMTabletext"/>
              <w:jc w:val="center"/>
            </w:pPr>
            <w:r w:rsidRPr="00F550CA">
              <w:t>23.5</w:t>
            </w:r>
          </w:p>
        </w:tc>
      </w:tr>
      <w:tr w:rsidR="003C667F" w:rsidRPr="00F550CA" w14:paraId="14C6DB66" w14:textId="77777777">
        <w:trPr>
          <w:trHeight w:val="160"/>
        </w:trPr>
        <w:tc>
          <w:tcPr>
            <w:tcW w:w="2255" w:type="dxa"/>
          </w:tcPr>
          <w:p w14:paraId="2403B1AD" w14:textId="77777777" w:rsidR="003C667F" w:rsidRPr="00F550CA" w:rsidRDefault="003C667F" w:rsidP="004B083B">
            <w:pPr>
              <w:pStyle w:val="COMTabletext"/>
            </w:pPr>
            <w:r w:rsidRPr="00F550CA">
              <w:t>Day 29 (change)</w:t>
            </w:r>
          </w:p>
        </w:tc>
        <w:tc>
          <w:tcPr>
            <w:tcW w:w="1690" w:type="dxa"/>
          </w:tcPr>
          <w:p w14:paraId="3CC40719" w14:textId="77777777" w:rsidR="003C667F" w:rsidRPr="00F550CA" w:rsidRDefault="003C667F" w:rsidP="004B083B">
            <w:pPr>
              <w:pStyle w:val="COMTabletext"/>
              <w:jc w:val="center"/>
            </w:pPr>
            <w:r w:rsidRPr="00F550CA">
              <w:t>48.6 (24.4)</w:t>
            </w:r>
          </w:p>
        </w:tc>
        <w:tc>
          <w:tcPr>
            <w:tcW w:w="1690" w:type="dxa"/>
          </w:tcPr>
          <w:p w14:paraId="47512E56" w14:textId="77777777" w:rsidR="003C667F" w:rsidRPr="00F550CA" w:rsidRDefault="003C667F" w:rsidP="004B083B">
            <w:pPr>
              <w:pStyle w:val="COMTabletext"/>
              <w:jc w:val="center"/>
            </w:pPr>
            <w:r w:rsidRPr="00F550CA">
              <w:t>49.8 (23.4)</w:t>
            </w:r>
          </w:p>
        </w:tc>
        <w:tc>
          <w:tcPr>
            <w:tcW w:w="1692" w:type="dxa"/>
          </w:tcPr>
          <w:p w14:paraId="106B746F" w14:textId="77777777" w:rsidR="003C667F" w:rsidRPr="00F550CA" w:rsidRDefault="003C667F" w:rsidP="004B083B">
            <w:pPr>
              <w:pStyle w:val="COMTabletext"/>
              <w:jc w:val="center"/>
            </w:pPr>
            <w:r w:rsidRPr="00F550CA">
              <w:t>47.4 (34.2)</w:t>
            </w:r>
          </w:p>
        </w:tc>
        <w:tc>
          <w:tcPr>
            <w:tcW w:w="1690" w:type="dxa"/>
          </w:tcPr>
          <w:p w14:paraId="055E7BFA" w14:textId="77777777" w:rsidR="003C667F" w:rsidRPr="00F550CA" w:rsidRDefault="003C667F" w:rsidP="004B083B">
            <w:pPr>
              <w:pStyle w:val="COMTabletext"/>
              <w:jc w:val="center"/>
            </w:pPr>
            <w:r w:rsidRPr="00F550CA">
              <w:t>38.7 (7.7)</w:t>
            </w:r>
          </w:p>
        </w:tc>
      </w:tr>
      <w:tr w:rsidR="003C667F" w:rsidRPr="00F550CA" w14:paraId="2E8D04FE" w14:textId="77777777">
        <w:trPr>
          <w:trHeight w:val="160"/>
        </w:trPr>
        <w:tc>
          <w:tcPr>
            <w:tcW w:w="2255" w:type="dxa"/>
          </w:tcPr>
          <w:p w14:paraId="2BDB86A9" w14:textId="77777777" w:rsidR="003C667F" w:rsidRPr="00F550CA" w:rsidRDefault="003C667F" w:rsidP="004B083B">
            <w:pPr>
              <w:pStyle w:val="COMTabletext"/>
            </w:pPr>
            <w:r w:rsidRPr="00F550CA">
              <w:t>Week 17 (change)</w:t>
            </w:r>
          </w:p>
        </w:tc>
        <w:tc>
          <w:tcPr>
            <w:tcW w:w="1690" w:type="dxa"/>
          </w:tcPr>
          <w:p w14:paraId="1FC9DA7D" w14:textId="77777777" w:rsidR="003C667F" w:rsidRPr="00F550CA" w:rsidRDefault="003C667F" w:rsidP="004B083B">
            <w:pPr>
              <w:pStyle w:val="COMTabletext"/>
              <w:jc w:val="center"/>
            </w:pPr>
            <w:r w:rsidRPr="00F550CA">
              <w:t>43.1 (22.8)</w:t>
            </w:r>
          </w:p>
        </w:tc>
        <w:tc>
          <w:tcPr>
            <w:tcW w:w="1690" w:type="dxa"/>
          </w:tcPr>
          <w:p w14:paraId="1DCF9FC4" w14:textId="77777777" w:rsidR="003C667F" w:rsidRPr="00F550CA" w:rsidRDefault="003C667F" w:rsidP="004B083B">
            <w:pPr>
              <w:pStyle w:val="COMTabletext"/>
              <w:jc w:val="center"/>
            </w:pPr>
            <w:r w:rsidRPr="00F550CA">
              <w:t>43.3 (17.7)</w:t>
            </w:r>
          </w:p>
        </w:tc>
        <w:tc>
          <w:tcPr>
            <w:tcW w:w="1692" w:type="dxa"/>
          </w:tcPr>
          <w:p w14:paraId="4130D814" w14:textId="77777777" w:rsidR="003C667F" w:rsidRPr="00F550CA" w:rsidRDefault="003C667F" w:rsidP="004B083B">
            <w:pPr>
              <w:pStyle w:val="COMTabletext"/>
              <w:jc w:val="center"/>
            </w:pPr>
            <w:r w:rsidRPr="00F550CA">
              <w:t>40.6 (27.1)</w:t>
            </w:r>
          </w:p>
        </w:tc>
        <w:tc>
          <w:tcPr>
            <w:tcW w:w="1690" w:type="dxa"/>
          </w:tcPr>
          <w:p w14:paraId="09DE41BF" w14:textId="77777777" w:rsidR="003C667F" w:rsidRPr="00F550CA" w:rsidRDefault="003C667F" w:rsidP="004B083B">
            <w:pPr>
              <w:pStyle w:val="COMTabletext"/>
              <w:jc w:val="center"/>
            </w:pPr>
            <w:r w:rsidRPr="00F550CA">
              <w:t>50.6 (15.0)</w:t>
            </w:r>
          </w:p>
        </w:tc>
      </w:tr>
      <w:tr w:rsidR="003C667F" w:rsidRPr="001F606F" w14:paraId="3006AF90" w14:textId="77777777">
        <w:trPr>
          <w:trHeight w:val="160"/>
        </w:trPr>
        <w:tc>
          <w:tcPr>
            <w:tcW w:w="0" w:type="auto"/>
            <w:gridSpan w:val="5"/>
          </w:tcPr>
          <w:p w14:paraId="73055E7C" w14:textId="77777777" w:rsidR="003C667F" w:rsidRPr="001F606F" w:rsidRDefault="003C667F" w:rsidP="004B083B">
            <w:pPr>
              <w:pStyle w:val="COMTableheadingrow"/>
              <w:keepNext w:val="0"/>
              <w:rPr>
                <w:vertAlign w:val="superscript"/>
              </w:rPr>
            </w:pPr>
            <w:r w:rsidRPr="001F606F">
              <w:t xml:space="preserve">Median SDS v3, </w:t>
            </w:r>
            <w:r>
              <w:t>g</w:t>
            </w:r>
            <w:r w:rsidRPr="001F606F">
              <w:t xml:space="preserve">lobal functional impairment </w:t>
            </w:r>
            <w:r w:rsidRPr="001F606F">
              <w:rPr>
                <w:vertAlign w:val="superscript"/>
              </w:rPr>
              <w:t>d</w:t>
            </w:r>
          </w:p>
        </w:tc>
      </w:tr>
      <w:tr w:rsidR="003C667F" w:rsidRPr="001F606F" w14:paraId="64A07C4E" w14:textId="77777777">
        <w:trPr>
          <w:trHeight w:val="160"/>
        </w:trPr>
        <w:tc>
          <w:tcPr>
            <w:tcW w:w="2255" w:type="dxa"/>
          </w:tcPr>
          <w:p w14:paraId="0B89EC2D" w14:textId="77777777" w:rsidR="003C667F" w:rsidRPr="001F606F" w:rsidRDefault="003C667F" w:rsidP="004B083B">
            <w:pPr>
              <w:pStyle w:val="COMTabletext"/>
              <w:keepNext w:val="0"/>
            </w:pPr>
            <w:r w:rsidRPr="001F606F">
              <w:t>N</w:t>
            </w:r>
          </w:p>
        </w:tc>
        <w:tc>
          <w:tcPr>
            <w:tcW w:w="1690" w:type="dxa"/>
          </w:tcPr>
          <w:p w14:paraId="45362B0D" w14:textId="77777777" w:rsidR="003C667F" w:rsidRPr="001F606F" w:rsidRDefault="003C667F" w:rsidP="004B083B">
            <w:pPr>
              <w:pStyle w:val="COMTabletext"/>
              <w:keepNext w:val="0"/>
              <w:jc w:val="center"/>
            </w:pPr>
            <w:r w:rsidRPr="001F606F">
              <w:t>27</w:t>
            </w:r>
          </w:p>
        </w:tc>
        <w:tc>
          <w:tcPr>
            <w:tcW w:w="1690" w:type="dxa"/>
          </w:tcPr>
          <w:p w14:paraId="4A1E6E1C" w14:textId="77777777" w:rsidR="003C667F" w:rsidRPr="001F606F" w:rsidRDefault="003C667F" w:rsidP="004B083B">
            <w:pPr>
              <w:pStyle w:val="COMTabletext"/>
              <w:keepNext w:val="0"/>
              <w:jc w:val="center"/>
            </w:pPr>
            <w:r w:rsidRPr="001F606F">
              <w:t>21</w:t>
            </w:r>
          </w:p>
        </w:tc>
        <w:tc>
          <w:tcPr>
            <w:tcW w:w="1692" w:type="dxa"/>
          </w:tcPr>
          <w:p w14:paraId="0C730097" w14:textId="77777777" w:rsidR="003C667F" w:rsidRPr="001F606F" w:rsidRDefault="003C667F" w:rsidP="004B083B">
            <w:pPr>
              <w:pStyle w:val="COMTabletext"/>
              <w:keepNext w:val="0"/>
              <w:jc w:val="center"/>
            </w:pPr>
            <w:r w:rsidRPr="001F606F">
              <w:t>10</w:t>
            </w:r>
          </w:p>
        </w:tc>
        <w:tc>
          <w:tcPr>
            <w:tcW w:w="1690" w:type="dxa"/>
          </w:tcPr>
          <w:p w14:paraId="32EA6138" w14:textId="77777777" w:rsidR="003C667F" w:rsidRPr="001F606F" w:rsidRDefault="003C667F" w:rsidP="004B083B">
            <w:pPr>
              <w:pStyle w:val="COMTabletext"/>
              <w:keepNext w:val="0"/>
              <w:jc w:val="center"/>
            </w:pPr>
            <w:r w:rsidRPr="001F606F">
              <w:t>22</w:t>
            </w:r>
          </w:p>
        </w:tc>
      </w:tr>
      <w:tr w:rsidR="003C667F" w:rsidRPr="001F606F" w14:paraId="0D378228" w14:textId="77777777">
        <w:trPr>
          <w:trHeight w:val="160"/>
        </w:trPr>
        <w:tc>
          <w:tcPr>
            <w:tcW w:w="2255" w:type="dxa"/>
          </w:tcPr>
          <w:p w14:paraId="7BCDA9CE" w14:textId="77777777" w:rsidR="003C667F" w:rsidRPr="001F606F" w:rsidRDefault="003C667F" w:rsidP="004B083B">
            <w:pPr>
              <w:pStyle w:val="COMTabletext"/>
              <w:keepNext w:val="0"/>
            </w:pPr>
            <w:r w:rsidRPr="001F606F">
              <w:t>Baseline</w:t>
            </w:r>
          </w:p>
        </w:tc>
        <w:tc>
          <w:tcPr>
            <w:tcW w:w="1690" w:type="dxa"/>
          </w:tcPr>
          <w:p w14:paraId="1BF82C23" w14:textId="77777777" w:rsidR="003C667F" w:rsidRPr="001F606F" w:rsidRDefault="003C667F" w:rsidP="004B083B">
            <w:pPr>
              <w:pStyle w:val="COMTabletext"/>
              <w:keepNext w:val="0"/>
              <w:jc w:val="center"/>
            </w:pPr>
            <w:r w:rsidRPr="001F606F">
              <w:t>15.0</w:t>
            </w:r>
          </w:p>
        </w:tc>
        <w:tc>
          <w:tcPr>
            <w:tcW w:w="1690" w:type="dxa"/>
          </w:tcPr>
          <w:p w14:paraId="1AC20E90" w14:textId="77777777" w:rsidR="003C667F" w:rsidRPr="001F606F" w:rsidRDefault="003C667F" w:rsidP="004B083B">
            <w:pPr>
              <w:pStyle w:val="COMTabletext"/>
              <w:keepNext w:val="0"/>
              <w:jc w:val="center"/>
            </w:pPr>
            <w:r w:rsidRPr="001F606F">
              <w:t>15.0</w:t>
            </w:r>
          </w:p>
        </w:tc>
        <w:tc>
          <w:tcPr>
            <w:tcW w:w="1692" w:type="dxa"/>
          </w:tcPr>
          <w:p w14:paraId="21B5679B" w14:textId="77777777" w:rsidR="003C667F" w:rsidRPr="001F606F" w:rsidRDefault="003C667F" w:rsidP="004B083B">
            <w:pPr>
              <w:pStyle w:val="COMTabletext"/>
              <w:keepNext w:val="0"/>
              <w:jc w:val="center"/>
            </w:pPr>
            <w:r w:rsidRPr="001F606F">
              <w:t>20.0</w:t>
            </w:r>
          </w:p>
        </w:tc>
        <w:tc>
          <w:tcPr>
            <w:tcW w:w="1690" w:type="dxa"/>
          </w:tcPr>
          <w:p w14:paraId="47546F1D" w14:textId="77777777" w:rsidR="003C667F" w:rsidRPr="001F606F" w:rsidRDefault="003C667F" w:rsidP="004B083B">
            <w:pPr>
              <w:pStyle w:val="COMTabletext"/>
              <w:keepNext w:val="0"/>
              <w:jc w:val="center"/>
            </w:pPr>
            <w:r w:rsidRPr="001F606F">
              <w:t>18.0</w:t>
            </w:r>
          </w:p>
        </w:tc>
      </w:tr>
      <w:tr w:rsidR="003C667F" w:rsidRPr="001F606F" w14:paraId="3100C7FB" w14:textId="77777777">
        <w:trPr>
          <w:trHeight w:val="160"/>
        </w:trPr>
        <w:tc>
          <w:tcPr>
            <w:tcW w:w="2255" w:type="dxa"/>
            <w:tcBorders>
              <w:bottom w:val="single" w:sz="4" w:space="0" w:color="auto"/>
            </w:tcBorders>
          </w:tcPr>
          <w:p w14:paraId="2588EB1C" w14:textId="77777777" w:rsidR="003C667F" w:rsidRPr="001F606F" w:rsidRDefault="003C667F" w:rsidP="004B083B">
            <w:pPr>
              <w:pStyle w:val="COMTabletext"/>
              <w:keepNext w:val="0"/>
            </w:pPr>
            <w:r w:rsidRPr="001F606F">
              <w:t>Week 17 (change)</w:t>
            </w:r>
          </w:p>
        </w:tc>
        <w:tc>
          <w:tcPr>
            <w:tcW w:w="1690" w:type="dxa"/>
            <w:tcBorders>
              <w:bottom w:val="single" w:sz="4" w:space="0" w:color="auto"/>
            </w:tcBorders>
          </w:tcPr>
          <w:p w14:paraId="10B05BF4" w14:textId="77777777" w:rsidR="003C667F" w:rsidRPr="001F606F" w:rsidRDefault="003C667F" w:rsidP="004B083B">
            <w:pPr>
              <w:pStyle w:val="COMTabletext"/>
              <w:keepNext w:val="0"/>
              <w:jc w:val="center"/>
            </w:pPr>
            <w:r w:rsidRPr="001F606F">
              <w:t>7.0 (-8.0)</w:t>
            </w:r>
          </w:p>
        </w:tc>
        <w:tc>
          <w:tcPr>
            <w:tcW w:w="1690" w:type="dxa"/>
            <w:tcBorders>
              <w:bottom w:val="single" w:sz="4" w:space="0" w:color="auto"/>
            </w:tcBorders>
          </w:tcPr>
          <w:p w14:paraId="58C45DC1" w14:textId="77777777" w:rsidR="003C667F" w:rsidRPr="001F606F" w:rsidRDefault="003C667F" w:rsidP="004B083B">
            <w:pPr>
              <w:pStyle w:val="COMTabletext"/>
              <w:keepNext w:val="0"/>
              <w:jc w:val="center"/>
            </w:pPr>
            <w:r w:rsidRPr="001F606F">
              <w:t>5.0 (-10.0)</w:t>
            </w:r>
          </w:p>
        </w:tc>
        <w:tc>
          <w:tcPr>
            <w:tcW w:w="1692" w:type="dxa"/>
            <w:tcBorders>
              <w:bottom w:val="single" w:sz="4" w:space="0" w:color="auto"/>
            </w:tcBorders>
          </w:tcPr>
          <w:p w14:paraId="004DA536" w14:textId="77777777" w:rsidR="003C667F" w:rsidRPr="001F606F" w:rsidRDefault="003C667F" w:rsidP="004B083B">
            <w:pPr>
              <w:pStyle w:val="COMTabletext"/>
              <w:keepNext w:val="0"/>
              <w:jc w:val="center"/>
            </w:pPr>
            <w:r w:rsidRPr="001F606F">
              <w:t>18.0 (-2.0)</w:t>
            </w:r>
          </w:p>
        </w:tc>
        <w:tc>
          <w:tcPr>
            <w:tcW w:w="1690" w:type="dxa"/>
            <w:tcBorders>
              <w:bottom w:val="single" w:sz="4" w:space="0" w:color="auto"/>
            </w:tcBorders>
          </w:tcPr>
          <w:p w14:paraId="3DC7B1E7" w14:textId="77777777" w:rsidR="003C667F" w:rsidRPr="001F606F" w:rsidRDefault="003C667F" w:rsidP="004B083B">
            <w:pPr>
              <w:pStyle w:val="COMTabletext"/>
              <w:keepNext w:val="0"/>
              <w:jc w:val="center"/>
            </w:pPr>
            <w:r w:rsidRPr="001F606F">
              <w:t>4.0 (-14.0)</w:t>
            </w:r>
          </w:p>
        </w:tc>
      </w:tr>
    </w:tbl>
    <w:p w14:paraId="0604C0FA" w14:textId="77777777" w:rsidR="003C667F" w:rsidRDefault="003C667F" w:rsidP="004B083B">
      <w:pPr>
        <w:pStyle w:val="COMTablefooter"/>
      </w:pPr>
      <w:r w:rsidRPr="001F606F">
        <w:t>Source: Table 2.37, pp152-153; Table 2.40, pp158-159; Table 2.4.2, pp162-164 of the submission.</w:t>
      </w:r>
    </w:p>
    <w:p w14:paraId="7F6BF3A9" w14:textId="77777777" w:rsidR="003C667F" w:rsidRPr="008A7CAC" w:rsidRDefault="003C667F" w:rsidP="004B083B">
      <w:pPr>
        <w:pStyle w:val="COMTablefooter"/>
      </w:pPr>
      <w:r w:rsidRPr="008A7CAC">
        <w:t>Abbreviations: AIDAI, Auto</w:t>
      </w:r>
      <w:r>
        <w:t>-I</w:t>
      </w:r>
      <w:r w:rsidRPr="008A7CAC">
        <w:t xml:space="preserve">nflammatory </w:t>
      </w:r>
      <w:r>
        <w:t>D</w:t>
      </w:r>
      <w:r w:rsidRPr="008A7CAC">
        <w:t xml:space="preserve">iseases </w:t>
      </w:r>
      <w:r>
        <w:t>A</w:t>
      </w:r>
      <w:r w:rsidRPr="008A7CAC">
        <w:t xml:space="preserve">ctivity </w:t>
      </w:r>
      <w:r>
        <w:t>I</w:t>
      </w:r>
      <w:r w:rsidRPr="008A7CAC">
        <w:t xml:space="preserve">ndex; CHQ-PF50, Child Health Questionnaire – Parent Form 50; SDS, Sheehan Disability Scale; SF-12, SF-12 health survey. </w:t>
      </w:r>
    </w:p>
    <w:p w14:paraId="6B6F871D" w14:textId="77777777" w:rsidR="003C667F" w:rsidRDefault="003C667F" w:rsidP="004B083B">
      <w:pPr>
        <w:pStyle w:val="COMTablefooter"/>
      </w:pPr>
      <w:r>
        <w:t>Note: In the CLUSTER trial, ‘no flare’ was defined as</w:t>
      </w:r>
      <w:r w:rsidRPr="00D75EC0">
        <w:t xml:space="preserve"> patients who did not receive </w:t>
      </w:r>
      <w:r>
        <w:t xml:space="preserve">an </w:t>
      </w:r>
      <w:r w:rsidRPr="00D75EC0">
        <w:t>add-on dose or any up-titration or patients who stayed on their randomi</w:t>
      </w:r>
      <w:r>
        <w:t>s</w:t>
      </w:r>
      <w:r w:rsidRPr="00D75EC0">
        <w:t>ed</w:t>
      </w:r>
      <w:r>
        <w:t xml:space="preserve"> </w:t>
      </w:r>
      <w:r w:rsidRPr="00D75EC0">
        <w:t>treatment regimen</w:t>
      </w:r>
      <w:r>
        <w:t>, and ‘</w:t>
      </w:r>
      <w:r w:rsidRPr="00D75EC0">
        <w:t>≥1 flare</w:t>
      </w:r>
      <w:r>
        <w:t>’ was defined as</w:t>
      </w:r>
      <w:r w:rsidRPr="00D75EC0">
        <w:t xml:space="preserve"> patients who received </w:t>
      </w:r>
      <w:r>
        <w:t xml:space="preserve">an </w:t>
      </w:r>
      <w:r w:rsidRPr="00D75EC0">
        <w:t>add</w:t>
      </w:r>
      <w:r>
        <w:t>-</w:t>
      </w:r>
      <w:r w:rsidRPr="00D75EC0">
        <w:t>on dose or up-titration or patients who did not stay on their randomi</w:t>
      </w:r>
      <w:r>
        <w:t>s</w:t>
      </w:r>
      <w:r w:rsidRPr="00D75EC0">
        <w:t>ed</w:t>
      </w:r>
      <w:r>
        <w:t xml:space="preserve"> </w:t>
      </w:r>
      <w:r w:rsidRPr="00D75EC0">
        <w:t>treatment regimen at</w:t>
      </w:r>
      <w:r>
        <w:t xml:space="preserve"> the</w:t>
      </w:r>
      <w:r w:rsidRPr="00D75EC0">
        <w:t xml:space="preserve"> end of </w:t>
      </w:r>
      <w:r>
        <w:t>Stage</w:t>
      </w:r>
      <w:r w:rsidRPr="00D75EC0">
        <w:t xml:space="preserve"> 2.</w:t>
      </w:r>
    </w:p>
    <w:p w14:paraId="309F52F4" w14:textId="77777777" w:rsidR="003C667F" w:rsidRDefault="003C667F" w:rsidP="004B083B">
      <w:pPr>
        <w:pStyle w:val="COMTablefooter"/>
      </w:pPr>
      <w:r>
        <w:t>Note: Canakinumab 150/300 mg also refers to canakinumab 2/4 mg/kg in patients weighing ≤40 kg.</w:t>
      </w:r>
      <w:r w:rsidRPr="00A35A6A">
        <w:t xml:space="preserve"> </w:t>
      </w:r>
      <w:r w:rsidRPr="008A7CAC">
        <w:t xml:space="preserve">Results for placebo to canakinumab 300 mg </w:t>
      </w:r>
      <w:r>
        <w:t>are</w:t>
      </w:r>
      <w:r w:rsidRPr="008A7CAC">
        <w:t xml:space="preserve"> not shown due to the small number of evaluable patients.</w:t>
      </w:r>
      <w:r w:rsidRPr="00A35A6A">
        <w:t xml:space="preserve"> </w:t>
      </w:r>
      <w:r w:rsidRPr="008A7CAC">
        <w:t xml:space="preserve">Median change from baseline is </w:t>
      </w:r>
      <w:r>
        <w:t>presented</w:t>
      </w:r>
      <w:r w:rsidRPr="008A7CAC">
        <w:t xml:space="preserve"> for each study week and was calculated only for patients with both baseline and post-baseline values.</w:t>
      </w:r>
      <w:r>
        <w:t xml:space="preserve"> Week 16 results were used for the AIDAI measure due to small number of patients with available results in Week 17.</w:t>
      </w:r>
    </w:p>
    <w:p w14:paraId="6B3E3860" w14:textId="77777777" w:rsidR="003C667F" w:rsidRDefault="003C667F" w:rsidP="004B083B">
      <w:pPr>
        <w:pStyle w:val="COMTablefooter"/>
      </w:pPr>
      <w:r>
        <w:rPr>
          <w:vertAlign w:val="superscript"/>
        </w:rPr>
        <w:t xml:space="preserve">a </w:t>
      </w:r>
      <w:r w:rsidRPr="001B2C59">
        <w:t xml:space="preserve">AIDAI </w:t>
      </w:r>
      <w:r>
        <w:t>scores are based on the</w:t>
      </w:r>
      <w:r w:rsidRPr="001B2C59">
        <w:t xml:space="preserve"> sum of all </w:t>
      </w:r>
      <w:r>
        <w:t xml:space="preserve">‘Yes’ responses </w:t>
      </w:r>
      <w:r w:rsidRPr="001B2C59">
        <w:t>from 12 items</w:t>
      </w:r>
      <w:r>
        <w:t xml:space="preserve">: </w:t>
      </w:r>
      <w:r w:rsidRPr="00EB775D">
        <w:t>(a) fever, ≥38°C; (b) overall symptoms; (c) abdominal pain; (d) nausea/vomiting; (e) diarrh</w:t>
      </w:r>
      <w:r>
        <w:t>o</w:t>
      </w:r>
      <w:r w:rsidRPr="00EB775D">
        <w:t>ea; (f ) headaches; (g) chest pain; (h) painful nodes; (</w:t>
      </w:r>
      <w:proofErr w:type="spellStart"/>
      <w:r w:rsidRPr="00EB775D">
        <w:t>i</w:t>
      </w:r>
      <w:proofErr w:type="spellEnd"/>
      <w:r w:rsidRPr="00EB775D">
        <w:t>) arthralgia or myalgia; (j) swelling of the joints; (k) eye manifestations; (l) skin rash</w:t>
      </w:r>
      <w:r w:rsidRPr="001B2C59">
        <w:t xml:space="preserve"> (‘pain relief drugs taken’ item not included)</w:t>
      </w:r>
      <w:r>
        <w:t>. Higher scores are indicative of more auto-inflammatory disease activity.</w:t>
      </w:r>
    </w:p>
    <w:p w14:paraId="4D059DA1" w14:textId="77777777" w:rsidR="003C667F" w:rsidRDefault="003C667F" w:rsidP="004B083B">
      <w:pPr>
        <w:pStyle w:val="COMTablefooter"/>
      </w:pPr>
      <w:r>
        <w:rPr>
          <w:vertAlign w:val="superscript"/>
        </w:rPr>
        <w:t>b</w:t>
      </w:r>
      <w:r>
        <w:t xml:space="preserve"> The SF-12 measures the impact of disease on overall quality of life and consists of eight subscales (physical function, pain, general and mental health, vitality, social function, physical and emotional health) which can be aggregated to derive a physical-component summary score (PCS) and a mental-component summary score (MCS). Scores are determined with the use of norm-based methods which standardise scores based on an assessment of the general U.S. population free of chronic conditions.</w:t>
      </w:r>
      <w:r w:rsidRPr="00A71119">
        <w:t xml:space="preserve"> </w:t>
      </w:r>
      <w:r>
        <w:t>Scores above 50 indicate better than average health, scores below 50 indicate below average health with a change of 3 to 5 points typically suggesting a clinically meaningful improvement or decline, depending on population norms.</w:t>
      </w:r>
    </w:p>
    <w:p w14:paraId="6B7D12E9" w14:textId="77777777" w:rsidR="003C667F" w:rsidRDefault="003C667F" w:rsidP="004B083B">
      <w:pPr>
        <w:pStyle w:val="COMTablefooter"/>
      </w:pPr>
      <w:r>
        <w:rPr>
          <w:vertAlign w:val="superscript"/>
        </w:rPr>
        <w:t>c</w:t>
      </w:r>
      <w:r>
        <w:rPr>
          <w:vertAlign w:val="subscript"/>
        </w:rPr>
        <w:t xml:space="preserve"> </w:t>
      </w:r>
      <w:proofErr w:type="gramStart"/>
      <w:r w:rsidRPr="00F550A6">
        <w:t>The</w:t>
      </w:r>
      <w:proofErr w:type="gramEnd"/>
      <w:r>
        <w:t xml:space="preserve"> CHQ-P50 </w:t>
      </w:r>
      <w:r w:rsidRPr="00F550A6">
        <w:t xml:space="preserve">questionnaire measures the following concepts: </w:t>
      </w:r>
      <w:r>
        <w:t>p</w:t>
      </w:r>
      <w:r w:rsidRPr="00F550A6">
        <w:t xml:space="preserve">hysical functioning, </w:t>
      </w:r>
      <w:r>
        <w:t>r</w:t>
      </w:r>
      <w:r w:rsidRPr="00F550A6">
        <w:t>ole/social emotional,</w:t>
      </w:r>
      <w:r>
        <w:t xml:space="preserve"> r</w:t>
      </w:r>
      <w:r w:rsidRPr="00F550A6">
        <w:t>ole/social behavio</w:t>
      </w:r>
      <w:r>
        <w:t>u</w:t>
      </w:r>
      <w:r w:rsidRPr="00F550A6">
        <w:t xml:space="preserve">r, </w:t>
      </w:r>
      <w:r>
        <w:t>r</w:t>
      </w:r>
      <w:r w:rsidRPr="00F550A6">
        <w:t xml:space="preserve">ole/social physical, </w:t>
      </w:r>
      <w:r>
        <w:t>b</w:t>
      </w:r>
      <w:r w:rsidRPr="00F550A6">
        <w:t xml:space="preserve">odily pain, </w:t>
      </w:r>
      <w:r>
        <w:t>g</w:t>
      </w:r>
      <w:r w:rsidRPr="00F550A6">
        <w:t>eneral behavio</w:t>
      </w:r>
      <w:r>
        <w:t>u</w:t>
      </w:r>
      <w:r w:rsidRPr="00F550A6">
        <w:t xml:space="preserve">r, </w:t>
      </w:r>
      <w:r>
        <w:t>m</w:t>
      </w:r>
      <w:r w:rsidRPr="00F550A6">
        <w:t>ental health,</w:t>
      </w:r>
      <w:r>
        <w:t xml:space="preserve"> s</w:t>
      </w:r>
      <w:r w:rsidRPr="00F550A6">
        <w:t xml:space="preserve">elf-esteem, </w:t>
      </w:r>
      <w:r>
        <w:t>g</w:t>
      </w:r>
      <w:r w:rsidRPr="00F550A6">
        <w:t xml:space="preserve">eneral health perception, </w:t>
      </w:r>
      <w:r>
        <w:t>c</w:t>
      </w:r>
      <w:r w:rsidRPr="00F550A6">
        <w:t xml:space="preserve">hange in health, </w:t>
      </w:r>
      <w:r>
        <w:t>p</w:t>
      </w:r>
      <w:r w:rsidRPr="00F550A6">
        <w:t xml:space="preserve">arental impact – emotional, </w:t>
      </w:r>
      <w:r>
        <w:t>p</w:t>
      </w:r>
      <w:r w:rsidRPr="00F550A6">
        <w:t xml:space="preserve">arental impact – time, </w:t>
      </w:r>
      <w:r>
        <w:t>f</w:t>
      </w:r>
      <w:r w:rsidRPr="00F550A6">
        <w:t xml:space="preserve">amily activities, and </w:t>
      </w:r>
      <w:r>
        <w:t>f</w:t>
      </w:r>
      <w:r w:rsidRPr="00F550A6">
        <w:t>amily cohesion. The</w:t>
      </w:r>
      <w:r>
        <w:t xml:space="preserve"> CLUSTER clinical study report noted that a change from baseline of 2, 5, and 8 points in CHQ-P50 physical and psychological component summary scores corresponds to a small, moderate and large treatment effect, respectively. H</w:t>
      </w:r>
      <w:r w:rsidRPr="000213AE">
        <w:t>igher scores indicat</w:t>
      </w:r>
      <w:r>
        <w:t>e</w:t>
      </w:r>
      <w:r w:rsidRPr="000213AE">
        <w:t xml:space="preserve"> better or more positive health states.</w:t>
      </w:r>
    </w:p>
    <w:p w14:paraId="384B644A" w14:textId="77777777" w:rsidR="003C667F" w:rsidRPr="00DA4557" w:rsidRDefault="003C667F" w:rsidP="004B083B">
      <w:pPr>
        <w:pStyle w:val="COMTablefooter"/>
        <w:spacing w:before="160"/>
      </w:pPr>
      <w:r>
        <w:rPr>
          <w:vertAlign w:val="superscript"/>
        </w:rPr>
        <w:t>d</w:t>
      </w:r>
      <w:r>
        <w:t> Three</w:t>
      </w:r>
      <w:r w:rsidRPr="00DA4557">
        <w:t xml:space="preserve"> items from </w:t>
      </w:r>
      <w:r>
        <w:t xml:space="preserve">the </w:t>
      </w:r>
      <w:r w:rsidRPr="00DA4557">
        <w:t>SDS are summed up into a single dimensional measure of global functional impairment that ranges from 0 (unimpaired) to 30 (highly impaired).</w:t>
      </w:r>
    </w:p>
    <w:p w14:paraId="3F53373C" w14:textId="7BA3024F" w:rsidR="003C667F" w:rsidRDefault="003C667F" w:rsidP="004B083B">
      <w:pPr>
        <w:pStyle w:val="COMESnumberedpara"/>
        <w:spacing w:before="160" w:after="160"/>
      </w:pPr>
      <w:r>
        <w:t xml:space="preserve">Results from the health-related quality of life measures suggest an improvement in auto-inflammatory disease activity, a decrease in functional impairment and an </w:t>
      </w:r>
      <w:r>
        <w:lastRenderedPageBreak/>
        <w:t>improvement in health-related quality of life from baseline to the end of Stage 2</w:t>
      </w:r>
      <w:r w:rsidR="00B50EA0">
        <w:t xml:space="preserve"> in all patients treated with canakinumab, including those switching from placebo to canakinumab during the stage.</w:t>
      </w:r>
    </w:p>
    <w:p w14:paraId="1452C351" w14:textId="0D19F1B0" w:rsidR="00B60939" w:rsidRPr="0098262F" w:rsidRDefault="00B60939" w:rsidP="004B083B">
      <w:pPr>
        <w:pStyle w:val="COMESSubsectionheading"/>
      </w:pPr>
      <w:bookmarkStart w:id="36" w:name="_Toc22897642"/>
      <w:bookmarkStart w:id="37" w:name="_Toc219811822"/>
      <w:r w:rsidRPr="0098262F">
        <w:t>Comparative harms</w:t>
      </w:r>
      <w:bookmarkEnd w:id="36"/>
      <w:bookmarkEnd w:id="37"/>
    </w:p>
    <w:p w14:paraId="69BAEF10" w14:textId="079C5803" w:rsidR="003C667F" w:rsidRDefault="003C667F" w:rsidP="004B083B">
      <w:pPr>
        <w:pStyle w:val="COMESnumberedpara"/>
        <w:spacing w:before="160" w:after="160"/>
      </w:pPr>
      <w:r w:rsidRPr="0017574A">
        <w:t xml:space="preserve">The </w:t>
      </w:r>
      <w:r>
        <w:t xml:space="preserve">submission noted that the </w:t>
      </w:r>
      <w:r w:rsidRPr="0017574A">
        <w:t xml:space="preserve">extensive crossover of placebo patients to canakinumab treatment in </w:t>
      </w:r>
      <w:r>
        <w:t xml:space="preserve">the </w:t>
      </w:r>
      <w:r w:rsidRPr="0017574A">
        <w:t xml:space="preserve">randomised and re-randomised groups in </w:t>
      </w:r>
      <w:r>
        <w:t>Stages</w:t>
      </w:r>
      <w:r w:rsidRPr="0017574A">
        <w:t xml:space="preserve"> 2 and 3</w:t>
      </w:r>
      <w:r>
        <w:t xml:space="preserve"> of the CLUSTER trial</w:t>
      </w:r>
      <w:r w:rsidRPr="0017574A">
        <w:t xml:space="preserve"> precludes a meaningful comparison of harms between canakinumab and placebo</w:t>
      </w:r>
      <w:r>
        <w:t xml:space="preserve">. Adverse events by stage for patients receiving any dose of canakinumab are summarised in </w:t>
      </w:r>
      <w:r w:rsidR="00B649D5">
        <w:fldChar w:fldCharType="begin"/>
      </w:r>
      <w:r w:rsidR="00B649D5">
        <w:instrText xml:space="preserve"> REF _Ref216686352 \h </w:instrText>
      </w:r>
      <w:r w:rsidR="00B649D5">
        <w:fldChar w:fldCharType="separate"/>
      </w:r>
      <w:r w:rsidR="00815AB6" w:rsidRPr="0098262F">
        <w:t xml:space="preserve">Table </w:t>
      </w:r>
      <w:r w:rsidR="00815AB6">
        <w:rPr>
          <w:noProof/>
        </w:rPr>
        <w:t>6</w:t>
      </w:r>
      <w:r w:rsidR="00B649D5">
        <w:fldChar w:fldCharType="end"/>
      </w:r>
      <w:r>
        <w:t>.</w:t>
      </w:r>
    </w:p>
    <w:p w14:paraId="310B2246" w14:textId="1D4BC223" w:rsidR="00B60939" w:rsidRPr="0098262F" w:rsidRDefault="00D6076E" w:rsidP="004B083B">
      <w:pPr>
        <w:pStyle w:val="COMTableFigurecaption"/>
        <w:rPr>
          <w:b w:val="0"/>
        </w:rPr>
      </w:pPr>
      <w:bookmarkStart w:id="38" w:name="_Ref216686352"/>
      <w:r w:rsidRPr="0098262F">
        <w:t xml:space="preserve">Table </w:t>
      </w:r>
      <w:fldSimple w:instr=" SEQ Table \* ARABIC ">
        <w:r w:rsidR="00815AB6">
          <w:rPr>
            <w:noProof/>
          </w:rPr>
          <w:t>6</w:t>
        </w:r>
      </w:fldSimple>
      <w:bookmarkEnd w:id="38"/>
      <w:r w:rsidRPr="0098262F">
        <w:t xml:space="preserve">: </w:t>
      </w:r>
      <w:r w:rsidR="003C667F">
        <w:t>Key adverse events by CLUSTER trial stage, any patients treated with at least one dose of canakinumab</w:t>
      </w:r>
    </w:p>
    <w:tbl>
      <w:tblPr>
        <w:tblStyle w:val="TableGrid"/>
        <w:tblW w:w="5000" w:type="pct"/>
        <w:tblLook w:val="04A0" w:firstRow="1" w:lastRow="0" w:firstColumn="1" w:lastColumn="0" w:noHBand="0" w:noVBand="1"/>
        <w:tblCaption w:val="Table 6: Key adverse events by CLUSTER trial stage, any patients treated with at least one dose of canakinumab"/>
      </w:tblPr>
      <w:tblGrid>
        <w:gridCol w:w="3681"/>
        <w:gridCol w:w="1843"/>
        <w:gridCol w:w="1842"/>
        <w:gridCol w:w="1651"/>
      </w:tblGrid>
      <w:tr w:rsidR="003C667F" w:rsidRPr="008A7CAC" w14:paraId="6B9D32D9" w14:textId="77777777">
        <w:trPr>
          <w:trHeight w:val="160"/>
        </w:trPr>
        <w:tc>
          <w:tcPr>
            <w:tcW w:w="3681" w:type="dxa"/>
            <w:vAlign w:val="center"/>
          </w:tcPr>
          <w:p w14:paraId="1FB8886E" w14:textId="77777777" w:rsidR="003C667F" w:rsidRPr="008A7CAC" w:rsidRDefault="003C667F" w:rsidP="004B083B">
            <w:pPr>
              <w:pStyle w:val="COMTableheadingrow"/>
              <w:jc w:val="center"/>
            </w:pPr>
            <w:bookmarkStart w:id="39" w:name="_Toc22897643"/>
            <w:r>
              <w:t>Adverse event type</w:t>
            </w:r>
          </w:p>
        </w:tc>
        <w:tc>
          <w:tcPr>
            <w:tcW w:w="1843" w:type="dxa"/>
            <w:vAlign w:val="center"/>
          </w:tcPr>
          <w:p w14:paraId="0556A740" w14:textId="77777777" w:rsidR="003C667F" w:rsidRPr="00CF2578" w:rsidRDefault="003C667F" w:rsidP="004B083B">
            <w:pPr>
              <w:pStyle w:val="COMTableheadingrow"/>
              <w:jc w:val="center"/>
            </w:pPr>
            <w:r w:rsidRPr="00CF2578">
              <w:t>Stage 2</w:t>
            </w:r>
            <w:r>
              <w:t>, n (%)</w:t>
            </w:r>
          </w:p>
          <w:p w14:paraId="685AFA12" w14:textId="77777777" w:rsidR="003C667F" w:rsidRPr="00CF2578" w:rsidRDefault="003C667F" w:rsidP="004B083B">
            <w:pPr>
              <w:pStyle w:val="COMTabletext"/>
              <w:jc w:val="center"/>
              <w:rPr>
                <w:b/>
              </w:rPr>
            </w:pPr>
            <w:r w:rsidRPr="00CF2578">
              <w:rPr>
                <w:b/>
              </w:rPr>
              <w:t>N = 58</w:t>
            </w:r>
          </w:p>
        </w:tc>
        <w:tc>
          <w:tcPr>
            <w:tcW w:w="1842" w:type="dxa"/>
            <w:vAlign w:val="center"/>
          </w:tcPr>
          <w:p w14:paraId="05386ABF" w14:textId="77777777" w:rsidR="003C667F" w:rsidRPr="00CF2578" w:rsidRDefault="003C667F" w:rsidP="004B083B">
            <w:pPr>
              <w:pStyle w:val="COMTableheadingrow"/>
              <w:jc w:val="center"/>
            </w:pPr>
            <w:r w:rsidRPr="00CF2578">
              <w:t>Stage 3</w:t>
            </w:r>
            <w:r>
              <w:t>, n (%)</w:t>
            </w:r>
          </w:p>
          <w:p w14:paraId="6063CB92" w14:textId="77777777" w:rsidR="003C667F" w:rsidRPr="00CF2578" w:rsidRDefault="003C667F" w:rsidP="004B083B">
            <w:pPr>
              <w:pStyle w:val="COMTabletext"/>
              <w:jc w:val="center"/>
              <w:rPr>
                <w:b/>
              </w:rPr>
            </w:pPr>
            <w:r w:rsidRPr="00CF2578">
              <w:rPr>
                <w:b/>
              </w:rPr>
              <w:t>N = 59</w:t>
            </w:r>
          </w:p>
        </w:tc>
        <w:tc>
          <w:tcPr>
            <w:tcW w:w="1651" w:type="dxa"/>
            <w:vAlign w:val="center"/>
          </w:tcPr>
          <w:p w14:paraId="6F8583FE" w14:textId="77777777" w:rsidR="003C667F" w:rsidRPr="00CF2578" w:rsidRDefault="003C667F" w:rsidP="004B083B">
            <w:pPr>
              <w:pStyle w:val="COMTableheadingrow"/>
              <w:jc w:val="center"/>
            </w:pPr>
            <w:r w:rsidRPr="00CF2578">
              <w:t>Stage 4</w:t>
            </w:r>
            <w:r>
              <w:t>, n (%)</w:t>
            </w:r>
          </w:p>
          <w:p w14:paraId="70258CF3" w14:textId="77777777" w:rsidR="003C667F" w:rsidRPr="00CF2578" w:rsidRDefault="003C667F" w:rsidP="004B083B">
            <w:pPr>
              <w:pStyle w:val="COMTabletext"/>
              <w:jc w:val="center"/>
              <w:rPr>
                <w:b/>
              </w:rPr>
            </w:pPr>
            <w:r w:rsidRPr="00CF2578">
              <w:rPr>
                <w:b/>
              </w:rPr>
              <w:t>N = 60</w:t>
            </w:r>
          </w:p>
        </w:tc>
      </w:tr>
      <w:tr w:rsidR="003C667F" w:rsidRPr="008A7CAC" w14:paraId="119736F7" w14:textId="77777777">
        <w:trPr>
          <w:trHeight w:val="160"/>
        </w:trPr>
        <w:tc>
          <w:tcPr>
            <w:tcW w:w="3681" w:type="dxa"/>
          </w:tcPr>
          <w:p w14:paraId="08B49051" w14:textId="77777777" w:rsidR="003C667F" w:rsidRPr="008A7CAC" w:rsidRDefault="003C667F" w:rsidP="004B083B">
            <w:pPr>
              <w:pStyle w:val="COMTabletext"/>
            </w:pPr>
            <w:r>
              <w:t>Any adverse event</w:t>
            </w:r>
          </w:p>
        </w:tc>
        <w:tc>
          <w:tcPr>
            <w:tcW w:w="1843" w:type="dxa"/>
          </w:tcPr>
          <w:p w14:paraId="1211330B" w14:textId="77777777" w:rsidR="003C667F" w:rsidRPr="008A7CAC" w:rsidRDefault="003C667F" w:rsidP="004B083B">
            <w:pPr>
              <w:pStyle w:val="COMTabletext"/>
              <w:jc w:val="center"/>
            </w:pPr>
            <w:r>
              <w:t>47 (81.0)</w:t>
            </w:r>
          </w:p>
        </w:tc>
        <w:tc>
          <w:tcPr>
            <w:tcW w:w="1842" w:type="dxa"/>
          </w:tcPr>
          <w:p w14:paraId="38DFE8A4" w14:textId="77777777" w:rsidR="003C667F" w:rsidRPr="008A7CAC" w:rsidRDefault="003C667F" w:rsidP="004B083B">
            <w:pPr>
              <w:pStyle w:val="COMTabletext"/>
              <w:jc w:val="center"/>
            </w:pPr>
            <w:r>
              <w:t>47 (85.5)</w:t>
            </w:r>
          </w:p>
        </w:tc>
        <w:tc>
          <w:tcPr>
            <w:tcW w:w="1651" w:type="dxa"/>
          </w:tcPr>
          <w:p w14:paraId="00ECA589" w14:textId="77777777" w:rsidR="003C667F" w:rsidRPr="008A7CAC" w:rsidRDefault="003C667F" w:rsidP="004B083B">
            <w:pPr>
              <w:pStyle w:val="COMTabletext"/>
              <w:jc w:val="center"/>
            </w:pPr>
            <w:r>
              <w:t>57 (95.0)</w:t>
            </w:r>
          </w:p>
        </w:tc>
      </w:tr>
      <w:tr w:rsidR="003C667F" w:rsidRPr="008A7CAC" w14:paraId="1F24DB06" w14:textId="77777777">
        <w:trPr>
          <w:trHeight w:val="160"/>
        </w:trPr>
        <w:tc>
          <w:tcPr>
            <w:tcW w:w="3681" w:type="dxa"/>
          </w:tcPr>
          <w:p w14:paraId="71244C10" w14:textId="77777777" w:rsidR="003C667F" w:rsidRPr="008A7CAC" w:rsidRDefault="003C667F" w:rsidP="004B083B">
            <w:pPr>
              <w:pStyle w:val="COMTabletext"/>
            </w:pPr>
            <w:r>
              <w:t>Any serious adverse event</w:t>
            </w:r>
          </w:p>
        </w:tc>
        <w:tc>
          <w:tcPr>
            <w:tcW w:w="1843" w:type="dxa"/>
          </w:tcPr>
          <w:p w14:paraId="1886FF35" w14:textId="77777777" w:rsidR="003C667F" w:rsidRPr="008A7CAC" w:rsidRDefault="003C667F" w:rsidP="004B083B">
            <w:pPr>
              <w:pStyle w:val="COMTabletext"/>
              <w:jc w:val="center"/>
            </w:pPr>
            <w:r>
              <w:t>5 (8.6)</w:t>
            </w:r>
          </w:p>
        </w:tc>
        <w:tc>
          <w:tcPr>
            <w:tcW w:w="1842" w:type="dxa"/>
          </w:tcPr>
          <w:p w14:paraId="0DF95A04" w14:textId="77777777" w:rsidR="003C667F" w:rsidRPr="008A7CAC" w:rsidRDefault="003C667F" w:rsidP="004B083B">
            <w:pPr>
              <w:pStyle w:val="COMTabletext"/>
              <w:jc w:val="center"/>
            </w:pPr>
            <w:r>
              <w:t>5 (9.1)</w:t>
            </w:r>
          </w:p>
        </w:tc>
        <w:tc>
          <w:tcPr>
            <w:tcW w:w="1651" w:type="dxa"/>
          </w:tcPr>
          <w:p w14:paraId="31FF030D" w14:textId="77777777" w:rsidR="003C667F" w:rsidRPr="008A7CAC" w:rsidRDefault="003C667F" w:rsidP="004B083B">
            <w:pPr>
              <w:pStyle w:val="COMTabletext"/>
              <w:jc w:val="center"/>
            </w:pPr>
            <w:r>
              <w:t>13 (21.7)</w:t>
            </w:r>
          </w:p>
        </w:tc>
      </w:tr>
      <w:tr w:rsidR="003C667F" w:rsidRPr="008A7CAC" w14:paraId="47F6ACFC" w14:textId="77777777">
        <w:trPr>
          <w:trHeight w:val="160"/>
        </w:trPr>
        <w:tc>
          <w:tcPr>
            <w:tcW w:w="3681" w:type="dxa"/>
          </w:tcPr>
          <w:p w14:paraId="63F32BBA" w14:textId="77777777" w:rsidR="003C667F" w:rsidRPr="008A7CAC" w:rsidRDefault="003C667F" w:rsidP="004B083B">
            <w:pPr>
              <w:pStyle w:val="COMTabletext"/>
            </w:pPr>
            <w:r>
              <w:t>Adverse event related to study drug</w:t>
            </w:r>
          </w:p>
        </w:tc>
        <w:tc>
          <w:tcPr>
            <w:tcW w:w="1843" w:type="dxa"/>
          </w:tcPr>
          <w:p w14:paraId="02E16168" w14:textId="77777777" w:rsidR="003C667F" w:rsidRPr="008A7CAC" w:rsidRDefault="003C667F" w:rsidP="004B083B">
            <w:pPr>
              <w:pStyle w:val="COMTabletext"/>
              <w:jc w:val="center"/>
            </w:pPr>
            <w:r>
              <w:t>19 (32.8)</w:t>
            </w:r>
          </w:p>
        </w:tc>
        <w:tc>
          <w:tcPr>
            <w:tcW w:w="1842" w:type="dxa"/>
          </w:tcPr>
          <w:p w14:paraId="1B62764D" w14:textId="77777777" w:rsidR="003C667F" w:rsidRPr="008A7CAC" w:rsidRDefault="003C667F" w:rsidP="004B083B">
            <w:pPr>
              <w:pStyle w:val="COMTabletext"/>
              <w:jc w:val="center"/>
            </w:pPr>
            <w:r>
              <w:t>13 (23.6)</w:t>
            </w:r>
          </w:p>
        </w:tc>
        <w:tc>
          <w:tcPr>
            <w:tcW w:w="1651" w:type="dxa"/>
          </w:tcPr>
          <w:p w14:paraId="2B611F33" w14:textId="77777777" w:rsidR="003C667F" w:rsidRPr="008A7CAC" w:rsidRDefault="003C667F" w:rsidP="004B083B">
            <w:pPr>
              <w:pStyle w:val="COMTabletext"/>
              <w:jc w:val="center"/>
            </w:pPr>
            <w:r>
              <w:t>19 (31.7)</w:t>
            </w:r>
          </w:p>
        </w:tc>
      </w:tr>
      <w:tr w:rsidR="003C667F" w:rsidRPr="008A7CAC" w14:paraId="120AEA7B" w14:textId="77777777">
        <w:trPr>
          <w:trHeight w:val="160"/>
        </w:trPr>
        <w:tc>
          <w:tcPr>
            <w:tcW w:w="3681" w:type="dxa"/>
          </w:tcPr>
          <w:p w14:paraId="5D5727FF" w14:textId="77777777" w:rsidR="003C667F" w:rsidRPr="008A7CAC" w:rsidRDefault="003C667F" w:rsidP="004B083B">
            <w:pPr>
              <w:pStyle w:val="COMTabletext"/>
            </w:pPr>
            <w:r>
              <w:t>Adverse event leading to discontinuation</w:t>
            </w:r>
          </w:p>
        </w:tc>
        <w:tc>
          <w:tcPr>
            <w:tcW w:w="1843" w:type="dxa"/>
          </w:tcPr>
          <w:p w14:paraId="73A6436A" w14:textId="77777777" w:rsidR="003C667F" w:rsidRPr="008A7CAC" w:rsidRDefault="003C667F" w:rsidP="004B083B">
            <w:pPr>
              <w:pStyle w:val="COMTabletext"/>
              <w:jc w:val="center"/>
            </w:pPr>
            <w:r>
              <w:t>0 (0)</w:t>
            </w:r>
          </w:p>
        </w:tc>
        <w:tc>
          <w:tcPr>
            <w:tcW w:w="1842" w:type="dxa"/>
          </w:tcPr>
          <w:p w14:paraId="4C753B48" w14:textId="77777777" w:rsidR="003C667F" w:rsidRPr="008A7CAC" w:rsidRDefault="003C667F" w:rsidP="004B083B">
            <w:pPr>
              <w:pStyle w:val="COMTabletext"/>
              <w:jc w:val="center"/>
            </w:pPr>
            <w:r>
              <w:t>0 (0)</w:t>
            </w:r>
          </w:p>
        </w:tc>
        <w:tc>
          <w:tcPr>
            <w:tcW w:w="1651" w:type="dxa"/>
          </w:tcPr>
          <w:p w14:paraId="48702A13" w14:textId="77777777" w:rsidR="003C667F" w:rsidRPr="008A7CAC" w:rsidRDefault="003C667F" w:rsidP="004B083B">
            <w:pPr>
              <w:pStyle w:val="COMTabletext"/>
              <w:jc w:val="center"/>
            </w:pPr>
            <w:r>
              <w:t>1 (1.7)</w:t>
            </w:r>
          </w:p>
        </w:tc>
      </w:tr>
      <w:tr w:rsidR="003C667F" w:rsidRPr="00C37385" w14:paraId="75A642B8" w14:textId="77777777">
        <w:trPr>
          <w:trHeight w:val="160"/>
        </w:trPr>
        <w:tc>
          <w:tcPr>
            <w:tcW w:w="3681" w:type="dxa"/>
          </w:tcPr>
          <w:p w14:paraId="47D2206A" w14:textId="77777777" w:rsidR="003C667F" w:rsidRPr="00C37385" w:rsidRDefault="003C667F" w:rsidP="004B083B">
            <w:pPr>
              <w:pStyle w:val="COMTabletext"/>
            </w:pPr>
            <w:r>
              <w:t>Deaths</w:t>
            </w:r>
          </w:p>
        </w:tc>
        <w:tc>
          <w:tcPr>
            <w:tcW w:w="1843" w:type="dxa"/>
          </w:tcPr>
          <w:p w14:paraId="63325108" w14:textId="77777777" w:rsidR="003C667F" w:rsidRPr="00C37385" w:rsidRDefault="003C667F" w:rsidP="004B083B">
            <w:pPr>
              <w:pStyle w:val="COMTabletext"/>
              <w:jc w:val="center"/>
            </w:pPr>
            <w:r>
              <w:t>0 (0)</w:t>
            </w:r>
          </w:p>
        </w:tc>
        <w:tc>
          <w:tcPr>
            <w:tcW w:w="1842" w:type="dxa"/>
          </w:tcPr>
          <w:p w14:paraId="1C5B8789" w14:textId="77777777" w:rsidR="003C667F" w:rsidRPr="00C37385" w:rsidRDefault="003C667F" w:rsidP="004B083B">
            <w:pPr>
              <w:pStyle w:val="COMTabletext"/>
              <w:jc w:val="center"/>
            </w:pPr>
            <w:r>
              <w:t>0 (0)</w:t>
            </w:r>
          </w:p>
        </w:tc>
        <w:tc>
          <w:tcPr>
            <w:tcW w:w="1651" w:type="dxa"/>
          </w:tcPr>
          <w:p w14:paraId="7E6B4E42" w14:textId="77777777" w:rsidR="003C667F" w:rsidRPr="00C37385" w:rsidRDefault="003C667F" w:rsidP="004B083B">
            <w:pPr>
              <w:pStyle w:val="COMTabletext"/>
              <w:jc w:val="center"/>
            </w:pPr>
            <w:r>
              <w:t>0 (0)</w:t>
            </w:r>
          </w:p>
        </w:tc>
      </w:tr>
      <w:tr w:rsidR="003C667F" w:rsidRPr="00C778C1" w14:paraId="57FC3879" w14:textId="77777777">
        <w:trPr>
          <w:trHeight w:val="160"/>
        </w:trPr>
        <w:tc>
          <w:tcPr>
            <w:tcW w:w="9017" w:type="dxa"/>
            <w:gridSpan w:val="4"/>
          </w:tcPr>
          <w:p w14:paraId="065A79B8" w14:textId="77777777" w:rsidR="003C667F" w:rsidRPr="00C778C1" w:rsidRDefault="003C667F" w:rsidP="004B083B">
            <w:pPr>
              <w:pStyle w:val="COMTabletext"/>
              <w:rPr>
                <w:b/>
                <w:bCs w:val="0"/>
              </w:rPr>
            </w:pPr>
            <w:r>
              <w:rPr>
                <w:b/>
                <w:bCs w:val="0"/>
              </w:rPr>
              <w:t>Commonly reported adverse events (at least 10% of patients in at least one Stage)</w:t>
            </w:r>
          </w:p>
        </w:tc>
      </w:tr>
      <w:tr w:rsidR="003C667F" w:rsidRPr="00C37385" w14:paraId="756FA1C5" w14:textId="77777777">
        <w:trPr>
          <w:trHeight w:val="160"/>
        </w:trPr>
        <w:tc>
          <w:tcPr>
            <w:tcW w:w="3681" w:type="dxa"/>
          </w:tcPr>
          <w:p w14:paraId="020F4F61" w14:textId="3D4E008B" w:rsidR="003C667F" w:rsidRPr="00CD46E5" w:rsidRDefault="003C667F" w:rsidP="004B083B">
            <w:pPr>
              <w:pStyle w:val="COMTabletext"/>
              <w:rPr>
                <w:vertAlign w:val="superscript"/>
              </w:rPr>
            </w:pPr>
            <w:r>
              <w:t>Familial Mediterranean fever</w:t>
            </w:r>
            <w:r w:rsidR="00CD46E5">
              <w:t xml:space="preserve"> </w:t>
            </w:r>
            <w:r w:rsidR="00CD46E5">
              <w:rPr>
                <w:vertAlign w:val="superscript"/>
              </w:rPr>
              <w:t>a</w:t>
            </w:r>
          </w:p>
        </w:tc>
        <w:tc>
          <w:tcPr>
            <w:tcW w:w="1843" w:type="dxa"/>
          </w:tcPr>
          <w:p w14:paraId="2064F26A" w14:textId="77777777" w:rsidR="003C667F" w:rsidRPr="00C37385" w:rsidRDefault="003C667F" w:rsidP="004B083B">
            <w:pPr>
              <w:pStyle w:val="COMTabletext"/>
              <w:jc w:val="center"/>
            </w:pPr>
            <w:r>
              <w:t>13 (22.4)</w:t>
            </w:r>
          </w:p>
        </w:tc>
        <w:tc>
          <w:tcPr>
            <w:tcW w:w="1842" w:type="dxa"/>
          </w:tcPr>
          <w:p w14:paraId="5BB48C7F" w14:textId="77777777" w:rsidR="003C667F" w:rsidRPr="00C37385" w:rsidRDefault="003C667F" w:rsidP="004B083B">
            <w:pPr>
              <w:pStyle w:val="COMTabletext"/>
              <w:jc w:val="center"/>
            </w:pPr>
            <w:r>
              <w:t>13 (23.6)</w:t>
            </w:r>
          </w:p>
        </w:tc>
        <w:tc>
          <w:tcPr>
            <w:tcW w:w="1651" w:type="dxa"/>
          </w:tcPr>
          <w:p w14:paraId="387ED9A0" w14:textId="77777777" w:rsidR="003C667F" w:rsidRPr="00C37385" w:rsidRDefault="003C667F" w:rsidP="004B083B">
            <w:pPr>
              <w:pStyle w:val="COMTabletext"/>
              <w:jc w:val="center"/>
            </w:pPr>
            <w:r>
              <w:t>19 (31.7)</w:t>
            </w:r>
          </w:p>
        </w:tc>
      </w:tr>
      <w:tr w:rsidR="003C667F" w:rsidRPr="00C37385" w14:paraId="04F26611" w14:textId="77777777">
        <w:trPr>
          <w:trHeight w:val="160"/>
        </w:trPr>
        <w:tc>
          <w:tcPr>
            <w:tcW w:w="3681" w:type="dxa"/>
          </w:tcPr>
          <w:p w14:paraId="569DE9D1" w14:textId="77777777" w:rsidR="003C667F" w:rsidRPr="00C37385" w:rsidRDefault="003C667F" w:rsidP="004B083B">
            <w:pPr>
              <w:pStyle w:val="COMTabletext"/>
            </w:pPr>
            <w:r>
              <w:t>Injection site reaction</w:t>
            </w:r>
          </w:p>
        </w:tc>
        <w:tc>
          <w:tcPr>
            <w:tcW w:w="1843" w:type="dxa"/>
          </w:tcPr>
          <w:p w14:paraId="031FDC75" w14:textId="77777777" w:rsidR="003C667F" w:rsidRPr="00C37385" w:rsidRDefault="003C667F" w:rsidP="004B083B">
            <w:pPr>
              <w:pStyle w:val="COMTabletext"/>
              <w:jc w:val="center"/>
            </w:pPr>
            <w:r>
              <w:t>8 (13.8)</w:t>
            </w:r>
          </w:p>
        </w:tc>
        <w:tc>
          <w:tcPr>
            <w:tcW w:w="1842" w:type="dxa"/>
          </w:tcPr>
          <w:p w14:paraId="78592CB2" w14:textId="77777777" w:rsidR="003C667F" w:rsidRPr="00C37385" w:rsidRDefault="003C667F" w:rsidP="004B083B">
            <w:pPr>
              <w:pStyle w:val="COMTabletext"/>
              <w:jc w:val="center"/>
            </w:pPr>
            <w:r>
              <w:t>5 (9.1)</w:t>
            </w:r>
          </w:p>
        </w:tc>
        <w:tc>
          <w:tcPr>
            <w:tcW w:w="1651" w:type="dxa"/>
          </w:tcPr>
          <w:p w14:paraId="1014B1B7" w14:textId="77777777" w:rsidR="003C667F" w:rsidRPr="00C37385" w:rsidRDefault="003C667F" w:rsidP="004B083B">
            <w:pPr>
              <w:pStyle w:val="COMTabletext"/>
              <w:jc w:val="center"/>
            </w:pPr>
            <w:r>
              <w:t>2 (3.3)</w:t>
            </w:r>
          </w:p>
        </w:tc>
      </w:tr>
      <w:tr w:rsidR="003C667F" w:rsidRPr="00C37385" w14:paraId="3894B481" w14:textId="77777777">
        <w:trPr>
          <w:trHeight w:val="160"/>
        </w:trPr>
        <w:tc>
          <w:tcPr>
            <w:tcW w:w="3681" w:type="dxa"/>
          </w:tcPr>
          <w:p w14:paraId="62425092" w14:textId="77777777" w:rsidR="003C667F" w:rsidRDefault="003C667F" w:rsidP="004B083B">
            <w:pPr>
              <w:pStyle w:val="COMTabletext"/>
            </w:pPr>
            <w:r>
              <w:t>Diarrhoea</w:t>
            </w:r>
          </w:p>
        </w:tc>
        <w:tc>
          <w:tcPr>
            <w:tcW w:w="1843" w:type="dxa"/>
          </w:tcPr>
          <w:p w14:paraId="2519EC4C" w14:textId="77777777" w:rsidR="003C667F" w:rsidRDefault="003C667F" w:rsidP="004B083B">
            <w:pPr>
              <w:pStyle w:val="COMTabletext"/>
              <w:jc w:val="center"/>
            </w:pPr>
            <w:r>
              <w:t>7 (12.1)</w:t>
            </w:r>
          </w:p>
        </w:tc>
        <w:tc>
          <w:tcPr>
            <w:tcW w:w="1842" w:type="dxa"/>
          </w:tcPr>
          <w:p w14:paraId="6E8AF1BA" w14:textId="77777777" w:rsidR="003C667F" w:rsidRDefault="003C667F" w:rsidP="004B083B">
            <w:pPr>
              <w:pStyle w:val="COMTabletext"/>
              <w:jc w:val="center"/>
            </w:pPr>
            <w:r>
              <w:t>2 (3.6)</w:t>
            </w:r>
          </w:p>
        </w:tc>
        <w:tc>
          <w:tcPr>
            <w:tcW w:w="1651" w:type="dxa"/>
          </w:tcPr>
          <w:p w14:paraId="63686FC5" w14:textId="77777777" w:rsidR="003C667F" w:rsidRDefault="003C667F" w:rsidP="004B083B">
            <w:pPr>
              <w:pStyle w:val="COMTabletext"/>
              <w:jc w:val="center"/>
            </w:pPr>
            <w:r>
              <w:t>7 (11.7)</w:t>
            </w:r>
          </w:p>
        </w:tc>
      </w:tr>
      <w:tr w:rsidR="003C667F" w:rsidRPr="00C37385" w14:paraId="07E8D0AC" w14:textId="77777777">
        <w:trPr>
          <w:trHeight w:val="160"/>
        </w:trPr>
        <w:tc>
          <w:tcPr>
            <w:tcW w:w="3681" w:type="dxa"/>
          </w:tcPr>
          <w:p w14:paraId="3BDD8DD5" w14:textId="77777777" w:rsidR="003C667F" w:rsidRDefault="003C667F" w:rsidP="004B083B">
            <w:pPr>
              <w:pStyle w:val="COMTabletext"/>
            </w:pPr>
            <w:r>
              <w:t>Abdominal Pain</w:t>
            </w:r>
          </w:p>
        </w:tc>
        <w:tc>
          <w:tcPr>
            <w:tcW w:w="1843" w:type="dxa"/>
          </w:tcPr>
          <w:p w14:paraId="3D96FD78" w14:textId="77777777" w:rsidR="003C667F" w:rsidRDefault="003C667F" w:rsidP="004B083B">
            <w:pPr>
              <w:pStyle w:val="COMTabletext"/>
              <w:jc w:val="center"/>
            </w:pPr>
            <w:r>
              <w:t>6 (10.3)</w:t>
            </w:r>
          </w:p>
        </w:tc>
        <w:tc>
          <w:tcPr>
            <w:tcW w:w="1842" w:type="dxa"/>
          </w:tcPr>
          <w:p w14:paraId="6486BD4F" w14:textId="77777777" w:rsidR="003C667F" w:rsidRDefault="003C667F" w:rsidP="004B083B">
            <w:pPr>
              <w:pStyle w:val="COMTabletext"/>
              <w:jc w:val="center"/>
            </w:pPr>
            <w:r>
              <w:t>5 (9.1)</w:t>
            </w:r>
          </w:p>
        </w:tc>
        <w:tc>
          <w:tcPr>
            <w:tcW w:w="1651" w:type="dxa"/>
          </w:tcPr>
          <w:p w14:paraId="20195BF0" w14:textId="77777777" w:rsidR="003C667F" w:rsidRDefault="003C667F" w:rsidP="004B083B">
            <w:pPr>
              <w:pStyle w:val="COMTabletext"/>
              <w:jc w:val="center"/>
            </w:pPr>
            <w:r>
              <w:t>12 (20.0)</w:t>
            </w:r>
          </w:p>
        </w:tc>
      </w:tr>
      <w:tr w:rsidR="003C667F" w:rsidRPr="00C37385" w14:paraId="4659CB89" w14:textId="77777777">
        <w:trPr>
          <w:trHeight w:val="160"/>
        </w:trPr>
        <w:tc>
          <w:tcPr>
            <w:tcW w:w="3681" w:type="dxa"/>
          </w:tcPr>
          <w:p w14:paraId="0999F8BB" w14:textId="77777777" w:rsidR="003C667F" w:rsidRDefault="003C667F" w:rsidP="004B083B">
            <w:pPr>
              <w:pStyle w:val="COMTabletext"/>
            </w:pPr>
            <w:r>
              <w:t>Headache</w:t>
            </w:r>
          </w:p>
        </w:tc>
        <w:tc>
          <w:tcPr>
            <w:tcW w:w="1843" w:type="dxa"/>
          </w:tcPr>
          <w:p w14:paraId="72E7D1C8" w14:textId="77777777" w:rsidR="003C667F" w:rsidRDefault="003C667F" w:rsidP="004B083B">
            <w:pPr>
              <w:pStyle w:val="COMTabletext"/>
              <w:jc w:val="center"/>
            </w:pPr>
            <w:r>
              <w:t>6 (10.3)</w:t>
            </w:r>
          </w:p>
        </w:tc>
        <w:tc>
          <w:tcPr>
            <w:tcW w:w="1842" w:type="dxa"/>
          </w:tcPr>
          <w:p w14:paraId="4267DA2C" w14:textId="77777777" w:rsidR="003C667F" w:rsidRDefault="003C667F" w:rsidP="004B083B">
            <w:pPr>
              <w:pStyle w:val="COMTabletext"/>
              <w:jc w:val="center"/>
            </w:pPr>
            <w:r>
              <w:t>7 (12.7)</w:t>
            </w:r>
          </w:p>
        </w:tc>
        <w:tc>
          <w:tcPr>
            <w:tcW w:w="1651" w:type="dxa"/>
          </w:tcPr>
          <w:p w14:paraId="25298ED8" w14:textId="77777777" w:rsidR="003C667F" w:rsidRDefault="003C667F" w:rsidP="004B083B">
            <w:pPr>
              <w:pStyle w:val="COMTabletext"/>
              <w:jc w:val="center"/>
            </w:pPr>
            <w:r>
              <w:t>12 (20.0)</w:t>
            </w:r>
          </w:p>
        </w:tc>
      </w:tr>
      <w:tr w:rsidR="003C667F" w:rsidRPr="00C37385" w14:paraId="43EC4C9A" w14:textId="77777777">
        <w:trPr>
          <w:trHeight w:val="160"/>
        </w:trPr>
        <w:tc>
          <w:tcPr>
            <w:tcW w:w="3681" w:type="dxa"/>
          </w:tcPr>
          <w:p w14:paraId="7DE22327" w14:textId="77777777" w:rsidR="003C667F" w:rsidRDefault="003C667F" w:rsidP="004B083B">
            <w:pPr>
              <w:pStyle w:val="COMTabletext"/>
            </w:pPr>
            <w:r>
              <w:t>Nasopharyngitis</w:t>
            </w:r>
          </w:p>
        </w:tc>
        <w:tc>
          <w:tcPr>
            <w:tcW w:w="1843" w:type="dxa"/>
          </w:tcPr>
          <w:p w14:paraId="676B8DF2" w14:textId="77777777" w:rsidR="003C667F" w:rsidRDefault="003C667F" w:rsidP="004B083B">
            <w:pPr>
              <w:pStyle w:val="COMTabletext"/>
              <w:jc w:val="center"/>
            </w:pPr>
            <w:r>
              <w:t>6 (10.3)</w:t>
            </w:r>
          </w:p>
        </w:tc>
        <w:tc>
          <w:tcPr>
            <w:tcW w:w="1842" w:type="dxa"/>
          </w:tcPr>
          <w:p w14:paraId="243163A5" w14:textId="77777777" w:rsidR="003C667F" w:rsidRDefault="003C667F" w:rsidP="004B083B">
            <w:pPr>
              <w:pStyle w:val="COMTabletext"/>
              <w:jc w:val="center"/>
            </w:pPr>
            <w:r>
              <w:t>NR</w:t>
            </w:r>
          </w:p>
        </w:tc>
        <w:tc>
          <w:tcPr>
            <w:tcW w:w="1651" w:type="dxa"/>
          </w:tcPr>
          <w:p w14:paraId="15C8658B" w14:textId="77777777" w:rsidR="003C667F" w:rsidRDefault="003C667F" w:rsidP="004B083B">
            <w:pPr>
              <w:pStyle w:val="COMTabletext"/>
              <w:jc w:val="center"/>
            </w:pPr>
            <w:r>
              <w:t>NR</w:t>
            </w:r>
          </w:p>
        </w:tc>
      </w:tr>
      <w:tr w:rsidR="003C667F" w:rsidRPr="00C37385" w14:paraId="43CA0903" w14:textId="77777777">
        <w:trPr>
          <w:trHeight w:val="160"/>
        </w:trPr>
        <w:tc>
          <w:tcPr>
            <w:tcW w:w="3681" w:type="dxa"/>
          </w:tcPr>
          <w:p w14:paraId="5B43983F" w14:textId="77777777" w:rsidR="003C667F" w:rsidRDefault="003C667F" w:rsidP="004B083B">
            <w:pPr>
              <w:pStyle w:val="COMTabletext"/>
            </w:pPr>
            <w:r>
              <w:t>Upper respiratory tract infection</w:t>
            </w:r>
          </w:p>
        </w:tc>
        <w:tc>
          <w:tcPr>
            <w:tcW w:w="1843" w:type="dxa"/>
          </w:tcPr>
          <w:p w14:paraId="4B347CBB" w14:textId="77777777" w:rsidR="003C667F" w:rsidRDefault="003C667F" w:rsidP="004B083B">
            <w:pPr>
              <w:pStyle w:val="COMTabletext"/>
              <w:jc w:val="center"/>
            </w:pPr>
            <w:r>
              <w:t>5 (8.6)</w:t>
            </w:r>
          </w:p>
        </w:tc>
        <w:tc>
          <w:tcPr>
            <w:tcW w:w="1842" w:type="dxa"/>
          </w:tcPr>
          <w:p w14:paraId="37A1F597" w14:textId="77777777" w:rsidR="003C667F" w:rsidRDefault="003C667F" w:rsidP="004B083B">
            <w:pPr>
              <w:pStyle w:val="COMTabletext"/>
              <w:jc w:val="center"/>
            </w:pPr>
            <w:r>
              <w:t>5 (9.1)</w:t>
            </w:r>
          </w:p>
        </w:tc>
        <w:tc>
          <w:tcPr>
            <w:tcW w:w="1651" w:type="dxa"/>
          </w:tcPr>
          <w:p w14:paraId="5B576BA9" w14:textId="77777777" w:rsidR="003C667F" w:rsidRDefault="003C667F" w:rsidP="004B083B">
            <w:pPr>
              <w:pStyle w:val="COMTabletext"/>
              <w:jc w:val="center"/>
            </w:pPr>
            <w:r>
              <w:t>9 (15.0)</w:t>
            </w:r>
          </w:p>
        </w:tc>
      </w:tr>
      <w:tr w:rsidR="003C667F" w:rsidRPr="00C37385" w14:paraId="64002709" w14:textId="77777777">
        <w:trPr>
          <w:trHeight w:val="160"/>
        </w:trPr>
        <w:tc>
          <w:tcPr>
            <w:tcW w:w="3681" w:type="dxa"/>
          </w:tcPr>
          <w:p w14:paraId="38C89108" w14:textId="77777777" w:rsidR="003C667F" w:rsidRDefault="003C667F" w:rsidP="004B083B">
            <w:pPr>
              <w:pStyle w:val="COMTabletext"/>
            </w:pPr>
            <w:r>
              <w:t>Pyrexia</w:t>
            </w:r>
          </w:p>
        </w:tc>
        <w:tc>
          <w:tcPr>
            <w:tcW w:w="1843" w:type="dxa"/>
          </w:tcPr>
          <w:p w14:paraId="0170AAB0" w14:textId="77777777" w:rsidR="003C667F" w:rsidRDefault="003C667F" w:rsidP="004B083B">
            <w:pPr>
              <w:pStyle w:val="COMTabletext"/>
              <w:jc w:val="center"/>
            </w:pPr>
            <w:r>
              <w:t>3 (5.2)</w:t>
            </w:r>
          </w:p>
        </w:tc>
        <w:tc>
          <w:tcPr>
            <w:tcW w:w="1842" w:type="dxa"/>
          </w:tcPr>
          <w:p w14:paraId="5A50E00D" w14:textId="77777777" w:rsidR="003C667F" w:rsidRDefault="003C667F" w:rsidP="004B083B">
            <w:pPr>
              <w:pStyle w:val="COMTabletext"/>
              <w:jc w:val="center"/>
            </w:pPr>
            <w:r>
              <w:t>5 (9.1)</w:t>
            </w:r>
          </w:p>
        </w:tc>
        <w:tc>
          <w:tcPr>
            <w:tcW w:w="1651" w:type="dxa"/>
          </w:tcPr>
          <w:p w14:paraId="6BB042D0" w14:textId="77777777" w:rsidR="003C667F" w:rsidRDefault="003C667F" w:rsidP="004B083B">
            <w:pPr>
              <w:pStyle w:val="COMTabletext"/>
              <w:jc w:val="center"/>
            </w:pPr>
            <w:r>
              <w:t>11 (18.3)</w:t>
            </w:r>
          </w:p>
        </w:tc>
      </w:tr>
      <w:tr w:rsidR="003C667F" w:rsidRPr="00C37385" w14:paraId="27CA20CD" w14:textId="77777777">
        <w:trPr>
          <w:trHeight w:val="160"/>
        </w:trPr>
        <w:tc>
          <w:tcPr>
            <w:tcW w:w="3681" w:type="dxa"/>
          </w:tcPr>
          <w:p w14:paraId="74E67FAC" w14:textId="77777777" w:rsidR="003C667F" w:rsidRDefault="003C667F" w:rsidP="004B083B">
            <w:pPr>
              <w:pStyle w:val="COMTabletext"/>
            </w:pPr>
            <w:r>
              <w:t>Nausea</w:t>
            </w:r>
          </w:p>
        </w:tc>
        <w:tc>
          <w:tcPr>
            <w:tcW w:w="1843" w:type="dxa"/>
          </w:tcPr>
          <w:p w14:paraId="49BCEFE8" w14:textId="77777777" w:rsidR="003C667F" w:rsidRDefault="003C667F" w:rsidP="004B083B">
            <w:pPr>
              <w:pStyle w:val="COMTabletext"/>
              <w:jc w:val="center"/>
            </w:pPr>
            <w:r>
              <w:t>NR</w:t>
            </w:r>
          </w:p>
        </w:tc>
        <w:tc>
          <w:tcPr>
            <w:tcW w:w="1842" w:type="dxa"/>
          </w:tcPr>
          <w:p w14:paraId="704C6C06" w14:textId="77777777" w:rsidR="003C667F" w:rsidRDefault="003C667F" w:rsidP="004B083B">
            <w:pPr>
              <w:pStyle w:val="COMTabletext"/>
              <w:jc w:val="center"/>
            </w:pPr>
            <w:r>
              <w:t>NR</w:t>
            </w:r>
          </w:p>
        </w:tc>
        <w:tc>
          <w:tcPr>
            <w:tcW w:w="1651" w:type="dxa"/>
          </w:tcPr>
          <w:p w14:paraId="3ED90CBA" w14:textId="77777777" w:rsidR="003C667F" w:rsidRDefault="003C667F" w:rsidP="004B083B">
            <w:pPr>
              <w:pStyle w:val="COMTabletext"/>
              <w:jc w:val="center"/>
            </w:pPr>
            <w:r>
              <w:t>6 (10.0)</w:t>
            </w:r>
          </w:p>
        </w:tc>
      </w:tr>
      <w:tr w:rsidR="003C667F" w:rsidRPr="00C37385" w14:paraId="4E409CFD" w14:textId="77777777">
        <w:trPr>
          <w:trHeight w:val="160"/>
        </w:trPr>
        <w:tc>
          <w:tcPr>
            <w:tcW w:w="3681" w:type="dxa"/>
          </w:tcPr>
          <w:p w14:paraId="10591B29" w14:textId="77777777" w:rsidR="003C667F" w:rsidRDefault="003C667F" w:rsidP="004B083B">
            <w:pPr>
              <w:pStyle w:val="COMTabletext"/>
            </w:pPr>
            <w:r>
              <w:t>Influenza</w:t>
            </w:r>
          </w:p>
        </w:tc>
        <w:tc>
          <w:tcPr>
            <w:tcW w:w="1843" w:type="dxa"/>
          </w:tcPr>
          <w:p w14:paraId="4573C0B2" w14:textId="77777777" w:rsidR="003C667F" w:rsidRDefault="003C667F" w:rsidP="004B083B">
            <w:pPr>
              <w:pStyle w:val="COMTabletext"/>
              <w:jc w:val="center"/>
            </w:pPr>
            <w:r>
              <w:t>1 (1.7)</w:t>
            </w:r>
          </w:p>
        </w:tc>
        <w:tc>
          <w:tcPr>
            <w:tcW w:w="1842" w:type="dxa"/>
          </w:tcPr>
          <w:p w14:paraId="04B44D7A" w14:textId="77777777" w:rsidR="003C667F" w:rsidRDefault="003C667F" w:rsidP="004B083B">
            <w:pPr>
              <w:pStyle w:val="COMTabletext"/>
              <w:jc w:val="center"/>
            </w:pPr>
            <w:r>
              <w:t>4 (7.3)</w:t>
            </w:r>
          </w:p>
        </w:tc>
        <w:tc>
          <w:tcPr>
            <w:tcW w:w="1651" w:type="dxa"/>
          </w:tcPr>
          <w:p w14:paraId="140CE883" w14:textId="77777777" w:rsidR="003C667F" w:rsidRDefault="003C667F" w:rsidP="004B083B">
            <w:pPr>
              <w:pStyle w:val="COMTabletext"/>
              <w:jc w:val="center"/>
            </w:pPr>
            <w:r>
              <w:t>8 (13.3)</w:t>
            </w:r>
          </w:p>
        </w:tc>
      </w:tr>
      <w:tr w:rsidR="003C667F" w:rsidRPr="00C37385" w14:paraId="0CAD96D7" w14:textId="77777777">
        <w:trPr>
          <w:trHeight w:val="160"/>
        </w:trPr>
        <w:tc>
          <w:tcPr>
            <w:tcW w:w="3681" w:type="dxa"/>
          </w:tcPr>
          <w:p w14:paraId="1FD386FB" w14:textId="77777777" w:rsidR="003C667F" w:rsidRDefault="003C667F" w:rsidP="004B083B">
            <w:pPr>
              <w:pStyle w:val="COMTabletext"/>
            </w:pPr>
            <w:r>
              <w:t>Urinary tract infection</w:t>
            </w:r>
          </w:p>
        </w:tc>
        <w:tc>
          <w:tcPr>
            <w:tcW w:w="1843" w:type="dxa"/>
          </w:tcPr>
          <w:p w14:paraId="10EE0256" w14:textId="77777777" w:rsidR="003C667F" w:rsidRDefault="003C667F" w:rsidP="004B083B">
            <w:pPr>
              <w:pStyle w:val="COMTabletext"/>
              <w:jc w:val="center"/>
            </w:pPr>
            <w:r>
              <w:t>NR</w:t>
            </w:r>
          </w:p>
        </w:tc>
        <w:tc>
          <w:tcPr>
            <w:tcW w:w="1842" w:type="dxa"/>
          </w:tcPr>
          <w:p w14:paraId="15DC44BB" w14:textId="77777777" w:rsidR="003C667F" w:rsidRDefault="003C667F" w:rsidP="004B083B">
            <w:pPr>
              <w:pStyle w:val="COMTabletext"/>
              <w:jc w:val="center"/>
            </w:pPr>
            <w:r>
              <w:t>4 (7.3)</w:t>
            </w:r>
          </w:p>
        </w:tc>
        <w:tc>
          <w:tcPr>
            <w:tcW w:w="1651" w:type="dxa"/>
          </w:tcPr>
          <w:p w14:paraId="3E458935" w14:textId="77777777" w:rsidR="003C667F" w:rsidRDefault="003C667F" w:rsidP="004B083B">
            <w:pPr>
              <w:pStyle w:val="COMTabletext"/>
              <w:jc w:val="center"/>
            </w:pPr>
            <w:r>
              <w:t>8 (13.3)</w:t>
            </w:r>
          </w:p>
        </w:tc>
      </w:tr>
      <w:tr w:rsidR="003C667F" w:rsidRPr="00C37385" w14:paraId="7A65EAB1" w14:textId="77777777">
        <w:trPr>
          <w:trHeight w:val="160"/>
        </w:trPr>
        <w:tc>
          <w:tcPr>
            <w:tcW w:w="3681" w:type="dxa"/>
          </w:tcPr>
          <w:p w14:paraId="7A806EBF" w14:textId="77777777" w:rsidR="003C667F" w:rsidRDefault="003C667F" w:rsidP="004B083B">
            <w:pPr>
              <w:pStyle w:val="COMTabletext"/>
            </w:pPr>
            <w:r>
              <w:t>Gastroenteritis</w:t>
            </w:r>
          </w:p>
        </w:tc>
        <w:tc>
          <w:tcPr>
            <w:tcW w:w="1843" w:type="dxa"/>
          </w:tcPr>
          <w:p w14:paraId="2C25A1E1" w14:textId="77777777" w:rsidR="003C667F" w:rsidRDefault="003C667F" w:rsidP="004B083B">
            <w:pPr>
              <w:pStyle w:val="COMTabletext"/>
              <w:jc w:val="center"/>
            </w:pPr>
            <w:r>
              <w:t>NR</w:t>
            </w:r>
          </w:p>
        </w:tc>
        <w:tc>
          <w:tcPr>
            <w:tcW w:w="1842" w:type="dxa"/>
          </w:tcPr>
          <w:p w14:paraId="3ABFFE65" w14:textId="77777777" w:rsidR="003C667F" w:rsidRDefault="003C667F" w:rsidP="004B083B">
            <w:pPr>
              <w:pStyle w:val="COMTabletext"/>
              <w:jc w:val="center"/>
            </w:pPr>
            <w:r>
              <w:t>4 (7.3)</w:t>
            </w:r>
          </w:p>
        </w:tc>
        <w:tc>
          <w:tcPr>
            <w:tcW w:w="1651" w:type="dxa"/>
          </w:tcPr>
          <w:p w14:paraId="728F315E" w14:textId="77777777" w:rsidR="003C667F" w:rsidRDefault="003C667F" w:rsidP="004B083B">
            <w:pPr>
              <w:pStyle w:val="COMTabletext"/>
              <w:jc w:val="center"/>
            </w:pPr>
            <w:r>
              <w:t>7 (11.7)</w:t>
            </w:r>
          </w:p>
        </w:tc>
      </w:tr>
      <w:tr w:rsidR="003C667F" w:rsidRPr="00C37385" w14:paraId="22E44BBB" w14:textId="77777777">
        <w:trPr>
          <w:trHeight w:val="160"/>
        </w:trPr>
        <w:tc>
          <w:tcPr>
            <w:tcW w:w="3681" w:type="dxa"/>
          </w:tcPr>
          <w:p w14:paraId="32E978C5" w14:textId="77777777" w:rsidR="003C667F" w:rsidRDefault="003C667F" w:rsidP="004B083B">
            <w:pPr>
              <w:pStyle w:val="COMTabletext"/>
            </w:pPr>
            <w:r>
              <w:t>Pharyngitis</w:t>
            </w:r>
          </w:p>
        </w:tc>
        <w:tc>
          <w:tcPr>
            <w:tcW w:w="1843" w:type="dxa"/>
          </w:tcPr>
          <w:p w14:paraId="41CAE9C5" w14:textId="77777777" w:rsidR="003C667F" w:rsidRDefault="003C667F" w:rsidP="004B083B">
            <w:pPr>
              <w:pStyle w:val="COMTabletext"/>
              <w:jc w:val="center"/>
            </w:pPr>
            <w:r>
              <w:t>1 (1.7)</w:t>
            </w:r>
          </w:p>
        </w:tc>
        <w:tc>
          <w:tcPr>
            <w:tcW w:w="1842" w:type="dxa"/>
          </w:tcPr>
          <w:p w14:paraId="2076F9FE" w14:textId="77777777" w:rsidR="003C667F" w:rsidRDefault="003C667F" w:rsidP="004B083B">
            <w:pPr>
              <w:pStyle w:val="COMTabletext"/>
              <w:jc w:val="center"/>
            </w:pPr>
            <w:r>
              <w:t>NR</w:t>
            </w:r>
          </w:p>
        </w:tc>
        <w:tc>
          <w:tcPr>
            <w:tcW w:w="1651" w:type="dxa"/>
          </w:tcPr>
          <w:p w14:paraId="0F614D6F" w14:textId="77777777" w:rsidR="003C667F" w:rsidRDefault="003C667F" w:rsidP="004B083B">
            <w:pPr>
              <w:pStyle w:val="COMTabletext"/>
              <w:jc w:val="center"/>
            </w:pPr>
            <w:r>
              <w:t>7 (11.7)</w:t>
            </w:r>
          </w:p>
        </w:tc>
      </w:tr>
      <w:tr w:rsidR="003C667F" w:rsidRPr="00C37385" w14:paraId="588F9D7F" w14:textId="77777777">
        <w:trPr>
          <w:trHeight w:val="160"/>
        </w:trPr>
        <w:tc>
          <w:tcPr>
            <w:tcW w:w="3681" w:type="dxa"/>
          </w:tcPr>
          <w:p w14:paraId="2B3A0573" w14:textId="77777777" w:rsidR="003C667F" w:rsidRDefault="003C667F" w:rsidP="004B083B">
            <w:pPr>
              <w:pStyle w:val="COMTabletext"/>
            </w:pPr>
            <w:r>
              <w:t>Back pain</w:t>
            </w:r>
          </w:p>
        </w:tc>
        <w:tc>
          <w:tcPr>
            <w:tcW w:w="1843" w:type="dxa"/>
          </w:tcPr>
          <w:p w14:paraId="6BEFCF50" w14:textId="77777777" w:rsidR="003C667F" w:rsidRDefault="003C667F" w:rsidP="004B083B">
            <w:pPr>
              <w:pStyle w:val="COMTabletext"/>
              <w:jc w:val="center"/>
            </w:pPr>
            <w:r>
              <w:t>NR</w:t>
            </w:r>
          </w:p>
        </w:tc>
        <w:tc>
          <w:tcPr>
            <w:tcW w:w="1842" w:type="dxa"/>
          </w:tcPr>
          <w:p w14:paraId="69F1154A" w14:textId="77777777" w:rsidR="003C667F" w:rsidRDefault="003C667F" w:rsidP="004B083B">
            <w:pPr>
              <w:pStyle w:val="COMTabletext"/>
              <w:jc w:val="center"/>
            </w:pPr>
            <w:r>
              <w:t>3 (5.5)</w:t>
            </w:r>
          </w:p>
        </w:tc>
        <w:tc>
          <w:tcPr>
            <w:tcW w:w="1651" w:type="dxa"/>
          </w:tcPr>
          <w:p w14:paraId="60CAA101" w14:textId="77777777" w:rsidR="003C667F" w:rsidRDefault="003C667F" w:rsidP="004B083B">
            <w:pPr>
              <w:pStyle w:val="COMTabletext"/>
              <w:jc w:val="center"/>
            </w:pPr>
            <w:r>
              <w:t>11 (18.3)</w:t>
            </w:r>
          </w:p>
        </w:tc>
      </w:tr>
      <w:tr w:rsidR="003C667F" w:rsidRPr="00C37385" w14:paraId="6BA7B2D2" w14:textId="77777777">
        <w:trPr>
          <w:trHeight w:val="160"/>
        </w:trPr>
        <w:tc>
          <w:tcPr>
            <w:tcW w:w="3681" w:type="dxa"/>
          </w:tcPr>
          <w:p w14:paraId="1899EDD3" w14:textId="77777777" w:rsidR="003C667F" w:rsidRDefault="003C667F" w:rsidP="004B083B">
            <w:pPr>
              <w:pStyle w:val="COMTabletext"/>
            </w:pPr>
            <w:r>
              <w:t>Arthralgia</w:t>
            </w:r>
          </w:p>
        </w:tc>
        <w:tc>
          <w:tcPr>
            <w:tcW w:w="1843" w:type="dxa"/>
          </w:tcPr>
          <w:p w14:paraId="64458593" w14:textId="77777777" w:rsidR="003C667F" w:rsidRDefault="003C667F" w:rsidP="004B083B">
            <w:pPr>
              <w:pStyle w:val="COMTabletext"/>
              <w:jc w:val="center"/>
            </w:pPr>
            <w:r>
              <w:t>2 (3.4)</w:t>
            </w:r>
          </w:p>
        </w:tc>
        <w:tc>
          <w:tcPr>
            <w:tcW w:w="1842" w:type="dxa"/>
          </w:tcPr>
          <w:p w14:paraId="5A225502" w14:textId="77777777" w:rsidR="003C667F" w:rsidRDefault="003C667F" w:rsidP="004B083B">
            <w:pPr>
              <w:pStyle w:val="COMTabletext"/>
              <w:jc w:val="center"/>
            </w:pPr>
            <w:r>
              <w:t>4 (7.3)</w:t>
            </w:r>
          </w:p>
        </w:tc>
        <w:tc>
          <w:tcPr>
            <w:tcW w:w="1651" w:type="dxa"/>
          </w:tcPr>
          <w:p w14:paraId="72240A2F" w14:textId="77777777" w:rsidR="003C667F" w:rsidRDefault="003C667F" w:rsidP="004B083B">
            <w:pPr>
              <w:pStyle w:val="COMTabletext"/>
              <w:jc w:val="center"/>
            </w:pPr>
            <w:r>
              <w:t>10 (16.7)</w:t>
            </w:r>
          </w:p>
        </w:tc>
      </w:tr>
      <w:tr w:rsidR="003C667F" w:rsidRPr="00C37385" w14:paraId="6F960275" w14:textId="77777777">
        <w:trPr>
          <w:trHeight w:val="160"/>
        </w:trPr>
        <w:tc>
          <w:tcPr>
            <w:tcW w:w="3681" w:type="dxa"/>
          </w:tcPr>
          <w:p w14:paraId="1B8404F9" w14:textId="77777777" w:rsidR="003C667F" w:rsidRDefault="003C667F" w:rsidP="004B083B">
            <w:pPr>
              <w:pStyle w:val="COMTabletext"/>
            </w:pPr>
            <w:r>
              <w:t>Myalgia</w:t>
            </w:r>
          </w:p>
        </w:tc>
        <w:tc>
          <w:tcPr>
            <w:tcW w:w="1843" w:type="dxa"/>
          </w:tcPr>
          <w:p w14:paraId="32BF807A" w14:textId="77777777" w:rsidR="003C667F" w:rsidRDefault="003C667F" w:rsidP="004B083B">
            <w:pPr>
              <w:pStyle w:val="COMTabletext"/>
              <w:jc w:val="center"/>
            </w:pPr>
            <w:r>
              <w:t>1 (1.7)</w:t>
            </w:r>
          </w:p>
        </w:tc>
        <w:tc>
          <w:tcPr>
            <w:tcW w:w="1842" w:type="dxa"/>
          </w:tcPr>
          <w:p w14:paraId="77B08EC0" w14:textId="77777777" w:rsidR="003C667F" w:rsidRDefault="003C667F" w:rsidP="004B083B">
            <w:pPr>
              <w:pStyle w:val="COMTabletext"/>
              <w:jc w:val="center"/>
            </w:pPr>
            <w:r>
              <w:t>2 (3.6)</w:t>
            </w:r>
          </w:p>
        </w:tc>
        <w:tc>
          <w:tcPr>
            <w:tcW w:w="1651" w:type="dxa"/>
          </w:tcPr>
          <w:p w14:paraId="4B615210" w14:textId="77777777" w:rsidR="003C667F" w:rsidRDefault="003C667F" w:rsidP="004B083B">
            <w:pPr>
              <w:pStyle w:val="COMTabletext"/>
              <w:jc w:val="center"/>
            </w:pPr>
            <w:r>
              <w:t>6 (10.0)</w:t>
            </w:r>
          </w:p>
        </w:tc>
      </w:tr>
      <w:tr w:rsidR="003C667F" w:rsidRPr="00C37385" w14:paraId="311B1200" w14:textId="77777777">
        <w:trPr>
          <w:trHeight w:val="160"/>
        </w:trPr>
        <w:tc>
          <w:tcPr>
            <w:tcW w:w="3681" w:type="dxa"/>
          </w:tcPr>
          <w:p w14:paraId="68E929C1" w14:textId="77777777" w:rsidR="003C667F" w:rsidRDefault="003C667F" w:rsidP="004B083B">
            <w:pPr>
              <w:pStyle w:val="COMTabletext"/>
            </w:pPr>
            <w:r>
              <w:t>Oropharyngeal pain</w:t>
            </w:r>
          </w:p>
        </w:tc>
        <w:tc>
          <w:tcPr>
            <w:tcW w:w="1843" w:type="dxa"/>
          </w:tcPr>
          <w:p w14:paraId="53F3B6A4" w14:textId="77777777" w:rsidR="003C667F" w:rsidRDefault="003C667F" w:rsidP="004B083B">
            <w:pPr>
              <w:pStyle w:val="COMTabletext"/>
              <w:jc w:val="center"/>
            </w:pPr>
            <w:r>
              <w:t>NR</w:t>
            </w:r>
          </w:p>
        </w:tc>
        <w:tc>
          <w:tcPr>
            <w:tcW w:w="1842" w:type="dxa"/>
          </w:tcPr>
          <w:p w14:paraId="47B29023" w14:textId="77777777" w:rsidR="003C667F" w:rsidRDefault="003C667F" w:rsidP="004B083B">
            <w:pPr>
              <w:pStyle w:val="COMTabletext"/>
              <w:jc w:val="center"/>
            </w:pPr>
            <w:r>
              <w:t>NR</w:t>
            </w:r>
          </w:p>
        </w:tc>
        <w:tc>
          <w:tcPr>
            <w:tcW w:w="1651" w:type="dxa"/>
          </w:tcPr>
          <w:p w14:paraId="28507166" w14:textId="77777777" w:rsidR="003C667F" w:rsidRDefault="003C667F" w:rsidP="004B083B">
            <w:pPr>
              <w:pStyle w:val="COMTabletext"/>
              <w:jc w:val="center"/>
            </w:pPr>
            <w:r>
              <w:t>7 (11.7)</w:t>
            </w:r>
          </w:p>
        </w:tc>
      </w:tr>
    </w:tbl>
    <w:p w14:paraId="768E4976" w14:textId="77777777" w:rsidR="003C667F" w:rsidRDefault="003C667F" w:rsidP="004B083B">
      <w:pPr>
        <w:pStyle w:val="COMTablefooter"/>
      </w:pPr>
      <w:r>
        <w:t>Source: Table 2.48, p174; Table 2.49, pp174-175 of the submission; Table 12.4, CLUSTER 16 Week clinical study report; Table 14.3.1-1.1b, CLUSTER 40 Week clinical study report; Table 12.4, CLUSTER 112 Week clinical study report; Tables 14.3.1-1.1c to 14.3.1-1.9c, CLUSTER 112 Week clinical study report, CSR Tables.</w:t>
      </w:r>
    </w:p>
    <w:p w14:paraId="4BA52E4D" w14:textId="77777777" w:rsidR="003C667F" w:rsidRDefault="003C667F" w:rsidP="004B083B">
      <w:pPr>
        <w:pStyle w:val="COMTablefooter"/>
      </w:pPr>
      <w:r>
        <w:t>Abbreviations: FMF, familial Mediterranean fever; NR, not reported</w:t>
      </w:r>
    </w:p>
    <w:p w14:paraId="1AEE1252" w14:textId="77777777" w:rsidR="003C667F" w:rsidRDefault="003C667F" w:rsidP="004B083B">
      <w:pPr>
        <w:pStyle w:val="COMTablefooter"/>
      </w:pPr>
      <w:r>
        <w:t xml:space="preserve">Note: </w:t>
      </w:r>
      <w:r w:rsidRPr="00E3693B">
        <w:t xml:space="preserve">An event that occurred in any patient who took at least 1 dose of canakinumab in Epoch 2 is </w:t>
      </w:r>
      <w:r>
        <w:t>included</w:t>
      </w:r>
      <w:r w:rsidRPr="00E3693B">
        <w:t xml:space="preserve"> even if the event occurred when the patient was on placebo.</w:t>
      </w:r>
    </w:p>
    <w:p w14:paraId="2CD2B427" w14:textId="74AA6F89" w:rsidR="00CD46E5" w:rsidRPr="00CD46E5" w:rsidRDefault="00CD46E5" w:rsidP="004B083B">
      <w:pPr>
        <w:pStyle w:val="COMTablefooter"/>
      </w:pPr>
      <w:proofErr w:type="spellStart"/>
      <w:proofErr w:type="gramStart"/>
      <w:r>
        <w:rPr>
          <w:vertAlign w:val="superscript"/>
        </w:rPr>
        <w:t>a</w:t>
      </w:r>
      <w:proofErr w:type="spellEnd"/>
      <w:proofErr w:type="gramEnd"/>
      <w:r>
        <w:rPr>
          <w:vertAlign w:val="superscript"/>
        </w:rPr>
        <w:t xml:space="preserve"> </w:t>
      </w:r>
      <w:r w:rsidRPr="00CD46E5">
        <w:t>Adverse events of FMF were reported by investigators based on their assessment of the patient and these may not correspond to the definition of disease flares pre-specified in the trial protocol (i.e., Physician Global Assessment score ≥2 and C-reactive protein ≥30 mg/L).</w:t>
      </w:r>
    </w:p>
    <w:p w14:paraId="35660278" w14:textId="64A0B132" w:rsidR="00CD46E5" w:rsidRPr="008B18A3" w:rsidRDefault="00CD46E5" w:rsidP="004B083B">
      <w:pPr>
        <w:pStyle w:val="COMESnumberedpara"/>
        <w:spacing w:before="160" w:after="160"/>
        <w:rPr>
          <w:rFonts w:cstheme="minorHAnsi"/>
        </w:rPr>
      </w:pPr>
      <w:r w:rsidRPr="008B18A3">
        <w:rPr>
          <w:rFonts w:cstheme="minorHAnsi"/>
        </w:rPr>
        <w:t xml:space="preserve">Across the entire treatment period (Stages 2-4), 96.7% of patients who received at least one dose of canakinumab had at least </w:t>
      </w:r>
      <w:r w:rsidR="00AF2059" w:rsidRPr="008B18A3">
        <w:rPr>
          <w:rFonts w:cstheme="minorHAnsi"/>
        </w:rPr>
        <w:t>one</w:t>
      </w:r>
      <w:r w:rsidRPr="008B18A3">
        <w:rPr>
          <w:rFonts w:cstheme="minorHAnsi"/>
        </w:rPr>
        <w:t xml:space="preserve"> adverse event, with an exposure-adjusted event rate per 100 patient-days of 1.66. The most frequently affected primary system organ class was infections and infestations (85.2%), followed by gastrointestinal disorders (60.7%), musculoskeletal and connective tissue disorders </w:t>
      </w:r>
      <w:r w:rsidRPr="008B18A3">
        <w:rPr>
          <w:rFonts w:cstheme="minorHAnsi"/>
        </w:rPr>
        <w:lastRenderedPageBreak/>
        <w:t xml:space="preserve">(55.7%), general disorders and administration site conditions (49.2%), and congenital, familial and genetic disorders (41.0%, all events of FMF). The CLUSTER study reports noted that many of the commonly reported adverse events were related to known disease symptoms. </w:t>
      </w:r>
    </w:p>
    <w:p w14:paraId="4E47200D" w14:textId="2738F618" w:rsidR="00CD46E5" w:rsidRPr="008B18A3" w:rsidRDefault="008E7CC2" w:rsidP="004B083B">
      <w:pPr>
        <w:pStyle w:val="COMESnumberedpara"/>
        <w:spacing w:before="160" w:after="160"/>
        <w:rPr>
          <w:rFonts w:cstheme="minorHAnsi"/>
        </w:rPr>
      </w:pPr>
      <w:r w:rsidRPr="008B18A3">
        <w:rPr>
          <w:rFonts w:cstheme="minorHAnsi"/>
        </w:rPr>
        <w:t xml:space="preserve">For the entire treatment period (Stages 2-4), 52 patients (85.2%) treated with at least one dose of canakinumab had an adverse event of infections and infestations. The most common infections were upper respiratory tract infection (21.3%), influenza (18.0%), gastroenteritis (16.4%), urinary tract infection (16.4%), pharyngitis (31.1%), tonsillitis (13.1%) and viral upper respiratory tract infection (13.1%). None of the infection events </w:t>
      </w:r>
      <w:proofErr w:type="gramStart"/>
      <w:r w:rsidRPr="008B18A3">
        <w:rPr>
          <w:rFonts w:cstheme="minorHAnsi"/>
        </w:rPr>
        <w:t>were considered to be</w:t>
      </w:r>
      <w:proofErr w:type="gramEnd"/>
      <w:r w:rsidRPr="008B18A3">
        <w:rPr>
          <w:rFonts w:cstheme="minorHAnsi"/>
        </w:rPr>
        <w:t xml:space="preserve"> opportunistic infections after adjudication by an independent committee.</w:t>
      </w:r>
    </w:p>
    <w:p w14:paraId="6D8F228F" w14:textId="4421CCEB" w:rsidR="008E7CC2" w:rsidRPr="008B18A3" w:rsidRDefault="008E7CC2" w:rsidP="004B083B">
      <w:pPr>
        <w:pStyle w:val="COMESnumberedpara"/>
        <w:spacing w:before="160" w:after="160"/>
        <w:rPr>
          <w:rFonts w:cstheme="minorHAnsi"/>
        </w:rPr>
      </w:pPr>
      <w:r w:rsidRPr="008B18A3">
        <w:rPr>
          <w:rFonts w:cstheme="minorHAnsi"/>
        </w:rPr>
        <w:t>A small proportion of patients treated with any canakinumab experienced a serious adverse event, including 5 patients (8.6%) in Stage 2 (reported events included ascites, bile duct stone, FMF, granulomatous liver disease, hepatic cirrhosis, obesity, pharyngotonsillitis</w:t>
      </w:r>
      <w:r w:rsidR="005E62B2" w:rsidRPr="008B18A3">
        <w:rPr>
          <w:rFonts w:cstheme="minorHAnsi"/>
        </w:rPr>
        <w:t xml:space="preserve"> and</w:t>
      </w:r>
      <w:r w:rsidRPr="008B18A3">
        <w:rPr>
          <w:rFonts w:cstheme="minorHAnsi"/>
        </w:rPr>
        <w:t xml:space="preserve"> umbilical hernia). Ten patients reported serious adverse events during Stage 3 (5 of which occurred while the patient was receiving placebo). Three episodes of FMF, reported by 2 patients, were considered disease-related and were regarded as severe. One patient receiving canakinumab 8-weekly had 2 serious adverse events of infection (cellulitis and pelvic abscess). In Stage 4, 6 patients (10.0%) experienced serious adverse events of infections and infestations, 3 patients reported gastrointestinal disorders (5.0%), two each (3.3%) reported musculoskeletal or respiratory disorders, and one each experienced congestive heart failure, FMF, thyroiditis, pyrexia, schizophrenia, and pyoderma gangrenosum.</w:t>
      </w:r>
    </w:p>
    <w:p w14:paraId="7C93A7C5" w14:textId="27D3CB97" w:rsidR="008E7CC2" w:rsidRPr="008B18A3" w:rsidRDefault="008E7CC2" w:rsidP="004B083B">
      <w:pPr>
        <w:pStyle w:val="COMESnumberedpara"/>
        <w:spacing w:before="160" w:after="160"/>
        <w:rPr>
          <w:rFonts w:cstheme="minorHAnsi"/>
        </w:rPr>
      </w:pPr>
      <w:r w:rsidRPr="008B18A3">
        <w:rPr>
          <w:rFonts w:cstheme="minorHAnsi"/>
        </w:rPr>
        <w:t>There were no discontinuations due to adverse events during Stages 2 and 3. One patient discontinued treatment in Stage 4 due to pyoderma gangrenosum. There were no deaths during any stage of the trial.</w:t>
      </w:r>
    </w:p>
    <w:p w14:paraId="04908C7F" w14:textId="06F709FF" w:rsidR="007F1017" w:rsidRPr="008B18A3" w:rsidRDefault="007F1017" w:rsidP="004B083B">
      <w:pPr>
        <w:pStyle w:val="COMESSubsectionheading"/>
      </w:pPr>
      <w:bookmarkStart w:id="40" w:name="_Toc219811823"/>
      <w:r w:rsidRPr="008B18A3">
        <w:t>Benefits/harms</w:t>
      </w:r>
      <w:bookmarkEnd w:id="39"/>
      <w:bookmarkEnd w:id="40"/>
    </w:p>
    <w:p w14:paraId="7398D11E" w14:textId="0780068F" w:rsidR="007F1017" w:rsidRPr="00597AA3" w:rsidRDefault="00E926A5" w:rsidP="004B083B">
      <w:pPr>
        <w:pStyle w:val="COMESnumberedpara"/>
        <w:spacing w:before="160" w:after="160"/>
        <w:rPr>
          <w:rFonts w:cstheme="minorHAnsi"/>
        </w:rPr>
      </w:pPr>
      <w:r w:rsidRPr="00597AA3">
        <w:rPr>
          <w:rFonts w:cstheme="minorHAnsi"/>
        </w:rPr>
        <w:t xml:space="preserve">The </w:t>
      </w:r>
      <w:r w:rsidR="005D2757" w:rsidRPr="00597AA3">
        <w:rPr>
          <w:rFonts w:cstheme="minorHAnsi"/>
        </w:rPr>
        <w:t>evidence p</w:t>
      </w:r>
      <w:r w:rsidRPr="00597AA3">
        <w:rPr>
          <w:rFonts w:cstheme="minorHAnsi"/>
        </w:rPr>
        <w:t xml:space="preserve">resented in the submission did not allow for a </w:t>
      </w:r>
      <w:r w:rsidR="0085309D" w:rsidRPr="00597AA3">
        <w:rPr>
          <w:rFonts w:cstheme="minorHAnsi"/>
        </w:rPr>
        <w:t xml:space="preserve">quantitative </w:t>
      </w:r>
      <w:r w:rsidRPr="00597AA3">
        <w:rPr>
          <w:rFonts w:cstheme="minorHAnsi"/>
        </w:rPr>
        <w:t xml:space="preserve">comparison of the </w:t>
      </w:r>
      <w:r w:rsidR="005B1894" w:rsidRPr="00597AA3">
        <w:rPr>
          <w:rFonts w:cstheme="minorHAnsi"/>
        </w:rPr>
        <w:t xml:space="preserve">benefits and the </w:t>
      </w:r>
      <w:r w:rsidRPr="00597AA3">
        <w:rPr>
          <w:rFonts w:cstheme="minorHAnsi"/>
        </w:rPr>
        <w:t xml:space="preserve">harms of </w:t>
      </w:r>
      <w:r w:rsidR="005D2757" w:rsidRPr="00597AA3">
        <w:rPr>
          <w:rFonts w:cstheme="minorHAnsi"/>
        </w:rPr>
        <w:t xml:space="preserve">canakinumab and </w:t>
      </w:r>
      <w:r w:rsidR="00D04C2C" w:rsidRPr="00597AA3">
        <w:rPr>
          <w:rFonts w:cstheme="minorHAnsi"/>
        </w:rPr>
        <w:t>BSC</w:t>
      </w:r>
      <w:r w:rsidR="005D2757" w:rsidRPr="00597AA3">
        <w:rPr>
          <w:rFonts w:cstheme="minorHAnsi"/>
        </w:rPr>
        <w:t xml:space="preserve"> versus </w:t>
      </w:r>
      <w:r w:rsidR="00D04C2C" w:rsidRPr="00597AA3">
        <w:rPr>
          <w:rFonts w:cstheme="minorHAnsi"/>
        </w:rPr>
        <w:t>BSC</w:t>
      </w:r>
      <w:r w:rsidR="005D2757" w:rsidRPr="00597AA3">
        <w:rPr>
          <w:rFonts w:cstheme="minorHAnsi"/>
        </w:rPr>
        <w:t xml:space="preserve"> alone.</w:t>
      </w:r>
      <w:r w:rsidRPr="00597AA3">
        <w:rPr>
          <w:rFonts w:cstheme="minorHAnsi"/>
        </w:rPr>
        <w:t xml:space="preserve"> Accordingly, a benefits/harms table </w:t>
      </w:r>
      <w:r w:rsidR="00D221BD">
        <w:rPr>
          <w:rFonts w:cstheme="minorHAnsi"/>
        </w:rPr>
        <w:t>was not</w:t>
      </w:r>
      <w:r w:rsidRPr="00597AA3">
        <w:rPr>
          <w:rFonts w:cstheme="minorHAnsi"/>
        </w:rPr>
        <w:t xml:space="preserve"> presented.</w:t>
      </w:r>
    </w:p>
    <w:p w14:paraId="7A1772B6" w14:textId="23BB3145" w:rsidR="00B60939" w:rsidRPr="008B18A3" w:rsidRDefault="00B60939" w:rsidP="004B083B">
      <w:pPr>
        <w:pStyle w:val="COMESSubsectionheading"/>
      </w:pPr>
      <w:bookmarkStart w:id="41" w:name="_Toc22897644"/>
      <w:bookmarkStart w:id="42" w:name="_Toc219811824"/>
      <w:r w:rsidRPr="008B18A3">
        <w:t>Clinical claim</w:t>
      </w:r>
      <w:bookmarkEnd w:id="41"/>
      <w:bookmarkEnd w:id="42"/>
    </w:p>
    <w:p w14:paraId="54D3A82D" w14:textId="55A742E1" w:rsidR="005F7588" w:rsidRPr="00597AA3" w:rsidRDefault="005F7588" w:rsidP="004B083B">
      <w:pPr>
        <w:pStyle w:val="COMESnumberedpara"/>
        <w:spacing w:before="160" w:after="160"/>
        <w:rPr>
          <w:rFonts w:eastAsia="Calibri" w:cstheme="minorHAnsi"/>
        </w:rPr>
      </w:pPr>
      <w:r w:rsidRPr="00597AA3">
        <w:rPr>
          <w:rFonts w:eastAsia="Calibri" w:cstheme="minorHAnsi"/>
        </w:rPr>
        <w:t xml:space="preserve">The submission described </w:t>
      </w:r>
      <w:r w:rsidR="0041210D" w:rsidRPr="00597AA3">
        <w:rPr>
          <w:rFonts w:eastAsia="Calibri" w:cstheme="minorHAnsi"/>
        </w:rPr>
        <w:t>canakinumab, when added to BSC,</w:t>
      </w:r>
      <w:r w:rsidRPr="00597AA3">
        <w:rPr>
          <w:rFonts w:eastAsia="Calibri" w:cstheme="minorHAnsi"/>
        </w:rPr>
        <w:t xml:space="preserve"> as superior in terms of effectiveness</w:t>
      </w:r>
      <w:r w:rsidR="0041210D" w:rsidRPr="00597AA3">
        <w:rPr>
          <w:rFonts w:eastAsia="Calibri" w:cstheme="minorHAnsi"/>
        </w:rPr>
        <w:t xml:space="preserve"> and inferior in terms of safety</w:t>
      </w:r>
      <w:r w:rsidRPr="00597AA3">
        <w:rPr>
          <w:rFonts w:eastAsia="Calibri" w:cstheme="minorHAnsi"/>
        </w:rPr>
        <w:t xml:space="preserve"> compared to </w:t>
      </w:r>
      <w:r w:rsidR="0041210D" w:rsidRPr="00597AA3">
        <w:rPr>
          <w:rFonts w:eastAsia="Calibri" w:cstheme="minorHAnsi"/>
        </w:rPr>
        <w:t>BSC alone</w:t>
      </w:r>
      <w:r w:rsidRPr="00597AA3">
        <w:rPr>
          <w:rFonts w:eastAsia="Calibri" w:cstheme="minorHAnsi"/>
        </w:rPr>
        <w:t xml:space="preserve">. This claim was </w:t>
      </w:r>
      <w:r w:rsidR="007C70FF" w:rsidRPr="00597AA3">
        <w:rPr>
          <w:rFonts w:eastAsia="Calibri" w:cstheme="minorHAnsi"/>
        </w:rPr>
        <w:t>adequately supported</w:t>
      </w:r>
      <w:r w:rsidR="00D733F9" w:rsidRPr="00597AA3">
        <w:rPr>
          <w:rFonts w:eastAsia="Calibri" w:cstheme="minorHAnsi"/>
        </w:rPr>
        <w:t xml:space="preserve"> by the evidence presented in the submission. However, the </w:t>
      </w:r>
      <w:r w:rsidR="00B35BC0">
        <w:rPr>
          <w:rFonts w:eastAsia="Calibri" w:cstheme="minorHAnsi"/>
        </w:rPr>
        <w:t xml:space="preserve">evaluation considered the </w:t>
      </w:r>
      <w:r w:rsidR="00D733F9" w:rsidRPr="00597AA3">
        <w:rPr>
          <w:rFonts w:eastAsia="Calibri" w:cstheme="minorHAnsi"/>
        </w:rPr>
        <w:t>following issues should be considered:</w:t>
      </w:r>
    </w:p>
    <w:p w14:paraId="3FF2D6B6" w14:textId="2357A971" w:rsidR="00D733F9" w:rsidRPr="00597AA3" w:rsidRDefault="007E5231" w:rsidP="004B083B">
      <w:pPr>
        <w:pStyle w:val="COMESbulletlist"/>
        <w:spacing w:before="160" w:after="160"/>
        <w:rPr>
          <w:rFonts w:eastAsia="Calibri" w:cstheme="minorHAnsi"/>
          <w:i w:val="0"/>
          <w:iCs w:val="0"/>
        </w:rPr>
      </w:pPr>
      <w:r>
        <w:rPr>
          <w:rFonts w:eastAsia="Calibri" w:cstheme="minorHAnsi"/>
          <w:i w:val="0"/>
          <w:iCs w:val="0"/>
        </w:rPr>
        <w:t>T</w:t>
      </w:r>
      <w:r w:rsidR="00D733F9" w:rsidRPr="00597AA3">
        <w:rPr>
          <w:rFonts w:eastAsia="Calibri" w:cstheme="minorHAnsi"/>
          <w:i w:val="0"/>
          <w:iCs w:val="0"/>
        </w:rPr>
        <w:t>he magnitude of benefit attributable to canakinumab rather than ongoing colchicine treatment is unclear</w:t>
      </w:r>
      <w:r>
        <w:rPr>
          <w:rFonts w:eastAsia="Calibri" w:cstheme="minorHAnsi"/>
          <w:i w:val="0"/>
          <w:iCs w:val="0"/>
        </w:rPr>
        <w:t xml:space="preserve"> </w:t>
      </w:r>
      <w:r w:rsidRPr="00597AA3">
        <w:rPr>
          <w:rFonts w:eastAsia="Calibri" w:cstheme="minorHAnsi"/>
          <w:i w:val="0"/>
          <w:iCs w:val="0"/>
        </w:rPr>
        <w:t xml:space="preserve">given </w:t>
      </w:r>
      <w:proofErr w:type="gramStart"/>
      <w:r w:rsidRPr="00597AA3">
        <w:rPr>
          <w:rFonts w:eastAsia="Calibri" w:cstheme="minorHAnsi"/>
          <w:i w:val="0"/>
          <w:iCs w:val="0"/>
        </w:rPr>
        <w:t>the majority of</w:t>
      </w:r>
      <w:proofErr w:type="gramEnd"/>
      <w:r w:rsidRPr="00597AA3">
        <w:rPr>
          <w:rFonts w:eastAsia="Calibri" w:cstheme="minorHAnsi"/>
          <w:i w:val="0"/>
          <w:iCs w:val="0"/>
        </w:rPr>
        <w:t xml:space="preserve"> patients moved from placebo to canakinumab treatment during the randomised phases of the trial</w:t>
      </w:r>
      <w:r w:rsidR="00D733F9" w:rsidRPr="00597AA3">
        <w:rPr>
          <w:rFonts w:eastAsia="Calibri" w:cstheme="minorHAnsi"/>
          <w:i w:val="0"/>
          <w:iCs w:val="0"/>
        </w:rPr>
        <w:t>.</w:t>
      </w:r>
    </w:p>
    <w:p w14:paraId="6223C860" w14:textId="77777777" w:rsidR="00D733F9" w:rsidRPr="00597AA3" w:rsidRDefault="00D733F9" w:rsidP="004B083B">
      <w:pPr>
        <w:pStyle w:val="COMESbulletlist"/>
        <w:spacing w:before="160" w:after="160"/>
        <w:rPr>
          <w:rFonts w:eastAsia="Calibri" w:cstheme="minorHAnsi"/>
          <w:i w:val="0"/>
          <w:iCs w:val="0"/>
        </w:rPr>
      </w:pPr>
      <w:r w:rsidRPr="00597AA3">
        <w:rPr>
          <w:rFonts w:eastAsia="Calibri" w:cstheme="minorHAnsi"/>
          <w:i w:val="0"/>
          <w:iCs w:val="0"/>
        </w:rPr>
        <w:lastRenderedPageBreak/>
        <w:t>It was not possible to assess comparative efficacy for exploratory outcomes, including health-related quality of life.</w:t>
      </w:r>
    </w:p>
    <w:p w14:paraId="34C0F803" w14:textId="1B259AA9" w:rsidR="005E62B2" w:rsidRPr="004548D7" w:rsidRDefault="005E62B2" w:rsidP="004B083B">
      <w:pPr>
        <w:pStyle w:val="COMESbulletlist"/>
        <w:rPr>
          <w:rFonts w:eastAsia="Calibri"/>
          <w:snapToGrid/>
        </w:rPr>
      </w:pPr>
      <w:r w:rsidRPr="00ED6C27">
        <w:rPr>
          <w:rFonts w:eastAsia="Calibri"/>
          <w:i w:val="0"/>
          <w:iCs w:val="0"/>
          <w:snapToGrid/>
        </w:rPr>
        <w:t xml:space="preserve">No clinical trial data assessing the impact of canakinumab treatment on the development of </w:t>
      </w:r>
      <w:r w:rsidR="00B112D4" w:rsidRPr="00ED6C27">
        <w:rPr>
          <w:rFonts w:eastAsia="Calibri"/>
          <w:i w:val="0"/>
          <w:iCs w:val="0"/>
          <w:snapToGrid/>
        </w:rPr>
        <w:t>A</w:t>
      </w:r>
      <w:r w:rsidRPr="00ED6C27">
        <w:rPr>
          <w:rFonts w:eastAsia="Calibri"/>
          <w:i w:val="0"/>
          <w:iCs w:val="0"/>
          <w:snapToGrid/>
        </w:rPr>
        <w:t>A amyloidosis was available.</w:t>
      </w:r>
      <w:r w:rsidR="004B083B">
        <w:rPr>
          <w:rFonts w:eastAsia="Calibri"/>
          <w:i w:val="0"/>
          <w:iCs w:val="0"/>
          <w:snapToGrid/>
        </w:rPr>
        <w:t xml:space="preserve"> </w:t>
      </w:r>
      <w:r w:rsidR="00ED6C27" w:rsidRPr="009B71C4">
        <w:rPr>
          <w:rFonts w:eastAsia="Calibri"/>
          <w:i w:val="0"/>
          <w:iCs w:val="0"/>
          <w:snapToGrid/>
        </w:rPr>
        <w:t xml:space="preserve">However, the ESC </w:t>
      </w:r>
      <w:r w:rsidR="00786321" w:rsidRPr="009B71C4">
        <w:rPr>
          <w:rFonts w:eastAsia="Calibri"/>
          <w:i w:val="0"/>
          <w:iCs w:val="0"/>
          <w:snapToGrid/>
        </w:rPr>
        <w:t>considered</w:t>
      </w:r>
      <w:r w:rsidR="00ED6C27" w:rsidRPr="009B71C4">
        <w:rPr>
          <w:rFonts w:eastAsia="Calibri"/>
          <w:i w:val="0"/>
          <w:iCs w:val="0"/>
          <w:snapToGrid/>
        </w:rPr>
        <w:t xml:space="preserve"> that </w:t>
      </w:r>
      <w:r w:rsidR="00DE1E14" w:rsidRPr="009B71C4">
        <w:rPr>
          <w:rFonts w:eastAsia="Calibri"/>
          <w:i w:val="0"/>
          <w:iCs w:val="0"/>
          <w:snapToGrid/>
        </w:rPr>
        <w:t xml:space="preserve">it is reasonable to assume that the reduction of inflammation </w:t>
      </w:r>
      <w:r w:rsidR="005D6139" w:rsidRPr="009B71C4">
        <w:rPr>
          <w:rFonts w:eastAsia="Calibri"/>
          <w:i w:val="0"/>
          <w:iCs w:val="0"/>
          <w:snapToGrid/>
        </w:rPr>
        <w:t xml:space="preserve">would lead to lower </w:t>
      </w:r>
      <w:r w:rsidR="00D44343" w:rsidRPr="009B71C4">
        <w:rPr>
          <w:rFonts w:eastAsia="Calibri"/>
          <w:i w:val="0"/>
          <w:iCs w:val="0"/>
          <w:snapToGrid/>
        </w:rPr>
        <w:t>SA</w:t>
      </w:r>
      <w:r w:rsidR="005D6139" w:rsidRPr="009B71C4">
        <w:rPr>
          <w:rFonts w:eastAsia="Calibri"/>
          <w:i w:val="0"/>
          <w:iCs w:val="0"/>
          <w:snapToGrid/>
        </w:rPr>
        <w:t>A</w:t>
      </w:r>
      <w:r w:rsidR="00D44343" w:rsidRPr="009B71C4">
        <w:rPr>
          <w:rFonts w:eastAsia="Calibri"/>
          <w:i w:val="0"/>
          <w:iCs w:val="0"/>
          <w:snapToGrid/>
        </w:rPr>
        <w:t xml:space="preserve"> and reduced </w:t>
      </w:r>
      <w:r w:rsidR="00810E53" w:rsidRPr="009B71C4">
        <w:rPr>
          <w:rFonts w:eastAsia="Calibri"/>
          <w:i w:val="0"/>
          <w:iCs w:val="0"/>
          <w:snapToGrid/>
        </w:rPr>
        <w:t>deposition of AA amyloid over time</w:t>
      </w:r>
      <w:r w:rsidR="00366452" w:rsidRPr="009B71C4">
        <w:rPr>
          <w:rFonts w:eastAsia="Calibri"/>
          <w:i w:val="0"/>
          <w:iCs w:val="0"/>
          <w:snapToGrid/>
        </w:rPr>
        <w:t xml:space="preserve"> (see paragraph </w:t>
      </w:r>
      <w:r w:rsidR="00B34EE0" w:rsidRPr="009B71C4">
        <w:rPr>
          <w:rFonts w:eastAsia="Calibri"/>
          <w:i w:val="0"/>
          <w:iCs w:val="0"/>
          <w:snapToGrid/>
        </w:rPr>
        <w:fldChar w:fldCharType="begin"/>
      </w:r>
      <w:r w:rsidR="00B34EE0" w:rsidRPr="009B71C4">
        <w:rPr>
          <w:rFonts w:eastAsia="Calibri"/>
          <w:i w:val="0"/>
          <w:iCs w:val="0"/>
          <w:snapToGrid/>
        </w:rPr>
        <w:instrText xml:space="preserve"> REF _Ref222738707 \r \h </w:instrText>
      </w:r>
      <w:r w:rsidR="009B71C4">
        <w:rPr>
          <w:rFonts w:eastAsia="Calibri"/>
          <w:i w:val="0"/>
          <w:iCs w:val="0"/>
          <w:snapToGrid/>
        </w:rPr>
        <w:instrText xml:space="preserve"> \* MERGEFORMAT </w:instrText>
      </w:r>
      <w:r w:rsidR="00B34EE0" w:rsidRPr="009B71C4">
        <w:rPr>
          <w:rFonts w:eastAsia="Calibri"/>
          <w:i w:val="0"/>
          <w:iCs w:val="0"/>
          <w:snapToGrid/>
        </w:rPr>
      </w:r>
      <w:r w:rsidR="00B34EE0" w:rsidRPr="009B71C4">
        <w:rPr>
          <w:rFonts w:eastAsia="Calibri"/>
          <w:i w:val="0"/>
          <w:iCs w:val="0"/>
          <w:snapToGrid/>
        </w:rPr>
        <w:fldChar w:fldCharType="separate"/>
      </w:r>
      <w:r w:rsidR="00815AB6">
        <w:rPr>
          <w:rFonts w:eastAsia="Calibri"/>
          <w:i w:val="0"/>
          <w:iCs w:val="0"/>
          <w:snapToGrid/>
        </w:rPr>
        <w:t>6.25</w:t>
      </w:r>
      <w:r w:rsidR="00B34EE0" w:rsidRPr="009B71C4">
        <w:rPr>
          <w:rFonts w:eastAsia="Calibri"/>
          <w:i w:val="0"/>
          <w:iCs w:val="0"/>
          <w:snapToGrid/>
        </w:rPr>
        <w:fldChar w:fldCharType="end"/>
      </w:r>
      <w:r w:rsidR="00B34EE0" w:rsidRPr="009B71C4">
        <w:rPr>
          <w:rFonts w:eastAsia="Calibri"/>
          <w:i w:val="0"/>
          <w:iCs w:val="0"/>
          <w:snapToGrid/>
        </w:rPr>
        <w:t>)</w:t>
      </w:r>
      <w:r w:rsidR="00810E53" w:rsidRPr="009B71C4">
        <w:rPr>
          <w:rFonts w:eastAsia="Calibri"/>
          <w:i w:val="0"/>
          <w:iCs w:val="0"/>
          <w:snapToGrid/>
        </w:rPr>
        <w:t>.</w:t>
      </w:r>
      <w:r w:rsidR="00810E53">
        <w:rPr>
          <w:rFonts w:eastAsia="Calibri"/>
          <w:i w:val="0"/>
          <w:iCs w:val="0"/>
          <w:snapToGrid/>
        </w:rPr>
        <w:t xml:space="preserve"> </w:t>
      </w:r>
    </w:p>
    <w:p w14:paraId="7B4ED113" w14:textId="04122FFF" w:rsidR="00F936B7" w:rsidRPr="001C2B47" w:rsidRDefault="00F936B7" w:rsidP="004B083B">
      <w:pPr>
        <w:pStyle w:val="COMESnumberedpara"/>
        <w:spacing w:after="120"/>
        <w:rPr>
          <w:snapToGrid w:val="0"/>
          <w:szCs w:val="20"/>
        </w:rPr>
      </w:pPr>
      <w:bookmarkStart w:id="43" w:name="_Hlk76376200"/>
      <w:r w:rsidRPr="001C2B47">
        <w:rPr>
          <w:snapToGrid w:val="0"/>
        </w:rPr>
        <w:t xml:space="preserve">Regarding the magnitude of benefit, the Pre-PBAC Response stated that </w:t>
      </w:r>
      <w:r w:rsidR="00046510" w:rsidRPr="001C2B47">
        <w:rPr>
          <w:snapToGrid w:val="0"/>
        </w:rPr>
        <w:t>Complete Response (</w:t>
      </w:r>
      <w:r w:rsidRPr="001C2B47">
        <w:rPr>
          <w:snapToGrid w:val="0"/>
        </w:rPr>
        <w:t>the primary endpoint of CLUSTER</w:t>
      </w:r>
      <w:r w:rsidR="00046510" w:rsidRPr="001C2B47">
        <w:rPr>
          <w:snapToGrid w:val="0"/>
        </w:rPr>
        <w:t>) is</w:t>
      </w:r>
      <w:r w:rsidRPr="001C2B47">
        <w:rPr>
          <w:snapToGrid w:val="0"/>
        </w:rPr>
        <w:t xml:space="preserve"> the ultimate treatment goal for </w:t>
      </w:r>
      <w:proofErr w:type="spellStart"/>
      <w:r w:rsidRPr="001C2B47">
        <w:rPr>
          <w:snapToGrid w:val="0"/>
        </w:rPr>
        <w:t>crFMF</w:t>
      </w:r>
      <w:proofErr w:type="spellEnd"/>
      <w:r w:rsidRPr="001C2B47">
        <w:rPr>
          <w:snapToGrid w:val="0"/>
        </w:rPr>
        <w:t xml:space="preserve"> and the strongest predictor of patient wellbeing</w:t>
      </w:r>
      <w:r w:rsidR="00046510" w:rsidRPr="001C2B47">
        <w:rPr>
          <w:snapToGrid w:val="0"/>
        </w:rPr>
        <w:t>, noting that this</w:t>
      </w:r>
      <w:r w:rsidRPr="001C2B47">
        <w:rPr>
          <w:snapToGrid w:val="0"/>
        </w:rPr>
        <w:t xml:space="preserve"> is unaffected by treatment crossover. Th</w:t>
      </w:r>
      <w:r w:rsidR="00046510" w:rsidRPr="001C2B47">
        <w:rPr>
          <w:snapToGrid w:val="0"/>
        </w:rPr>
        <w:t xml:space="preserve">e Response noted that </w:t>
      </w:r>
      <w:r w:rsidR="009C2F88" w:rsidRPr="001C2B47">
        <w:rPr>
          <w:snapToGrid w:val="0"/>
        </w:rPr>
        <w:t xml:space="preserve">Complete Response </w:t>
      </w:r>
      <w:r w:rsidRPr="001C2B47">
        <w:rPr>
          <w:snapToGrid w:val="0"/>
        </w:rPr>
        <w:t xml:space="preserve">can be wholly attributed to canakinumab since 0/26 patients (0%) with protocol-mandated colchicine treatment attained a Complete Response, compared to 18/29 patients (62%) treated with added canakinumab. </w:t>
      </w:r>
      <w:r w:rsidR="00442A7B" w:rsidRPr="001C2B47">
        <w:rPr>
          <w:rFonts w:eastAsia="Times New Roman" w:cs="Arial"/>
          <w:snapToGrid w:val="0"/>
          <w:szCs w:val="20"/>
        </w:rPr>
        <w:t>The Response stated that compared to BSC, canakinumab treatment leads to a 65% absolute increase in the number of paediatric patients achieving a Complete Response</w:t>
      </w:r>
      <w:r w:rsidRPr="001C2B47">
        <w:rPr>
          <w:snapToGrid w:val="0"/>
          <w:szCs w:val="20"/>
        </w:rPr>
        <w:t>.</w:t>
      </w:r>
    </w:p>
    <w:p w14:paraId="2B1EF740" w14:textId="71F255BF" w:rsidR="004548D7" w:rsidRPr="00F84568" w:rsidRDefault="00F84568" w:rsidP="004B083B">
      <w:pPr>
        <w:numPr>
          <w:ilvl w:val="1"/>
          <w:numId w:val="1"/>
        </w:numPr>
        <w:spacing w:after="120"/>
        <w:rPr>
          <w:rFonts w:asciiTheme="minorHAnsi" w:hAnsiTheme="minorHAnsi"/>
          <w:snapToGrid w:val="0"/>
          <w:szCs w:val="20"/>
        </w:rPr>
      </w:pPr>
      <w:r w:rsidRPr="00F84568">
        <w:rPr>
          <w:rFonts w:asciiTheme="minorHAnsi" w:hAnsiTheme="minorHAnsi"/>
          <w:iCs/>
          <w:snapToGrid w:val="0"/>
        </w:rPr>
        <w:t>The PBAC considered that the claim of superior comparative effectiveness was adequately supported by the data but that the magnitude of benefit was uncertain</w:t>
      </w:r>
      <w:r w:rsidR="0008664F">
        <w:rPr>
          <w:rFonts w:asciiTheme="minorHAnsi" w:hAnsiTheme="minorHAnsi"/>
          <w:iCs/>
          <w:snapToGrid w:val="0"/>
        </w:rPr>
        <w:t xml:space="preserve">, mainly due to </w:t>
      </w:r>
      <w:r w:rsidR="009474A3">
        <w:rPr>
          <w:rFonts w:asciiTheme="minorHAnsi" w:hAnsiTheme="minorHAnsi"/>
          <w:iCs/>
          <w:snapToGrid w:val="0"/>
        </w:rPr>
        <w:t>cross</w:t>
      </w:r>
      <w:r w:rsidR="00E77B31">
        <w:rPr>
          <w:rFonts w:asciiTheme="minorHAnsi" w:hAnsiTheme="minorHAnsi"/>
          <w:iCs/>
          <w:snapToGrid w:val="0"/>
        </w:rPr>
        <w:t>o</w:t>
      </w:r>
      <w:r w:rsidR="009474A3">
        <w:rPr>
          <w:rFonts w:asciiTheme="minorHAnsi" w:hAnsiTheme="minorHAnsi"/>
          <w:iCs/>
          <w:snapToGrid w:val="0"/>
        </w:rPr>
        <w:t>ver from placebo to canakinumab</w:t>
      </w:r>
      <w:r w:rsidR="00B57F68">
        <w:rPr>
          <w:rFonts w:asciiTheme="minorHAnsi" w:hAnsiTheme="minorHAnsi"/>
          <w:iCs/>
          <w:snapToGrid w:val="0"/>
        </w:rPr>
        <w:t xml:space="preserve"> </w:t>
      </w:r>
      <w:r w:rsidR="00E77B31">
        <w:rPr>
          <w:rFonts w:asciiTheme="minorHAnsi" w:hAnsiTheme="minorHAnsi"/>
          <w:iCs/>
          <w:snapToGrid w:val="0"/>
        </w:rPr>
        <w:t>in the CLUSTER trial</w:t>
      </w:r>
      <w:r w:rsidR="00F04876">
        <w:rPr>
          <w:rFonts w:asciiTheme="minorHAnsi" w:hAnsiTheme="minorHAnsi"/>
          <w:iCs/>
          <w:snapToGrid w:val="0"/>
        </w:rPr>
        <w:t>.</w:t>
      </w:r>
      <w:r w:rsidRPr="00F84568">
        <w:rPr>
          <w:rFonts w:asciiTheme="minorHAnsi" w:hAnsiTheme="minorHAnsi"/>
          <w:iCs/>
          <w:snapToGrid w:val="0"/>
        </w:rPr>
        <w:t xml:space="preserve"> </w:t>
      </w:r>
    </w:p>
    <w:p w14:paraId="5E0019A8" w14:textId="25CA46E2" w:rsidR="004548D7" w:rsidRPr="00F84568" w:rsidRDefault="00F84568" w:rsidP="004B083B">
      <w:pPr>
        <w:numPr>
          <w:ilvl w:val="1"/>
          <w:numId w:val="1"/>
        </w:numPr>
        <w:spacing w:after="120"/>
        <w:rPr>
          <w:rFonts w:asciiTheme="minorHAnsi" w:hAnsiTheme="minorHAnsi"/>
          <w:snapToGrid w:val="0"/>
          <w:szCs w:val="20"/>
        </w:rPr>
      </w:pPr>
      <w:r w:rsidRPr="00F84568">
        <w:rPr>
          <w:rFonts w:asciiTheme="minorHAnsi" w:hAnsiTheme="minorHAnsi"/>
          <w:snapToGrid w:val="0"/>
          <w:szCs w:val="20"/>
        </w:rPr>
        <w:t xml:space="preserve">The PBAC considered that the claim of inferior but manageable comparative safety was </w:t>
      </w:r>
      <w:r w:rsidR="004548D7" w:rsidRPr="00F84568" w:rsidDel="00F84568">
        <w:rPr>
          <w:rFonts w:asciiTheme="minorHAnsi" w:hAnsiTheme="minorHAnsi"/>
          <w:snapToGrid w:val="0"/>
          <w:szCs w:val="20"/>
        </w:rPr>
        <w:t>reasonable</w:t>
      </w:r>
      <w:r w:rsidR="004548D7" w:rsidRPr="00F84568">
        <w:rPr>
          <w:rFonts w:asciiTheme="minorHAnsi" w:hAnsiTheme="minorHAnsi"/>
          <w:snapToGrid w:val="0"/>
          <w:szCs w:val="20"/>
        </w:rPr>
        <w:t>.</w:t>
      </w:r>
    </w:p>
    <w:p w14:paraId="74A1172E" w14:textId="128C170E" w:rsidR="00B60939" w:rsidRPr="004548D7" w:rsidRDefault="00B60939" w:rsidP="004B083B">
      <w:pPr>
        <w:pStyle w:val="COMESSubsectionheading"/>
      </w:pPr>
      <w:bookmarkStart w:id="44" w:name="_Toc22897645"/>
      <w:bookmarkStart w:id="45" w:name="_Toc219811825"/>
      <w:bookmarkEnd w:id="43"/>
      <w:r w:rsidRPr="004548D7">
        <w:t>Economic analysis</w:t>
      </w:r>
      <w:bookmarkEnd w:id="44"/>
      <w:bookmarkEnd w:id="45"/>
      <w:r w:rsidR="00491B3A" w:rsidRPr="004548D7">
        <w:t xml:space="preserve"> </w:t>
      </w:r>
    </w:p>
    <w:p w14:paraId="7F19A054" w14:textId="2BC7DE00" w:rsidR="0079556C" w:rsidRPr="00597AA3" w:rsidRDefault="0079556C" w:rsidP="004B083B">
      <w:pPr>
        <w:pStyle w:val="COMESnumberedpara"/>
        <w:spacing w:before="160" w:after="160"/>
        <w:rPr>
          <w:rFonts w:cstheme="minorHAnsi"/>
        </w:rPr>
      </w:pPr>
      <w:bookmarkStart w:id="46" w:name="_Toc22897646"/>
      <w:r w:rsidRPr="00597AA3">
        <w:rPr>
          <w:rFonts w:cstheme="minorHAnsi"/>
        </w:rPr>
        <w:t>The submission presented a modelled economic evaluation of canakinumab plus BSC versus BSC alone for the treatment of paediatric patients with FMF who are intolerant or resistant to colchicine. The economic evaluation was based on the results of the CLUSTER trial with additional modelled data. The economic evaluation was presented as a stepped cost-effectiveness/cost-utility analysis</w:t>
      </w:r>
      <w:r w:rsidR="00413F8A">
        <w:rPr>
          <w:rFonts w:cstheme="minorHAnsi"/>
        </w:rPr>
        <w:t>, based on a Monte Carlo microsimulation model</w:t>
      </w:r>
      <w:r w:rsidRPr="00597AA3">
        <w:rPr>
          <w:rFonts w:cstheme="minorHAnsi"/>
        </w:rPr>
        <w:t xml:space="preserve">. </w:t>
      </w:r>
    </w:p>
    <w:p w14:paraId="5521CC29" w14:textId="327A9742" w:rsidR="0079556C" w:rsidRPr="00597AA3" w:rsidRDefault="0079556C" w:rsidP="004B083B">
      <w:pPr>
        <w:pStyle w:val="COMTableFigurecaption"/>
        <w:spacing w:before="160"/>
      </w:pPr>
      <w:r w:rsidRPr="00597AA3">
        <w:t xml:space="preserve">Table </w:t>
      </w:r>
      <w:fldSimple w:instr=" SEQ Table \* ARABIC ">
        <w:r w:rsidR="00815AB6">
          <w:rPr>
            <w:noProof/>
          </w:rPr>
          <w:t>7</w:t>
        </w:r>
      </w:fldSimple>
      <w:r w:rsidRPr="00597AA3">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7: Summary of model structure, key inputs and rationale"/>
      </w:tblPr>
      <w:tblGrid>
        <w:gridCol w:w="1980"/>
        <w:gridCol w:w="7037"/>
      </w:tblGrid>
      <w:tr w:rsidR="0079556C" w:rsidRPr="00597AA3" w14:paraId="53E391D0" w14:textId="77777777">
        <w:trPr>
          <w:tblHeader/>
        </w:trPr>
        <w:tc>
          <w:tcPr>
            <w:tcW w:w="1098" w:type="pct"/>
            <w:vAlign w:val="center"/>
          </w:tcPr>
          <w:p w14:paraId="0CA21F4F" w14:textId="77777777" w:rsidR="0079556C" w:rsidRPr="00597AA3" w:rsidRDefault="0079556C" w:rsidP="004B083B">
            <w:pPr>
              <w:pStyle w:val="COMTableheadingrow"/>
              <w:keepNext w:val="0"/>
            </w:pPr>
            <w:r w:rsidRPr="00597AA3">
              <w:t>Component</w:t>
            </w:r>
          </w:p>
        </w:tc>
        <w:tc>
          <w:tcPr>
            <w:tcW w:w="3902" w:type="pct"/>
            <w:vAlign w:val="center"/>
          </w:tcPr>
          <w:p w14:paraId="4297C814" w14:textId="77777777" w:rsidR="0079556C" w:rsidRPr="00597AA3" w:rsidRDefault="0079556C" w:rsidP="004B083B">
            <w:pPr>
              <w:pStyle w:val="COMTableheadingrow"/>
              <w:keepNext w:val="0"/>
              <w:jc w:val="center"/>
            </w:pPr>
            <w:r w:rsidRPr="00597AA3">
              <w:t>Summary</w:t>
            </w:r>
          </w:p>
        </w:tc>
      </w:tr>
      <w:tr w:rsidR="0079556C" w:rsidRPr="00597AA3" w14:paraId="4336B658" w14:textId="77777777">
        <w:tc>
          <w:tcPr>
            <w:tcW w:w="1098" w:type="pct"/>
            <w:vAlign w:val="center"/>
          </w:tcPr>
          <w:p w14:paraId="5C5DBDA4" w14:textId="77777777" w:rsidR="0079556C" w:rsidRPr="00597AA3" w:rsidRDefault="0079556C" w:rsidP="004B083B">
            <w:pPr>
              <w:pStyle w:val="COMTabletext"/>
              <w:keepNext w:val="0"/>
            </w:pPr>
            <w:r w:rsidRPr="00597AA3">
              <w:t>Treatments</w:t>
            </w:r>
          </w:p>
        </w:tc>
        <w:tc>
          <w:tcPr>
            <w:tcW w:w="3902" w:type="pct"/>
            <w:vAlign w:val="center"/>
          </w:tcPr>
          <w:p w14:paraId="134117B2" w14:textId="77777777" w:rsidR="0079556C" w:rsidRPr="00597AA3" w:rsidRDefault="0079556C" w:rsidP="004B083B">
            <w:pPr>
              <w:pStyle w:val="COMTabletext"/>
              <w:keepNext w:val="0"/>
            </w:pPr>
            <w:r w:rsidRPr="00597AA3">
              <w:t>Canakinumab plus BSC versus BSC</w:t>
            </w:r>
          </w:p>
        </w:tc>
      </w:tr>
      <w:tr w:rsidR="0079556C" w:rsidRPr="00597AA3" w14:paraId="040AF655" w14:textId="77777777">
        <w:tc>
          <w:tcPr>
            <w:tcW w:w="1098" w:type="pct"/>
            <w:vAlign w:val="center"/>
          </w:tcPr>
          <w:p w14:paraId="24FE2E07" w14:textId="77777777" w:rsidR="0079556C" w:rsidRPr="00597AA3" w:rsidRDefault="0079556C" w:rsidP="004B083B">
            <w:pPr>
              <w:pStyle w:val="COMTabletext"/>
              <w:keepNext w:val="0"/>
            </w:pPr>
            <w:r w:rsidRPr="00597AA3">
              <w:t>Time horizon</w:t>
            </w:r>
          </w:p>
        </w:tc>
        <w:tc>
          <w:tcPr>
            <w:tcW w:w="3902" w:type="pct"/>
          </w:tcPr>
          <w:p w14:paraId="46389723" w14:textId="77777777" w:rsidR="0079556C" w:rsidRPr="00597AA3" w:rsidRDefault="0079556C" w:rsidP="004B083B">
            <w:pPr>
              <w:pStyle w:val="COMTabletext"/>
              <w:keepNext w:val="0"/>
            </w:pPr>
            <w:r w:rsidRPr="00597AA3">
              <w:t>70 years in the base case versus up to 112 weeks of follow-up in the CLUSTER trial.</w:t>
            </w:r>
          </w:p>
        </w:tc>
      </w:tr>
      <w:tr w:rsidR="0079556C" w:rsidRPr="00597AA3" w14:paraId="58BC84E0" w14:textId="77777777">
        <w:tc>
          <w:tcPr>
            <w:tcW w:w="1098" w:type="pct"/>
            <w:vAlign w:val="center"/>
          </w:tcPr>
          <w:p w14:paraId="3398BB79" w14:textId="77777777" w:rsidR="0079556C" w:rsidRPr="00597AA3" w:rsidRDefault="0079556C" w:rsidP="004B083B">
            <w:pPr>
              <w:pStyle w:val="COMTabletext"/>
              <w:keepNext w:val="0"/>
            </w:pPr>
            <w:r w:rsidRPr="00597AA3">
              <w:t>Outcomes</w:t>
            </w:r>
          </w:p>
        </w:tc>
        <w:tc>
          <w:tcPr>
            <w:tcW w:w="3902" w:type="pct"/>
          </w:tcPr>
          <w:p w14:paraId="055CEB53" w14:textId="77777777" w:rsidR="0079556C" w:rsidRPr="00597AA3" w:rsidRDefault="0079556C" w:rsidP="004B083B">
            <w:pPr>
              <w:pStyle w:val="COMTabletext"/>
              <w:keepNext w:val="0"/>
            </w:pPr>
            <w:r w:rsidRPr="00597AA3">
              <w:t>Proportion of patients with response, proportion of patients with complete response, number of flares avoided, time spent in response state, life years, quality-adjusted life years.</w:t>
            </w:r>
          </w:p>
        </w:tc>
      </w:tr>
      <w:tr w:rsidR="0079556C" w:rsidRPr="00597AA3" w14:paraId="718DF6D3" w14:textId="77777777">
        <w:tc>
          <w:tcPr>
            <w:tcW w:w="1098" w:type="pct"/>
            <w:vAlign w:val="center"/>
          </w:tcPr>
          <w:p w14:paraId="53426848" w14:textId="77777777" w:rsidR="0079556C" w:rsidRPr="00597AA3" w:rsidRDefault="0079556C" w:rsidP="004B083B">
            <w:pPr>
              <w:pStyle w:val="COMTabletext"/>
              <w:keepNext w:val="0"/>
            </w:pPr>
            <w:r w:rsidRPr="00597AA3">
              <w:t>Methods used to generate results</w:t>
            </w:r>
          </w:p>
        </w:tc>
        <w:tc>
          <w:tcPr>
            <w:tcW w:w="3902" w:type="pct"/>
            <w:vAlign w:val="center"/>
          </w:tcPr>
          <w:p w14:paraId="35A76301" w14:textId="77777777" w:rsidR="0079556C" w:rsidRPr="00597AA3" w:rsidRDefault="0079556C" w:rsidP="004B083B">
            <w:pPr>
              <w:pStyle w:val="COMTabletext"/>
              <w:keepNext w:val="0"/>
            </w:pPr>
            <w:r w:rsidRPr="00597AA3">
              <w:t>Monte Carlo microsimulation.</w:t>
            </w:r>
          </w:p>
        </w:tc>
      </w:tr>
      <w:tr w:rsidR="0079556C" w:rsidRPr="00597AA3" w14:paraId="1674FE8D" w14:textId="77777777">
        <w:tc>
          <w:tcPr>
            <w:tcW w:w="1098" w:type="pct"/>
            <w:vAlign w:val="center"/>
          </w:tcPr>
          <w:p w14:paraId="6E42F835" w14:textId="77777777" w:rsidR="0079556C" w:rsidRPr="00597AA3" w:rsidRDefault="0079556C" w:rsidP="004B083B">
            <w:pPr>
              <w:pStyle w:val="COMTabletext"/>
              <w:keepNext w:val="0"/>
            </w:pPr>
            <w:r w:rsidRPr="00597AA3">
              <w:t>Health states</w:t>
            </w:r>
          </w:p>
        </w:tc>
        <w:tc>
          <w:tcPr>
            <w:tcW w:w="3902" w:type="pct"/>
          </w:tcPr>
          <w:p w14:paraId="1A38F754" w14:textId="77777777" w:rsidR="0079556C" w:rsidRPr="00597AA3" w:rsidRDefault="0079556C" w:rsidP="004B083B">
            <w:pPr>
              <w:pStyle w:val="COMTabletext"/>
              <w:keepNext w:val="0"/>
            </w:pPr>
            <w:r w:rsidRPr="00597AA3">
              <w:t>No AA amyloidosis (flare, no flare), AA amyloidosis (flare, no flare), pre-dialysis (flare, no flare), dialysis (flare, no flare), kidney transplant (flare, no flare), post kidney transplant (flare, no flare), death.</w:t>
            </w:r>
          </w:p>
        </w:tc>
      </w:tr>
      <w:tr w:rsidR="0079556C" w:rsidRPr="00597AA3" w14:paraId="1C13D320" w14:textId="77777777">
        <w:tc>
          <w:tcPr>
            <w:tcW w:w="1098" w:type="pct"/>
            <w:vAlign w:val="center"/>
          </w:tcPr>
          <w:p w14:paraId="21562112" w14:textId="77777777" w:rsidR="0079556C" w:rsidRPr="00597AA3" w:rsidRDefault="0079556C" w:rsidP="004B083B">
            <w:pPr>
              <w:pStyle w:val="COMTabletext"/>
              <w:keepNext w:val="0"/>
            </w:pPr>
            <w:r w:rsidRPr="00597AA3">
              <w:t>Cycle length</w:t>
            </w:r>
          </w:p>
        </w:tc>
        <w:tc>
          <w:tcPr>
            <w:tcW w:w="3902" w:type="pct"/>
            <w:vAlign w:val="center"/>
          </w:tcPr>
          <w:p w14:paraId="003F6BB6" w14:textId="77777777" w:rsidR="0079556C" w:rsidRPr="00597AA3" w:rsidRDefault="0079556C" w:rsidP="004B083B">
            <w:pPr>
              <w:pStyle w:val="COMTabletext"/>
              <w:keepNext w:val="0"/>
            </w:pPr>
            <w:r w:rsidRPr="00597AA3">
              <w:t>1 week</w:t>
            </w:r>
          </w:p>
        </w:tc>
      </w:tr>
      <w:tr w:rsidR="0079556C" w:rsidRPr="00597AA3" w14:paraId="2320681B" w14:textId="77777777">
        <w:tc>
          <w:tcPr>
            <w:tcW w:w="1098" w:type="pct"/>
            <w:vAlign w:val="center"/>
          </w:tcPr>
          <w:p w14:paraId="3F973A55" w14:textId="77777777" w:rsidR="0079556C" w:rsidRPr="00597AA3" w:rsidRDefault="0079556C" w:rsidP="004B083B">
            <w:pPr>
              <w:pStyle w:val="COMTabletext"/>
              <w:keepNext w:val="0"/>
            </w:pPr>
            <w:r w:rsidRPr="00597AA3">
              <w:lastRenderedPageBreak/>
              <w:t>Transition probabilities</w:t>
            </w:r>
          </w:p>
          <w:p w14:paraId="27A5B096" w14:textId="77777777" w:rsidR="0079556C" w:rsidRPr="00597AA3" w:rsidRDefault="0079556C" w:rsidP="004B083B">
            <w:pPr>
              <w:pStyle w:val="COMTabletext"/>
              <w:keepNext w:val="0"/>
            </w:pPr>
          </w:p>
        </w:tc>
        <w:tc>
          <w:tcPr>
            <w:tcW w:w="3902" w:type="pct"/>
            <w:vAlign w:val="center"/>
          </w:tcPr>
          <w:p w14:paraId="1A743EF0" w14:textId="77777777" w:rsidR="0079556C" w:rsidRPr="00597AA3" w:rsidRDefault="0079556C" w:rsidP="004B083B">
            <w:pPr>
              <w:pStyle w:val="COMTabletext"/>
              <w:keepNext w:val="0"/>
              <w:spacing w:after="120"/>
            </w:pPr>
            <w:r w:rsidRPr="00597AA3">
              <w:t>Probability of flare in the canakinumab + BSC arm (patients on canakinumab treatment): Gamma distribution fitted to the mean number and standard distribution of flares among paediatric and adult patients on canakinumab treatment in the CLUSTER trial. Flares assumed to last for one model cycle.</w:t>
            </w:r>
          </w:p>
          <w:p w14:paraId="789F4BDC" w14:textId="77777777" w:rsidR="0079556C" w:rsidRPr="00597AA3" w:rsidRDefault="0079556C" w:rsidP="004B083B">
            <w:pPr>
              <w:pStyle w:val="COMTabletext"/>
              <w:keepNext w:val="0"/>
              <w:spacing w:after="120"/>
            </w:pPr>
            <w:r w:rsidRPr="00597AA3">
              <w:t>Probability of flare for patients in the BSC arm and patients in the canakinumab + BSC arm who discontinue canakinumab: Gamma distribution fitted to the mean number and standard distribution of flares at baseline among paediatric patients in the CLUSTER trial. Flares assumed to last for one model cycle.</w:t>
            </w:r>
          </w:p>
          <w:p w14:paraId="122E2C7D" w14:textId="77777777" w:rsidR="0079556C" w:rsidRPr="00597AA3" w:rsidRDefault="0079556C" w:rsidP="004B083B">
            <w:pPr>
              <w:pStyle w:val="COMTabletext"/>
              <w:keepNext w:val="0"/>
              <w:spacing w:after="120"/>
            </w:pPr>
            <w:r w:rsidRPr="00597AA3">
              <w:t>No AA amyloidosis to AA amyloidosis health state (patients who do not have chronic inflammation): Based on the proportion of patients without evidence of chronic inflammation who developed amyloidosis in a study conducted by Varan et al. (2019).</w:t>
            </w:r>
          </w:p>
          <w:p w14:paraId="106D6ABD" w14:textId="77777777" w:rsidR="0079556C" w:rsidRPr="00597AA3" w:rsidRDefault="0079556C" w:rsidP="004B083B">
            <w:pPr>
              <w:pStyle w:val="COMTabletext"/>
              <w:keepNext w:val="0"/>
              <w:spacing w:after="120"/>
            </w:pPr>
            <w:r w:rsidRPr="00597AA3">
              <w:t>No AA amyloidosis to AA amyloidosis health state (patients with chronic inflammation): Lognormal distribution fitted to the odds ratio comparing the risk of AA amyloidosis development in patients with chronic inflammation versus no chronic information reported by Varan et al. (2019).</w:t>
            </w:r>
          </w:p>
          <w:p w14:paraId="50A49865" w14:textId="77777777" w:rsidR="0079556C" w:rsidRPr="00597AA3" w:rsidRDefault="0079556C" w:rsidP="004B083B">
            <w:pPr>
              <w:pStyle w:val="COMTabletext"/>
              <w:keepNext w:val="0"/>
              <w:spacing w:after="120"/>
            </w:pPr>
            <w:r w:rsidRPr="00597AA3">
              <w:t xml:space="preserve">AA amyloidosis to pre-dialysis health state: Based on the proportion of patients with AA amyloidosis progressing to dialysis in a study conducted by </w:t>
            </w:r>
            <w:proofErr w:type="spellStart"/>
            <w:r w:rsidRPr="00597AA3">
              <w:t>Ahbap</w:t>
            </w:r>
            <w:proofErr w:type="spellEnd"/>
            <w:r w:rsidRPr="00597AA3">
              <w:t xml:space="preserve"> et al. (2014). </w:t>
            </w:r>
          </w:p>
          <w:p w14:paraId="55773C52" w14:textId="77777777" w:rsidR="0079556C" w:rsidRPr="00597AA3" w:rsidRDefault="0079556C" w:rsidP="004B083B">
            <w:pPr>
              <w:pStyle w:val="COMTabletext"/>
              <w:keepNext w:val="0"/>
              <w:spacing w:after="120"/>
            </w:pPr>
            <w:r w:rsidRPr="00597AA3">
              <w:t>Pre-dialysis to dialysis health state: All patients assumed to move to the dialysis health state after 1 cycle in the pre-dialysis health state.</w:t>
            </w:r>
          </w:p>
          <w:p w14:paraId="5A5209A0" w14:textId="77777777" w:rsidR="0079556C" w:rsidRPr="00597AA3" w:rsidRDefault="0079556C" w:rsidP="004B083B">
            <w:pPr>
              <w:pStyle w:val="COMTabletext"/>
              <w:keepNext w:val="0"/>
              <w:spacing w:after="120"/>
            </w:pPr>
            <w:r w:rsidRPr="00597AA3">
              <w:t>Dialysis to kidney transplant health state: Gamma distribution fitted to the mean wait time for kidney transplant in Australia in 2006 (National Clinical Taskforce on Organ and Tissue Donation; 2008).</w:t>
            </w:r>
          </w:p>
          <w:p w14:paraId="18483849" w14:textId="77777777" w:rsidR="0079556C" w:rsidRPr="00597AA3" w:rsidRDefault="0079556C" w:rsidP="004B083B">
            <w:pPr>
              <w:pStyle w:val="COMTabletext"/>
              <w:keepNext w:val="0"/>
              <w:spacing w:after="60"/>
            </w:pPr>
            <w:r w:rsidRPr="00597AA3">
              <w:t>Kidney transplant to post kidney transplant health state: All patients assumed to move to the post kidney transplant health state after 1 cycle in the kidney transplant health state.</w:t>
            </w:r>
          </w:p>
          <w:p w14:paraId="25A41759" w14:textId="77777777" w:rsidR="0079556C" w:rsidRPr="00597AA3" w:rsidRDefault="0079556C" w:rsidP="004B083B">
            <w:pPr>
              <w:pStyle w:val="COMTabletext"/>
              <w:keepNext w:val="0"/>
            </w:pPr>
            <w:r w:rsidRPr="00597AA3">
              <w:t xml:space="preserve">Transition to death health state: No AA amyloidosis health state mortality based on Gendelman et al. (2020); AA amyloidosis health state mortality based on </w:t>
            </w:r>
            <w:proofErr w:type="spellStart"/>
            <w:r w:rsidRPr="00597AA3">
              <w:t>Ahbap</w:t>
            </w:r>
            <w:proofErr w:type="spellEnd"/>
            <w:r w:rsidRPr="00597AA3">
              <w:t xml:space="preserve"> et al. (2014); pre-dialysis and dialysis health state mortality based on Hudson et al. (2025); kidney transplant and post kidney transplant mortality based on Green et al. (2007).</w:t>
            </w:r>
          </w:p>
        </w:tc>
      </w:tr>
      <w:tr w:rsidR="0079556C" w:rsidRPr="00597AA3" w14:paraId="2FE60C01" w14:textId="77777777">
        <w:tc>
          <w:tcPr>
            <w:tcW w:w="1098" w:type="pct"/>
            <w:vAlign w:val="center"/>
          </w:tcPr>
          <w:p w14:paraId="2D46A52F" w14:textId="77777777" w:rsidR="0079556C" w:rsidRPr="00597AA3" w:rsidRDefault="0079556C" w:rsidP="004B083B">
            <w:pPr>
              <w:pStyle w:val="COMTabletext"/>
              <w:keepNext w:val="0"/>
            </w:pPr>
            <w:r w:rsidRPr="00597AA3">
              <w:t>Health related quality of life</w:t>
            </w:r>
          </w:p>
        </w:tc>
        <w:tc>
          <w:tcPr>
            <w:tcW w:w="3902" w:type="pct"/>
            <w:vAlign w:val="center"/>
          </w:tcPr>
          <w:p w14:paraId="0A3BB998" w14:textId="77777777" w:rsidR="0079556C" w:rsidRPr="00597AA3" w:rsidRDefault="0079556C" w:rsidP="004B083B">
            <w:pPr>
              <w:pStyle w:val="COMTabletext"/>
              <w:keepNext w:val="0"/>
              <w:spacing w:after="120"/>
            </w:pPr>
            <w:r w:rsidRPr="00597AA3">
              <w:t>No AA amyloidosis, no flare: Individual SF-12 physical and mental component scores among adults who achieved a complete response in the CLUSTER trial were mapped to an EQ 5D-3L utility using a published algorithm (Sullivan et al., 2006).</w:t>
            </w:r>
          </w:p>
          <w:p w14:paraId="304BB491" w14:textId="77777777" w:rsidR="0079556C" w:rsidRPr="00597AA3" w:rsidRDefault="0079556C" w:rsidP="004B083B">
            <w:pPr>
              <w:pStyle w:val="COMTabletext"/>
              <w:keepNext w:val="0"/>
              <w:spacing w:after="120"/>
            </w:pPr>
            <w:r w:rsidRPr="00597AA3">
              <w:t>No AA amyloidosis, flare: Mean SF-10 scores among paediatric patients and mean SF-12 scores among adult patients with colchicine-resistant FMF experiencing a disease flare reported by Kuemmerle-Deschner et al. (2020) were mapped to an EQ-5D-3L utility using a published algorithm (Sullivan et al., 2006).</w:t>
            </w:r>
          </w:p>
          <w:p w14:paraId="635AE8EE" w14:textId="77777777" w:rsidR="0079556C" w:rsidRPr="00597AA3" w:rsidRDefault="0079556C" w:rsidP="004B083B">
            <w:pPr>
              <w:pStyle w:val="COMTabletext"/>
              <w:keepNext w:val="0"/>
              <w:spacing w:after="120"/>
            </w:pPr>
            <w:r w:rsidRPr="00597AA3">
              <w:t>AA amyloidosis health state: Assumed to be the average of the utilities included for the no AA amyloidosis with flare and pre-dialysis health states.</w:t>
            </w:r>
          </w:p>
          <w:p w14:paraId="31A6CC87" w14:textId="77777777" w:rsidR="0079556C" w:rsidRPr="00597AA3" w:rsidRDefault="0079556C" w:rsidP="004B083B">
            <w:pPr>
              <w:pStyle w:val="COMTabletext"/>
              <w:keepNext w:val="0"/>
              <w:spacing w:after="120"/>
            </w:pPr>
            <w:r w:rsidRPr="00597AA3">
              <w:t>Pre-dialysis, dialysis and kidney transplant health states: Based on utilities among patients with IgA nephropathy derived in a study conducted by Zhou et al. (2024) using the time trade-off method.</w:t>
            </w:r>
          </w:p>
          <w:p w14:paraId="67011741" w14:textId="77777777" w:rsidR="0079556C" w:rsidRPr="00597AA3" w:rsidRDefault="0079556C" w:rsidP="004B083B">
            <w:pPr>
              <w:pStyle w:val="COMTabletext"/>
              <w:keepNext w:val="0"/>
              <w:spacing w:after="60"/>
            </w:pPr>
            <w:r w:rsidRPr="00597AA3">
              <w:t>Post kidney transplant health state: Based on estimated EQ-5D-3L utility among patients with a history of renal transplantation derived from a study conducted by Lee et al. (2005).</w:t>
            </w:r>
          </w:p>
        </w:tc>
      </w:tr>
      <w:tr w:rsidR="0079556C" w:rsidRPr="00597AA3" w14:paraId="65BF0E49" w14:textId="77777777">
        <w:tc>
          <w:tcPr>
            <w:tcW w:w="1098" w:type="pct"/>
            <w:vAlign w:val="center"/>
          </w:tcPr>
          <w:p w14:paraId="276751B7" w14:textId="77777777" w:rsidR="0079556C" w:rsidRPr="00597AA3" w:rsidRDefault="0079556C" w:rsidP="004B083B">
            <w:pPr>
              <w:pStyle w:val="COMTabletext"/>
              <w:keepNext w:val="0"/>
            </w:pPr>
            <w:r w:rsidRPr="00597AA3">
              <w:t>Costs</w:t>
            </w:r>
          </w:p>
        </w:tc>
        <w:tc>
          <w:tcPr>
            <w:tcW w:w="3902" w:type="pct"/>
            <w:vAlign w:val="center"/>
          </w:tcPr>
          <w:p w14:paraId="41B69AAB" w14:textId="77777777" w:rsidR="0079556C" w:rsidRPr="00597AA3" w:rsidRDefault="0079556C" w:rsidP="004B083B">
            <w:pPr>
              <w:pStyle w:val="COMTabletext"/>
              <w:keepNext w:val="0"/>
              <w:spacing w:after="120"/>
            </w:pPr>
            <w:r w:rsidRPr="00597AA3">
              <w:t>Canakinumab treatment cost: Based on the proposed effective DMPQ for canakinumab. Persistence estimated from treatment utilisation in Stages 3 and 4 of the CLUSTER trial. Adherence assumed to be 100%.</w:t>
            </w:r>
          </w:p>
          <w:p w14:paraId="15586D03" w14:textId="77777777" w:rsidR="0079556C" w:rsidRPr="00597AA3" w:rsidRDefault="0079556C" w:rsidP="004B083B">
            <w:pPr>
              <w:pStyle w:val="COMTabletext"/>
              <w:keepNext w:val="0"/>
              <w:spacing w:after="120"/>
            </w:pPr>
            <w:r w:rsidRPr="00597AA3">
              <w:t>BSC treatment cost: Assumed no cost associated with BSC.</w:t>
            </w:r>
          </w:p>
          <w:p w14:paraId="7C5ACC3A" w14:textId="77777777" w:rsidR="0079556C" w:rsidRPr="00597AA3" w:rsidRDefault="0079556C" w:rsidP="004B083B">
            <w:pPr>
              <w:pStyle w:val="COMTabletext"/>
              <w:keepNext w:val="0"/>
              <w:spacing w:after="120"/>
            </w:pPr>
            <w:r w:rsidRPr="00597AA3">
              <w:lastRenderedPageBreak/>
              <w:t>Flare cost: Based on specified AR-DRGs (inpatient hospitalisation), AECC codes (emergency department visits) and MBS items (specialist visit, UEC, FBC, ferritin level).</w:t>
            </w:r>
          </w:p>
          <w:p w14:paraId="4259B97E" w14:textId="77777777" w:rsidR="0079556C" w:rsidRPr="00597AA3" w:rsidRDefault="0079556C" w:rsidP="004B083B">
            <w:pPr>
              <w:pStyle w:val="COMTabletext"/>
              <w:keepNext w:val="0"/>
              <w:spacing w:after="120"/>
            </w:pPr>
            <w:r w:rsidRPr="00597AA3">
              <w:t>No AA amyloidosis health state: Based on specified MBS costs (specialist attendance, UEC, FBC, ferritin level).</w:t>
            </w:r>
          </w:p>
          <w:p w14:paraId="072DEA53" w14:textId="77777777" w:rsidR="0079556C" w:rsidRPr="00597AA3" w:rsidRDefault="0079556C" w:rsidP="004B083B">
            <w:pPr>
              <w:pStyle w:val="COMTabletext"/>
              <w:keepNext w:val="0"/>
              <w:spacing w:after="120"/>
            </w:pPr>
            <w:r w:rsidRPr="00597AA3">
              <w:t xml:space="preserve">AA amyloidosis health state: Based on specified AR-DRGs (inpatient hospitalisation), AECC codes (emergency department visits), MBS (renal biopsy, renal ultrasound, GP visits) and PBS items (telmisartan, frusemide, empagliflozin, fluvastatin, </w:t>
            </w:r>
            <w:proofErr w:type="spellStart"/>
            <w:r w:rsidRPr="00597AA3">
              <w:t>patiromer</w:t>
            </w:r>
            <w:proofErr w:type="spellEnd"/>
            <w:r w:rsidRPr="00597AA3">
              <w:t>).</w:t>
            </w:r>
          </w:p>
          <w:p w14:paraId="07831393" w14:textId="77777777" w:rsidR="0079556C" w:rsidRPr="00597AA3" w:rsidRDefault="0079556C" w:rsidP="004B083B">
            <w:pPr>
              <w:pStyle w:val="COMTabletext"/>
              <w:keepNext w:val="0"/>
              <w:spacing w:after="120"/>
            </w:pPr>
            <w:r w:rsidRPr="00597AA3">
              <w:t>Pre-dialysis health state: Based on specified AR-DRGs (inpatient hospitalisation), MBS (urine albumin/creatinine ratio, eGFR, UEC, HbA1c, fasting lipids, FBC, GP visits) and PBS items (</w:t>
            </w:r>
            <w:proofErr w:type="spellStart"/>
            <w:r w:rsidRPr="00597AA3">
              <w:t>difelikefalin</w:t>
            </w:r>
            <w:proofErr w:type="spellEnd"/>
            <w:r w:rsidRPr="00597AA3">
              <w:t>, epoetin alfa).</w:t>
            </w:r>
          </w:p>
          <w:p w14:paraId="4A92A254" w14:textId="77777777" w:rsidR="0079556C" w:rsidRPr="00597AA3" w:rsidRDefault="0079556C" w:rsidP="004B083B">
            <w:pPr>
              <w:pStyle w:val="COMTabletext"/>
              <w:keepNext w:val="0"/>
              <w:spacing w:after="120"/>
            </w:pPr>
            <w:r w:rsidRPr="00597AA3">
              <w:t>Dialysis health state: Based on specified AR-DRGs (inpatient hospitalisation), MBS (urine albumin/creatinine ratio, eGFR, UEC, HbA1c, fasting lipids, FBC, GP visits) and PBS items (</w:t>
            </w:r>
            <w:proofErr w:type="spellStart"/>
            <w:r w:rsidRPr="00597AA3">
              <w:t>difelikefalin</w:t>
            </w:r>
            <w:proofErr w:type="spellEnd"/>
            <w:r w:rsidRPr="00597AA3">
              <w:t>, epoetin alfa).</w:t>
            </w:r>
          </w:p>
          <w:p w14:paraId="766A45A2" w14:textId="77777777" w:rsidR="0079556C" w:rsidRPr="00597AA3" w:rsidRDefault="0079556C" w:rsidP="004B083B">
            <w:pPr>
              <w:pStyle w:val="COMTabletext"/>
              <w:keepNext w:val="0"/>
              <w:spacing w:after="120"/>
            </w:pPr>
            <w:r w:rsidRPr="00597AA3">
              <w:t>Kidney transplant health state: Based on specified AR-DRGs (inpatient hospitalisation) and MBS costs (urine albumin/creatinine ratio, eGFR, UEC, HbA1c, fasting lipids, FBC, GP visits).</w:t>
            </w:r>
          </w:p>
          <w:p w14:paraId="65FE3EE0" w14:textId="77777777" w:rsidR="0079556C" w:rsidRPr="00597AA3" w:rsidRDefault="0079556C" w:rsidP="004B083B">
            <w:pPr>
              <w:pStyle w:val="COMTabletext"/>
              <w:keepNext w:val="0"/>
            </w:pPr>
            <w:r w:rsidRPr="00597AA3">
              <w:t>Post kidney transplant health state: Based on specified AR-DRGs (inpatient hospitalisation) and MBS costs (urine albumin/creatinine ratio, eGFR, UEC, HbA1c, fasting lipids, FBC, GP visits).</w:t>
            </w:r>
          </w:p>
        </w:tc>
      </w:tr>
    </w:tbl>
    <w:p w14:paraId="6D93EA79" w14:textId="77777777" w:rsidR="0079556C" w:rsidRPr="00597AA3" w:rsidRDefault="0079556C" w:rsidP="004B083B">
      <w:pPr>
        <w:pStyle w:val="COMTablefooter"/>
      </w:pPr>
      <w:r w:rsidRPr="00597AA3">
        <w:lastRenderedPageBreak/>
        <w:t>Source: Constructed during the evaluation with reference to the Section 3 economic model Excel workbook.</w:t>
      </w:r>
    </w:p>
    <w:p w14:paraId="5E9709A2" w14:textId="77777777" w:rsidR="0079556C" w:rsidRPr="00597AA3" w:rsidRDefault="0079556C" w:rsidP="004B083B">
      <w:pPr>
        <w:pStyle w:val="COMTablefooter"/>
      </w:pPr>
      <w:r w:rsidRPr="00597AA3">
        <w:t>Abbreviations: AA, amyloid A; AECC, Australian Emergency Care Classification; AR-DRG, Australian Refined Diagnosis Related Groups; BSC, best supportive care; DPMQ, dispensed price for maximum quantity; eGFR, estimated glomerular filtration rate; FBC, full blood count; FMF, familial Mediterranean fever; GP, general practitioner; HbA1c, glycosylated haemoglobin; IgA, immunoglobulin A; MBS, Medicare Benefits Schedule; SF-10, Short Form-10 Health Survey; SF-12, Short Form-12 Health Survey; UEC, urea electrolytes creatinine.</w:t>
      </w:r>
    </w:p>
    <w:p w14:paraId="6359786C" w14:textId="764BB687" w:rsidR="0079556C" w:rsidRPr="00597AA3" w:rsidRDefault="0079556C" w:rsidP="004B083B">
      <w:pPr>
        <w:pStyle w:val="COMESnumberedpara"/>
        <w:spacing w:before="160"/>
      </w:pPr>
      <w:r w:rsidRPr="00597AA3">
        <w:t xml:space="preserve">The economic model was a Monte Carlo microsimulation constructed in Microsoft Excel. Each cycle, two random numbers between 0 and 1 were generated using the Excel </w:t>
      </w:r>
      <w:proofErr w:type="gramStart"/>
      <w:r w:rsidRPr="00597AA3">
        <w:t>rand(</w:t>
      </w:r>
      <w:proofErr w:type="gramEnd"/>
      <w:r w:rsidRPr="00597AA3">
        <w:t xml:space="preserve">) function. Events and/or health state transitions each cycle were assumed to occur if the predefined weekly probability of the event/transition was lower than the random number. Use of the same random number for multiple possible events each cycle resulted in correlation of some events/transitions </w:t>
      </w:r>
      <w:proofErr w:type="gramStart"/>
      <w:r w:rsidRPr="00597AA3">
        <w:t>in a given</w:t>
      </w:r>
      <w:proofErr w:type="gramEnd"/>
      <w:r w:rsidRPr="00597AA3">
        <w:t xml:space="preserve"> cycle, as the probability for multiple events and/or transitions may have been lower than the random number generated </w:t>
      </w:r>
      <w:proofErr w:type="gramStart"/>
      <w:r w:rsidRPr="00597AA3">
        <w:t>in a given</w:t>
      </w:r>
      <w:proofErr w:type="gramEnd"/>
      <w:r w:rsidRPr="00597AA3">
        <w:t xml:space="preserve"> cycle. For example, patients in the BSC arm who develop AA amyloidosis due to chronic inflammation almost invariably moved into the pre-dialysis health state in the same cycle, as the probability for pre-dialysis was typically higher than the probability of developing AA amyloidosis (and the model did not preclude patients from moving to pre-dialysis in the same cycle that AA amyloidosis occurred).</w:t>
      </w:r>
    </w:p>
    <w:p w14:paraId="7A6DA8A3" w14:textId="30E4C0D0" w:rsidR="0079556C" w:rsidRDefault="0079556C" w:rsidP="004B083B">
      <w:pPr>
        <w:pStyle w:val="COMESnumberedpara"/>
        <w:spacing w:before="160"/>
      </w:pPr>
      <w:r w:rsidRPr="00597AA3">
        <w:t xml:space="preserve">Individual patient characteristics (sex, age, weight, baseline flares) were simulated for patients by randomly drawing values from distributions fitted to the baseline characteristics of paediatric patients in the CLUSTER trial. The patient distributions were informed by sparse data, with only 29 patients included in the paediatric cohort. </w:t>
      </w:r>
    </w:p>
    <w:p w14:paraId="792FABC8" w14:textId="2D57D5D4" w:rsidR="009E75CB" w:rsidRPr="009B71C4" w:rsidRDefault="009E75CB" w:rsidP="004B083B">
      <w:pPr>
        <w:pStyle w:val="COMESnumberedpara"/>
        <w:spacing w:before="160"/>
      </w:pPr>
      <w:bookmarkStart w:id="47" w:name="_Ref222755844"/>
      <w:r>
        <w:t xml:space="preserve">The submission stated that a </w:t>
      </w:r>
      <w:r w:rsidRPr="00CD239D">
        <w:t xml:space="preserve">microsimulation </w:t>
      </w:r>
      <w:r>
        <w:t xml:space="preserve">Monte Carlo </w:t>
      </w:r>
      <w:r w:rsidRPr="00CD239D">
        <w:t>mode</w:t>
      </w:r>
      <w:r w:rsidR="00781DAB">
        <w:t>l</w:t>
      </w:r>
      <w:r>
        <w:t xml:space="preserve"> wa</w:t>
      </w:r>
      <w:r w:rsidRPr="00CD239D">
        <w:t xml:space="preserve">s </w:t>
      </w:r>
      <w:r>
        <w:t xml:space="preserve">used </w:t>
      </w:r>
      <w:r w:rsidRPr="00CD239D">
        <w:t xml:space="preserve">given the heterogeneity observed in </w:t>
      </w:r>
      <w:r>
        <w:t xml:space="preserve">the </w:t>
      </w:r>
      <w:r w:rsidRPr="00CD239D">
        <w:t xml:space="preserve">CLUSTER </w:t>
      </w:r>
      <w:r>
        <w:t>trial</w:t>
      </w:r>
      <w:r w:rsidR="001F580E">
        <w:t xml:space="preserve">, </w:t>
      </w:r>
      <w:r w:rsidRPr="00CD239D">
        <w:t xml:space="preserve">for </w:t>
      </w:r>
      <w:r>
        <w:t>essential patient and treatment characteristics which affect the rate of disease progression, and which prevent an ‘average’ patient from being modelled via a standard cohort approach</w:t>
      </w:r>
      <w:r w:rsidR="001F580E">
        <w:t xml:space="preserve">. </w:t>
      </w:r>
      <w:r w:rsidR="00AB0FF2" w:rsidRPr="009B71C4">
        <w:t xml:space="preserve">The ESC noted </w:t>
      </w:r>
      <w:r w:rsidR="00AB0FF2" w:rsidRPr="009B71C4">
        <w:lastRenderedPageBreak/>
        <w:t xml:space="preserve">the submission’s argument that the </w:t>
      </w:r>
      <w:r w:rsidR="00005011" w:rsidRPr="009B71C4">
        <w:t xml:space="preserve">model approach was intended to capture patient </w:t>
      </w:r>
      <w:proofErr w:type="gramStart"/>
      <w:r w:rsidR="00005011" w:rsidRPr="009B71C4">
        <w:t>characteristics, but</w:t>
      </w:r>
      <w:proofErr w:type="gramEnd"/>
      <w:r w:rsidR="00005011" w:rsidRPr="009B71C4">
        <w:t xml:space="preserve"> considered that </w:t>
      </w:r>
      <w:r w:rsidR="006742A5" w:rsidRPr="009B71C4">
        <w:t xml:space="preserve">it was not justified </w:t>
      </w:r>
      <w:r w:rsidR="001E679E" w:rsidRPr="009B71C4">
        <w:t>in the context of</w:t>
      </w:r>
      <w:r w:rsidR="00923A9A" w:rsidRPr="009B71C4">
        <w:t xml:space="preserve"> being</w:t>
      </w:r>
      <w:r w:rsidR="006742A5" w:rsidRPr="009B71C4">
        <w:t xml:space="preserve"> </w:t>
      </w:r>
      <w:r w:rsidR="00260198" w:rsidRPr="009B71C4">
        <w:t xml:space="preserve">informed by sparse data </w:t>
      </w:r>
      <w:r w:rsidR="00331573" w:rsidRPr="009B71C4">
        <w:t>from</w:t>
      </w:r>
      <w:r w:rsidR="006742A5" w:rsidRPr="009B71C4">
        <w:t xml:space="preserve"> only 29 paediatric patients.</w:t>
      </w:r>
      <w:r w:rsidR="00F20C8C" w:rsidRPr="009B71C4">
        <w:t xml:space="preserve"> The ESC considered that </w:t>
      </w:r>
      <w:r w:rsidR="00CF5C62" w:rsidRPr="009B71C4">
        <w:t xml:space="preserve">a Markov Cohort model would have been </w:t>
      </w:r>
      <w:r w:rsidR="00BC7532" w:rsidRPr="009B71C4">
        <w:t xml:space="preserve">a </w:t>
      </w:r>
      <w:r w:rsidR="00CF5C62" w:rsidRPr="009B71C4">
        <w:t>preferable</w:t>
      </w:r>
      <w:r w:rsidR="00BC7532" w:rsidRPr="009B71C4">
        <w:t xml:space="preserve"> approach.</w:t>
      </w:r>
      <w:bookmarkEnd w:id="47"/>
      <w:r w:rsidR="00036746">
        <w:t xml:space="preserve"> </w:t>
      </w:r>
      <w:r w:rsidR="000F1A47" w:rsidRPr="000F1A47">
        <w:t>Th</w:t>
      </w:r>
      <w:r w:rsidR="00C83B87">
        <w:t xml:space="preserve">e </w:t>
      </w:r>
      <w:r w:rsidR="00011537">
        <w:t xml:space="preserve">Pre-PBAC </w:t>
      </w:r>
      <w:r w:rsidR="00C83B87">
        <w:t xml:space="preserve">Response </w:t>
      </w:r>
      <w:r w:rsidR="00011537">
        <w:t>re</w:t>
      </w:r>
      <w:r w:rsidR="00C83B87">
        <w:t xml:space="preserve">asserted that </w:t>
      </w:r>
      <w:r w:rsidR="00011537">
        <w:t xml:space="preserve">use of a </w:t>
      </w:r>
      <w:r w:rsidR="00A62647">
        <w:t>Monte Carlo model</w:t>
      </w:r>
      <w:r w:rsidR="000F1A47" w:rsidRPr="000F1A47">
        <w:t xml:space="preserve"> is consistent with the PBAC Guidelines (v5.0), which recognise microsimulation as appropriate when patient-level heterogeneity materially affects outcomes. </w:t>
      </w:r>
      <w:r w:rsidR="000312D9">
        <w:t xml:space="preserve">The Response stated that </w:t>
      </w:r>
      <w:r w:rsidR="00A122D6" w:rsidRPr="00A122D6">
        <w:t>patients experience flare-driven treatment changes</w:t>
      </w:r>
      <w:r w:rsidR="000312D9">
        <w:t xml:space="preserve"> and that e</w:t>
      </w:r>
      <w:r w:rsidR="00A122D6" w:rsidRPr="00A122D6">
        <w:t xml:space="preserve">ach patient's unique flare risk creates a distinct treatment trajectory. </w:t>
      </w:r>
      <w:r w:rsidR="001078B6">
        <w:t>The Response</w:t>
      </w:r>
      <w:r w:rsidR="00DE74AD">
        <w:t xml:space="preserve"> stated that</w:t>
      </w:r>
      <w:r w:rsidR="00EC2E6A">
        <w:t xml:space="preserve"> the model includes several conservative assumptions</w:t>
      </w:r>
      <w:r w:rsidR="00C71BFE">
        <w:t xml:space="preserve"> and </w:t>
      </w:r>
      <w:r w:rsidR="00532EFD">
        <w:t>t</w:t>
      </w:r>
      <w:r w:rsidR="000F1A47" w:rsidRPr="000F1A47">
        <w:t>h</w:t>
      </w:r>
      <w:r w:rsidR="002064CB">
        <w:t>at th</w:t>
      </w:r>
      <w:r w:rsidR="000F1A47" w:rsidRPr="000F1A47">
        <w:t>e</w:t>
      </w:r>
      <w:r w:rsidR="00C74442">
        <w:t>re is less than 10%</w:t>
      </w:r>
      <w:r w:rsidR="000F1A47" w:rsidRPr="000F1A47">
        <w:t xml:space="preserve"> variability</w:t>
      </w:r>
      <w:r w:rsidR="004040D5">
        <w:t xml:space="preserve">, which </w:t>
      </w:r>
      <w:r w:rsidR="005A65FD">
        <w:t>demonstrates real-world heterogeneity and not model instability</w:t>
      </w:r>
      <w:r w:rsidR="000F1A47" w:rsidRPr="000F1A47">
        <w:t>.</w:t>
      </w:r>
      <w:r w:rsidR="00C71BFE">
        <w:t xml:space="preserve"> The Response </w:t>
      </w:r>
      <w:r w:rsidR="00541D47" w:rsidRPr="00541D47">
        <w:t xml:space="preserve">maintained the economic evaluation is fit for decision making </w:t>
      </w:r>
      <w:r w:rsidR="00541D47">
        <w:t xml:space="preserve">and </w:t>
      </w:r>
      <w:r w:rsidR="00C71BFE">
        <w:t xml:space="preserve">stated that </w:t>
      </w:r>
      <w:r w:rsidR="00541D47">
        <w:t>would not be</w:t>
      </w:r>
      <w:r w:rsidR="000F1A47" w:rsidRPr="000F1A47">
        <w:t xml:space="preserve"> possible to address remaining uncertainties in a revised economic model</w:t>
      </w:r>
      <w:r w:rsidR="005632A3">
        <w:t xml:space="preserve">. </w:t>
      </w:r>
    </w:p>
    <w:p w14:paraId="5BEB7A83" w14:textId="2F4E7B21" w:rsidR="0079556C" w:rsidRPr="00260D02" w:rsidRDefault="0079556C" w:rsidP="004B083B">
      <w:pPr>
        <w:pStyle w:val="COMESnumberedpara"/>
        <w:spacing w:before="160"/>
        <w:rPr>
          <w:i/>
        </w:rPr>
      </w:pPr>
      <w:r w:rsidRPr="00597AA3">
        <w:t xml:space="preserve">In the absence </w:t>
      </w:r>
      <w:r w:rsidR="003310B6" w:rsidRPr="00597AA3">
        <w:t xml:space="preserve">of </w:t>
      </w:r>
      <w:r w:rsidRPr="00597AA3">
        <w:t xml:space="preserve">data on flare outcomes among patients in the BSC arm (due to high </w:t>
      </w:r>
      <w:r w:rsidR="00BD362F" w:rsidRPr="00597AA3">
        <w:t xml:space="preserve">numbers </w:t>
      </w:r>
      <w:r w:rsidRPr="00597AA3">
        <w:t xml:space="preserve">of </w:t>
      </w:r>
      <w:r w:rsidR="00BD362F" w:rsidRPr="00597AA3">
        <w:t xml:space="preserve">patients </w:t>
      </w:r>
      <w:r w:rsidRPr="00597AA3">
        <w:t>cross</w:t>
      </w:r>
      <w:r w:rsidR="00BD362F" w:rsidRPr="00597AA3">
        <w:t xml:space="preserve">ing </w:t>
      </w:r>
      <w:r w:rsidRPr="00597AA3">
        <w:t xml:space="preserve">over to receive canakinumab treatment in the CLUSTER trial), </w:t>
      </w:r>
      <w:r w:rsidR="00B72E37" w:rsidRPr="00597AA3">
        <w:t xml:space="preserve">the </w:t>
      </w:r>
      <w:r w:rsidR="00BD362F" w:rsidRPr="00597AA3">
        <w:t>flare rate</w:t>
      </w:r>
      <w:r w:rsidR="00B72E37" w:rsidRPr="00597AA3">
        <w:t xml:space="preserve"> </w:t>
      </w:r>
      <w:r w:rsidRPr="00597AA3">
        <w:t xml:space="preserve">among patients in the BSC arm </w:t>
      </w:r>
      <w:r w:rsidR="00BD362F" w:rsidRPr="00597AA3">
        <w:t xml:space="preserve">was </w:t>
      </w:r>
      <w:r w:rsidRPr="00597AA3">
        <w:t>assumed to be the same as at baseline</w:t>
      </w:r>
      <w:r w:rsidR="005E62B2" w:rsidRPr="00597AA3">
        <w:t xml:space="preserve"> (mean of 22.4 flares per year)</w:t>
      </w:r>
      <w:r w:rsidRPr="00597AA3">
        <w:t xml:space="preserve">. It is unclear whether the baseline flare rates among patients who participated in the trial will reflect the baseline flares rate among patients in the proposed PBS population. There were limited details provided on how baseline flare activity, which was collected as part of the baseline demographic and disease characteristics, was defined. </w:t>
      </w:r>
    </w:p>
    <w:p w14:paraId="67AC03AA" w14:textId="0764C253" w:rsidR="00594B97" w:rsidRPr="00594B97" w:rsidRDefault="0079556C" w:rsidP="004B083B">
      <w:pPr>
        <w:pStyle w:val="COMESnumberedpara"/>
        <w:rPr>
          <w:i/>
          <w:iCs/>
        </w:rPr>
      </w:pPr>
      <w:r w:rsidRPr="00597AA3">
        <w:t xml:space="preserve">The submission assumed that </w:t>
      </w:r>
      <w:r w:rsidR="007D73D3">
        <w:t>a reduction</w:t>
      </w:r>
      <w:r w:rsidR="007D73D3" w:rsidRPr="00597AA3">
        <w:t xml:space="preserve"> </w:t>
      </w:r>
      <w:r w:rsidRPr="00597AA3">
        <w:t xml:space="preserve">in the number of flares associated with canakinumab treatment would be associated with a reduction in the </w:t>
      </w:r>
      <w:r w:rsidR="005E62B2" w:rsidRPr="00597AA3">
        <w:t xml:space="preserve">risk of </w:t>
      </w:r>
      <w:r w:rsidRPr="00597AA3">
        <w:t>develop</w:t>
      </w:r>
      <w:r w:rsidR="005E62B2" w:rsidRPr="00597AA3">
        <w:t xml:space="preserve">ing </w:t>
      </w:r>
      <w:r w:rsidRPr="00597AA3">
        <w:t>AA amyloidosis and the subsequent development of end-stage renal disease</w:t>
      </w:r>
      <w:r w:rsidR="000E4550">
        <w:t>.</w:t>
      </w:r>
      <w:r w:rsidR="005E62B2" w:rsidRPr="00597AA3">
        <w:t xml:space="preserve"> </w:t>
      </w:r>
    </w:p>
    <w:p w14:paraId="2B726C27" w14:textId="417E5EDF" w:rsidR="003C545E" w:rsidRPr="00597AA3" w:rsidRDefault="003C545E" w:rsidP="004B083B">
      <w:pPr>
        <w:pStyle w:val="COMESnumberedpara"/>
        <w:spacing w:before="160"/>
      </w:pPr>
      <w:r w:rsidRPr="00597AA3">
        <w:t xml:space="preserve">In the economic model, </w:t>
      </w:r>
      <w:r w:rsidR="00B72E37" w:rsidRPr="00597AA3">
        <w:t>the rate of AA amyloidosis development among patients</w:t>
      </w:r>
      <w:r w:rsidRPr="00597AA3">
        <w:t xml:space="preserve"> with and without chronic inflammation were </w:t>
      </w:r>
      <w:r w:rsidR="00B72E37" w:rsidRPr="00597AA3">
        <w:t xml:space="preserve">derived from </w:t>
      </w:r>
      <w:r w:rsidRPr="00597AA3">
        <w:t xml:space="preserve">Varan et al. (2019). Varan et al. conducted a retrospective study of medical records for a cohort of patients with FMF treated at a tertiary hospital in Türkiye. Patients were included in the study if they had a confirmed diagnosis of FMF (based on Tel </w:t>
      </w:r>
      <w:proofErr w:type="spellStart"/>
      <w:r w:rsidRPr="00597AA3">
        <w:t>Hashomer</w:t>
      </w:r>
      <w:proofErr w:type="spellEnd"/>
      <w:r w:rsidRPr="00597AA3">
        <w:t xml:space="preserve"> criteria) and had regular follow-up (defined as the presence of at least three clinical visits per year) for ≥5 years. Among 146 patients with no diagnosis of amyloidosis at baseline (mean age 37.5 years; 69.2% female), 37 (25.3%) had evidence of chronic inflammation (defined as persistent elevation of C-reactive protein levels during attack-free periods above the upper limit of normal, which was evident at all consecutive visits by an individual patient). Amyloidosis was diagnosed in 5 patients during the 5-year follow-up period, including 4/37 patients (10.8%) with evidence of chronic inflammation and 1/109 patients (0.9%) without evidence of chronic inflammation.</w:t>
      </w:r>
    </w:p>
    <w:p w14:paraId="7F425BDC" w14:textId="37A4375E" w:rsidR="00B72E37" w:rsidRPr="00597AA3" w:rsidRDefault="005E62B2" w:rsidP="004B083B">
      <w:pPr>
        <w:pStyle w:val="COMESnumberedpara"/>
        <w:spacing w:before="160"/>
      </w:pPr>
      <w:bookmarkStart w:id="48" w:name="_Ref222741440"/>
      <w:r w:rsidRPr="00597AA3">
        <w:t>While there appears to be a relationship between inflammation associated with FMF and the development of AA amyloidosis/renal impairment,</w:t>
      </w:r>
      <w:r w:rsidR="00B72E37" w:rsidRPr="00597AA3">
        <w:t xml:space="preserve"> it is unclear whether the economic model adequately reflects the natural history of AA amyloidosis development among patients with FMF.</w:t>
      </w:r>
      <w:bookmarkEnd w:id="48"/>
      <w:r w:rsidRPr="00597AA3">
        <w:t xml:space="preserve"> </w:t>
      </w:r>
    </w:p>
    <w:p w14:paraId="25E56E70" w14:textId="62C137E5" w:rsidR="005E62B2" w:rsidRPr="00597AA3" w:rsidRDefault="00B72E37" w:rsidP="004B083B">
      <w:pPr>
        <w:pStyle w:val="COMESnumberedpara"/>
        <w:spacing w:before="160"/>
      </w:pPr>
      <w:bookmarkStart w:id="49" w:name="_Ref222755853"/>
      <w:r w:rsidRPr="00597AA3">
        <w:lastRenderedPageBreak/>
        <w:t>The</w:t>
      </w:r>
      <w:r w:rsidR="005E62B2" w:rsidRPr="00597AA3">
        <w:t xml:space="preserve"> following </w:t>
      </w:r>
      <w:r w:rsidRPr="00597AA3">
        <w:t xml:space="preserve">additional </w:t>
      </w:r>
      <w:r w:rsidR="005E62B2" w:rsidRPr="00597AA3">
        <w:t>issues were noted during the evaluation:</w:t>
      </w:r>
      <w:bookmarkEnd w:id="49"/>
    </w:p>
    <w:p w14:paraId="187B421C" w14:textId="3C94A9BD" w:rsidR="003C545E" w:rsidRPr="00597AA3" w:rsidRDefault="003C545E" w:rsidP="004B083B">
      <w:pPr>
        <w:pStyle w:val="COMESbulletlist"/>
        <w:spacing w:before="160"/>
        <w:rPr>
          <w:i w:val="0"/>
          <w:iCs w:val="0"/>
        </w:rPr>
      </w:pPr>
      <w:r w:rsidRPr="00597AA3">
        <w:rPr>
          <w:i w:val="0"/>
          <w:iCs w:val="0"/>
        </w:rPr>
        <w:t>The mean age of patients included in the Varan et al. (2019) study</w:t>
      </w:r>
      <w:r w:rsidR="00B72E37" w:rsidRPr="00597AA3">
        <w:rPr>
          <w:i w:val="0"/>
          <w:iCs w:val="0"/>
        </w:rPr>
        <w:t xml:space="preserve"> </w:t>
      </w:r>
      <w:r w:rsidRPr="00597AA3">
        <w:rPr>
          <w:i w:val="0"/>
          <w:iCs w:val="0"/>
        </w:rPr>
        <w:t xml:space="preserve">was 37.5 years (age range: 21 to 65 years). The results of the study may not be applicable to the proposed PBS population (paediatric patients). </w:t>
      </w:r>
      <w:r w:rsidR="0081034A" w:rsidRPr="002C4833">
        <w:rPr>
          <w:i w:val="0"/>
          <w:iCs w:val="0"/>
        </w:rPr>
        <w:t>The rate of amyloidosis development among paediatric patients is likely to be lower than for adult patients.</w:t>
      </w:r>
    </w:p>
    <w:p w14:paraId="50B5EFBC" w14:textId="77777777" w:rsidR="003C545E" w:rsidRDefault="003C545E" w:rsidP="004B083B">
      <w:pPr>
        <w:pStyle w:val="COMESbulletlist"/>
        <w:spacing w:before="160"/>
        <w:rPr>
          <w:i w:val="0"/>
          <w:iCs w:val="0"/>
        </w:rPr>
      </w:pPr>
      <w:r w:rsidRPr="00597AA3">
        <w:rPr>
          <w:i w:val="0"/>
          <w:iCs w:val="0"/>
        </w:rPr>
        <w:t>The submission assumed that a threshold of &gt;3.25 flares per year was required for the development of AA amyloidosis. However, there was a lack of available evidence to enable the relationship between the number of flares per year and the time to development of AA amyloidosis to be characterised.</w:t>
      </w:r>
    </w:p>
    <w:p w14:paraId="15B3DA38" w14:textId="60E2DFFE" w:rsidR="00B773DB" w:rsidRPr="00A57197" w:rsidRDefault="00A57197" w:rsidP="004B083B">
      <w:pPr>
        <w:pStyle w:val="COMESbulletlist"/>
        <w:spacing w:before="160"/>
        <w:rPr>
          <w:i w:val="0"/>
          <w:iCs w:val="0"/>
        </w:rPr>
      </w:pPr>
      <w:r w:rsidRPr="00A57197">
        <w:rPr>
          <w:i w:val="0"/>
          <w:iCs w:val="0"/>
        </w:rPr>
        <w:t>A</w:t>
      </w:r>
      <w:r w:rsidR="00B773DB" w:rsidRPr="00A57197">
        <w:rPr>
          <w:i w:val="0"/>
          <w:iCs w:val="0"/>
        </w:rPr>
        <w:t>myloidosis could develop in any cycle of the model (i.e., if the random number was higher than the pre-defined probability of developing AA amyloidosis), whereas in clinical practice, damage due to AA amyloidosis would accumulate over time and be diagnosed later in the disease course.</w:t>
      </w:r>
    </w:p>
    <w:p w14:paraId="6DCA7874" w14:textId="77777777" w:rsidR="005E62B2" w:rsidRPr="00597AA3" w:rsidRDefault="005E62B2" w:rsidP="004B083B">
      <w:pPr>
        <w:pStyle w:val="COMESbulletlist"/>
        <w:spacing w:before="160"/>
        <w:rPr>
          <w:i w:val="0"/>
          <w:iCs w:val="0"/>
        </w:rPr>
      </w:pPr>
      <w:r w:rsidRPr="00597AA3">
        <w:rPr>
          <w:i w:val="0"/>
          <w:iCs w:val="0"/>
        </w:rPr>
        <w:t xml:space="preserve">The degree to which colchicine (used by </w:t>
      </w:r>
      <w:proofErr w:type="gramStart"/>
      <w:r w:rsidRPr="00597AA3">
        <w:rPr>
          <w:i w:val="0"/>
          <w:iCs w:val="0"/>
        </w:rPr>
        <w:t>the majority of</w:t>
      </w:r>
      <w:proofErr w:type="gramEnd"/>
      <w:r w:rsidRPr="00597AA3">
        <w:rPr>
          <w:i w:val="0"/>
          <w:iCs w:val="0"/>
        </w:rPr>
        <w:t xml:space="preserve"> patients in the CLUSTER trial and in the proposed PBS population) mitigates the development of AA amyloidosis and associated renal complications is unclear. </w:t>
      </w:r>
    </w:p>
    <w:p w14:paraId="73C7D2D2" w14:textId="05A1B57F" w:rsidR="0079556C" w:rsidRPr="00597AA3" w:rsidRDefault="005E62B2" w:rsidP="004B083B">
      <w:pPr>
        <w:pStyle w:val="COMESbulletlist"/>
        <w:spacing w:before="160"/>
        <w:rPr>
          <w:i w:val="0"/>
          <w:iCs w:val="0"/>
        </w:rPr>
      </w:pPr>
      <w:r w:rsidRPr="00597AA3">
        <w:rPr>
          <w:i w:val="0"/>
          <w:iCs w:val="0"/>
        </w:rPr>
        <w:t xml:space="preserve">The probability of transitioning from the AA amyloidosis to the pre-dialysis/dialysis health state was estimated based on the proportion of patients with AA amyloidosis progressing to dialysis in a study conducted by </w:t>
      </w:r>
      <w:proofErr w:type="spellStart"/>
      <w:r w:rsidRPr="00597AA3">
        <w:rPr>
          <w:i w:val="0"/>
          <w:iCs w:val="0"/>
        </w:rPr>
        <w:t>Ahbap</w:t>
      </w:r>
      <w:proofErr w:type="spellEnd"/>
      <w:r w:rsidRPr="00597AA3">
        <w:rPr>
          <w:i w:val="0"/>
          <w:iCs w:val="0"/>
        </w:rPr>
        <w:t xml:space="preserve"> et al. (2014). The </w:t>
      </w:r>
      <w:proofErr w:type="spellStart"/>
      <w:r w:rsidRPr="00597AA3">
        <w:rPr>
          <w:i w:val="0"/>
          <w:iCs w:val="0"/>
        </w:rPr>
        <w:t>Ahbap</w:t>
      </w:r>
      <w:proofErr w:type="spellEnd"/>
      <w:r w:rsidRPr="00597AA3">
        <w:rPr>
          <w:i w:val="0"/>
          <w:iCs w:val="0"/>
        </w:rPr>
        <w:t xml:space="preserve"> et al. estimate lacked applicability to the proposed PBS population, as the population included in the study consisted of adult patients and the study was not limited to patients with AA amyloidosi</w:t>
      </w:r>
      <w:r w:rsidR="0079556C" w:rsidRPr="00597AA3">
        <w:rPr>
          <w:i w:val="0"/>
          <w:iCs w:val="0"/>
        </w:rPr>
        <w:t>s</w:t>
      </w:r>
      <w:r w:rsidR="00B72E37" w:rsidRPr="00597AA3">
        <w:rPr>
          <w:i w:val="0"/>
          <w:iCs w:val="0"/>
        </w:rPr>
        <w:t xml:space="preserve"> associated with FMF</w:t>
      </w:r>
      <w:r w:rsidR="0079556C" w:rsidRPr="00597AA3">
        <w:rPr>
          <w:i w:val="0"/>
          <w:iCs w:val="0"/>
        </w:rPr>
        <w:t>.</w:t>
      </w:r>
    </w:p>
    <w:p w14:paraId="7573FC6A" w14:textId="07CABAAE" w:rsidR="007C753D" w:rsidRPr="009B71C4" w:rsidRDefault="007C753D" w:rsidP="004B083B">
      <w:pPr>
        <w:pStyle w:val="COMESnumberedpara"/>
        <w:spacing w:before="160"/>
      </w:pPr>
      <w:bookmarkStart w:id="50" w:name="_Ref222741441"/>
      <w:r w:rsidRPr="009B71C4">
        <w:t xml:space="preserve">Overall, the ESC considered that the assumption that reduced flares would lead to a reduction in the risk of AA amyloidosis and development of end-stage renal disease was clinically reasonable, however quantifying the </w:t>
      </w:r>
      <w:r w:rsidR="003F6197" w:rsidRPr="009B71C4">
        <w:t xml:space="preserve">magnitude of </w:t>
      </w:r>
      <w:r w:rsidRPr="009B71C4">
        <w:t xml:space="preserve">changes in long term outcomes was </w:t>
      </w:r>
      <w:r w:rsidR="003F6197" w:rsidRPr="009B71C4">
        <w:t>highly uncertain</w:t>
      </w:r>
      <w:r w:rsidRPr="009B71C4">
        <w:t>.</w:t>
      </w:r>
      <w:bookmarkEnd w:id="50"/>
    </w:p>
    <w:p w14:paraId="53EFBD52" w14:textId="4AA6A0CF" w:rsidR="0079556C" w:rsidRPr="009B71C4" w:rsidRDefault="0079556C" w:rsidP="004B083B">
      <w:pPr>
        <w:pStyle w:val="COMESnumberedpara"/>
        <w:spacing w:before="160"/>
      </w:pPr>
      <w:r w:rsidRPr="009B71C4">
        <w:t>The health state utility for patients in the no AA amyloidosis health state was derived from an analysis of SF-12 data from the CLUSTER trial. Physical component and mental component scores among adult patients who achieved a complete response in Stage 2 of the trial were mapped to an EQ-5D-3L utility using a mapping algorithm published by Sullivan et al. (2006). The applicability of the adult quality of life data to the proposed paediatric population is unclear.</w:t>
      </w:r>
    </w:p>
    <w:p w14:paraId="2F3ED685" w14:textId="6B48E041" w:rsidR="0079556C" w:rsidRPr="009B71C4" w:rsidRDefault="0079556C" w:rsidP="004B083B">
      <w:pPr>
        <w:pStyle w:val="COMESnumberedpara"/>
        <w:spacing w:before="160"/>
      </w:pPr>
      <w:bookmarkStart w:id="51" w:name="_Ref222755856"/>
      <w:r w:rsidRPr="009B71C4">
        <w:t xml:space="preserve">Utilities for paediatric patients with no AA amyloidosis experiencing a disease flare were based on SF-10 physical and mental component scores for ‘on-flare’ reported by Kuemmerle-Deschner et al., mapped to an EQ-5D-3L utility using the algorithm published by Sullivan et al. (2006). </w:t>
      </w:r>
      <w:r w:rsidR="00144248" w:rsidRPr="009B71C4">
        <w:rPr>
          <w:rFonts w:cstheme="minorHAnsi"/>
        </w:rPr>
        <w:t xml:space="preserve">The ESC considered that it was incorrect </w:t>
      </w:r>
      <w:r w:rsidRPr="009B71C4">
        <w:t xml:space="preserve">to map paediatric SF-10 results to an EQ-5D-3L utility using the Sullivan et al. algorithm, as the algorithm is for use with SF-12 data only, and SF-10 represents a different quality of </w:t>
      </w:r>
      <w:r w:rsidRPr="009B71C4">
        <w:lastRenderedPageBreak/>
        <w:t xml:space="preserve">life instrument with a different scoring methodology. There was a large difference between the utility obtained by mapping the SF-10 data (0.590; based on paediatric data) and the utility obtained by mapping SF-12 data reported by Kuemmerle-Deschner et al. (0.730; based on adult data) using the Sullivan et al. algorithm. </w:t>
      </w:r>
      <w:r w:rsidR="007C2E55" w:rsidRPr="009B71C4">
        <w:t xml:space="preserve">The PSCR </w:t>
      </w:r>
      <w:r w:rsidR="00B139E1" w:rsidRPr="009B71C4">
        <w:t>acknowledged</w:t>
      </w:r>
      <w:r w:rsidR="007C2E55" w:rsidRPr="009B71C4">
        <w:t xml:space="preserve"> that</w:t>
      </w:r>
      <w:r w:rsidR="00DC60D4" w:rsidRPr="009B71C4">
        <w:t xml:space="preserve"> the Sullivan et al. algorithm was developed for SF-12 </w:t>
      </w:r>
      <w:r w:rsidR="00D5205B" w:rsidRPr="009B71C4">
        <w:t>data but</w:t>
      </w:r>
      <w:r w:rsidR="00DC60D4" w:rsidRPr="009B71C4">
        <w:t xml:space="preserve"> considered the approach a pragmatic methodological choice</w:t>
      </w:r>
      <w:r w:rsidR="00A726BF" w:rsidRPr="009B71C4">
        <w:t xml:space="preserve"> given that no validated SF-10 to EQ-5D algorithm exists</w:t>
      </w:r>
      <w:r w:rsidR="00025AA1" w:rsidRPr="009B71C4">
        <w:t>.</w:t>
      </w:r>
      <w:r w:rsidR="000A25FF" w:rsidRPr="009B71C4">
        <w:t xml:space="preserve"> </w:t>
      </w:r>
      <w:r w:rsidRPr="009B71C4">
        <w:t xml:space="preserve">The submission did not adequately justify the use of external data to inform the flare utility, given that SF-12 physical and mental component scores among adults on Day 1 of the randomised phase of the trial were available (i.e., when patients were experiencing the index flare). </w:t>
      </w:r>
      <w:r w:rsidR="00794B5D" w:rsidRPr="009B71C4">
        <w:t xml:space="preserve">The PSCR stated that the trial-based flare utilities </w:t>
      </w:r>
      <w:r w:rsidR="0035581B" w:rsidRPr="009B71C4">
        <w:t xml:space="preserve">reflect an adult population and </w:t>
      </w:r>
      <w:r w:rsidR="00794B5D" w:rsidRPr="009B71C4">
        <w:t xml:space="preserve">were confounded </w:t>
      </w:r>
      <w:proofErr w:type="gramStart"/>
      <w:r w:rsidR="00794B5D" w:rsidRPr="009B71C4">
        <w:t>by the use of</w:t>
      </w:r>
      <w:proofErr w:type="gramEnd"/>
      <w:r w:rsidR="00794B5D" w:rsidRPr="009B71C4">
        <w:t xml:space="preserve"> canakinumab rescue doses that would have artificially reduced flare severity compared to the true burden in a </w:t>
      </w:r>
      <w:r w:rsidR="002B7581" w:rsidRPr="009B71C4">
        <w:t>BSC</w:t>
      </w:r>
      <w:r w:rsidR="00794B5D" w:rsidRPr="009B71C4">
        <w:t xml:space="preserve"> setting. </w:t>
      </w:r>
      <w:r w:rsidR="00B87BB6" w:rsidRPr="009B71C4">
        <w:t>Additionally</w:t>
      </w:r>
      <w:r w:rsidRPr="009B71C4">
        <w:t>, the flare utility was applied for the full 1-week model cycle despite the average duration of flares typically being &lt;7 days.</w:t>
      </w:r>
      <w:r w:rsidR="00900779" w:rsidRPr="009B71C4">
        <w:t xml:space="preserve"> </w:t>
      </w:r>
      <w:r w:rsidR="00794B5D" w:rsidRPr="009B71C4">
        <w:t xml:space="preserve">The PSCR stated that </w:t>
      </w:r>
      <w:r w:rsidR="007F7A39" w:rsidRPr="009B71C4">
        <w:t xml:space="preserve">while the mean flare duration in the trial was &lt;7 days, it was implausible that a patient would immediately return to their full baseline </w:t>
      </w:r>
      <w:r w:rsidR="008931F3" w:rsidRPr="009B71C4">
        <w:t xml:space="preserve">quality of life. As such, the PSCR asserted that it was reasonable </w:t>
      </w:r>
      <w:r w:rsidR="00F1098E" w:rsidRPr="009B71C4">
        <w:t xml:space="preserve">to apply the flare disutility for a week to capture the </w:t>
      </w:r>
      <w:r w:rsidR="00731AD4" w:rsidRPr="009B71C4">
        <w:t>impact of symptoms be</w:t>
      </w:r>
      <w:r w:rsidR="001000CC" w:rsidRPr="009B71C4">
        <w:t>y</w:t>
      </w:r>
      <w:r w:rsidR="00731AD4" w:rsidRPr="009B71C4">
        <w:t xml:space="preserve">ond the flare </w:t>
      </w:r>
      <w:r w:rsidR="001000CC" w:rsidRPr="009B71C4">
        <w:t>duration.</w:t>
      </w:r>
      <w:r w:rsidR="0059581E" w:rsidRPr="009B71C4">
        <w:t xml:space="preserve"> The ESC </w:t>
      </w:r>
      <w:r w:rsidR="00C33815" w:rsidRPr="009B71C4">
        <w:t>noted that no data were presented to characterise the frequency and severity of prodromal/</w:t>
      </w:r>
      <w:proofErr w:type="spellStart"/>
      <w:r w:rsidR="00C33815" w:rsidRPr="009B71C4">
        <w:t>postdromal</w:t>
      </w:r>
      <w:proofErr w:type="spellEnd"/>
      <w:r w:rsidR="00C33815" w:rsidRPr="009B71C4">
        <w:t xml:space="preserve"> flare symptoms and considered that it is unlikely to be reasonable to apply the full disutility associated with flares on days in which patients are experiencing prodromal/</w:t>
      </w:r>
      <w:proofErr w:type="spellStart"/>
      <w:r w:rsidR="00C33815" w:rsidRPr="009B71C4">
        <w:t>postdromal</w:t>
      </w:r>
      <w:proofErr w:type="spellEnd"/>
      <w:r w:rsidR="00C33815" w:rsidRPr="009B71C4">
        <w:t xml:space="preserve"> symptoms.</w:t>
      </w:r>
      <w:bookmarkEnd w:id="51"/>
    </w:p>
    <w:p w14:paraId="18B87D18" w14:textId="77777777" w:rsidR="0079556C" w:rsidRPr="009B71C4" w:rsidRDefault="0079556C" w:rsidP="004B083B">
      <w:pPr>
        <w:pStyle w:val="COMESnumberedpara"/>
        <w:spacing w:before="160"/>
      </w:pPr>
      <w:r w:rsidRPr="009B71C4">
        <w:t>The utility for patients in the AA amyloidosis health state was assumed to be the average of the utilities included for patients with flare and the utility for the pre-dialysis health state. This assumption was not adequately justified.</w:t>
      </w:r>
    </w:p>
    <w:p w14:paraId="2DA6CAB4" w14:textId="3FA4D041" w:rsidR="002303AE" w:rsidRPr="009B71C4" w:rsidRDefault="0079556C" w:rsidP="004B083B">
      <w:pPr>
        <w:pStyle w:val="COMESnumberedpara"/>
        <w:spacing w:before="160"/>
      </w:pPr>
      <w:bookmarkStart w:id="52" w:name="_Ref222741294"/>
      <w:r w:rsidRPr="009B71C4">
        <w:t xml:space="preserve">Costs included in the model were predominantly based on sponsor assumptions </w:t>
      </w:r>
      <w:r w:rsidR="008B18A3" w:rsidRPr="009B71C4">
        <w:t>and</w:t>
      </w:r>
      <w:r w:rsidRPr="009B71C4">
        <w:t xml:space="preserve"> </w:t>
      </w:r>
      <w:proofErr w:type="gramStart"/>
      <w:r w:rsidRPr="009B71C4">
        <w:t>were considered to be</w:t>
      </w:r>
      <w:proofErr w:type="gramEnd"/>
      <w:r w:rsidRPr="009B71C4">
        <w:t xml:space="preserve"> highly uncertain</w:t>
      </w:r>
      <w:r w:rsidR="003034AB" w:rsidRPr="009B71C4">
        <w:t>:</w:t>
      </w:r>
      <w:bookmarkEnd w:id="52"/>
      <w:r w:rsidR="007D01F9" w:rsidRPr="009B71C4">
        <w:t xml:space="preserve"> </w:t>
      </w:r>
    </w:p>
    <w:p w14:paraId="38A2C865" w14:textId="65D017F8" w:rsidR="002303AE" w:rsidRPr="009B71C4" w:rsidRDefault="0079556C" w:rsidP="004B083B">
      <w:pPr>
        <w:pStyle w:val="COMESnumberedpara"/>
        <w:numPr>
          <w:ilvl w:val="0"/>
          <w:numId w:val="14"/>
        </w:numPr>
        <w:spacing w:before="160"/>
        <w:ind w:left="1134"/>
      </w:pPr>
      <w:r w:rsidRPr="009B71C4">
        <w:t xml:space="preserve">The assumption that hospital attendance (inpatient hospitalisation or emergency department attendance) would be required for 74.1% of all flares for all patients lacked face </w:t>
      </w:r>
      <w:r w:rsidR="008B18A3" w:rsidRPr="009B71C4">
        <w:t>validity and</w:t>
      </w:r>
      <w:r w:rsidRPr="009B71C4">
        <w:t xml:space="preserve"> is likely to have substantially overestimated costs associated with flare. </w:t>
      </w:r>
      <w:r w:rsidR="00CB426A" w:rsidRPr="009B71C4">
        <w:t xml:space="preserve">The PSCR argued that FMF flares in children are indistinguishable from symptoms of life-threatening bacterial infections and that presenting symptoms warrant immediate referral to an emergency department according to Australian hospital guidelines. </w:t>
      </w:r>
      <w:r w:rsidR="00B0174A" w:rsidRPr="009B71C4">
        <w:t>However, the ESC considered that p</w:t>
      </w:r>
      <w:r w:rsidR="00D601C6" w:rsidRPr="009B71C4">
        <w:t>atients with an established diagnosis of FMF would be less likely to attend hospital if they develop FMF flare symptoms.</w:t>
      </w:r>
    </w:p>
    <w:p w14:paraId="78A3ADD9" w14:textId="4ABB2BAC" w:rsidR="0079556C" w:rsidRPr="009B71C4" w:rsidRDefault="0079556C" w:rsidP="004B083B">
      <w:pPr>
        <w:pStyle w:val="COMESnumberedpara"/>
        <w:numPr>
          <w:ilvl w:val="0"/>
          <w:numId w:val="14"/>
        </w:numPr>
        <w:spacing w:before="160"/>
        <w:ind w:left="1134"/>
      </w:pPr>
      <w:r w:rsidRPr="009B71C4">
        <w:t xml:space="preserve">Costs associated with flare management were assumed to be additive to health state costs, which </w:t>
      </w:r>
      <w:r w:rsidR="00812CBC" w:rsidRPr="009B71C4">
        <w:t xml:space="preserve">the ESC considered </w:t>
      </w:r>
      <w:r w:rsidRPr="009B71C4">
        <w:t xml:space="preserve">resulted in </w:t>
      </w:r>
      <w:r w:rsidR="00812CBC" w:rsidRPr="009B71C4">
        <w:t>a high like</w:t>
      </w:r>
      <w:r w:rsidR="00854F38" w:rsidRPr="009B71C4">
        <w:t xml:space="preserve">lihood </w:t>
      </w:r>
      <w:r w:rsidR="00A2140A" w:rsidRPr="009B71C4">
        <w:t>that</w:t>
      </w:r>
      <w:r w:rsidRPr="009B71C4">
        <w:t xml:space="preserve"> costs associated with hospitalisation, emergency </w:t>
      </w:r>
      <w:r w:rsidR="003E30A1" w:rsidRPr="009B71C4">
        <w:t>de</w:t>
      </w:r>
      <w:r w:rsidRPr="009B71C4">
        <w:t xml:space="preserve">partment attendance, pathology and GP management </w:t>
      </w:r>
      <w:r w:rsidR="00A2140A" w:rsidRPr="009B71C4">
        <w:t>were double counted</w:t>
      </w:r>
      <w:r w:rsidRPr="009B71C4">
        <w:t>.</w:t>
      </w:r>
    </w:p>
    <w:p w14:paraId="44751B44" w14:textId="0E842E98" w:rsidR="002303AE" w:rsidRPr="009B71C4" w:rsidRDefault="002303AE" w:rsidP="004B083B">
      <w:pPr>
        <w:pStyle w:val="COMESnumberedpara"/>
        <w:numPr>
          <w:ilvl w:val="0"/>
          <w:numId w:val="14"/>
        </w:numPr>
        <w:spacing w:before="160"/>
        <w:ind w:left="1134"/>
      </w:pPr>
      <w:r w:rsidRPr="009B71C4">
        <w:lastRenderedPageBreak/>
        <w:t xml:space="preserve">All patients in the canakinumab plus BSC arm of the model were assumed to initiate canakinumab at a dose of 150 mg (or 2 mg/kg up to 150 mg) every 4 weeks. Patients who experience a flare receive an additional dose of canakinumab 150 mg (or 2 mg/kg up to 150 mg) in the next cycle. Patients who remain flare free for 16 consecutive weeks switch to canakinumab treatment every 8 weeks. Patients on canakinumab 8-weekly treatment who experience a flare revert to 4-weekly dosing. In the model base case, maintenance canakinumab doses of 300 mg every 4 weeks were not included. The submission assumed that patients who switch to 8-weekly canakinumab dosing would have the same risk of flares as patients on 4-weekly dosing. </w:t>
      </w:r>
      <w:r w:rsidR="00CA01B2" w:rsidRPr="009B71C4">
        <w:t xml:space="preserve">The ESC </w:t>
      </w:r>
      <w:r w:rsidR="00B73E25" w:rsidRPr="009B71C4">
        <w:t xml:space="preserve">noted </w:t>
      </w:r>
      <w:r w:rsidR="00CA01B2" w:rsidRPr="009B71C4">
        <w:t xml:space="preserve">this assumption </w:t>
      </w:r>
      <w:r w:rsidR="00B73E25" w:rsidRPr="009B71C4">
        <w:t>was</w:t>
      </w:r>
      <w:r w:rsidRPr="009B71C4">
        <w:t xml:space="preserve"> uncertain. The </w:t>
      </w:r>
      <w:r w:rsidR="00AE47D3" w:rsidRPr="009B71C4">
        <w:t>ESC considered that</w:t>
      </w:r>
      <w:r w:rsidR="0023705E" w:rsidRPr="009B71C4">
        <w:t xml:space="preserve"> by </w:t>
      </w:r>
      <w:r w:rsidRPr="009B71C4">
        <w:t>exclu</w:t>
      </w:r>
      <w:r w:rsidR="0023705E" w:rsidRPr="009B71C4">
        <w:t>ding</w:t>
      </w:r>
      <w:r w:rsidRPr="009B71C4">
        <w:t xml:space="preserve"> the 300 mg maintenance dose</w:t>
      </w:r>
      <w:r w:rsidR="0023705E" w:rsidRPr="009B71C4">
        <w:t>, the model</w:t>
      </w:r>
      <w:r w:rsidRPr="009B71C4">
        <w:t xml:space="preserve"> is likely to </w:t>
      </w:r>
      <w:r w:rsidR="0023705E" w:rsidRPr="009B71C4">
        <w:t xml:space="preserve">have </w:t>
      </w:r>
      <w:r w:rsidRPr="009B71C4">
        <w:t>underestimate</w:t>
      </w:r>
      <w:r w:rsidR="0023705E" w:rsidRPr="009B71C4">
        <w:t>d</w:t>
      </w:r>
      <w:r w:rsidRPr="009B71C4">
        <w:t xml:space="preserve"> the costs associated with canakinumab treatment. </w:t>
      </w:r>
    </w:p>
    <w:p w14:paraId="3692E63E" w14:textId="77777777" w:rsidR="001F15DF" w:rsidRPr="009B71C4" w:rsidRDefault="001F15DF" w:rsidP="004B083B">
      <w:pPr>
        <w:pStyle w:val="COMESnumberedpara"/>
      </w:pPr>
      <w:bookmarkStart w:id="53" w:name="_Ref222741984"/>
      <w:r w:rsidRPr="009B71C4">
        <w:t>In the base case, patients who develop amyloidosis are assumed to discontinue canakinumab treatment at the time of amyloidosis diagnosis. This assumption was not reasonable given that the proposed restriction does not require treatment discontinuation if patients are diagnosed with AA amyloidosis, and patients are likely to remain on canakinumab treatment to prevent flare recurrence and potentially reduce the rate of AA amyloidosis progression.</w:t>
      </w:r>
      <w:bookmarkEnd w:id="53"/>
    </w:p>
    <w:p w14:paraId="413190CD" w14:textId="3C97AAB8" w:rsidR="001F15DF" w:rsidRPr="009B71C4" w:rsidRDefault="001F15DF" w:rsidP="004B083B">
      <w:pPr>
        <w:pStyle w:val="COMESnumberedpara"/>
      </w:pPr>
      <w:bookmarkStart w:id="54" w:name="_Ref222741958"/>
      <w:bookmarkStart w:id="55" w:name="_Ref222755864"/>
      <w:r w:rsidRPr="009B71C4">
        <w:t>The submission assumed that 2.86% of patients would discontinue treatment with canakinumab each year. It is unclear whether the assumed discontinuation rate, which resulted in a relatively high number of discontinued patients over the 70-year time horizon, will reflect treatment utilisation in clinical practice, given that patients in the PBS population would be able to reinitiate treatment later.</w:t>
      </w:r>
      <w:bookmarkEnd w:id="54"/>
      <w:bookmarkEnd w:id="55"/>
    </w:p>
    <w:p w14:paraId="3A515D83" w14:textId="63DB4D48" w:rsidR="0079556C" w:rsidRPr="009B71C4" w:rsidRDefault="0079556C" w:rsidP="004B083B">
      <w:pPr>
        <w:pStyle w:val="COMESnumberedpara"/>
        <w:spacing w:before="160"/>
      </w:pPr>
      <w:r w:rsidRPr="009B71C4">
        <w:fldChar w:fldCharType="begin"/>
      </w:r>
      <w:r w:rsidRPr="009B71C4">
        <w:instrText xml:space="preserve"> REF _Ref104805122 \h </w:instrText>
      </w:r>
      <w:r w:rsidR="00597AA3" w:rsidRPr="009B71C4">
        <w:instrText xml:space="preserve"> \* MERGEFORMAT </w:instrText>
      </w:r>
      <w:r w:rsidRPr="009B71C4">
        <w:fldChar w:fldCharType="separate"/>
      </w:r>
      <w:r w:rsidR="00815AB6" w:rsidRPr="00597AA3">
        <w:t xml:space="preserve">Table </w:t>
      </w:r>
      <w:r w:rsidR="00815AB6">
        <w:rPr>
          <w:noProof/>
        </w:rPr>
        <w:t>8</w:t>
      </w:r>
      <w:r w:rsidRPr="009B71C4">
        <w:fldChar w:fldCharType="end"/>
      </w:r>
      <w:r w:rsidRPr="009B71C4">
        <w:t xml:space="preserve"> summarises the key drivers of the economic model.</w:t>
      </w:r>
      <w:r w:rsidR="00E41833" w:rsidRPr="009B71C4">
        <w:t xml:space="preserve"> The ESC noted that there were a high number of key drivers, all of which favoured canakinumab.</w:t>
      </w:r>
    </w:p>
    <w:p w14:paraId="5E7D31D8" w14:textId="5B77B9EE" w:rsidR="0079556C" w:rsidRPr="00597AA3" w:rsidRDefault="0079556C" w:rsidP="004B083B">
      <w:pPr>
        <w:pStyle w:val="COMTableFigurecaption"/>
        <w:spacing w:before="160"/>
      </w:pPr>
      <w:bookmarkStart w:id="56" w:name="_Ref104805122"/>
      <w:r w:rsidRPr="00597AA3">
        <w:lastRenderedPageBreak/>
        <w:t xml:space="preserve">Table </w:t>
      </w:r>
      <w:fldSimple w:instr=" SEQ Table \* ARABIC ">
        <w:r w:rsidR="00815AB6">
          <w:rPr>
            <w:noProof/>
          </w:rPr>
          <w:t>8</w:t>
        </w:r>
      </w:fldSimple>
      <w:bookmarkEnd w:id="56"/>
      <w:r w:rsidRPr="00597AA3">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8: Key drivers of the model"/>
      </w:tblPr>
      <w:tblGrid>
        <w:gridCol w:w="1129"/>
        <w:gridCol w:w="6379"/>
        <w:gridCol w:w="1509"/>
      </w:tblGrid>
      <w:tr w:rsidR="0079556C" w:rsidRPr="00597AA3" w14:paraId="5410CAFE" w14:textId="77777777" w:rsidTr="00003068">
        <w:trPr>
          <w:tblHeader/>
        </w:trPr>
        <w:tc>
          <w:tcPr>
            <w:tcW w:w="626" w:type="pct"/>
            <w:vAlign w:val="center"/>
          </w:tcPr>
          <w:p w14:paraId="03EE21B6" w14:textId="77777777" w:rsidR="0079556C" w:rsidRPr="00597AA3" w:rsidRDefault="0079556C" w:rsidP="004B083B">
            <w:pPr>
              <w:pStyle w:val="COMTableheadingrow"/>
              <w:keepLines w:val="0"/>
            </w:pPr>
            <w:r w:rsidRPr="00597AA3">
              <w:t>Description</w:t>
            </w:r>
          </w:p>
        </w:tc>
        <w:tc>
          <w:tcPr>
            <w:tcW w:w="3537" w:type="pct"/>
            <w:vAlign w:val="center"/>
          </w:tcPr>
          <w:p w14:paraId="618FE85B" w14:textId="77777777" w:rsidR="0079556C" w:rsidRPr="00597AA3" w:rsidRDefault="0079556C" w:rsidP="004B083B">
            <w:pPr>
              <w:pStyle w:val="COMTableheadingrow"/>
              <w:keepLines w:val="0"/>
              <w:jc w:val="center"/>
            </w:pPr>
            <w:r w:rsidRPr="00597AA3">
              <w:t>Method/Value</w:t>
            </w:r>
          </w:p>
        </w:tc>
        <w:tc>
          <w:tcPr>
            <w:tcW w:w="837" w:type="pct"/>
            <w:vAlign w:val="center"/>
          </w:tcPr>
          <w:p w14:paraId="68D1CF76" w14:textId="77777777" w:rsidR="0079556C" w:rsidRPr="00597AA3" w:rsidRDefault="0079556C" w:rsidP="004B083B">
            <w:pPr>
              <w:pStyle w:val="COMTableheadingrow"/>
              <w:keepLines w:val="0"/>
              <w:jc w:val="center"/>
            </w:pPr>
            <w:r w:rsidRPr="00597AA3">
              <w:t>Impact</w:t>
            </w:r>
          </w:p>
        </w:tc>
      </w:tr>
      <w:tr w:rsidR="0079556C" w:rsidRPr="00597AA3" w14:paraId="01E5A804" w14:textId="77777777" w:rsidTr="00003068">
        <w:tc>
          <w:tcPr>
            <w:tcW w:w="626" w:type="pct"/>
            <w:vAlign w:val="center"/>
          </w:tcPr>
          <w:p w14:paraId="3635F87C" w14:textId="77777777" w:rsidR="0079556C" w:rsidRPr="00597AA3" w:rsidRDefault="0079556C" w:rsidP="004B083B">
            <w:pPr>
              <w:pStyle w:val="COMTabletext"/>
              <w:keepLines w:val="0"/>
            </w:pPr>
            <w:r w:rsidRPr="00597AA3">
              <w:t>Canakinumab dosing assumptions</w:t>
            </w:r>
          </w:p>
        </w:tc>
        <w:tc>
          <w:tcPr>
            <w:tcW w:w="3537" w:type="pct"/>
            <w:vAlign w:val="center"/>
          </w:tcPr>
          <w:p w14:paraId="4F8A8C6E" w14:textId="3A0611A6" w:rsidR="0079556C" w:rsidRPr="00597AA3" w:rsidRDefault="0079556C" w:rsidP="004B083B">
            <w:pPr>
              <w:pStyle w:val="COMTabletext"/>
              <w:keepLines w:val="0"/>
            </w:pPr>
            <w:r w:rsidRPr="00597AA3">
              <w:t xml:space="preserve">It is unclear whether the dosing assumptions included in the model will reflect dosing of canakinumab in Australian clinical practice, particularly given differences in dosing recommendations between the canakinumab product information and clinical guidelines. </w:t>
            </w:r>
            <w:r w:rsidR="00D2509D">
              <w:t xml:space="preserve">Refer </w:t>
            </w:r>
            <w:r w:rsidR="008C53C1">
              <w:t>p</w:t>
            </w:r>
            <w:r w:rsidR="00D2509D">
              <w:t xml:space="preserve">ara </w:t>
            </w:r>
            <w:r w:rsidR="00851B4A">
              <w:fldChar w:fldCharType="begin"/>
            </w:r>
            <w:r w:rsidR="00851B4A">
              <w:instrText xml:space="preserve"> REF _Ref222741294 \r \h </w:instrText>
            </w:r>
            <w:r w:rsidR="00003068">
              <w:instrText xml:space="preserve"> \* MERGEFORMAT </w:instrText>
            </w:r>
            <w:r w:rsidR="00851B4A">
              <w:fldChar w:fldCharType="separate"/>
            </w:r>
            <w:r w:rsidR="00815AB6">
              <w:t>6.55</w:t>
            </w:r>
            <w:r w:rsidR="00851B4A">
              <w:fldChar w:fldCharType="end"/>
            </w:r>
            <w:r w:rsidR="00D2509D">
              <w:t>.</w:t>
            </w:r>
          </w:p>
        </w:tc>
        <w:tc>
          <w:tcPr>
            <w:tcW w:w="837" w:type="pct"/>
            <w:vAlign w:val="center"/>
          </w:tcPr>
          <w:p w14:paraId="113A3A92" w14:textId="77777777" w:rsidR="0079556C" w:rsidRPr="00597AA3" w:rsidRDefault="0079556C" w:rsidP="004B083B">
            <w:pPr>
              <w:pStyle w:val="COMTabletext"/>
              <w:keepLines w:val="0"/>
              <w:jc w:val="center"/>
            </w:pPr>
            <w:r w:rsidRPr="00597AA3">
              <w:t>High, favours canakinumab</w:t>
            </w:r>
          </w:p>
        </w:tc>
      </w:tr>
      <w:tr w:rsidR="0079556C" w:rsidRPr="00597AA3" w14:paraId="5D6643EB" w14:textId="77777777" w:rsidTr="00003068">
        <w:tc>
          <w:tcPr>
            <w:tcW w:w="626" w:type="pct"/>
            <w:vAlign w:val="center"/>
          </w:tcPr>
          <w:p w14:paraId="626B6509" w14:textId="77777777" w:rsidR="0079556C" w:rsidRPr="00597AA3" w:rsidRDefault="0079556C" w:rsidP="004B083B">
            <w:pPr>
              <w:pStyle w:val="COMTabletext"/>
              <w:keepLines w:val="0"/>
            </w:pPr>
            <w:r w:rsidRPr="00597AA3">
              <w:t>Canakinumab treatment persistence</w:t>
            </w:r>
          </w:p>
        </w:tc>
        <w:tc>
          <w:tcPr>
            <w:tcW w:w="3537" w:type="pct"/>
            <w:vAlign w:val="center"/>
          </w:tcPr>
          <w:p w14:paraId="7A82F73C" w14:textId="46A13C69" w:rsidR="0079556C" w:rsidRPr="00597AA3" w:rsidRDefault="00E579A7" w:rsidP="004B083B">
            <w:pPr>
              <w:pStyle w:val="COMTabletext"/>
              <w:keepLines w:val="0"/>
              <w:spacing w:after="120"/>
            </w:pPr>
            <w:r>
              <w:t>P</w:t>
            </w:r>
            <w:r w:rsidR="0079556C" w:rsidRPr="00597AA3">
              <w:t>atients who develop amyloidosis are assumed to discontinue canakinumab treatment at the time of amyloidosis diagnosis</w:t>
            </w:r>
            <w:r>
              <w:t xml:space="preserve"> and</w:t>
            </w:r>
            <w:r w:rsidR="0079556C" w:rsidRPr="00597AA3">
              <w:t xml:space="preserve"> 2.86% of patients </w:t>
            </w:r>
            <w:r>
              <w:t xml:space="preserve">were assumed to </w:t>
            </w:r>
            <w:r w:rsidR="0079556C" w:rsidRPr="00597AA3">
              <w:t>discontinue treatment with canakinumab each year.</w:t>
            </w:r>
            <w:r>
              <w:t xml:space="preserve"> Refer para </w:t>
            </w:r>
            <w:r w:rsidR="009F2329">
              <w:fldChar w:fldCharType="begin"/>
            </w:r>
            <w:r w:rsidR="009F2329">
              <w:instrText xml:space="preserve"> REF _Ref222741984 \r \h </w:instrText>
            </w:r>
            <w:r w:rsidR="00003068">
              <w:instrText xml:space="preserve"> \* MERGEFORMAT </w:instrText>
            </w:r>
            <w:r w:rsidR="009F2329">
              <w:fldChar w:fldCharType="separate"/>
            </w:r>
            <w:r w:rsidR="00815AB6">
              <w:t>6.56</w:t>
            </w:r>
            <w:r w:rsidR="009F2329">
              <w:fldChar w:fldCharType="end"/>
            </w:r>
            <w:r w:rsidR="009F2329">
              <w:t>-</w:t>
            </w:r>
            <w:r w:rsidR="009F2329">
              <w:fldChar w:fldCharType="begin"/>
            </w:r>
            <w:r w:rsidR="009F2329">
              <w:instrText xml:space="preserve"> REF _Ref222741958 \r \h </w:instrText>
            </w:r>
            <w:r w:rsidR="00003068">
              <w:instrText xml:space="preserve"> \* MERGEFORMAT </w:instrText>
            </w:r>
            <w:r w:rsidR="009F2329">
              <w:fldChar w:fldCharType="separate"/>
            </w:r>
            <w:r w:rsidR="00815AB6">
              <w:t>6.57</w:t>
            </w:r>
            <w:r w:rsidR="009F2329">
              <w:fldChar w:fldCharType="end"/>
            </w:r>
          </w:p>
        </w:tc>
        <w:tc>
          <w:tcPr>
            <w:tcW w:w="837" w:type="pct"/>
            <w:vAlign w:val="center"/>
          </w:tcPr>
          <w:p w14:paraId="0D53A825" w14:textId="77777777" w:rsidR="0079556C" w:rsidRPr="00597AA3" w:rsidRDefault="0079556C" w:rsidP="004B083B">
            <w:pPr>
              <w:pStyle w:val="COMTabletext"/>
              <w:keepLines w:val="0"/>
              <w:jc w:val="center"/>
            </w:pPr>
            <w:r w:rsidRPr="00597AA3">
              <w:t>High, favours canakinumab</w:t>
            </w:r>
          </w:p>
        </w:tc>
      </w:tr>
      <w:tr w:rsidR="0079556C" w:rsidRPr="00597AA3" w14:paraId="4547DF04" w14:textId="77777777" w:rsidTr="00003068">
        <w:trPr>
          <w:trHeight w:val="1327"/>
        </w:trPr>
        <w:tc>
          <w:tcPr>
            <w:tcW w:w="626" w:type="pct"/>
            <w:vAlign w:val="center"/>
          </w:tcPr>
          <w:p w14:paraId="37487C38" w14:textId="77777777" w:rsidR="0079556C" w:rsidRPr="00597AA3" w:rsidRDefault="0079556C" w:rsidP="004B083B">
            <w:pPr>
              <w:pStyle w:val="COMTabletext"/>
              <w:keepLines w:val="0"/>
            </w:pPr>
            <w:r w:rsidRPr="00597AA3">
              <w:t>Extrapolation</w:t>
            </w:r>
          </w:p>
        </w:tc>
        <w:tc>
          <w:tcPr>
            <w:tcW w:w="3537" w:type="pct"/>
            <w:vAlign w:val="center"/>
          </w:tcPr>
          <w:p w14:paraId="0EAAB27A" w14:textId="2A78C1A9" w:rsidR="00A046A2" w:rsidRDefault="0079556C" w:rsidP="004B083B">
            <w:pPr>
              <w:pStyle w:val="COMTabletext"/>
              <w:keepLines w:val="0"/>
              <w:spacing w:before="160"/>
              <w:contextualSpacing/>
            </w:pPr>
            <w:r w:rsidRPr="00597AA3">
              <w:t xml:space="preserve">There was a substantial amount of uncertainty associated with the extrapolation of clinical trial data relating to flare rates and adverse events for up to 70 years. </w:t>
            </w:r>
            <w:r w:rsidR="007610C5">
              <w:rPr>
                <w:iCs/>
              </w:rPr>
              <w:t>I</w:t>
            </w:r>
            <w:r w:rsidRPr="00597AA3">
              <w:t>t is unclear whether the model adequately captured the relationship between flares/underlying chronic inflammation and the development of AA amyloidosis and subsequent renal complications.</w:t>
            </w:r>
          </w:p>
          <w:p w14:paraId="591B1ACB" w14:textId="3B80CE85" w:rsidR="0079556C" w:rsidRPr="00597AA3" w:rsidRDefault="008C53C1" w:rsidP="004B083B">
            <w:pPr>
              <w:pStyle w:val="COMTabletext"/>
              <w:keepLines w:val="0"/>
              <w:spacing w:before="160"/>
              <w:contextualSpacing/>
            </w:pPr>
            <w:r>
              <w:t>Refer para</w:t>
            </w:r>
            <w:r w:rsidR="00662D4F">
              <w:t xml:space="preserve"> </w:t>
            </w:r>
            <w:r w:rsidR="00662D4F">
              <w:fldChar w:fldCharType="begin"/>
            </w:r>
            <w:r w:rsidR="00662D4F">
              <w:instrText xml:space="preserve"> REF _Ref222741440 \r \h </w:instrText>
            </w:r>
            <w:r w:rsidR="00003068">
              <w:instrText xml:space="preserve"> \* MERGEFORMAT </w:instrText>
            </w:r>
            <w:r w:rsidR="00662D4F">
              <w:fldChar w:fldCharType="separate"/>
            </w:r>
            <w:r w:rsidR="00815AB6">
              <w:t>6.49</w:t>
            </w:r>
            <w:r w:rsidR="00662D4F">
              <w:fldChar w:fldCharType="end"/>
            </w:r>
            <w:r w:rsidR="00662D4F">
              <w:t>-</w:t>
            </w:r>
            <w:r w:rsidR="00662D4F">
              <w:fldChar w:fldCharType="begin"/>
            </w:r>
            <w:r w:rsidR="00662D4F">
              <w:instrText xml:space="preserve"> REF _Ref222741441 \r \h </w:instrText>
            </w:r>
            <w:r w:rsidR="00003068">
              <w:instrText xml:space="preserve"> \* MERGEFORMAT </w:instrText>
            </w:r>
            <w:r w:rsidR="00662D4F">
              <w:fldChar w:fldCharType="separate"/>
            </w:r>
            <w:r w:rsidR="00815AB6">
              <w:t>6.51</w:t>
            </w:r>
            <w:r w:rsidR="00662D4F">
              <w:fldChar w:fldCharType="end"/>
            </w:r>
          </w:p>
        </w:tc>
        <w:tc>
          <w:tcPr>
            <w:tcW w:w="837" w:type="pct"/>
            <w:vAlign w:val="center"/>
          </w:tcPr>
          <w:p w14:paraId="7FDFBC4D" w14:textId="77777777" w:rsidR="0079556C" w:rsidRPr="00597AA3" w:rsidRDefault="0079556C" w:rsidP="004B083B">
            <w:pPr>
              <w:pStyle w:val="COMTabletext"/>
              <w:keepLines w:val="0"/>
              <w:jc w:val="center"/>
            </w:pPr>
            <w:r w:rsidRPr="00597AA3">
              <w:t>High, favours canakinumab</w:t>
            </w:r>
          </w:p>
        </w:tc>
      </w:tr>
      <w:tr w:rsidR="00B25302" w:rsidRPr="00597AA3" w14:paraId="3FA68653" w14:textId="77777777" w:rsidTr="00937B72">
        <w:tc>
          <w:tcPr>
            <w:tcW w:w="626" w:type="pct"/>
          </w:tcPr>
          <w:p w14:paraId="3A941AC7" w14:textId="551C95AD" w:rsidR="00B25302" w:rsidRPr="00597AA3" w:rsidRDefault="00B25302" w:rsidP="004B083B">
            <w:pPr>
              <w:pStyle w:val="COMTabletext"/>
              <w:keepLines w:val="0"/>
            </w:pPr>
            <w:r w:rsidRPr="00D7734E">
              <w:t>Flare costs</w:t>
            </w:r>
          </w:p>
        </w:tc>
        <w:tc>
          <w:tcPr>
            <w:tcW w:w="3537" w:type="pct"/>
          </w:tcPr>
          <w:p w14:paraId="5ED40A6D" w14:textId="381B7069" w:rsidR="00B25302" w:rsidRPr="00597AA3" w:rsidRDefault="00B25302" w:rsidP="004B083B">
            <w:pPr>
              <w:pStyle w:val="COMTabletext"/>
              <w:keepLines w:val="0"/>
            </w:pPr>
            <w:r w:rsidRPr="00D7734E">
              <w:t>Largely based on sponsor assumptions</w:t>
            </w:r>
            <w:r w:rsidR="00FF0723">
              <w:t>, with a high likelihood of double counting</w:t>
            </w:r>
            <w:r w:rsidRPr="00D7734E">
              <w:t xml:space="preserve">. Refer </w:t>
            </w:r>
            <w:r w:rsidR="00A41302">
              <w:t>p</w:t>
            </w:r>
            <w:r w:rsidRPr="00D7734E">
              <w:t>ara 6.4</w:t>
            </w:r>
            <w:r w:rsidR="00FF0723">
              <w:t>1</w:t>
            </w:r>
          </w:p>
        </w:tc>
        <w:tc>
          <w:tcPr>
            <w:tcW w:w="837" w:type="pct"/>
          </w:tcPr>
          <w:p w14:paraId="07A0D20A" w14:textId="526F1878" w:rsidR="00B25302" w:rsidRPr="00597AA3" w:rsidRDefault="00B25302" w:rsidP="004B083B">
            <w:pPr>
              <w:pStyle w:val="COMTabletext"/>
              <w:keepLines w:val="0"/>
              <w:jc w:val="center"/>
            </w:pPr>
            <w:r w:rsidRPr="00D7734E">
              <w:t>High, favours canakinumab</w:t>
            </w:r>
          </w:p>
        </w:tc>
      </w:tr>
      <w:tr w:rsidR="0079556C" w:rsidRPr="00597AA3" w14:paraId="277FF6FF" w14:textId="77777777" w:rsidTr="00003068">
        <w:tc>
          <w:tcPr>
            <w:tcW w:w="626" w:type="pct"/>
            <w:vAlign w:val="center"/>
          </w:tcPr>
          <w:p w14:paraId="71437ED5" w14:textId="77777777" w:rsidR="0079556C" w:rsidRPr="00597AA3" w:rsidRDefault="0079556C" w:rsidP="004B083B">
            <w:pPr>
              <w:pStyle w:val="COMTabletext"/>
              <w:keepLines w:val="0"/>
            </w:pPr>
            <w:r w:rsidRPr="00597AA3">
              <w:t>Utilities</w:t>
            </w:r>
          </w:p>
        </w:tc>
        <w:tc>
          <w:tcPr>
            <w:tcW w:w="3537" w:type="pct"/>
            <w:vAlign w:val="center"/>
          </w:tcPr>
          <w:p w14:paraId="45659E2D" w14:textId="70D729FB" w:rsidR="0079556C" w:rsidRPr="00597AA3" w:rsidRDefault="00AE1830" w:rsidP="004B083B">
            <w:pPr>
              <w:pStyle w:val="COMTabletext"/>
              <w:keepLines w:val="0"/>
            </w:pPr>
            <w:r>
              <w:t>It</w:t>
            </w:r>
            <w:r w:rsidRPr="00597AA3">
              <w:t xml:space="preserve"> </w:t>
            </w:r>
            <w:r>
              <w:t>was</w:t>
            </w:r>
            <w:r w:rsidR="00686B4D">
              <w:t xml:space="preserve"> incorrect</w:t>
            </w:r>
            <w:r w:rsidR="0079556C" w:rsidRPr="00597AA3">
              <w:t xml:space="preserve"> to map paediatric SF-10 results to an EQ</w:t>
            </w:r>
            <w:r w:rsidR="0079556C" w:rsidRPr="00597AA3">
              <w:noBreakHyphen/>
              <w:t>5D-3L utility using the Sullivan et al. algorithm, as the Sullivan et al. algorithm is for use with SF-12 data only</w:t>
            </w:r>
            <w:r w:rsidR="002A43DB">
              <w:t>.</w:t>
            </w:r>
            <w:r w:rsidR="0079556C" w:rsidRPr="00597AA3">
              <w:t xml:space="preserve"> </w:t>
            </w:r>
          </w:p>
          <w:p w14:paraId="6671F44B" w14:textId="0877D8D3" w:rsidR="0079556C" w:rsidRPr="00597AA3" w:rsidRDefault="0079556C" w:rsidP="004B083B">
            <w:pPr>
              <w:pStyle w:val="COMTabletext"/>
              <w:keepLines w:val="0"/>
            </w:pPr>
            <w:r w:rsidRPr="00597AA3">
              <w:t xml:space="preserve">The submission did not adequately justify the use of external data to inform the flare utility. It would be preferable to derive flare and no flare utilities from the same source to ensure consistency between the </w:t>
            </w:r>
            <w:proofErr w:type="gramStart"/>
            <w:r w:rsidRPr="00597AA3">
              <w:t>quality of life</w:t>
            </w:r>
            <w:proofErr w:type="gramEnd"/>
            <w:r w:rsidRPr="00597AA3">
              <w:t xml:space="preserve"> measures. </w:t>
            </w:r>
            <w:r w:rsidR="00556934">
              <w:t xml:space="preserve">Refer </w:t>
            </w:r>
            <w:r w:rsidR="00A41302">
              <w:t>p</w:t>
            </w:r>
            <w:r w:rsidR="00556934">
              <w:t>ara 6.38</w:t>
            </w:r>
          </w:p>
        </w:tc>
        <w:tc>
          <w:tcPr>
            <w:tcW w:w="837" w:type="pct"/>
            <w:vAlign w:val="center"/>
          </w:tcPr>
          <w:p w14:paraId="3CB5DA2E" w14:textId="77777777" w:rsidR="0079556C" w:rsidRPr="00597AA3" w:rsidRDefault="0079556C" w:rsidP="004B083B">
            <w:pPr>
              <w:pStyle w:val="COMTabletext"/>
              <w:keepLines w:val="0"/>
              <w:jc w:val="center"/>
            </w:pPr>
            <w:r w:rsidRPr="00597AA3">
              <w:t>Moderate, favours canakinumab</w:t>
            </w:r>
          </w:p>
        </w:tc>
      </w:tr>
      <w:tr w:rsidR="00865863" w:rsidRPr="00597AA3" w14:paraId="46CDDE91" w14:textId="77777777" w:rsidTr="00937B72">
        <w:tc>
          <w:tcPr>
            <w:tcW w:w="626" w:type="pct"/>
          </w:tcPr>
          <w:p w14:paraId="28D2D596" w14:textId="2F586246" w:rsidR="00865863" w:rsidRPr="00597AA3" w:rsidRDefault="00865863" w:rsidP="004B083B">
            <w:pPr>
              <w:pStyle w:val="COMTabletext"/>
              <w:keepLines w:val="0"/>
            </w:pPr>
            <w:r w:rsidRPr="00FB5542">
              <w:t>Baseline flare rate</w:t>
            </w:r>
          </w:p>
        </w:tc>
        <w:tc>
          <w:tcPr>
            <w:tcW w:w="3537" w:type="pct"/>
          </w:tcPr>
          <w:p w14:paraId="3B589C02" w14:textId="1CA50B77" w:rsidR="00865863" w:rsidRPr="00597AA3" w:rsidRDefault="00865863" w:rsidP="004B083B">
            <w:pPr>
              <w:pStyle w:val="COMTabletext"/>
              <w:keepLines w:val="0"/>
            </w:pPr>
            <w:r w:rsidRPr="00FB5542">
              <w:t>The flare rate among patients in the BSC arm was assumed to be the same as at baseline (22.4 flares per year). Refer Para 6.32</w:t>
            </w:r>
          </w:p>
        </w:tc>
        <w:tc>
          <w:tcPr>
            <w:tcW w:w="837" w:type="pct"/>
          </w:tcPr>
          <w:p w14:paraId="5165BB43" w14:textId="6F94AB47" w:rsidR="00865863" w:rsidRPr="00597AA3" w:rsidRDefault="00865863" w:rsidP="004B083B">
            <w:pPr>
              <w:pStyle w:val="COMTabletext"/>
              <w:keepLines w:val="0"/>
              <w:jc w:val="center"/>
            </w:pPr>
            <w:r w:rsidRPr="00FB5542">
              <w:t>Moderate, favours canakinumab</w:t>
            </w:r>
          </w:p>
        </w:tc>
      </w:tr>
    </w:tbl>
    <w:p w14:paraId="70EC1762" w14:textId="77777777" w:rsidR="0079556C" w:rsidRPr="00597AA3" w:rsidRDefault="0079556C" w:rsidP="004B083B">
      <w:pPr>
        <w:pStyle w:val="COMTablefooter"/>
        <w:keepNext/>
      </w:pPr>
      <w:r w:rsidRPr="00597AA3">
        <w:t>Source: Constructed during the evaluation based on Section 3 pp211-260 of the submission and the Section 3 economic model Excel workbook.</w:t>
      </w:r>
    </w:p>
    <w:p w14:paraId="2C49F381" w14:textId="77777777" w:rsidR="0079556C" w:rsidRPr="00597AA3" w:rsidRDefault="0079556C" w:rsidP="004B083B">
      <w:pPr>
        <w:pStyle w:val="COMTablefooter"/>
        <w:keepNext/>
        <w:spacing w:before="160"/>
      </w:pPr>
      <w:r w:rsidRPr="00597AA3">
        <w:t>Abbreviations: 3L, 3 level; AA, amyloid A; AECC, Australian Emergency Care Classification; AR-DRG, Australian Refined Diagnosis Related Group; BSC, best supportive care; SF-10, Short-Form 10-item Health Survey; SF-12, Short-Form 12-item Health Survey.</w:t>
      </w:r>
    </w:p>
    <w:p w14:paraId="03D2DC1F" w14:textId="32588DD0" w:rsidR="00554CDC" w:rsidRPr="00F7665C" w:rsidRDefault="00554CDC" w:rsidP="004B083B">
      <w:pPr>
        <w:pStyle w:val="COMESnumberedpara"/>
        <w:spacing w:before="160"/>
      </w:pPr>
      <w:r w:rsidRPr="00155D73">
        <w:rPr>
          <w:rFonts w:cstheme="minorHAnsi"/>
        </w:rPr>
        <w:t xml:space="preserve">The steps </w:t>
      </w:r>
      <w:r>
        <w:rPr>
          <w:rFonts w:cstheme="minorHAnsi"/>
        </w:rPr>
        <w:t xml:space="preserve">and results of the </w:t>
      </w:r>
      <w:r w:rsidRPr="00155D73">
        <w:rPr>
          <w:rFonts w:cstheme="minorHAnsi"/>
        </w:rPr>
        <w:t xml:space="preserve">economic evaluation </w:t>
      </w:r>
      <w:r>
        <w:rPr>
          <w:rFonts w:cstheme="minorHAnsi"/>
        </w:rPr>
        <w:t xml:space="preserve">as presented in the submission </w:t>
      </w:r>
      <w:r w:rsidRPr="00155D73">
        <w:rPr>
          <w:rFonts w:cstheme="minorHAnsi"/>
        </w:rPr>
        <w:t>are in</w:t>
      </w:r>
      <w:r w:rsidR="00DB4A94">
        <w:rPr>
          <w:rFonts w:cstheme="minorHAnsi"/>
        </w:rPr>
        <w:t xml:space="preserve"> </w:t>
      </w:r>
      <w:r w:rsidR="00DB4A94">
        <w:rPr>
          <w:rFonts w:cstheme="minorHAnsi"/>
        </w:rPr>
        <w:fldChar w:fldCharType="begin"/>
      </w:r>
      <w:r w:rsidR="00DB4A94">
        <w:rPr>
          <w:rFonts w:cstheme="minorHAnsi"/>
        </w:rPr>
        <w:instrText xml:space="preserve"> REF _Ref225431631 \h </w:instrText>
      </w:r>
      <w:r w:rsidR="00DB4A94">
        <w:rPr>
          <w:rFonts w:cstheme="minorHAnsi"/>
        </w:rPr>
      </w:r>
      <w:r w:rsidR="00DB4A94">
        <w:rPr>
          <w:rFonts w:cstheme="minorHAnsi"/>
        </w:rPr>
        <w:fldChar w:fldCharType="separate"/>
      </w:r>
      <w:r w:rsidR="00815AB6" w:rsidRPr="00597AA3">
        <w:t xml:space="preserve">Table </w:t>
      </w:r>
      <w:r w:rsidR="00815AB6">
        <w:rPr>
          <w:noProof/>
        </w:rPr>
        <w:t>9</w:t>
      </w:r>
      <w:r w:rsidR="00DB4A94">
        <w:rPr>
          <w:rFonts w:cstheme="minorHAnsi"/>
        </w:rPr>
        <w:fldChar w:fldCharType="end"/>
      </w:r>
      <w:r>
        <w:rPr>
          <w:rFonts w:cstheme="minorHAnsi"/>
        </w:rPr>
        <w:t>.</w:t>
      </w:r>
    </w:p>
    <w:p w14:paraId="4B533D8B" w14:textId="7EEA8B0F" w:rsidR="00554CDC" w:rsidRPr="00100095" w:rsidRDefault="00554CDC" w:rsidP="0020608D">
      <w:pPr>
        <w:pStyle w:val="COMTableFigurecaption"/>
        <w:keepLines/>
        <w:rPr>
          <w:b w:val="0"/>
        </w:rPr>
      </w:pPr>
      <w:bookmarkStart w:id="57" w:name="_Ref225431631"/>
      <w:r w:rsidRPr="00597AA3">
        <w:lastRenderedPageBreak/>
        <w:t xml:space="preserve">Table </w:t>
      </w:r>
      <w:fldSimple w:instr=" SEQ Table \* ARABIC ">
        <w:r w:rsidR="00815AB6">
          <w:rPr>
            <w:noProof/>
          </w:rPr>
          <w:t>9</w:t>
        </w:r>
      </w:fldSimple>
      <w:bookmarkEnd w:id="57"/>
      <w:r w:rsidRPr="00597AA3">
        <w:t>:</w:t>
      </w:r>
      <w:r w:rsidRPr="00100095">
        <w:t xml:space="preserve"> Steps in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9: Steps in the economic evaluation"/>
      </w:tblPr>
      <w:tblGrid>
        <w:gridCol w:w="704"/>
        <w:gridCol w:w="3685"/>
        <w:gridCol w:w="1277"/>
        <w:gridCol w:w="1277"/>
        <w:gridCol w:w="2074"/>
      </w:tblGrid>
      <w:tr w:rsidR="00674D97" w:rsidRPr="00100095" w14:paraId="51C6B493" w14:textId="77777777" w:rsidTr="0042183E">
        <w:trPr>
          <w:tblHeader/>
        </w:trPr>
        <w:tc>
          <w:tcPr>
            <w:tcW w:w="390" w:type="pct"/>
            <w:vAlign w:val="center"/>
          </w:tcPr>
          <w:p w14:paraId="536CE4BF" w14:textId="77777777" w:rsidR="00674D97" w:rsidRPr="00100095" w:rsidRDefault="00674D97" w:rsidP="0020608D">
            <w:pPr>
              <w:pStyle w:val="COMTableheadingrow"/>
            </w:pPr>
            <w:r w:rsidRPr="00100095">
              <w:t>Step</w:t>
            </w:r>
          </w:p>
        </w:tc>
        <w:tc>
          <w:tcPr>
            <w:tcW w:w="2043" w:type="pct"/>
          </w:tcPr>
          <w:p w14:paraId="139058C5" w14:textId="77777777" w:rsidR="00674D97" w:rsidRPr="00100095" w:rsidRDefault="00674D97" w:rsidP="0020608D">
            <w:pPr>
              <w:pStyle w:val="COMTableheadingrow"/>
              <w:jc w:val="center"/>
            </w:pPr>
            <w:r w:rsidRPr="00100095">
              <w:t>Description</w:t>
            </w:r>
          </w:p>
        </w:tc>
        <w:tc>
          <w:tcPr>
            <w:tcW w:w="708" w:type="pct"/>
          </w:tcPr>
          <w:p w14:paraId="15EE1110" w14:textId="45453606" w:rsidR="00674D97" w:rsidRPr="00100095" w:rsidRDefault="00510762" w:rsidP="0020608D">
            <w:pPr>
              <w:pStyle w:val="COMTableheadingrow"/>
              <w:jc w:val="center"/>
            </w:pPr>
            <w:r>
              <w:t>Incrementa</w:t>
            </w:r>
            <w:r w:rsidR="00580FE8">
              <w:t>l Cost</w:t>
            </w:r>
          </w:p>
        </w:tc>
        <w:tc>
          <w:tcPr>
            <w:tcW w:w="708" w:type="pct"/>
          </w:tcPr>
          <w:p w14:paraId="53273C27" w14:textId="484D3253" w:rsidR="00674D97" w:rsidRPr="00100095" w:rsidRDefault="00580FE8" w:rsidP="0020608D">
            <w:pPr>
              <w:pStyle w:val="COMTableheadingrow"/>
              <w:jc w:val="center"/>
            </w:pPr>
            <w:r>
              <w:t xml:space="preserve">Incremental </w:t>
            </w:r>
            <w:r w:rsidR="00822C17">
              <w:t>Outcome</w:t>
            </w:r>
          </w:p>
        </w:tc>
        <w:tc>
          <w:tcPr>
            <w:tcW w:w="1150" w:type="pct"/>
          </w:tcPr>
          <w:p w14:paraId="23AA27D4" w14:textId="1AEE4B5F" w:rsidR="00674D97" w:rsidRPr="00100095" w:rsidRDefault="00A14060" w:rsidP="0020608D">
            <w:pPr>
              <w:pStyle w:val="COMTableheadingrow"/>
              <w:jc w:val="center"/>
            </w:pPr>
            <w:r>
              <w:t>Cost/</w:t>
            </w:r>
            <w:r w:rsidR="00674D97" w:rsidRPr="00100095">
              <w:t>Outcome</w:t>
            </w:r>
          </w:p>
        </w:tc>
      </w:tr>
      <w:tr w:rsidR="00943B9C" w:rsidRPr="00100095" w14:paraId="35474AB2" w14:textId="77777777" w:rsidTr="00864507">
        <w:tc>
          <w:tcPr>
            <w:tcW w:w="390" w:type="pct"/>
            <w:vAlign w:val="center"/>
          </w:tcPr>
          <w:p w14:paraId="4F0A4CF5" w14:textId="77777777" w:rsidR="00943B9C" w:rsidRPr="00100095" w:rsidRDefault="00943B9C" w:rsidP="0020608D">
            <w:pPr>
              <w:pStyle w:val="COMTabletext"/>
            </w:pPr>
            <w:r w:rsidRPr="00100095">
              <w:t>Step 1a</w:t>
            </w:r>
          </w:p>
        </w:tc>
        <w:tc>
          <w:tcPr>
            <w:tcW w:w="2043" w:type="pct"/>
            <w:vAlign w:val="center"/>
          </w:tcPr>
          <w:p w14:paraId="59373FE0" w14:textId="77777777" w:rsidR="00943B9C" w:rsidRPr="00100095" w:rsidRDefault="00943B9C" w:rsidP="0020608D">
            <w:pPr>
              <w:pStyle w:val="COMTabletext"/>
            </w:pPr>
            <w:r>
              <w:t xml:space="preserve">Modelled analysis over 16 weeks including treatment costs only, undiscounted. </w:t>
            </w:r>
          </w:p>
        </w:tc>
        <w:tc>
          <w:tcPr>
            <w:tcW w:w="708" w:type="pct"/>
            <w:vAlign w:val="center"/>
          </w:tcPr>
          <w:p w14:paraId="4347C9E2" w14:textId="69F3C883" w:rsidR="00943B9C" w:rsidRPr="00100095" w:rsidRDefault="00943B9C" w:rsidP="0020608D">
            <w:pPr>
              <w:pStyle w:val="COMTabletext"/>
              <w:jc w:val="center"/>
            </w:pPr>
            <w:r w:rsidRPr="00A3208A">
              <w:t>$</w:t>
            </w:r>
            <w:r w:rsidR="00B90395" w:rsidRPr="00B90395">
              <w:rPr>
                <w:sz w:val="2"/>
                <w:highlight w:val="black"/>
              </w:rPr>
              <w:t>redacted content</w:t>
            </w:r>
          </w:p>
        </w:tc>
        <w:tc>
          <w:tcPr>
            <w:tcW w:w="708" w:type="pct"/>
            <w:vAlign w:val="center"/>
          </w:tcPr>
          <w:p w14:paraId="233ADC63" w14:textId="4D333A37" w:rsidR="00943B9C" w:rsidRPr="00100095" w:rsidRDefault="00943B9C" w:rsidP="0020608D">
            <w:pPr>
              <w:pStyle w:val="COMTabletext"/>
              <w:jc w:val="center"/>
            </w:pPr>
            <w:r w:rsidRPr="005357E9">
              <w:t>0.704</w:t>
            </w:r>
            <w:r>
              <w:t>2</w:t>
            </w:r>
          </w:p>
        </w:tc>
        <w:tc>
          <w:tcPr>
            <w:tcW w:w="1150" w:type="pct"/>
            <w:vAlign w:val="center"/>
          </w:tcPr>
          <w:p w14:paraId="379A4B4B" w14:textId="3077885E" w:rsidR="00943B9C" w:rsidRPr="000B03D2" w:rsidRDefault="00943B9C" w:rsidP="0020608D">
            <w:pPr>
              <w:pStyle w:val="COMTabletext"/>
              <w:rPr>
                <w:vertAlign w:val="superscript"/>
              </w:rPr>
            </w:pPr>
            <w:r>
              <w:t>$</w:t>
            </w:r>
            <w:r w:rsidR="00B90395" w:rsidRPr="00B90395">
              <w:rPr>
                <w:sz w:val="2"/>
                <w:highlight w:val="black"/>
              </w:rPr>
              <w:t>redacted content</w:t>
            </w:r>
            <w:r w:rsidR="00817595">
              <w:rPr>
                <w:vertAlign w:val="superscript"/>
              </w:rPr>
              <w:t>1</w:t>
            </w:r>
            <w:r w:rsidRPr="00100095">
              <w:t xml:space="preserve"> per responder</w:t>
            </w:r>
            <w:r>
              <w:t xml:space="preserve"> </w:t>
            </w:r>
            <w:r>
              <w:rPr>
                <w:vertAlign w:val="superscript"/>
              </w:rPr>
              <w:t>a</w:t>
            </w:r>
          </w:p>
        </w:tc>
      </w:tr>
      <w:tr w:rsidR="00943B9C" w:rsidRPr="00100095" w14:paraId="41749092" w14:textId="77777777" w:rsidTr="00864507">
        <w:tc>
          <w:tcPr>
            <w:tcW w:w="390" w:type="pct"/>
            <w:vAlign w:val="center"/>
          </w:tcPr>
          <w:p w14:paraId="0B096F53" w14:textId="77777777" w:rsidR="00943B9C" w:rsidRPr="00100095" w:rsidRDefault="00943B9C" w:rsidP="0020608D">
            <w:pPr>
              <w:pStyle w:val="COMTabletext"/>
            </w:pPr>
            <w:r w:rsidRPr="00100095">
              <w:t>Step 1</w:t>
            </w:r>
            <w:r>
              <w:t>b</w:t>
            </w:r>
          </w:p>
        </w:tc>
        <w:tc>
          <w:tcPr>
            <w:tcW w:w="2043" w:type="pct"/>
            <w:vAlign w:val="center"/>
          </w:tcPr>
          <w:p w14:paraId="040082C5" w14:textId="77777777" w:rsidR="00943B9C" w:rsidRPr="00100095" w:rsidRDefault="00943B9C" w:rsidP="0020608D">
            <w:pPr>
              <w:pStyle w:val="COMTabletext"/>
            </w:pPr>
            <w:r>
              <w:t>As for Step 1a.</w:t>
            </w:r>
          </w:p>
        </w:tc>
        <w:tc>
          <w:tcPr>
            <w:tcW w:w="708" w:type="pct"/>
            <w:vAlign w:val="center"/>
          </w:tcPr>
          <w:p w14:paraId="0A7D20EB" w14:textId="384FDB3D" w:rsidR="00943B9C" w:rsidRPr="00100095" w:rsidRDefault="00943B9C" w:rsidP="0020608D">
            <w:pPr>
              <w:pStyle w:val="COMTabletext"/>
              <w:jc w:val="center"/>
            </w:pPr>
            <w:r w:rsidRPr="00A3208A">
              <w:t>$</w:t>
            </w:r>
            <w:r w:rsidR="00B90395" w:rsidRPr="00B90395">
              <w:rPr>
                <w:sz w:val="2"/>
                <w:highlight w:val="black"/>
              </w:rPr>
              <w:t>redacted content</w:t>
            </w:r>
          </w:p>
        </w:tc>
        <w:tc>
          <w:tcPr>
            <w:tcW w:w="708" w:type="pct"/>
            <w:vAlign w:val="center"/>
          </w:tcPr>
          <w:p w14:paraId="76F2EE7E" w14:textId="414D23AD" w:rsidR="00943B9C" w:rsidRPr="00100095" w:rsidRDefault="00943B9C" w:rsidP="0020608D">
            <w:pPr>
              <w:pStyle w:val="COMTabletext"/>
              <w:jc w:val="center"/>
            </w:pPr>
            <w:r w:rsidRPr="00A3208A">
              <w:t>0.5504</w:t>
            </w:r>
          </w:p>
        </w:tc>
        <w:tc>
          <w:tcPr>
            <w:tcW w:w="1150" w:type="pct"/>
            <w:vAlign w:val="center"/>
          </w:tcPr>
          <w:p w14:paraId="22A57B36" w14:textId="455113FC" w:rsidR="00943B9C" w:rsidRPr="000B03D2" w:rsidRDefault="007318E5" w:rsidP="0020608D">
            <w:pPr>
              <w:pStyle w:val="COMTabletext"/>
            </w:pPr>
            <w:r>
              <w:t>$</w:t>
            </w:r>
            <w:r w:rsidR="00B90395" w:rsidRPr="00B90395">
              <w:rPr>
                <w:sz w:val="2"/>
                <w:highlight w:val="black"/>
              </w:rPr>
              <w:t>redacted content</w:t>
            </w:r>
            <w:r w:rsidR="00E92B95">
              <w:rPr>
                <w:vertAlign w:val="superscript"/>
              </w:rPr>
              <w:t>2</w:t>
            </w:r>
            <w:r w:rsidR="00943B9C" w:rsidRPr="00100095">
              <w:t xml:space="preserve"> per </w:t>
            </w:r>
            <w:r w:rsidR="00943B9C">
              <w:t>c</w:t>
            </w:r>
            <w:r w:rsidR="00943B9C" w:rsidRPr="00100095">
              <w:t>omplete response</w:t>
            </w:r>
            <w:r w:rsidR="00943B9C">
              <w:t xml:space="preserve"> </w:t>
            </w:r>
            <w:r w:rsidR="00943B9C">
              <w:rPr>
                <w:vertAlign w:val="superscript"/>
              </w:rPr>
              <w:t>b</w:t>
            </w:r>
          </w:p>
        </w:tc>
      </w:tr>
      <w:tr w:rsidR="00943B9C" w:rsidRPr="00100095" w14:paraId="410806FE" w14:textId="77777777" w:rsidTr="00864507">
        <w:tc>
          <w:tcPr>
            <w:tcW w:w="390" w:type="pct"/>
            <w:vAlign w:val="center"/>
          </w:tcPr>
          <w:p w14:paraId="2FDB1598" w14:textId="77777777" w:rsidR="00943B9C" w:rsidRPr="00100095" w:rsidRDefault="00943B9C" w:rsidP="0020608D">
            <w:pPr>
              <w:pStyle w:val="COMTabletext"/>
            </w:pPr>
            <w:r w:rsidRPr="00100095">
              <w:t>Step 2</w:t>
            </w:r>
            <w:r>
              <w:t>a</w:t>
            </w:r>
          </w:p>
        </w:tc>
        <w:tc>
          <w:tcPr>
            <w:tcW w:w="2043" w:type="pct"/>
            <w:vAlign w:val="center"/>
          </w:tcPr>
          <w:p w14:paraId="02D838EC" w14:textId="77777777" w:rsidR="00943B9C" w:rsidRPr="00100095" w:rsidRDefault="00943B9C" w:rsidP="0020608D">
            <w:pPr>
              <w:pStyle w:val="COMTabletext"/>
            </w:pPr>
            <w:r>
              <w:t xml:space="preserve">Time horizon increased to 1 year, </w:t>
            </w:r>
            <w:r w:rsidRPr="00100095">
              <w:t>all costs included</w:t>
            </w:r>
            <w:r>
              <w:t>.</w:t>
            </w:r>
          </w:p>
        </w:tc>
        <w:tc>
          <w:tcPr>
            <w:tcW w:w="708" w:type="pct"/>
            <w:vAlign w:val="center"/>
          </w:tcPr>
          <w:p w14:paraId="55446700" w14:textId="72E36E00" w:rsidR="00943B9C" w:rsidRPr="00100095" w:rsidRDefault="00943B9C" w:rsidP="0020608D">
            <w:pPr>
              <w:pStyle w:val="COMTabletext"/>
              <w:jc w:val="center"/>
            </w:pPr>
            <w:r w:rsidRPr="00A64EC4">
              <w:t>$</w:t>
            </w:r>
            <w:r w:rsidR="00B90395" w:rsidRPr="00B90395">
              <w:rPr>
                <w:sz w:val="2"/>
                <w:highlight w:val="black"/>
              </w:rPr>
              <w:t>redacted content</w:t>
            </w:r>
          </w:p>
        </w:tc>
        <w:tc>
          <w:tcPr>
            <w:tcW w:w="708" w:type="pct"/>
            <w:vAlign w:val="center"/>
          </w:tcPr>
          <w:p w14:paraId="5E63DF8C" w14:textId="551C4598" w:rsidR="00943B9C" w:rsidRPr="00100095" w:rsidRDefault="00943B9C" w:rsidP="0020608D">
            <w:pPr>
              <w:pStyle w:val="COMTabletext"/>
              <w:jc w:val="center"/>
            </w:pPr>
            <w:r w:rsidRPr="00B90900">
              <w:t>21.5</w:t>
            </w:r>
          </w:p>
        </w:tc>
        <w:tc>
          <w:tcPr>
            <w:tcW w:w="1150" w:type="pct"/>
            <w:vAlign w:val="center"/>
          </w:tcPr>
          <w:p w14:paraId="3C0C5AE6" w14:textId="0739ACD2" w:rsidR="00943B9C" w:rsidRPr="00100095" w:rsidRDefault="007318E5" w:rsidP="0020608D">
            <w:pPr>
              <w:pStyle w:val="COMTabletext"/>
            </w:pPr>
            <w:r>
              <w:t>$</w:t>
            </w:r>
            <w:r w:rsidR="00B90395" w:rsidRPr="00B90395">
              <w:rPr>
                <w:sz w:val="2"/>
                <w:highlight w:val="black"/>
              </w:rPr>
              <w:t>redacted content</w:t>
            </w:r>
            <w:r w:rsidR="00D65840">
              <w:rPr>
                <w:vertAlign w:val="superscript"/>
              </w:rPr>
              <w:t>3</w:t>
            </w:r>
            <w:r w:rsidR="00943B9C" w:rsidRPr="00100095">
              <w:t xml:space="preserve"> per flare avoided</w:t>
            </w:r>
          </w:p>
        </w:tc>
      </w:tr>
      <w:tr w:rsidR="00943B9C" w:rsidRPr="00100095" w14:paraId="3B09471E" w14:textId="77777777" w:rsidTr="00864507">
        <w:tc>
          <w:tcPr>
            <w:tcW w:w="390" w:type="pct"/>
            <w:vAlign w:val="center"/>
          </w:tcPr>
          <w:p w14:paraId="6C011C28" w14:textId="77777777" w:rsidR="00943B9C" w:rsidRPr="00100095" w:rsidRDefault="00943B9C" w:rsidP="0020608D">
            <w:pPr>
              <w:pStyle w:val="COMTabletext"/>
            </w:pPr>
            <w:r w:rsidRPr="00100095">
              <w:t xml:space="preserve">Step </w:t>
            </w:r>
            <w:r>
              <w:t>2b</w:t>
            </w:r>
          </w:p>
        </w:tc>
        <w:tc>
          <w:tcPr>
            <w:tcW w:w="2043" w:type="pct"/>
            <w:vAlign w:val="center"/>
          </w:tcPr>
          <w:p w14:paraId="01A21B3A" w14:textId="77777777" w:rsidR="00943B9C" w:rsidRPr="00100095" w:rsidRDefault="00943B9C" w:rsidP="0020608D">
            <w:pPr>
              <w:pStyle w:val="COMTabletext"/>
            </w:pPr>
            <w:r>
              <w:t>As for Step 2a.</w:t>
            </w:r>
          </w:p>
        </w:tc>
        <w:tc>
          <w:tcPr>
            <w:tcW w:w="708" w:type="pct"/>
            <w:vAlign w:val="center"/>
          </w:tcPr>
          <w:p w14:paraId="160C5CCC" w14:textId="1BFE85D6" w:rsidR="00943B9C" w:rsidRPr="00100095" w:rsidRDefault="00943B9C" w:rsidP="0020608D">
            <w:pPr>
              <w:pStyle w:val="COMTabletext"/>
              <w:jc w:val="center"/>
            </w:pPr>
            <w:r w:rsidRPr="00A64EC4">
              <w:t>$</w:t>
            </w:r>
            <w:r w:rsidR="00B90395" w:rsidRPr="00B90395">
              <w:rPr>
                <w:sz w:val="2"/>
                <w:highlight w:val="black"/>
              </w:rPr>
              <w:t>redacted content</w:t>
            </w:r>
          </w:p>
        </w:tc>
        <w:tc>
          <w:tcPr>
            <w:tcW w:w="708" w:type="pct"/>
            <w:vAlign w:val="center"/>
          </w:tcPr>
          <w:p w14:paraId="2E1FA273" w14:textId="6E8275B0" w:rsidR="00943B9C" w:rsidRPr="00100095" w:rsidRDefault="00943B9C" w:rsidP="0020608D">
            <w:pPr>
              <w:pStyle w:val="COMTabletext"/>
              <w:jc w:val="center"/>
            </w:pPr>
            <w:r w:rsidRPr="0026468C">
              <w:t>0.77</w:t>
            </w:r>
          </w:p>
        </w:tc>
        <w:tc>
          <w:tcPr>
            <w:tcW w:w="1150" w:type="pct"/>
            <w:vAlign w:val="center"/>
          </w:tcPr>
          <w:p w14:paraId="42FB3ABD" w14:textId="3F1C82D1" w:rsidR="00943B9C" w:rsidRPr="00DF62DC" w:rsidRDefault="007318E5" w:rsidP="0020608D">
            <w:pPr>
              <w:pStyle w:val="COMTabletext"/>
              <w:rPr>
                <w:vertAlign w:val="superscript"/>
              </w:rPr>
            </w:pPr>
            <w:r>
              <w:t>$</w:t>
            </w:r>
            <w:r w:rsidR="00B90395" w:rsidRPr="00B90395">
              <w:rPr>
                <w:sz w:val="2"/>
                <w:highlight w:val="black"/>
              </w:rPr>
              <w:t>redacted content</w:t>
            </w:r>
            <w:r w:rsidR="00E92B95">
              <w:rPr>
                <w:vertAlign w:val="superscript"/>
              </w:rPr>
              <w:t>2</w:t>
            </w:r>
            <w:r w:rsidR="00943B9C" w:rsidRPr="00100095">
              <w:t xml:space="preserve"> per responder</w:t>
            </w:r>
            <w:r w:rsidR="00943B9C">
              <w:t>-</w:t>
            </w:r>
            <w:r w:rsidR="00943B9C" w:rsidRPr="00100095">
              <w:t>year</w:t>
            </w:r>
            <w:r w:rsidR="00943B9C">
              <w:t xml:space="preserve"> </w:t>
            </w:r>
            <w:r w:rsidR="00943B9C">
              <w:rPr>
                <w:vertAlign w:val="superscript"/>
              </w:rPr>
              <w:t>c</w:t>
            </w:r>
          </w:p>
        </w:tc>
      </w:tr>
      <w:tr w:rsidR="00943B9C" w:rsidRPr="00100095" w14:paraId="0DE56388" w14:textId="77777777" w:rsidTr="00864507">
        <w:tc>
          <w:tcPr>
            <w:tcW w:w="390" w:type="pct"/>
            <w:vAlign w:val="center"/>
          </w:tcPr>
          <w:p w14:paraId="6DFA22C3" w14:textId="77777777" w:rsidR="00943B9C" w:rsidRPr="00100095" w:rsidRDefault="00943B9C" w:rsidP="0020608D">
            <w:pPr>
              <w:pStyle w:val="COMTabletext"/>
            </w:pPr>
            <w:r w:rsidRPr="00100095">
              <w:t xml:space="preserve">Step </w:t>
            </w:r>
            <w:r>
              <w:t>3</w:t>
            </w:r>
          </w:p>
        </w:tc>
        <w:tc>
          <w:tcPr>
            <w:tcW w:w="2043" w:type="pct"/>
            <w:vAlign w:val="center"/>
          </w:tcPr>
          <w:p w14:paraId="30147D04" w14:textId="77777777" w:rsidR="00943B9C" w:rsidRPr="00100095" w:rsidRDefault="00943B9C" w:rsidP="0020608D">
            <w:pPr>
              <w:pStyle w:val="COMTabletext"/>
            </w:pPr>
            <w:r>
              <w:t>Time horizon increased to 70 years, discounting of all costs and outcomes.</w:t>
            </w:r>
          </w:p>
        </w:tc>
        <w:tc>
          <w:tcPr>
            <w:tcW w:w="708" w:type="pct"/>
            <w:vAlign w:val="center"/>
          </w:tcPr>
          <w:p w14:paraId="571C2FCF" w14:textId="1E3C15AA" w:rsidR="00943B9C" w:rsidRPr="00100095" w:rsidRDefault="00943B9C" w:rsidP="0020608D">
            <w:pPr>
              <w:pStyle w:val="COMTabletext"/>
              <w:jc w:val="center"/>
            </w:pPr>
            <w:r w:rsidRPr="00D55846">
              <w:t>$</w:t>
            </w:r>
            <w:r w:rsidR="00B90395" w:rsidRPr="00B90395">
              <w:rPr>
                <w:sz w:val="2"/>
                <w:highlight w:val="black"/>
              </w:rPr>
              <w:t>redacted content</w:t>
            </w:r>
          </w:p>
        </w:tc>
        <w:tc>
          <w:tcPr>
            <w:tcW w:w="708" w:type="pct"/>
            <w:vAlign w:val="center"/>
          </w:tcPr>
          <w:p w14:paraId="0A0087CA" w14:textId="0D59E537" w:rsidR="00943B9C" w:rsidRPr="00100095" w:rsidRDefault="00943B9C" w:rsidP="0020608D">
            <w:pPr>
              <w:pStyle w:val="COMTabletext"/>
              <w:jc w:val="center"/>
            </w:pPr>
            <w:r w:rsidRPr="0010007F">
              <w:t>1.</w:t>
            </w:r>
            <w:r w:rsidR="00EE4398">
              <w:t>10</w:t>
            </w:r>
          </w:p>
        </w:tc>
        <w:tc>
          <w:tcPr>
            <w:tcW w:w="1150" w:type="pct"/>
            <w:vAlign w:val="center"/>
          </w:tcPr>
          <w:p w14:paraId="1D0CC4C4" w14:textId="68BF6967" w:rsidR="00943B9C" w:rsidRPr="00100095" w:rsidRDefault="007839D7" w:rsidP="0020608D">
            <w:pPr>
              <w:pStyle w:val="COMTabletext"/>
            </w:pPr>
            <w:r>
              <w:t>$</w:t>
            </w:r>
            <w:r w:rsidR="00B90395" w:rsidRPr="00B90395">
              <w:rPr>
                <w:sz w:val="2"/>
                <w:highlight w:val="black"/>
              </w:rPr>
              <w:t>redacted content</w:t>
            </w:r>
            <w:r w:rsidR="0072235F">
              <w:rPr>
                <w:vertAlign w:val="superscript"/>
              </w:rPr>
              <w:t>4</w:t>
            </w:r>
            <w:r w:rsidR="00943B9C" w:rsidRPr="00100095">
              <w:t xml:space="preserve"> per life year gained</w:t>
            </w:r>
          </w:p>
        </w:tc>
      </w:tr>
      <w:tr w:rsidR="00943B9C" w:rsidRPr="00100095" w14:paraId="2C96E9E4" w14:textId="77777777" w:rsidTr="00864507">
        <w:trPr>
          <w:trHeight w:val="245"/>
        </w:trPr>
        <w:tc>
          <w:tcPr>
            <w:tcW w:w="390" w:type="pct"/>
            <w:vAlign w:val="center"/>
          </w:tcPr>
          <w:p w14:paraId="34280118" w14:textId="77777777" w:rsidR="00943B9C" w:rsidRPr="00100095" w:rsidRDefault="00943B9C" w:rsidP="0020608D">
            <w:pPr>
              <w:pStyle w:val="COMTabletext"/>
            </w:pPr>
            <w:r w:rsidRPr="00100095">
              <w:t xml:space="preserve">Step </w:t>
            </w:r>
            <w:r>
              <w:t>4</w:t>
            </w:r>
          </w:p>
        </w:tc>
        <w:tc>
          <w:tcPr>
            <w:tcW w:w="2043" w:type="pct"/>
            <w:vAlign w:val="center"/>
          </w:tcPr>
          <w:p w14:paraId="7DBEC165" w14:textId="77777777" w:rsidR="00943B9C" w:rsidRPr="00100095" w:rsidRDefault="00943B9C" w:rsidP="0020608D">
            <w:pPr>
              <w:pStyle w:val="COMTabletext"/>
            </w:pPr>
            <w:r>
              <w:t>As for Step 3, with inclusion of health state utilities.</w:t>
            </w:r>
          </w:p>
        </w:tc>
        <w:tc>
          <w:tcPr>
            <w:tcW w:w="708" w:type="pct"/>
            <w:vAlign w:val="center"/>
          </w:tcPr>
          <w:p w14:paraId="7959012F" w14:textId="10E735C7" w:rsidR="00943B9C" w:rsidRPr="00100095" w:rsidRDefault="00943B9C" w:rsidP="0020608D">
            <w:pPr>
              <w:pStyle w:val="COMTabletext"/>
              <w:jc w:val="center"/>
            </w:pPr>
            <w:r w:rsidRPr="00A3208A">
              <w:t>$</w:t>
            </w:r>
            <w:r w:rsidR="00B90395" w:rsidRPr="00B90395">
              <w:rPr>
                <w:sz w:val="2"/>
                <w:highlight w:val="black"/>
              </w:rPr>
              <w:t>redacted content</w:t>
            </w:r>
          </w:p>
        </w:tc>
        <w:tc>
          <w:tcPr>
            <w:tcW w:w="708" w:type="pct"/>
            <w:vAlign w:val="center"/>
          </w:tcPr>
          <w:p w14:paraId="32C20F5C" w14:textId="7448A8D8" w:rsidR="00943B9C" w:rsidRPr="00100095" w:rsidRDefault="00EA197A" w:rsidP="0020608D">
            <w:pPr>
              <w:pStyle w:val="COMTabletext"/>
              <w:jc w:val="center"/>
            </w:pPr>
            <w:r>
              <w:t>2.15</w:t>
            </w:r>
          </w:p>
        </w:tc>
        <w:tc>
          <w:tcPr>
            <w:tcW w:w="1150" w:type="pct"/>
            <w:vAlign w:val="center"/>
          </w:tcPr>
          <w:p w14:paraId="1A0E2B11" w14:textId="4EC1A5AF" w:rsidR="00943B9C" w:rsidRPr="00100095" w:rsidRDefault="005C07B8" w:rsidP="0020608D">
            <w:pPr>
              <w:pStyle w:val="COMTabletext"/>
            </w:pPr>
            <w:r>
              <w:t>$</w:t>
            </w:r>
            <w:r w:rsidR="00B90395" w:rsidRPr="00B90395">
              <w:rPr>
                <w:sz w:val="2"/>
                <w:highlight w:val="black"/>
              </w:rPr>
              <w:t>redacted content</w:t>
            </w:r>
            <w:r w:rsidR="00991D16">
              <w:rPr>
                <w:vertAlign w:val="superscript"/>
              </w:rPr>
              <w:t>5</w:t>
            </w:r>
            <w:r w:rsidR="00943B9C" w:rsidRPr="00100095">
              <w:t xml:space="preserve"> per QALY gained</w:t>
            </w:r>
          </w:p>
        </w:tc>
      </w:tr>
    </w:tbl>
    <w:p w14:paraId="3497AAF1" w14:textId="77777777" w:rsidR="00554CDC" w:rsidRPr="00100095" w:rsidRDefault="00554CDC" w:rsidP="0020608D">
      <w:pPr>
        <w:pStyle w:val="COMTablefooter"/>
        <w:keepNext/>
        <w:keepLines/>
      </w:pPr>
      <w:r w:rsidRPr="00100095">
        <w:t>Source: Table 3.9, p255 of the submission.</w:t>
      </w:r>
    </w:p>
    <w:p w14:paraId="3985B498" w14:textId="77777777" w:rsidR="00554CDC" w:rsidRDefault="00554CDC" w:rsidP="0020608D">
      <w:pPr>
        <w:pStyle w:val="COMTablefooter"/>
        <w:keepNext/>
        <w:keepLines/>
      </w:pPr>
      <w:r w:rsidRPr="00100095">
        <w:t>Abbreviations:</w:t>
      </w:r>
      <w:r>
        <w:t xml:space="preserve"> QALY, quality-adjusted life year.</w:t>
      </w:r>
    </w:p>
    <w:p w14:paraId="596E0B47" w14:textId="77777777" w:rsidR="00554CDC" w:rsidRDefault="00554CDC" w:rsidP="0020608D">
      <w:pPr>
        <w:pStyle w:val="COMTablefooter"/>
        <w:keepNext/>
        <w:keepLines/>
      </w:pPr>
      <w:r>
        <w:rPr>
          <w:vertAlign w:val="superscript"/>
        </w:rPr>
        <w:t>a</w:t>
      </w:r>
      <w:r>
        <w:t xml:space="preserve"> Based on the number of patients who did not experience a disease flare during Stage 2 of the CLUSTER trial.</w:t>
      </w:r>
    </w:p>
    <w:p w14:paraId="6DB37762" w14:textId="77777777" w:rsidR="00554CDC" w:rsidRDefault="00554CDC" w:rsidP="0020608D">
      <w:pPr>
        <w:pStyle w:val="COMTablefooter"/>
        <w:keepNext/>
        <w:keepLines/>
      </w:pPr>
      <w:r>
        <w:rPr>
          <w:vertAlign w:val="superscript"/>
        </w:rPr>
        <w:t>b</w:t>
      </w:r>
      <w:r>
        <w:t xml:space="preserve"> Resolution of the index flare at Day 15 and no new disease flares over 16 weeks of treatment during Stage 2 of the CLUSTER trial.</w:t>
      </w:r>
    </w:p>
    <w:p w14:paraId="18F7ED94" w14:textId="77777777" w:rsidR="00554CDC" w:rsidRDefault="00554CDC" w:rsidP="0020608D">
      <w:pPr>
        <w:pStyle w:val="COMTablefooter"/>
        <w:keepNext/>
        <w:keepLines/>
        <w:spacing w:before="160"/>
      </w:pPr>
      <w:r>
        <w:rPr>
          <w:vertAlign w:val="superscript"/>
        </w:rPr>
        <w:t>c</w:t>
      </w:r>
      <w:r>
        <w:t xml:space="preserve"> Based on the proportion of patients who did not experience a disease flare over the initial year of treatment.</w:t>
      </w:r>
    </w:p>
    <w:p w14:paraId="7D309080" w14:textId="77777777" w:rsidR="007C1E52" w:rsidRPr="007C1E52" w:rsidRDefault="007C1E52" w:rsidP="0020608D">
      <w:pPr>
        <w:pStyle w:val="COMTablefooter"/>
        <w:keepNext/>
        <w:keepLines/>
        <w:spacing w:before="160"/>
        <w:rPr>
          <w:i/>
        </w:rPr>
      </w:pPr>
      <w:r w:rsidRPr="007C1E52">
        <w:rPr>
          <w:i/>
        </w:rPr>
        <w:t xml:space="preserve">The redacted values correspond to the following ranges: </w:t>
      </w:r>
    </w:p>
    <w:p w14:paraId="4B247E8D" w14:textId="7D2F4577" w:rsidR="007C1E52" w:rsidRPr="007C1E52" w:rsidRDefault="007C1E52" w:rsidP="0020608D">
      <w:pPr>
        <w:pStyle w:val="COMTablefooter"/>
        <w:keepNext/>
        <w:keepLines/>
        <w:spacing w:before="160"/>
        <w:rPr>
          <w:i/>
        </w:rPr>
      </w:pPr>
      <w:r w:rsidRPr="007C1E52">
        <w:rPr>
          <w:i/>
          <w:vertAlign w:val="superscript"/>
        </w:rPr>
        <w:t>1</w:t>
      </w:r>
      <w:r w:rsidRPr="007C1E52">
        <w:rPr>
          <w:i/>
        </w:rPr>
        <w:t xml:space="preserve"> </w:t>
      </w:r>
      <w:r w:rsidR="00817595" w:rsidRPr="00817595">
        <w:rPr>
          <w:i/>
        </w:rPr>
        <w:t>$75,000 to &lt; $95,000</w:t>
      </w:r>
    </w:p>
    <w:p w14:paraId="5217D165" w14:textId="69019FB3" w:rsidR="007C1E52" w:rsidRPr="007C1E52" w:rsidRDefault="007C1E52" w:rsidP="0020608D">
      <w:pPr>
        <w:pStyle w:val="COMTablefooter"/>
        <w:keepNext/>
        <w:keepLines/>
        <w:spacing w:before="160"/>
        <w:rPr>
          <w:i/>
        </w:rPr>
      </w:pPr>
      <w:r w:rsidRPr="007C1E52">
        <w:rPr>
          <w:i/>
          <w:vertAlign w:val="superscript"/>
        </w:rPr>
        <w:t>2</w:t>
      </w:r>
      <w:r w:rsidRPr="007C1E52">
        <w:rPr>
          <w:i/>
        </w:rPr>
        <w:t xml:space="preserve"> </w:t>
      </w:r>
      <w:r w:rsidR="00E92B95" w:rsidRPr="00E92B95">
        <w:rPr>
          <w:i/>
        </w:rPr>
        <w:t>$95,000 to &lt; $115,000</w:t>
      </w:r>
    </w:p>
    <w:p w14:paraId="76C8F84A" w14:textId="54C03AA5" w:rsidR="007C1E52" w:rsidRPr="007C1E52" w:rsidRDefault="007C1E52" w:rsidP="0020608D">
      <w:pPr>
        <w:pStyle w:val="COMTablefooter"/>
        <w:keepNext/>
        <w:keepLines/>
        <w:spacing w:before="160"/>
        <w:rPr>
          <w:i/>
        </w:rPr>
      </w:pPr>
      <w:r w:rsidRPr="007C1E52">
        <w:rPr>
          <w:i/>
          <w:vertAlign w:val="superscript"/>
        </w:rPr>
        <w:t>3</w:t>
      </w:r>
      <w:r w:rsidRPr="007C1E52">
        <w:rPr>
          <w:i/>
        </w:rPr>
        <w:t xml:space="preserve"> </w:t>
      </w:r>
      <w:r w:rsidR="00E0706C" w:rsidRPr="00E0706C">
        <w:rPr>
          <w:i/>
        </w:rPr>
        <w:t>$0 to &lt; $5,000</w:t>
      </w:r>
    </w:p>
    <w:p w14:paraId="16EA1E9B" w14:textId="4989BB31" w:rsidR="007C1E52" w:rsidRPr="007C1E52" w:rsidRDefault="007C1E52" w:rsidP="0020608D">
      <w:pPr>
        <w:pStyle w:val="COMTablefooter"/>
        <w:keepNext/>
        <w:keepLines/>
        <w:spacing w:before="160"/>
        <w:rPr>
          <w:i/>
        </w:rPr>
      </w:pPr>
      <w:r w:rsidRPr="007C1E52">
        <w:rPr>
          <w:i/>
          <w:vertAlign w:val="superscript"/>
        </w:rPr>
        <w:t>4</w:t>
      </w:r>
      <w:r w:rsidRPr="007C1E52">
        <w:rPr>
          <w:i/>
        </w:rPr>
        <w:t xml:space="preserve"> </w:t>
      </w:r>
      <w:r w:rsidR="0072235F" w:rsidRPr="0072235F">
        <w:rPr>
          <w:i/>
        </w:rPr>
        <w:t>$455,000 to &lt; $555,000</w:t>
      </w:r>
    </w:p>
    <w:p w14:paraId="0360A313" w14:textId="4C63BF0B" w:rsidR="007C1E52" w:rsidRPr="007C1E52" w:rsidRDefault="007C1E52" w:rsidP="0020608D">
      <w:pPr>
        <w:pStyle w:val="COMTablefooter"/>
        <w:keepNext/>
        <w:keepLines/>
        <w:spacing w:before="160"/>
        <w:rPr>
          <w:i/>
        </w:rPr>
      </w:pPr>
      <w:r w:rsidRPr="007C1E52">
        <w:rPr>
          <w:i/>
          <w:vertAlign w:val="superscript"/>
        </w:rPr>
        <w:t>5</w:t>
      </w:r>
      <w:r w:rsidRPr="007C1E52">
        <w:rPr>
          <w:i/>
        </w:rPr>
        <w:t xml:space="preserve"> </w:t>
      </w:r>
      <w:r w:rsidR="00991D16" w:rsidRPr="00991D16">
        <w:rPr>
          <w:i/>
        </w:rPr>
        <w:t>$255,000 to &lt; $355,000</w:t>
      </w:r>
    </w:p>
    <w:p w14:paraId="39228806" w14:textId="77777777" w:rsidR="007C1E52" w:rsidRPr="00100095" w:rsidRDefault="007C1E52" w:rsidP="004B083B">
      <w:pPr>
        <w:pStyle w:val="COMTablefooter"/>
        <w:spacing w:before="160"/>
        <w:rPr>
          <w:sz w:val="20"/>
        </w:rPr>
      </w:pPr>
    </w:p>
    <w:p w14:paraId="2C0F5ABB" w14:textId="686140DE" w:rsidR="0079556C" w:rsidRPr="00597AA3" w:rsidRDefault="0079556C" w:rsidP="004B083B">
      <w:pPr>
        <w:pStyle w:val="COMESnumberedpara"/>
      </w:pPr>
      <w:r w:rsidRPr="00597AA3">
        <w:fldChar w:fldCharType="begin"/>
      </w:r>
      <w:r w:rsidRPr="00597AA3">
        <w:instrText xml:space="preserve"> REF _Ref104805181 \h  \* MERGEFORMAT </w:instrText>
      </w:r>
      <w:r w:rsidRPr="00597AA3">
        <w:fldChar w:fldCharType="separate"/>
      </w:r>
      <w:r w:rsidR="00815AB6" w:rsidRPr="00597AA3">
        <w:t xml:space="preserve">Table </w:t>
      </w:r>
      <w:r w:rsidR="00815AB6">
        <w:t>10</w:t>
      </w:r>
      <w:r w:rsidRPr="00597AA3">
        <w:fldChar w:fldCharType="end"/>
      </w:r>
      <w:r w:rsidRPr="00597AA3">
        <w:t xml:space="preserve"> presents the results of the economic evaluation</w:t>
      </w:r>
      <w:r w:rsidR="00003068">
        <w:t xml:space="preserve"> </w:t>
      </w:r>
      <w:r w:rsidRPr="00597AA3">
        <w:t>(obtained using 1 run of 1,000 simulated patients).</w:t>
      </w:r>
    </w:p>
    <w:p w14:paraId="64187A9E" w14:textId="256DC09C" w:rsidR="0079556C" w:rsidRPr="00597AA3" w:rsidRDefault="0079556C" w:rsidP="004B083B">
      <w:pPr>
        <w:pStyle w:val="COMTableFigurecaption"/>
        <w:spacing w:before="160"/>
        <w:rPr>
          <w:b w:val="0"/>
        </w:rPr>
      </w:pPr>
      <w:bookmarkStart w:id="58" w:name="_Ref104805181"/>
      <w:r w:rsidRPr="00597AA3">
        <w:t xml:space="preserve">Table </w:t>
      </w:r>
      <w:fldSimple w:instr=" SEQ Table \* ARABIC ">
        <w:r w:rsidR="00815AB6">
          <w:rPr>
            <w:noProof/>
          </w:rPr>
          <w:t>10</w:t>
        </w:r>
      </w:fldSimple>
      <w:bookmarkEnd w:id="58"/>
      <w:r w:rsidRPr="00597AA3">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Results of the economic evaluation"/>
      </w:tblPr>
      <w:tblGrid>
        <w:gridCol w:w="3342"/>
        <w:gridCol w:w="2182"/>
        <w:gridCol w:w="1982"/>
        <w:gridCol w:w="1511"/>
      </w:tblGrid>
      <w:tr w:rsidR="0079556C" w:rsidRPr="00597AA3" w14:paraId="0A4D8F5F" w14:textId="77777777">
        <w:trPr>
          <w:tblHeader/>
        </w:trPr>
        <w:tc>
          <w:tcPr>
            <w:tcW w:w="1853" w:type="pct"/>
            <w:vAlign w:val="center"/>
          </w:tcPr>
          <w:p w14:paraId="1A24F291" w14:textId="77777777" w:rsidR="0079556C" w:rsidRPr="00597AA3" w:rsidRDefault="0079556C" w:rsidP="004B083B">
            <w:pPr>
              <w:pStyle w:val="COMTableheadingrow"/>
            </w:pPr>
            <w:r w:rsidRPr="00597AA3">
              <w:t>Component</w:t>
            </w:r>
          </w:p>
        </w:tc>
        <w:tc>
          <w:tcPr>
            <w:tcW w:w="1210" w:type="pct"/>
            <w:vAlign w:val="center"/>
          </w:tcPr>
          <w:p w14:paraId="167A5F1F" w14:textId="77777777" w:rsidR="0079556C" w:rsidRPr="00597AA3" w:rsidRDefault="0079556C" w:rsidP="004B083B">
            <w:pPr>
              <w:pStyle w:val="COMTableheadingrow"/>
              <w:jc w:val="center"/>
            </w:pPr>
            <w:r w:rsidRPr="00597AA3">
              <w:t>Canakinumab + BSC</w:t>
            </w:r>
          </w:p>
        </w:tc>
        <w:tc>
          <w:tcPr>
            <w:tcW w:w="1099" w:type="pct"/>
            <w:vAlign w:val="center"/>
          </w:tcPr>
          <w:p w14:paraId="6F9FF5CF" w14:textId="77777777" w:rsidR="0079556C" w:rsidRPr="00597AA3" w:rsidRDefault="0079556C" w:rsidP="004B083B">
            <w:pPr>
              <w:pStyle w:val="COMTableheadingrow"/>
              <w:jc w:val="center"/>
            </w:pPr>
            <w:r w:rsidRPr="00597AA3">
              <w:t>BSC</w:t>
            </w:r>
          </w:p>
        </w:tc>
        <w:tc>
          <w:tcPr>
            <w:tcW w:w="838" w:type="pct"/>
            <w:vAlign w:val="center"/>
          </w:tcPr>
          <w:p w14:paraId="66A60653" w14:textId="77777777" w:rsidR="0079556C" w:rsidRPr="00597AA3" w:rsidRDefault="0079556C" w:rsidP="004B083B">
            <w:pPr>
              <w:pStyle w:val="COMTableheadingrow"/>
              <w:jc w:val="center"/>
            </w:pPr>
            <w:r w:rsidRPr="00597AA3">
              <w:t>Increment</w:t>
            </w:r>
          </w:p>
        </w:tc>
      </w:tr>
      <w:tr w:rsidR="0079556C" w:rsidRPr="00597AA3" w14:paraId="1478296E" w14:textId="77777777">
        <w:tc>
          <w:tcPr>
            <w:tcW w:w="1853" w:type="pct"/>
            <w:vAlign w:val="center"/>
          </w:tcPr>
          <w:p w14:paraId="5C81F498" w14:textId="77777777" w:rsidR="0079556C" w:rsidRPr="00597AA3" w:rsidRDefault="0079556C" w:rsidP="004B083B">
            <w:pPr>
              <w:pStyle w:val="COMTabletext"/>
              <w:rPr>
                <w:rFonts w:ascii="Times" w:hAnsi="Times"/>
              </w:rPr>
            </w:pPr>
            <w:r w:rsidRPr="00597AA3">
              <w:t>Costs</w:t>
            </w:r>
          </w:p>
        </w:tc>
        <w:tc>
          <w:tcPr>
            <w:tcW w:w="1210" w:type="pct"/>
            <w:vAlign w:val="center"/>
          </w:tcPr>
          <w:p w14:paraId="00915732" w14:textId="2BB476ED" w:rsidR="0079556C" w:rsidRPr="00597AA3" w:rsidRDefault="0079556C" w:rsidP="004B083B">
            <w:pPr>
              <w:pStyle w:val="COMTabletext"/>
              <w:jc w:val="center"/>
              <w:rPr>
                <w:rFonts w:ascii="Times" w:hAnsi="Times"/>
              </w:rPr>
            </w:pPr>
            <w:r w:rsidRPr="00597AA3">
              <w:t>$</w:t>
            </w:r>
            <w:r w:rsidR="00B90395" w:rsidRPr="00B90395">
              <w:rPr>
                <w:sz w:val="2"/>
                <w:highlight w:val="black"/>
              </w:rPr>
              <w:t>redacted content</w:t>
            </w:r>
          </w:p>
        </w:tc>
        <w:tc>
          <w:tcPr>
            <w:tcW w:w="1099" w:type="pct"/>
            <w:vAlign w:val="center"/>
          </w:tcPr>
          <w:p w14:paraId="62CAC2D3" w14:textId="77777777" w:rsidR="0079556C" w:rsidRPr="00597AA3" w:rsidRDefault="0079556C" w:rsidP="004B083B">
            <w:pPr>
              <w:pStyle w:val="COMTabletext"/>
              <w:jc w:val="center"/>
              <w:rPr>
                <w:rFonts w:ascii="Times" w:hAnsi="Times"/>
              </w:rPr>
            </w:pPr>
            <w:r w:rsidRPr="00597AA3">
              <w:t>$967,202</w:t>
            </w:r>
          </w:p>
        </w:tc>
        <w:tc>
          <w:tcPr>
            <w:tcW w:w="838" w:type="pct"/>
            <w:vAlign w:val="center"/>
          </w:tcPr>
          <w:p w14:paraId="17A0F232" w14:textId="3AF86A8E" w:rsidR="0079556C" w:rsidRPr="00597AA3" w:rsidRDefault="0079556C" w:rsidP="004B083B">
            <w:pPr>
              <w:pStyle w:val="COMTabletext"/>
              <w:jc w:val="center"/>
              <w:rPr>
                <w:rFonts w:ascii="Times" w:hAnsi="Times"/>
              </w:rPr>
            </w:pPr>
            <w:r w:rsidRPr="00597AA3">
              <w:t>$</w:t>
            </w:r>
            <w:r w:rsidR="00B90395" w:rsidRPr="00B90395">
              <w:rPr>
                <w:sz w:val="2"/>
                <w:highlight w:val="black"/>
              </w:rPr>
              <w:t>redacted content</w:t>
            </w:r>
          </w:p>
        </w:tc>
      </w:tr>
      <w:tr w:rsidR="0079556C" w:rsidRPr="00597AA3" w14:paraId="7BD2129D" w14:textId="77777777">
        <w:tc>
          <w:tcPr>
            <w:tcW w:w="1853" w:type="pct"/>
            <w:vAlign w:val="center"/>
          </w:tcPr>
          <w:p w14:paraId="60DA1C74" w14:textId="77777777" w:rsidR="0079556C" w:rsidRPr="00597AA3" w:rsidRDefault="0079556C" w:rsidP="004B083B">
            <w:pPr>
              <w:pStyle w:val="COMTabletext"/>
            </w:pPr>
            <w:r w:rsidRPr="00597AA3">
              <w:t>Life years gained</w:t>
            </w:r>
          </w:p>
        </w:tc>
        <w:tc>
          <w:tcPr>
            <w:tcW w:w="1210" w:type="pct"/>
            <w:vAlign w:val="center"/>
          </w:tcPr>
          <w:p w14:paraId="2A827086" w14:textId="77777777" w:rsidR="0079556C" w:rsidRPr="00597AA3" w:rsidRDefault="0079556C" w:rsidP="004B083B">
            <w:pPr>
              <w:pStyle w:val="COMTabletext"/>
              <w:jc w:val="center"/>
            </w:pPr>
            <w:r w:rsidRPr="00597AA3">
              <w:t>16.426</w:t>
            </w:r>
          </w:p>
        </w:tc>
        <w:tc>
          <w:tcPr>
            <w:tcW w:w="1099" w:type="pct"/>
            <w:vAlign w:val="center"/>
          </w:tcPr>
          <w:p w14:paraId="69238B1C" w14:textId="77777777" w:rsidR="0079556C" w:rsidRPr="00597AA3" w:rsidRDefault="0079556C" w:rsidP="004B083B">
            <w:pPr>
              <w:pStyle w:val="COMTabletext"/>
              <w:jc w:val="center"/>
            </w:pPr>
            <w:r w:rsidRPr="00597AA3">
              <w:t>15.323</w:t>
            </w:r>
          </w:p>
        </w:tc>
        <w:tc>
          <w:tcPr>
            <w:tcW w:w="838" w:type="pct"/>
            <w:vAlign w:val="center"/>
          </w:tcPr>
          <w:p w14:paraId="139CA77D" w14:textId="77777777" w:rsidR="0079556C" w:rsidRPr="00597AA3" w:rsidRDefault="0079556C" w:rsidP="004B083B">
            <w:pPr>
              <w:pStyle w:val="COMTabletext"/>
              <w:jc w:val="center"/>
            </w:pPr>
            <w:r w:rsidRPr="00597AA3">
              <w:t>1.104</w:t>
            </w:r>
          </w:p>
        </w:tc>
      </w:tr>
      <w:tr w:rsidR="0079556C" w:rsidRPr="00597AA3" w14:paraId="19B79670" w14:textId="77777777">
        <w:tc>
          <w:tcPr>
            <w:tcW w:w="1853" w:type="pct"/>
            <w:vAlign w:val="center"/>
          </w:tcPr>
          <w:p w14:paraId="452117AE" w14:textId="77777777" w:rsidR="0079556C" w:rsidRPr="00597AA3" w:rsidRDefault="0079556C" w:rsidP="004B083B">
            <w:pPr>
              <w:pStyle w:val="COMTabletext"/>
            </w:pPr>
            <w:r w:rsidRPr="00597AA3">
              <w:t>QALYs</w:t>
            </w:r>
          </w:p>
        </w:tc>
        <w:tc>
          <w:tcPr>
            <w:tcW w:w="1210" w:type="pct"/>
            <w:vAlign w:val="center"/>
          </w:tcPr>
          <w:p w14:paraId="219657C9" w14:textId="77777777" w:rsidR="0079556C" w:rsidRPr="00597AA3" w:rsidRDefault="0079556C" w:rsidP="004B083B">
            <w:pPr>
              <w:pStyle w:val="COMTabletext"/>
              <w:jc w:val="center"/>
            </w:pPr>
            <w:r w:rsidRPr="00597AA3">
              <w:t>13.165</w:t>
            </w:r>
          </w:p>
        </w:tc>
        <w:tc>
          <w:tcPr>
            <w:tcW w:w="1099" w:type="pct"/>
            <w:vAlign w:val="center"/>
          </w:tcPr>
          <w:p w14:paraId="1FB2913D" w14:textId="77777777" w:rsidR="0079556C" w:rsidRPr="00597AA3" w:rsidRDefault="0079556C" w:rsidP="004B083B">
            <w:pPr>
              <w:pStyle w:val="COMTabletext"/>
              <w:jc w:val="center"/>
            </w:pPr>
            <w:r w:rsidRPr="00597AA3">
              <w:t>11.014</w:t>
            </w:r>
          </w:p>
        </w:tc>
        <w:tc>
          <w:tcPr>
            <w:tcW w:w="838" w:type="pct"/>
            <w:vAlign w:val="center"/>
          </w:tcPr>
          <w:p w14:paraId="207A951F" w14:textId="77777777" w:rsidR="0079556C" w:rsidRPr="00597AA3" w:rsidRDefault="0079556C" w:rsidP="004B083B">
            <w:pPr>
              <w:pStyle w:val="COMTabletext"/>
              <w:jc w:val="center"/>
            </w:pPr>
            <w:r w:rsidRPr="00597AA3">
              <w:t>2.151</w:t>
            </w:r>
          </w:p>
        </w:tc>
      </w:tr>
      <w:tr w:rsidR="0079556C" w:rsidRPr="00597AA3" w14:paraId="4FD141F3" w14:textId="77777777">
        <w:tc>
          <w:tcPr>
            <w:tcW w:w="4162" w:type="pct"/>
            <w:gridSpan w:val="3"/>
            <w:vAlign w:val="center"/>
          </w:tcPr>
          <w:p w14:paraId="331307CD" w14:textId="77777777" w:rsidR="0079556C" w:rsidRPr="00597AA3" w:rsidRDefault="0079556C" w:rsidP="004B083B">
            <w:pPr>
              <w:pStyle w:val="COMTabletext"/>
              <w:rPr>
                <w:b/>
                <w:bCs w:val="0"/>
              </w:rPr>
            </w:pPr>
            <w:r w:rsidRPr="00597AA3">
              <w:rPr>
                <w:b/>
                <w:bCs w:val="0"/>
              </w:rPr>
              <w:t>Incremental cost per life year gained</w:t>
            </w:r>
          </w:p>
        </w:tc>
        <w:tc>
          <w:tcPr>
            <w:tcW w:w="838" w:type="pct"/>
            <w:vAlign w:val="center"/>
          </w:tcPr>
          <w:p w14:paraId="7C1F1764" w14:textId="514617CD" w:rsidR="0079556C" w:rsidRPr="00FA1367" w:rsidRDefault="0079556C" w:rsidP="004B083B">
            <w:pPr>
              <w:pStyle w:val="COMTabletext"/>
              <w:jc w:val="center"/>
              <w:rPr>
                <w:b/>
                <w:bCs w:val="0"/>
                <w:vertAlign w:val="superscript"/>
              </w:rPr>
            </w:pPr>
            <w:r w:rsidRPr="00597AA3">
              <w:rPr>
                <w:b/>
                <w:bCs w:val="0"/>
              </w:rPr>
              <w:t>$</w:t>
            </w:r>
            <w:r w:rsidR="00B90395" w:rsidRPr="00B90395">
              <w:rPr>
                <w:b/>
                <w:bCs w:val="0"/>
                <w:sz w:val="2"/>
                <w:highlight w:val="black"/>
              </w:rPr>
              <w:t>redacted content</w:t>
            </w:r>
            <w:r w:rsidR="007E424F">
              <w:rPr>
                <w:b/>
                <w:bCs w:val="0"/>
                <w:vertAlign w:val="superscript"/>
              </w:rPr>
              <w:t>1</w:t>
            </w:r>
          </w:p>
        </w:tc>
      </w:tr>
      <w:tr w:rsidR="0079556C" w:rsidRPr="00597AA3" w14:paraId="2F2A60C0" w14:textId="77777777">
        <w:tc>
          <w:tcPr>
            <w:tcW w:w="4162" w:type="pct"/>
            <w:gridSpan w:val="3"/>
            <w:vAlign w:val="center"/>
          </w:tcPr>
          <w:p w14:paraId="29DBF367" w14:textId="77777777" w:rsidR="0079556C" w:rsidRPr="00597AA3" w:rsidRDefault="0079556C" w:rsidP="004B083B">
            <w:pPr>
              <w:pStyle w:val="COMTabletext"/>
              <w:rPr>
                <w:rFonts w:ascii="Times" w:hAnsi="Times"/>
                <w:b/>
                <w:bCs w:val="0"/>
              </w:rPr>
            </w:pPr>
            <w:r w:rsidRPr="00597AA3">
              <w:rPr>
                <w:b/>
                <w:bCs w:val="0"/>
              </w:rPr>
              <w:t>Incremental cost per QALY gained (base case)</w:t>
            </w:r>
          </w:p>
        </w:tc>
        <w:tc>
          <w:tcPr>
            <w:tcW w:w="838" w:type="pct"/>
            <w:vAlign w:val="center"/>
          </w:tcPr>
          <w:p w14:paraId="76156E03" w14:textId="2D283EDE" w:rsidR="0079556C" w:rsidRPr="007E424F" w:rsidRDefault="0079556C" w:rsidP="004B083B">
            <w:pPr>
              <w:pStyle w:val="COMTabletext"/>
              <w:jc w:val="center"/>
              <w:rPr>
                <w:rFonts w:ascii="Times" w:hAnsi="Times"/>
                <w:b/>
                <w:bCs w:val="0"/>
                <w:vertAlign w:val="superscript"/>
              </w:rPr>
            </w:pPr>
            <w:r w:rsidRPr="00597AA3">
              <w:rPr>
                <w:b/>
                <w:bCs w:val="0"/>
              </w:rPr>
              <w:t>$</w:t>
            </w:r>
            <w:r w:rsidR="00B90395" w:rsidRPr="00B90395">
              <w:rPr>
                <w:b/>
                <w:bCs w:val="0"/>
                <w:sz w:val="2"/>
                <w:highlight w:val="black"/>
              </w:rPr>
              <w:t>redacted content</w:t>
            </w:r>
            <w:r w:rsidR="007E424F">
              <w:rPr>
                <w:b/>
                <w:bCs w:val="0"/>
                <w:vertAlign w:val="superscript"/>
              </w:rPr>
              <w:t>2</w:t>
            </w:r>
          </w:p>
        </w:tc>
      </w:tr>
    </w:tbl>
    <w:p w14:paraId="07CE82BD" w14:textId="77777777" w:rsidR="0079556C" w:rsidRPr="00597AA3" w:rsidRDefault="0079556C" w:rsidP="004B083B">
      <w:pPr>
        <w:pStyle w:val="COMTablefooter"/>
      </w:pPr>
      <w:r w:rsidRPr="00597AA3">
        <w:t>Source: ‘Results’ tab of the updated Section 3 economic model Excel workbook provided during the evaluation.</w:t>
      </w:r>
    </w:p>
    <w:p w14:paraId="187A5019" w14:textId="77777777" w:rsidR="0079556C" w:rsidRDefault="0079556C" w:rsidP="004B083B">
      <w:pPr>
        <w:pStyle w:val="COMTablefooter"/>
      </w:pPr>
      <w:r w:rsidRPr="00597AA3">
        <w:t>Abbreviations: BSC, best supportive care; QALY, quality-adjusted life year.</w:t>
      </w:r>
    </w:p>
    <w:p w14:paraId="6F0C0C85" w14:textId="77777777" w:rsidR="004F1F2C" w:rsidRPr="007C1E52" w:rsidRDefault="004F1F2C" w:rsidP="004F1F2C">
      <w:pPr>
        <w:pStyle w:val="COMTablefooter"/>
        <w:keepNext/>
        <w:keepLines/>
        <w:spacing w:before="160"/>
        <w:rPr>
          <w:i/>
        </w:rPr>
      </w:pPr>
      <w:r w:rsidRPr="007C1E52">
        <w:rPr>
          <w:i/>
        </w:rPr>
        <w:t xml:space="preserve">The redacted values correspond to the following ranges: </w:t>
      </w:r>
    </w:p>
    <w:p w14:paraId="3C493B75" w14:textId="5425DF9C" w:rsidR="004F1F2C" w:rsidRPr="007C1E52" w:rsidRDefault="004F1F2C" w:rsidP="004F1F2C">
      <w:pPr>
        <w:pStyle w:val="COMTablefooter"/>
        <w:keepNext/>
        <w:keepLines/>
        <w:spacing w:before="160"/>
        <w:rPr>
          <w:i/>
        </w:rPr>
      </w:pPr>
      <w:r w:rsidRPr="007C1E52">
        <w:rPr>
          <w:i/>
          <w:vertAlign w:val="superscript"/>
        </w:rPr>
        <w:t>1</w:t>
      </w:r>
      <w:r w:rsidRPr="007C1E52">
        <w:rPr>
          <w:i/>
        </w:rPr>
        <w:t xml:space="preserve"> </w:t>
      </w:r>
      <w:r w:rsidR="00DC5725" w:rsidRPr="00DC5725">
        <w:rPr>
          <w:i/>
        </w:rPr>
        <w:t>$455,000 to &lt; $555,000</w:t>
      </w:r>
    </w:p>
    <w:p w14:paraId="607ADC22" w14:textId="5EF2DD24" w:rsidR="004F1F2C" w:rsidRPr="007C1E52" w:rsidRDefault="004F1F2C" w:rsidP="004F1F2C">
      <w:pPr>
        <w:pStyle w:val="COMTablefooter"/>
        <w:keepNext/>
        <w:keepLines/>
        <w:spacing w:before="160"/>
        <w:rPr>
          <w:i/>
        </w:rPr>
      </w:pPr>
      <w:r w:rsidRPr="007C1E52">
        <w:rPr>
          <w:i/>
          <w:vertAlign w:val="superscript"/>
        </w:rPr>
        <w:t>2</w:t>
      </w:r>
      <w:r w:rsidRPr="007C1E52">
        <w:rPr>
          <w:i/>
        </w:rPr>
        <w:t xml:space="preserve"> </w:t>
      </w:r>
      <w:r w:rsidR="007E424F" w:rsidRPr="007E424F">
        <w:rPr>
          <w:i/>
        </w:rPr>
        <w:t>$255,000 to &lt; $355,000</w:t>
      </w:r>
    </w:p>
    <w:p w14:paraId="0F1249F1" w14:textId="48101936" w:rsidR="00A25A3A" w:rsidRPr="00597AA3" w:rsidRDefault="0079556C" w:rsidP="004B083B">
      <w:pPr>
        <w:pStyle w:val="COMESnumberedpara"/>
        <w:spacing w:before="160" w:after="160"/>
      </w:pPr>
      <w:r w:rsidRPr="00597AA3">
        <w:t xml:space="preserve">The results of the microsimulation were associated with a high degree of variability (ranging from </w:t>
      </w:r>
      <w:r w:rsidR="00C50B1E" w:rsidRPr="00C50B1E">
        <w:t>$255,000 to &lt; $355,000</w:t>
      </w:r>
      <w:r w:rsidRPr="00597AA3">
        <w:t xml:space="preserve"> to </w:t>
      </w:r>
      <w:r w:rsidR="00C50B1E" w:rsidRPr="00C50B1E">
        <w:t>$255,000 to &lt; $355,000</w:t>
      </w:r>
      <w:r w:rsidRPr="00597AA3">
        <w:t xml:space="preserve"> per QALY gained based on 10 runs of 1,000 simulated patients</w:t>
      </w:r>
      <w:r w:rsidR="00A046A2" w:rsidRPr="00597AA3">
        <w:t>) and</w:t>
      </w:r>
      <w:r w:rsidRPr="00597AA3">
        <w:t xml:space="preserve"> remained unstable even when substantially higher numbers (i.e., up to 15,000 simulated patients) were used. The variability in the modelled results made it difficult to reproduce the sponsor’s base case ICER, which was at the lower end of the range, and to interpret the results of sensitivity analyses. The model did not include functionality to use a seed to model sensitivity analyses using the same sets of 1,000 patient characteristics and random numbers. Additionally, run times for the model were relatively long (approximately 25 minutes per 1,000 simulated patients), which impacted the ability to assess model functionality and limited the number of sensitivity analyses that could be conducted </w:t>
      </w:r>
      <w:r w:rsidRPr="00597AA3">
        <w:lastRenderedPageBreak/>
        <w:t>during the evaluation.</w:t>
      </w:r>
      <w:r w:rsidR="00504CBE" w:rsidRPr="00504CBE">
        <w:t xml:space="preserve"> </w:t>
      </w:r>
      <w:r w:rsidR="0017740E" w:rsidRPr="00EF4ADB">
        <w:t xml:space="preserve">The PSCR claimed that the results of the economic model stabilise and converge with </w:t>
      </w:r>
      <w:proofErr w:type="gramStart"/>
      <w:r w:rsidR="0017740E" w:rsidRPr="00EF4ADB">
        <w:t>a sufficient number of</w:t>
      </w:r>
      <w:proofErr w:type="gramEnd"/>
      <w:r w:rsidR="0017740E" w:rsidRPr="00EF4ADB">
        <w:t xml:space="preserve"> simulations</w:t>
      </w:r>
      <w:r w:rsidR="000931D0" w:rsidRPr="00EF4ADB">
        <w:t>. H</w:t>
      </w:r>
      <w:r w:rsidR="0017740E" w:rsidRPr="00EF4ADB">
        <w:t>owever</w:t>
      </w:r>
      <w:r w:rsidR="004C5039" w:rsidRPr="00EF4ADB">
        <w:t>,</w:t>
      </w:r>
      <w:r w:rsidR="0017740E" w:rsidRPr="00EF4ADB">
        <w:t xml:space="preserve"> the ESC </w:t>
      </w:r>
      <w:r w:rsidR="0078242D" w:rsidRPr="00EF4ADB">
        <w:t xml:space="preserve">disagreed with this this statement, noting </w:t>
      </w:r>
      <w:r w:rsidR="000931D0" w:rsidRPr="00EF4ADB">
        <w:t>results did not stabilise and converg</w:t>
      </w:r>
      <w:r w:rsidR="00112101" w:rsidRPr="00EF4ADB">
        <w:t xml:space="preserve">e </w:t>
      </w:r>
      <w:r w:rsidR="0017740E" w:rsidRPr="00EF4ADB">
        <w:t xml:space="preserve">even with 15,000 simulations, which takes approximately 6 hours to run. </w:t>
      </w:r>
      <w:r w:rsidR="00504CBE" w:rsidRPr="00EF4ADB">
        <w:t>The ESC was of a view that the lack of ability to seed the model severely limited its usefulness for PBAC decision making, as it was not possible to adequately characterise the uncertainty related to key assumptions and variables.</w:t>
      </w:r>
      <w:r w:rsidR="00CD0816">
        <w:t xml:space="preserve"> The Pre-PBAC Response stated</w:t>
      </w:r>
      <w:r w:rsidR="00194691">
        <w:t>, “</w:t>
      </w:r>
      <w:r w:rsidR="00194691" w:rsidRPr="00194691">
        <w:t>While a seed function would improve reproducibility for small-effect analyses, its absence is largely consequential only when tested parameters do not meaningfully impact the model's results</w:t>
      </w:r>
      <w:r w:rsidR="008E015C">
        <w:t>”</w:t>
      </w:r>
      <w:r w:rsidR="00194691" w:rsidRPr="00194691">
        <w:t>.</w:t>
      </w:r>
    </w:p>
    <w:p w14:paraId="74852D1E" w14:textId="3B679029" w:rsidR="00A25A3A" w:rsidRPr="00597AA3" w:rsidRDefault="00A25A3A" w:rsidP="004B083B">
      <w:pPr>
        <w:pStyle w:val="COMESnumberedpara"/>
        <w:spacing w:before="160" w:after="160"/>
      </w:pPr>
      <w:r w:rsidRPr="00597AA3">
        <w:t>For every patient treated with canakinumab + BSC versus BSC and followed for up to 70 years, the economic model estimated that there would be:</w:t>
      </w:r>
    </w:p>
    <w:p w14:paraId="3420BEC7" w14:textId="0C8AF53E" w:rsidR="00A25A3A" w:rsidRPr="00597AA3" w:rsidRDefault="00A25A3A" w:rsidP="004B083B">
      <w:pPr>
        <w:pStyle w:val="COMESbulletlist"/>
        <w:spacing w:before="160" w:after="160"/>
        <w:rPr>
          <w:i w:val="0"/>
          <w:iCs w:val="0"/>
        </w:rPr>
      </w:pPr>
      <w:r w:rsidRPr="00597AA3">
        <w:rPr>
          <w:i w:val="0"/>
          <w:iCs w:val="0"/>
        </w:rPr>
        <w:t>An additional 1.1 years of life.</w:t>
      </w:r>
    </w:p>
    <w:p w14:paraId="67439AE7" w14:textId="49EF0FDC" w:rsidR="00A25A3A" w:rsidRPr="00597AA3" w:rsidRDefault="00A25A3A" w:rsidP="004B083B">
      <w:pPr>
        <w:pStyle w:val="COMESbulletlist"/>
        <w:spacing w:before="160" w:after="160"/>
        <w:rPr>
          <w:i w:val="0"/>
          <w:iCs w:val="0"/>
        </w:rPr>
      </w:pPr>
      <w:r w:rsidRPr="00597AA3">
        <w:rPr>
          <w:i w:val="0"/>
          <w:iCs w:val="0"/>
        </w:rPr>
        <w:t>An additional 2.2 quality-adjusted years of life.</w:t>
      </w:r>
    </w:p>
    <w:p w14:paraId="70A46594" w14:textId="3FF25E3D" w:rsidR="00A25A3A" w:rsidRPr="00597AA3" w:rsidRDefault="00A25A3A" w:rsidP="004B083B">
      <w:pPr>
        <w:pStyle w:val="COMESbulletlist"/>
        <w:spacing w:before="160" w:after="160"/>
        <w:rPr>
          <w:i w:val="0"/>
          <w:iCs w:val="0"/>
        </w:rPr>
      </w:pPr>
      <w:r w:rsidRPr="00597AA3">
        <w:rPr>
          <w:i w:val="0"/>
          <w:iCs w:val="0"/>
        </w:rPr>
        <w:t>Additional active treatment costs of $</w:t>
      </w:r>
      <w:r w:rsidR="00B90395" w:rsidRPr="00B90395">
        <w:rPr>
          <w:i w:val="0"/>
          <w:iCs w:val="0"/>
          <w:sz w:val="2"/>
          <w:highlight w:val="black"/>
        </w:rPr>
        <w:t>redacted content</w:t>
      </w:r>
      <w:r w:rsidRPr="00597AA3">
        <w:rPr>
          <w:i w:val="0"/>
          <w:iCs w:val="0"/>
        </w:rPr>
        <w:t>, additional adverse event costs of $297, a reduction in flare management costs of $495,957, a reduction in pre-dialysis/dialysis costs of $74,763, and a reduction in kidney transplant/post kidney transplant costs of $20,676.</w:t>
      </w:r>
    </w:p>
    <w:p w14:paraId="5286E9E5" w14:textId="139AFC82" w:rsidR="0079556C" w:rsidRDefault="0079556C" w:rsidP="004B083B">
      <w:pPr>
        <w:pStyle w:val="COMESnumberedpara"/>
        <w:spacing w:before="160"/>
        <w:rPr>
          <w:rFonts w:cstheme="minorHAnsi"/>
        </w:rPr>
      </w:pPr>
      <w:r w:rsidRPr="00597AA3">
        <w:t xml:space="preserve">The model appeared to be sensitive to a number of different inputs, including changes in the discount rate, the inclusion of adult patients, removal of treatment discontinuations, exclusion of dose down-titration to 8-weekly, assumption of lower baseline flare rates, alternative health state utilities; and correction of errors associated with canakinumab flare rates and the application of the subsequent amyloidosis cost. </w:t>
      </w:r>
      <w:r w:rsidRPr="00504CBE">
        <w:rPr>
          <w:rFonts w:cstheme="minorHAnsi"/>
        </w:rPr>
        <w:t>However, the results of the sensitivity analyses should be interpreted with caution due to the underlying variability in the modelled results.</w:t>
      </w:r>
    </w:p>
    <w:p w14:paraId="784A5472" w14:textId="4F463EBF" w:rsidR="00292B30" w:rsidRPr="00EF4ADB" w:rsidRDefault="00292B30" w:rsidP="004B083B">
      <w:pPr>
        <w:pStyle w:val="COMESnumberedpara"/>
        <w:spacing w:before="160"/>
        <w:rPr>
          <w:rFonts w:cstheme="minorHAnsi"/>
        </w:rPr>
      </w:pPr>
      <w:r>
        <w:rPr>
          <w:rFonts w:cstheme="minorHAnsi"/>
        </w:rPr>
        <w:t xml:space="preserve">The Pre-PBAC Response </w:t>
      </w:r>
      <w:r w:rsidR="009127DD">
        <w:rPr>
          <w:rFonts w:cstheme="minorHAnsi"/>
        </w:rPr>
        <w:t>noted that</w:t>
      </w:r>
      <w:r w:rsidR="009127DD" w:rsidDel="008E544A">
        <w:rPr>
          <w:rFonts w:cstheme="minorHAnsi"/>
        </w:rPr>
        <w:t xml:space="preserve"> </w:t>
      </w:r>
      <w:r w:rsidR="009127DD">
        <w:rPr>
          <w:rFonts w:cstheme="minorHAnsi"/>
        </w:rPr>
        <w:t xml:space="preserve">the </w:t>
      </w:r>
      <w:r w:rsidR="00535D3F">
        <w:rPr>
          <w:rFonts w:cstheme="minorHAnsi"/>
        </w:rPr>
        <w:t>cost per responder (</w:t>
      </w:r>
      <w:r w:rsidR="001974AF" w:rsidRPr="00A10F77">
        <w:rPr>
          <w:rFonts w:cstheme="minorHAnsi"/>
        </w:rPr>
        <w:t>no flares</w:t>
      </w:r>
      <w:r w:rsidR="001974AF">
        <w:rPr>
          <w:rFonts w:cstheme="minorHAnsi"/>
        </w:rPr>
        <w:t>)</w:t>
      </w:r>
      <w:r w:rsidR="00535D3F">
        <w:rPr>
          <w:rFonts w:cstheme="minorHAnsi"/>
        </w:rPr>
        <w:t xml:space="preserve"> using a 16-week time horizon, trial based only and with only treatment costs included, </w:t>
      </w:r>
      <w:r w:rsidR="00495B20">
        <w:rPr>
          <w:rFonts w:cstheme="minorHAnsi"/>
        </w:rPr>
        <w:t xml:space="preserve">was </w:t>
      </w:r>
      <w:r w:rsidR="00475B70">
        <w:rPr>
          <w:rFonts w:cstheme="minorHAnsi"/>
        </w:rPr>
        <w:t xml:space="preserve">estimated to be </w:t>
      </w:r>
      <w:r w:rsidR="00804679" w:rsidRPr="00804679">
        <w:rPr>
          <w:rFonts w:cstheme="minorHAnsi"/>
        </w:rPr>
        <w:t>$75,000 to &lt; $95,000</w:t>
      </w:r>
      <w:r w:rsidR="00A10F77" w:rsidRPr="00A10F77">
        <w:rPr>
          <w:rFonts w:cstheme="minorHAnsi"/>
        </w:rPr>
        <w:t xml:space="preserve"> per responder</w:t>
      </w:r>
      <w:r w:rsidR="00495B20">
        <w:rPr>
          <w:rFonts w:cstheme="minorHAnsi"/>
        </w:rPr>
        <w:t>.</w:t>
      </w:r>
      <w:r w:rsidR="00051E69">
        <w:rPr>
          <w:rFonts w:cstheme="minorHAnsi"/>
        </w:rPr>
        <w:t xml:space="preserve"> The Response also </w:t>
      </w:r>
      <w:r w:rsidR="00EB09A5">
        <w:rPr>
          <w:rFonts w:cstheme="minorHAnsi"/>
        </w:rPr>
        <w:t>provided estimates of the</w:t>
      </w:r>
      <w:r w:rsidR="00FA31B3">
        <w:rPr>
          <w:rFonts w:cstheme="minorHAnsi"/>
        </w:rPr>
        <w:t xml:space="preserve"> </w:t>
      </w:r>
      <w:r w:rsidR="00226E0C">
        <w:rPr>
          <w:rFonts w:cstheme="minorHAnsi"/>
        </w:rPr>
        <w:t>additional school day</w:t>
      </w:r>
      <w:r w:rsidR="00AA3B8E">
        <w:rPr>
          <w:rFonts w:cstheme="minorHAnsi"/>
        </w:rPr>
        <w:t>s</w:t>
      </w:r>
      <w:r w:rsidR="00226E0C">
        <w:rPr>
          <w:rFonts w:cstheme="minorHAnsi"/>
        </w:rPr>
        <w:t xml:space="preserve"> atten</w:t>
      </w:r>
      <w:r w:rsidR="00AA3B8E">
        <w:rPr>
          <w:rFonts w:cstheme="minorHAnsi"/>
        </w:rPr>
        <w:t>ded per year</w:t>
      </w:r>
      <w:r w:rsidR="0085744D">
        <w:rPr>
          <w:rFonts w:cstheme="minorHAnsi"/>
        </w:rPr>
        <w:t>, savings in lost income</w:t>
      </w:r>
      <w:r w:rsidR="00BF4C44">
        <w:rPr>
          <w:rFonts w:cstheme="minorHAnsi"/>
        </w:rPr>
        <w:t xml:space="preserve"> for patients and carers</w:t>
      </w:r>
      <w:r w:rsidR="00D209D0">
        <w:rPr>
          <w:rFonts w:cstheme="minorHAnsi"/>
        </w:rPr>
        <w:t>, educational outcomes</w:t>
      </w:r>
      <w:r w:rsidR="00255F7B">
        <w:rPr>
          <w:rFonts w:cstheme="minorHAnsi"/>
        </w:rPr>
        <w:t xml:space="preserve"> associated with </w:t>
      </w:r>
      <w:r w:rsidR="00F775F5">
        <w:rPr>
          <w:rFonts w:cstheme="minorHAnsi"/>
        </w:rPr>
        <w:t>canakinumab</w:t>
      </w:r>
      <w:r w:rsidR="005D6A31">
        <w:rPr>
          <w:rFonts w:cstheme="minorHAnsi"/>
        </w:rPr>
        <w:t xml:space="preserve"> treatment</w:t>
      </w:r>
      <w:r w:rsidR="00F775F5">
        <w:rPr>
          <w:rFonts w:cstheme="minorHAnsi"/>
        </w:rPr>
        <w:t>.</w:t>
      </w:r>
      <w:r w:rsidR="00EB09A5">
        <w:rPr>
          <w:rFonts w:cstheme="minorHAnsi"/>
        </w:rPr>
        <w:t xml:space="preserve"> </w:t>
      </w:r>
    </w:p>
    <w:p w14:paraId="472842D7" w14:textId="70719D43" w:rsidR="00C25D9C" w:rsidRPr="00A046A2" w:rsidRDefault="00C25D9C" w:rsidP="004B083B">
      <w:pPr>
        <w:pStyle w:val="COMESSubsectionheading"/>
      </w:pPr>
      <w:bookmarkStart w:id="59" w:name="_Toc219811826"/>
      <w:r w:rsidRPr="00A046A2">
        <w:t>Drug cost/patient/year</w:t>
      </w:r>
      <w:bookmarkEnd w:id="46"/>
      <w:bookmarkEnd w:id="59"/>
    </w:p>
    <w:p w14:paraId="6FAC46BD" w14:textId="2FF60EEF" w:rsidR="00A3182B" w:rsidRPr="00597AA3" w:rsidRDefault="00A3182B" w:rsidP="004B083B">
      <w:pPr>
        <w:pStyle w:val="COMESnumberedpara"/>
        <w:spacing w:before="160"/>
        <w:rPr>
          <w:rFonts w:cstheme="minorHAnsi"/>
        </w:rPr>
      </w:pPr>
      <w:bookmarkStart w:id="60" w:name="_Ref104805102"/>
      <w:r w:rsidRPr="00597AA3">
        <w:rPr>
          <w:rFonts w:cstheme="minorHAnsi"/>
        </w:rPr>
        <w:t>Due to the structure of the CLUSTER trial, which included multiple treatment phases with cross</w:t>
      </w:r>
      <w:r w:rsidR="00BD362F" w:rsidRPr="00597AA3">
        <w:rPr>
          <w:rFonts w:cstheme="minorHAnsi"/>
        </w:rPr>
        <w:t xml:space="preserve"> </w:t>
      </w:r>
      <w:r w:rsidRPr="00597AA3">
        <w:rPr>
          <w:rFonts w:cstheme="minorHAnsi"/>
        </w:rPr>
        <w:t>over of patients between treatment arms, the mean dose of canakinumab in the trial could not be estimated. Patients received canakinumab for up to 112</w:t>
      </w:r>
      <w:r w:rsidR="00C55743" w:rsidRPr="00597AA3">
        <w:rPr>
          <w:rFonts w:cstheme="minorHAnsi"/>
        </w:rPr>
        <w:t> </w:t>
      </w:r>
      <w:r w:rsidRPr="00597AA3">
        <w:rPr>
          <w:rFonts w:cstheme="minorHAnsi"/>
        </w:rPr>
        <w:t>weeks.</w:t>
      </w:r>
    </w:p>
    <w:p w14:paraId="06B7E7C6" w14:textId="5DDF84DB" w:rsidR="00470BBB" w:rsidRPr="008111B0" w:rsidRDefault="00A3182B" w:rsidP="004B083B">
      <w:pPr>
        <w:pStyle w:val="COMESnumberedpara"/>
        <w:spacing w:before="160"/>
        <w:rPr>
          <w:rFonts w:cstheme="minorHAnsi"/>
        </w:rPr>
      </w:pPr>
      <w:r w:rsidRPr="00597AA3">
        <w:rPr>
          <w:rFonts w:cstheme="minorHAnsi"/>
        </w:rPr>
        <w:t xml:space="preserve">Costs associated with canakinumab treatment in the economic model were based on the average canakinumab utilisation among 1,000 simulated patients. Due to the structure of the model, the underlying mean dose among the 1,000 simulated patients </w:t>
      </w:r>
      <w:r w:rsidRPr="00597AA3">
        <w:rPr>
          <w:rFonts w:cstheme="minorHAnsi"/>
        </w:rPr>
        <w:lastRenderedPageBreak/>
        <w:t>could not be ascertained. Based on the proposed effective DPMQ of $</w:t>
      </w:r>
      <w:r w:rsidR="00B90395" w:rsidRPr="00B90395">
        <w:rPr>
          <w:rFonts w:cstheme="minorHAnsi"/>
          <w:sz w:val="2"/>
          <w:highlight w:val="black"/>
        </w:rPr>
        <w:t>redacted content</w:t>
      </w:r>
      <w:r w:rsidRPr="00597AA3">
        <w:rPr>
          <w:rFonts w:cstheme="minorHAnsi"/>
        </w:rPr>
        <w:t xml:space="preserve"> (23.14%/76.86% public/private hospital split)</w:t>
      </w:r>
      <w:r w:rsidR="00EB17F8">
        <w:rPr>
          <w:rFonts w:cstheme="minorHAnsi"/>
        </w:rPr>
        <w:t xml:space="preserve"> per </w:t>
      </w:r>
      <w:r w:rsidR="000634B4">
        <w:rPr>
          <w:rFonts w:cstheme="minorHAnsi"/>
        </w:rPr>
        <w:t xml:space="preserve">1 x </w:t>
      </w:r>
      <w:r w:rsidR="00EB17F8">
        <w:rPr>
          <w:rFonts w:cstheme="minorHAnsi"/>
        </w:rPr>
        <w:t>150 mg</w:t>
      </w:r>
      <w:r w:rsidR="000634B4">
        <w:rPr>
          <w:rFonts w:cstheme="minorHAnsi"/>
        </w:rPr>
        <w:t xml:space="preserve"> vial</w:t>
      </w:r>
      <w:r w:rsidRPr="00597AA3">
        <w:rPr>
          <w:rFonts w:cstheme="minorHAnsi"/>
        </w:rPr>
        <w:t>, the cost per patient per year for patients receiving canakinumab 150 mg every 4 weeks was $</w:t>
      </w:r>
      <w:r w:rsidR="00B90395" w:rsidRPr="00B90395">
        <w:rPr>
          <w:rFonts w:cstheme="minorHAnsi"/>
          <w:sz w:val="2"/>
          <w:highlight w:val="black"/>
        </w:rPr>
        <w:t>redacted content</w:t>
      </w:r>
      <w:r w:rsidRPr="00597AA3">
        <w:rPr>
          <w:rFonts w:cstheme="minorHAnsi"/>
        </w:rPr>
        <w:t>. The cost per patient per year for patients receiving canakinumab 150 mg every 8 weeks was $</w:t>
      </w:r>
      <w:r w:rsidR="00B90395" w:rsidRPr="00B90395">
        <w:rPr>
          <w:rFonts w:cstheme="minorHAnsi"/>
          <w:sz w:val="2"/>
          <w:highlight w:val="black"/>
        </w:rPr>
        <w:t>redacted content</w:t>
      </w:r>
      <w:r w:rsidRPr="00597AA3">
        <w:rPr>
          <w:rFonts w:cstheme="minorHAnsi"/>
        </w:rPr>
        <w:t xml:space="preserve">. The submission </w:t>
      </w:r>
      <w:r w:rsidRPr="008111B0">
        <w:rPr>
          <w:rFonts w:cstheme="minorHAnsi"/>
        </w:rPr>
        <w:t>assumed 100% treatment adherence and an annual treatment discontinuation rate of 2.86%.</w:t>
      </w:r>
    </w:p>
    <w:p w14:paraId="68C52776" w14:textId="05F97CE8" w:rsidR="00A3182B" w:rsidRDefault="00A3182B" w:rsidP="004B083B">
      <w:pPr>
        <w:pStyle w:val="COMESnumberedpara"/>
        <w:spacing w:before="160"/>
        <w:rPr>
          <w:rFonts w:cstheme="minorHAnsi"/>
        </w:rPr>
      </w:pPr>
      <w:bookmarkStart w:id="61" w:name="_Hlk216688178"/>
      <w:r w:rsidRPr="00597AA3">
        <w:rPr>
          <w:rFonts w:cstheme="minorHAnsi"/>
        </w:rPr>
        <w:t>Costs for canakinumab in the financial estimates were based on</w:t>
      </w:r>
      <w:r w:rsidR="005F1763" w:rsidRPr="00597AA3">
        <w:rPr>
          <w:rFonts w:cstheme="minorHAnsi"/>
        </w:rPr>
        <w:t xml:space="preserve"> 6-monthly treatment periods, in which all patients receive a base dose of canakinumab 150 mg (or 2 mg/kg for body weight </w:t>
      </w:r>
      <w:r w:rsidR="009F7D53" w:rsidRPr="00597AA3">
        <w:rPr>
          <w:rFonts w:cstheme="minorHAnsi"/>
        </w:rPr>
        <w:t>≤40 kg</w:t>
      </w:r>
      <w:r w:rsidR="005F1763" w:rsidRPr="00597AA3">
        <w:rPr>
          <w:rFonts w:cstheme="minorHAnsi"/>
        </w:rPr>
        <w:t>) every 4 weeks. In addition, a fixed proportion of patients</w:t>
      </w:r>
      <w:r w:rsidR="00C23A8F" w:rsidRPr="00597AA3">
        <w:rPr>
          <w:rFonts w:cstheme="minorHAnsi"/>
        </w:rPr>
        <w:t xml:space="preserve"> (36.27% during initial treatment, and 15.43% during each 6-month continuing period)</w:t>
      </w:r>
      <w:r w:rsidR="005F1763" w:rsidRPr="00597AA3">
        <w:rPr>
          <w:rFonts w:cstheme="minorHAnsi"/>
        </w:rPr>
        <w:t xml:space="preserve"> </w:t>
      </w:r>
      <w:r w:rsidR="00BD362F" w:rsidRPr="00597AA3">
        <w:rPr>
          <w:rFonts w:cstheme="minorHAnsi"/>
        </w:rPr>
        <w:t xml:space="preserve">were assumed to </w:t>
      </w:r>
      <w:r w:rsidR="005F1763" w:rsidRPr="00597AA3">
        <w:rPr>
          <w:rFonts w:cstheme="minorHAnsi"/>
        </w:rPr>
        <w:t>experience a disease flare and receive a single</w:t>
      </w:r>
      <w:r w:rsidR="00E07F80" w:rsidRPr="00597AA3">
        <w:rPr>
          <w:rFonts w:cstheme="minorHAnsi"/>
        </w:rPr>
        <w:t xml:space="preserve"> additional</w:t>
      </w:r>
      <w:r w:rsidR="005F1763" w:rsidRPr="00597AA3">
        <w:rPr>
          <w:rFonts w:cstheme="minorHAnsi"/>
        </w:rPr>
        <w:t xml:space="preserve"> canakinumab 150 mg (or 2 mg/kg for body weight </w:t>
      </w:r>
      <w:r w:rsidR="009F7D53" w:rsidRPr="00597AA3">
        <w:rPr>
          <w:rFonts w:cstheme="minorHAnsi"/>
        </w:rPr>
        <w:t>≤40 kg</w:t>
      </w:r>
      <w:r w:rsidR="005F1763" w:rsidRPr="00597AA3">
        <w:rPr>
          <w:rFonts w:cstheme="minorHAnsi"/>
        </w:rPr>
        <w:t xml:space="preserve">) top-up dose, while the remaining patients had their base dose </w:t>
      </w:r>
      <w:r w:rsidR="009C617C" w:rsidRPr="00597AA3">
        <w:rPr>
          <w:rFonts w:cstheme="minorHAnsi"/>
        </w:rPr>
        <w:t>frequency adjusted after 16 weeks to every 8</w:t>
      </w:r>
      <w:r w:rsidR="0078124B" w:rsidRPr="00597AA3">
        <w:rPr>
          <w:rFonts w:cstheme="minorHAnsi"/>
        </w:rPr>
        <w:t> </w:t>
      </w:r>
      <w:r w:rsidR="009C617C" w:rsidRPr="00597AA3">
        <w:rPr>
          <w:rFonts w:cstheme="minorHAnsi"/>
        </w:rPr>
        <w:t>weeks.</w:t>
      </w:r>
      <w:r w:rsidR="00C23A8F" w:rsidRPr="00597AA3">
        <w:rPr>
          <w:rFonts w:cstheme="minorHAnsi"/>
        </w:rPr>
        <w:t xml:space="preserve"> This resulted in</w:t>
      </w:r>
      <w:r w:rsidR="005F1763" w:rsidRPr="00597AA3">
        <w:rPr>
          <w:rFonts w:cstheme="minorHAnsi"/>
        </w:rPr>
        <w:t xml:space="preserve"> </w:t>
      </w:r>
      <w:r w:rsidR="00E515FE" w:rsidRPr="00597AA3">
        <w:rPr>
          <w:rFonts w:cstheme="minorHAnsi"/>
        </w:rPr>
        <w:t>11.68</w:t>
      </w:r>
      <w:r w:rsidR="00C55743" w:rsidRPr="00597AA3">
        <w:rPr>
          <w:rFonts w:cstheme="minorHAnsi"/>
        </w:rPr>
        <w:t> </w:t>
      </w:r>
      <w:r w:rsidR="00E515FE" w:rsidRPr="00597AA3">
        <w:rPr>
          <w:rFonts w:cstheme="minorHAnsi"/>
        </w:rPr>
        <w:t>scripts (with 1 x 150 mg canakinumab vial) per patient per year for initiating and 9.77 scripts per patient per year for continuing patients</w:t>
      </w:r>
      <w:r w:rsidR="00C23A8F" w:rsidRPr="00597AA3">
        <w:rPr>
          <w:rFonts w:cstheme="minorHAnsi"/>
        </w:rPr>
        <w:t>.</w:t>
      </w:r>
      <w:r w:rsidR="00E150EB" w:rsidRPr="00597AA3">
        <w:rPr>
          <w:rFonts w:cstheme="minorHAnsi"/>
        </w:rPr>
        <w:t xml:space="preserve"> Based on the proposed effective DPMQ of $</w:t>
      </w:r>
      <w:r w:rsidR="00B90395" w:rsidRPr="00B90395">
        <w:rPr>
          <w:rFonts w:cstheme="minorHAnsi"/>
          <w:sz w:val="2"/>
          <w:highlight w:val="black"/>
        </w:rPr>
        <w:t>redacted content</w:t>
      </w:r>
      <w:r w:rsidR="00E150EB" w:rsidRPr="00597AA3">
        <w:rPr>
          <w:rFonts w:cstheme="minorHAnsi"/>
        </w:rPr>
        <w:t xml:space="preserve"> (23.14%/76.86% public/private hospital split), the cost per patient per year for </w:t>
      </w:r>
      <w:r w:rsidR="00584A5F" w:rsidRPr="00597AA3">
        <w:rPr>
          <w:rFonts w:cstheme="minorHAnsi"/>
        </w:rPr>
        <w:t>initial treatment was</w:t>
      </w:r>
      <w:r w:rsidR="00E150EB" w:rsidRPr="00597AA3">
        <w:rPr>
          <w:rFonts w:cstheme="minorHAnsi"/>
        </w:rPr>
        <w:t xml:space="preserve"> $</w:t>
      </w:r>
      <w:r w:rsidR="00B90395" w:rsidRPr="00B90395">
        <w:rPr>
          <w:rFonts w:cstheme="minorHAnsi"/>
          <w:sz w:val="2"/>
          <w:highlight w:val="black"/>
        </w:rPr>
        <w:t>redacted content</w:t>
      </w:r>
      <w:r w:rsidR="00E150EB" w:rsidRPr="00597AA3">
        <w:rPr>
          <w:rFonts w:cstheme="minorHAnsi"/>
        </w:rPr>
        <w:t>. The cost per patient per year for</w:t>
      </w:r>
      <w:r w:rsidR="00584A5F" w:rsidRPr="00597AA3">
        <w:rPr>
          <w:rFonts w:cstheme="minorHAnsi"/>
        </w:rPr>
        <w:t xml:space="preserve"> continuing </w:t>
      </w:r>
      <w:r w:rsidR="00E150EB" w:rsidRPr="00597AA3">
        <w:rPr>
          <w:rFonts w:cstheme="minorHAnsi"/>
        </w:rPr>
        <w:t>patients</w:t>
      </w:r>
      <w:r w:rsidR="00584A5F" w:rsidRPr="00597AA3">
        <w:rPr>
          <w:rFonts w:cstheme="minorHAnsi"/>
        </w:rPr>
        <w:t xml:space="preserve"> was</w:t>
      </w:r>
      <w:r w:rsidR="00E150EB" w:rsidRPr="00597AA3">
        <w:rPr>
          <w:rFonts w:cstheme="minorHAnsi"/>
        </w:rPr>
        <w:t xml:space="preserve"> $</w:t>
      </w:r>
      <w:r w:rsidR="00B90395" w:rsidRPr="00B90395">
        <w:rPr>
          <w:rFonts w:cstheme="minorHAnsi"/>
          <w:sz w:val="2"/>
          <w:highlight w:val="black"/>
        </w:rPr>
        <w:t>redacted content</w:t>
      </w:r>
      <w:r w:rsidR="003460CC" w:rsidRPr="00597AA3" w:rsidDel="0040383A">
        <w:rPr>
          <w:rFonts w:cstheme="minorHAnsi"/>
        </w:rPr>
        <w:t>.</w:t>
      </w:r>
      <w:r w:rsidR="00E150EB" w:rsidRPr="00597AA3">
        <w:rPr>
          <w:rFonts w:cstheme="minorHAnsi"/>
        </w:rPr>
        <w:t xml:space="preserve"> The submission assumed </w:t>
      </w:r>
      <w:r w:rsidR="00E150EB" w:rsidRPr="00C564C9">
        <w:rPr>
          <w:rFonts w:cstheme="minorHAnsi"/>
        </w:rPr>
        <w:t>100</w:t>
      </w:r>
      <w:r w:rsidR="00E150EB" w:rsidRPr="00597AA3">
        <w:rPr>
          <w:rFonts w:cstheme="minorHAnsi"/>
        </w:rPr>
        <w:t xml:space="preserve">% treatment adherence and an annual treatment discontinuation rate of </w:t>
      </w:r>
      <w:r w:rsidR="00E150EB" w:rsidRPr="00C564C9">
        <w:rPr>
          <w:rFonts w:cstheme="minorHAnsi"/>
        </w:rPr>
        <w:t>2.86%.</w:t>
      </w:r>
    </w:p>
    <w:p w14:paraId="2720484F" w14:textId="407E911A" w:rsidR="00592052" w:rsidRPr="00592052" w:rsidRDefault="003A659F" w:rsidP="004B083B">
      <w:pPr>
        <w:pStyle w:val="COMESnumberedpara"/>
        <w:spacing w:before="160"/>
        <w:rPr>
          <w:rFonts w:cstheme="minorHAnsi"/>
        </w:rPr>
      </w:pPr>
      <w:r>
        <w:rPr>
          <w:rFonts w:cstheme="minorHAnsi"/>
        </w:rPr>
        <w:t xml:space="preserve">The PBAC considered that </w:t>
      </w:r>
      <w:r w:rsidR="00C90C96">
        <w:rPr>
          <w:rFonts w:cstheme="minorHAnsi"/>
        </w:rPr>
        <w:t xml:space="preserve">the </w:t>
      </w:r>
      <w:r w:rsidR="00336614">
        <w:rPr>
          <w:rFonts w:cstheme="minorHAnsi"/>
        </w:rPr>
        <w:t xml:space="preserve">assumptions regarding </w:t>
      </w:r>
      <w:r w:rsidR="005B1493">
        <w:rPr>
          <w:rFonts w:cstheme="minorHAnsi"/>
        </w:rPr>
        <w:t xml:space="preserve">dosing applied in the financial estimates were </w:t>
      </w:r>
      <w:r w:rsidR="00867683">
        <w:rPr>
          <w:rFonts w:cstheme="minorHAnsi"/>
        </w:rPr>
        <w:t>not well</w:t>
      </w:r>
      <w:r w:rsidR="004924D3">
        <w:rPr>
          <w:rFonts w:cstheme="minorHAnsi"/>
        </w:rPr>
        <w:t xml:space="preserve">-justified </w:t>
      </w:r>
      <w:r w:rsidR="00B755E8">
        <w:rPr>
          <w:rFonts w:cstheme="minorHAnsi"/>
        </w:rPr>
        <w:t xml:space="preserve">as </w:t>
      </w:r>
      <w:r w:rsidR="00745BF2" w:rsidRPr="00AB5920">
        <w:t xml:space="preserve">patients experiencing flares on treatment </w:t>
      </w:r>
      <w:r w:rsidR="00B755E8">
        <w:t>were assumed to</w:t>
      </w:r>
      <w:r w:rsidR="00745BF2" w:rsidRPr="00AB5920">
        <w:t xml:space="preserve"> receive top up doses rather than increasing to a 300 mg (or 4 mg/kg) maintenance dose</w:t>
      </w:r>
      <w:r w:rsidR="00B755E8">
        <w:t>. The PBAC considered that calculation of the cost p</w:t>
      </w:r>
      <w:r w:rsidR="004904C8">
        <w:t>er patient</w:t>
      </w:r>
      <w:r w:rsidR="003C4549">
        <w:t xml:space="preserve"> for canakinumab </w:t>
      </w:r>
      <w:r w:rsidR="00CD6367">
        <w:t xml:space="preserve">should </w:t>
      </w:r>
      <w:r w:rsidR="00592052">
        <w:t>assume:</w:t>
      </w:r>
    </w:p>
    <w:p w14:paraId="2BE70821" w14:textId="380DFDBA" w:rsidR="005E4F1E" w:rsidRPr="007C0287" w:rsidRDefault="00EE5C90" w:rsidP="004B083B">
      <w:pPr>
        <w:pStyle w:val="ListParagraph"/>
        <w:jc w:val="both"/>
        <w:rPr>
          <w:rFonts w:cstheme="minorHAnsi"/>
        </w:rPr>
      </w:pPr>
      <w:r w:rsidRPr="007C0287">
        <w:t xml:space="preserve">All patients initiate treatment on a dose of </w:t>
      </w:r>
      <w:r w:rsidR="00757229" w:rsidRPr="007C0287">
        <w:t>1 vial every 4 weeks for the first 6 months</w:t>
      </w:r>
      <w:r w:rsidR="00B31DF9" w:rsidRPr="007C0287">
        <w:t>.</w:t>
      </w:r>
    </w:p>
    <w:p w14:paraId="48191C8C" w14:textId="0F72B7B4" w:rsidR="00B31DF9" w:rsidRPr="007C0287" w:rsidRDefault="005E5C99" w:rsidP="004B083B">
      <w:pPr>
        <w:pStyle w:val="ListParagraph"/>
        <w:jc w:val="both"/>
        <w:rPr>
          <w:rFonts w:cstheme="minorHAnsi"/>
        </w:rPr>
      </w:pPr>
      <w:r w:rsidRPr="007C0287">
        <w:t>For subsequent</w:t>
      </w:r>
      <w:r w:rsidR="002848E7" w:rsidRPr="007C0287">
        <w:t xml:space="preserve"> </w:t>
      </w:r>
      <w:r w:rsidR="00F57F36" w:rsidRPr="007C0287">
        <w:t xml:space="preserve">treatment </w:t>
      </w:r>
      <w:r w:rsidR="00B62A3D" w:rsidRPr="007C0287">
        <w:t xml:space="preserve">dosing should be assumed to be </w:t>
      </w:r>
      <w:r w:rsidR="00D811BC" w:rsidRPr="007C0287">
        <w:t xml:space="preserve">consistent with </w:t>
      </w:r>
      <w:r w:rsidR="00F872D8" w:rsidRPr="007C0287">
        <w:t xml:space="preserve">utilisation </w:t>
      </w:r>
      <w:r w:rsidR="00170AF3" w:rsidRPr="007C0287">
        <w:t xml:space="preserve">for patients on canakinumab </w:t>
      </w:r>
      <w:r w:rsidR="002D52F3" w:rsidRPr="007C0287">
        <w:t xml:space="preserve">at the end of </w:t>
      </w:r>
      <w:r w:rsidR="00EC1DEF" w:rsidRPr="007C0287">
        <w:t>Stage</w:t>
      </w:r>
      <w:r w:rsidR="00170AF3" w:rsidRPr="007C0287">
        <w:t xml:space="preserve"> 3 of the CLUSTER trial</w:t>
      </w:r>
      <w:r w:rsidR="00B31DF9" w:rsidRPr="007C0287">
        <w:t>.</w:t>
      </w:r>
    </w:p>
    <w:p w14:paraId="30CF6773" w14:textId="713EA3C4" w:rsidR="003A659F" w:rsidRPr="005D6CCC" w:rsidRDefault="00450716" w:rsidP="004B083B">
      <w:pPr>
        <w:pStyle w:val="ListParagraph"/>
        <w:rPr>
          <w:rFonts w:cstheme="minorHAnsi"/>
        </w:rPr>
      </w:pPr>
      <w:r>
        <w:t xml:space="preserve">Annual </w:t>
      </w:r>
      <w:r w:rsidRPr="007C0287">
        <w:t>d</w:t>
      </w:r>
      <w:r w:rsidR="00B31DF9" w:rsidRPr="007C0287">
        <w:t>iscontinuation</w:t>
      </w:r>
      <w:r w:rsidRPr="007C0287">
        <w:t xml:space="preserve"> of 2.86% per</w:t>
      </w:r>
      <w:r>
        <w:t xml:space="preserve"> year</w:t>
      </w:r>
      <w:r w:rsidR="00147EDC">
        <w:t>.</w:t>
      </w:r>
    </w:p>
    <w:p w14:paraId="56A79204" w14:textId="34C41C4B" w:rsidR="005D6CCC" w:rsidRPr="00597AA3" w:rsidRDefault="005D6CCC" w:rsidP="00B90395">
      <w:pPr>
        <w:pStyle w:val="COMTableFigurecaption"/>
        <w:keepLines/>
        <w:spacing w:before="160"/>
      </w:pPr>
      <w:bookmarkStart w:id="62" w:name="_Ref225585166"/>
      <w:r w:rsidRPr="00597AA3">
        <w:lastRenderedPageBreak/>
        <w:t xml:space="preserve">Table </w:t>
      </w:r>
      <w:fldSimple w:instr=" SEQ Table \* ARABIC ">
        <w:r w:rsidR="00815AB6">
          <w:rPr>
            <w:noProof/>
          </w:rPr>
          <w:t>11</w:t>
        </w:r>
      </w:fldSimple>
      <w:bookmarkEnd w:id="62"/>
      <w:r w:rsidRPr="00597AA3">
        <w:t xml:space="preserve">: </w:t>
      </w:r>
      <w:r w:rsidR="00415643">
        <w:t>Cost per patient calculations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Cost per patient calculations"/>
      </w:tblPr>
      <w:tblGrid>
        <w:gridCol w:w="5239"/>
        <w:gridCol w:w="2308"/>
        <w:gridCol w:w="1470"/>
      </w:tblGrid>
      <w:tr w:rsidR="00FB0AB9" w:rsidRPr="00FA5AD0" w14:paraId="66BA5E0F" w14:textId="77777777" w:rsidTr="00DF489D">
        <w:trPr>
          <w:trHeight w:val="347"/>
        </w:trPr>
        <w:tc>
          <w:tcPr>
            <w:tcW w:w="2905" w:type="pct"/>
            <w:vAlign w:val="center"/>
          </w:tcPr>
          <w:p w14:paraId="612A74BB" w14:textId="77777777" w:rsidR="00FB0AB9" w:rsidRPr="00C75678" w:rsidRDefault="00FB0AB9" w:rsidP="00B90395">
            <w:pPr>
              <w:pStyle w:val="COMTableFigurecaption"/>
              <w:keepLines/>
              <w:jc w:val="center"/>
            </w:pPr>
          </w:p>
        </w:tc>
        <w:tc>
          <w:tcPr>
            <w:tcW w:w="1280" w:type="pct"/>
            <w:noWrap/>
            <w:vAlign w:val="center"/>
          </w:tcPr>
          <w:p w14:paraId="34CD03A0" w14:textId="77777777" w:rsidR="00FB0AB9" w:rsidRPr="00C75678" w:rsidRDefault="00FB0AB9" w:rsidP="00B90395">
            <w:pPr>
              <w:pStyle w:val="COMTableFigurecaption"/>
              <w:keepLines/>
              <w:jc w:val="center"/>
            </w:pPr>
            <w:r w:rsidRPr="00C75678">
              <w:t>Number of vials</w:t>
            </w:r>
          </w:p>
        </w:tc>
        <w:tc>
          <w:tcPr>
            <w:tcW w:w="815" w:type="pct"/>
            <w:vAlign w:val="center"/>
          </w:tcPr>
          <w:p w14:paraId="3810D4DC" w14:textId="6C87D007" w:rsidR="00FB0AB9" w:rsidRPr="00FA5AD0" w:rsidRDefault="00FB0AB9" w:rsidP="00B90395">
            <w:pPr>
              <w:pStyle w:val="COMTableFigurecaption"/>
              <w:keepLines/>
              <w:jc w:val="center"/>
            </w:pPr>
            <w:r>
              <w:t>Cost</w:t>
            </w:r>
            <w:r w:rsidR="0065505F">
              <w:t xml:space="preserve"> </w:t>
            </w:r>
            <w:r w:rsidR="0065505F" w:rsidRPr="0065505F">
              <w:rPr>
                <w:vertAlign w:val="superscript"/>
              </w:rPr>
              <w:t>d</w:t>
            </w:r>
          </w:p>
        </w:tc>
      </w:tr>
      <w:tr w:rsidR="00FB0AB9" w:rsidRPr="00FA5AD0" w14:paraId="44871717" w14:textId="77777777" w:rsidTr="00DF489D">
        <w:trPr>
          <w:trHeight w:val="280"/>
        </w:trPr>
        <w:tc>
          <w:tcPr>
            <w:tcW w:w="2905" w:type="pct"/>
            <w:vAlign w:val="center"/>
          </w:tcPr>
          <w:p w14:paraId="16B75EC3" w14:textId="0BA359A3" w:rsidR="00FB0AB9" w:rsidRPr="00C75678" w:rsidRDefault="00FB0AB9" w:rsidP="00B90395">
            <w:pPr>
              <w:pStyle w:val="COMTabletext"/>
            </w:pPr>
            <w:r w:rsidRPr="00C75678">
              <w:t>First 6 months (1 vial every 4 weeks)</w:t>
            </w:r>
            <w:r w:rsidR="00A31F6E" w:rsidRPr="00C75678">
              <w:t xml:space="preserve"> </w:t>
            </w:r>
            <w:r w:rsidR="00A31F6E" w:rsidRPr="00C75678">
              <w:rPr>
                <w:vertAlign w:val="superscript"/>
              </w:rPr>
              <w:t>a</w:t>
            </w:r>
          </w:p>
        </w:tc>
        <w:tc>
          <w:tcPr>
            <w:tcW w:w="1280" w:type="pct"/>
            <w:noWrap/>
            <w:vAlign w:val="center"/>
          </w:tcPr>
          <w:p w14:paraId="13BB153E" w14:textId="77777777" w:rsidR="00FB0AB9" w:rsidRPr="00C75678" w:rsidRDefault="00FB0AB9" w:rsidP="00B90395">
            <w:pPr>
              <w:pStyle w:val="COMTabletext"/>
              <w:jc w:val="center"/>
            </w:pPr>
            <w:r w:rsidRPr="00C75678">
              <w:t>6.52</w:t>
            </w:r>
          </w:p>
        </w:tc>
        <w:tc>
          <w:tcPr>
            <w:tcW w:w="815" w:type="pct"/>
            <w:vAlign w:val="center"/>
          </w:tcPr>
          <w:p w14:paraId="0B2A9A0F" w14:textId="6A2A960C" w:rsidR="00FB0AB9" w:rsidRPr="00FA5AD0" w:rsidRDefault="00FB0AB9" w:rsidP="00B90395">
            <w:pPr>
              <w:pStyle w:val="COMTabletext"/>
              <w:jc w:val="center"/>
            </w:pPr>
            <w:r w:rsidRPr="00FA5AD0">
              <w:t>$</w:t>
            </w:r>
            <w:r w:rsidR="00B90395" w:rsidRPr="00B90395">
              <w:rPr>
                <w:sz w:val="2"/>
                <w:highlight w:val="black"/>
              </w:rPr>
              <w:t>redacted content</w:t>
            </w:r>
          </w:p>
        </w:tc>
      </w:tr>
      <w:tr w:rsidR="00FB0AB9" w:rsidRPr="00FA5AD0" w14:paraId="18167ADA" w14:textId="77777777" w:rsidTr="00DF489D">
        <w:trPr>
          <w:trHeight w:val="250"/>
        </w:trPr>
        <w:tc>
          <w:tcPr>
            <w:tcW w:w="2905" w:type="pct"/>
            <w:vAlign w:val="center"/>
            <w:hideMark/>
          </w:tcPr>
          <w:p w14:paraId="0D8DA94C" w14:textId="35FF36EB" w:rsidR="00FB0AB9" w:rsidRPr="00C75678" w:rsidRDefault="00FB0AB9" w:rsidP="00B90395">
            <w:pPr>
              <w:pStyle w:val="COMTabletext"/>
            </w:pPr>
            <w:r w:rsidRPr="00C75678">
              <w:t>Subsequent 6 months</w:t>
            </w:r>
            <w:r w:rsidR="00A31F6E" w:rsidRPr="00C75678">
              <w:t xml:space="preserve"> </w:t>
            </w:r>
            <w:r w:rsidR="00A31F6E" w:rsidRPr="00C75678">
              <w:rPr>
                <w:vertAlign w:val="superscript"/>
              </w:rPr>
              <w:t>b</w:t>
            </w:r>
          </w:p>
        </w:tc>
        <w:tc>
          <w:tcPr>
            <w:tcW w:w="1280" w:type="pct"/>
            <w:noWrap/>
            <w:vAlign w:val="center"/>
            <w:hideMark/>
          </w:tcPr>
          <w:p w14:paraId="0EA47738" w14:textId="2E6E0885" w:rsidR="00FB0AB9" w:rsidRPr="00C75678" w:rsidRDefault="00FB0AB9" w:rsidP="00B90395">
            <w:pPr>
              <w:pStyle w:val="COMTabletext"/>
              <w:jc w:val="center"/>
            </w:pPr>
            <w:r w:rsidRPr="00C75678">
              <w:t>5.12</w:t>
            </w:r>
          </w:p>
        </w:tc>
        <w:tc>
          <w:tcPr>
            <w:tcW w:w="815" w:type="pct"/>
            <w:vAlign w:val="center"/>
          </w:tcPr>
          <w:p w14:paraId="567E5212" w14:textId="54213436" w:rsidR="00FB0AB9" w:rsidRPr="00FA5AD0" w:rsidRDefault="00FB0AB9" w:rsidP="00B90395">
            <w:pPr>
              <w:pStyle w:val="COMTabletext"/>
              <w:jc w:val="center"/>
            </w:pPr>
            <w:r w:rsidRPr="00FA5AD0">
              <w:t>$</w:t>
            </w:r>
            <w:r w:rsidR="00B90395" w:rsidRPr="00B90395">
              <w:rPr>
                <w:sz w:val="2"/>
                <w:highlight w:val="black"/>
              </w:rPr>
              <w:t>redacted content</w:t>
            </w:r>
          </w:p>
        </w:tc>
      </w:tr>
      <w:tr w:rsidR="00FB0AB9" w:rsidRPr="00FA5AD0" w14:paraId="0A3F057B" w14:textId="77777777" w:rsidTr="00DF489D">
        <w:trPr>
          <w:trHeight w:val="260"/>
        </w:trPr>
        <w:tc>
          <w:tcPr>
            <w:tcW w:w="2905" w:type="pct"/>
            <w:noWrap/>
            <w:vAlign w:val="center"/>
            <w:hideMark/>
          </w:tcPr>
          <w:p w14:paraId="3173C7AD" w14:textId="44356B5E" w:rsidR="00FB0AB9" w:rsidRPr="00C75678" w:rsidRDefault="00FB0AB9" w:rsidP="00B90395">
            <w:pPr>
              <w:pStyle w:val="COMTabletext"/>
              <w:rPr>
                <w:bCs w:val="0"/>
              </w:rPr>
            </w:pPr>
            <w:r w:rsidRPr="00C75678">
              <w:rPr>
                <w:bCs w:val="0"/>
              </w:rPr>
              <w:t xml:space="preserve">Total first </w:t>
            </w:r>
            <w:r w:rsidR="00866E7F" w:rsidRPr="00C75678">
              <w:rPr>
                <w:bCs w:val="0"/>
              </w:rPr>
              <w:t>year</w:t>
            </w:r>
          </w:p>
        </w:tc>
        <w:tc>
          <w:tcPr>
            <w:tcW w:w="1280" w:type="pct"/>
            <w:noWrap/>
            <w:vAlign w:val="center"/>
            <w:hideMark/>
          </w:tcPr>
          <w:p w14:paraId="41C00074" w14:textId="77777777" w:rsidR="00FB0AB9" w:rsidRPr="00C75678" w:rsidRDefault="00FB0AB9" w:rsidP="00B90395">
            <w:pPr>
              <w:pStyle w:val="COMTabletext"/>
              <w:jc w:val="center"/>
              <w:rPr>
                <w:bCs w:val="0"/>
              </w:rPr>
            </w:pPr>
            <w:r w:rsidRPr="00C75678">
              <w:rPr>
                <w:bCs w:val="0"/>
              </w:rPr>
              <w:t>11.64</w:t>
            </w:r>
          </w:p>
        </w:tc>
        <w:tc>
          <w:tcPr>
            <w:tcW w:w="815" w:type="pct"/>
            <w:vAlign w:val="center"/>
          </w:tcPr>
          <w:p w14:paraId="7DDE3C5A" w14:textId="6F230B10" w:rsidR="00FB0AB9" w:rsidRPr="00E8322E" w:rsidRDefault="00FB0AB9" w:rsidP="00B90395">
            <w:pPr>
              <w:pStyle w:val="COMTabletext"/>
              <w:jc w:val="center"/>
              <w:rPr>
                <w:bCs w:val="0"/>
              </w:rPr>
            </w:pPr>
            <w:r w:rsidRPr="00E8322E">
              <w:rPr>
                <w:bCs w:val="0"/>
              </w:rPr>
              <w:t>$</w:t>
            </w:r>
            <w:r w:rsidR="00B90395" w:rsidRPr="00B90395">
              <w:rPr>
                <w:bCs w:val="0"/>
                <w:sz w:val="2"/>
                <w:highlight w:val="black"/>
              </w:rPr>
              <w:t>redacted content</w:t>
            </w:r>
          </w:p>
        </w:tc>
      </w:tr>
      <w:tr w:rsidR="00FB0AB9" w:rsidRPr="00FA5AD0" w14:paraId="31E23185" w14:textId="77777777" w:rsidTr="00DF489D">
        <w:trPr>
          <w:trHeight w:val="260"/>
        </w:trPr>
        <w:tc>
          <w:tcPr>
            <w:tcW w:w="2905" w:type="pct"/>
            <w:noWrap/>
            <w:vAlign w:val="center"/>
            <w:hideMark/>
          </w:tcPr>
          <w:p w14:paraId="2EC1F063" w14:textId="54B41F47" w:rsidR="00FB0AB9" w:rsidRPr="00C75678" w:rsidRDefault="00FB0AB9" w:rsidP="00B90395">
            <w:pPr>
              <w:pStyle w:val="COMTabletext"/>
              <w:rPr>
                <w:bCs w:val="0"/>
              </w:rPr>
            </w:pPr>
            <w:r w:rsidRPr="00C75678">
              <w:rPr>
                <w:bCs w:val="0"/>
              </w:rPr>
              <w:t>Total subsequent year</w:t>
            </w:r>
            <w:r w:rsidR="00A31F6E" w:rsidRPr="00C75678">
              <w:rPr>
                <w:bCs w:val="0"/>
              </w:rPr>
              <w:t xml:space="preserve"> </w:t>
            </w:r>
            <w:proofErr w:type="spellStart"/>
            <w:proofErr w:type="gramStart"/>
            <w:r w:rsidR="00A31F6E" w:rsidRPr="00C75678">
              <w:rPr>
                <w:bCs w:val="0"/>
                <w:vertAlign w:val="superscript"/>
              </w:rPr>
              <w:t>b</w:t>
            </w:r>
            <w:r w:rsidR="008C2D0C" w:rsidRPr="00C75678">
              <w:rPr>
                <w:bCs w:val="0"/>
                <w:vertAlign w:val="superscript"/>
              </w:rPr>
              <w:t>,c</w:t>
            </w:r>
            <w:proofErr w:type="spellEnd"/>
            <w:proofErr w:type="gramEnd"/>
          </w:p>
        </w:tc>
        <w:tc>
          <w:tcPr>
            <w:tcW w:w="1280" w:type="pct"/>
            <w:noWrap/>
            <w:vAlign w:val="center"/>
            <w:hideMark/>
          </w:tcPr>
          <w:p w14:paraId="612FE25A" w14:textId="24C5F70B" w:rsidR="00FB0AB9" w:rsidRPr="00C75678" w:rsidRDefault="00FB0AB9" w:rsidP="00B90395">
            <w:pPr>
              <w:pStyle w:val="COMTabletext"/>
              <w:jc w:val="center"/>
              <w:rPr>
                <w:bCs w:val="0"/>
              </w:rPr>
            </w:pPr>
            <w:r w:rsidRPr="00C75678">
              <w:rPr>
                <w:bCs w:val="0"/>
              </w:rPr>
              <w:t>10.23</w:t>
            </w:r>
          </w:p>
        </w:tc>
        <w:tc>
          <w:tcPr>
            <w:tcW w:w="815" w:type="pct"/>
            <w:vAlign w:val="center"/>
          </w:tcPr>
          <w:p w14:paraId="050B6F1D" w14:textId="0F945A65" w:rsidR="00FB0AB9" w:rsidRPr="00E8322E" w:rsidRDefault="00FB0AB9" w:rsidP="00B90395">
            <w:pPr>
              <w:pStyle w:val="COMTabletext"/>
              <w:jc w:val="center"/>
              <w:rPr>
                <w:bCs w:val="0"/>
              </w:rPr>
            </w:pPr>
            <w:r w:rsidRPr="00E8322E">
              <w:rPr>
                <w:bCs w:val="0"/>
              </w:rPr>
              <w:t>$</w:t>
            </w:r>
            <w:r w:rsidR="00B90395" w:rsidRPr="00B90395">
              <w:rPr>
                <w:bCs w:val="0"/>
                <w:sz w:val="2"/>
                <w:highlight w:val="black"/>
              </w:rPr>
              <w:t>redacted content</w:t>
            </w:r>
          </w:p>
        </w:tc>
      </w:tr>
    </w:tbl>
    <w:p w14:paraId="11FC0A21" w14:textId="20B88CB5" w:rsidR="005D6CCC" w:rsidRPr="00C75678" w:rsidRDefault="00415643" w:rsidP="00B90395">
      <w:pPr>
        <w:pStyle w:val="COMTablefooter"/>
        <w:keepNext/>
        <w:keepLines/>
      </w:pPr>
      <w:r w:rsidRPr="003D0C98">
        <w:t xml:space="preserve">a </w:t>
      </w:r>
      <w:r w:rsidRPr="00C75678">
        <w:t>Assumes 1 vial per 4 weeks</w:t>
      </w:r>
    </w:p>
    <w:p w14:paraId="2EF64A11" w14:textId="5B439E50" w:rsidR="00415643" w:rsidRPr="00C75678" w:rsidRDefault="00415643" w:rsidP="00B90395">
      <w:pPr>
        <w:pStyle w:val="COMTablefooter"/>
        <w:keepNext/>
        <w:keepLines/>
      </w:pPr>
      <w:r w:rsidRPr="00C75678">
        <w:t xml:space="preserve">b Assumes </w:t>
      </w:r>
      <w:r w:rsidR="00F3428A" w:rsidRPr="00C75678">
        <w:t>5</w:t>
      </w:r>
      <w:r w:rsidR="00FF7533" w:rsidRPr="00C75678">
        <w:t>8.8</w:t>
      </w:r>
      <w:r w:rsidR="00F3428A" w:rsidRPr="00C75678">
        <w:t xml:space="preserve">% 150 mg Q8W, </w:t>
      </w:r>
      <w:r w:rsidR="00480D9D" w:rsidRPr="00C75678">
        <w:t>2</w:t>
      </w:r>
      <w:r w:rsidR="00FF7533" w:rsidRPr="00C75678">
        <w:t>3.5</w:t>
      </w:r>
      <w:r w:rsidR="00480D9D" w:rsidRPr="00C75678">
        <w:t>% 150 mg Q4W</w:t>
      </w:r>
      <w:r w:rsidR="006F7F9C" w:rsidRPr="00C75678">
        <w:t xml:space="preserve">, </w:t>
      </w:r>
      <w:r w:rsidR="00FF7533" w:rsidRPr="00C75678">
        <w:t>9.8</w:t>
      </w:r>
      <w:r w:rsidR="00790ABE" w:rsidRPr="00C75678">
        <w:t xml:space="preserve">% </w:t>
      </w:r>
      <w:r w:rsidR="0064329B" w:rsidRPr="00C75678">
        <w:t>300 mg Q</w:t>
      </w:r>
      <w:r w:rsidR="008F36E3" w:rsidRPr="00C75678">
        <w:t xml:space="preserve">8W and </w:t>
      </w:r>
      <w:r w:rsidR="00FF7533" w:rsidRPr="00C75678">
        <w:t>7.</w:t>
      </w:r>
      <w:r w:rsidR="008F36E3" w:rsidRPr="00C75678">
        <w:t>8% 300 mg Q4W</w:t>
      </w:r>
    </w:p>
    <w:p w14:paraId="761E51C6" w14:textId="52EB50E7" w:rsidR="00415643" w:rsidRPr="003D0C98" w:rsidRDefault="008C2D0C" w:rsidP="00B90395">
      <w:pPr>
        <w:pStyle w:val="COMTablefooter"/>
        <w:keepNext/>
        <w:keepLines/>
      </w:pPr>
      <w:r w:rsidRPr="00C75678">
        <w:t xml:space="preserve">c </w:t>
      </w:r>
      <w:r w:rsidR="007C203F" w:rsidRPr="00C75678">
        <w:t>Includes a</w:t>
      </w:r>
      <w:r w:rsidRPr="00C75678">
        <w:t xml:space="preserve">nnual discontinuation </w:t>
      </w:r>
      <w:r w:rsidR="00F00BB2" w:rsidRPr="00C75678">
        <w:t xml:space="preserve">of </w:t>
      </w:r>
      <w:r w:rsidR="007C203F" w:rsidRPr="00C75678">
        <w:t>2.86%</w:t>
      </w:r>
    </w:p>
    <w:p w14:paraId="7069D659" w14:textId="7BF52168" w:rsidR="00415643" w:rsidRPr="003D0C98" w:rsidRDefault="0065505F" w:rsidP="00B90395">
      <w:pPr>
        <w:pStyle w:val="COMTablefooter"/>
        <w:keepNext/>
        <w:keepLines/>
      </w:pPr>
      <w:r w:rsidRPr="003D0C98">
        <w:t>d Based on a cost per vial of $</w:t>
      </w:r>
      <w:r w:rsidR="00B90395" w:rsidRPr="00B90395">
        <w:rPr>
          <w:sz w:val="2"/>
          <w:highlight w:val="black"/>
        </w:rPr>
        <w:t>redacted content</w:t>
      </w:r>
      <w:r w:rsidR="00B27CB1" w:rsidRPr="003D0C98">
        <w:t xml:space="preserve"> as proposed in the submission</w:t>
      </w:r>
    </w:p>
    <w:p w14:paraId="268768EF" w14:textId="500627C7" w:rsidR="00B60939" w:rsidRPr="00A046A2" w:rsidRDefault="00B60939" w:rsidP="004B083B">
      <w:pPr>
        <w:pStyle w:val="COMESSubsectionheading"/>
      </w:pPr>
      <w:bookmarkStart w:id="63" w:name="_Toc22897647"/>
      <w:bookmarkStart w:id="64" w:name="_Toc219811827"/>
      <w:bookmarkEnd w:id="60"/>
      <w:bookmarkEnd w:id="61"/>
      <w:r w:rsidRPr="00A046A2">
        <w:t>Estimated PBS usage &amp; financial implications</w:t>
      </w:r>
      <w:bookmarkEnd w:id="63"/>
      <w:bookmarkEnd w:id="64"/>
    </w:p>
    <w:p w14:paraId="2C073439" w14:textId="77777777" w:rsidR="0075295D" w:rsidRDefault="00C25D9C" w:rsidP="004B083B">
      <w:pPr>
        <w:pStyle w:val="COMESnumberedpara"/>
        <w:spacing w:before="160"/>
        <w:rPr>
          <w:rFonts w:cstheme="minorHAnsi"/>
        </w:rPr>
      </w:pPr>
      <w:r w:rsidRPr="00597AA3">
        <w:rPr>
          <w:rFonts w:cstheme="minorHAnsi"/>
        </w:rPr>
        <w:t xml:space="preserve">This submission </w:t>
      </w:r>
      <w:r w:rsidR="00516B77">
        <w:rPr>
          <w:rFonts w:cstheme="minorHAnsi"/>
        </w:rPr>
        <w:t>was not</w:t>
      </w:r>
      <w:r w:rsidR="00D23D11" w:rsidRPr="00597AA3">
        <w:rPr>
          <w:rFonts w:cstheme="minorHAnsi"/>
        </w:rPr>
        <w:t xml:space="preserve"> </w:t>
      </w:r>
      <w:r w:rsidRPr="00597AA3">
        <w:rPr>
          <w:rFonts w:cstheme="minorHAnsi"/>
        </w:rPr>
        <w:t>considered by DUSC.</w:t>
      </w:r>
      <w:r w:rsidR="007428B8" w:rsidRPr="00597AA3">
        <w:rPr>
          <w:rFonts w:cstheme="minorHAnsi"/>
        </w:rPr>
        <w:t xml:space="preserve"> The submission used an epidemiological approach to estimate the utilisation and financial impact of listing canakinumab for the treatment of paediatric patients with FMF who are intolerant or resistant to colchicine.</w:t>
      </w:r>
    </w:p>
    <w:p w14:paraId="04B31D2D" w14:textId="730DD111" w:rsidR="0072416F" w:rsidRPr="00597AA3" w:rsidRDefault="00E16AD8" w:rsidP="004B083B">
      <w:pPr>
        <w:pStyle w:val="COMESnumberedpara"/>
        <w:spacing w:before="160"/>
        <w:rPr>
          <w:rFonts w:cstheme="minorHAnsi"/>
        </w:rPr>
      </w:pPr>
      <w:r w:rsidRPr="00597AA3">
        <w:rPr>
          <w:rFonts w:cstheme="minorHAnsi"/>
        </w:rPr>
        <w:fldChar w:fldCharType="begin"/>
      </w:r>
      <w:r w:rsidRPr="0096687D">
        <w:rPr>
          <w:rFonts w:cstheme="minorHAnsi"/>
        </w:rPr>
        <w:instrText xml:space="preserve"> REF _Ref104805262 \h  \* MERGEFORMAT </w:instrText>
      </w:r>
      <w:r w:rsidRPr="00597AA3">
        <w:rPr>
          <w:rFonts w:cstheme="minorHAnsi"/>
        </w:rPr>
      </w:r>
      <w:r w:rsidRPr="00597AA3">
        <w:rPr>
          <w:rFonts w:cstheme="minorHAnsi"/>
        </w:rPr>
        <w:fldChar w:fldCharType="separate"/>
      </w:r>
      <w:r w:rsidR="00815AB6" w:rsidRPr="00815AB6">
        <w:rPr>
          <w:rFonts w:cstheme="minorHAnsi"/>
        </w:rPr>
        <w:t xml:space="preserve">Table </w:t>
      </w:r>
      <w:r w:rsidR="00815AB6">
        <w:rPr>
          <w:noProof/>
        </w:rPr>
        <w:t>12</w:t>
      </w:r>
      <w:r w:rsidRPr="00597AA3">
        <w:rPr>
          <w:rFonts w:cstheme="minorHAnsi"/>
        </w:rPr>
        <w:fldChar w:fldCharType="end"/>
      </w:r>
      <w:r w:rsidRPr="00597AA3">
        <w:rPr>
          <w:rFonts w:cstheme="minorHAnsi"/>
        </w:rPr>
        <w:t xml:space="preserve"> </w:t>
      </w:r>
      <w:r w:rsidR="00ED378B" w:rsidRPr="00597AA3">
        <w:rPr>
          <w:rFonts w:cstheme="minorHAnsi"/>
        </w:rPr>
        <w:t>presents the key inputs used to derive the financial estimates.</w:t>
      </w:r>
    </w:p>
    <w:p w14:paraId="3393BCE7" w14:textId="60FBDA37" w:rsidR="00E42F73" w:rsidRPr="00597AA3" w:rsidRDefault="00E16AD8" w:rsidP="004B083B">
      <w:pPr>
        <w:pStyle w:val="COMTableFigurecaption"/>
        <w:keepNext w:val="0"/>
        <w:spacing w:before="160"/>
      </w:pPr>
      <w:bookmarkStart w:id="65" w:name="_Ref104805262"/>
      <w:r w:rsidRPr="00597AA3">
        <w:t xml:space="preserve">Table </w:t>
      </w:r>
      <w:fldSimple w:instr=" SEQ Table \* ARABIC ">
        <w:r w:rsidR="00815AB6">
          <w:rPr>
            <w:noProof/>
          </w:rPr>
          <w:t>12</w:t>
        </w:r>
      </w:fldSimple>
      <w:bookmarkEnd w:id="65"/>
      <w:r w:rsidRPr="00597AA3">
        <w:t>:</w:t>
      </w:r>
      <w:r w:rsidR="00E42F73" w:rsidRPr="00597AA3">
        <w:t xml:space="preserve">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Key inputs for financial estimates"/>
      </w:tblPr>
      <w:tblGrid>
        <w:gridCol w:w="1271"/>
        <w:gridCol w:w="1134"/>
        <w:gridCol w:w="3367"/>
        <w:gridCol w:w="3408"/>
      </w:tblGrid>
      <w:tr w:rsidR="00ED378B" w:rsidRPr="00597AA3" w14:paraId="56F495EE" w14:textId="77777777" w:rsidTr="005F3364">
        <w:trPr>
          <w:tblHeader/>
        </w:trPr>
        <w:tc>
          <w:tcPr>
            <w:tcW w:w="1271" w:type="dxa"/>
            <w:vAlign w:val="center"/>
          </w:tcPr>
          <w:p w14:paraId="71D0DC3C" w14:textId="77777777" w:rsidR="00ED378B" w:rsidRPr="00597AA3" w:rsidRDefault="00ED378B" w:rsidP="004B083B">
            <w:pPr>
              <w:pStyle w:val="COMTableheadingrow"/>
              <w:keepNext w:val="0"/>
              <w:keepLines w:val="0"/>
            </w:pPr>
            <w:r w:rsidRPr="00597AA3">
              <w:t>Data</w:t>
            </w:r>
          </w:p>
        </w:tc>
        <w:tc>
          <w:tcPr>
            <w:tcW w:w="1134" w:type="dxa"/>
            <w:vAlign w:val="center"/>
          </w:tcPr>
          <w:p w14:paraId="749DDB63" w14:textId="77777777" w:rsidR="00ED378B" w:rsidRPr="00597AA3" w:rsidRDefault="00ED378B" w:rsidP="004B083B">
            <w:pPr>
              <w:pStyle w:val="COMTableheadingrow"/>
              <w:keepNext w:val="0"/>
              <w:keepLines w:val="0"/>
              <w:jc w:val="center"/>
            </w:pPr>
            <w:r w:rsidRPr="00597AA3">
              <w:t>Value</w:t>
            </w:r>
          </w:p>
        </w:tc>
        <w:tc>
          <w:tcPr>
            <w:tcW w:w="3367" w:type="dxa"/>
            <w:vAlign w:val="center"/>
          </w:tcPr>
          <w:p w14:paraId="66F64CE3" w14:textId="77777777" w:rsidR="00ED378B" w:rsidRPr="00597AA3" w:rsidRDefault="00ED378B" w:rsidP="004B083B">
            <w:pPr>
              <w:pStyle w:val="COMTableheadingrow"/>
              <w:keepNext w:val="0"/>
              <w:keepLines w:val="0"/>
              <w:jc w:val="center"/>
            </w:pPr>
            <w:r w:rsidRPr="00597AA3">
              <w:t>Source</w:t>
            </w:r>
          </w:p>
        </w:tc>
        <w:tc>
          <w:tcPr>
            <w:tcW w:w="3408" w:type="dxa"/>
            <w:vAlign w:val="center"/>
          </w:tcPr>
          <w:p w14:paraId="11F09E46" w14:textId="77777777" w:rsidR="00ED378B" w:rsidRPr="00597AA3" w:rsidRDefault="00ED378B" w:rsidP="004B083B">
            <w:pPr>
              <w:pStyle w:val="COMTableheadingrow"/>
              <w:keepNext w:val="0"/>
              <w:keepLines w:val="0"/>
              <w:jc w:val="center"/>
            </w:pPr>
            <w:r w:rsidRPr="00597AA3">
              <w:t>Comment</w:t>
            </w:r>
          </w:p>
        </w:tc>
      </w:tr>
      <w:tr w:rsidR="00ED378B" w:rsidRPr="00597AA3" w14:paraId="34CCF074" w14:textId="77777777" w:rsidTr="003C4043">
        <w:tc>
          <w:tcPr>
            <w:tcW w:w="9180" w:type="dxa"/>
            <w:gridSpan w:val="4"/>
            <w:vAlign w:val="center"/>
          </w:tcPr>
          <w:p w14:paraId="0028B5A3" w14:textId="77777777" w:rsidR="00ED378B" w:rsidRPr="00597AA3" w:rsidRDefault="00ED378B" w:rsidP="004B083B">
            <w:pPr>
              <w:pStyle w:val="COMTableheadingrow"/>
              <w:keepNext w:val="0"/>
              <w:keepLines w:val="0"/>
            </w:pPr>
            <w:r w:rsidRPr="00597AA3">
              <w:t>Eligible population</w:t>
            </w:r>
          </w:p>
        </w:tc>
      </w:tr>
      <w:tr w:rsidR="00CF1662" w:rsidRPr="00597AA3" w14:paraId="12CADACA" w14:textId="77777777" w:rsidTr="005F3364">
        <w:trPr>
          <w:trHeight w:val="1708"/>
        </w:trPr>
        <w:tc>
          <w:tcPr>
            <w:tcW w:w="1271" w:type="dxa"/>
            <w:vAlign w:val="center"/>
          </w:tcPr>
          <w:p w14:paraId="53EF6DA1" w14:textId="77777777" w:rsidR="005F3364" w:rsidRPr="00597AA3" w:rsidRDefault="00CF1662" w:rsidP="004B083B">
            <w:pPr>
              <w:pStyle w:val="COMTabletext"/>
              <w:keepNext w:val="0"/>
              <w:keepLines w:val="0"/>
            </w:pPr>
            <w:r w:rsidRPr="00597AA3">
              <w:t>Incident/</w:t>
            </w:r>
          </w:p>
          <w:p w14:paraId="562B9395" w14:textId="2360CEEF" w:rsidR="00CF1662" w:rsidRPr="00597AA3" w:rsidRDefault="004B42AB" w:rsidP="004B083B">
            <w:pPr>
              <w:pStyle w:val="COMTabletext"/>
              <w:keepNext w:val="0"/>
              <w:keepLines w:val="0"/>
            </w:pPr>
            <w:r w:rsidRPr="00597AA3">
              <w:t>p</w:t>
            </w:r>
            <w:r w:rsidR="00CF1662" w:rsidRPr="00597AA3">
              <w:t>revalent patients</w:t>
            </w:r>
          </w:p>
        </w:tc>
        <w:tc>
          <w:tcPr>
            <w:tcW w:w="1134" w:type="dxa"/>
            <w:vAlign w:val="center"/>
          </w:tcPr>
          <w:p w14:paraId="53D458DF" w14:textId="347DBB98" w:rsidR="00CF1662" w:rsidRPr="00597AA3" w:rsidRDefault="00B90395" w:rsidP="004B083B">
            <w:pPr>
              <w:pStyle w:val="COMTabletext"/>
              <w:keepNext w:val="0"/>
              <w:keepLines w:val="0"/>
            </w:pPr>
            <w:r w:rsidRPr="00B90395">
              <w:rPr>
                <w:sz w:val="2"/>
                <w:highlight w:val="black"/>
              </w:rPr>
              <w:t>redacted content</w:t>
            </w:r>
            <w:r w:rsidR="00134C8E">
              <w:rPr>
                <w:vertAlign w:val="superscript"/>
              </w:rPr>
              <w:t>1</w:t>
            </w:r>
            <w:r w:rsidR="00CF1662" w:rsidRPr="00597AA3">
              <w:t xml:space="preserve"> prevalent patients in Year 1 of listing; </w:t>
            </w:r>
            <w:r w:rsidRPr="00B90395">
              <w:rPr>
                <w:sz w:val="2"/>
                <w:highlight w:val="black"/>
              </w:rPr>
              <w:t>redacted content</w:t>
            </w:r>
            <w:r w:rsidR="007A249B">
              <w:rPr>
                <w:vertAlign w:val="superscript"/>
              </w:rPr>
              <w:t>1</w:t>
            </w:r>
            <w:r w:rsidR="00CF1662" w:rsidRPr="00597AA3">
              <w:t xml:space="preserve"> incident patients per year</w:t>
            </w:r>
          </w:p>
          <w:p w14:paraId="60C9A90C" w14:textId="7FA53AA6" w:rsidR="00CF1662" w:rsidRPr="00597AA3" w:rsidRDefault="00CF1662" w:rsidP="004B083B">
            <w:pPr>
              <w:pStyle w:val="COMTabletext"/>
              <w:keepNext w:val="0"/>
              <w:keepLines w:val="0"/>
            </w:pPr>
          </w:p>
        </w:tc>
        <w:tc>
          <w:tcPr>
            <w:tcW w:w="3367" w:type="dxa"/>
            <w:vAlign w:val="center"/>
          </w:tcPr>
          <w:p w14:paraId="33671D1B" w14:textId="7078FFD0" w:rsidR="00CF1662" w:rsidRPr="00597AA3" w:rsidRDefault="00CF1662" w:rsidP="004B083B">
            <w:pPr>
              <w:pStyle w:val="COMTabletext"/>
              <w:keepNext w:val="0"/>
              <w:keepLines w:val="0"/>
            </w:pPr>
            <w:bookmarkStart w:id="66" w:name="_Hlk219192133"/>
            <w:r w:rsidRPr="00597AA3">
              <w:t xml:space="preserve">Review of two Victorian Children’s Hospital databases </w:t>
            </w:r>
            <w:bookmarkEnd w:id="66"/>
            <w:r w:rsidRPr="00597AA3">
              <w:t xml:space="preserve">detailed in a clinician letter from an Australian paediatric rheumatologist. There were </w:t>
            </w:r>
            <w:r w:rsidR="00B90395" w:rsidRPr="00B90395">
              <w:rPr>
                <w:sz w:val="2"/>
                <w:highlight w:val="black"/>
              </w:rPr>
              <w:t>redacted content</w:t>
            </w:r>
            <w:r w:rsidR="00CC062A">
              <w:rPr>
                <w:vertAlign w:val="superscript"/>
              </w:rPr>
              <w:t>1</w:t>
            </w:r>
            <w:r w:rsidRPr="00597AA3">
              <w:t xml:space="preserve"> FMF patients recorded in the database over 15 years, with prevalence estimated at </w:t>
            </w:r>
            <w:r w:rsidR="00B90395" w:rsidRPr="00B90395">
              <w:rPr>
                <w:sz w:val="2"/>
                <w:highlight w:val="black"/>
              </w:rPr>
              <w:t>redacted content</w:t>
            </w:r>
            <w:r w:rsidRPr="00597AA3">
              <w:t xml:space="preserve"> per 100,000 people based on the Victorian population under the age of 19 years (1.065 million); and incidence of </w:t>
            </w:r>
            <w:r w:rsidR="00B90395" w:rsidRPr="00B90395">
              <w:rPr>
                <w:sz w:val="2"/>
                <w:highlight w:val="black"/>
              </w:rPr>
              <w:t>redacted content</w:t>
            </w:r>
            <w:r w:rsidRPr="00597AA3">
              <w:t xml:space="preserve"> patients per 100,000 people based on the same population, divided by 15 (years of data collection).</w:t>
            </w:r>
          </w:p>
        </w:tc>
        <w:tc>
          <w:tcPr>
            <w:tcW w:w="3408" w:type="dxa"/>
            <w:vAlign w:val="center"/>
          </w:tcPr>
          <w:p w14:paraId="15D4764B" w14:textId="0E4D84FF" w:rsidR="00CF1662" w:rsidRPr="00597AA3" w:rsidRDefault="00DE2253" w:rsidP="004B083B">
            <w:pPr>
              <w:pStyle w:val="COMTabletext"/>
              <w:keepNext w:val="0"/>
              <w:keepLines w:val="0"/>
            </w:pPr>
            <w:r w:rsidRPr="00597AA3">
              <w:t>The</w:t>
            </w:r>
            <w:r w:rsidR="00CF1662" w:rsidRPr="00597AA3">
              <w:t xml:space="preserve"> number of cases in the database may be an underestimate of total patient numbers given that some patients may be managed in other healthcare settings (e.g., private rheumatology clinics). It is unclear whether patient numbers from Victorian children’s hospitals are representative of prevalence and incidence in other areas of Australia. It was not possible to determine whether the incidence of FMF in Australia has changed over time based on the data provided in the submission.</w:t>
            </w:r>
            <w:r w:rsidR="00894B64">
              <w:t xml:space="preserve"> </w:t>
            </w:r>
            <w:r w:rsidR="00894B64" w:rsidRPr="00EF4ADB">
              <w:t xml:space="preserve">The PSCR acknowledged that there are no data available to reliably inform the number of patients in other healthcare settings, differences in incidence rates over time, </w:t>
            </w:r>
            <w:r w:rsidR="00C849EC" w:rsidRPr="00EF4ADB">
              <w:t>or</w:t>
            </w:r>
            <w:r w:rsidR="00894B64" w:rsidRPr="00EF4ADB">
              <w:t xml:space="preserve"> differences in cultural demographics across Australia.</w:t>
            </w:r>
          </w:p>
        </w:tc>
      </w:tr>
      <w:tr w:rsidR="00ED378B" w:rsidRPr="00597AA3" w14:paraId="03016D33" w14:textId="77777777" w:rsidTr="005F3364">
        <w:tc>
          <w:tcPr>
            <w:tcW w:w="1271" w:type="dxa"/>
            <w:vAlign w:val="center"/>
          </w:tcPr>
          <w:p w14:paraId="7833F7FB" w14:textId="77777777" w:rsidR="00ED378B" w:rsidRPr="00597AA3" w:rsidRDefault="00ED378B" w:rsidP="004B083B">
            <w:pPr>
              <w:pStyle w:val="COMTabletext"/>
              <w:keepNext w:val="0"/>
              <w:keepLines w:val="0"/>
            </w:pPr>
            <w:r w:rsidRPr="00597AA3">
              <w:t>Proportion of patients with colchicine resistance or intolerance</w:t>
            </w:r>
          </w:p>
        </w:tc>
        <w:tc>
          <w:tcPr>
            <w:tcW w:w="1134" w:type="dxa"/>
            <w:vAlign w:val="center"/>
          </w:tcPr>
          <w:p w14:paraId="7CBD607A" w14:textId="77777777" w:rsidR="00ED378B" w:rsidRPr="00597AA3" w:rsidRDefault="00ED378B" w:rsidP="004B083B">
            <w:pPr>
              <w:pStyle w:val="COMTabletext"/>
              <w:keepNext w:val="0"/>
              <w:keepLines w:val="0"/>
            </w:pPr>
            <w:r w:rsidRPr="00597AA3">
              <w:t>15.2%</w:t>
            </w:r>
          </w:p>
        </w:tc>
        <w:tc>
          <w:tcPr>
            <w:tcW w:w="3367" w:type="dxa"/>
            <w:vAlign w:val="center"/>
          </w:tcPr>
          <w:p w14:paraId="082B11C0" w14:textId="77777777" w:rsidR="00ED378B" w:rsidRPr="00597AA3" w:rsidRDefault="00ED378B" w:rsidP="004B083B">
            <w:pPr>
              <w:pStyle w:val="COMTabletext"/>
              <w:keepNext w:val="0"/>
              <w:keepLines w:val="0"/>
            </w:pPr>
            <w:proofErr w:type="spellStart"/>
            <w:r w:rsidRPr="00597AA3">
              <w:t>Bustaffa</w:t>
            </w:r>
            <w:proofErr w:type="spellEnd"/>
            <w:r w:rsidRPr="00597AA3">
              <w:t xml:space="preserve"> (2025) – an observational study of 876 patients with FMF; with 15.2% sourced from the proportion of patients treated with IL-1 inhibitors. </w:t>
            </w:r>
          </w:p>
        </w:tc>
        <w:tc>
          <w:tcPr>
            <w:tcW w:w="3408" w:type="dxa"/>
            <w:vAlign w:val="center"/>
          </w:tcPr>
          <w:p w14:paraId="775495BD" w14:textId="7E857A38" w:rsidR="00ED378B" w:rsidRPr="00597AA3" w:rsidRDefault="00ED378B" w:rsidP="004B083B">
            <w:pPr>
              <w:pStyle w:val="COMTabletext"/>
              <w:keepNext w:val="0"/>
              <w:keepLines w:val="0"/>
            </w:pPr>
            <w:r w:rsidRPr="00597AA3">
              <w:t xml:space="preserve">It is unclear whether the proportion of patients receiving IL-1 inhibitors is representative of the rate of colchicine resistance or intolerance. Other published estimates report rates of between 5% and 10% (e.g., Ter Haar 2013; </w:t>
            </w:r>
            <w:proofErr w:type="spellStart"/>
            <w:r w:rsidRPr="00597AA3">
              <w:t>Haslak</w:t>
            </w:r>
            <w:proofErr w:type="spellEnd"/>
            <w:r w:rsidRPr="00597AA3">
              <w:t xml:space="preserve"> 2025</w:t>
            </w:r>
            <w:r w:rsidR="00AD72F9">
              <w:t>).</w:t>
            </w:r>
            <w:r w:rsidR="00522234">
              <w:t xml:space="preserve"> </w:t>
            </w:r>
            <w:r w:rsidRPr="00597AA3">
              <w:t>The submission tested the impact of changes to this proportion in sensitivity analyses.</w:t>
            </w:r>
            <w:r w:rsidR="00522234">
              <w:t xml:space="preserve"> </w:t>
            </w:r>
          </w:p>
        </w:tc>
      </w:tr>
      <w:tr w:rsidR="00ED378B" w:rsidRPr="00597AA3" w14:paraId="30F09DDF" w14:textId="77777777" w:rsidTr="003C4043">
        <w:tc>
          <w:tcPr>
            <w:tcW w:w="9180" w:type="dxa"/>
            <w:gridSpan w:val="4"/>
            <w:vAlign w:val="center"/>
          </w:tcPr>
          <w:p w14:paraId="68C6E29D" w14:textId="77777777" w:rsidR="00ED378B" w:rsidRPr="00597AA3" w:rsidRDefault="00ED378B" w:rsidP="004B083B">
            <w:pPr>
              <w:pStyle w:val="COMTableheadingrow"/>
              <w:keepNext w:val="0"/>
              <w:keepLines w:val="0"/>
            </w:pPr>
            <w:r w:rsidRPr="00597AA3">
              <w:t>Treatment utilisation</w:t>
            </w:r>
          </w:p>
        </w:tc>
      </w:tr>
      <w:tr w:rsidR="00ED378B" w:rsidRPr="00597AA3" w14:paraId="2FE889F8" w14:textId="77777777" w:rsidTr="005F3364">
        <w:tc>
          <w:tcPr>
            <w:tcW w:w="1271" w:type="dxa"/>
            <w:vAlign w:val="center"/>
          </w:tcPr>
          <w:p w14:paraId="19E52FA8" w14:textId="77777777" w:rsidR="00ED378B" w:rsidRPr="00597AA3" w:rsidRDefault="00ED378B" w:rsidP="004B083B">
            <w:pPr>
              <w:pStyle w:val="COMTabletext"/>
              <w:keepNext w:val="0"/>
              <w:keepLines w:val="0"/>
            </w:pPr>
            <w:r w:rsidRPr="00597AA3">
              <w:t>Uptake rate</w:t>
            </w:r>
          </w:p>
        </w:tc>
        <w:tc>
          <w:tcPr>
            <w:tcW w:w="1134" w:type="dxa"/>
            <w:vAlign w:val="center"/>
          </w:tcPr>
          <w:p w14:paraId="086209FD" w14:textId="6A62A366" w:rsidR="00ED378B" w:rsidRPr="00597AA3" w:rsidRDefault="00B90395" w:rsidP="004B083B">
            <w:pPr>
              <w:pStyle w:val="COMTabletext"/>
              <w:keepNext w:val="0"/>
              <w:keepLines w:val="0"/>
            </w:pPr>
            <w:r w:rsidRPr="00B90395">
              <w:rPr>
                <w:sz w:val="2"/>
                <w:highlight w:val="black"/>
              </w:rPr>
              <w:t>redacted content</w:t>
            </w:r>
            <w:r w:rsidR="00ED378B" w:rsidRPr="00597AA3">
              <w:t>%</w:t>
            </w:r>
          </w:p>
        </w:tc>
        <w:tc>
          <w:tcPr>
            <w:tcW w:w="3367" w:type="dxa"/>
            <w:vAlign w:val="center"/>
          </w:tcPr>
          <w:p w14:paraId="3425ED1A" w14:textId="77777777" w:rsidR="00ED378B" w:rsidRPr="00597AA3" w:rsidRDefault="00ED378B" w:rsidP="004B083B">
            <w:pPr>
              <w:pStyle w:val="COMTabletext"/>
              <w:keepNext w:val="0"/>
              <w:keepLines w:val="0"/>
            </w:pPr>
            <w:r w:rsidRPr="00597AA3">
              <w:t xml:space="preserve">Assumption, reflecting high unmet clinical need and severe symptom burden. Paediatric rheumatologists advised they would treat </w:t>
            </w:r>
            <w:proofErr w:type="gramStart"/>
            <w:r w:rsidRPr="00597AA3">
              <w:t>all of</w:t>
            </w:r>
            <w:proofErr w:type="gramEnd"/>
            <w:r w:rsidRPr="00597AA3">
              <w:t xml:space="preserve"> their paediatric patients with canakinumab.</w:t>
            </w:r>
          </w:p>
        </w:tc>
        <w:tc>
          <w:tcPr>
            <w:tcW w:w="3408" w:type="dxa"/>
            <w:vAlign w:val="center"/>
          </w:tcPr>
          <w:p w14:paraId="2E05CF25" w14:textId="10A8F89E" w:rsidR="00ED378B" w:rsidRPr="00597AA3" w:rsidRDefault="00ED378B" w:rsidP="004B083B">
            <w:pPr>
              <w:pStyle w:val="COMTabletext"/>
              <w:keepNext w:val="0"/>
              <w:keepLines w:val="0"/>
            </w:pPr>
            <w:r w:rsidRPr="00597AA3">
              <w:t xml:space="preserve">While high uptake of canakinumab is likely in the context of high unmet clinical need, </w:t>
            </w:r>
            <w:r w:rsidR="00B90395" w:rsidRPr="00B90395">
              <w:rPr>
                <w:sz w:val="2"/>
                <w:highlight w:val="black"/>
              </w:rPr>
              <w:t>redacted content</w:t>
            </w:r>
            <w:r w:rsidRPr="00597AA3">
              <w:t>% uptake is unlikely to be realised in clinical practice.</w:t>
            </w:r>
            <w:r w:rsidR="00380E27">
              <w:t xml:space="preserve"> The PBAC considered that uptake in </w:t>
            </w:r>
            <w:r w:rsidR="00380E27">
              <w:lastRenderedPageBreak/>
              <w:t>an adult population is likely to be lower</w:t>
            </w:r>
            <w:r w:rsidR="00AB37EA">
              <w:t xml:space="preserve">, </w:t>
            </w:r>
            <w:r w:rsidR="00BB2D2F" w:rsidRPr="00E5308C">
              <w:t xml:space="preserve">approximately </w:t>
            </w:r>
            <w:r w:rsidR="00B90395" w:rsidRPr="00B90395">
              <w:rPr>
                <w:sz w:val="2"/>
                <w:highlight w:val="black"/>
              </w:rPr>
              <w:t>redacted content</w:t>
            </w:r>
            <w:r w:rsidR="00BB2D2F" w:rsidRPr="00E5308C">
              <w:t>%.</w:t>
            </w:r>
          </w:p>
        </w:tc>
      </w:tr>
      <w:tr w:rsidR="00ED378B" w:rsidRPr="00597AA3" w14:paraId="4C2CC467" w14:textId="77777777" w:rsidTr="005F3364">
        <w:tc>
          <w:tcPr>
            <w:tcW w:w="1271" w:type="dxa"/>
            <w:vAlign w:val="center"/>
          </w:tcPr>
          <w:p w14:paraId="0701CC88" w14:textId="77777777" w:rsidR="00ED378B" w:rsidRPr="00597AA3" w:rsidRDefault="00ED378B" w:rsidP="004B083B">
            <w:pPr>
              <w:pStyle w:val="COMTabletext"/>
              <w:keepNext w:val="0"/>
              <w:keepLines w:val="0"/>
            </w:pPr>
            <w:r w:rsidRPr="00597AA3">
              <w:lastRenderedPageBreak/>
              <w:t>Discontinuation rate</w:t>
            </w:r>
          </w:p>
        </w:tc>
        <w:tc>
          <w:tcPr>
            <w:tcW w:w="1134" w:type="dxa"/>
            <w:vAlign w:val="center"/>
          </w:tcPr>
          <w:p w14:paraId="6B104449" w14:textId="77777777" w:rsidR="00ED378B" w:rsidRPr="00597AA3" w:rsidRDefault="00ED378B" w:rsidP="004B083B">
            <w:pPr>
              <w:pStyle w:val="COMTabletext"/>
              <w:keepNext w:val="0"/>
              <w:keepLines w:val="0"/>
            </w:pPr>
            <w:r w:rsidRPr="00E5308C">
              <w:t>2.86% per year</w:t>
            </w:r>
            <w:r w:rsidRPr="00597AA3">
              <w:t xml:space="preserve"> </w:t>
            </w:r>
          </w:p>
        </w:tc>
        <w:tc>
          <w:tcPr>
            <w:tcW w:w="3367" w:type="dxa"/>
            <w:vAlign w:val="center"/>
          </w:tcPr>
          <w:p w14:paraId="6A189E47" w14:textId="77777777" w:rsidR="00ED378B" w:rsidRPr="00597AA3" w:rsidRDefault="00ED378B" w:rsidP="004B083B">
            <w:pPr>
              <w:pStyle w:val="COMTabletext"/>
              <w:keepNext w:val="0"/>
              <w:keepLines w:val="0"/>
            </w:pPr>
            <w:r w:rsidRPr="00597AA3">
              <w:t xml:space="preserve">The submission estimated a treatment </w:t>
            </w:r>
            <w:r w:rsidRPr="00E5308C">
              <w:t>discontinuation rate of 2.86% per year by converting the number of treatment</w:t>
            </w:r>
            <w:r w:rsidRPr="00597AA3">
              <w:t xml:space="preserve"> discontinuations in the CLUSTER trial over 112 weeks to an annual rate. The discontinuation rate was applied to the prevalent population only (on the basis that the number of incident and grandfathered patients was too low for the discontinuation rate to change the number of patients treated each year).</w:t>
            </w:r>
          </w:p>
        </w:tc>
        <w:tc>
          <w:tcPr>
            <w:tcW w:w="3408" w:type="dxa"/>
            <w:vAlign w:val="center"/>
          </w:tcPr>
          <w:p w14:paraId="4D7CEA13" w14:textId="77777777" w:rsidR="00ED378B" w:rsidRPr="00597AA3" w:rsidRDefault="00ED378B" w:rsidP="004B083B">
            <w:pPr>
              <w:pStyle w:val="COMTabletext"/>
              <w:keepNext w:val="0"/>
              <w:keepLines w:val="0"/>
            </w:pPr>
            <w:r w:rsidRPr="00597AA3">
              <w:t>It is unclear if discontinuations in the trial setting would be representative of treatment persistence in clinical practice. The submission did not include any treatment discontinuations due to achieving disease remission (as described in Section 1 of the submission). The proposed restrictions for canakinumab do not propose a stopping rule or definition of a response to continue treatment.</w:t>
            </w:r>
          </w:p>
        </w:tc>
      </w:tr>
      <w:tr w:rsidR="00ED378B" w:rsidRPr="00597AA3" w14:paraId="404A8F90" w14:textId="77777777" w:rsidTr="005F3364">
        <w:tc>
          <w:tcPr>
            <w:tcW w:w="1271" w:type="dxa"/>
            <w:vAlign w:val="center"/>
          </w:tcPr>
          <w:p w14:paraId="6C7773AA" w14:textId="77777777" w:rsidR="00ED378B" w:rsidRPr="00597AA3" w:rsidRDefault="00ED378B" w:rsidP="004B083B">
            <w:pPr>
              <w:pStyle w:val="COMTabletext"/>
              <w:keepNext w:val="0"/>
              <w:keepLines w:val="0"/>
            </w:pPr>
            <w:r w:rsidRPr="00597AA3">
              <w:t>Proportion of patients with disease flare (used to determine canakinumab dose regimens)</w:t>
            </w:r>
          </w:p>
        </w:tc>
        <w:tc>
          <w:tcPr>
            <w:tcW w:w="1134" w:type="dxa"/>
            <w:vAlign w:val="center"/>
          </w:tcPr>
          <w:p w14:paraId="3D9D2F34" w14:textId="77777777" w:rsidR="00ED378B" w:rsidRPr="00597AA3" w:rsidRDefault="00ED378B" w:rsidP="004B083B">
            <w:pPr>
              <w:pStyle w:val="COMTabletext"/>
              <w:keepNext w:val="0"/>
              <w:keepLines w:val="0"/>
            </w:pPr>
            <w:r w:rsidRPr="00597AA3">
              <w:t>Initial: 36.27%</w:t>
            </w:r>
          </w:p>
          <w:p w14:paraId="5228ADD7" w14:textId="77777777" w:rsidR="00ED378B" w:rsidRPr="00597AA3" w:rsidRDefault="00ED378B" w:rsidP="004B083B">
            <w:pPr>
              <w:pStyle w:val="COMTabletext"/>
              <w:keepNext w:val="0"/>
              <w:keepLines w:val="0"/>
            </w:pPr>
            <w:r w:rsidRPr="00597AA3">
              <w:t>Continuing: 15.43%</w:t>
            </w:r>
          </w:p>
        </w:tc>
        <w:tc>
          <w:tcPr>
            <w:tcW w:w="3367" w:type="dxa"/>
            <w:vAlign w:val="center"/>
          </w:tcPr>
          <w:p w14:paraId="7DA1E3AC" w14:textId="61AEAC0E" w:rsidR="00ED378B" w:rsidRPr="00597AA3" w:rsidRDefault="00ED378B" w:rsidP="004B083B">
            <w:pPr>
              <w:pStyle w:val="COMTabletext"/>
              <w:keepNext w:val="0"/>
              <w:keepLines w:val="0"/>
            </w:pPr>
            <w:r w:rsidRPr="00597AA3">
              <w:t>Derived from individual patient data for the paediatric population of the CLUSTER trial (Stage 2 for flares during initial treatment, and Stage 4 for flares during continuing treatment), with probabilities of experiencing a flare calculated for 6-monthly treatment cycles (6 months of initial treatment followed by continuing treatment in 6-monthly periods). Patients with flares received an additional top-up dose while patients without a flare had their dose frequency reduced from 4-weekly to 8-weekly until the end of each 6</w:t>
            </w:r>
            <w:r w:rsidR="002F5664">
              <w:t>-</w:t>
            </w:r>
            <w:r w:rsidRPr="00597AA3">
              <w:t>month period (see below).</w:t>
            </w:r>
          </w:p>
        </w:tc>
        <w:tc>
          <w:tcPr>
            <w:tcW w:w="3408" w:type="dxa"/>
            <w:vAlign w:val="center"/>
          </w:tcPr>
          <w:p w14:paraId="46A84421" w14:textId="4D300F10" w:rsidR="00ED378B" w:rsidRPr="00597AA3" w:rsidRDefault="00ED378B" w:rsidP="004B083B">
            <w:pPr>
              <w:pStyle w:val="COMTabletext"/>
              <w:keepNext w:val="0"/>
              <w:keepLines w:val="0"/>
            </w:pPr>
            <w:r w:rsidRPr="00597AA3">
              <w:t xml:space="preserve">Calculating the estimated number of canakinumab scripts based on 6-month periods with a fixed proportion of patients in each cycle experiencing a flare with a dose top-up, or no flare with a reduction in treatment frequency after 16 weeks, resulted in all </w:t>
            </w:r>
            <w:r w:rsidR="004D613C" w:rsidRPr="00597AA3">
              <w:t xml:space="preserve">down-titrated </w:t>
            </w:r>
            <w:r w:rsidRPr="00597AA3">
              <w:t>patients returning to the base dose at the start of the next 6 month period, rather than continuing on reduced dose frequency, which is unlikely to reflect use in clinical practice.</w:t>
            </w:r>
            <w:r w:rsidR="00427C92">
              <w:t xml:space="preserve"> </w:t>
            </w:r>
          </w:p>
        </w:tc>
      </w:tr>
      <w:tr w:rsidR="00ED378B" w:rsidRPr="00597AA3" w14:paraId="4EF974E2" w14:textId="77777777" w:rsidTr="005F3364">
        <w:tc>
          <w:tcPr>
            <w:tcW w:w="1271" w:type="dxa"/>
            <w:vAlign w:val="center"/>
          </w:tcPr>
          <w:p w14:paraId="07725E88" w14:textId="145D6F42" w:rsidR="00ED378B" w:rsidRPr="00597AA3" w:rsidRDefault="00ED378B" w:rsidP="004B083B">
            <w:pPr>
              <w:pStyle w:val="COMTabletext"/>
              <w:keepNext w:val="0"/>
              <w:keepLines w:val="0"/>
            </w:pPr>
            <w:r w:rsidRPr="00597AA3">
              <w:t>Scripts dispensed</w:t>
            </w:r>
            <w:r w:rsidR="00A709C5" w:rsidRPr="00597AA3">
              <w:t xml:space="preserve"> </w:t>
            </w:r>
            <w:r w:rsidR="00A709C5" w:rsidRPr="00597AA3">
              <w:rPr>
                <w:vertAlign w:val="superscript"/>
              </w:rPr>
              <w:t>a</w:t>
            </w:r>
            <w:r w:rsidR="00A709C5" w:rsidRPr="00597AA3">
              <w:t xml:space="preserve"> </w:t>
            </w:r>
          </w:p>
        </w:tc>
        <w:tc>
          <w:tcPr>
            <w:tcW w:w="1134" w:type="dxa"/>
            <w:vAlign w:val="center"/>
          </w:tcPr>
          <w:p w14:paraId="49A14B5E" w14:textId="38540777" w:rsidR="00ED378B" w:rsidRPr="0027402A" w:rsidRDefault="00ED378B" w:rsidP="004B083B">
            <w:pPr>
              <w:pStyle w:val="COMTabletext"/>
              <w:keepNext w:val="0"/>
              <w:keepLines w:val="0"/>
              <w:rPr>
                <w:vertAlign w:val="superscript"/>
              </w:rPr>
            </w:pPr>
            <w:r w:rsidRPr="00597AA3">
              <w:t xml:space="preserve">Yr 1: </w:t>
            </w:r>
            <w:r w:rsidR="00B90395" w:rsidRPr="00B90395">
              <w:rPr>
                <w:sz w:val="2"/>
                <w:highlight w:val="black"/>
              </w:rPr>
              <w:t>redacted content</w:t>
            </w:r>
            <w:r w:rsidR="0027402A">
              <w:rPr>
                <w:vertAlign w:val="superscript"/>
              </w:rPr>
              <w:t>1</w:t>
            </w:r>
          </w:p>
          <w:p w14:paraId="4BD52552" w14:textId="7B4E8482" w:rsidR="00ED378B" w:rsidRPr="0027402A" w:rsidRDefault="00ED378B" w:rsidP="004B083B">
            <w:pPr>
              <w:pStyle w:val="COMTabletext"/>
              <w:keepNext w:val="0"/>
              <w:keepLines w:val="0"/>
              <w:rPr>
                <w:vertAlign w:val="superscript"/>
              </w:rPr>
            </w:pPr>
            <w:r w:rsidRPr="00597AA3">
              <w:t xml:space="preserve">Yr 2: </w:t>
            </w:r>
            <w:r w:rsidR="00B90395" w:rsidRPr="00B90395">
              <w:rPr>
                <w:sz w:val="2"/>
                <w:highlight w:val="black"/>
              </w:rPr>
              <w:t>redacted content</w:t>
            </w:r>
            <w:r w:rsidR="0027402A">
              <w:rPr>
                <w:vertAlign w:val="superscript"/>
              </w:rPr>
              <w:t>1</w:t>
            </w:r>
          </w:p>
          <w:p w14:paraId="4B05A244" w14:textId="09154571" w:rsidR="00ED378B" w:rsidRPr="0027402A" w:rsidRDefault="00ED378B" w:rsidP="004B083B">
            <w:pPr>
              <w:pStyle w:val="COMTabletext"/>
              <w:keepNext w:val="0"/>
              <w:keepLines w:val="0"/>
              <w:rPr>
                <w:vertAlign w:val="superscript"/>
              </w:rPr>
            </w:pPr>
            <w:r w:rsidRPr="00597AA3">
              <w:t xml:space="preserve">Yr 3: </w:t>
            </w:r>
            <w:r w:rsidR="00B90395" w:rsidRPr="00B90395">
              <w:rPr>
                <w:sz w:val="2"/>
                <w:highlight w:val="black"/>
              </w:rPr>
              <w:t>redacted content</w:t>
            </w:r>
            <w:r w:rsidR="0027402A">
              <w:rPr>
                <w:vertAlign w:val="superscript"/>
              </w:rPr>
              <w:t>1</w:t>
            </w:r>
          </w:p>
          <w:p w14:paraId="322EDEA0" w14:textId="29BAC90E" w:rsidR="00ED378B" w:rsidRPr="0027402A" w:rsidRDefault="00ED378B" w:rsidP="004B083B">
            <w:pPr>
              <w:pStyle w:val="COMTabletext"/>
              <w:keepNext w:val="0"/>
              <w:keepLines w:val="0"/>
              <w:rPr>
                <w:vertAlign w:val="superscript"/>
              </w:rPr>
            </w:pPr>
            <w:r w:rsidRPr="00597AA3">
              <w:t xml:space="preserve">Yr 4: </w:t>
            </w:r>
            <w:r w:rsidR="00B90395" w:rsidRPr="00B90395">
              <w:rPr>
                <w:sz w:val="2"/>
                <w:highlight w:val="black"/>
              </w:rPr>
              <w:t>redacted content</w:t>
            </w:r>
            <w:r w:rsidR="0027402A">
              <w:rPr>
                <w:vertAlign w:val="superscript"/>
              </w:rPr>
              <w:t>1</w:t>
            </w:r>
          </w:p>
          <w:p w14:paraId="4B1F6462" w14:textId="46F083C8" w:rsidR="00ED378B" w:rsidRPr="0027402A" w:rsidRDefault="00ED378B" w:rsidP="004B083B">
            <w:pPr>
              <w:pStyle w:val="COMTabletext"/>
              <w:keepNext w:val="0"/>
              <w:keepLines w:val="0"/>
              <w:rPr>
                <w:vertAlign w:val="superscript"/>
              </w:rPr>
            </w:pPr>
            <w:r w:rsidRPr="00597AA3">
              <w:t xml:space="preserve">Yr 5: </w:t>
            </w:r>
            <w:r w:rsidR="00B90395" w:rsidRPr="00B90395">
              <w:rPr>
                <w:sz w:val="2"/>
                <w:highlight w:val="black"/>
              </w:rPr>
              <w:t>redacted content</w:t>
            </w:r>
            <w:r w:rsidR="0027402A">
              <w:rPr>
                <w:vertAlign w:val="superscript"/>
              </w:rPr>
              <w:t>1</w:t>
            </w:r>
          </w:p>
          <w:p w14:paraId="0E5AEFA7" w14:textId="54260D4B" w:rsidR="00ED378B" w:rsidRPr="0027402A" w:rsidRDefault="00ED378B" w:rsidP="004B083B">
            <w:pPr>
              <w:pStyle w:val="COMTabletext"/>
              <w:keepNext w:val="0"/>
              <w:keepLines w:val="0"/>
              <w:rPr>
                <w:vertAlign w:val="superscript"/>
              </w:rPr>
            </w:pPr>
            <w:r w:rsidRPr="00597AA3">
              <w:t xml:space="preserve">Yr 6: </w:t>
            </w:r>
            <w:r w:rsidR="00B90395" w:rsidRPr="00B90395">
              <w:rPr>
                <w:sz w:val="2"/>
                <w:highlight w:val="black"/>
              </w:rPr>
              <w:t>redacted content</w:t>
            </w:r>
            <w:r w:rsidR="0027402A">
              <w:rPr>
                <w:vertAlign w:val="superscript"/>
              </w:rPr>
              <w:t>1</w:t>
            </w:r>
          </w:p>
        </w:tc>
        <w:tc>
          <w:tcPr>
            <w:tcW w:w="3367" w:type="dxa"/>
            <w:vAlign w:val="center"/>
          </w:tcPr>
          <w:p w14:paraId="0C86F815" w14:textId="2AED7BC0" w:rsidR="00ED378B" w:rsidRPr="00597AA3" w:rsidRDefault="00ED378B" w:rsidP="004B083B">
            <w:pPr>
              <w:pStyle w:val="COMTabletext"/>
              <w:keepNext w:val="0"/>
              <w:keepLines w:val="0"/>
            </w:pPr>
            <w:r w:rsidRPr="00597AA3">
              <w:t>The base dose regimen for all patients was canakinumab 150 mg (or 2 mg/kg) every 4 weeks (13.04 vials per patient per year). For each 6-month period, a single top up dose of 150 mg or 2 mg/kg (1 vial) was added for the proportion of patients who experienced a flare during that period.</w:t>
            </w:r>
            <w:r w:rsidR="00601754" w:rsidRPr="00597AA3">
              <w:t xml:space="preserve"> </w:t>
            </w:r>
            <w:r w:rsidRPr="00597AA3">
              <w:t xml:space="preserve">For the </w:t>
            </w:r>
            <w:r w:rsidR="00601754" w:rsidRPr="00597AA3">
              <w:t xml:space="preserve">remaining </w:t>
            </w:r>
            <w:r w:rsidRPr="00597AA3">
              <w:t>proportion of patients who did not experience a flare during the 6-month period, the base dose was reduced after 16 weeks to 8-weekly frequency for the remainder of the 6-month period.</w:t>
            </w:r>
          </w:p>
        </w:tc>
        <w:tc>
          <w:tcPr>
            <w:tcW w:w="3408" w:type="dxa"/>
            <w:vAlign w:val="center"/>
          </w:tcPr>
          <w:p w14:paraId="3C1A76B7" w14:textId="77777777" w:rsidR="00B94EFE" w:rsidRPr="00465CE0" w:rsidRDefault="00ED378B" w:rsidP="004B083B">
            <w:pPr>
              <w:pStyle w:val="COMTabletext"/>
              <w:keepNext w:val="0"/>
              <w:keepLines w:val="0"/>
            </w:pPr>
            <w:r w:rsidRPr="00597AA3">
              <w:t>The</w:t>
            </w:r>
            <w:r w:rsidR="00DE35E2">
              <w:t xml:space="preserve"> PBAC considered th</w:t>
            </w:r>
            <w:r w:rsidR="00A70C80">
              <w:t>e</w:t>
            </w:r>
            <w:r w:rsidRPr="00597AA3">
              <w:t xml:space="preserve"> assumption that patients experiencing flares on treatment would receive top up doses rather than increasing to a 300 mg (or 4 mg/kg) maintenance dose </w:t>
            </w:r>
            <w:r w:rsidR="00DE35E2">
              <w:t xml:space="preserve">was </w:t>
            </w:r>
            <w:r w:rsidRPr="00597AA3">
              <w:t xml:space="preserve">not reasonable. The exclusion of the 300 mg maintenance dose from the financial impact estimates is likely to underestimate the costs associated with canakinumab treatment. </w:t>
            </w:r>
            <w:r w:rsidR="00B51BB0">
              <w:t xml:space="preserve">The PBAC </w:t>
            </w:r>
            <w:r w:rsidR="00B51BB0" w:rsidRPr="00465CE0">
              <w:t xml:space="preserve">considered that dosing should reflect the </w:t>
            </w:r>
            <w:r w:rsidR="00877644" w:rsidRPr="00465CE0">
              <w:t xml:space="preserve">patient </w:t>
            </w:r>
            <w:r w:rsidR="00EC1DEF" w:rsidRPr="00465CE0">
              <w:t xml:space="preserve">dosing at the end of Stage 3 of the CLUSTER trial to account for </w:t>
            </w:r>
            <w:r w:rsidR="00503C81" w:rsidRPr="00465CE0">
              <w:t>dosing adjustments</w:t>
            </w:r>
            <w:r w:rsidR="00B94EFE" w:rsidRPr="00465CE0">
              <w:t>:</w:t>
            </w:r>
          </w:p>
          <w:p w14:paraId="190DF37D" w14:textId="7F8F2456" w:rsidR="00FE4F12" w:rsidRPr="00465CE0" w:rsidRDefault="00EC2E88" w:rsidP="004B083B">
            <w:pPr>
              <w:pStyle w:val="COMTabletext"/>
              <w:keepNext w:val="0"/>
              <w:keepLines w:val="0"/>
            </w:pPr>
            <w:r w:rsidRPr="00465CE0">
              <w:t>150 mg Q8W</w:t>
            </w:r>
            <w:r w:rsidR="00FE4F12" w:rsidRPr="00465CE0">
              <w:t xml:space="preserve">: </w:t>
            </w:r>
            <w:r w:rsidR="00D3661B" w:rsidRPr="00465CE0">
              <w:t>30/51 (</w:t>
            </w:r>
            <w:r w:rsidR="00FE4F12" w:rsidRPr="00465CE0">
              <w:t>59%</w:t>
            </w:r>
            <w:r w:rsidR="00D3661B" w:rsidRPr="00465CE0">
              <w:t>)</w:t>
            </w:r>
          </w:p>
          <w:p w14:paraId="2D0EFA47" w14:textId="7DB693CE" w:rsidR="00ED378B" w:rsidRPr="00465CE0" w:rsidRDefault="0039591F" w:rsidP="004B083B">
            <w:pPr>
              <w:pStyle w:val="COMTabletext"/>
              <w:keepNext w:val="0"/>
              <w:keepLines w:val="0"/>
            </w:pPr>
            <w:r w:rsidRPr="00465CE0">
              <w:t>150 mg Q4W</w:t>
            </w:r>
            <w:r w:rsidR="000B2E3D" w:rsidRPr="00465CE0">
              <w:t xml:space="preserve">: </w:t>
            </w:r>
            <w:r w:rsidR="00D35F7F" w:rsidRPr="00465CE0">
              <w:t>12/51 (24%)</w:t>
            </w:r>
          </w:p>
          <w:p w14:paraId="35B25A24" w14:textId="0EBCBDE2" w:rsidR="00D35F7F" w:rsidRPr="00465CE0" w:rsidRDefault="00AF0617" w:rsidP="004B083B">
            <w:pPr>
              <w:pStyle w:val="COMTabletext"/>
              <w:keepNext w:val="0"/>
              <w:keepLines w:val="0"/>
            </w:pPr>
            <w:r w:rsidRPr="00465CE0">
              <w:t xml:space="preserve">300 mg Q8W: </w:t>
            </w:r>
            <w:r w:rsidR="0028629A" w:rsidRPr="00465CE0">
              <w:t>5/</w:t>
            </w:r>
            <w:r w:rsidR="0028629A" w:rsidRPr="00494D54">
              <w:rPr>
                <w:color w:val="000000" w:themeColor="text1"/>
              </w:rPr>
              <w:t>51 (</w:t>
            </w:r>
            <w:r w:rsidR="00225434" w:rsidRPr="00494D54">
              <w:rPr>
                <w:color w:val="000000" w:themeColor="text1"/>
              </w:rPr>
              <w:t>10</w:t>
            </w:r>
            <w:r w:rsidR="0028629A" w:rsidRPr="00465CE0">
              <w:t>%)</w:t>
            </w:r>
          </w:p>
          <w:p w14:paraId="30E7FD9E" w14:textId="125F113B" w:rsidR="0028629A" w:rsidRPr="00597AA3" w:rsidRDefault="0028629A" w:rsidP="004B083B">
            <w:pPr>
              <w:pStyle w:val="COMTabletext"/>
              <w:keepNext w:val="0"/>
              <w:keepLines w:val="0"/>
            </w:pPr>
            <w:r w:rsidRPr="00465CE0">
              <w:t>300 mg Q4W</w:t>
            </w:r>
            <w:r w:rsidR="00E67897" w:rsidRPr="00465CE0">
              <w:t xml:space="preserve">: </w:t>
            </w:r>
            <w:r w:rsidR="00836DE9" w:rsidRPr="00465CE0">
              <w:t>4/51 (8%)</w:t>
            </w:r>
          </w:p>
        </w:tc>
      </w:tr>
    </w:tbl>
    <w:p w14:paraId="6B7A9700" w14:textId="77777777" w:rsidR="00ED378B" w:rsidRPr="00597AA3" w:rsidRDefault="00ED378B" w:rsidP="004B083B">
      <w:pPr>
        <w:pStyle w:val="COMTablefooter"/>
      </w:pPr>
      <w:r w:rsidRPr="00597AA3">
        <w:rPr>
          <w:color w:val="3366FF"/>
        </w:rPr>
        <w:t xml:space="preserve"> </w:t>
      </w:r>
      <w:r w:rsidRPr="00597AA3">
        <w:t>Source: Table 4.1, pp262-264 of the submission.</w:t>
      </w:r>
    </w:p>
    <w:p w14:paraId="04BB9B0C" w14:textId="5F81E74E" w:rsidR="00ED378B" w:rsidRPr="00597AA3" w:rsidRDefault="00ED378B" w:rsidP="004B083B">
      <w:pPr>
        <w:pStyle w:val="COMTablefooter"/>
      </w:pPr>
      <w:r w:rsidRPr="00597AA3">
        <w:t>Abbreviations: ABS, Australian Bureau of Statistics; CAPS, Cryopyrin-associated autoinflammatory periodic syndromes; FMF, familial Mediterranean fever; GP, general practitioner; IL, interleukin; MBS, Medicare Benefits Schedule; Yr, year</w:t>
      </w:r>
    </w:p>
    <w:p w14:paraId="55EBE68B" w14:textId="57CAEA06" w:rsidR="00A709C5" w:rsidRDefault="00A709C5" w:rsidP="00083C71">
      <w:pPr>
        <w:pStyle w:val="COMTablefooter"/>
        <w:spacing w:before="160" w:after="0"/>
      </w:pPr>
      <w:proofErr w:type="spellStart"/>
      <w:r w:rsidRPr="00597AA3">
        <w:rPr>
          <w:vertAlign w:val="superscript"/>
        </w:rPr>
        <w:t>a</w:t>
      </w:r>
      <w:proofErr w:type="spellEnd"/>
      <w:r w:rsidRPr="00597AA3">
        <w:rPr>
          <w:vertAlign w:val="superscript"/>
        </w:rPr>
        <w:t xml:space="preserve"> </w:t>
      </w:r>
      <w:proofErr w:type="gramStart"/>
      <w:r w:rsidRPr="00597AA3">
        <w:t>The</w:t>
      </w:r>
      <w:proofErr w:type="gramEnd"/>
      <w:r w:rsidRPr="00597AA3">
        <w:t xml:space="preserve"> submission’s utilisation estimates also included calculations of the number of vials required to achieve the higher canakinumab dose of 300 mg (or 4 mg/kg for patients with body weight 40 kg and under). Patients with a lower body weight </w:t>
      </w:r>
      <w:proofErr w:type="gramStart"/>
      <w:r w:rsidRPr="00597AA3">
        <w:t>are able to</w:t>
      </w:r>
      <w:proofErr w:type="gramEnd"/>
      <w:r w:rsidRPr="00597AA3">
        <w:t xml:space="preserve"> achieve the higher canakinumab dose with only one 150 mg vial. However, the submission’s utilisation estimates for each patient group (‘1 vial’ versus ‘2 vials’ required for the higher canakinumab dose) were the same, as no-one in the submission’s financial estimates receives the higher dose, rather, the proportion of patients experiencing a flare receive one additional ‘top up’ dose of canakinumab 150 mg (or 2 mg/kg).</w:t>
      </w:r>
    </w:p>
    <w:p w14:paraId="3C1C87C9" w14:textId="77777777" w:rsidR="00083C71" w:rsidRPr="00083C71" w:rsidRDefault="00083C71" w:rsidP="00083C71">
      <w:pPr>
        <w:jc w:val="left"/>
        <w:rPr>
          <w:rFonts w:ascii="Arial Narrow" w:hAnsi="Arial Narrow"/>
          <w:i/>
          <w:sz w:val="18"/>
          <w:szCs w:val="18"/>
        </w:rPr>
      </w:pPr>
      <w:r w:rsidRPr="00083C71">
        <w:rPr>
          <w:rFonts w:ascii="Arial Narrow" w:hAnsi="Arial Narrow"/>
          <w:i/>
          <w:sz w:val="18"/>
          <w:szCs w:val="18"/>
        </w:rPr>
        <w:t xml:space="preserve">The redacted values correspond to the following ranges: </w:t>
      </w:r>
    </w:p>
    <w:p w14:paraId="2D920343" w14:textId="46BC2E3F" w:rsidR="00083C71" w:rsidRPr="00083C71" w:rsidRDefault="00083C71" w:rsidP="00083C71">
      <w:pPr>
        <w:jc w:val="left"/>
        <w:rPr>
          <w:rFonts w:ascii="Arial Narrow" w:hAnsi="Arial Narrow"/>
          <w:i/>
          <w:sz w:val="18"/>
          <w:szCs w:val="18"/>
        </w:rPr>
      </w:pPr>
      <w:r w:rsidRPr="00083C71">
        <w:rPr>
          <w:rFonts w:ascii="Arial Narrow" w:hAnsi="Arial Narrow"/>
          <w:i/>
          <w:sz w:val="18"/>
          <w:szCs w:val="18"/>
          <w:vertAlign w:val="superscript"/>
        </w:rPr>
        <w:t>1</w:t>
      </w:r>
      <w:r w:rsidRPr="00083C71">
        <w:rPr>
          <w:rFonts w:ascii="Arial Narrow" w:hAnsi="Arial Narrow"/>
          <w:i/>
          <w:sz w:val="18"/>
          <w:szCs w:val="18"/>
        </w:rPr>
        <w:t xml:space="preserve"> </w:t>
      </w:r>
      <w:r w:rsidR="00134C8E" w:rsidRPr="00134C8E">
        <w:rPr>
          <w:rFonts w:ascii="Arial Narrow" w:hAnsi="Arial Narrow"/>
          <w:i/>
          <w:sz w:val="18"/>
          <w:szCs w:val="18"/>
        </w:rPr>
        <w:t>&lt; 500</w:t>
      </w:r>
    </w:p>
    <w:p w14:paraId="3A18BB63" w14:textId="77777777" w:rsidR="00083C71" w:rsidRPr="00597AA3" w:rsidRDefault="00083C71" w:rsidP="004B083B">
      <w:pPr>
        <w:pStyle w:val="COMTablefooter"/>
        <w:spacing w:before="160"/>
      </w:pPr>
    </w:p>
    <w:p w14:paraId="26FB6670" w14:textId="609CD8B8" w:rsidR="00B505C8" w:rsidRPr="00597AA3" w:rsidRDefault="00E16AD8" w:rsidP="004B083B">
      <w:pPr>
        <w:pStyle w:val="COMESnumberedpara"/>
        <w:spacing w:before="160"/>
      </w:pPr>
      <w:r w:rsidRPr="00597AA3">
        <w:lastRenderedPageBreak/>
        <w:fldChar w:fldCharType="begin"/>
      </w:r>
      <w:r w:rsidRPr="00597AA3">
        <w:instrText xml:space="preserve"> REF _Ref104805295 \h  \* MERGEFORMAT </w:instrText>
      </w:r>
      <w:r w:rsidRPr="00597AA3">
        <w:fldChar w:fldCharType="separate"/>
      </w:r>
      <w:r w:rsidR="00815AB6" w:rsidRPr="00597AA3">
        <w:t xml:space="preserve">Table </w:t>
      </w:r>
      <w:r w:rsidR="00815AB6">
        <w:t>13</w:t>
      </w:r>
      <w:r w:rsidRPr="00597AA3">
        <w:fldChar w:fldCharType="end"/>
      </w:r>
      <w:r w:rsidR="009A2DEE" w:rsidRPr="00597AA3">
        <w:t xml:space="preserve"> presents the estimated use and financial implications of listing canakinumab on the PBS.</w:t>
      </w:r>
    </w:p>
    <w:p w14:paraId="38EC053C" w14:textId="47CF88B4" w:rsidR="00C25D9C" w:rsidRPr="00597AA3" w:rsidRDefault="00E16AD8" w:rsidP="004B083B">
      <w:pPr>
        <w:pStyle w:val="COMTableFigurecaption"/>
        <w:spacing w:before="160"/>
      </w:pPr>
      <w:bookmarkStart w:id="67" w:name="_Ref104805295"/>
      <w:r w:rsidRPr="00597AA3">
        <w:t xml:space="preserve">Table </w:t>
      </w:r>
      <w:fldSimple w:instr=" SEQ Table \* ARABIC ">
        <w:r w:rsidR="00815AB6">
          <w:rPr>
            <w:noProof/>
          </w:rPr>
          <w:t>13</w:t>
        </w:r>
      </w:fldSimple>
      <w:bookmarkEnd w:id="67"/>
      <w:r w:rsidRPr="00597AA3">
        <w:t>:</w:t>
      </w:r>
      <w:r w:rsidR="002A2F50" w:rsidRPr="00597AA3">
        <w:t xml:space="preserve"> Estimated </w:t>
      </w:r>
      <w:r w:rsidR="00832B20" w:rsidRPr="00597AA3">
        <w:t>utilisation and net cost of canakinumab to the PBS (effective price)</w:t>
      </w:r>
    </w:p>
    <w:tbl>
      <w:tblPr>
        <w:tblStyle w:val="TableGrid"/>
        <w:tblW w:w="5000" w:type="pct"/>
        <w:tblLayout w:type="fixed"/>
        <w:tblLook w:val="04A0" w:firstRow="1" w:lastRow="0" w:firstColumn="1" w:lastColumn="0" w:noHBand="0" w:noVBand="1"/>
        <w:tblCaption w:val="Table 13: Estimated utilisation and net cost of canakinumab to the PBS (effective price)"/>
      </w:tblPr>
      <w:tblGrid>
        <w:gridCol w:w="2973"/>
        <w:gridCol w:w="994"/>
        <w:gridCol w:w="990"/>
        <w:gridCol w:w="992"/>
        <w:gridCol w:w="947"/>
        <w:gridCol w:w="1062"/>
        <w:gridCol w:w="1059"/>
      </w:tblGrid>
      <w:tr w:rsidR="00832B20" w:rsidRPr="00597AA3" w14:paraId="4659B0C6" w14:textId="77777777">
        <w:tc>
          <w:tcPr>
            <w:tcW w:w="1649" w:type="pct"/>
          </w:tcPr>
          <w:p w14:paraId="4BC75770" w14:textId="77777777" w:rsidR="00832B20" w:rsidRPr="00597AA3" w:rsidRDefault="00832B20" w:rsidP="004B083B">
            <w:pPr>
              <w:pStyle w:val="COMTableheadingrow"/>
            </w:pPr>
          </w:p>
        </w:tc>
        <w:tc>
          <w:tcPr>
            <w:tcW w:w="551" w:type="pct"/>
            <w:vAlign w:val="center"/>
          </w:tcPr>
          <w:p w14:paraId="397244DF" w14:textId="77777777" w:rsidR="00832B20" w:rsidRPr="00597AA3" w:rsidRDefault="00832B20" w:rsidP="004B083B">
            <w:pPr>
              <w:pStyle w:val="COMTableheadingrow"/>
              <w:jc w:val="center"/>
            </w:pPr>
            <w:r w:rsidRPr="00597AA3">
              <w:t>Year 1</w:t>
            </w:r>
          </w:p>
        </w:tc>
        <w:tc>
          <w:tcPr>
            <w:tcW w:w="549" w:type="pct"/>
            <w:vAlign w:val="center"/>
          </w:tcPr>
          <w:p w14:paraId="6FC8E90A" w14:textId="77777777" w:rsidR="00832B20" w:rsidRPr="00597AA3" w:rsidRDefault="00832B20" w:rsidP="004B083B">
            <w:pPr>
              <w:pStyle w:val="COMTableheadingrow"/>
              <w:jc w:val="center"/>
            </w:pPr>
            <w:r w:rsidRPr="00597AA3">
              <w:t>Year 2</w:t>
            </w:r>
          </w:p>
        </w:tc>
        <w:tc>
          <w:tcPr>
            <w:tcW w:w="550" w:type="pct"/>
            <w:vAlign w:val="center"/>
          </w:tcPr>
          <w:p w14:paraId="09A11029" w14:textId="77777777" w:rsidR="00832B20" w:rsidRPr="00597AA3" w:rsidRDefault="00832B20" w:rsidP="004B083B">
            <w:pPr>
              <w:pStyle w:val="COMTableheadingrow"/>
              <w:jc w:val="center"/>
            </w:pPr>
            <w:r w:rsidRPr="00597AA3">
              <w:t>Year 3</w:t>
            </w:r>
          </w:p>
        </w:tc>
        <w:tc>
          <w:tcPr>
            <w:tcW w:w="525" w:type="pct"/>
            <w:vAlign w:val="center"/>
          </w:tcPr>
          <w:p w14:paraId="02F59B30" w14:textId="77777777" w:rsidR="00832B20" w:rsidRPr="00597AA3" w:rsidRDefault="00832B20" w:rsidP="004B083B">
            <w:pPr>
              <w:pStyle w:val="COMTableheadingrow"/>
              <w:jc w:val="center"/>
            </w:pPr>
            <w:r w:rsidRPr="00597AA3">
              <w:t>Year 4</w:t>
            </w:r>
          </w:p>
        </w:tc>
        <w:tc>
          <w:tcPr>
            <w:tcW w:w="589" w:type="pct"/>
            <w:vAlign w:val="center"/>
          </w:tcPr>
          <w:p w14:paraId="234F2CF2" w14:textId="77777777" w:rsidR="00832B20" w:rsidRPr="00597AA3" w:rsidRDefault="00832B20" w:rsidP="004B083B">
            <w:pPr>
              <w:pStyle w:val="COMTableheadingrow"/>
              <w:jc w:val="center"/>
            </w:pPr>
            <w:r w:rsidRPr="00597AA3">
              <w:t>Year 5</w:t>
            </w:r>
          </w:p>
        </w:tc>
        <w:tc>
          <w:tcPr>
            <w:tcW w:w="587" w:type="pct"/>
            <w:vAlign w:val="center"/>
          </w:tcPr>
          <w:p w14:paraId="2F7C15B6" w14:textId="77777777" w:rsidR="00832B20" w:rsidRPr="00597AA3" w:rsidRDefault="00832B20" w:rsidP="004B083B">
            <w:pPr>
              <w:pStyle w:val="COMTableheadingrow"/>
              <w:jc w:val="center"/>
            </w:pPr>
            <w:r w:rsidRPr="00597AA3">
              <w:t>Year 6</w:t>
            </w:r>
          </w:p>
        </w:tc>
      </w:tr>
      <w:tr w:rsidR="00832B20" w:rsidRPr="00597AA3" w14:paraId="7F21F41A" w14:textId="77777777">
        <w:tc>
          <w:tcPr>
            <w:tcW w:w="5000" w:type="pct"/>
            <w:gridSpan w:val="7"/>
          </w:tcPr>
          <w:p w14:paraId="7D068B7B" w14:textId="77777777" w:rsidR="00832B20" w:rsidRPr="00597AA3" w:rsidRDefault="00832B20" w:rsidP="004B083B">
            <w:pPr>
              <w:pStyle w:val="COMTabletext"/>
              <w:rPr>
                <w:b/>
                <w:bCs w:val="0"/>
              </w:rPr>
            </w:pPr>
            <w:r w:rsidRPr="00597AA3">
              <w:rPr>
                <w:b/>
                <w:bCs w:val="0"/>
              </w:rPr>
              <w:t>Cost of canakinumab to the PBS</w:t>
            </w:r>
          </w:p>
        </w:tc>
      </w:tr>
      <w:tr w:rsidR="00832B20" w:rsidRPr="00597AA3" w14:paraId="2EA2D39C" w14:textId="77777777">
        <w:tc>
          <w:tcPr>
            <w:tcW w:w="1649" w:type="pct"/>
          </w:tcPr>
          <w:p w14:paraId="549E848D" w14:textId="0450C81F" w:rsidR="00832B20" w:rsidRPr="00597AA3" w:rsidRDefault="00832B20" w:rsidP="004B083B">
            <w:pPr>
              <w:pStyle w:val="COMTabletext"/>
            </w:pPr>
            <w:r w:rsidRPr="00597AA3">
              <w:t xml:space="preserve">Total patients </w:t>
            </w:r>
            <w:r w:rsidR="00B57038" w:rsidRPr="00597AA3">
              <w:rPr>
                <w:vertAlign w:val="superscript"/>
              </w:rPr>
              <w:t>a</w:t>
            </w:r>
          </w:p>
        </w:tc>
        <w:tc>
          <w:tcPr>
            <w:tcW w:w="551" w:type="pct"/>
            <w:vAlign w:val="center"/>
          </w:tcPr>
          <w:p w14:paraId="604FFFD8" w14:textId="62D06C5E" w:rsidR="00832B20" w:rsidRPr="00D957C4" w:rsidRDefault="00B90395" w:rsidP="004B083B">
            <w:pPr>
              <w:pStyle w:val="COMTabletext"/>
              <w:jc w:val="center"/>
              <w:rPr>
                <w:vertAlign w:val="superscript"/>
              </w:rPr>
            </w:pPr>
            <w:r w:rsidRPr="00B90395">
              <w:rPr>
                <w:sz w:val="2"/>
                <w:highlight w:val="black"/>
              </w:rPr>
              <w:t>redacted content</w:t>
            </w:r>
            <w:r w:rsidR="00D957C4">
              <w:rPr>
                <w:vertAlign w:val="superscript"/>
              </w:rPr>
              <w:t>1</w:t>
            </w:r>
          </w:p>
        </w:tc>
        <w:tc>
          <w:tcPr>
            <w:tcW w:w="549" w:type="pct"/>
            <w:vAlign w:val="center"/>
          </w:tcPr>
          <w:p w14:paraId="7816ED83" w14:textId="02179E10" w:rsidR="00832B20" w:rsidRPr="00D957C4" w:rsidRDefault="00B90395" w:rsidP="004B083B">
            <w:pPr>
              <w:pStyle w:val="COMTabletext"/>
              <w:jc w:val="center"/>
              <w:rPr>
                <w:vertAlign w:val="superscript"/>
              </w:rPr>
            </w:pPr>
            <w:r w:rsidRPr="00B90395">
              <w:rPr>
                <w:sz w:val="2"/>
                <w:highlight w:val="black"/>
              </w:rPr>
              <w:t>redacted content</w:t>
            </w:r>
            <w:r w:rsidR="00D957C4">
              <w:rPr>
                <w:vertAlign w:val="superscript"/>
              </w:rPr>
              <w:t>1</w:t>
            </w:r>
          </w:p>
        </w:tc>
        <w:tc>
          <w:tcPr>
            <w:tcW w:w="550" w:type="pct"/>
            <w:vAlign w:val="center"/>
          </w:tcPr>
          <w:p w14:paraId="22A2B7F2" w14:textId="21DD1E2F" w:rsidR="00832B20" w:rsidRPr="00D957C4" w:rsidRDefault="00B90395" w:rsidP="004B083B">
            <w:pPr>
              <w:pStyle w:val="COMTabletext"/>
              <w:jc w:val="center"/>
              <w:rPr>
                <w:vertAlign w:val="superscript"/>
              </w:rPr>
            </w:pPr>
            <w:r w:rsidRPr="00B90395">
              <w:rPr>
                <w:sz w:val="2"/>
                <w:highlight w:val="black"/>
              </w:rPr>
              <w:t>redacted content</w:t>
            </w:r>
            <w:r w:rsidR="00D957C4">
              <w:rPr>
                <w:vertAlign w:val="superscript"/>
              </w:rPr>
              <w:t>1</w:t>
            </w:r>
          </w:p>
        </w:tc>
        <w:tc>
          <w:tcPr>
            <w:tcW w:w="525" w:type="pct"/>
            <w:vAlign w:val="center"/>
          </w:tcPr>
          <w:p w14:paraId="57779468" w14:textId="1797E326" w:rsidR="00832B20" w:rsidRPr="00D957C4" w:rsidRDefault="00B90395" w:rsidP="004B083B">
            <w:pPr>
              <w:pStyle w:val="COMTabletext"/>
              <w:jc w:val="center"/>
              <w:rPr>
                <w:vertAlign w:val="superscript"/>
              </w:rPr>
            </w:pPr>
            <w:r w:rsidRPr="00B90395">
              <w:rPr>
                <w:sz w:val="2"/>
                <w:highlight w:val="black"/>
              </w:rPr>
              <w:t>redacted content</w:t>
            </w:r>
            <w:r w:rsidR="00D957C4">
              <w:rPr>
                <w:vertAlign w:val="superscript"/>
              </w:rPr>
              <w:t>1</w:t>
            </w:r>
          </w:p>
        </w:tc>
        <w:tc>
          <w:tcPr>
            <w:tcW w:w="589" w:type="pct"/>
            <w:vAlign w:val="center"/>
          </w:tcPr>
          <w:p w14:paraId="21853D4A" w14:textId="30E1B03C" w:rsidR="00832B20" w:rsidRPr="00D957C4" w:rsidRDefault="00B90395" w:rsidP="004B083B">
            <w:pPr>
              <w:pStyle w:val="COMTabletext"/>
              <w:jc w:val="center"/>
              <w:rPr>
                <w:vertAlign w:val="superscript"/>
              </w:rPr>
            </w:pPr>
            <w:r w:rsidRPr="00B90395">
              <w:rPr>
                <w:sz w:val="2"/>
                <w:highlight w:val="black"/>
              </w:rPr>
              <w:t>redacted content</w:t>
            </w:r>
            <w:r w:rsidR="00D957C4">
              <w:rPr>
                <w:vertAlign w:val="superscript"/>
              </w:rPr>
              <w:t>1</w:t>
            </w:r>
          </w:p>
        </w:tc>
        <w:tc>
          <w:tcPr>
            <w:tcW w:w="587" w:type="pct"/>
            <w:vAlign w:val="center"/>
          </w:tcPr>
          <w:p w14:paraId="0F8CFBC1" w14:textId="7FF66BD3" w:rsidR="00832B20" w:rsidRPr="00D957C4" w:rsidRDefault="00B90395" w:rsidP="004B083B">
            <w:pPr>
              <w:pStyle w:val="COMTabletext"/>
              <w:jc w:val="center"/>
              <w:rPr>
                <w:vertAlign w:val="superscript"/>
              </w:rPr>
            </w:pPr>
            <w:r w:rsidRPr="00B90395">
              <w:rPr>
                <w:sz w:val="2"/>
                <w:highlight w:val="black"/>
              </w:rPr>
              <w:t>redacted content</w:t>
            </w:r>
            <w:r w:rsidR="00D957C4">
              <w:rPr>
                <w:vertAlign w:val="superscript"/>
              </w:rPr>
              <w:t>1</w:t>
            </w:r>
          </w:p>
        </w:tc>
      </w:tr>
      <w:tr w:rsidR="00832B20" w:rsidRPr="00597AA3" w14:paraId="1C8D3DD9" w14:textId="77777777">
        <w:tc>
          <w:tcPr>
            <w:tcW w:w="1649" w:type="pct"/>
            <w:tcBorders>
              <w:top w:val="single" w:sz="4" w:space="0" w:color="auto"/>
              <w:left w:val="single" w:sz="4" w:space="0" w:color="auto"/>
              <w:bottom w:val="single" w:sz="4" w:space="0" w:color="auto"/>
              <w:right w:val="single" w:sz="4" w:space="0" w:color="auto"/>
            </w:tcBorders>
            <w:vAlign w:val="center"/>
          </w:tcPr>
          <w:p w14:paraId="379CDFDD" w14:textId="4413B364" w:rsidR="00832B20" w:rsidRPr="00597AA3" w:rsidRDefault="00832B20" w:rsidP="004B083B">
            <w:pPr>
              <w:pStyle w:val="COMTabletext"/>
              <w:rPr>
                <w:vertAlign w:val="superscript"/>
              </w:rPr>
            </w:pPr>
            <w:r w:rsidRPr="00597AA3">
              <w:t xml:space="preserve">Total script numbers </w:t>
            </w:r>
            <w:r w:rsidR="00B57038" w:rsidRPr="00597AA3">
              <w:rPr>
                <w:vertAlign w:val="superscript"/>
              </w:rPr>
              <w:t>b</w:t>
            </w:r>
          </w:p>
        </w:tc>
        <w:tc>
          <w:tcPr>
            <w:tcW w:w="551" w:type="pct"/>
            <w:tcBorders>
              <w:top w:val="single" w:sz="4" w:space="0" w:color="auto"/>
              <w:left w:val="single" w:sz="4" w:space="0" w:color="auto"/>
              <w:bottom w:val="single" w:sz="4" w:space="0" w:color="auto"/>
              <w:right w:val="single" w:sz="4" w:space="0" w:color="auto"/>
            </w:tcBorders>
          </w:tcPr>
          <w:p w14:paraId="1844F31C" w14:textId="5202C6E4" w:rsidR="00832B20" w:rsidRPr="00D957C4" w:rsidRDefault="00B90395" w:rsidP="004B083B">
            <w:pPr>
              <w:pStyle w:val="COMTabletext"/>
              <w:jc w:val="center"/>
              <w:rPr>
                <w:vertAlign w:val="superscript"/>
              </w:rPr>
            </w:pPr>
            <w:r w:rsidRPr="00B90395">
              <w:rPr>
                <w:sz w:val="2"/>
                <w:highlight w:val="black"/>
              </w:rPr>
              <w:t>redacted content</w:t>
            </w:r>
            <w:r w:rsidR="00D957C4">
              <w:rPr>
                <w:vertAlign w:val="superscript"/>
              </w:rPr>
              <w:t>1</w:t>
            </w:r>
          </w:p>
        </w:tc>
        <w:tc>
          <w:tcPr>
            <w:tcW w:w="549" w:type="pct"/>
            <w:tcBorders>
              <w:top w:val="single" w:sz="4" w:space="0" w:color="auto"/>
              <w:left w:val="nil"/>
              <w:bottom w:val="single" w:sz="4" w:space="0" w:color="auto"/>
              <w:right w:val="single" w:sz="4" w:space="0" w:color="auto"/>
            </w:tcBorders>
          </w:tcPr>
          <w:p w14:paraId="282F3A23" w14:textId="22536318" w:rsidR="00832B20" w:rsidRPr="00D957C4" w:rsidRDefault="00B90395" w:rsidP="004B083B">
            <w:pPr>
              <w:pStyle w:val="COMTabletext"/>
              <w:jc w:val="center"/>
              <w:rPr>
                <w:vertAlign w:val="superscript"/>
              </w:rPr>
            </w:pPr>
            <w:r w:rsidRPr="00B90395">
              <w:rPr>
                <w:sz w:val="2"/>
                <w:highlight w:val="black"/>
              </w:rPr>
              <w:t>redacted content</w:t>
            </w:r>
            <w:r w:rsidR="00D957C4">
              <w:rPr>
                <w:vertAlign w:val="superscript"/>
              </w:rPr>
              <w:t>1</w:t>
            </w:r>
          </w:p>
        </w:tc>
        <w:tc>
          <w:tcPr>
            <w:tcW w:w="550" w:type="pct"/>
            <w:tcBorders>
              <w:top w:val="single" w:sz="4" w:space="0" w:color="auto"/>
              <w:left w:val="nil"/>
              <w:bottom w:val="single" w:sz="4" w:space="0" w:color="auto"/>
              <w:right w:val="single" w:sz="4" w:space="0" w:color="auto"/>
            </w:tcBorders>
          </w:tcPr>
          <w:p w14:paraId="36D616B3" w14:textId="3E8C67AB" w:rsidR="00832B20" w:rsidRPr="00D957C4" w:rsidRDefault="00B90395" w:rsidP="004B083B">
            <w:pPr>
              <w:pStyle w:val="COMTabletext"/>
              <w:jc w:val="center"/>
              <w:rPr>
                <w:vertAlign w:val="superscript"/>
              </w:rPr>
            </w:pPr>
            <w:r w:rsidRPr="00B90395">
              <w:rPr>
                <w:sz w:val="2"/>
                <w:highlight w:val="black"/>
              </w:rPr>
              <w:t>redacted content</w:t>
            </w:r>
            <w:r w:rsidR="00D957C4">
              <w:rPr>
                <w:vertAlign w:val="superscript"/>
              </w:rPr>
              <w:t>1</w:t>
            </w:r>
          </w:p>
        </w:tc>
        <w:tc>
          <w:tcPr>
            <w:tcW w:w="525" w:type="pct"/>
            <w:tcBorders>
              <w:top w:val="single" w:sz="4" w:space="0" w:color="auto"/>
              <w:left w:val="nil"/>
              <w:bottom w:val="single" w:sz="4" w:space="0" w:color="auto"/>
              <w:right w:val="single" w:sz="4" w:space="0" w:color="auto"/>
            </w:tcBorders>
          </w:tcPr>
          <w:p w14:paraId="4E319D87" w14:textId="4BFEFC50" w:rsidR="00832B20" w:rsidRPr="00D957C4" w:rsidRDefault="00B90395" w:rsidP="004B083B">
            <w:pPr>
              <w:pStyle w:val="COMTabletext"/>
              <w:jc w:val="center"/>
              <w:rPr>
                <w:vertAlign w:val="superscript"/>
              </w:rPr>
            </w:pPr>
            <w:r w:rsidRPr="00B90395">
              <w:rPr>
                <w:sz w:val="2"/>
                <w:highlight w:val="black"/>
              </w:rPr>
              <w:t>redacted content</w:t>
            </w:r>
            <w:r w:rsidR="00D957C4">
              <w:rPr>
                <w:vertAlign w:val="superscript"/>
              </w:rPr>
              <w:t>1</w:t>
            </w:r>
          </w:p>
        </w:tc>
        <w:tc>
          <w:tcPr>
            <w:tcW w:w="589" w:type="pct"/>
            <w:tcBorders>
              <w:top w:val="single" w:sz="4" w:space="0" w:color="auto"/>
              <w:left w:val="nil"/>
              <w:bottom w:val="single" w:sz="4" w:space="0" w:color="auto"/>
              <w:right w:val="single" w:sz="4" w:space="0" w:color="auto"/>
            </w:tcBorders>
          </w:tcPr>
          <w:p w14:paraId="60752F57" w14:textId="14892EF4" w:rsidR="00832B20" w:rsidRPr="00D957C4" w:rsidRDefault="00B90395" w:rsidP="004B083B">
            <w:pPr>
              <w:pStyle w:val="COMTabletext"/>
              <w:jc w:val="center"/>
              <w:rPr>
                <w:vertAlign w:val="superscript"/>
              </w:rPr>
            </w:pPr>
            <w:r w:rsidRPr="00B90395">
              <w:rPr>
                <w:sz w:val="2"/>
                <w:highlight w:val="black"/>
              </w:rPr>
              <w:t>redacted content</w:t>
            </w:r>
            <w:r w:rsidR="00D957C4">
              <w:rPr>
                <w:vertAlign w:val="superscript"/>
              </w:rPr>
              <w:t>1</w:t>
            </w:r>
          </w:p>
        </w:tc>
        <w:tc>
          <w:tcPr>
            <w:tcW w:w="587" w:type="pct"/>
            <w:tcBorders>
              <w:top w:val="single" w:sz="4" w:space="0" w:color="auto"/>
              <w:left w:val="nil"/>
              <w:bottom w:val="single" w:sz="4" w:space="0" w:color="auto"/>
              <w:right w:val="single" w:sz="4" w:space="0" w:color="auto"/>
            </w:tcBorders>
          </w:tcPr>
          <w:p w14:paraId="0AA5FAA5" w14:textId="03EB2BE3" w:rsidR="00832B20" w:rsidRPr="00D957C4" w:rsidRDefault="00B90395" w:rsidP="004B083B">
            <w:pPr>
              <w:pStyle w:val="COMTabletext"/>
              <w:jc w:val="center"/>
              <w:rPr>
                <w:vertAlign w:val="superscript"/>
              </w:rPr>
            </w:pPr>
            <w:r w:rsidRPr="00B90395">
              <w:rPr>
                <w:sz w:val="2"/>
                <w:highlight w:val="black"/>
              </w:rPr>
              <w:t>redacted content</w:t>
            </w:r>
            <w:r w:rsidR="00D957C4">
              <w:rPr>
                <w:vertAlign w:val="superscript"/>
              </w:rPr>
              <w:t>1</w:t>
            </w:r>
          </w:p>
        </w:tc>
      </w:tr>
      <w:tr w:rsidR="00832B20" w:rsidRPr="00597AA3" w14:paraId="0A4A6C44" w14:textId="77777777">
        <w:tc>
          <w:tcPr>
            <w:tcW w:w="1649" w:type="pct"/>
          </w:tcPr>
          <w:p w14:paraId="4FCAADCF" w14:textId="7EFB5832" w:rsidR="00832B20" w:rsidRPr="00597AA3" w:rsidRDefault="00832B20" w:rsidP="004B083B">
            <w:pPr>
              <w:pStyle w:val="COMTabletext"/>
              <w:rPr>
                <w:b/>
                <w:bCs w:val="0"/>
                <w:vertAlign w:val="superscript"/>
              </w:rPr>
            </w:pPr>
            <w:r w:rsidRPr="00597AA3">
              <w:rPr>
                <w:b/>
                <w:bCs w:val="0"/>
              </w:rPr>
              <w:t>Net PBS</w:t>
            </w:r>
            <w:r w:rsidR="00F42349" w:rsidRPr="00597AA3">
              <w:rPr>
                <w:b/>
                <w:bCs w:val="0"/>
              </w:rPr>
              <w:t>/RPBS</w:t>
            </w:r>
            <w:r w:rsidRPr="00597AA3">
              <w:rPr>
                <w:b/>
                <w:bCs w:val="0"/>
              </w:rPr>
              <w:t xml:space="preserve"> cost</w:t>
            </w:r>
          </w:p>
        </w:tc>
        <w:tc>
          <w:tcPr>
            <w:tcW w:w="551" w:type="pct"/>
            <w:tcMar>
              <w:left w:w="57" w:type="dxa"/>
              <w:right w:w="57" w:type="dxa"/>
            </w:tcMar>
          </w:tcPr>
          <w:p w14:paraId="2D7ABD5C" w14:textId="3024BF54" w:rsidR="00832B20" w:rsidRPr="00EA77AF" w:rsidRDefault="00832B20" w:rsidP="004B083B">
            <w:pPr>
              <w:pStyle w:val="COMTabletext"/>
              <w:jc w:val="center"/>
              <w:rPr>
                <w:rFonts w:cs="Arial"/>
                <w:b/>
                <w:bCs w:val="0"/>
                <w:vertAlign w:val="superscript"/>
              </w:rPr>
            </w:pPr>
            <w:r w:rsidRPr="00597AA3">
              <w:rPr>
                <w:b/>
                <w:bCs w:val="0"/>
              </w:rPr>
              <w:t>$</w:t>
            </w:r>
            <w:r w:rsidR="00B90395" w:rsidRPr="00B90395">
              <w:rPr>
                <w:b/>
                <w:bCs w:val="0"/>
                <w:sz w:val="2"/>
                <w:highlight w:val="black"/>
              </w:rPr>
              <w:t>redacted content</w:t>
            </w:r>
            <w:r w:rsidR="00EA77AF">
              <w:rPr>
                <w:b/>
                <w:bCs w:val="0"/>
                <w:vertAlign w:val="superscript"/>
              </w:rPr>
              <w:t>2</w:t>
            </w:r>
          </w:p>
        </w:tc>
        <w:tc>
          <w:tcPr>
            <w:tcW w:w="549" w:type="pct"/>
            <w:tcMar>
              <w:left w:w="57" w:type="dxa"/>
              <w:right w:w="57" w:type="dxa"/>
            </w:tcMar>
          </w:tcPr>
          <w:p w14:paraId="58BF401F" w14:textId="290319AA" w:rsidR="00832B20" w:rsidRPr="00EA77AF" w:rsidRDefault="00832B20" w:rsidP="004B083B">
            <w:pPr>
              <w:pStyle w:val="COMTabletext"/>
              <w:jc w:val="center"/>
              <w:rPr>
                <w:rFonts w:cs="Arial"/>
                <w:b/>
                <w:bCs w:val="0"/>
                <w:vertAlign w:val="superscript"/>
              </w:rPr>
            </w:pPr>
            <w:r w:rsidRPr="00597AA3">
              <w:rPr>
                <w:b/>
                <w:bCs w:val="0"/>
              </w:rPr>
              <w:t>$</w:t>
            </w:r>
            <w:r w:rsidR="00B90395" w:rsidRPr="00B90395">
              <w:rPr>
                <w:b/>
                <w:bCs w:val="0"/>
                <w:sz w:val="2"/>
                <w:highlight w:val="black"/>
              </w:rPr>
              <w:t>redacted content</w:t>
            </w:r>
            <w:r w:rsidR="00EA77AF">
              <w:rPr>
                <w:b/>
                <w:bCs w:val="0"/>
                <w:vertAlign w:val="superscript"/>
              </w:rPr>
              <w:t>2</w:t>
            </w:r>
          </w:p>
        </w:tc>
        <w:tc>
          <w:tcPr>
            <w:tcW w:w="550" w:type="pct"/>
            <w:tcMar>
              <w:left w:w="57" w:type="dxa"/>
              <w:right w:w="57" w:type="dxa"/>
            </w:tcMar>
          </w:tcPr>
          <w:p w14:paraId="3C0BCCF7" w14:textId="4812779F" w:rsidR="00832B20" w:rsidRPr="00EA77AF" w:rsidRDefault="00832B20" w:rsidP="004B083B">
            <w:pPr>
              <w:pStyle w:val="COMTabletext"/>
              <w:jc w:val="center"/>
              <w:rPr>
                <w:rFonts w:cs="Arial"/>
                <w:b/>
                <w:bCs w:val="0"/>
                <w:vertAlign w:val="superscript"/>
              </w:rPr>
            </w:pPr>
            <w:r w:rsidRPr="00597AA3">
              <w:rPr>
                <w:b/>
                <w:bCs w:val="0"/>
              </w:rPr>
              <w:t>$</w:t>
            </w:r>
            <w:r w:rsidR="00B90395" w:rsidRPr="00B90395">
              <w:rPr>
                <w:b/>
                <w:bCs w:val="0"/>
                <w:sz w:val="2"/>
                <w:highlight w:val="black"/>
              </w:rPr>
              <w:t>redacted content</w:t>
            </w:r>
            <w:r w:rsidR="00EA77AF">
              <w:rPr>
                <w:b/>
                <w:bCs w:val="0"/>
                <w:vertAlign w:val="superscript"/>
              </w:rPr>
              <w:t>2</w:t>
            </w:r>
          </w:p>
        </w:tc>
        <w:tc>
          <w:tcPr>
            <w:tcW w:w="525" w:type="pct"/>
            <w:tcMar>
              <w:left w:w="57" w:type="dxa"/>
              <w:right w:w="57" w:type="dxa"/>
            </w:tcMar>
          </w:tcPr>
          <w:p w14:paraId="2BC2E232" w14:textId="6B70A2C0" w:rsidR="00832B20" w:rsidRPr="00EA77AF" w:rsidRDefault="00832B20" w:rsidP="004B083B">
            <w:pPr>
              <w:pStyle w:val="COMTabletext"/>
              <w:jc w:val="center"/>
              <w:rPr>
                <w:rFonts w:cs="Arial"/>
                <w:b/>
                <w:bCs w:val="0"/>
                <w:vertAlign w:val="superscript"/>
              </w:rPr>
            </w:pPr>
            <w:r w:rsidRPr="00597AA3">
              <w:rPr>
                <w:b/>
                <w:bCs w:val="0"/>
              </w:rPr>
              <w:t>$</w:t>
            </w:r>
            <w:r w:rsidR="00B90395" w:rsidRPr="00B90395">
              <w:rPr>
                <w:b/>
                <w:bCs w:val="0"/>
                <w:sz w:val="2"/>
                <w:highlight w:val="black"/>
              </w:rPr>
              <w:t>redacted content</w:t>
            </w:r>
            <w:r w:rsidR="00EA77AF">
              <w:rPr>
                <w:b/>
                <w:bCs w:val="0"/>
                <w:vertAlign w:val="superscript"/>
              </w:rPr>
              <w:t>2</w:t>
            </w:r>
          </w:p>
        </w:tc>
        <w:tc>
          <w:tcPr>
            <w:tcW w:w="589" w:type="pct"/>
            <w:tcMar>
              <w:left w:w="57" w:type="dxa"/>
              <w:right w:w="57" w:type="dxa"/>
            </w:tcMar>
          </w:tcPr>
          <w:p w14:paraId="608BCA55" w14:textId="0D7167B8" w:rsidR="00EA77AF" w:rsidRDefault="00832B20" w:rsidP="004B083B">
            <w:pPr>
              <w:pStyle w:val="COMTabletext"/>
              <w:jc w:val="center"/>
              <w:rPr>
                <w:b/>
                <w:bCs w:val="0"/>
              </w:rPr>
            </w:pPr>
            <w:r w:rsidRPr="00597AA3">
              <w:rPr>
                <w:b/>
                <w:bCs w:val="0"/>
              </w:rPr>
              <w:t>$</w:t>
            </w:r>
            <w:r w:rsidR="00B90395" w:rsidRPr="00B90395">
              <w:rPr>
                <w:b/>
                <w:bCs w:val="0"/>
                <w:sz w:val="2"/>
                <w:highlight w:val="black"/>
              </w:rPr>
              <w:t>redacted content</w:t>
            </w:r>
          </w:p>
          <w:p w14:paraId="6E6C500F" w14:textId="6E08BEC7" w:rsidR="00832B20" w:rsidRPr="00EA77AF" w:rsidRDefault="00EA77AF" w:rsidP="004B083B">
            <w:pPr>
              <w:pStyle w:val="COMTabletext"/>
              <w:jc w:val="center"/>
              <w:rPr>
                <w:rFonts w:cs="Arial"/>
                <w:b/>
                <w:bCs w:val="0"/>
                <w:vertAlign w:val="superscript"/>
              </w:rPr>
            </w:pPr>
            <w:r>
              <w:rPr>
                <w:b/>
                <w:bCs w:val="0"/>
                <w:vertAlign w:val="superscript"/>
              </w:rPr>
              <w:t>2</w:t>
            </w:r>
          </w:p>
        </w:tc>
        <w:tc>
          <w:tcPr>
            <w:tcW w:w="587" w:type="pct"/>
            <w:tcMar>
              <w:left w:w="57" w:type="dxa"/>
              <w:right w:w="57" w:type="dxa"/>
            </w:tcMar>
          </w:tcPr>
          <w:p w14:paraId="44AB0BA5" w14:textId="13CBC19C" w:rsidR="00832B20" w:rsidRDefault="00832B20" w:rsidP="004B083B">
            <w:pPr>
              <w:pStyle w:val="COMTabletext"/>
              <w:jc w:val="center"/>
              <w:rPr>
                <w:b/>
                <w:bCs w:val="0"/>
              </w:rPr>
            </w:pPr>
            <w:r w:rsidRPr="00597AA3">
              <w:rPr>
                <w:b/>
                <w:bCs w:val="0"/>
              </w:rPr>
              <w:t>$</w:t>
            </w:r>
            <w:r w:rsidR="00B90395" w:rsidRPr="00B90395">
              <w:rPr>
                <w:b/>
                <w:bCs w:val="0"/>
                <w:sz w:val="2"/>
                <w:highlight w:val="black"/>
              </w:rPr>
              <w:t>redacted content</w:t>
            </w:r>
          </w:p>
          <w:p w14:paraId="4C483C9F" w14:textId="5638E4DE" w:rsidR="00EA77AF" w:rsidRPr="00EA77AF" w:rsidRDefault="00EA77AF" w:rsidP="004B083B">
            <w:pPr>
              <w:pStyle w:val="COMTabletext"/>
              <w:jc w:val="center"/>
              <w:rPr>
                <w:rFonts w:cs="Arial"/>
                <w:b/>
                <w:bCs w:val="0"/>
                <w:vertAlign w:val="superscript"/>
              </w:rPr>
            </w:pPr>
            <w:r>
              <w:rPr>
                <w:b/>
                <w:bCs w:val="0"/>
                <w:vertAlign w:val="superscript"/>
              </w:rPr>
              <w:t>2</w:t>
            </w:r>
          </w:p>
        </w:tc>
      </w:tr>
      <w:tr w:rsidR="00C2665B" w:rsidRPr="00597AA3" w14:paraId="577130AA" w14:textId="77777777">
        <w:tc>
          <w:tcPr>
            <w:tcW w:w="1649" w:type="pct"/>
          </w:tcPr>
          <w:p w14:paraId="6552AD9D" w14:textId="2116F1DB" w:rsidR="00C2665B" w:rsidRPr="00597AA3" w:rsidRDefault="00C2665B" w:rsidP="004B083B">
            <w:pPr>
              <w:pStyle w:val="COMTabletext"/>
              <w:rPr>
                <w:b/>
                <w:bCs w:val="0"/>
                <w:vertAlign w:val="superscript"/>
              </w:rPr>
            </w:pPr>
            <w:r w:rsidRPr="00597AA3">
              <w:rPr>
                <w:b/>
                <w:bCs w:val="0"/>
              </w:rPr>
              <w:t xml:space="preserve">Net cost to MBS </w:t>
            </w:r>
            <w:r w:rsidR="00B57038" w:rsidRPr="00597AA3">
              <w:rPr>
                <w:b/>
                <w:bCs w:val="0"/>
                <w:vertAlign w:val="superscript"/>
              </w:rPr>
              <w:t>c</w:t>
            </w:r>
          </w:p>
        </w:tc>
        <w:tc>
          <w:tcPr>
            <w:tcW w:w="551" w:type="pct"/>
            <w:tcMar>
              <w:left w:w="57" w:type="dxa"/>
              <w:right w:w="57" w:type="dxa"/>
            </w:tcMar>
          </w:tcPr>
          <w:p w14:paraId="2FDB3AA0" w14:textId="4B4F5CF3" w:rsidR="00C2665B" w:rsidRPr="001C4022" w:rsidRDefault="00C2665B" w:rsidP="004B083B">
            <w:pPr>
              <w:pStyle w:val="COMTabletext"/>
              <w:jc w:val="center"/>
              <w:rPr>
                <w:b/>
                <w:bCs w:val="0"/>
                <w:vertAlign w:val="superscript"/>
              </w:rPr>
            </w:pPr>
            <w:r w:rsidRPr="00597AA3">
              <w:t>-$</w:t>
            </w:r>
            <w:r w:rsidR="00B90395" w:rsidRPr="00B90395">
              <w:rPr>
                <w:sz w:val="2"/>
                <w:highlight w:val="black"/>
              </w:rPr>
              <w:t>redacted content</w:t>
            </w:r>
            <w:r w:rsidR="001C4022">
              <w:rPr>
                <w:vertAlign w:val="superscript"/>
              </w:rPr>
              <w:t>3</w:t>
            </w:r>
          </w:p>
        </w:tc>
        <w:tc>
          <w:tcPr>
            <w:tcW w:w="549" w:type="pct"/>
            <w:tcMar>
              <w:left w:w="57" w:type="dxa"/>
              <w:right w:w="57" w:type="dxa"/>
            </w:tcMar>
          </w:tcPr>
          <w:p w14:paraId="0864D6C2" w14:textId="26F42FF6" w:rsidR="00C2665B" w:rsidRPr="001C4022" w:rsidRDefault="00C2665B" w:rsidP="004B083B">
            <w:pPr>
              <w:pStyle w:val="COMTabletext"/>
              <w:jc w:val="center"/>
              <w:rPr>
                <w:b/>
                <w:bCs w:val="0"/>
                <w:vertAlign w:val="superscript"/>
              </w:rPr>
            </w:pPr>
            <w:r w:rsidRPr="00597AA3">
              <w:t>-$</w:t>
            </w:r>
            <w:r w:rsidR="00B90395" w:rsidRPr="00B90395">
              <w:rPr>
                <w:sz w:val="2"/>
                <w:highlight w:val="black"/>
              </w:rPr>
              <w:t>redacted content</w:t>
            </w:r>
            <w:r w:rsidR="001C4022">
              <w:rPr>
                <w:vertAlign w:val="superscript"/>
              </w:rPr>
              <w:t>3</w:t>
            </w:r>
          </w:p>
        </w:tc>
        <w:tc>
          <w:tcPr>
            <w:tcW w:w="550" w:type="pct"/>
            <w:tcMar>
              <w:left w:w="57" w:type="dxa"/>
              <w:right w:w="57" w:type="dxa"/>
            </w:tcMar>
          </w:tcPr>
          <w:p w14:paraId="1F8F80A8" w14:textId="4969D40E" w:rsidR="00C2665B" w:rsidRPr="001C4022" w:rsidRDefault="00C2665B" w:rsidP="004B083B">
            <w:pPr>
              <w:pStyle w:val="COMTabletext"/>
              <w:jc w:val="center"/>
              <w:rPr>
                <w:b/>
                <w:bCs w:val="0"/>
                <w:vertAlign w:val="superscript"/>
              </w:rPr>
            </w:pPr>
            <w:r w:rsidRPr="00597AA3">
              <w:t>-$</w:t>
            </w:r>
            <w:r w:rsidR="00B90395" w:rsidRPr="00B90395">
              <w:rPr>
                <w:sz w:val="2"/>
                <w:highlight w:val="black"/>
              </w:rPr>
              <w:t>redacted content</w:t>
            </w:r>
            <w:r w:rsidR="001C4022">
              <w:rPr>
                <w:vertAlign w:val="superscript"/>
              </w:rPr>
              <w:t>3</w:t>
            </w:r>
          </w:p>
        </w:tc>
        <w:tc>
          <w:tcPr>
            <w:tcW w:w="525" w:type="pct"/>
            <w:tcMar>
              <w:left w:w="57" w:type="dxa"/>
              <w:right w:w="57" w:type="dxa"/>
            </w:tcMar>
          </w:tcPr>
          <w:p w14:paraId="5F477F00" w14:textId="1C58FA61" w:rsidR="00C2665B" w:rsidRPr="001C4022" w:rsidRDefault="00C2665B" w:rsidP="004B083B">
            <w:pPr>
              <w:pStyle w:val="COMTabletext"/>
              <w:jc w:val="center"/>
              <w:rPr>
                <w:b/>
                <w:bCs w:val="0"/>
                <w:vertAlign w:val="superscript"/>
              </w:rPr>
            </w:pPr>
            <w:r w:rsidRPr="00597AA3">
              <w:t>-$</w:t>
            </w:r>
            <w:r w:rsidR="00B90395" w:rsidRPr="00B90395">
              <w:rPr>
                <w:sz w:val="2"/>
                <w:highlight w:val="black"/>
              </w:rPr>
              <w:t>redacted content</w:t>
            </w:r>
            <w:r w:rsidR="001C4022">
              <w:rPr>
                <w:vertAlign w:val="superscript"/>
              </w:rPr>
              <w:t>3</w:t>
            </w:r>
          </w:p>
        </w:tc>
        <w:tc>
          <w:tcPr>
            <w:tcW w:w="589" w:type="pct"/>
            <w:tcMar>
              <w:left w:w="57" w:type="dxa"/>
              <w:right w:w="57" w:type="dxa"/>
            </w:tcMar>
          </w:tcPr>
          <w:p w14:paraId="54E01843" w14:textId="7854C949" w:rsidR="00C2665B" w:rsidRPr="001C4022" w:rsidRDefault="00C2665B" w:rsidP="004B083B">
            <w:pPr>
              <w:pStyle w:val="COMTabletext"/>
              <w:jc w:val="center"/>
              <w:rPr>
                <w:b/>
                <w:bCs w:val="0"/>
                <w:vertAlign w:val="superscript"/>
              </w:rPr>
            </w:pPr>
            <w:r w:rsidRPr="00597AA3">
              <w:t>-$</w:t>
            </w:r>
            <w:r w:rsidR="00B90395" w:rsidRPr="00B90395">
              <w:rPr>
                <w:sz w:val="2"/>
                <w:highlight w:val="black"/>
              </w:rPr>
              <w:t>redacted content</w:t>
            </w:r>
            <w:r w:rsidR="001C4022">
              <w:rPr>
                <w:vertAlign w:val="superscript"/>
              </w:rPr>
              <w:t>3</w:t>
            </w:r>
          </w:p>
        </w:tc>
        <w:tc>
          <w:tcPr>
            <w:tcW w:w="587" w:type="pct"/>
            <w:tcMar>
              <w:left w:w="57" w:type="dxa"/>
              <w:right w:w="57" w:type="dxa"/>
            </w:tcMar>
          </w:tcPr>
          <w:p w14:paraId="340FA672" w14:textId="0A3DCE49" w:rsidR="00C2665B" w:rsidRPr="001C4022" w:rsidRDefault="00C2665B" w:rsidP="004B083B">
            <w:pPr>
              <w:pStyle w:val="COMTabletext"/>
              <w:jc w:val="center"/>
              <w:rPr>
                <w:b/>
                <w:bCs w:val="0"/>
                <w:vertAlign w:val="superscript"/>
              </w:rPr>
            </w:pPr>
            <w:r w:rsidRPr="00597AA3">
              <w:t>-$</w:t>
            </w:r>
            <w:r w:rsidR="00B90395" w:rsidRPr="00B90395">
              <w:rPr>
                <w:sz w:val="2"/>
                <w:highlight w:val="black"/>
              </w:rPr>
              <w:t>redacted content</w:t>
            </w:r>
            <w:r w:rsidR="001C4022">
              <w:rPr>
                <w:vertAlign w:val="superscript"/>
              </w:rPr>
              <w:t>3</w:t>
            </w:r>
          </w:p>
        </w:tc>
      </w:tr>
      <w:tr w:rsidR="00C2665B" w:rsidRPr="00597AA3" w14:paraId="1E5FEB22" w14:textId="77777777">
        <w:tc>
          <w:tcPr>
            <w:tcW w:w="1649" w:type="pct"/>
          </w:tcPr>
          <w:p w14:paraId="3EF3287A" w14:textId="025FBA56" w:rsidR="00C2665B" w:rsidRPr="00597AA3" w:rsidRDefault="00C2665B" w:rsidP="004B083B">
            <w:pPr>
              <w:pStyle w:val="COMTabletext"/>
              <w:rPr>
                <w:b/>
                <w:bCs w:val="0"/>
              </w:rPr>
            </w:pPr>
            <w:r w:rsidRPr="00597AA3">
              <w:rPr>
                <w:b/>
                <w:bCs w:val="0"/>
              </w:rPr>
              <w:t>Net cost to PBS/RPBS/MBS</w:t>
            </w:r>
          </w:p>
        </w:tc>
        <w:tc>
          <w:tcPr>
            <w:tcW w:w="551" w:type="pct"/>
            <w:tcMar>
              <w:left w:w="57" w:type="dxa"/>
              <w:right w:w="57" w:type="dxa"/>
            </w:tcMar>
          </w:tcPr>
          <w:p w14:paraId="1164A4C5" w14:textId="53305674" w:rsidR="00C2665B" w:rsidRPr="00EA77AF" w:rsidRDefault="00C2665B" w:rsidP="004B083B">
            <w:pPr>
              <w:pStyle w:val="COMTabletext"/>
              <w:jc w:val="center"/>
              <w:rPr>
                <w:b/>
                <w:bCs w:val="0"/>
                <w:vertAlign w:val="superscript"/>
              </w:rPr>
            </w:pPr>
            <w:r w:rsidRPr="00597AA3">
              <w:rPr>
                <w:b/>
                <w:bCs w:val="0"/>
              </w:rPr>
              <w:t>$</w:t>
            </w:r>
            <w:r w:rsidR="00B90395" w:rsidRPr="00B90395">
              <w:rPr>
                <w:b/>
                <w:bCs w:val="0"/>
                <w:sz w:val="2"/>
                <w:highlight w:val="black"/>
              </w:rPr>
              <w:t>redacted content</w:t>
            </w:r>
            <w:r w:rsidR="00EA77AF">
              <w:rPr>
                <w:b/>
                <w:bCs w:val="0"/>
                <w:vertAlign w:val="superscript"/>
              </w:rPr>
              <w:t>2</w:t>
            </w:r>
          </w:p>
        </w:tc>
        <w:tc>
          <w:tcPr>
            <w:tcW w:w="549" w:type="pct"/>
            <w:tcMar>
              <w:left w:w="57" w:type="dxa"/>
              <w:right w:w="57" w:type="dxa"/>
            </w:tcMar>
          </w:tcPr>
          <w:p w14:paraId="5D11C1E0" w14:textId="1E137EB7" w:rsidR="00C2665B" w:rsidRPr="00EA77AF" w:rsidRDefault="00C2665B" w:rsidP="004B083B">
            <w:pPr>
              <w:pStyle w:val="COMTabletext"/>
              <w:jc w:val="center"/>
              <w:rPr>
                <w:b/>
                <w:bCs w:val="0"/>
                <w:vertAlign w:val="superscript"/>
              </w:rPr>
            </w:pPr>
            <w:r w:rsidRPr="00597AA3">
              <w:rPr>
                <w:b/>
                <w:bCs w:val="0"/>
              </w:rPr>
              <w:t>$</w:t>
            </w:r>
            <w:r w:rsidR="00B90395" w:rsidRPr="00B90395">
              <w:rPr>
                <w:b/>
                <w:bCs w:val="0"/>
                <w:sz w:val="2"/>
                <w:highlight w:val="black"/>
              </w:rPr>
              <w:t>redacted content</w:t>
            </w:r>
            <w:r w:rsidR="00EA77AF">
              <w:rPr>
                <w:b/>
                <w:bCs w:val="0"/>
                <w:vertAlign w:val="superscript"/>
              </w:rPr>
              <w:t>2</w:t>
            </w:r>
          </w:p>
        </w:tc>
        <w:tc>
          <w:tcPr>
            <w:tcW w:w="550" w:type="pct"/>
            <w:tcMar>
              <w:left w:w="57" w:type="dxa"/>
              <w:right w:w="57" w:type="dxa"/>
            </w:tcMar>
          </w:tcPr>
          <w:p w14:paraId="0D47A3F1" w14:textId="74647AA0" w:rsidR="00C2665B" w:rsidRPr="00EA77AF" w:rsidRDefault="00C2665B" w:rsidP="004B083B">
            <w:pPr>
              <w:pStyle w:val="COMTabletext"/>
              <w:jc w:val="center"/>
              <w:rPr>
                <w:b/>
                <w:bCs w:val="0"/>
                <w:vertAlign w:val="superscript"/>
              </w:rPr>
            </w:pPr>
            <w:r w:rsidRPr="00597AA3">
              <w:rPr>
                <w:b/>
                <w:bCs w:val="0"/>
              </w:rPr>
              <w:t>$</w:t>
            </w:r>
            <w:r w:rsidR="00B90395" w:rsidRPr="00B90395">
              <w:rPr>
                <w:b/>
                <w:bCs w:val="0"/>
                <w:sz w:val="2"/>
                <w:highlight w:val="black"/>
              </w:rPr>
              <w:t>redacted content</w:t>
            </w:r>
            <w:r w:rsidR="00EA77AF">
              <w:rPr>
                <w:b/>
                <w:bCs w:val="0"/>
                <w:vertAlign w:val="superscript"/>
              </w:rPr>
              <w:t>2</w:t>
            </w:r>
          </w:p>
        </w:tc>
        <w:tc>
          <w:tcPr>
            <w:tcW w:w="525" w:type="pct"/>
            <w:tcMar>
              <w:left w:w="57" w:type="dxa"/>
              <w:right w:w="57" w:type="dxa"/>
            </w:tcMar>
          </w:tcPr>
          <w:p w14:paraId="106907CE" w14:textId="0BC80232" w:rsidR="00C2665B" w:rsidRPr="00EA77AF" w:rsidRDefault="00C2665B" w:rsidP="004B083B">
            <w:pPr>
              <w:pStyle w:val="COMTabletext"/>
              <w:jc w:val="center"/>
              <w:rPr>
                <w:b/>
                <w:bCs w:val="0"/>
                <w:vertAlign w:val="superscript"/>
              </w:rPr>
            </w:pPr>
            <w:r w:rsidRPr="00597AA3">
              <w:rPr>
                <w:b/>
                <w:bCs w:val="0"/>
              </w:rPr>
              <w:t>$</w:t>
            </w:r>
            <w:r w:rsidR="00B90395" w:rsidRPr="00B90395">
              <w:rPr>
                <w:b/>
                <w:bCs w:val="0"/>
                <w:sz w:val="2"/>
                <w:highlight w:val="black"/>
              </w:rPr>
              <w:t>redacted content</w:t>
            </w:r>
            <w:r w:rsidR="00EA77AF">
              <w:rPr>
                <w:b/>
                <w:bCs w:val="0"/>
                <w:vertAlign w:val="superscript"/>
              </w:rPr>
              <w:t>2</w:t>
            </w:r>
          </w:p>
        </w:tc>
        <w:tc>
          <w:tcPr>
            <w:tcW w:w="589" w:type="pct"/>
            <w:tcMar>
              <w:left w:w="57" w:type="dxa"/>
              <w:right w:w="57" w:type="dxa"/>
            </w:tcMar>
          </w:tcPr>
          <w:p w14:paraId="60C9C8C5" w14:textId="5ADCC660" w:rsidR="00EA77AF" w:rsidRDefault="00C2665B" w:rsidP="004B083B">
            <w:pPr>
              <w:pStyle w:val="COMTabletext"/>
              <w:jc w:val="center"/>
              <w:rPr>
                <w:b/>
                <w:bCs w:val="0"/>
              </w:rPr>
            </w:pPr>
            <w:r w:rsidRPr="00597AA3">
              <w:rPr>
                <w:b/>
                <w:bCs w:val="0"/>
              </w:rPr>
              <w:t>$</w:t>
            </w:r>
            <w:r w:rsidR="00B90395" w:rsidRPr="00B90395">
              <w:rPr>
                <w:b/>
                <w:bCs w:val="0"/>
                <w:sz w:val="2"/>
                <w:highlight w:val="black"/>
              </w:rPr>
              <w:t>redacted content</w:t>
            </w:r>
          </w:p>
          <w:p w14:paraId="285D269B" w14:textId="42F8E083" w:rsidR="00C2665B" w:rsidRPr="00EA77AF" w:rsidRDefault="00EA77AF" w:rsidP="004B083B">
            <w:pPr>
              <w:pStyle w:val="COMTabletext"/>
              <w:jc w:val="center"/>
              <w:rPr>
                <w:b/>
                <w:bCs w:val="0"/>
                <w:vertAlign w:val="superscript"/>
              </w:rPr>
            </w:pPr>
            <w:r>
              <w:rPr>
                <w:b/>
                <w:bCs w:val="0"/>
                <w:vertAlign w:val="superscript"/>
              </w:rPr>
              <w:t>2</w:t>
            </w:r>
          </w:p>
        </w:tc>
        <w:tc>
          <w:tcPr>
            <w:tcW w:w="587" w:type="pct"/>
            <w:tcMar>
              <w:left w:w="57" w:type="dxa"/>
              <w:right w:w="57" w:type="dxa"/>
            </w:tcMar>
          </w:tcPr>
          <w:p w14:paraId="30CE3588" w14:textId="0F7A54A5" w:rsidR="00C2665B" w:rsidRDefault="00C2665B" w:rsidP="004B083B">
            <w:pPr>
              <w:pStyle w:val="COMTabletext"/>
              <w:jc w:val="center"/>
              <w:rPr>
                <w:b/>
                <w:bCs w:val="0"/>
              </w:rPr>
            </w:pPr>
            <w:r w:rsidRPr="00597AA3">
              <w:rPr>
                <w:b/>
                <w:bCs w:val="0"/>
              </w:rPr>
              <w:t>$</w:t>
            </w:r>
            <w:r w:rsidR="00B90395" w:rsidRPr="00B90395">
              <w:rPr>
                <w:b/>
                <w:bCs w:val="0"/>
                <w:sz w:val="2"/>
                <w:highlight w:val="black"/>
              </w:rPr>
              <w:t>redacted content</w:t>
            </w:r>
          </w:p>
          <w:p w14:paraId="189EC7B3" w14:textId="51B6E17C" w:rsidR="00EA77AF" w:rsidRPr="00EA77AF" w:rsidRDefault="00EA77AF" w:rsidP="004B083B">
            <w:pPr>
              <w:pStyle w:val="COMTabletext"/>
              <w:jc w:val="center"/>
              <w:rPr>
                <w:b/>
                <w:bCs w:val="0"/>
                <w:vertAlign w:val="superscript"/>
              </w:rPr>
            </w:pPr>
            <w:r>
              <w:rPr>
                <w:b/>
                <w:bCs w:val="0"/>
                <w:vertAlign w:val="superscript"/>
              </w:rPr>
              <w:t>2</w:t>
            </w:r>
          </w:p>
        </w:tc>
      </w:tr>
    </w:tbl>
    <w:p w14:paraId="642831A3" w14:textId="1FC26028" w:rsidR="00832B20" w:rsidRPr="00597AA3" w:rsidRDefault="00832B20" w:rsidP="004B083B">
      <w:pPr>
        <w:pStyle w:val="COMTablefooter"/>
      </w:pPr>
      <w:r w:rsidRPr="00597AA3">
        <w:t>Source: Table 4.2, pp265-266; Table 4.4, p266; Table 4.12, p271</w:t>
      </w:r>
      <w:r w:rsidR="004043BB" w:rsidRPr="00597AA3">
        <w:t>; Table 4.20, p278</w:t>
      </w:r>
      <w:r w:rsidRPr="00597AA3">
        <w:t xml:space="preserve"> of the submission</w:t>
      </w:r>
      <w:r w:rsidR="00C2665B" w:rsidRPr="00597AA3">
        <w:t xml:space="preserve">; UCM – </w:t>
      </w:r>
      <w:proofErr w:type="spellStart"/>
      <w:r w:rsidR="00C2665B" w:rsidRPr="00597AA3">
        <w:t>Ilaris</w:t>
      </w:r>
      <w:proofErr w:type="spellEnd"/>
      <w:r w:rsidR="00C2665B" w:rsidRPr="00597AA3">
        <w:t xml:space="preserve"> </w:t>
      </w:r>
      <w:proofErr w:type="spellStart"/>
      <w:r w:rsidR="00C2665B" w:rsidRPr="00597AA3">
        <w:t>crFMF</w:t>
      </w:r>
      <w:proofErr w:type="spellEnd"/>
      <w:r w:rsidR="00C2665B" w:rsidRPr="00597AA3">
        <w:t xml:space="preserve"> PBAC Submission Excel workbook, Attachment 6 of the submission.</w:t>
      </w:r>
    </w:p>
    <w:p w14:paraId="7505183F" w14:textId="2B68EB39" w:rsidR="00832B20" w:rsidRPr="00597AA3" w:rsidRDefault="00B57038" w:rsidP="004B083B">
      <w:pPr>
        <w:pStyle w:val="COMTablefooter"/>
      </w:pPr>
      <w:r w:rsidRPr="00597AA3">
        <w:rPr>
          <w:vertAlign w:val="superscript"/>
        </w:rPr>
        <w:t>a</w:t>
      </w:r>
      <w:r w:rsidR="00610807" w:rsidRPr="00597AA3">
        <w:rPr>
          <w:vertAlign w:val="superscript"/>
        </w:rPr>
        <w:t xml:space="preserve"> </w:t>
      </w:r>
      <w:r w:rsidR="00832B20" w:rsidRPr="00597AA3">
        <w:t xml:space="preserve">Assumes </w:t>
      </w:r>
      <w:r w:rsidR="00B90395" w:rsidRPr="00B90395">
        <w:rPr>
          <w:sz w:val="2"/>
          <w:highlight w:val="black"/>
        </w:rPr>
        <w:t>redacted content</w:t>
      </w:r>
      <w:r w:rsidR="00832B20" w:rsidRPr="00597AA3">
        <w:t>% uptake of canakinumab</w:t>
      </w:r>
      <w:r w:rsidR="00832B20" w:rsidRPr="00466336">
        <w:t>, with 2.86% discontinuations</w:t>
      </w:r>
      <w:r w:rsidR="00832B20" w:rsidRPr="00597AA3">
        <w:t xml:space="preserve"> per year applied to prevalent patients only</w:t>
      </w:r>
      <w:r w:rsidRPr="00597AA3">
        <w:t xml:space="preserve">, and includes </w:t>
      </w:r>
      <w:r w:rsidR="003172FF">
        <w:t>&lt; 500</w:t>
      </w:r>
      <w:r w:rsidR="003172FF" w:rsidRPr="00597AA3">
        <w:t xml:space="preserve"> </w:t>
      </w:r>
      <w:r w:rsidRPr="00597AA3">
        <w:t>grandfathered patients added to each year of listing</w:t>
      </w:r>
    </w:p>
    <w:p w14:paraId="122CF2A7" w14:textId="2CD85AA2" w:rsidR="0014507B" w:rsidRPr="00597AA3" w:rsidRDefault="00B57038" w:rsidP="004B083B">
      <w:pPr>
        <w:pStyle w:val="COMTablefooter"/>
      </w:pPr>
      <w:r w:rsidRPr="00597AA3">
        <w:rPr>
          <w:vertAlign w:val="superscript"/>
        </w:rPr>
        <w:t>b</w:t>
      </w:r>
      <w:r w:rsidR="00832B20" w:rsidRPr="00597AA3">
        <w:t xml:space="preserve"> </w:t>
      </w:r>
      <w:r w:rsidR="002449D9" w:rsidRPr="00597AA3">
        <w:t xml:space="preserve">Script numbers were estimated based on </w:t>
      </w:r>
      <w:r w:rsidR="00AB09BB" w:rsidRPr="00597AA3">
        <w:t xml:space="preserve">an initial 6 months of treatment then continuing treatment split into </w:t>
      </w:r>
      <w:r w:rsidR="002449D9" w:rsidRPr="00597AA3">
        <w:t>6 monthly periods</w:t>
      </w:r>
      <w:r w:rsidR="00AB09BB" w:rsidRPr="00597AA3">
        <w:t xml:space="preserve">. Within each period, all patients </w:t>
      </w:r>
      <w:r w:rsidR="00253F0E" w:rsidRPr="00597AA3">
        <w:t xml:space="preserve">started treatment on canakinumab 150 mg (or 2 mg/kg for patients with body weight </w:t>
      </w:r>
      <w:r w:rsidR="009F7D53" w:rsidRPr="00597AA3">
        <w:t>≤ 40 kg</w:t>
      </w:r>
      <w:r w:rsidR="004A12E1" w:rsidRPr="00597AA3">
        <w:t>; equivalent to 1 vial/script</w:t>
      </w:r>
      <w:r w:rsidR="00253F0E" w:rsidRPr="00597AA3">
        <w:t xml:space="preserve">) every 4 weeks. </w:t>
      </w:r>
      <w:r w:rsidR="008A103C" w:rsidRPr="00597AA3">
        <w:t>A</w:t>
      </w:r>
      <w:r w:rsidR="00253F0E" w:rsidRPr="00597AA3">
        <w:t xml:space="preserve"> single top up dose of 150 mg </w:t>
      </w:r>
      <w:r w:rsidR="008A103C" w:rsidRPr="00597AA3">
        <w:t>(</w:t>
      </w:r>
      <w:r w:rsidR="00253F0E" w:rsidRPr="00597AA3">
        <w:t>or 2 mg/kg</w:t>
      </w:r>
      <w:r w:rsidR="008A103C" w:rsidRPr="00597AA3">
        <w:t xml:space="preserve">; </w:t>
      </w:r>
      <w:r w:rsidR="00253F0E" w:rsidRPr="00597AA3">
        <w:t>1 vial</w:t>
      </w:r>
      <w:r w:rsidR="00D0641D" w:rsidRPr="00597AA3">
        <w:t>/script</w:t>
      </w:r>
      <w:r w:rsidR="00253F0E" w:rsidRPr="00597AA3">
        <w:t>) was added for the proportion of patients who experienced a flare during that period</w:t>
      </w:r>
      <w:r w:rsidR="008A103C" w:rsidRPr="00597AA3">
        <w:t xml:space="preserve"> (</w:t>
      </w:r>
      <w:r w:rsidR="00C864D6" w:rsidRPr="00597AA3">
        <w:t>36.27</w:t>
      </w:r>
      <w:r w:rsidR="00B14739" w:rsidRPr="00597AA3">
        <w:t>% during initial treatment, and</w:t>
      </w:r>
      <w:r w:rsidR="00C864D6" w:rsidRPr="00597AA3">
        <w:t xml:space="preserve"> 15.43% during each 6</w:t>
      </w:r>
      <w:r w:rsidR="0075141D" w:rsidRPr="00597AA3">
        <w:t>-</w:t>
      </w:r>
      <w:r w:rsidR="00C864D6" w:rsidRPr="00597AA3">
        <w:t>month continuing period)</w:t>
      </w:r>
      <w:r w:rsidR="0014507B" w:rsidRPr="00597AA3">
        <w:t>, based on individual patient flare data whilst on canakinumab treatment from the CLUSTER trial.</w:t>
      </w:r>
      <w:r w:rsidR="00676698" w:rsidRPr="00597AA3">
        <w:t xml:space="preserve"> For the remaining patients who did not experience a disease flare, after 16 weeks at the ba</w:t>
      </w:r>
      <w:r w:rsidR="00EA4126" w:rsidRPr="00597AA3">
        <w:t>s</w:t>
      </w:r>
      <w:r w:rsidR="00676698" w:rsidRPr="00597AA3">
        <w:t xml:space="preserve">e dose, </w:t>
      </w:r>
      <w:r w:rsidR="00EA4126" w:rsidRPr="00597AA3">
        <w:t>the dose frequency was reduced from 4-weekly to 8-weekly for the remainder of the 6</w:t>
      </w:r>
      <w:r w:rsidR="0075141D" w:rsidRPr="00597AA3">
        <w:t>-</w:t>
      </w:r>
      <w:r w:rsidR="00EA4126" w:rsidRPr="00597AA3">
        <w:t xml:space="preserve">month period. </w:t>
      </w:r>
      <w:r w:rsidR="00781199" w:rsidRPr="00597AA3">
        <w:t>At the start of the next 6</w:t>
      </w:r>
      <w:r w:rsidR="0075141D" w:rsidRPr="00597AA3">
        <w:t>-</w:t>
      </w:r>
      <w:r w:rsidR="00781199" w:rsidRPr="00597AA3">
        <w:t xml:space="preserve">month period, all patients reverted to the base dose and the probability of flare/no flare </w:t>
      </w:r>
      <w:r w:rsidR="005F09F3" w:rsidRPr="00597AA3">
        <w:t xml:space="preserve">and associated top up/reduced doses </w:t>
      </w:r>
      <w:r w:rsidR="00781199" w:rsidRPr="00597AA3">
        <w:t xml:space="preserve">was </w:t>
      </w:r>
      <w:r w:rsidR="005F09F3" w:rsidRPr="00597AA3">
        <w:t>calculated again.</w:t>
      </w:r>
    </w:p>
    <w:p w14:paraId="723DAA9F" w14:textId="0F58D1A0" w:rsidR="00F42349" w:rsidRDefault="00B57038" w:rsidP="00E753F4">
      <w:pPr>
        <w:pStyle w:val="COMTablefooter"/>
        <w:spacing w:before="160" w:after="0"/>
      </w:pPr>
      <w:r w:rsidRPr="00597AA3">
        <w:rPr>
          <w:vertAlign w:val="superscript"/>
        </w:rPr>
        <w:t>c</w:t>
      </w:r>
      <w:r w:rsidR="00F42349" w:rsidRPr="00597AA3">
        <w:rPr>
          <w:vertAlign w:val="subscript"/>
        </w:rPr>
        <w:t> </w:t>
      </w:r>
      <w:r w:rsidR="00C2665B" w:rsidRPr="00597AA3">
        <w:t>Changes to MBS item</w:t>
      </w:r>
      <w:r w:rsidR="00373EB1" w:rsidRPr="00597AA3">
        <w:t xml:space="preserve"> utilisation</w:t>
      </w:r>
      <w:r w:rsidR="008C6D2D" w:rsidRPr="00597AA3">
        <w:t xml:space="preserve"> (MBS item number)</w:t>
      </w:r>
      <w:r w:rsidR="00DF753A" w:rsidRPr="00597AA3">
        <w:t xml:space="preserve"> </w:t>
      </w:r>
      <w:r w:rsidR="000D2A4C" w:rsidRPr="00597AA3">
        <w:t xml:space="preserve">with a PBS listing for canakinumab included: </w:t>
      </w:r>
      <w:r w:rsidR="00E633B5" w:rsidRPr="00597AA3">
        <w:t>increased testing for tuberculosis (</w:t>
      </w:r>
      <w:r w:rsidR="00AF4CA3" w:rsidRPr="00597AA3">
        <w:t>69471</w:t>
      </w:r>
      <w:r w:rsidR="00E633B5" w:rsidRPr="00597AA3">
        <w:t>) and full blood count</w:t>
      </w:r>
      <w:r w:rsidR="00AF4CA3" w:rsidRPr="00597AA3">
        <w:t xml:space="preserve"> </w:t>
      </w:r>
      <w:r w:rsidR="00E633B5" w:rsidRPr="00597AA3">
        <w:t>(</w:t>
      </w:r>
      <w:r w:rsidR="00AF4CA3" w:rsidRPr="00597AA3">
        <w:t>65070</w:t>
      </w:r>
      <w:r w:rsidR="00E633B5" w:rsidRPr="00597AA3">
        <w:t>)</w:t>
      </w:r>
      <w:r w:rsidR="00AF4CA3" w:rsidRPr="00597AA3">
        <w:t>,</w:t>
      </w:r>
      <w:r w:rsidR="00E633B5" w:rsidRPr="00597AA3">
        <w:t xml:space="preserve"> </w:t>
      </w:r>
      <w:r w:rsidR="008C6D2D" w:rsidRPr="00597AA3">
        <w:t>one administration of canakinumab (</w:t>
      </w:r>
      <w:r w:rsidR="00AF4CA3" w:rsidRPr="00597AA3">
        <w:t>13950</w:t>
      </w:r>
      <w:r w:rsidR="008C6D2D" w:rsidRPr="00597AA3">
        <w:t xml:space="preserve">, </w:t>
      </w:r>
      <w:r w:rsidR="00AF4CA3" w:rsidRPr="00597AA3">
        <w:t>parenteral canakinumab administration)</w:t>
      </w:r>
      <w:r w:rsidR="008C6D2D" w:rsidRPr="00597AA3">
        <w:t xml:space="preserve"> with the remaining treatment assumed to be self- administered by the patient or carer</w:t>
      </w:r>
      <w:r w:rsidR="00AF4CA3" w:rsidRPr="00597AA3">
        <w:t xml:space="preserve">, </w:t>
      </w:r>
      <w:r w:rsidR="008C6D2D" w:rsidRPr="00597AA3">
        <w:t xml:space="preserve">increased </w:t>
      </w:r>
      <w:r w:rsidR="00AF4CA3" w:rsidRPr="00597AA3">
        <w:t>GP visits for treatment of infection adverse events</w:t>
      </w:r>
      <w:r w:rsidR="008C6D2D" w:rsidRPr="00597AA3">
        <w:t xml:space="preserve"> (23</w:t>
      </w:r>
      <w:r w:rsidR="00AF4CA3" w:rsidRPr="00597AA3">
        <w:t>)</w:t>
      </w:r>
      <w:r w:rsidR="00373EB1" w:rsidRPr="00597AA3">
        <w:t xml:space="preserve">, reduced </w:t>
      </w:r>
      <w:r w:rsidR="00AF4CA3" w:rsidRPr="00597AA3">
        <w:t>specialist consultation</w:t>
      </w:r>
      <w:r w:rsidR="00373EB1" w:rsidRPr="00597AA3">
        <w:t>s due to reduced emergency room visits and monitoring requirements</w:t>
      </w:r>
      <w:r w:rsidR="008C6D2D" w:rsidRPr="00597AA3">
        <w:t xml:space="preserve"> (104)</w:t>
      </w:r>
      <w:r w:rsidR="00373EB1" w:rsidRPr="00597AA3">
        <w:t xml:space="preserve"> with reduced requirements for testing of: </w:t>
      </w:r>
      <w:r w:rsidR="008C6D2D" w:rsidRPr="00597AA3">
        <w:t>C-reactive protein level (</w:t>
      </w:r>
      <w:r w:rsidR="00AF4CA3" w:rsidRPr="00597AA3">
        <w:t>66512)</w:t>
      </w:r>
      <w:r w:rsidR="00373EB1" w:rsidRPr="00597AA3">
        <w:t xml:space="preserve">, </w:t>
      </w:r>
      <w:r w:rsidR="008C6D2D" w:rsidRPr="00597AA3">
        <w:t>full blood count (</w:t>
      </w:r>
      <w:r w:rsidR="00AF4CA3" w:rsidRPr="00597AA3">
        <w:t>65070)</w:t>
      </w:r>
      <w:r w:rsidR="00373EB1" w:rsidRPr="00597AA3">
        <w:t xml:space="preserve"> and </w:t>
      </w:r>
      <w:r w:rsidR="008C6D2D" w:rsidRPr="00597AA3">
        <w:t>ferritin level (</w:t>
      </w:r>
      <w:r w:rsidR="00AF4CA3" w:rsidRPr="00597AA3">
        <w:t>66593)</w:t>
      </w:r>
      <w:r w:rsidR="00373EB1" w:rsidRPr="00597AA3">
        <w:t>.</w:t>
      </w:r>
    </w:p>
    <w:p w14:paraId="38B05A52" w14:textId="77777777" w:rsidR="00E753F4" w:rsidRPr="00E753F4" w:rsidRDefault="00E753F4" w:rsidP="00E753F4">
      <w:pPr>
        <w:jc w:val="left"/>
        <w:rPr>
          <w:rFonts w:ascii="Arial Narrow" w:hAnsi="Arial Narrow"/>
          <w:i/>
          <w:sz w:val="18"/>
          <w:szCs w:val="18"/>
        </w:rPr>
      </w:pPr>
      <w:r w:rsidRPr="00E753F4">
        <w:rPr>
          <w:rFonts w:ascii="Arial Narrow" w:hAnsi="Arial Narrow"/>
          <w:i/>
          <w:sz w:val="18"/>
          <w:szCs w:val="18"/>
        </w:rPr>
        <w:t xml:space="preserve">The redacted values correspond to the following ranges: </w:t>
      </w:r>
    </w:p>
    <w:p w14:paraId="6085BD0D" w14:textId="75FF0A4E" w:rsidR="00E753F4" w:rsidRPr="00E753F4" w:rsidRDefault="00E753F4" w:rsidP="00E753F4">
      <w:pPr>
        <w:jc w:val="left"/>
        <w:rPr>
          <w:rFonts w:ascii="Arial Narrow" w:hAnsi="Arial Narrow"/>
          <w:i/>
          <w:sz w:val="18"/>
          <w:szCs w:val="18"/>
        </w:rPr>
      </w:pPr>
      <w:r w:rsidRPr="00E753F4">
        <w:rPr>
          <w:rFonts w:ascii="Arial Narrow" w:hAnsi="Arial Narrow"/>
          <w:i/>
          <w:sz w:val="18"/>
          <w:szCs w:val="18"/>
          <w:vertAlign w:val="superscript"/>
        </w:rPr>
        <w:t>1</w:t>
      </w:r>
      <w:r w:rsidRPr="00E753F4">
        <w:rPr>
          <w:rFonts w:ascii="Arial Narrow" w:hAnsi="Arial Narrow"/>
          <w:i/>
          <w:sz w:val="18"/>
          <w:szCs w:val="18"/>
        </w:rPr>
        <w:t xml:space="preserve"> </w:t>
      </w:r>
      <w:r w:rsidR="00D957C4" w:rsidRPr="00D957C4">
        <w:rPr>
          <w:rFonts w:ascii="Arial Narrow" w:hAnsi="Arial Narrow"/>
          <w:i/>
          <w:sz w:val="18"/>
          <w:szCs w:val="18"/>
        </w:rPr>
        <w:t>&lt; 500</w:t>
      </w:r>
    </w:p>
    <w:p w14:paraId="05B27D95" w14:textId="02B92A34" w:rsidR="00E753F4" w:rsidRPr="00E753F4" w:rsidRDefault="00E753F4" w:rsidP="00E753F4">
      <w:pPr>
        <w:jc w:val="left"/>
        <w:rPr>
          <w:rFonts w:ascii="Arial Narrow" w:hAnsi="Arial Narrow"/>
          <w:i/>
          <w:sz w:val="18"/>
          <w:szCs w:val="18"/>
        </w:rPr>
      </w:pPr>
      <w:r w:rsidRPr="00E753F4">
        <w:rPr>
          <w:rFonts w:ascii="Arial Narrow" w:hAnsi="Arial Narrow"/>
          <w:i/>
          <w:sz w:val="18"/>
          <w:szCs w:val="18"/>
          <w:vertAlign w:val="superscript"/>
        </w:rPr>
        <w:t>2</w:t>
      </w:r>
      <w:r w:rsidRPr="00E753F4">
        <w:rPr>
          <w:rFonts w:ascii="Arial Narrow" w:hAnsi="Arial Narrow"/>
          <w:i/>
          <w:sz w:val="18"/>
          <w:szCs w:val="18"/>
        </w:rPr>
        <w:t xml:space="preserve"> </w:t>
      </w:r>
      <w:r w:rsidR="00EA77AF" w:rsidRPr="00EA77AF">
        <w:rPr>
          <w:rFonts w:ascii="Arial Narrow" w:hAnsi="Arial Narrow"/>
          <w:i/>
          <w:sz w:val="18"/>
          <w:szCs w:val="18"/>
        </w:rPr>
        <w:t>$0 to &lt; $10 million</w:t>
      </w:r>
    </w:p>
    <w:p w14:paraId="0F3F2C25" w14:textId="70D507CF" w:rsidR="00E753F4" w:rsidRPr="00C42824" w:rsidRDefault="00E753F4" w:rsidP="00C42824">
      <w:pPr>
        <w:jc w:val="left"/>
        <w:rPr>
          <w:rFonts w:ascii="Arial Narrow" w:hAnsi="Arial Narrow"/>
          <w:i/>
          <w:sz w:val="18"/>
          <w:szCs w:val="18"/>
        </w:rPr>
      </w:pPr>
      <w:r w:rsidRPr="00E753F4">
        <w:rPr>
          <w:rFonts w:ascii="Arial Narrow" w:hAnsi="Arial Narrow"/>
          <w:i/>
          <w:sz w:val="18"/>
          <w:szCs w:val="18"/>
          <w:vertAlign w:val="superscript"/>
        </w:rPr>
        <w:t>3</w:t>
      </w:r>
      <w:r w:rsidRPr="00E753F4">
        <w:rPr>
          <w:rFonts w:ascii="Arial Narrow" w:hAnsi="Arial Narrow"/>
          <w:i/>
          <w:sz w:val="18"/>
          <w:szCs w:val="18"/>
        </w:rPr>
        <w:t xml:space="preserve"> </w:t>
      </w:r>
      <w:r w:rsidR="00C42824" w:rsidRPr="00C42824">
        <w:rPr>
          <w:rFonts w:ascii="Arial Narrow" w:hAnsi="Arial Narrow"/>
          <w:i/>
          <w:sz w:val="18"/>
          <w:szCs w:val="18"/>
        </w:rPr>
        <w:t>net cost saving</w:t>
      </w:r>
    </w:p>
    <w:p w14:paraId="75586731" w14:textId="3621C8CE" w:rsidR="000902D9" w:rsidRPr="00597AA3" w:rsidRDefault="00022C70" w:rsidP="004B083B">
      <w:pPr>
        <w:pStyle w:val="COMESnumberedpara"/>
        <w:spacing w:before="160"/>
      </w:pPr>
      <w:r>
        <w:t>Based on the submission estimates t</w:t>
      </w:r>
      <w:r w:rsidR="00D0641D" w:rsidRPr="00597AA3">
        <w:t>he net cost to the PBS</w:t>
      </w:r>
      <w:r w:rsidR="008F229C" w:rsidRPr="00597AA3">
        <w:t>/MBS</w:t>
      </w:r>
      <w:r w:rsidR="00D0641D" w:rsidRPr="00597AA3">
        <w:t xml:space="preserve"> of listing canakinumab for paediatric </w:t>
      </w:r>
      <w:r w:rsidR="0015426D">
        <w:t xml:space="preserve">patients with </w:t>
      </w:r>
      <w:proofErr w:type="spellStart"/>
      <w:r w:rsidR="0015426D">
        <w:t>cr</w:t>
      </w:r>
      <w:r w:rsidR="00D0641D" w:rsidRPr="00597AA3">
        <w:t>FMF</w:t>
      </w:r>
      <w:proofErr w:type="spellEnd"/>
      <w:r w:rsidR="00D0641D" w:rsidRPr="00597AA3">
        <w:t xml:space="preserve"> was </w:t>
      </w:r>
      <w:r w:rsidR="00460AAA" w:rsidRPr="00460AAA">
        <w:t>$0 to &lt; $10 million</w:t>
      </w:r>
      <w:r w:rsidR="00D0641D" w:rsidRPr="00597AA3">
        <w:t xml:space="preserve"> in Year 1 of listing, increasing to </w:t>
      </w:r>
      <w:r w:rsidR="00460AAA" w:rsidRPr="00460AAA">
        <w:t>$0 to &lt; $10 million</w:t>
      </w:r>
      <w:r w:rsidR="00D0641D" w:rsidRPr="00597AA3">
        <w:t xml:space="preserve"> in Year 6, a cumulative total of </w:t>
      </w:r>
      <w:r w:rsidR="00C5759C" w:rsidRPr="00C5759C">
        <w:t>$30 million to &lt; $40 million</w:t>
      </w:r>
      <w:r w:rsidR="00D0641D" w:rsidRPr="00597AA3">
        <w:t xml:space="preserve"> over the first 6 years of listing.</w:t>
      </w:r>
    </w:p>
    <w:p w14:paraId="01670FE0" w14:textId="050B7CB7" w:rsidR="00D0641D" w:rsidRPr="00597AA3" w:rsidRDefault="00D0641D" w:rsidP="004B083B">
      <w:pPr>
        <w:pStyle w:val="COMESnumberedpara"/>
        <w:spacing w:before="160"/>
      </w:pPr>
      <w:r w:rsidRPr="00597AA3">
        <w:t xml:space="preserve">The </w:t>
      </w:r>
      <w:r w:rsidR="003D2E2D">
        <w:t xml:space="preserve">evaluation considered the </w:t>
      </w:r>
      <w:r w:rsidRPr="00597AA3">
        <w:t>estimated utilisation of canakinumab was uncertain for the following reasons:</w:t>
      </w:r>
    </w:p>
    <w:p w14:paraId="69D8A57E" w14:textId="77777777" w:rsidR="00D0641D" w:rsidRPr="00597AA3" w:rsidRDefault="00D0641D" w:rsidP="004B083B">
      <w:pPr>
        <w:pStyle w:val="COMESbulletlist"/>
        <w:spacing w:before="160"/>
        <w:rPr>
          <w:i w:val="0"/>
          <w:iCs w:val="0"/>
        </w:rPr>
      </w:pPr>
      <w:r w:rsidRPr="00597AA3">
        <w:rPr>
          <w:i w:val="0"/>
          <w:iCs w:val="0"/>
        </w:rPr>
        <w:t>The number of prevalent and incident patients with FMF may be underestimated, as the hospital databases used to inform the prevalence and incidence estimates may not account for patients managed in other healthcare settings (e.g., private rheumatology clinics). However, it is unclear whether the prevalence and incidence among patients included in the hospital databases of the two Victorian children’s hospitals are representative of the prevalence and incidence in the wider Australian population due to differences in population demographics. Additionally, it was not possible to determine whether the incidence of FMF in Australia has changed over time based on the data provided in the submission.</w:t>
      </w:r>
    </w:p>
    <w:p w14:paraId="3751B78E" w14:textId="59DEA7C2" w:rsidR="00D0641D" w:rsidRPr="00AB5920" w:rsidRDefault="00D0641D" w:rsidP="004B083B">
      <w:pPr>
        <w:pStyle w:val="COMESbulletlist"/>
        <w:spacing w:before="160"/>
        <w:rPr>
          <w:i w:val="0"/>
          <w:iCs w:val="0"/>
        </w:rPr>
      </w:pPr>
      <w:r w:rsidRPr="00AB5920">
        <w:rPr>
          <w:i w:val="0"/>
          <w:iCs w:val="0"/>
        </w:rPr>
        <w:lastRenderedPageBreak/>
        <w:t xml:space="preserve">The addition of grandfathered patients to the estimated eligible population was not reasonable given that they would already be captured in the prevalent patient pool. </w:t>
      </w:r>
      <w:r w:rsidR="001A22EB" w:rsidRPr="00AB5920">
        <w:rPr>
          <w:i w:val="0"/>
          <w:iCs w:val="0"/>
        </w:rPr>
        <w:t xml:space="preserve">The PSCR stated that </w:t>
      </w:r>
      <w:r w:rsidR="00C6305B" w:rsidRPr="00AB5920">
        <w:rPr>
          <w:i w:val="0"/>
          <w:iCs w:val="0"/>
        </w:rPr>
        <w:t>the grandfathered patient</w:t>
      </w:r>
      <w:r w:rsidR="00582E5C" w:rsidRPr="00AB5920">
        <w:rPr>
          <w:i w:val="0"/>
          <w:iCs w:val="0"/>
        </w:rPr>
        <w:t>s</w:t>
      </w:r>
      <w:r w:rsidR="00C6305B" w:rsidRPr="00AB5920">
        <w:rPr>
          <w:i w:val="0"/>
          <w:iCs w:val="0"/>
        </w:rPr>
        <w:t xml:space="preserve"> were included to capture paediatric patients who initiated non-PBS </w:t>
      </w:r>
      <w:r w:rsidR="000A6C3C" w:rsidRPr="00AB5920">
        <w:rPr>
          <w:i w:val="0"/>
          <w:iCs w:val="0"/>
        </w:rPr>
        <w:t>canakinumab,</w:t>
      </w:r>
      <w:r w:rsidR="00C6305B" w:rsidRPr="00AB5920">
        <w:rPr>
          <w:i w:val="0"/>
          <w:iCs w:val="0"/>
        </w:rPr>
        <w:t xml:space="preserve"> but who are now over 18 years of age.</w:t>
      </w:r>
    </w:p>
    <w:p w14:paraId="54FB8D4A" w14:textId="43F3B29E" w:rsidR="00D0641D" w:rsidRPr="00AB5920" w:rsidRDefault="00D0641D" w:rsidP="004B083B">
      <w:pPr>
        <w:pStyle w:val="COMESbulletlist"/>
        <w:spacing w:before="160"/>
        <w:rPr>
          <w:i w:val="0"/>
          <w:iCs w:val="0"/>
        </w:rPr>
      </w:pPr>
      <w:r w:rsidRPr="00AB5920">
        <w:rPr>
          <w:i w:val="0"/>
          <w:iCs w:val="0"/>
        </w:rPr>
        <w:t xml:space="preserve">It is unclear whether the proportion of patients receiving IL-1 inhibitors in the </w:t>
      </w:r>
      <w:proofErr w:type="spellStart"/>
      <w:r w:rsidRPr="00AB5920">
        <w:rPr>
          <w:i w:val="0"/>
          <w:iCs w:val="0"/>
        </w:rPr>
        <w:t>Bustaffa</w:t>
      </w:r>
      <w:proofErr w:type="spellEnd"/>
      <w:r w:rsidRPr="00AB5920">
        <w:rPr>
          <w:i w:val="0"/>
          <w:iCs w:val="0"/>
        </w:rPr>
        <w:t xml:space="preserve"> (2025) study is a reasonable proxy for the rate of colchicine resistance or intolerance. Other published estimates report rates of colchicine</w:t>
      </w:r>
      <w:r w:rsidR="0073097E" w:rsidRPr="00AB5920">
        <w:rPr>
          <w:i w:val="0"/>
          <w:iCs w:val="0"/>
        </w:rPr>
        <w:t xml:space="preserve"> </w:t>
      </w:r>
      <w:r w:rsidRPr="00AB5920">
        <w:rPr>
          <w:i w:val="0"/>
          <w:iCs w:val="0"/>
        </w:rPr>
        <w:t xml:space="preserve">resistance/intolerance of 5% to 10% (e.g., Ter Haar 2013; </w:t>
      </w:r>
      <w:proofErr w:type="spellStart"/>
      <w:r w:rsidRPr="00AB5920">
        <w:rPr>
          <w:i w:val="0"/>
          <w:iCs w:val="0"/>
        </w:rPr>
        <w:t>Haslak</w:t>
      </w:r>
      <w:proofErr w:type="spellEnd"/>
      <w:r w:rsidRPr="00AB5920">
        <w:rPr>
          <w:i w:val="0"/>
          <w:iCs w:val="0"/>
        </w:rPr>
        <w:t xml:space="preserve"> 2025).</w:t>
      </w:r>
      <w:r w:rsidR="00006A4B" w:rsidRPr="00AB5920">
        <w:rPr>
          <w:i w:val="0"/>
          <w:iCs w:val="0"/>
        </w:rPr>
        <w:t xml:space="preserve"> </w:t>
      </w:r>
      <w:r w:rsidR="00F44D4A" w:rsidRPr="00AB5920">
        <w:rPr>
          <w:i w:val="0"/>
          <w:iCs w:val="0"/>
        </w:rPr>
        <w:t xml:space="preserve">The ESC considered that </w:t>
      </w:r>
      <w:r w:rsidR="004B2CA0" w:rsidRPr="00AB5920">
        <w:rPr>
          <w:i w:val="0"/>
          <w:iCs w:val="0"/>
        </w:rPr>
        <w:t xml:space="preserve">the proportion of patients with colchicine intolerance could be substantially higher than estimated, </w:t>
      </w:r>
      <w:r w:rsidR="002B3B12" w:rsidRPr="00AB5920">
        <w:rPr>
          <w:i w:val="0"/>
          <w:iCs w:val="0"/>
        </w:rPr>
        <w:t>and that there was a risk that with the availability of canakinumab on the PBS that</w:t>
      </w:r>
      <w:r w:rsidR="004B2CA0" w:rsidRPr="00AB5920">
        <w:rPr>
          <w:i w:val="0"/>
          <w:iCs w:val="0"/>
        </w:rPr>
        <w:t xml:space="preserve"> the </w:t>
      </w:r>
      <w:r w:rsidR="00F57146" w:rsidRPr="00AB5920">
        <w:rPr>
          <w:i w:val="0"/>
          <w:iCs w:val="0"/>
        </w:rPr>
        <w:t>proportion of patients deemed to be intolerant to colchicine</w:t>
      </w:r>
      <w:r w:rsidR="00D0665E" w:rsidRPr="00AB5920">
        <w:rPr>
          <w:i w:val="0"/>
          <w:iCs w:val="0"/>
        </w:rPr>
        <w:t xml:space="preserve"> </w:t>
      </w:r>
      <w:r w:rsidR="002B3B12" w:rsidRPr="00AB5920">
        <w:rPr>
          <w:i w:val="0"/>
          <w:iCs w:val="0"/>
        </w:rPr>
        <w:t xml:space="preserve">may </w:t>
      </w:r>
      <w:r w:rsidR="00A01AE8" w:rsidRPr="00AB5920">
        <w:rPr>
          <w:i w:val="0"/>
          <w:iCs w:val="0"/>
        </w:rPr>
        <w:t>in</w:t>
      </w:r>
      <w:r w:rsidR="002B3B12" w:rsidRPr="00AB5920">
        <w:rPr>
          <w:i w:val="0"/>
          <w:iCs w:val="0"/>
        </w:rPr>
        <w:t>crease</w:t>
      </w:r>
      <w:r w:rsidR="00D0665E" w:rsidRPr="00AB5920">
        <w:rPr>
          <w:i w:val="0"/>
          <w:iCs w:val="0"/>
        </w:rPr>
        <w:t>.</w:t>
      </w:r>
    </w:p>
    <w:p w14:paraId="51682D65" w14:textId="0E2989AF" w:rsidR="00D0641D" w:rsidRPr="00AB5920" w:rsidRDefault="00D0641D" w:rsidP="004B083B">
      <w:pPr>
        <w:pStyle w:val="COMESbulletlist"/>
        <w:spacing w:before="160"/>
        <w:rPr>
          <w:rFonts w:ascii="Aptos" w:hAnsi="Aptos" w:cs="Aptos"/>
          <w:i w:val="0"/>
          <w:iCs w:val="0"/>
        </w:rPr>
      </w:pPr>
      <w:r w:rsidRPr="00AB5920">
        <w:rPr>
          <w:i w:val="0"/>
          <w:iCs w:val="0"/>
        </w:rPr>
        <w:t>It is unclear whether the dosing assumptions used in the submission to derive the number of scripts per year will reflect dosing of canakinumab in Australian clinical practice, particularly given differences in dosing recommendations between the canakinumab product information and clinical guidelines.</w:t>
      </w:r>
      <w:r w:rsidR="004B083B">
        <w:rPr>
          <w:i w:val="0"/>
          <w:iCs w:val="0"/>
        </w:rPr>
        <w:t xml:space="preserve"> </w:t>
      </w:r>
    </w:p>
    <w:p w14:paraId="24A2498B" w14:textId="3C3F3648" w:rsidR="00D0641D" w:rsidRPr="00AB5920" w:rsidRDefault="00D0641D" w:rsidP="004B083B">
      <w:pPr>
        <w:pStyle w:val="COMESbulletlist"/>
        <w:spacing w:before="160"/>
        <w:rPr>
          <w:i w:val="0"/>
          <w:iCs w:val="0"/>
        </w:rPr>
      </w:pPr>
      <w:r w:rsidRPr="00AB5920">
        <w:rPr>
          <w:i w:val="0"/>
          <w:iCs w:val="0"/>
        </w:rPr>
        <w:t xml:space="preserve">The assumption that patients experiencing flares on treatment would receive top up doses rather than increasing to a 300 mg (or 4 mg/kg) maintenance dose </w:t>
      </w:r>
      <w:r w:rsidR="00FF6829">
        <w:rPr>
          <w:i w:val="0"/>
          <w:iCs w:val="0"/>
        </w:rPr>
        <w:t>was not</w:t>
      </w:r>
      <w:r w:rsidRPr="00AB5920">
        <w:rPr>
          <w:i w:val="0"/>
          <w:iCs w:val="0"/>
        </w:rPr>
        <w:t xml:space="preserve"> reasonable</w:t>
      </w:r>
      <w:r w:rsidR="00E678DE">
        <w:rPr>
          <w:i w:val="0"/>
          <w:iCs w:val="0"/>
        </w:rPr>
        <w:t xml:space="preserve"> and</w:t>
      </w:r>
      <w:r w:rsidRPr="00AB5920">
        <w:rPr>
          <w:i w:val="0"/>
          <w:iCs w:val="0"/>
        </w:rPr>
        <w:t xml:space="preserve"> is likely to underestimate the costs associated with canakinumab treatment. </w:t>
      </w:r>
    </w:p>
    <w:p w14:paraId="7D6BFA07" w14:textId="4F6FF116" w:rsidR="008921BD" w:rsidRPr="00AB5920" w:rsidRDefault="008921BD" w:rsidP="004B083B">
      <w:pPr>
        <w:pStyle w:val="COMESnumberedpara"/>
      </w:pPr>
      <w:r w:rsidRPr="00AB5920">
        <w:t xml:space="preserve">The PSCR presented </w:t>
      </w:r>
      <w:r w:rsidR="00164D2A" w:rsidRPr="00AB5920">
        <w:t>revised financial estimate</w:t>
      </w:r>
      <w:r w:rsidR="001C57DC" w:rsidRPr="00AB5920">
        <w:t>s</w:t>
      </w:r>
      <w:r w:rsidR="007E4E77" w:rsidRPr="00AB5920">
        <w:t xml:space="preserve">, </w:t>
      </w:r>
      <w:r w:rsidR="002E3B2B" w:rsidRPr="00AB5920">
        <w:t xml:space="preserve">having </w:t>
      </w:r>
      <w:r w:rsidR="00F15536" w:rsidRPr="00AB5920">
        <w:t xml:space="preserve">1) </w:t>
      </w:r>
      <w:r w:rsidR="002E3B2B" w:rsidRPr="00AB5920">
        <w:t>corrected</w:t>
      </w:r>
      <w:r w:rsidR="007E4E77" w:rsidRPr="00AB5920">
        <w:t xml:space="preserve"> the </w:t>
      </w:r>
      <w:r w:rsidR="00BE2CBD" w:rsidRPr="00AB5920">
        <w:t xml:space="preserve">proportion of each 6-monthly cycle that patients </w:t>
      </w:r>
      <w:r w:rsidR="00F15536" w:rsidRPr="00AB5920">
        <w:t xml:space="preserve">will be </w:t>
      </w:r>
      <w:r w:rsidR="00BE2CBD" w:rsidRPr="00AB5920">
        <w:t xml:space="preserve">on the base dose or down-titrated, so that patients who remain flare-free in the subsequent 6-month cycle </w:t>
      </w:r>
      <w:r w:rsidR="00F15536" w:rsidRPr="00AB5920">
        <w:t xml:space="preserve">will </w:t>
      </w:r>
      <w:r w:rsidR="00BE2CBD" w:rsidRPr="00AB5920">
        <w:t>remain on the down-titrated dose regimen</w:t>
      </w:r>
      <w:r w:rsidR="00F15536" w:rsidRPr="00AB5920">
        <w:t xml:space="preserve">, </w:t>
      </w:r>
      <w:r w:rsidR="00040F1B" w:rsidRPr="00AB5920">
        <w:t xml:space="preserve">and </w:t>
      </w:r>
      <w:r w:rsidR="0065323D" w:rsidRPr="00AB5920">
        <w:t>2) c</w:t>
      </w:r>
      <w:r w:rsidR="00C22BC0" w:rsidRPr="00AB5920">
        <w:t>hanged</w:t>
      </w:r>
      <w:r w:rsidR="0065323D" w:rsidRPr="00AB5920">
        <w:t xml:space="preserve"> the assumption</w:t>
      </w:r>
      <w:r w:rsidR="00EE11C9" w:rsidRPr="00AB5920">
        <w:t xml:space="preserve"> that </w:t>
      </w:r>
      <w:r w:rsidR="001C57DC" w:rsidRPr="00AB5920">
        <w:t>the proportion of</w:t>
      </w:r>
      <w:r w:rsidR="00EE11C9" w:rsidRPr="00AB5920">
        <w:t xml:space="preserve"> adverse events requir</w:t>
      </w:r>
      <w:r w:rsidR="001C57DC" w:rsidRPr="00AB5920">
        <w:t>ing</w:t>
      </w:r>
      <w:r w:rsidR="00EE11C9" w:rsidRPr="00AB5920">
        <w:t xml:space="preserve"> a GP visit</w:t>
      </w:r>
      <w:r w:rsidR="00C22BC0" w:rsidRPr="00AB5920">
        <w:t xml:space="preserve"> </w:t>
      </w:r>
      <w:r w:rsidR="00280D49" w:rsidRPr="00AB5920">
        <w:t>would be</w:t>
      </w:r>
      <w:r w:rsidR="00C22BC0" w:rsidRPr="00AB5920">
        <w:t xml:space="preserve"> 100% </w:t>
      </w:r>
      <w:r w:rsidR="00280D49" w:rsidRPr="00AB5920">
        <w:t>rather than 25%</w:t>
      </w:r>
      <w:r w:rsidR="00C22BC0" w:rsidRPr="00AB5920">
        <w:t>.</w:t>
      </w:r>
      <w:r w:rsidR="00BC05E5" w:rsidRPr="00AB5920">
        <w:t xml:space="preserve"> The revised financial</w:t>
      </w:r>
      <w:r w:rsidR="00BB38FD" w:rsidRPr="00AB5920">
        <w:t>s</w:t>
      </w:r>
      <w:r w:rsidR="00BC05E5" w:rsidRPr="00AB5920">
        <w:t xml:space="preserve"> estimate</w:t>
      </w:r>
      <w:r w:rsidR="00BB38FD" w:rsidRPr="00AB5920">
        <w:t xml:space="preserve">d </w:t>
      </w:r>
      <w:r w:rsidR="00115279" w:rsidRPr="00AB5920">
        <w:t>a slightly reduced</w:t>
      </w:r>
      <w:r w:rsidR="00694C1D" w:rsidRPr="00AB5920">
        <w:t xml:space="preserve"> net cost to the PBS/MBS of listing canakinumab for paediatric colchicine-resistant FMF </w:t>
      </w:r>
      <w:r w:rsidR="00BA57A7" w:rsidRPr="00BA57A7">
        <w:t>$0 to &lt; $10 million</w:t>
      </w:r>
      <w:r w:rsidR="00BA57A7" w:rsidRPr="00BA57A7" w:rsidDel="00BA57A7">
        <w:t xml:space="preserve"> </w:t>
      </w:r>
      <w:r w:rsidR="00694C1D" w:rsidRPr="00AB5920">
        <w:t xml:space="preserve">in Year 1 of listing, increasing to </w:t>
      </w:r>
      <w:r w:rsidR="00BA57A7" w:rsidRPr="00BA57A7">
        <w:t>$0 to &lt; $10 million</w:t>
      </w:r>
      <w:r w:rsidR="00694C1D" w:rsidRPr="00AB5920">
        <w:t xml:space="preserve"> in Year 6</w:t>
      </w:r>
      <w:r w:rsidR="00115279" w:rsidRPr="00AB5920">
        <w:t>)</w:t>
      </w:r>
      <w:r w:rsidR="00BB38FD" w:rsidRPr="00AB5920">
        <w:t>.</w:t>
      </w:r>
      <w:r w:rsidR="00D93432" w:rsidRPr="00AB5920">
        <w:t xml:space="preserve"> The PSCR also presented sensitivity analyses </w:t>
      </w:r>
      <w:r w:rsidR="0033497E" w:rsidRPr="00AB5920">
        <w:t xml:space="preserve">examining the impact of </w:t>
      </w:r>
      <w:r w:rsidR="005726EF" w:rsidRPr="00AB5920">
        <w:t>colchicine resistance/intolerance estimates and assuming no down-titration</w:t>
      </w:r>
      <w:r w:rsidR="008F2D22" w:rsidRPr="00AB5920">
        <w:t xml:space="preserve"> to the base dose</w:t>
      </w:r>
      <w:r w:rsidR="00CE5909" w:rsidRPr="00AB5920">
        <w:t xml:space="preserve"> (see </w:t>
      </w:r>
      <w:r w:rsidR="00361A91" w:rsidRPr="00AB5920">
        <w:fldChar w:fldCharType="begin"/>
      </w:r>
      <w:r w:rsidR="00361A91" w:rsidRPr="00AB5920">
        <w:instrText xml:space="preserve"> REF _Ref222755983 \h  \* MERGEFORMAT </w:instrText>
      </w:r>
      <w:r w:rsidR="00361A91" w:rsidRPr="00AB5920">
        <w:fldChar w:fldCharType="separate"/>
      </w:r>
      <w:r w:rsidR="00815AB6" w:rsidRPr="00597AA3">
        <w:t xml:space="preserve">Table </w:t>
      </w:r>
      <w:r w:rsidR="00815AB6">
        <w:rPr>
          <w:noProof/>
        </w:rPr>
        <w:t>14</w:t>
      </w:r>
      <w:r w:rsidR="00361A91" w:rsidRPr="00AB5920">
        <w:fldChar w:fldCharType="end"/>
      </w:r>
      <w:r w:rsidR="00361A91" w:rsidRPr="00AB5920">
        <w:t>)</w:t>
      </w:r>
      <w:r w:rsidR="008F2D22" w:rsidRPr="00AB5920">
        <w:t xml:space="preserve">. </w:t>
      </w:r>
    </w:p>
    <w:p w14:paraId="465829C0" w14:textId="6000958D" w:rsidR="008859A5" w:rsidRDefault="00505947" w:rsidP="004B083B">
      <w:pPr>
        <w:pStyle w:val="COMTableFigurecaption"/>
        <w:spacing w:before="120"/>
      </w:pPr>
      <w:bookmarkStart w:id="68" w:name="_Ref222755983"/>
      <w:r w:rsidRPr="00597AA3">
        <w:t xml:space="preserve">Table </w:t>
      </w:r>
      <w:fldSimple w:instr=" SEQ Table \* ARABIC ">
        <w:r w:rsidR="00815AB6">
          <w:rPr>
            <w:noProof/>
          </w:rPr>
          <w:t>14</w:t>
        </w:r>
      </w:fldSimple>
      <w:bookmarkEnd w:id="68"/>
      <w:r w:rsidRPr="00597AA3">
        <w:t xml:space="preserve">: </w:t>
      </w:r>
      <w:r w:rsidR="008859A5">
        <w:t>Revised financial estimates</w:t>
      </w:r>
      <w:r>
        <w:t xml:space="preserve"> – sensitivity analyses presented in the PSCR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4: Revised financial estimates – sensitivity analyses presented in the PSCR"/>
      </w:tblPr>
      <w:tblGrid>
        <w:gridCol w:w="2263"/>
        <w:gridCol w:w="1125"/>
        <w:gridCol w:w="1126"/>
        <w:gridCol w:w="1126"/>
        <w:gridCol w:w="1125"/>
        <w:gridCol w:w="1126"/>
        <w:gridCol w:w="1126"/>
      </w:tblGrid>
      <w:tr w:rsidR="00505947" w:rsidRPr="005F40D6" w14:paraId="0A09D8D5" w14:textId="77777777" w:rsidTr="00505947">
        <w:trPr>
          <w:trHeight w:val="270"/>
        </w:trPr>
        <w:tc>
          <w:tcPr>
            <w:tcW w:w="2263" w:type="dxa"/>
            <w:vAlign w:val="center"/>
            <w:hideMark/>
          </w:tcPr>
          <w:p w14:paraId="3F46967F" w14:textId="77777777" w:rsidR="008859A5" w:rsidRPr="005F40D6" w:rsidRDefault="008859A5" w:rsidP="004B083B">
            <w:pPr>
              <w:pStyle w:val="COMTabletext"/>
              <w:rPr>
                <w:b/>
                <w:bCs w:val="0"/>
              </w:rPr>
            </w:pPr>
            <w:r w:rsidRPr="005F40D6">
              <w:rPr>
                <w:b/>
                <w:bCs w:val="0"/>
              </w:rPr>
              <w:t> </w:t>
            </w:r>
          </w:p>
        </w:tc>
        <w:tc>
          <w:tcPr>
            <w:tcW w:w="1125" w:type="dxa"/>
            <w:vAlign w:val="center"/>
            <w:hideMark/>
          </w:tcPr>
          <w:p w14:paraId="1208679F" w14:textId="77777777" w:rsidR="008859A5" w:rsidRPr="005F40D6" w:rsidRDefault="008859A5" w:rsidP="004B083B">
            <w:pPr>
              <w:pStyle w:val="COMTabletext"/>
              <w:rPr>
                <w:b/>
                <w:bCs w:val="0"/>
              </w:rPr>
            </w:pPr>
            <w:r w:rsidRPr="005F40D6">
              <w:rPr>
                <w:b/>
                <w:bCs w:val="0"/>
              </w:rPr>
              <w:t>Year 1</w:t>
            </w:r>
          </w:p>
        </w:tc>
        <w:tc>
          <w:tcPr>
            <w:tcW w:w="1126" w:type="dxa"/>
            <w:vAlign w:val="center"/>
            <w:hideMark/>
          </w:tcPr>
          <w:p w14:paraId="677BFE4D" w14:textId="77777777" w:rsidR="008859A5" w:rsidRPr="005F40D6" w:rsidRDefault="008859A5" w:rsidP="004B083B">
            <w:pPr>
              <w:pStyle w:val="COMTabletext"/>
              <w:rPr>
                <w:b/>
                <w:bCs w:val="0"/>
              </w:rPr>
            </w:pPr>
            <w:r w:rsidRPr="005F40D6">
              <w:rPr>
                <w:b/>
                <w:bCs w:val="0"/>
              </w:rPr>
              <w:t>Year 2</w:t>
            </w:r>
          </w:p>
        </w:tc>
        <w:tc>
          <w:tcPr>
            <w:tcW w:w="1126" w:type="dxa"/>
            <w:vAlign w:val="center"/>
            <w:hideMark/>
          </w:tcPr>
          <w:p w14:paraId="1AD7AB03" w14:textId="77777777" w:rsidR="008859A5" w:rsidRPr="005F40D6" w:rsidRDefault="008859A5" w:rsidP="004B083B">
            <w:pPr>
              <w:pStyle w:val="COMTabletext"/>
              <w:rPr>
                <w:b/>
                <w:bCs w:val="0"/>
              </w:rPr>
            </w:pPr>
            <w:r w:rsidRPr="005F40D6">
              <w:rPr>
                <w:b/>
                <w:bCs w:val="0"/>
              </w:rPr>
              <w:t>Year 3</w:t>
            </w:r>
          </w:p>
        </w:tc>
        <w:tc>
          <w:tcPr>
            <w:tcW w:w="1125" w:type="dxa"/>
            <w:vAlign w:val="center"/>
            <w:hideMark/>
          </w:tcPr>
          <w:p w14:paraId="5EC8602A" w14:textId="77777777" w:rsidR="008859A5" w:rsidRPr="005F40D6" w:rsidRDefault="008859A5" w:rsidP="004B083B">
            <w:pPr>
              <w:pStyle w:val="COMTabletext"/>
              <w:rPr>
                <w:b/>
                <w:bCs w:val="0"/>
              </w:rPr>
            </w:pPr>
            <w:r w:rsidRPr="005F40D6">
              <w:rPr>
                <w:b/>
                <w:bCs w:val="0"/>
              </w:rPr>
              <w:t>Year 4</w:t>
            </w:r>
          </w:p>
        </w:tc>
        <w:tc>
          <w:tcPr>
            <w:tcW w:w="1126" w:type="dxa"/>
            <w:vAlign w:val="center"/>
            <w:hideMark/>
          </w:tcPr>
          <w:p w14:paraId="481E0F70" w14:textId="77777777" w:rsidR="008859A5" w:rsidRPr="005F40D6" w:rsidRDefault="008859A5" w:rsidP="004B083B">
            <w:pPr>
              <w:pStyle w:val="COMTabletext"/>
              <w:rPr>
                <w:b/>
                <w:bCs w:val="0"/>
              </w:rPr>
            </w:pPr>
            <w:r w:rsidRPr="005F40D6">
              <w:rPr>
                <w:b/>
                <w:bCs w:val="0"/>
              </w:rPr>
              <w:t>Year 5</w:t>
            </w:r>
          </w:p>
        </w:tc>
        <w:tc>
          <w:tcPr>
            <w:tcW w:w="1126" w:type="dxa"/>
            <w:vAlign w:val="center"/>
            <w:hideMark/>
          </w:tcPr>
          <w:p w14:paraId="44430FE8" w14:textId="77777777" w:rsidR="008859A5" w:rsidRPr="005F40D6" w:rsidRDefault="008859A5" w:rsidP="004B083B">
            <w:pPr>
              <w:pStyle w:val="COMTabletext"/>
              <w:rPr>
                <w:b/>
                <w:bCs w:val="0"/>
              </w:rPr>
            </w:pPr>
            <w:r w:rsidRPr="005F40D6">
              <w:rPr>
                <w:b/>
                <w:bCs w:val="0"/>
              </w:rPr>
              <w:t>Year 6</w:t>
            </w:r>
          </w:p>
        </w:tc>
      </w:tr>
      <w:tr w:rsidR="00505947" w:rsidRPr="005F40D6" w14:paraId="19EC4685" w14:textId="77777777" w:rsidTr="00505947">
        <w:trPr>
          <w:trHeight w:val="255"/>
        </w:trPr>
        <w:tc>
          <w:tcPr>
            <w:tcW w:w="2263" w:type="dxa"/>
            <w:noWrap/>
            <w:vAlign w:val="center"/>
            <w:hideMark/>
          </w:tcPr>
          <w:p w14:paraId="597D1912" w14:textId="77777777" w:rsidR="008859A5" w:rsidRPr="005F40D6" w:rsidRDefault="008859A5" w:rsidP="004B083B">
            <w:pPr>
              <w:pStyle w:val="COMTabletext"/>
              <w:rPr>
                <w:bCs w:val="0"/>
              </w:rPr>
            </w:pPr>
            <w:r w:rsidRPr="005F40D6">
              <w:rPr>
                <w:bCs w:val="0"/>
              </w:rPr>
              <w:t>Base case</w:t>
            </w:r>
          </w:p>
        </w:tc>
        <w:tc>
          <w:tcPr>
            <w:tcW w:w="1125" w:type="dxa"/>
            <w:noWrap/>
            <w:vAlign w:val="center"/>
            <w:hideMark/>
          </w:tcPr>
          <w:p w14:paraId="2F37A008" w14:textId="7B882718" w:rsidR="008859A5" w:rsidRPr="000F0DFE" w:rsidRDefault="008859A5" w:rsidP="004B083B">
            <w:pPr>
              <w:pStyle w:val="COMTabletext"/>
              <w:rPr>
                <w:bCs w:val="0"/>
                <w:vertAlign w:val="superscript"/>
              </w:rPr>
            </w:pPr>
            <w:r w:rsidRPr="005F40D6">
              <w:rPr>
                <w:bCs w:val="0"/>
              </w:rPr>
              <w:t>$</w:t>
            </w:r>
            <w:r w:rsidR="00B90395" w:rsidRPr="00B90395">
              <w:rPr>
                <w:bCs w:val="0"/>
                <w:sz w:val="2"/>
                <w:highlight w:val="black"/>
              </w:rPr>
              <w:t>redacted content</w:t>
            </w:r>
            <w:r w:rsidR="000F0DFE">
              <w:rPr>
                <w:bCs w:val="0"/>
                <w:vertAlign w:val="superscript"/>
              </w:rPr>
              <w:t>1</w:t>
            </w:r>
          </w:p>
        </w:tc>
        <w:tc>
          <w:tcPr>
            <w:tcW w:w="1126" w:type="dxa"/>
            <w:noWrap/>
            <w:vAlign w:val="center"/>
            <w:hideMark/>
          </w:tcPr>
          <w:p w14:paraId="04031A3E" w14:textId="7FC72584" w:rsidR="008859A5" w:rsidRPr="000F0DFE" w:rsidRDefault="008859A5" w:rsidP="004B083B">
            <w:pPr>
              <w:pStyle w:val="COMTabletext"/>
              <w:rPr>
                <w:bCs w:val="0"/>
                <w:vertAlign w:val="superscript"/>
              </w:rPr>
            </w:pPr>
            <w:r w:rsidRPr="005F40D6">
              <w:rPr>
                <w:bCs w:val="0"/>
              </w:rPr>
              <w:t>$</w:t>
            </w:r>
            <w:r w:rsidR="00B90395" w:rsidRPr="00B90395">
              <w:rPr>
                <w:bCs w:val="0"/>
                <w:sz w:val="2"/>
                <w:highlight w:val="black"/>
              </w:rPr>
              <w:t>redacted content</w:t>
            </w:r>
            <w:r w:rsidR="000F0DFE">
              <w:rPr>
                <w:bCs w:val="0"/>
                <w:vertAlign w:val="superscript"/>
              </w:rPr>
              <w:t>1</w:t>
            </w:r>
          </w:p>
        </w:tc>
        <w:tc>
          <w:tcPr>
            <w:tcW w:w="1126" w:type="dxa"/>
            <w:noWrap/>
            <w:vAlign w:val="center"/>
            <w:hideMark/>
          </w:tcPr>
          <w:p w14:paraId="06126D02" w14:textId="4810A896" w:rsidR="008859A5" w:rsidRPr="000F0DFE" w:rsidRDefault="008859A5" w:rsidP="004B083B">
            <w:pPr>
              <w:pStyle w:val="COMTabletext"/>
              <w:rPr>
                <w:bCs w:val="0"/>
                <w:vertAlign w:val="superscript"/>
              </w:rPr>
            </w:pPr>
            <w:r w:rsidRPr="005F40D6">
              <w:rPr>
                <w:bCs w:val="0"/>
              </w:rPr>
              <w:t>$</w:t>
            </w:r>
            <w:r w:rsidR="00B90395" w:rsidRPr="00B90395">
              <w:rPr>
                <w:bCs w:val="0"/>
                <w:sz w:val="2"/>
                <w:highlight w:val="black"/>
              </w:rPr>
              <w:t>redacted content</w:t>
            </w:r>
            <w:r w:rsidR="000F0DFE">
              <w:rPr>
                <w:bCs w:val="0"/>
                <w:vertAlign w:val="superscript"/>
              </w:rPr>
              <w:t>1</w:t>
            </w:r>
          </w:p>
        </w:tc>
        <w:tc>
          <w:tcPr>
            <w:tcW w:w="1125" w:type="dxa"/>
            <w:noWrap/>
            <w:vAlign w:val="center"/>
            <w:hideMark/>
          </w:tcPr>
          <w:p w14:paraId="0BEC86D9" w14:textId="6EB99817" w:rsidR="008859A5" w:rsidRPr="000F0DFE" w:rsidRDefault="008859A5" w:rsidP="004B083B">
            <w:pPr>
              <w:pStyle w:val="COMTabletext"/>
              <w:rPr>
                <w:bCs w:val="0"/>
                <w:vertAlign w:val="superscript"/>
              </w:rPr>
            </w:pPr>
            <w:r w:rsidRPr="005F40D6">
              <w:rPr>
                <w:bCs w:val="0"/>
              </w:rPr>
              <w:t>$</w:t>
            </w:r>
            <w:r w:rsidR="00B90395" w:rsidRPr="00B90395">
              <w:rPr>
                <w:bCs w:val="0"/>
                <w:sz w:val="2"/>
                <w:highlight w:val="black"/>
              </w:rPr>
              <w:t>redacted content</w:t>
            </w:r>
            <w:r w:rsidR="000F0DFE">
              <w:rPr>
                <w:bCs w:val="0"/>
                <w:vertAlign w:val="superscript"/>
              </w:rPr>
              <w:t>1</w:t>
            </w:r>
          </w:p>
        </w:tc>
        <w:tc>
          <w:tcPr>
            <w:tcW w:w="1126" w:type="dxa"/>
            <w:noWrap/>
            <w:vAlign w:val="center"/>
            <w:hideMark/>
          </w:tcPr>
          <w:p w14:paraId="0BFDF140" w14:textId="3DAA651D" w:rsidR="008859A5" w:rsidRPr="000F0DFE" w:rsidRDefault="008859A5" w:rsidP="004B083B">
            <w:pPr>
              <w:pStyle w:val="COMTabletext"/>
              <w:rPr>
                <w:bCs w:val="0"/>
                <w:vertAlign w:val="superscript"/>
              </w:rPr>
            </w:pPr>
            <w:r w:rsidRPr="005F40D6">
              <w:rPr>
                <w:bCs w:val="0"/>
              </w:rPr>
              <w:t>$</w:t>
            </w:r>
            <w:r w:rsidR="00B90395" w:rsidRPr="00B90395">
              <w:rPr>
                <w:bCs w:val="0"/>
                <w:sz w:val="2"/>
                <w:highlight w:val="black"/>
              </w:rPr>
              <w:t>redacted content</w:t>
            </w:r>
            <w:r w:rsidR="000F0DFE">
              <w:rPr>
                <w:bCs w:val="0"/>
                <w:vertAlign w:val="superscript"/>
              </w:rPr>
              <w:t>1</w:t>
            </w:r>
          </w:p>
        </w:tc>
        <w:tc>
          <w:tcPr>
            <w:tcW w:w="1126" w:type="dxa"/>
            <w:noWrap/>
            <w:vAlign w:val="center"/>
            <w:hideMark/>
          </w:tcPr>
          <w:p w14:paraId="281CE37E" w14:textId="0F7CD2EC" w:rsidR="008859A5" w:rsidRPr="000F0DFE" w:rsidRDefault="008859A5" w:rsidP="004B083B">
            <w:pPr>
              <w:pStyle w:val="COMTabletext"/>
              <w:rPr>
                <w:bCs w:val="0"/>
                <w:vertAlign w:val="superscript"/>
              </w:rPr>
            </w:pPr>
            <w:r w:rsidRPr="005F40D6">
              <w:rPr>
                <w:bCs w:val="0"/>
              </w:rPr>
              <w:t>$</w:t>
            </w:r>
            <w:r w:rsidR="00B90395" w:rsidRPr="00B90395">
              <w:rPr>
                <w:bCs w:val="0"/>
                <w:sz w:val="2"/>
                <w:highlight w:val="black"/>
              </w:rPr>
              <w:t>redacted content</w:t>
            </w:r>
            <w:r w:rsidR="000F0DFE">
              <w:rPr>
                <w:bCs w:val="0"/>
                <w:vertAlign w:val="superscript"/>
              </w:rPr>
              <w:t>1</w:t>
            </w:r>
          </w:p>
        </w:tc>
      </w:tr>
      <w:tr w:rsidR="00505947" w:rsidRPr="004F1BBB" w14:paraId="64875156" w14:textId="77777777" w:rsidTr="00505947">
        <w:trPr>
          <w:trHeight w:val="255"/>
        </w:trPr>
        <w:tc>
          <w:tcPr>
            <w:tcW w:w="2263" w:type="dxa"/>
            <w:noWrap/>
            <w:vAlign w:val="center"/>
          </w:tcPr>
          <w:p w14:paraId="4F961839" w14:textId="77777777" w:rsidR="008859A5" w:rsidRPr="004F3044" w:rsidRDefault="008859A5" w:rsidP="004B083B">
            <w:pPr>
              <w:pStyle w:val="COMTabletext"/>
            </w:pPr>
            <w:r w:rsidRPr="004F3044">
              <w:t xml:space="preserve">Colchicine resistant/intolerance: 4.2% </w:t>
            </w:r>
          </w:p>
        </w:tc>
        <w:tc>
          <w:tcPr>
            <w:tcW w:w="1125" w:type="dxa"/>
            <w:noWrap/>
          </w:tcPr>
          <w:p w14:paraId="4C2C204B" w14:textId="1CBFD0EC" w:rsidR="008859A5" w:rsidRPr="000F0DFE" w:rsidRDefault="008859A5" w:rsidP="004B083B">
            <w:pPr>
              <w:pStyle w:val="COMTabletext"/>
              <w:rPr>
                <w:vertAlign w:val="superscript"/>
              </w:rPr>
            </w:pPr>
            <w:r w:rsidRPr="004F3044">
              <w:t>$</w:t>
            </w:r>
            <w:r w:rsidR="00B90395" w:rsidRPr="00B90395">
              <w:rPr>
                <w:sz w:val="2"/>
                <w:highlight w:val="black"/>
              </w:rPr>
              <w:t>redacted content</w:t>
            </w:r>
            <w:r w:rsidR="000F0DFE">
              <w:rPr>
                <w:vertAlign w:val="superscript"/>
              </w:rPr>
              <w:t>1</w:t>
            </w:r>
          </w:p>
        </w:tc>
        <w:tc>
          <w:tcPr>
            <w:tcW w:w="1126" w:type="dxa"/>
            <w:noWrap/>
          </w:tcPr>
          <w:p w14:paraId="53DFB210" w14:textId="7C750F36" w:rsidR="008859A5" w:rsidRPr="000F0DFE" w:rsidRDefault="008859A5" w:rsidP="004B083B">
            <w:pPr>
              <w:pStyle w:val="COMTabletext"/>
              <w:rPr>
                <w:vertAlign w:val="superscript"/>
              </w:rPr>
            </w:pPr>
            <w:r w:rsidRPr="004F3044">
              <w:t>$</w:t>
            </w:r>
            <w:r w:rsidR="00B90395" w:rsidRPr="00B90395">
              <w:rPr>
                <w:sz w:val="2"/>
                <w:highlight w:val="black"/>
              </w:rPr>
              <w:t>redacted content</w:t>
            </w:r>
            <w:r w:rsidR="000F0DFE">
              <w:rPr>
                <w:vertAlign w:val="superscript"/>
              </w:rPr>
              <w:t>1</w:t>
            </w:r>
          </w:p>
        </w:tc>
        <w:tc>
          <w:tcPr>
            <w:tcW w:w="1126" w:type="dxa"/>
            <w:noWrap/>
          </w:tcPr>
          <w:p w14:paraId="47BF0154" w14:textId="64C8F3A9" w:rsidR="008859A5" w:rsidRPr="000F0DFE" w:rsidRDefault="008859A5" w:rsidP="004B083B">
            <w:pPr>
              <w:pStyle w:val="COMTabletext"/>
              <w:rPr>
                <w:vertAlign w:val="superscript"/>
              </w:rPr>
            </w:pPr>
            <w:r w:rsidRPr="004F3044">
              <w:t>$</w:t>
            </w:r>
            <w:r w:rsidR="00B90395" w:rsidRPr="00B90395">
              <w:rPr>
                <w:sz w:val="2"/>
                <w:highlight w:val="black"/>
              </w:rPr>
              <w:t>redacted content</w:t>
            </w:r>
            <w:r w:rsidR="000F0DFE">
              <w:rPr>
                <w:vertAlign w:val="superscript"/>
              </w:rPr>
              <w:t>1</w:t>
            </w:r>
          </w:p>
        </w:tc>
        <w:tc>
          <w:tcPr>
            <w:tcW w:w="1125" w:type="dxa"/>
            <w:noWrap/>
          </w:tcPr>
          <w:p w14:paraId="05A2D47A" w14:textId="725ED373" w:rsidR="008859A5" w:rsidRPr="000F0DFE" w:rsidRDefault="008859A5" w:rsidP="004B083B">
            <w:pPr>
              <w:pStyle w:val="COMTabletext"/>
              <w:rPr>
                <w:vertAlign w:val="superscript"/>
              </w:rPr>
            </w:pPr>
            <w:r w:rsidRPr="004F3044">
              <w:t>$</w:t>
            </w:r>
            <w:r w:rsidR="00B90395" w:rsidRPr="00B90395">
              <w:rPr>
                <w:sz w:val="2"/>
                <w:highlight w:val="black"/>
              </w:rPr>
              <w:t>redacted content</w:t>
            </w:r>
            <w:r w:rsidR="000F0DFE">
              <w:rPr>
                <w:vertAlign w:val="superscript"/>
              </w:rPr>
              <w:t>1</w:t>
            </w:r>
          </w:p>
        </w:tc>
        <w:tc>
          <w:tcPr>
            <w:tcW w:w="1126" w:type="dxa"/>
            <w:noWrap/>
          </w:tcPr>
          <w:p w14:paraId="52BE0172" w14:textId="2C197525" w:rsidR="008859A5" w:rsidRPr="000F0DFE" w:rsidRDefault="008859A5" w:rsidP="004B083B">
            <w:pPr>
              <w:pStyle w:val="COMTabletext"/>
              <w:rPr>
                <w:vertAlign w:val="superscript"/>
              </w:rPr>
            </w:pPr>
            <w:r w:rsidRPr="004F3044">
              <w:t>$</w:t>
            </w:r>
            <w:r w:rsidR="00B90395" w:rsidRPr="00B90395">
              <w:rPr>
                <w:sz w:val="2"/>
                <w:highlight w:val="black"/>
              </w:rPr>
              <w:t>redacted content</w:t>
            </w:r>
            <w:r w:rsidR="000F0DFE">
              <w:rPr>
                <w:vertAlign w:val="superscript"/>
              </w:rPr>
              <w:t>1</w:t>
            </w:r>
          </w:p>
        </w:tc>
        <w:tc>
          <w:tcPr>
            <w:tcW w:w="1126" w:type="dxa"/>
            <w:noWrap/>
          </w:tcPr>
          <w:p w14:paraId="5E4A43EF" w14:textId="5D7EFF3D" w:rsidR="008859A5" w:rsidRPr="000F0DFE" w:rsidRDefault="008859A5" w:rsidP="004B083B">
            <w:pPr>
              <w:pStyle w:val="COMTabletext"/>
              <w:rPr>
                <w:vertAlign w:val="superscript"/>
              </w:rPr>
            </w:pPr>
            <w:r w:rsidRPr="004F3044">
              <w:t>$</w:t>
            </w:r>
            <w:r w:rsidR="00B90395" w:rsidRPr="00B90395">
              <w:rPr>
                <w:sz w:val="2"/>
                <w:highlight w:val="black"/>
              </w:rPr>
              <w:t>redacted content</w:t>
            </w:r>
            <w:r w:rsidR="000F0DFE">
              <w:rPr>
                <w:vertAlign w:val="superscript"/>
              </w:rPr>
              <w:t>1</w:t>
            </w:r>
          </w:p>
        </w:tc>
      </w:tr>
      <w:tr w:rsidR="00505947" w:rsidRPr="004F1BBB" w14:paraId="49B493FF" w14:textId="77777777" w:rsidTr="00505947">
        <w:trPr>
          <w:trHeight w:val="255"/>
        </w:trPr>
        <w:tc>
          <w:tcPr>
            <w:tcW w:w="2263" w:type="dxa"/>
            <w:noWrap/>
            <w:vAlign w:val="center"/>
          </w:tcPr>
          <w:p w14:paraId="116D7F0C" w14:textId="77777777" w:rsidR="008859A5" w:rsidRPr="004F3044" w:rsidRDefault="008859A5" w:rsidP="004B083B">
            <w:pPr>
              <w:pStyle w:val="COMTabletext"/>
            </w:pPr>
            <w:r w:rsidRPr="004F3044">
              <w:t>Colchicine resistant/intolerance: 18.8%</w:t>
            </w:r>
          </w:p>
        </w:tc>
        <w:tc>
          <w:tcPr>
            <w:tcW w:w="1125" w:type="dxa"/>
            <w:noWrap/>
          </w:tcPr>
          <w:p w14:paraId="30AFBA5D" w14:textId="23BF9744" w:rsidR="008859A5" w:rsidRPr="000F0DFE" w:rsidRDefault="008859A5" w:rsidP="004B083B">
            <w:pPr>
              <w:pStyle w:val="COMTabletext"/>
              <w:rPr>
                <w:vertAlign w:val="superscript"/>
              </w:rPr>
            </w:pPr>
            <w:r w:rsidRPr="004F3044">
              <w:t>$</w:t>
            </w:r>
            <w:r w:rsidR="00B90395" w:rsidRPr="00B90395">
              <w:rPr>
                <w:sz w:val="2"/>
                <w:highlight w:val="black"/>
              </w:rPr>
              <w:t>redacted content</w:t>
            </w:r>
            <w:r w:rsidR="000F0DFE">
              <w:rPr>
                <w:vertAlign w:val="superscript"/>
              </w:rPr>
              <w:t>1</w:t>
            </w:r>
          </w:p>
        </w:tc>
        <w:tc>
          <w:tcPr>
            <w:tcW w:w="1126" w:type="dxa"/>
            <w:noWrap/>
          </w:tcPr>
          <w:p w14:paraId="608D54CE" w14:textId="0849F52D" w:rsidR="008859A5" w:rsidRPr="000F0DFE" w:rsidRDefault="008859A5" w:rsidP="004B083B">
            <w:pPr>
              <w:pStyle w:val="COMTabletext"/>
              <w:rPr>
                <w:vertAlign w:val="superscript"/>
              </w:rPr>
            </w:pPr>
            <w:r w:rsidRPr="004F3044">
              <w:t>$</w:t>
            </w:r>
            <w:r w:rsidR="00B90395" w:rsidRPr="00B90395">
              <w:rPr>
                <w:sz w:val="2"/>
                <w:highlight w:val="black"/>
              </w:rPr>
              <w:t>redacted content</w:t>
            </w:r>
            <w:r w:rsidR="000F0DFE">
              <w:rPr>
                <w:vertAlign w:val="superscript"/>
              </w:rPr>
              <w:t>1</w:t>
            </w:r>
          </w:p>
        </w:tc>
        <w:tc>
          <w:tcPr>
            <w:tcW w:w="1126" w:type="dxa"/>
            <w:noWrap/>
          </w:tcPr>
          <w:p w14:paraId="28FB4691" w14:textId="3A70A046" w:rsidR="008859A5" w:rsidRPr="000F0DFE" w:rsidRDefault="008859A5" w:rsidP="004B083B">
            <w:pPr>
              <w:pStyle w:val="COMTabletext"/>
              <w:rPr>
                <w:vertAlign w:val="superscript"/>
              </w:rPr>
            </w:pPr>
            <w:r w:rsidRPr="004F3044">
              <w:t>$</w:t>
            </w:r>
            <w:r w:rsidR="00B90395" w:rsidRPr="00B90395">
              <w:rPr>
                <w:sz w:val="2"/>
                <w:highlight w:val="black"/>
              </w:rPr>
              <w:t>redacted content</w:t>
            </w:r>
            <w:r w:rsidR="000F0DFE">
              <w:rPr>
                <w:vertAlign w:val="superscript"/>
              </w:rPr>
              <w:t>1</w:t>
            </w:r>
          </w:p>
        </w:tc>
        <w:tc>
          <w:tcPr>
            <w:tcW w:w="1125" w:type="dxa"/>
            <w:noWrap/>
          </w:tcPr>
          <w:p w14:paraId="4ACEF973" w14:textId="51A1E865" w:rsidR="008859A5" w:rsidRPr="000F0DFE" w:rsidRDefault="008859A5" w:rsidP="004B083B">
            <w:pPr>
              <w:pStyle w:val="COMTabletext"/>
              <w:rPr>
                <w:vertAlign w:val="superscript"/>
              </w:rPr>
            </w:pPr>
            <w:r w:rsidRPr="004F3044">
              <w:t>$</w:t>
            </w:r>
            <w:r w:rsidR="00B90395" w:rsidRPr="00B90395">
              <w:rPr>
                <w:sz w:val="2"/>
                <w:highlight w:val="black"/>
              </w:rPr>
              <w:t>redacted content</w:t>
            </w:r>
            <w:r w:rsidR="000F0DFE">
              <w:rPr>
                <w:vertAlign w:val="superscript"/>
              </w:rPr>
              <w:t>1</w:t>
            </w:r>
          </w:p>
        </w:tc>
        <w:tc>
          <w:tcPr>
            <w:tcW w:w="1126" w:type="dxa"/>
            <w:noWrap/>
          </w:tcPr>
          <w:p w14:paraId="01448347" w14:textId="534630A6" w:rsidR="008859A5" w:rsidRPr="000F0DFE" w:rsidRDefault="008859A5" w:rsidP="004B083B">
            <w:pPr>
              <w:pStyle w:val="COMTabletext"/>
              <w:rPr>
                <w:vertAlign w:val="superscript"/>
              </w:rPr>
            </w:pPr>
            <w:r w:rsidRPr="004F3044">
              <w:t>$</w:t>
            </w:r>
            <w:r w:rsidR="00B90395" w:rsidRPr="00B90395">
              <w:rPr>
                <w:sz w:val="2"/>
                <w:highlight w:val="black"/>
              </w:rPr>
              <w:t>redacted content</w:t>
            </w:r>
            <w:r w:rsidR="000F0DFE">
              <w:rPr>
                <w:vertAlign w:val="superscript"/>
              </w:rPr>
              <w:t>1</w:t>
            </w:r>
          </w:p>
        </w:tc>
        <w:tc>
          <w:tcPr>
            <w:tcW w:w="1126" w:type="dxa"/>
            <w:noWrap/>
          </w:tcPr>
          <w:p w14:paraId="3C6CEDBF" w14:textId="1492A341" w:rsidR="008859A5" w:rsidRPr="000F0DFE" w:rsidRDefault="008859A5" w:rsidP="004B083B">
            <w:pPr>
              <w:pStyle w:val="COMTabletext"/>
              <w:rPr>
                <w:vertAlign w:val="superscript"/>
              </w:rPr>
            </w:pPr>
            <w:r w:rsidRPr="004F3044">
              <w:t>$</w:t>
            </w:r>
            <w:r w:rsidR="00B90395" w:rsidRPr="00B90395">
              <w:rPr>
                <w:sz w:val="2"/>
                <w:highlight w:val="black"/>
              </w:rPr>
              <w:t>redacted content</w:t>
            </w:r>
            <w:r w:rsidR="000F0DFE">
              <w:rPr>
                <w:vertAlign w:val="superscript"/>
              </w:rPr>
              <w:t>1</w:t>
            </w:r>
          </w:p>
        </w:tc>
      </w:tr>
      <w:tr w:rsidR="00505947" w:rsidRPr="004F1BBB" w14:paraId="19A4FD57" w14:textId="77777777" w:rsidTr="00505947">
        <w:trPr>
          <w:trHeight w:val="255"/>
        </w:trPr>
        <w:tc>
          <w:tcPr>
            <w:tcW w:w="2263" w:type="dxa"/>
            <w:noWrap/>
            <w:vAlign w:val="center"/>
          </w:tcPr>
          <w:p w14:paraId="4DD2B847" w14:textId="77777777" w:rsidR="008859A5" w:rsidRPr="004F3044" w:rsidRDefault="008859A5" w:rsidP="004B083B">
            <w:pPr>
              <w:pStyle w:val="COMTabletext"/>
            </w:pPr>
            <w:r w:rsidRPr="004F3044">
              <w:t>No down-titration</w:t>
            </w:r>
          </w:p>
        </w:tc>
        <w:tc>
          <w:tcPr>
            <w:tcW w:w="1125" w:type="dxa"/>
            <w:noWrap/>
            <w:vAlign w:val="center"/>
          </w:tcPr>
          <w:p w14:paraId="27F465BE" w14:textId="4FE8EFD5" w:rsidR="008859A5" w:rsidRPr="000F0DFE" w:rsidRDefault="008859A5" w:rsidP="004B083B">
            <w:pPr>
              <w:pStyle w:val="COMTabletext"/>
              <w:rPr>
                <w:vertAlign w:val="superscript"/>
              </w:rPr>
            </w:pPr>
            <w:r w:rsidRPr="00BC5F1A">
              <w:rPr>
                <w:rFonts w:cs="Arial"/>
                <w:color w:val="000000"/>
              </w:rPr>
              <w:t>$</w:t>
            </w:r>
            <w:r w:rsidR="00B90395" w:rsidRPr="00B90395">
              <w:rPr>
                <w:rFonts w:cs="Arial"/>
                <w:color w:val="000000"/>
                <w:sz w:val="2"/>
                <w:highlight w:val="black"/>
              </w:rPr>
              <w:t>redacted content</w:t>
            </w:r>
            <w:r w:rsidR="000F0DFE">
              <w:rPr>
                <w:rFonts w:cs="Arial"/>
                <w:color w:val="000000"/>
                <w:vertAlign w:val="superscript"/>
              </w:rPr>
              <w:t>1</w:t>
            </w:r>
          </w:p>
        </w:tc>
        <w:tc>
          <w:tcPr>
            <w:tcW w:w="1126" w:type="dxa"/>
            <w:noWrap/>
            <w:vAlign w:val="center"/>
          </w:tcPr>
          <w:p w14:paraId="65EFFDB7" w14:textId="2A34C841" w:rsidR="008859A5" w:rsidRPr="000F0DFE" w:rsidRDefault="008859A5" w:rsidP="004B083B">
            <w:pPr>
              <w:pStyle w:val="COMTabletext"/>
              <w:rPr>
                <w:vertAlign w:val="superscript"/>
              </w:rPr>
            </w:pPr>
            <w:r w:rsidRPr="00BC5F1A">
              <w:rPr>
                <w:rFonts w:cs="Arial"/>
                <w:color w:val="000000"/>
              </w:rPr>
              <w:t>$</w:t>
            </w:r>
            <w:r w:rsidR="00B90395" w:rsidRPr="00B90395">
              <w:rPr>
                <w:rFonts w:cs="Arial"/>
                <w:color w:val="000000"/>
                <w:sz w:val="2"/>
                <w:highlight w:val="black"/>
              </w:rPr>
              <w:t>redacted content</w:t>
            </w:r>
            <w:r w:rsidR="000F0DFE">
              <w:rPr>
                <w:rFonts w:cs="Arial"/>
                <w:color w:val="000000"/>
                <w:vertAlign w:val="superscript"/>
              </w:rPr>
              <w:t>1</w:t>
            </w:r>
          </w:p>
        </w:tc>
        <w:tc>
          <w:tcPr>
            <w:tcW w:w="1126" w:type="dxa"/>
            <w:noWrap/>
            <w:vAlign w:val="center"/>
          </w:tcPr>
          <w:p w14:paraId="42E55190" w14:textId="1DA86FE7" w:rsidR="008859A5" w:rsidRPr="000F0DFE" w:rsidRDefault="008859A5" w:rsidP="004B083B">
            <w:pPr>
              <w:pStyle w:val="COMTabletext"/>
              <w:rPr>
                <w:vertAlign w:val="superscript"/>
              </w:rPr>
            </w:pPr>
            <w:r w:rsidRPr="00BC5F1A">
              <w:rPr>
                <w:rFonts w:cs="Arial"/>
                <w:color w:val="000000"/>
              </w:rPr>
              <w:t>$</w:t>
            </w:r>
            <w:r w:rsidR="00B90395" w:rsidRPr="00B90395">
              <w:rPr>
                <w:rFonts w:cs="Arial"/>
                <w:color w:val="000000"/>
                <w:sz w:val="2"/>
                <w:highlight w:val="black"/>
              </w:rPr>
              <w:t>redacted content</w:t>
            </w:r>
            <w:r w:rsidR="000F0DFE">
              <w:rPr>
                <w:rFonts w:cs="Arial"/>
                <w:color w:val="000000"/>
                <w:vertAlign w:val="superscript"/>
              </w:rPr>
              <w:t>1</w:t>
            </w:r>
          </w:p>
        </w:tc>
        <w:tc>
          <w:tcPr>
            <w:tcW w:w="1125" w:type="dxa"/>
            <w:noWrap/>
            <w:vAlign w:val="center"/>
          </w:tcPr>
          <w:p w14:paraId="7276D35B" w14:textId="7A475187" w:rsidR="008859A5" w:rsidRPr="000F0DFE" w:rsidRDefault="008859A5" w:rsidP="004B083B">
            <w:pPr>
              <w:pStyle w:val="COMTabletext"/>
              <w:rPr>
                <w:vertAlign w:val="superscript"/>
              </w:rPr>
            </w:pPr>
            <w:r w:rsidRPr="00BC5F1A">
              <w:rPr>
                <w:rFonts w:cs="Arial"/>
                <w:color w:val="000000"/>
              </w:rPr>
              <w:t>$</w:t>
            </w:r>
            <w:r w:rsidR="00B90395" w:rsidRPr="00B90395">
              <w:rPr>
                <w:rFonts w:cs="Arial"/>
                <w:color w:val="000000"/>
                <w:sz w:val="2"/>
                <w:highlight w:val="black"/>
              </w:rPr>
              <w:t>redacted content</w:t>
            </w:r>
            <w:r w:rsidR="000F0DFE">
              <w:rPr>
                <w:rFonts w:cs="Arial"/>
                <w:color w:val="000000"/>
                <w:vertAlign w:val="superscript"/>
              </w:rPr>
              <w:t>1</w:t>
            </w:r>
          </w:p>
        </w:tc>
        <w:tc>
          <w:tcPr>
            <w:tcW w:w="1126" w:type="dxa"/>
            <w:noWrap/>
            <w:vAlign w:val="center"/>
          </w:tcPr>
          <w:p w14:paraId="5397464A" w14:textId="79802F9E" w:rsidR="008859A5" w:rsidRPr="000F0DFE" w:rsidRDefault="008859A5" w:rsidP="004B083B">
            <w:pPr>
              <w:pStyle w:val="COMTabletext"/>
              <w:rPr>
                <w:vertAlign w:val="superscript"/>
              </w:rPr>
            </w:pPr>
            <w:r w:rsidRPr="00BC5F1A">
              <w:rPr>
                <w:rFonts w:cs="Arial"/>
                <w:color w:val="000000"/>
              </w:rPr>
              <w:t>$</w:t>
            </w:r>
            <w:r w:rsidR="00B90395" w:rsidRPr="00B90395">
              <w:rPr>
                <w:rFonts w:cs="Arial"/>
                <w:color w:val="000000"/>
                <w:sz w:val="2"/>
                <w:highlight w:val="black"/>
              </w:rPr>
              <w:t>redacted content</w:t>
            </w:r>
            <w:r w:rsidR="000F0DFE">
              <w:rPr>
                <w:rFonts w:cs="Arial"/>
                <w:color w:val="000000"/>
                <w:vertAlign w:val="superscript"/>
              </w:rPr>
              <w:t>1</w:t>
            </w:r>
          </w:p>
        </w:tc>
        <w:tc>
          <w:tcPr>
            <w:tcW w:w="1126" w:type="dxa"/>
            <w:noWrap/>
            <w:vAlign w:val="center"/>
          </w:tcPr>
          <w:p w14:paraId="6D706503" w14:textId="01DE8CBC" w:rsidR="008859A5" w:rsidRPr="000F0DFE" w:rsidRDefault="008859A5" w:rsidP="004B083B">
            <w:pPr>
              <w:pStyle w:val="COMTabletext"/>
              <w:rPr>
                <w:vertAlign w:val="superscript"/>
              </w:rPr>
            </w:pPr>
            <w:r w:rsidRPr="00BC5F1A">
              <w:rPr>
                <w:rFonts w:cs="Arial"/>
                <w:color w:val="000000"/>
              </w:rPr>
              <w:t>$</w:t>
            </w:r>
            <w:r w:rsidR="00B90395" w:rsidRPr="00B90395">
              <w:rPr>
                <w:rFonts w:cs="Arial"/>
                <w:color w:val="000000"/>
                <w:sz w:val="2"/>
                <w:highlight w:val="black"/>
              </w:rPr>
              <w:t>redacted content</w:t>
            </w:r>
            <w:r w:rsidR="000F0DFE">
              <w:rPr>
                <w:rFonts w:cs="Arial"/>
                <w:color w:val="000000"/>
                <w:vertAlign w:val="superscript"/>
              </w:rPr>
              <w:t>1</w:t>
            </w:r>
          </w:p>
        </w:tc>
      </w:tr>
    </w:tbl>
    <w:p w14:paraId="4B959FB6" w14:textId="77777777" w:rsidR="000F0DFE" w:rsidRPr="000F0DFE" w:rsidRDefault="000F0DFE" w:rsidP="000F0DFE">
      <w:pPr>
        <w:pStyle w:val="COMTablefooter"/>
        <w:rPr>
          <w:i/>
        </w:rPr>
      </w:pPr>
      <w:bookmarkStart w:id="69" w:name="_Toc22897648"/>
      <w:bookmarkStart w:id="70" w:name="_Toc219811828"/>
      <w:r w:rsidRPr="000F0DFE">
        <w:rPr>
          <w:i/>
        </w:rPr>
        <w:t xml:space="preserve">The redacted values correspond to the following ranges: </w:t>
      </w:r>
    </w:p>
    <w:p w14:paraId="0508A82B" w14:textId="6A650512" w:rsidR="000F0DFE" w:rsidRPr="000F0DFE" w:rsidRDefault="000F0DFE" w:rsidP="000F0DFE">
      <w:pPr>
        <w:pStyle w:val="COMTablefooter"/>
        <w:rPr>
          <w:i/>
        </w:rPr>
      </w:pPr>
      <w:r w:rsidRPr="000F0DFE">
        <w:rPr>
          <w:i/>
          <w:vertAlign w:val="superscript"/>
        </w:rPr>
        <w:t>1</w:t>
      </w:r>
      <w:r w:rsidRPr="000F0DFE">
        <w:rPr>
          <w:i/>
        </w:rPr>
        <w:t xml:space="preserve"> $0 to &lt; $10 million</w:t>
      </w:r>
    </w:p>
    <w:p w14:paraId="2238DEE9" w14:textId="11ABC09B" w:rsidR="00576972" w:rsidRPr="0098262F" w:rsidRDefault="00576972" w:rsidP="004B083B">
      <w:pPr>
        <w:pStyle w:val="COMESSubsectionheading"/>
      </w:pPr>
      <w:r w:rsidRPr="0098262F">
        <w:lastRenderedPageBreak/>
        <w:t>Quality Use of Medicines</w:t>
      </w:r>
      <w:bookmarkEnd w:id="69"/>
      <w:bookmarkEnd w:id="70"/>
    </w:p>
    <w:p w14:paraId="38BD0AEF" w14:textId="50AD8EBA" w:rsidR="00576972" w:rsidRPr="0098262F" w:rsidRDefault="00DF753A" w:rsidP="004B083B">
      <w:pPr>
        <w:pStyle w:val="COMESnumberedpara"/>
        <w:spacing w:before="160"/>
        <w:rPr>
          <w:color w:val="0066FF"/>
        </w:rPr>
      </w:pPr>
      <w:bookmarkStart w:id="71" w:name="_Hlk220585709"/>
      <w:r w:rsidRPr="00FA55F6">
        <w:t xml:space="preserve">The submission </w:t>
      </w:r>
      <w:bookmarkEnd w:id="71"/>
      <w:r w:rsidRPr="00FA55F6">
        <w:t>stated that targeted education for clinicians will be implemented to improve awareness and the accurate diagnosis of colchicine-resistant FMF, including genetic testing. To support the correct use of canakinumab, the sponsor will provide patient and carer education on administration technique and monitoring for side effects</w:t>
      </w:r>
      <w:r>
        <w:t>.</w:t>
      </w:r>
    </w:p>
    <w:p w14:paraId="0662E2B9" w14:textId="77777777" w:rsidR="00D76D84" w:rsidRPr="006562D8" w:rsidRDefault="00D76D84" w:rsidP="004B083B">
      <w:pPr>
        <w:pStyle w:val="COMESSubsectionheading"/>
        <w:keepNext w:val="0"/>
      </w:pPr>
      <w:bookmarkStart w:id="72" w:name="_Toc198725895"/>
      <w:r w:rsidRPr="006562D8">
        <w:t>Financial Management – Risk Sharing Arrangements</w:t>
      </w:r>
      <w:bookmarkEnd w:id="72"/>
    </w:p>
    <w:p w14:paraId="25AC3376" w14:textId="77777777" w:rsidR="00D76D84" w:rsidRPr="00D76D84" w:rsidRDefault="00D76D84" w:rsidP="004B083B">
      <w:pPr>
        <w:pStyle w:val="COMESnumberedpara"/>
        <w:spacing w:before="160"/>
      </w:pPr>
      <w:r w:rsidRPr="00D76D84">
        <w:t>The ESC noted that the PBAC may wish to consider the need for a Risk Sharing Arrangement to mitigate the risk of 1) increasing numbers of colchicine intolerant patients given the availability of a PBS-listed alternative, 2) use of higher and more frequent dosing of canakinumab than estimated, and 3) the cost to the Government given the uncertainty around the incidence and prevalence of FMF.</w:t>
      </w:r>
    </w:p>
    <w:p w14:paraId="54E07A09" w14:textId="5FD6F7C1" w:rsidR="00F66C98" w:rsidRPr="00F66C98" w:rsidRDefault="00AB5920" w:rsidP="00D03A78">
      <w:pPr>
        <w:ind w:firstLine="720"/>
        <w:rPr>
          <w:i/>
          <w:iCs/>
          <w:lang w:eastAsia="en-US"/>
        </w:rPr>
      </w:pPr>
      <w:r w:rsidRPr="00F66C98">
        <w:rPr>
          <w:i/>
          <w:iCs/>
          <w:lang w:eastAsia="en-US"/>
        </w:rPr>
        <w:t>For more detail on PBAC’s view, see section 7 PBAC outcome.</w:t>
      </w:r>
    </w:p>
    <w:p w14:paraId="026EC1A7" w14:textId="4D9BD294" w:rsidR="00C065B0" w:rsidRPr="00F66C98" w:rsidRDefault="00C065B0" w:rsidP="004B083B">
      <w:pPr>
        <w:numPr>
          <w:ilvl w:val="0"/>
          <w:numId w:val="1"/>
        </w:numPr>
        <w:spacing w:before="240" w:after="120"/>
        <w:jc w:val="left"/>
        <w:outlineLvl w:val="0"/>
        <w:rPr>
          <w:rFonts w:asciiTheme="minorHAnsi" w:hAnsiTheme="minorHAnsi"/>
          <w:b/>
          <w:snapToGrid w:val="0"/>
          <w:sz w:val="32"/>
          <w:szCs w:val="32"/>
        </w:rPr>
      </w:pPr>
      <w:bookmarkStart w:id="73" w:name="_Hlk76381249"/>
      <w:bookmarkStart w:id="74" w:name="_Hlk76377955"/>
      <w:r w:rsidRPr="00F66C98">
        <w:rPr>
          <w:rFonts w:asciiTheme="minorHAnsi" w:hAnsiTheme="minorHAnsi"/>
          <w:b/>
          <w:snapToGrid w:val="0"/>
          <w:sz w:val="32"/>
          <w:szCs w:val="32"/>
        </w:rPr>
        <w:t>PBAC Outcome</w:t>
      </w:r>
    </w:p>
    <w:p w14:paraId="4FF66625" w14:textId="3D9B7FFC" w:rsidR="00EE2620" w:rsidRPr="00EE2620" w:rsidRDefault="00672F65" w:rsidP="004B083B">
      <w:pPr>
        <w:numPr>
          <w:ilvl w:val="1"/>
          <w:numId w:val="1"/>
        </w:numPr>
        <w:spacing w:after="120"/>
        <w:rPr>
          <w:rFonts w:asciiTheme="minorHAnsi" w:hAnsiTheme="minorHAnsi"/>
          <w:snapToGrid w:val="0"/>
          <w:lang w:eastAsia="en-US"/>
        </w:rPr>
      </w:pPr>
      <w:bookmarkStart w:id="75" w:name="_Hlk111543188"/>
      <w:r w:rsidRPr="00672F65">
        <w:rPr>
          <w:rFonts w:asciiTheme="minorHAnsi" w:hAnsiTheme="minorHAnsi"/>
          <w:snapToGrid w:val="0"/>
          <w:lang w:val="en-GB" w:eastAsia="en-US"/>
        </w:rPr>
        <w:t>The PBAC recommended the Section 100 (Highly Specialised Drugs Program) listing of canakinumab for the treatment of treatment of colchicine-resistant or intolerant familial Mediterranean fever</w:t>
      </w:r>
      <w:r w:rsidR="00651544">
        <w:rPr>
          <w:rFonts w:asciiTheme="minorHAnsi" w:hAnsiTheme="minorHAnsi"/>
          <w:snapToGrid w:val="0"/>
          <w:lang w:val="en-GB" w:eastAsia="en-US"/>
        </w:rPr>
        <w:t xml:space="preserve"> (FMF)</w:t>
      </w:r>
      <w:r w:rsidRPr="00672F65">
        <w:rPr>
          <w:rFonts w:asciiTheme="minorHAnsi" w:hAnsiTheme="minorHAnsi"/>
          <w:snapToGrid w:val="0"/>
          <w:lang w:val="en-GB" w:eastAsia="en-US"/>
        </w:rPr>
        <w:t xml:space="preserve">. </w:t>
      </w:r>
      <w:r w:rsidR="0005647E" w:rsidRPr="00726B63">
        <w:rPr>
          <w:rFonts w:asciiTheme="minorHAnsi" w:hAnsiTheme="minorHAnsi"/>
          <w:snapToGrid w:val="0"/>
          <w:lang w:eastAsia="en-US"/>
        </w:rPr>
        <w:t>The PBAC noted the high unmet need for effective treatments for this rare disease with a high impact on quality of life and poor life expectancy</w:t>
      </w:r>
      <w:r w:rsidR="00D47D37">
        <w:rPr>
          <w:rFonts w:asciiTheme="minorHAnsi" w:hAnsiTheme="minorHAnsi"/>
          <w:snapToGrid w:val="0"/>
          <w:lang w:eastAsia="en-US"/>
        </w:rPr>
        <w:t xml:space="preserve"> and </w:t>
      </w:r>
      <w:r w:rsidR="00230D48" w:rsidRPr="00726B63">
        <w:rPr>
          <w:rFonts w:asciiTheme="minorHAnsi" w:hAnsiTheme="minorHAnsi"/>
          <w:snapToGrid w:val="0"/>
          <w:lang w:eastAsia="en-US"/>
        </w:rPr>
        <w:t xml:space="preserve">considered that it would be appropriate for treatment to be available for both children and adults with </w:t>
      </w:r>
      <w:proofErr w:type="spellStart"/>
      <w:r w:rsidR="00230D48" w:rsidRPr="00726B63">
        <w:rPr>
          <w:rFonts w:asciiTheme="minorHAnsi" w:hAnsiTheme="minorHAnsi"/>
          <w:snapToGrid w:val="0"/>
          <w:lang w:eastAsia="en-US"/>
        </w:rPr>
        <w:t>crFMF</w:t>
      </w:r>
      <w:proofErr w:type="spellEnd"/>
      <w:r w:rsidRPr="00672F65">
        <w:rPr>
          <w:rFonts w:asciiTheme="minorHAnsi" w:hAnsiTheme="minorHAnsi"/>
          <w:snapToGrid w:val="0"/>
          <w:lang w:val="en-GB" w:eastAsia="en-US"/>
        </w:rPr>
        <w:t xml:space="preserve">. </w:t>
      </w:r>
      <w:r w:rsidR="005F31A8" w:rsidRPr="00726B63">
        <w:rPr>
          <w:rFonts w:asciiTheme="minorHAnsi" w:hAnsiTheme="minorHAnsi"/>
          <w:snapToGrid w:val="0"/>
          <w:lang w:eastAsia="en-US"/>
        </w:rPr>
        <w:t xml:space="preserve">The PBAC considered that the claim of superior effectiveness for canakinumab over standard care was reasonable, noting that treatment with canakinumab was associated with a reduction in febrile attacks in a high proportion of patients. Although longer-term effects remain uncertain, the PBAC noted that there was biological plausibility that the demonstrated reduction in serum amyloid would lead to reduced kidney failure. The PBAC considered that the </w:t>
      </w:r>
      <w:r w:rsidR="005F31A8" w:rsidRPr="00726B63">
        <w:rPr>
          <w:rFonts w:asciiTheme="minorHAnsi" w:hAnsiTheme="minorHAnsi"/>
          <w:snapToGrid w:val="0"/>
          <w:lang w:val="en-GB" w:eastAsia="en-US"/>
        </w:rPr>
        <w:t xml:space="preserve">cost-effectiveness of canakinumab was uncertain due to the limited data informing the economic model, but that in the context of this life-limiting disease in a small </w:t>
      </w:r>
      <w:r w:rsidR="005F31A8" w:rsidRPr="00413810">
        <w:rPr>
          <w:rFonts w:asciiTheme="minorHAnsi" w:hAnsiTheme="minorHAnsi"/>
          <w:snapToGrid w:val="0"/>
          <w:lang w:val="en-GB" w:eastAsia="en-US"/>
        </w:rPr>
        <w:t xml:space="preserve">number of patients, canakinumab would be considered cost-effective with a reduction in the </w:t>
      </w:r>
      <w:r w:rsidR="0032462C" w:rsidRPr="00413810">
        <w:rPr>
          <w:rFonts w:asciiTheme="minorHAnsi" w:hAnsiTheme="minorHAnsi"/>
          <w:snapToGrid w:val="0"/>
          <w:lang w:val="en-GB" w:eastAsia="en-US"/>
        </w:rPr>
        <w:t xml:space="preserve">annual treatment </w:t>
      </w:r>
      <w:r w:rsidR="005F31A8" w:rsidRPr="00413810">
        <w:rPr>
          <w:rFonts w:asciiTheme="minorHAnsi" w:hAnsiTheme="minorHAnsi"/>
          <w:snapToGrid w:val="0"/>
          <w:lang w:eastAsia="en-US"/>
        </w:rPr>
        <w:t>cost</w:t>
      </w:r>
      <w:r w:rsidR="000F7AB2">
        <w:rPr>
          <w:rFonts w:asciiTheme="minorHAnsi" w:hAnsiTheme="minorHAnsi"/>
          <w:snapToGrid w:val="0"/>
          <w:lang w:eastAsia="en-US"/>
        </w:rPr>
        <w:t>.</w:t>
      </w:r>
      <w:r w:rsidR="005F31A8" w:rsidRPr="00413810">
        <w:rPr>
          <w:rFonts w:asciiTheme="minorHAnsi" w:hAnsiTheme="minorHAnsi"/>
          <w:snapToGrid w:val="0"/>
          <w:lang w:eastAsia="en-US"/>
        </w:rPr>
        <w:t xml:space="preserve"> </w:t>
      </w:r>
      <w:r w:rsidR="004F2236" w:rsidRPr="00413810">
        <w:rPr>
          <w:rFonts w:asciiTheme="minorHAnsi" w:hAnsiTheme="minorHAnsi"/>
          <w:snapToGrid w:val="0"/>
          <w:lang w:eastAsia="en-US"/>
        </w:rPr>
        <w:t>The PBAC noted that this recommendation was in line with other treatments for rare diseases</w:t>
      </w:r>
      <w:r w:rsidR="004F2236" w:rsidRPr="00726B63">
        <w:rPr>
          <w:rFonts w:asciiTheme="minorHAnsi" w:hAnsiTheme="minorHAnsi"/>
          <w:snapToGrid w:val="0"/>
          <w:lang w:eastAsia="en-US"/>
        </w:rPr>
        <w:t xml:space="preserve"> funded on the PBS, accounting for clinical need, available evidence, nature of the benefits and size of the patient population. The PBAC considered that a risk sharing arrangement would be required to manage the uncertainty associated with the long-term clinical benefit for canakinumab and the uncertain dosing and duration of therapy.</w:t>
      </w:r>
      <w:bookmarkEnd w:id="75"/>
      <w:r w:rsidR="004B083B">
        <w:rPr>
          <w:rFonts w:asciiTheme="minorHAnsi" w:hAnsiTheme="minorHAnsi"/>
          <w:snapToGrid w:val="0"/>
          <w:lang w:eastAsia="en-US"/>
        </w:rPr>
        <w:t xml:space="preserve"> </w:t>
      </w:r>
    </w:p>
    <w:p w14:paraId="1DC315F6" w14:textId="22B3E254" w:rsidR="008F05F0" w:rsidRDefault="00BB4334" w:rsidP="004B083B">
      <w:pPr>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considered there </w:t>
      </w:r>
      <w:r w:rsidR="00B442B4">
        <w:rPr>
          <w:rFonts w:asciiTheme="minorHAnsi" w:hAnsiTheme="minorHAnsi"/>
          <w:snapToGrid w:val="0"/>
          <w:lang w:val="en-GB" w:eastAsia="en-US"/>
        </w:rPr>
        <w:t>i</w:t>
      </w:r>
      <w:r>
        <w:rPr>
          <w:rFonts w:asciiTheme="minorHAnsi" w:hAnsiTheme="minorHAnsi"/>
          <w:snapToGrid w:val="0"/>
          <w:lang w:val="en-GB" w:eastAsia="en-US"/>
        </w:rPr>
        <w:t>s a high clinical need</w:t>
      </w:r>
      <w:r w:rsidR="008F05F0">
        <w:rPr>
          <w:rFonts w:asciiTheme="minorHAnsi" w:hAnsiTheme="minorHAnsi"/>
          <w:snapToGrid w:val="0"/>
          <w:lang w:val="en-GB" w:eastAsia="en-US"/>
        </w:rPr>
        <w:t xml:space="preserve"> for </w:t>
      </w:r>
      <w:r w:rsidR="00354C14">
        <w:rPr>
          <w:rFonts w:asciiTheme="minorHAnsi" w:hAnsiTheme="minorHAnsi"/>
          <w:snapToGrid w:val="0"/>
          <w:lang w:val="en-GB" w:eastAsia="en-US"/>
        </w:rPr>
        <w:t>new therapies for FMF, noting the severity of symptoms and impact on patient quality of life</w:t>
      </w:r>
      <w:r w:rsidR="005A4E6A">
        <w:rPr>
          <w:rFonts w:asciiTheme="minorHAnsi" w:hAnsiTheme="minorHAnsi"/>
          <w:snapToGrid w:val="0"/>
          <w:lang w:val="en-GB" w:eastAsia="en-US"/>
        </w:rPr>
        <w:t xml:space="preserve"> and life expectancy</w:t>
      </w:r>
      <w:r w:rsidR="00354C14">
        <w:rPr>
          <w:rFonts w:asciiTheme="minorHAnsi" w:hAnsiTheme="minorHAnsi"/>
          <w:snapToGrid w:val="0"/>
          <w:lang w:val="en-GB" w:eastAsia="en-US"/>
        </w:rPr>
        <w:t>.</w:t>
      </w:r>
      <w:r w:rsidR="005A4E6A">
        <w:rPr>
          <w:rFonts w:asciiTheme="minorHAnsi" w:hAnsiTheme="minorHAnsi"/>
          <w:snapToGrid w:val="0"/>
          <w:lang w:val="en-GB" w:eastAsia="en-US"/>
        </w:rPr>
        <w:t xml:space="preserve"> The PBAC noted that there are no </w:t>
      </w:r>
      <w:r w:rsidR="00AE6F11">
        <w:rPr>
          <w:rFonts w:asciiTheme="minorHAnsi" w:hAnsiTheme="minorHAnsi"/>
          <w:snapToGrid w:val="0"/>
          <w:lang w:val="en-GB" w:eastAsia="en-US"/>
        </w:rPr>
        <w:t>PBS-listed</w:t>
      </w:r>
      <w:r w:rsidR="005A4E6A">
        <w:rPr>
          <w:rFonts w:asciiTheme="minorHAnsi" w:hAnsiTheme="minorHAnsi"/>
          <w:snapToGrid w:val="0"/>
          <w:lang w:val="en-GB" w:eastAsia="en-US"/>
        </w:rPr>
        <w:t xml:space="preserve"> treatment options</w:t>
      </w:r>
      <w:r w:rsidR="00FB3E40">
        <w:rPr>
          <w:rFonts w:asciiTheme="minorHAnsi" w:hAnsiTheme="minorHAnsi"/>
          <w:snapToGrid w:val="0"/>
          <w:lang w:val="en-GB" w:eastAsia="en-US"/>
        </w:rPr>
        <w:t xml:space="preserve"> for patients who </w:t>
      </w:r>
      <w:r w:rsidR="00A60BD4">
        <w:rPr>
          <w:rFonts w:asciiTheme="minorHAnsi" w:hAnsiTheme="minorHAnsi"/>
          <w:snapToGrid w:val="0"/>
          <w:lang w:val="en-GB" w:eastAsia="en-US"/>
        </w:rPr>
        <w:t>are intolerant or resistant to maximally tolerated doses of colchicine (</w:t>
      </w:r>
      <w:proofErr w:type="spellStart"/>
      <w:r w:rsidR="00A60BD4">
        <w:rPr>
          <w:rFonts w:asciiTheme="minorHAnsi" w:hAnsiTheme="minorHAnsi"/>
          <w:snapToGrid w:val="0"/>
          <w:lang w:val="en-GB" w:eastAsia="en-US"/>
        </w:rPr>
        <w:t>crFMF</w:t>
      </w:r>
      <w:proofErr w:type="spellEnd"/>
      <w:r w:rsidR="00A60BD4">
        <w:rPr>
          <w:rFonts w:asciiTheme="minorHAnsi" w:hAnsiTheme="minorHAnsi"/>
          <w:snapToGrid w:val="0"/>
          <w:lang w:val="en-GB" w:eastAsia="en-US"/>
        </w:rPr>
        <w:t>)</w:t>
      </w:r>
      <w:r w:rsidR="00882E82">
        <w:rPr>
          <w:rFonts w:asciiTheme="minorHAnsi" w:hAnsiTheme="minorHAnsi"/>
          <w:snapToGrid w:val="0"/>
          <w:lang w:val="en-GB" w:eastAsia="en-US"/>
        </w:rPr>
        <w:t>.</w:t>
      </w:r>
      <w:r w:rsidR="00807ED4">
        <w:rPr>
          <w:rFonts w:asciiTheme="minorHAnsi" w:hAnsiTheme="minorHAnsi"/>
          <w:snapToGrid w:val="0"/>
          <w:lang w:val="en-GB" w:eastAsia="en-US"/>
        </w:rPr>
        <w:t xml:space="preserve"> The PBAC noted the input </w:t>
      </w:r>
      <w:r w:rsidR="005E0A7A">
        <w:rPr>
          <w:rFonts w:asciiTheme="minorHAnsi" w:hAnsiTheme="minorHAnsi"/>
          <w:snapToGrid w:val="0"/>
          <w:lang w:val="en-GB" w:eastAsia="en-US"/>
        </w:rPr>
        <w:t xml:space="preserve">from clinicians </w:t>
      </w:r>
      <w:r w:rsidR="00807ED4">
        <w:rPr>
          <w:rFonts w:asciiTheme="minorHAnsi" w:hAnsiTheme="minorHAnsi"/>
          <w:snapToGrid w:val="0"/>
          <w:lang w:val="en-GB" w:eastAsia="en-US"/>
        </w:rPr>
        <w:t xml:space="preserve">regarding anakinra, </w:t>
      </w:r>
      <w:r w:rsidR="00C20921">
        <w:rPr>
          <w:rFonts w:asciiTheme="minorHAnsi" w:hAnsiTheme="minorHAnsi"/>
          <w:snapToGrid w:val="0"/>
          <w:lang w:val="en-GB" w:eastAsia="en-US"/>
        </w:rPr>
        <w:t xml:space="preserve">which has a very high needle </w:t>
      </w:r>
      <w:r w:rsidR="00C20921">
        <w:rPr>
          <w:rFonts w:asciiTheme="minorHAnsi" w:hAnsiTheme="minorHAnsi"/>
          <w:snapToGrid w:val="0"/>
          <w:lang w:val="en-GB" w:eastAsia="en-US"/>
        </w:rPr>
        <w:lastRenderedPageBreak/>
        <w:t xml:space="preserve">burden that may result in issues with adherence and efficacy, </w:t>
      </w:r>
      <w:r w:rsidR="00A83288">
        <w:rPr>
          <w:rFonts w:asciiTheme="minorHAnsi" w:hAnsiTheme="minorHAnsi"/>
          <w:snapToGrid w:val="0"/>
          <w:lang w:val="en-GB" w:eastAsia="en-US"/>
        </w:rPr>
        <w:t xml:space="preserve">and </w:t>
      </w:r>
      <w:r w:rsidR="00D6399F">
        <w:rPr>
          <w:rFonts w:asciiTheme="minorHAnsi" w:hAnsiTheme="minorHAnsi"/>
          <w:snapToGrid w:val="0"/>
          <w:lang w:val="en-GB" w:eastAsia="en-US"/>
        </w:rPr>
        <w:t xml:space="preserve">is funded </w:t>
      </w:r>
      <w:r w:rsidR="00F505CE">
        <w:rPr>
          <w:rFonts w:asciiTheme="minorHAnsi" w:hAnsiTheme="minorHAnsi"/>
          <w:snapToGrid w:val="0"/>
          <w:lang w:val="en-GB" w:eastAsia="en-US"/>
        </w:rPr>
        <w:t>via local hospital drug committees</w:t>
      </w:r>
      <w:r w:rsidR="00A83288">
        <w:rPr>
          <w:rFonts w:asciiTheme="minorHAnsi" w:hAnsiTheme="minorHAnsi"/>
          <w:snapToGrid w:val="0"/>
          <w:lang w:val="en-GB" w:eastAsia="en-US"/>
        </w:rPr>
        <w:t xml:space="preserve">, meaning it is </w:t>
      </w:r>
      <w:r w:rsidR="00F505CE">
        <w:rPr>
          <w:rFonts w:asciiTheme="minorHAnsi" w:hAnsiTheme="minorHAnsi"/>
          <w:snapToGrid w:val="0"/>
          <w:lang w:val="en-GB" w:eastAsia="en-US"/>
        </w:rPr>
        <w:t>not available to all patients</w:t>
      </w:r>
      <w:r w:rsidR="00A83288">
        <w:rPr>
          <w:rFonts w:asciiTheme="minorHAnsi" w:hAnsiTheme="minorHAnsi"/>
          <w:snapToGrid w:val="0"/>
          <w:lang w:val="en-GB" w:eastAsia="en-US"/>
        </w:rPr>
        <w:t>.</w:t>
      </w:r>
    </w:p>
    <w:p w14:paraId="3532DF18" w14:textId="17061A43" w:rsidR="00E565B1" w:rsidRPr="00027743" w:rsidRDefault="0087657B" w:rsidP="004B083B">
      <w:pPr>
        <w:numPr>
          <w:ilvl w:val="1"/>
          <w:numId w:val="1"/>
        </w:numPr>
        <w:spacing w:after="120"/>
        <w:rPr>
          <w:rFonts w:asciiTheme="minorHAnsi" w:hAnsiTheme="minorHAnsi"/>
          <w:snapToGrid w:val="0"/>
          <w:lang w:val="en-GB" w:eastAsia="en-US"/>
        </w:rPr>
      </w:pPr>
      <w:r w:rsidRPr="00027743">
        <w:rPr>
          <w:rFonts w:asciiTheme="minorHAnsi" w:hAnsiTheme="minorHAnsi"/>
          <w:snapToGrid w:val="0"/>
          <w:lang w:val="en-GB" w:eastAsia="en-US"/>
        </w:rPr>
        <w:t xml:space="preserve">The PBAC </w:t>
      </w:r>
      <w:r w:rsidR="007B4613" w:rsidRPr="00027743">
        <w:rPr>
          <w:rFonts w:asciiTheme="minorHAnsi" w:hAnsiTheme="minorHAnsi"/>
          <w:snapToGrid w:val="0"/>
          <w:lang w:val="en-GB" w:eastAsia="en-US"/>
        </w:rPr>
        <w:t xml:space="preserve">noted </w:t>
      </w:r>
      <w:r w:rsidR="00E93148" w:rsidRPr="00027743">
        <w:rPr>
          <w:rFonts w:asciiTheme="minorHAnsi" w:hAnsiTheme="minorHAnsi"/>
          <w:snapToGrid w:val="0"/>
          <w:lang w:val="en-GB" w:eastAsia="en-US"/>
        </w:rPr>
        <w:t xml:space="preserve">that FMF is a rare disease that disproportionately affects culturally and linguistically diverse groups. The PBAC </w:t>
      </w:r>
      <w:r w:rsidR="008C73D4">
        <w:rPr>
          <w:rFonts w:asciiTheme="minorHAnsi" w:hAnsiTheme="minorHAnsi"/>
          <w:snapToGrid w:val="0"/>
          <w:lang w:val="en-GB" w:eastAsia="en-US"/>
        </w:rPr>
        <w:t>not</w:t>
      </w:r>
      <w:r w:rsidR="00E93148" w:rsidRPr="00027743">
        <w:rPr>
          <w:rFonts w:asciiTheme="minorHAnsi" w:hAnsiTheme="minorHAnsi"/>
          <w:snapToGrid w:val="0"/>
          <w:lang w:val="en-GB" w:eastAsia="en-US"/>
        </w:rPr>
        <w:t xml:space="preserve">ed </w:t>
      </w:r>
      <w:r w:rsidR="007B4613" w:rsidRPr="00027743">
        <w:rPr>
          <w:rFonts w:asciiTheme="minorHAnsi" w:hAnsiTheme="minorHAnsi"/>
          <w:snapToGrid w:val="0"/>
          <w:lang w:val="en-GB" w:eastAsia="en-US"/>
        </w:rPr>
        <w:t xml:space="preserve">that colchicine is effective in 80 to 90% of patients </w:t>
      </w:r>
      <w:r w:rsidR="00D805C2" w:rsidRPr="00027743">
        <w:rPr>
          <w:rFonts w:asciiTheme="minorHAnsi" w:hAnsiTheme="minorHAnsi"/>
          <w:snapToGrid w:val="0"/>
          <w:lang w:val="en-GB" w:eastAsia="en-US"/>
        </w:rPr>
        <w:t xml:space="preserve">and </w:t>
      </w:r>
      <w:r w:rsidR="000C5568">
        <w:rPr>
          <w:rFonts w:asciiTheme="minorHAnsi" w:hAnsiTheme="minorHAnsi"/>
          <w:snapToGrid w:val="0"/>
          <w:lang w:val="en-GB" w:eastAsia="en-US"/>
        </w:rPr>
        <w:t xml:space="preserve">considered </w:t>
      </w:r>
      <w:r w:rsidR="000C2FB6" w:rsidRPr="00027743">
        <w:rPr>
          <w:rFonts w:asciiTheme="minorHAnsi" w:hAnsiTheme="minorHAnsi"/>
          <w:snapToGrid w:val="0"/>
          <w:lang w:val="en-GB" w:eastAsia="en-US"/>
        </w:rPr>
        <w:t xml:space="preserve">that </w:t>
      </w:r>
      <w:r w:rsidR="00167AB2">
        <w:rPr>
          <w:rFonts w:asciiTheme="minorHAnsi" w:hAnsiTheme="minorHAnsi"/>
          <w:snapToGrid w:val="0"/>
          <w:lang w:val="en-GB" w:eastAsia="en-US"/>
        </w:rPr>
        <w:t xml:space="preserve">canakinumab </w:t>
      </w:r>
      <w:r w:rsidR="00C760DA">
        <w:rPr>
          <w:rFonts w:asciiTheme="minorHAnsi" w:hAnsiTheme="minorHAnsi"/>
          <w:snapToGrid w:val="0"/>
          <w:lang w:val="en-GB" w:eastAsia="en-US"/>
        </w:rPr>
        <w:t>i</w:t>
      </w:r>
      <w:r w:rsidR="00B1633D">
        <w:rPr>
          <w:rFonts w:asciiTheme="minorHAnsi" w:hAnsiTheme="minorHAnsi"/>
          <w:snapToGrid w:val="0"/>
          <w:lang w:val="en-GB" w:eastAsia="en-US"/>
        </w:rPr>
        <w:t xml:space="preserve">s appropriately positioned for </w:t>
      </w:r>
      <w:r w:rsidR="00D805C2" w:rsidRPr="00027743">
        <w:rPr>
          <w:rFonts w:asciiTheme="minorHAnsi" w:hAnsiTheme="minorHAnsi"/>
          <w:snapToGrid w:val="0"/>
          <w:lang w:val="en-GB" w:eastAsia="en-US"/>
        </w:rPr>
        <w:t>patients</w:t>
      </w:r>
      <w:r w:rsidR="001B2059" w:rsidRPr="00027743">
        <w:rPr>
          <w:rFonts w:asciiTheme="minorHAnsi" w:hAnsiTheme="minorHAnsi"/>
          <w:snapToGrid w:val="0"/>
          <w:lang w:val="en-GB" w:eastAsia="en-US"/>
        </w:rPr>
        <w:t xml:space="preserve"> </w:t>
      </w:r>
      <w:r w:rsidR="00A42A2C">
        <w:rPr>
          <w:rFonts w:asciiTheme="minorHAnsi" w:hAnsiTheme="minorHAnsi"/>
          <w:snapToGrid w:val="0"/>
          <w:lang w:val="en-GB" w:eastAsia="en-US"/>
        </w:rPr>
        <w:t xml:space="preserve">with </w:t>
      </w:r>
      <w:proofErr w:type="spellStart"/>
      <w:r w:rsidR="008C73D4">
        <w:rPr>
          <w:rFonts w:asciiTheme="minorHAnsi" w:hAnsiTheme="minorHAnsi"/>
          <w:snapToGrid w:val="0"/>
          <w:lang w:val="en-GB" w:eastAsia="en-US"/>
        </w:rPr>
        <w:t>crFMF</w:t>
      </w:r>
      <w:proofErr w:type="spellEnd"/>
      <w:r w:rsidR="003962F5" w:rsidRPr="00027743">
        <w:rPr>
          <w:rFonts w:asciiTheme="minorHAnsi" w:hAnsiTheme="minorHAnsi"/>
          <w:snapToGrid w:val="0"/>
          <w:lang w:val="en-GB" w:eastAsia="en-US"/>
        </w:rPr>
        <w:t>.</w:t>
      </w:r>
      <w:r w:rsidR="007B4613" w:rsidRPr="007B4613">
        <w:t xml:space="preserve"> </w:t>
      </w:r>
      <w:r w:rsidR="00D933CB">
        <w:t xml:space="preserve">The PBAC considered that canakinumab should be used in combination with </w:t>
      </w:r>
      <w:r w:rsidR="00895787">
        <w:t xml:space="preserve">the maximum tolerated dose of </w:t>
      </w:r>
      <w:r w:rsidR="007B4613" w:rsidRPr="00027743">
        <w:rPr>
          <w:rFonts w:asciiTheme="minorHAnsi" w:hAnsiTheme="minorHAnsi"/>
          <w:snapToGrid w:val="0"/>
          <w:lang w:val="en-GB" w:eastAsia="en-US"/>
        </w:rPr>
        <w:t xml:space="preserve">colchicine </w:t>
      </w:r>
      <w:r w:rsidR="00D933CB" w:rsidRPr="00027743">
        <w:rPr>
          <w:rFonts w:asciiTheme="minorHAnsi" w:hAnsiTheme="minorHAnsi"/>
          <w:snapToGrid w:val="0"/>
          <w:lang w:val="en-GB" w:eastAsia="en-US"/>
        </w:rPr>
        <w:t xml:space="preserve">unless </w:t>
      </w:r>
      <w:r w:rsidR="00373637" w:rsidRPr="00027743">
        <w:rPr>
          <w:rFonts w:asciiTheme="minorHAnsi" w:hAnsiTheme="minorHAnsi"/>
          <w:snapToGrid w:val="0"/>
          <w:lang w:val="en-GB" w:eastAsia="en-US"/>
        </w:rPr>
        <w:t>it</w:t>
      </w:r>
      <w:r w:rsidR="00D933CB" w:rsidRPr="00027743">
        <w:rPr>
          <w:rFonts w:asciiTheme="minorHAnsi" w:hAnsiTheme="minorHAnsi"/>
          <w:snapToGrid w:val="0"/>
          <w:lang w:val="en-GB" w:eastAsia="en-US"/>
        </w:rPr>
        <w:t xml:space="preserve"> is contraindicated</w:t>
      </w:r>
      <w:r w:rsidR="00895787" w:rsidRPr="00027743">
        <w:rPr>
          <w:rFonts w:asciiTheme="minorHAnsi" w:hAnsiTheme="minorHAnsi"/>
          <w:snapToGrid w:val="0"/>
          <w:lang w:val="en-GB" w:eastAsia="en-US"/>
        </w:rPr>
        <w:t>.</w:t>
      </w:r>
      <w:r w:rsidR="00027743" w:rsidRPr="00027743">
        <w:rPr>
          <w:rFonts w:asciiTheme="minorHAnsi" w:hAnsiTheme="minorHAnsi"/>
          <w:snapToGrid w:val="0"/>
          <w:lang w:val="en-GB" w:eastAsia="en-US"/>
        </w:rPr>
        <w:t xml:space="preserve"> </w:t>
      </w:r>
    </w:p>
    <w:p w14:paraId="5887F514" w14:textId="3496ADC2" w:rsidR="0087657B" w:rsidRPr="002F6047" w:rsidRDefault="0087657B" w:rsidP="004B083B">
      <w:pPr>
        <w:numPr>
          <w:ilvl w:val="1"/>
          <w:numId w:val="1"/>
        </w:numPr>
        <w:spacing w:after="120"/>
        <w:rPr>
          <w:rFonts w:asciiTheme="minorHAnsi" w:hAnsiTheme="minorHAnsi"/>
          <w:snapToGrid w:val="0"/>
          <w:lang w:val="en-GB" w:eastAsia="en-US"/>
        </w:rPr>
      </w:pPr>
      <w:r w:rsidRPr="002F6047">
        <w:rPr>
          <w:rFonts w:asciiTheme="minorHAnsi" w:hAnsiTheme="minorHAnsi"/>
          <w:snapToGrid w:val="0"/>
          <w:lang w:val="en-GB" w:eastAsia="en-US"/>
        </w:rPr>
        <w:t xml:space="preserve">The </w:t>
      </w:r>
      <w:r w:rsidR="0098126A">
        <w:rPr>
          <w:rFonts w:asciiTheme="minorHAnsi" w:hAnsiTheme="minorHAnsi"/>
          <w:snapToGrid w:val="0"/>
          <w:lang w:val="en-GB" w:eastAsia="en-US"/>
        </w:rPr>
        <w:t xml:space="preserve">PBAC </w:t>
      </w:r>
      <w:r w:rsidR="00697E72">
        <w:rPr>
          <w:rFonts w:asciiTheme="minorHAnsi" w:hAnsiTheme="minorHAnsi"/>
          <w:snapToGrid w:val="0"/>
          <w:lang w:val="en-GB" w:eastAsia="en-US"/>
        </w:rPr>
        <w:t>noted</w:t>
      </w:r>
      <w:r w:rsidR="0098126A">
        <w:rPr>
          <w:rFonts w:asciiTheme="minorHAnsi" w:hAnsiTheme="minorHAnsi"/>
          <w:snapToGrid w:val="0"/>
          <w:lang w:val="en-GB" w:eastAsia="en-US"/>
        </w:rPr>
        <w:t xml:space="preserve"> the</w:t>
      </w:r>
      <w:r w:rsidR="001851FE">
        <w:rPr>
          <w:rFonts w:asciiTheme="minorHAnsi" w:hAnsiTheme="minorHAnsi"/>
          <w:snapToGrid w:val="0"/>
          <w:lang w:val="en-GB" w:eastAsia="en-US"/>
        </w:rPr>
        <w:t xml:space="preserve"> </w:t>
      </w:r>
      <w:r w:rsidR="0098126A">
        <w:rPr>
          <w:rFonts w:asciiTheme="minorHAnsi" w:hAnsiTheme="minorHAnsi"/>
          <w:snapToGrid w:val="0"/>
          <w:lang w:val="en-GB" w:eastAsia="en-US"/>
        </w:rPr>
        <w:t xml:space="preserve">strong </w:t>
      </w:r>
      <w:r w:rsidRPr="002F6047">
        <w:rPr>
          <w:rFonts w:asciiTheme="minorHAnsi" w:hAnsiTheme="minorHAnsi"/>
          <w:snapToGrid w:val="0"/>
          <w:lang w:val="en-GB" w:eastAsia="en-US"/>
        </w:rPr>
        <w:t xml:space="preserve">consumer support </w:t>
      </w:r>
      <w:r w:rsidR="001851FE">
        <w:rPr>
          <w:rFonts w:asciiTheme="minorHAnsi" w:hAnsiTheme="minorHAnsi"/>
          <w:snapToGrid w:val="0"/>
          <w:lang w:val="en-GB" w:eastAsia="en-US"/>
        </w:rPr>
        <w:t>for the listing</w:t>
      </w:r>
      <w:r w:rsidR="00DB7DC7">
        <w:rPr>
          <w:rFonts w:asciiTheme="minorHAnsi" w:hAnsiTheme="minorHAnsi"/>
          <w:snapToGrid w:val="0"/>
          <w:lang w:val="en-GB" w:eastAsia="en-US"/>
        </w:rPr>
        <w:t xml:space="preserve"> of canakinumab</w:t>
      </w:r>
      <w:r w:rsidR="001851FE">
        <w:rPr>
          <w:rFonts w:asciiTheme="minorHAnsi" w:hAnsiTheme="minorHAnsi"/>
          <w:snapToGrid w:val="0"/>
          <w:lang w:val="en-GB" w:eastAsia="en-US"/>
        </w:rPr>
        <w:t xml:space="preserve">, </w:t>
      </w:r>
      <w:r w:rsidR="00A4097A">
        <w:rPr>
          <w:rFonts w:asciiTheme="minorHAnsi" w:hAnsiTheme="minorHAnsi"/>
          <w:snapToGrid w:val="0"/>
          <w:lang w:val="en-GB" w:eastAsia="en-US"/>
        </w:rPr>
        <w:t>with comments</w:t>
      </w:r>
      <w:r w:rsidR="00E50AB5">
        <w:rPr>
          <w:rFonts w:asciiTheme="minorHAnsi" w:hAnsiTheme="minorHAnsi"/>
          <w:snapToGrid w:val="0"/>
          <w:lang w:val="en-GB" w:eastAsia="en-US"/>
        </w:rPr>
        <w:t xml:space="preserve"> </w:t>
      </w:r>
      <w:r w:rsidR="001851FE">
        <w:rPr>
          <w:rFonts w:asciiTheme="minorHAnsi" w:hAnsiTheme="minorHAnsi"/>
          <w:snapToGrid w:val="0"/>
          <w:lang w:val="en-GB" w:eastAsia="en-US"/>
        </w:rPr>
        <w:t xml:space="preserve">received </w:t>
      </w:r>
      <w:r w:rsidRPr="002F6047">
        <w:rPr>
          <w:rFonts w:asciiTheme="minorHAnsi" w:hAnsiTheme="minorHAnsi"/>
          <w:snapToGrid w:val="0"/>
          <w:lang w:val="en-GB" w:eastAsia="en-US"/>
        </w:rPr>
        <w:t>reflect</w:t>
      </w:r>
      <w:r w:rsidR="00E50AB5">
        <w:rPr>
          <w:rFonts w:asciiTheme="minorHAnsi" w:hAnsiTheme="minorHAnsi"/>
          <w:snapToGrid w:val="0"/>
          <w:lang w:val="en-GB" w:eastAsia="en-US"/>
        </w:rPr>
        <w:t>ing</w:t>
      </w:r>
      <w:r w:rsidRPr="002F6047">
        <w:rPr>
          <w:rFonts w:asciiTheme="minorHAnsi" w:hAnsiTheme="minorHAnsi"/>
          <w:snapToGrid w:val="0"/>
          <w:lang w:val="en-GB" w:eastAsia="en-US"/>
        </w:rPr>
        <w:t xml:space="preserve"> th</w:t>
      </w:r>
      <w:r w:rsidR="00B23632">
        <w:rPr>
          <w:rFonts w:asciiTheme="minorHAnsi" w:hAnsiTheme="minorHAnsi"/>
          <w:snapToGrid w:val="0"/>
          <w:lang w:val="en-GB" w:eastAsia="en-US"/>
        </w:rPr>
        <w:t>e debilitating nature of the disease</w:t>
      </w:r>
      <w:r w:rsidR="0098126A">
        <w:rPr>
          <w:rFonts w:asciiTheme="minorHAnsi" w:hAnsiTheme="minorHAnsi"/>
          <w:snapToGrid w:val="0"/>
          <w:lang w:val="en-GB" w:eastAsia="en-US"/>
        </w:rPr>
        <w:t>,</w:t>
      </w:r>
      <w:r w:rsidR="00B23632">
        <w:rPr>
          <w:rFonts w:asciiTheme="minorHAnsi" w:hAnsiTheme="minorHAnsi"/>
          <w:snapToGrid w:val="0"/>
          <w:lang w:val="en-GB" w:eastAsia="en-US"/>
        </w:rPr>
        <w:t xml:space="preserve"> the</w:t>
      </w:r>
      <w:r w:rsidRPr="002F6047">
        <w:rPr>
          <w:rFonts w:asciiTheme="minorHAnsi" w:hAnsiTheme="minorHAnsi"/>
          <w:snapToGrid w:val="0"/>
          <w:lang w:val="en-GB" w:eastAsia="en-US"/>
        </w:rPr>
        <w:t xml:space="preserve"> </w:t>
      </w:r>
      <w:r w:rsidR="00E50AB5">
        <w:rPr>
          <w:rFonts w:asciiTheme="minorHAnsi" w:hAnsiTheme="minorHAnsi"/>
          <w:snapToGrid w:val="0"/>
          <w:lang w:val="en-GB" w:eastAsia="en-US"/>
        </w:rPr>
        <w:t xml:space="preserve">lack of effective </w:t>
      </w:r>
      <w:r w:rsidRPr="002F6047">
        <w:rPr>
          <w:rFonts w:asciiTheme="minorHAnsi" w:hAnsiTheme="minorHAnsi"/>
          <w:snapToGrid w:val="0"/>
          <w:lang w:val="en-GB" w:eastAsia="en-US"/>
        </w:rPr>
        <w:t>treatment</w:t>
      </w:r>
      <w:r w:rsidR="00E50AB5">
        <w:rPr>
          <w:rFonts w:asciiTheme="minorHAnsi" w:hAnsiTheme="minorHAnsi"/>
          <w:snapToGrid w:val="0"/>
          <w:lang w:val="en-GB" w:eastAsia="en-US"/>
        </w:rPr>
        <w:t>s</w:t>
      </w:r>
      <w:r w:rsidR="004E214A">
        <w:rPr>
          <w:rFonts w:asciiTheme="minorHAnsi" w:hAnsiTheme="minorHAnsi"/>
          <w:snapToGrid w:val="0"/>
          <w:lang w:val="en-GB" w:eastAsia="en-US"/>
        </w:rPr>
        <w:t xml:space="preserve">, </w:t>
      </w:r>
      <w:r w:rsidR="00AB6A52">
        <w:rPr>
          <w:rFonts w:asciiTheme="minorHAnsi" w:hAnsiTheme="minorHAnsi"/>
          <w:snapToGrid w:val="0"/>
          <w:lang w:val="en-GB" w:eastAsia="en-US"/>
        </w:rPr>
        <w:t xml:space="preserve">the pressure for patients to continue colchicine therapy despite clear adverse effects, </w:t>
      </w:r>
      <w:r w:rsidR="0098126A">
        <w:rPr>
          <w:rFonts w:asciiTheme="minorHAnsi" w:hAnsiTheme="minorHAnsi"/>
          <w:snapToGrid w:val="0"/>
          <w:lang w:val="en-GB" w:eastAsia="en-US"/>
        </w:rPr>
        <w:t xml:space="preserve">and </w:t>
      </w:r>
      <w:r w:rsidR="004E214A">
        <w:rPr>
          <w:rFonts w:asciiTheme="minorHAnsi" w:hAnsiTheme="minorHAnsi"/>
          <w:snapToGrid w:val="0"/>
          <w:lang w:val="en-GB" w:eastAsia="en-US"/>
        </w:rPr>
        <w:t xml:space="preserve">the lack of </w:t>
      </w:r>
      <w:r w:rsidR="000A41E2" w:rsidRPr="000A41E2">
        <w:rPr>
          <w:rFonts w:asciiTheme="minorHAnsi" w:hAnsiTheme="minorHAnsi"/>
          <w:snapToGrid w:val="0"/>
          <w:lang w:val="en-GB" w:eastAsia="en-US"/>
        </w:rPr>
        <w:t>justification for limiting canakinumab by age, given the disease does not fundamentally change when patients transition to adulthood</w:t>
      </w:r>
      <w:r w:rsidR="0098126A">
        <w:rPr>
          <w:rFonts w:asciiTheme="minorHAnsi" w:hAnsiTheme="minorHAnsi"/>
          <w:snapToGrid w:val="0"/>
          <w:lang w:val="en-GB" w:eastAsia="en-US"/>
        </w:rPr>
        <w:t xml:space="preserve">. </w:t>
      </w:r>
    </w:p>
    <w:p w14:paraId="1A87275C" w14:textId="56CAB49E" w:rsidR="00834E5F" w:rsidRPr="00834E5F" w:rsidRDefault="00834E5F" w:rsidP="004B083B">
      <w:pPr>
        <w:pStyle w:val="COMESnumberedpara"/>
        <w:rPr>
          <w:rFonts w:eastAsia="Times New Roman" w:cs="Arial"/>
          <w:snapToGrid w:val="0"/>
          <w:szCs w:val="24"/>
          <w:lang w:val="en-GB" w:eastAsia="en-US"/>
        </w:rPr>
      </w:pPr>
      <w:r w:rsidRPr="00834E5F">
        <w:rPr>
          <w:rFonts w:eastAsia="Times New Roman" w:cs="Arial"/>
          <w:snapToGrid w:val="0"/>
          <w:szCs w:val="24"/>
          <w:lang w:val="en-GB" w:eastAsia="en-US"/>
        </w:rPr>
        <w:t xml:space="preserve">The PBAC noted that the submission requested limiting canakinumab to patients who initiated treatment prior to 18 years of age. However, given the high clinical need and </w:t>
      </w:r>
      <w:r w:rsidR="00142D28">
        <w:rPr>
          <w:rFonts w:eastAsia="Times New Roman" w:cs="Arial"/>
          <w:snapToGrid w:val="0"/>
          <w:szCs w:val="24"/>
          <w:lang w:val="en-GB" w:eastAsia="en-US"/>
        </w:rPr>
        <w:t>demonstrated</w:t>
      </w:r>
      <w:r w:rsidR="00142D28" w:rsidRPr="00834E5F">
        <w:rPr>
          <w:rFonts w:eastAsia="Times New Roman" w:cs="Arial"/>
          <w:snapToGrid w:val="0"/>
          <w:szCs w:val="24"/>
          <w:lang w:val="en-GB" w:eastAsia="en-US"/>
        </w:rPr>
        <w:t xml:space="preserve"> </w:t>
      </w:r>
      <w:r w:rsidRPr="00834E5F">
        <w:rPr>
          <w:rFonts w:eastAsia="Times New Roman" w:cs="Arial"/>
          <w:snapToGrid w:val="0"/>
          <w:szCs w:val="24"/>
          <w:lang w:val="en-GB" w:eastAsia="en-US"/>
        </w:rPr>
        <w:t xml:space="preserve">efficacy of canakinumab in both paediatric and adult patients, the Committee considered that the listing should </w:t>
      </w:r>
      <w:r w:rsidR="00C960B8">
        <w:rPr>
          <w:rFonts w:eastAsia="Times New Roman" w:cs="Arial"/>
          <w:snapToGrid w:val="0"/>
          <w:szCs w:val="24"/>
          <w:lang w:val="en-GB" w:eastAsia="en-US"/>
        </w:rPr>
        <w:t xml:space="preserve">be </w:t>
      </w:r>
      <w:r w:rsidRPr="00834E5F">
        <w:rPr>
          <w:rFonts w:eastAsia="Times New Roman" w:cs="Arial"/>
          <w:snapToGrid w:val="0"/>
          <w:szCs w:val="24"/>
          <w:lang w:val="en-GB" w:eastAsia="en-US"/>
        </w:rPr>
        <w:t xml:space="preserve">age agnostic. </w:t>
      </w:r>
      <w:r w:rsidR="0073050A">
        <w:rPr>
          <w:rFonts w:eastAsia="Times New Roman" w:cs="Arial"/>
          <w:snapToGrid w:val="0"/>
          <w:szCs w:val="24"/>
          <w:lang w:val="en-GB" w:eastAsia="en-US"/>
        </w:rPr>
        <w:t xml:space="preserve">The PBAC considered that </w:t>
      </w:r>
      <w:r w:rsidR="00764C52">
        <w:rPr>
          <w:rFonts w:eastAsia="Times New Roman" w:cs="Arial"/>
          <w:snapToGrid w:val="0"/>
          <w:szCs w:val="24"/>
          <w:lang w:val="en-GB" w:eastAsia="en-US"/>
        </w:rPr>
        <w:t>over</w:t>
      </w:r>
      <w:r w:rsidR="0073050A">
        <w:rPr>
          <w:rFonts w:eastAsia="Times New Roman" w:cs="Arial"/>
          <w:snapToGrid w:val="0"/>
          <w:szCs w:val="24"/>
          <w:lang w:val="en-GB" w:eastAsia="en-US"/>
        </w:rPr>
        <w:t xml:space="preserve"> time it is likely that newly diagnosed </w:t>
      </w:r>
      <w:proofErr w:type="spellStart"/>
      <w:r w:rsidR="0073050A">
        <w:rPr>
          <w:rFonts w:eastAsia="Times New Roman" w:cs="Arial"/>
          <w:snapToGrid w:val="0"/>
          <w:szCs w:val="24"/>
          <w:lang w:val="en-GB" w:eastAsia="en-US"/>
        </w:rPr>
        <w:t>crFMF</w:t>
      </w:r>
      <w:proofErr w:type="spellEnd"/>
      <w:r w:rsidR="0073050A">
        <w:rPr>
          <w:rFonts w:eastAsia="Times New Roman" w:cs="Arial"/>
          <w:snapToGrid w:val="0"/>
          <w:szCs w:val="24"/>
          <w:lang w:val="en-GB" w:eastAsia="en-US"/>
        </w:rPr>
        <w:t xml:space="preserve"> patients will initiate treatment in </w:t>
      </w:r>
      <w:r w:rsidR="00754BA5">
        <w:rPr>
          <w:rFonts w:eastAsia="Times New Roman" w:cs="Arial"/>
          <w:snapToGrid w:val="0"/>
          <w:szCs w:val="24"/>
          <w:lang w:val="en-GB" w:eastAsia="en-US"/>
        </w:rPr>
        <w:t>childhood.</w:t>
      </w:r>
    </w:p>
    <w:p w14:paraId="0D19D407" w14:textId="002C931A" w:rsidR="00FD374C" w:rsidRDefault="00FD374C" w:rsidP="004B083B">
      <w:pPr>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w:t>
      </w:r>
      <w:r w:rsidR="00EF02F0">
        <w:rPr>
          <w:rFonts w:asciiTheme="minorHAnsi" w:hAnsiTheme="minorHAnsi"/>
          <w:snapToGrid w:val="0"/>
          <w:lang w:val="en-GB" w:eastAsia="en-US"/>
        </w:rPr>
        <w:t xml:space="preserve">accepted the submission’s </w:t>
      </w:r>
      <w:r w:rsidR="002032BA">
        <w:rPr>
          <w:rFonts w:asciiTheme="minorHAnsi" w:hAnsiTheme="minorHAnsi"/>
          <w:snapToGrid w:val="0"/>
          <w:lang w:val="en-GB" w:eastAsia="en-US"/>
        </w:rPr>
        <w:t xml:space="preserve">proposed comparator of </w:t>
      </w:r>
      <w:r w:rsidR="0024708B">
        <w:rPr>
          <w:rFonts w:asciiTheme="minorHAnsi" w:hAnsiTheme="minorHAnsi"/>
          <w:snapToGrid w:val="0"/>
          <w:lang w:val="en-GB" w:eastAsia="en-US"/>
        </w:rPr>
        <w:t>BSC</w:t>
      </w:r>
      <w:r>
        <w:rPr>
          <w:rFonts w:asciiTheme="minorHAnsi" w:hAnsiTheme="minorHAnsi"/>
          <w:snapToGrid w:val="0"/>
          <w:lang w:val="en-GB" w:eastAsia="en-US"/>
        </w:rPr>
        <w:t xml:space="preserve">. </w:t>
      </w:r>
      <w:r w:rsidR="00E47B54">
        <w:rPr>
          <w:rFonts w:asciiTheme="minorHAnsi" w:hAnsiTheme="minorHAnsi"/>
          <w:snapToGrid w:val="0"/>
          <w:lang w:val="en-GB" w:eastAsia="en-US"/>
        </w:rPr>
        <w:t xml:space="preserve">The PBAC </w:t>
      </w:r>
      <w:r w:rsidR="00166453">
        <w:rPr>
          <w:rFonts w:asciiTheme="minorHAnsi" w:hAnsiTheme="minorHAnsi"/>
          <w:snapToGrid w:val="0"/>
          <w:lang w:val="en-GB" w:eastAsia="en-US"/>
        </w:rPr>
        <w:t xml:space="preserve">considered </w:t>
      </w:r>
      <w:r w:rsidR="00E47B54">
        <w:rPr>
          <w:rFonts w:asciiTheme="minorHAnsi" w:hAnsiTheme="minorHAnsi"/>
          <w:snapToGrid w:val="0"/>
          <w:lang w:val="en-GB" w:eastAsia="en-US"/>
        </w:rPr>
        <w:t xml:space="preserve">that </w:t>
      </w:r>
      <w:r w:rsidR="007B013A">
        <w:rPr>
          <w:rFonts w:asciiTheme="minorHAnsi" w:hAnsiTheme="minorHAnsi"/>
          <w:snapToGrid w:val="0"/>
          <w:lang w:val="en-GB" w:eastAsia="en-US"/>
        </w:rPr>
        <w:t xml:space="preserve">while </w:t>
      </w:r>
      <w:r w:rsidR="00E47B54">
        <w:rPr>
          <w:rFonts w:asciiTheme="minorHAnsi" w:hAnsiTheme="minorHAnsi"/>
          <w:snapToGrid w:val="0"/>
          <w:lang w:val="en-GB" w:eastAsia="en-US"/>
        </w:rPr>
        <w:t>anakinra</w:t>
      </w:r>
      <w:r w:rsidR="00B61C11">
        <w:rPr>
          <w:rFonts w:asciiTheme="minorHAnsi" w:hAnsiTheme="minorHAnsi"/>
          <w:snapToGrid w:val="0"/>
          <w:lang w:val="en-GB" w:eastAsia="en-US"/>
        </w:rPr>
        <w:t xml:space="preserve"> </w:t>
      </w:r>
      <w:r w:rsidR="00E47B54">
        <w:rPr>
          <w:rFonts w:asciiTheme="minorHAnsi" w:hAnsiTheme="minorHAnsi"/>
          <w:snapToGrid w:val="0"/>
          <w:lang w:val="en-GB" w:eastAsia="en-US"/>
        </w:rPr>
        <w:t xml:space="preserve">is </w:t>
      </w:r>
      <w:r w:rsidR="00B61C11">
        <w:rPr>
          <w:rFonts w:asciiTheme="minorHAnsi" w:hAnsiTheme="minorHAnsi"/>
          <w:snapToGrid w:val="0"/>
          <w:lang w:val="en-GB" w:eastAsia="en-US"/>
        </w:rPr>
        <w:t xml:space="preserve">being </w:t>
      </w:r>
      <w:r w:rsidR="00E47B54">
        <w:rPr>
          <w:rFonts w:asciiTheme="minorHAnsi" w:hAnsiTheme="minorHAnsi"/>
          <w:snapToGrid w:val="0"/>
          <w:lang w:val="en-GB" w:eastAsia="en-US"/>
        </w:rPr>
        <w:t xml:space="preserve">used to treat </w:t>
      </w:r>
      <w:proofErr w:type="spellStart"/>
      <w:r w:rsidR="00166453">
        <w:rPr>
          <w:rFonts w:asciiTheme="minorHAnsi" w:hAnsiTheme="minorHAnsi"/>
          <w:snapToGrid w:val="0"/>
          <w:lang w:val="en-GB" w:eastAsia="en-US"/>
        </w:rPr>
        <w:t>crFMF</w:t>
      </w:r>
      <w:proofErr w:type="spellEnd"/>
      <w:r w:rsidR="00E47B54">
        <w:rPr>
          <w:rFonts w:asciiTheme="minorHAnsi" w:hAnsiTheme="minorHAnsi"/>
          <w:snapToGrid w:val="0"/>
          <w:lang w:val="en-GB" w:eastAsia="en-US"/>
        </w:rPr>
        <w:t xml:space="preserve"> </w:t>
      </w:r>
      <w:r w:rsidR="00361552">
        <w:rPr>
          <w:rFonts w:asciiTheme="minorHAnsi" w:hAnsiTheme="minorHAnsi"/>
          <w:snapToGrid w:val="0"/>
          <w:lang w:val="en-GB" w:eastAsia="en-US"/>
        </w:rPr>
        <w:t xml:space="preserve">for some patients </w:t>
      </w:r>
      <w:r w:rsidR="00E47B54">
        <w:rPr>
          <w:rFonts w:asciiTheme="minorHAnsi" w:hAnsiTheme="minorHAnsi"/>
          <w:snapToGrid w:val="0"/>
          <w:lang w:val="en-GB" w:eastAsia="en-US"/>
        </w:rPr>
        <w:t>in Australia</w:t>
      </w:r>
      <w:r w:rsidR="00B61C11">
        <w:rPr>
          <w:rFonts w:asciiTheme="minorHAnsi" w:hAnsiTheme="minorHAnsi"/>
          <w:snapToGrid w:val="0"/>
          <w:lang w:val="en-GB" w:eastAsia="en-US"/>
        </w:rPr>
        <w:t xml:space="preserve">, </w:t>
      </w:r>
      <w:r w:rsidR="00166453">
        <w:rPr>
          <w:rFonts w:asciiTheme="minorHAnsi" w:hAnsiTheme="minorHAnsi"/>
          <w:snapToGrid w:val="0"/>
          <w:lang w:val="en-GB" w:eastAsia="en-US"/>
        </w:rPr>
        <w:t>that it</w:t>
      </w:r>
      <w:r w:rsidR="00541389">
        <w:rPr>
          <w:rFonts w:asciiTheme="minorHAnsi" w:hAnsiTheme="minorHAnsi"/>
          <w:snapToGrid w:val="0"/>
          <w:lang w:val="en-GB" w:eastAsia="en-US"/>
        </w:rPr>
        <w:t xml:space="preserve"> is</w:t>
      </w:r>
      <w:r w:rsidR="00E47B54">
        <w:rPr>
          <w:rFonts w:asciiTheme="minorHAnsi" w:hAnsiTheme="minorHAnsi"/>
          <w:snapToGrid w:val="0"/>
          <w:lang w:val="en-GB" w:eastAsia="en-US"/>
        </w:rPr>
        <w:t xml:space="preserve"> not a suitable comparator given</w:t>
      </w:r>
      <w:r w:rsidR="009D1524">
        <w:rPr>
          <w:rFonts w:asciiTheme="minorHAnsi" w:hAnsiTheme="minorHAnsi"/>
          <w:snapToGrid w:val="0"/>
          <w:lang w:val="en-GB" w:eastAsia="en-US"/>
        </w:rPr>
        <w:t xml:space="preserve"> it is not </w:t>
      </w:r>
      <w:r w:rsidR="00462384">
        <w:rPr>
          <w:rFonts w:asciiTheme="minorHAnsi" w:hAnsiTheme="minorHAnsi"/>
          <w:snapToGrid w:val="0"/>
          <w:lang w:val="en-GB" w:eastAsia="en-US"/>
        </w:rPr>
        <w:t>reliably available</w:t>
      </w:r>
      <w:r w:rsidR="00B415A6">
        <w:rPr>
          <w:rFonts w:asciiTheme="minorHAnsi" w:hAnsiTheme="minorHAnsi"/>
          <w:snapToGrid w:val="0"/>
          <w:lang w:val="en-GB" w:eastAsia="en-US"/>
        </w:rPr>
        <w:t xml:space="preserve"> </w:t>
      </w:r>
      <w:r w:rsidR="001008EF">
        <w:rPr>
          <w:rFonts w:asciiTheme="minorHAnsi" w:hAnsiTheme="minorHAnsi"/>
          <w:snapToGrid w:val="0"/>
          <w:lang w:val="en-GB" w:eastAsia="en-US"/>
        </w:rPr>
        <w:t>or</w:t>
      </w:r>
      <w:r w:rsidR="00B415A6">
        <w:rPr>
          <w:rFonts w:asciiTheme="minorHAnsi" w:hAnsiTheme="minorHAnsi"/>
          <w:snapToGrid w:val="0"/>
          <w:lang w:val="en-GB" w:eastAsia="en-US"/>
        </w:rPr>
        <w:t xml:space="preserve"> widely used</w:t>
      </w:r>
      <w:r w:rsidR="00462384">
        <w:rPr>
          <w:rFonts w:asciiTheme="minorHAnsi" w:hAnsiTheme="minorHAnsi"/>
          <w:snapToGrid w:val="0"/>
          <w:lang w:val="en-GB" w:eastAsia="en-US"/>
        </w:rPr>
        <w:t xml:space="preserve"> </w:t>
      </w:r>
      <w:r w:rsidR="007E3793">
        <w:rPr>
          <w:rFonts w:asciiTheme="minorHAnsi" w:hAnsiTheme="minorHAnsi"/>
          <w:snapToGrid w:val="0"/>
          <w:lang w:val="en-GB" w:eastAsia="en-US"/>
        </w:rPr>
        <w:t xml:space="preserve">for this condition </w:t>
      </w:r>
      <w:r w:rsidR="00462384">
        <w:rPr>
          <w:rFonts w:asciiTheme="minorHAnsi" w:hAnsiTheme="minorHAnsi"/>
          <w:snapToGrid w:val="0"/>
          <w:lang w:val="en-GB" w:eastAsia="en-US"/>
        </w:rPr>
        <w:t>in Australia</w:t>
      </w:r>
      <w:r w:rsidR="00BA16FE">
        <w:rPr>
          <w:rFonts w:asciiTheme="minorHAnsi" w:hAnsiTheme="minorHAnsi"/>
          <w:snapToGrid w:val="0"/>
          <w:lang w:val="en-GB" w:eastAsia="en-US"/>
        </w:rPr>
        <w:t>.</w:t>
      </w:r>
    </w:p>
    <w:p w14:paraId="7ED6AAA1" w14:textId="2A0AF91B" w:rsidR="00367ECA" w:rsidRPr="00F76D0E" w:rsidRDefault="00AD1EA8" w:rsidP="004B083B">
      <w:pPr>
        <w:numPr>
          <w:ilvl w:val="1"/>
          <w:numId w:val="1"/>
        </w:numPr>
        <w:spacing w:after="120"/>
        <w:rPr>
          <w:rFonts w:asciiTheme="minorHAnsi" w:hAnsiTheme="minorHAnsi"/>
          <w:snapToGrid w:val="0"/>
          <w:lang w:val="en-GB" w:eastAsia="en-US"/>
        </w:rPr>
      </w:pPr>
      <w:r w:rsidRPr="00F76D0E">
        <w:rPr>
          <w:rFonts w:asciiTheme="minorHAnsi" w:hAnsiTheme="minorHAnsi"/>
          <w:snapToGrid w:val="0"/>
          <w:lang w:val="en-GB" w:eastAsia="en-US"/>
        </w:rPr>
        <w:t>The PBAC noted th</w:t>
      </w:r>
      <w:r w:rsidR="00FB5131" w:rsidRPr="00F76D0E">
        <w:rPr>
          <w:rFonts w:asciiTheme="minorHAnsi" w:hAnsiTheme="minorHAnsi"/>
          <w:snapToGrid w:val="0"/>
          <w:lang w:val="en-GB" w:eastAsia="en-US"/>
        </w:rPr>
        <w:t>at th</w:t>
      </w:r>
      <w:r w:rsidRPr="00F76D0E">
        <w:rPr>
          <w:rFonts w:asciiTheme="minorHAnsi" w:hAnsiTheme="minorHAnsi"/>
          <w:snapToGrid w:val="0"/>
          <w:lang w:val="en-GB" w:eastAsia="en-US"/>
        </w:rPr>
        <w:t xml:space="preserve">e results of the CLUSTER trial indicated that canakinumab </w:t>
      </w:r>
      <w:r w:rsidR="00492740" w:rsidRPr="00F76D0E">
        <w:rPr>
          <w:rFonts w:asciiTheme="minorHAnsi" w:hAnsiTheme="minorHAnsi"/>
          <w:snapToGrid w:val="0"/>
          <w:lang w:val="en-GB" w:eastAsia="en-US"/>
        </w:rPr>
        <w:t>wa</w:t>
      </w:r>
      <w:r w:rsidRPr="00F76D0E">
        <w:rPr>
          <w:rFonts w:asciiTheme="minorHAnsi" w:hAnsiTheme="minorHAnsi"/>
          <w:snapToGrid w:val="0"/>
          <w:lang w:val="en-GB" w:eastAsia="en-US"/>
        </w:rPr>
        <w:t xml:space="preserve">s highly effective </w:t>
      </w:r>
      <w:r w:rsidR="000B7358" w:rsidRPr="00F76D0E">
        <w:rPr>
          <w:rFonts w:asciiTheme="minorHAnsi" w:hAnsiTheme="minorHAnsi"/>
          <w:snapToGrid w:val="0"/>
          <w:lang w:val="en-GB" w:eastAsia="en-US"/>
        </w:rPr>
        <w:t>at</w:t>
      </w:r>
      <w:r w:rsidR="00FA1011" w:rsidRPr="00F76D0E">
        <w:rPr>
          <w:rFonts w:asciiTheme="minorHAnsi" w:hAnsiTheme="minorHAnsi"/>
          <w:snapToGrid w:val="0"/>
          <w:lang w:val="en-GB" w:eastAsia="en-US"/>
        </w:rPr>
        <w:t xml:space="preserve"> </w:t>
      </w:r>
      <w:r w:rsidRPr="00F76D0E">
        <w:rPr>
          <w:rFonts w:asciiTheme="minorHAnsi" w:hAnsiTheme="minorHAnsi"/>
          <w:snapToGrid w:val="0"/>
          <w:lang w:val="en-GB" w:eastAsia="en-US"/>
        </w:rPr>
        <w:t>reducing disease flare</w:t>
      </w:r>
      <w:r w:rsidR="00B90D7A" w:rsidRPr="00F76D0E">
        <w:rPr>
          <w:rFonts w:asciiTheme="minorHAnsi" w:hAnsiTheme="minorHAnsi"/>
          <w:snapToGrid w:val="0"/>
          <w:lang w:val="en-GB" w:eastAsia="en-US"/>
        </w:rPr>
        <w:t xml:space="preserve"> and markers of subclinical inflammation (CRP and SAA)</w:t>
      </w:r>
      <w:r w:rsidRPr="00F76D0E">
        <w:rPr>
          <w:rFonts w:asciiTheme="minorHAnsi" w:hAnsiTheme="minorHAnsi"/>
          <w:snapToGrid w:val="0"/>
          <w:lang w:val="en-GB" w:eastAsia="en-US"/>
        </w:rPr>
        <w:t xml:space="preserve">, with a complete response rate across both paediatric and adult patients of 61.3% for canakinumab at week 16 compared to 6.3% for placebo. The PBAC noted that persistence on treatment </w:t>
      </w:r>
      <w:r w:rsidR="000B7358" w:rsidRPr="00F76D0E">
        <w:rPr>
          <w:rFonts w:asciiTheme="minorHAnsi" w:hAnsiTheme="minorHAnsi"/>
          <w:snapToGrid w:val="0"/>
          <w:lang w:val="en-GB" w:eastAsia="en-US"/>
        </w:rPr>
        <w:t xml:space="preserve">in the trial </w:t>
      </w:r>
      <w:r w:rsidRPr="00F76D0E">
        <w:rPr>
          <w:rFonts w:asciiTheme="minorHAnsi" w:hAnsiTheme="minorHAnsi"/>
          <w:snapToGrid w:val="0"/>
          <w:lang w:val="en-GB" w:eastAsia="en-US"/>
        </w:rPr>
        <w:t xml:space="preserve">was very high and that </w:t>
      </w:r>
      <w:r w:rsidR="004871E3" w:rsidRPr="00F76D0E">
        <w:rPr>
          <w:rFonts w:asciiTheme="minorHAnsi" w:hAnsiTheme="minorHAnsi"/>
          <w:snapToGrid w:val="0"/>
          <w:lang w:val="en-GB" w:eastAsia="en-US"/>
        </w:rPr>
        <w:t>most</w:t>
      </w:r>
      <w:r w:rsidRPr="00F76D0E">
        <w:rPr>
          <w:rFonts w:asciiTheme="minorHAnsi" w:hAnsiTheme="minorHAnsi"/>
          <w:snapToGrid w:val="0"/>
          <w:lang w:val="en-GB" w:eastAsia="en-US"/>
        </w:rPr>
        <w:t xml:space="preserve"> placebo patients crossed over to canakinumab in the randomised withdrawal </w:t>
      </w:r>
      <w:r w:rsidR="00893B00" w:rsidRPr="00F76D0E">
        <w:rPr>
          <w:rFonts w:asciiTheme="minorHAnsi" w:hAnsiTheme="minorHAnsi"/>
          <w:snapToGrid w:val="0"/>
          <w:lang w:val="en-GB" w:eastAsia="en-US"/>
        </w:rPr>
        <w:t xml:space="preserve">(Stage 3) </w:t>
      </w:r>
      <w:r w:rsidRPr="00F76D0E">
        <w:rPr>
          <w:rFonts w:asciiTheme="minorHAnsi" w:hAnsiTheme="minorHAnsi"/>
          <w:snapToGrid w:val="0"/>
          <w:lang w:val="en-GB" w:eastAsia="en-US"/>
        </w:rPr>
        <w:t xml:space="preserve">and open label </w:t>
      </w:r>
      <w:r w:rsidR="00893B00" w:rsidRPr="00F76D0E">
        <w:rPr>
          <w:rFonts w:asciiTheme="minorHAnsi" w:hAnsiTheme="minorHAnsi"/>
          <w:snapToGrid w:val="0"/>
          <w:lang w:val="en-GB" w:eastAsia="en-US"/>
        </w:rPr>
        <w:t xml:space="preserve">(Stage 4) </w:t>
      </w:r>
      <w:r w:rsidRPr="00F76D0E">
        <w:rPr>
          <w:rFonts w:asciiTheme="minorHAnsi" w:hAnsiTheme="minorHAnsi"/>
          <w:snapToGrid w:val="0"/>
          <w:lang w:val="en-GB" w:eastAsia="en-US"/>
        </w:rPr>
        <w:t>phases.</w:t>
      </w:r>
      <w:r w:rsidR="000D37F5" w:rsidRPr="00F76D0E">
        <w:rPr>
          <w:rFonts w:asciiTheme="minorHAnsi" w:hAnsiTheme="minorHAnsi"/>
          <w:snapToGrid w:val="0"/>
          <w:lang w:val="en-GB" w:eastAsia="en-US"/>
        </w:rPr>
        <w:t xml:space="preserve"> </w:t>
      </w:r>
      <w:r w:rsidR="00F76D0E" w:rsidRPr="00F76D0E">
        <w:rPr>
          <w:rFonts w:asciiTheme="minorHAnsi" w:hAnsiTheme="minorHAnsi"/>
          <w:snapToGrid w:val="0"/>
          <w:lang w:val="en-GB" w:eastAsia="en-US"/>
        </w:rPr>
        <w:t xml:space="preserve">The PBAC considered </w:t>
      </w:r>
      <w:r w:rsidR="00367ECA" w:rsidRPr="00F76D0E">
        <w:rPr>
          <w:rFonts w:asciiTheme="minorHAnsi" w:hAnsiTheme="minorHAnsi"/>
          <w:snapToGrid w:val="0"/>
          <w:lang w:eastAsia="en-US"/>
        </w:rPr>
        <w:t xml:space="preserve">that the reduction of inflammation would lead to lower SAA and reduced </w:t>
      </w:r>
      <w:r w:rsidR="00F76D0E" w:rsidRPr="00F76D0E">
        <w:rPr>
          <w:rFonts w:asciiTheme="minorHAnsi" w:hAnsiTheme="minorHAnsi"/>
          <w:snapToGrid w:val="0"/>
          <w:lang w:eastAsia="en-US"/>
        </w:rPr>
        <w:t xml:space="preserve">AA amyloidosis </w:t>
      </w:r>
      <w:r w:rsidR="00AE3198">
        <w:rPr>
          <w:rFonts w:asciiTheme="minorHAnsi" w:hAnsiTheme="minorHAnsi"/>
          <w:snapToGrid w:val="0"/>
          <w:lang w:eastAsia="en-US"/>
        </w:rPr>
        <w:t xml:space="preserve">and renal disease </w:t>
      </w:r>
      <w:r w:rsidR="00367ECA" w:rsidRPr="00F76D0E">
        <w:rPr>
          <w:rFonts w:asciiTheme="minorHAnsi" w:hAnsiTheme="minorHAnsi"/>
          <w:snapToGrid w:val="0"/>
          <w:lang w:eastAsia="en-US"/>
        </w:rPr>
        <w:t xml:space="preserve">over time. </w:t>
      </w:r>
    </w:p>
    <w:p w14:paraId="70FBA252" w14:textId="6C2285A2" w:rsidR="00931D03" w:rsidRPr="00AA1DB2" w:rsidRDefault="00931D03" w:rsidP="004B083B">
      <w:pPr>
        <w:numPr>
          <w:ilvl w:val="1"/>
          <w:numId w:val="1"/>
        </w:numPr>
        <w:spacing w:after="120"/>
        <w:rPr>
          <w:rFonts w:asciiTheme="minorHAnsi" w:hAnsiTheme="minorHAnsi"/>
          <w:snapToGrid w:val="0"/>
          <w:lang w:val="en-GB" w:eastAsia="en-US"/>
        </w:rPr>
      </w:pPr>
      <w:r w:rsidRPr="00AA1DB2">
        <w:rPr>
          <w:rFonts w:asciiTheme="minorHAnsi" w:hAnsiTheme="minorHAnsi"/>
          <w:snapToGrid w:val="0"/>
          <w:lang w:val="en-GB" w:eastAsia="en-US"/>
        </w:rPr>
        <w:t xml:space="preserve">The PBAC considered that </w:t>
      </w:r>
      <w:r w:rsidR="0039278C" w:rsidRPr="00AA1DB2">
        <w:rPr>
          <w:rFonts w:asciiTheme="minorHAnsi" w:hAnsiTheme="minorHAnsi"/>
          <w:snapToGrid w:val="0"/>
          <w:lang w:val="en-GB" w:eastAsia="en-US"/>
        </w:rPr>
        <w:t>the data presented supported the submission’s claim that canakin</w:t>
      </w:r>
      <w:r w:rsidR="00D376AA" w:rsidRPr="00AA1DB2">
        <w:rPr>
          <w:rFonts w:asciiTheme="minorHAnsi" w:hAnsiTheme="minorHAnsi"/>
          <w:snapToGrid w:val="0"/>
          <w:lang w:val="en-GB" w:eastAsia="en-US"/>
        </w:rPr>
        <w:t xml:space="preserve">umab </w:t>
      </w:r>
      <w:r w:rsidR="005E7C46" w:rsidRPr="00AA1DB2">
        <w:rPr>
          <w:rFonts w:asciiTheme="minorHAnsi" w:hAnsiTheme="minorHAnsi"/>
          <w:snapToGrid w:val="0"/>
          <w:lang w:val="en-GB" w:eastAsia="en-US"/>
        </w:rPr>
        <w:t>has</w:t>
      </w:r>
      <w:r w:rsidRPr="00AA1DB2">
        <w:rPr>
          <w:rFonts w:asciiTheme="minorHAnsi" w:hAnsiTheme="minorHAnsi"/>
          <w:snapToGrid w:val="0"/>
          <w:lang w:val="en-GB" w:eastAsia="en-US"/>
        </w:rPr>
        <w:t xml:space="preserve"> superior effectiveness </w:t>
      </w:r>
      <w:r w:rsidR="00D376AA" w:rsidRPr="00AA1DB2">
        <w:rPr>
          <w:rFonts w:asciiTheme="minorHAnsi" w:hAnsiTheme="minorHAnsi"/>
          <w:snapToGrid w:val="0"/>
          <w:lang w:val="en-GB" w:eastAsia="en-US"/>
        </w:rPr>
        <w:t xml:space="preserve">to </w:t>
      </w:r>
      <w:r w:rsidR="0024708B" w:rsidRPr="00AA1DB2">
        <w:rPr>
          <w:rFonts w:asciiTheme="minorHAnsi" w:hAnsiTheme="minorHAnsi"/>
          <w:snapToGrid w:val="0"/>
          <w:lang w:val="en-GB" w:eastAsia="en-US"/>
        </w:rPr>
        <w:t>BSC</w:t>
      </w:r>
      <w:r w:rsidR="007D366A" w:rsidRPr="00AA1DB2">
        <w:rPr>
          <w:rFonts w:asciiTheme="minorHAnsi" w:hAnsiTheme="minorHAnsi"/>
          <w:snapToGrid w:val="0"/>
          <w:lang w:val="en-GB" w:eastAsia="en-US"/>
        </w:rPr>
        <w:t xml:space="preserve">, </w:t>
      </w:r>
      <w:r w:rsidRPr="00AA1DB2">
        <w:rPr>
          <w:rFonts w:asciiTheme="minorHAnsi" w:hAnsiTheme="minorHAnsi"/>
          <w:snapToGrid w:val="0"/>
          <w:lang w:val="en-GB" w:eastAsia="en-US"/>
        </w:rPr>
        <w:t xml:space="preserve">but that </w:t>
      </w:r>
      <w:r w:rsidR="00FB7A00" w:rsidRPr="00AA1DB2">
        <w:rPr>
          <w:rFonts w:asciiTheme="minorHAnsi" w:hAnsiTheme="minorHAnsi"/>
          <w:snapToGrid w:val="0"/>
          <w:lang w:val="en-GB" w:eastAsia="en-US"/>
        </w:rPr>
        <w:t>the high crossover from placebo to canakinumab in the trial</w:t>
      </w:r>
      <w:r w:rsidR="00352A53">
        <w:rPr>
          <w:rFonts w:asciiTheme="minorHAnsi" w:hAnsiTheme="minorHAnsi"/>
          <w:snapToGrid w:val="0"/>
          <w:lang w:val="en-GB" w:eastAsia="en-US"/>
        </w:rPr>
        <w:t xml:space="preserve"> and the lack of long</w:t>
      </w:r>
      <w:r w:rsidR="002F0D06">
        <w:rPr>
          <w:rFonts w:asciiTheme="minorHAnsi" w:hAnsiTheme="minorHAnsi"/>
          <w:snapToGrid w:val="0"/>
          <w:lang w:val="en-GB" w:eastAsia="en-US"/>
        </w:rPr>
        <w:t>er</w:t>
      </w:r>
      <w:r w:rsidR="00352A53">
        <w:rPr>
          <w:rFonts w:asciiTheme="minorHAnsi" w:hAnsiTheme="minorHAnsi"/>
          <w:snapToGrid w:val="0"/>
          <w:lang w:val="en-GB" w:eastAsia="en-US"/>
        </w:rPr>
        <w:t xml:space="preserve"> term clinically relevant outcomes (AA amyloidosis and </w:t>
      </w:r>
      <w:r w:rsidR="002F0D06">
        <w:rPr>
          <w:rFonts w:asciiTheme="minorHAnsi" w:hAnsiTheme="minorHAnsi"/>
          <w:snapToGrid w:val="0"/>
          <w:lang w:val="en-GB" w:eastAsia="en-US"/>
        </w:rPr>
        <w:t xml:space="preserve">renal disease) </w:t>
      </w:r>
      <w:r w:rsidR="00FB7A00" w:rsidRPr="00AA1DB2">
        <w:rPr>
          <w:rFonts w:asciiTheme="minorHAnsi" w:hAnsiTheme="minorHAnsi"/>
          <w:snapToGrid w:val="0"/>
          <w:lang w:val="en-GB" w:eastAsia="en-US"/>
        </w:rPr>
        <w:t xml:space="preserve">made it difficult to determine </w:t>
      </w:r>
      <w:r w:rsidRPr="00AA1DB2">
        <w:rPr>
          <w:rFonts w:asciiTheme="minorHAnsi" w:hAnsiTheme="minorHAnsi"/>
          <w:snapToGrid w:val="0"/>
          <w:lang w:val="en-GB" w:eastAsia="en-US"/>
        </w:rPr>
        <w:t>the magnitude of benefit</w:t>
      </w:r>
      <w:r w:rsidR="00FB7A00" w:rsidRPr="00AA1DB2">
        <w:rPr>
          <w:rFonts w:asciiTheme="minorHAnsi" w:hAnsiTheme="minorHAnsi"/>
          <w:snapToGrid w:val="0"/>
          <w:lang w:val="en-GB" w:eastAsia="en-US"/>
        </w:rPr>
        <w:t>.</w:t>
      </w:r>
      <w:r w:rsidR="00AA1DB2">
        <w:rPr>
          <w:rFonts w:asciiTheme="minorHAnsi" w:hAnsiTheme="minorHAnsi"/>
          <w:snapToGrid w:val="0"/>
          <w:lang w:val="en-GB" w:eastAsia="en-US"/>
        </w:rPr>
        <w:t xml:space="preserve"> </w:t>
      </w:r>
      <w:r w:rsidRPr="00AA1DB2">
        <w:rPr>
          <w:rFonts w:asciiTheme="minorHAnsi" w:hAnsiTheme="minorHAnsi"/>
          <w:snapToGrid w:val="0"/>
          <w:lang w:val="en-GB" w:eastAsia="en-US"/>
        </w:rPr>
        <w:t xml:space="preserve">The PBAC considered that </w:t>
      </w:r>
      <w:r w:rsidR="000F645A" w:rsidRPr="00AA1DB2">
        <w:rPr>
          <w:rFonts w:asciiTheme="minorHAnsi" w:hAnsiTheme="minorHAnsi"/>
          <w:snapToGrid w:val="0"/>
          <w:lang w:val="en-GB" w:eastAsia="en-US"/>
        </w:rPr>
        <w:t xml:space="preserve">while comparative harms were hard to quantify given the high crossover from placebo to canakinumab in the trial, that </w:t>
      </w:r>
      <w:r w:rsidRPr="00AA1DB2">
        <w:rPr>
          <w:rFonts w:asciiTheme="minorHAnsi" w:hAnsiTheme="minorHAnsi"/>
          <w:snapToGrid w:val="0"/>
          <w:lang w:val="en-GB" w:eastAsia="en-US"/>
        </w:rPr>
        <w:t xml:space="preserve">the </w:t>
      </w:r>
      <w:r w:rsidR="00B3047A" w:rsidRPr="00AA1DB2">
        <w:rPr>
          <w:rFonts w:asciiTheme="minorHAnsi" w:hAnsiTheme="minorHAnsi"/>
          <w:snapToGrid w:val="0"/>
          <w:lang w:val="en-GB" w:eastAsia="en-US"/>
        </w:rPr>
        <w:t xml:space="preserve">submission’s </w:t>
      </w:r>
      <w:r w:rsidRPr="00AA1DB2">
        <w:rPr>
          <w:rFonts w:asciiTheme="minorHAnsi" w:hAnsiTheme="minorHAnsi"/>
          <w:snapToGrid w:val="0"/>
          <w:lang w:val="en-GB" w:eastAsia="en-US"/>
        </w:rPr>
        <w:t>claim of inferior safety</w:t>
      </w:r>
      <w:r w:rsidR="00FB5131" w:rsidRPr="00AA1DB2">
        <w:rPr>
          <w:rFonts w:asciiTheme="minorHAnsi" w:hAnsiTheme="minorHAnsi"/>
          <w:snapToGrid w:val="0"/>
          <w:lang w:val="en-GB" w:eastAsia="en-US"/>
        </w:rPr>
        <w:t xml:space="preserve"> </w:t>
      </w:r>
      <w:r w:rsidR="00B3047A" w:rsidRPr="00AA1DB2">
        <w:rPr>
          <w:rFonts w:asciiTheme="minorHAnsi" w:hAnsiTheme="minorHAnsi"/>
          <w:snapToGrid w:val="0"/>
          <w:lang w:val="en-GB" w:eastAsia="en-US"/>
        </w:rPr>
        <w:t xml:space="preserve">to </w:t>
      </w:r>
      <w:r w:rsidR="0024708B" w:rsidRPr="00AA1DB2">
        <w:rPr>
          <w:rFonts w:asciiTheme="minorHAnsi" w:hAnsiTheme="minorHAnsi"/>
          <w:snapToGrid w:val="0"/>
          <w:lang w:val="en-GB" w:eastAsia="en-US"/>
        </w:rPr>
        <w:t>BSC</w:t>
      </w:r>
      <w:r w:rsidR="00FB5131" w:rsidRPr="00AA1DB2">
        <w:rPr>
          <w:rFonts w:asciiTheme="minorHAnsi" w:hAnsiTheme="minorHAnsi"/>
          <w:snapToGrid w:val="0"/>
          <w:lang w:val="en-GB" w:eastAsia="en-US"/>
        </w:rPr>
        <w:t xml:space="preserve"> </w:t>
      </w:r>
      <w:r w:rsidRPr="00AA1DB2">
        <w:rPr>
          <w:rFonts w:asciiTheme="minorHAnsi" w:hAnsiTheme="minorHAnsi"/>
          <w:snapToGrid w:val="0"/>
          <w:lang w:val="en-GB" w:eastAsia="en-US"/>
        </w:rPr>
        <w:t>was reasonable.</w:t>
      </w:r>
    </w:p>
    <w:p w14:paraId="1F8F4674" w14:textId="5835BCE4" w:rsidR="008741FE" w:rsidRPr="008741FE" w:rsidRDefault="00DB38B5" w:rsidP="004B083B">
      <w:pPr>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lastRenderedPageBreak/>
        <w:t xml:space="preserve">The PBAC </w:t>
      </w:r>
      <w:r w:rsidR="004A7D53">
        <w:rPr>
          <w:rFonts w:asciiTheme="minorHAnsi" w:hAnsiTheme="minorHAnsi"/>
          <w:snapToGrid w:val="0"/>
          <w:lang w:val="en-GB" w:eastAsia="en-US"/>
        </w:rPr>
        <w:t>not</w:t>
      </w:r>
      <w:r w:rsidR="003D355D">
        <w:rPr>
          <w:rFonts w:asciiTheme="minorHAnsi" w:hAnsiTheme="minorHAnsi"/>
          <w:snapToGrid w:val="0"/>
          <w:lang w:val="en-GB" w:eastAsia="en-US"/>
        </w:rPr>
        <w:t xml:space="preserve">ed the economic evaluation presented </w:t>
      </w:r>
      <w:r w:rsidR="00614140">
        <w:rPr>
          <w:rFonts w:asciiTheme="minorHAnsi" w:hAnsiTheme="minorHAnsi"/>
          <w:snapToGrid w:val="0"/>
          <w:lang w:val="en-GB" w:eastAsia="en-US"/>
        </w:rPr>
        <w:t xml:space="preserve">a </w:t>
      </w:r>
      <w:r w:rsidR="007F7151" w:rsidRPr="00597AA3">
        <w:rPr>
          <w:rFonts w:cstheme="minorHAnsi"/>
        </w:rPr>
        <w:t>stepped cost-effectiveness/cost-utility analysis</w:t>
      </w:r>
      <w:r w:rsidR="007F7151">
        <w:rPr>
          <w:rFonts w:cstheme="minorHAnsi"/>
        </w:rPr>
        <w:t>, based on a Monte Carlo microsimulation model</w:t>
      </w:r>
      <w:r w:rsidR="00740397">
        <w:rPr>
          <w:rFonts w:cstheme="minorHAnsi"/>
        </w:rPr>
        <w:t xml:space="preserve">. </w:t>
      </w:r>
      <w:r w:rsidR="00483A4C">
        <w:rPr>
          <w:rFonts w:asciiTheme="minorHAnsi" w:hAnsiTheme="minorHAnsi"/>
          <w:snapToGrid w:val="0"/>
          <w:lang w:val="en-GB" w:eastAsia="en-US"/>
        </w:rPr>
        <w:t xml:space="preserve">The PBAC noted the sponsor’s argument that the model </w:t>
      </w:r>
      <w:r w:rsidR="00483A4C" w:rsidRPr="00483A4C">
        <w:rPr>
          <w:rFonts w:asciiTheme="minorHAnsi" w:hAnsiTheme="minorHAnsi"/>
          <w:snapToGrid w:val="0"/>
          <w:lang w:eastAsia="en-US"/>
        </w:rPr>
        <w:t>was intended to capture patient characteristics</w:t>
      </w:r>
      <w:r w:rsidR="00A274F2">
        <w:rPr>
          <w:rFonts w:asciiTheme="minorHAnsi" w:hAnsiTheme="minorHAnsi"/>
          <w:snapToGrid w:val="0"/>
          <w:lang w:eastAsia="en-US"/>
        </w:rPr>
        <w:t xml:space="preserve">, </w:t>
      </w:r>
      <w:r w:rsidR="00A274F2">
        <w:rPr>
          <w:rFonts w:asciiTheme="minorHAnsi" w:hAnsiTheme="minorHAnsi"/>
          <w:snapToGrid w:val="0"/>
          <w:lang w:val="en-GB" w:eastAsia="en-US"/>
        </w:rPr>
        <w:t>h</w:t>
      </w:r>
      <w:r w:rsidR="001175E1">
        <w:rPr>
          <w:rFonts w:asciiTheme="minorHAnsi" w:hAnsiTheme="minorHAnsi"/>
          <w:snapToGrid w:val="0"/>
          <w:lang w:val="en-GB" w:eastAsia="en-US"/>
        </w:rPr>
        <w:t xml:space="preserve">owever, </w:t>
      </w:r>
      <w:r w:rsidR="002F55D8">
        <w:rPr>
          <w:rFonts w:asciiTheme="minorHAnsi" w:hAnsiTheme="minorHAnsi"/>
          <w:snapToGrid w:val="0"/>
          <w:lang w:val="en-GB" w:eastAsia="en-US"/>
        </w:rPr>
        <w:t>considered that the limited trial data</w:t>
      </w:r>
      <w:r w:rsidR="00B80800">
        <w:rPr>
          <w:rFonts w:asciiTheme="minorHAnsi" w:hAnsiTheme="minorHAnsi"/>
          <w:snapToGrid w:val="0"/>
          <w:lang w:val="en-GB" w:eastAsia="en-US"/>
        </w:rPr>
        <w:t xml:space="preserve"> informing the model</w:t>
      </w:r>
      <w:r w:rsidR="00E2151B">
        <w:rPr>
          <w:rFonts w:asciiTheme="minorHAnsi" w:hAnsiTheme="minorHAnsi"/>
          <w:snapToGrid w:val="0"/>
          <w:lang w:val="en-GB" w:eastAsia="en-US"/>
        </w:rPr>
        <w:t xml:space="preserve"> (</w:t>
      </w:r>
      <w:r w:rsidR="00174DF9">
        <w:rPr>
          <w:rFonts w:asciiTheme="minorHAnsi" w:hAnsiTheme="minorHAnsi"/>
          <w:snapToGrid w:val="0"/>
          <w:lang w:val="en-GB" w:eastAsia="en-US"/>
        </w:rPr>
        <w:t>given the rare indication</w:t>
      </w:r>
      <w:r w:rsidR="00E2151B">
        <w:rPr>
          <w:rFonts w:asciiTheme="minorHAnsi" w:hAnsiTheme="minorHAnsi"/>
          <w:snapToGrid w:val="0"/>
          <w:lang w:val="en-GB" w:eastAsia="en-US"/>
        </w:rPr>
        <w:t>)</w:t>
      </w:r>
      <w:r w:rsidR="00DB728F">
        <w:rPr>
          <w:rFonts w:asciiTheme="minorHAnsi" w:hAnsiTheme="minorHAnsi"/>
          <w:snapToGrid w:val="0"/>
          <w:lang w:val="en-GB" w:eastAsia="en-US"/>
        </w:rPr>
        <w:t xml:space="preserve"> resulted in a high level of uncertainty in the modelled costs and outcomes. Further, the PBAC noted </w:t>
      </w:r>
      <w:r w:rsidR="001175E1">
        <w:rPr>
          <w:rFonts w:asciiTheme="minorHAnsi" w:hAnsiTheme="minorHAnsi"/>
          <w:snapToGrid w:val="0"/>
          <w:lang w:val="en-GB" w:eastAsia="en-US"/>
        </w:rPr>
        <w:t>t</w:t>
      </w:r>
      <w:r w:rsidR="00210369">
        <w:rPr>
          <w:rFonts w:asciiTheme="minorHAnsi" w:hAnsiTheme="minorHAnsi"/>
          <w:snapToGrid w:val="0"/>
          <w:lang w:val="en-GB" w:eastAsia="en-US"/>
        </w:rPr>
        <w:t>he</w:t>
      </w:r>
      <w:r w:rsidR="00DB728F">
        <w:rPr>
          <w:rFonts w:asciiTheme="minorHAnsi" w:hAnsiTheme="minorHAnsi"/>
          <w:snapToGrid w:val="0"/>
          <w:lang w:val="en-GB" w:eastAsia="en-US"/>
        </w:rPr>
        <w:t xml:space="preserve"> model relied on </w:t>
      </w:r>
      <w:proofErr w:type="gramStart"/>
      <w:r w:rsidR="00760284">
        <w:rPr>
          <w:rFonts w:asciiTheme="minorHAnsi" w:hAnsiTheme="minorHAnsi"/>
          <w:snapToGrid w:val="0"/>
          <w:lang w:val="en-GB" w:eastAsia="en-US"/>
        </w:rPr>
        <w:t>a number of</w:t>
      </w:r>
      <w:proofErr w:type="gramEnd"/>
      <w:r w:rsidR="00760284">
        <w:rPr>
          <w:rFonts w:asciiTheme="minorHAnsi" w:hAnsiTheme="minorHAnsi"/>
          <w:snapToGrid w:val="0"/>
          <w:lang w:val="en-GB" w:eastAsia="en-US"/>
        </w:rPr>
        <w:t xml:space="preserve"> assumptions and data sources</w:t>
      </w:r>
      <w:r w:rsidR="00813659">
        <w:rPr>
          <w:rFonts w:asciiTheme="minorHAnsi" w:hAnsiTheme="minorHAnsi"/>
          <w:snapToGrid w:val="0"/>
          <w:lang w:val="en-GB" w:eastAsia="en-US"/>
        </w:rPr>
        <w:t xml:space="preserve"> that may not be reasonable </w:t>
      </w:r>
      <w:r w:rsidR="00975829">
        <w:rPr>
          <w:rFonts w:asciiTheme="minorHAnsi" w:hAnsiTheme="minorHAnsi"/>
          <w:snapToGrid w:val="0"/>
          <w:lang w:val="en-GB" w:eastAsia="en-US"/>
        </w:rPr>
        <w:t>or applicable to the patient population</w:t>
      </w:r>
      <w:r w:rsidR="00E2151B">
        <w:rPr>
          <w:rFonts w:asciiTheme="minorHAnsi" w:hAnsiTheme="minorHAnsi"/>
          <w:snapToGrid w:val="0"/>
          <w:lang w:val="en-GB" w:eastAsia="en-US"/>
        </w:rPr>
        <w:t>, with key drivers of the model favouring canakinumab.</w:t>
      </w:r>
      <w:r w:rsidR="00210369">
        <w:rPr>
          <w:rFonts w:asciiTheme="minorHAnsi" w:hAnsiTheme="minorHAnsi"/>
          <w:snapToGrid w:val="0"/>
          <w:lang w:val="en-GB" w:eastAsia="en-US"/>
        </w:rPr>
        <w:t xml:space="preserve"> </w:t>
      </w:r>
      <w:r w:rsidR="004E7808">
        <w:rPr>
          <w:rFonts w:cstheme="minorHAnsi"/>
        </w:rPr>
        <w:t xml:space="preserve">The PBAC considered that </w:t>
      </w:r>
      <w:r w:rsidR="004E7808">
        <w:rPr>
          <w:rFonts w:asciiTheme="minorHAnsi" w:hAnsiTheme="minorHAnsi"/>
          <w:snapToGrid w:val="0"/>
          <w:lang w:val="en-GB" w:eastAsia="en-US"/>
        </w:rPr>
        <w:t xml:space="preserve">the resulting incremental cost per life year gained for canakinumab compared to BSC was high and likely to be underestimated. </w:t>
      </w:r>
      <w:r w:rsidR="00975829" w:rsidRPr="00483A4C">
        <w:rPr>
          <w:rFonts w:asciiTheme="minorHAnsi" w:hAnsiTheme="minorHAnsi"/>
          <w:snapToGrid w:val="0"/>
          <w:lang w:val="en-GB" w:eastAsia="en-US"/>
        </w:rPr>
        <w:t>T</w:t>
      </w:r>
      <w:r w:rsidR="00975829">
        <w:rPr>
          <w:rFonts w:asciiTheme="minorHAnsi" w:hAnsiTheme="minorHAnsi"/>
          <w:snapToGrid w:val="0"/>
          <w:lang w:val="en-GB" w:eastAsia="en-US"/>
        </w:rPr>
        <w:t xml:space="preserve">he PBAC agreed with the ESC that </w:t>
      </w:r>
      <w:r w:rsidR="00975829" w:rsidRPr="00795C65">
        <w:rPr>
          <w:rFonts w:asciiTheme="minorHAnsi" w:hAnsiTheme="minorHAnsi"/>
          <w:snapToGrid w:val="0"/>
          <w:lang w:val="en-GB" w:eastAsia="en-US"/>
        </w:rPr>
        <w:t xml:space="preserve">the model structure was </w:t>
      </w:r>
      <w:r w:rsidR="00975829" w:rsidRPr="00795C65" w:rsidDel="00E40AB2">
        <w:rPr>
          <w:rFonts w:asciiTheme="minorHAnsi" w:hAnsiTheme="minorHAnsi"/>
          <w:snapToGrid w:val="0"/>
          <w:lang w:val="en-GB" w:eastAsia="en-US"/>
        </w:rPr>
        <w:t>not</w:t>
      </w:r>
      <w:r w:rsidR="00975829" w:rsidRPr="00795C65">
        <w:rPr>
          <w:rFonts w:asciiTheme="minorHAnsi" w:hAnsiTheme="minorHAnsi"/>
          <w:snapToGrid w:val="0"/>
          <w:lang w:val="en-GB" w:eastAsia="en-US"/>
        </w:rPr>
        <w:t xml:space="preserve"> reliable for decision-making. </w:t>
      </w:r>
      <w:r w:rsidR="007E001B">
        <w:rPr>
          <w:rFonts w:asciiTheme="minorHAnsi" w:hAnsiTheme="minorHAnsi"/>
          <w:snapToGrid w:val="0"/>
          <w:lang w:val="en-GB"/>
        </w:rPr>
        <w:t xml:space="preserve">However, </w:t>
      </w:r>
      <w:r w:rsidR="007E001B" w:rsidRPr="000C1604">
        <w:rPr>
          <w:rFonts w:asciiTheme="minorHAnsi" w:hAnsiTheme="minorHAnsi"/>
          <w:snapToGrid w:val="0"/>
        </w:rPr>
        <w:t xml:space="preserve">given the paucity of data available for this rare condition, </w:t>
      </w:r>
      <w:r w:rsidR="007E001B">
        <w:rPr>
          <w:rFonts w:asciiTheme="minorHAnsi" w:hAnsiTheme="minorHAnsi"/>
          <w:snapToGrid w:val="0"/>
        </w:rPr>
        <w:t xml:space="preserve">the PBAC acknowledged that revising the model </w:t>
      </w:r>
      <w:r w:rsidR="007E001B" w:rsidRPr="000C1604">
        <w:rPr>
          <w:rFonts w:asciiTheme="minorHAnsi" w:hAnsiTheme="minorHAnsi"/>
          <w:snapToGrid w:val="0"/>
        </w:rPr>
        <w:t xml:space="preserve">structure </w:t>
      </w:r>
      <w:r w:rsidR="007E001B">
        <w:rPr>
          <w:rFonts w:asciiTheme="minorHAnsi" w:hAnsiTheme="minorHAnsi"/>
          <w:snapToGrid w:val="0"/>
        </w:rPr>
        <w:t xml:space="preserve">or inputs is unlikely to </w:t>
      </w:r>
      <w:r w:rsidR="007E001B" w:rsidRPr="000C1604">
        <w:rPr>
          <w:rFonts w:asciiTheme="minorHAnsi" w:hAnsiTheme="minorHAnsi"/>
          <w:snapToGrid w:val="0"/>
        </w:rPr>
        <w:t xml:space="preserve">resolve the uncertainty associated with the modelled outcomes. </w:t>
      </w:r>
      <w:r w:rsidR="001856AA" w:rsidRPr="001856AA">
        <w:rPr>
          <w:rFonts w:asciiTheme="minorHAnsi" w:hAnsiTheme="minorHAnsi"/>
          <w:snapToGrid w:val="0"/>
        </w:rPr>
        <w:t xml:space="preserve">The </w:t>
      </w:r>
      <w:r w:rsidR="001856AA">
        <w:rPr>
          <w:rFonts w:asciiTheme="minorHAnsi" w:hAnsiTheme="minorHAnsi"/>
          <w:snapToGrid w:val="0"/>
        </w:rPr>
        <w:t>PBAC</w:t>
      </w:r>
      <w:r w:rsidR="001856AA" w:rsidRPr="001856AA">
        <w:rPr>
          <w:rFonts w:asciiTheme="minorHAnsi" w:hAnsiTheme="minorHAnsi"/>
          <w:snapToGrid w:val="0"/>
        </w:rPr>
        <w:t xml:space="preserve"> noted that the cost per responder (</w:t>
      </w:r>
      <w:r w:rsidR="002D3236" w:rsidRPr="002D3236">
        <w:rPr>
          <w:rFonts w:asciiTheme="minorHAnsi" w:hAnsiTheme="minorHAnsi"/>
          <w:snapToGrid w:val="0"/>
        </w:rPr>
        <w:t>no flares)</w:t>
      </w:r>
      <w:r w:rsidR="001856AA" w:rsidRPr="001856AA">
        <w:rPr>
          <w:rFonts w:asciiTheme="minorHAnsi" w:hAnsiTheme="minorHAnsi"/>
          <w:snapToGrid w:val="0"/>
        </w:rPr>
        <w:t xml:space="preserve"> using a 16-week time horizon, </w:t>
      </w:r>
      <w:r w:rsidR="005342B3">
        <w:rPr>
          <w:rFonts w:asciiTheme="minorHAnsi" w:hAnsiTheme="minorHAnsi"/>
          <w:snapToGrid w:val="0"/>
        </w:rPr>
        <w:t xml:space="preserve">direct </w:t>
      </w:r>
      <w:r w:rsidR="001856AA" w:rsidRPr="001856AA">
        <w:rPr>
          <w:rFonts w:asciiTheme="minorHAnsi" w:hAnsiTheme="minorHAnsi"/>
          <w:snapToGrid w:val="0"/>
        </w:rPr>
        <w:t xml:space="preserve">trial </w:t>
      </w:r>
      <w:r w:rsidR="009B3FF8">
        <w:rPr>
          <w:rFonts w:asciiTheme="minorHAnsi" w:hAnsiTheme="minorHAnsi"/>
          <w:snapToGrid w:val="0"/>
        </w:rPr>
        <w:t>outcome</w:t>
      </w:r>
      <w:r w:rsidR="005342B3">
        <w:rPr>
          <w:rFonts w:asciiTheme="minorHAnsi" w:hAnsiTheme="minorHAnsi"/>
          <w:snapToGrid w:val="0"/>
        </w:rPr>
        <w:t>s</w:t>
      </w:r>
      <w:r w:rsidR="001856AA" w:rsidRPr="001856AA">
        <w:rPr>
          <w:rFonts w:asciiTheme="minorHAnsi" w:hAnsiTheme="minorHAnsi"/>
          <w:snapToGrid w:val="0"/>
        </w:rPr>
        <w:t xml:space="preserve"> and treatment costs </w:t>
      </w:r>
      <w:r w:rsidR="00BF2A58">
        <w:rPr>
          <w:rFonts w:asciiTheme="minorHAnsi" w:hAnsiTheme="minorHAnsi"/>
          <w:snapToGrid w:val="0"/>
        </w:rPr>
        <w:t>only</w:t>
      </w:r>
      <w:r w:rsidR="001856AA" w:rsidRPr="002D3236">
        <w:rPr>
          <w:rFonts w:asciiTheme="minorHAnsi" w:hAnsiTheme="minorHAnsi"/>
          <w:snapToGrid w:val="0"/>
        </w:rPr>
        <w:t>,</w:t>
      </w:r>
      <w:r w:rsidR="001856AA" w:rsidRPr="001856AA">
        <w:rPr>
          <w:rFonts w:asciiTheme="minorHAnsi" w:hAnsiTheme="minorHAnsi"/>
          <w:snapToGrid w:val="0"/>
        </w:rPr>
        <w:t xml:space="preserve"> was estimated to be </w:t>
      </w:r>
      <w:r w:rsidR="00F458CD" w:rsidRPr="00F458CD">
        <w:rPr>
          <w:rFonts w:asciiTheme="minorHAnsi" w:hAnsiTheme="minorHAnsi"/>
          <w:snapToGrid w:val="0"/>
        </w:rPr>
        <w:t>$75,000 to &lt; $95,000</w:t>
      </w:r>
      <w:r w:rsidR="00F458CD">
        <w:rPr>
          <w:rFonts w:asciiTheme="minorHAnsi" w:hAnsiTheme="minorHAnsi"/>
          <w:snapToGrid w:val="0"/>
        </w:rPr>
        <w:t xml:space="preserve"> </w:t>
      </w:r>
      <w:r w:rsidR="00243684">
        <w:rPr>
          <w:rFonts w:asciiTheme="minorHAnsi" w:hAnsiTheme="minorHAnsi"/>
          <w:snapToGrid w:val="0"/>
        </w:rPr>
        <w:t xml:space="preserve">and the </w:t>
      </w:r>
      <w:r w:rsidR="00435BE8">
        <w:rPr>
          <w:rFonts w:asciiTheme="minorHAnsi" w:hAnsiTheme="minorHAnsi"/>
          <w:snapToGrid w:val="0"/>
        </w:rPr>
        <w:t>cost per responder</w:t>
      </w:r>
      <w:r w:rsidR="002C7DEB">
        <w:rPr>
          <w:rFonts w:asciiTheme="minorHAnsi" w:hAnsiTheme="minorHAnsi"/>
          <w:snapToGrid w:val="0"/>
        </w:rPr>
        <w:t>-</w:t>
      </w:r>
      <w:r w:rsidR="00435BE8">
        <w:rPr>
          <w:rFonts w:asciiTheme="minorHAnsi" w:hAnsiTheme="minorHAnsi"/>
          <w:snapToGrid w:val="0"/>
        </w:rPr>
        <w:t xml:space="preserve">year </w:t>
      </w:r>
      <w:r w:rsidR="00083043">
        <w:rPr>
          <w:rFonts w:asciiTheme="minorHAnsi" w:hAnsiTheme="minorHAnsi"/>
          <w:snapToGrid w:val="0"/>
        </w:rPr>
        <w:t xml:space="preserve">(all costs included) </w:t>
      </w:r>
      <w:r w:rsidR="00435BE8">
        <w:rPr>
          <w:rFonts w:asciiTheme="minorHAnsi" w:hAnsiTheme="minorHAnsi"/>
          <w:snapToGrid w:val="0"/>
        </w:rPr>
        <w:t xml:space="preserve">was estimated to be </w:t>
      </w:r>
      <w:r w:rsidR="00AF3D19" w:rsidRPr="00AF3D19">
        <w:t>$95,000 to &lt; $115,000</w:t>
      </w:r>
      <w:r w:rsidR="002D3236" w:rsidRPr="002D3236">
        <w:rPr>
          <w:rFonts w:asciiTheme="minorHAnsi" w:hAnsiTheme="minorHAnsi"/>
          <w:snapToGrid w:val="0"/>
        </w:rPr>
        <w:t>.</w:t>
      </w:r>
      <w:r w:rsidR="002A2CB5">
        <w:rPr>
          <w:rFonts w:asciiTheme="minorHAnsi" w:hAnsiTheme="minorHAnsi"/>
          <w:snapToGrid w:val="0"/>
        </w:rPr>
        <w:t xml:space="preserve"> The cost per flare avoided</w:t>
      </w:r>
      <w:r w:rsidR="00B41C89">
        <w:rPr>
          <w:rFonts w:asciiTheme="minorHAnsi" w:hAnsiTheme="minorHAnsi"/>
          <w:snapToGrid w:val="0"/>
        </w:rPr>
        <w:t xml:space="preserve"> was estimated to be </w:t>
      </w:r>
      <w:r w:rsidR="00BA22AB" w:rsidRPr="00BA22AB">
        <w:t>$0 to &lt; $5,000</w:t>
      </w:r>
      <w:r w:rsidR="00B41C89" w:rsidRPr="00100095">
        <w:t xml:space="preserve"> </w:t>
      </w:r>
      <w:r w:rsidR="00B41C89">
        <w:t xml:space="preserve">over a </w:t>
      </w:r>
      <w:proofErr w:type="gramStart"/>
      <w:r w:rsidR="00B41C89">
        <w:t>1 year</w:t>
      </w:r>
      <w:proofErr w:type="gramEnd"/>
      <w:r w:rsidR="00B41C89">
        <w:t xml:space="preserve"> time horizon.</w:t>
      </w:r>
      <w:r w:rsidR="002D3236">
        <w:rPr>
          <w:rFonts w:asciiTheme="minorHAnsi" w:hAnsiTheme="minorHAnsi"/>
          <w:snapToGrid w:val="0"/>
        </w:rPr>
        <w:t xml:space="preserve"> </w:t>
      </w:r>
    </w:p>
    <w:p w14:paraId="7498C7F0" w14:textId="696E22F5" w:rsidR="007D2897" w:rsidRPr="007D2897" w:rsidRDefault="0018050A" w:rsidP="004B083B">
      <w:pPr>
        <w:numPr>
          <w:ilvl w:val="1"/>
          <w:numId w:val="1"/>
        </w:numPr>
        <w:spacing w:after="120"/>
        <w:rPr>
          <w:rFonts w:asciiTheme="minorHAnsi" w:hAnsiTheme="minorHAnsi"/>
          <w:snapToGrid w:val="0"/>
          <w:lang w:val="en-GB" w:eastAsia="en-US"/>
        </w:rPr>
      </w:pPr>
      <w:bookmarkStart w:id="76" w:name="_Ref225253359"/>
      <w:r>
        <w:t xml:space="preserve">The PBAC reflected on previous determinations made for other rare diseases where no effective alternative therapies were available. </w:t>
      </w:r>
      <w:r w:rsidRPr="00E824B6">
        <w:rPr>
          <w:color w:val="000000" w:themeColor="text1"/>
        </w:rPr>
        <w:t xml:space="preserve">The PBAC compared the available evidence, nature of the benefits, ICERs, numbers of patients expected to be treated, and the cost per patient per year for </w:t>
      </w:r>
      <w:r>
        <w:rPr>
          <w:color w:val="000000" w:themeColor="text1"/>
        </w:rPr>
        <w:t>canakinumab</w:t>
      </w:r>
      <w:r w:rsidRPr="00E824B6">
        <w:rPr>
          <w:color w:val="000000" w:themeColor="text1"/>
        </w:rPr>
        <w:t xml:space="preserve"> at the proposed price, with other high</w:t>
      </w:r>
      <w:r w:rsidRPr="00E824B6">
        <w:rPr>
          <w:color w:val="000000" w:themeColor="text1"/>
        </w:rPr>
        <w:softHyphen/>
      </w:r>
      <w:r w:rsidRPr="00E824B6">
        <w:rPr>
          <w:color w:val="000000" w:themeColor="text1"/>
        </w:rPr>
        <w:softHyphen/>
        <w:t xml:space="preserve">-cost treatments </w:t>
      </w:r>
      <w:r>
        <w:t xml:space="preserve">for rare diseases funded on the PBS. </w:t>
      </w:r>
      <w:r w:rsidRPr="00E824B6">
        <w:rPr>
          <w:rFonts w:asciiTheme="minorHAnsi" w:hAnsiTheme="minorHAnsi"/>
          <w:snapToGrid w:val="0"/>
          <w:lang w:val="en-GB"/>
        </w:rPr>
        <w:t>The PBAC considered that i</w:t>
      </w:r>
      <w:r w:rsidRPr="00E824B6">
        <w:rPr>
          <w:snapToGrid w:val="0"/>
          <w:lang w:val="en-GB"/>
        </w:rPr>
        <w:t xml:space="preserve">n the context of this rare and life-limiting disease, </w:t>
      </w:r>
      <w:r w:rsidR="009E7817">
        <w:rPr>
          <w:snapToGrid w:val="0"/>
          <w:lang w:val="en-GB"/>
        </w:rPr>
        <w:t xml:space="preserve">and with </w:t>
      </w:r>
      <w:r w:rsidR="00C63DD9">
        <w:rPr>
          <w:snapToGrid w:val="0"/>
          <w:lang w:val="en-GB"/>
        </w:rPr>
        <w:t xml:space="preserve">consideration of the potential impacts on </w:t>
      </w:r>
      <w:r w:rsidR="00644004">
        <w:rPr>
          <w:snapToGrid w:val="0"/>
          <w:lang w:val="en-GB"/>
        </w:rPr>
        <w:t xml:space="preserve">quality of life and </w:t>
      </w:r>
      <w:r w:rsidR="00647793">
        <w:rPr>
          <w:snapToGrid w:val="0"/>
          <w:lang w:val="en-GB"/>
        </w:rPr>
        <w:t xml:space="preserve">the expected </w:t>
      </w:r>
      <w:r w:rsidR="00644004">
        <w:rPr>
          <w:snapToGrid w:val="0"/>
          <w:lang w:val="en-GB"/>
        </w:rPr>
        <w:t>longer</w:t>
      </w:r>
      <w:r w:rsidR="00647793">
        <w:rPr>
          <w:snapToGrid w:val="0"/>
          <w:lang w:val="en-GB"/>
        </w:rPr>
        <w:t>-</w:t>
      </w:r>
      <w:r w:rsidR="00644004">
        <w:rPr>
          <w:snapToGrid w:val="0"/>
          <w:lang w:val="en-GB"/>
        </w:rPr>
        <w:t xml:space="preserve">term </w:t>
      </w:r>
      <w:r w:rsidR="006C3DF5">
        <w:rPr>
          <w:snapToGrid w:val="0"/>
          <w:lang w:val="en-GB"/>
        </w:rPr>
        <w:t xml:space="preserve">reduction in kidney failure, </w:t>
      </w:r>
      <w:r w:rsidR="00AC380D">
        <w:rPr>
          <w:snapToGrid w:val="0"/>
          <w:lang w:val="en-GB"/>
        </w:rPr>
        <w:t xml:space="preserve">the cost per responder for </w:t>
      </w:r>
      <w:r>
        <w:rPr>
          <w:snapToGrid w:val="0"/>
          <w:lang w:val="en-GB"/>
        </w:rPr>
        <w:t>canakinumab</w:t>
      </w:r>
      <w:r w:rsidRPr="00E824B6">
        <w:rPr>
          <w:snapToGrid w:val="0"/>
          <w:lang w:val="en-GB"/>
        </w:rPr>
        <w:t xml:space="preserve"> would be considered </w:t>
      </w:r>
      <w:r w:rsidR="002E747B">
        <w:rPr>
          <w:snapToGrid w:val="0"/>
          <w:lang w:val="en-GB"/>
        </w:rPr>
        <w:t>acceptable</w:t>
      </w:r>
      <w:r w:rsidRPr="00E824B6">
        <w:rPr>
          <w:snapToGrid w:val="0"/>
          <w:lang w:val="en-GB"/>
        </w:rPr>
        <w:t xml:space="preserve"> </w:t>
      </w:r>
      <w:r w:rsidR="00F411E9">
        <w:rPr>
          <w:snapToGrid w:val="0"/>
          <w:lang w:val="en-GB"/>
        </w:rPr>
        <w:t>with a</w:t>
      </w:r>
      <w:r w:rsidR="00302DA8">
        <w:rPr>
          <w:snapToGrid w:val="0"/>
          <w:lang w:val="en-GB"/>
        </w:rPr>
        <w:t>n annual</w:t>
      </w:r>
      <w:r w:rsidRPr="00E824B6">
        <w:rPr>
          <w:snapToGrid w:val="0"/>
          <w:lang w:val="en-GB"/>
        </w:rPr>
        <w:t xml:space="preserve"> </w:t>
      </w:r>
      <w:r w:rsidR="000B1C10">
        <w:rPr>
          <w:snapToGrid w:val="0"/>
          <w:lang w:val="en-GB"/>
        </w:rPr>
        <w:t xml:space="preserve">treatment </w:t>
      </w:r>
      <w:r w:rsidRPr="00E824B6">
        <w:rPr>
          <w:snapToGrid w:val="0"/>
          <w:lang w:val="en-GB"/>
        </w:rPr>
        <w:t xml:space="preserve">cost </w:t>
      </w:r>
      <w:r w:rsidR="009C66D0">
        <w:rPr>
          <w:rFonts w:asciiTheme="minorHAnsi" w:hAnsiTheme="minorHAnsi"/>
          <w:snapToGrid w:val="0"/>
          <w:lang w:val="en-GB" w:eastAsia="en-US"/>
        </w:rPr>
        <w:t>of $</w:t>
      </w:r>
      <w:r w:rsidR="00B90395" w:rsidRPr="00B90395">
        <w:rPr>
          <w:rFonts w:asciiTheme="minorHAnsi" w:hAnsiTheme="minorHAnsi"/>
          <w:snapToGrid w:val="0"/>
          <w:sz w:val="2"/>
          <w:highlight w:val="black"/>
          <w:lang w:val="en-GB" w:eastAsia="en-US"/>
        </w:rPr>
        <w:t>redacted content</w:t>
      </w:r>
      <w:r w:rsidR="0047659F" w:rsidRPr="0047659F">
        <w:rPr>
          <w:snapToGrid w:val="0"/>
          <w:lang w:val="en-GB"/>
        </w:rPr>
        <w:t xml:space="preserve"> </w:t>
      </w:r>
      <w:r w:rsidR="007638B1">
        <w:rPr>
          <w:snapToGrid w:val="0"/>
          <w:lang w:val="en-GB"/>
        </w:rPr>
        <w:t>for the first year of treatment</w:t>
      </w:r>
      <w:r w:rsidR="00A75019">
        <w:rPr>
          <w:snapToGrid w:val="0"/>
          <w:lang w:val="en-GB"/>
        </w:rPr>
        <w:t xml:space="preserve">, noting that costs may be lower in subsequent years </w:t>
      </w:r>
      <w:r w:rsidR="00010BB5">
        <w:rPr>
          <w:snapToGrid w:val="0"/>
          <w:lang w:val="en-GB"/>
        </w:rPr>
        <w:t>due to reducing dosing and discontinuation</w:t>
      </w:r>
      <w:r w:rsidRPr="00E824B6">
        <w:rPr>
          <w:snapToGrid w:val="0"/>
          <w:lang w:val="en-GB"/>
        </w:rPr>
        <w:t xml:space="preserve">. </w:t>
      </w:r>
      <w:r w:rsidR="00AB227F">
        <w:rPr>
          <w:snapToGrid w:val="0"/>
          <w:lang w:val="en-GB"/>
        </w:rPr>
        <w:t xml:space="preserve">In providing this advice the PBAC also noted that </w:t>
      </w:r>
      <w:r w:rsidR="000A4B28">
        <w:rPr>
          <w:snapToGrid w:val="0"/>
          <w:lang w:val="en-GB"/>
        </w:rPr>
        <w:t xml:space="preserve">the magnitude of benefit for </w:t>
      </w:r>
      <w:r w:rsidR="006C7ABA">
        <w:rPr>
          <w:snapToGrid w:val="0"/>
          <w:lang w:val="en-GB"/>
        </w:rPr>
        <w:t xml:space="preserve">canakinumab may be somewhat less in patients initiating treatment in adulthood compared with </w:t>
      </w:r>
      <w:r w:rsidR="000A4B28">
        <w:rPr>
          <w:snapToGrid w:val="0"/>
          <w:lang w:val="en-GB"/>
        </w:rPr>
        <w:t xml:space="preserve">paediatric patients, and </w:t>
      </w:r>
      <w:r w:rsidR="00361780">
        <w:rPr>
          <w:snapToGrid w:val="0"/>
          <w:lang w:val="en-GB"/>
        </w:rPr>
        <w:t xml:space="preserve">that the </w:t>
      </w:r>
      <w:r w:rsidR="004E108B">
        <w:rPr>
          <w:snapToGrid w:val="0"/>
          <w:lang w:val="en-GB"/>
        </w:rPr>
        <w:t xml:space="preserve">approach to </w:t>
      </w:r>
      <w:r w:rsidR="00361780">
        <w:rPr>
          <w:snapToGrid w:val="0"/>
          <w:lang w:val="en-GB"/>
        </w:rPr>
        <w:t xml:space="preserve">dosing used in Australian clinical practice </w:t>
      </w:r>
      <w:r w:rsidR="004E108B">
        <w:rPr>
          <w:snapToGrid w:val="0"/>
          <w:lang w:val="en-GB"/>
        </w:rPr>
        <w:t xml:space="preserve">is uncertain. The PBAC considered that </w:t>
      </w:r>
      <w:r w:rsidR="00FA17C0">
        <w:rPr>
          <w:snapToGrid w:val="0"/>
          <w:lang w:val="en-GB"/>
        </w:rPr>
        <w:t xml:space="preserve">calculation of </w:t>
      </w:r>
      <w:r w:rsidR="00800739">
        <w:rPr>
          <w:snapToGrid w:val="0"/>
          <w:lang w:val="en-GB"/>
        </w:rPr>
        <w:t xml:space="preserve">the </w:t>
      </w:r>
      <w:r w:rsidR="00F21329">
        <w:rPr>
          <w:snapToGrid w:val="0"/>
          <w:lang w:val="en-GB"/>
        </w:rPr>
        <w:t xml:space="preserve">annual treatment </w:t>
      </w:r>
      <w:r w:rsidR="00FA17C0">
        <w:rPr>
          <w:snapToGrid w:val="0"/>
          <w:lang w:val="en-GB"/>
        </w:rPr>
        <w:t>cost p</w:t>
      </w:r>
      <w:r w:rsidR="00455253">
        <w:rPr>
          <w:snapToGrid w:val="0"/>
          <w:lang w:val="en-GB"/>
        </w:rPr>
        <w:t xml:space="preserve">er patient </w:t>
      </w:r>
      <w:r w:rsidR="00281401">
        <w:rPr>
          <w:snapToGrid w:val="0"/>
          <w:lang w:val="en-GB"/>
        </w:rPr>
        <w:t>should</w:t>
      </w:r>
      <w:r w:rsidR="004E108B">
        <w:rPr>
          <w:snapToGrid w:val="0"/>
          <w:lang w:val="en-GB"/>
        </w:rPr>
        <w:t xml:space="preserve"> assume </w:t>
      </w:r>
      <w:r w:rsidR="00FA17C0">
        <w:rPr>
          <w:snapToGrid w:val="0"/>
          <w:lang w:val="en-GB"/>
        </w:rPr>
        <w:t>d</w:t>
      </w:r>
      <w:r w:rsidR="004C63FC">
        <w:rPr>
          <w:snapToGrid w:val="0"/>
          <w:lang w:val="en-GB"/>
        </w:rPr>
        <w:t xml:space="preserve">osing as per the end of </w:t>
      </w:r>
      <w:r w:rsidR="00EC1DEF">
        <w:rPr>
          <w:snapToGrid w:val="0"/>
          <w:lang w:val="en-GB"/>
        </w:rPr>
        <w:t>Stage</w:t>
      </w:r>
      <w:r w:rsidR="004C63FC">
        <w:rPr>
          <w:snapToGrid w:val="0"/>
          <w:lang w:val="en-GB"/>
        </w:rPr>
        <w:t xml:space="preserve"> 3 of the CLUSTER trial, </w:t>
      </w:r>
      <w:r w:rsidR="00112AE2">
        <w:rPr>
          <w:snapToGrid w:val="0"/>
          <w:lang w:val="en-GB"/>
        </w:rPr>
        <w:t>to reflect the propo</w:t>
      </w:r>
      <w:r w:rsidR="00BF2525">
        <w:rPr>
          <w:snapToGrid w:val="0"/>
          <w:lang w:val="en-GB"/>
        </w:rPr>
        <w:t>rtion with increased dosing due to flares and dose reductions in patients with ongoing response to treatment</w:t>
      </w:r>
      <w:r w:rsidR="00F32CDD">
        <w:rPr>
          <w:snapToGrid w:val="0"/>
          <w:lang w:val="en-GB"/>
        </w:rPr>
        <w:t xml:space="preserve"> (see </w:t>
      </w:r>
      <w:r w:rsidR="003C645A">
        <w:rPr>
          <w:snapToGrid w:val="0"/>
          <w:lang w:val="en-GB"/>
        </w:rPr>
        <w:fldChar w:fldCharType="begin"/>
      </w:r>
      <w:r w:rsidR="003C645A">
        <w:rPr>
          <w:snapToGrid w:val="0"/>
          <w:lang w:val="en-GB"/>
        </w:rPr>
        <w:instrText xml:space="preserve"> REF _Ref225585166 \h </w:instrText>
      </w:r>
      <w:r w:rsidR="003C645A">
        <w:rPr>
          <w:snapToGrid w:val="0"/>
          <w:lang w:val="en-GB"/>
        </w:rPr>
      </w:r>
      <w:r w:rsidR="003C645A">
        <w:rPr>
          <w:snapToGrid w:val="0"/>
          <w:lang w:val="en-GB"/>
        </w:rPr>
        <w:fldChar w:fldCharType="separate"/>
      </w:r>
      <w:r w:rsidR="00815AB6" w:rsidRPr="00597AA3">
        <w:t xml:space="preserve">Table </w:t>
      </w:r>
      <w:r w:rsidR="00815AB6">
        <w:rPr>
          <w:noProof/>
        </w:rPr>
        <w:t>11</w:t>
      </w:r>
      <w:r w:rsidR="003C645A">
        <w:rPr>
          <w:snapToGrid w:val="0"/>
          <w:lang w:val="en-GB"/>
        </w:rPr>
        <w:fldChar w:fldCharType="end"/>
      </w:r>
      <w:r w:rsidR="003C645A">
        <w:rPr>
          <w:snapToGrid w:val="0"/>
          <w:lang w:val="en-GB"/>
        </w:rPr>
        <w:t>)</w:t>
      </w:r>
      <w:r w:rsidR="00BF2525">
        <w:rPr>
          <w:snapToGrid w:val="0"/>
          <w:lang w:val="en-GB"/>
        </w:rPr>
        <w:t>.</w:t>
      </w:r>
      <w:bookmarkEnd w:id="76"/>
      <w:r w:rsidR="00BF2525">
        <w:rPr>
          <w:snapToGrid w:val="0"/>
          <w:lang w:val="en-GB"/>
        </w:rPr>
        <w:t xml:space="preserve"> </w:t>
      </w:r>
    </w:p>
    <w:p w14:paraId="484D1A79" w14:textId="4BF32A3B" w:rsidR="00E55834" w:rsidRPr="00266C9F" w:rsidRDefault="00C86F6E" w:rsidP="004B083B">
      <w:pPr>
        <w:pStyle w:val="COMESnumberedpara"/>
        <w:spacing w:before="160"/>
        <w:rPr>
          <w:lang w:eastAsia="en-US"/>
        </w:rPr>
      </w:pPr>
      <w:r w:rsidRPr="69DAC9D0">
        <w:t xml:space="preserve">The PBAC noted that the submission used an epidemiological approach to estimate the utilisation and financial impact of listing canakinumab for the treatment of paediatric patients with FMF who are intolerant or resistant to colchicine. The PBAC noted that </w:t>
      </w:r>
      <w:r w:rsidR="006C24DF" w:rsidRPr="69DAC9D0">
        <w:t xml:space="preserve">the prevalence </w:t>
      </w:r>
      <w:r w:rsidR="0039102F" w:rsidRPr="69DAC9D0">
        <w:t>of FMF</w:t>
      </w:r>
      <w:r w:rsidR="00D77E96" w:rsidRPr="69DAC9D0">
        <w:t xml:space="preserve"> </w:t>
      </w:r>
      <w:r w:rsidR="00A3043F" w:rsidRPr="69DAC9D0">
        <w:t xml:space="preserve">in Australia </w:t>
      </w:r>
      <w:r w:rsidR="00D77E96" w:rsidRPr="69DAC9D0">
        <w:t>and</w:t>
      </w:r>
      <w:r w:rsidR="002639A3" w:rsidRPr="69DAC9D0">
        <w:t xml:space="preserve"> the proportion </w:t>
      </w:r>
      <w:r w:rsidR="006463FD" w:rsidRPr="69DAC9D0">
        <w:t xml:space="preserve">of patients </w:t>
      </w:r>
      <w:r w:rsidR="005211A1" w:rsidRPr="69DAC9D0">
        <w:t>resistant or intolerant to co</w:t>
      </w:r>
      <w:r w:rsidR="009B7B1C" w:rsidRPr="69DAC9D0">
        <w:t>l</w:t>
      </w:r>
      <w:r w:rsidR="005211A1" w:rsidRPr="69DAC9D0">
        <w:t>chicine is uncertain</w:t>
      </w:r>
      <w:r w:rsidR="00A3043F" w:rsidRPr="69DAC9D0">
        <w:t>,</w:t>
      </w:r>
      <w:r w:rsidR="00D77E96" w:rsidRPr="69DAC9D0">
        <w:t xml:space="preserve"> </w:t>
      </w:r>
      <w:r w:rsidR="0039102F" w:rsidRPr="69DAC9D0">
        <w:t xml:space="preserve">with limited </w:t>
      </w:r>
      <w:r w:rsidR="00266C9F" w:rsidRPr="69DAC9D0">
        <w:t xml:space="preserve">Australian data available. </w:t>
      </w:r>
      <w:r w:rsidR="008D0F27" w:rsidRPr="00266C9F">
        <w:rPr>
          <w:snapToGrid w:val="0"/>
          <w:lang w:val="en-GB" w:eastAsia="en-US"/>
        </w:rPr>
        <w:t xml:space="preserve">The </w:t>
      </w:r>
      <w:r w:rsidR="00CF2505">
        <w:rPr>
          <w:snapToGrid w:val="0"/>
          <w:lang w:val="en-GB" w:eastAsia="en-US"/>
        </w:rPr>
        <w:t>PBAC</w:t>
      </w:r>
      <w:r w:rsidR="00CF2505" w:rsidRPr="00266C9F">
        <w:rPr>
          <w:snapToGrid w:val="0"/>
          <w:lang w:val="en-GB" w:eastAsia="en-US"/>
        </w:rPr>
        <w:t xml:space="preserve"> </w:t>
      </w:r>
      <w:r w:rsidR="008A3304" w:rsidRPr="00266C9F">
        <w:rPr>
          <w:snapToGrid w:val="0"/>
          <w:lang w:val="en-GB" w:eastAsia="en-US"/>
        </w:rPr>
        <w:t>consider</w:t>
      </w:r>
      <w:r w:rsidR="00390BDA" w:rsidRPr="00266C9F">
        <w:rPr>
          <w:snapToGrid w:val="0"/>
          <w:lang w:val="en-GB" w:eastAsia="en-US"/>
        </w:rPr>
        <w:t>ed th</w:t>
      </w:r>
      <w:r w:rsidR="00CF0DDF" w:rsidRPr="00266C9F">
        <w:rPr>
          <w:snapToGrid w:val="0"/>
          <w:lang w:val="en-GB" w:eastAsia="en-US"/>
        </w:rPr>
        <w:t>at</w:t>
      </w:r>
      <w:r w:rsidR="00266C9F">
        <w:rPr>
          <w:snapToGrid w:val="0"/>
          <w:lang w:val="en-GB" w:eastAsia="en-US"/>
        </w:rPr>
        <w:t xml:space="preserve">, given its recommendation to include </w:t>
      </w:r>
      <w:r w:rsidR="0041518E">
        <w:rPr>
          <w:snapToGrid w:val="0"/>
          <w:lang w:val="en-GB" w:eastAsia="en-US"/>
        </w:rPr>
        <w:t xml:space="preserve">treatment of adult patients, </w:t>
      </w:r>
      <w:r w:rsidR="00CF0DDF" w:rsidRPr="00266C9F">
        <w:rPr>
          <w:snapToGrid w:val="0"/>
          <w:lang w:val="en-GB" w:eastAsia="en-US"/>
        </w:rPr>
        <w:t>th</w:t>
      </w:r>
      <w:r w:rsidR="00390BDA" w:rsidRPr="00266C9F">
        <w:rPr>
          <w:snapToGrid w:val="0"/>
          <w:lang w:val="en-GB" w:eastAsia="en-US"/>
        </w:rPr>
        <w:t>e estimates should</w:t>
      </w:r>
      <w:r w:rsidR="008D0F27" w:rsidRPr="00266C9F">
        <w:rPr>
          <w:snapToGrid w:val="0"/>
          <w:lang w:val="en-GB" w:eastAsia="en-US"/>
        </w:rPr>
        <w:t xml:space="preserve"> account for </w:t>
      </w:r>
      <w:r w:rsidR="00411DB1" w:rsidRPr="00266C9F">
        <w:rPr>
          <w:snapToGrid w:val="0"/>
          <w:lang w:val="en-GB" w:eastAsia="en-US"/>
        </w:rPr>
        <w:t>use</w:t>
      </w:r>
      <w:r w:rsidR="00295881" w:rsidRPr="00266C9F">
        <w:rPr>
          <w:snapToGrid w:val="0"/>
          <w:lang w:val="en-GB" w:eastAsia="en-US"/>
        </w:rPr>
        <w:t xml:space="preserve"> in </w:t>
      </w:r>
      <w:r w:rsidR="00CF2505">
        <w:rPr>
          <w:snapToGrid w:val="0"/>
          <w:lang w:val="en-GB" w:eastAsia="en-US"/>
        </w:rPr>
        <w:t xml:space="preserve">prevalent </w:t>
      </w:r>
      <w:r w:rsidR="00295881" w:rsidRPr="00266C9F">
        <w:rPr>
          <w:snapToGrid w:val="0"/>
          <w:lang w:val="en-GB" w:eastAsia="en-US"/>
        </w:rPr>
        <w:t xml:space="preserve">adult </w:t>
      </w:r>
      <w:proofErr w:type="spellStart"/>
      <w:r w:rsidR="00164D8D">
        <w:rPr>
          <w:snapToGrid w:val="0"/>
          <w:lang w:val="en-GB" w:eastAsia="en-US"/>
        </w:rPr>
        <w:t>crFMF</w:t>
      </w:r>
      <w:proofErr w:type="spellEnd"/>
      <w:r w:rsidR="00164D8D" w:rsidRPr="00266C9F">
        <w:rPr>
          <w:snapToGrid w:val="0"/>
          <w:lang w:val="en-GB" w:eastAsia="en-US"/>
        </w:rPr>
        <w:t xml:space="preserve"> </w:t>
      </w:r>
      <w:r w:rsidR="00A071B5" w:rsidRPr="00266C9F">
        <w:rPr>
          <w:snapToGrid w:val="0"/>
          <w:lang w:val="en-GB" w:eastAsia="en-US"/>
        </w:rPr>
        <w:t>patients</w:t>
      </w:r>
      <w:r w:rsidR="00CF2505">
        <w:rPr>
          <w:snapToGrid w:val="0"/>
          <w:lang w:val="en-GB" w:eastAsia="en-US"/>
        </w:rPr>
        <w:t xml:space="preserve">. The </w:t>
      </w:r>
      <w:r w:rsidR="00CF2505">
        <w:rPr>
          <w:snapToGrid w:val="0"/>
          <w:lang w:val="en-GB" w:eastAsia="en-US"/>
        </w:rPr>
        <w:lastRenderedPageBreak/>
        <w:t>Committee considered</w:t>
      </w:r>
      <w:r w:rsidR="008A3304" w:rsidRPr="00266C9F">
        <w:rPr>
          <w:snapToGrid w:val="0"/>
          <w:lang w:val="en-GB" w:eastAsia="en-US"/>
        </w:rPr>
        <w:t xml:space="preserve"> that </w:t>
      </w:r>
      <w:r w:rsidR="00DD509C" w:rsidRPr="00266C9F">
        <w:rPr>
          <w:snapToGrid w:val="0"/>
          <w:lang w:val="en-GB" w:eastAsia="en-US"/>
        </w:rPr>
        <w:t xml:space="preserve">it would be reasonable to </w:t>
      </w:r>
      <w:r w:rsidR="00C2721B" w:rsidRPr="00266C9F">
        <w:rPr>
          <w:snapToGrid w:val="0"/>
          <w:lang w:val="en-GB" w:eastAsia="en-US"/>
        </w:rPr>
        <w:t xml:space="preserve">use the proportion of paediatric/adult patients in the CLUSTER trial </w:t>
      </w:r>
      <w:r w:rsidR="006228E0">
        <w:rPr>
          <w:snapToGrid w:val="0"/>
          <w:lang w:val="en-GB" w:eastAsia="en-US"/>
        </w:rPr>
        <w:t>(</w:t>
      </w:r>
      <w:r w:rsidR="00EC3603">
        <w:rPr>
          <w:snapToGrid w:val="0"/>
          <w:lang w:val="en-GB" w:eastAsia="en-US"/>
        </w:rPr>
        <w:t xml:space="preserve">46.1% </w:t>
      </w:r>
      <w:r w:rsidR="00F500D4">
        <w:rPr>
          <w:snapToGrid w:val="0"/>
          <w:lang w:val="en-GB" w:eastAsia="en-US"/>
        </w:rPr>
        <w:t xml:space="preserve">paediatric patients) </w:t>
      </w:r>
      <w:r w:rsidR="00C2721B" w:rsidRPr="00266C9F">
        <w:rPr>
          <w:snapToGrid w:val="0"/>
          <w:lang w:val="en-GB" w:eastAsia="en-US"/>
        </w:rPr>
        <w:t xml:space="preserve">as a proxy </w:t>
      </w:r>
      <w:r w:rsidR="00870A61" w:rsidRPr="00266C9F">
        <w:rPr>
          <w:snapToGrid w:val="0"/>
          <w:lang w:val="en-GB" w:eastAsia="en-US"/>
        </w:rPr>
        <w:t xml:space="preserve">to </w:t>
      </w:r>
      <w:r w:rsidR="00DC063B" w:rsidRPr="00266C9F">
        <w:rPr>
          <w:snapToGrid w:val="0"/>
          <w:lang w:val="en-GB" w:eastAsia="en-US"/>
        </w:rPr>
        <w:t>adjust the estimates</w:t>
      </w:r>
      <w:r w:rsidR="003F0507" w:rsidRPr="00266C9F">
        <w:rPr>
          <w:snapToGrid w:val="0"/>
          <w:lang w:val="en-GB" w:eastAsia="en-US"/>
        </w:rPr>
        <w:t xml:space="preserve"> of </w:t>
      </w:r>
      <w:r w:rsidR="00CF2505">
        <w:rPr>
          <w:snapToGrid w:val="0"/>
          <w:lang w:val="en-GB" w:eastAsia="en-US"/>
        </w:rPr>
        <w:t>adult</w:t>
      </w:r>
      <w:r w:rsidR="003F0507" w:rsidRPr="00266C9F">
        <w:rPr>
          <w:snapToGrid w:val="0"/>
          <w:lang w:val="en-GB" w:eastAsia="en-US"/>
        </w:rPr>
        <w:t xml:space="preserve"> patients</w:t>
      </w:r>
      <w:r w:rsidR="00C2721B" w:rsidRPr="00266C9F">
        <w:rPr>
          <w:snapToGrid w:val="0"/>
          <w:lang w:val="en-GB" w:eastAsia="en-US"/>
        </w:rPr>
        <w:t>.</w:t>
      </w:r>
      <w:r w:rsidR="00E55834" w:rsidRPr="69DAC9D0">
        <w:rPr>
          <w:lang w:eastAsia="en-US"/>
        </w:rPr>
        <w:t xml:space="preserve"> </w:t>
      </w:r>
      <w:r w:rsidR="00CF2505" w:rsidRPr="69DAC9D0">
        <w:rPr>
          <w:lang w:eastAsia="en-US"/>
        </w:rPr>
        <w:t>The PBAC noted that</w:t>
      </w:r>
      <w:r w:rsidR="000A31AD" w:rsidRPr="69DAC9D0">
        <w:rPr>
          <w:lang w:eastAsia="en-US"/>
        </w:rPr>
        <w:t>,</w:t>
      </w:r>
      <w:r w:rsidR="00CF2505" w:rsidRPr="69DAC9D0">
        <w:rPr>
          <w:lang w:eastAsia="en-US"/>
        </w:rPr>
        <w:t xml:space="preserve"> to avoid double-counting</w:t>
      </w:r>
      <w:r w:rsidR="000A31AD" w:rsidRPr="69DAC9D0">
        <w:rPr>
          <w:lang w:eastAsia="en-US"/>
        </w:rPr>
        <w:t>,</w:t>
      </w:r>
      <w:r w:rsidR="00FE30D5" w:rsidRPr="69DAC9D0">
        <w:rPr>
          <w:lang w:eastAsia="en-US"/>
        </w:rPr>
        <w:t xml:space="preserve"> </w:t>
      </w:r>
      <w:r w:rsidR="00CF2505" w:rsidRPr="69DAC9D0">
        <w:rPr>
          <w:lang w:eastAsia="en-US"/>
        </w:rPr>
        <w:t xml:space="preserve">grandfathered patients should not be included in addition to these adjustments. </w:t>
      </w:r>
      <w:r w:rsidR="00AD7F60" w:rsidRPr="69DAC9D0">
        <w:rPr>
          <w:lang w:eastAsia="en-US"/>
        </w:rPr>
        <w:t xml:space="preserve">The PBAC considered that as </w:t>
      </w:r>
      <w:r w:rsidR="00AD7F60" w:rsidRPr="00AF3203">
        <w:rPr>
          <w:lang w:eastAsia="en-US"/>
        </w:rPr>
        <w:t>adults may have more mild disease than children</w:t>
      </w:r>
      <w:r w:rsidR="1957C1FE" w:rsidRPr="00AF3203">
        <w:rPr>
          <w:lang w:eastAsia="en-US"/>
        </w:rPr>
        <w:t>,</w:t>
      </w:r>
      <w:r w:rsidR="00AD7F60" w:rsidRPr="00AF3203">
        <w:rPr>
          <w:lang w:eastAsia="en-US"/>
        </w:rPr>
        <w:t xml:space="preserve"> uptake may be lower </w:t>
      </w:r>
      <w:r w:rsidR="00EA6C49" w:rsidRPr="00AF3203">
        <w:rPr>
          <w:lang w:eastAsia="en-US"/>
        </w:rPr>
        <w:t xml:space="preserve">and should be </w:t>
      </w:r>
      <w:r w:rsidR="003D71EE" w:rsidRPr="00AF3203">
        <w:rPr>
          <w:lang w:eastAsia="en-US"/>
        </w:rPr>
        <w:t xml:space="preserve">reduced from </w:t>
      </w:r>
      <w:r w:rsidR="00B90395" w:rsidRPr="00B90395">
        <w:rPr>
          <w:sz w:val="2"/>
          <w:highlight w:val="black"/>
          <w:lang w:eastAsia="en-US"/>
        </w:rPr>
        <w:t>redacted content</w:t>
      </w:r>
      <w:r w:rsidR="003D71EE" w:rsidRPr="00AF3203">
        <w:rPr>
          <w:lang w:eastAsia="en-US"/>
        </w:rPr>
        <w:t>% in children t</w:t>
      </w:r>
      <w:r w:rsidR="00AD7F60" w:rsidRPr="00AF3203">
        <w:rPr>
          <w:lang w:eastAsia="en-US"/>
        </w:rPr>
        <w:t xml:space="preserve">o </w:t>
      </w:r>
      <w:r w:rsidR="00B90395" w:rsidRPr="00B90395">
        <w:rPr>
          <w:sz w:val="2"/>
          <w:highlight w:val="black"/>
          <w:lang w:eastAsia="en-US"/>
        </w:rPr>
        <w:t>redacted content</w:t>
      </w:r>
      <w:r w:rsidR="00AD7F60" w:rsidRPr="00AF3203">
        <w:rPr>
          <w:lang w:eastAsia="en-US"/>
        </w:rPr>
        <w:t>%</w:t>
      </w:r>
      <w:r w:rsidR="003D71EE" w:rsidRPr="00AF3203">
        <w:rPr>
          <w:lang w:eastAsia="en-US"/>
        </w:rPr>
        <w:t xml:space="preserve"> for adults</w:t>
      </w:r>
      <w:r w:rsidR="00AD7F60" w:rsidRPr="00AF3203">
        <w:rPr>
          <w:lang w:eastAsia="en-US"/>
        </w:rPr>
        <w:t xml:space="preserve">. </w:t>
      </w:r>
      <w:r w:rsidR="00D46555" w:rsidRPr="00AF3203">
        <w:rPr>
          <w:lang w:eastAsia="en-US"/>
        </w:rPr>
        <w:t xml:space="preserve">The PBAC considered that </w:t>
      </w:r>
      <w:r w:rsidR="00FE30D5" w:rsidRPr="00AF3203">
        <w:rPr>
          <w:lang w:eastAsia="en-US"/>
        </w:rPr>
        <w:t>exclusion of</w:t>
      </w:r>
      <w:r w:rsidR="00B90AD0" w:rsidRPr="00AF3203">
        <w:rPr>
          <w:lang w:eastAsia="en-US"/>
        </w:rPr>
        <w:t xml:space="preserve"> the 300 mg maintenance dose was not</w:t>
      </w:r>
      <w:r w:rsidR="00B90AD0" w:rsidRPr="69DAC9D0">
        <w:rPr>
          <w:lang w:eastAsia="en-US"/>
        </w:rPr>
        <w:t xml:space="preserve"> reasonable and </w:t>
      </w:r>
      <w:r w:rsidR="002848EE" w:rsidRPr="69DAC9D0">
        <w:rPr>
          <w:lang w:eastAsia="en-US"/>
        </w:rPr>
        <w:t xml:space="preserve">that the </w:t>
      </w:r>
      <w:r w:rsidR="00FE30D5" w:rsidRPr="69DAC9D0">
        <w:rPr>
          <w:lang w:eastAsia="en-US"/>
        </w:rPr>
        <w:t xml:space="preserve">dosing assumed in the </w:t>
      </w:r>
      <w:r w:rsidR="002848EE" w:rsidRPr="69DAC9D0">
        <w:rPr>
          <w:lang w:eastAsia="en-US"/>
        </w:rPr>
        <w:t>financial estimates should be consistent with the cost per patient calculations (</w:t>
      </w:r>
      <w:r w:rsidR="00EF08C1" w:rsidRPr="69DAC9D0">
        <w:rPr>
          <w:lang w:eastAsia="en-US"/>
        </w:rPr>
        <w:t>see</w:t>
      </w:r>
      <w:r w:rsidR="00FE30D5" w:rsidRPr="69DAC9D0">
        <w:rPr>
          <w:lang w:eastAsia="en-US"/>
        </w:rPr>
        <w:t xml:space="preserve"> paragraph</w:t>
      </w:r>
      <w:r w:rsidR="00EF08C1" w:rsidRPr="69DAC9D0">
        <w:rPr>
          <w:lang w:eastAsia="en-US"/>
        </w:rPr>
        <w:t xml:space="preserve"> </w:t>
      </w:r>
      <w:r w:rsidR="00432F61" w:rsidRPr="69DAC9D0">
        <w:rPr>
          <w:lang w:eastAsia="en-US"/>
        </w:rPr>
        <w:fldChar w:fldCharType="begin"/>
      </w:r>
      <w:r w:rsidR="00432F61" w:rsidRPr="69DAC9D0">
        <w:rPr>
          <w:lang w:eastAsia="en-US"/>
        </w:rPr>
        <w:instrText xml:space="preserve"> REF _Ref225253359 \r \h </w:instrText>
      </w:r>
      <w:r w:rsidR="00432F61" w:rsidRPr="69DAC9D0">
        <w:rPr>
          <w:lang w:eastAsia="en-US"/>
        </w:rPr>
      </w:r>
      <w:r w:rsidR="00432F61" w:rsidRPr="69DAC9D0">
        <w:rPr>
          <w:lang w:eastAsia="en-US"/>
        </w:rPr>
        <w:fldChar w:fldCharType="separate"/>
      </w:r>
      <w:r w:rsidR="00815AB6">
        <w:rPr>
          <w:lang w:eastAsia="en-US"/>
        </w:rPr>
        <w:t>7.10</w:t>
      </w:r>
      <w:r w:rsidR="00432F61" w:rsidRPr="69DAC9D0">
        <w:rPr>
          <w:lang w:eastAsia="en-US"/>
        </w:rPr>
        <w:fldChar w:fldCharType="end"/>
      </w:r>
      <w:r w:rsidR="008A3215">
        <w:rPr>
          <w:lang w:eastAsia="en-US"/>
        </w:rPr>
        <w:t xml:space="preserve"> and </w:t>
      </w:r>
      <w:r w:rsidR="008A3215">
        <w:rPr>
          <w:snapToGrid w:val="0"/>
          <w:lang w:val="en-GB"/>
        </w:rPr>
        <w:fldChar w:fldCharType="begin"/>
      </w:r>
      <w:r w:rsidR="008A3215">
        <w:rPr>
          <w:snapToGrid w:val="0"/>
          <w:lang w:val="en-GB"/>
        </w:rPr>
        <w:instrText xml:space="preserve"> REF _Ref225585166 \h </w:instrText>
      </w:r>
      <w:r w:rsidR="008A3215">
        <w:rPr>
          <w:snapToGrid w:val="0"/>
          <w:lang w:val="en-GB"/>
        </w:rPr>
      </w:r>
      <w:r w:rsidR="008A3215">
        <w:rPr>
          <w:snapToGrid w:val="0"/>
          <w:lang w:val="en-GB"/>
        </w:rPr>
        <w:fldChar w:fldCharType="separate"/>
      </w:r>
      <w:r w:rsidR="00815AB6" w:rsidRPr="00597AA3">
        <w:t xml:space="preserve">Table </w:t>
      </w:r>
      <w:r w:rsidR="00815AB6">
        <w:rPr>
          <w:noProof/>
        </w:rPr>
        <w:t>11</w:t>
      </w:r>
      <w:r w:rsidR="008A3215">
        <w:rPr>
          <w:snapToGrid w:val="0"/>
          <w:lang w:val="en-GB"/>
        </w:rPr>
        <w:fldChar w:fldCharType="end"/>
      </w:r>
      <w:r w:rsidR="00432F61" w:rsidRPr="69DAC9D0">
        <w:rPr>
          <w:lang w:eastAsia="en-US"/>
        </w:rPr>
        <w:t>)</w:t>
      </w:r>
      <w:r w:rsidR="00F60A30" w:rsidRPr="69DAC9D0">
        <w:rPr>
          <w:lang w:eastAsia="en-US"/>
        </w:rPr>
        <w:t>, with adjustment for lower dosing</w:t>
      </w:r>
      <w:r w:rsidR="007149CD" w:rsidRPr="69DAC9D0">
        <w:rPr>
          <w:lang w:eastAsia="en-US"/>
        </w:rPr>
        <w:t xml:space="preserve"> in paediatric patients </w:t>
      </w:r>
      <w:r w:rsidR="00A071B5" w:rsidRPr="69DAC9D0">
        <w:rPr>
          <w:lang w:eastAsia="en-US"/>
        </w:rPr>
        <w:t>with body weight between 7.</w:t>
      </w:r>
      <w:r w:rsidR="00A071B5" w:rsidRPr="00AF3203">
        <w:rPr>
          <w:lang w:eastAsia="en-US"/>
        </w:rPr>
        <w:t>5 kg and 40 kg</w:t>
      </w:r>
      <w:r w:rsidR="00E55834" w:rsidRPr="00AF3203">
        <w:rPr>
          <w:lang w:eastAsia="en-US"/>
        </w:rPr>
        <w:t>.</w:t>
      </w:r>
      <w:r w:rsidR="00E55834" w:rsidRPr="00AF3203">
        <w:t xml:space="preserve"> </w:t>
      </w:r>
      <w:r w:rsidR="00E55834" w:rsidRPr="00AF3203">
        <w:rPr>
          <w:lang w:eastAsia="en-US"/>
        </w:rPr>
        <w:t xml:space="preserve">The Committee </w:t>
      </w:r>
      <w:r w:rsidR="008A595A" w:rsidRPr="00AF3203">
        <w:rPr>
          <w:lang w:eastAsia="en-US"/>
        </w:rPr>
        <w:t xml:space="preserve">further </w:t>
      </w:r>
      <w:r w:rsidR="00E55834" w:rsidRPr="00AF3203">
        <w:rPr>
          <w:lang w:eastAsia="en-US"/>
        </w:rPr>
        <w:t>considered that the submission’s estimate of a 100% compliance</w:t>
      </w:r>
      <w:r w:rsidR="00E55834" w:rsidRPr="69DAC9D0">
        <w:rPr>
          <w:lang w:eastAsia="en-US"/>
        </w:rPr>
        <w:t xml:space="preserve"> rate may be overestimated</w:t>
      </w:r>
      <w:r w:rsidR="001E70DB" w:rsidRPr="69DAC9D0">
        <w:rPr>
          <w:lang w:eastAsia="en-US"/>
        </w:rPr>
        <w:t xml:space="preserve"> </w:t>
      </w:r>
      <w:r w:rsidR="00BF77CE" w:rsidRPr="69DAC9D0">
        <w:rPr>
          <w:lang w:eastAsia="en-US"/>
        </w:rPr>
        <w:t>and</w:t>
      </w:r>
      <w:r w:rsidR="001E70DB" w:rsidRPr="69DAC9D0">
        <w:rPr>
          <w:lang w:eastAsia="en-US"/>
        </w:rPr>
        <w:t xml:space="preserve"> that there could</w:t>
      </w:r>
      <w:r w:rsidR="00457B6C" w:rsidRPr="69DAC9D0">
        <w:rPr>
          <w:lang w:eastAsia="en-US"/>
        </w:rPr>
        <w:t xml:space="preserve"> also</w:t>
      </w:r>
      <w:r w:rsidR="001E70DB" w:rsidRPr="69DAC9D0">
        <w:rPr>
          <w:lang w:eastAsia="en-US"/>
        </w:rPr>
        <w:t xml:space="preserve"> be extended tapering of </w:t>
      </w:r>
      <w:r w:rsidR="00271233" w:rsidRPr="69DAC9D0">
        <w:rPr>
          <w:lang w:eastAsia="en-US"/>
        </w:rPr>
        <w:t>doses and ‘on-demand treatment’</w:t>
      </w:r>
      <w:r w:rsidR="00B24192" w:rsidRPr="69DAC9D0">
        <w:rPr>
          <w:lang w:eastAsia="en-US"/>
        </w:rPr>
        <w:t xml:space="preserve"> (use </w:t>
      </w:r>
      <w:r w:rsidR="006A63E6" w:rsidRPr="69DAC9D0">
        <w:rPr>
          <w:lang w:eastAsia="en-US"/>
        </w:rPr>
        <w:t>only where the patient is having a flare)</w:t>
      </w:r>
      <w:r w:rsidR="008A595A" w:rsidRPr="69DAC9D0">
        <w:rPr>
          <w:lang w:eastAsia="en-US"/>
        </w:rPr>
        <w:t>.</w:t>
      </w:r>
    </w:p>
    <w:p w14:paraId="3B342C9C" w14:textId="59F622BF" w:rsidR="008033D1" w:rsidRPr="00A40696" w:rsidRDefault="008033D1" w:rsidP="004B083B">
      <w:pPr>
        <w:numPr>
          <w:ilvl w:val="1"/>
          <w:numId w:val="1"/>
        </w:numPr>
        <w:spacing w:after="120"/>
        <w:rPr>
          <w:rFonts w:asciiTheme="minorHAnsi" w:hAnsiTheme="minorHAnsi"/>
          <w:snapToGrid w:val="0"/>
          <w:lang w:val="en-GB" w:eastAsia="en-US"/>
        </w:rPr>
      </w:pPr>
      <w:r w:rsidRPr="0094217A">
        <w:rPr>
          <w:rFonts w:asciiTheme="minorHAnsi" w:hAnsiTheme="minorHAnsi"/>
          <w:snapToGrid w:val="0"/>
          <w:lang w:val="en-GB" w:eastAsia="en-US"/>
        </w:rPr>
        <w:t xml:space="preserve">The PBAC </w:t>
      </w:r>
      <w:r w:rsidR="0033723C" w:rsidRPr="0094217A">
        <w:rPr>
          <w:rFonts w:asciiTheme="minorHAnsi" w:hAnsiTheme="minorHAnsi"/>
          <w:snapToGrid w:val="0"/>
          <w:lang w:val="en-GB" w:eastAsia="en-US"/>
        </w:rPr>
        <w:t xml:space="preserve">considered </w:t>
      </w:r>
      <w:r w:rsidR="003C5B51" w:rsidRPr="0094217A">
        <w:rPr>
          <w:rFonts w:asciiTheme="minorHAnsi" w:hAnsiTheme="minorHAnsi"/>
          <w:snapToGrid w:val="0"/>
          <w:lang w:val="en-GB" w:eastAsia="en-US"/>
        </w:rPr>
        <w:t xml:space="preserve">the prevalence of FMF, the proportion of </w:t>
      </w:r>
      <w:r w:rsidR="00E43A8A" w:rsidRPr="0094217A">
        <w:rPr>
          <w:rFonts w:asciiTheme="minorHAnsi" w:hAnsiTheme="minorHAnsi"/>
          <w:snapToGrid w:val="0"/>
          <w:lang w:val="en-GB" w:eastAsia="en-US"/>
        </w:rPr>
        <w:t xml:space="preserve">patients </w:t>
      </w:r>
      <w:r w:rsidR="00FE6490">
        <w:rPr>
          <w:rFonts w:asciiTheme="minorHAnsi" w:hAnsiTheme="minorHAnsi"/>
          <w:snapToGrid w:val="0"/>
          <w:lang w:val="en-GB" w:eastAsia="en-US"/>
        </w:rPr>
        <w:t>who are resistant or intolerant to colchicine</w:t>
      </w:r>
      <w:r w:rsidR="00E43A8A" w:rsidRPr="0094217A">
        <w:rPr>
          <w:rFonts w:asciiTheme="minorHAnsi" w:hAnsiTheme="minorHAnsi"/>
          <w:snapToGrid w:val="0"/>
          <w:lang w:val="en-GB" w:eastAsia="en-US"/>
        </w:rPr>
        <w:t xml:space="preserve">, and the </w:t>
      </w:r>
      <w:r w:rsidR="0094217A" w:rsidRPr="0094217A">
        <w:rPr>
          <w:rFonts w:asciiTheme="minorHAnsi" w:hAnsiTheme="minorHAnsi"/>
          <w:snapToGrid w:val="0"/>
          <w:lang w:val="en-GB" w:eastAsia="en-US"/>
        </w:rPr>
        <w:t>likely</w:t>
      </w:r>
      <w:r w:rsidR="0033723C" w:rsidRPr="0094217A">
        <w:rPr>
          <w:rFonts w:asciiTheme="minorHAnsi" w:hAnsiTheme="minorHAnsi"/>
          <w:snapToGrid w:val="0"/>
          <w:lang w:val="en-GB" w:eastAsia="en-US"/>
        </w:rPr>
        <w:t xml:space="preserve"> </w:t>
      </w:r>
      <w:r w:rsidR="0033723C" w:rsidRPr="0094217A" w:rsidDel="000F30D2">
        <w:rPr>
          <w:rFonts w:asciiTheme="minorHAnsi" w:hAnsiTheme="minorHAnsi"/>
          <w:snapToGrid w:val="0"/>
          <w:lang w:val="en-GB" w:eastAsia="en-US"/>
        </w:rPr>
        <w:t xml:space="preserve">dose </w:t>
      </w:r>
      <w:r w:rsidR="007406CA">
        <w:rPr>
          <w:rFonts w:asciiTheme="minorHAnsi" w:hAnsiTheme="minorHAnsi"/>
          <w:snapToGrid w:val="0"/>
          <w:lang w:val="en-GB" w:eastAsia="en-US"/>
        </w:rPr>
        <w:t>and dosing frequency</w:t>
      </w:r>
      <w:r w:rsidR="009429BA">
        <w:rPr>
          <w:rFonts w:asciiTheme="minorHAnsi" w:hAnsiTheme="minorHAnsi"/>
          <w:snapToGrid w:val="0"/>
          <w:lang w:val="en-GB" w:eastAsia="en-US"/>
        </w:rPr>
        <w:t xml:space="preserve"> to be uncertain</w:t>
      </w:r>
      <w:r w:rsidR="0033723C" w:rsidRPr="0094217A">
        <w:rPr>
          <w:rFonts w:asciiTheme="minorHAnsi" w:hAnsiTheme="minorHAnsi"/>
          <w:snapToGrid w:val="0"/>
          <w:lang w:val="en-GB" w:eastAsia="en-US"/>
        </w:rPr>
        <w:t xml:space="preserve">. </w:t>
      </w:r>
      <w:r w:rsidR="009429BA">
        <w:rPr>
          <w:rFonts w:asciiTheme="minorHAnsi" w:hAnsiTheme="minorHAnsi"/>
          <w:snapToGrid w:val="0"/>
          <w:lang w:val="en-GB" w:eastAsia="en-US"/>
        </w:rPr>
        <w:t>T</w:t>
      </w:r>
      <w:r w:rsidR="0033723C" w:rsidRPr="0094217A">
        <w:rPr>
          <w:rFonts w:asciiTheme="minorHAnsi" w:hAnsiTheme="minorHAnsi"/>
          <w:snapToGrid w:val="0"/>
          <w:lang w:val="en-GB" w:eastAsia="en-US"/>
        </w:rPr>
        <w:t>he PBAC</w:t>
      </w:r>
      <w:r w:rsidR="003C5B51" w:rsidRPr="0094217A">
        <w:rPr>
          <w:rFonts w:asciiTheme="minorHAnsi" w:hAnsiTheme="minorHAnsi"/>
          <w:snapToGrid w:val="0"/>
          <w:lang w:val="en-GB" w:eastAsia="en-US"/>
        </w:rPr>
        <w:t xml:space="preserve"> </w:t>
      </w:r>
      <w:r w:rsidRPr="0094217A">
        <w:rPr>
          <w:rFonts w:asciiTheme="minorHAnsi" w:hAnsiTheme="minorHAnsi"/>
          <w:snapToGrid w:val="0"/>
          <w:lang w:val="en-GB" w:eastAsia="en-US"/>
        </w:rPr>
        <w:t>considered that a</w:t>
      </w:r>
      <w:r w:rsidR="00AD0132">
        <w:rPr>
          <w:rFonts w:asciiTheme="minorHAnsi" w:hAnsiTheme="minorHAnsi"/>
          <w:snapToGrid w:val="0"/>
          <w:lang w:val="en-GB" w:eastAsia="en-US"/>
        </w:rPr>
        <w:t xml:space="preserve"> Risk Share Agreement</w:t>
      </w:r>
      <w:r w:rsidRPr="0094217A">
        <w:rPr>
          <w:rFonts w:asciiTheme="minorHAnsi" w:hAnsiTheme="minorHAnsi"/>
          <w:snapToGrid w:val="0"/>
          <w:lang w:val="en-GB" w:eastAsia="en-US"/>
        </w:rPr>
        <w:t xml:space="preserve"> </w:t>
      </w:r>
      <w:r w:rsidR="00AD0132">
        <w:rPr>
          <w:rFonts w:asciiTheme="minorHAnsi" w:hAnsiTheme="minorHAnsi"/>
          <w:snapToGrid w:val="0"/>
          <w:lang w:val="en-GB" w:eastAsia="en-US"/>
        </w:rPr>
        <w:t>(</w:t>
      </w:r>
      <w:r w:rsidR="00AA221E">
        <w:rPr>
          <w:rFonts w:asciiTheme="minorHAnsi" w:hAnsiTheme="minorHAnsi"/>
          <w:snapToGrid w:val="0"/>
          <w:lang w:val="en-GB" w:eastAsia="en-US"/>
        </w:rPr>
        <w:t>RSA</w:t>
      </w:r>
      <w:r w:rsidR="00AD0132">
        <w:rPr>
          <w:rFonts w:asciiTheme="minorHAnsi" w:hAnsiTheme="minorHAnsi"/>
          <w:snapToGrid w:val="0"/>
          <w:lang w:val="en-GB" w:eastAsia="en-US"/>
        </w:rPr>
        <w:t>)</w:t>
      </w:r>
      <w:r w:rsidR="00AA221E">
        <w:rPr>
          <w:rFonts w:asciiTheme="minorHAnsi" w:hAnsiTheme="minorHAnsi"/>
          <w:snapToGrid w:val="0"/>
          <w:lang w:val="en-GB" w:eastAsia="en-US"/>
        </w:rPr>
        <w:t xml:space="preserve"> </w:t>
      </w:r>
      <w:r w:rsidRPr="0094217A">
        <w:rPr>
          <w:rFonts w:asciiTheme="minorHAnsi" w:hAnsiTheme="minorHAnsi"/>
          <w:snapToGrid w:val="0"/>
          <w:lang w:val="en-GB" w:eastAsia="en-US"/>
        </w:rPr>
        <w:t xml:space="preserve">would be </w:t>
      </w:r>
      <w:r w:rsidR="00E01F14">
        <w:rPr>
          <w:rFonts w:asciiTheme="minorHAnsi" w:hAnsiTheme="minorHAnsi"/>
          <w:snapToGrid w:val="0"/>
          <w:lang w:val="en-GB" w:eastAsia="en-US"/>
        </w:rPr>
        <w:t>essential</w:t>
      </w:r>
      <w:r w:rsidR="009429BA">
        <w:rPr>
          <w:rFonts w:asciiTheme="minorHAnsi" w:hAnsiTheme="minorHAnsi"/>
          <w:snapToGrid w:val="0"/>
          <w:lang w:val="en-GB" w:eastAsia="en-US"/>
        </w:rPr>
        <w:t xml:space="preserve"> to mitigate the</w:t>
      </w:r>
      <w:r w:rsidR="007A59C4">
        <w:rPr>
          <w:rFonts w:asciiTheme="minorHAnsi" w:hAnsiTheme="minorHAnsi"/>
          <w:snapToGrid w:val="0"/>
          <w:lang w:val="en-GB" w:eastAsia="en-US"/>
        </w:rPr>
        <w:t xml:space="preserve"> risk</w:t>
      </w:r>
      <w:r w:rsidR="00BD3DCC">
        <w:rPr>
          <w:rFonts w:asciiTheme="minorHAnsi" w:hAnsiTheme="minorHAnsi"/>
          <w:snapToGrid w:val="0"/>
          <w:lang w:val="en-GB" w:eastAsia="en-US"/>
        </w:rPr>
        <w:t xml:space="preserve"> </w:t>
      </w:r>
      <w:r w:rsidR="00367991">
        <w:rPr>
          <w:rFonts w:asciiTheme="minorHAnsi" w:hAnsiTheme="minorHAnsi"/>
          <w:snapToGrid w:val="0"/>
          <w:lang w:val="en-GB" w:eastAsia="en-US"/>
        </w:rPr>
        <w:t>that</w:t>
      </w:r>
      <w:r w:rsidR="00561571">
        <w:rPr>
          <w:rFonts w:asciiTheme="minorHAnsi" w:hAnsiTheme="minorHAnsi"/>
          <w:snapToGrid w:val="0"/>
          <w:lang w:val="en-GB" w:eastAsia="en-US"/>
        </w:rPr>
        <w:t xml:space="preserve"> </w:t>
      </w:r>
      <w:r w:rsidR="00140547">
        <w:rPr>
          <w:rFonts w:asciiTheme="minorHAnsi" w:hAnsiTheme="minorHAnsi"/>
          <w:snapToGrid w:val="0"/>
          <w:lang w:val="en-GB" w:eastAsia="en-US"/>
        </w:rPr>
        <w:t xml:space="preserve">patient numbers or </w:t>
      </w:r>
      <w:r w:rsidR="00561571">
        <w:rPr>
          <w:rFonts w:asciiTheme="minorHAnsi" w:hAnsiTheme="minorHAnsi"/>
          <w:snapToGrid w:val="0"/>
          <w:lang w:val="en-GB" w:eastAsia="en-US"/>
        </w:rPr>
        <w:t xml:space="preserve">utilisation of canakinumab </w:t>
      </w:r>
      <w:r w:rsidR="00367991">
        <w:rPr>
          <w:rFonts w:asciiTheme="minorHAnsi" w:hAnsiTheme="minorHAnsi"/>
          <w:snapToGrid w:val="0"/>
          <w:lang w:val="en-GB" w:eastAsia="en-US"/>
        </w:rPr>
        <w:t xml:space="preserve">are substantially higher </w:t>
      </w:r>
      <w:r w:rsidR="00561571">
        <w:rPr>
          <w:rFonts w:asciiTheme="minorHAnsi" w:hAnsiTheme="minorHAnsi"/>
          <w:snapToGrid w:val="0"/>
          <w:lang w:val="en-GB" w:eastAsia="en-US"/>
        </w:rPr>
        <w:t>than expected</w:t>
      </w:r>
      <w:r w:rsidR="0033723C" w:rsidRPr="0094217A" w:rsidDel="00073D01">
        <w:rPr>
          <w:rFonts w:asciiTheme="minorHAnsi" w:hAnsiTheme="minorHAnsi"/>
          <w:snapToGrid w:val="0"/>
          <w:lang w:val="en-GB" w:eastAsia="en-US"/>
        </w:rPr>
        <w:t>.</w:t>
      </w:r>
      <w:r w:rsidR="003A11A4">
        <w:rPr>
          <w:rFonts w:asciiTheme="minorHAnsi" w:hAnsiTheme="minorHAnsi"/>
          <w:snapToGrid w:val="0"/>
          <w:lang w:val="en-GB" w:eastAsia="en-US"/>
        </w:rPr>
        <w:t xml:space="preserve"> </w:t>
      </w:r>
      <w:r w:rsidR="00341F3A">
        <w:rPr>
          <w:rFonts w:asciiTheme="minorHAnsi" w:hAnsiTheme="minorHAnsi"/>
          <w:snapToGrid w:val="0"/>
          <w:lang w:val="en-GB" w:eastAsia="en-US"/>
        </w:rPr>
        <w:t>T</w:t>
      </w:r>
      <w:r w:rsidR="003A11A4">
        <w:rPr>
          <w:rFonts w:asciiTheme="minorHAnsi" w:hAnsiTheme="minorHAnsi"/>
          <w:snapToGrid w:val="0"/>
          <w:lang w:val="en-GB" w:eastAsia="en-US"/>
        </w:rPr>
        <w:t xml:space="preserve">he Committee </w:t>
      </w:r>
      <w:r w:rsidR="00B753CB">
        <w:rPr>
          <w:rFonts w:asciiTheme="minorHAnsi" w:hAnsiTheme="minorHAnsi"/>
          <w:snapToGrid w:val="0"/>
          <w:lang w:val="en-GB" w:eastAsia="en-US"/>
        </w:rPr>
        <w:t>considered</w:t>
      </w:r>
      <w:r w:rsidR="003A11A4">
        <w:rPr>
          <w:rFonts w:asciiTheme="minorHAnsi" w:hAnsiTheme="minorHAnsi"/>
          <w:snapToGrid w:val="0"/>
          <w:lang w:val="en-GB" w:eastAsia="en-US"/>
        </w:rPr>
        <w:t xml:space="preserve"> a</w:t>
      </w:r>
      <w:r w:rsidR="00264AEB">
        <w:rPr>
          <w:rFonts w:asciiTheme="minorHAnsi" w:hAnsiTheme="minorHAnsi"/>
          <w:snapToGrid w:val="0"/>
          <w:lang w:val="en-GB" w:eastAsia="en-US"/>
        </w:rPr>
        <w:t>n</w:t>
      </w:r>
      <w:r w:rsidR="003A11A4">
        <w:rPr>
          <w:rFonts w:asciiTheme="minorHAnsi" w:hAnsiTheme="minorHAnsi"/>
          <w:snapToGrid w:val="0"/>
          <w:lang w:val="en-GB" w:eastAsia="en-US"/>
        </w:rPr>
        <w:t xml:space="preserve"> RSA with </w:t>
      </w:r>
      <w:r w:rsidR="007A59C4">
        <w:rPr>
          <w:rFonts w:asciiTheme="minorHAnsi" w:hAnsiTheme="minorHAnsi"/>
          <w:snapToGrid w:val="0"/>
          <w:lang w:val="en-GB" w:eastAsia="en-US"/>
        </w:rPr>
        <w:t xml:space="preserve">a </w:t>
      </w:r>
      <w:r w:rsidR="009D624A">
        <w:rPr>
          <w:rFonts w:asciiTheme="minorHAnsi" w:hAnsiTheme="minorHAnsi"/>
          <w:snapToGrid w:val="0"/>
          <w:lang w:val="en-GB" w:eastAsia="en-US"/>
        </w:rPr>
        <w:t>r</w:t>
      </w:r>
      <w:r w:rsidR="003A11A4">
        <w:rPr>
          <w:rFonts w:asciiTheme="minorHAnsi" w:hAnsiTheme="minorHAnsi"/>
          <w:snapToGrid w:val="0"/>
          <w:lang w:val="en-GB" w:eastAsia="en-US"/>
        </w:rPr>
        <w:t xml:space="preserve">ebate </w:t>
      </w:r>
      <w:r w:rsidR="00356A3D">
        <w:rPr>
          <w:rFonts w:asciiTheme="minorHAnsi" w:hAnsiTheme="minorHAnsi"/>
          <w:snapToGrid w:val="0"/>
          <w:lang w:val="en-GB" w:eastAsia="en-US"/>
        </w:rPr>
        <w:t xml:space="preserve">of </w:t>
      </w:r>
      <w:r w:rsidR="00B90395" w:rsidRPr="00B90395">
        <w:rPr>
          <w:rFonts w:asciiTheme="minorHAnsi" w:hAnsiTheme="minorHAnsi"/>
          <w:snapToGrid w:val="0"/>
          <w:sz w:val="2"/>
          <w:highlight w:val="black"/>
          <w:lang w:val="en-GB" w:eastAsia="en-US"/>
        </w:rPr>
        <w:t>redacted content</w:t>
      </w:r>
      <w:r w:rsidR="00356A3D">
        <w:rPr>
          <w:rFonts w:asciiTheme="minorHAnsi" w:hAnsiTheme="minorHAnsi"/>
          <w:snapToGrid w:val="0"/>
          <w:lang w:val="en-GB" w:eastAsia="en-US"/>
        </w:rPr>
        <w:t xml:space="preserve">% </w:t>
      </w:r>
      <w:r w:rsidR="003A11A4">
        <w:rPr>
          <w:rFonts w:asciiTheme="minorHAnsi" w:hAnsiTheme="minorHAnsi"/>
          <w:snapToGrid w:val="0"/>
          <w:lang w:val="en-GB" w:eastAsia="en-US"/>
        </w:rPr>
        <w:t>for use beyond the caps</w:t>
      </w:r>
      <w:r w:rsidR="009D624A">
        <w:rPr>
          <w:rFonts w:asciiTheme="minorHAnsi" w:hAnsiTheme="minorHAnsi"/>
          <w:snapToGrid w:val="0"/>
          <w:lang w:val="en-GB" w:eastAsia="en-US"/>
        </w:rPr>
        <w:t xml:space="preserve"> </w:t>
      </w:r>
      <w:r w:rsidR="00B753CB">
        <w:rPr>
          <w:rFonts w:asciiTheme="minorHAnsi" w:hAnsiTheme="minorHAnsi"/>
          <w:snapToGrid w:val="0"/>
          <w:lang w:val="en-GB" w:eastAsia="en-US"/>
        </w:rPr>
        <w:t xml:space="preserve">would be appropriate </w:t>
      </w:r>
      <w:r w:rsidR="00EB4D1A">
        <w:rPr>
          <w:rFonts w:asciiTheme="minorHAnsi" w:hAnsiTheme="minorHAnsi"/>
          <w:snapToGrid w:val="0"/>
          <w:lang w:val="en-GB" w:eastAsia="en-US"/>
        </w:rPr>
        <w:t>given the high cost of treatment</w:t>
      </w:r>
      <w:r w:rsidR="003A11A4">
        <w:rPr>
          <w:rFonts w:asciiTheme="minorHAnsi" w:hAnsiTheme="minorHAnsi"/>
          <w:snapToGrid w:val="0"/>
          <w:lang w:val="en-GB" w:eastAsia="en-US"/>
        </w:rPr>
        <w:t>.</w:t>
      </w:r>
    </w:p>
    <w:p w14:paraId="1B0B68B5" w14:textId="1B9C3271" w:rsidR="00CA6E87" w:rsidRDefault="00754E07" w:rsidP="004B083B">
      <w:pPr>
        <w:numPr>
          <w:ilvl w:val="1"/>
          <w:numId w:val="1"/>
        </w:numPr>
        <w:spacing w:after="120"/>
        <w:rPr>
          <w:snapToGrid w:val="0"/>
          <w:lang w:val="en-GB" w:eastAsia="en-US"/>
        </w:rPr>
      </w:pPr>
      <w:r w:rsidRPr="00A40696">
        <w:rPr>
          <w:rFonts w:asciiTheme="minorHAnsi" w:hAnsiTheme="minorHAnsi"/>
          <w:snapToGrid w:val="0"/>
          <w:lang w:val="en-GB" w:eastAsia="en-US"/>
        </w:rPr>
        <w:t xml:space="preserve">The PBAC </w:t>
      </w:r>
      <w:r w:rsidR="009D1BD9" w:rsidRPr="00A40696">
        <w:rPr>
          <w:rFonts w:asciiTheme="minorHAnsi" w:hAnsiTheme="minorHAnsi"/>
          <w:snapToGrid w:val="0"/>
          <w:lang w:val="en-GB" w:eastAsia="en-US"/>
        </w:rPr>
        <w:t>noted that the submission had requested grandfathering provisions for patients</w:t>
      </w:r>
      <w:r w:rsidR="009D1BD9">
        <w:rPr>
          <w:snapToGrid w:val="0"/>
          <w:lang w:val="en-GB" w:eastAsia="en-US"/>
        </w:rPr>
        <w:t xml:space="preserve"> previously treated on </w:t>
      </w:r>
      <w:r w:rsidR="001F2975">
        <w:rPr>
          <w:snapToGrid w:val="0"/>
          <w:lang w:val="en-GB" w:eastAsia="en-US"/>
        </w:rPr>
        <w:t xml:space="preserve">canakinumab and </w:t>
      </w:r>
      <w:r w:rsidRPr="00754E07">
        <w:rPr>
          <w:snapToGrid w:val="0"/>
          <w:lang w:val="en-GB" w:eastAsia="en-US"/>
        </w:rPr>
        <w:t xml:space="preserve">considered it would be appropriate </w:t>
      </w:r>
      <w:r w:rsidR="00167DCF">
        <w:rPr>
          <w:snapToGrid w:val="0"/>
          <w:lang w:val="en-GB" w:eastAsia="en-US"/>
        </w:rPr>
        <w:t xml:space="preserve">for the restrictions </w:t>
      </w:r>
      <w:r w:rsidRPr="00754E07">
        <w:rPr>
          <w:snapToGrid w:val="0"/>
          <w:lang w:val="en-GB" w:eastAsia="en-US"/>
        </w:rPr>
        <w:t xml:space="preserve">to allow </w:t>
      </w:r>
      <w:r w:rsidR="000C107F">
        <w:rPr>
          <w:snapToGrid w:val="0"/>
          <w:lang w:val="en-GB" w:eastAsia="en-US"/>
        </w:rPr>
        <w:t xml:space="preserve">anti-IL-1 biologic treated </w:t>
      </w:r>
      <w:proofErr w:type="spellStart"/>
      <w:r w:rsidR="000E706E">
        <w:rPr>
          <w:snapToGrid w:val="0"/>
          <w:lang w:val="en-GB" w:eastAsia="en-US"/>
        </w:rPr>
        <w:t>crFMF</w:t>
      </w:r>
      <w:proofErr w:type="spellEnd"/>
      <w:r w:rsidR="000E706E">
        <w:rPr>
          <w:snapToGrid w:val="0"/>
          <w:lang w:val="en-GB" w:eastAsia="en-US"/>
        </w:rPr>
        <w:t xml:space="preserve"> </w:t>
      </w:r>
      <w:r w:rsidRPr="00754E07">
        <w:rPr>
          <w:snapToGrid w:val="0"/>
          <w:lang w:val="en-GB" w:eastAsia="en-US"/>
        </w:rPr>
        <w:t>patients</w:t>
      </w:r>
      <w:r w:rsidR="00BA75C9">
        <w:rPr>
          <w:snapToGrid w:val="0"/>
          <w:lang w:val="en-GB" w:eastAsia="en-US"/>
        </w:rPr>
        <w:t xml:space="preserve"> </w:t>
      </w:r>
      <w:r w:rsidR="00753DEC">
        <w:rPr>
          <w:snapToGrid w:val="0"/>
          <w:lang w:val="en-GB" w:eastAsia="en-US"/>
        </w:rPr>
        <w:t>meeting</w:t>
      </w:r>
      <w:r w:rsidR="00FD2D52">
        <w:rPr>
          <w:snapToGrid w:val="0"/>
          <w:lang w:val="en-GB" w:eastAsia="en-US"/>
        </w:rPr>
        <w:t xml:space="preserve"> or having previously met</w:t>
      </w:r>
      <w:r w:rsidR="00753DEC">
        <w:rPr>
          <w:snapToGrid w:val="0"/>
          <w:lang w:val="en-GB" w:eastAsia="en-US"/>
        </w:rPr>
        <w:t xml:space="preserve"> initial treatment criteria to </w:t>
      </w:r>
      <w:r w:rsidR="00BA75C9">
        <w:rPr>
          <w:snapToGrid w:val="0"/>
          <w:lang w:val="en-GB" w:eastAsia="en-US"/>
        </w:rPr>
        <w:t xml:space="preserve">access </w:t>
      </w:r>
      <w:r w:rsidR="000E706E">
        <w:rPr>
          <w:snapToGrid w:val="0"/>
          <w:lang w:val="en-GB" w:eastAsia="en-US"/>
        </w:rPr>
        <w:t>treatment on the PBS</w:t>
      </w:r>
      <w:r w:rsidRPr="00754E07">
        <w:rPr>
          <w:snapToGrid w:val="0"/>
          <w:lang w:val="en-GB" w:eastAsia="en-US"/>
        </w:rPr>
        <w:t xml:space="preserve">. </w:t>
      </w:r>
    </w:p>
    <w:p w14:paraId="4FBD1815" w14:textId="4348EF0B" w:rsidR="006C1049" w:rsidRPr="00754E07" w:rsidRDefault="006C1049" w:rsidP="004B083B">
      <w:pPr>
        <w:numPr>
          <w:ilvl w:val="1"/>
          <w:numId w:val="1"/>
        </w:numPr>
        <w:spacing w:after="120"/>
        <w:rPr>
          <w:snapToGrid w:val="0"/>
          <w:lang w:val="en-GB" w:eastAsia="en-US"/>
        </w:rPr>
      </w:pPr>
      <w:r>
        <w:rPr>
          <w:snapToGrid w:val="0"/>
          <w:lang w:val="en-GB" w:eastAsia="en-US"/>
        </w:rPr>
        <w:t xml:space="preserve">The PBAC </w:t>
      </w:r>
      <w:r w:rsidR="00E65CEB">
        <w:rPr>
          <w:snapToGrid w:val="0"/>
          <w:lang w:val="en-GB" w:eastAsia="en-US"/>
        </w:rPr>
        <w:t xml:space="preserve">noted that not all clinically diagnosed FMF patients will have a positive </w:t>
      </w:r>
      <w:r w:rsidR="00E65CEB" w:rsidRPr="004C792C">
        <w:rPr>
          <w:i/>
          <w:iCs/>
          <w:snapToGrid w:val="0"/>
          <w:lang w:val="en-GB" w:eastAsia="en-US"/>
        </w:rPr>
        <w:t>MEFV</w:t>
      </w:r>
      <w:r w:rsidR="00E65CEB">
        <w:rPr>
          <w:snapToGrid w:val="0"/>
          <w:lang w:val="en-GB" w:eastAsia="en-US"/>
        </w:rPr>
        <w:t xml:space="preserve"> pathogenic variant </w:t>
      </w:r>
      <w:proofErr w:type="gramStart"/>
      <w:r w:rsidR="00C27456">
        <w:rPr>
          <w:snapToGrid w:val="0"/>
          <w:lang w:val="en-GB" w:eastAsia="en-US"/>
        </w:rPr>
        <w:t>identified</w:t>
      </w:r>
      <w:r w:rsidR="00E65CEB">
        <w:rPr>
          <w:snapToGrid w:val="0"/>
          <w:lang w:val="en-GB" w:eastAsia="en-US"/>
        </w:rPr>
        <w:t xml:space="preserve">, </w:t>
      </w:r>
      <w:r w:rsidR="00C169DE">
        <w:rPr>
          <w:snapToGrid w:val="0"/>
          <w:lang w:val="en-GB" w:eastAsia="en-US"/>
        </w:rPr>
        <w:t>but</w:t>
      </w:r>
      <w:proofErr w:type="gramEnd"/>
      <w:r w:rsidR="00C169DE">
        <w:rPr>
          <w:snapToGrid w:val="0"/>
          <w:lang w:val="en-GB" w:eastAsia="en-US"/>
        </w:rPr>
        <w:t xml:space="preserve"> considered that </w:t>
      </w:r>
      <w:r w:rsidR="00591003">
        <w:rPr>
          <w:snapToGrid w:val="0"/>
          <w:lang w:val="en-GB" w:eastAsia="en-US"/>
        </w:rPr>
        <w:t xml:space="preserve">it would be reasonable to </w:t>
      </w:r>
      <w:r w:rsidR="00FE549D">
        <w:rPr>
          <w:snapToGrid w:val="0"/>
          <w:lang w:val="en-GB" w:eastAsia="en-US"/>
        </w:rPr>
        <w:t xml:space="preserve">limit use of canakinumab to patients </w:t>
      </w:r>
      <w:r w:rsidR="00C169DE">
        <w:rPr>
          <w:snapToGrid w:val="0"/>
          <w:lang w:val="en-GB" w:eastAsia="en-US"/>
        </w:rPr>
        <w:t xml:space="preserve">with </w:t>
      </w:r>
      <w:r w:rsidR="004078CB">
        <w:rPr>
          <w:snapToGrid w:val="0"/>
          <w:lang w:val="en-GB" w:eastAsia="en-US"/>
        </w:rPr>
        <w:t>at least one</w:t>
      </w:r>
      <w:r w:rsidR="00C169DE">
        <w:rPr>
          <w:snapToGrid w:val="0"/>
          <w:lang w:val="en-GB" w:eastAsia="en-US"/>
        </w:rPr>
        <w:t xml:space="preserve"> known </w:t>
      </w:r>
      <w:r w:rsidR="00C169DE" w:rsidRPr="00C27456">
        <w:rPr>
          <w:i/>
          <w:snapToGrid w:val="0"/>
          <w:lang w:val="en-GB" w:eastAsia="en-US"/>
        </w:rPr>
        <w:t>MEFV</w:t>
      </w:r>
      <w:r w:rsidR="00C169DE">
        <w:rPr>
          <w:snapToGrid w:val="0"/>
          <w:lang w:val="en-GB" w:eastAsia="en-US"/>
        </w:rPr>
        <w:t xml:space="preserve"> pathogenic varia</w:t>
      </w:r>
      <w:r w:rsidR="00C27456">
        <w:rPr>
          <w:snapToGrid w:val="0"/>
          <w:lang w:val="en-GB" w:eastAsia="en-US"/>
        </w:rPr>
        <w:t>nt to ensure treatment is limited to patients likely to benefit</w:t>
      </w:r>
      <w:r w:rsidR="00FE549D">
        <w:rPr>
          <w:snapToGrid w:val="0"/>
          <w:lang w:val="en-GB" w:eastAsia="en-US"/>
        </w:rPr>
        <w:t xml:space="preserve">. </w:t>
      </w:r>
    </w:p>
    <w:p w14:paraId="5B96FDF0" w14:textId="79C6B4B9" w:rsidR="000F4395" w:rsidRPr="00A43732" w:rsidRDefault="00411BC8" w:rsidP="004B083B">
      <w:pPr>
        <w:pStyle w:val="COMESnumberedpara"/>
        <w:rPr>
          <w:snapToGrid w:val="0"/>
          <w:lang w:val="en-GB" w:eastAsia="en-US"/>
        </w:rPr>
      </w:pPr>
      <w:r w:rsidRPr="00411BC8">
        <w:rPr>
          <w:rFonts w:eastAsia="Times New Roman" w:cs="Arial"/>
          <w:snapToGrid w:val="0"/>
          <w:szCs w:val="24"/>
          <w:lang w:val="en-GB" w:eastAsia="en-US"/>
        </w:rPr>
        <w:t>The submission proposed a maximum quantity of one pack (150 mg injection) with 5 repeats</w:t>
      </w:r>
      <w:r w:rsidR="004E5239">
        <w:rPr>
          <w:rFonts w:eastAsia="Times New Roman" w:cs="Arial"/>
          <w:snapToGrid w:val="0"/>
          <w:szCs w:val="24"/>
          <w:lang w:val="en-GB" w:eastAsia="en-US"/>
        </w:rPr>
        <w:t>,</w:t>
      </w:r>
      <w:r w:rsidRPr="00411BC8">
        <w:rPr>
          <w:rFonts w:eastAsia="Times New Roman" w:cs="Arial"/>
          <w:snapToGrid w:val="0"/>
          <w:szCs w:val="24"/>
          <w:lang w:val="en-GB" w:eastAsia="en-US"/>
        </w:rPr>
        <w:t xml:space="preserve"> which provides approximately 24 weeks (6 months) of treatment for patients treated with canakinumab 150 mg every 4 weeks or canakinumab </w:t>
      </w:r>
      <w:r w:rsidR="002D19F3">
        <w:rPr>
          <w:rFonts w:eastAsia="Times New Roman" w:cs="Arial"/>
          <w:snapToGrid w:val="0"/>
          <w:szCs w:val="24"/>
          <w:lang w:val="en-GB" w:eastAsia="en-US"/>
        </w:rPr>
        <w:t xml:space="preserve">300 mg </w:t>
      </w:r>
      <w:r w:rsidRPr="00411BC8">
        <w:rPr>
          <w:rFonts w:eastAsia="Times New Roman" w:cs="Arial"/>
          <w:snapToGrid w:val="0"/>
          <w:szCs w:val="24"/>
          <w:lang w:val="en-GB" w:eastAsia="en-US"/>
        </w:rPr>
        <w:t xml:space="preserve">every 8 weeks. The PBAC considered </w:t>
      </w:r>
      <w:r w:rsidR="003837FF">
        <w:rPr>
          <w:rFonts w:eastAsia="Times New Roman" w:cs="Arial"/>
          <w:snapToGrid w:val="0"/>
          <w:szCs w:val="24"/>
          <w:lang w:val="en-GB" w:eastAsia="en-US"/>
        </w:rPr>
        <w:t>the maximum pack size and repeats requested to be</w:t>
      </w:r>
      <w:r w:rsidRPr="00411BC8">
        <w:rPr>
          <w:rFonts w:eastAsia="Times New Roman" w:cs="Arial"/>
          <w:snapToGrid w:val="0"/>
          <w:szCs w:val="24"/>
          <w:lang w:val="en-GB" w:eastAsia="en-US"/>
        </w:rPr>
        <w:t xml:space="preserve"> reasonable</w:t>
      </w:r>
      <w:r w:rsidR="00754E07">
        <w:rPr>
          <w:rFonts w:eastAsia="Times New Roman" w:cs="Arial"/>
          <w:snapToGrid w:val="0"/>
          <w:szCs w:val="24"/>
          <w:lang w:val="en-GB" w:eastAsia="en-US"/>
        </w:rPr>
        <w:t xml:space="preserve">, noting that </w:t>
      </w:r>
      <w:r w:rsidR="006639BF">
        <w:rPr>
          <w:rFonts w:eastAsia="Times New Roman" w:cs="Arial"/>
          <w:snapToGrid w:val="0"/>
          <w:szCs w:val="24"/>
          <w:lang w:val="en-GB" w:eastAsia="en-US"/>
        </w:rPr>
        <w:t>a</w:t>
      </w:r>
      <w:r w:rsidR="006639BF" w:rsidRPr="006639BF">
        <w:rPr>
          <w:rFonts w:eastAsia="Times New Roman" w:cs="Arial"/>
          <w:snapToGrid w:val="0"/>
          <w:szCs w:val="24"/>
          <w:lang w:val="en-GB" w:eastAsia="en-US"/>
        </w:rPr>
        <w:t>uthorities for increased maximum quantities, up to a maximum of 2, may be authorised</w:t>
      </w:r>
      <w:r w:rsidR="006639BF">
        <w:rPr>
          <w:rFonts w:eastAsia="Times New Roman" w:cs="Arial"/>
          <w:snapToGrid w:val="0"/>
          <w:szCs w:val="24"/>
          <w:lang w:val="en-GB" w:eastAsia="en-US"/>
        </w:rPr>
        <w:t xml:space="preserve"> </w:t>
      </w:r>
      <w:r w:rsidR="00376327">
        <w:rPr>
          <w:rFonts w:eastAsia="Times New Roman" w:cs="Arial"/>
          <w:snapToGrid w:val="0"/>
          <w:szCs w:val="24"/>
          <w:lang w:val="en-GB" w:eastAsia="en-US"/>
        </w:rPr>
        <w:t xml:space="preserve">under the continuing listing </w:t>
      </w:r>
      <w:r w:rsidR="006639BF">
        <w:rPr>
          <w:rFonts w:eastAsia="Times New Roman" w:cs="Arial"/>
          <w:snapToGrid w:val="0"/>
          <w:szCs w:val="24"/>
          <w:lang w:val="en-GB" w:eastAsia="en-US"/>
        </w:rPr>
        <w:t xml:space="preserve">and that </w:t>
      </w:r>
      <w:r w:rsidR="00754E07">
        <w:rPr>
          <w:rFonts w:eastAsia="Times New Roman" w:cs="Arial"/>
          <w:snapToGrid w:val="0"/>
          <w:szCs w:val="24"/>
          <w:lang w:val="en-GB" w:eastAsia="en-US"/>
        </w:rPr>
        <w:t>a balance of supply</w:t>
      </w:r>
      <w:r w:rsidR="00DF30B5">
        <w:rPr>
          <w:rFonts w:eastAsia="Times New Roman" w:cs="Arial"/>
          <w:snapToGrid w:val="0"/>
          <w:szCs w:val="24"/>
          <w:lang w:val="en-GB" w:eastAsia="en-US"/>
        </w:rPr>
        <w:t xml:space="preserve"> restriction would </w:t>
      </w:r>
      <w:r w:rsidR="006639BF">
        <w:rPr>
          <w:rFonts w:eastAsia="Times New Roman" w:cs="Arial"/>
          <w:snapToGrid w:val="0"/>
          <w:szCs w:val="24"/>
          <w:lang w:val="en-GB" w:eastAsia="en-US"/>
        </w:rPr>
        <w:t>enable</w:t>
      </w:r>
      <w:r w:rsidR="00DF30B5">
        <w:rPr>
          <w:rFonts w:eastAsia="Times New Roman" w:cs="Arial"/>
          <w:snapToGrid w:val="0"/>
          <w:szCs w:val="24"/>
          <w:lang w:val="en-GB" w:eastAsia="en-US"/>
        </w:rPr>
        <w:t xml:space="preserve"> patients</w:t>
      </w:r>
      <w:r w:rsidR="00813D17">
        <w:rPr>
          <w:rFonts w:eastAsia="Times New Roman" w:cs="Arial"/>
          <w:snapToGrid w:val="0"/>
          <w:szCs w:val="24"/>
          <w:lang w:val="en-GB" w:eastAsia="en-US"/>
        </w:rPr>
        <w:t xml:space="preserve"> who require dose escalation</w:t>
      </w:r>
      <w:r w:rsidR="00DF30B5">
        <w:rPr>
          <w:rFonts w:eastAsia="Times New Roman" w:cs="Arial"/>
          <w:snapToGrid w:val="0"/>
          <w:szCs w:val="24"/>
          <w:lang w:val="en-GB" w:eastAsia="en-US"/>
        </w:rPr>
        <w:t xml:space="preserve"> to access </w:t>
      </w:r>
      <w:r w:rsidR="006639BF">
        <w:rPr>
          <w:rFonts w:eastAsia="Times New Roman" w:cs="Arial"/>
          <w:snapToGrid w:val="0"/>
          <w:szCs w:val="24"/>
          <w:lang w:val="en-GB" w:eastAsia="en-US"/>
        </w:rPr>
        <w:t xml:space="preserve">additional </w:t>
      </w:r>
      <w:r w:rsidR="00ED508F">
        <w:rPr>
          <w:rFonts w:eastAsia="Times New Roman" w:cs="Arial"/>
          <w:snapToGrid w:val="0"/>
          <w:szCs w:val="24"/>
          <w:lang w:val="en-GB" w:eastAsia="en-US"/>
        </w:rPr>
        <w:t>quantities</w:t>
      </w:r>
      <w:r w:rsidR="00B071A2">
        <w:rPr>
          <w:rFonts w:eastAsia="Times New Roman" w:cs="Arial"/>
          <w:snapToGrid w:val="0"/>
          <w:szCs w:val="24"/>
          <w:lang w:val="en-GB" w:eastAsia="en-US"/>
        </w:rPr>
        <w:t xml:space="preserve"> </w:t>
      </w:r>
      <w:r w:rsidR="00DF5A76">
        <w:rPr>
          <w:rFonts w:eastAsia="Times New Roman" w:cs="Arial"/>
          <w:snapToGrid w:val="0"/>
          <w:szCs w:val="24"/>
          <w:lang w:val="en-GB" w:eastAsia="en-US"/>
        </w:rPr>
        <w:t xml:space="preserve">to complete </w:t>
      </w:r>
      <w:r w:rsidR="002C223A">
        <w:rPr>
          <w:rFonts w:eastAsia="Times New Roman" w:cs="Arial"/>
          <w:snapToGrid w:val="0"/>
          <w:szCs w:val="24"/>
          <w:lang w:val="en-GB" w:eastAsia="en-US"/>
        </w:rPr>
        <w:t>an</w:t>
      </w:r>
      <w:r w:rsidR="00DF5A76">
        <w:rPr>
          <w:rFonts w:eastAsia="Times New Roman" w:cs="Arial"/>
          <w:snapToGrid w:val="0"/>
          <w:szCs w:val="24"/>
          <w:lang w:val="en-GB" w:eastAsia="en-US"/>
        </w:rPr>
        <w:t xml:space="preserve"> initial 24 week treatment course</w:t>
      </w:r>
      <w:r w:rsidR="003837FF">
        <w:rPr>
          <w:rFonts w:eastAsia="Times New Roman" w:cs="Arial"/>
          <w:snapToGrid w:val="0"/>
          <w:szCs w:val="24"/>
          <w:lang w:val="en-GB" w:eastAsia="en-US"/>
        </w:rPr>
        <w:t xml:space="preserve">. </w:t>
      </w:r>
      <w:r w:rsidR="00A43732" w:rsidRPr="00411BC8">
        <w:rPr>
          <w:rFonts w:eastAsia="Times New Roman" w:cs="Arial"/>
          <w:snapToGrid w:val="0"/>
          <w:szCs w:val="24"/>
          <w:lang w:val="en-GB" w:eastAsia="en-US"/>
        </w:rPr>
        <w:t xml:space="preserve">The PBAC considered that </w:t>
      </w:r>
      <w:r w:rsidR="00A43732">
        <w:rPr>
          <w:rFonts w:eastAsia="Times New Roman" w:cs="Arial"/>
          <w:snapToGrid w:val="0"/>
          <w:szCs w:val="24"/>
          <w:lang w:val="en-GB" w:eastAsia="en-US"/>
        </w:rPr>
        <w:t xml:space="preserve">down titration of dose should be encouraged </w:t>
      </w:r>
      <w:r w:rsidR="00A43732" w:rsidRPr="00411BC8">
        <w:rPr>
          <w:rFonts w:eastAsia="Times New Roman" w:cs="Arial"/>
          <w:snapToGrid w:val="0"/>
          <w:szCs w:val="24"/>
          <w:lang w:val="en-GB" w:eastAsia="en-US"/>
        </w:rPr>
        <w:t>for patients</w:t>
      </w:r>
      <w:r w:rsidR="00A43732">
        <w:rPr>
          <w:rFonts w:eastAsia="Times New Roman" w:cs="Arial"/>
          <w:snapToGrid w:val="0"/>
          <w:szCs w:val="24"/>
          <w:lang w:val="en-GB" w:eastAsia="en-US"/>
        </w:rPr>
        <w:t xml:space="preserve"> who are adequately responding to </w:t>
      </w:r>
      <w:proofErr w:type="gramStart"/>
      <w:r w:rsidR="00A43732">
        <w:rPr>
          <w:rFonts w:eastAsia="Times New Roman" w:cs="Arial"/>
          <w:snapToGrid w:val="0"/>
          <w:szCs w:val="24"/>
          <w:lang w:val="en-GB" w:eastAsia="en-US"/>
        </w:rPr>
        <w:t>treatment, and</w:t>
      </w:r>
      <w:proofErr w:type="gramEnd"/>
      <w:r w:rsidR="00A43732">
        <w:rPr>
          <w:rFonts w:eastAsia="Times New Roman" w:cs="Arial"/>
          <w:snapToGrid w:val="0"/>
          <w:szCs w:val="24"/>
          <w:lang w:val="en-GB" w:eastAsia="en-US"/>
        </w:rPr>
        <w:t xml:space="preserve"> recommended adding Prescribing Instructions to prompt prescribers to consider dose reduction in suitable patients.</w:t>
      </w:r>
    </w:p>
    <w:p w14:paraId="4B45EC0A" w14:textId="3BC9EFBD" w:rsidR="00D97C2A" w:rsidRPr="00D97C2A" w:rsidRDefault="003837FF" w:rsidP="004B083B">
      <w:pPr>
        <w:pStyle w:val="COMESnumberedpara"/>
        <w:rPr>
          <w:snapToGrid w:val="0"/>
          <w:lang w:val="en-GB" w:eastAsia="en-US"/>
        </w:rPr>
      </w:pPr>
      <w:r>
        <w:rPr>
          <w:rFonts w:eastAsia="Times New Roman" w:cs="Arial"/>
          <w:snapToGrid w:val="0"/>
          <w:szCs w:val="24"/>
          <w:lang w:val="en-GB" w:eastAsia="en-US"/>
        </w:rPr>
        <w:t>The PBAC considered</w:t>
      </w:r>
      <w:r w:rsidR="00411BC8" w:rsidRPr="00411BC8">
        <w:rPr>
          <w:rFonts w:eastAsia="Times New Roman" w:cs="Arial"/>
          <w:snapToGrid w:val="0"/>
          <w:szCs w:val="24"/>
          <w:lang w:val="en-GB" w:eastAsia="en-US"/>
        </w:rPr>
        <w:t xml:space="preserve"> </w:t>
      </w:r>
      <w:r w:rsidR="00AC23DA">
        <w:rPr>
          <w:rFonts w:eastAsia="Times New Roman" w:cs="Arial"/>
          <w:snapToGrid w:val="0"/>
          <w:szCs w:val="24"/>
          <w:lang w:val="en-GB" w:eastAsia="en-US"/>
        </w:rPr>
        <w:t xml:space="preserve">that an </w:t>
      </w:r>
      <w:r w:rsidR="00B449A3">
        <w:rPr>
          <w:rFonts w:eastAsia="Times New Roman" w:cs="Arial"/>
          <w:snapToGrid w:val="0"/>
          <w:szCs w:val="24"/>
          <w:lang w:val="en-GB" w:eastAsia="en-US"/>
        </w:rPr>
        <w:t>Authority (</w:t>
      </w:r>
      <w:r w:rsidR="00411BC8" w:rsidRPr="00411BC8">
        <w:rPr>
          <w:rFonts w:eastAsia="Times New Roman" w:cs="Arial"/>
          <w:snapToGrid w:val="0"/>
          <w:szCs w:val="24"/>
          <w:lang w:val="en-GB" w:eastAsia="en-US"/>
        </w:rPr>
        <w:t>online/telephone</w:t>
      </w:r>
      <w:r w:rsidR="00442BDA">
        <w:rPr>
          <w:rFonts w:eastAsia="Times New Roman" w:cs="Arial"/>
          <w:snapToGrid w:val="0"/>
          <w:szCs w:val="24"/>
          <w:lang w:val="en-GB" w:eastAsia="en-US"/>
        </w:rPr>
        <w:t>)</w:t>
      </w:r>
      <w:r w:rsidR="00411BC8" w:rsidRPr="00411BC8">
        <w:rPr>
          <w:rFonts w:eastAsia="Times New Roman" w:cs="Arial"/>
          <w:snapToGrid w:val="0"/>
          <w:szCs w:val="24"/>
          <w:lang w:val="en-GB" w:eastAsia="en-US"/>
        </w:rPr>
        <w:t xml:space="preserve"> approval would be appropriate for initial treatment</w:t>
      </w:r>
      <w:r w:rsidR="00233D5C">
        <w:rPr>
          <w:rFonts w:eastAsia="Times New Roman" w:cs="Arial"/>
          <w:snapToGrid w:val="0"/>
          <w:szCs w:val="24"/>
          <w:lang w:val="en-GB" w:eastAsia="en-US"/>
        </w:rPr>
        <w:t xml:space="preserve"> (including patients reinitiating </w:t>
      </w:r>
      <w:r w:rsidR="00F56CC5">
        <w:rPr>
          <w:rFonts w:eastAsia="Times New Roman" w:cs="Arial"/>
          <w:snapToGrid w:val="0"/>
          <w:szCs w:val="24"/>
          <w:lang w:val="en-GB" w:eastAsia="en-US"/>
        </w:rPr>
        <w:t xml:space="preserve">treatment </w:t>
      </w:r>
      <w:r w:rsidR="00233D5C">
        <w:rPr>
          <w:rFonts w:eastAsia="Times New Roman" w:cs="Arial"/>
          <w:snapToGrid w:val="0"/>
          <w:szCs w:val="24"/>
          <w:lang w:val="en-GB" w:eastAsia="en-US"/>
        </w:rPr>
        <w:t xml:space="preserve">after </w:t>
      </w:r>
      <w:r w:rsidR="00F56CC5">
        <w:rPr>
          <w:rFonts w:eastAsia="Times New Roman" w:cs="Arial"/>
          <w:snapToGrid w:val="0"/>
          <w:szCs w:val="24"/>
          <w:lang w:val="en-GB" w:eastAsia="en-US"/>
        </w:rPr>
        <w:t xml:space="preserve">a break of </w:t>
      </w:r>
      <w:r w:rsidR="00233D5C">
        <w:rPr>
          <w:rFonts w:eastAsia="Times New Roman" w:cs="Arial"/>
          <w:snapToGrid w:val="0"/>
          <w:szCs w:val="24"/>
          <w:lang w:val="en-GB" w:eastAsia="en-US"/>
        </w:rPr>
        <w:t>more than 12 months)</w:t>
      </w:r>
      <w:r w:rsidR="00AE34ED">
        <w:rPr>
          <w:rFonts w:eastAsia="Times New Roman" w:cs="Arial"/>
          <w:snapToGrid w:val="0"/>
          <w:szCs w:val="24"/>
          <w:lang w:val="en-GB" w:eastAsia="en-US"/>
        </w:rPr>
        <w:t>,</w:t>
      </w:r>
      <w:r w:rsidR="00411BC8" w:rsidRPr="00411BC8">
        <w:rPr>
          <w:rFonts w:eastAsia="Times New Roman" w:cs="Arial"/>
          <w:snapToGrid w:val="0"/>
          <w:szCs w:val="24"/>
          <w:lang w:val="en-GB" w:eastAsia="en-US"/>
        </w:rPr>
        <w:t xml:space="preserve"> and for balance of supply requests for dose escalation </w:t>
      </w:r>
      <w:r w:rsidR="00411BC8" w:rsidRPr="00411BC8">
        <w:rPr>
          <w:rFonts w:eastAsia="Times New Roman" w:cs="Arial"/>
          <w:snapToGrid w:val="0"/>
          <w:szCs w:val="24"/>
          <w:lang w:val="en-GB" w:eastAsia="en-US"/>
        </w:rPr>
        <w:lastRenderedPageBreak/>
        <w:t xml:space="preserve">to 300 mg every 4 weeks for flare. </w:t>
      </w:r>
      <w:r w:rsidR="004143F5" w:rsidRPr="00411BC8">
        <w:rPr>
          <w:rFonts w:eastAsia="Times New Roman" w:cs="Arial"/>
          <w:snapToGrid w:val="0"/>
          <w:szCs w:val="24"/>
          <w:lang w:val="en-GB" w:eastAsia="en-US"/>
        </w:rPr>
        <w:t xml:space="preserve">The PBAC considered that for continuing treatment </w:t>
      </w:r>
      <w:r w:rsidR="004143F5">
        <w:rPr>
          <w:rFonts w:eastAsia="Times New Roman" w:cs="Arial"/>
          <w:snapToGrid w:val="0"/>
          <w:szCs w:val="24"/>
          <w:lang w:val="en-GB" w:eastAsia="en-US"/>
        </w:rPr>
        <w:t>an Authority required (STREAMLINED)</w:t>
      </w:r>
      <w:r w:rsidR="004143F5" w:rsidRPr="00411BC8">
        <w:rPr>
          <w:rFonts w:eastAsia="Times New Roman" w:cs="Arial"/>
          <w:snapToGrid w:val="0"/>
          <w:szCs w:val="24"/>
          <w:lang w:val="en-GB" w:eastAsia="en-US"/>
        </w:rPr>
        <w:t xml:space="preserve"> approval would be appropriate</w:t>
      </w:r>
      <w:r w:rsidR="004143F5">
        <w:rPr>
          <w:rFonts w:eastAsia="Times New Roman" w:cs="Arial"/>
          <w:snapToGrid w:val="0"/>
          <w:szCs w:val="24"/>
          <w:lang w:val="en-GB" w:eastAsia="en-US"/>
        </w:rPr>
        <w:t>.</w:t>
      </w:r>
    </w:p>
    <w:p w14:paraId="7C69E4D1" w14:textId="1380533D" w:rsidR="00193B95" w:rsidRPr="00193B95" w:rsidRDefault="005C038D" w:rsidP="004B083B">
      <w:pPr>
        <w:pStyle w:val="COMESnumberedpara"/>
        <w:rPr>
          <w:snapToGrid w:val="0"/>
          <w:lang w:eastAsia="en-US"/>
        </w:rPr>
      </w:pPr>
      <w:r>
        <w:rPr>
          <w:snapToGrid w:val="0"/>
          <w:lang w:eastAsia="en-US"/>
        </w:rPr>
        <w:t xml:space="preserve">The PBAC noted that in </w:t>
      </w:r>
      <w:r w:rsidR="00405D07">
        <w:rPr>
          <w:snapToGrid w:val="0"/>
          <w:lang w:eastAsia="en-US"/>
        </w:rPr>
        <w:t xml:space="preserve">the </w:t>
      </w:r>
      <w:r>
        <w:rPr>
          <w:snapToGrid w:val="0"/>
          <w:lang w:eastAsia="en-US"/>
        </w:rPr>
        <w:t xml:space="preserve">clinical trial complete response was defined as resolution of the index flare </w:t>
      </w:r>
      <w:r w:rsidR="00285FA9">
        <w:rPr>
          <w:snapToGrid w:val="0"/>
          <w:lang w:eastAsia="en-US"/>
        </w:rPr>
        <w:t xml:space="preserve">(including PGA&lt;2 and </w:t>
      </w:r>
      <w:r w:rsidR="00CF779F">
        <w:rPr>
          <w:snapToGrid w:val="0"/>
          <w:lang w:eastAsia="en-US"/>
        </w:rPr>
        <w:t xml:space="preserve">CRP </w:t>
      </w:r>
      <w:r w:rsidR="006C3F12">
        <w:rPr>
          <w:snapToGrid w:val="0"/>
          <w:lang w:eastAsia="en-US"/>
        </w:rPr>
        <w:t xml:space="preserve">normalised </w:t>
      </w:r>
      <w:r w:rsidR="00285FA9">
        <w:rPr>
          <w:snapToGrid w:val="0"/>
          <w:lang w:eastAsia="en-US"/>
        </w:rPr>
        <w:t xml:space="preserve">to </w:t>
      </w:r>
      <w:r w:rsidR="006C3F12" w:rsidRPr="006C3F12">
        <w:rPr>
          <w:snapToGrid w:val="0"/>
          <w:lang w:val="en" w:eastAsia="en-US"/>
        </w:rPr>
        <w:t>≤10 mg/L or reduction ≥70% from baseline</w:t>
      </w:r>
      <w:r w:rsidR="006C3F12">
        <w:rPr>
          <w:snapToGrid w:val="0"/>
          <w:lang w:val="en" w:eastAsia="en-US"/>
        </w:rPr>
        <w:t>) and</w:t>
      </w:r>
      <w:r w:rsidR="006C3F12" w:rsidRPr="006C3F12">
        <w:rPr>
          <w:snapToGrid w:val="0"/>
          <w:lang w:eastAsia="en-US"/>
        </w:rPr>
        <w:t xml:space="preserve"> </w:t>
      </w:r>
      <w:r>
        <w:rPr>
          <w:snapToGrid w:val="0"/>
          <w:lang w:eastAsia="en-US"/>
        </w:rPr>
        <w:t>no new disease flares at 16 weeks</w:t>
      </w:r>
      <w:r w:rsidR="006C3F12">
        <w:rPr>
          <w:snapToGrid w:val="0"/>
          <w:lang w:eastAsia="en-US"/>
        </w:rPr>
        <w:t xml:space="preserve">. The PBAC </w:t>
      </w:r>
      <w:r>
        <w:rPr>
          <w:snapToGrid w:val="0"/>
          <w:lang w:eastAsia="en-US"/>
        </w:rPr>
        <w:t>not</w:t>
      </w:r>
      <w:r w:rsidR="006C3F12">
        <w:rPr>
          <w:snapToGrid w:val="0"/>
          <w:lang w:eastAsia="en-US"/>
        </w:rPr>
        <w:t>ed</w:t>
      </w:r>
      <w:r>
        <w:rPr>
          <w:snapToGrid w:val="0"/>
          <w:lang w:eastAsia="en-US"/>
        </w:rPr>
        <w:t xml:space="preserve"> that this was a stringent requirement</w:t>
      </w:r>
      <w:r w:rsidR="00285FA9">
        <w:rPr>
          <w:snapToGrid w:val="0"/>
          <w:lang w:eastAsia="en-US"/>
        </w:rPr>
        <w:t xml:space="preserve"> for assessing </w:t>
      </w:r>
      <w:proofErr w:type="gramStart"/>
      <w:r w:rsidR="00285FA9">
        <w:rPr>
          <w:snapToGrid w:val="0"/>
          <w:lang w:eastAsia="en-US"/>
        </w:rPr>
        <w:t>response</w:t>
      </w:r>
      <w:r>
        <w:rPr>
          <w:snapToGrid w:val="0"/>
          <w:lang w:eastAsia="en-US"/>
        </w:rPr>
        <w:t xml:space="preserve">, </w:t>
      </w:r>
      <w:r w:rsidR="006C3F12">
        <w:rPr>
          <w:snapToGrid w:val="0"/>
          <w:lang w:eastAsia="en-US"/>
        </w:rPr>
        <w:t>and</w:t>
      </w:r>
      <w:proofErr w:type="gramEnd"/>
      <w:r w:rsidR="006C3F12">
        <w:rPr>
          <w:snapToGrid w:val="0"/>
          <w:lang w:eastAsia="en-US"/>
        </w:rPr>
        <w:t xml:space="preserve"> was </w:t>
      </w:r>
      <w:r>
        <w:rPr>
          <w:snapToGrid w:val="0"/>
          <w:lang w:eastAsia="en-US"/>
        </w:rPr>
        <w:t xml:space="preserve">met in </w:t>
      </w:r>
      <w:proofErr w:type="gramStart"/>
      <w:r w:rsidR="000E174C">
        <w:rPr>
          <w:snapToGrid w:val="0"/>
          <w:lang w:eastAsia="en-US"/>
        </w:rPr>
        <w:t>the majority</w:t>
      </w:r>
      <w:r>
        <w:rPr>
          <w:snapToGrid w:val="0"/>
          <w:lang w:eastAsia="en-US"/>
        </w:rPr>
        <w:t xml:space="preserve"> of</w:t>
      </w:r>
      <w:proofErr w:type="gramEnd"/>
      <w:r>
        <w:rPr>
          <w:snapToGrid w:val="0"/>
          <w:lang w:eastAsia="en-US"/>
        </w:rPr>
        <w:t xml:space="preserve"> patients </w:t>
      </w:r>
      <w:r w:rsidR="006C3F12">
        <w:rPr>
          <w:snapToGrid w:val="0"/>
          <w:lang w:eastAsia="en-US"/>
        </w:rPr>
        <w:t xml:space="preserve">treated with canakinumab </w:t>
      </w:r>
      <w:r>
        <w:rPr>
          <w:snapToGrid w:val="0"/>
          <w:lang w:eastAsia="en-US"/>
        </w:rPr>
        <w:t xml:space="preserve">in the trial. The PBAC considered that based on secondary outcomes in the trial a high proportion of patients would be expected to have a </w:t>
      </w:r>
      <w:r w:rsidR="006C3F12">
        <w:rPr>
          <w:snapToGrid w:val="0"/>
          <w:lang w:eastAsia="en-US"/>
        </w:rPr>
        <w:t xml:space="preserve">clinically </w:t>
      </w:r>
      <w:r>
        <w:rPr>
          <w:snapToGrid w:val="0"/>
          <w:lang w:eastAsia="en-US"/>
        </w:rPr>
        <w:t xml:space="preserve">meaningful response to treatment. </w:t>
      </w:r>
      <w:r w:rsidR="004078CB">
        <w:rPr>
          <w:snapToGrid w:val="0"/>
          <w:lang w:eastAsia="en-US"/>
        </w:rPr>
        <w:t xml:space="preserve">The PBAC noted that </w:t>
      </w:r>
      <w:r w:rsidR="006D1593">
        <w:rPr>
          <w:snapToGrid w:val="0"/>
          <w:lang w:eastAsia="en-US"/>
        </w:rPr>
        <w:t>in</w:t>
      </w:r>
      <w:r w:rsidR="004078CB">
        <w:rPr>
          <w:snapToGrid w:val="0"/>
          <w:lang w:eastAsia="en-US"/>
        </w:rPr>
        <w:t xml:space="preserve"> </w:t>
      </w:r>
      <w:proofErr w:type="spellStart"/>
      <w:r w:rsidR="004078CB">
        <w:rPr>
          <w:snapToGrid w:val="0"/>
          <w:lang w:eastAsia="en-US"/>
        </w:rPr>
        <w:t>crFMF</w:t>
      </w:r>
      <w:proofErr w:type="spellEnd"/>
      <w:r w:rsidR="004078CB">
        <w:rPr>
          <w:snapToGrid w:val="0"/>
          <w:lang w:eastAsia="en-US"/>
        </w:rPr>
        <w:t xml:space="preserve"> patients who did not have a complete response, the annualised number of flares per patient reduced from a baseline of 32.5 to 1.2 with canakinumab treatment. </w:t>
      </w:r>
      <w:r w:rsidR="008E218F" w:rsidRPr="00193B95">
        <w:rPr>
          <w:rFonts w:eastAsia="Times New Roman" w:cs="Arial"/>
          <w:snapToGrid w:val="0"/>
          <w:szCs w:val="24"/>
          <w:lang w:val="en-GB" w:eastAsia="en-US"/>
        </w:rPr>
        <w:t xml:space="preserve">The PBAC considered that </w:t>
      </w:r>
      <w:r w:rsidR="009D1424">
        <w:rPr>
          <w:rFonts w:eastAsia="Times New Roman" w:cs="Arial"/>
          <w:snapToGrid w:val="0"/>
          <w:szCs w:val="24"/>
          <w:lang w:val="en-GB" w:eastAsia="en-US"/>
        </w:rPr>
        <w:t>the restrictions should require that</w:t>
      </w:r>
      <w:r w:rsidR="008E218F" w:rsidRPr="00193B95">
        <w:rPr>
          <w:rFonts w:eastAsia="Times New Roman" w:cs="Arial"/>
          <w:snapToGrid w:val="0"/>
          <w:szCs w:val="24"/>
          <w:lang w:val="en-GB" w:eastAsia="en-US"/>
        </w:rPr>
        <w:t xml:space="preserve"> patients have adequately responded to canakinumab to continue treatment and that it would be </w:t>
      </w:r>
      <w:r w:rsidR="00193B95" w:rsidRPr="00193B95">
        <w:rPr>
          <w:snapToGrid w:val="0"/>
          <w:lang w:eastAsia="en-US"/>
        </w:rPr>
        <w:t xml:space="preserve">reasonable for the response to treatment to be based on clinical judgement, which would include </w:t>
      </w:r>
      <w:r w:rsidR="00193B95">
        <w:rPr>
          <w:snapToGrid w:val="0"/>
          <w:lang w:eastAsia="en-US"/>
        </w:rPr>
        <w:t>consideration of reduction</w:t>
      </w:r>
      <w:r w:rsidR="00193B95" w:rsidRPr="00193B95">
        <w:rPr>
          <w:snapToGrid w:val="0"/>
          <w:lang w:eastAsia="en-US"/>
        </w:rPr>
        <w:t xml:space="preserve"> in </w:t>
      </w:r>
      <w:r w:rsidR="006A0165">
        <w:rPr>
          <w:snapToGrid w:val="0"/>
          <w:lang w:eastAsia="en-US"/>
        </w:rPr>
        <w:t>flares</w:t>
      </w:r>
      <w:r w:rsidR="006A0165" w:rsidRPr="00193B95">
        <w:rPr>
          <w:snapToGrid w:val="0"/>
          <w:lang w:eastAsia="en-US"/>
        </w:rPr>
        <w:t xml:space="preserve"> </w:t>
      </w:r>
      <w:r w:rsidR="00193B95" w:rsidRPr="00193B95">
        <w:rPr>
          <w:snapToGrid w:val="0"/>
          <w:lang w:eastAsia="en-US"/>
        </w:rPr>
        <w:t xml:space="preserve">and/or </w:t>
      </w:r>
      <w:r w:rsidR="006A0165">
        <w:rPr>
          <w:snapToGrid w:val="0"/>
          <w:lang w:eastAsia="en-US"/>
        </w:rPr>
        <w:t>improvement</w:t>
      </w:r>
      <w:r w:rsidR="006A0165" w:rsidRPr="00193B95">
        <w:rPr>
          <w:snapToGrid w:val="0"/>
          <w:lang w:eastAsia="en-US"/>
        </w:rPr>
        <w:t xml:space="preserve"> </w:t>
      </w:r>
      <w:r w:rsidR="00193B95" w:rsidRPr="00193B95">
        <w:rPr>
          <w:snapToGrid w:val="0"/>
          <w:lang w:eastAsia="en-US"/>
        </w:rPr>
        <w:t>of CRP/SAA levels.</w:t>
      </w:r>
      <w:r w:rsidR="005A1F53">
        <w:rPr>
          <w:snapToGrid w:val="0"/>
          <w:lang w:eastAsia="en-US"/>
        </w:rPr>
        <w:t xml:space="preserve"> </w:t>
      </w:r>
    </w:p>
    <w:p w14:paraId="3A25BA3E" w14:textId="1DADAA81" w:rsidR="00A335AB" w:rsidRPr="007D0D4C" w:rsidRDefault="00EB1DD5" w:rsidP="004B083B">
      <w:pPr>
        <w:pStyle w:val="COMESnumberedpara"/>
        <w:rPr>
          <w:snapToGrid w:val="0"/>
          <w:lang w:val="en-GB" w:eastAsia="en-US"/>
        </w:rPr>
      </w:pPr>
      <w:r w:rsidRPr="007D0D4C">
        <w:rPr>
          <w:snapToGrid w:val="0"/>
          <w:lang w:val="en-GB" w:eastAsia="en-US"/>
        </w:rPr>
        <w:t>The</w:t>
      </w:r>
      <w:r w:rsidR="00A335AB" w:rsidRPr="007D0D4C">
        <w:rPr>
          <w:snapToGrid w:val="0"/>
          <w:lang w:val="en-GB" w:eastAsia="en-US"/>
        </w:rPr>
        <w:t xml:space="preserve"> PBAC </w:t>
      </w:r>
      <w:r w:rsidR="001D3675" w:rsidRPr="007D0D4C">
        <w:rPr>
          <w:snapToGrid w:val="0"/>
          <w:lang w:val="en-GB" w:eastAsia="en-US"/>
        </w:rPr>
        <w:t xml:space="preserve">advised </w:t>
      </w:r>
      <w:r w:rsidR="00A335AB" w:rsidRPr="007D0D4C">
        <w:rPr>
          <w:snapToGrid w:val="0"/>
          <w:lang w:val="en-GB" w:eastAsia="en-US"/>
        </w:rPr>
        <w:t xml:space="preserve">that patients must be treated by </w:t>
      </w:r>
      <w:r w:rsidR="00064122" w:rsidRPr="007D0D4C">
        <w:rPr>
          <w:snapToGrid w:val="0"/>
          <w:lang w:val="en-GB" w:eastAsia="en-US"/>
        </w:rPr>
        <w:t>either a</w:t>
      </w:r>
      <w:r w:rsidR="00A335AB" w:rsidRPr="007D0D4C">
        <w:rPr>
          <w:snapToGrid w:val="0"/>
          <w:lang w:val="en-GB" w:eastAsia="en-US"/>
        </w:rPr>
        <w:t xml:space="preserve"> rheumatologist, clinical immunologist, </w:t>
      </w:r>
      <w:r w:rsidR="00EE03BF" w:rsidRPr="007D0D4C">
        <w:rPr>
          <w:snapToGrid w:val="0"/>
          <w:lang w:val="en-GB" w:eastAsia="en-US"/>
        </w:rPr>
        <w:t>paediatrician</w:t>
      </w:r>
      <w:r w:rsidR="00FD2D52">
        <w:rPr>
          <w:snapToGrid w:val="0"/>
          <w:lang w:val="en-GB" w:eastAsia="en-US"/>
        </w:rPr>
        <w:t xml:space="preserve"> or specialist </w:t>
      </w:r>
      <w:r w:rsidR="00A335AB" w:rsidRPr="007D0D4C">
        <w:rPr>
          <w:snapToGrid w:val="0"/>
          <w:lang w:val="en-GB" w:eastAsia="en-US"/>
        </w:rPr>
        <w:t>physician experienced in the management of FMF patients.</w:t>
      </w:r>
      <w:r w:rsidR="001E6976" w:rsidRPr="001E6976">
        <w:t xml:space="preserve"> </w:t>
      </w:r>
      <w:r w:rsidR="00891E79" w:rsidRPr="007D0D4C">
        <w:rPr>
          <w:bCs/>
          <w:snapToGrid w:val="0"/>
          <w:lang w:val="en-GB" w:eastAsia="en-US"/>
        </w:rPr>
        <w:t>The PBAC advised that canakinumab is not suitable for prescribing by nurse practitioners.</w:t>
      </w:r>
      <w:r w:rsidR="00891E79" w:rsidRPr="007D0D4C">
        <w:rPr>
          <w:snapToGrid w:val="0"/>
          <w:lang w:val="en-GB" w:eastAsia="en-US"/>
        </w:rPr>
        <w:t xml:space="preserve"> </w:t>
      </w:r>
    </w:p>
    <w:p w14:paraId="084C339F" w14:textId="7F3D7B6F" w:rsidR="00A2717A" w:rsidRPr="00A335AB" w:rsidRDefault="00A2717A" w:rsidP="004B083B">
      <w:pPr>
        <w:pStyle w:val="COMESnumberedpara"/>
        <w:rPr>
          <w:snapToGrid w:val="0"/>
          <w:lang w:val="en-GB" w:eastAsia="en-US"/>
        </w:rPr>
      </w:pPr>
      <w:r w:rsidRPr="00A2717A">
        <w:rPr>
          <w:snapToGrid w:val="0"/>
          <w:lang w:val="en-GB" w:eastAsia="en-US"/>
        </w:rPr>
        <w:t xml:space="preserve">The PBAC advised that, under subsection 101(3BA) of the </w:t>
      </w:r>
      <w:r w:rsidRPr="00A2717A">
        <w:rPr>
          <w:i/>
          <w:iCs/>
          <w:snapToGrid w:val="0"/>
          <w:lang w:val="en-GB" w:eastAsia="en-US"/>
        </w:rPr>
        <w:t>National Health Act 1953</w:t>
      </w:r>
      <w:r w:rsidRPr="00A2717A">
        <w:rPr>
          <w:snapToGrid w:val="0"/>
          <w:lang w:val="en-GB" w:eastAsia="en-US"/>
        </w:rPr>
        <w:t xml:space="preserve"> canakinumab should not be treated as interchangeable on an individual patient basis with any other drugs.</w:t>
      </w:r>
    </w:p>
    <w:p w14:paraId="06C41E21" w14:textId="050A71C7" w:rsidR="000D1E23" w:rsidRPr="00706703" w:rsidRDefault="000D1E23" w:rsidP="004B083B">
      <w:pPr>
        <w:pStyle w:val="COMESnumberedpara"/>
        <w:rPr>
          <w:snapToGrid w:val="0"/>
          <w:lang w:val="en-GB" w:eastAsia="en-US"/>
        </w:rPr>
      </w:pPr>
      <w:r>
        <w:rPr>
          <w:snapToGrid w:val="0"/>
          <w:lang w:val="en-GB" w:eastAsia="en-US"/>
        </w:rPr>
        <w:t xml:space="preserve">The PBAC considered that </w:t>
      </w:r>
      <w:r w:rsidR="00E857F6">
        <w:rPr>
          <w:snapToGrid w:val="0"/>
          <w:lang w:val="en-GB" w:eastAsia="en-US"/>
        </w:rPr>
        <w:t xml:space="preserve">the Early Supply Rule should not apply to </w:t>
      </w:r>
      <w:r w:rsidR="00B97307">
        <w:rPr>
          <w:snapToGrid w:val="0"/>
          <w:lang w:val="en-GB" w:eastAsia="en-US"/>
        </w:rPr>
        <w:t xml:space="preserve">this listing of </w:t>
      </w:r>
      <w:r w:rsidR="00E857F6">
        <w:rPr>
          <w:snapToGrid w:val="0"/>
          <w:lang w:val="en-GB" w:eastAsia="en-US"/>
        </w:rPr>
        <w:t>canakinumab</w:t>
      </w:r>
      <w:r w:rsidR="008B4FC4" w:rsidRPr="008B4FC4">
        <w:t xml:space="preserve"> </w:t>
      </w:r>
      <w:r w:rsidR="008B4FC4">
        <w:t xml:space="preserve">noting that the </w:t>
      </w:r>
      <w:r w:rsidR="008B4FC4" w:rsidRPr="008B4FC4">
        <w:rPr>
          <w:snapToGrid w:val="0"/>
          <w:lang w:val="en-GB" w:eastAsia="en-US"/>
        </w:rPr>
        <w:t>maximum quantity may not be sufficient for one month supply for patients requiring a</w:t>
      </w:r>
      <w:r w:rsidR="008D4E9D">
        <w:rPr>
          <w:snapToGrid w:val="0"/>
          <w:lang w:val="en-GB" w:eastAsia="en-US"/>
        </w:rPr>
        <w:t xml:space="preserve"> higher</w:t>
      </w:r>
      <w:r w:rsidR="008B4FC4" w:rsidRPr="008B4FC4">
        <w:rPr>
          <w:snapToGrid w:val="0"/>
          <w:lang w:val="en-GB" w:eastAsia="en-US"/>
        </w:rPr>
        <w:t xml:space="preserve"> dosing regimen</w:t>
      </w:r>
      <w:r w:rsidR="002F1F6B">
        <w:rPr>
          <w:snapToGrid w:val="0"/>
          <w:lang w:val="en-GB" w:eastAsia="en-US"/>
        </w:rPr>
        <w:t xml:space="preserve"> to manage flares</w:t>
      </w:r>
      <w:r w:rsidR="00E857F6">
        <w:rPr>
          <w:snapToGrid w:val="0"/>
          <w:lang w:val="en-GB" w:eastAsia="en-US"/>
        </w:rPr>
        <w:t>.</w:t>
      </w:r>
    </w:p>
    <w:p w14:paraId="544E9205" w14:textId="0B2D2B6F" w:rsidR="008A5277" w:rsidRPr="008A5277" w:rsidRDefault="008A5277" w:rsidP="004B083B">
      <w:pPr>
        <w:pStyle w:val="COMESnumberedpara"/>
        <w:rPr>
          <w:rFonts w:eastAsia="Times New Roman" w:cs="Arial"/>
          <w:bCs/>
          <w:snapToGrid w:val="0"/>
          <w:szCs w:val="24"/>
          <w:lang w:val="en-GB" w:eastAsia="en-US"/>
        </w:rPr>
      </w:pPr>
      <w:r w:rsidRPr="008A5277">
        <w:rPr>
          <w:rFonts w:eastAsia="Times New Roman" w:cs="Arial"/>
          <w:bCs/>
          <w:snapToGrid w:val="0"/>
          <w:szCs w:val="24"/>
          <w:lang w:val="en-GB" w:eastAsia="en-US"/>
        </w:rPr>
        <w:t xml:space="preserve">The PBAC found that the criteria prescribed by the National Health (Pharmaceuticals and Vaccines – Cost Recovery) Regulations 2022 for Pricing Pathway A were met. </w:t>
      </w:r>
      <w:r w:rsidR="00706703" w:rsidRPr="008A5277">
        <w:rPr>
          <w:rFonts w:eastAsia="Times New Roman" w:cs="Arial"/>
          <w:bCs/>
          <w:snapToGrid w:val="0"/>
          <w:szCs w:val="24"/>
          <w:lang w:val="en-GB" w:eastAsia="en-US"/>
        </w:rPr>
        <w:t>Specifically,</w:t>
      </w:r>
      <w:r w:rsidRPr="008A5277">
        <w:rPr>
          <w:rFonts w:eastAsia="Times New Roman" w:cs="Arial"/>
          <w:bCs/>
          <w:snapToGrid w:val="0"/>
          <w:szCs w:val="24"/>
          <w:lang w:val="en-GB" w:eastAsia="en-US"/>
        </w:rPr>
        <w:t xml:space="preserve"> the PBAC found that in the circumstances of its recommendation for canakinumab:</w:t>
      </w:r>
    </w:p>
    <w:p w14:paraId="6544A873" w14:textId="18BAD257" w:rsidR="008A5277" w:rsidRPr="008A5277" w:rsidRDefault="008A5277" w:rsidP="004B083B">
      <w:pPr>
        <w:pStyle w:val="COMESnumberedpara"/>
        <w:numPr>
          <w:ilvl w:val="0"/>
          <w:numId w:val="44"/>
        </w:numPr>
        <w:rPr>
          <w:rFonts w:eastAsia="Times New Roman" w:cs="Arial"/>
          <w:bCs/>
          <w:snapToGrid w:val="0"/>
          <w:szCs w:val="24"/>
          <w:lang w:val="en-GB" w:eastAsia="en-US"/>
        </w:rPr>
      </w:pPr>
      <w:r w:rsidRPr="008A5277">
        <w:rPr>
          <w:rFonts w:eastAsia="Times New Roman" w:cs="Arial"/>
          <w:bCs/>
          <w:snapToGrid w:val="0"/>
          <w:szCs w:val="24"/>
          <w:lang w:val="en-GB" w:eastAsia="en-US"/>
        </w:rPr>
        <w:t xml:space="preserve">The treatment is expected to provide a substantial and clinically relevant improvement in efficacy over </w:t>
      </w:r>
      <w:r w:rsidR="00F42381">
        <w:rPr>
          <w:rFonts w:eastAsia="Times New Roman" w:cs="Arial"/>
          <w:bCs/>
          <w:snapToGrid w:val="0"/>
          <w:szCs w:val="24"/>
          <w:lang w:val="en-GB" w:eastAsia="en-US"/>
        </w:rPr>
        <w:t>BSC</w:t>
      </w:r>
      <w:r w:rsidRPr="008A5277">
        <w:rPr>
          <w:rFonts w:eastAsia="Times New Roman" w:cs="Arial"/>
          <w:bCs/>
          <w:snapToGrid w:val="0"/>
          <w:szCs w:val="24"/>
          <w:lang w:val="en-GB" w:eastAsia="en-US"/>
        </w:rPr>
        <w:t xml:space="preserve"> </w:t>
      </w:r>
      <w:r w:rsidR="00813B6D" w:rsidRPr="008A5277">
        <w:rPr>
          <w:rFonts w:eastAsia="Times New Roman" w:cs="Arial"/>
          <w:bCs/>
          <w:snapToGrid w:val="0"/>
          <w:szCs w:val="24"/>
          <w:lang w:val="en-GB" w:eastAsia="en-US"/>
        </w:rPr>
        <w:t>based on</w:t>
      </w:r>
      <w:r w:rsidRPr="008A5277">
        <w:rPr>
          <w:rFonts w:eastAsia="Times New Roman" w:cs="Arial"/>
          <w:bCs/>
          <w:snapToGrid w:val="0"/>
          <w:szCs w:val="24"/>
          <w:lang w:val="en-GB" w:eastAsia="en-US"/>
        </w:rPr>
        <w:t xml:space="preserve"> the result from the CLUSTER trial; </w:t>
      </w:r>
    </w:p>
    <w:p w14:paraId="078723B7" w14:textId="77777777" w:rsidR="0077620E" w:rsidRPr="0077620E" w:rsidRDefault="008A5277" w:rsidP="004B083B">
      <w:pPr>
        <w:pStyle w:val="COMESnumberedpara"/>
        <w:numPr>
          <w:ilvl w:val="0"/>
          <w:numId w:val="44"/>
        </w:numPr>
        <w:rPr>
          <w:bCs/>
          <w:snapToGrid w:val="0"/>
          <w:lang w:val="en-GB" w:eastAsia="en-US"/>
        </w:rPr>
      </w:pPr>
      <w:r w:rsidRPr="0077620E">
        <w:rPr>
          <w:rFonts w:eastAsia="Times New Roman" w:cs="Arial"/>
          <w:bCs/>
          <w:snapToGrid w:val="0"/>
          <w:szCs w:val="24"/>
          <w:lang w:val="en-GB" w:eastAsia="en-US"/>
        </w:rPr>
        <w:t>The treatment is expected to address a high and urgent unmet clinical need because there are no other PBS listed therapies for this condition</w:t>
      </w:r>
      <w:r w:rsidR="0077620E" w:rsidRPr="0077620E">
        <w:rPr>
          <w:rFonts w:eastAsia="Times New Roman" w:cs="Arial"/>
          <w:bCs/>
          <w:snapToGrid w:val="0"/>
          <w:szCs w:val="24"/>
          <w:lang w:val="en-GB" w:eastAsia="en-US"/>
        </w:rPr>
        <w:t xml:space="preserve">; and </w:t>
      </w:r>
    </w:p>
    <w:p w14:paraId="4DA6501B" w14:textId="0EBE8A50" w:rsidR="0093649C" w:rsidRPr="00C065B0" w:rsidRDefault="008A5277" w:rsidP="004B083B">
      <w:pPr>
        <w:pStyle w:val="COMESnumberedpara"/>
        <w:numPr>
          <w:ilvl w:val="0"/>
          <w:numId w:val="44"/>
        </w:numPr>
        <w:rPr>
          <w:bCs/>
          <w:snapToGrid w:val="0"/>
          <w:lang w:val="en-GB" w:eastAsia="en-US"/>
        </w:rPr>
      </w:pPr>
      <w:r w:rsidRPr="0077620E">
        <w:rPr>
          <w:rFonts w:eastAsia="Times New Roman" w:cs="Arial"/>
          <w:bCs/>
          <w:snapToGrid w:val="0"/>
          <w:szCs w:val="24"/>
          <w:lang w:val="en-GB" w:eastAsia="en-US"/>
        </w:rPr>
        <w:t xml:space="preserve">It would be in the public interest for the subsequent pricing application to be progressed under Pricing Pathway </w:t>
      </w:r>
      <w:proofErr w:type="gramStart"/>
      <w:r w:rsidRPr="0077620E">
        <w:rPr>
          <w:rFonts w:eastAsia="Times New Roman" w:cs="Arial"/>
          <w:bCs/>
          <w:snapToGrid w:val="0"/>
          <w:szCs w:val="24"/>
          <w:lang w:val="en-GB" w:eastAsia="en-US"/>
        </w:rPr>
        <w:t>A on the basis of</w:t>
      </w:r>
      <w:proofErr w:type="gramEnd"/>
      <w:r w:rsidRPr="0077620E">
        <w:rPr>
          <w:rFonts w:eastAsia="Times New Roman" w:cs="Arial"/>
          <w:bCs/>
          <w:snapToGrid w:val="0"/>
          <w:szCs w:val="24"/>
          <w:lang w:val="en-GB" w:eastAsia="en-US"/>
        </w:rPr>
        <w:t xml:space="preserve"> the preceding findings.</w:t>
      </w:r>
    </w:p>
    <w:p w14:paraId="599C935B" w14:textId="3359B71C" w:rsidR="00C065B0" w:rsidRPr="00C065B0" w:rsidRDefault="0093649C" w:rsidP="004B083B">
      <w:pPr>
        <w:pStyle w:val="COMESnumberedpara"/>
        <w:rPr>
          <w:bCs/>
          <w:i/>
          <w:snapToGrid w:val="0"/>
          <w:lang w:val="en-GB" w:eastAsia="en-US"/>
        </w:rPr>
      </w:pPr>
      <w:r w:rsidRPr="00C065B0">
        <w:rPr>
          <w:bCs/>
          <w:snapToGrid w:val="0"/>
          <w:lang w:val="en-GB" w:eastAsia="en-US"/>
        </w:rPr>
        <w:t>The PBAC noted that this submission is not eligible for an Independent Review</w:t>
      </w:r>
      <w:r>
        <w:rPr>
          <w:bCs/>
          <w:snapToGrid w:val="0"/>
          <w:lang w:val="en-GB" w:eastAsia="en-US"/>
        </w:rPr>
        <w:t xml:space="preserve"> as it received a positive recommendation</w:t>
      </w:r>
      <w:r w:rsidRPr="00C065B0">
        <w:rPr>
          <w:bCs/>
          <w:snapToGrid w:val="0"/>
          <w:lang w:val="en-GB" w:eastAsia="en-US"/>
        </w:rPr>
        <w:t xml:space="preserve">. </w:t>
      </w:r>
    </w:p>
    <w:p w14:paraId="3115ACE2" w14:textId="77777777" w:rsidR="00C065B0" w:rsidRPr="00C065B0" w:rsidRDefault="00C065B0" w:rsidP="004B083B">
      <w:pPr>
        <w:spacing w:before="240"/>
        <w:rPr>
          <w:rFonts w:asciiTheme="minorHAnsi" w:hAnsiTheme="minorHAnsi"/>
          <w:b/>
          <w:bCs/>
          <w:snapToGrid w:val="0"/>
          <w:lang w:val="en-GB" w:eastAsia="en-US"/>
        </w:rPr>
      </w:pPr>
      <w:r w:rsidRPr="00C065B0">
        <w:rPr>
          <w:rFonts w:asciiTheme="minorHAnsi" w:hAnsiTheme="minorHAnsi"/>
          <w:b/>
          <w:bCs/>
          <w:snapToGrid w:val="0"/>
          <w:lang w:val="en-GB" w:eastAsia="en-US"/>
        </w:rPr>
        <w:t>Outcome:</w:t>
      </w:r>
    </w:p>
    <w:p w14:paraId="27961C91" w14:textId="5CCBC5DA" w:rsidR="00C065B0" w:rsidRPr="00C065B0" w:rsidRDefault="00C065B0" w:rsidP="004B083B">
      <w:pPr>
        <w:spacing w:after="120"/>
        <w:rPr>
          <w:rFonts w:asciiTheme="minorHAnsi" w:hAnsiTheme="minorHAnsi"/>
          <w:bCs/>
          <w:snapToGrid w:val="0"/>
          <w:lang w:val="en-GB" w:eastAsia="en-US"/>
        </w:rPr>
      </w:pPr>
      <w:r w:rsidRPr="00C065B0">
        <w:rPr>
          <w:rFonts w:asciiTheme="minorHAnsi" w:hAnsiTheme="minorHAnsi"/>
          <w:bCs/>
          <w:snapToGrid w:val="0"/>
          <w:lang w:val="en-GB" w:eastAsia="en-US"/>
        </w:rPr>
        <w:t>Recommended</w:t>
      </w:r>
    </w:p>
    <w:bookmarkEnd w:id="73"/>
    <w:p w14:paraId="0AE7D7DD" w14:textId="77777777" w:rsidR="00C065B0" w:rsidRPr="00C065B0" w:rsidRDefault="00C065B0" w:rsidP="004B083B">
      <w:pPr>
        <w:keepNext/>
        <w:numPr>
          <w:ilvl w:val="0"/>
          <w:numId w:val="1"/>
        </w:numPr>
        <w:spacing w:before="240" w:after="120"/>
        <w:jc w:val="left"/>
        <w:outlineLvl w:val="0"/>
        <w:rPr>
          <w:rFonts w:asciiTheme="minorHAnsi" w:hAnsiTheme="minorHAnsi"/>
          <w:b/>
          <w:snapToGrid w:val="0"/>
          <w:sz w:val="32"/>
          <w:szCs w:val="32"/>
        </w:rPr>
      </w:pPr>
      <w:r w:rsidRPr="00C065B0">
        <w:rPr>
          <w:rFonts w:asciiTheme="minorHAnsi" w:hAnsiTheme="minorHAnsi"/>
          <w:b/>
          <w:snapToGrid w:val="0"/>
          <w:sz w:val="32"/>
          <w:szCs w:val="32"/>
        </w:rPr>
        <w:lastRenderedPageBreak/>
        <w:t>Recommended listing</w:t>
      </w:r>
    </w:p>
    <w:p w14:paraId="3D8B389C" w14:textId="4DAD271C" w:rsidR="003A086E" w:rsidRPr="003A086E" w:rsidRDefault="003A086E" w:rsidP="004B083B">
      <w:pPr>
        <w:numPr>
          <w:ilvl w:val="1"/>
          <w:numId w:val="1"/>
        </w:numPr>
        <w:spacing w:after="120"/>
        <w:contextualSpacing/>
        <w:jc w:val="left"/>
        <w:rPr>
          <w:rFonts w:asciiTheme="minorHAnsi" w:hAnsiTheme="minorHAnsi"/>
          <w:b/>
          <w:bCs/>
          <w:snapToGrid w:val="0"/>
          <w:lang w:eastAsia="en-US"/>
        </w:rPr>
      </w:pPr>
      <w:r>
        <w:rPr>
          <w:rFonts w:asciiTheme="minorHAnsi" w:hAnsiTheme="minorHAnsi"/>
          <w:bCs/>
          <w:snapToGrid w:val="0"/>
          <w:lang w:eastAsia="en-US"/>
        </w:rPr>
        <w:t xml:space="preserve">Add new item: </w:t>
      </w:r>
    </w:p>
    <w:p w14:paraId="596D5D10" w14:textId="77777777" w:rsidR="009A2990" w:rsidRPr="008A446F" w:rsidRDefault="009A2990" w:rsidP="004B083B">
      <w:pPr>
        <w:pStyle w:val="paragraph"/>
        <w:spacing w:before="0" w:beforeAutospacing="0" w:after="0" w:afterAutospacing="0"/>
        <w:jc w:val="both"/>
        <w:textAlignment w:val="baseline"/>
        <w:rPr>
          <w:rFonts w:asciiTheme="minorHAnsi" w:hAnsiTheme="minorHAnsi" w:cstheme="minorHAnsi"/>
          <w:sz w:val="18"/>
          <w:szCs w:val="18"/>
        </w:rPr>
      </w:pPr>
      <w:bookmarkStart w:id="77" w:name="_Hlk217369206"/>
      <w:bookmarkEnd w:id="74"/>
    </w:p>
    <w:p w14:paraId="22E3CE94" w14:textId="0CE426EA" w:rsidR="00BE7AD7" w:rsidRPr="00BE7AD7" w:rsidRDefault="00BE7AD7" w:rsidP="00354DB7">
      <w:pPr>
        <w:keepNext/>
        <w:rPr>
          <w:rFonts w:ascii="Arial Narrow" w:hAnsi="Arial Narrow" w:cstheme="minorHAnsi"/>
          <w:b/>
          <w:bCs/>
          <w:color w:val="FF0000"/>
          <w:sz w:val="20"/>
          <w:szCs w:val="20"/>
        </w:rPr>
      </w:pPr>
      <w:r w:rsidRPr="00BE7AD7">
        <w:rPr>
          <w:rFonts w:ascii="Arial Narrow" w:hAnsi="Arial Narrow" w:cstheme="minorHAnsi"/>
          <w:b/>
          <w:bCs/>
          <w:sz w:val="20"/>
          <w:szCs w:val="20"/>
        </w:rPr>
        <w:t>Initial</w:t>
      </w:r>
      <w:r w:rsidR="0037773A" w:rsidRPr="00BE7AD7" w:rsidDel="0037773A">
        <w:rPr>
          <w:rFonts w:ascii="Arial Narrow" w:hAnsi="Arial Narrow" w:cstheme="minorHAnsi"/>
          <w:b/>
          <w:bCs/>
          <w:color w:val="FF0000"/>
          <w:sz w:val="20"/>
          <w:szCs w:val="20"/>
        </w:rPr>
        <w:t xml:space="preserve">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1576"/>
        <w:gridCol w:w="2363"/>
        <w:gridCol w:w="1019"/>
        <w:gridCol w:w="849"/>
        <w:gridCol w:w="709"/>
        <w:gridCol w:w="850"/>
        <w:gridCol w:w="1701"/>
      </w:tblGrid>
      <w:tr w:rsidR="00BE7AD7" w:rsidRPr="00BE7AD7" w14:paraId="0EF41BD3" w14:textId="77777777" w:rsidTr="00A1182B">
        <w:trPr>
          <w:cantSplit/>
          <w:trHeight w:val="20"/>
        </w:trPr>
        <w:tc>
          <w:tcPr>
            <w:tcW w:w="3939" w:type="dxa"/>
            <w:gridSpan w:val="2"/>
            <w:vAlign w:val="center"/>
          </w:tcPr>
          <w:p w14:paraId="1878CA2A" w14:textId="77777777" w:rsidR="00BE7AD7" w:rsidRPr="00BE7AD7" w:rsidRDefault="00BE7AD7" w:rsidP="00354DB7">
            <w:pPr>
              <w:keepNext/>
              <w:rPr>
                <w:rFonts w:ascii="Arial Narrow" w:hAnsi="Arial Narrow"/>
                <w:b/>
                <w:bCs/>
                <w:sz w:val="20"/>
                <w:szCs w:val="20"/>
              </w:rPr>
            </w:pPr>
            <w:r w:rsidRPr="00BE7AD7">
              <w:rPr>
                <w:rFonts w:ascii="Arial Narrow" w:hAnsi="Arial Narrow"/>
                <w:b/>
                <w:bCs/>
                <w:sz w:val="20"/>
                <w:szCs w:val="20"/>
              </w:rPr>
              <w:t>MEDICINAL PRODUCT</w:t>
            </w:r>
          </w:p>
          <w:p w14:paraId="6CF0668A" w14:textId="77777777" w:rsidR="00BE7AD7" w:rsidRPr="00BE7AD7" w:rsidRDefault="00BE7AD7" w:rsidP="00354DB7">
            <w:pPr>
              <w:keepNext/>
              <w:rPr>
                <w:rFonts w:ascii="Arial Narrow" w:hAnsi="Arial Narrow"/>
                <w:b/>
                <w:sz w:val="20"/>
                <w:szCs w:val="20"/>
              </w:rPr>
            </w:pPr>
            <w:r w:rsidRPr="00BE7AD7">
              <w:rPr>
                <w:rFonts w:ascii="Arial Narrow" w:hAnsi="Arial Narrow"/>
                <w:b/>
                <w:bCs/>
                <w:sz w:val="20"/>
                <w:szCs w:val="20"/>
              </w:rPr>
              <w:t>medicinal product pack</w:t>
            </w:r>
          </w:p>
        </w:tc>
        <w:tc>
          <w:tcPr>
            <w:tcW w:w="1019" w:type="dxa"/>
            <w:vAlign w:val="center"/>
          </w:tcPr>
          <w:p w14:paraId="5D9AA3F2" w14:textId="77777777" w:rsidR="00BE7AD7" w:rsidRPr="00BE7AD7" w:rsidRDefault="00BE7AD7" w:rsidP="00354DB7">
            <w:pPr>
              <w:keepNext/>
              <w:jc w:val="center"/>
              <w:rPr>
                <w:rFonts w:ascii="Arial Narrow" w:hAnsi="Arial Narrow"/>
                <w:b/>
                <w:sz w:val="20"/>
                <w:szCs w:val="20"/>
              </w:rPr>
            </w:pPr>
            <w:r w:rsidRPr="00BE7AD7">
              <w:rPr>
                <w:rFonts w:ascii="Arial Narrow" w:hAnsi="Arial Narrow"/>
                <w:b/>
                <w:sz w:val="20"/>
                <w:szCs w:val="20"/>
              </w:rPr>
              <w:t>PBS item code</w:t>
            </w:r>
          </w:p>
        </w:tc>
        <w:tc>
          <w:tcPr>
            <w:tcW w:w="849" w:type="dxa"/>
            <w:vAlign w:val="center"/>
          </w:tcPr>
          <w:p w14:paraId="10905B0D" w14:textId="77777777" w:rsidR="00BE7AD7" w:rsidRPr="00BE7AD7" w:rsidRDefault="00BE7AD7" w:rsidP="00354DB7">
            <w:pPr>
              <w:keepNext/>
              <w:jc w:val="center"/>
              <w:rPr>
                <w:rFonts w:ascii="Arial Narrow" w:hAnsi="Arial Narrow"/>
                <w:b/>
                <w:sz w:val="20"/>
                <w:szCs w:val="20"/>
              </w:rPr>
            </w:pPr>
            <w:r w:rsidRPr="00BE7AD7">
              <w:rPr>
                <w:rFonts w:ascii="Arial Narrow" w:hAnsi="Arial Narrow"/>
                <w:b/>
                <w:sz w:val="20"/>
                <w:szCs w:val="20"/>
              </w:rPr>
              <w:t>Max. qty packs</w:t>
            </w:r>
          </w:p>
        </w:tc>
        <w:tc>
          <w:tcPr>
            <w:tcW w:w="709" w:type="dxa"/>
            <w:vAlign w:val="center"/>
          </w:tcPr>
          <w:p w14:paraId="0D01B6ED" w14:textId="77777777" w:rsidR="00BE7AD7" w:rsidRPr="00BE7AD7" w:rsidRDefault="00BE7AD7" w:rsidP="00354DB7">
            <w:pPr>
              <w:keepNext/>
              <w:jc w:val="center"/>
              <w:rPr>
                <w:rFonts w:ascii="Arial Narrow" w:hAnsi="Arial Narrow"/>
                <w:b/>
                <w:sz w:val="20"/>
                <w:szCs w:val="20"/>
              </w:rPr>
            </w:pPr>
            <w:r w:rsidRPr="00BE7AD7">
              <w:rPr>
                <w:rFonts w:ascii="Arial Narrow" w:hAnsi="Arial Narrow"/>
                <w:b/>
                <w:sz w:val="20"/>
                <w:szCs w:val="20"/>
              </w:rPr>
              <w:t>Max. qty units</w:t>
            </w:r>
          </w:p>
        </w:tc>
        <w:tc>
          <w:tcPr>
            <w:tcW w:w="850" w:type="dxa"/>
            <w:vAlign w:val="center"/>
          </w:tcPr>
          <w:p w14:paraId="15D3543A" w14:textId="77777777" w:rsidR="00BE7AD7" w:rsidRPr="00BE7AD7" w:rsidRDefault="00BE7AD7" w:rsidP="00354DB7">
            <w:pPr>
              <w:keepNext/>
              <w:jc w:val="center"/>
              <w:rPr>
                <w:rFonts w:ascii="Arial Narrow" w:hAnsi="Arial Narrow"/>
                <w:b/>
                <w:sz w:val="20"/>
                <w:szCs w:val="20"/>
              </w:rPr>
            </w:pPr>
            <w:proofErr w:type="gramStart"/>
            <w:r w:rsidRPr="00BE7AD7">
              <w:rPr>
                <w:rFonts w:ascii="Arial Narrow" w:hAnsi="Arial Narrow"/>
                <w:b/>
                <w:sz w:val="20"/>
                <w:szCs w:val="20"/>
              </w:rPr>
              <w:t>№.of</w:t>
            </w:r>
            <w:proofErr w:type="gramEnd"/>
          </w:p>
          <w:p w14:paraId="6752FC66" w14:textId="77777777" w:rsidR="00BE7AD7" w:rsidRPr="00BE7AD7" w:rsidRDefault="00BE7AD7" w:rsidP="00354DB7">
            <w:pPr>
              <w:keepNext/>
              <w:jc w:val="center"/>
              <w:rPr>
                <w:rFonts w:ascii="Arial Narrow" w:hAnsi="Arial Narrow"/>
                <w:b/>
                <w:sz w:val="20"/>
                <w:szCs w:val="20"/>
              </w:rPr>
            </w:pPr>
            <w:proofErr w:type="spellStart"/>
            <w:r w:rsidRPr="00BE7AD7">
              <w:rPr>
                <w:rFonts w:ascii="Arial Narrow" w:hAnsi="Arial Narrow"/>
                <w:b/>
                <w:sz w:val="20"/>
                <w:szCs w:val="20"/>
              </w:rPr>
              <w:t>Rpts</w:t>
            </w:r>
            <w:proofErr w:type="spellEnd"/>
          </w:p>
        </w:tc>
        <w:tc>
          <w:tcPr>
            <w:tcW w:w="1701" w:type="dxa"/>
            <w:vAlign w:val="center"/>
          </w:tcPr>
          <w:p w14:paraId="75A9D242" w14:textId="77777777" w:rsidR="00BE7AD7" w:rsidRPr="00BE7AD7" w:rsidRDefault="00BE7AD7" w:rsidP="00354DB7">
            <w:pPr>
              <w:keepNext/>
              <w:rPr>
                <w:rFonts w:ascii="Arial Narrow" w:hAnsi="Arial Narrow"/>
                <w:b/>
                <w:sz w:val="20"/>
                <w:szCs w:val="20"/>
                <w:lang w:val="fr-FR"/>
              </w:rPr>
            </w:pPr>
            <w:r w:rsidRPr="00BE7AD7">
              <w:rPr>
                <w:rFonts w:ascii="Arial Narrow" w:hAnsi="Arial Narrow"/>
                <w:b/>
                <w:sz w:val="20"/>
                <w:szCs w:val="20"/>
              </w:rPr>
              <w:t>Available brands</w:t>
            </w:r>
          </w:p>
        </w:tc>
      </w:tr>
      <w:tr w:rsidR="00BE7AD7" w:rsidRPr="00BE7AD7" w14:paraId="2A992D86" w14:textId="77777777" w:rsidTr="00474C58">
        <w:trPr>
          <w:cantSplit/>
          <w:trHeight w:val="20"/>
        </w:trPr>
        <w:tc>
          <w:tcPr>
            <w:tcW w:w="9067" w:type="dxa"/>
            <w:gridSpan w:val="7"/>
            <w:vAlign w:val="center"/>
          </w:tcPr>
          <w:p w14:paraId="45DC2C38" w14:textId="77777777" w:rsidR="00BE7AD7" w:rsidRPr="00BE7AD7" w:rsidRDefault="00BE7AD7" w:rsidP="00354DB7">
            <w:pPr>
              <w:keepNext/>
              <w:rPr>
                <w:rFonts w:ascii="Arial Narrow" w:hAnsi="Arial Narrow"/>
                <w:sz w:val="20"/>
                <w:szCs w:val="20"/>
              </w:rPr>
            </w:pPr>
            <w:r w:rsidRPr="00BE7AD7">
              <w:rPr>
                <w:rFonts w:ascii="Arial Narrow" w:hAnsi="Arial Narrow"/>
                <w:sz w:val="20"/>
                <w:szCs w:val="20"/>
              </w:rPr>
              <w:t>CANAKINUMAB</w:t>
            </w:r>
          </w:p>
        </w:tc>
      </w:tr>
      <w:tr w:rsidR="00BE7AD7" w:rsidRPr="00BE7AD7" w14:paraId="3AB0FB4D" w14:textId="77777777" w:rsidTr="00A1182B">
        <w:trPr>
          <w:cantSplit/>
          <w:trHeight w:val="20"/>
        </w:trPr>
        <w:tc>
          <w:tcPr>
            <w:tcW w:w="3939" w:type="dxa"/>
            <w:gridSpan w:val="2"/>
            <w:vAlign w:val="center"/>
          </w:tcPr>
          <w:p w14:paraId="5174249A" w14:textId="77777777" w:rsidR="00BE7AD7" w:rsidRPr="00BE7AD7" w:rsidRDefault="00BE7AD7" w:rsidP="004B083B">
            <w:pPr>
              <w:keepLines/>
              <w:rPr>
                <w:rFonts w:ascii="Arial Narrow" w:hAnsi="Arial Narrow"/>
                <w:sz w:val="20"/>
                <w:szCs w:val="20"/>
              </w:rPr>
            </w:pPr>
            <w:r w:rsidRPr="00BE7AD7">
              <w:rPr>
                <w:rFonts w:ascii="Arial Narrow" w:hAnsi="Arial Narrow"/>
                <w:sz w:val="20"/>
                <w:szCs w:val="20"/>
              </w:rPr>
              <w:t>Canakinumab 150 mg injection, 1 vial</w:t>
            </w:r>
          </w:p>
        </w:tc>
        <w:tc>
          <w:tcPr>
            <w:tcW w:w="1019" w:type="dxa"/>
            <w:vAlign w:val="center"/>
          </w:tcPr>
          <w:p w14:paraId="6FAD0740" w14:textId="77777777" w:rsidR="00BE7AD7" w:rsidRPr="00BE7AD7" w:rsidRDefault="00BE7AD7" w:rsidP="004B083B">
            <w:pPr>
              <w:keepLines/>
              <w:jc w:val="center"/>
              <w:rPr>
                <w:rFonts w:ascii="Arial Narrow" w:hAnsi="Arial Narrow"/>
                <w:sz w:val="20"/>
                <w:szCs w:val="20"/>
              </w:rPr>
            </w:pPr>
            <w:r w:rsidRPr="00BE7AD7">
              <w:rPr>
                <w:rFonts w:ascii="Arial Narrow" w:hAnsi="Arial Narrow"/>
                <w:sz w:val="20"/>
                <w:szCs w:val="20"/>
              </w:rPr>
              <w:t>NEW/HSD Public</w:t>
            </w:r>
          </w:p>
          <w:p w14:paraId="5BFC2440" w14:textId="77777777" w:rsidR="00BE7AD7" w:rsidRPr="00BE7AD7" w:rsidRDefault="00BE7AD7" w:rsidP="004B083B">
            <w:pPr>
              <w:keepLines/>
              <w:jc w:val="center"/>
              <w:rPr>
                <w:rFonts w:ascii="Arial Narrow" w:hAnsi="Arial Narrow"/>
                <w:sz w:val="20"/>
                <w:szCs w:val="20"/>
              </w:rPr>
            </w:pPr>
            <w:r w:rsidRPr="00BE7AD7">
              <w:rPr>
                <w:rFonts w:ascii="Arial Narrow" w:hAnsi="Arial Narrow"/>
                <w:sz w:val="12"/>
                <w:szCs w:val="12"/>
              </w:rPr>
              <w:t>MP</w:t>
            </w:r>
          </w:p>
        </w:tc>
        <w:tc>
          <w:tcPr>
            <w:tcW w:w="849" w:type="dxa"/>
            <w:vAlign w:val="center"/>
          </w:tcPr>
          <w:p w14:paraId="73078AC8" w14:textId="77777777" w:rsidR="00BE7AD7" w:rsidRPr="00BE7AD7" w:rsidRDefault="00BE7AD7" w:rsidP="004B083B">
            <w:pPr>
              <w:keepLines/>
              <w:jc w:val="center"/>
              <w:rPr>
                <w:rFonts w:ascii="Arial Narrow" w:hAnsi="Arial Narrow"/>
                <w:sz w:val="20"/>
                <w:szCs w:val="20"/>
              </w:rPr>
            </w:pPr>
            <w:r w:rsidRPr="00BE7AD7">
              <w:rPr>
                <w:rFonts w:ascii="Arial Narrow" w:hAnsi="Arial Narrow"/>
                <w:sz w:val="20"/>
                <w:szCs w:val="20"/>
              </w:rPr>
              <w:t>1</w:t>
            </w:r>
          </w:p>
        </w:tc>
        <w:tc>
          <w:tcPr>
            <w:tcW w:w="709" w:type="dxa"/>
            <w:vAlign w:val="center"/>
          </w:tcPr>
          <w:p w14:paraId="03640B34" w14:textId="77777777" w:rsidR="00BE7AD7" w:rsidRPr="00BE7AD7" w:rsidRDefault="00BE7AD7" w:rsidP="004B083B">
            <w:pPr>
              <w:keepLines/>
              <w:jc w:val="center"/>
              <w:rPr>
                <w:rFonts w:ascii="Arial Narrow" w:hAnsi="Arial Narrow"/>
                <w:color w:val="FF0000"/>
                <w:sz w:val="20"/>
                <w:szCs w:val="20"/>
              </w:rPr>
            </w:pPr>
            <w:r w:rsidRPr="00BE7AD7">
              <w:rPr>
                <w:rFonts w:ascii="Arial Narrow" w:hAnsi="Arial Narrow"/>
                <w:sz w:val="20"/>
                <w:szCs w:val="20"/>
              </w:rPr>
              <w:t xml:space="preserve">1 </w:t>
            </w:r>
          </w:p>
        </w:tc>
        <w:tc>
          <w:tcPr>
            <w:tcW w:w="850" w:type="dxa"/>
            <w:vAlign w:val="center"/>
          </w:tcPr>
          <w:p w14:paraId="300E76C6" w14:textId="77777777" w:rsidR="00BE7AD7" w:rsidRPr="00BE7AD7" w:rsidRDefault="00BE7AD7" w:rsidP="004B083B">
            <w:pPr>
              <w:keepLines/>
              <w:jc w:val="center"/>
              <w:rPr>
                <w:rFonts w:ascii="Arial Narrow" w:hAnsi="Arial Narrow"/>
                <w:sz w:val="20"/>
                <w:szCs w:val="20"/>
              </w:rPr>
            </w:pPr>
            <w:r w:rsidRPr="00BE7AD7">
              <w:rPr>
                <w:rFonts w:ascii="Arial Narrow" w:hAnsi="Arial Narrow"/>
                <w:sz w:val="20"/>
                <w:szCs w:val="20"/>
              </w:rPr>
              <w:t>5</w:t>
            </w:r>
          </w:p>
        </w:tc>
        <w:tc>
          <w:tcPr>
            <w:tcW w:w="1701" w:type="dxa"/>
            <w:vAlign w:val="center"/>
          </w:tcPr>
          <w:p w14:paraId="35EF5C34" w14:textId="77777777" w:rsidR="00BE7AD7" w:rsidRPr="00BE7AD7" w:rsidRDefault="00BE7AD7" w:rsidP="004B083B">
            <w:pPr>
              <w:keepLines/>
              <w:rPr>
                <w:rFonts w:ascii="Arial Narrow" w:hAnsi="Arial Narrow"/>
                <w:sz w:val="20"/>
                <w:szCs w:val="20"/>
              </w:rPr>
            </w:pPr>
            <w:proofErr w:type="spellStart"/>
            <w:r w:rsidRPr="00BE7AD7">
              <w:rPr>
                <w:rFonts w:ascii="Arial Narrow" w:hAnsi="Arial Narrow"/>
                <w:sz w:val="20"/>
                <w:szCs w:val="20"/>
              </w:rPr>
              <w:t>Ilaris</w:t>
            </w:r>
            <w:proofErr w:type="spellEnd"/>
          </w:p>
        </w:tc>
      </w:tr>
      <w:tr w:rsidR="00BE7AD7" w:rsidRPr="00BE7AD7" w14:paraId="7BBE57FF" w14:textId="77777777" w:rsidTr="00A1182B">
        <w:trPr>
          <w:cantSplit/>
          <w:trHeight w:val="20"/>
        </w:trPr>
        <w:tc>
          <w:tcPr>
            <w:tcW w:w="3939" w:type="dxa"/>
            <w:gridSpan w:val="2"/>
            <w:vAlign w:val="center"/>
          </w:tcPr>
          <w:p w14:paraId="32A58C98" w14:textId="77777777" w:rsidR="00BE7AD7" w:rsidRPr="00BE7AD7" w:rsidRDefault="00BE7AD7" w:rsidP="004B083B">
            <w:pPr>
              <w:keepLines/>
              <w:rPr>
                <w:rFonts w:ascii="Arial Narrow" w:hAnsi="Arial Narrow"/>
                <w:sz w:val="20"/>
                <w:szCs w:val="20"/>
              </w:rPr>
            </w:pPr>
            <w:r w:rsidRPr="00BE7AD7">
              <w:rPr>
                <w:rFonts w:ascii="Arial Narrow" w:hAnsi="Arial Narrow"/>
                <w:sz w:val="20"/>
                <w:szCs w:val="20"/>
              </w:rPr>
              <w:t>Canakinumab 150 mg injection, 1 vial</w:t>
            </w:r>
          </w:p>
        </w:tc>
        <w:tc>
          <w:tcPr>
            <w:tcW w:w="1019" w:type="dxa"/>
            <w:vAlign w:val="center"/>
          </w:tcPr>
          <w:p w14:paraId="140F71F9" w14:textId="77777777" w:rsidR="00BE7AD7" w:rsidRPr="00BE7AD7" w:rsidRDefault="00BE7AD7" w:rsidP="004B083B">
            <w:pPr>
              <w:keepLines/>
              <w:jc w:val="center"/>
              <w:rPr>
                <w:rFonts w:ascii="Arial Narrow" w:hAnsi="Arial Narrow"/>
                <w:sz w:val="20"/>
                <w:szCs w:val="20"/>
              </w:rPr>
            </w:pPr>
            <w:r w:rsidRPr="00BE7AD7">
              <w:rPr>
                <w:rFonts w:ascii="Arial Narrow" w:hAnsi="Arial Narrow"/>
                <w:sz w:val="20"/>
                <w:szCs w:val="20"/>
              </w:rPr>
              <w:t>NEW/ HSD Private</w:t>
            </w:r>
          </w:p>
          <w:p w14:paraId="2F940D43" w14:textId="77777777" w:rsidR="00BE7AD7" w:rsidRPr="00BE7AD7" w:rsidRDefault="00BE7AD7" w:rsidP="004B083B">
            <w:pPr>
              <w:keepLines/>
              <w:jc w:val="center"/>
              <w:rPr>
                <w:rFonts w:ascii="Arial Narrow" w:hAnsi="Arial Narrow"/>
                <w:sz w:val="20"/>
                <w:szCs w:val="20"/>
              </w:rPr>
            </w:pPr>
            <w:r w:rsidRPr="00BE7AD7">
              <w:rPr>
                <w:rFonts w:ascii="Arial Narrow" w:hAnsi="Arial Narrow"/>
                <w:sz w:val="12"/>
                <w:szCs w:val="12"/>
              </w:rPr>
              <w:t>MP</w:t>
            </w:r>
          </w:p>
        </w:tc>
        <w:tc>
          <w:tcPr>
            <w:tcW w:w="849" w:type="dxa"/>
            <w:vAlign w:val="center"/>
          </w:tcPr>
          <w:p w14:paraId="5DCD98D5" w14:textId="77777777" w:rsidR="00BE7AD7" w:rsidRPr="00BE7AD7" w:rsidRDefault="00BE7AD7" w:rsidP="004B083B">
            <w:pPr>
              <w:keepLines/>
              <w:jc w:val="center"/>
              <w:rPr>
                <w:rFonts w:ascii="Arial Narrow" w:hAnsi="Arial Narrow"/>
                <w:sz w:val="20"/>
                <w:szCs w:val="20"/>
              </w:rPr>
            </w:pPr>
            <w:r w:rsidRPr="00BE7AD7">
              <w:rPr>
                <w:rFonts w:ascii="Arial Narrow" w:hAnsi="Arial Narrow"/>
                <w:sz w:val="20"/>
                <w:szCs w:val="20"/>
              </w:rPr>
              <w:t>1</w:t>
            </w:r>
          </w:p>
        </w:tc>
        <w:tc>
          <w:tcPr>
            <w:tcW w:w="709" w:type="dxa"/>
            <w:vAlign w:val="center"/>
          </w:tcPr>
          <w:p w14:paraId="336D06E3" w14:textId="77777777" w:rsidR="00BE7AD7" w:rsidRPr="00BE7AD7" w:rsidRDefault="00BE7AD7" w:rsidP="004B083B">
            <w:pPr>
              <w:keepLines/>
              <w:jc w:val="center"/>
              <w:rPr>
                <w:rFonts w:ascii="Arial Narrow" w:hAnsi="Arial Narrow"/>
                <w:color w:val="FF0000"/>
                <w:sz w:val="20"/>
                <w:szCs w:val="20"/>
              </w:rPr>
            </w:pPr>
            <w:r w:rsidRPr="00BE7AD7">
              <w:rPr>
                <w:rFonts w:ascii="Arial Narrow" w:hAnsi="Arial Narrow"/>
                <w:sz w:val="20"/>
                <w:szCs w:val="20"/>
              </w:rPr>
              <w:t xml:space="preserve">1 </w:t>
            </w:r>
          </w:p>
        </w:tc>
        <w:tc>
          <w:tcPr>
            <w:tcW w:w="850" w:type="dxa"/>
            <w:vAlign w:val="center"/>
          </w:tcPr>
          <w:p w14:paraId="78ADEE54" w14:textId="77777777" w:rsidR="00BE7AD7" w:rsidRPr="00BE7AD7" w:rsidRDefault="00BE7AD7" w:rsidP="004B083B">
            <w:pPr>
              <w:keepLines/>
              <w:jc w:val="center"/>
              <w:rPr>
                <w:rFonts w:ascii="Arial Narrow" w:hAnsi="Arial Narrow"/>
                <w:sz w:val="20"/>
                <w:szCs w:val="20"/>
              </w:rPr>
            </w:pPr>
            <w:r w:rsidRPr="00BE7AD7">
              <w:rPr>
                <w:rFonts w:ascii="Arial Narrow" w:hAnsi="Arial Narrow"/>
                <w:sz w:val="20"/>
                <w:szCs w:val="20"/>
              </w:rPr>
              <w:t>5</w:t>
            </w:r>
          </w:p>
        </w:tc>
        <w:tc>
          <w:tcPr>
            <w:tcW w:w="1701" w:type="dxa"/>
            <w:vAlign w:val="center"/>
          </w:tcPr>
          <w:p w14:paraId="439D11BD" w14:textId="77777777" w:rsidR="00BE7AD7" w:rsidRPr="00BE7AD7" w:rsidRDefault="00BE7AD7" w:rsidP="004B083B">
            <w:pPr>
              <w:keepLines/>
              <w:rPr>
                <w:rFonts w:ascii="Arial Narrow" w:hAnsi="Arial Narrow"/>
                <w:sz w:val="20"/>
                <w:szCs w:val="20"/>
              </w:rPr>
            </w:pPr>
            <w:proofErr w:type="spellStart"/>
            <w:r w:rsidRPr="00BE7AD7">
              <w:rPr>
                <w:rFonts w:ascii="Arial Narrow" w:hAnsi="Arial Narrow"/>
                <w:sz w:val="20"/>
                <w:szCs w:val="20"/>
              </w:rPr>
              <w:t>Ilaris</w:t>
            </w:r>
            <w:proofErr w:type="spellEnd"/>
          </w:p>
        </w:tc>
      </w:tr>
      <w:tr w:rsidR="00BE7AD7" w:rsidRPr="00BE7AD7" w14:paraId="2F5C0CB6" w14:textId="77777777" w:rsidTr="00474C58">
        <w:trPr>
          <w:cantSplit/>
          <w:trHeight w:val="20"/>
        </w:trPr>
        <w:tc>
          <w:tcPr>
            <w:tcW w:w="9067" w:type="dxa"/>
            <w:gridSpan w:val="7"/>
            <w:vAlign w:val="center"/>
          </w:tcPr>
          <w:p w14:paraId="5042D7C2" w14:textId="77777777" w:rsidR="00BE7AD7" w:rsidRPr="00BE7AD7" w:rsidRDefault="00BE7AD7" w:rsidP="004B083B">
            <w:pPr>
              <w:keepLines/>
              <w:rPr>
                <w:rFonts w:ascii="Arial Narrow" w:hAnsi="Arial Narrow"/>
                <w:sz w:val="20"/>
                <w:szCs w:val="20"/>
              </w:rPr>
            </w:pPr>
          </w:p>
        </w:tc>
      </w:tr>
      <w:tr w:rsidR="00BE7AD7" w:rsidRPr="00BE7AD7" w14:paraId="69EA36DB"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vMerge w:val="restart"/>
            <w:tcBorders>
              <w:top w:val="single" w:sz="6" w:space="0" w:color="auto"/>
              <w:left w:val="single" w:sz="6" w:space="0" w:color="auto"/>
              <w:bottom w:val="single" w:sz="6" w:space="0" w:color="auto"/>
              <w:right w:val="single" w:sz="6" w:space="0" w:color="auto"/>
            </w:tcBorders>
            <w:hideMark/>
          </w:tcPr>
          <w:p w14:paraId="796076C8" w14:textId="77777777" w:rsidR="00BE7AD7" w:rsidRPr="00BE7AD7" w:rsidRDefault="00BE7AD7" w:rsidP="004B083B">
            <w:pPr>
              <w:jc w:val="center"/>
              <w:textAlignment w:val="baseline"/>
              <w:rPr>
                <w:rFonts w:ascii="Arial Narrow" w:hAnsi="Arial Narrow"/>
                <w:sz w:val="20"/>
                <w:szCs w:val="20"/>
              </w:rPr>
            </w:pPr>
            <w:r w:rsidRPr="00BE7AD7">
              <w:rPr>
                <w:rFonts w:ascii="Arial Narrow" w:hAnsi="Arial Narrow"/>
                <w:b/>
                <w:bCs/>
                <w:sz w:val="20"/>
                <w:szCs w:val="20"/>
              </w:rPr>
              <w:t xml:space="preserve">Concept ID </w:t>
            </w:r>
            <w:r w:rsidRPr="00BE7AD7">
              <w:rPr>
                <w:rFonts w:ascii="Arial Narrow" w:hAnsi="Arial Narrow"/>
                <w:sz w:val="20"/>
                <w:szCs w:val="20"/>
              </w:rPr>
              <w:t>(for internal Dept. use)</w:t>
            </w:r>
            <w:r w:rsidRPr="00BE7AD7">
              <w:rPr>
                <w:rFonts w:ascii="Arial" w:hAnsi="Arial"/>
                <w:sz w:val="20"/>
                <w:szCs w:val="20"/>
              </w:rPr>
              <w:t> </w:t>
            </w:r>
            <w:r w:rsidRPr="00BE7AD7">
              <w:rPr>
                <w:rFonts w:ascii="Arial Narrow" w:hAnsi="Arial Narrow"/>
                <w:sz w:val="20"/>
                <w:szCs w:val="20"/>
              </w:rPr>
              <w:t> </w:t>
            </w:r>
          </w:p>
        </w:tc>
        <w:tc>
          <w:tcPr>
            <w:tcW w:w="7491" w:type="dxa"/>
            <w:gridSpan w:val="6"/>
            <w:tcBorders>
              <w:top w:val="single" w:sz="6" w:space="0" w:color="auto"/>
              <w:left w:val="single" w:sz="6" w:space="0" w:color="auto"/>
              <w:bottom w:val="single" w:sz="6" w:space="0" w:color="auto"/>
              <w:right w:val="single" w:sz="6" w:space="0" w:color="auto"/>
            </w:tcBorders>
            <w:vAlign w:val="center"/>
            <w:hideMark/>
          </w:tcPr>
          <w:p w14:paraId="04B9E09A" w14:textId="6A564247" w:rsidR="00BE7AD7" w:rsidRPr="00BE7AD7" w:rsidRDefault="00BE7AD7" w:rsidP="004B083B">
            <w:pPr>
              <w:jc w:val="left"/>
              <w:textAlignment w:val="baseline"/>
              <w:rPr>
                <w:rFonts w:ascii="Arial Narrow" w:hAnsi="Arial Narrow"/>
                <w:sz w:val="20"/>
                <w:szCs w:val="20"/>
              </w:rPr>
            </w:pPr>
            <w:r w:rsidRPr="00BE7AD7">
              <w:rPr>
                <w:rFonts w:ascii="Arial Narrow" w:hAnsi="Arial Narrow"/>
                <w:b/>
                <w:bCs/>
                <w:sz w:val="20"/>
                <w:szCs w:val="20"/>
              </w:rPr>
              <w:t>Category / Program:</w:t>
            </w:r>
            <w:r w:rsidR="004B083B">
              <w:rPr>
                <w:rFonts w:ascii="Arial Narrow" w:hAnsi="Arial Narrow"/>
                <w:color w:val="FF0000"/>
                <w:sz w:val="20"/>
                <w:szCs w:val="20"/>
              </w:rPr>
              <w:t xml:space="preserve"> </w:t>
            </w:r>
            <w:r w:rsidRPr="00BE7AD7">
              <w:rPr>
                <w:rFonts w:ascii="Arial Narrow" w:hAnsi="Arial Narrow"/>
                <w:color w:val="FF0000"/>
                <w:sz w:val="20"/>
                <w:szCs w:val="20"/>
              </w:rPr>
              <w:br/>
            </w:r>
            <w:r w:rsidR="003C6BA4" w:rsidRPr="00C93A5A">
              <w:rPr>
                <w:rFonts w:ascii="Arial Narrow" w:hAnsi="Arial Narrow"/>
                <w:sz w:val="20"/>
                <w:szCs w:val="20"/>
              </w:rPr>
              <w:fldChar w:fldCharType="begin">
                <w:ffData>
                  <w:name w:val=""/>
                  <w:enabled/>
                  <w:calcOnExit w:val="0"/>
                  <w:checkBox>
                    <w:sizeAuto/>
                    <w:default w:val="1"/>
                  </w:checkBox>
                </w:ffData>
              </w:fldChar>
            </w:r>
            <w:r w:rsidR="003C6BA4" w:rsidRPr="00C93A5A">
              <w:rPr>
                <w:rFonts w:ascii="Arial Narrow" w:hAnsi="Arial Narrow"/>
                <w:sz w:val="20"/>
                <w:szCs w:val="20"/>
              </w:rPr>
              <w:instrText xml:space="preserve"> FORMCHECKBOX </w:instrText>
            </w:r>
            <w:r w:rsidR="003C6BA4" w:rsidRPr="00C93A5A">
              <w:rPr>
                <w:rFonts w:ascii="Arial Narrow" w:hAnsi="Arial Narrow"/>
                <w:sz w:val="20"/>
                <w:szCs w:val="20"/>
              </w:rPr>
            </w:r>
            <w:r w:rsidR="003C6BA4" w:rsidRPr="00C93A5A">
              <w:rPr>
                <w:rFonts w:ascii="Arial Narrow" w:hAnsi="Arial Narrow"/>
                <w:sz w:val="20"/>
                <w:szCs w:val="20"/>
              </w:rPr>
              <w:fldChar w:fldCharType="separate"/>
            </w:r>
            <w:r w:rsidR="003C6BA4" w:rsidRPr="00C93A5A">
              <w:rPr>
                <w:rFonts w:ascii="Arial Narrow" w:hAnsi="Arial Narrow"/>
                <w:sz w:val="20"/>
                <w:szCs w:val="20"/>
              </w:rPr>
              <w:fldChar w:fldCharType="end"/>
            </w:r>
            <w:r w:rsidRPr="00BE7AD7">
              <w:rPr>
                <w:rFonts w:ascii="Arial Narrow" w:hAnsi="Arial Narrow"/>
                <w:sz w:val="20"/>
                <w:szCs w:val="20"/>
              </w:rPr>
              <w:t>Section 100 – Highly Specialised Drugs Program – Public (Code HB)</w:t>
            </w:r>
            <w:r w:rsidRPr="00BE7AD7">
              <w:rPr>
                <w:rFonts w:ascii="Arial Narrow" w:hAnsi="Arial Narrow"/>
                <w:color w:val="FF0000"/>
                <w:sz w:val="20"/>
                <w:szCs w:val="20"/>
              </w:rPr>
              <w:t xml:space="preserve"> </w:t>
            </w:r>
            <w:r w:rsidRPr="00BE7AD7">
              <w:rPr>
                <w:rFonts w:ascii="Arial Narrow" w:hAnsi="Arial Narrow"/>
                <w:sz w:val="20"/>
                <w:szCs w:val="20"/>
              </w:rPr>
              <w:t>/ Private (Code HS)</w:t>
            </w:r>
            <w:r w:rsidRPr="00BE7AD7">
              <w:rPr>
                <w:rFonts w:ascii="Arial" w:hAnsi="Arial"/>
                <w:sz w:val="20"/>
                <w:szCs w:val="20"/>
              </w:rPr>
              <w:t> </w:t>
            </w:r>
            <w:r w:rsidRPr="00BE7AD7">
              <w:rPr>
                <w:rFonts w:ascii="Arial Narrow" w:hAnsi="Arial Narrow"/>
                <w:sz w:val="20"/>
                <w:szCs w:val="20"/>
              </w:rPr>
              <w:t> </w:t>
            </w:r>
          </w:p>
        </w:tc>
      </w:tr>
      <w:tr w:rsidR="00BE7AD7" w:rsidRPr="00BE7AD7" w14:paraId="67483FE1"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vMerge/>
            <w:vAlign w:val="center"/>
            <w:hideMark/>
          </w:tcPr>
          <w:p w14:paraId="59475144" w14:textId="77777777" w:rsidR="00BE7AD7" w:rsidRPr="00BE7AD7" w:rsidRDefault="00BE7AD7" w:rsidP="004B083B">
            <w:pPr>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hideMark/>
          </w:tcPr>
          <w:p w14:paraId="20057226" w14:textId="5A5BCBC3" w:rsidR="00BE7AD7" w:rsidRPr="00BE7AD7" w:rsidRDefault="00BE7AD7" w:rsidP="004B083B">
            <w:pPr>
              <w:textAlignment w:val="baseline"/>
              <w:rPr>
                <w:rFonts w:ascii="Arial Narrow" w:hAnsi="Arial Narrow"/>
                <w:sz w:val="20"/>
                <w:szCs w:val="20"/>
              </w:rPr>
            </w:pPr>
            <w:r w:rsidRPr="00BE7AD7">
              <w:rPr>
                <w:rFonts w:ascii="Arial Narrow" w:hAnsi="Arial Narrow"/>
                <w:b/>
                <w:bCs/>
                <w:sz w:val="20"/>
                <w:szCs w:val="20"/>
              </w:rPr>
              <w:t>Prescriber type:</w:t>
            </w:r>
            <w:r w:rsidR="004B083B">
              <w:rPr>
                <w:rFonts w:ascii="Arial Narrow" w:hAnsi="Arial Narrow"/>
                <w:b/>
                <w:bCs/>
                <w:sz w:val="20"/>
                <w:szCs w:val="20"/>
              </w:rPr>
              <w:t xml:space="preserve"> </w:t>
            </w:r>
          </w:p>
          <w:p w14:paraId="0BF8EA7C" w14:textId="672BEDEE" w:rsidR="00BE7AD7" w:rsidRPr="00BE7AD7" w:rsidRDefault="003C6BA4" w:rsidP="004B083B">
            <w:pPr>
              <w:textAlignment w:val="baseline"/>
              <w:rPr>
                <w:rFonts w:ascii="Arial Narrow" w:hAnsi="Arial Narrow"/>
                <w:sz w:val="20"/>
                <w:szCs w:val="20"/>
              </w:rPr>
            </w:pPr>
            <w:r w:rsidRPr="00C93A5A">
              <w:rPr>
                <w:rFonts w:ascii="Arial Narrow" w:hAnsi="Arial Narrow"/>
                <w:sz w:val="20"/>
                <w:szCs w:val="20"/>
              </w:rPr>
              <w:fldChar w:fldCharType="begin">
                <w:ffData>
                  <w:name w:val=""/>
                  <w:enabled/>
                  <w:calcOnExit w:val="0"/>
                  <w:checkBox>
                    <w:sizeAuto/>
                    <w:default w:val="1"/>
                  </w:checkBox>
                </w:ffData>
              </w:fldChar>
            </w:r>
            <w:r w:rsidRPr="00C93A5A">
              <w:rPr>
                <w:rFonts w:ascii="Arial Narrow" w:hAnsi="Arial Narrow"/>
                <w:sz w:val="20"/>
                <w:szCs w:val="20"/>
              </w:rPr>
              <w:instrText xml:space="preserve"> FORMCHECKBOX </w:instrText>
            </w:r>
            <w:r w:rsidRPr="00C93A5A">
              <w:rPr>
                <w:rFonts w:ascii="Arial Narrow" w:hAnsi="Arial Narrow"/>
                <w:sz w:val="20"/>
                <w:szCs w:val="20"/>
              </w:rPr>
            </w:r>
            <w:r w:rsidRPr="00C93A5A">
              <w:rPr>
                <w:rFonts w:ascii="Arial Narrow" w:hAnsi="Arial Narrow"/>
                <w:sz w:val="20"/>
                <w:szCs w:val="20"/>
              </w:rPr>
              <w:fldChar w:fldCharType="separate"/>
            </w:r>
            <w:r w:rsidRPr="00C93A5A">
              <w:rPr>
                <w:rFonts w:ascii="Arial Narrow" w:hAnsi="Arial Narrow"/>
                <w:sz w:val="20"/>
                <w:szCs w:val="20"/>
              </w:rPr>
              <w:fldChar w:fldCharType="end"/>
            </w:r>
            <w:r w:rsidR="00BE7AD7" w:rsidRPr="00BE7AD7">
              <w:rPr>
                <w:rFonts w:ascii="Arial Narrow" w:hAnsi="Arial Narrow"/>
                <w:sz w:val="20"/>
                <w:szCs w:val="20"/>
              </w:rPr>
              <w:t>Medical Practitioners</w:t>
            </w:r>
            <w:r w:rsidR="004B083B">
              <w:rPr>
                <w:rFonts w:ascii="Arial Narrow" w:hAnsi="Arial Narrow"/>
                <w:sz w:val="20"/>
                <w:szCs w:val="20"/>
              </w:rPr>
              <w:t xml:space="preserve"> </w:t>
            </w:r>
          </w:p>
        </w:tc>
      </w:tr>
      <w:tr w:rsidR="00BE7AD7" w:rsidRPr="00BE7AD7" w14:paraId="7EDD99B2"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vMerge/>
            <w:vAlign w:val="center"/>
            <w:hideMark/>
          </w:tcPr>
          <w:p w14:paraId="59C79AB7" w14:textId="77777777" w:rsidR="00BE7AD7" w:rsidRPr="00BE7AD7" w:rsidRDefault="00BE7AD7" w:rsidP="004B083B">
            <w:pPr>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hideMark/>
          </w:tcPr>
          <w:p w14:paraId="5987419C" w14:textId="727E5C5D" w:rsidR="00BE7AD7" w:rsidRPr="00BE7AD7" w:rsidRDefault="00BE7AD7" w:rsidP="004B083B">
            <w:pPr>
              <w:textAlignment w:val="baseline"/>
              <w:rPr>
                <w:rFonts w:ascii="Arial Narrow" w:hAnsi="Arial Narrow"/>
                <w:sz w:val="20"/>
                <w:szCs w:val="20"/>
              </w:rPr>
            </w:pPr>
            <w:r w:rsidRPr="00BE7AD7">
              <w:rPr>
                <w:rFonts w:ascii="Arial Narrow" w:hAnsi="Arial Narrow"/>
                <w:b/>
                <w:bCs/>
                <w:sz w:val="20"/>
                <w:szCs w:val="20"/>
              </w:rPr>
              <w:t>Restriction type:</w:t>
            </w:r>
            <w:r w:rsidR="004B083B">
              <w:rPr>
                <w:rFonts w:ascii="Arial Narrow" w:hAnsi="Arial Narrow"/>
                <w:b/>
                <w:bCs/>
                <w:sz w:val="20"/>
                <w:szCs w:val="20"/>
              </w:rPr>
              <w:t xml:space="preserve"> </w:t>
            </w:r>
          </w:p>
          <w:p w14:paraId="34ECE36D" w14:textId="77777777" w:rsidR="00BE7AD7" w:rsidRPr="00BE7AD7" w:rsidRDefault="00BE7AD7" w:rsidP="004B083B">
            <w:pPr>
              <w:textAlignment w:val="baseline"/>
              <w:rPr>
                <w:rFonts w:ascii="Arial Narrow" w:hAnsi="Arial Narrow"/>
                <w:sz w:val="20"/>
                <w:szCs w:val="20"/>
              </w:rPr>
            </w:pPr>
            <w:r w:rsidRPr="00BE7AD7">
              <w:rPr>
                <w:rFonts w:ascii="Arial Narrow" w:hAnsi="Arial Narrow"/>
                <w:sz w:val="20"/>
                <w:szCs w:val="20"/>
              </w:rPr>
              <w:fldChar w:fldCharType="begin">
                <w:ffData>
                  <w:name w:val=""/>
                  <w:enabled/>
                  <w:calcOnExit w:val="0"/>
                  <w:checkBox>
                    <w:sizeAuto/>
                    <w:default w:val="1"/>
                  </w:checkBox>
                </w:ffData>
              </w:fldChar>
            </w:r>
            <w:r w:rsidRPr="00BE7AD7">
              <w:rPr>
                <w:rFonts w:ascii="Arial Narrow" w:hAnsi="Arial Narrow"/>
                <w:sz w:val="20"/>
                <w:szCs w:val="20"/>
              </w:rPr>
              <w:instrText xml:space="preserve"> FORMCHECKBOX </w:instrText>
            </w:r>
            <w:r w:rsidRPr="00BE7AD7">
              <w:rPr>
                <w:rFonts w:ascii="Arial Narrow" w:hAnsi="Arial Narrow"/>
                <w:sz w:val="20"/>
                <w:szCs w:val="20"/>
              </w:rPr>
            </w:r>
            <w:r w:rsidRPr="00BE7AD7">
              <w:rPr>
                <w:rFonts w:ascii="Arial Narrow" w:hAnsi="Arial Narrow"/>
                <w:sz w:val="20"/>
                <w:szCs w:val="20"/>
              </w:rPr>
              <w:fldChar w:fldCharType="separate"/>
            </w:r>
            <w:r w:rsidRPr="00BE7AD7">
              <w:rPr>
                <w:rFonts w:ascii="Arial Narrow" w:hAnsi="Arial Narrow"/>
                <w:sz w:val="20"/>
                <w:szCs w:val="20"/>
              </w:rPr>
              <w:fldChar w:fldCharType="end"/>
            </w:r>
            <w:r w:rsidRPr="00BE7AD7">
              <w:rPr>
                <w:rFonts w:ascii="Arial Narrow" w:hAnsi="Arial Narrow"/>
                <w:sz w:val="20"/>
                <w:szCs w:val="20"/>
              </w:rPr>
              <w:t xml:space="preserve"> Authority Required (telephone/online PBS Authorities system)</w:t>
            </w:r>
          </w:p>
        </w:tc>
      </w:tr>
      <w:tr w:rsidR="00BE7AD7" w:rsidRPr="00BE7AD7" w14:paraId="382BB951"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vMerge/>
            <w:vAlign w:val="center"/>
            <w:hideMark/>
          </w:tcPr>
          <w:p w14:paraId="165E3E59" w14:textId="77777777" w:rsidR="00BE7AD7" w:rsidRPr="00BE7AD7" w:rsidRDefault="00BE7AD7" w:rsidP="004B083B">
            <w:pPr>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hideMark/>
          </w:tcPr>
          <w:p w14:paraId="388A9966" w14:textId="473E8328" w:rsidR="00BE7AD7" w:rsidRPr="00BE7AD7" w:rsidRDefault="00BE7AD7" w:rsidP="004B083B">
            <w:pPr>
              <w:jc w:val="left"/>
              <w:textAlignment w:val="baseline"/>
              <w:rPr>
                <w:rFonts w:ascii="Arial Narrow" w:hAnsi="Arial Narrow"/>
                <w:sz w:val="20"/>
                <w:szCs w:val="20"/>
              </w:rPr>
            </w:pPr>
            <w:r w:rsidRPr="00BE7AD7">
              <w:rPr>
                <w:rFonts w:ascii="Arial Narrow" w:hAnsi="Arial Narrow"/>
                <w:b/>
                <w:bCs/>
                <w:sz w:val="20"/>
                <w:szCs w:val="20"/>
              </w:rPr>
              <w:t>Authority type:</w:t>
            </w:r>
            <w:r w:rsidR="004B083B">
              <w:rPr>
                <w:rFonts w:ascii="Arial Narrow" w:hAnsi="Arial Narrow"/>
                <w:b/>
                <w:bCs/>
                <w:sz w:val="20"/>
                <w:szCs w:val="20"/>
              </w:rPr>
              <w:t xml:space="preserve"> </w:t>
            </w:r>
            <w:r w:rsidRPr="00BE7AD7">
              <w:rPr>
                <w:rFonts w:ascii="Arial Narrow" w:hAnsi="Arial Narrow"/>
                <w:sz w:val="20"/>
                <w:szCs w:val="20"/>
              </w:rPr>
              <w:br/>
              <w:t>Complex Authority Required (CAR)</w:t>
            </w:r>
            <w:r w:rsidRPr="00BE7AD7">
              <w:rPr>
                <w:rFonts w:ascii="Arial" w:hAnsi="Arial"/>
                <w:sz w:val="20"/>
                <w:szCs w:val="20"/>
              </w:rPr>
              <w:t> </w:t>
            </w:r>
            <w:r w:rsidRPr="00BE7AD7">
              <w:rPr>
                <w:rFonts w:ascii="Arial Narrow" w:hAnsi="Arial Narrow"/>
                <w:sz w:val="20"/>
                <w:szCs w:val="20"/>
              </w:rPr>
              <w:t> </w:t>
            </w:r>
          </w:p>
        </w:tc>
      </w:tr>
      <w:tr w:rsidR="00BE7AD7" w:rsidRPr="00BE7AD7" w14:paraId="231BAEEE"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tcPr>
          <w:p w14:paraId="00713B69" w14:textId="77777777" w:rsidR="00BE7AD7" w:rsidRPr="00BE7AD7" w:rsidRDefault="00BE7AD7" w:rsidP="004B083B">
            <w:pPr>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tcPr>
          <w:p w14:paraId="1300DC9A" w14:textId="77777777" w:rsidR="00BE7AD7" w:rsidRPr="00BE7AD7" w:rsidRDefault="00BE7AD7" w:rsidP="004B083B">
            <w:pPr>
              <w:jc w:val="left"/>
              <w:textAlignment w:val="baseline"/>
              <w:rPr>
                <w:rFonts w:ascii="Arial Narrow" w:hAnsi="Arial Narrow"/>
                <w:b/>
                <w:bCs/>
                <w:sz w:val="20"/>
                <w:szCs w:val="20"/>
              </w:rPr>
            </w:pPr>
            <w:r w:rsidRPr="00BE7AD7">
              <w:rPr>
                <w:rFonts w:ascii="Arial Narrow" w:hAnsi="Arial Narrow"/>
                <w:b/>
                <w:bCs/>
                <w:sz w:val="20"/>
                <w:szCs w:val="20"/>
              </w:rPr>
              <w:t>Prescribing rule level:</w:t>
            </w:r>
          </w:p>
        </w:tc>
      </w:tr>
      <w:tr w:rsidR="00E40454" w:rsidRPr="00BE7AD7" w14:paraId="3C125387" w14:textId="77777777" w:rsidTr="00E105C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tcPr>
          <w:p w14:paraId="78129B2A" w14:textId="68557099" w:rsidR="00E40454" w:rsidRPr="00BE7AD7" w:rsidRDefault="00E40454"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tcPr>
          <w:p w14:paraId="4C66B8DB" w14:textId="77777777" w:rsidR="00E40454" w:rsidRDefault="00E40454" w:rsidP="004B083B">
            <w:pPr>
              <w:spacing w:line="276" w:lineRule="auto"/>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Administrative Advice:</w:t>
            </w:r>
          </w:p>
          <w:p w14:paraId="5F362ABC" w14:textId="1BCE9409" w:rsidR="00E40454" w:rsidRPr="00BE7AD7" w:rsidRDefault="00E40454" w:rsidP="004B083B">
            <w:pPr>
              <w:jc w:val="left"/>
              <w:textAlignment w:val="baseline"/>
              <w:rPr>
                <w:rFonts w:ascii="Arial Narrow" w:hAnsi="Arial Narrow"/>
                <w:b/>
                <w:bCs/>
                <w:sz w:val="20"/>
                <w:szCs w:val="20"/>
              </w:rPr>
            </w:pPr>
            <w:r>
              <w:rPr>
                <w:rFonts w:ascii="Arial Narrow" w:hAnsi="Arial Narrow"/>
                <w:bCs/>
                <w:kern w:val="2"/>
                <w:sz w:val="20"/>
                <w:szCs w:val="20"/>
                <w:lang w:eastAsia="en-US"/>
              </w:rPr>
              <w:t>No increase in the maximum quantity or number of units may be authorised.</w:t>
            </w:r>
          </w:p>
        </w:tc>
      </w:tr>
      <w:tr w:rsidR="00B83BF7" w:rsidRPr="00B83BF7" w14:paraId="448B232F" w14:textId="77777777" w:rsidTr="00CE35B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285"/>
        </w:trPr>
        <w:tc>
          <w:tcPr>
            <w:tcW w:w="1576" w:type="dxa"/>
            <w:tcBorders>
              <w:top w:val="single" w:sz="6" w:space="0" w:color="auto"/>
              <w:left w:val="single" w:sz="6" w:space="0" w:color="auto"/>
              <w:bottom w:val="single" w:sz="6" w:space="0" w:color="auto"/>
              <w:right w:val="single" w:sz="6" w:space="0" w:color="auto"/>
            </w:tcBorders>
          </w:tcPr>
          <w:p w14:paraId="67636B00" w14:textId="642FCEAD" w:rsidR="006B1D31" w:rsidRPr="00B83BF7" w:rsidRDefault="006B1D31"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tcPr>
          <w:p w14:paraId="217A03F1" w14:textId="77777777" w:rsidR="006B1D31" w:rsidRPr="00B83BF7" w:rsidRDefault="006B1D31" w:rsidP="004B083B">
            <w:pPr>
              <w:jc w:val="left"/>
              <w:textAlignment w:val="baseline"/>
              <w:rPr>
                <w:rFonts w:ascii="Arial Narrow" w:hAnsi="Arial Narrow"/>
                <w:b/>
                <w:bCs/>
                <w:sz w:val="20"/>
                <w:szCs w:val="20"/>
              </w:rPr>
            </w:pPr>
            <w:r w:rsidRPr="00B83BF7">
              <w:rPr>
                <w:rFonts w:ascii="Arial Narrow" w:hAnsi="Arial Narrow"/>
                <w:b/>
                <w:bCs/>
                <w:sz w:val="20"/>
                <w:szCs w:val="20"/>
              </w:rPr>
              <w:t xml:space="preserve">Administrative Advice: </w:t>
            </w:r>
          </w:p>
          <w:p w14:paraId="6C0CDD1A" w14:textId="0F3C9057" w:rsidR="006B1D31" w:rsidRPr="00B83BF7" w:rsidRDefault="006B1D31" w:rsidP="004B083B">
            <w:pPr>
              <w:jc w:val="left"/>
              <w:textAlignment w:val="baseline"/>
              <w:rPr>
                <w:rFonts w:ascii="Arial Narrow" w:hAnsi="Arial Narrow"/>
                <w:b/>
                <w:bCs/>
                <w:sz w:val="20"/>
                <w:szCs w:val="20"/>
              </w:rPr>
            </w:pPr>
            <w:r w:rsidRPr="00B83BF7">
              <w:rPr>
                <w:rFonts w:ascii="Arial Narrow" w:hAnsi="Arial Narrow"/>
                <w:sz w:val="20"/>
                <w:szCs w:val="20"/>
              </w:rPr>
              <w:t>No increase in the maximum number of repeats may be authorised.</w:t>
            </w:r>
          </w:p>
        </w:tc>
      </w:tr>
      <w:tr w:rsidR="00B83BF7" w:rsidRPr="00B83BF7" w14:paraId="73BF4A29" w14:textId="77777777" w:rsidTr="005043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hideMark/>
          </w:tcPr>
          <w:p w14:paraId="4BB047C7" w14:textId="774557E7" w:rsidR="00504362" w:rsidRPr="00B83BF7" w:rsidRDefault="00504362"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hideMark/>
          </w:tcPr>
          <w:p w14:paraId="44BE78C8" w14:textId="77777777" w:rsidR="00504362" w:rsidRPr="00B83BF7" w:rsidRDefault="00504362" w:rsidP="004B083B">
            <w:pPr>
              <w:jc w:val="left"/>
              <w:textAlignment w:val="baseline"/>
              <w:rPr>
                <w:rFonts w:ascii="Arial Narrow" w:hAnsi="Arial Narrow"/>
                <w:b/>
                <w:bCs/>
                <w:sz w:val="20"/>
                <w:szCs w:val="20"/>
              </w:rPr>
            </w:pPr>
            <w:r w:rsidRPr="00B83BF7">
              <w:rPr>
                <w:rFonts w:ascii="Arial Narrow" w:hAnsi="Arial Narrow"/>
                <w:b/>
                <w:bCs/>
                <w:sz w:val="20"/>
                <w:szCs w:val="20"/>
              </w:rPr>
              <w:t>Administrative Advice:</w:t>
            </w:r>
          </w:p>
          <w:p w14:paraId="5A2C622D" w14:textId="7B9AE09D" w:rsidR="00504362" w:rsidRPr="00B83BF7" w:rsidRDefault="00504362" w:rsidP="004B083B">
            <w:pPr>
              <w:jc w:val="left"/>
              <w:textAlignment w:val="baseline"/>
              <w:rPr>
                <w:rFonts w:ascii="Arial Narrow" w:hAnsi="Arial Narrow"/>
                <w:sz w:val="20"/>
                <w:szCs w:val="20"/>
              </w:rPr>
            </w:pPr>
            <w:r w:rsidRPr="00B83BF7">
              <w:rPr>
                <w:rFonts w:ascii="Arial Narrow" w:hAnsi="Arial Narrow"/>
                <w:sz w:val="20"/>
                <w:szCs w:val="20"/>
              </w:rPr>
              <w:t>Special Pricing Arrangements apply.</w:t>
            </w:r>
          </w:p>
        </w:tc>
      </w:tr>
      <w:tr w:rsidR="00B83BF7" w:rsidRPr="00B83BF7" w14:paraId="56B99B24"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9067" w:type="dxa"/>
            <w:gridSpan w:val="7"/>
            <w:tcBorders>
              <w:top w:val="single" w:sz="6" w:space="0" w:color="auto"/>
              <w:left w:val="single" w:sz="6" w:space="0" w:color="auto"/>
              <w:bottom w:val="single" w:sz="6" w:space="0" w:color="auto"/>
              <w:right w:val="single" w:sz="6" w:space="0" w:color="auto"/>
            </w:tcBorders>
            <w:vAlign w:val="center"/>
          </w:tcPr>
          <w:p w14:paraId="4EC42B2F" w14:textId="77777777" w:rsidR="00BE7AD7" w:rsidRPr="00B83BF7" w:rsidRDefault="00BE7AD7" w:rsidP="004B083B">
            <w:pPr>
              <w:jc w:val="left"/>
              <w:textAlignment w:val="baseline"/>
              <w:rPr>
                <w:rFonts w:ascii="Arial Narrow" w:hAnsi="Arial Narrow"/>
                <w:b/>
                <w:bCs/>
                <w:sz w:val="20"/>
                <w:szCs w:val="20"/>
              </w:rPr>
            </w:pPr>
            <w:r w:rsidRPr="00B83BF7">
              <w:rPr>
                <w:rFonts w:ascii="Arial Narrow" w:hAnsi="Arial Narrow"/>
                <w:b/>
                <w:bCs/>
                <w:sz w:val="20"/>
                <w:szCs w:val="20"/>
              </w:rPr>
              <w:t>Restriction Summary [new1] / Treatment of Concept: [new1A]</w:t>
            </w:r>
            <w:r w:rsidRPr="00B83BF7">
              <w:rPr>
                <w:rFonts w:ascii="Arial Narrow" w:hAnsi="Arial Narrow"/>
                <w:sz w:val="20"/>
                <w:szCs w:val="20"/>
              </w:rPr>
              <w:t> </w:t>
            </w:r>
          </w:p>
        </w:tc>
      </w:tr>
      <w:tr w:rsidR="00B83BF7" w:rsidRPr="00B83BF7" w14:paraId="2722BE08"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hideMark/>
          </w:tcPr>
          <w:p w14:paraId="29819197" w14:textId="4B91661F" w:rsidR="00BE7AD7" w:rsidRPr="00B83BF7" w:rsidRDefault="00BE7AD7"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hideMark/>
          </w:tcPr>
          <w:p w14:paraId="6ABB1BB4" w14:textId="1C0DF867" w:rsidR="00BE7AD7" w:rsidRPr="00B83BF7" w:rsidRDefault="00BE7AD7" w:rsidP="004B083B">
            <w:pPr>
              <w:jc w:val="left"/>
              <w:textAlignment w:val="baseline"/>
              <w:rPr>
                <w:rFonts w:ascii="Arial Narrow" w:hAnsi="Arial Narrow"/>
                <w:sz w:val="20"/>
                <w:szCs w:val="20"/>
              </w:rPr>
            </w:pPr>
            <w:r w:rsidRPr="00B83BF7">
              <w:rPr>
                <w:rFonts w:ascii="Arial Narrow" w:hAnsi="Arial Narrow"/>
                <w:b/>
                <w:bCs/>
                <w:sz w:val="20"/>
                <w:szCs w:val="20"/>
              </w:rPr>
              <w:t>Indication:</w:t>
            </w:r>
            <w:r w:rsidRPr="00B83BF7">
              <w:rPr>
                <w:rFonts w:ascii="Arial Narrow" w:hAnsi="Arial Narrow"/>
                <w:sz w:val="20"/>
                <w:szCs w:val="20"/>
              </w:rPr>
              <w:t xml:space="preserve"> </w:t>
            </w:r>
            <w:r w:rsidR="00E144CD" w:rsidRPr="00B83BF7">
              <w:rPr>
                <w:rFonts w:ascii="Arial Narrow" w:hAnsi="Arial Narrow"/>
                <w:sz w:val="20"/>
                <w:szCs w:val="20"/>
              </w:rPr>
              <w:t>F</w:t>
            </w:r>
            <w:r w:rsidRPr="00B83BF7">
              <w:rPr>
                <w:rFonts w:ascii="Arial Narrow" w:hAnsi="Arial Narrow"/>
                <w:sz w:val="20"/>
                <w:szCs w:val="20"/>
              </w:rPr>
              <w:t xml:space="preserve">amilial </w:t>
            </w:r>
            <w:r w:rsidR="00EC14B8" w:rsidRPr="00B83BF7">
              <w:rPr>
                <w:rFonts w:ascii="Arial Narrow" w:hAnsi="Arial Narrow"/>
                <w:sz w:val="20"/>
                <w:szCs w:val="20"/>
              </w:rPr>
              <w:t>M</w:t>
            </w:r>
            <w:r w:rsidRPr="00B83BF7">
              <w:rPr>
                <w:rFonts w:ascii="Arial Narrow" w:hAnsi="Arial Narrow"/>
                <w:sz w:val="20"/>
                <w:szCs w:val="20"/>
              </w:rPr>
              <w:t>editerranean fever (FMF)</w:t>
            </w:r>
          </w:p>
        </w:tc>
      </w:tr>
      <w:tr w:rsidR="00B83BF7" w:rsidRPr="00B83BF7" w14:paraId="6AD1B9FA"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hideMark/>
          </w:tcPr>
          <w:p w14:paraId="7AE0F31F" w14:textId="77777777" w:rsidR="00BE7AD7" w:rsidRPr="00B83BF7" w:rsidRDefault="00BE7AD7" w:rsidP="004B083B">
            <w:pPr>
              <w:jc w:val="center"/>
              <w:textAlignment w:val="baseline"/>
              <w:rPr>
                <w:rFonts w:ascii="Arial Narrow" w:hAnsi="Arial Narrow"/>
                <w:sz w:val="20"/>
                <w:szCs w:val="20"/>
              </w:rPr>
            </w:pPr>
            <w:r w:rsidRPr="00B83BF7">
              <w:rPr>
                <w:rFonts w:ascii="Arial" w:hAnsi="Arial"/>
                <w:sz w:val="20"/>
                <w:szCs w:val="20"/>
              </w:rPr>
              <w:t> </w:t>
            </w:r>
            <w:r w:rsidRPr="00B83BF7">
              <w:rPr>
                <w:rFonts w:ascii="Arial Narrow" w:hAnsi="Arial Narrow"/>
                <w:sz w:val="20"/>
                <w:szCs w:val="20"/>
              </w:rPr>
              <w:t> </w:t>
            </w:r>
          </w:p>
        </w:tc>
        <w:tc>
          <w:tcPr>
            <w:tcW w:w="7491" w:type="dxa"/>
            <w:gridSpan w:val="6"/>
            <w:tcBorders>
              <w:top w:val="single" w:sz="6" w:space="0" w:color="auto"/>
              <w:left w:val="single" w:sz="6" w:space="0" w:color="auto"/>
              <w:bottom w:val="single" w:sz="6" w:space="0" w:color="auto"/>
              <w:right w:val="single" w:sz="6" w:space="0" w:color="auto"/>
            </w:tcBorders>
            <w:vAlign w:val="center"/>
            <w:hideMark/>
          </w:tcPr>
          <w:p w14:paraId="22DBF1A3" w14:textId="0A6C2412" w:rsidR="00BE7AD7" w:rsidRPr="00B83BF7" w:rsidRDefault="00BE7AD7" w:rsidP="004B083B">
            <w:pPr>
              <w:jc w:val="left"/>
              <w:textAlignment w:val="baseline"/>
              <w:rPr>
                <w:rFonts w:ascii="Arial Narrow" w:hAnsi="Arial Narrow"/>
                <w:sz w:val="20"/>
                <w:szCs w:val="20"/>
              </w:rPr>
            </w:pPr>
            <w:r w:rsidRPr="00B83BF7">
              <w:rPr>
                <w:rFonts w:ascii="Arial Narrow" w:hAnsi="Arial Narrow"/>
                <w:b/>
                <w:bCs/>
                <w:sz w:val="20"/>
                <w:szCs w:val="20"/>
              </w:rPr>
              <w:t>Treatment Phase:</w:t>
            </w:r>
            <w:r w:rsidRPr="00B83BF7">
              <w:rPr>
                <w:rFonts w:ascii="Arial Narrow" w:hAnsi="Arial Narrow"/>
                <w:sz w:val="20"/>
                <w:szCs w:val="20"/>
              </w:rPr>
              <w:t xml:space="preserve"> Initial treatment</w:t>
            </w:r>
            <w:r w:rsidR="00974211" w:rsidRPr="00B83BF7">
              <w:rPr>
                <w:rFonts w:ascii="Arial Narrow" w:hAnsi="Arial Narrow"/>
                <w:sz w:val="20"/>
                <w:szCs w:val="20"/>
              </w:rPr>
              <w:t xml:space="preserve"> (New patients; or Recommencement of treatment in a new treatment cycle following a break</w:t>
            </w:r>
            <w:r w:rsidR="00627736" w:rsidRPr="00B83BF7">
              <w:rPr>
                <w:rFonts w:ascii="Arial Narrow" w:hAnsi="Arial Narrow"/>
                <w:sz w:val="20"/>
                <w:szCs w:val="20"/>
              </w:rPr>
              <w:t xml:space="preserve"> of at least 12 months</w:t>
            </w:r>
            <w:r w:rsidR="00974211" w:rsidRPr="00B83BF7">
              <w:rPr>
                <w:rFonts w:ascii="Arial Narrow" w:hAnsi="Arial Narrow"/>
                <w:sz w:val="20"/>
                <w:szCs w:val="20"/>
              </w:rPr>
              <w:t xml:space="preserve"> in PBS subsidised therapy</w:t>
            </w:r>
            <w:r w:rsidR="00C078F5" w:rsidRPr="00B83BF7">
              <w:rPr>
                <w:rFonts w:ascii="Arial Narrow" w:hAnsi="Arial Narrow"/>
                <w:sz w:val="20"/>
                <w:szCs w:val="20"/>
              </w:rPr>
              <w:t xml:space="preserve"> with this medicine</w:t>
            </w:r>
            <w:r w:rsidR="00974211" w:rsidRPr="00B83BF7">
              <w:rPr>
                <w:rFonts w:ascii="Arial Narrow" w:hAnsi="Arial Narrow"/>
                <w:sz w:val="20"/>
                <w:szCs w:val="20"/>
              </w:rPr>
              <w:t>)</w:t>
            </w:r>
          </w:p>
        </w:tc>
      </w:tr>
      <w:tr w:rsidR="00B83BF7" w:rsidRPr="00B83BF7" w14:paraId="4DC4090D"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tcPr>
          <w:p w14:paraId="0AD89BC4" w14:textId="240795F2" w:rsidR="00BE7AD7" w:rsidRPr="00B83BF7" w:rsidRDefault="00BE7AD7"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tcPr>
          <w:p w14:paraId="32DC7011" w14:textId="77777777" w:rsidR="00BE7AD7" w:rsidRPr="00B83BF7" w:rsidRDefault="00BE7AD7" w:rsidP="004B083B">
            <w:pPr>
              <w:jc w:val="left"/>
              <w:textAlignment w:val="baseline"/>
              <w:rPr>
                <w:rFonts w:ascii="Arial Narrow" w:hAnsi="Arial Narrow"/>
                <w:b/>
                <w:bCs/>
                <w:sz w:val="20"/>
                <w:szCs w:val="20"/>
              </w:rPr>
            </w:pPr>
            <w:r w:rsidRPr="00B83BF7">
              <w:rPr>
                <w:rFonts w:ascii="Arial Narrow" w:hAnsi="Arial Narrow"/>
                <w:b/>
                <w:bCs/>
                <w:sz w:val="20"/>
                <w:szCs w:val="20"/>
              </w:rPr>
              <w:t xml:space="preserve">Clinical criteria: </w:t>
            </w:r>
            <w:r w:rsidRPr="00B83BF7">
              <w:rPr>
                <w:rFonts w:ascii="Arial" w:hAnsi="Arial"/>
                <w:sz w:val="20"/>
                <w:szCs w:val="20"/>
              </w:rPr>
              <w:t> </w:t>
            </w:r>
            <w:r w:rsidRPr="00B83BF7">
              <w:rPr>
                <w:rFonts w:ascii="Arial Narrow" w:hAnsi="Arial Narrow"/>
                <w:sz w:val="20"/>
                <w:szCs w:val="20"/>
              </w:rPr>
              <w:t> </w:t>
            </w:r>
          </w:p>
        </w:tc>
      </w:tr>
      <w:tr w:rsidR="00B83BF7" w:rsidRPr="00B83BF7" w14:paraId="26EE969A"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tcPr>
          <w:p w14:paraId="749C1F7F" w14:textId="6199E55B" w:rsidR="00BE7AD7" w:rsidRPr="00B83BF7" w:rsidRDefault="00BE7AD7"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tcPr>
          <w:p w14:paraId="24713AEF" w14:textId="6F55EE74" w:rsidR="00BE7AD7" w:rsidRPr="00B83BF7" w:rsidRDefault="00BE7AD7" w:rsidP="004B083B">
            <w:pPr>
              <w:jc w:val="left"/>
              <w:textAlignment w:val="baseline"/>
              <w:rPr>
                <w:rFonts w:ascii="Arial Narrow" w:hAnsi="Arial Narrow"/>
                <w:sz w:val="20"/>
                <w:szCs w:val="20"/>
              </w:rPr>
            </w:pPr>
            <w:r w:rsidRPr="00B83BF7">
              <w:rPr>
                <w:rFonts w:ascii="Arial Narrow" w:hAnsi="Arial Narrow"/>
                <w:sz w:val="20"/>
                <w:szCs w:val="20"/>
              </w:rPr>
              <w:t>Patient must not have received prior</w:t>
            </w:r>
            <w:r w:rsidR="00E93FAD" w:rsidRPr="00B83BF7">
              <w:rPr>
                <w:rFonts w:ascii="Arial Narrow" w:hAnsi="Arial Narrow"/>
                <w:sz w:val="20"/>
                <w:szCs w:val="20"/>
              </w:rPr>
              <w:t xml:space="preserve"> PBS-subsidised</w:t>
            </w:r>
            <w:r w:rsidRPr="00B83BF7">
              <w:rPr>
                <w:rFonts w:ascii="Arial Narrow" w:hAnsi="Arial Narrow"/>
                <w:sz w:val="20"/>
                <w:szCs w:val="20"/>
              </w:rPr>
              <w:t xml:space="preserve"> </w:t>
            </w:r>
            <w:r w:rsidR="00D51808" w:rsidRPr="00B83BF7">
              <w:rPr>
                <w:rFonts w:ascii="Arial Narrow" w:hAnsi="Arial Narrow"/>
                <w:sz w:val="20"/>
                <w:szCs w:val="20"/>
              </w:rPr>
              <w:t xml:space="preserve">treatment with </w:t>
            </w:r>
            <w:r w:rsidR="000E30D4" w:rsidRPr="00B83BF7">
              <w:rPr>
                <w:rFonts w:ascii="Arial Narrow" w:hAnsi="Arial Narrow"/>
                <w:sz w:val="20"/>
                <w:szCs w:val="20"/>
              </w:rPr>
              <w:t>this</w:t>
            </w:r>
            <w:r w:rsidRPr="00B83BF7">
              <w:rPr>
                <w:rFonts w:ascii="Arial Narrow" w:hAnsi="Arial Narrow"/>
                <w:sz w:val="20"/>
                <w:szCs w:val="20"/>
              </w:rPr>
              <w:t xml:space="preserve"> </w:t>
            </w:r>
            <w:r w:rsidR="0014407D" w:rsidRPr="00B83BF7">
              <w:rPr>
                <w:rFonts w:ascii="Arial Narrow" w:hAnsi="Arial Narrow"/>
                <w:sz w:val="20"/>
                <w:szCs w:val="20"/>
              </w:rPr>
              <w:t>drug</w:t>
            </w:r>
            <w:r w:rsidRPr="00B83BF7">
              <w:rPr>
                <w:rFonts w:ascii="Arial Narrow" w:hAnsi="Arial Narrow"/>
                <w:sz w:val="20"/>
                <w:szCs w:val="20"/>
              </w:rPr>
              <w:t xml:space="preserve"> for this condition</w:t>
            </w:r>
          </w:p>
        </w:tc>
      </w:tr>
      <w:tr w:rsidR="00B83BF7" w:rsidRPr="00B83BF7" w14:paraId="4BBB2B35"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tcPr>
          <w:p w14:paraId="147C8FBD" w14:textId="77777777" w:rsidR="00931D55" w:rsidRPr="00B83BF7" w:rsidRDefault="00931D55"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tcPr>
          <w:p w14:paraId="09A2F5C5" w14:textId="09389B9D" w:rsidR="00931D55" w:rsidRPr="00B83BF7" w:rsidRDefault="00931D55" w:rsidP="004B083B">
            <w:pPr>
              <w:jc w:val="left"/>
              <w:textAlignment w:val="baseline"/>
              <w:rPr>
                <w:rFonts w:ascii="Arial Narrow" w:hAnsi="Arial Narrow"/>
                <w:b/>
                <w:bCs/>
                <w:sz w:val="20"/>
                <w:szCs w:val="20"/>
              </w:rPr>
            </w:pPr>
            <w:r w:rsidRPr="00B83BF7">
              <w:rPr>
                <w:rFonts w:ascii="Arial Narrow" w:hAnsi="Arial Narrow"/>
                <w:b/>
                <w:bCs/>
                <w:sz w:val="20"/>
                <w:szCs w:val="20"/>
              </w:rPr>
              <w:t>OR</w:t>
            </w:r>
          </w:p>
        </w:tc>
      </w:tr>
      <w:tr w:rsidR="00B83BF7" w:rsidRPr="00B83BF7" w14:paraId="4DDBC6A3"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tcPr>
          <w:p w14:paraId="46CCCB63" w14:textId="77777777" w:rsidR="00931D55" w:rsidRPr="00B83BF7" w:rsidRDefault="00931D55"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tcPr>
          <w:p w14:paraId="39A36EBB" w14:textId="71F68DC2" w:rsidR="00931D55" w:rsidRPr="00B83BF7" w:rsidRDefault="00931D55" w:rsidP="004B083B">
            <w:pPr>
              <w:jc w:val="left"/>
              <w:textAlignment w:val="baseline"/>
              <w:rPr>
                <w:rFonts w:ascii="Arial Narrow" w:hAnsi="Arial Narrow"/>
                <w:b/>
                <w:bCs/>
                <w:sz w:val="20"/>
                <w:szCs w:val="20"/>
              </w:rPr>
            </w:pPr>
            <w:r w:rsidRPr="00B83BF7">
              <w:rPr>
                <w:rFonts w:ascii="Arial Narrow" w:hAnsi="Arial Narrow"/>
                <w:b/>
                <w:bCs/>
                <w:sz w:val="20"/>
                <w:szCs w:val="20"/>
              </w:rPr>
              <w:t>Clinical criteria:</w:t>
            </w:r>
          </w:p>
        </w:tc>
      </w:tr>
      <w:tr w:rsidR="00B83BF7" w:rsidRPr="00B83BF7" w14:paraId="4FBB9734"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tcPr>
          <w:p w14:paraId="14DCF6F2" w14:textId="77777777" w:rsidR="00931D55" w:rsidRPr="00B83BF7" w:rsidRDefault="00931D55"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tcPr>
          <w:p w14:paraId="7BFA632C" w14:textId="30D60C44" w:rsidR="00931D55" w:rsidRPr="00B83BF7" w:rsidRDefault="00700AF8" w:rsidP="004B083B">
            <w:pPr>
              <w:jc w:val="left"/>
              <w:textAlignment w:val="baseline"/>
              <w:rPr>
                <w:rFonts w:ascii="Arial Narrow" w:hAnsi="Arial Narrow"/>
                <w:sz w:val="20"/>
                <w:szCs w:val="20"/>
              </w:rPr>
            </w:pPr>
            <w:r w:rsidRPr="00B83BF7">
              <w:rPr>
                <w:rFonts w:ascii="Arial Narrow" w:hAnsi="Arial Narrow"/>
                <w:sz w:val="20"/>
                <w:szCs w:val="20"/>
              </w:rPr>
              <w:t xml:space="preserve">Patient must have had a break in treatment of at least 12 months from the most recently prescribed PBS-subsidised </w:t>
            </w:r>
            <w:r w:rsidR="00565065" w:rsidRPr="00B83BF7">
              <w:rPr>
                <w:rFonts w:ascii="Arial Narrow" w:hAnsi="Arial Narrow"/>
                <w:sz w:val="20"/>
                <w:szCs w:val="20"/>
              </w:rPr>
              <w:t>treatment with this drug</w:t>
            </w:r>
            <w:r w:rsidR="000B7125" w:rsidRPr="00B83BF7">
              <w:rPr>
                <w:rFonts w:ascii="Arial Narrow" w:hAnsi="Arial Narrow"/>
                <w:sz w:val="20"/>
                <w:szCs w:val="20"/>
              </w:rPr>
              <w:t xml:space="preserve"> </w:t>
            </w:r>
            <w:r w:rsidRPr="00B83BF7">
              <w:rPr>
                <w:rFonts w:ascii="Arial Narrow" w:hAnsi="Arial Narrow"/>
                <w:sz w:val="20"/>
                <w:szCs w:val="20"/>
              </w:rPr>
              <w:t>for this condition.</w:t>
            </w:r>
          </w:p>
        </w:tc>
      </w:tr>
      <w:tr w:rsidR="00B83BF7" w:rsidRPr="00B83BF7" w14:paraId="4E57AD4F"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tcPr>
          <w:p w14:paraId="35FBBBA6" w14:textId="77777777" w:rsidR="00BE7AD7" w:rsidRPr="00B83BF7" w:rsidRDefault="00BE7AD7" w:rsidP="004B083B">
            <w:pPr>
              <w:jc w:val="center"/>
              <w:textAlignment w:val="baseline"/>
              <w:rPr>
                <w:rFonts w:ascii="Arial" w:hAnsi="Arial"/>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tcPr>
          <w:p w14:paraId="155A901F" w14:textId="77777777" w:rsidR="00BE7AD7" w:rsidRPr="00B83BF7" w:rsidRDefault="00BE7AD7" w:rsidP="004B083B">
            <w:pPr>
              <w:jc w:val="left"/>
              <w:textAlignment w:val="baseline"/>
              <w:rPr>
                <w:rFonts w:ascii="Arial Narrow" w:hAnsi="Arial Narrow"/>
                <w:b/>
                <w:bCs/>
                <w:sz w:val="20"/>
                <w:szCs w:val="20"/>
              </w:rPr>
            </w:pPr>
            <w:r w:rsidRPr="00B83BF7">
              <w:rPr>
                <w:rFonts w:ascii="Arial Narrow" w:hAnsi="Arial Narrow"/>
                <w:b/>
                <w:bCs/>
                <w:sz w:val="20"/>
                <w:szCs w:val="20"/>
              </w:rPr>
              <w:t>AND</w:t>
            </w:r>
          </w:p>
        </w:tc>
      </w:tr>
      <w:tr w:rsidR="00B83BF7" w:rsidRPr="00B83BF7" w14:paraId="12AD4BAA"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hideMark/>
          </w:tcPr>
          <w:p w14:paraId="14A08472" w14:textId="77777777" w:rsidR="00BE7AD7" w:rsidRPr="00B83BF7" w:rsidRDefault="00BE7AD7" w:rsidP="004B083B">
            <w:pPr>
              <w:jc w:val="center"/>
              <w:textAlignment w:val="baseline"/>
              <w:rPr>
                <w:rFonts w:ascii="Arial Narrow" w:hAnsi="Arial Narrow"/>
                <w:sz w:val="20"/>
                <w:szCs w:val="20"/>
              </w:rPr>
            </w:pPr>
            <w:r w:rsidRPr="00B83BF7">
              <w:rPr>
                <w:rFonts w:ascii="Arial Narrow" w:hAnsi="Arial Narrow"/>
                <w:sz w:val="20"/>
                <w:szCs w:val="20"/>
              </w:rPr>
              <w:t> </w:t>
            </w:r>
          </w:p>
        </w:tc>
        <w:tc>
          <w:tcPr>
            <w:tcW w:w="7491" w:type="dxa"/>
            <w:gridSpan w:val="6"/>
            <w:tcBorders>
              <w:top w:val="single" w:sz="6" w:space="0" w:color="auto"/>
              <w:left w:val="single" w:sz="6" w:space="0" w:color="auto"/>
              <w:bottom w:val="single" w:sz="6" w:space="0" w:color="auto"/>
              <w:right w:val="single" w:sz="6" w:space="0" w:color="auto"/>
            </w:tcBorders>
            <w:vAlign w:val="center"/>
            <w:hideMark/>
          </w:tcPr>
          <w:p w14:paraId="6D05CD99" w14:textId="77777777" w:rsidR="00BE7AD7" w:rsidRPr="00B83BF7" w:rsidRDefault="00BE7AD7" w:rsidP="004B083B">
            <w:pPr>
              <w:jc w:val="left"/>
              <w:textAlignment w:val="baseline"/>
              <w:rPr>
                <w:rFonts w:ascii="Arial Narrow" w:hAnsi="Arial Narrow"/>
                <w:sz w:val="20"/>
                <w:szCs w:val="20"/>
              </w:rPr>
            </w:pPr>
            <w:r w:rsidRPr="00B83BF7">
              <w:rPr>
                <w:rFonts w:ascii="Arial Narrow" w:hAnsi="Arial Narrow"/>
                <w:b/>
                <w:bCs/>
                <w:sz w:val="20"/>
                <w:szCs w:val="20"/>
              </w:rPr>
              <w:t xml:space="preserve">Clinical criteria: </w:t>
            </w:r>
            <w:r w:rsidRPr="00B83BF7">
              <w:rPr>
                <w:rFonts w:ascii="Arial" w:hAnsi="Arial"/>
                <w:sz w:val="20"/>
                <w:szCs w:val="20"/>
              </w:rPr>
              <w:t> </w:t>
            </w:r>
            <w:r w:rsidRPr="00B83BF7">
              <w:rPr>
                <w:rFonts w:ascii="Arial Narrow" w:hAnsi="Arial Narrow"/>
                <w:sz w:val="20"/>
                <w:szCs w:val="20"/>
              </w:rPr>
              <w:t> </w:t>
            </w:r>
          </w:p>
        </w:tc>
      </w:tr>
      <w:tr w:rsidR="00B83BF7" w:rsidRPr="00B83BF7" w14:paraId="13E54605"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hideMark/>
          </w:tcPr>
          <w:p w14:paraId="1D3C6D96" w14:textId="77777777" w:rsidR="00BE7AD7" w:rsidRPr="00B83BF7" w:rsidRDefault="00BE7AD7"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hideMark/>
          </w:tcPr>
          <w:p w14:paraId="3244C924" w14:textId="405E99A3" w:rsidR="00BE7AD7" w:rsidRPr="00B83BF7" w:rsidRDefault="00BE7AD7" w:rsidP="004B083B">
            <w:pPr>
              <w:jc w:val="left"/>
              <w:textAlignment w:val="baseline"/>
              <w:rPr>
                <w:rFonts w:ascii="Arial Narrow" w:hAnsi="Arial Narrow"/>
                <w:sz w:val="20"/>
                <w:szCs w:val="20"/>
              </w:rPr>
            </w:pPr>
            <w:r w:rsidRPr="00B83BF7">
              <w:rPr>
                <w:rFonts w:ascii="Arial Narrow" w:hAnsi="Arial Narrow"/>
                <w:sz w:val="20"/>
                <w:szCs w:val="20"/>
              </w:rPr>
              <w:t xml:space="preserve">Patient must have a documented diagnosis of familial </w:t>
            </w:r>
            <w:r w:rsidR="00D36310" w:rsidRPr="00B83BF7">
              <w:rPr>
                <w:rFonts w:ascii="Arial Narrow" w:hAnsi="Arial Narrow"/>
                <w:sz w:val="20"/>
                <w:szCs w:val="20"/>
              </w:rPr>
              <w:t>M</w:t>
            </w:r>
            <w:r w:rsidRPr="00B83BF7">
              <w:rPr>
                <w:rFonts w:ascii="Arial Narrow" w:hAnsi="Arial Narrow"/>
                <w:sz w:val="20"/>
                <w:szCs w:val="20"/>
              </w:rPr>
              <w:t>editerranean fever (FMF) based on the Tel-</w:t>
            </w:r>
            <w:proofErr w:type="spellStart"/>
            <w:r w:rsidRPr="00B83BF7">
              <w:rPr>
                <w:rFonts w:ascii="Arial Narrow" w:hAnsi="Arial Narrow"/>
                <w:sz w:val="20"/>
                <w:szCs w:val="20"/>
              </w:rPr>
              <w:t>Hashomer</w:t>
            </w:r>
            <w:proofErr w:type="spellEnd"/>
            <w:r w:rsidRPr="00B83BF7">
              <w:rPr>
                <w:rFonts w:ascii="Arial Narrow" w:hAnsi="Arial Narrow"/>
                <w:sz w:val="20"/>
                <w:szCs w:val="20"/>
              </w:rPr>
              <w:t xml:space="preserve"> diagnostic criteria.</w:t>
            </w:r>
          </w:p>
        </w:tc>
      </w:tr>
      <w:tr w:rsidR="00B83BF7" w:rsidRPr="00B83BF7" w14:paraId="31C0ECDE"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hideMark/>
          </w:tcPr>
          <w:p w14:paraId="5DBBDC6C" w14:textId="77777777" w:rsidR="00BE7AD7" w:rsidRPr="00B83BF7" w:rsidRDefault="00BE7AD7" w:rsidP="004B083B">
            <w:pPr>
              <w:jc w:val="center"/>
              <w:textAlignment w:val="baseline"/>
              <w:rPr>
                <w:rFonts w:ascii="Arial Narrow" w:hAnsi="Arial Narrow"/>
                <w:sz w:val="20"/>
                <w:szCs w:val="20"/>
              </w:rPr>
            </w:pPr>
            <w:r w:rsidRPr="00B83BF7">
              <w:rPr>
                <w:rFonts w:ascii="Arial" w:hAnsi="Arial"/>
                <w:sz w:val="20"/>
                <w:szCs w:val="20"/>
              </w:rPr>
              <w:t> </w:t>
            </w:r>
            <w:r w:rsidRPr="00B83BF7">
              <w:rPr>
                <w:rFonts w:ascii="Arial Narrow" w:hAnsi="Arial Narrow"/>
                <w:sz w:val="20"/>
                <w:szCs w:val="20"/>
              </w:rPr>
              <w:t> </w:t>
            </w:r>
          </w:p>
        </w:tc>
        <w:tc>
          <w:tcPr>
            <w:tcW w:w="7491" w:type="dxa"/>
            <w:gridSpan w:val="6"/>
            <w:tcBorders>
              <w:top w:val="single" w:sz="6" w:space="0" w:color="auto"/>
              <w:left w:val="single" w:sz="6" w:space="0" w:color="auto"/>
              <w:bottom w:val="single" w:sz="6" w:space="0" w:color="auto"/>
              <w:right w:val="single" w:sz="6" w:space="0" w:color="auto"/>
            </w:tcBorders>
            <w:vAlign w:val="center"/>
            <w:hideMark/>
          </w:tcPr>
          <w:p w14:paraId="0B03F454" w14:textId="77777777" w:rsidR="00BE7AD7" w:rsidRPr="00B83BF7" w:rsidRDefault="00BE7AD7" w:rsidP="004B083B">
            <w:pPr>
              <w:jc w:val="left"/>
              <w:textAlignment w:val="baseline"/>
              <w:rPr>
                <w:rFonts w:ascii="Arial Narrow" w:hAnsi="Arial Narrow"/>
                <w:sz w:val="20"/>
                <w:szCs w:val="20"/>
              </w:rPr>
            </w:pPr>
            <w:r w:rsidRPr="00B83BF7">
              <w:rPr>
                <w:rFonts w:ascii="Arial Narrow" w:hAnsi="Arial Narrow"/>
                <w:b/>
                <w:bCs/>
                <w:sz w:val="20"/>
                <w:szCs w:val="20"/>
              </w:rPr>
              <w:t>AND</w:t>
            </w:r>
            <w:r w:rsidRPr="00B83BF7">
              <w:rPr>
                <w:rFonts w:ascii="Arial" w:hAnsi="Arial"/>
                <w:sz w:val="20"/>
                <w:szCs w:val="20"/>
              </w:rPr>
              <w:t> </w:t>
            </w:r>
            <w:r w:rsidRPr="00B83BF7">
              <w:rPr>
                <w:rFonts w:ascii="Arial Narrow" w:hAnsi="Arial Narrow"/>
                <w:sz w:val="20"/>
                <w:szCs w:val="20"/>
              </w:rPr>
              <w:t> </w:t>
            </w:r>
          </w:p>
        </w:tc>
      </w:tr>
      <w:tr w:rsidR="00B83BF7" w:rsidRPr="00B83BF7" w14:paraId="67C19E84"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hideMark/>
          </w:tcPr>
          <w:p w14:paraId="514BDCE2" w14:textId="77777777" w:rsidR="00BE7AD7" w:rsidRPr="00B83BF7" w:rsidRDefault="00BE7AD7"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hideMark/>
          </w:tcPr>
          <w:p w14:paraId="6665BAF1" w14:textId="77777777" w:rsidR="00BE7AD7" w:rsidRPr="00B83BF7" w:rsidRDefault="00BE7AD7" w:rsidP="004B083B">
            <w:pPr>
              <w:jc w:val="left"/>
              <w:textAlignment w:val="baseline"/>
              <w:rPr>
                <w:rFonts w:ascii="Arial Narrow" w:hAnsi="Arial Narrow"/>
                <w:sz w:val="20"/>
                <w:szCs w:val="20"/>
              </w:rPr>
            </w:pPr>
            <w:r w:rsidRPr="00B83BF7">
              <w:rPr>
                <w:rFonts w:ascii="Arial Narrow" w:hAnsi="Arial Narrow"/>
                <w:b/>
                <w:bCs/>
                <w:sz w:val="20"/>
                <w:szCs w:val="20"/>
              </w:rPr>
              <w:t>Clinical criteria:</w:t>
            </w:r>
            <w:r w:rsidRPr="00B83BF7">
              <w:rPr>
                <w:rFonts w:ascii="Arial" w:hAnsi="Arial"/>
                <w:sz w:val="20"/>
                <w:szCs w:val="20"/>
              </w:rPr>
              <w:t> </w:t>
            </w:r>
            <w:r w:rsidRPr="00B83BF7">
              <w:rPr>
                <w:rFonts w:ascii="Arial Narrow" w:hAnsi="Arial Narrow"/>
                <w:sz w:val="20"/>
                <w:szCs w:val="20"/>
              </w:rPr>
              <w:t> </w:t>
            </w:r>
          </w:p>
        </w:tc>
      </w:tr>
      <w:tr w:rsidR="00B83BF7" w:rsidRPr="00B83BF7" w14:paraId="1FC763BC"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hideMark/>
          </w:tcPr>
          <w:p w14:paraId="09EB2E89" w14:textId="77777777" w:rsidR="00BE7AD7" w:rsidRPr="00B83BF7" w:rsidRDefault="00BE7AD7"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hideMark/>
          </w:tcPr>
          <w:p w14:paraId="1E64E58F" w14:textId="0DDD812C" w:rsidR="00BE7AD7" w:rsidRPr="00B83BF7" w:rsidRDefault="00BE7AD7" w:rsidP="004B083B">
            <w:pPr>
              <w:jc w:val="left"/>
              <w:textAlignment w:val="baseline"/>
              <w:rPr>
                <w:rFonts w:ascii="Arial Narrow" w:hAnsi="Arial Narrow"/>
                <w:sz w:val="20"/>
                <w:szCs w:val="20"/>
              </w:rPr>
            </w:pPr>
            <w:r w:rsidRPr="00B83BF7">
              <w:rPr>
                <w:rFonts w:ascii="Arial Narrow" w:hAnsi="Arial Narrow"/>
                <w:sz w:val="20"/>
                <w:szCs w:val="20"/>
              </w:rPr>
              <w:t xml:space="preserve">Patient must have at least one known </w:t>
            </w:r>
            <w:r w:rsidRPr="00B83BF7">
              <w:rPr>
                <w:rFonts w:ascii="Arial Narrow" w:hAnsi="Arial Narrow"/>
                <w:i/>
                <w:iCs/>
                <w:sz w:val="20"/>
                <w:szCs w:val="20"/>
              </w:rPr>
              <w:t>MEFV</w:t>
            </w:r>
            <w:r w:rsidRPr="00B83BF7">
              <w:rPr>
                <w:rFonts w:ascii="Arial Narrow" w:hAnsi="Arial Narrow"/>
                <w:sz w:val="20"/>
                <w:szCs w:val="20"/>
              </w:rPr>
              <w:t xml:space="preserve"> gene exon 10 pathogenic </w:t>
            </w:r>
            <w:proofErr w:type="gramStart"/>
            <w:r w:rsidRPr="00B83BF7">
              <w:rPr>
                <w:rFonts w:ascii="Arial Narrow" w:hAnsi="Arial Narrow"/>
                <w:sz w:val="20"/>
                <w:szCs w:val="20"/>
              </w:rPr>
              <w:t>variant</w:t>
            </w:r>
            <w:proofErr w:type="gramEnd"/>
            <w:r w:rsidRPr="00B83BF7">
              <w:rPr>
                <w:rFonts w:ascii="Arial Narrow" w:hAnsi="Arial Narrow"/>
                <w:sz w:val="20"/>
                <w:szCs w:val="20"/>
              </w:rPr>
              <w:t>, confirmed by genetic testing</w:t>
            </w:r>
          </w:p>
        </w:tc>
      </w:tr>
      <w:tr w:rsidR="00B83BF7" w:rsidRPr="00B83BF7" w14:paraId="332A5E92"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tcPr>
          <w:p w14:paraId="3F49F365" w14:textId="77777777" w:rsidR="00BE7AD7" w:rsidRPr="00B83BF7" w:rsidRDefault="00BE7AD7"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tcPr>
          <w:p w14:paraId="130B4A34" w14:textId="77777777" w:rsidR="00BE7AD7" w:rsidRPr="00B83BF7" w:rsidRDefault="00BE7AD7" w:rsidP="004B083B">
            <w:pPr>
              <w:jc w:val="left"/>
              <w:textAlignment w:val="baseline"/>
              <w:rPr>
                <w:rFonts w:ascii="Arial Narrow" w:hAnsi="Arial Narrow"/>
                <w:sz w:val="20"/>
                <w:szCs w:val="20"/>
              </w:rPr>
            </w:pPr>
            <w:r w:rsidRPr="00B83BF7">
              <w:rPr>
                <w:rFonts w:ascii="Arial Narrow" w:hAnsi="Arial Narrow"/>
                <w:b/>
                <w:bCs/>
                <w:sz w:val="20"/>
                <w:szCs w:val="20"/>
              </w:rPr>
              <w:t>AND</w:t>
            </w:r>
            <w:r w:rsidRPr="00B83BF7">
              <w:rPr>
                <w:rFonts w:ascii="Arial" w:hAnsi="Arial"/>
                <w:sz w:val="20"/>
                <w:szCs w:val="20"/>
              </w:rPr>
              <w:t> </w:t>
            </w:r>
            <w:r w:rsidRPr="00B83BF7">
              <w:rPr>
                <w:rFonts w:ascii="Arial Narrow" w:hAnsi="Arial Narrow"/>
                <w:sz w:val="20"/>
                <w:szCs w:val="20"/>
              </w:rPr>
              <w:t> </w:t>
            </w:r>
          </w:p>
        </w:tc>
      </w:tr>
      <w:tr w:rsidR="00B83BF7" w:rsidRPr="00B83BF7" w14:paraId="779D08A4"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tcPr>
          <w:p w14:paraId="7B7ACAEC" w14:textId="77777777" w:rsidR="00BE7AD7" w:rsidRPr="00B83BF7" w:rsidRDefault="00BE7AD7"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tcPr>
          <w:p w14:paraId="30C7AF4E" w14:textId="5A6153BA" w:rsidR="00BE7AD7" w:rsidRPr="00B83BF7" w:rsidRDefault="00BE7AD7" w:rsidP="004B083B">
            <w:pPr>
              <w:jc w:val="left"/>
              <w:textAlignment w:val="baseline"/>
              <w:rPr>
                <w:rFonts w:ascii="Arial Narrow" w:hAnsi="Arial Narrow"/>
                <w:sz w:val="20"/>
                <w:szCs w:val="20"/>
              </w:rPr>
            </w:pPr>
            <w:r w:rsidRPr="00B83BF7">
              <w:rPr>
                <w:rFonts w:ascii="Arial Narrow" w:hAnsi="Arial Narrow"/>
                <w:b/>
                <w:bCs/>
                <w:sz w:val="20"/>
                <w:szCs w:val="20"/>
              </w:rPr>
              <w:t>Clinical criteria:</w:t>
            </w:r>
            <w:r w:rsidRPr="00B83BF7">
              <w:rPr>
                <w:rFonts w:ascii="Arial" w:hAnsi="Arial"/>
                <w:sz w:val="20"/>
                <w:szCs w:val="20"/>
              </w:rPr>
              <w:t> </w:t>
            </w:r>
            <w:r w:rsidRPr="00B83BF7">
              <w:rPr>
                <w:rFonts w:ascii="Arial Narrow" w:hAnsi="Arial Narrow"/>
                <w:sz w:val="20"/>
                <w:szCs w:val="20"/>
              </w:rPr>
              <w:t> </w:t>
            </w:r>
          </w:p>
        </w:tc>
      </w:tr>
      <w:tr w:rsidR="00B83BF7" w:rsidRPr="00B83BF7" w14:paraId="0B731DED"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tcPr>
          <w:p w14:paraId="5E617C74" w14:textId="77777777" w:rsidR="00BE7AD7" w:rsidRPr="00B83BF7" w:rsidRDefault="00BE7AD7"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tcPr>
          <w:p w14:paraId="5CF0582A" w14:textId="10792511" w:rsidR="00BE7AD7" w:rsidRPr="00B83BF7" w:rsidRDefault="00BE7AD7" w:rsidP="004B083B">
            <w:pPr>
              <w:jc w:val="left"/>
              <w:textAlignment w:val="baseline"/>
              <w:rPr>
                <w:rFonts w:ascii="Arial Narrow" w:hAnsi="Arial Narrow"/>
                <w:sz w:val="20"/>
                <w:szCs w:val="20"/>
              </w:rPr>
            </w:pPr>
            <w:r w:rsidRPr="00B83BF7">
              <w:rPr>
                <w:rFonts w:ascii="Arial Narrow" w:hAnsi="Arial Narrow"/>
                <w:sz w:val="20"/>
                <w:szCs w:val="20"/>
              </w:rPr>
              <w:t>Patient must have</w:t>
            </w:r>
            <w:r w:rsidR="000427D9" w:rsidRPr="00B83BF7">
              <w:rPr>
                <w:rFonts w:ascii="Arial Narrow" w:hAnsi="Arial Narrow"/>
                <w:sz w:val="20"/>
                <w:szCs w:val="20"/>
              </w:rPr>
              <w:t>/have had</w:t>
            </w:r>
            <w:r w:rsidRPr="00B83BF7">
              <w:rPr>
                <w:rFonts w:ascii="Arial Narrow" w:hAnsi="Arial Narrow"/>
                <w:sz w:val="20"/>
                <w:szCs w:val="20"/>
              </w:rPr>
              <w:t xml:space="preserve"> </w:t>
            </w:r>
            <w:r w:rsidR="00024C67" w:rsidRPr="00B83BF7">
              <w:rPr>
                <w:rFonts w:ascii="Arial Narrow" w:hAnsi="Arial Narrow"/>
                <w:sz w:val="20"/>
                <w:szCs w:val="20"/>
              </w:rPr>
              <w:t xml:space="preserve">prior to </w:t>
            </w:r>
            <w:r w:rsidR="006A0165">
              <w:rPr>
                <w:rFonts w:ascii="Arial Narrow" w:hAnsi="Arial Narrow"/>
                <w:sz w:val="20"/>
                <w:szCs w:val="20"/>
              </w:rPr>
              <w:t>anti-</w:t>
            </w:r>
            <w:r w:rsidR="00024C67" w:rsidRPr="00B83BF7">
              <w:rPr>
                <w:rFonts w:ascii="Arial Narrow" w:hAnsi="Arial Narrow"/>
                <w:sz w:val="20"/>
                <w:szCs w:val="20"/>
              </w:rPr>
              <w:t>IL-1</w:t>
            </w:r>
            <w:r w:rsidRPr="00B83BF7">
              <w:rPr>
                <w:rFonts w:ascii="Arial Narrow" w:hAnsi="Arial Narrow"/>
                <w:sz w:val="20"/>
                <w:szCs w:val="20"/>
              </w:rPr>
              <w:t xml:space="preserve"> </w:t>
            </w:r>
            <w:r w:rsidR="006A0165">
              <w:rPr>
                <w:rFonts w:ascii="Arial Narrow" w:hAnsi="Arial Narrow"/>
                <w:sz w:val="20"/>
                <w:szCs w:val="20"/>
              </w:rPr>
              <w:t>biologic</w:t>
            </w:r>
            <w:r w:rsidR="00AC614E" w:rsidRPr="00B83BF7">
              <w:rPr>
                <w:rFonts w:ascii="Arial Narrow" w:hAnsi="Arial Narrow"/>
                <w:sz w:val="20"/>
                <w:szCs w:val="20"/>
              </w:rPr>
              <w:t xml:space="preserve"> </w:t>
            </w:r>
            <w:r w:rsidR="0061574B" w:rsidRPr="00B83BF7">
              <w:rPr>
                <w:rFonts w:ascii="Arial Narrow" w:hAnsi="Arial Narrow"/>
                <w:sz w:val="20"/>
                <w:szCs w:val="20"/>
              </w:rPr>
              <w:t>treatment</w:t>
            </w:r>
            <w:r w:rsidRPr="00B83BF7">
              <w:rPr>
                <w:rFonts w:ascii="Arial Narrow" w:hAnsi="Arial Narrow"/>
                <w:sz w:val="20"/>
                <w:szCs w:val="20"/>
              </w:rPr>
              <w:t xml:space="preserve"> either of: (</w:t>
            </w:r>
            <w:proofErr w:type="spellStart"/>
            <w:r w:rsidRPr="00B83BF7">
              <w:rPr>
                <w:rFonts w:ascii="Arial Narrow" w:hAnsi="Arial Narrow"/>
                <w:sz w:val="20"/>
                <w:szCs w:val="20"/>
              </w:rPr>
              <w:t>i</w:t>
            </w:r>
            <w:proofErr w:type="spellEnd"/>
            <w:r w:rsidRPr="00B83BF7">
              <w:rPr>
                <w:rFonts w:ascii="Arial Narrow" w:hAnsi="Arial Narrow"/>
                <w:sz w:val="20"/>
                <w:szCs w:val="20"/>
              </w:rPr>
              <w:t>)</w:t>
            </w:r>
            <w:r w:rsidR="004B083B">
              <w:rPr>
                <w:rFonts w:ascii="Arial Narrow" w:hAnsi="Arial Narrow"/>
                <w:sz w:val="20"/>
                <w:szCs w:val="20"/>
              </w:rPr>
              <w:t xml:space="preserve"> </w:t>
            </w:r>
            <w:r w:rsidR="00C96929" w:rsidRPr="00B83BF7">
              <w:rPr>
                <w:rFonts w:ascii="Arial Narrow" w:hAnsi="Arial Narrow"/>
                <w:sz w:val="20"/>
                <w:szCs w:val="20"/>
              </w:rPr>
              <w:t xml:space="preserve">experienced </w:t>
            </w:r>
            <w:r w:rsidRPr="00B83BF7">
              <w:rPr>
                <w:rFonts w:ascii="Arial Narrow" w:hAnsi="Arial Narrow"/>
                <w:sz w:val="20"/>
                <w:szCs w:val="20"/>
              </w:rPr>
              <w:t>at least one febrile attack per month for at least three months (ii) persistently elevated C-reactive protein (CRP) and/or serum amyloid A (S</w:t>
            </w:r>
            <w:r w:rsidR="007966C4" w:rsidRPr="00B83BF7">
              <w:rPr>
                <w:rFonts w:ascii="Arial Narrow" w:hAnsi="Arial Narrow"/>
                <w:sz w:val="20"/>
                <w:szCs w:val="20"/>
              </w:rPr>
              <w:t>A</w:t>
            </w:r>
            <w:r w:rsidRPr="00B83BF7">
              <w:rPr>
                <w:rFonts w:ascii="Arial Narrow" w:hAnsi="Arial Narrow"/>
                <w:sz w:val="20"/>
                <w:szCs w:val="20"/>
              </w:rPr>
              <w:t>A), during the attack-free period for at least three months, despite treatment with the maximally tolerated dose</w:t>
            </w:r>
            <w:r w:rsidRPr="00B83BF7">
              <w:rPr>
                <w:rFonts w:ascii="Arial Narrow" w:hAnsi="Arial Narrow"/>
                <w:strike/>
                <w:sz w:val="20"/>
                <w:szCs w:val="20"/>
              </w:rPr>
              <w:t>s</w:t>
            </w:r>
            <w:r w:rsidRPr="00B83BF7">
              <w:rPr>
                <w:rFonts w:ascii="Arial Narrow" w:hAnsi="Arial Narrow"/>
                <w:sz w:val="20"/>
                <w:szCs w:val="20"/>
              </w:rPr>
              <w:t xml:space="preserve"> of colchicine treatment; OR</w:t>
            </w:r>
          </w:p>
        </w:tc>
      </w:tr>
      <w:tr w:rsidR="00B83BF7" w:rsidRPr="00B83BF7" w14:paraId="4A0AC752"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tcPr>
          <w:p w14:paraId="5A4FB854" w14:textId="77777777" w:rsidR="00BE7AD7" w:rsidRPr="00B83BF7" w:rsidRDefault="00BE7AD7"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tcPr>
          <w:p w14:paraId="3F5F674D" w14:textId="2EAF3A60" w:rsidR="00BE7AD7" w:rsidRPr="00B83BF7" w:rsidRDefault="00BE7AD7" w:rsidP="004B083B">
            <w:pPr>
              <w:jc w:val="left"/>
              <w:textAlignment w:val="baseline"/>
              <w:rPr>
                <w:rFonts w:ascii="Arial Narrow" w:hAnsi="Arial Narrow"/>
                <w:sz w:val="20"/>
                <w:szCs w:val="20"/>
              </w:rPr>
            </w:pPr>
            <w:r w:rsidRPr="00B83BF7">
              <w:rPr>
                <w:rFonts w:ascii="Arial Narrow" w:hAnsi="Arial Narrow"/>
                <w:sz w:val="20"/>
                <w:szCs w:val="20"/>
              </w:rPr>
              <w:t>Patient must have</w:t>
            </w:r>
            <w:r w:rsidR="008C6947" w:rsidRPr="00B83BF7">
              <w:rPr>
                <w:rFonts w:ascii="Arial Narrow" w:hAnsi="Arial Narrow"/>
                <w:sz w:val="20"/>
                <w:szCs w:val="20"/>
              </w:rPr>
              <w:t xml:space="preserve">/have had </w:t>
            </w:r>
            <w:r w:rsidR="0061574B" w:rsidRPr="00B83BF7">
              <w:rPr>
                <w:rFonts w:ascii="Arial Narrow" w:hAnsi="Arial Narrow"/>
                <w:sz w:val="20"/>
                <w:szCs w:val="20"/>
              </w:rPr>
              <w:t xml:space="preserve">prior to </w:t>
            </w:r>
            <w:r w:rsidR="006A0165">
              <w:rPr>
                <w:rFonts w:ascii="Arial Narrow" w:hAnsi="Arial Narrow"/>
                <w:sz w:val="20"/>
                <w:szCs w:val="20"/>
              </w:rPr>
              <w:t>anti-</w:t>
            </w:r>
            <w:r w:rsidR="0061574B" w:rsidRPr="00B83BF7">
              <w:rPr>
                <w:rFonts w:ascii="Arial Narrow" w:hAnsi="Arial Narrow"/>
                <w:sz w:val="20"/>
                <w:szCs w:val="20"/>
              </w:rPr>
              <w:t xml:space="preserve">IL-1 </w:t>
            </w:r>
            <w:r w:rsidR="006A0165">
              <w:rPr>
                <w:rFonts w:ascii="Arial Narrow" w:hAnsi="Arial Narrow"/>
                <w:sz w:val="20"/>
                <w:szCs w:val="20"/>
              </w:rPr>
              <w:t>biologic</w:t>
            </w:r>
            <w:r w:rsidR="00AC614E" w:rsidRPr="00B83BF7">
              <w:rPr>
                <w:rFonts w:ascii="Arial Narrow" w:hAnsi="Arial Narrow"/>
                <w:sz w:val="20"/>
                <w:szCs w:val="20"/>
              </w:rPr>
              <w:t xml:space="preserve"> </w:t>
            </w:r>
            <w:r w:rsidR="0061574B" w:rsidRPr="00B83BF7">
              <w:rPr>
                <w:rFonts w:ascii="Arial Narrow" w:hAnsi="Arial Narrow"/>
                <w:sz w:val="20"/>
                <w:szCs w:val="20"/>
              </w:rPr>
              <w:t>treatment</w:t>
            </w:r>
            <w:r w:rsidR="008C6947" w:rsidRPr="00B83BF7">
              <w:rPr>
                <w:rFonts w:ascii="Arial Narrow" w:hAnsi="Arial Narrow"/>
                <w:sz w:val="20"/>
                <w:szCs w:val="20"/>
              </w:rPr>
              <w:t xml:space="preserve"> </w:t>
            </w:r>
            <w:r w:rsidRPr="00B83BF7">
              <w:rPr>
                <w:rFonts w:ascii="Arial Narrow" w:hAnsi="Arial Narrow"/>
                <w:sz w:val="20"/>
                <w:szCs w:val="20"/>
              </w:rPr>
              <w:t>either of: (</w:t>
            </w:r>
            <w:proofErr w:type="spellStart"/>
            <w:r w:rsidRPr="00B83BF7">
              <w:rPr>
                <w:rFonts w:ascii="Arial Narrow" w:hAnsi="Arial Narrow"/>
                <w:sz w:val="20"/>
                <w:szCs w:val="20"/>
              </w:rPr>
              <w:t>i</w:t>
            </w:r>
            <w:proofErr w:type="spellEnd"/>
            <w:r w:rsidRPr="00B83BF7">
              <w:rPr>
                <w:rFonts w:ascii="Arial Narrow" w:hAnsi="Arial Narrow"/>
                <w:sz w:val="20"/>
                <w:szCs w:val="20"/>
              </w:rPr>
              <w:t>)</w:t>
            </w:r>
            <w:r w:rsidR="004B083B">
              <w:rPr>
                <w:rFonts w:ascii="Arial Narrow" w:hAnsi="Arial Narrow"/>
                <w:sz w:val="20"/>
                <w:szCs w:val="20"/>
              </w:rPr>
              <w:t xml:space="preserve"> </w:t>
            </w:r>
            <w:r w:rsidR="00C96929" w:rsidRPr="00B83BF7">
              <w:rPr>
                <w:rFonts w:ascii="Arial Narrow" w:hAnsi="Arial Narrow"/>
                <w:sz w:val="20"/>
                <w:szCs w:val="20"/>
              </w:rPr>
              <w:t>experienced</w:t>
            </w:r>
            <w:r w:rsidRPr="00B83BF7">
              <w:rPr>
                <w:rFonts w:ascii="Arial Narrow" w:hAnsi="Arial Narrow"/>
                <w:sz w:val="20"/>
                <w:szCs w:val="20"/>
              </w:rPr>
              <w:t xml:space="preserve"> at least one febrile attack per month for at least three months (ii) persistently elevated C-reactive protein </w:t>
            </w:r>
            <w:r w:rsidR="00951EC0" w:rsidRPr="00B83BF7">
              <w:rPr>
                <w:rFonts w:ascii="Arial Narrow" w:hAnsi="Arial Narrow"/>
                <w:sz w:val="20"/>
                <w:szCs w:val="20"/>
              </w:rPr>
              <w:t>(CRP)</w:t>
            </w:r>
            <w:r w:rsidR="00E64EFC" w:rsidRPr="00B83BF7">
              <w:t xml:space="preserve"> </w:t>
            </w:r>
            <w:r w:rsidRPr="00B83BF7">
              <w:rPr>
                <w:rFonts w:ascii="Arial Narrow" w:hAnsi="Arial Narrow"/>
                <w:sz w:val="20"/>
                <w:szCs w:val="20"/>
              </w:rPr>
              <w:t>and/or serum amyloid A</w:t>
            </w:r>
            <w:r w:rsidR="00951EC0" w:rsidRPr="00B83BF7">
              <w:rPr>
                <w:rFonts w:ascii="Arial Narrow" w:hAnsi="Arial Narrow"/>
                <w:sz w:val="20"/>
                <w:szCs w:val="20"/>
              </w:rPr>
              <w:t xml:space="preserve"> (SAA)</w:t>
            </w:r>
            <w:r w:rsidRPr="00B83BF7">
              <w:rPr>
                <w:rFonts w:ascii="Arial Narrow" w:hAnsi="Arial Narrow"/>
                <w:sz w:val="20"/>
                <w:szCs w:val="20"/>
              </w:rPr>
              <w:t>, during the attack-free period for at least three months, in the presence of an intolerance/contraindication of a severity requiring treatment discontinuation to colchicine</w:t>
            </w:r>
          </w:p>
        </w:tc>
      </w:tr>
      <w:tr w:rsidR="00B83BF7" w:rsidRPr="00B83BF7" w14:paraId="25967163"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tcPr>
          <w:p w14:paraId="1A8D602B" w14:textId="77777777" w:rsidR="00BE7AD7" w:rsidRPr="00B83BF7" w:rsidRDefault="00BE7AD7"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tcPr>
          <w:p w14:paraId="3CAF211F" w14:textId="77777777" w:rsidR="00BE7AD7" w:rsidRPr="00B83BF7" w:rsidRDefault="00BE7AD7" w:rsidP="004B083B">
            <w:pPr>
              <w:jc w:val="left"/>
              <w:textAlignment w:val="baseline"/>
              <w:rPr>
                <w:rFonts w:ascii="Arial Narrow" w:hAnsi="Arial Narrow"/>
                <w:sz w:val="20"/>
                <w:szCs w:val="20"/>
              </w:rPr>
            </w:pPr>
            <w:r w:rsidRPr="00B83BF7">
              <w:rPr>
                <w:rFonts w:ascii="Arial Narrow" w:hAnsi="Arial Narrow"/>
                <w:b/>
                <w:bCs/>
                <w:sz w:val="20"/>
                <w:szCs w:val="20"/>
              </w:rPr>
              <w:t>AND</w:t>
            </w:r>
            <w:r w:rsidRPr="00B83BF7">
              <w:rPr>
                <w:rFonts w:ascii="Arial" w:hAnsi="Arial"/>
                <w:sz w:val="20"/>
                <w:szCs w:val="20"/>
              </w:rPr>
              <w:t> </w:t>
            </w:r>
            <w:r w:rsidRPr="00B83BF7">
              <w:rPr>
                <w:rFonts w:ascii="Arial Narrow" w:hAnsi="Arial Narrow"/>
                <w:sz w:val="20"/>
                <w:szCs w:val="20"/>
              </w:rPr>
              <w:t> </w:t>
            </w:r>
          </w:p>
        </w:tc>
      </w:tr>
      <w:tr w:rsidR="00B83BF7" w:rsidRPr="00B83BF7" w14:paraId="4CDF2B1D"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tcPr>
          <w:p w14:paraId="1788B59D" w14:textId="77777777" w:rsidR="00BE7AD7" w:rsidRPr="00B83BF7" w:rsidRDefault="00BE7AD7"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tcPr>
          <w:p w14:paraId="72AC08EC" w14:textId="77777777" w:rsidR="00BE7AD7" w:rsidRPr="00B83BF7" w:rsidRDefault="00BE7AD7" w:rsidP="004B083B">
            <w:pPr>
              <w:jc w:val="left"/>
              <w:textAlignment w:val="baseline"/>
              <w:rPr>
                <w:rFonts w:ascii="Arial Narrow" w:hAnsi="Arial Narrow"/>
                <w:sz w:val="20"/>
                <w:szCs w:val="20"/>
              </w:rPr>
            </w:pPr>
            <w:r w:rsidRPr="00B83BF7">
              <w:rPr>
                <w:rFonts w:ascii="Arial Narrow" w:hAnsi="Arial Narrow"/>
                <w:b/>
                <w:bCs/>
                <w:sz w:val="20"/>
                <w:szCs w:val="20"/>
              </w:rPr>
              <w:t>Treatment criteria:</w:t>
            </w:r>
            <w:r w:rsidRPr="00B83BF7">
              <w:rPr>
                <w:rFonts w:ascii="Arial" w:hAnsi="Arial"/>
                <w:sz w:val="20"/>
                <w:szCs w:val="20"/>
              </w:rPr>
              <w:t> </w:t>
            </w:r>
            <w:r w:rsidRPr="00B83BF7">
              <w:rPr>
                <w:rFonts w:ascii="Arial Narrow" w:hAnsi="Arial Narrow"/>
                <w:sz w:val="20"/>
                <w:szCs w:val="20"/>
              </w:rPr>
              <w:t> </w:t>
            </w:r>
          </w:p>
        </w:tc>
      </w:tr>
      <w:tr w:rsidR="00B83BF7" w:rsidRPr="00B83BF7" w14:paraId="7B8B5A96"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tcPr>
          <w:p w14:paraId="2885C83C" w14:textId="77777777" w:rsidR="00BE7AD7" w:rsidRPr="00B83BF7" w:rsidRDefault="00BE7AD7"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tcPr>
          <w:p w14:paraId="2F5F7153" w14:textId="16184E54" w:rsidR="00BE7AD7" w:rsidRPr="00B83BF7" w:rsidRDefault="00BE7AD7" w:rsidP="004B083B">
            <w:pPr>
              <w:jc w:val="left"/>
              <w:textAlignment w:val="baseline"/>
              <w:rPr>
                <w:rFonts w:ascii="Arial Narrow" w:hAnsi="Arial Narrow"/>
                <w:b/>
                <w:bCs/>
                <w:sz w:val="20"/>
                <w:szCs w:val="20"/>
              </w:rPr>
            </w:pPr>
            <w:r w:rsidRPr="00B83BF7">
              <w:rPr>
                <w:rFonts w:ascii="Arial Narrow" w:hAnsi="Arial Narrow"/>
                <w:sz w:val="20"/>
                <w:szCs w:val="20"/>
              </w:rPr>
              <w:t xml:space="preserve">Must be treated by a medical practitioner </w:t>
            </w:r>
            <w:r w:rsidR="00362964" w:rsidRPr="00B83BF7">
              <w:rPr>
                <w:rFonts w:ascii="Arial Narrow" w:hAnsi="Arial Narrow"/>
                <w:sz w:val="20"/>
                <w:szCs w:val="20"/>
              </w:rPr>
              <w:t xml:space="preserve">with expertise in the management of FMF </w:t>
            </w:r>
            <w:r w:rsidRPr="00B83BF7">
              <w:rPr>
                <w:rFonts w:ascii="Arial Narrow" w:hAnsi="Arial Narrow"/>
                <w:sz w:val="20"/>
                <w:szCs w:val="20"/>
              </w:rPr>
              <w:t>who is either a: (</w:t>
            </w:r>
            <w:proofErr w:type="spellStart"/>
            <w:r w:rsidRPr="00B83BF7">
              <w:rPr>
                <w:rFonts w:ascii="Arial Narrow" w:hAnsi="Arial Narrow"/>
                <w:sz w:val="20"/>
                <w:szCs w:val="20"/>
              </w:rPr>
              <w:t>i</w:t>
            </w:r>
            <w:proofErr w:type="spellEnd"/>
            <w:r w:rsidRPr="00B83BF7">
              <w:rPr>
                <w:rFonts w:ascii="Arial Narrow" w:hAnsi="Arial Narrow"/>
                <w:sz w:val="20"/>
                <w:szCs w:val="20"/>
              </w:rPr>
              <w:t xml:space="preserve">) rheumatologist (ii) clinical immunologist (iii) </w:t>
            </w:r>
            <w:r w:rsidR="00326E91">
              <w:rPr>
                <w:rFonts w:ascii="Arial Narrow" w:hAnsi="Arial Narrow"/>
                <w:sz w:val="20"/>
                <w:szCs w:val="20"/>
              </w:rPr>
              <w:t xml:space="preserve">specialist </w:t>
            </w:r>
            <w:r w:rsidRPr="00B83BF7">
              <w:rPr>
                <w:rFonts w:ascii="Arial Narrow" w:hAnsi="Arial Narrow"/>
                <w:sz w:val="20"/>
                <w:szCs w:val="20"/>
              </w:rPr>
              <w:t>paediatrician</w:t>
            </w:r>
            <w:r w:rsidR="00326E91">
              <w:rPr>
                <w:rFonts w:ascii="Arial Narrow" w:hAnsi="Arial Narrow"/>
                <w:sz w:val="20"/>
                <w:szCs w:val="20"/>
              </w:rPr>
              <w:t xml:space="preserve">, (iv) </w:t>
            </w:r>
            <w:r w:rsidR="00BF48FE">
              <w:rPr>
                <w:rFonts w:ascii="Arial Narrow" w:hAnsi="Arial Narrow"/>
                <w:sz w:val="20"/>
                <w:szCs w:val="20"/>
              </w:rPr>
              <w:t xml:space="preserve">specialist </w:t>
            </w:r>
            <w:r w:rsidR="00D3676F">
              <w:rPr>
                <w:rFonts w:ascii="Arial Narrow" w:hAnsi="Arial Narrow"/>
                <w:sz w:val="20"/>
                <w:szCs w:val="20"/>
              </w:rPr>
              <w:t>physician</w:t>
            </w:r>
          </w:p>
        </w:tc>
      </w:tr>
      <w:tr w:rsidR="00B83BF7" w:rsidRPr="00B83BF7" w14:paraId="44B473D2"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tcPr>
          <w:p w14:paraId="0F878EE9" w14:textId="77777777" w:rsidR="00BE7AD7" w:rsidRPr="00B83BF7" w:rsidRDefault="00BE7AD7"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tcPr>
          <w:p w14:paraId="5E82383D" w14:textId="77777777" w:rsidR="00BE7AD7" w:rsidRPr="00B83BF7" w:rsidRDefault="00BE7AD7" w:rsidP="004B083B">
            <w:pPr>
              <w:jc w:val="left"/>
              <w:textAlignment w:val="baseline"/>
              <w:rPr>
                <w:rFonts w:ascii="Arial Narrow" w:hAnsi="Arial Narrow"/>
                <w:b/>
                <w:bCs/>
                <w:sz w:val="20"/>
                <w:szCs w:val="20"/>
              </w:rPr>
            </w:pPr>
            <w:r w:rsidRPr="00B83BF7">
              <w:rPr>
                <w:rFonts w:ascii="Arial Narrow" w:hAnsi="Arial Narrow"/>
                <w:b/>
                <w:bCs/>
                <w:sz w:val="20"/>
                <w:szCs w:val="20"/>
              </w:rPr>
              <w:t>Treatment criteria:</w:t>
            </w:r>
          </w:p>
        </w:tc>
      </w:tr>
      <w:tr w:rsidR="00B83BF7" w:rsidRPr="00B83BF7" w14:paraId="13879A4E"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tcPr>
          <w:p w14:paraId="59CC1C33" w14:textId="77777777" w:rsidR="00BE7AD7" w:rsidRPr="00B83BF7" w:rsidRDefault="00BE7AD7"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tcPr>
          <w:p w14:paraId="0662B35D" w14:textId="77777777" w:rsidR="00BE7AD7" w:rsidRPr="00B83BF7" w:rsidRDefault="00BE7AD7" w:rsidP="004B083B">
            <w:pPr>
              <w:jc w:val="left"/>
              <w:textAlignment w:val="baseline"/>
              <w:rPr>
                <w:rFonts w:ascii="Arial Narrow" w:hAnsi="Arial Narrow"/>
                <w:sz w:val="20"/>
                <w:szCs w:val="20"/>
              </w:rPr>
            </w:pPr>
            <w:r w:rsidRPr="00B83BF7">
              <w:rPr>
                <w:rFonts w:ascii="Arial Narrow" w:hAnsi="Arial Narrow"/>
                <w:sz w:val="20"/>
                <w:szCs w:val="20"/>
              </w:rPr>
              <w:t>The treatment must be in combination with colchicine unless contraindicated or cannot be tolerated.</w:t>
            </w:r>
          </w:p>
        </w:tc>
      </w:tr>
      <w:tr w:rsidR="00B83BF7" w:rsidRPr="00B83BF7" w14:paraId="15C130D3"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hideMark/>
          </w:tcPr>
          <w:p w14:paraId="169DC511" w14:textId="72EB242B" w:rsidR="00BE7AD7" w:rsidRPr="00B83BF7" w:rsidRDefault="00BE7AD7"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hideMark/>
          </w:tcPr>
          <w:p w14:paraId="3D9DCE08" w14:textId="46D4FCC3" w:rsidR="00BE7AD7" w:rsidRPr="00B83BF7" w:rsidRDefault="00BE7AD7" w:rsidP="004B083B">
            <w:pPr>
              <w:jc w:val="left"/>
              <w:textAlignment w:val="baseline"/>
              <w:rPr>
                <w:rFonts w:ascii="Arial Narrow" w:hAnsi="Arial Narrow"/>
                <w:sz w:val="20"/>
                <w:szCs w:val="20"/>
              </w:rPr>
            </w:pPr>
            <w:r w:rsidRPr="00B83BF7">
              <w:rPr>
                <w:rFonts w:ascii="Arial Narrow" w:hAnsi="Arial Narrow"/>
                <w:b/>
                <w:bCs/>
                <w:sz w:val="20"/>
                <w:szCs w:val="20"/>
              </w:rPr>
              <w:t>Prescribing Instructions:</w:t>
            </w:r>
            <w:r w:rsidR="004B083B">
              <w:rPr>
                <w:rFonts w:ascii="Arial Narrow" w:hAnsi="Arial Narrow"/>
                <w:b/>
                <w:bCs/>
                <w:sz w:val="20"/>
                <w:szCs w:val="20"/>
              </w:rPr>
              <w:t xml:space="preserve"> </w:t>
            </w:r>
          </w:p>
          <w:p w14:paraId="69F5CCDD" w14:textId="2E0B9036" w:rsidR="00BE7AD7" w:rsidRPr="00B83BF7" w:rsidRDefault="00BE7AD7" w:rsidP="004B083B">
            <w:pPr>
              <w:jc w:val="left"/>
              <w:textAlignment w:val="baseline"/>
              <w:rPr>
                <w:rFonts w:ascii="Arial Narrow" w:hAnsi="Arial Narrow"/>
                <w:sz w:val="20"/>
                <w:szCs w:val="20"/>
              </w:rPr>
            </w:pPr>
            <w:r w:rsidRPr="00B83BF7">
              <w:rPr>
                <w:rFonts w:ascii="Arial Narrow" w:hAnsi="Arial Narrow"/>
                <w:sz w:val="20"/>
                <w:szCs w:val="20"/>
              </w:rPr>
              <w:t>If colchicine is contraindicated or cannot be tolerated, details of the contraindication or intolerance including severity to colchicine must be documented in the patient's medical records. The maximum tolerated dose of colchicine must also be documented in the patient's medical records, if applicable.</w:t>
            </w:r>
            <w:r w:rsidR="000F5FC5" w:rsidRPr="00B83BF7">
              <w:rPr>
                <w:rFonts w:ascii="Arial Narrow" w:hAnsi="Arial Narrow"/>
                <w:sz w:val="20"/>
                <w:szCs w:val="20"/>
              </w:rPr>
              <w:t xml:space="preserve"> </w:t>
            </w:r>
          </w:p>
        </w:tc>
      </w:tr>
      <w:tr w:rsidR="00B83BF7" w:rsidRPr="00B83BF7" w14:paraId="578F391E"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hideMark/>
          </w:tcPr>
          <w:p w14:paraId="6AA12FCB" w14:textId="244EED41" w:rsidR="00BE7AD7" w:rsidRPr="00B83BF7" w:rsidRDefault="00BE7AD7" w:rsidP="004B083B">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hideMark/>
          </w:tcPr>
          <w:p w14:paraId="44B37A87" w14:textId="15C35D82" w:rsidR="00BE7AD7" w:rsidRPr="00B83BF7" w:rsidRDefault="00BE7AD7" w:rsidP="004B083B">
            <w:pPr>
              <w:jc w:val="left"/>
              <w:textAlignment w:val="baseline"/>
              <w:rPr>
                <w:rFonts w:ascii="Arial Narrow" w:hAnsi="Arial Narrow"/>
                <w:sz w:val="20"/>
                <w:szCs w:val="20"/>
              </w:rPr>
            </w:pPr>
            <w:r w:rsidRPr="00B83BF7">
              <w:rPr>
                <w:rFonts w:ascii="Arial Narrow" w:hAnsi="Arial Narrow"/>
                <w:b/>
                <w:bCs/>
                <w:sz w:val="20"/>
                <w:szCs w:val="20"/>
              </w:rPr>
              <w:t>Prescribing Instructions:</w:t>
            </w:r>
            <w:r w:rsidR="004B083B">
              <w:rPr>
                <w:rFonts w:ascii="Arial Narrow" w:hAnsi="Arial Narrow"/>
                <w:b/>
                <w:bCs/>
                <w:sz w:val="20"/>
                <w:szCs w:val="20"/>
              </w:rPr>
              <w:t xml:space="preserve"> </w:t>
            </w:r>
          </w:p>
          <w:p w14:paraId="34706995" w14:textId="7FCEB11B" w:rsidR="00BE7AD7" w:rsidRPr="00B83BF7" w:rsidRDefault="00BE7AD7" w:rsidP="004B083B">
            <w:pPr>
              <w:jc w:val="left"/>
              <w:textAlignment w:val="baseline"/>
              <w:rPr>
                <w:rFonts w:ascii="Arial Narrow" w:hAnsi="Arial Narrow"/>
                <w:sz w:val="20"/>
                <w:szCs w:val="20"/>
              </w:rPr>
            </w:pPr>
            <w:r w:rsidRPr="00B83BF7">
              <w:rPr>
                <w:rFonts w:ascii="Arial Narrow" w:hAnsi="Arial Narrow"/>
                <w:sz w:val="20"/>
                <w:szCs w:val="20"/>
              </w:rPr>
              <w:t xml:space="preserve">At the time of the authority application, medical practitioners should request the appropriate quantity of vials </w:t>
            </w:r>
            <w:r w:rsidRPr="00B83BF7" w:rsidDel="00EF7900">
              <w:rPr>
                <w:rFonts w:ascii="Arial Narrow" w:hAnsi="Arial Narrow"/>
                <w:sz w:val="20"/>
                <w:szCs w:val="20"/>
              </w:rPr>
              <w:t xml:space="preserve">to provide </w:t>
            </w:r>
            <w:r w:rsidR="009548F3" w:rsidRPr="00B83BF7">
              <w:rPr>
                <w:rFonts w:ascii="Arial Narrow" w:hAnsi="Arial Narrow"/>
                <w:sz w:val="20"/>
                <w:szCs w:val="20"/>
              </w:rPr>
              <w:t>the recommended starting dose of 150 mg</w:t>
            </w:r>
            <w:r w:rsidR="001370F1" w:rsidRPr="00B83BF7">
              <w:rPr>
                <w:rFonts w:ascii="Arial Narrow" w:hAnsi="Arial Narrow"/>
                <w:sz w:val="20"/>
                <w:szCs w:val="20"/>
              </w:rPr>
              <w:t xml:space="preserve">, or </w:t>
            </w:r>
            <w:r w:rsidRPr="00B83BF7">
              <w:rPr>
                <w:rFonts w:ascii="Arial Narrow" w:hAnsi="Arial Narrow"/>
                <w:sz w:val="20"/>
                <w:szCs w:val="20"/>
              </w:rPr>
              <w:t>2 mg per kg for patients weighing &lt;40 kg</w:t>
            </w:r>
            <w:r w:rsidR="00DE7DDF" w:rsidRPr="00B83BF7">
              <w:rPr>
                <w:rFonts w:ascii="Arial Narrow" w:hAnsi="Arial Narrow"/>
                <w:sz w:val="20"/>
                <w:szCs w:val="20"/>
              </w:rPr>
              <w:t xml:space="preserve"> every 4 weeks</w:t>
            </w:r>
            <w:r w:rsidR="00061376" w:rsidRPr="00B83BF7">
              <w:rPr>
                <w:rFonts w:ascii="Arial Narrow" w:hAnsi="Arial Narrow"/>
                <w:sz w:val="20"/>
                <w:szCs w:val="20"/>
              </w:rPr>
              <w:t xml:space="preserve"> as per the TGA</w:t>
            </w:r>
            <w:r w:rsidR="007A36BA" w:rsidRPr="00B83BF7">
              <w:rPr>
                <w:rFonts w:ascii="Arial Narrow" w:hAnsi="Arial Narrow"/>
                <w:sz w:val="20"/>
                <w:szCs w:val="20"/>
              </w:rPr>
              <w:t xml:space="preserve"> approved</w:t>
            </w:r>
            <w:r w:rsidR="00061376" w:rsidRPr="00B83BF7">
              <w:rPr>
                <w:rFonts w:ascii="Arial Narrow" w:hAnsi="Arial Narrow"/>
                <w:sz w:val="20"/>
                <w:szCs w:val="20"/>
              </w:rPr>
              <w:t xml:space="preserve"> PI</w:t>
            </w:r>
            <w:r w:rsidRPr="00B83BF7">
              <w:rPr>
                <w:rFonts w:ascii="Arial Narrow" w:hAnsi="Arial Narrow"/>
                <w:sz w:val="20"/>
                <w:szCs w:val="20"/>
              </w:rPr>
              <w:t>.</w:t>
            </w:r>
          </w:p>
        </w:tc>
      </w:tr>
      <w:tr w:rsidR="00B83BF7" w:rsidRPr="00B83BF7" w14:paraId="7E08FD02"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hideMark/>
          </w:tcPr>
          <w:p w14:paraId="07C11551" w14:textId="77777777" w:rsidR="00BE7AD7" w:rsidRPr="00B83BF7" w:rsidRDefault="00BE7AD7" w:rsidP="00F147DD">
            <w:pPr>
              <w:jc w:val="center"/>
              <w:textAlignment w:val="baseline"/>
              <w:rPr>
                <w:rFonts w:ascii="Arial Narrow" w:hAnsi="Arial Narrow"/>
                <w:sz w:val="20"/>
                <w:szCs w:val="20"/>
              </w:rPr>
            </w:pPr>
          </w:p>
        </w:tc>
        <w:tc>
          <w:tcPr>
            <w:tcW w:w="7491" w:type="dxa"/>
            <w:gridSpan w:val="6"/>
            <w:tcBorders>
              <w:top w:val="single" w:sz="6" w:space="0" w:color="auto"/>
              <w:left w:val="single" w:sz="6" w:space="0" w:color="auto"/>
              <w:bottom w:val="single" w:sz="6" w:space="0" w:color="auto"/>
              <w:right w:val="single" w:sz="6" w:space="0" w:color="auto"/>
            </w:tcBorders>
            <w:vAlign w:val="center"/>
            <w:hideMark/>
          </w:tcPr>
          <w:p w14:paraId="155B847E" w14:textId="745FE78A" w:rsidR="00BE7AD7" w:rsidRPr="00B83BF7" w:rsidRDefault="00BE7AD7" w:rsidP="004B083B">
            <w:pPr>
              <w:jc w:val="left"/>
              <w:textAlignment w:val="baseline"/>
              <w:rPr>
                <w:rFonts w:ascii="Arial Narrow" w:hAnsi="Arial Narrow"/>
                <w:sz w:val="20"/>
                <w:szCs w:val="20"/>
              </w:rPr>
            </w:pPr>
            <w:r w:rsidRPr="00B83BF7">
              <w:rPr>
                <w:rFonts w:ascii="Arial Narrow" w:hAnsi="Arial Narrow"/>
                <w:b/>
                <w:bCs/>
                <w:sz w:val="20"/>
                <w:szCs w:val="20"/>
              </w:rPr>
              <w:t>Prescribing Instructions:</w:t>
            </w:r>
            <w:r w:rsidR="004B083B">
              <w:rPr>
                <w:rFonts w:ascii="Arial Narrow" w:hAnsi="Arial Narrow"/>
                <w:b/>
                <w:bCs/>
                <w:sz w:val="20"/>
                <w:szCs w:val="20"/>
              </w:rPr>
              <w:t xml:space="preserve"> </w:t>
            </w:r>
          </w:p>
          <w:p w14:paraId="72F694DC" w14:textId="552A3B72" w:rsidR="00BE7AD7" w:rsidRPr="00B83BF7" w:rsidRDefault="00BE7AD7" w:rsidP="004B083B">
            <w:pPr>
              <w:jc w:val="left"/>
              <w:textAlignment w:val="baseline"/>
              <w:rPr>
                <w:rFonts w:ascii="Arial Narrow" w:hAnsi="Arial Narrow"/>
                <w:sz w:val="20"/>
                <w:szCs w:val="20"/>
              </w:rPr>
            </w:pPr>
            <w:r w:rsidRPr="00B83BF7">
              <w:rPr>
                <w:rFonts w:ascii="Arial Narrow" w:hAnsi="Arial Narrow"/>
                <w:sz w:val="20"/>
                <w:szCs w:val="20"/>
              </w:rPr>
              <w:t>The following information must be documented in the patient's medical records:</w:t>
            </w:r>
          </w:p>
          <w:p w14:paraId="4DD4738A" w14:textId="3D81A610" w:rsidR="00842DD0" w:rsidRPr="00B83BF7" w:rsidRDefault="00BE7AD7" w:rsidP="004B083B">
            <w:pPr>
              <w:textAlignment w:val="baseline"/>
              <w:rPr>
                <w:rFonts w:ascii="Arial Narrow" w:hAnsi="Arial Narrow"/>
                <w:sz w:val="20"/>
                <w:szCs w:val="20"/>
              </w:rPr>
            </w:pPr>
            <w:r w:rsidRPr="00B83BF7" w:rsidDel="00842DD0">
              <w:rPr>
                <w:rFonts w:ascii="Arial Narrow" w:hAnsi="Arial Narrow"/>
                <w:sz w:val="20"/>
                <w:szCs w:val="20"/>
              </w:rPr>
              <w:t xml:space="preserve">(a) </w:t>
            </w:r>
            <w:r w:rsidR="00D3676F">
              <w:rPr>
                <w:rFonts w:ascii="Arial Narrow" w:hAnsi="Arial Narrow"/>
                <w:sz w:val="20"/>
                <w:szCs w:val="20"/>
              </w:rPr>
              <w:t>If applicable, t</w:t>
            </w:r>
            <w:r w:rsidRPr="00B83BF7">
              <w:rPr>
                <w:rFonts w:ascii="Arial Narrow" w:hAnsi="Arial Narrow"/>
                <w:sz w:val="20"/>
                <w:szCs w:val="20"/>
              </w:rPr>
              <w:t>he C-reactive protein</w:t>
            </w:r>
            <w:r w:rsidR="007966C4" w:rsidRPr="00B83BF7">
              <w:rPr>
                <w:rFonts w:ascii="Arial Narrow" w:hAnsi="Arial Narrow"/>
                <w:sz w:val="20"/>
                <w:szCs w:val="20"/>
              </w:rPr>
              <w:t xml:space="preserve"> (CRP)</w:t>
            </w:r>
            <w:r w:rsidR="00842DD0" w:rsidRPr="00B83BF7">
              <w:rPr>
                <w:rFonts w:ascii="Arial Narrow" w:hAnsi="Arial Narrow"/>
                <w:sz w:val="20"/>
                <w:szCs w:val="20"/>
              </w:rPr>
              <w:t xml:space="preserve"> result and date of result</w:t>
            </w:r>
          </w:p>
          <w:p w14:paraId="78B9B9E0" w14:textId="51800FFD" w:rsidR="00BE7AD7" w:rsidRPr="00B83BF7" w:rsidRDefault="00842DD0" w:rsidP="004B083B">
            <w:pPr>
              <w:rPr>
                <w:rFonts w:ascii="Arial Narrow" w:hAnsi="Arial Narrow"/>
                <w:sz w:val="20"/>
                <w:szCs w:val="20"/>
              </w:rPr>
            </w:pPr>
            <w:r w:rsidRPr="00B83BF7">
              <w:rPr>
                <w:rFonts w:ascii="Arial Narrow" w:hAnsi="Arial Narrow"/>
                <w:sz w:val="20"/>
                <w:szCs w:val="20"/>
              </w:rPr>
              <w:t xml:space="preserve">(b) If applicable, </w:t>
            </w:r>
            <w:r w:rsidR="0052247F" w:rsidRPr="00B83BF7">
              <w:rPr>
                <w:rFonts w:ascii="Arial Narrow" w:hAnsi="Arial Narrow"/>
                <w:sz w:val="20"/>
                <w:szCs w:val="20"/>
              </w:rPr>
              <w:t xml:space="preserve">the </w:t>
            </w:r>
            <w:r w:rsidR="00BE7AD7" w:rsidRPr="00B83BF7">
              <w:rPr>
                <w:rFonts w:ascii="Arial Narrow" w:hAnsi="Arial Narrow"/>
                <w:sz w:val="20"/>
                <w:szCs w:val="20"/>
              </w:rPr>
              <w:t xml:space="preserve">serum amyloid A </w:t>
            </w:r>
            <w:r w:rsidR="007966C4" w:rsidRPr="00B83BF7">
              <w:rPr>
                <w:rFonts w:ascii="Arial Narrow" w:hAnsi="Arial Narrow"/>
                <w:sz w:val="20"/>
                <w:szCs w:val="20"/>
              </w:rPr>
              <w:t xml:space="preserve">(SAA) </w:t>
            </w:r>
            <w:r w:rsidR="00BE7AD7" w:rsidRPr="00B83BF7">
              <w:rPr>
                <w:rFonts w:ascii="Arial Narrow" w:hAnsi="Arial Narrow"/>
                <w:sz w:val="20"/>
                <w:szCs w:val="20"/>
              </w:rPr>
              <w:t xml:space="preserve">result and date of </w:t>
            </w:r>
            <w:r w:rsidR="008B7A1E" w:rsidRPr="00B83BF7">
              <w:rPr>
                <w:rFonts w:ascii="Arial Narrow" w:hAnsi="Arial Narrow"/>
                <w:sz w:val="20"/>
                <w:szCs w:val="20"/>
              </w:rPr>
              <w:t>result.</w:t>
            </w:r>
          </w:p>
          <w:p w14:paraId="081CAD41" w14:textId="38F237A6" w:rsidR="00BE7AD7" w:rsidRPr="00B83BF7" w:rsidRDefault="00BE7AD7" w:rsidP="004B083B">
            <w:pPr>
              <w:jc w:val="left"/>
              <w:textAlignment w:val="baseline"/>
              <w:rPr>
                <w:rFonts w:ascii="Arial Narrow" w:hAnsi="Arial Narrow"/>
                <w:sz w:val="20"/>
                <w:szCs w:val="20"/>
              </w:rPr>
            </w:pPr>
            <w:r w:rsidRPr="00B83BF7">
              <w:rPr>
                <w:rFonts w:ascii="Arial Narrow" w:hAnsi="Arial Narrow"/>
                <w:sz w:val="20"/>
                <w:szCs w:val="20"/>
              </w:rPr>
              <w:t>(</w:t>
            </w:r>
            <w:r w:rsidR="00C61B3B" w:rsidRPr="00B83BF7">
              <w:rPr>
                <w:rFonts w:ascii="Arial Narrow" w:hAnsi="Arial Narrow"/>
                <w:sz w:val="20"/>
                <w:szCs w:val="20"/>
              </w:rPr>
              <w:t>c</w:t>
            </w:r>
            <w:r w:rsidRPr="00B83BF7">
              <w:rPr>
                <w:rFonts w:ascii="Arial Narrow" w:hAnsi="Arial Narrow"/>
                <w:sz w:val="20"/>
                <w:szCs w:val="20"/>
              </w:rPr>
              <w:t>) The date, pathology provider name and any unique identifying serial number/code that links the genetic test result to the patient.</w:t>
            </w:r>
          </w:p>
          <w:p w14:paraId="4F2F5939" w14:textId="732E4045" w:rsidR="00BE7AD7" w:rsidRPr="00B83BF7" w:rsidRDefault="00BE7AD7" w:rsidP="004B083B">
            <w:pPr>
              <w:jc w:val="left"/>
              <w:textAlignment w:val="baseline"/>
              <w:rPr>
                <w:rFonts w:ascii="Arial Narrow" w:hAnsi="Arial Narrow"/>
                <w:sz w:val="20"/>
                <w:szCs w:val="20"/>
              </w:rPr>
            </w:pPr>
            <w:r w:rsidRPr="00B83BF7">
              <w:rPr>
                <w:rFonts w:ascii="Arial Narrow" w:hAnsi="Arial Narrow"/>
                <w:sz w:val="20"/>
                <w:szCs w:val="20"/>
              </w:rPr>
              <w:t>(</w:t>
            </w:r>
            <w:r w:rsidR="00C61B3B" w:rsidRPr="00B83BF7">
              <w:rPr>
                <w:rFonts w:ascii="Arial Narrow" w:hAnsi="Arial Narrow"/>
                <w:sz w:val="20"/>
                <w:szCs w:val="20"/>
              </w:rPr>
              <w:t>d</w:t>
            </w:r>
            <w:r w:rsidRPr="00B83BF7">
              <w:rPr>
                <w:rFonts w:ascii="Arial Narrow" w:hAnsi="Arial Narrow"/>
                <w:sz w:val="20"/>
                <w:szCs w:val="20"/>
              </w:rPr>
              <w:t>) The number of febrile attacks </w:t>
            </w:r>
            <w:r w:rsidR="00054C8B" w:rsidRPr="00B83BF7">
              <w:rPr>
                <w:rFonts w:ascii="Arial Narrow" w:hAnsi="Arial Narrow"/>
                <w:sz w:val="20"/>
                <w:szCs w:val="20"/>
              </w:rPr>
              <w:t xml:space="preserve">per month </w:t>
            </w:r>
            <w:r w:rsidRPr="00B83BF7">
              <w:rPr>
                <w:rFonts w:ascii="Arial Narrow" w:hAnsi="Arial Narrow"/>
                <w:sz w:val="20"/>
                <w:szCs w:val="20"/>
              </w:rPr>
              <w:t xml:space="preserve">within the three months prior to initiating </w:t>
            </w:r>
            <w:r w:rsidR="00E20FB2" w:rsidRPr="00B83BF7">
              <w:rPr>
                <w:rFonts w:ascii="Arial Narrow" w:hAnsi="Arial Narrow"/>
                <w:sz w:val="20"/>
                <w:szCs w:val="20"/>
              </w:rPr>
              <w:t xml:space="preserve">an IL-1 </w:t>
            </w:r>
            <w:r w:rsidR="00C1262C" w:rsidRPr="00B83BF7">
              <w:rPr>
                <w:rFonts w:ascii="Arial Narrow" w:hAnsi="Arial Narrow"/>
                <w:sz w:val="20"/>
                <w:szCs w:val="20"/>
              </w:rPr>
              <w:t xml:space="preserve">receptor agonist </w:t>
            </w:r>
            <w:r w:rsidR="00B96BF8" w:rsidRPr="00B83BF7">
              <w:rPr>
                <w:rFonts w:ascii="Arial Narrow" w:hAnsi="Arial Narrow"/>
                <w:sz w:val="20"/>
                <w:szCs w:val="20"/>
              </w:rPr>
              <w:t>for this</w:t>
            </w:r>
            <w:r w:rsidR="00F31B6A" w:rsidRPr="00B83BF7">
              <w:rPr>
                <w:rFonts w:ascii="Arial Narrow" w:hAnsi="Arial Narrow"/>
                <w:sz w:val="20"/>
                <w:szCs w:val="20"/>
              </w:rPr>
              <w:t xml:space="preserve"> </w:t>
            </w:r>
            <w:r w:rsidR="00B62B38" w:rsidRPr="00B83BF7">
              <w:rPr>
                <w:rFonts w:ascii="Arial Narrow" w:hAnsi="Arial Narrow"/>
                <w:sz w:val="20"/>
                <w:szCs w:val="20"/>
              </w:rPr>
              <w:t>condition</w:t>
            </w:r>
            <w:r w:rsidR="008B7A1E" w:rsidRPr="00B83BF7">
              <w:rPr>
                <w:rFonts w:ascii="Arial Narrow" w:hAnsi="Arial Narrow"/>
                <w:sz w:val="20"/>
                <w:szCs w:val="20"/>
              </w:rPr>
              <w:t>.</w:t>
            </w:r>
          </w:p>
          <w:p w14:paraId="667ECBE7" w14:textId="29430F3E" w:rsidR="00BE7AD7" w:rsidRPr="00B83BF7" w:rsidRDefault="00BE7AD7" w:rsidP="004B083B">
            <w:pPr>
              <w:jc w:val="left"/>
              <w:textAlignment w:val="baseline"/>
              <w:rPr>
                <w:rFonts w:ascii="Arial Narrow" w:hAnsi="Arial Narrow"/>
                <w:sz w:val="20"/>
                <w:szCs w:val="20"/>
              </w:rPr>
            </w:pPr>
            <w:r w:rsidRPr="00B83BF7">
              <w:rPr>
                <w:rFonts w:ascii="Arial Narrow" w:hAnsi="Arial Narrow"/>
                <w:sz w:val="20"/>
                <w:szCs w:val="20"/>
              </w:rPr>
              <w:t>(</w:t>
            </w:r>
            <w:r w:rsidR="00C61B3B" w:rsidRPr="00B83BF7">
              <w:rPr>
                <w:rFonts w:ascii="Arial Narrow" w:hAnsi="Arial Narrow"/>
                <w:sz w:val="20"/>
                <w:szCs w:val="20"/>
              </w:rPr>
              <w:t>e</w:t>
            </w:r>
            <w:r w:rsidRPr="00B83BF7">
              <w:rPr>
                <w:rFonts w:ascii="Arial Narrow" w:hAnsi="Arial Narrow"/>
                <w:sz w:val="20"/>
                <w:szCs w:val="20"/>
              </w:rPr>
              <w:t>)</w:t>
            </w:r>
            <w:r w:rsidR="00A62C05" w:rsidRPr="00B83BF7">
              <w:rPr>
                <w:rFonts w:ascii="Arial Narrow" w:hAnsi="Arial Narrow"/>
                <w:sz w:val="20"/>
                <w:szCs w:val="20"/>
              </w:rPr>
              <w:t xml:space="preserve"> </w:t>
            </w:r>
            <w:r w:rsidRPr="00B83BF7">
              <w:rPr>
                <w:rFonts w:ascii="Arial Narrow" w:hAnsi="Arial Narrow"/>
                <w:sz w:val="20"/>
                <w:szCs w:val="20"/>
              </w:rPr>
              <w:t>If applicable, details of any contraindications/intolerances.</w:t>
            </w:r>
          </w:p>
          <w:p w14:paraId="296141D9" w14:textId="0CAC8156" w:rsidR="00BE7AD7" w:rsidRPr="00B83BF7" w:rsidRDefault="00BE7AD7" w:rsidP="004B083B">
            <w:pPr>
              <w:jc w:val="left"/>
              <w:textAlignment w:val="baseline"/>
              <w:rPr>
                <w:rFonts w:ascii="Arial Narrow" w:hAnsi="Arial Narrow"/>
                <w:sz w:val="20"/>
                <w:szCs w:val="20"/>
              </w:rPr>
            </w:pPr>
            <w:r w:rsidRPr="00B83BF7">
              <w:rPr>
                <w:rFonts w:ascii="Arial Narrow" w:hAnsi="Arial Narrow"/>
                <w:sz w:val="20"/>
                <w:szCs w:val="20"/>
              </w:rPr>
              <w:t>(</w:t>
            </w:r>
            <w:r w:rsidR="00C61B3B" w:rsidRPr="00B83BF7">
              <w:rPr>
                <w:rFonts w:ascii="Arial Narrow" w:hAnsi="Arial Narrow"/>
                <w:sz w:val="20"/>
                <w:szCs w:val="20"/>
              </w:rPr>
              <w:t>f</w:t>
            </w:r>
            <w:r w:rsidRPr="00B83BF7">
              <w:rPr>
                <w:rFonts w:ascii="Arial Narrow" w:hAnsi="Arial Narrow"/>
                <w:sz w:val="20"/>
                <w:szCs w:val="20"/>
              </w:rPr>
              <w:t>) If applicable, the maximum tolerated dose of colchicine</w:t>
            </w:r>
            <w:r w:rsidR="008B7A1E" w:rsidRPr="00B83BF7">
              <w:rPr>
                <w:rFonts w:ascii="Arial Narrow" w:hAnsi="Arial Narrow"/>
                <w:sz w:val="20"/>
                <w:szCs w:val="20"/>
              </w:rPr>
              <w:t>.</w:t>
            </w:r>
          </w:p>
          <w:p w14:paraId="1327EF03" w14:textId="1D30E735" w:rsidR="00BE7AD7" w:rsidRPr="00B83BF7" w:rsidRDefault="00BE7AD7" w:rsidP="004B083B">
            <w:pPr>
              <w:jc w:val="left"/>
              <w:textAlignment w:val="baseline"/>
              <w:rPr>
                <w:rFonts w:ascii="Arial Narrow" w:hAnsi="Arial Narrow"/>
                <w:sz w:val="20"/>
                <w:szCs w:val="20"/>
              </w:rPr>
            </w:pPr>
            <w:r w:rsidRPr="00B83BF7">
              <w:rPr>
                <w:rFonts w:ascii="Arial Narrow" w:hAnsi="Arial Narrow"/>
                <w:sz w:val="20"/>
                <w:szCs w:val="20"/>
              </w:rPr>
              <w:t>(</w:t>
            </w:r>
            <w:r w:rsidR="00C61B3B" w:rsidRPr="00B83BF7">
              <w:rPr>
                <w:rFonts w:ascii="Arial Narrow" w:hAnsi="Arial Narrow"/>
                <w:sz w:val="20"/>
                <w:szCs w:val="20"/>
              </w:rPr>
              <w:t>g</w:t>
            </w:r>
            <w:r w:rsidR="00004943" w:rsidRPr="00B83BF7">
              <w:rPr>
                <w:rFonts w:ascii="Arial Narrow" w:hAnsi="Arial Narrow"/>
                <w:sz w:val="20"/>
                <w:szCs w:val="20"/>
              </w:rPr>
              <w:t xml:space="preserve">) </w:t>
            </w:r>
            <w:r w:rsidRPr="00B83BF7">
              <w:rPr>
                <w:rFonts w:ascii="Arial Narrow" w:hAnsi="Arial Narrow"/>
                <w:sz w:val="20"/>
                <w:szCs w:val="20"/>
              </w:rPr>
              <w:t>The Tel-</w:t>
            </w:r>
            <w:proofErr w:type="spellStart"/>
            <w:r w:rsidRPr="00B83BF7">
              <w:rPr>
                <w:rFonts w:ascii="Arial Narrow" w:hAnsi="Arial Narrow"/>
                <w:sz w:val="20"/>
                <w:szCs w:val="20"/>
              </w:rPr>
              <w:t>Hashomer</w:t>
            </w:r>
            <w:proofErr w:type="spellEnd"/>
            <w:r w:rsidRPr="00B83BF7">
              <w:rPr>
                <w:rFonts w:ascii="Arial Narrow" w:hAnsi="Arial Narrow"/>
                <w:sz w:val="20"/>
                <w:szCs w:val="20"/>
              </w:rPr>
              <w:t xml:space="preserve"> diagnostic criteria for diagnosis of FM</w:t>
            </w:r>
            <w:r w:rsidR="008107D8" w:rsidRPr="00B83BF7">
              <w:rPr>
                <w:rFonts w:ascii="Arial Narrow" w:hAnsi="Arial Narrow"/>
                <w:sz w:val="20"/>
                <w:szCs w:val="20"/>
              </w:rPr>
              <w:t>F</w:t>
            </w:r>
            <w:r w:rsidR="008B7A1E" w:rsidRPr="00B83BF7">
              <w:rPr>
                <w:rFonts w:ascii="Arial Narrow" w:hAnsi="Arial Narrow"/>
                <w:sz w:val="20"/>
                <w:szCs w:val="20"/>
              </w:rPr>
              <w:t>.</w:t>
            </w:r>
          </w:p>
        </w:tc>
      </w:tr>
      <w:tr w:rsidR="00B83BF7" w:rsidRPr="00B83BF7" w14:paraId="3C9EFEAA" w14:textId="77777777" w:rsidTr="00474C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6" w:type="dxa"/>
            <w:tcBorders>
              <w:top w:val="single" w:sz="6" w:space="0" w:color="auto"/>
              <w:left w:val="single" w:sz="6" w:space="0" w:color="auto"/>
              <w:bottom w:val="single" w:sz="6" w:space="0" w:color="auto"/>
              <w:right w:val="single" w:sz="6" w:space="0" w:color="auto"/>
            </w:tcBorders>
            <w:vAlign w:val="center"/>
            <w:hideMark/>
          </w:tcPr>
          <w:p w14:paraId="16DF81F1" w14:textId="77777777" w:rsidR="00BE7AD7" w:rsidRPr="00B83BF7" w:rsidRDefault="00BE7AD7" w:rsidP="004B083B">
            <w:pPr>
              <w:jc w:val="center"/>
              <w:textAlignment w:val="baseline"/>
              <w:rPr>
                <w:rFonts w:ascii="Arial Narrow" w:hAnsi="Arial Narrow"/>
                <w:sz w:val="20"/>
                <w:szCs w:val="20"/>
              </w:rPr>
            </w:pPr>
            <w:r w:rsidRPr="00B83BF7">
              <w:rPr>
                <w:rFonts w:ascii="Arial Narrow" w:hAnsi="Arial Narrow"/>
                <w:sz w:val="20"/>
                <w:szCs w:val="20"/>
              </w:rPr>
              <w:t> </w:t>
            </w:r>
          </w:p>
          <w:p w14:paraId="775C5B50" w14:textId="77777777" w:rsidR="00BE7AD7" w:rsidRPr="00B83BF7" w:rsidRDefault="00BE7AD7" w:rsidP="004B083B">
            <w:pPr>
              <w:jc w:val="center"/>
              <w:textAlignment w:val="baseline"/>
              <w:rPr>
                <w:rFonts w:ascii="Arial Narrow" w:hAnsi="Arial Narrow"/>
                <w:sz w:val="20"/>
                <w:szCs w:val="20"/>
              </w:rPr>
            </w:pPr>
            <w:r w:rsidRPr="00B83BF7">
              <w:rPr>
                <w:rFonts w:ascii="Arial Narrow" w:hAnsi="Arial Narrow"/>
                <w:sz w:val="20"/>
                <w:szCs w:val="20"/>
              </w:rPr>
              <w:t> </w:t>
            </w:r>
          </w:p>
        </w:tc>
        <w:tc>
          <w:tcPr>
            <w:tcW w:w="7491" w:type="dxa"/>
            <w:gridSpan w:val="6"/>
            <w:tcBorders>
              <w:top w:val="single" w:sz="6" w:space="0" w:color="auto"/>
              <w:left w:val="single" w:sz="6" w:space="0" w:color="auto"/>
              <w:bottom w:val="single" w:sz="6" w:space="0" w:color="auto"/>
              <w:right w:val="single" w:sz="6" w:space="0" w:color="auto"/>
            </w:tcBorders>
            <w:vAlign w:val="center"/>
            <w:hideMark/>
          </w:tcPr>
          <w:p w14:paraId="2D28066C" w14:textId="79EAB8F8" w:rsidR="00BE7AD7" w:rsidRPr="00B83BF7" w:rsidRDefault="00BE7AD7" w:rsidP="004B083B">
            <w:pPr>
              <w:jc w:val="left"/>
              <w:textAlignment w:val="baseline"/>
              <w:rPr>
                <w:rFonts w:ascii="Arial Narrow" w:hAnsi="Arial Narrow"/>
                <w:sz w:val="20"/>
                <w:szCs w:val="20"/>
              </w:rPr>
            </w:pPr>
            <w:r w:rsidRPr="00B83BF7">
              <w:rPr>
                <w:rFonts w:ascii="Arial Narrow" w:hAnsi="Arial Narrow"/>
                <w:b/>
                <w:bCs/>
                <w:sz w:val="20"/>
                <w:szCs w:val="20"/>
              </w:rPr>
              <w:t>Administrative Advice:</w:t>
            </w:r>
            <w:r w:rsidR="004B083B">
              <w:rPr>
                <w:rFonts w:ascii="Arial Narrow" w:hAnsi="Arial Narrow"/>
                <w:b/>
                <w:bCs/>
                <w:sz w:val="20"/>
                <w:szCs w:val="20"/>
              </w:rPr>
              <w:t xml:space="preserve"> </w:t>
            </w:r>
          </w:p>
          <w:p w14:paraId="738B2889" w14:textId="1216913C" w:rsidR="00BE7AD7" w:rsidRPr="00B83BF7" w:rsidRDefault="00BE7AD7" w:rsidP="004B083B">
            <w:pPr>
              <w:jc w:val="left"/>
              <w:textAlignment w:val="baseline"/>
              <w:rPr>
                <w:rFonts w:ascii="Arial Narrow" w:hAnsi="Arial Narrow"/>
                <w:strike/>
                <w:sz w:val="20"/>
                <w:szCs w:val="20"/>
              </w:rPr>
            </w:pPr>
            <w:r w:rsidRPr="00B83BF7">
              <w:rPr>
                <w:rFonts w:ascii="Arial Narrow" w:hAnsi="Arial Narrow"/>
                <w:bCs/>
                <w:sz w:val="20"/>
                <w:szCs w:val="20"/>
              </w:rPr>
              <w:t xml:space="preserve">Applications for authorisation under this restriction may be made in real time using the Online PBS Authorities system (see </w:t>
            </w:r>
            <w:hyperlink r:id="rId12" w:history="1">
              <w:r w:rsidRPr="00B83BF7">
                <w:rPr>
                  <w:rFonts w:ascii="Arial Narrow" w:hAnsi="Arial Narrow"/>
                  <w:bCs/>
                  <w:sz w:val="20"/>
                  <w:szCs w:val="20"/>
                  <w:u w:val="single"/>
                </w:rPr>
                <w:t>www.servicesaustralia.gov.au/HPOS</w:t>
              </w:r>
            </w:hyperlink>
            <w:r w:rsidRPr="00B83BF7">
              <w:rPr>
                <w:rFonts w:ascii="Arial Narrow" w:hAnsi="Arial Narrow"/>
                <w:bCs/>
                <w:sz w:val="20"/>
                <w:szCs w:val="20"/>
              </w:rPr>
              <w:t>) or by telephone by contacting Services Australia on 1800 700 270 (hours of operation 8 a.m. to 5 p.m. Monday to Friday). </w:t>
            </w:r>
          </w:p>
        </w:tc>
      </w:tr>
    </w:tbl>
    <w:p w14:paraId="3A9C9301" w14:textId="77777777" w:rsidR="00BE7AD7" w:rsidRPr="00B83BF7" w:rsidRDefault="00BE7AD7" w:rsidP="004B083B">
      <w:pPr>
        <w:textAlignment w:val="baseline"/>
        <w:rPr>
          <w:rFonts w:ascii="Segoe UI" w:hAnsi="Segoe UI" w:cs="Segoe UI"/>
          <w:sz w:val="18"/>
          <w:szCs w:val="18"/>
        </w:rPr>
      </w:pPr>
      <w:r w:rsidRPr="00B83BF7">
        <w:rPr>
          <w:rFonts w:cs="Calibri"/>
        </w:rPr>
        <w:t> </w:t>
      </w:r>
    </w:p>
    <w:p w14:paraId="27BE69B3" w14:textId="74E905B6" w:rsidR="00BE7AD7" w:rsidRPr="00B83BF7" w:rsidRDefault="003A5579" w:rsidP="006279DD">
      <w:pPr>
        <w:keepNext/>
        <w:textAlignment w:val="baseline"/>
        <w:rPr>
          <w:rFonts w:ascii="Arial Narrow" w:hAnsi="Arial Narrow" w:cs="Calibri"/>
          <w:b/>
          <w:bCs/>
          <w:sz w:val="20"/>
          <w:szCs w:val="20"/>
        </w:rPr>
      </w:pPr>
      <w:r w:rsidRPr="00B83BF7">
        <w:rPr>
          <w:rFonts w:ascii="Arial Narrow" w:hAnsi="Arial Narrow" w:cs="Calibri"/>
          <w:b/>
          <w:bCs/>
          <w:sz w:val="20"/>
          <w:szCs w:val="20"/>
        </w:rPr>
        <w:lastRenderedPageBreak/>
        <w:t>Maintenance</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maintenance)"/>
      </w:tblPr>
      <w:tblGrid>
        <w:gridCol w:w="1575"/>
        <w:gridCol w:w="2363"/>
        <w:gridCol w:w="1019"/>
        <w:gridCol w:w="604"/>
        <w:gridCol w:w="811"/>
        <w:gridCol w:w="812"/>
        <w:gridCol w:w="1883"/>
      </w:tblGrid>
      <w:tr w:rsidR="00B83BF7" w:rsidRPr="00B83BF7" w14:paraId="092E92B3" w14:textId="77777777" w:rsidTr="006A42A5">
        <w:trPr>
          <w:cantSplit/>
          <w:trHeight w:val="20"/>
        </w:trPr>
        <w:tc>
          <w:tcPr>
            <w:tcW w:w="3938" w:type="dxa"/>
            <w:gridSpan w:val="2"/>
            <w:vAlign w:val="center"/>
          </w:tcPr>
          <w:p w14:paraId="4EE9BADD" w14:textId="77777777" w:rsidR="00BE7AD7" w:rsidRPr="00B83BF7" w:rsidRDefault="00BE7AD7" w:rsidP="006279DD">
            <w:pPr>
              <w:keepNext/>
              <w:keepLines/>
              <w:rPr>
                <w:rFonts w:ascii="Arial Narrow" w:hAnsi="Arial Narrow"/>
                <w:b/>
                <w:bCs/>
                <w:sz w:val="20"/>
                <w:szCs w:val="20"/>
              </w:rPr>
            </w:pPr>
            <w:r w:rsidRPr="00B83BF7">
              <w:rPr>
                <w:rFonts w:ascii="Arial Narrow" w:hAnsi="Arial Narrow"/>
                <w:b/>
                <w:bCs/>
                <w:sz w:val="20"/>
                <w:szCs w:val="20"/>
              </w:rPr>
              <w:t>MEDICINAL PRODUCT</w:t>
            </w:r>
          </w:p>
          <w:p w14:paraId="77B29686" w14:textId="77777777" w:rsidR="00BE7AD7" w:rsidRPr="00B83BF7" w:rsidRDefault="00BE7AD7" w:rsidP="006279DD">
            <w:pPr>
              <w:keepNext/>
              <w:keepLines/>
              <w:rPr>
                <w:rFonts w:ascii="Arial Narrow" w:hAnsi="Arial Narrow"/>
                <w:b/>
                <w:sz w:val="20"/>
                <w:szCs w:val="20"/>
              </w:rPr>
            </w:pPr>
            <w:r w:rsidRPr="00B83BF7">
              <w:rPr>
                <w:rFonts w:ascii="Arial Narrow" w:hAnsi="Arial Narrow"/>
                <w:b/>
                <w:bCs/>
                <w:sz w:val="20"/>
                <w:szCs w:val="20"/>
              </w:rPr>
              <w:t>medicinal product pack</w:t>
            </w:r>
          </w:p>
        </w:tc>
        <w:tc>
          <w:tcPr>
            <w:tcW w:w="1019" w:type="dxa"/>
            <w:vAlign w:val="center"/>
          </w:tcPr>
          <w:p w14:paraId="194579EF" w14:textId="77777777" w:rsidR="00BE7AD7" w:rsidRPr="00B83BF7" w:rsidRDefault="00BE7AD7" w:rsidP="006279DD">
            <w:pPr>
              <w:keepNext/>
              <w:keepLines/>
              <w:jc w:val="center"/>
              <w:rPr>
                <w:rFonts w:ascii="Arial Narrow" w:hAnsi="Arial Narrow"/>
                <w:b/>
                <w:sz w:val="20"/>
                <w:szCs w:val="20"/>
              </w:rPr>
            </w:pPr>
            <w:r w:rsidRPr="00B83BF7">
              <w:rPr>
                <w:rFonts w:ascii="Arial Narrow" w:hAnsi="Arial Narrow"/>
                <w:b/>
                <w:sz w:val="20"/>
                <w:szCs w:val="20"/>
              </w:rPr>
              <w:t>PBS item code</w:t>
            </w:r>
          </w:p>
        </w:tc>
        <w:tc>
          <w:tcPr>
            <w:tcW w:w="604" w:type="dxa"/>
            <w:vAlign w:val="center"/>
          </w:tcPr>
          <w:p w14:paraId="196384FE" w14:textId="77777777" w:rsidR="00BE7AD7" w:rsidRPr="00B83BF7" w:rsidRDefault="00BE7AD7" w:rsidP="006279DD">
            <w:pPr>
              <w:keepNext/>
              <w:keepLines/>
              <w:jc w:val="center"/>
              <w:rPr>
                <w:rFonts w:ascii="Arial Narrow" w:hAnsi="Arial Narrow"/>
                <w:b/>
                <w:sz w:val="20"/>
                <w:szCs w:val="20"/>
              </w:rPr>
            </w:pPr>
            <w:r w:rsidRPr="00B83BF7">
              <w:rPr>
                <w:rFonts w:ascii="Arial Narrow" w:hAnsi="Arial Narrow"/>
                <w:b/>
                <w:sz w:val="20"/>
                <w:szCs w:val="20"/>
              </w:rPr>
              <w:t>Max. qty packs</w:t>
            </w:r>
          </w:p>
        </w:tc>
        <w:tc>
          <w:tcPr>
            <w:tcW w:w="811" w:type="dxa"/>
            <w:vAlign w:val="center"/>
          </w:tcPr>
          <w:p w14:paraId="19F1BC79" w14:textId="77777777" w:rsidR="00BE7AD7" w:rsidRPr="00B83BF7" w:rsidRDefault="00BE7AD7" w:rsidP="006279DD">
            <w:pPr>
              <w:keepNext/>
              <w:keepLines/>
              <w:jc w:val="center"/>
              <w:rPr>
                <w:rFonts w:ascii="Arial Narrow" w:hAnsi="Arial Narrow"/>
                <w:b/>
                <w:sz w:val="20"/>
                <w:szCs w:val="20"/>
              </w:rPr>
            </w:pPr>
            <w:r w:rsidRPr="00B83BF7">
              <w:rPr>
                <w:rFonts w:ascii="Arial Narrow" w:hAnsi="Arial Narrow"/>
                <w:b/>
                <w:sz w:val="20"/>
                <w:szCs w:val="20"/>
              </w:rPr>
              <w:t>Max. qty units</w:t>
            </w:r>
          </w:p>
        </w:tc>
        <w:tc>
          <w:tcPr>
            <w:tcW w:w="812" w:type="dxa"/>
            <w:vAlign w:val="center"/>
          </w:tcPr>
          <w:p w14:paraId="69D82A46" w14:textId="77777777" w:rsidR="00BE7AD7" w:rsidRPr="00B83BF7" w:rsidRDefault="00BE7AD7" w:rsidP="006279DD">
            <w:pPr>
              <w:keepNext/>
              <w:keepLines/>
              <w:jc w:val="center"/>
              <w:rPr>
                <w:rFonts w:ascii="Arial Narrow" w:hAnsi="Arial Narrow"/>
                <w:b/>
                <w:sz w:val="20"/>
                <w:szCs w:val="20"/>
              </w:rPr>
            </w:pPr>
            <w:proofErr w:type="gramStart"/>
            <w:r w:rsidRPr="00B83BF7">
              <w:rPr>
                <w:rFonts w:ascii="Arial Narrow" w:hAnsi="Arial Narrow"/>
                <w:b/>
                <w:sz w:val="20"/>
                <w:szCs w:val="20"/>
              </w:rPr>
              <w:t>№.of</w:t>
            </w:r>
            <w:proofErr w:type="gramEnd"/>
          </w:p>
          <w:p w14:paraId="24DAA1BD" w14:textId="77777777" w:rsidR="00BE7AD7" w:rsidRPr="00B83BF7" w:rsidRDefault="00BE7AD7" w:rsidP="006279DD">
            <w:pPr>
              <w:keepNext/>
              <w:keepLines/>
              <w:jc w:val="center"/>
              <w:rPr>
                <w:rFonts w:ascii="Arial Narrow" w:hAnsi="Arial Narrow"/>
                <w:b/>
                <w:sz w:val="20"/>
                <w:szCs w:val="20"/>
              </w:rPr>
            </w:pPr>
            <w:proofErr w:type="spellStart"/>
            <w:r w:rsidRPr="00B83BF7">
              <w:rPr>
                <w:rFonts w:ascii="Arial Narrow" w:hAnsi="Arial Narrow"/>
                <w:b/>
                <w:sz w:val="20"/>
                <w:szCs w:val="20"/>
              </w:rPr>
              <w:t>Rpts</w:t>
            </w:r>
            <w:proofErr w:type="spellEnd"/>
          </w:p>
        </w:tc>
        <w:tc>
          <w:tcPr>
            <w:tcW w:w="1883" w:type="dxa"/>
            <w:vAlign w:val="center"/>
          </w:tcPr>
          <w:p w14:paraId="727B8F1F" w14:textId="77777777" w:rsidR="00BE7AD7" w:rsidRPr="00B83BF7" w:rsidRDefault="00BE7AD7" w:rsidP="006279DD">
            <w:pPr>
              <w:keepNext/>
              <w:keepLines/>
              <w:rPr>
                <w:rFonts w:ascii="Arial Narrow" w:hAnsi="Arial Narrow"/>
                <w:b/>
                <w:sz w:val="20"/>
                <w:szCs w:val="20"/>
                <w:lang w:val="fr-FR"/>
              </w:rPr>
            </w:pPr>
            <w:r w:rsidRPr="00B83BF7">
              <w:rPr>
                <w:rFonts w:ascii="Arial Narrow" w:hAnsi="Arial Narrow"/>
                <w:b/>
                <w:sz w:val="20"/>
                <w:szCs w:val="20"/>
              </w:rPr>
              <w:t>Available brands</w:t>
            </w:r>
          </w:p>
        </w:tc>
      </w:tr>
      <w:tr w:rsidR="00B83BF7" w:rsidRPr="00B83BF7" w14:paraId="5A9B0377" w14:textId="77777777" w:rsidTr="004E1C82">
        <w:trPr>
          <w:cantSplit/>
          <w:trHeight w:val="20"/>
        </w:trPr>
        <w:tc>
          <w:tcPr>
            <w:tcW w:w="9067" w:type="dxa"/>
            <w:gridSpan w:val="7"/>
            <w:vAlign w:val="center"/>
          </w:tcPr>
          <w:p w14:paraId="5ABE8902" w14:textId="77777777" w:rsidR="00BE7AD7" w:rsidRPr="00B83BF7" w:rsidRDefault="00BE7AD7" w:rsidP="006279DD">
            <w:pPr>
              <w:keepNext/>
              <w:keepLines/>
              <w:rPr>
                <w:rFonts w:ascii="Arial Narrow" w:hAnsi="Arial Narrow"/>
                <w:sz w:val="20"/>
                <w:szCs w:val="20"/>
              </w:rPr>
            </w:pPr>
            <w:r w:rsidRPr="00B83BF7">
              <w:rPr>
                <w:rFonts w:ascii="Arial Narrow" w:hAnsi="Arial Narrow"/>
                <w:sz w:val="20"/>
                <w:szCs w:val="20"/>
              </w:rPr>
              <w:t>CANAKINUMAB</w:t>
            </w:r>
          </w:p>
        </w:tc>
      </w:tr>
      <w:tr w:rsidR="00B83BF7" w:rsidRPr="00B83BF7" w14:paraId="73D9146B" w14:textId="77777777" w:rsidTr="006A42A5">
        <w:trPr>
          <w:cantSplit/>
          <w:trHeight w:val="20"/>
        </w:trPr>
        <w:tc>
          <w:tcPr>
            <w:tcW w:w="3938" w:type="dxa"/>
            <w:gridSpan w:val="2"/>
            <w:vAlign w:val="center"/>
          </w:tcPr>
          <w:p w14:paraId="07E0E219" w14:textId="77777777" w:rsidR="00BE7AD7" w:rsidRPr="00B83BF7" w:rsidRDefault="00BE7AD7" w:rsidP="006279DD">
            <w:pPr>
              <w:keepNext/>
              <w:keepLines/>
              <w:rPr>
                <w:rFonts w:ascii="Arial Narrow" w:hAnsi="Arial Narrow"/>
                <w:sz w:val="20"/>
                <w:szCs w:val="20"/>
              </w:rPr>
            </w:pPr>
            <w:r w:rsidRPr="00B83BF7">
              <w:rPr>
                <w:rFonts w:ascii="Arial Narrow" w:hAnsi="Arial Narrow"/>
                <w:sz w:val="20"/>
                <w:szCs w:val="20"/>
              </w:rPr>
              <w:t>Canakinumab 150 mg injection, 1 vial</w:t>
            </w:r>
          </w:p>
        </w:tc>
        <w:tc>
          <w:tcPr>
            <w:tcW w:w="1019" w:type="dxa"/>
            <w:vAlign w:val="center"/>
          </w:tcPr>
          <w:p w14:paraId="594E81D8" w14:textId="77777777" w:rsidR="00BE7AD7" w:rsidRPr="00B83BF7" w:rsidRDefault="00BE7AD7" w:rsidP="006279DD">
            <w:pPr>
              <w:keepNext/>
              <w:keepLines/>
              <w:jc w:val="center"/>
              <w:rPr>
                <w:rFonts w:ascii="Arial Narrow" w:hAnsi="Arial Narrow"/>
                <w:sz w:val="20"/>
                <w:szCs w:val="20"/>
              </w:rPr>
            </w:pPr>
            <w:r w:rsidRPr="00B83BF7">
              <w:rPr>
                <w:rFonts w:ascii="Arial Narrow" w:hAnsi="Arial Narrow"/>
                <w:sz w:val="20"/>
                <w:szCs w:val="20"/>
              </w:rPr>
              <w:t>NEW/HSD Public</w:t>
            </w:r>
          </w:p>
          <w:p w14:paraId="33D80E1E" w14:textId="77777777" w:rsidR="00BE7AD7" w:rsidRPr="00B83BF7" w:rsidRDefault="00BE7AD7" w:rsidP="006279DD">
            <w:pPr>
              <w:keepNext/>
              <w:keepLines/>
              <w:jc w:val="center"/>
              <w:rPr>
                <w:rFonts w:ascii="Arial Narrow" w:hAnsi="Arial Narrow"/>
                <w:sz w:val="12"/>
                <w:szCs w:val="12"/>
              </w:rPr>
            </w:pPr>
            <w:r w:rsidRPr="00B83BF7">
              <w:rPr>
                <w:rFonts w:ascii="Arial Narrow" w:hAnsi="Arial Narrow"/>
                <w:sz w:val="12"/>
                <w:szCs w:val="12"/>
              </w:rPr>
              <w:t>MP</w:t>
            </w:r>
          </w:p>
        </w:tc>
        <w:tc>
          <w:tcPr>
            <w:tcW w:w="604" w:type="dxa"/>
            <w:vAlign w:val="center"/>
          </w:tcPr>
          <w:p w14:paraId="02A255CA" w14:textId="77777777" w:rsidR="00BE7AD7" w:rsidRPr="00B83BF7" w:rsidRDefault="00BE7AD7" w:rsidP="006279DD">
            <w:pPr>
              <w:keepNext/>
              <w:keepLines/>
              <w:jc w:val="center"/>
              <w:rPr>
                <w:rFonts w:ascii="Arial Narrow" w:hAnsi="Arial Narrow"/>
                <w:sz w:val="20"/>
                <w:szCs w:val="20"/>
              </w:rPr>
            </w:pPr>
            <w:r w:rsidRPr="00B83BF7">
              <w:rPr>
                <w:rFonts w:ascii="Arial Narrow" w:hAnsi="Arial Narrow"/>
                <w:sz w:val="20"/>
                <w:szCs w:val="20"/>
              </w:rPr>
              <w:t>1</w:t>
            </w:r>
          </w:p>
        </w:tc>
        <w:tc>
          <w:tcPr>
            <w:tcW w:w="811" w:type="dxa"/>
            <w:vAlign w:val="center"/>
          </w:tcPr>
          <w:p w14:paraId="28C1E566" w14:textId="77777777" w:rsidR="00BE7AD7" w:rsidRPr="00B83BF7" w:rsidRDefault="00BE7AD7" w:rsidP="006279DD">
            <w:pPr>
              <w:keepNext/>
              <w:keepLines/>
              <w:jc w:val="center"/>
              <w:rPr>
                <w:rFonts w:ascii="Arial Narrow" w:hAnsi="Arial Narrow"/>
                <w:sz w:val="20"/>
                <w:szCs w:val="20"/>
              </w:rPr>
            </w:pPr>
            <w:r w:rsidRPr="00B83BF7">
              <w:rPr>
                <w:rFonts w:ascii="Arial Narrow" w:hAnsi="Arial Narrow"/>
                <w:sz w:val="20"/>
                <w:szCs w:val="20"/>
              </w:rPr>
              <w:t>1</w:t>
            </w:r>
          </w:p>
        </w:tc>
        <w:tc>
          <w:tcPr>
            <w:tcW w:w="812" w:type="dxa"/>
            <w:vAlign w:val="center"/>
          </w:tcPr>
          <w:p w14:paraId="318A4AAE" w14:textId="77777777" w:rsidR="00BE7AD7" w:rsidRPr="00B83BF7" w:rsidRDefault="00BE7AD7" w:rsidP="006279DD">
            <w:pPr>
              <w:keepNext/>
              <w:keepLines/>
              <w:jc w:val="center"/>
              <w:rPr>
                <w:rFonts w:ascii="Arial Narrow" w:hAnsi="Arial Narrow"/>
                <w:sz w:val="20"/>
                <w:szCs w:val="20"/>
              </w:rPr>
            </w:pPr>
            <w:r w:rsidRPr="00B83BF7">
              <w:rPr>
                <w:rFonts w:ascii="Arial Narrow" w:hAnsi="Arial Narrow"/>
                <w:sz w:val="20"/>
                <w:szCs w:val="20"/>
              </w:rPr>
              <w:t>5</w:t>
            </w:r>
          </w:p>
        </w:tc>
        <w:tc>
          <w:tcPr>
            <w:tcW w:w="1883" w:type="dxa"/>
            <w:vAlign w:val="center"/>
          </w:tcPr>
          <w:p w14:paraId="215FD0C7" w14:textId="77777777" w:rsidR="00BE7AD7" w:rsidRPr="00B83BF7" w:rsidRDefault="00BE7AD7" w:rsidP="006279DD">
            <w:pPr>
              <w:keepNext/>
              <w:keepLines/>
              <w:rPr>
                <w:rFonts w:ascii="Arial Narrow" w:hAnsi="Arial Narrow"/>
                <w:sz w:val="20"/>
                <w:szCs w:val="20"/>
              </w:rPr>
            </w:pPr>
            <w:proofErr w:type="spellStart"/>
            <w:r w:rsidRPr="00B83BF7">
              <w:rPr>
                <w:rFonts w:ascii="Arial Narrow" w:hAnsi="Arial Narrow"/>
                <w:sz w:val="20"/>
                <w:szCs w:val="20"/>
              </w:rPr>
              <w:t>Ilaris</w:t>
            </w:r>
            <w:proofErr w:type="spellEnd"/>
          </w:p>
        </w:tc>
      </w:tr>
      <w:tr w:rsidR="00B83BF7" w:rsidRPr="00B83BF7" w14:paraId="29E484F6" w14:textId="77777777" w:rsidTr="006A42A5">
        <w:trPr>
          <w:cantSplit/>
          <w:trHeight w:val="20"/>
        </w:trPr>
        <w:tc>
          <w:tcPr>
            <w:tcW w:w="3938" w:type="dxa"/>
            <w:gridSpan w:val="2"/>
            <w:vAlign w:val="center"/>
          </w:tcPr>
          <w:p w14:paraId="69F13A90" w14:textId="77777777" w:rsidR="00BE7AD7" w:rsidRPr="00B83BF7" w:rsidRDefault="00BE7AD7" w:rsidP="006279DD">
            <w:pPr>
              <w:keepNext/>
              <w:keepLines/>
              <w:rPr>
                <w:rFonts w:ascii="Arial Narrow" w:hAnsi="Arial Narrow"/>
                <w:sz w:val="20"/>
                <w:szCs w:val="20"/>
              </w:rPr>
            </w:pPr>
            <w:r w:rsidRPr="00B83BF7">
              <w:rPr>
                <w:rFonts w:ascii="Arial Narrow" w:hAnsi="Arial Narrow"/>
                <w:sz w:val="20"/>
                <w:szCs w:val="20"/>
              </w:rPr>
              <w:t>Canakinumab 150 mg injection, 1 vial</w:t>
            </w:r>
          </w:p>
        </w:tc>
        <w:tc>
          <w:tcPr>
            <w:tcW w:w="1019" w:type="dxa"/>
            <w:vAlign w:val="center"/>
          </w:tcPr>
          <w:p w14:paraId="6660A384" w14:textId="77777777" w:rsidR="00BE7AD7" w:rsidRPr="00B83BF7" w:rsidRDefault="00BE7AD7" w:rsidP="006279DD">
            <w:pPr>
              <w:keepNext/>
              <w:keepLines/>
              <w:jc w:val="center"/>
              <w:rPr>
                <w:rFonts w:ascii="Arial Narrow" w:hAnsi="Arial Narrow"/>
                <w:sz w:val="20"/>
                <w:szCs w:val="20"/>
              </w:rPr>
            </w:pPr>
            <w:r w:rsidRPr="00B83BF7">
              <w:rPr>
                <w:rFonts w:ascii="Arial Narrow" w:hAnsi="Arial Narrow"/>
                <w:sz w:val="20"/>
                <w:szCs w:val="20"/>
              </w:rPr>
              <w:t>NEW/ HSD Private</w:t>
            </w:r>
          </w:p>
          <w:p w14:paraId="246DECCD" w14:textId="77777777" w:rsidR="00BE7AD7" w:rsidRPr="00B83BF7" w:rsidRDefault="00BE7AD7" w:rsidP="006279DD">
            <w:pPr>
              <w:keepNext/>
              <w:keepLines/>
              <w:jc w:val="center"/>
              <w:rPr>
                <w:rFonts w:ascii="Arial Narrow" w:hAnsi="Arial Narrow"/>
                <w:sz w:val="20"/>
                <w:szCs w:val="20"/>
              </w:rPr>
            </w:pPr>
            <w:r w:rsidRPr="00B83BF7">
              <w:rPr>
                <w:rFonts w:ascii="Arial Narrow" w:hAnsi="Arial Narrow"/>
                <w:sz w:val="12"/>
                <w:szCs w:val="12"/>
              </w:rPr>
              <w:t>MP</w:t>
            </w:r>
          </w:p>
        </w:tc>
        <w:tc>
          <w:tcPr>
            <w:tcW w:w="604" w:type="dxa"/>
            <w:vAlign w:val="center"/>
          </w:tcPr>
          <w:p w14:paraId="282232E4" w14:textId="77777777" w:rsidR="00BE7AD7" w:rsidRPr="00B83BF7" w:rsidRDefault="00BE7AD7" w:rsidP="006279DD">
            <w:pPr>
              <w:keepNext/>
              <w:keepLines/>
              <w:jc w:val="center"/>
              <w:rPr>
                <w:rFonts w:ascii="Arial Narrow" w:hAnsi="Arial Narrow"/>
                <w:sz w:val="20"/>
                <w:szCs w:val="20"/>
              </w:rPr>
            </w:pPr>
            <w:r w:rsidRPr="00B83BF7">
              <w:rPr>
                <w:rFonts w:ascii="Arial Narrow" w:hAnsi="Arial Narrow"/>
                <w:sz w:val="20"/>
                <w:szCs w:val="20"/>
              </w:rPr>
              <w:t>1</w:t>
            </w:r>
          </w:p>
        </w:tc>
        <w:tc>
          <w:tcPr>
            <w:tcW w:w="811" w:type="dxa"/>
            <w:vAlign w:val="center"/>
          </w:tcPr>
          <w:p w14:paraId="43071411" w14:textId="77777777" w:rsidR="00BE7AD7" w:rsidRPr="00B83BF7" w:rsidRDefault="00BE7AD7" w:rsidP="006279DD">
            <w:pPr>
              <w:keepNext/>
              <w:keepLines/>
              <w:jc w:val="center"/>
              <w:rPr>
                <w:rFonts w:ascii="Arial Narrow" w:hAnsi="Arial Narrow"/>
                <w:sz w:val="20"/>
                <w:szCs w:val="20"/>
              </w:rPr>
            </w:pPr>
            <w:r w:rsidRPr="00B83BF7">
              <w:rPr>
                <w:rFonts w:ascii="Arial Narrow" w:hAnsi="Arial Narrow"/>
                <w:sz w:val="20"/>
                <w:szCs w:val="20"/>
              </w:rPr>
              <w:t>1</w:t>
            </w:r>
          </w:p>
        </w:tc>
        <w:tc>
          <w:tcPr>
            <w:tcW w:w="812" w:type="dxa"/>
            <w:vAlign w:val="center"/>
          </w:tcPr>
          <w:p w14:paraId="0199B5B5" w14:textId="77777777" w:rsidR="00BE7AD7" w:rsidRPr="00B83BF7" w:rsidRDefault="00BE7AD7" w:rsidP="006279DD">
            <w:pPr>
              <w:keepNext/>
              <w:keepLines/>
              <w:jc w:val="center"/>
              <w:rPr>
                <w:rFonts w:ascii="Arial Narrow" w:hAnsi="Arial Narrow"/>
                <w:sz w:val="20"/>
                <w:szCs w:val="20"/>
              </w:rPr>
            </w:pPr>
            <w:r w:rsidRPr="00B83BF7">
              <w:rPr>
                <w:rFonts w:ascii="Arial Narrow" w:hAnsi="Arial Narrow"/>
                <w:sz w:val="20"/>
                <w:szCs w:val="20"/>
              </w:rPr>
              <w:t>5</w:t>
            </w:r>
          </w:p>
        </w:tc>
        <w:tc>
          <w:tcPr>
            <w:tcW w:w="1883" w:type="dxa"/>
            <w:vAlign w:val="center"/>
          </w:tcPr>
          <w:p w14:paraId="00DC98F4" w14:textId="77777777" w:rsidR="00BE7AD7" w:rsidRPr="00B83BF7" w:rsidRDefault="00BE7AD7" w:rsidP="006279DD">
            <w:pPr>
              <w:keepNext/>
              <w:keepLines/>
              <w:rPr>
                <w:rFonts w:ascii="Arial Narrow" w:hAnsi="Arial Narrow"/>
                <w:sz w:val="20"/>
                <w:szCs w:val="20"/>
              </w:rPr>
            </w:pPr>
            <w:proofErr w:type="spellStart"/>
            <w:r w:rsidRPr="00B83BF7">
              <w:rPr>
                <w:rFonts w:ascii="Arial Narrow" w:hAnsi="Arial Narrow"/>
                <w:sz w:val="20"/>
                <w:szCs w:val="20"/>
              </w:rPr>
              <w:t>Ilaris</w:t>
            </w:r>
            <w:proofErr w:type="spellEnd"/>
          </w:p>
        </w:tc>
      </w:tr>
      <w:tr w:rsidR="00B83BF7" w:rsidRPr="00B83BF7" w14:paraId="706C1AAB" w14:textId="77777777" w:rsidTr="004E1C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9067" w:type="dxa"/>
            <w:gridSpan w:val="7"/>
            <w:tcBorders>
              <w:top w:val="single" w:sz="6" w:space="0" w:color="auto"/>
              <w:left w:val="single" w:sz="6" w:space="0" w:color="auto"/>
              <w:bottom w:val="single" w:sz="6" w:space="0" w:color="auto"/>
              <w:right w:val="single" w:sz="6" w:space="0" w:color="auto"/>
            </w:tcBorders>
            <w:vAlign w:val="center"/>
            <w:hideMark/>
          </w:tcPr>
          <w:p w14:paraId="3ECD98CF" w14:textId="77777777" w:rsidR="00BE7AD7" w:rsidRPr="00B83BF7" w:rsidRDefault="00BE7AD7" w:rsidP="004B083B">
            <w:pPr>
              <w:rPr>
                <w:rFonts w:ascii="Arial Narrow" w:hAnsi="Arial Narrow"/>
                <w:sz w:val="20"/>
                <w:szCs w:val="20"/>
              </w:rPr>
            </w:pPr>
          </w:p>
        </w:tc>
      </w:tr>
      <w:tr w:rsidR="00B83BF7" w:rsidRPr="00B83BF7" w14:paraId="18597BC3" w14:textId="77777777" w:rsidTr="004E1C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vMerge w:val="restart"/>
            <w:tcBorders>
              <w:top w:val="single" w:sz="6" w:space="0" w:color="auto"/>
              <w:left w:val="single" w:sz="6" w:space="0" w:color="auto"/>
              <w:bottom w:val="single" w:sz="6" w:space="0" w:color="auto"/>
              <w:right w:val="single" w:sz="6" w:space="0" w:color="auto"/>
            </w:tcBorders>
            <w:hideMark/>
          </w:tcPr>
          <w:p w14:paraId="7E4815FE" w14:textId="77777777" w:rsidR="00BE7AD7" w:rsidRPr="00B83BF7" w:rsidRDefault="00BE7AD7" w:rsidP="004B083B">
            <w:pPr>
              <w:jc w:val="center"/>
              <w:textAlignment w:val="baseline"/>
              <w:rPr>
                <w:rFonts w:ascii="Arial Narrow" w:hAnsi="Arial Narrow"/>
                <w:sz w:val="20"/>
                <w:szCs w:val="20"/>
              </w:rPr>
            </w:pPr>
            <w:r w:rsidRPr="00B83BF7">
              <w:rPr>
                <w:rFonts w:ascii="Arial Narrow" w:hAnsi="Arial Narrow"/>
                <w:b/>
                <w:bCs/>
                <w:sz w:val="20"/>
                <w:szCs w:val="20"/>
              </w:rPr>
              <w:t xml:space="preserve">Concept ID </w:t>
            </w:r>
            <w:r w:rsidRPr="00B83BF7">
              <w:rPr>
                <w:rFonts w:ascii="Arial Narrow" w:hAnsi="Arial Narrow"/>
                <w:sz w:val="20"/>
                <w:szCs w:val="20"/>
              </w:rPr>
              <w:t>(for internal Dept. use)</w:t>
            </w:r>
            <w:r w:rsidRPr="00B83BF7">
              <w:rPr>
                <w:rFonts w:ascii="Arial" w:hAnsi="Arial"/>
                <w:sz w:val="20"/>
                <w:szCs w:val="20"/>
              </w:rPr>
              <w:t> </w:t>
            </w:r>
            <w:r w:rsidRPr="00B83BF7">
              <w:rPr>
                <w:rFonts w:ascii="Arial Narrow" w:hAnsi="Arial Narrow"/>
                <w:sz w:val="20"/>
                <w:szCs w:val="20"/>
              </w:rPr>
              <w:t> </w:t>
            </w:r>
          </w:p>
        </w:tc>
        <w:tc>
          <w:tcPr>
            <w:tcW w:w="7492" w:type="dxa"/>
            <w:gridSpan w:val="6"/>
            <w:tcBorders>
              <w:top w:val="single" w:sz="6" w:space="0" w:color="auto"/>
              <w:left w:val="single" w:sz="6" w:space="0" w:color="auto"/>
              <w:bottom w:val="single" w:sz="6" w:space="0" w:color="auto"/>
              <w:right w:val="single" w:sz="6" w:space="0" w:color="auto"/>
            </w:tcBorders>
            <w:vAlign w:val="center"/>
            <w:hideMark/>
          </w:tcPr>
          <w:p w14:paraId="2E80A57D" w14:textId="38262126" w:rsidR="00BE7AD7" w:rsidRPr="00B83BF7" w:rsidRDefault="00BE7AD7" w:rsidP="004B083B">
            <w:pPr>
              <w:jc w:val="left"/>
              <w:textAlignment w:val="baseline"/>
              <w:rPr>
                <w:rFonts w:ascii="Arial Narrow" w:hAnsi="Arial Narrow"/>
                <w:sz w:val="20"/>
                <w:szCs w:val="20"/>
              </w:rPr>
            </w:pPr>
            <w:r w:rsidRPr="00B83BF7">
              <w:rPr>
                <w:rFonts w:ascii="Arial Narrow" w:hAnsi="Arial Narrow"/>
                <w:b/>
                <w:bCs/>
                <w:sz w:val="20"/>
                <w:szCs w:val="20"/>
              </w:rPr>
              <w:t>Category / Program:</w:t>
            </w:r>
            <w:r w:rsidR="004B083B">
              <w:rPr>
                <w:rFonts w:ascii="Arial Narrow" w:hAnsi="Arial Narrow"/>
                <w:sz w:val="20"/>
                <w:szCs w:val="20"/>
              </w:rPr>
              <w:t xml:space="preserve"> </w:t>
            </w:r>
            <w:r w:rsidRPr="00B83BF7">
              <w:rPr>
                <w:rFonts w:ascii="Arial Narrow" w:hAnsi="Arial Narrow"/>
                <w:sz w:val="20"/>
                <w:szCs w:val="20"/>
              </w:rPr>
              <w:br/>
              <w:t>Section 100 – Highly Specialised Drugs Program – Public (Code HB) / Private (Code HS)</w:t>
            </w:r>
            <w:r w:rsidRPr="00B83BF7">
              <w:rPr>
                <w:rFonts w:ascii="Arial" w:hAnsi="Arial"/>
                <w:sz w:val="20"/>
                <w:szCs w:val="20"/>
              </w:rPr>
              <w:t> </w:t>
            </w:r>
            <w:r w:rsidRPr="00B83BF7">
              <w:rPr>
                <w:rFonts w:ascii="Arial Narrow" w:hAnsi="Arial Narrow"/>
                <w:sz w:val="20"/>
                <w:szCs w:val="20"/>
              </w:rPr>
              <w:t> </w:t>
            </w:r>
          </w:p>
        </w:tc>
      </w:tr>
      <w:tr w:rsidR="00B83BF7" w:rsidRPr="00B83BF7" w14:paraId="4E78E14A" w14:textId="77777777" w:rsidTr="004E1C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vMerge/>
            <w:tcBorders>
              <w:top w:val="single" w:sz="6" w:space="0" w:color="auto"/>
              <w:left w:val="single" w:sz="6" w:space="0" w:color="auto"/>
              <w:bottom w:val="single" w:sz="6" w:space="0" w:color="auto"/>
              <w:right w:val="single" w:sz="6" w:space="0" w:color="auto"/>
            </w:tcBorders>
            <w:vAlign w:val="center"/>
            <w:hideMark/>
          </w:tcPr>
          <w:p w14:paraId="3BEDA907" w14:textId="77777777" w:rsidR="00BE7AD7" w:rsidRPr="00B83BF7" w:rsidRDefault="00BE7AD7" w:rsidP="004B083B">
            <w:pPr>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hideMark/>
          </w:tcPr>
          <w:p w14:paraId="277A4C6F" w14:textId="0D358F17" w:rsidR="00BE7AD7" w:rsidRPr="00B83BF7" w:rsidRDefault="00BE7AD7" w:rsidP="004B083B">
            <w:pPr>
              <w:textAlignment w:val="baseline"/>
              <w:rPr>
                <w:rFonts w:ascii="Arial Narrow" w:hAnsi="Arial Narrow"/>
                <w:sz w:val="20"/>
                <w:szCs w:val="20"/>
              </w:rPr>
            </w:pPr>
            <w:r w:rsidRPr="00B83BF7">
              <w:rPr>
                <w:rFonts w:ascii="Arial Narrow" w:hAnsi="Arial Narrow"/>
                <w:b/>
                <w:bCs/>
                <w:sz w:val="20"/>
                <w:szCs w:val="20"/>
              </w:rPr>
              <w:t>Prescriber type:</w:t>
            </w:r>
            <w:r w:rsidR="004B083B">
              <w:rPr>
                <w:rFonts w:ascii="Arial Narrow" w:hAnsi="Arial Narrow"/>
                <w:b/>
                <w:bCs/>
                <w:sz w:val="20"/>
                <w:szCs w:val="20"/>
              </w:rPr>
              <w:t xml:space="preserve"> </w:t>
            </w:r>
          </w:p>
          <w:p w14:paraId="19D2FE77" w14:textId="7178C5EB" w:rsidR="00BE7AD7" w:rsidRPr="00B83BF7" w:rsidRDefault="00BE7AD7" w:rsidP="004B083B">
            <w:pPr>
              <w:textAlignment w:val="baseline"/>
              <w:rPr>
                <w:rFonts w:ascii="Arial Narrow" w:hAnsi="Arial Narrow"/>
                <w:sz w:val="20"/>
                <w:szCs w:val="20"/>
              </w:rPr>
            </w:pPr>
            <w:r w:rsidRPr="00B83BF7">
              <w:rPr>
                <w:rFonts w:ascii="Arial Narrow" w:hAnsi="Arial Narrow"/>
                <w:sz w:val="20"/>
                <w:szCs w:val="20"/>
              </w:rPr>
              <w:t>Medical Practitioners</w:t>
            </w:r>
            <w:r w:rsidR="004B083B">
              <w:rPr>
                <w:rFonts w:ascii="Arial Narrow" w:hAnsi="Arial Narrow"/>
                <w:sz w:val="20"/>
                <w:szCs w:val="20"/>
              </w:rPr>
              <w:t xml:space="preserve"> </w:t>
            </w:r>
          </w:p>
        </w:tc>
      </w:tr>
      <w:tr w:rsidR="00B83BF7" w:rsidRPr="00B83BF7" w14:paraId="611086FA" w14:textId="77777777" w:rsidTr="004E1C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vMerge/>
            <w:tcBorders>
              <w:top w:val="single" w:sz="6" w:space="0" w:color="auto"/>
              <w:left w:val="single" w:sz="6" w:space="0" w:color="auto"/>
              <w:bottom w:val="single" w:sz="6" w:space="0" w:color="auto"/>
              <w:right w:val="single" w:sz="6" w:space="0" w:color="auto"/>
            </w:tcBorders>
            <w:vAlign w:val="center"/>
            <w:hideMark/>
          </w:tcPr>
          <w:p w14:paraId="0E67A75B" w14:textId="77777777" w:rsidR="00BE7AD7" w:rsidRPr="00B83BF7" w:rsidRDefault="00BE7AD7" w:rsidP="004B083B">
            <w:pPr>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hideMark/>
          </w:tcPr>
          <w:p w14:paraId="398C0EDF" w14:textId="5CBEC7A2" w:rsidR="00BE7AD7" w:rsidRPr="00B83BF7" w:rsidRDefault="00BE7AD7" w:rsidP="004B083B">
            <w:pPr>
              <w:textAlignment w:val="baseline"/>
              <w:rPr>
                <w:rFonts w:ascii="Arial Narrow" w:hAnsi="Arial Narrow"/>
                <w:sz w:val="20"/>
                <w:szCs w:val="20"/>
              </w:rPr>
            </w:pPr>
            <w:r w:rsidRPr="00B83BF7">
              <w:rPr>
                <w:rFonts w:ascii="Arial Narrow" w:hAnsi="Arial Narrow"/>
                <w:b/>
                <w:bCs/>
                <w:sz w:val="20"/>
                <w:szCs w:val="20"/>
              </w:rPr>
              <w:t>Restriction type:</w:t>
            </w:r>
            <w:r w:rsidR="004B083B">
              <w:rPr>
                <w:rFonts w:ascii="Arial Narrow" w:hAnsi="Arial Narrow"/>
                <w:b/>
                <w:bCs/>
                <w:sz w:val="20"/>
                <w:szCs w:val="20"/>
              </w:rPr>
              <w:t xml:space="preserve"> </w:t>
            </w:r>
          </w:p>
          <w:p w14:paraId="4D235F6C" w14:textId="77777777" w:rsidR="00BE7AD7" w:rsidRPr="00B83BF7" w:rsidRDefault="00BE7AD7" w:rsidP="004B083B">
            <w:pPr>
              <w:textAlignment w:val="baseline"/>
              <w:rPr>
                <w:rFonts w:ascii="Arial Narrow" w:hAnsi="Arial Narrow"/>
                <w:sz w:val="20"/>
                <w:szCs w:val="20"/>
              </w:rPr>
            </w:pPr>
            <w:r w:rsidRPr="00B83BF7">
              <w:rPr>
                <w:rFonts w:ascii="Arial Narrow" w:hAnsi="Arial Narrow"/>
                <w:sz w:val="20"/>
                <w:szCs w:val="20"/>
              </w:rPr>
              <w:fldChar w:fldCharType="begin">
                <w:ffData>
                  <w:name w:val=""/>
                  <w:enabled/>
                  <w:calcOnExit w:val="0"/>
                  <w:checkBox>
                    <w:sizeAuto/>
                    <w:default w:val="1"/>
                  </w:checkBox>
                </w:ffData>
              </w:fldChar>
            </w:r>
            <w:r w:rsidRPr="00B83BF7">
              <w:rPr>
                <w:rFonts w:ascii="Arial Narrow" w:hAnsi="Arial Narrow"/>
                <w:sz w:val="20"/>
                <w:szCs w:val="20"/>
              </w:rPr>
              <w:instrText xml:space="preserve"> FORMCHECKBOX </w:instrText>
            </w:r>
            <w:r w:rsidRPr="00B83BF7">
              <w:rPr>
                <w:rFonts w:ascii="Arial Narrow" w:hAnsi="Arial Narrow"/>
                <w:sz w:val="20"/>
                <w:szCs w:val="20"/>
              </w:rPr>
            </w:r>
            <w:r w:rsidRPr="00B83BF7">
              <w:rPr>
                <w:rFonts w:ascii="Arial Narrow" w:hAnsi="Arial Narrow"/>
                <w:sz w:val="20"/>
                <w:szCs w:val="20"/>
              </w:rPr>
              <w:fldChar w:fldCharType="separate"/>
            </w:r>
            <w:r w:rsidRPr="00B83BF7">
              <w:rPr>
                <w:rFonts w:ascii="Arial Narrow" w:hAnsi="Arial Narrow"/>
                <w:sz w:val="20"/>
                <w:szCs w:val="20"/>
              </w:rPr>
              <w:fldChar w:fldCharType="end"/>
            </w:r>
            <w:r w:rsidRPr="00B83BF7">
              <w:rPr>
                <w:rFonts w:ascii="Arial Narrow" w:hAnsi="Arial Narrow"/>
                <w:sz w:val="20"/>
                <w:szCs w:val="20"/>
              </w:rPr>
              <w:t xml:space="preserve"> Authority Required (streamlined)</w:t>
            </w:r>
          </w:p>
        </w:tc>
      </w:tr>
      <w:tr w:rsidR="00B83BF7" w:rsidRPr="00B83BF7" w14:paraId="2052822F" w14:textId="77777777" w:rsidTr="004E1C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vMerge/>
            <w:tcBorders>
              <w:top w:val="single" w:sz="6" w:space="0" w:color="auto"/>
              <w:left w:val="single" w:sz="6" w:space="0" w:color="auto"/>
              <w:bottom w:val="single" w:sz="6" w:space="0" w:color="auto"/>
              <w:right w:val="single" w:sz="6" w:space="0" w:color="auto"/>
            </w:tcBorders>
            <w:vAlign w:val="center"/>
            <w:hideMark/>
          </w:tcPr>
          <w:p w14:paraId="52170F5E" w14:textId="77777777" w:rsidR="00BE7AD7" w:rsidRPr="00B83BF7" w:rsidRDefault="00BE7AD7" w:rsidP="004B083B">
            <w:pPr>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hideMark/>
          </w:tcPr>
          <w:p w14:paraId="59B56E3A" w14:textId="1F91C609" w:rsidR="00BE7AD7" w:rsidRPr="00B83BF7" w:rsidRDefault="00BE7AD7" w:rsidP="004B083B">
            <w:pPr>
              <w:jc w:val="left"/>
              <w:textAlignment w:val="baseline"/>
              <w:rPr>
                <w:rFonts w:ascii="Arial Narrow" w:hAnsi="Arial Narrow"/>
                <w:sz w:val="20"/>
                <w:szCs w:val="20"/>
              </w:rPr>
            </w:pPr>
            <w:r w:rsidRPr="00B83BF7">
              <w:rPr>
                <w:rFonts w:ascii="Arial Narrow" w:hAnsi="Arial Narrow"/>
                <w:b/>
                <w:bCs/>
                <w:sz w:val="20"/>
                <w:szCs w:val="20"/>
              </w:rPr>
              <w:t>Authority type:</w:t>
            </w:r>
            <w:r w:rsidR="004B083B">
              <w:rPr>
                <w:rFonts w:ascii="Arial Narrow" w:hAnsi="Arial Narrow"/>
                <w:b/>
                <w:bCs/>
                <w:sz w:val="20"/>
                <w:szCs w:val="20"/>
              </w:rPr>
              <w:t xml:space="preserve"> </w:t>
            </w:r>
            <w:r w:rsidRPr="00B83BF7">
              <w:rPr>
                <w:rFonts w:ascii="Arial Narrow" w:hAnsi="Arial Narrow"/>
                <w:sz w:val="20"/>
                <w:szCs w:val="20"/>
              </w:rPr>
              <w:br/>
              <w:t>Complex Authority Required (CAR)</w:t>
            </w:r>
            <w:r w:rsidRPr="00B83BF7">
              <w:rPr>
                <w:rFonts w:ascii="Arial" w:hAnsi="Arial"/>
                <w:sz w:val="20"/>
                <w:szCs w:val="20"/>
              </w:rPr>
              <w:t> </w:t>
            </w:r>
            <w:r w:rsidRPr="00B83BF7">
              <w:rPr>
                <w:rFonts w:ascii="Arial Narrow" w:hAnsi="Arial Narrow"/>
                <w:sz w:val="20"/>
                <w:szCs w:val="20"/>
              </w:rPr>
              <w:t> </w:t>
            </w:r>
          </w:p>
        </w:tc>
      </w:tr>
      <w:tr w:rsidR="00B83BF7" w:rsidRPr="00B83BF7" w14:paraId="509C1B99" w14:textId="77777777" w:rsidTr="004E1C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18591A1F" w14:textId="77777777" w:rsidR="00BE7AD7" w:rsidRPr="00B83BF7" w:rsidRDefault="00BE7AD7" w:rsidP="004B083B">
            <w:pPr>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2D4BD0F5" w14:textId="77777777" w:rsidR="00BE7AD7" w:rsidRPr="00B83BF7" w:rsidRDefault="00BE7AD7" w:rsidP="004B083B">
            <w:pPr>
              <w:textAlignment w:val="baseline"/>
              <w:rPr>
                <w:rFonts w:ascii="Arial Narrow" w:hAnsi="Arial Narrow"/>
                <w:b/>
                <w:bCs/>
                <w:sz w:val="20"/>
                <w:szCs w:val="20"/>
              </w:rPr>
            </w:pPr>
            <w:r w:rsidRPr="00B83BF7">
              <w:rPr>
                <w:rFonts w:ascii="Arial Narrow" w:hAnsi="Arial Narrow"/>
                <w:b/>
                <w:bCs/>
                <w:sz w:val="20"/>
                <w:szCs w:val="20"/>
              </w:rPr>
              <w:t>Prescribing rule level:</w:t>
            </w:r>
          </w:p>
        </w:tc>
      </w:tr>
      <w:tr w:rsidR="00B83BF7" w:rsidRPr="00B83BF7" w14:paraId="23D53AAE" w14:textId="77777777" w:rsidTr="004E1C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hideMark/>
          </w:tcPr>
          <w:p w14:paraId="4ADA064F" w14:textId="4D1FE3BF"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hideMark/>
          </w:tcPr>
          <w:p w14:paraId="2930DEEA" w14:textId="77777777" w:rsidR="00BE7AD7" w:rsidRPr="00B83BF7" w:rsidRDefault="00BE7AD7" w:rsidP="004B083B">
            <w:pPr>
              <w:textAlignment w:val="baseline"/>
              <w:rPr>
                <w:rFonts w:ascii="Arial Narrow" w:hAnsi="Arial Narrow"/>
                <w:sz w:val="20"/>
                <w:szCs w:val="20"/>
              </w:rPr>
            </w:pPr>
            <w:r w:rsidRPr="00B83BF7">
              <w:rPr>
                <w:rFonts w:ascii="Arial Narrow" w:hAnsi="Arial Narrow"/>
                <w:b/>
                <w:bCs/>
                <w:sz w:val="20"/>
                <w:szCs w:val="20"/>
              </w:rPr>
              <w:t>Administrative Advice:</w:t>
            </w:r>
            <w:r w:rsidRPr="00B83BF7">
              <w:rPr>
                <w:rFonts w:ascii="Arial" w:hAnsi="Arial"/>
                <w:sz w:val="20"/>
                <w:szCs w:val="20"/>
              </w:rPr>
              <w:t> </w:t>
            </w:r>
            <w:r w:rsidRPr="00B83BF7">
              <w:rPr>
                <w:rFonts w:ascii="Arial Narrow" w:hAnsi="Arial Narrow"/>
                <w:sz w:val="20"/>
                <w:szCs w:val="20"/>
              </w:rPr>
              <w:t> </w:t>
            </w:r>
          </w:p>
          <w:p w14:paraId="52E48528" w14:textId="53FCB0BA" w:rsidR="00BE7AD7" w:rsidRPr="00B83BF7" w:rsidRDefault="00BE7AD7" w:rsidP="004B083B">
            <w:pPr>
              <w:textAlignment w:val="baseline"/>
              <w:rPr>
                <w:rFonts w:ascii="Arial Narrow" w:hAnsi="Arial Narrow"/>
                <w:strike/>
                <w:sz w:val="20"/>
                <w:szCs w:val="20"/>
              </w:rPr>
            </w:pPr>
            <w:r w:rsidRPr="00B83BF7">
              <w:rPr>
                <w:rFonts w:ascii="Arial Narrow" w:hAnsi="Arial Narrow"/>
                <w:sz w:val="20"/>
                <w:szCs w:val="20"/>
              </w:rPr>
              <w:t>Authorities for increased maximum quantities, up to a maximum of 2, may be authorised</w:t>
            </w:r>
            <w:r w:rsidR="004F0C82" w:rsidRPr="00B83BF7">
              <w:rPr>
                <w:rFonts w:ascii="Arial Narrow" w:hAnsi="Arial Narrow"/>
                <w:sz w:val="20"/>
                <w:szCs w:val="20"/>
              </w:rPr>
              <w:t xml:space="preserve"> for </w:t>
            </w:r>
            <w:r w:rsidR="004F0C82" w:rsidRPr="00B83BF7">
              <w:rPr>
                <w:rFonts w:ascii="Arial Narrow" w:hAnsi="Arial Narrow"/>
                <w:bCs/>
                <w:sz w:val="20"/>
                <w:szCs w:val="20"/>
              </w:rPr>
              <w:t>patients requiring a maintenance dose of canakinumab above 150 mg every 4 weeks</w:t>
            </w:r>
            <w:r w:rsidR="004F0C82" w:rsidRPr="00B83BF7" w:rsidDel="00D2757D">
              <w:rPr>
                <w:rFonts w:ascii="Arial Narrow" w:hAnsi="Arial Narrow"/>
                <w:bCs/>
                <w:sz w:val="20"/>
                <w:szCs w:val="20"/>
              </w:rPr>
              <w:t>.</w:t>
            </w:r>
          </w:p>
        </w:tc>
      </w:tr>
      <w:tr w:rsidR="00B83BF7" w:rsidRPr="00B83BF7" w14:paraId="3DD2FA07" w14:textId="77777777" w:rsidTr="006A42A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tcPr>
          <w:p w14:paraId="4EF9781B" w14:textId="156F4487" w:rsidR="006A42A5" w:rsidRPr="00B83BF7" w:rsidRDefault="006A42A5"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tcPr>
          <w:p w14:paraId="538188BC" w14:textId="77777777" w:rsidR="006A42A5" w:rsidRPr="00B83BF7" w:rsidRDefault="006A42A5" w:rsidP="004B083B">
            <w:pPr>
              <w:jc w:val="left"/>
              <w:textAlignment w:val="baseline"/>
              <w:rPr>
                <w:rFonts w:ascii="Arial Narrow" w:hAnsi="Arial Narrow"/>
                <w:b/>
                <w:bCs/>
                <w:sz w:val="20"/>
                <w:szCs w:val="20"/>
              </w:rPr>
            </w:pPr>
            <w:r w:rsidRPr="00B83BF7">
              <w:rPr>
                <w:rFonts w:ascii="Arial Narrow" w:hAnsi="Arial Narrow"/>
                <w:b/>
                <w:bCs/>
                <w:sz w:val="20"/>
                <w:szCs w:val="20"/>
              </w:rPr>
              <w:t xml:space="preserve">Administrative Advice: </w:t>
            </w:r>
          </w:p>
          <w:p w14:paraId="2B6787D6" w14:textId="77777777" w:rsidR="006A42A5" w:rsidRPr="00B83BF7" w:rsidRDefault="006A42A5" w:rsidP="004B083B">
            <w:pPr>
              <w:jc w:val="left"/>
              <w:textAlignment w:val="baseline"/>
              <w:rPr>
                <w:rFonts w:ascii="Arial Narrow" w:hAnsi="Arial Narrow"/>
                <w:b/>
                <w:bCs/>
                <w:sz w:val="20"/>
                <w:szCs w:val="20"/>
              </w:rPr>
            </w:pPr>
            <w:r w:rsidRPr="00B83BF7">
              <w:rPr>
                <w:rFonts w:ascii="Arial Narrow" w:hAnsi="Arial Narrow"/>
                <w:sz w:val="20"/>
                <w:szCs w:val="20"/>
              </w:rPr>
              <w:t>No increase in the maximum number of repeats may be authorised.</w:t>
            </w:r>
          </w:p>
        </w:tc>
      </w:tr>
      <w:tr w:rsidR="00B83BF7" w:rsidRPr="00B83BF7" w14:paraId="159010F8" w14:textId="77777777" w:rsidTr="006A42A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hideMark/>
          </w:tcPr>
          <w:p w14:paraId="61CEBDDA" w14:textId="68A4A6F0" w:rsidR="006A42A5" w:rsidRPr="00B83BF7" w:rsidRDefault="006A42A5"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hideMark/>
          </w:tcPr>
          <w:p w14:paraId="53562FD5" w14:textId="77777777" w:rsidR="006A42A5" w:rsidRPr="00B83BF7" w:rsidRDefault="006A42A5" w:rsidP="004B083B">
            <w:pPr>
              <w:jc w:val="left"/>
              <w:textAlignment w:val="baseline"/>
              <w:rPr>
                <w:rFonts w:ascii="Arial Narrow" w:hAnsi="Arial Narrow"/>
                <w:b/>
                <w:bCs/>
                <w:sz w:val="20"/>
                <w:szCs w:val="20"/>
              </w:rPr>
            </w:pPr>
            <w:r w:rsidRPr="00B83BF7">
              <w:rPr>
                <w:rFonts w:ascii="Arial Narrow" w:hAnsi="Arial Narrow"/>
                <w:b/>
                <w:bCs/>
                <w:sz w:val="20"/>
                <w:szCs w:val="20"/>
              </w:rPr>
              <w:t>Administrative Advice:</w:t>
            </w:r>
          </w:p>
          <w:p w14:paraId="2C75DDD7" w14:textId="77777777" w:rsidR="006A42A5" w:rsidRPr="00B83BF7" w:rsidRDefault="006A42A5" w:rsidP="004B083B">
            <w:pPr>
              <w:jc w:val="left"/>
              <w:textAlignment w:val="baseline"/>
              <w:rPr>
                <w:rFonts w:ascii="Arial Narrow" w:hAnsi="Arial Narrow"/>
                <w:sz w:val="20"/>
                <w:szCs w:val="20"/>
              </w:rPr>
            </w:pPr>
            <w:r w:rsidRPr="00B83BF7">
              <w:rPr>
                <w:rFonts w:ascii="Arial Narrow" w:hAnsi="Arial Narrow"/>
                <w:sz w:val="20"/>
                <w:szCs w:val="20"/>
              </w:rPr>
              <w:t>Special Pricing Arrangements apply.</w:t>
            </w:r>
          </w:p>
        </w:tc>
      </w:tr>
      <w:tr w:rsidR="00B83BF7" w:rsidRPr="00B83BF7" w14:paraId="1227B836" w14:textId="77777777" w:rsidTr="004E1C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9067" w:type="dxa"/>
            <w:gridSpan w:val="7"/>
            <w:tcBorders>
              <w:top w:val="single" w:sz="6" w:space="0" w:color="auto"/>
              <w:left w:val="single" w:sz="6" w:space="0" w:color="auto"/>
              <w:bottom w:val="single" w:sz="6" w:space="0" w:color="auto"/>
              <w:right w:val="single" w:sz="6" w:space="0" w:color="auto"/>
            </w:tcBorders>
            <w:vAlign w:val="center"/>
          </w:tcPr>
          <w:p w14:paraId="4638F54F" w14:textId="77777777" w:rsidR="00BE7AD7" w:rsidRPr="00B83BF7" w:rsidRDefault="00BE7AD7" w:rsidP="004B083B">
            <w:pPr>
              <w:textAlignment w:val="baseline"/>
              <w:rPr>
                <w:rFonts w:ascii="Arial Narrow" w:hAnsi="Arial Narrow"/>
                <w:b/>
                <w:bCs/>
                <w:sz w:val="20"/>
                <w:szCs w:val="20"/>
              </w:rPr>
            </w:pPr>
            <w:r w:rsidRPr="00B83BF7">
              <w:rPr>
                <w:rFonts w:ascii="Arial Narrow" w:hAnsi="Arial Narrow"/>
                <w:b/>
                <w:bCs/>
                <w:sz w:val="20"/>
                <w:szCs w:val="20"/>
              </w:rPr>
              <w:t>Restriction Summary [new2] / Treatment of Concept: [new2A]</w:t>
            </w:r>
            <w:r w:rsidRPr="00B83BF7">
              <w:rPr>
                <w:rFonts w:ascii="Arial Narrow" w:hAnsi="Arial Narrow"/>
                <w:sz w:val="20"/>
                <w:szCs w:val="20"/>
              </w:rPr>
              <w:t> </w:t>
            </w:r>
          </w:p>
        </w:tc>
      </w:tr>
      <w:tr w:rsidR="00B83BF7" w:rsidRPr="00B83BF7" w14:paraId="25ED6558" w14:textId="77777777" w:rsidTr="004E1C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hideMark/>
          </w:tcPr>
          <w:p w14:paraId="18D2A14C" w14:textId="0FA5325C"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hideMark/>
          </w:tcPr>
          <w:p w14:paraId="6382A47E" w14:textId="3D6B1F85" w:rsidR="00BE7AD7" w:rsidRPr="00B83BF7" w:rsidRDefault="00BE7AD7" w:rsidP="004B083B">
            <w:pPr>
              <w:textAlignment w:val="baseline"/>
              <w:rPr>
                <w:rFonts w:ascii="Arial Narrow" w:hAnsi="Arial Narrow"/>
                <w:sz w:val="20"/>
                <w:szCs w:val="20"/>
              </w:rPr>
            </w:pPr>
            <w:r w:rsidRPr="00B83BF7">
              <w:rPr>
                <w:rFonts w:ascii="Arial Narrow" w:hAnsi="Arial Narrow"/>
                <w:b/>
                <w:bCs/>
                <w:sz w:val="20"/>
                <w:szCs w:val="20"/>
              </w:rPr>
              <w:t>Indication:</w:t>
            </w:r>
            <w:r w:rsidRPr="00B83BF7">
              <w:rPr>
                <w:rFonts w:ascii="Arial Narrow" w:hAnsi="Arial Narrow"/>
                <w:sz w:val="20"/>
                <w:szCs w:val="20"/>
              </w:rPr>
              <w:t xml:space="preserve"> </w:t>
            </w:r>
            <w:r w:rsidR="004E1C82" w:rsidRPr="00B83BF7">
              <w:rPr>
                <w:rFonts w:ascii="Arial Narrow" w:hAnsi="Arial Narrow"/>
                <w:sz w:val="20"/>
                <w:szCs w:val="20"/>
              </w:rPr>
              <w:t>F</w:t>
            </w:r>
            <w:r w:rsidRPr="00B83BF7">
              <w:rPr>
                <w:rFonts w:ascii="Arial Narrow" w:hAnsi="Arial Narrow"/>
                <w:sz w:val="20"/>
                <w:szCs w:val="20"/>
              </w:rPr>
              <w:t xml:space="preserve">amilial </w:t>
            </w:r>
            <w:r w:rsidR="00EC14B8" w:rsidRPr="00B83BF7">
              <w:rPr>
                <w:rFonts w:ascii="Arial Narrow" w:hAnsi="Arial Narrow"/>
                <w:sz w:val="20"/>
                <w:szCs w:val="20"/>
              </w:rPr>
              <w:t>M</w:t>
            </w:r>
            <w:r w:rsidRPr="00B83BF7">
              <w:rPr>
                <w:rFonts w:ascii="Arial Narrow" w:hAnsi="Arial Narrow"/>
                <w:sz w:val="20"/>
                <w:szCs w:val="20"/>
              </w:rPr>
              <w:t>editerranean fever (FMF)</w:t>
            </w:r>
          </w:p>
        </w:tc>
      </w:tr>
      <w:tr w:rsidR="00B83BF7" w:rsidRPr="00B83BF7" w14:paraId="30DC4C78" w14:textId="77777777" w:rsidTr="004E1C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hideMark/>
          </w:tcPr>
          <w:p w14:paraId="1F55A634" w14:textId="77777777" w:rsidR="00BE7AD7" w:rsidRPr="00B83BF7" w:rsidRDefault="00BE7AD7" w:rsidP="004B083B">
            <w:pPr>
              <w:jc w:val="center"/>
              <w:textAlignment w:val="baseline"/>
              <w:rPr>
                <w:rFonts w:ascii="Arial Narrow" w:hAnsi="Arial Narrow"/>
                <w:sz w:val="20"/>
                <w:szCs w:val="20"/>
              </w:rPr>
            </w:pPr>
            <w:r w:rsidRPr="00B83BF7">
              <w:rPr>
                <w:rFonts w:ascii="Arial" w:hAnsi="Arial"/>
                <w:sz w:val="20"/>
                <w:szCs w:val="20"/>
              </w:rPr>
              <w:t> </w:t>
            </w:r>
            <w:r w:rsidRPr="00B83BF7">
              <w:rPr>
                <w:rFonts w:ascii="Arial Narrow" w:hAnsi="Arial Narrow"/>
                <w:sz w:val="20"/>
                <w:szCs w:val="20"/>
              </w:rPr>
              <w:t> </w:t>
            </w:r>
          </w:p>
        </w:tc>
        <w:tc>
          <w:tcPr>
            <w:tcW w:w="7492" w:type="dxa"/>
            <w:gridSpan w:val="6"/>
            <w:tcBorders>
              <w:top w:val="single" w:sz="6" w:space="0" w:color="auto"/>
              <w:left w:val="single" w:sz="6" w:space="0" w:color="auto"/>
              <w:bottom w:val="single" w:sz="6" w:space="0" w:color="auto"/>
              <w:right w:val="single" w:sz="6" w:space="0" w:color="auto"/>
            </w:tcBorders>
            <w:vAlign w:val="center"/>
            <w:hideMark/>
          </w:tcPr>
          <w:p w14:paraId="33D5EC70" w14:textId="2014B314" w:rsidR="00BE7AD7" w:rsidRPr="00B83BF7" w:rsidRDefault="00BE7AD7" w:rsidP="004B083B">
            <w:pPr>
              <w:textAlignment w:val="baseline"/>
              <w:rPr>
                <w:rFonts w:ascii="Arial Narrow" w:hAnsi="Arial Narrow"/>
                <w:sz w:val="20"/>
                <w:szCs w:val="20"/>
              </w:rPr>
            </w:pPr>
            <w:r w:rsidRPr="00B83BF7">
              <w:rPr>
                <w:rFonts w:ascii="Arial Narrow" w:hAnsi="Arial Narrow"/>
                <w:b/>
                <w:bCs/>
                <w:sz w:val="20"/>
                <w:szCs w:val="20"/>
              </w:rPr>
              <w:t>Treatment Phase:</w:t>
            </w:r>
            <w:r w:rsidRPr="00B83BF7">
              <w:rPr>
                <w:rFonts w:ascii="Arial Narrow" w:hAnsi="Arial Narrow"/>
                <w:sz w:val="20"/>
                <w:szCs w:val="20"/>
              </w:rPr>
              <w:t xml:space="preserve"> </w:t>
            </w:r>
            <w:r w:rsidR="0097125B" w:rsidRPr="00B83BF7">
              <w:rPr>
                <w:rFonts w:ascii="Arial Narrow" w:hAnsi="Arial Narrow"/>
                <w:sz w:val="20"/>
                <w:szCs w:val="20"/>
              </w:rPr>
              <w:t xml:space="preserve">Maintenance </w:t>
            </w:r>
            <w:r w:rsidRPr="00B83BF7">
              <w:rPr>
                <w:rFonts w:ascii="Arial Narrow" w:hAnsi="Arial Narrow"/>
                <w:sz w:val="20"/>
                <w:szCs w:val="20"/>
              </w:rPr>
              <w:t>treatment</w:t>
            </w:r>
            <w:r w:rsidRPr="00B83BF7">
              <w:rPr>
                <w:rFonts w:ascii="Arial" w:hAnsi="Arial"/>
                <w:sz w:val="20"/>
                <w:szCs w:val="20"/>
              </w:rPr>
              <w:t> </w:t>
            </w:r>
            <w:r w:rsidRPr="00B83BF7">
              <w:rPr>
                <w:rFonts w:ascii="Arial Narrow" w:hAnsi="Arial Narrow"/>
                <w:sz w:val="20"/>
                <w:szCs w:val="20"/>
              </w:rPr>
              <w:t> </w:t>
            </w:r>
          </w:p>
        </w:tc>
      </w:tr>
      <w:tr w:rsidR="00B83BF7" w:rsidRPr="00B83BF7" w14:paraId="16C20B5F" w14:textId="77777777" w:rsidTr="004E1C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0E6E71E3" w14:textId="77777777"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3E13C038" w14:textId="77777777" w:rsidR="00BE7AD7" w:rsidRPr="00B83BF7" w:rsidRDefault="00BE7AD7" w:rsidP="004B083B">
            <w:pPr>
              <w:textAlignment w:val="baseline"/>
              <w:rPr>
                <w:rFonts w:ascii="Arial Narrow" w:hAnsi="Arial Narrow"/>
                <w:b/>
                <w:bCs/>
                <w:sz w:val="20"/>
                <w:szCs w:val="20"/>
              </w:rPr>
            </w:pPr>
            <w:r w:rsidRPr="00B83BF7">
              <w:rPr>
                <w:rFonts w:ascii="Arial Narrow" w:hAnsi="Arial Narrow"/>
                <w:b/>
                <w:bCs/>
                <w:sz w:val="20"/>
                <w:szCs w:val="20"/>
              </w:rPr>
              <w:t xml:space="preserve">Clinical criteria: </w:t>
            </w:r>
            <w:r w:rsidRPr="00B83BF7">
              <w:rPr>
                <w:rFonts w:ascii="Arial" w:hAnsi="Arial"/>
                <w:sz w:val="20"/>
                <w:szCs w:val="20"/>
              </w:rPr>
              <w:t> </w:t>
            </w:r>
            <w:r w:rsidRPr="00B83BF7">
              <w:rPr>
                <w:rFonts w:ascii="Arial Narrow" w:hAnsi="Arial Narrow"/>
                <w:sz w:val="20"/>
                <w:szCs w:val="20"/>
              </w:rPr>
              <w:t> </w:t>
            </w:r>
          </w:p>
        </w:tc>
      </w:tr>
      <w:tr w:rsidR="00B83BF7" w:rsidRPr="00B83BF7" w14:paraId="4FC00E34" w14:textId="77777777" w:rsidTr="004E1C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2D3B0BFC" w14:textId="77777777"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4D479F88" w14:textId="49F6AA69" w:rsidR="00BE7AD7" w:rsidRPr="00B83BF7" w:rsidRDefault="00BE7AD7" w:rsidP="004B083B">
            <w:pPr>
              <w:textAlignment w:val="baseline"/>
              <w:rPr>
                <w:rFonts w:ascii="Arial Narrow" w:hAnsi="Arial Narrow"/>
                <w:sz w:val="20"/>
                <w:szCs w:val="20"/>
              </w:rPr>
            </w:pPr>
            <w:r w:rsidRPr="00B83BF7">
              <w:rPr>
                <w:rFonts w:ascii="Arial Narrow" w:hAnsi="Arial Narrow"/>
                <w:sz w:val="20"/>
                <w:szCs w:val="20"/>
              </w:rPr>
              <w:t xml:space="preserve">Patient must have previously received </w:t>
            </w:r>
            <w:r w:rsidR="003E70A2" w:rsidRPr="00B83BF7">
              <w:rPr>
                <w:rFonts w:ascii="Arial Narrow" w:hAnsi="Arial Narrow"/>
                <w:sz w:val="20"/>
                <w:szCs w:val="20"/>
              </w:rPr>
              <w:t xml:space="preserve">PBS-subsidised </w:t>
            </w:r>
            <w:r w:rsidRPr="00B83BF7">
              <w:rPr>
                <w:rFonts w:ascii="Arial Narrow" w:hAnsi="Arial Narrow"/>
                <w:sz w:val="20"/>
                <w:szCs w:val="20"/>
              </w:rPr>
              <w:t>treatment with this drug for this condition.</w:t>
            </w:r>
          </w:p>
        </w:tc>
      </w:tr>
      <w:tr w:rsidR="00B83BF7" w:rsidRPr="00B83BF7" w14:paraId="23FA2606" w14:textId="77777777" w:rsidTr="004E1C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15EDCD04" w14:textId="77777777"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5EDECA0C" w14:textId="77777777" w:rsidR="00BE7AD7" w:rsidRPr="00B83BF7" w:rsidRDefault="00BE7AD7" w:rsidP="004B083B">
            <w:pPr>
              <w:textAlignment w:val="baseline"/>
              <w:rPr>
                <w:rFonts w:ascii="Arial Narrow" w:hAnsi="Arial Narrow" w:cs="Segoe UI"/>
                <w:sz w:val="20"/>
                <w:szCs w:val="20"/>
              </w:rPr>
            </w:pPr>
            <w:r w:rsidRPr="00B83BF7">
              <w:rPr>
                <w:rFonts w:ascii="Arial Narrow" w:hAnsi="Arial Narrow"/>
                <w:b/>
                <w:bCs/>
                <w:sz w:val="20"/>
                <w:szCs w:val="20"/>
              </w:rPr>
              <w:t>AND</w:t>
            </w:r>
          </w:p>
        </w:tc>
      </w:tr>
      <w:tr w:rsidR="00B83BF7" w:rsidRPr="00B83BF7" w14:paraId="2724ED4D" w14:textId="77777777" w:rsidTr="004E1C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4E916ABA" w14:textId="77777777"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3BB84467" w14:textId="77777777" w:rsidR="00BE7AD7" w:rsidRPr="00B83BF7" w:rsidRDefault="00BE7AD7" w:rsidP="004B083B">
            <w:pPr>
              <w:textAlignment w:val="baseline"/>
              <w:rPr>
                <w:rFonts w:ascii="Arial Narrow" w:hAnsi="Arial Narrow" w:cs="Segoe UI"/>
                <w:sz w:val="20"/>
                <w:szCs w:val="20"/>
              </w:rPr>
            </w:pPr>
            <w:r w:rsidRPr="00B83BF7">
              <w:rPr>
                <w:rFonts w:ascii="Arial Narrow" w:hAnsi="Arial Narrow"/>
                <w:b/>
                <w:bCs/>
                <w:sz w:val="20"/>
                <w:szCs w:val="20"/>
              </w:rPr>
              <w:t xml:space="preserve">Clinical criteria: </w:t>
            </w:r>
            <w:r w:rsidRPr="00B83BF7">
              <w:rPr>
                <w:rFonts w:ascii="Arial" w:hAnsi="Arial"/>
                <w:sz w:val="20"/>
                <w:szCs w:val="20"/>
              </w:rPr>
              <w:t> </w:t>
            </w:r>
            <w:r w:rsidRPr="00B83BF7">
              <w:rPr>
                <w:rFonts w:ascii="Arial Narrow" w:hAnsi="Arial Narrow"/>
                <w:sz w:val="20"/>
                <w:szCs w:val="20"/>
              </w:rPr>
              <w:t> </w:t>
            </w:r>
          </w:p>
        </w:tc>
      </w:tr>
      <w:tr w:rsidR="00B83BF7" w:rsidRPr="00B83BF7" w14:paraId="16A902B4" w14:textId="77777777" w:rsidTr="004E1C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4EB05A32" w14:textId="77777777"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5E8104FB" w14:textId="338821A4" w:rsidR="00BE7AD7" w:rsidRPr="00B83BF7" w:rsidRDefault="00BE7AD7" w:rsidP="004B083B">
            <w:pPr>
              <w:textAlignment w:val="baseline"/>
              <w:rPr>
                <w:rFonts w:ascii="Arial Narrow" w:hAnsi="Arial Narrow" w:cs="Segoe UI"/>
                <w:sz w:val="20"/>
                <w:szCs w:val="20"/>
              </w:rPr>
            </w:pPr>
            <w:r w:rsidRPr="00B83BF7">
              <w:rPr>
                <w:rFonts w:ascii="Arial Narrow" w:hAnsi="Arial Narrow" w:cs="Segoe UI"/>
                <w:sz w:val="20"/>
                <w:szCs w:val="20"/>
              </w:rPr>
              <w:t xml:space="preserve">Patient must have demonstrated or </w:t>
            </w:r>
            <w:r w:rsidR="00D2757D" w:rsidRPr="00B83BF7">
              <w:rPr>
                <w:rFonts w:ascii="Arial Narrow" w:hAnsi="Arial Narrow" w:cs="Segoe UI"/>
                <w:sz w:val="20"/>
                <w:szCs w:val="20"/>
              </w:rPr>
              <w:t xml:space="preserve">maintained </w:t>
            </w:r>
            <w:r w:rsidRPr="00B83BF7">
              <w:rPr>
                <w:rFonts w:ascii="Arial Narrow" w:hAnsi="Arial Narrow" w:cs="Segoe UI"/>
                <w:sz w:val="20"/>
                <w:szCs w:val="20"/>
              </w:rPr>
              <w:t>an adequate response while receiving treatment with this drug. </w:t>
            </w:r>
          </w:p>
        </w:tc>
      </w:tr>
      <w:tr w:rsidR="00B83BF7" w:rsidRPr="00B83BF7" w14:paraId="4F3B82DE" w14:textId="77777777" w:rsidTr="004E1C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6CD96DFB" w14:textId="77777777"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6C5D3808" w14:textId="77777777" w:rsidR="00BE7AD7" w:rsidRPr="00B83BF7" w:rsidRDefault="00BE7AD7" w:rsidP="004B083B">
            <w:pPr>
              <w:textAlignment w:val="baseline"/>
              <w:rPr>
                <w:rFonts w:ascii="Arial Narrow" w:hAnsi="Arial Narrow"/>
                <w:sz w:val="20"/>
                <w:szCs w:val="20"/>
              </w:rPr>
            </w:pPr>
            <w:r w:rsidRPr="00B83BF7">
              <w:rPr>
                <w:rFonts w:ascii="Arial Narrow" w:hAnsi="Arial Narrow"/>
                <w:b/>
                <w:bCs/>
                <w:sz w:val="20"/>
                <w:szCs w:val="20"/>
              </w:rPr>
              <w:t>AND</w:t>
            </w:r>
            <w:r w:rsidRPr="00B83BF7">
              <w:rPr>
                <w:rFonts w:ascii="Arial" w:hAnsi="Arial"/>
                <w:sz w:val="20"/>
                <w:szCs w:val="20"/>
              </w:rPr>
              <w:t> </w:t>
            </w:r>
            <w:r w:rsidRPr="00B83BF7">
              <w:rPr>
                <w:rFonts w:ascii="Arial Narrow" w:hAnsi="Arial Narrow"/>
                <w:sz w:val="20"/>
                <w:szCs w:val="20"/>
              </w:rPr>
              <w:t> </w:t>
            </w:r>
          </w:p>
        </w:tc>
      </w:tr>
      <w:tr w:rsidR="00B83BF7" w:rsidRPr="00B83BF7" w14:paraId="6294C6BB" w14:textId="77777777" w:rsidTr="004E1C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39185125" w14:textId="77777777"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74EDD1C1" w14:textId="77777777" w:rsidR="00BE7AD7" w:rsidRPr="00B83BF7" w:rsidRDefault="00BE7AD7" w:rsidP="004B083B">
            <w:pPr>
              <w:textAlignment w:val="baseline"/>
              <w:rPr>
                <w:rFonts w:ascii="Arial Narrow" w:hAnsi="Arial Narrow"/>
                <w:sz w:val="20"/>
                <w:szCs w:val="20"/>
              </w:rPr>
            </w:pPr>
            <w:r w:rsidRPr="00B83BF7">
              <w:rPr>
                <w:rFonts w:ascii="Arial Narrow" w:hAnsi="Arial Narrow"/>
                <w:b/>
                <w:bCs/>
                <w:sz w:val="20"/>
                <w:szCs w:val="20"/>
              </w:rPr>
              <w:t>Treatment criteria:</w:t>
            </w:r>
            <w:r w:rsidRPr="00B83BF7">
              <w:rPr>
                <w:rFonts w:ascii="Arial" w:hAnsi="Arial"/>
                <w:sz w:val="20"/>
                <w:szCs w:val="20"/>
              </w:rPr>
              <w:t> </w:t>
            </w:r>
            <w:r w:rsidRPr="00B83BF7">
              <w:rPr>
                <w:rFonts w:ascii="Arial Narrow" w:hAnsi="Arial Narrow"/>
                <w:sz w:val="20"/>
                <w:szCs w:val="20"/>
              </w:rPr>
              <w:t> </w:t>
            </w:r>
          </w:p>
        </w:tc>
      </w:tr>
      <w:tr w:rsidR="00B83BF7" w:rsidRPr="00B83BF7" w14:paraId="32F879CA" w14:textId="77777777" w:rsidTr="004E1C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0098EA40" w14:textId="77777777"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055F4576" w14:textId="0C833273" w:rsidR="00BE7AD7" w:rsidRPr="00B83BF7" w:rsidRDefault="00D10A90" w:rsidP="004B083B">
            <w:pPr>
              <w:textAlignment w:val="baseline"/>
              <w:rPr>
                <w:rFonts w:ascii="Arial Narrow" w:hAnsi="Arial Narrow"/>
                <w:b/>
                <w:bCs/>
                <w:sz w:val="20"/>
                <w:szCs w:val="20"/>
              </w:rPr>
            </w:pPr>
            <w:r w:rsidRPr="00B83BF7">
              <w:rPr>
                <w:rFonts w:ascii="Arial Narrow" w:hAnsi="Arial Narrow"/>
                <w:sz w:val="20"/>
                <w:szCs w:val="20"/>
              </w:rPr>
              <w:t>Must be treated by a medical practitioner with expertise in the management of FMF who is either a: (</w:t>
            </w:r>
            <w:proofErr w:type="spellStart"/>
            <w:r w:rsidRPr="00B83BF7">
              <w:rPr>
                <w:rFonts w:ascii="Arial Narrow" w:hAnsi="Arial Narrow"/>
                <w:sz w:val="20"/>
                <w:szCs w:val="20"/>
              </w:rPr>
              <w:t>i</w:t>
            </w:r>
            <w:proofErr w:type="spellEnd"/>
            <w:r w:rsidRPr="00B83BF7">
              <w:rPr>
                <w:rFonts w:ascii="Arial Narrow" w:hAnsi="Arial Narrow"/>
                <w:sz w:val="20"/>
                <w:szCs w:val="20"/>
              </w:rPr>
              <w:t xml:space="preserve">) rheumatologist (ii) clinical immunologist (iii) </w:t>
            </w:r>
            <w:r w:rsidR="009D30EC">
              <w:rPr>
                <w:rFonts w:ascii="Arial Narrow" w:hAnsi="Arial Narrow"/>
                <w:sz w:val="20"/>
                <w:szCs w:val="20"/>
              </w:rPr>
              <w:t xml:space="preserve">specialist </w:t>
            </w:r>
            <w:r w:rsidRPr="00B83BF7">
              <w:rPr>
                <w:rFonts w:ascii="Arial Narrow" w:hAnsi="Arial Narrow"/>
                <w:sz w:val="20"/>
                <w:szCs w:val="20"/>
              </w:rPr>
              <w:t>paediatrician</w:t>
            </w:r>
            <w:r w:rsidR="009D30EC">
              <w:rPr>
                <w:rFonts w:ascii="Arial Narrow" w:hAnsi="Arial Narrow"/>
                <w:sz w:val="20"/>
                <w:szCs w:val="20"/>
              </w:rPr>
              <w:t xml:space="preserve"> (iv) specialist </w:t>
            </w:r>
            <w:r w:rsidR="00D3676F">
              <w:rPr>
                <w:rFonts w:ascii="Arial Narrow" w:hAnsi="Arial Narrow"/>
                <w:sz w:val="20"/>
                <w:szCs w:val="20"/>
              </w:rPr>
              <w:t>physician</w:t>
            </w:r>
          </w:p>
        </w:tc>
      </w:tr>
      <w:tr w:rsidR="00B83BF7" w:rsidRPr="00B83BF7" w14:paraId="49ACF4D0" w14:textId="77777777" w:rsidTr="004E1C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60CF3607" w14:textId="77777777"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08589731" w14:textId="77777777" w:rsidR="00BE7AD7" w:rsidRPr="00B83BF7" w:rsidRDefault="00BE7AD7" w:rsidP="004B083B">
            <w:pPr>
              <w:textAlignment w:val="baseline"/>
              <w:rPr>
                <w:rFonts w:ascii="Arial Narrow" w:hAnsi="Arial Narrow"/>
                <w:b/>
                <w:bCs/>
                <w:sz w:val="20"/>
                <w:szCs w:val="20"/>
              </w:rPr>
            </w:pPr>
            <w:r w:rsidRPr="00B83BF7">
              <w:rPr>
                <w:rFonts w:ascii="Arial Narrow" w:hAnsi="Arial Narrow"/>
                <w:b/>
                <w:bCs/>
                <w:sz w:val="20"/>
                <w:szCs w:val="20"/>
              </w:rPr>
              <w:t>Treatment criteria:</w:t>
            </w:r>
          </w:p>
        </w:tc>
      </w:tr>
      <w:tr w:rsidR="00B83BF7" w:rsidRPr="00B83BF7" w14:paraId="7ACEFA52" w14:textId="77777777" w:rsidTr="004E1C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0B38AA61" w14:textId="77777777"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17ED0469" w14:textId="77777777" w:rsidR="00BE7AD7" w:rsidRPr="00B83BF7" w:rsidRDefault="00BE7AD7" w:rsidP="004B083B">
            <w:pPr>
              <w:textAlignment w:val="baseline"/>
              <w:rPr>
                <w:rFonts w:ascii="Arial Narrow" w:hAnsi="Arial Narrow"/>
                <w:sz w:val="20"/>
                <w:szCs w:val="20"/>
              </w:rPr>
            </w:pPr>
            <w:r w:rsidRPr="00B83BF7">
              <w:rPr>
                <w:rFonts w:ascii="Arial Narrow" w:hAnsi="Arial Narrow"/>
                <w:sz w:val="20"/>
                <w:szCs w:val="20"/>
              </w:rPr>
              <w:t>The treatment must be in combination with colchicine unless contraindicated or cannot be tolerated.</w:t>
            </w:r>
          </w:p>
        </w:tc>
      </w:tr>
      <w:tr w:rsidR="00B83BF7" w:rsidRPr="00B83BF7" w14:paraId="7DB3CDC9" w14:textId="77777777" w:rsidTr="004E1C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62109558" w14:textId="25C039F8"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313E3FCA" w14:textId="77777777" w:rsidR="00BE7AD7" w:rsidRPr="00B83BF7" w:rsidRDefault="00BE7AD7" w:rsidP="004B083B">
            <w:pPr>
              <w:jc w:val="left"/>
              <w:textAlignment w:val="baseline"/>
              <w:rPr>
                <w:rFonts w:ascii="Arial Narrow" w:hAnsi="Arial Narrow"/>
                <w:b/>
                <w:bCs/>
                <w:sz w:val="20"/>
                <w:szCs w:val="20"/>
              </w:rPr>
            </w:pPr>
            <w:r w:rsidRPr="00B83BF7">
              <w:rPr>
                <w:rFonts w:ascii="Arial Narrow" w:hAnsi="Arial Narrow"/>
                <w:b/>
                <w:bCs/>
                <w:sz w:val="20"/>
                <w:szCs w:val="20"/>
              </w:rPr>
              <w:t>Prescribing Instructions:</w:t>
            </w:r>
          </w:p>
          <w:p w14:paraId="3C21F4A9" w14:textId="5CFA0156" w:rsidR="00BE7AD7" w:rsidRPr="00B83BF7" w:rsidRDefault="004B1751" w:rsidP="004B083B">
            <w:pPr>
              <w:textAlignment w:val="baseline"/>
              <w:rPr>
                <w:rFonts w:ascii="Arial Narrow" w:hAnsi="Arial Narrow"/>
                <w:b/>
                <w:bCs/>
                <w:sz w:val="20"/>
                <w:szCs w:val="20"/>
              </w:rPr>
            </w:pPr>
            <w:r w:rsidRPr="00B83BF7">
              <w:rPr>
                <w:rFonts w:ascii="Arial Narrow" w:hAnsi="Arial Narrow"/>
                <w:sz w:val="20"/>
                <w:szCs w:val="20"/>
                <w:lang w:val="en"/>
              </w:rPr>
              <w:t>Patients with clinical and biochemical remission for a period of 6-12 months should consider dose reduction by decreasing the dose, increasing the dose interval or discontinuation.</w:t>
            </w:r>
            <w:r w:rsidR="00DF7914" w:rsidRPr="00B83BF7">
              <w:rPr>
                <w:rFonts w:ascii="Arial Narrow" w:hAnsi="Arial Narrow"/>
                <w:sz w:val="20"/>
                <w:szCs w:val="20"/>
                <w:lang w:val="en"/>
              </w:rPr>
              <w:t xml:space="preserve"> Maintenance therapy with 150 mg (or 2mg/kg for patients weighing ≤ 40 kg) every 8 weeks should be considered for suitable patients.</w:t>
            </w:r>
            <w:r w:rsidR="00DF7914" w:rsidRPr="00B83BF7" w:rsidDel="004B1751">
              <w:rPr>
                <w:rFonts w:ascii="Arial Narrow" w:hAnsi="Arial Narrow"/>
                <w:sz w:val="20"/>
                <w:szCs w:val="20"/>
              </w:rPr>
              <w:t xml:space="preserve"> </w:t>
            </w:r>
          </w:p>
        </w:tc>
      </w:tr>
      <w:tr w:rsidR="00BE7AD7" w:rsidRPr="00B83BF7" w14:paraId="0BA65EBE" w14:textId="77777777" w:rsidTr="004E1C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7626BFF1" w14:textId="4F89BFD9"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479E7404" w14:textId="77777777" w:rsidR="00BE7AD7" w:rsidRPr="00B83BF7" w:rsidRDefault="00BE7AD7" w:rsidP="004B083B">
            <w:pPr>
              <w:jc w:val="left"/>
              <w:textAlignment w:val="baseline"/>
              <w:rPr>
                <w:rFonts w:ascii="Arial Narrow" w:hAnsi="Arial Narrow"/>
                <w:b/>
                <w:bCs/>
                <w:sz w:val="20"/>
                <w:szCs w:val="20"/>
              </w:rPr>
            </w:pPr>
            <w:r w:rsidRPr="00B83BF7">
              <w:rPr>
                <w:rFonts w:ascii="Arial Narrow" w:hAnsi="Arial Narrow"/>
                <w:b/>
                <w:bCs/>
                <w:sz w:val="20"/>
                <w:szCs w:val="20"/>
              </w:rPr>
              <w:t>Prescribing Instructions:</w:t>
            </w:r>
          </w:p>
          <w:p w14:paraId="3095AFDE" w14:textId="0A558757" w:rsidR="00BE7AD7" w:rsidRPr="00B83BF7" w:rsidRDefault="00BE7AD7" w:rsidP="004B083B">
            <w:pPr>
              <w:jc w:val="left"/>
              <w:textAlignment w:val="baseline"/>
              <w:rPr>
                <w:rFonts w:ascii="Arial Narrow" w:hAnsi="Arial Narrow"/>
                <w:sz w:val="20"/>
                <w:szCs w:val="20"/>
              </w:rPr>
            </w:pPr>
            <w:r w:rsidRPr="00B83BF7">
              <w:rPr>
                <w:rFonts w:ascii="Arial Narrow" w:hAnsi="Arial Narrow"/>
                <w:sz w:val="20"/>
                <w:szCs w:val="20"/>
              </w:rPr>
              <w:lastRenderedPageBreak/>
              <w:t xml:space="preserve">A patient who has demonstrated an adequate response following at least 24 weeks of </w:t>
            </w:r>
            <w:r w:rsidRPr="00B83BF7" w:rsidDel="00A31D7A">
              <w:rPr>
                <w:rFonts w:ascii="Arial Narrow" w:hAnsi="Arial Narrow"/>
                <w:sz w:val="20"/>
                <w:szCs w:val="20"/>
              </w:rPr>
              <w:t>PBS</w:t>
            </w:r>
            <w:r w:rsidR="00FA2079" w:rsidRPr="00B83BF7" w:rsidDel="00A31D7A">
              <w:rPr>
                <w:rFonts w:ascii="Arial Narrow" w:hAnsi="Arial Narrow"/>
                <w:sz w:val="20"/>
                <w:szCs w:val="20"/>
              </w:rPr>
              <w:t>-</w:t>
            </w:r>
            <w:r w:rsidRPr="00B83BF7" w:rsidDel="00A31D7A">
              <w:rPr>
                <w:rFonts w:ascii="Arial Narrow" w:hAnsi="Arial Narrow"/>
                <w:sz w:val="20"/>
                <w:szCs w:val="20"/>
              </w:rPr>
              <w:t xml:space="preserve">subsidised </w:t>
            </w:r>
            <w:r w:rsidRPr="00B83BF7">
              <w:rPr>
                <w:rFonts w:ascii="Arial Narrow" w:hAnsi="Arial Narrow"/>
                <w:sz w:val="20"/>
                <w:szCs w:val="20"/>
              </w:rPr>
              <w:t xml:space="preserve">treatment </w:t>
            </w:r>
            <w:r w:rsidR="00A31D7A" w:rsidRPr="00B83BF7">
              <w:rPr>
                <w:rFonts w:ascii="Arial Narrow" w:hAnsi="Arial Narrow"/>
                <w:sz w:val="20"/>
                <w:szCs w:val="20"/>
              </w:rPr>
              <w:t>with this drug</w:t>
            </w:r>
            <w:r w:rsidRPr="00B83BF7">
              <w:rPr>
                <w:rFonts w:ascii="Arial Narrow" w:hAnsi="Arial Narrow"/>
                <w:sz w:val="20"/>
                <w:szCs w:val="20"/>
              </w:rPr>
              <w:t xml:space="preserve"> for this condition and ha</w:t>
            </w:r>
            <w:r w:rsidR="000C1AD0" w:rsidRPr="00B83BF7">
              <w:rPr>
                <w:rFonts w:ascii="Arial Narrow" w:hAnsi="Arial Narrow"/>
                <w:sz w:val="20"/>
                <w:szCs w:val="20"/>
              </w:rPr>
              <w:t>s</w:t>
            </w:r>
            <w:r w:rsidRPr="00B83BF7">
              <w:rPr>
                <w:rFonts w:ascii="Arial Narrow" w:hAnsi="Arial Narrow"/>
                <w:sz w:val="20"/>
                <w:szCs w:val="20"/>
              </w:rPr>
              <w:t xml:space="preserve"> </w:t>
            </w:r>
            <w:r w:rsidRPr="00B83BF7" w:rsidDel="00CF6C98">
              <w:rPr>
                <w:rFonts w:ascii="Arial Narrow" w:hAnsi="Arial Narrow"/>
                <w:sz w:val="20"/>
                <w:szCs w:val="20"/>
              </w:rPr>
              <w:t xml:space="preserve">had </w:t>
            </w:r>
            <w:r w:rsidRPr="00B83BF7">
              <w:rPr>
                <w:rFonts w:ascii="Arial Narrow" w:hAnsi="Arial Narrow"/>
                <w:sz w:val="20"/>
                <w:szCs w:val="20"/>
              </w:rPr>
              <w:t>a break in therapy of less than 12 months,</w:t>
            </w:r>
            <w:r w:rsidRPr="00B83BF7">
              <w:rPr>
                <w:rFonts w:ascii="Open Sans" w:hAnsi="Open Sans" w:cs="Open Sans"/>
                <w:sz w:val="22"/>
                <w:szCs w:val="22"/>
                <w:shd w:val="clear" w:color="auto" w:fill="FFFFFF"/>
              </w:rPr>
              <w:t xml:space="preserve"> </w:t>
            </w:r>
            <w:r w:rsidRPr="00B83BF7">
              <w:rPr>
                <w:rFonts w:ascii="Arial Narrow" w:hAnsi="Arial Narrow"/>
                <w:sz w:val="20"/>
                <w:szCs w:val="20"/>
              </w:rPr>
              <w:t>is eligible to continue to receive PBS-subsidised treatment with this drug under the ‘</w:t>
            </w:r>
            <w:r w:rsidR="00A338DA" w:rsidRPr="00B83BF7">
              <w:rPr>
                <w:rFonts w:ascii="Arial Narrow" w:hAnsi="Arial Narrow"/>
                <w:sz w:val="20"/>
                <w:szCs w:val="20"/>
              </w:rPr>
              <w:t>maintenance</w:t>
            </w:r>
            <w:r w:rsidRPr="00B83BF7">
              <w:rPr>
                <w:rFonts w:ascii="Arial Narrow" w:hAnsi="Arial Narrow"/>
                <w:sz w:val="20"/>
                <w:szCs w:val="20"/>
              </w:rPr>
              <w:t>’ treatment phase.</w:t>
            </w:r>
          </w:p>
          <w:p w14:paraId="7988AEC9" w14:textId="77777777" w:rsidR="00BE7AD7" w:rsidRPr="00B83BF7" w:rsidRDefault="00BE7AD7" w:rsidP="004B083B">
            <w:pPr>
              <w:jc w:val="left"/>
              <w:textAlignment w:val="baseline"/>
              <w:rPr>
                <w:rFonts w:ascii="Arial Narrow" w:hAnsi="Arial Narrow"/>
                <w:sz w:val="20"/>
                <w:szCs w:val="20"/>
              </w:rPr>
            </w:pPr>
            <w:r w:rsidRPr="00B83BF7">
              <w:rPr>
                <w:rFonts w:ascii="Arial Narrow" w:hAnsi="Arial Narrow"/>
                <w:sz w:val="20"/>
                <w:szCs w:val="20"/>
              </w:rPr>
              <w:t>Where a patient has had a treatment break the length of the break is measured from the date the most recent treatment was stopped to the date of the application for further treatment.</w:t>
            </w:r>
          </w:p>
        </w:tc>
      </w:tr>
    </w:tbl>
    <w:p w14:paraId="088D4D1C" w14:textId="77777777" w:rsidR="00BE7AD7" w:rsidRPr="00B83BF7" w:rsidRDefault="00BE7AD7" w:rsidP="004B083B">
      <w:pPr>
        <w:textAlignment w:val="baseline"/>
        <w:rPr>
          <w:rFonts w:cs="Calibri"/>
        </w:rPr>
      </w:pPr>
    </w:p>
    <w:p w14:paraId="2FD3D37C" w14:textId="77777777" w:rsidR="00BE7AD7" w:rsidRPr="00B83BF7" w:rsidRDefault="00BE7AD7" w:rsidP="004B083B">
      <w:pPr>
        <w:textAlignment w:val="baseline"/>
        <w:rPr>
          <w:rFonts w:ascii="Arial Narrow" w:hAnsi="Arial Narrow" w:cstheme="minorHAnsi"/>
          <w:b/>
          <w:bCs/>
          <w:sz w:val="20"/>
          <w:szCs w:val="20"/>
        </w:rPr>
      </w:pPr>
      <w:r w:rsidRPr="00B83BF7">
        <w:rPr>
          <w:rFonts w:ascii="Arial Narrow" w:hAnsi="Arial Narrow" w:cstheme="minorHAnsi"/>
          <w:b/>
          <w:bCs/>
          <w:sz w:val="20"/>
          <w:szCs w:val="20"/>
        </w:rPr>
        <w:t>Balance of Supply</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balance of supply)"/>
      </w:tblPr>
      <w:tblGrid>
        <w:gridCol w:w="1575"/>
        <w:gridCol w:w="2364"/>
        <w:gridCol w:w="1019"/>
        <w:gridCol w:w="604"/>
        <w:gridCol w:w="811"/>
        <w:gridCol w:w="812"/>
        <w:gridCol w:w="1882"/>
      </w:tblGrid>
      <w:tr w:rsidR="00B83BF7" w:rsidRPr="00B83BF7" w14:paraId="41DEDBCD" w14:textId="77777777" w:rsidTr="00AF5A62">
        <w:trPr>
          <w:cantSplit/>
          <w:trHeight w:val="20"/>
        </w:trPr>
        <w:tc>
          <w:tcPr>
            <w:tcW w:w="3939" w:type="dxa"/>
            <w:gridSpan w:val="2"/>
            <w:vAlign w:val="center"/>
          </w:tcPr>
          <w:p w14:paraId="6C650B3E" w14:textId="77777777" w:rsidR="00BE7AD7" w:rsidRPr="00B83BF7" w:rsidRDefault="00BE7AD7" w:rsidP="004B083B">
            <w:pPr>
              <w:keepLines/>
              <w:rPr>
                <w:rFonts w:ascii="Arial Narrow" w:hAnsi="Arial Narrow"/>
                <w:b/>
                <w:bCs/>
                <w:sz w:val="20"/>
                <w:szCs w:val="20"/>
              </w:rPr>
            </w:pPr>
            <w:r w:rsidRPr="00B83BF7">
              <w:rPr>
                <w:rFonts w:ascii="Arial Narrow" w:hAnsi="Arial Narrow"/>
                <w:b/>
                <w:bCs/>
                <w:sz w:val="20"/>
                <w:szCs w:val="20"/>
              </w:rPr>
              <w:t>MEDICINAL PRODUCT</w:t>
            </w:r>
          </w:p>
          <w:p w14:paraId="7B6D497F" w14:textId="77777777" w:rsidR="00BE7AD7" w:rsidRPr="00B83BF7" w:rsidRDefault="00BE7AD7" w:rsidP="004B083B">
            <w:pPr>
              <w:keepLines/>
              <w:rPr>
                <w:rFonts w:ascii="Arial Narrow" w:hAnsi="Arial Narrow"/>
                <w:b/>
                <w:sz w:val="20"/>
                <w:szCs w:val="20"/>
              </w:rPr>
            </w:pPr>
            <w:r w:rsidRPr="00B83BF7">
              <w:rPr>
                <w:rFonts w:ascii="Arial Narrow" w:hAnsi="Arial Narrow"/>
                <w:b/>
                <w:bCs/>
                <w:sz w:val="20"/>
                <w:szCs w:val="20"/>
              </w:rPr>
              <w:t>medicinal product pack</w:t>
            </w:r>
          </w:p>
        </w:tc>
        <w:tc>
          <w:tcPr>
            <w:tcW w:w="1019" w:type="dxa"/>
            <w:vAlign w:val="center"/>
          </w:tcPr>
          <w:p w14:paraId="2AA996A2" w14:textId="77777777" w:rsidR="00BE7AD7" w:rsidRPr="00B83BF7" w:rsidRDefault="00BE7AD7" w:rsidP="004B083B">
            <w:pPr>
              <w:keepLines/>
              <w:jc w:val="center"/>
              <w:rPr>
                <w:rFonts w:ascii="Arial Narrow" w:hAnsi="Arial Narrow"/>
                <w:b/>
                <w:sz w:val="20"/>
                <w:szCs w:val="20"/>
              </w:rPr>
            </w:pPr>
            <w:r w:rsidRPr="00B83BF7">
              <w:rPr>
                <w:rFonts w:ascii="Arial Narrow" w:hAnsi="Arial Narrow"/>
                <w:b/>
                <w:sz w:val="20"/>
                <w:szCs w:val="20"/>
              </w:rPr>
              <w:t>PBS item code</w:t>
            </w:r>
          </w:p>
        </w:tc>
        <w:tc>
          <w:tcPr>
            <w:tcW w:w="604" w:type="dxa"/>
            <w:vAlign w:val="center"/>
          </w:tcPr>
          <w:p w14:paraId="47048451" w14:textId="77777777" w:rsidR="00BE7AD7" w:rsidRPr="00B83BF7" w:rsidRDefault="00BE7AD7" w:rsidP="004B083B">
            <w:pPr>
              <w:keepLines/>
              <w:jc w:val="center"/>
              <w:rPr>
                <w:rFonts w:ascii="Arial Narrow" w:hAnsi="Arial Narrow"/>
                <w:b/>
                <w:sz w:val="20"/>
                <w:szCs w:val="20"/>
              </w:rPr>
            </w:pPr>
            <w:r w:rsidRPr="00B83BF7">
              <w:rPr>
                <w:rFonts w:ascii="Arial Narrow" w:hAnsi="Arial Narrow"/>
                <w:b/>
                <w:sz w:val="20"/>
                <w:szCs w:val="20"/>
              </w:rPr>
              <w:t>Max. qty packs</w:t>
            </w:r>
          </w:p>
        </w:tc>
        <w:tc>
          <w:tcPr>
            <w:tcW w:w="811" w:type="dxa"/>
            <w:vAlign w:val="center"/>
          </w:tcPr>
          <w:p w14:paraId="1354EB80" w14:textId="77777777" w:rsidR="00BE7AD7" w:rsidRPr="00B83BF7" w:rsidRDefault="00BE7AD7" w:rsidP="004B083B">
            <w:pPr>
              <w:keepLines/>
              <w:jc w:val="center"/>
              <w:rPr>
                <w:rFonts w:ascii="Arial Narrow" w:hAnsi="Arial Narrow"/>
                <w:b/>
                <w:sz w:val="20"/>
                <w:szCs w:val="20"/>
              </w:rPr>
            </w:pPr>
            <w:r w:rsidRPr="00B83BF7">
              <w:rPr>
                <w:rFonts w:ascii="Arial Narrow" w:hAnsi="Arial Narrow"/>
                <w:b/>
                <w:sz w:val="20"/>
                <w:szCs w:val="20"/>
              </w:rPr>
              <w:t>Max. qty units</w:t>
            </w:r>
          </w:p>
        </w:tc>
        <w:tc>
          <w:tcPr>
            <w:tcW w:w="812" w:type="dxa"/>
            <w:vAlign w:val="center"/>
          </w:tcPr>
          <w:p w14:paraId="3BDB3955" w14:textId="77777777" w:rsidR="00BE7AD7" w:rsidRPr="00B83BF7" w:rsidRDefault="00BE7AD7" w:rsidP="004B083B">
            <w:pPr>
              <w:keepLines/>
              <w:jc w:val="center"/>
              <w:rPr>
                <w:rFonts w:ascii="Arial Narrow" w:hAnsi="Arial Narrow"/>
                <w:b/>
                <w:sz w:val="20"/>
                <w:szCs w:val="20"/>
              </w:rPr>
            </w:pPr>
            <w:proofErr w:type="gramStart"/>
            <w:r w:rsidRPr="00B83BF7">
              <w:rPr>
                <w:rFonts w:ascii="Arial Narrow" w:hAnsi="Arial Narrow"/>
                <w:b/>
                <w:sz w:val="20"/>
                <w:szCs w:val="20"/>
              </w:rPr>
              <w:t>№.of</w:t>
            </w:r>
            <w:proofErr w:type="gramEnd"/>
          </w:p>
          <w:p w14:paraId="643355AE" w14:textId="77777777" w:rsidR="00BE7AD7" w:rsidRPr="00B83BF7" w:rsidRDefault="00BE7AD7" w:rsidP="004B083B">
            <w:pPr>
              <w:keepLines/>
              <w:jc w:val="center"/>
              <w:rPr>
                <w:rFonts w:ascii="Arial Narrow" w:hAnsi="Arial Narrow"/>
                <w:b/>
                <w:sz w:val="20"/>
                <w:szCs w:val="20"/>
              </w:rPr>
            </w:pPr>
            <w:proofErr w:type="spellStart"/>
            <w:r w:rsidRPr="00B83BF7">
              <w:rPr>
                <w:rFonts w:ascii="Arial Narrow" w:hAnsi="Arial Narrow"/>
                <w:b/>
                <w:sz w:val="20"/>
                <w:szCs w:val="20"/>
              </w:rPr>
              <w:t>Rpts</w:t>
            </w:r>
            <w:proofErr w:type="spellEnd"/>
          </w:p>
        </w:tc>
        <w:tc>
          <w:tcPr>
            <w:tcW w:w="1882" w:type="dxa"/>
            <w:vAlign w:val="center"/>
          </w:tcPr>
          <w:p w14:paraId="206AF251" w14:textId="77777777" w:rsidR="00BE7AD7" w:rsidRPr="00B83BF7" w:rsidRDefault="00BE7AD7" w:rsidP="004B083B">
            <w:pPr>
              <w:keepLines/>
              <w:rPr>
                <w:rFonts w:ascii="Arial Narrow" w:hAnsi="Arial Narrow"/>
                <w:b/>
                <w:sz w:val="20"/>
                <w:szCs w:val="20"/>
                <w:lang w:val="fr-FR"/>
              </w:rPr>
            </w:pPr>
            <w:r w:rsidRPr="00B83BF7">
              <w:rPr>
                <w:rFonts w:ascii="Arial Narrow" w:hAnsi="Arial Narrow"/>
                <w:b/>
                <w:sz w:val="20"/>
                <w:szCs w:val="20"/>
              </w:rPr>
              <w:t>Available brands</w:t>
            </w:r>
          </w:p>
        </w:tc>
      </w:tr>
      <w:tr w:rsidR="00B83BF7" w:rsidRPr="00B83BF7" w14:paraId="163C0BFF" w14:textId="77777777" w:rsidTr="00AF5A62">
        <w:trPr>
          <w:cantSplit/>
          <w:trHeight w:val="20"/>
        </w:trPr>
        <w:tc>
          <w:tcPr>
            <w:tcW w:w="9067" w:type="dxa"/>
            <w:gridSpan w:val="7"/>
            <w:vAlign w:val="center"/>
          </w:tcPr>
          <w:p w14:paraId="1DA3212A" w14:textId="77777777" w:rsidR="00BE7AD7" w:rsidRPr="00B83BF7" w:rsidRDefault="00BE7AD7" w:rsidP="004B083B">
            <w:pPr>
              <w:keepLines/>
              <w:rPr>
                <w:rFonts w:ascii="Arial Narrow" w:hAnsi="Arial Narrow"/>
                <w:sz w:val="20"/>
                <w:szCs w:val="20"/>
              </w:rPr>
            </w:pPr>
            <w:r w:rsidRPr="00B83BF7">
              <w:rPr>
                <w:rFonts w:ascii="Arial Narrow" w:hAnsi="Arial Narrow"/>
                <w:sz w:val="20"/>
                <w:szCs w:val="20"/>
              </w:rPr>
              <w:t>CANAKINUMAB</w:t>
            </w:r>
          </w:p>
        </w:tc>
      </w:tr>
      <w:tr w:rsidR="00B83BF7" w:rsidRPr="00B83BF7" w14:paraId="638BE9AD" w14:textId="77777777" w:rsidTr="00AC26C2">
        <w:trPr>
          <w:cantSplit/>
          <w:trHeight w:val="20"/>
        </w:trPr>
        <w:tc>
          <w:tcPr>
            <w:tcW w:w="3939" w:type="dxa"/>
            <w:gridSpan w:val="2"/>
            <w:vAlign w:val="center"/>
          </w:tcPr>
          <w:p w14:paraId="18A4F0E8" w14:textId="77777777" w:rsidR="00BE7AD7" w:rsidRPr="00B83BF7" w:rsidRDefault="00BE7AD7" w:rsidP="00F147DD">
            <w:pPr>
              <w:keepLines/>
              <w:rPr>
                <w:rFonts w:ascii="Arial Narrow" w:hAnsi="Arial Narrow"/>
                <w:sz w:val="20"/>
                <w:szCs w:val="20"/>
              </w:rPr>
            </w:pPr>
            <w:r w:rsidRPr="00B83BF7">
              <w:rPr>
                <w:rFonts w:ascii="Arial Narrow" w:hAnsi="Arial Narrow"/>
                <w:sz w:val="20"/>
                <w:szCs w:val="20"/>
              </w:rPr>
              <w:t>Canakinumab 150 mg injection, 1 vial</w:t>
            </w:r>
          </w:p>
        </w:tc>
        <w:tc>
          <w:tcPr>
            <w:tcW w:w="1019" w:type="dxa"/>
            <w:vAlign w:val="center"/>
          </w:tcPr>
          <w:p w14:paraId="0ABAC1C3" w14:textId="77777777" w:rsidR="00BE7AD7" w:rsidRPr="00B83BF7" w:rsidRDefault="00BE7AD7" w:rsidP="004B083B">
            <w:pPr>
              <w:keepLines/>
              <w:jc w:val="center"/>
              <w:rPr>
                <w:rFonts w:ascii="Arial Narrow" w:hAnsi="Arial Narrow"/>
                <w:sz w:val="20"/>
                <w:szCs w:val="20"/>
              </w:rPr>
            </w:pPr>
            <w:r w:rsidRPr="00B83BF7">
              <w:rPr>
                <w:rFonts w:ascii="Arial Narrow" w:hAnsi="Arial Narrow"/>
                <w:sz w:val="20"/>
                <w:szCs w:val="20"/>
              </w:rPr>
              <w:t>NEW/HSD Public</w:t>
            </w:r>
          </w:p>
          <w:p w14:paraId="39A80246" w14:textId="77777777" w:rsidR="00BE7AD7" w:rsidRPr="00B83BF7" w:rsidRDefault="00BE7AD7" w:rsidP="004B083B">
            <w:pPr>
              <w:keepLines/>
              <w:jc w:val="center"/>
              <w:rPr>
                <w:rFonts w:ascii="Arial Narrow" w:hAnsi="Arial Narrow"/>
                <w:sz w:val="12"/>
                <w:szCs w:val="12"/>
              </w:rPr>
            </w:pPr>
            <w:r w:rsidRPr="00B83BF7">
              <w:rPr>
                <w:rFonts w:ascii="Arial Narrow" w:hAnsi="Arial Narrow"/>
                <w:sz w:val="12"/>
                <w:szCs w:val="12"/>
              </w:rPr>
              <w:t>MP</w:t>
            </w:r>
          </w:p>
        </w:tc>
        <w:tc>
          <w:tcPr>
            <w:tcW w:w="604" w:type="dxa"/>
            <w:vAlign w:val="center"/>
          </w:tcPr>
          <w:p w14:paraId="7D6C0640" w14:textId="77777777" w:rsidR="00BE7AD7" w:rsidRPr="00B83BF7" w:rsidRDefault="00BE7AD7" w:rsidP="004B083B">
            <w:pPr>
              <w:keepLines/>
              <w:jc w:val="center"/>
              <w:rPr>
                <w:rFonts w:ascii="Arial Narrow" w:hAnsi="Arial Narrow"/>
                <w:sz w:val="20"/>
                <w:szCs w:val="20"/>
              </w:rPr>
            </w:pPr>
            <w:r w:rsidRPr="00B83BF7">
              <w:rPr>
                <w:rFonts w:ascii="Arial Narrow" w:hAnsi="Arial Narrow"/>
                <w:sz w:val="20"/>
                <w:szCs w:val="20"/>
              </w:rPr>
              <w:t>1</w:t>
            </w:r>
          </w:p>
        </w:tc>
        <w:tc>
          <w:tcPr>
            <w:tcW w:w="811" w:type="dxa"/>
            <w:vAlign w:val="center"/>
          </w:tcPr>
          <w:p w14:paraId="3438C8C0" w14:textId="77777777" w:rsidR="00BE7AD7" w:rsidRPr="00B83BF7" w:rsidRDefault="00BE7AD7" w:rsidP="004B083B">
            <w:pPr>
              <w:keepLines/>
              <w:jc w:val="center"/>
              <w:rPr>
                <w:rFonts w:ascii="Arial Narrow" w:hAnsi="Arial Narrow"/>
                <w:sz w:val="20"/>
                <w:szCs w:val="20"/>
              </w:rPr>
            </w:pPr>
            <w:r w:rsidRPr="00B83BF7">
              <w:rPr>
                <w:rFonts w:ascii="Arial Narrow" w:hAnsi="Arial Narrow"/>
                <w:sz w:val="20"/>
                <w:szCs w:val="20"/>
              </w:rPr>
              <w:t>1</w:t>
            </w:r>
          </w:p>
        </w:tc>
        <w:tc>
          <w:tcPr>
            <w:tcW w:w="812" w:type="dxa"/>
            <w:vAlign w:val="center"/>
          </w:tcPr>
          <w:p w14:paraId="017A3F34" w14:textId="3B509901" w:rsidR="00BE7AD7" w:rsidRPr="00B83BF7" w:rsidRDefault="00BE7AD7" w:rsidP="004B083B">
            <w:pPr>
              <w:keepLines/>
              <w:jc w:val="center"/>
              <w:rPr>
                <w:rFonts w:ascii="Arial Narrow" w:hAnsi="Arial Narrow"/>
                <w:i/>
                <w:strike/>
                <w:sz w:val="20"/>
                <w:szCs w:val="20"/>
              </w:rPr>
            </w:pPr>
            <w:r w:rsidRPr="00B83BF7">
              <w:rPr>
                <w:rFonts w:ascii="Arial Narrow" w:hAnsi="Arial Narrow"/>
                <w:strike/>
                <w:sz w:val="20"/>
                <w:szCs w:val="20"/>
              </w:rPr>
              <w:t>5</w:t>
            </w:r>
            <w:r w:rsidR="002176FC" w:rsidRPr="00B83BF7">
              <w:rPr>
                <w:rFonts w:ascii="Arial Narrow" w:hAnsi="Arial Narrow"/>
                <w:i/>
                <w:iCs/>
                <w:strike/>
                <w:sz w:val="20"/>
                <w:szCs w:val="20"/>
              </w:rPr>
              <w:t>0</w:t>
            </w:r>
          </w:p>
        </w:tc>
        <w:tc>
          <w:tcPr>
            <w:tcW w:w="1882" w:type="dxa"/>
            <w:vAlign w:val="center"/>
          </w:tcPr>
          <w:p w14:paraId="49D74C03" w14:textId="77777777" w:rsidR="00BE7AD7" w:rsidRPr="00B83BF7" w:rsidRDefault="00BE7AD7" w:rsidP="004B083B">
            <w:pPr>
              <w:keepLines/>
              <w:rPr>
                <w:rFonts w:ascii="Arial Narrow" w:hAnsi="Arial Narrow"/>
                <w:sz w:val="20"/>
                <w:szCs w:val="20"/>
              </w:rPr>
            </w:pPr>
            <w:proofErr w:type="spellStart"/>
            <w:r w:rsidRPr="00B83BF7">
              <w:rPr>
                <w:rFonts w:ascii="Arial Narrow" w:hAnsi="Arial Narrow"/>
                <w:sz w:val="20"/>
                <w:szCs w:val="20"/>
              </w:rPr>
              <w:t>ilaris</w:t>
            </w:r>
            <w:proofErr w:type="spellEnd"/>
          </w:p>
        </w:tc>
      </w:tr>
      <w:tr w:rsidR="00B83BF7" w:rsidRPr="00B83BF7" w14:paraId="324E6551" w14:textId="77777777" w:rsidTr="00AF5A62">
        <w:trPr>
          <w:cantSplit/>
          <w:trHeight w:val="20"/>
        </w:trPr>
        <w:tc>
          <w:tcPr>
            <w:tcW w:w="3939" w:type="dxa"/>
            <w:gridSpan w:val="2"/>
            <w:vAlign w:val="center"/>
          </w:tcPr>
          <w:p w14:paraId="09908E4F" w14:textId="77777777" w:rsidR="00BE7AD7" w:rsidRPr="00B83BF7" w:rsidRDefault="00BE7AD7" w:rsidP="004B083B">
            <w:pPr>
              <w:keepLines/>
              <w:rPr>
                <w:rFonts w:ascii="Arial Narrow" w:hAnsi="Arial Narrow"/>
                <w:sz w:val="20"/>
                <w:szCs w:val="20"/>
              </w:rPr>
            </w:pPr>
            <w:r w:rsidRPr="00B83BF7">
              <w:rPr>
                <w:rFonts w:ascii="Arial Narrow" w:hAnsi="Arial Narrow"/>
                <w:sz w:val="20"/>
                <w:szCs w:val="20"/>
              </w:rPr>
              <w:t>Canakinumab 150 mg injection, 1 vial</w:t>
            </w:r>
          </w:p>
        </w:tc>
        <w:tc>
          <w:tcPr>
            <w:tcW w:w="1019" w:type="dxa"/>
            <w:vAlign w:val="center"/>
          </w:tcPr>
          <w:p w14:paraId="09B014DD" w14:textId="77777777" w:rsidR="00BE7AD7" w:rsidRPr="00B83BF7" w:rsidRDefault="00BE7AD7" w:rsidP="004B083B">
            <w:pPr>
              <w:keepLines/>
              <w:jc w:val="center"/>
              <w:rPr>
                <w:rFonts w:ascii="Arial Narrow" w:hAnsi="Arial Narrow"/>
                <w:sz w:val="20"/>
                <w:szCs w:val="20"/>
              </w:rPr>
            </w:pPr>
            <w:r w:rsidRPr="00B83BF7">
              <w:rPr>
                <w:rFonts w:ascii="Arial Narrow" w:hAnsi="Arial Narrow"/>
                <w:sz w:val="20"/>
                <w:szCs w:val="20"/>
              </w:rPr>
              <w:t>NEW/ HSD Private</w:t>
            </w:r>
          </w:p>
          <w:p w14:paraId="431D238C" w14:textId="77777777" w:rsidR="00BE7AD7" w:rsidRPr="00B83BF7" w:rsidRDefault="00BE7AD7" w:rsidP="004B083B">
            <w:pPr>
              <w:keepLines/>
              <w:jc w:val="center"/>
              <w:rPr>
                <w:rFonts w:ascii="Arial Narrow" w:hAnsi="Arial Narrow"/>
                <w:sz w:val="20"/>
                <w:szCs w:val="20"/>
              </w:rPr>
            </w:pPr>
            <w:r w:rsidRPr="00B83BF7">
              <w:rPr>
                <w:rFonts w:ascii="Arial Narrow" w:hAnsi="Arial Narrow"/>
                <w:sz w:val="12"/>
                <w:szCs w:val="12"/>
              </w:rPr>
              <w:t>MP</w:t>
            </w:r>
          </w:p>
        </w:tc>
        <w:tc>
          <w:tcPr>
            <w:tcW w:w="604" w:type="dxa"/>
            <w:vAlign w:val="center"/>
          </w:tcPr>
          <w:p w14:paraId="4FE993B7" w14:textId="77777777" w:rsidR="00BE7AD7" w:rsidRPr="00B83BF7" w:rsidRDefault="00BE7AD7" w:rsidP="004B083B">
            <w:pPr>
              <w:keepLines/>
              <w:jc w:val="center"/>
              <w:rPr>
                <w:rFonts w:ascii="Arial Narrow" w:hAnsi="Arial Narrow"/>
                <w:sz w:val="20"/>
                <w:szCs w:val="20"/>
              </w:rPr>
            </w:pPr>
            <w:r w:rsidRPr="00B83BF7">
              <w:rPr>
                <w:rFonts w:ascii="Arial Narrow" w:hAnsi="Arial Narrow"/>
                <w:sz w:val="20"/>
                <w:szCs w:val="20"/>
              </w:rPr>
              <w:t>1</w:t>
            </w:r>
          </w:p>
        </w:tc>
        <w:tc>
          <w:tcPr>
            <w:tcW w:w="811" w:type="dxa"/>
            <w:vAlign w:val="center"/>
          </w:tcPr>
          <w:p w14:paraId="4ED4B5DC" w14:textId="77777777" w:rsidR="00BE7AD7" w:rsidRPr="00B83BF7" w:rsidRDefault="00BE7AD7" w:rsidP="004B083B">
            <w:pPr>
              <w:keepLines/>
              <w:jc w:val="center"/>
              <w:rPr>
                <w:rFonts w:ascii="Arial Narrow" w:hAnsi="Arial Narrow"/>
                <w:sz w:val="20"/>
                <w:szCs w:val="20"/>
              </w:rPr>
            </w:pPr>
            <w:r w:rsidRPr="00B83BF7">
              <w:rPr>
                <w:rFonts w:ascii="Arial Narrow" w:hAnsi="Arial Narrow"/>
                <w:sz w:val="20"/>
                <w:szCs w:val="20"/>
              </w:rPr>
              <w:t>1</w:t>
            </w:r>
          </w:p>
        </w:tc>
        <w:tc>
          <w:tcPr>
            <w:tcW w:w="812" w:type="dxa"/>
            <w:vAlign w:val="center"/>
          </w:tcPr>
          <w:p w14:paraId="5151A5B8" w14:textId="22898263" w:rsidR="00BE7AD7" w:rsidRPr="00B83BF7" w:rsidRDefault="00BE7AD7" w:rsidP="004B083B">
            <w:pPr>
              <w:keepLines/>
              <w:jc w:val="center"/>
              <w:rPr>
                <w:rFonts w:ascii="Arial Narrow" w:hAnsi="Arial Narrow"/>
                <w:i/>
                <w:sz w:val="20"/>
                <w:szCs w:val="20"/>
              </w:rPr>
            </w:pPr>
            <w:r w:rsidRPr="00B83BF7">
              <w:rPr>
                <w:rFonts w:ascii="Arial Narrow" w:hAnsi="Arial Narrow"/>
                <w:strike/>
                <w:sz w:val="20"/>
                <w:szCs w:val="20"/>
              </w:rPr>
              <w:t>5</w:t>
            </w:r>
            <w:r w:rsidR="002176FC" w:rsidRPr="00B83BF7">
              <w:rPr>
                <w:rFonts w:ascii="Arial Narrow" w:hAnsi="Arial Narrow"/>
                <w:i/>
                <w:iCs/>
                <w:sz w:val="20"/>
                <w:szCs w:val="20"/>
              </w:rPr>
              <w:t>0</w:t>
            </w:r>
          </w:p>
        </w:tc>
        <w:tc>
          <w:tcPr>
            <w:tcW w:w="1882" w:type="dxa"/>
            <w:vAlign w:val="center"/>
          </w:tcPr>
          <w:p w14:paraId="444F53CB" w14:textId="77777777" w:rsidR="00BE7AD7" w:rsidRPr="00B83BF7" w:rsidRDefault="00BE7AD7" w:rsidP="004B083B">
            <w:pPr>
              <w:keepLines/>
              <w:rPr>
                <w:rFonts w:ascii="Arial Narrow" w:hAnsi="Arial Narrow"/>
                <w:sz w:val="20"/>
                <w:szCs w:val="20"/>
              </w:rPr>
            </w:pPr>
            <w:proofErr w:type="spellStart"/>
            <w:r w:rsidRPr="00B83BF7">
              <w:rPr>
                <w:rFonts w:ascii="Arial Narrow" w:hAnsi="Arial Narrow"/>
                <w:sz w:val="20"/>
                <w:szCs w:val="20"/>
              </w:rPr>
              <w:t>Ilaris</w:t>
            </w:r>
            <w:proofErr w:type="spellEnd"/>
          </w:p>
        </w:tc>
      </w:tr>
      <w:tr w:rsidR="00B83BF7" w:rsidRPr="00B83BF7" w14:paraId="64CE6D40"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9067" w:type="dxa"/>
            <w:gridSpan w:val="7"/>
            <w:tcBorders>
              <w:top w:val="single" w:sz="6" w:space="0" w:color="auto"/>
              <w:left w:val="single" w:sz="6" w:space="0" w:color="auto"/>
              <w:bottom w:val="single" w:sz="6" w:space="0" w:color="auto"/>
              <w:right w:val="single" w:sz="6" w:space="0" w:color="auto"/>
            </w:tcBorders>
            <w:vAlign w:val="center"/>
            <w:hideMark/>
          </w:tcPr>
          <w:p w14:paraId="0491B4B6" w14:textId="77777777" w:rsidR="00BE7AD7" w:rsidRPr="00B83BF7" w:rsidRDefault="00BE7AD7" w:rsidP="004B083B">
            <w:pPr>
              <w:textAlignment w:val="baseline"/>
              <w:rPr>
                <w:rFonts w:ascii="Arial Narrow" w:hAnsi="Arial Narrow"/>
                <w:sz w:val="20"/>
                <w:szCs w:val="20"/>
              </w:rPr>
            </w:pPr>
          </w:p>
        </w:tc>
      </w:tr>
      <w:tr w:rsidR="00B83BF7" w:rsidRPr="00B83BF7" w14:paraId="7CE949F2"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vMerge w:val="restart"/>
            <w:tcBorders>
              <w:top w:val="single" w:sz="6" w:space="0" w:color="auto"/>
              <w:left w:val="single" w:sz="6" w:space="0" w:color="auto"/>
              <w:bottom w:val="single" w:sz="6" w:space="0" w:color="auto"/>
              <w:right w:val="single" w:sz="6" w:space="0" w:color="auto"/>
            </w:tcBorders>
            <w:hideMark/>
          </w:tcPr>
          <w:p w14:paraId="5E4226DC" w14:textId="77777777" w:rsidR="00BE7AD7" w:rsidRPr="00B83BF7" w:rsidRDefault="00BE7AD7" w:rsidP="004B083B">
            <w:pPr>
              <w:jc w:val="center"/>
              <w:textAlignment w:val="baseline"/>
              <w:rPr>
                <w:rFonts w:ascii="Arial Narrow" w:hAnsi="Arial Narrow"/>
                <w:sz w:val="20"/>
                <w:szCs w:val="20"/>
              </w:rPr>
            </w:pPr>
            <w:r w:rsidRPr="00B83BF7">
              <w:rPr>
                <w:rFonts w:ascii="Arial Narrow" w:hAnsi="Arial Narrow"/>
                <w:b/>
                <w:bCs/>
                <w:sz w:val="20"/>
                <w:szCs w:val="20"/>
              </w:rPr>
              <w:t xml:space="preserve">Concept ID </w:t>
            </w:r>
            <w:r w:rsidRPr="00B83BF7">
              <w:rPr>
                <w:rFonts w:ascii="Arial Narrow" w:hAnsi="Arial Narrow"/>
                <w:sz w:val="20"/>
                <w:szCs w:val="20"/>
              </w:rPr>
              <w:t>(for internal Dept. use)</w:t>
            </w:r>
            <w:r w:rsidRPr="00B83BF7">
              <w:rPr>
                <w:rFonts w:ascii="Arial" w:hAnsi="Arial"/>
                <w:sz w:val="20"/>
                <w:szCs w:val="20"/>
              </w:rPr>
              <w:t> </w:t>
            </w:r>
            <w:r w:rsidRPr="00B83BF7">
              <w:rPr>
                <w:rFonts w:ascii="Arial Narrow" w:hAnsi="Arial Narrow"/>
                <w:sz w:val="20"/>
                <w:szCs w:val="20"/>
              </w:rPr>
              <w:t> </w:t>
            </w:r>
          </w:p>
        </w:tc>
        <w:tc>
          <w:tcPr>
            <w:tcW w:w="7492" w:type="dxa"/>
            <w:gridSpan w:val="6"/>
            <w:tcBorders>
              <w:top w:val="single" w:sz="6" w:space="0" w:color="auto"/>
              <w:left w:val="single" w:sz="6" w:space="0" w:color="auto"/>
              <w:bottom w:val="single" w:sz="6" w:space="0" w:color="auto"/>
              <w:right w:val="single" w:sz="6" w:space="0" w:color="auto"/>
            </w:tcBorders>
            <w:vAlign w:val="center"/>
            <w:hideMark/>
          </w:tcPr>
          <w:p w14:paraId="2AD9B45E" w14:textId="2732A89F" w:rsidR="00BE7AD7" w:rsidRPr="00B83BF7" w:rsidRDefault="00BE7AD7" w:rsidP="004B083B">
            <w:pPr>
              <w:jc w:val="left"/>
              <w:textAlignment w:val="baseline"/>
              <w:rPr>
                <w:rFonts w:ascii="Arial Narrow" w:hAnsi="Arial Narrow"/>
                <w:sz w:val="20"/>
                <w:szCs w:val="20"/>
              </w:rPr>
            </w:pPr>
            <w:r w:rsidRPr="00B83BF7">
              <w:rPr>
                <w:rFonts w:ascii="Arial Narrow" w:hAnsi="Arial Narrow"/>
                <w:b/>
                <w:bCs/>
                <w:sz w:val="20"/>
                <w:szCs w:val="20"/>
              </w:rPr>
              <w:t>Category / Program:</w:t>
            </w:r>
            <w:r w:rsidR="004B083B">
              <w:rPr>
                <w:rFonts w:ascii="Arial Narrow" w:hAnsi="Arial Narrow"/>
                <w:sz w:val="20"/>
                <w:szCs w:val="20"/>
              </w:rPr>
              <w:t xml:space="preserve"> </w:t>
            </w:r>
            <w:r w:rsidRPr="00B83BF7">
              <w:rPr>
                <w:rFonts w:ascii="Arial Narrow" w:hAnsi="Arial Narrow"/>
                <w:sz w:val="20"/>
                <w:szCs w:val="20"/>
              </w:rPr>
              <w:br/>
              <w:t>Section 100 – Highly Specialised Drugs Program – Public (Code HB) / Private (Code HS)</w:t>
            </w:r>
            <w:r w:rsidRPr="00B83BF7">
              <w:rPr>
                <w:rFonts w:ascii="Arial" w:hAnsi="Arial"/>
                <w:sz w:val="20"/>
                <w:szCs w:val="20"/>
              </w:rPr>
              <w:t> </w:t>
            </w:r>
            <w:r w:rsidRPr="00B83BF7">
              <w:rPr>
                <w:rFonts w:ascii="Arial Narrow" w:hAnsi="Arial Narrow"/>
                <w:sz w:val="20"/>
                <w:szCs w:val="20"/>
              </w:rPr>
              <w:t> </w:t>
            </w:r>
          </w:p>
        </w:tc>
      </w:tr>
      <w:tr w:rsidR="00B83BF7" w:rsidRPr="00B83BF7" w14:paraId="398BEFCE"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vMerge/>
            <w:tcBorders>
              <w:top w:val="single" w:sz="6" w:space="0" w:color="auto"/>
              <w:left w:val="single" w:sz="6" w:space="0" w:color="auto"/>
              <w:bottom w:val="single" w:sz="6" w:space="0" w:color="auto"/>
              <w:right w:val="single" w:sz="6" w:space="0" w:color="auto"/>
            </w:tcBorders>
            <w:vAlign w:val="center"/>
            <w:hideMark/>
          </w:tcPr>
          <w:p w14:paraId="1CC6B3EA" w14:textId="77777777" w:rsidR="00BE7AD7" w:rsidRPr="00B83BF7" w:rsidRDefault="00BE7AD7" w:rsidP="004B083B">
            <w:pPr>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hideMark/>
          </w:tcPr>
          <w:p w14:paraId="0DF0DA2C" w14:textId="6BB0E09C" w:rsidR="00BE7AD7" w:rsidRPr="00B83BF7" w:rsidRDefault="00BE7AD7" w:rsidP="004B083B">
            <w:pPr>
              <w:textAlignment w:val="baseline"/>
              <w:rPr>
                <w:rFonts w:ascii="Arial Narrow" w:hAnsi="Arial Narrow"/>
                <w:sz w:val="20"/>
                <w:szCs w:val="20"/>
              </w:rPr>
            </w:pPr>
            <w:r w:rsidRPr="00B83BF7">
              <w:rPr>
                <w:rFonts w:ascii="Arial Narrow" w:hAnsi="Arial Narrow"/>
                <w:b/>
                <w:bCs/>
                <w:sz w:val="20"/>
                <w:szCs w:val="20"/>
              </w:rPr>
              <w:t>Prescriber type:</w:t>
            </w:r>
            <w:r w:rsidR="004B083B">
              <w:rPr>
                <w:rFonts w:ascii="Arial Narrow" w:hAnsi="Arial Narrow"/>
                <w:b/>
                <w:bCs/>
                <w:sz w:val="20"/>
                <w:szCs w:val="20"/>
              </w:rPr>
              <w:t xml:space="preserve"> </w:t>
            </w:r>
          </w:p>
          <w:p w14:paraId="6BEE8C5E" w14:textId="1E7B1EDB" w:rsidR="00BE7AD7" w:rsidRPr="00B83BF7" w:rsidRDefault="00BE7AD7" w:rsidP="004B083B">
            <w:pPr>
              <w:textAlignment w:val="baseline"/>
              <w:rPr>
                <w:rFonts w:ascii="Arial Narrow" w:hAnsi="Arial Narrow"/>
                <w:sz w:val="20"/>
                <w:szCs w:val="20"/>
              </w:rPr>
            </w:pPr>
            <w:r w:rsidRPr="00B83BF7">
              <w:rPr>
                <w:rFonts w:ascii="Arial Narrow" w:hAnsi="Arial Narrow"/>
                <w:sz w:val="20"/>
                <w:szCs w:val="20"/>
              </w:rPr>
              <w:t>Medical Practitioners</w:t>
            </w:r>
            <w:r w:rsidR="004B083B">
              <w:rPr>
                <w:rFonts w:ascii="Arial Narrow" w:hAnsi="Arial Narrow"/>
                <w:sz w:val="20"/>
                <w:szCs w:val="20"/>
              </w:rPr>
              <w:t xml:space="preserve"> </w:t>
            </w:r>
          </w:p>
        </w:tc>
      </w:tr>
      <w:tr w:rsidR="00B83BF7" w:rsidRPr="00B83BF7" w14:paraId="744715D4"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vMerge/>
            <w:tcBorders>
              <w:top w:val="single" w:sz="6" w:space="0" w:color="auto"/>
              <w:left w:val="single" w:sz="6" w:space="0" w:color="auto"/>
              <w:bottom w:val="single" w:sz="6" w:space="0" w:color="auto"/>
              <w:right w:val="single" w:sz="6" w:space="0" w:color="auto"/>
            </w:tcBorders>
            <w:vAlign w:val="center"/>
            <w:hideMark/>
          </w:tcPr>
          <w:p w14:paraId="487B7CD7" w14:textId="77777777" w:rsidR="00BE7AD7" w:rsidRPr="00B83BF7" w:rsidRDefault="00BE7AD7" w:rsidP="004B083B">
            <w:pPr>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hideMark/>
          </w:tcPr>
          <w:p w14:paraId="44711720" w14:textId="72A48440" w:rsidR="00BE7AD7" w:rsidRPr="00B83BF7" w:rsidRDefault="00BE7AD7" w:rsidP="004B083B">
            <w:pPr>
              <w:textAlignment w:val="baseline"/>
              <w:rPr>
                <w:rFonts w:ascii="Arial Narrow" w:hAnsi="Arial Narrow"/>
                <w:sz w:val="20"/>
                <w:szCs w:val="20"/>
              </w:rPr>
            </w:pPr>
            <w:r w:rsidRPr="00B83BF7">
              <w:rPr>
                <w:rFonts w:ascii="Arial Narrow" w:hAnsi="Arial Narrow"/>
                <w:b/>
                <w:bCs/>
                <w:sz w:val="20"/>
                <w:szCs w:val="20"/>
              </w:rPr>
              <w:t>Restriction type:</w:t>
            </w:r>
            <w:r w:rsidR="004B083B">
              <w:rPr>
                <w:rFonts w:ascii="Arial Narrow" w:hAnsi="Arial Narrow"/>
                <w:b/>
                <w:bCs/>
                <w:sz w:val="20"/>
                <w:szCs w:val="20"/>
              </w:rPr>
              <w:t xml:space="preserve"> </w:t>
            </w:r>
          </w:p>
          <w:p w14:paraId="41910A5B" w14:textId="77777777" w:rsidR="00BE7AD7" w:rsidRPr="00B83BF7" w:rsidRDefault="00BE7AD7" w:rsidP="004B083B">
            <w:pPr>
              <w:textAlignment w:val="baseline"/>
              <w:rPr>
                <w:rFonts w:ascii="Arial Narrow" w:hAnsi="Arial Narrow"/>
                <w:sz w:val="20"/>
                <w:szCs w:val="20"/>
              </w:rPr>
            </w:pPr>
            <w:r w:rsidRPr="00B83BF7">
              <w:rPr>
                <w:rFonts w:ascii="Arial Narrow" w:hAnsi="Arial Narrow"/>
                <w:sz w:val="20"/>
                <w:szCs w:val="20"/>
              </w:rPr>
              <w:fldChar w:fldCharType="begin">
                <w:ffData>
                  <w:name w:val=""/>
                  <w:enabled/>
                  <w:calcOnExit w:val="0"/>
                  <w:checkBox>
                    <w:sizeAuto/>
                    <w:default w:val="1"/>
                  </w:checkBox>
                </w:ffData>
              </w:fldChar>
            </w:r>
            <w:r w:rsidRPr="00B83BF7">
              <w:rPr>
                <w:rFonts w:ascii="Arial Narrow" w:hAnsi="Arial Narrow"/>
                <w:sz w:val="20"/>
                <w:szCs w:val="20"/>
              </w:rPr>
              <w:instrText xml:space="preserve"> FORMCHECKBOX </w:instrText>
            </w:r>
            <w:r w:rsidRPr="00B83BF7">
              <w:rPr>
                <w:rFonts w:ascii="Arial Narrow" w:hAnsi="Arial Narrow"/>
                <w:sz w:val="20"/>
                <w:szCs w:val="20"/>
              </w:rPr>
            </w:r>
            <w:r w:rsidRPr="00B83BF7">
              <w:rPr>
                <w:rFonts w:ascii="Arial Narrow" w:hAnsi="Arial Narrow"/>
                <w:sz w:val="20"/>
                <w:szCs w:val="20"/>
              </w:rPr>
              <w:fldChar w:fldCharType="separate"/>
            </w:r>
            <w:r w:rsidRPr="00B83BF7">
              <w:rPr>
                <w:rFonts w:ascii="Arial Narrow" w:hAnsi="Arial Narrow"/>
                <w:sz w:val="20"/>
                <w:szCs w:val="20"/>
              </w:rPr>
              <w:fldChar w:fldCharType="end"/>
            </w:r>
            <w:r w:rsidRPr="00B83BF7">
              <w:rPr>
                <w:rFonts w:ascii="Arial Narrow" w:hAnsi="Arial Narrow"/>
                <w:sz w:val="20"/>
                <w:szCs w:val="20"/>
              </w:rPr>
              <w:t xml:space="preserve"> Authority Required (telephone/electronic)</w:t>
            </w:r>
          </w:p>
        </w:tc>
      </w:tr>
      <w:tr w:rsidR="00B83BF7" w:rsidRPr="00B83BF7" w14:paraId="5C377D6D"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vMerge/>
            <w:tcBorders>
              <w:top w:val="single" w:sz="6" w:space="0" w:color="auto"/>
              <w:left w:val="single" w:sz="6" w:space="0" w:color="auto"/>
              <w:bottom w:val="single" w:sz="6" w:space="0" w:color="auto"/>
              <w:right w:val="single" w:sz="6" w:space="0" w:color="auto"/>
            </w:tcBorders>
            <w:vAlign w:val="center"/>
            <w:hideMark/>
          </w:tcPr>
          <w:p w14:paraId="661D5EDF" w14:textId="77777777" w:rsidR="00BE7AD7" w:rsidRPr="00B83BF7" w:rsidRDefault="00BE7AD7" w:rsidP="004B083B">
            <w:pPr>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hideMark/>
          </w:tcPr>
          <w:p w14:paraId="0FCD90C5" w14:textId="3D23E384" w:rsidR="00BE7AD7" w:rsidRPr="00B83BF7" w:rsidRDefault="00BE7AD7" w:rsidP="004B083B">
            <w:pPr>
              <w:jc w:val="left"/>
              <w:textAlignment w:val="baseline"/>
              <w:rPr>
                <w:rFonts w:ascii="Arial Narrow" w:hAnsi="Arial Narrow"/>
                <w:sz w:val="20"/>
                <w:szCs w:val="20"/>
              </w:rPr>
            </w:pPr>
            <w:r w:rsidRPr="00B83BF7">
              <w:rPr>
                <w:rFonts w:ascii="Arial Narrow" w:hAnsi="Arial Narrow"/>
                <w:b/>
                <w:bCs/>
                <w:sz w:val="20"/>
                <w:szCs w:val="20"/>
              </w:rPr>
              <w:t>Authority type:</w:t>
            </w:r>
            <w:r w:rsidR="004B083B">
              <w:rPr>
                <w:rFonts w:ascii="Arial Narrow" w:hAnsi="Arial Narrow"/>
                <w:b/>
                <w:bCs/>
                <w:sz w:val="20"/>
                <w:szCs w:val="20"/>
              </w:rPr>
              <w:t xml:space="preserve"> </w:t>
            </w:r>
            <w:r w:rsidRPr="00B83BF7">
              <w:rPr>
                <w:rFonts w:ascii="Arial Narrow" w:hAnsi="Arial Narrow"/>
                <w:sz w:val="20"/>
                <w:szCs w:val="20"/>
              </w:rPr>
              <w:br/>
              <w:t>Complex Authority Required (CAR)</w:t>
            </w:r>
            <w:r w:rsidRPr="00B83BF7">
              <w:rPr>
                <w:rFonts w:ascii="Arial" w:hAnsi="Arial"/>
                <w:sz w:val="20"/>
                <w:szCs w:val="20"/>
              </w:rPr>
              <w:t> </w:t>
            </w:r>
            <w:r w:rsidRPr="00B83BF7">
              <w:rPr>
                <w:rFonts w:ascii="Arial Narrow" w:hAnsi="Arial Narrow"/>
                <w:sz w:val="20"/>
                <w:szCs w:val="20"/>
              </w:rPr>
              <w:t> </w:t>
            </w:r>
          </w:p>
        </w:tc>
      </w:tr>
      <w:tr w:rsidR="00B83BF7" w:rsidRPr="00B83BF7" w14:paraId="7F2FF162"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57D3B0B6" w14:textId="77777777" w:rsidR="00BE7AD7" w:rsidRPr="00B83BF7" w:rsidRDefault="00BE7AD7" w:rsidP="004B083B">
            <w:pPr>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6F2F2875" w14:textId="77777777" w:rsidR="00BE7AD7" w:rsidRPr="00B83BF7" w:rsidRDefault="00BE7AD7" w:rsidP="004B083B">
            <w:pPr>
              <w:textAlignment w:val="baseline"/>
              <w:rPr>
                <w:rFonts w:ascii="Arial Narrow" w:hAnsi="Arial Narrow"/>
                <w:b/>
                <w:bCs/>
                <w:sz w:val="20"/>
                <w:szCs w:val="20"/>
              </w:rPr>
            </w:pPr>
            <w:r w:rsidRPr="00B83BF7">
              <w:rPr>
                <w:rFonts w:ascii="Arial Narrow" w:hAnsi="Arial Narrow"/>
                <w:b/>
                <w:bCs/>
                <w:sz w:val="20"/>
                <w:szCs w:val="20"/>
              </w:rPr>
              <w:t>Prescribing rule level:</w:t>
            </w:r>
          </w:p>
        </w:tc>
      </w:tr>
      <w:tr w:rsidR="00B83BF7" w:rsidRPr="00B83BF7" w14:paraId="5560B731"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hideMark/>
          </w:tcPr>
          <w:p w14:paraId="6D4C378E" w14:textId="54645659"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hideMark/>
          </w:tcPr>
          <w:p w14:paraId="1FFC45A3" w14:textId="77777777" w:rsidR="00BE7AD7" w:rsidRPr="00B83BF7" w:rsidRDefault="00BE7AD7" w:rsidP="004B083B">
            <w:pPr>
              <w:textAlignment w:val="baseline"/>
              <w:rPr>
                <w:rFonts w:ascii="Arial Narrow" w:hAnsi="Arial Narrow"/>
                <w:sz w:val="20"/>
                <w:szCs w:val="20"/>
              </w:rPr>
            </w:pPr>
            <w:r w:rsidRPr="00B83BF7">
              <w:rPr>
                <w:rFonts w:ascii="Arial Narrow" w:hAnsi="Arial Narrow"/>
                <w:b/>
                <w:bCs/>
                <w:sz w:val="20"/>
                <w:szCs w:val="20"/>
              </w:rPr>
              <w:t>Administrative Advice:</w:t>
            </w:r>
            <w:r w:rsidRPr="00B83BF7">
              <w:rPr>
                <w:rFonts w:ascii="Arial" w:hAnsi="Arial"/>
                <w:sz w:val="20"/>
                <w:szCs w:val="20"/>
              </w:rPr>
              <w:t> </w:t>
            </w:r>
            <w:r w:rsidRPr="00B83BF7">
              <w:rPr>
                <w:rFonts w:ascii="Arial Narrow" w:hAnsi="Arial Narrow"/>
                <w:sz w:val="20"/>
                <w:szCs w:val="20"/>
              </w:rPr>
              <w:t> </w:t>
            </w:r>
          </w:p>
          <w:p w14:paraId="2C084C37" w14:textId="77777777" w:rsidR="00BE7AD7" w:rsidRPr="00B83BF7" w:rsidRDefault="00BE7AD7" w:rsidP="004B083B">
            <w:pPr>
              <w:textAlignment w:val="baseline"/>
              <w:rPr>
                <w:rFonts w:ascii="Arial Narrow" w:hAnsi="Arial Narrow"/>
                <w:strike/>
                <w:sz w:val="20"/>
                <w:szCs w:val="20"/>
              </w:rPr>
            </w:pPr>
            <w:r w:rsidRPr="00B83BF7">
              <w:rPr>
                <w:rFonts w:ascii="Arial Narrow" w:hAnsi="Arial Narrow"/>
                <w:sz w:val="20"/>
                <w:szCs w:val="20"/>
              </w:rPr>
              <w:t>Authorities for increased maximum quantities, up to a maximum of 2, may be authorised.</w:t>
            </w:r>
          </w:p>
        </w:tc>
      </w:tr>
      <w:tr w:rsidR="00B83BF7" w:rsidRPr="00B83BF7" w14:paraId="699263D6"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9067" w:type="dxa"/>
            <w:gridSpan w:val="7"/>
            <w:tcBorders>
              <w:top w:val="single" w:sz="6" w:space="0" w:color="auto"/>
              <w:left w:val="single" w:sz="6" w:space="0" w:color="auto"/>
              <w:bottom w:val="single" w:sz="6" w:space="0" w:color="auto"/>
              <w:right w:val="single" w:sz="6" w:space="0" w:color="auto"/>
            </w:tcBorders>
            <w:vAlign w:val="center"/>
          </w:tcPr>
          <w:p w14:paraId="7A60AB23" w14:textId="77777777" w:rsidR="00BE7AD7" w:rsidRPr="00B83BF7" w:rsidRDefault="00BE7AD7" w:rsidP="004B083B">
            <w:pPr>
              <w:textAlignment w:val="baseline"/>
              <w:rPr>
                <w:rFonts w:ascii="Arial Narrow" w:hAnsi="Arial Narrow"/>
                <w:b/>
                <w:bCs/>
                <w:sz w:val="20"/>
                <w:szCs w:val="20"/>
              </w:rPr>
            </w:pPr>
            <w:r w:rsidRPr="00B83BF7">
              <w:rPr>
                <w:rFonts w:ascii="Arial Narrow" w:hAnsi="Arial Narrow"/>
                <w:b/>
                <w:bCs/>
                <w:sz w:val="20"/>
                <w:szCs w:val="20"/>
              </w:rPr>
              <w:t>Restriction Summary [new3] / Treatment of Concept: [new3A]</w:t>
            </w:r>
            <w:r w:rsidRPr="00B83BF7">
              <w:rPr>
                <w:rFonts w:ascii="Arial Narrow" w:hAnsi="Arial Narrow"/>
                <w:sz w:val="20"/>
                <w:szCs w:val="20"/>
              </w:rPr>
              <w:t> </w:t>
            </w:r>
          </w:p>
        </w:tc>
      </w:tr>
      <w:tr w:rsidR="00B83BF7" w:rsidRPr="00B83BF7" w14:paraId="0D333CFE"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hideMark/>
          </w:tcPr>
          <w:p w14:paraId="300CE7FA" w14:textId="22327A46"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hideMark/>
          </w:tcPr>
          <w:p w14:paraId="7A2C367C" w14:textId="50A2EC71" w:rsidR="00BE7AD7" w:rsidRPr="00B83BF7" w:rsidRDefault="00BE7AD7" w:rsidP="004B083B">
            <w:pPr>
              <w:textAlignment w:val="baseline"/>
              <w:rPr>
                <w:rFonts w:ascii="Arial Narrow" w:hAnsi="Arial Narrow"/>
                <w:sz w:val="20"/>
                <w:szCs w:val="20"/>
              </w:rPr>
            </w:pPr>
            <w:r w:rsidRPr="00B83BF7">
              <w:rPr>
                <w:rFonts w:ascii="Arial Narrow" w:hAnsi="Arial Narrow"/>
                <w:b/>
                <w:bCs/>
                <w:sz w:val="20"/>
                <w:szCs w:val="20"/>
              </w:rPr>
              <w:t>Indication:</w:t>
            </w:r>
            <w:r w:rsidRPr="00B83BF7">
              <w:rPr>
                <w:rFonts w:ascii="Arial Narrow" w:hAnsi="Arial Narrow"/>
                <w:sz w:val="20"/>
                <w:szCs w:val="20"/>
              </w:rPr>
              <w:t xml:space="preserve"> </w:t>
            </w:r>
            <w:r w:rsidR="004E1C82" w:rsidRPr="00B83BF7">
              <w:rPr>
                <w:rFonts w:ascii="Arial Narrow" w:hAnsi="Arial Narrow"/>
                <w:sz w:val="20"/>
                <w:szCs w:val="20"/>
              </w:rPr>
              <w:t>F</w:t>
            </w:r>
            <w:r w:rsidRPr="00B83BF7">
              <w:rPr>
                <w:rFonts w:ascii="Arial Narrow" w:hAnsi="Arial Narrow"/>
                <w:sz w:val="20"/>
                <w:szCs w:val="20"/>
              </w:rPr>
              <w:t xml:space="preserve">amilial </w:t>
            </w:r>
            <w:r w:rsidR="00231DB7" w:rsidRPr="00B83BF7">
              <w:rPr>
                <w:rFonts w:ascii="Arial Narrow" w:hAnsi="Arial Narrow"/>
                <w:sz w:val="20"/>
                <w:szCs w:val="20"/>
              </w:rPr>
              <w:t>M</w:t>
            </w:r>
            <w:r w:rsidRPr="00B83BF7">
              <w:rPr>
                <w:rFonts w:ascii="Arial Narrow" w:hAnsi="Arial Narrow"/>
                <w:sz w:val="20"/>
                <w:szCs w:val="20"/>
              </w:rPr>
              <w:t>editerranean fever (FMF)</w:t>
            </w:r>
          </w:p>
        </w:tc>
      </w:tr>
      <w:tr w:rsidR="00B83BF7" w:rsidRPr="00B83BF7" w14:paraId="70FE601A"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hideMark/>
          </w:tcPr>
          <w:p w14:paraId="01B79F30" w14:textId="77777777" w:rsidR="00BE7AD7" w:rsidRPr="00B83BF7" w:rsidRDefault="00BE7AD7" w:rsidP="004B083B">
            <w:pPr>
              <w:jc w:val="center"/>
              <w:textAlignment w:val="baseline"/>
              <w:rPr>
                <w:rFonts w:ascii="Arial Narrow" w:hAnsi="Arial Narrow"/>
                <w:sz w:val="20"/>
                <w:szCs w:val="20"/>
              </w:rPr>
            </w:pPr>
            <w:r w:rsidRPr="00B83BF7">
              <w:rPr>
                <w:rFonts w:ascii="Arial" w:hAnsi="Arial"/>
                <w:sz w:val="20"/>
                <w:szCs w:val="20"/>
              </w:rPr>
              <w:t> </w:t>
            </w:r>
            <w:r w:rsidRPr="00B83BF7">
              <w:rPr>
                <w:rFonts w:ascii="Arial Narrow" w:hAnsi="Arial Narrow"/>
                <w:sz w:val="20"/>
                <w:szCs w:val="20"/>
              </w:rPr>
              <w:t> </w:t>
            </w:r>
          </w:p>
        </w:tc>
        <w:tc>
          <w:tcPr>
            <w:tcW w:w="7492" w:type="dxa"/>
            <w:gridSpan w:val="6"/>
            <w:tcBorders>
              <w:top w:val="single" w:sz="6" w:space="0" w:color="auto"/>
              <w:left w:val="single" w:sz="6" w:space="0" w:color="auto"/>
              <w:bottom w:val="single" w:sz="6" w:space="0" w:color="auto"/>
              <w:right w:val="single" w:sz="6" w:space="0" w:color="auto"/>
            </w:tcBorders>
            <w:vAlign w:val="center"/>
            <w:hideMark/>
          </w:tcPr>
          <w:p w14:paraId="7C62AFC7" w14:textId="10E73DB4" w:rsidR="00BE7AD7" w:rsidRPr="00B83BF7" w:rsidRDefault="00BE7AD7" w:rsidP="004B083B">
            <w:pPr>
              <w:textAlignment w:val="baseline"/>
              <w:rPr>
                <w:rFonts w:ascii="Arial Narrow" w:hAnsi="Arial Narrow"/>
                <w:sz w:val="20"/>
                <w:szCs w:val="20"/>
              </w:rPr>
            </w:pPr>
            <w:r w:rsidRPr="00B83BF7">
              <w:rPr>
                <w:rFonts w:ascii="Arial Narrow" w:hAnsi="Arial Narrow"/>
                <w:b/>
                <w:bCs/>
                <w:sz w:val="20"/>
                <w:szCs w:val="20"/>
              </w:rPr>
              <w:t>Treatment Phase:</w:t>
            </w:r>
            <w:r w:rsidRPr="00B83BF7">
              <w:rPr>
                <w:rFonts w:ascii="Arial Narrow" w:hAnsi="Arial Narrow"/>
                <w:sz w:val="20"/>
                <w:szCs w:val="20"/>
              </w:rPr>
              <w:t xml:space="preserve"> Balance of supply </w:t>
            </w:r>
          </w:p>
        </w:tc>
      </w:tr>
      <w:tr w:rsidR="00B83BF7" w:rsidRPr="00B83BF7" w14:paraId="371ABCC9"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69B9AB1F" w14:textId="77777777"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12E6B0D6" w14:textId="77777777" w:rsidR="00BE7AD7" w:rsidRPr="00B83BF7" w:rsidRDefault="00BE7AD7" w:rsidP="004B083B">
            <w:pPr>
              <w:textAlignment w:val="baseline"/>
              <w:rPr>
                <w:rFonts w:ascii="Arial Narrow" w:hAnsi="Arial Narrow"/>
                <w:b/>
                <w:bCs/>
                <w:sz w:val="20"/>
                <w:szCs w:val="20"/>
              </w:rPr>
            </w:pPr>
            <w:r w:rsidRPr="00B83BF7">
              <w:rPr>
                <w:rFonts w:ascii="Arial Narrow" w:hAnsi="Arial Narrow"/>
                <w:b/>
                <w:bCs/>
                <w:sz w:val="20"/>
                <w:szCs w:val="20"/>
              </w:rPr>
              <w:t xml:space="preserve">Clinical criteria: </w:t>
            </w:r>
            <w:r w:rsidRPr="00B83BF7">
              <w:rPr>
                <w:rFonts w:ascii="Arial" w:hAnsi="Arial"/>
                <w:sz w:val="20"/>
                <w:szCs w:val="20"/>
              </w:rPr>
              <w:t> </w:t>
            </w:r>
            <w:r w:rsidRPr="00B83BF7">
              <w:rPr>
                <w:rFonts w:ascii="Arial Narrow" w:hAnsi="Arial Narrow"/>
                <w:sz w:val="20"/>
                <w:szCs w:val="20"/>
              </w:rPr>
              <w:t> </w:t>
            </w:r>
          </w:p>
        </w:tc>
      </w:tr>
      <w:tr w:rsidR="00B83BF7" w:rsidRPr="00B83BF7" w14:paraId="118A2A2D"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17C949F5" w14:textId="77777777"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2026F4CD" w14:textId="57A42AB4" w:rsidR="00BE7AD7" w:rsidRPr="00B83BF7" w:rsidRDefault="00BE7AD7" w:rsidP="004B083B">
            <w:pPr>
              <w:textAlignment w:val="baseline"/>
              <w:rPr>
                <w:rFonts w:ascii="Arial Narrow" w:hAnsi="Arial Narrow"/>
                <w:sz w:val="20"/>
                <w:szCs w:val="20"/>
              </w:rPr>
            </w:pPr>
            <w:r w:rsidRPr="00B83BF7">
              <w:rPr>
                <w:rFonts w:ascii="Arial Narrow" w:hAnsi="Arial Narrow"/>
                <w:sz w:val="20"/>
                <w:szCs w:val="20"/>
              </w:rPr>
              <w:t xml:space="preserve">Patient must have previously received </w:t>
            </w:r>
            <w:r w:rsidRPr="00B83BF7" w:rsidDel="00F5387E">
              <w:rPr>
                <w:rFonts w:ascii="Arial Narrow" w:hAnsi="Arial Narrow"/>
                <w:sz w:val="20"/>
                <w:szCs w:val="20"/>
              </w:rPr>
              <w:t xml:space="preserve">PBS-subsidised </w:t>
            </w:r>
            <w:r w:rsidRPr="00B83BF7">
              <w:rPr>
                <w:rFonts w:ascii="Arial Narrow" w:hAnsi="Arial Narrow"/>
                <w:sz w:val="20"/>
                <w:szCs w:val="20"/>
              </w:rPr>
              <w:t>treatment with this drug for this condition.</w:t>
            </w:r>
          </w:p>
        </w:tc>
      </w:tr>
      <w:tr w:rsidR="00B83BF7" w:rsidRPr="00B83BF7" w14:paraId="15F40A64"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7C80C1AF" w14:textId="77777777"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72933F65" w14:textId="77777777" w:rsidR="00BE7AD7" w:rsidRPr="00B83BF7" w:rsidRDefault="00BE7AD7" w:rsidP="004B083B">
            <w:pPr>
              <w:textAlignment w:val="baseline"/>
              <w:rPr>
                <w:rFonts w:ascii="Arial Narrow" w:hAnsi="Arial Narrow" w:cs="Segoe UI"/>
                <w:b/>
                <w:bCs/>
                <w:sz w:val="20"/>
                <w:szCs w:val="20"/>
              </w:rPr>
            </w:pPr>
            <w:r w:rsidRPr="00B83BF7">
              <w:rPr>
                <w:rFonts w:ascii="Arial Narrow" w:hAnsi="Arial Narrow" w:cs="Segoe UI"/>
                <w:b/>
                <w:bCs/>
                <w:sz w:val="20"/>
                <w:szCs w:val="20"/>
              </w:rPr>
              <w:t>AND</w:t>
            </w:r>
            <w:r w:rsidRPr="00B83BF7">
              <w:rPr>
                <w:rFonts w:ascii="Arial Narrow" w:hAnsi="Arial Narrow" w:cs="Segoe UI"/>
                <w:sz w:val="20"/>
                <w:szCs w:val="20"/>
              </w:rPr>
              <w:t> </w:t>
            </w:r>
          </w:p>
        </w:tc>
      </w:tr>
      <w:tr w:rsidR="00B83BF7" w:rsidRPr="00B83BF7" w14:paraId="34747721"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4E3F6C2E" w14:textId="77777777"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7225EFFB" w14:textId="77777777" w:rsidR="00BE7AD7" w:rsidRPr="00B83BF7" w:rsidRDefault="00BE7AD7" w:rsidP="004B083B">
            <w:pPr>
              <w:textAlignment w:val="baseline"/>
              <w:rPr>
                <w:rFonts w:ascii="Arial Narrow" w:hAnsi="Arial Narrow"/>
                <w:sz w:val="20"/>
                <w:szCs w:val="20"/>
              </w:rPr>
            </w:pPr>
            <w:r w:rsidRPr="00B83BF7">
              <w:rPr>
                <w:rFonts w:ascii="Arial Narrow" w:hAnsi="Arial Narrow" w:cs="Segoe UI"/>
                <w:b/>
                <w:bCs/>
                <w:sz w:val="20"/>
                <w:szCs w:val="20"/>
              </w:rPr>
              <w:t>Clinical criteria:</w:t>
            </w:r>
            <w:r w:rsidRPr="00B83BF7">
              <w:rPr>
                <w:rFonts w:ascii="Arial Narrow" w:hAnsi="Arial Narrow" w:cs="Segoe UI"/>
                <w:sz w:val="20"/>
                <w:szCs w:val="20"/>
              </w:rPr>
              <w:t> </w:t>
            </w:r>
          </w:p>
        </w:tc>
      </w:tr>
      <w:tr w:rsidR="00B83BF7" w:rsidRPr="00B83BF7" w14:paraId="30F461AD"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730B0C12" w14:textId="77777777"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09DAFBA3" w14:textId="77777777" w:rsidR="00BE7AD7" w:rsidRPr="00B83BF7" w:rsidRDefault="00BE7AD7" w:rsidP="004B083B">
            <w:pPr>
              <w:textAlignment w:val="baseline"/>
              <w:rPr>
                <w:rFonts w:ascii="Arial Narrow" w:hAnsi="Arial Narrow"/>
                <w:sz w:val="20"/>
                <w:szCs w:val="20"/>
                <w:highlight w:val="yellow"/>
              </w:rPr>
            </w:pPr>
            <w:r w:rsidRPr="00B83BF7">
              <w:rPr>
                <w:rFonts w:ascii="Arial Narrow" w:hAnsi="Arial Narrow" w:cs="Segoe UI"/>
                <w:sz w:val="20"/>
                <w:szCs w:val="20"/>
              </w:rPr>
              <w:t>Patient must have received insufficient therapy with this drug for this condition under Initial treatment to complete 24 weeks of treatment</w:t>
            </w:r>
          </w:p>
        </w:tc>
      </w:tr>
      <w:tr w:rsidR="00B83BF7" w:rsidRPr="00B83BF7" w14:paraId="3BA342B9"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2A53EBF0" w14:textId="77777777"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708F119A" w14:textId="77777777" w:rsidR="00BE7AD7" w:rsidRPr="00B83BF7" w:rsidRDefault="00BE7AD7" w:rsidP="004B083B">
            <w:pPr>
              <w:textAlignment w:val="baseline"/>
              <w:rPr>
                <w:rFonts w:ascii="Arial Narrow" w:hAnsi="Arial Narrow" w:cs="Segoe UI"/>
                <w:sz w:val="20"/>
                <w:szCs w:val="20"/>
              </w:rPr>
            </w:pPr>
            <w:r w:rsidRPr="00B83BF7">
              <w:rPr>
                <w:rFonts w:ascii="Arial Narrow" w:hAnsi="Arial Narrow"/>
                <w:b/>
                <w:bCs/>
                <w:sz w:val="20"/>
                <w:szCs w:val="20"/>
              </w:rPr>
              <w:t>AND</w:t>
            </w:r>
          </w:p>
        </w:tc>
      </w:tr>
      <w:tr w:rsidR="00B83BF7" w:rsidRPr="00B83BF7" w14:paraId="4AD7C59A"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01437DC4" w14:textId="77777777"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153C716B" w14:textId="77777777" w:rsidR="00BE7AD7" w:rsidRPr="00B83BF7" w:rsidRDefault="00BE7AD7" w:rsidP="004B083B">
            <w:pPr>
              <w:textAlignment w:val="baseline"/>
              <w:rPr>
                <w:rFonts w:ascii="Arial Narrow" w:hAnsi="Arial Narrow" w:cs="Segoe UI"/>
                <w:sz w:val="20"/>
                <w:szCs w:val="20"/>
              </w:rPr>
            </w:pPr>
            <w:r w:rsidRPr="00B83BF7">
              <w:rPr>
                <w:rFonts w:ascii="Arial Narrow" w:hAnsi="Arial Narrow"/>
                <w:b/>
                <w:bCs/>
                <w:sz w:val="20"/>
                <w:szCs w:val="20"/>
              </w:rPr>
              <w:t xml:space="preserve">Clinical criteria: </w:t>
            </w:r>
            <w:r w:rsidRPr="00B83BF7">
              <w:rPr>
                <w:rFonts w:ascii="Arial" w:hAnsi="Arial"/>
                <w:sz w:val="20"/>
                <w:szCs w:val="20"/>
              </w:rPr>
              <w:t> </w:t>
            </w:r>
            <w:r w:rsidRPr="00B83BF7">
              <w:rPr>
                <w:rFonts w:ascii="Arial Narrow" w:hAnsi="Arial Narrow"/>
                <w:sz w:val="20"/>
                <w:szCs w:val="20"/>
              </w:rPr>
              <w:t> </w:t>
            </w:r>
          </w:p>
        </w:tc>
      </w:tr>
      <w:tr w:rsidR="00B83BF7" w:rsidRPr="00B83BF7" w14:paraId="7C5C167A"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52C47EF9" w14:textId="77777777" w:rsidR="00BE7AD7" w:rsidRPr="00B83BF7" w:rsidRDefault="00BE7AD7" w:rsidP="004B083B">
            <w:pPr>
              <w:jc w:val="center"/>
              <w:textAlignment w:val="baseline"/>
              <w:rPr>
                <w:rFonts w:ascii="Arial Narrow" w:hAnsi="Arial Narrow"/>
                <w:sz w:val="20"/>
                <w:szCs w:val="20"/>
              </w:rPr>
            </w:pPr>
            <w:r w:rsidRPr="00B83BF7">
              <w:rPr>
                <w:rFonts w:ascii="Aptos Narrow" w:hAnsi="Aptos Narrow"/>
                <w:sz w:val="18"/>
                <w:szCs w:val="18"/>
              </w:rPr>
              <w:t> </w:t>
            </w: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5747E654" w14:textId="5602CAC0" w:rsidR="00BE7AD7" w:rsidRPr="00B83BF7" w:rsidRDefault="00BE7AD7" w:rsidP="004B083B">
            <w:pPr>
              <w:textAlignment w:val="baseline"/>
              <w:rPr>
                <w:rFonts w:ascii="Arial Narrow" w:hAnsi="Arial Narrow" w:cs="Segoe UI"/>
                <w:sz w:val="20"/>
                <w:szCs w:val="20"/>
              </w:rPr>
            </w:pPr>
            <w:r w:rsidRPr="00B83BF7">
              <w:rPr>
                <w:rFonts w:ascii="Arial Narrow" w:hAnsi="Arial Narrow"/>
                <w:sz w:val="20"/>
                <w:szCs w:val="20"/>
              </w:rPr>
              <w:t>The treatment must provide no more than the balance of up to 24 weeks of treatment under this restriction.</w:t>
            </w:r>
          </w:p>
        </w:tc>
      </w:tr>
      <w:tr w:rsidR="00B83BF7" w:rsidRPr="00B83BF7" w14:paraId="31AE2CBF"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73D75116" w14:textId="77777777"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264EA21E" w14:textId="77777777" w:rsidR="00BE7AD7" w:rsidRPr="00B83BF7" w:rsidRDefault="00BE7AD7" w:rsidP="004B083B">
            <w:pPr>
              <w:textAlignment w:val="baseline"/>
              <w:rPr>
                <w:rFonts w:ascii="Arial Narrow" w:hAnsi="Arial Narrow"/>
                <w:sz w:val="20"/>
                <w:szCs w:val="20"/>
              </w:rPr>
            </w:pPr>
            <w:r w:rsidRPr="00B83BF7">
              <w:rPr>
                <w:rFonts w:ascii="Arial Narrow" w:hAnsi="Arial Narrow"/>
                <w:b/>
                <w:bCs/>
                <w:sz w:val="20"/>
                <w:szCs w:val="20"/>
              </w:rPr>
              <w:t>AND</w:t>
            </w:r>
            <w:r w:rsidRPr="00B83BF7">
              <w:rPr>
                <w:rFonts w:ascii="Arial" w:hAnsi="Arial"/>
                <w:sz w:val="20"/>
                <w:szCs w:val="20"/>
              </w:rPr>
              <w:t> </w:t>
            </w:r>
            <w:r w:rsidRPr="00B83BF7">
              <w:rPr>
                <w:rFonts w:ascii="Arial Narrow" w:hAnsi="Arial Narrow"/>
                <w:sz w:val="20"/>
                <w:szCs w:val="20"/>
              </w:rPr>
              <w:t> </w:t>
            </w:r>
          </w:p>
        </w:tc>
      </w:tr>
      <w:tr w:rsidR="00B83BF7" w:rsidRPr="00B83BF7" w14:paraId="0C25D113"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01F758AF" w14:textId="77777777"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0911D505" w14:textId="77777777" w:rsidR="00BE7AD7" w:rsidRPr="00B83BF7" w:rsidRDefault="00BE7AD7" w:rsidP="004B083B">
            <w:pPr>
              <w:textAlignment w:val="baseline"/>
              <w:rPr>
                <w:rFonts w:ascii="Arial Narrow" w:hAnsi="Arial Narrow"/>
                <w:sz w:val="20"/>
                <w:szCs w:val="20"/>
              </w:rPr>
            </w:pPr>
            <w:r w:rsidRPr="00B83BF7">
              <w:rPr>
                <w:rFonts w:ascii="Arial Narrow" w:hAnsi="Arial Narrow"/>
                <w:b/>
                <w:bCs/>
                <w:sz w:val="20"/>
                <w:szCs w:val="20"/>
              </w:rPr>
              <w:t>Treatment criteria:</w:t>
            </w:r>
            <w:r w:rsidRPr="00B83BF7">
              <w:rPr>
                <w:rFonts w:ascii="Arial" w:hAnsi="Arial"/>
                <w:sz w:val="20"/>
                <w:szCs w:val="20"/>
              </w:rPr>
              <w:t> </w:t>
            </w:r>
            <w:r w:rsidRPr="00B83BF7">
              <w:rPr>
                <w:rFonts w:ascii="Arial Narrow" w:hAnsi="Arial Narrow"/>
                <w:sz w:val="20"/>
                <w:szCs w:val="20"/>
              </w:rPr>
              <w:t> </w:t>
            </w:r>
          </w:p>
        </w:tc>
      </w:tr>
      <w:tr w:rsidR="00B83BF7" w:rsidRPr="00B83BF7" w14:paraId="416CAF8E"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21D28F7A" w14:textId="77777777"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25D6EDC7" w14:textId="662B43F4" w:rsidR="00BE7AD7" w:rsidRPr="00B83BF7" w:rsidRDefault="0060391E" w:rsidP="004B083B">
            <w:pPr>
              <w:jc w:val="left"/>
              <w:textAlignment w:val="baseline"/>
              <w:rPr>
                <w:rFonts w:ascii="Arial Narrow" w:hAnsi="Arial Narrow"/>
                <w:sz w:val="20"/>
                <w:szCs w:val="20"/>
              </w:rPr>
            </w:pPr>
            <w:r w:rsidRPr="00B83BF7">
              <w:rPr>
                <w:rFonts w:ascii="Arial Narrow" w:hAnsi="Arial Narrow"/>
                <w:sz w:val="20"/>
                <w:szCs w:val="20"/>
              </w:rPr>
              <w:t>Must be treated by a medical practitioner with expertise in the management of FMF who is either a: (</w:t>
            </w:r>
            <w:proofErr w:type="spellStart"/>
            <w:r w:rsidRPr="00B83BF7">
              <w:rPr>
                <w:rFonts w:ascii="Arial Narrow" w:hAnsi="Arial Narrow"/>
                <w:sz w:val="20"/>
                <w:szCs w:val="20"/>
              </w:rPr>
              <w:t>i</w:t>
            </w:r>
            <w:proofErr w:type="spellEnd"/>
            <w:r w:rsidRPr="00B83BF7">
              <w:rPr>
                <w:rFonts w:ascii="Arial Narrow" w:hAnsi="Arial Narrow"/>
                <w:sz w:val="20"/>
                <w:szCs w:val="20"/>
              </w:rPr>
              <w:t xml:space="preserve">) rheumatologist (ii) clinical immunologist (iii) </w:t>
            </w:r>
            <w:r w:rsidR="009D30EC">
              <w:rPr>
                <w:rFonts w:ascii="Arial Narrow" w:hAnsi="Arial Narrow"/>
                <w:sz w:val="20"/>
                <w:szCs w:val="20"/>
              </w:rPr>
              <w:t xml:space="preserve">specialist </w:t>
            </w:r>
            <w:r w:rsidRPr="00B83BF7">
              <w:rPr>
                <w:rFonts w:ascii="Arial Narrow" w:hAnsi="Arial Narrow"/>
                <w:sz w:val="20"/>
                <w:szCs w:val="20"/>
              </w:rPr>
              <w:t>paediatrician</w:t>
            </w:r>
            <w:r w:rsidR="009D30EC">
              <w:rPr>
                <w:rFonts w:ascii="Arial Narrow" w:hAnsi="Arial Narrow"/>
                <w:sz w:val="20"/>
                <w:szCs w:val="20"/>
              </w:rPr>
              <w:t xml:space="preserve"> (iv) specialist </w:t>
            </w:r>
            <w:r w:rsidR="00DA7616">
              <w:rPr>
                <w:rFonts w:ascii="Arial Narrow" w:hAnsi="Arial Narrow"/>
                <w:sz w:val="20"/>
                <w:szCs w:val="20"/>
              </w:rPr>
              <w:t>physician</w:t>
            </w:r>
          </w:p>
        </w:tc>
      </w:tr>
      <w:tr w:rsidR="00B83BF7" w:rsidRPr="00B83BF7" w14:paraId="28A5B69A"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2029BD7B" w14:textId="77777777"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7C56CA8E" w14:textId="77777777" w:rsidR="00BE7AD7" w:rsidRPr="00B83BF7" w:rsidRDefault="00BE7AD7" w:rsidP="004B083B">
            <w:pPr>
              <w:textAlignment w:val="baseline"/>
              <w:rPr>
                <w:rFonts w:ascii="Arial Narrow" w:hAnsi="Arial Narrow"/>
                <w:b/>
                <w:bCs/>
                <w:sz w:val="20"/>
                <w:szCs w:val="20"/>
              </w:rPr>
            </w:pPr>
            <w:r w:rsidRPr="00B83BF7">
              <w:rPr>
                <w:rFonts w:ascii="Arial Narrow" w:hAnsi="Arial Narrow"/>
                <w:b/>
                <w:bCs/>
                <w:sz w:val="20"/>
                <w:szCs w:val="20"/>
              </w:rPr>
              <w:t>Treatment criteria:</w:t>
            </w:r>
          </w:p>
        </w:tc>
      </w:tr>
      <w:tr w:rsidR="00B83BF7" w:rsidRPr="00B83BF7" w14:paraId="0813C327"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785B0616" w14:textId="77777777"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57057985" w14:textId="234D84A6" w:rsidR="00BE7AD7" w:rsidRPr="00B83BF7" w:rsidRDefault="00BE7AD7" w:rsidP="004B083B">
            <w:pPr>
              <w:textAlignment w:val="baseline"/>
              <w:rPr>
                <w:rFonts w:ascii="Arial Narrow" w:hAnsi="Arial Narrow"/>
                <w:sz w:val="20"/>
                <w:szCs w:val="20"/>
              </w:rPr>
            </w:pPr>
            <w:r w:rsidRPr="00B83BF7">
              <w:rPr>
                <w:rFonts w:ascii="Arial Narrow" w:hAnsi="Arial Narrow"/>
                <w:sz w:val="20"/>
                <w:szCs w:val="20"/>
              </w:rPr>
              <w:t>The treatment must be in combination with colchicine unless contraindicated or not</w:t>
            </w:r>
            <w:r w:rsidRPr="00B83BF7" w:rsidDel="004B2AE6">
              <w:rPr>
                <w:rFonts w:ascii="Arial Narrow" w:hAnsi="Arial Narrow"/>
                <w:sz w:val="20"/>
                <w:szCs w:val="20"/>
              </w:rPr>
              <w:t xml:space="preserve"> </w:t>
            </w:r>
            <w:r w:rsidRPr="00B83BF7">
              <w:rPr>
                <w:rFonts w:ascii="Arial Narrow" w:hAnsi="Arial Narrow"/>
                <w:sz w:val="20"/>
                <w:szCs w:val="20"/>
              </w:rPr>
              <w:t>tolerated.</w:t>
            </w:r>
          </w:p>
        </w:tc>
      </w:tr>
      <w:tr w:rsidR="00B83BF7" w:rsidRPr="00B83BF7" w14:paraId="1DF6C572"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hideMark/>
          </w:tcPr>
          <w:p w14:paraId="79326EDB" w14:textId="70C453FD" w:rsidR="00BE7AD7" w:rsidRPr="00B83BF7" w:rsidRDefault="00BE7AD7"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hideMark/>
          </w:tcPr>
          <w:p w14:paraId="1ED3B089" w14:textId="28293285" w:rsidR="00BE7AD7" w:rsidRPr="00B83BF7" w:rsidRDefault="00BE7AD7" w:rsidP="004B083B">
            <w:pPr>
              <w:textAlignment w:val="baseline"/>
              <w:rPr>
                <w:rFonts w:ascii="Arial Narrow" w:hAnsi="Arial Narrow"/>
                <w:sz w:val="20"/>
                <w:szCs w:val="20"/>
              </w:rPr>
            </w:pPr>
            <w:r w:rsidRPr="00B83BF7">
              <w:rPr>
                <w:rFonts w:ascii="Arial Narrow" w:hAnsi="Arial Narrow"/>
                <w:b/>
                <w:bCs/>
                <w:sz w:val="20"/>
                <w:szCs w:val="20"/>
              </w:rPr>
              <w:t>Prescribing Instructions:</w:t>
            </w:r>
            <w:r w:rsidR="004B083B">
              <w:rPr>
                <w:rFonts w:ascii="Arial Narrow" w:hAnsi="Arial Narrow"/>
                <w:b/>
                <w:bCs/>
                <w:sz w:val="20"/>
                <w:szCs w:val="20"/>
              </w:rPr>
              <w:t xml:space="preserve"> </w:t>
            </w:r>
          </w:p>
          <w:p w14:paraId="3A283DAE" w14:textId="13444122" w:rsidR="00BE7AD7" w:rsidRPr="00B83BF7" w:rsidRDefault="00BE7AD7" w:rsidP="004B083B">
            <w:pPr>
              <w:textAlignment w:val="baseline"/>
              <w:rPr>
                <w:rFonts w:ascii="Arial Narrow" w:hAnsi="Arial Narrow"/>
                <w:sz w:val="20"/>
                <w:szCs w:val="20"/>
              </w:rPr>
            </w:pPr>
            <w:r w:rsidRPr="00B83BF7">
              <w:rPr>
                <w:rFonts w:ascii="Arial Narrow" w:hAnsi="Arial Narrow"/>
                <w:sz w:val="20"/>
                <w:szCs w:val="20"/>
              </w:rPr>
              <w:t>For initial treatment where a patient requires a maintenance dose above 150 mg</w:t>
            </w:r>
            <w:r w:rsidR="00DA7616">
              <w:rPr>
                <w:rFonts w:ascii="Arial Narrow" w:hAnsi="Arial Narrow"/>
                <w:sz w:val="20"/>
                <w:szCs w:val="20"/>
              </w:rPr>
              <w:t xml:space="preserve"> every 4 weeks</w:t>
            </w:r>
            <w:r w:rsidRPr="00B83BF7">
              <w:rPr>
                <w:rFonts w:ascii="Arial Narrow" w:hAnsi="Arial Narrow"/>
                <w:sz w:val="20"/>
                <w:szCs w:val="20"/>
              </w:rPr>
              <w:t>, authority approvals may be granted for sufficient vials with sufficient repeats for the balance of up to 24 weeks treatment.</w:t>
            </w:r>
          </w:p>
          <w:p w14:paraId="34D301BF" w14:textId="77777777" w:rsidR="00BE7AD7" w:rsidRPr="00B83BF7" w:rsidRDefault="00BE7AD7" w:rsidP="004B083B">
            <w:pPr>
              <w:textAlignment w:val="baseline"/>
              <w:rPr>
                <w:rFonts w:ascii="Arial Narrow" w:hAnsi="Arial Narrow"/>
                <w:sz w:val="20"/>
                <w:szCs w:val="20"/>
              </w:rPr>
            </w:pPr>
            <w:r w:rsidRPr="00B83BF7">
              <w:rPr>
                <w:rFonts w:ascii="Arial Narrow" w:hAnsi="Arial Narrow"/>
                <w:sz w:val="20"/>
                <w:szCs w:val="20"/>
              </w:rPr>
              <w:t>Where there is a current, approved PBS prescription with valid repeat prescriptions specified (i.e. where the maintenance dose has increased), mark the prescription that is intended for no further supply as 'Cancelled'.</w:t>
            </w:r>
          </w:p>
        </w:tc>
      </w:tr>
      <w:tr w:rsidR="00B83BF7" w:rsidRPr="00B83BF7" w14:paraId="1E8476E3"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5C2455A8" w14:textId="77777777" w:rsidR="00BE7AD7" w:rsidRPr="00B83BF7" w:rsidRDefault="00BE7AD7" w:rsidP="004B083B">
            <w:pPr>
              <w:jc w:val="center"/>
              <w:textAlignment w:val="baseline"/>
              <w:rPr>
                <w:rFonts w:ascii="Arial Narrow" w:hAnsi="Arial Narrow"/>
                <w:sz w:val="20"/>
                <w:szCs w:val="20"/>
              </w:rPr>
            </w:pPr>
            <w:r w:rsidRPr="00B83BF7">
              <w:rPr>
                <w:rFonts w:ascii="Arial Narrow" w:hAnsi="Arial Narrow"/>
                <w:sz w:val="20"/>
                <w:szCs w:val="20"/>
              </w:rPr>
              <w:t> </w:t>
            </w:r>
          </w:p>
          <w:p w14:paraId="1676301F" w14:textId="77777777" w:rsidR="00BE7AD7" w:rsidRPr="00B83BF7" w:rsidRDefault="00BE7AD7" w:rsidP="004B083B">
            <w:pPr>
              <w:jc w:val="center"/>
              <w:textAlignment w:val="baseline"/>
              <w:rPr>
                <w:rFonts w:ascii="Arial Narrow" w:hAnsi="Arial Narrow"/>
                <w:sz w:val="20"/>
                <w:szCs w:val="20"/>
              </w:rPr>
            </w:pPr>
            <w:r w:rsidRPr="00B83BF7">
              <w:rPr>
                <w:rFonts w:ascii="Arial Narrow" w:hAnsi="Arial Narrow"/>
                <w:sz w:val="20"/>
                <w:szCs w:val="20"/>
              </w:rPr>
              <w:t> </w:t>
            </w: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4F20D4A7" w14:textId="0F16D1F2" w:rsidR="00BE7AD7" w:rsidRPr="00B83BF7" w:rsidRDefault="00BE7AD7" w:rsidP="004B083B">
            <w:pPr>
              <w:textAlignment w:val="baseline"/>
              <w:rPr>
                <w:rFonts w:ascii="Arial Narrow" w:hAnsi="Arial Narrow"/>
                <w:sz w:val="20"/>
                <w:szCs w:val="20"/>
              </w:rPr>
            </w:pPr>
            <w:r w:rsidRPr="00B83BF7">
              <w:rPr>
                <w:rFonts w:ascii="Arial Narrow" w:hAnsi="Arial Narrow"/>
                <w:b/>
                <w:bCs/>
                <w:sz w:val="20"/>
                <w:szCs w:val="20"/>
              </w:rPr>
              <w:t>Administrative Advice:</w:t>
            </w:r>
            <w:r w:rsidR="004B083B">
              <w:rPr>
                <w:rFonts w:ascii="Arial Narrow" w:hAnsi="Arial Narrow"/>
                <w:b/>
                <w:bCs/>
                <w:sz w:val="20"/>
                <w:szCs w:val="20"/>
              </w:rPr>
              <w:t xml:space="preserve"> </w:t>
            </w:r>
          </w:p>
          <w:p w14:paraId="398AD7C5" w14:textId="352BDECD" w:rsidR="00BE7AD7" w:rsidRPr="00B83BF7" w:rsidRDefault="00BE7AD7" w:rsidP="004B083B">
            <w:pPr>
              <w:textAlignment w:val="baseline"/>
              <w:rPr>
                <w:rFonts w:ascii="Arial Narrow" w:hAnsi="Arial Narrow"/>
                <w:bCs/>
                <w:sz w:val="20"/>
                <w:szCs w:val="20"/>
              </w:rPr>
            </w:pPr>
            <w:r w:rsidRPr="00B83BF7">
              <w:rPr>
                <w:rFonts w:ascii="Arial Narrow" w:hAnsi="Arial Narrow"/>
                <w:bCs/>
                <w:sz w:val="20"/>
                <w:szCs w:val="20"/>
              </w:rPr>
              <w:t xml:space="preserve">Applications for authorisation under this restriction may be made in real time using the Online PBS Authorities system (see </w:t>
            </w:r>
            <w:hyperlink r:id="rId13" w:history="1">
              <w:r w:rsidRPr="00B83BF7">
                <w:rPr>
                  <w:rFonts w:ascii="Arial Narrow" w:hAnsi="Arial Narrow"/>
                  <w:bCs/>
                  <w:sz w:val="20"/>
                  <w:szCs w:val="20"/>
                  <w:u w:val="single"/>
                </w:rPr>
                <w:t>www.servicesaustralia.gov.au/HPOS</w:t>
              </w:r>
            </w:hyperlink>
            <w:r w:rsidRPr="00B83BF7">
              <w:rPr>
                <w:rFonts w:ascii="Arial Narrow" w:hAnsi="Arial Narrow"/>
                <w:bCs/>
                <w:sz w:val="20"/>
                <w:szCs w:val="20"/>
              </w:rPr>
              <w:t>) or by telephone by contacting Services Australia on 1800 700 270 (hours of operation 8 a.m. to 5 p.m. Monday to Friday). </w:t>
            </w:r>
          </w:p>
        </w:tc>
      </w:tr>
      <w:tr w:rsidR="006C5D02" w:rsidRPr="00BE7AD7" w14:paraId="32128549" w14:textId="77777777" w:rsidTr="00AF5A6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1575" w:type="dxa"/>
            <w:tcBorders>
              <w:top w:val="single" w:sz="6" w:space="0" w:color="auto"/>
              <w:left w:val="single" w:sz="6" w:space="0" w:color="auto"/>
              <w:bottom w:val="single" w:sz="6" w:space="0" w:color="auto"/>
              <w:right w:val="single" w:sz="6" w:space="0" w:color="auto"/>
            </w:tcBorders>
            <w:vAlign w:val="center"/>
          </w:tcPr>
          <w:p w14:paraId="0E3C2E57" w14:textId="77777777" w:rsidR="006C5D02" w:rsidRPr="00BE7AD7" w:rsidRDefault="006C5D02" w:rsidP="004B083B">
            <w:pPr>
              <w:jc w:val="center"/>
              <w:textAlignment w:val="baseline"/>
              <w:rPr>
                <w:rFonts w:ascii="Arial Narrow" w:hAnsi="Arial Narrow"/>
                <w:sz w:val="20"/>
                <w:szCs w:val="20"/>
              </w:rPr>
            </w:pPr>
          </w:p>
        </w:tc>
        <w:tc>
          <w:tcPr>
            <w:tcW w:w="7492" w:type="dxa"/>
            <w:gridSpan w:val="6"/>
            <w:tcBorders>
              <w:top w:val="single" w:sz="6" w:space="0" w:color="auto"/>
              <w:left w:val="single" w:sz="6" w:space="0" w:color="auto"/>
              <w:bottom w:val="single" w:sz="6" w:space="0" w:color="auto"/>
              <w:right w:val="single" w:sz="6" w:space="0" w:color="auto"/>
            </w:tcBorders>
            <w:vAlign w:val="center"/>
          </w:tcPr>
          <w:p w14:paraId="07197B0E" w14:textId="626D2EFD" w:rsidR="006C5D02" w:rsidRPr="006C5D02" w:rsidRDefault="006C5D02" w:rsidP="004B083B">
            <w:pPr>
              <w:textAlignment w:val="baseline"/>
              <w:rPr>
                <w:rFonts w:ascii="Arial Narrow" w:hAnsi="Arial Narrow"/>
                <w:b/>
                <w:bCs/>
                <w:sz w:val="20"/>
                <w:szCs w:val="20"/>
              </w:rPr>
            </w:pPr>
            <w:r w:rsidRPr="006C5D02">
              <w:rPr>
                <w:rFonts w:ascii="Arial Narrow" w:hAnsi="Arial Narrow"/>
                <w:b/>
                <w:bCs/>
                <w:sz w:val="20"/>
                <w:szCs w:val="20"/>
              </w:rPr>
              <w:t>Prescribing Instructions:</w:t>
            </w:r>
            <w:r w:rsidR="004B083B">
              <w:rPr>
                <w:rFonts w:ascii="Arial Narrow" w:hAnsi="Arial Narrow"/>
                <w:b/>
                <w:bCs/>
                <w:sz w:val="20"/>
                <w:szCs w:val="20"/>
              </w:rPr>
              <w:t xml:space="preserve"> </w:t>
            </w:r>
          </w:p>
          <w:p w14:paraId="35CA6F09" w14:textId="05C23D1B" w:rsidR="006C5D02" w:rsidRPr="006C5D02" w:rsidRDefault="006C5D02" w:rsidP="004B083B">
            <w:pPr>
              <w:textAlignment w:val="baseline"/>
              <w:rPr>
                <w:rFonts w:ascii="Arial Narrow" w:hAnsi="Arial Narrow"/>
                <w:sz w:val="20"/>
                <w:szCs w:val="20"/>
              </w:rPr>
            </w:pPr>
            <w:r w:rsidRPr="006C5D02">
              <w:rPr>
                <w:rFonts w:ascii="Arial Narrow" w:hAnsi="Arial Narrow"/>
                <w:sz w:val="20"/>
                <w:szCs w:val="20"/>
              </w:rPr>
              <w:t xml:space="preserve">Up to a maximum of </w:t>
            </w:r>
            <w:r w:rsidR="008901DF">
              <w:rPr>
                <w:rFonts w:ascii="Arial Narrow" w:hAnsi="Arial Narrow"/>
                <w:sz w:val="20"/>
                <w:szCs w:val="20"/>
              </w:rPr>
              <w:t>4</w:t>
            </w:r>
            <w:r w:rsidRPr="006C5D02">
              <w:rPr>
                <w:rFonts w:ascii="Arial Narrow" w:hAnsi="Arial Narrow"/>
                <w:sz w:val="20"/>
                <w:szCs w:val="20"/>
              </w:rPr>
              <w:t xml:space="preserve"> repeats will be authorised under this restriction</w:t>
            </w:r>
          </w:p>
        </w:tc>
      </w:tr>
    </w:tbl>
    <w:p w14:paraId="5AD19F88" w14:textId="77777777" w:rsidR="00BE7AD7" w:rsidRPr="00BE7AD7" w:rsidRDefault="00BE7AD7" w:rsidP="004B083B">
      <w:pPr>
        <w:textAlignment w:val="baseline"/>
        <w:rPr>
          <w:rFonts w:cs="Calibri"/>
        </w:rPr>
      </w:pPr>
    </w:p>
    <w:p w14:paraId="36E1FFAB" w14:textId="77777777" w:rsidR="00BE7AD7" w:rsidRPr="00BE7AD7" w:rsidRDefault="00BE7AD7" w:rsidP="004B083B">
      <w:pPr>
        <w:rPr>
          <w:rFonts w:cs="Calibri"/>
          <w:color w:val="000000"/>
        </w:rPr>
      </w:pPr>
      <w:r w:rsidRPr="00BE7AD7">
        <w:rPr>
          <w:rFonts w:cs="Calibri"/>
          <w:color w:val="000000"/>
        </w:rPr>
        <w:t xml:space="preserve">The proposed restriction contains a diagnostic tool; however, it does not serve to incorporate a document by reference. </w:t>
      </w:r>
    </w:p>
    <w:p w14:paraId="171A261B" w14:textId="77777777" w:rsidR="00BE7AD7" w:rsidRPr="00BE7AD7" w:rsidRDefault="00BE7AD7" w:rsidP="004B083B">
      <w:pPr>
        <w:rPr>
          <w:rFonts w:ascii="Aptos" w:hAnsi="Aptos" w:cs="Calibri"/>
          <w:i/>
          <w:iCs/>
          <w:color w:val="000000"/>
        </w:rPr>
      </w:pP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Diagnostic tool"/>
      </w:tblPr>
      <w:tblGrid>
        <w:gridCol w:w="2139"/>
        <w:gridCol w:w="3515"/>
        <w:gridCol w:w="3363"/>
      </w:tblGrid>
      <w:tr w:rsidR="00BE7AD7" w:rsidRPr="00BE7AD7" w14:paraId="50B3908D" w14:textId="77777777">
        <w:tc>
          <w:tcPr>
            <w:tcW w:w="1984" w:type="dxa"/>
            <w:shd w:val="clear" w:color="auto" w:fill="FFFFFF"/>
            <w:tcMar>
              <w:top w:w="57" w:type="dxa"/>
              <w:left w:w="57" w:type="dxa"/>
              <w:bottom w:w="57" w:type="dxa"/>
              <w:right w:w="57" w:type="dxa"/>
            </w:tcMar>
            <w:hideMark/>
          </w:tcPr>
          <w:p w14:paraId="61348B42" w14:textId="77777777" w:rsidR="00BE7AD7" w:rsidRPr="00BE7AD7" w:rsidRDefault="00BE7AD7" w:rsidP="004B083B">
            <w:pPr>
              <w:spacing w:before="60" w:after="60"/>
              <w:rPr>
                <w:rFonts w:ascii="Arial Narrow" w:hAnsi="Arial Narrow" w:cs="Calibri"/>
                <w:color w:val="000000"/>
                <w:sz w:val="20"/>
                <w:szCs w:val="20"/>
              </w:rPr>
            </w:pPr>
            <w:r w:rsidRPr="00BE7AD7">
              <w:rPr>
                <w:rFonts w:ascii="Arial Narrow" w:hAnsi="Arial Narrow" w:cs="Calibri"/>
                <w:b/>
                <w:bCs/>
                <w:color w:val="000000"/>
                <w:sz w:val="20"/>
                <w:szCs w:val="20"/>
              </w:rPr>
              <w:t>Diagnostic tool</w:t>
            </w:r>
          </w:p>
        </w:tc>
        <w:tc>
          <w:tcPr>
            <w:tcW w:w="3260" w:type="dxa"/>
            <w:shd w:val="clear" w:color="auto" w:fill="FFFFFF"/>
            <w:tcMar>
              <w:top w:w="57" w:type="dxa"/>
              <w:left w:w="57" w:type="dxa"/>
              <w:bottom w:w="57" w:type="dxa"/>
              <w:right w:w="57" w:type="dxa"/>
            </w:tcMar>
            <w:hideMark/>
          </w:tcPr>
          <w:p w14:paraId="37CF5EAF" w14:textId="77777777" w:rsidR="00BE7AD7" w:rsidRPr="00BE7AD7" w:rsidRDefault="00BE7AD7" w:rsidP="004B083B">
            <w:pPr>
              <w:spacing w:before="60" w:after="60"/>
              <w:rPr>
                <w:rFonts w:ascii="Arial Narrow" w:hAnsi="Arial Narrow" w:cs="Calibri"/>
                <w:color w:val="000000"/>
                <w:sz w:val="20"/>
                <w:szCs w:val="20"/>
              </w:rPr>
            </w:pPr>
            <w:r w:rsidRPr="00BE7AD7">
              <w:rPr>
                <w:rFonts w:ascii="Arial Narrow" w:hAnsi="Arial Narrow" w:cs="Calibri"/>
                <w:b/>
                <w:bCs/>
                <w:color w:val="000000"/>
                <w:sz w:val="20"/>
                <w:szCs w:val="20"/>
              </w:rPr>
              <w:t>Purpose and use in the Instrument</w:t>
            </w:r>
          </w:p>
        </w:tc>
        <w:tc>
          <w:tcPr>
            <w:tcW w:w="3119" w:type="dxa"/>
            <w:shd w:val="clear" w:color="auto" w:fill="FFFFFF"/>
            <w:tcMar>
              <w:top w:w="57" w:type="dxa"/>
              <w:left w:w="57" w:type="dxa"/>
              <w:bottom w:w="57" w:type="dxa"/>
              <w:right w:w="57" w:type="dxa"/>
            </w:tcMar>
            <w:hideMark/>
          </w:tcPr>
          <w:p w14:paraId="29703525" w14:textId="77777777" w:rsidR="00BE7AD7" w:rsidRPr="00BE7AD7" w:rsidRDefault="00BE7AD7" w:rsidP="004B083B">
            <w:pPr>
              <w:spacing w:before="60" w:after="60"/>
              <w:rPr>
                <w:rFonts w:ascii="Arial Narrow" w:hAnsi="Arial Narrow" w:cs="Calibri"/>
                <w:color w:val="000000"/>
                <w:sz w:val="20"/>
                <w:szCs w:val="20"/>
              </w:rPr>
            </w:pPr>
            <w:r w:rsidRPr="00BE7AD7">
              <w:rPr>
                <w:rFonts w:ascii="Arial Narrow" w:hAnsi="Arial Narrow" w:cs="Calibri"/>
                <w:b/>
                <w:bCs/>
                <w:color w:val="000000"/>
                <w:sz w:val="20"/>
                <w:szCs w:val="20"/>
              </w:rPr>
              <w:t>Reason this reference does not serve to incorporate a document</w:t>
            </w:r>
          </w:p>
        </w:tc>
      </w:tr>
      <w:tr w:rsidR="00BE7AD7" w:rsidRPr="00BE7AD7" w14:paraId="75B20E78" w14:textId="77777777">
        <w:tc>
          <w:tcPr>
            <w:tcW w:w="1984" w:type="dxa"/>
            <w:shd w:val="clear" w:color="auto" w:fill="FFFFFF"/>
            <w:tcMar>
              <w:top w:w="57" w:type="dxa"/>
              <w:left w:w="57" w:type="dxa"/>
              <w:bottom w:w="57" w:type="dxa"/>
              <w:right w:w="57" w:type="dxa"/>
            </w:tcMar>
            <w:hideMark/>
          </w:tcPr>
          <w:p w14:paraId="13BD4F56" w14:textId="77777777" w:rsidR="00BE7AD7" w:rsidRPr="00BE7AD7" w:rsidRDefault="00BE7AD7" w:rsidP="004B083B">
            <w:pPr>
              <w:spacing w:before="60" w:after="60"/>
              <w:jc w:val="left"/>
              <w:rPr>
                <w:rFonts w:ascii="Arial Narrow" w:hAnsi="Arial Narrow" w:cs="Calibri"/>
                <w:color w:val="000000"/>
                <w:sz w:val="20"/>
                <w:szCs w:val="20"/>
              </w:rPr>
            </w:pPr>
            <w:r w:rsidRPr="00BE7AD7">
              <w:rPr>
                <w:rFonts w:ascii="Arial Narrow" w:hAnsi="Arial Narrow" w:cs="Calibri"/>
                <w:sz w:val="20"/>
                <w:szCs w:val="20"/>
              </w:rPr>
              <w:t>Tel-</w:t>
            </w:r>
            <w:proofErr w:type="spellStart"/>
            <w:r w:rsidRPr="00BE7AD7">
              <w:rPr>
                <w:rFonts w:ascii="Arial Narrow" w:hAnsi="Arial Narrow" w:cs="Calibri"/>
                <w:sz w:val="20"/>
                <w:szCs w:val="20"/>
              </w:rPr>
              <w:t>Hashomer</w:t>
            </w:r>
            <w:proofErr w:type="spellEnd"/>
            <w:r w:rsidRPr="00BE7AD7">
              <w:rPr>
                <w:rFonts w:ascii="Arial Narrow" w:hAnsi="Arial Narrow" w:cs="Calibri"/>
                <w:sz w:val="20"/>
                <w:szCs w:val="20"/>
              </w:rPr>
              <w:t xml:space="preserve"> diagnostic criteria</w:t>
            </w:r>
          </w:p>
        </w:tc>
        <w:tc>
          <w:tcPr>
            <w:tcW w:w="3260" w:type="dxa"/>
            <w:shd w:val="clear" w:color="auto" w:fill="FFFFFF"/>
            <w:tcMar>
              <w:top w:w="57" w:type="dxa"/>
              <w:left w:w="57" w:type="dxa"/>
              <w:bottom w:w="57" w:type="dxa"/>
              <w:right w:w="57" w:type="dxa"/>
            </w:tcMar>
            <w:hideMark/>
          </w:tcPr>
          <w:p w14:paraId="60994F1C" w14:textId="77777777" w:rsidR="00BE7AD7" w:rsidRPr="00BE7AD7" w:rsidRDefault="00BE7AD7" w:rsidP="004B083B">
            <w:pPr>
              <w:spacing w:before="60" w:after="60"/>
              <w:rPr>
                <w:rFonts w:ascii="Arial Narrow" w:hAnsi="Arial Narrow" w:cs="Calibri"/>
                <w:color w:val="000000"/>
                <w:sz w:val="20"/>
                <w:szCs w:val="20"/>
              </w:rPr>
            </w:pPr>
            <w:r w:rsidRPr="00BE7AD7">
              <w:rPr>
                <w:rFonts w:ascii="Arial Narrow" w:hAnsi="Arial Narrow" w:cs="Calibri"/>
                <w:color w:val="000000"/>
                <w:sz w:val="20"/>
                <w:szCs w:val="20"/>
              </w:rPr>
              <w:t>A widely used clinical guideline for diagnosing FMF requiring specific combinations of major and minor symptoms like fever, abdominal pain, joint pain, and skin rashes (erysipelas-like erythema), alongside a good response to colchicine or FMF in a relative, to establish a diagnosis, often supported by genetic testing for </w:t>
            </w:r>
            <w:r w:rsidRPr="00BE7AD7">
              <w:rPr>
                <w:rFonts w:ascii="Arial Narrow" w:hAnsi="Arial Narrow" w:cs="Calibri"/>
                <w:i/>
                <w:iCs/>
                <w:color w:val="000000"/>
                <w:sz w:val="20"/>
                <w:szCs w:val="20"/>
              </w:rPr>
              <w:t>MEFV</w:t>
            </w:r>
            <w:r w:rsidRPr="00BE7AD7">
              <w:rPr>
                <w:rFonts w:ascii="Arial Narrow" w:hAnsi="Arial Narrow" w:cs="Calibri"/>
                <w:color w:val="000000"/>
                <w:sz w:val="20"/>
                <w:szCs w:val="20"/>
              </w:rPr>
              <w:t> gene mutations. A diagnosis generally needs two major criteria, or one major plus two minor criteria, or sometimes one major plus one minor for a probable diagnosis, helping doctors identify FMF even when genetic tests are inconclusive</w:t>
            </w:r>
          </w:p>
        </w:tc>
        <w:tc>
          <w:tcPr>
            <w:tcW w:w="3119" w:type="dxa"/>
            <w:shd w:val="clear" w:color="auto" w:fill="FFFFFF"/>
            <w:tcMar>
              <w:top w:w="57" w:type="dxa"/>
              <w:left w:w="57" w:type="dxa"/>
              <w:bottom w:w="57" w:type="dxa"/>
              <w:right w:w="57" w:type="dxa"/>
            </w:tcMar>
          </w:tcPr>
          <w:p w14:paraId="747CE034" w14:textId="77777777" w:rsidR="00BE7AD7" w:rsidRPr="00BE7AD7" w:rsidRDefault="00BE7AD7" w:rsidP="004B083B">
            <w:pPr>
              <w:spacing w:before="60" w:after="60"/>
              <w:ind w:right="-26"/>
              <w:rPr>
                <w:rFonts w:ascii="Arial Narrow" w:hAnsi="Arial Narrow" w:cs="Calibri"/>
                <w:color w:val="000000"/>
                <w:sz w:val="20"/>
                <w:szCs w:val="20"/>
              </w:rPr>
            </w:pPr>
            <w:r w:rsidRPr="00BE7AD7">
              <w:rPr>
                <w:rFonts w:ascii="Arial Narrow" w:hAnsi="Arial Narrow" w:cs="Calibri"/>
                <w:color w:val="000000"/>
                <w:sz w:val="20"/>
                <w:szCs w:val="20"/>
              </w:rPr>
              <w:t>The Tel-</w:t>
            </w:r>
            <w:proofErr w:type="spellStart"/>
            <w:r w:rsidRPr="00BE7AD7">
              <w:rPr>
                <w:rFonts w:ascii="Arial Narrow" w:hAnsi="Arial Narrow" w:cs="Calibri"/>
                <w:color w:val="000000"/>
                <w:sz w:val="20"/>
                <w:szCs w:val="20"/>
              </w:rPr>
              <w:t>Hashomer</w:t>
            </w:r>
            <w:proofErr w:type="spellEnd"/>
            <w:r w:rsidRPr="00BE7AD7">
              <w:rPr>
                <w:rFonts w:ascii="Arial Narrow" w:hAnsi="Arial Narrow" w:cs="Calibri"/>
                <w:color w:val="000000"/>
                <w:sz w:val="20"/>
                <w:szCs w:val="20"/>
              </w:rPr>
              <w:t xml:space="preserve"> criteria is a clinical guideline helping clinicians differentiate FMF from other periodic fever syndromes. The criteria therefore </w:t>
            </w:r>
            <w:proofErr w:type="gramStart"/>
            <w:r w:rsidRPr="00BE7AD7">
              <w:rPr>
                <w:rFonts w:ascii="Arial Narrow" w:hAnsi="Arial Narrow" w:cs="Calibri"/>
                <w:color w:val="000000"/>
                <w:sz w:val="20"/>
                <w:szCs w:val="20"/>
              </w:rPr>
              <w:t>does</w:t>
            </w:r>
            <w:proofErr w:type="gramEnd"/>
            <w:r w:rsidRPr="00BE7AD7">
              <w:rPr>
                <w:rFonts w:ascii="Arial Narrow" w:hAnsi="Arial Narrow" w:cs="Calibri"/>
                <w:color w:val="000000"/>
                <w:sz w:val="20"/>
                <w:szCs w:val="20"/>
              </w:rPr>
              <w:t xml:space="preserve"> not constitute a written record of information that must be referred to </w:t>
            </w:r>
            <w:proofErr w:type="gramStart"/>
            <w:r w:rsidRPr="00BE7AD7">
              <w:rPr>
                <w:rFonts w:ascii="Arial Narrow" w:hAnsi="Arial Narrow" w:cs="Calibri"/>
                <w:color w:val="000000"/>
                <w:sz w:val="20"/>
                <w:szCs w:val="20"/>
              </w:rPr>
              <w:t>in order to</w:t>
            </w:r>
            <w:proofErr w:type="gramEnd"/>
            <w:r w:rsidRPr="00BE7AD7">
              <w:rPr>
                <w:rFonts w:ascii="Arial Narrow" w:hAnsi="Arial Narrow" w:cs="Calibri"/>
                <w:color w:val="000000"/>
                <w:sz w:val="20"/>
                <w:szCs w:val="20"/>
              </w:rPr>
              <w:t xml:space="preserve"> determine whether statutory conditions have been met.</w:t>
            </w:r>
          </w:p>
        </w:tc>
      </w:tr>
    </w:tbl>
    <w:bookmarkEnd w:id="77"/>
    <w:p w14:paraId="040086D8" w14:textId="0DB57D82" w:rsidR="009614F8" w:rsidRDefault="009F30A6" w:rsidP="004B083B">
      <w:pPr>
        <w:spacing w:before="120" w:after="120"/>
        <w:rPr>
          <w:rFonts w:asciiTheme="minorHAnsi" w:hAnsiTheme="minorHAnsi"/>
          <w:b/>
          <w:i/>
          <w:iCs/>
          <w:snapToGrid w:val="0"/>
          <w:lang w:val="en-GB" w:eastAsia="en-US"/>
        </w:rPr>
      </w:pPr>
      <w:r w:rsidRPr="00C065B0">
        <w:rPr>
          <w:rFonts w:asciiTheme="minorHAnsi" w:hAnsiTheme="minorHAnsi"/>
          <w:b/>
          <w:i/>
          <w:iCs/>
          <w:snapToGrid w:val="0"/>
          <w:lang w:val="en-GB" w:eastAsia="en-US"/>
        </w:rPr>
        <w:t>These restrictions may be subject to further review. Should there be any changes made to the restriction the sponsor will be informed.</w:t>
      </w:r>
    </w:p>
    <w:p w14:paraId="24EF4F52" w14:textId="7BE1BE5C" w:rsidR="00F147DD" w:rsidRPr="00F147DD" w:rsidRDefault="00F147DD" w:rsidP="00F147DD">
      <w:pPr>
        <w:keepNext/>
        <w:spacing w:before="240" w:after="120"/>
        <w:ind w:left="720" w:hanging="720"/>
        <w:jc w:val="left"/>
        <w:outlineLvl w:val="0"/>
        <w:rPr>
          <w:rFonts w:asciiTheme="minorHAnsi" w:hAnsiTheme="minorHAnsi"/>
          <w:b/>
          <w:snapToGrid w:val="0"/>
          <w:sz w:val="32"/>
          <w:szCs w:val="32"/>
          <w:lang w:val="en-GB" w:eastAsia="en-US"/>
        </w:rPr>
      </w:pPr>
      <w:r>
        <w:rPr>
          <w:rFonts w:asciiTheme="minorHAnsi" w:hAnsiTheme="minorHAnsi"/>
          <w:b/>
          <w:snapToGrid w:val="0"/>
          <w:sz w:val="32"/>
          <w:szCs w:val="32"/>
          <w:lang w:eastAsia="en-US"/>
        </w:rPr>
        <w:t>9</w:t>
      </w:r>
      <w:r w:rsidRPr="00F147DD">
        <w:rPr>
          <w:rFonts w:asciiTheme="minorHAnsi" w:hAnsiTheme="minorHAnsi"/>
          <w:b/>
          <w:snapToGrid w:val="0"/>
          <w:sz w:val="32"/>
          <w:szCs w:val="32"/>
          <w:lang w:eastAsia="en-US"/>
        </w:rPr>
        <w:tab/>
        <w:t>Context for Decision</w:t>
      </w:r>
    </w:p>
    <w:p w14:paraId="0BC2C3D3" w14:textId="77777777" w:rsidR="00F147DD" w:rsidRPr="00F147DD" w:rsidRDefault="00F147DD" w:rsidP="00F147DD">
      <w:pPr>
        <w:spacing w:after="120"/>
        <w:ind w:left="720"/>
        <w:rPr>
          <w:rFonts w:cs="Calibri"/>
          <w:bCs/>
          <w:szCs w:val="22"/>
          <w:lang w:val="en-GB"/>
        </w:rPr>
      </w:pPr>
      <w:r w:rsidRPr="00F147DD">
        <w:rPr>
          <w:rFonts w:cs="Calibri"/>
          <w:bCs/>
          <w:szCs w:val="22"/>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9DF309F" w14:textId="7FD4822D" w:rsidR="00F147DD" w:rsidRPr="00F147DD" w:rsidRDefault="00F147DD" w:rsidP="00F147DD">
      <w:pPr>
        <w:keepNext/>
        <w:spacing w:before="240" w:after="120"/>
        <w:ind w:left="720" w:hanging="720"/>
        <w:jc w:val="left"/>
        <w:outlineLvl w:val="0"/>
        <w:rPr>
          <w:rFonts w:asciiTheme="minorHAnsi" w:hAnsiTheme="minorHAnsi"/>
          <w:b/>
          <w:snapToGrid w:val="0"/>
          <w:sz w:val="32"/>
          <w:szCs w:val="32"/>
          <w:lang w:eastAsia="en-US"/>
        </w:rPr>
      </w:pPr>
      <w:r>
        <w:rPr>
          <w:rFonts w:asciiTheme="minorHAnsi" w:hAnsiTheme="minorHAnsi"/>
          <w:b/>
          <w:snapToGrid w:val="0"/>
          <w:sz w:val="32"/>
          <w:szCs w:val="32"/>
          <w:lang w:eastAsia="en-US"/>
        </w:rPr>
        <w:lastRenderedPageBreak/>
        <w:t>10</w:t>
      </w:r>
      <w:r w:rsidRPr="00F147DD">
        <w:rPr>
          <w:rFonts w:asciiTheme="minorHAnsi" w:hAnsiTheme="minorHAnsi"/>
          <w:b/>
          <w:snapToGrid w:val="0"/>
          <w:sz w:val="32"/>
          <w:szCs w:val="32"/>
          <w:lang w:eastAsia="en-US"/>
        </w:rPr>
        <w:tab/>
        <w:t>Sponsor’s Comment</w:t>
      </w:r>
    </w:p>
    <w:p w14:paraId="7898357E" w14:textId="7F8991D9" w:rsidR="00F147DD" w:rsidRPr="00365DA8" w:rsidRDefault="00F147DD" w:rsidP="00F147DD">
      <w:pPr>
        <w:spacing w:before="120" w:after="120"/>
        <w:ind w:firstLine="720"/>
        <w:rPr>
          <w:rFonts w:asciiTheme="minorHAnsi" w:hAnsiTheme="minorHAnsi"/>
          <w:b/>
          <w:i/>
          <w:iCs/>
          <w:snapToGrid w:val="0"/>
          <w:lang w:val="en-GB" w:eastAsia="en-US"/>
        </w:rPr>
      </w:pPr>
      <w:r w:rsidRPr="00F147DD">
        <w:rPr>
          <w:rFonts w:cs="Calibri"/>
          <w:bCs/>
          <w:szCs w:val="22"/>
          <w:lang w:eastAsia="en-US"/>
        </w:rPr>
        <w:t>The sponsor had no comment.</w:t>
      </w:r>
    </w:p>
    <w:sectPr w:rsidR="00F147DD" w:rsidRPr="00365DA8" w:rsidSect="00251006">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1D55" w14:textId="77777777" w:rsidR="004E571F" w:rsidRDefault="004E571F" w:rsidP="00124A51">
      <w:r>
        <w:separator/>
      </w:r>
    </w:p>
    <w:p w14:paraId="43B80C29" w14:textId="77777777" w:rsidR="004E571F" w:rsidRDefault="004E571F"/>
    <w:p w14:paraId="06B76946" w14:textId="77777777" w:rsidR="004E571F" w:rsidRDefault="004E571F"/>
    <w:p w14:paraId="454E56E1" w14:textId="77777777" w:rsidR="004E571F" w:rsidRDefault="004E571F"/>
    <w:p w14:paraId="6967D545" w14:textId="77777777" w:rsidR="004E571F" w:rsidRDefault="004E571F"/>
  </w:endnote>
  <w:endnote w:type="continuationSeparator" w:id="0">
    <w:p w14:paraId="3CEA3BC5" w14:textId="77777777" w:rsidR="004E571F" w:rsidRDefault="004E571F" w:rsidP="00124A51">
      <w:r>
        <w:continuationSeparator/>
      </w:r>
    </w:p>
    <w:p w14:paraId="0103B8E8" w14:textId="77777777" w:rsidR="004E571F" w:rsidRDefault="004E571F"/>
    <w:p w14:paraId="06D94293" w14:textId="77777777" w:rsidR="004E571F" w:rsidRDefault="004E571F"/>
    <w:p w14:paraId="57DBADE9" w14:textId="77777777" w:rsidR="004E571F" w:rsidRDefault="004E571F"/>
    <w:p w14:paraId="21ABA4F1" w14:textId="77777777" w:rsidR="004E571F" w:rsidRDefault="004E5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1E53" w14:textId="22E65C11" w:rsidR="001C4FE6" w:rsidRDefault="0037147B">
    <w:pPr>
      <w:pStyle w:val="Footer"/>
    </w:pPr>
    <w:r>
      <w:rPr>
        <w:noProof/>
      </w:rPr>
      <mc:AlternateContent>
        <mc:Choice Requires="wps">
          <w:drawing>
            <wp:anchor distT="0" distB="0" distL="0" distR="0" simplePos="0" relativeHeight="251658244" behindDoc="0" locked="0" layoutInCell="1" allowOverlap="1" wp14:anchorId="7A66AE1F" wp14:editId="0D43BFB9">
              <wp:simplePos x="635" y="635"/>
              <wp:positionH relativeFrom="page">
                <wp:align>center</wp:align>
              </wp:positionH>
              <wp:positionV relativeFrom="page">
                <wp:align>bottom</wp:align>
              </wp:positionV>
              <wp:extent cx="622300" cy="376555"/>
              <wp:effectExtent l="0" t="0" r="6350" b="0"/>
              <wp:wrapNone/>
              <wp:docPr id="109989315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8D84476" w14:textId="2BC7446D" w:rsidR="0037147B" w:rsidRPr="0037147B" w:rsidRDefault="0037147B" w:rsidP="0037147B">
                          <w:pPr>
                            <w:rPr>
                              <w:rFonts w:ascii="Aptos" w:eastAsia="Aptos" w:hAnsi="Aptos" w:cs="Aptos"/>
                              <w:noProof/>
                              <w:color w:val="FF0000"/>
                            </w:rPr>
                          </w:pPr>
                          <w:r w:rsidRPr="0037147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66AE1F" id="_x0000_t202" coordsize="21600,21600" o:spt="202" path="m,l,21600r21600,l21600,xe">
              <v:stroke joinstyle="miter"/>
              <v:path gradientshapeok="t" o:connecttype="rect"/>
            </v:shapetype>
            <v:shape id="Text Box 17"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8D84476" w14:textId="2BC7446D" w:rsidR="0037147B" w:rsidRPr="0037147B" w:rsidRDefault="0037147B" w:rsidP="0037147B">
                    <w:pPr>
                      <w:rPr>
                        <w:rFonts w:ascii="Aptos" w:eastAsia="Aptos" w:hAnsi="Aptos" w:cs="Aptos"/>
                        <w:noProof/>
                        <w:color w:val="FF0000"/>
                      </w:rPr>
                    </w:pPr>
                    <w:r w:rsidRPr="0037147B">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6B7EF6CD" w:rsidR="00D843F2" w:rsidRDefault="0037147B" w:rsidP="00753B29">
    <w:pPr>
      <w:jc w:val="center"/>
    </w:pPr>
    <w:r>
      <w:rPr>
        <w:noProof/>
      </w:rPr>
      <mc:AlternateContent>
        <mc:Choice Requires="wps">
          <w:drawing>
            <wp:anchor distT="0" distB="0" distL="0" distR="0" simplePos="0" relativeHeight="251658245" behindDoc="0" locked="0" layoutInCell="1" allowOverlap="1" wp14:anchorId="00CEF902" wp14:editId="72DF84C8">
              <wp:simplePos x="635" y="635"/>
              <wp:positionH relativeFrom="page">
                <wp:align>center</wp:align>
              </wp:positionH>
              <wp:positionV relativeFrom="page">
                <wp:align>bottom</wp:align>
              </wp:positionV>
              <wp:extent cx="622300" cy="376555"/>
              <wp:effectExtent l="0" t="0" r="6350" b="0"/>
              <wp:wrapNone/>
              <wp:docPr id="121081391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35526E1" w14:textId="44C13A13" w:rsidR="0037147B" w:rsidRPr="0037147B" w:rsidRDefault="0037147B" w:rsidP="0037147B">
                          <w:pPr>
                            <w:rPr>
                              <w:rFonts w:ascii="Aptos" w:eastAsia="Aptos" w:hAnsi="Aptos" w:cs="Aptos"/>
                              <w:noProof/>
                              <w:color w:val="FF0000"/>
                            </w:rPr>
                          </w:pPr>
                          <w:r w:rsidRPr="0037147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CEF902" id="_x0000_t202" coordsize="21600,21600" o:spt="202" path="m,l,21600r21600,l21600,xe">
              <v:stroke joinstyle="miter"/>
              <v:path gradientshapeok="t" o:connecttype="rect"/>
            </v:shapetype>
            <v:shape id="Text Box 18"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35526E1" w14:textId="44C13A13" w:rsidR="0037147B" w:rsidRPr="0037147B" w:rsidRDefault="0037147B" w:rsidP="0037147B">
                    <w:pPr>
                      <w:rPr>
                        <w:rFonts w:ascii="Aptos" w:eastAsia="Aptos" w:hAnsi="Aptos" w:cs="Aptos"/>
                        <w:noProof/>
                        <w:color w:val="FF0000"/>
                      </w:rPr>
                    </w:pPr>
                    <w:r w:rsidRPr="0037147B">
                      <w:rPr>
                        <w:rFonts w:ascii="Aptos" w:eastAsia="Aptos" w:hAnsi="Aptos" w:cs="Aptos"/>
                        <w:noProof/>
                        <w:color w:val="FF0000"/>
                      </w:rPr>
                      <w:t>OFFICIAL</w:t>
                    </w:r>
                  </w:p>
                </w:txbxContent>
              </v:textbox>
              <w10:wrap anchorx="page" anchory="page"/>
            </v:shape>
          </w:pict>
        </mc:Fallback>
      </mc:AlternateContent>
    </w:r>
  </w:p>
  <w:p w14:paraId="37484CD3" w14:textId="1EE322D1" w:rsidR="00D843F2" w:rsidRPr="007C1CD9" w:rsidRDefault="00000000" w:rsidP="00C93189">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C70E" w14:textId="198C4D98" w:rsidR="001C4FE6" w:rsidRDefault="0037147B">
    <w:pPr>
      <w:pStyle w:val="Footer"/>
    </w:pPr>
    <w:r>
      <w:rPr>
        <w:noProof/>
      </w:rPr>
      <mc:AlternateContent>
        <mc:Choice Requires="wps">
          <w:drawing>
            <wp:anchor distT="0" distB="0" distL="0" distR="0" simplePos="0" relativeHeight="251658243" behindDoc="0" locked="0" layoutInCell="1" allowOverlap="1" wp14:anchorId="36899078" wp14:editId="1C671085">
              <wp:simplePos x="635" y="635"/>
              <wp:positionH relativeFrom="page">
                <wp:align>center</wp:align>
              </wp:positionH>
              <wp:positionV relativeFrom="page">
                <wp:align>bottom</wp:align>
              </wp:positionV>
              <wp:extent cx="622300" cy="376555"/>
              <wp:effectExtent l="0" t="0" r="6350" b="0"/>
              <wp:wrapNone/>
              <wp:docPr id="2008931239"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797A3A5" w14:textId="6F6DDBF0" w:rsidR="0037147B" w:rsidRPr="0037147B" w:rsidRDefault="0037147B" w:rsidP="0037147B">
                          <w:pPr>
                            <w:rPr>
                              <w:rFonts w:ascii="Aptos" w:eastAsia="Aptos" w:hAnsi="Aptos" w:cs="Aptos"/>
                              <w:noProof/>
                              <w:color w:val="FF0000"/>
                            </w:rPr>
                          </w:pPr>
                          <w:r w:rsidRPr="0037147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899078" id="_x0000_t202" coordsize="21600,21600" o:spt="202" path="m,l,21600r21600,l21600,xe">
              <v:stroke joinstyle="miter"/>
              <v:path gradientshapeok="t" o:connecttype="rect"/>
            </v:shapetype>
            <v:shape id="Text Box 16"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5797A3A5" w14:textId="6F6DDBF0" w:rsidR="0037147B" w:rsidRPr="0037147B" w:rsidRDefault="0037147B" w:rsidP="0037147B">
                    <w:pPr>
                      <w:rPr>
                        <w:rFonts w:ascii="Aptos" w:eastAsia="Aptos" w:hAnsi="Aptos" w:cs="Aptos"/>
                        <w:noProof/>
                        <w:color w:val="FF0000"/>
                      </w:rPr>
                    </w:pPr>
                    <w:r w:rsidRPr="0037147B">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A74BA" w14:textId="77777777" w:rsidR="004E571F" w:rsidRDefault="004E571F" w:rsidP="00124A51">
      <w:r>
        <w:separator/>
      </w:r>
    </w:p>
    <w:p w14:paraId="494CF6A9" w14:textId="77777777" w:rsidR="004E571F" w:rsidRDefault="004E571F"/>
  </w:footnote>
  <w:footnote w:type="continuationSeparator" w:id="0">
    <w:p w14:paraId="0BAD4E79" w14:textId="77777777" w:rsidR="004E571F" w:rsidRDefault="004E571F" w:rsidP="00124A51">
      <w:r>
        <w:continuationSeparator/>
      </w:r>
    </w:p>
    <w:p w14:paraId="12A82AFC" w14:textId="77777777" w:rsidR="004E571F" w:rsidRDefault="004E571F"/>
    <w:p w14:paraId="5885D3C5" w14:textId="77777777" w:rsidR="004E571F" w:rsidRDefault="004E571F"/>
    <w:p w14:paraId="211A1EAF" w14:textId="77777777" w:rsidR="004E571F" w:rsidRDefault="004E571F"/>
    <w:p w14:paraId="0217EB8E" w14:textId="77777777" w:rsidR="004E571F" w:rsidRDefault="004E571F"/>
  </w:footnote>
  <w:footnote w:id="1">
    <w:p w14:paraId="7C629FC5" w14:textId="7514D699" w:rsidR="001F0AC7" w:rsidRDefault="001F0AC7">
      <w:pPr>
        <w:pStyle w:val="FootnoteText"/>
      </w:pPr>
      <w:r>
        <w:rPr>
          <w:rStyle w:val="FootnoteReference"/>
        </w:rPr>
        <w:footnoteRef/>
      </w:r>
      <w:r w:rsidRPr="00A41EE9">
        <w:t>EULAR/</w:t>
      </w:r>
      <w:proofErr w:type="spellStart"/>
      <w:r w:rsidRPr="00A41EE9">
        <w:t>PReS</w:t>
      </w:r>
      <w:proofErr w:type="spellEnd"/>
      <w:r w:rsidRPr="00A41EE9">
        <w:t xml:space="preserve"> endorsed recommendations for the management of familial Mediterranean fever (FMF): 2024 update</w:t>
      </w:r>
      <w:r>
        <w:t xml:space="preserve">. </w:t>
      </w:r>
      <w:r w:rsidRPr="00A41EE9">
        <w:t>Ozen, Seza et al.</w:t>
      </w:r>
      <w:r>
        <w:t xml:space="preserve"> </w:t>
      </w:r>
      <w:r w:rsidRPr="00A41EE9">
        <w:t>Annals of the Rheumatic Diseases, Volume 84, Issue 6, 899 - 909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DDFD" w14:textId="27F89152" w:rsidR="001C4FE6" w:rsidRDefault="0037147B">
    <w:pPr>
      <w:pStyle w:val="Header"/>
    </w:pPr>
    <w:r>
      <w:rPr>
        <w:noProof/>
      </w:rPr>
      <mc:AlternateContent>
        <mc:Choice Requires="wps">
          <w:drawing>
            <wp:anchor distT="0" distB="0" distL="0" distR="0" simplePos="0" relativeHeight="251658241" behindDoc="0" locked="0" layoutInCell="1" allowOverlap="1" wp14:anchorId="05EBC731" wp14:editId="38A4E721">
              <wp:simplePos x="635" y="635"/>
              <wp:positionH relativeFrom="page">
                <wp:align>center</wp:align>
              </wp:positionH>
              <wp:positionV relativeFrom="page">
                <wp:align>top</wp:align>
              </wp:positionV>
              <wp:extent cx="622300" cy="376555"/>
              <wp:effectExtent l="0" t="0" r="6350" b="4445"/>
              <wp:wrapNone/>
              <wp:docPr id="1786256718"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B791A10" w14:textId="0FE99D33" w:rsidR="0037147B" w:rsidRPr="0037147B" w:rsidRDefault="0037147B" w:rsidP="0037147B">
                          <w:pPr>
                            <w:rPr>
                              <w:rFonts w:ascii="Aptos" w:eastAsia="Aptos" w:hAnsi="Aptos" w:cs="Aptos"/>
                              <w:noProof/>
                              <w:color w:val="FF0000"/>
                            </w:rPr>
                          </w:pPr>
                          <w:r w:rsidRPr="0037147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EBC731" id="_x0000_t202" coordsize="21600,21600" o:spt="202" path="m,l,21600r21600,l21600,xe">
              <v:stroke joinstyle="miter"/>
              <v:path gradientshapeok="t" o:connecttype="rect"/>
            </v:shapetype>
            <v:shape id="Text Box 14"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B791A10" w14:textId="0FE99D33" w:rsidR="0037147B" w:rsidRPr="0037147B" w:rsidRDefault="0037147B" w:rsidP="0037147B">
                    <w:pPr>
                      <w:rPr>
                        <w:rFonts w:ascii="Aptos" w:eastAsia="Aptos" w:hAnsi="Aptos" w:cs="Aptos"/>
                        <w:noProof/>
                        <w:color w:val="FF0000"/>
                      </w:rPr>
                    </w:pPr>
                    <w:r w:rsidRPr="0037147B">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0E01E061" w:rsidR="00D843F2" w:rsidRPr="00B94414" w:rsidRDefault="0037147B" w:rsidP="00D51746">
    <w:pPr>
      <w:pStyle w:val="Header"/>
    </w:pPr>
    <w:r>
      <w:rPr>
        <w:noProof/>
      </w:rPr>
      <mc:AlternateContent>
        <mc:Choice Requires="wps">
          <w:drawing>
            <wp:anchor distT="0" distB="0" distL="0" distR="0" simplePos="0" relativeHeight="251658242" behindDoc="0" locked="0" layoutInCell="1" allowOverlap="1" wp14:anchorId="12FEDC2C" wp14:editId="6A4FF9BD">
              <wp:simplePos x="635" y="635"/>
              <wp:positionH relativeFrom="page">
                <wp:align>center</wp:align>
              </wp:positionH>
              <wp:positionV relativeFrom="page">
                <wp:align>top</wp:align>
              </wp:positionV>
              <wp:extent cx="622300" cy="376555"/>
              <wp:effectExtent l="0" t="0" r="6350" b="4445"/>
              <wp:wrapNone/>
              <wp:docPr id="450568196"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55FE30" w14:textId="09051BB5" w:rsidR="0037147B" w:rsidRPr="0037147B" w:rsidRDefault="0037147B" w:rsidP="0037147B">
                          <w:pPr>
                            <w:rPr>
                              <w:rFonts w:ascii="Aptos" w:eastAsia="Aptos" w:hAnsi="Aptos" w:cs="Aptos"/>
                              <w:noProof/>
                              <w:color w:val="FF0000"/>
                            </w:rPr>
                          </w:pPr>
                          <w:r w:rsidRPr="0037147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EDC2C" id="_x0000_t202" coordsize="21600,21600" o:spt="202" path="m,l,21600r21600,l21600,xe">
              <v:stroke joinstyle="miter"/>
              <v:path gradientshapeok="t" o:connecttype="rect"/>
            </v:shapetype>
            <v:shape id="Text Box 15"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755FE30" w14:textId="09051BB5" w:rsidR="0037147B" w:rsidRPr="0037147B" w:rsidRDefault="0037147B" w:rsidP="0037147B">
                    <w:pPr>
                      <w:rPr>
                        <w:rFonts w:ascii="Aptos" w:eastAsia="Aptos" w:hAnsi="Aptos" w:cs="Aptos"/>
                        <w:noProof/>
                        <w:color w:val="FF0000"/>
                      </w:rPr>
                    </w:pPr>
                    <w:r w:rsidRPr="0037147B">
                      <w:rPr>
                        <w:rFonts w:ascii="Aptos" w:eastAsia="Aptos" w:hAnsi="Aptos" w:cs="Aptos"/>
                        <w:noProof/>
                        <w:color w:val="FF0000"/>
                      </w:rPr>
                      <w:t>OFFICIAL</w:t>
                    </w:r>
                  </w:p>
                </w:txbxContent>
              </v:textbox>
              <w10:wrap anchorx="page" anchory="page"/>
            </v:shape>
          </w:pict>
        </mc:Fallback>
      </mc:AlternateContent>
    </w:r>
    <w:r w:rsidR="00455A83">
      <w:t xml:space="preserve">Public Summary Document </w:t>
    </w:r>
    <w:r w:rsidR="00D51746">
      <w:t xml:space="preserve">– </w:t>
    </w:r>
    <w:r w:rsidR="00530B18">
      <w:t>March 2026</w:t>
    </w:r>
    <w:r w:rsidR="00D843F2" w:rsidRPr="00B94414">
      <w:t xml:space="preserve"> PBAC Meeting</w:t>
    </w:r>
  </w:p>
  <w:p w14:paraId="1AEC8354" w14:textId="53FB1589" w:rsidR="00D843F2" w:rsidRDefault="00D843F2" w:rsidP="00B94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48A9" w14:textId="2CE6BCEA" w:rsidR="001C4FE6" w:rsidRDefault="0037147B">
    <w:pPr>
      <w:pStyle w:val="Header"/>
    </w:pPr>
    <w:r>
      <w:rPr>
        <w:noProof/>
      </w:rPr>
      <mc:AlternateContent>
        <mc:Choice Requires="wps">
          <w:drawing>
            <wp:anchor distT="0" distB="0" distL="0" distR="0" simplePos="0" relativeHeight="251658240" behindDoc="0" locked="0" layoutInCell="1" allowOverlap="1" wp14:anchorId="2AEA1F05" wp14:editId="5BFA3846">
              <wp:simplePos x="635" y="635"/>
              <wp:positionH relativeFrom="page">
                <wp:align>center</wp:align>
              </wp:positionH>
              <wp:positionV relativeFrom="page">
                <wp:align>top</wp:align>
              </wp:positionV>
              <wp:extent cx="622300" cy="376555"/>
              <wp:effectExtent l="0" t="0" r="6350" b="4445"/>
              <wp:wrapNone/>
              <wp:docPr id="994339095"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A74906" w14:textId="6FA9356E" w:rsidR="0037147B" w:rsidRPr="0037147B" w:rsidRDefault="0037147B" w:rsidP="0037147B">
                          <w:pPr>
                            <w:rPr>
                              <w:rFonts w:ascii="Aptos" w:eastAsia="Aptos" w:hAnsi="Aptos" w:cs="Aptos"/>
                              <w:noProof/>
                              <w:color w:val="FF0000"/>
                            </w:rPr>
                          </w:pPr>
                          <w:r w:rsidRPr="0037147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EA1F05" id="_x0000_t202" coordsize="21600,21600" o:spt="202" path="m,l,21600r21600,l21600,xe">
              <v:stroke joinstyle="miter"/>
              <v:path gradientshapeok="t" o:connecttype="rect"/>
            </v:shapetype>
            <v:shape id="Text Box 13"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1FA74906" w14:textId="6FA9356E" w:rsidR="0037147B" w:rsidRPr="0037147B" w:rsidRDefault="0037147B" w:rsidP="0037147B">
                    <w:pPr>
                      <w:rPr>
                        <w:rFonts w:ascii="Aptos" w:eastAsia="Aptos" w:hAnsi="Aptos" w:cs="Aptos"/>
                        <w:noProof/>
                        <w:color w:val="FF0000"/>
                      </w:rPr>
                    </w:pPr>
                    <w:r w:rsidRPr="0037147B">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3EC6F2"/>
    <w:lvl w:ilvl="0">
      <w:start w:val="1"/>
      <w:numFmt w:val="bullet"/>
      <w:pStyle w:val="COMBodybulletlis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9F198F"/>
    <w:multiLevelType w:val="hybridMultilevel"/>
    <w:tmpl w:val="90AA5C48"/>
    <w:lvl w:ilvl="0" w:tplc="9642DC9C">
      <w:start w:val="1"/>
      <w:numFmt w:val="bullet"/>
      <w:lvlText w:val=""/>
      <w:lvlJc w:val="left"/>
      <w:pPr>
        <w:ind w:left="1080" w:hanging="360"/>
      </w:pPr>
      <w:rPr>
        <w:rFonts w:ascii="Symbol" w:hAnsi="Symbol"/>
      </w:rPr>
    </w:lvl>
    <w:lvl w:ilvl="1" w:tplc="F57C20A4">
      <w:start w:val="1"/>
      <w:numFmt w:val="bullet"/>
      <w:lvlText w:val=""/>
      <w:lvlJc w:val="left"/>
      <w:pPr>
        <w:ind w:left="1080" w:hanging="360"/>
      </w:pPr>
      <w:rPr>
        <w:rFonts w:ascii="Symbol" w:hAnsi="Symbol"/>
      </w:rPr>
    </w:lvl>
    <w:lvl w:ilvl="2" w:tplc="BA1C539A">
      <w:start w:val="1"/>
      <w:numFmt w:val="bullet"/>
      <w:lvlText w:val=""/>
      <w:lvlJc w:val="left"/>
      <w:pPr>
        <w:ind w:left="1080" w:hanging="360"/>
      </w:pPr>
      <w:rPr>
        <w:rFonts w:ascii="Symbol" w:hAnsi="Symbol"/>
      </w:rPr>
    </w:lvl>
    <w:lvl w:ilvl="3" w:tplc="BC58FFD0">
      <w:start w:val="1"/>
      <w:numFmt w:val="bullet"/>
      <w:lvlText w:val=""/>
      <w:lvlJc w:val="left"/>
      <w:pPr>
        <w:ind w:left="1080" w:hanging="360"/>
      </w:pPr>
      <w:rPr>
        <w:rFonts w:ascii="Symbol" w:hAnsi="Symbol"/>
      </w:rPr>
    </w:lvl>
    <w:lvl w:ilvl="4" w:tplc="9BE04CB4">
      <w:start w:val="1"/>
      <w:numFmt w:val="bullet"/>
      <w:lvlText w:val=""/>
      <w:lvlJc w:val="left"/>
      <w:pPr>
        <w:ind w:left="1080" w:hanging="360"/>
      </w:pPr>
      <w:rPr>
        <w:rFonts w:ascii="Symbol" w:hAnsi="Symbol"/>
      </w:rPr>
    </w:lvl>
    <w:lvl w:ilvl="5" w:tplc="0554D1A6">
      <w:start w:val="1"/>
      <w:numFmt w:val="bullet"/>
      <w:lvlText w:val=""/>
      <w:lvlJc w:val="left"/>
      <w:pPr>
        <w:ind w:left="1080" w:hanging="360"/>
      </w:pPr>
      <w:rPr>
        <w:rFonts w:ascii="Symbol" w:hAnsi="Symbol"/>
      </w:rPr>
    </w:lvl>
    <w:lvl w:ilvl="6" w:tplc="51F6CAA4">
      <w:start w:val="1"/>
      <w:numFmt w:val="bullet"/>
      <w:lvlText w:val=""/>
      <w:lvlJc w:val="left"/>
      <w:pPr>
        <w:ind w:left="1080" w:hanging="360"/>
      </w:pPr>
      <w:rPr>
        <w:rFonts w:ascii="Symbol" w:hAnsi="Symbol"/>
      </w:rPr>
    </w:lvl>
    <w:lvl w:ilvl="7" w:tplc="7A68606A">
      <w:start w:val="1"/>
      <w:numFmt w:val="bullet"/>
      <w:lvlText w:val=""/>
      <w:lvlJc w:val="left"/>
      <w:pPr>
        <w:ind w:left="1080" w:hanging="360"/>
      </w:pPr>
      <w:rPr>
        <w:rFonts w:ascii="Symbol" w:hAnsi="Symbol"/>
      </w:rPr>
    </w:lvl>
    <w:lvl w:ilvl="8" w:tplc="46325562">
      <w:start w:val="1"/>
      <w:numFmt w:val="bullet"/>
      <w:lvlText w:val=""/>
      <w:lvlJc w:val="left"/>
      <w:pPr>
        <w:ind w:left="1080" w:hanging="360"/>
      </w:pPr>
      <w:rPr>
        <w:rFonts w:ascii="Symbol" w:hAnsi="Symbol"/>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4D1C25"/>
    <w:multiLevelType w:val="hybridMultilevel"/>
    <w:tmpl w:val="CB22702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442635B"/>
    <w:multiLevelType w:val="hybridMultilevel"/>
    <w:tmpl w:val="DE96AF6A"/>
    <w:lvl w:ilvl="0" w:tplc="FB5A400A">
      <w:start w:val="1"/>
      <w:numFmt w:val="bullet"/>
      <w:lvlText w:val=""/>
      <w:lvlJc w:val="left"/>
      <w:pPr>
        <w:ind w:left="1080" w:hanging="360"/>
      </w:pPr>
      <w:rPr>
        <w:rFonts w:ascii="Symbol" w:hAnsi="Symbol"/>
      </w:rPr>
    </w:lvl>
    <w:lvl w:ilvl="1" w:tplc="431CEAAA">
      <w:start w:val="1"/>
      <w:numFmt w:val="bullet"/>
      <w:lvlText w:val=""/>
      <w:lvlJc w:val="left"/>
      <w:pPr>
        <w:ind w:left="1080" w:hanging="360"/>
      </w:pPr>
      <w:rPr>
        <w:rFonts w:ascii="Symbol" w:hAnsi="Symbol"/>
      </w:rPr>
    </w:lvl>
    <w:lvl w:ilvl="2" w:tplc="4204E1DE">
      <w:start w:val="1"/>
      <w:numFmt w:val="bullet"/>
      <w:lvlText w:val=""/>
      <w:lvlJc w:val="left"/>
      <w:pPr>
        <w:ind w:left="1080" w:hanging="360"/>
      </w:pPr>
      <w:rPr>
        <w:rFonts w:ascii="Symbol" w:hAnsi="Symbol"/>
      </w:rPr>
    </w:lvl>
    <w:lvl w:ilvl="3" w:tplc="97B0B6A2">
      <w:start w:val="1"/>
      <w:numFmt w:val="bullet"/>
      <w:lvlText w:val=""/>
      <w:lvlJc w:val="left"/>
      <w:pPr>
        <w:ind w:left="1080" w:hanging="360"/>
      </w:pPr>
      <w:rPr>
        <w:rFonts w:ascii="Symbol" w:hAnsi="Symbol"/>
      </w:rPr>
    </w:lvl>
    <w:lvl w:ilvl="4" w:tplc="F6FCE794">
      <w:start w:val="1"/>
      <w:numFmt w:val="bullet"/>
      <w:lvlText w:val=""/>
      <w:lvlJc w:val="left"/>
      <w:pPr>
        <w:ind w:left="1080" w:hanging="360"/>
      </w:pPr>
      <w:rPr>
        <w:rFonts w:ascii="Symbol" w:hAnsi="Symbol"/>
      </w:rPr>
    </w:lvl>
    <w:lvl w:ilvl="5" w:tplc="B0B004B0">
      <w:start w:val="1"/>
      <w:numFmt w:val="bullet"/>
      <w:lvlText w:val=""/>
      <w:lvlJc w:val="left"/>
      <w:pPr>
        <w:ind w:left="1080" w:hanging="360"/>
      </w:pPr>
      <w:rPr>
        <w:rFonts w:ascii="Symbol" w:hAnsi="Symbol"/>
      </w:rPr>
    </w:lvl>
    <w:lvl w:ilvl="6" w:tplc="231C2DC2">
      <w:start w:val="1"/>
      <w:numFmt w:val="bullet"/>
      <w:lvlText w:val=""/>
      <w:lvlJc w:val="left"/>
      <w:pPr>
        <w:ind w:left="1080" w:hanging="360"/>
      </w:pPr>
      <w:rPr>
        <w:rFonts w:ascii="Symbol" w:hAnsi="Symbol"/>
      </w:rPr>
    </w:lvl>
    <w:lvl w:ilvl="7" w:tplc="C390E9BE">
      <w:start w:val="1"/>
      <w:numFmt w:val="bullet"/>
      <w:lvlText w:val=""/>
      <w:lvlJc w:val="left"/>
      <w:pPr>
        <w:ind w:left="1080" w:hanging="360"/>
      </w:pPr>
      <w:rPr>
        <w:rFonts w:ascii="Symbol" w:hAnsi="Symbol"/>
      </w:rPr>
    </w:lvl>
    <w:lvl w:ilvl="8" w:tplc="ACD03BE0">
      <w:start w:val="1"/>
      <w:numFmt w:val="bullet"/>
      <w:lvlText w:val=""/>
      <w:lvlJc w:val="left"/>
      <w:pPr>
        <w:ind w:left="1080" w:hanging="360"/>
      </w:pPr>
      <w:rPr>
        <w:rFonts w:ascii="Symbol" w:hAnsi="Symbol"/>
      </w:rPr>
    </w:lvl>
  </w:abstractNum>
  <w:abstractNum w:abstractNumId="6" w15:restartNumberingAfterBreak="0">
    <w:nsid w:val="14A82EE5"/>
    <w:multiLevelType w:val="hybridMultilevel"/>
    <w:tmpl w:val="9EC2228E"/>
    <w:lvl w:ilvl="0" w:tplc="1174F816">
      <w:start w:val="1"/>
      <w:numFmt w:val="decimal"/>
      <w:lvlText w:val="%1."/>
      <w:lvlJc w:val="left"/>
      <w:pPr>
        <w:ind w:left="1020" w:hanging="360"/>
      </w:pPr>
    </w:lvl>
    <w:lvl w:ilvl="1" w:tplc="26D86F8A">
      <w:start w:val="1"/>
      <w:numFmt w:val="decimal"/>
      <w:lvlText w:val="%2."/>
      <w:lvlJc w:val="left"/>
      <w:pPr>
        <w:ind w:left="1020" w:hanging="360"/>
      </w:pPr>
    </w:lvl>
    <w:lvl w:ilvl="2" w:tplc="7D6E5EB0">
      <w:start w:val="1"/>
      <w:numFmt w:val="decimal"/>
      <w:lvlText w:val="%3."/>
      <w:lvlJc w:val="left"/>
      <w:pPr>
        <w:ind w:left="1020" w:hanging="360"/>
      </w:pPr>
    </w:lvl>
    <w:lvl w:ilvl="3" w:tplc="EDCC3014">
      <w:start w:val="1"/>
      <w:numFmt w:val="decimal"/>
      <w:lvlText w:val="%4."/>
      <w:lvlJc w:val="left"/>
      <w:pPr>
        <w:ind w:left="1020" w:hanging="360"/>
      </w:pPr>
    </w:lvl>
    <w:lvl w:ilvl="4" w:tplc="C02C07DC">
      <w:start w:val="1"/>
      <w:numFmt w:val="decimal"/>
      <w:lvlText w:val="%5."/>
      <w:lvlJc w:val="left"/>
      <w:pPr>
        <w:ind w:left="1020" w:hanging="360"/>
      </w:pPr>
    </w:lvl>
    <w:lvl w:ilvl="5" w:tplc="047A150E">
      <w:start w:val="1"/>
      <w:numFmt w:val="decimal"/>
      <w:lvlText w:val="%6."/>
      <w:lvlJc w:val="left"/>
      <w:pPr>
        <w:ind w:left="1020" w:hanging="360"/>
      </w:pPr>
    </w:lvl>
    <w:lvl w:ilvl="6" w:tplc="36D63742">
      <w:start w:val="1"/>
      <w:numFmt w:val="decimal"/>
      <w:lvlText w:val="%7."/>
      <w:lvlJc w:val="left"/>
      <w:pPr>
        <w:ind w:left="1020" w:hanging="360"/>
      </w:pPr>
    </w:lvl>
    <w:lvl w:ilvl="7" w:tplc="70CA9286">
      <w:start w:val="1"/>
      <w:numFmt w:val="decimal"/>
      <w:lvlText w:val="%8."/>
      <w:lvlJc w:val="left"/>
      <w:pPr>
        <w:ind w:left="1020" w:hanging="360"/>
      </w:pPr>
    </w:lvl>
    <w:lvl w:ilvl="8" w:tplc="ACE09CF0">
      <w:start w:val="1"/>
      <w:numFmt w:val="decimal"/>
      <w:lvlText w:val="%9."/>
      <w:lvlJc w:val="left"/>
      <w:pPr>
        <w:ind w:left="1020" w:hanging="360"/>
      </w:pPr>
    </w:lvl>
  </w:abstractNum>
  <w:abstractNum w:abstractNumId="7" w15:restartNumberingAfterBreak="0">
    <w:nsid w:val="14CB5571"/>
    <w:multiLevelType w:val="hybridMultilevel"/>
    <w:tmpl w:val="0ADAC3D4"/>
    <w:lvl w:ilvl="0" w:tplc="22F44CB4">
      <w:start w:val="1"/>
      <w:numFmt w:val="bullet"/>
      <w:lvlText w:val=""/>
      <w:lvlJc w:val="left"/>
      <w:pPr>
        <w:ind w:left="2520" w:hanging="360"/>
      </w:pPr>
      <w:rPr>
        <w:rFonts w:ascii="Symbol" w:hAnsi="Symbol"/>
      </w:rPr>
    </w:lvl>
    <w:lvl w:ilvl="1" w:tplc="0EA639F2">
      <w:start w:val="1"/>
      <w:numFmt w:val="bullet"/>
      <w:lvlText w:val=""/>
      <w:lvlJc w:val="left"/>
      <w:pPr>
        <w:ind w:left="2520" w:hanging="360"/>
      </w:pPr>
      <w:rPr>
        <w:rFonts w:ascii="Symbol" w:hAnsi="Symbol"/>
      </w:rPr>
    </w:lvl>
    <w:lvl w:ilvl="2" w:tplc="577C908A">
      <w:start w:val="1"/>
      <w:numFmt w:val="bullet"/>
      <w:lvlText w:val=""/>
      <w:lvlJc w:val="left"/>
      <w:pPr>
        <w:ind w:left="2520" w:hanging="360"/>
      </w:pPr>
      <w:rPr>
        <w:rFonts w:ascii="Symbol" w:hAnsi="Symbol"/>
      </w:rPr>
    </w:lvl>
    <w:lvl w:ilvl="3" w:tplc="6472EE5A">
      <w:start w:val="1"/>
      <w:numFmt w:val="bullet"/>
      <w:lvlText w:val=""/>
      <w:lvlJc w:val="left"/>
      <w:pPr>
        <w:ind w:left="2520" w:hanging="360"/>
      </w:pPr>
      <w:rPr>
        <w:rFonts w:ascii="Symbol" w:hAnsi="Symbol"/>
      </w:rPr>
    </w:lvl>
    <w:lvl w:ilvl="4" w:tplc="7CF8C84C">
      <w:start w:val="1"/>
      <w:numFmt w:val="bullet"/>
      <w:lvlText w:val=""/>
      <w:lvlJc w:val="left"/>
      <w:pPr>
        <w:ind w:left="2520" w:hanging="360"/>
      </w:pPr>
      <w:rPr>
        <w:rFonts w:ascii="Symbol" w:hAnsi="Symbol"/>
      </w:rPr>
    </w:lvl>
    <w:lvl w:ilvl="5" w:tplc="7E8A1C34">
      <w:start w:val="1"/>
      <w:numFmt w:val="bullet"/>
      <w:lvlText w:val=""/>
      <w:lvlJc w:val="left"/>
      <w:pPr>
        <w:ind w:left="2520" w:hanging="360"/>
      </w:pPr>
      <w:rPr>
        <w:rFonts w:ascii="Symbol" w:hAnsi="Symbol"/>
      </w:rPr>
    </w:lvl>
    <w:lvl w:ilvl="6" w:tplc="7F6CBD2E">
      <w:start w:val="1"/>
      <w:numFmt w:val="bullet"/>
      <w:lvlText w:val=""/>
      <w:lvlJc w:val="left"/>
      <w:pPr>
        <w:ind w:left="2520" w:hanging="360"/>
      </w:pPr>
      <w:rPr>
        <w:rFonts w:ascii="Symbol" w:hAnsi="Symbol"/>
      </w:rPr>
    </w:lvl>
    <w:lvl w:ilvl="7" w:tplc="02EA05CA">
      <w:start w:val="1"/>
      <w:numFmt w:val="bullet"/>
      <w:lvlText w:val=""/>
      <w:lvlJc w:val="left"/>
      <w:pPr>
        <w:ind w:left="2520" w:hanging="360"/>
      </w:pPr>
      <w:rPr>
        <w:rFonts w:ascii="Symbol" w:hAnsi="Symbol"/>
      </w:rPr>
    </w:lvl>
    <w:lvl w:ilvl="8" w:tplc="876EF01E">
      <w:start w:val="1"/>
      <w:numFmt w:val="bullet"/>
      <w:lvlText w:val=""/>
      <w:lvlJc w:val="left"/>
      <w:pPr>
        <w:ind w:left="2520" w:hanging="360"/>
      </w:pPr>
      <w:rPr>
        <w:rFonts w:ascii="Symbol" w:hAnsi="Symbol"/>
      </w:rPr>
    </w:lvl>
  </w:abstractNum>
  <w:abstractNum w:abstractNumId="8" w15:restartNumberingAfterBreak="0">
    <w:nsid w:val="15406DB7"/>
    <w:multiLevelType w:val="hybridMultilevel"/>
    <w:tmpl w:val="89087F98"/>
    <w:lvl w:ilvl="0" w:tplc="5C709FD2">
      <w:start w:val="1"/>
      <w:numFmt w:val="bullet"/>
      <w:lvlText w:val=""/>
      <w:lvlJc w:val="left"/>
      <w:pPr>
        <w:ind w:left="2520" w:hanging="360"/>
      </w:pPr>
      <w:rPr>
        <w:rFonts w:ascii="Symbol" w:hAnsi="Symbol"/>
      </w:rPr>
    </w:lvl>
    <w:lvl w:ilvl="1" w:tplc="E54A005A">
      <w:start w:val="1"/>
      <w:numFmt w:val="bullet"/>
      <w:lvlText w:val=""/>
      <w:lvlJc w:val="left"/>
      <w:pPr>
        <w:ind w:left="2520" w:hanging="360"/>
      </w:pPr>
      <w:rPr>
        <w:rFonts w:ascii="Symbol" w:hAnsi="Symbol"/>
      </w:rPr>
    </w:lvl>
    <w:lvl w:ilvl="2" w:tplc="F8F46CBE">
      <w:start w:val="1"/>
      <w:numFmt w:val="bullet"/>
      <w:lvlText w:val=""/>
      <w:lvlJc w:val="left"/>
      <w:pPr>
        <w:ind w:left="2520" w:hanging="360"/>
      </w:pPr>
      <w:rPr>
        <w:rFonts w:ascii="Symbol" w:hAnsi="Symbol"/>
      </w:rPr>
    </w:lvl>
    <w:lvl w:ilvl="3" w:tplc="365849F6">
      <w:start w:val="1"/>
      <w:numFmt w:val="bullet"/>
      <w:lvlText w:val=""/>
      <w:lvlJc w:val="left"/>
      <w:pPr>
        <w:ind w:left="2520" w:hanging="360"/>
      </w:pPr>
      <w:rPr>
        <w:rFonts w:ascii="Symbol" w:hAnsi="Symbol"/>
      </w:rPr>
    </w:lvl>
    <w:lvl w:ilvl="4" w:tplc="DE18F4BC">
      <w:start w:val="1"/>
      <w:numFmt w:val="bullet"/>
      <w:lvlText w:val=""/>
      <w:lvlJc w:val="left"/>
      <w:pPr>
        <w:ind w:left="2520" w:hanging="360"/>
      </w:pPr>
      <w:rPr>
        <w:rFonts w:ascii="Symbol" w:hAnsi="Symbol"/>
      </w:rPr>
    </w:lvl>
    <w:lvl w:ilvl="5" w:tplc="5FC6B23E">
      <w:start w:val="1"/>
      <w:numFmt w:val="bullet"/>
      <w:lvlText w:val=""/>
      <w:lvlJc w:val="left"/>
      <w:pPr>
        <w:ind w:left="2520" w:hanging="360"/>
      </w:pPr>
      <w:rPr>
        <w:rFonts w:ascii="Symbol" w:hAnsi="Symbol"/>
      </w:rPr>
    </w:lvl>
    <w:lvl w:ilvl="6" w:tplc="9CE81BC8">
      <w:start w:val="1"/>
      <w:numFmt w:val="bullet"/>
      <w:lvlText w:val=""/>
      <w:lvlJc w:val="left"/>
      <w:pPr>
        <w:ind w:left="2520" w:hanging="360"/>
      </w:pPr>
      <w:rPr>
        <w:rFonts w:ascii="Symbol" w:hAnsi="Symbol"/>
      </w:rPr>
    </w:lvl>
    <w:lvl w:ilvl="7" w:tplc="0FF819E4">
      <w:start w:val="1"/>
      <w:numFmt w:val="bullet"/>
      <w:lvlText w:val=""/>
      <w:lvlJc w:val="left"/>
      <w:pPr>
        <w:ind w:left="2520" w:hanging="360"/>
      </w:pPr>
      <w:rPr>
        <w:rFonts w:ascii="Symbol" w:hAnsi="Symbol"/>
      </w:rPr>
    </w:lvl>
    <w:lvl w:ilvl="8" w:tplc="A4247F16">
      <w:start w:val="1"/>
      <w:numFmt w:val="bullet"/>
      <w:lvlText w:val=""/>
      <w:lvlJc w:val="left"/>
      <w:pPr>
        <w:ind w:left="2520" w:hanging="360"/>
      </w:pPr>
      <w:rPr>
        <w:rFonts w:ascii="Symbol" w:hAnsi="Symbol"/>
      </w:rPr>
    </w:lvl>
  </w:abstractNum>
  <w:abstractNum w:abstractNumId="9" w15:restartNumberingAfterBreak="0">
    <w:nsid w:val="16FB57AC"/>
    <w:multiLevelType w:val="hybridMultilevel"/>
    <w:tmpl w:val="7264E846"/>
    <w:lvl w:ilvl="0" w:tplc="7C0EB230">
      <w:start w:val="1"/>
      <w:numFmt w:val="bullet"/>
      <w:lvlText w:val=""/>
      <w:lvlJc w:val="left"/>
      <w:pPr>
        <w:ind w:left="1800" w:hanging="360"/>
      </w:pPr>
      <w:rPr>
        <w:rFonts w:ascii="Symbol" w:hAnsi="Symbol"/>
      </w:rPr>
    </w:lvl>
    <w:lvl w:ilvl="1" w:tplc="4F747460">
      <w:start w:val="1"/>
      <w:numFmt w:val="bullet"/>
      <w:lvlText w:val=""/>
      <w:lvlJc w:val="left"/>
      <w:pPr>
        <w:ind w:left="1800" w:hanging="360"/>
      </w:pPr>
      <w:rPr>
        <w:rFonts w:ascii="Symbol" w:hAnsi="Symbol"/>
      </w:rPr>
    </w:lvl>
    <w:lvl w:ilvl="2" w:tplc="FA508142">
      <w:start w:val="1"/>
      <w:numFmt w:val="bullet"/>
      <w:lvlText w:val=""/>
      <w:lvlJc w:val="left"/>
      <w:pPr>
        <w:ind w:left="1800" w:hanging="360"/>
      </w:pPr>
      <w:rPr>
        <w:rFonts w:ascii="Symbol" w:hAnsi="Symbol"/>
      </w:rPr>
    </w:lvl>
    <w:lvl w:ilvl="3" w:tplc="63041162">
      <w:start w:val="1"/>
      <w:numFmt w:val="bullet"/>
      <w:lvlText w:val=""/>
      <w:lvlJc w:val="left"/>
      <w:pPr>
        <w:ind w:left="1800" w:hanging="360"/>
      </w:pPr>
      <w:rPr>
        <w:rFonts w:ascii="Symbol" w:hAnsi="Symbol"/>
      </w:rPr>
    </w:lvl>
    <w:lvl w:ilvl="4" w:tplc="3F10B14C">
      <w:start w:val="1"/>
      <w:numFmt w:val="bullet"/>
      <w:lvlText w:val=""/>
      <w:lvlJc w:val="left"/>
      <w:pPr>
        <w:ind w:left="1800" w:hanging="360"/>
      </w:pPr>
      <w:rPr>
        <w:rFonts w:ascii="Symbol" w:hAnsi="Symbol"/>
      </w:rPr>
    </w:lvl>
    <w:lvl w:ilvl="5" w:tplc="3594B990">
      <w:start w:val="1"/>
      <w:numFmt w:val="bullet"/>
      <w:lvlText w:val=""/>
      <w:lvlJc w:val="left"/>
      <w:pPr>
        <w:ind w:left="1800" w:hanging="360"/>
      </w:pPr>
      <w:rPr>
        <w:rFonts w:ascii="Symbol" w:hAnsi="Symbol"/>
      </w:rPr>
    </w:lvl>
    <w:lvl w:ilvl="6" w:tplc="83B64142">
      <w:start w:val="1"/>
      <w:numFmt w:val="bullet"/>
      <w:lvlText w:val=""/>
      <w:lvlJc w:val="left"/>
      <w:pPr>
        <w:ind w:left="1800" w:hanging="360"/>
      </w:pPr>
      <w:rPr>
        <w:rFonts w:ascii="Symbol" w:hAnsi="Symbol"/>
      </w:rPr>
    </w:lvl>
    <w:lvl w:ilvl="7" w:tplc="F62A67C6">
      <w:start w:val="1"/>
      <w:numFmt w:val="bullet"/>
      <w:lvlText w:val=""/>
      <w:lvlJc w:val="left"/>
      <w:pPr>
        <w:ind w:left="1800" w:hanging="360"/>
      </w:pPr>
      <w:rPr>
        <w:rFonts w:ascii="Symbol" w:hAnsi="Symbol"/>
      </w:rPr>
    </w:lvl>
    <w:lvl w:ilvl="8" w:tplc="A3DEE5F8">
      <w:start w:val="1"/>
      <w:numFmt w:val="bullet"/>
      <w:lvlText w:val=""/>
      <w:lvlJc w:val="left"/>
      <w:pPr>
        <w:ind w:left="1800" w:hanging="360"/>
      </w:pPr>
      <w:rPr>
        <w:rFonts w:ascii="Symbol" w:hAnsi="Symbol"/>
      </w:rPr>
    </w:lvl>
  </w:abstractNum>
  <w:abstractNum w:abstractNumId="10" w15:restartNumberingAfterBreak="0">
    <w:nsid w:val="18134A5F"/>
    <w:multiLevelType w:val="hybridMultilevel"/>
    <w:tmpl w:val="DC58ABDA"/>
    <w:lvl w:ilvl="0" w:tplc="3AD8FF64">
      <w:start w:val="1"/>
      <w:numFmt w:val="bullet"/>
      <w:lvlText w:val=""/>
      <w:lvlJc w:val="left"/>
      <w:pPr>
        <w:ind w:left="1080" w:hanging="360"/>
      </w:pPr>
      <w:rPr>
        <w:rFonts w:ascii="Symbol" w:hAnsi="Symbol"/>
      </w:rPr>
    </w:lvl>
    <w:lvl w:ilvl="1" w:tplc="48F405A2">
      <w:start w:val="1"/>
      <w:numFmt w:val="bullet"/>
      <w:lvlText w:val=""/>
      <w:lvlJc w:val="left"/>
      <w:pPr>
        <w:ind w:left="1080" w:hanging="360"/>
      </w:pPr>
      <w:rPr>
        <w:rFonts w:ascii="Symbol" w:hAnsi="Symbol"/>
      </w:rPr>
    </w:lvl>
    <w:lvl w:ilvl="2" w:tplc="52341F74">
      <w:start w:val="1"/>
      <w:numFmt w:val="bullet"/>
      <w:lvlText w:val=""/>
      <w:lvlJc w:val="left"/>
      <w:pPr>
        <w:ind w:left="1080" w:hanging="360"/>
      </w:pPr>
      <w:rPr>
        <w:rFonts w:ascii="Symbol" w:hAnsi="Symbol"/>
      </w:rPr>
    </w:lvl>
    <w:lvl w:ilvl="3" w:tplc="E6781CE2">
      <w:start w:val="1"/>
      <w:numFmt w:val="bullet"/>
      <w:lvlText w:val=""/>
      <w:lvlJc w:val="left"/>
      <w:pPr>
        <w:ind w:left="1080" w:hanging="360"/>
      </w:pPr>
      <w:rPr>
        <w:rFonts w:ascii="Symbol" w:hAnsi="Symbol"/>
      </w:rPr>
    </w:lvl>
    <w:lvl w:ilvl="4" w:tplc="8DC89386">
      <w:start w:val="1"/>
      <w:numFmt w:val="bullet"/>
      <w:lvlText w:val=""/>
      <w:lvlJc w:val="left"/>
      <w:pPr>
        <w:ind w:left="1080" w:hanging="360"/>
      </w:pPr>
      <w:rPr>
        <w:rFonts w:ascii="Symbol" w:hAnsi="Symbol"/>
      </w:rPr>
    </w:lvl>
    <w:lvl w:ilvl="5" w:tplc="FE18612E">
      <w:start w:val="1"/>
      <w:numFmt w:val="bullet"/>
      <w:lvlText w:val=""/>
      <w:lvlJc w:val="left"/>
      <w:pPr>
        <w:ind w:left="1080" w:hanging="360"/>
      </w:pPr>
      <w:rPr>
        <w:rFonts w:ascii="Symbol" w:hAnsi="Symbol"/>
      </w:rPr>
    </w:lvl>
    <w:lvl w:ilvl="6" w:tplc="87983158">
      <w:start w:val="1"/>
      <w:numFmt w:val="bullet"/>
      <w:lvlText w:val=""/>
      <w:lvlJc w:val="left"/>
      <w:pPr>
        <w:ind w:left="1080" w:hanging="360"/>
      </w:pPr>
      <w:rPr>
        <w:rFonts w:ascii="Symbol" w:hAnsi="Symbol"/>
      </w:rPr>
    </w:lvl>
    <w:lvl w:ilvl="7" w:tplc="59A0DEE8">
      <w:start w:val="1"/>
      <w:numFmt w:val="bullet"/>
      <w:lvlText w:val=""/>
      <w:lvlJc w:val="left"/>
      <w:pPr>
        <w:ind w:left="1080" w:hanging="360"/>
      </w:pPr>
      <w:rPr>
        <w:rFonts w:ascii="Symbol" w:hAnsi="Symbol"/>
      </w:rPr>
    </w:lvl>
    <w:lvl w:ilvl="8" w:tplc="17F202E4">
      <w:start w:val="1"/>
      <w:numFmt w:val="bullet"/>
      <w:lvlText w:val=""/>
      <w:lvlJc w:val="left"/>
      <w:pPr>
        <w:ind w:left="1080" w:hanging="360"/>
      </w:pPr>
      <w:rPr>
        <w:rFonts w:ascii="Symbol" w:hAnsi="Symbol"/>
      </w:rPr>
    </w:lvl>
  </w:abstractNum>
  <w:abstractNum w:abstractNumId="11" w15:restartNumberingAfterBreak="0">
    <w:nsid w:val="1C593726"/>
    <w:multiLevelType w:val="hybridMultilevel"/>
    <w:tmpl w:val="D578FC7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5E0266"/>
    <w:multiLevelType w:val="hybridMultilevel"/>
    <w:tmpl w:val="82C09F26"/>
    <w:lvl w:ilvl="0" w:tplc="ECAE52A8">
      <w:start w:val="1"/>
      <w:numFmt w:val="bullet"/>
      <w:lvlText w:val=""/>
      <w:lvlJc w:val="left"/>
      <w:pPr>
        <w:ind w:left="1800" w:hanging="360"/>
      </w:pPr>
      <w:rPr>
        <w:rFonts w:ascii="Symbol" w:hAnsi="Symbol"/>
      </w:rPr>
    </w:lvl>
    <w:lvl w:ilvl="1" w:tplc="643E061C">
      <w:start w:val="1"/>
      <w:numFmt w:val="bullet"/>
      <w:lvlText w:val=""/>
      <w:lvlJc w:val="left"/>
      <w:pPr>
        <w:ind w:left="1800" w:hanging="360"/>
      </w:pPr>
      <w:rPr>
        <w:rFonts w:ascii="Symbol" w:hAnsi="Symbol"/>
      </w:rPr>
    </w:lvl>
    <w:lvl w:ilvl="2" w:tplc="D5D8370A">
      <w:start w:val="1"/>
      <w:numFmt w:val="bullet"/>
      <w:lvlText w:val=""/>
      <w:lvlJc w:val="left"/>
      <w:pPr>
        <w:ind w:left="1800" w:hanging="360"/>
      </w:pPr>
      <w:rPr>
        <w:rFonts w:ascii="Symbol" w:hAnsi="Symbol"/>
      </w:rPr>
    </w:lvl>
    <w:lvl w:ilvl="3" w:tplc="FADA0560">
      <w:start w:val="1"/>
      <w:numFmt w:val="bullet"/>
      <w:lvlText w:val=""/>
      <w:lvlJc w:val="left"/>
      <w:pPr>
        <w:ind w:left="1800" w:hanging="360"/>
      </w:pPr>
      <w:rPr>
        <w:rFonts w:ascii="Symbol" w:hAnsi="Symbol"/>
      </w:rPr>
    </w:lvl>
    <w:lvl w:ilvl="4" w:tplc="A36CF3BC">
      <w:start w:val="1"/>
      <w:numFmt w:val="bullet"/>
      <w:lvlText w:val=""/>
      <w:lvlJc w:val="left"/>
      <w:pPr>
        <w:ind w:left="1800" w:hanging="360"/>
      </w:pPr>
      <w:rPr>
        <w:rFonts w:ascii="Symbol" w:hAnsi="Symbol"/>
      </w:rPr>
    </w:lvl>
    <w:lvl w:ilvl="5" w:tplc="150CB288">
      <w:start w:val="1"/>
      <w:numFmt w:val="bullet"/>
      <w:lvlText w:val=""/>
      <w:lvlJc w:val="left"/>
      <w:pPr>
        <w:ind w:left="1800" w:hanging="360"/>
      </w:pPr>
      <w:rPr>
        <w:rFonts w:ascii="Symbol" w:hAnsi="Symbol"/>
      </w:rPr>
    </w:lvl>
    <w:lvl w:ilvl="6" w:tplc="9A7270B2">
      <w:start w:val="1"/>
      <w:numFmt w:val="bullet"/>
      <w:lvlText w:val=""/>
      <w:lvlJc w:val="left"/>
      <w:pPr>
        <w:ind w:left="1800" w:hanging="360"/>
      </w:pPr>
      <w:rPr>
        <w:rFonts w:ascii="Symbol" w:hAnsi="Symbol"/>
      </w:rPr>
    </w:lvl>
    <w:lvl w:ilvl="7" w:tplc="D46A874C">
      <w:start w:val="1"/>
      <w:numFmt w:val="bullet"/>
      <w:lvlText w:val=""/>
      <w:lvlJc w:val="left"/>
      <w:pPr>
        <w:ind w:left="1800" w:hanging="360"/>
      </w:pPr>
      <w:rPr>
        <w:rFonts w:ascii="Symbol" w:hAnsi="Symbol"/>
      </w:rPr>
    </w:lvl>
    <w:lvl w:ilvl="8" w:tplc="CED68EDA">
      <w:start w:val="1"/>
      <w:numFmt w:val="bullet"/>
      <w:lvlText w:val=""/>
      <w:lvlJc w:val="left"/>
      <w:pPr>
        <w:ind w:left="1800" w:hanging="360"/>
      </w:pPr>
      <w:rPr>
        <w:rFonts w:ascii="Symbol" w:hAnsi="Symbol"/>
      </w:rPr>
    </w:lvl>
  </w:abstractNum>
  <w:abstractNum w:abstractNumId="13" w15:restartNumberingAfterBreak="0">
    <w:nsid w:val="1E915E23"/>
    <w:multiLevelType w:val="hybridMultilevel"/>
    <w:tmpl w:val="6B9EE9E6"/>
    <w:lvl w:ilvl="0" w:tplc="B8C87986">
      <w:start w:val="1"/>
      <w:numFmt w:val="decimal"/>
      <w:lvlText w:val="%1."/>
      <w:lvlJc w:val="left"/>
      <w:pPr>
        <w:ind w:left="1020" w:hanging="360"/>
      </w:pPr>
    </w:lvl>
    <w:lvl w:ilvl="1" w:tplc="A516E34C">
      <w:start w:val="1"/>
      <w:numFmt w:val="decimal"/>
      <w:lvlText w:val="%2."/>
      <w:lvlJc w:val="left"/>
      <w:pPr>
        <w:ind w:left="1020" w:hanging="360"/>
      </w:pPr>
    </w:lvl>
    <w:lvl w:ilvl="2" w:tplc="959E34B4">
      <w:start w:val="1"/>
      <w:numFmt w:val="decimal"/>
      <w:lvlText w:val="%3."/>
      <w:lvlJc w:val="left"/>
      <w:pPr>
        <w:ind w:left="1020" w:hanging="360"/>
      </w:pPr>
    </w:lvl>
    <w:lvl w:ilvl="3" w:tplc="284C352C">
      <w:start w:val="1"/>
      <w:numFmt w:val="decimal"/>
      <w:lvlText w:val="%4."/>
      <w:lvlJc w:val="left"/>
      <w:pPr>
        <w:ind w:left="1020" w:hanging="360"/>
      </w:pPr>
    </w:lvl>
    <w:lvl w:ilvl="4" w:tplc="59D82154">
      <w:start w:val="1"/>
      <w:numFmt w:val="decimal"/>
      <w:lvlText w:val="%5."/>
      <w:lvlJc w:val="left"/>
      <w:pPr>
        <w:ind w:left="1020" w:hanging="360"/>
      </w:pPr>
    </w:lvl>
    <w:lvl w:ilvl="5" w:tplc="D7C2A606">
      <w:start w:val="1"/>
      <w:numFmt w:val="decimal"/>
      <w:lvlText w:val="%6."/>
      <w:lvlJc w:val="left"/>
      <w:pPr>
        <w:ind w:left="1020" w:hanging="360"/>
      </w:pPr>
    </w:lvl>
    <w:lvl w:ilvl="6" w:tplc="9F5408CC">
      <w:start w:val="1"/>
      <w:numFmt w:val="decimal"/>
      <w:lvlText w:val="%7."/>
      <w:lvlJc w:val="left"/>
      <w:pPr>
        <w:ind w:left="1020" w:hanging="360"/>
      </w:pPr>
    </w:lvl>
    <w:lvl w:ilvl="7" w:tplc="E06E8458">
      <w:start w:val="1"/>
      <w:numFmt w:val="decimal"/>
      <w:lvlText w:val="%8."/>
      <w:lvlJc w:val="left"/>
      <w:pPr>
        <w:ind w:left="1020" w:hanging="360"/>
      </w:pPr>
    </w:lvl>
    <w:lvl w:ilvl="8" w:tplc="B60A383C">
      <w:start w:val="1"/>
      <w:numFmt w:val="decimal"/>
      <w:lvlText w:val="%9."/>
      <w:lvlJc w:val="left"/>
      <w:pPr>
        <w:ind w:left="1020" w:hanging="360"/>
      </w:pPr>
    </w:lvl>
  </w:abstractNum>
  <w:abstractNum w:abstractNumId="14" w15:restartNumberingAfterBreak="0">
    <w:nsid w:val="1FB219F8"/>
    <w:multiLevelType w:val="hybridMultilevel"/>
    <w:tmpl w:val="6CA0CEB4"/>
    <w:lvl w:ilvl="0" w:tplc="4F38898A">
      <w:start w:val="1"/>
      <w:numFmt w:val="bullet"/>
      <w:pStyle w:val="COMESmainissue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3B6274A"/>
    <w:multiLevelType w:val="hybridMultilevel"/>
    <w:tmpl w:val="1E74A7E2"/>
    <w:lvl w:ilvl="0" w:tplc="E1B6BF4A">
      <w:start w:val="1"/>
      <w:numFmt w:val="decimal"/>
      <w:lvlText w:val="%1."/>
      <w:lvlJc w:val="left"/>
      <w:pPr>
        <w:ind w:left="36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9310A3"/>
    <w:multiLevelType w:val="hybridMultilevel"/>
    <w:tmpl w:val="BF40A9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0346AD7"/>
    <w:multiLevelType w:val="hybridMultilevel"/>
    <w:tmpl w:val="A246DCDC"/>
    <w:lvl w:ilvl="0" w:tplc="8DAA2C5E">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85266D8"/>
    <w:multiLevelType w:val="hybridMultilevel"/>
    <w:tmpl w:val="9640808E"/>
    <w:lvl w:ilvl="0" w:tplc="49A46B88">
      <w:start w:val="1"/>
      <w:numFmt w:val="bullet"/>
      <w:lvlText w:val=""/>
      <w:lvlJc w:val="left"/>
      <w:pPr>
        <w:ind w:left="1800" w:hanging="360"/>
      </w:pPr>
      <w:rPr>
        <w:rFonts w:ascii="Symbol" w:hAnsi="Symbol"/>
      </w:rPr>
    </w:lvl>
    <w:lvl w:ilvl="1" w:tplc="C054E11C">
      <w:start w:val="1"/>
      <w:numFmt w:val="bullet"/>
      <w:lvlText w:val=""/>
      <w:lvlJc w:val="left"/>
      <w:pPr>
        <w:ind w:left="1800" w:hanging="360"/>
      </w:pPr>
      <w:rPr>
        <w:rFonts w:ascii="Symbol" w:hAnsi="Symbol"/>
      </w:rPr>
    </w:lvl>
    <w:lvl w:ilvl="2" w:tplc="A46A0206">
      <w:start w:val="1"/>
      <w:numFmt w:val="bullet"/>
      <w:lvlText w:val=""/>
      <w:lvlJc w:val="left"/>
      <w:pPr>
        <w:ind w:left="1800" w:hanging="360"/>
      </w:pPr>
      <w:rPr>
        <w:rFonts w:ascii="Symbol" w:hAnsi="Symbol"/>
      </w:rPr>
    </w:lvl>
    <w:lvl w:ilvl="3" w:tplc="FA46D1F6">
      <w:start w:val="1"/>
      <w:numFmt w:val="bullet"/>
      <w:lvlText w:val=""/>
      <w:lvlJc w:val="left"/>
      <w:pPr>
        <w:ind w:left="1800" w:hanging="360"/>
      </w:pPr>
      <w:rPr>
        <w:rFonts w:ascii="Symbol" w:hAnsi="Symbol"/>
      </w:rPr>
    </w:lvl>
    <w:lvl w:ilvl="4" w:tplc="68A636D0">
      <w:start w:val="1"/>
      <w:numFmt w:val="bullet"/>
      <w:lvlText w:val=""/>
      <w:lvlJc w:val="left"/>
      <w:pPr>
        <w:ind w:left="1800" w:hanging="360"/>
      </w:pPr>
      <w:rPr>
        <w:rFonts w:ascii="Symbol" w:hAnsi="Symbol"/>
      </w:rPr>
    </w:lvl>
    <w:lvl w:ilvl="5" w:tplc="4A947AC4">
      <w:start w:val="1"/>
      <w:numFmt w:val="bullet"/>
      <w:lvlText w:val=""/>
      <w:lvlJc w:val="left"/>
      <w:pPr>
        <w:ind w:left="1800" w:hanging="360"/>
      </w:pPr>
      <w:rPr>
        <w:rFonts w:ascii="Symbol" w:hAnsi="Symbol"/>
      </w:rPr>
    </w:lvl>
    <w:lvl w:ilvl="6" w:tplc="3BFA5E92">
      <w:start w:val="1"/>
      <w:numFmt w:val="bullet"/>
      <w:lvlText w:val=""/>
      <w:lvlJc w:val="left"/>
      <w:pPr>
        <w:ind w:left="1800" w:hanging="360"/>
      </w:pPr>
      <w:rPr>
        <w:rFonts w:ascii="Symbol" w:hAnsi="Symbol"/>
      </w:rPr>
    </w:lvl>
    <w:lvl w:ilvl="7" w:tplc="78B09BE8">
      <w:start w:val="1"/>
      <w:numFmt w:val="bullet"/>
      <w:lvlText w:val=""/>
      <w:lvlJc w:val="left"/>
      <w:pPr>
        <w:ind w:left="1800" w:hanging="360"/>
      </w:pPr>
      <w:rPr>
        <w:rFonts w:ascii="Symbol" w:hAnsi="Symbol"/>
      </w:rPr>
    </w:lvl>
    <w:lvl w:ilvl="8" w:tplc="B1546498">
      <w:start w:val="1"/>
      <w:numFmt w:val="bullet"/>
      <w:lvlText w:val=""/>
      <w:lvlJc w:val="left"/>
      <w:pPr>
        <w:ind w:left="1800" w:hanging="360"/>
      </w:pPr>
      <w:rPr>
        <w:rFonts w:ascii="Symbol" w:hAnsi="Symbol"/>
      </w:rPr>
    </w:lvl>
  </w:abstractNum>
  <w:abstractNum w:abstractNumId="22" w15:restartNumberingAfterBreak="0">
    <w:nsid w:val="3F625D84"/>
    <w:multiLevelType w:val="hybridMultilevel"/>
    <w:tmpl w:val="AC7454E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3978A5"/>
    <w:multiLevelType w:val="multilevel"/>
    <w:tmpl w:val="32D0E2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442297"/>
    <w:multiLevelType w:val="hybridMultilevel"/>
    <w:tmpl w:val="E6FE4E00"/>
    <w:lvl w:ilvl="0" w:tplc="C324F4FC">
      <w:start w:val="1"/>
      <w:numFmt w:val="bullet"/>
      <w:pStyle w:val="Templateinstructions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B637F3"/>
    <w:multiLevelType w:val="hybridMultilevel"/>
    <w:tmpl w:val="6B309950"/>
    <w:lvl w:ilvl="0" w:tplc="2E1899E0">
      <w:start w:val="1"/>
      <w:numFmt w:val="bullet"/>
      <w:lvlText w:val=""/>
      <w:lvlJc w:val="left"/>
      <w:pPr>
        <w:ind w:left="1800" w:hanging="360"/>
      </w:pPr>
      <w:rPr>
        <w:rFonts w:ascii="Symbol" w:hAnsi="Symbol"/>
      </w:rPr>
    </w:lvl>
    <w:lvl w:ilvl="1" w:tplc="AF328624">
      <w:start w:val="1"/>
      <w:numFmt w:val="bullet"/>
      <w:lvlText w:val=""/>
      <w:lvlJc w:val="left"/>
      <w:pPr>
        <w:ind w:left="1800" w:hanging="360"/>
      </w:pPr>
      <w:rPr>
        <w:rFonts w:ascii="Symbol" w:hAnsi="Symbol"/>
      </w:rPr>
    </w:lvl>
    <w:lvl w:ilvl="2" w:tplc="9E54936E">
      <w:start w:val="1"/>
      <w:numFmt w:val="bullet"/>
      <w:lvlText w:val=""/>
      <w:lvlJc w:val="left"/>
      <w:pPr>
        <w:ind w:left="1800" w:hanging="360"/>
      </w:pPr>
      <w:rPr>
        <w:rFonts w:ascii="Symbol" w:hAnsi="Symbol"/>
      </w:rPr>
    </w:lvl>
    <w:lvl w:ilvl="3" w:tplc="7DB62D50">
      <w:start w:val="1"/>
      <w:numFmt w:val="bullet"/>
      <w:lvlText w:val=""/>
      <w:lvlJc w:val="left"/>
      <w:pPr>
        <w:ind w:left="1800" w:hanging="360"/>
      </w:pPr>
      <w:rPr>
        <w:rFonts w:ascii="Symbol" w:hAnsi="Symbol"/>
      </w:rPr>
    </w:lvl>
    <w:lvl w:ilvl="4" w:tplc="9ED4DA90">
      <w:start w:val="1"/>
      <w:numFmt w:val="bullet"/>
      <w:lvlText w:val=""/>
      <w:lvlJc w:val="left"/>
      <w:pPr>
        <w:ind w:left="1800" w:hanging="360"/>
      </w:pPr>
      <w:rPr>
        <w:rFonts w:ascii="Symbol" w:hAnsi="Symbol"/>
      </w:rPr>
    </w:lvl>
    <w:lvl w:ilvl="5" w:tplc="6DCCB4D4">
      <w:start w:val="1"/>
      <w:numFmt w:val="bullet"/>
      <w:lvlText w:val=""/>
      <w:lvlJc w:val="left"/>
      <w:pPr>
        <w:ind w:left="1800" w:hanging="360"/>
      </w:pPr>
      <w:rPr>
        <w:rFonts w:ascii="Symbol" w:hAnsi="Symbol"/>
      </w:rPr>
    </w:lvl>
    <w:lvl w:ilvl="6" w:tplc="B46C454E">
      <w:start w:val="1"/>
      <w:numFmt w:val="bullet"/>
      <w:lvlText w:val=""/>
      <w:lvlJc w:val="left"/>
      <w:pPr>
        <w:ind w:left="1800" w:hanging="360"/>
      </w:pPr>
      <w:rPr>
        <w:rFonts w:ascii="Symbol" w:hAnsi="Symbol"/>
      </w:rPr>
    </w:lvl>
    <w:lvl w:ilvl="7" w:tplc="221CED2A">
      <w:start w:val="1"/>
      <w:numFmt w:val="bullet"/>
      <w:lvlText w:val=""/>
      <w:lvlJc w:val="left"/>
      <w:pPr>
        <w:ind w:left="1800" w:hanging="360"/>
      </w:pPr>
      <w:rPr>
        <w:rFonts w:ascii="Symbol" w:hAnsi="Symbol"/>
      </w:rPr>
    </w:lvl>
    <w:lvl w:ilvl="8" w:tplc="2B163F3A">
      <w:start w:val="1"/>
      <w:numFmt w:val="bullet"/>
      <w:lvlText w:val=""/>
      <w:lvlJc w:val="left"/>
      <w:pPr>
        <w:ind w:left="1800" w:hanging="360"/>
      </w:pPr>
      <w:rPr>
        <w:rFonts w:ascii="Symbol" w:hAnsi="Symbol"/>
      </w:rPr>
    </w:lvl>
  </w:abstractNum>
  <w:abstractNum w:abstractNumId="26" w15:restartNumberingAfterBreak="0">
    <w:nsid w:val="44EC4778"/>
    <w:multiLevelType w:val="hybridMultilevel"/>
    <w:tmpl w:val="2A3817C6"/>
    <w:lvl w:ilvl="0" w:tplc="700A9FCC">
      <w:start w:val="1"/>
      <w:numFmt w:val="bullet"/>
      <w:lvlText w:val=""/>
      <w:lvlJc w:val="left"/>
      <w:pPr>
        <w:ind w:left="1080" w:hanging="360"/>
      </w:pPr>
      <w:rPr>
        <w:rFonts w:ascii="Symbol" w:hAnsi="Symbol"/>
      </w:rPr>
    </w:lvl>
    <w:lvl w:ilvl="1" w:tplc="F73C7BB6">
      <w:start w:val="1"/>
      <w:numFmt w:val="bullet"/>
      <w:lvlText w:val=""/>
      <w:lvlJc w:val="left"/>
      <w:pPr>
        <w:ind w:left="1080" w:hanging="360"/>
      </w:pPr>
      <w:rPr>
        <w:rFonts w:ascii="Symbol" w:hAnsi="Symbol"/>
      </w:rPr>
    </w:lvl>
    <w:lvl w:ilvl="2" w:tplc="76A03A82">
      <w:start w:val="1"/>
      <w:numFmt w:val="bullet"/>
      <w:lvlText w:val=""/>
      <w:lvlJc w:val="left"/>
      <w:pPr>
        <w:ind w:left="1080" w:hanging="360"/>
      </w:pPr>
      <w:rPr>
        <w:rFonts w:ascii="Symbol" w:hAnsi="Symbol"/>
      </w:rPr>
    </w:lvl>
    <w:lvl w:ilvl="3" w:tplc="0176608C">
      <w:start w:val="1"/>
      <w:numFmt w:val="bullet"/>
      <w:lvlText w:val=""/>
      <w:lvlJc w:val="left"/>
      <w:pPr>
        <w:ind w:left="1080" w:hanging="360"/>
      </w:pPr>
      <w:rPr>
        <w:rFonts w:ascii="Symbol" w:hAnsi="Symbol"/>
      </w:rPr>
    </w:lvl>
    <w:lvl w:ilvl="4" w:tplc="77509F3C">
      <w:start w:val="1"/>
      <w:numFmt w:val="bullet"/>
      <w:lvlText w:val=""/>
      <w:lvlJc w:val="left"/>
      <w:pPr>
        <w:ind w:left="1080" w:hanging="360"/>
      </w:pPr>
      <w:rPr>
        <w:rFonts w:ascii="Symbol" w:hAnsi="Symbol"/>
      </w:rPr>
    </w:lvl>
    <w:lvl w:ilvl="5" w:tplc="59CC84AE">
      <w:start w:val="1"/>
      <w:numFmt w:val="bullet"/>
      <w:lvlText w:val=""/>
      <w:lvlJc w:val="left"/>
      <w:pPr>
        <w:ind w:left="1080" w:hanging="360"/>
      </w:pPr>
      <w:rPr>
        <w:rFonts w:ascii="Symbol" w:hAnsi="Symbol"/>
      </w:rPr>
    </w:lvl>
    <w:lvl w:ilvl="6" w:tplc="9FEEE1E2">
      <w:start w:val="1"/>
      <w:numFmt w:val="bullet"/>
      <w:lvlText w:val=""/>
      <w:lvlJc w:val="left"/>
      <w:pPr>
        <w:ind w:left="1080" w:hanging="360"/>
      </w:pPr>
      <w:rPr>
        <w:rFonts w:ascii="Symbol" w:hAnsi="Symbol"/>
      </w:rPr>
    </w:lvl>
    <w:lvl w:ilvl="7" w:tplc="255CA69C">
      <w:start w:val="1"/>
      <w:numFmt w:val="bullet"/>
      <w:lvlText w:val=""/>
      <w:lvlJc w:val="left"/>
      <w:pPr>
        <w:ind w:left="1080" w:hanging="360"/>
      </w:pPr>
      <w:rPr>
        <w:rFonts w:ascii="Symbol" w:hAnsi="Symbol"/>
      </w:rPr>
    </w:lvl>
    <w:lvl w:ilvl="8" w:tplc="25F23DF4">
      <w:start w:val="1"/>
      <w:numFmt w:val="bullet"/>
      <w:lvlText w:val=""/>
      <w:lvlJc w:val="left"/>
      <w:pPr>
        <w:ind w:left="1080" w:hanging="360"/>
      </w:pPr>
      <w:rPr>
        <w:rFonts w:ascii="Symbol" w:hAnsi="Symbol"/>
      </w:rPr>
    </w:lvl>
  </w:abstractNum>
  <w:abstractNum w:abstractNumId="27" w15:restartNumberingAfterBreak="0">
    <w:nsid w:val="51ED3D80"/>
    <w:multiLevelType w:val="hybridMultilevel"/>
    <w:tmpl w:val="0DE0B7C4"/>
    <w:lvl w:ilvl="0" w:tplc="7214C922">
      <w:start w:val="1"/>
      <w:numFmt w:val="bullet"/>
      <w:lvlText w:val=""/>
      <w:lvlJc w:val="left"/>
      <w:pPr>
        <w:ind w:left="1800" w:hanging="360"/>
      </w:pPr>
      <w:rPr>
        <w:rFonts w:ascii="Symbol" w:hAnsi="Symbol"/>
      </w:rPr>
    </w:lvl>
    <w:lvl w:ilvl="1" w:tplc="C3FA0350">
      <w:start w:val="1"/>
      <w:numFmt w:val="bullet"/>
      <w:lvlText w:val=""/>
      <w:lvlJc w:val="left"/>
      <w:pPr>
        <w:ind w:left="1800" w:hanging="360"/>
      </w:pPr>
      <w:rPr>
        <w:rFonts w:ascii="Symbol" w:hAnsi="Symbol"/>
      </w:rPr>
    </w:lvl>
    <w:lvl w:ilvl="2" w:tplc="79147560">
      <w:start w:val="1"/>
      <w:numFmt w:val="bullet"/>
      <w:lvlText w:val=""/>
      <w:lvlJc w:val="left"/>
      <w:pPr>
        <w:ind w:left="1800" w:hanging="360"/>
      </w:pPr>
      <w:rPr>
        <w:rFonts w:ascii="Symbol" w:hAnsi="Symbol"/>
      </w:rPr>
    </w:lvl>
    <w:lvl w:ilvl="3" w:tplc="891A36FC">
      <w:start w:val="1"/>
      <w:numFmt w:val="bullet"/>
      <w:lvlText w:val=""/>
      <w:lvlJc w:val="left"/>
      <w:pPr>
        <w:ind w:left="1800" w:hanging="360"/>
      </w:pPr>
      <w:rPr>
        <w:rFonts w:ascii="Symbol" w:hAnsi="Symbol"/>
      </w:rPr>
    </w:lvl>
    <w:lvl w:ilvl="4" w:tplc="D9B20B60">
      <w:start w:val="1"/>
      <w:numFmt w:val="bullet"/>
      <w:lvlText w:val=""/>
      <w:lvlJc w:val="left"/>
      <w:pPr>
        <w:ind w:left="1800" w:hanging="360"/>
      </w:pPr>
      <w:rPr>
        <w:rFonts w:ascii="Symbol" w:hAnsi="Symbol"/>
      </w:rPr>
    </w:lvl>
    <w:lvl w:ilvl="5" w:tplc="CB307210">
      <w:start w:val="1"/>
      <w:numFmt w:val="bullet"/>
      <w:lvlText w:val=""/>
      <w:lvlJc w:val="left"/>
      <w:pPr>
        <w:ind w:left="1800" w:hanging="360"/>
      </w:pPr>
      <w:rPr>
        <w:rFonts w:ascii="Symbol" w:hAnsi="Symbol"/>
      </w:rPr>
    </w:lvl>
    <w:lvl w:ilvl="6" w:tplc="53BE391C">
      <w:start w:val="1"/>
      <w:numFmt w:val="bullet"/>
      <w:lvlText w:val=""/>
      <w:lvlJc w:val="left"/>
      <w:pPr>
        <w:ind w:left="1800" w:hanging="360"/>
      </w:pPr>
      <w:rPr>
        <w:rFonts w:ascii="Symbol" w:hAnsi="Symbol"/>
      </w:rPr>
    </w:lvl>
    <w:lvl w:ilvl="7" w:tplc="5866DAA8">
      <w:start w:val="1"/>
      <w:numFmt w:val="bullet"/>
      <w:lvlText w:val=""/>
      <w:lvlJc w:val="left"/>
      <w:pPr>
        <w:ind w:left="1800" w:hanging="360"/>
      </w:pPr>
      <w:rPr>
        <w:rFonts w:ascii="Symbol" w:hAnsi="Symbol"/>
      </w:rPr>
    </w:lvl>
    <w:lvl w:ilvl="8" w:tplc="0B6CA1BE">
      <w:start w:val="1"/>
      <w:numFmt w:val="bullet"/>
      <w:lvlText w:val=""/>
      <w:lvlJc w:val="left"/>
      <w:pPr>
        <w:ind w:left="1800" w:hanging="360"/>
      </w:pPr>
      <w:rPr>
        <w:rFonts w:ascii="Symbol" w:hAnsi="Symbol"/>
      </w:rPr>
    </w:lvl>
  </w:abstractNum>
  <w:abstractNum w:abstractNumId="28" w15:restartNumberingAfterBreak="0">
    <w:nsid w:val="525F4777"/>
    <w:multiLevelType w:val="hybridMultilevel"/>
    <w:tmpl w:val="D890C4E0"/>
    <w:lvl w:ilvl="0" w:tplc="71D44F70">
      <w:start w:val="1"/>
      <w:numFmt w:val="bullet"/>
      <w:lvlText w:val=""/>
      <w:lvlJc w:val="left"/>
      <w:pPr>
        <w:ind w:left="1080" w:hanging="360"/>
      </w:pPr>
      <w:rPr>
        <w:rFonts w:ascii="Symbol" w:hAnsi="Symbol"/>
      </w:rPr>
    </w:lvl>
    <w:lvl w:ilvl="1" w:tplc="D0E211AE">
      <w:start w:val="1"/>
      <w:numFmt w:val="bullet"/>
      <w:lvlText w:val=""/>
      <w:lvlJc w:val="left"/>
      <w:pPr>
        <w:ind w:left="1080" w:hanging="360"/>
      </w:pPr>
      <w:rPr>
        <w:rFonts w:ascii="Symbol" w:hAnsi="Symbol"/>
      </w:rPr>
    </w:lvl>
    <w:lvl w:ilvl="2" w:tplc="BE52F89E">
      <w:start w:val="1"/>
      <w:numFmt w:val="bullet"/>
      <w:lvlText w:val=""/>
      <w:lvlJc w:val="left"/>
      <w:pPr>
        <w:ind w:left="1080" w:hanging="360"/>
      </w:pPr>
      <w:rPr>
        <w:rFonts w:ascii="Symbol" w:hAnsi="Symbol"/>
      </w:rPr>
    </w:lvl>
    <w:lvl w:ilvl="3" w:tplc="711CDCE8">
      <w:start w:val="1"/>
      <w:numFmt w:val="bullet"/>
      <w:lvlText w:val=""/>
      <w:lvlJc w:val="left"/>
      <w:pPr>
        <w:ind w:left="1080" w:hanging="360"/>
      </w:pPr>
      <w:rPr>
        <w:rFonts w:ascii="Symbol" w:hAnsi="Symbol"/>
      </w:rPr>
    </w:lvl>
    <w:lvl w:ilvl="4" w:tplc="2B4C8440">
      <w:start w:val="1"/>
      <w:numFmt w:val="bullet"/>
      <w:lvlText w:val=""/>
      <w:lvlJc w:val="left"/>
      <w:pPr>
        <w:ind w:left="1080" w:hanging="360"/>
      </w:pPr>
      <w:rPr>
        <w:rFonts w:ascii="Symbol" w:hAnsi="Symbol"/>
      </w:rPr>
    </w:lvl>
    <w:lvl w:ilvl="5" w:tplc="FD7AE30C">
      <w:start w:val="1"/>
      <w:numFmt w:val="bullet"/>
      <w:lvlText w:val=""/>
      <w:lvlJc w:val="left"/>
      <w:pPr>
        <w:ind w:left="1080" w:hanging="360"/>
      </w:pPr>
      <w:rPr>
        <w:rFonts w:ascii="Symbol" w:hAnsi="Symbol"/>
      </w:rPr>
    </w:lvl>
    <w:lvl w:ilvl="6" w:tplc="D5466C96">
      <w:start w:val="1"/>
      <w:numFmt w:val="bullet"/>
      <w:lvlText w:val=""/>
      <w:lvlJc w:val="left"/>
      <w:pPr>
        <w:ind w:left="1080" w:hanging="360"/>
      </w:pPr>
      <w:rPr>
        <w:rFonts w:ascii="Symbol" w:hAnsi="Symbol"/>
      </w:rPr>
    </w:lvl>
    <w:lvl w:ilvl="7" w:tplc="382EBD2A">
      <w:start w:val="1"/>
      <w:numFmt w:val="bullet"/>
      <w:lvlText w:val=""/>
      <w:lvlJc w:val="left"/>
      <w:pPr>
        <w:ind w:left="1080" w:hanging="360"/>
      </w:pPr>
      <w:rPr>
        <w:rFonts w:ascii="Symbol" w:hAnsi="Symbol"/>
      </w:rPr>
    </w:lvl>
    <w:lvl w:ilvl="8" w:tplc="8EE46E22">
      <w:start w:val="1"/>
      <w:numFmt w:val="bullet"/>
      <w:lvlText w:val=""/>
      <w:lvlJc w:val="left"/>
      <w:pPr>
        <w:ind w:left="1080" w:hanging="360"/>
      </w:pPr>
      <w:rPr>
        <w:rFonts w:ascii="Symbol" w:hAnsi="Symbol"/>
      </w:rPr>
    </w:lvl>
  </w:abstractNum>
  <w:abstractNum w:abstractNumId="2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A15966"/>
    <w:multiLevelType w:val="hybridMultilevel"/>
    <w:tmpl w:val="AD4A9B1C"/>
    <w:lvl w:ilvl="0" w:tplc="FA80CE64">
      <w:start w:val="1"/>
      <w:numFmt w:val="decimal"/>
      <w:lvlText w:val="%1."/>
      <w:lvlJc w:val="left"/>
      <w:pPr>
        <w:ind w:left="1020" w:hanging="360"/>
      </w:pPr>
    </w:lvl>
    <w:lvl w:ilvl="1" w:tplc="85BE5ABC">
      <w:start w:val="1"/>
      <w:numFmt w:val="decimal"/>
      <w:lvlText w:val="%2."/>
      <w:lvlJc w:val="left"/>
      <w:pPr>
        <w:ind w:left="1020" w:hanging="360"/>
      </w:pPr>
    </w:lvl>
    <w:lvl w:ilvl="2" w:tplc="5658E9EE">
      <w:start w:val="1"/>
      <w:numFmt w:val="decimal"/>
      <w:lvlText w:val="%3."/>
      <w:lvlJc w:val="left"/>
      <w:pPr>
        <w:ind w:left="1020" w:hanging="360"/>
      </w:pPr>
    </w:lvl>
    <w:lvl w:ilvl="3" w:tplc="CBBEAC2E">
      <w:start w:val="1"/>
      <w:numFmt w:val="decimal"/>
      <w:lvlText w:val="%4."/>
      <w:lvlJc w:val="left"/>
      <w:pPr>
        <w:ind w:left="1020" w:hanging="360"/>
      </w:pPr>
    </w:lvl>
    <w:lvl w:ilvl="4" w:tplc="FE76C096">
      <w:start w:val="1"/>
      <w:numFmt w:val="decimal"/>
      <w:lvlText w:val="%5."/>
      <w:lvlJc w:val="left"/>
      <w:pPr>
        <w:ind w:left="1020" w:hanging="360"/>
      </w:pPr>
    </w:lvl>
    <w:lvl w:ilvl="5" w:tplc="D78E1FC2">
      <w:start w:val="1"/>
      <w:numFmt w:val="decimal"/>
      <w:lvlText w:val="%6."/>
      <w:lvlJc w:val="left"/>
      <w:pPr>
        <w:ind w:left="1020" w:hanging="360"/>
      </w:pPr>
    </w:lvl>
    <w:lvl w:ilvl="6" w:tplc="998CFAFA">
      <w:start w:val="1"/>
      <w:numFmt w:val="decimal"/>
      <w:lvlText w:val="%7."/>
      <w:lvlJc w:val="left"/>
      <w:pPr>
        <w:ind w:left="1020" w:hanging="360"/>
      </w:pPr>
    </w:lvl>
    <w:lvl w:ilvl="7" w:tplc="E5C2DEDA">
      <w:start w:val="1"/>
      <w:numFmt w:val="decimal"/>
      <w:lvlText w:val="%8."/>
      <w:lvlJc w:val="left"/>
      <w:pPr>
        <w:ind w:left="1020" w:hanging="360"/>
      </w:pPr>
    </w:lvl>
    <w:lvl w:ilvl="8" w:tplc="120A72BA">
      <w:start w:val="1"/>
      <w:numFmt w:val="decimal"/>
      <w:lvlText w:val="%9."/>
      <w:lvlJc w:val="left"/>
      <w:pPr>
        <w:ind w:left="1020" w:hanging="360"/>
      </w:pPr>
    </w:lvl>
  </w:abstractNum>
  <w:abstractNum w:abstractNumId="31" w15:restartNumberingAfterBreak="0">
    <w:nsid w:val="5CBE3718"/>
    <w:multiLevelType w:val="hybridMultilevel"/>
    <w:tmpl w:val="859670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60DA5A8E"/>
    <w:multiLevelType w:val="hybridMultilevel"/>
    <w:tmpl w:val="AA784C2A"/>
    <w:lvl w:ilvl="0" w:tplc="54107CD6">
      <w:start w:val="1"/>
      <w:numFmt w:val="bullet"/>
      <w:lvlText w:val=""/>
      <w:lvlJc w:val="left"/>
      <w:pPr>
        <w:ind w:left="1080" w:hanging="360"/>
      </w:pPr>
      <w:rPr>
        <w:rFonts w:ascii="Symbol" w:hAnsi="Symbol"/>
      </w:rPr>
    </w:lvl>
    <w:lvl w:ilvl="1" w:tplc="8BB650F8">
      <w:start w:val="1"/>
      <w:numFmt w:val="bullet"/>
      <w:lvlText w:val=""/>
      <w:lvlJc w:val="left"/>
      <w:pPr>
        <w:ind w:left="1080" w:hanging="360"/>
      </w:pPr>
      <w:rPr>
        <w:rFonts w:ascii="Symbol" w:hAnsi="Symbol"/>
      </w:rPr>
    </w:lvl>
    <w:lvl w:ilvl="2" w:tplc="93F8034E">
      <w:start w:val="1"/>
      <w:numFmt w:val="bullet"/>
      <w:lvlText w:val=""/>
      <w:lvlJc w:val="left"/>
      <w:pPr>
        <w:ind w:left="1080" w:hanging="360"/>
      </w:pPr>
      <w:rPr>
        <w:rFonts w:ascii="Symbol" w:hAnsi="Symbol"/>
      </w:rPr>
    </w:lvl>
    <w:lvl w:ilvl="3" w:tplc="0182583A">
      <w:start w:val="1"/>
      <w:numFmt w:val="bullet"/>
      <w:lvlText w:val=""/>
      <w:lvlJc w:val="left"/>
      <w:pPr>
        <w:ind w:left="1080" w:hanging="360"/>
      </w:pPr>
      <w:rPr>
        <w:rFonts w:ascii="Symbol" w:hAnsi="Symbol"/>
      </w:rPr>
    </w:lvl>
    <w:lvl w:ilvl="4" w:tplc="0BD0843E">
      <w:start w:val="1"/>
      <w:numFmt w:val="bullet"/>
      <w:lvlText w:val=""/>
      <w:lvlJc w:val="left"/>
      <w:pPr>
        <w:ind w:left="1080" w:hanging="360"/>
      </w:pPr>
      <w:rPr>
        <w:rFonts w:ascii="Symbol" w:hAnsi="Symbol"/>
      </w:rPr>
    </w:lvl>
    <w:lvl w:ilvl="5" w:tplc="DA1AB3F2">
      <w:start w:val="1"/>
      <w:numFmt w:val="bullet"/>
      <w:lvlText w:val=""/>
      <w:lvlJc w:val="left"/>
      <w:pPr>
        <w:ind w:left="1080" w:hanging="360"/>
      </w:pPr>
      <w:rPr>
        <w:rFonts w:ascii="Symbol" w:hAnsi="Symbol"/>
      </w:rPr>
    </w:lvl>
    <w:lvl w:ilvl="6" w:tplc="EDDA6724">
      <w:start w:val="1"/>
      <w:numFmt w:val="bullet"/>
      <w:lvlText w:val=""/>
      <w:lvlJc w:val="left"/>
      <w:pPr>
        <w:ind w:left="1080" w:hanging="360"/>
      </w:pPr>
      <w:rPr>
        <w:rFonts w:ascii="Symbol" w:hAnsi="Symbol"/>
      </w:rPr>
    </w:lvl>
    <w:lvl w:ilvl="7" w:tplc="6BB6C5AA">
      <w:start w:val="1"/>
      <w:numFmt w:val="bullet"/>
      <w:lvlText w:val=""/>
      <w:lvlJc w:val="left"/>
      <w:pPr>
        <w:ind w:left="1080" w:hanging="360"/>
      </w:pPr>
      <w:rPr>
        <w:rFonts w:ascii="Symbol" w:hAnsi="Symbol"/>
      </w:rPr>
    </w:lvl>
    <w:lvl w:ilvl="8" w:tplc="C1FA21EC">
      <w:start w:val="1"/>
      <w:numFmt w:val="bullet"/>
      <w:lvlText w:val=""/>
      <w:lvlJc w:val="left"/>
      <w:pPr>
        <w:ind w:left="1080" w:hanging="360"/>
      </w:pPr>
      <w:rPr>
        <w:rFonts w:ascii="Symbol" w:hAnsi="Symbol"/>
      </w:rPr>
    </w:lvl>
  </w:abstractNum>
  <w:abstractNum w:abstractNumId="3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662739B2"/>
    <w:multiLevelType w:val="hybridMultilevel"/>
    <w:tmpl w:val="520A9A82"/>
    <w:lvl w:ilvl="0" w:tplc="E81C1646">
      <w:start w:val="1"/>
      <w:numFmt w:val="bullet"/>
      <w:lvlText w:val=""/>
      <w:lvlJc w:val="left"/>
      <w:pPr>
        <w:ind w:left="1800" w:hanging="360"/>
      </w:pPr>
      <w:rPr>
        <w:rFonts w:ascii="Symbol" w:hAnsi="Symbol"/>
      </w:rPr>
    </w:lvl>
    <w:lvl w:ilvl="1" w:tplc="DA3A6DC6">
      <w:start w:val="1"/>
      <w:numFmt w:val="bullet"/>
      <w:lvlText w:val=""/>
      <w:lvlJc w:val="left"/>
      <w:pPr>
        <w:ind w:left="1800" w:hanging="360"/>
      </w:pPr>
      <w:rPr>
        <w:rFonts w:ascii="Symbol" w:hAnsi="Symbol"/>
      </w:rPr>
    </w:lvl>
    <w:lvl w:ilvl="2" w:tplc="A16401B0">
      <w:start w:val="1"/>
      <w:numFmt w:val="bullet"/>
      <w:lvlText w:val=""/>
      <w:lvlJc w:val="left"/>
      <w:pPr>
        <w:ind w:left="1800" w:hanging="360"/>
      </w:pPr>
      <w:rPr>
        <w:rFonts w:ascii="Symbol" w:hAnsi="Symbol"/>
      </w:rPr>
    </w:lvl>
    <w:lvl w:ilvl="3" w:tplc="FCA83D22">
      <w:start w:val="1"/>
      <w:numFmt w:val="bullet"/>
      <w:lvlText w:val=""/>
      <w:lvlJc w:val="left"/>
      <w:pPr>
        <w:ind w:left="1800" w:hanging="360"/>
      </w:pPr>
      <w:rPr>
        <w:rFonts w:ascii="Symbol" w:hAnsi="Symbol"/>
      </w:rPr>
    </w:lvl>
    <w:lvl w:ilvl="4" w:tplc="BD1A1B26">
      <w:start w:val="1"/>
      <w:numFmt w:val="bullet"/>
      <w:lvlText w:val=""/>
      <w:lvlJc w:val="left"/>
      <w:pPr>
        <w:ind w:left="1800" w:hanging="360"/>
      </w:pPr>
      <w:rPr>
        <w:rFonts w:ascii="Symbol" w:hAnsi="Symbol"/>
      </w:rPr>
    </w:lvl>
    <w:lvl w:ilvl="5" w:tplc="EA069F24">
      <w:start w:val="1"/>
      <w:numFmt w:val="bullet"/>
      <w:lvlText w:val=""/>
      <w:lvlJc w:val="left"/>
      <w:pPr>
        <w:ind w:left="1800" w:hanging="360"/>
      </w:pPr>
      <w:rPr>
        <w:rFonts w:ascii="Symbol" w:hAnsi="Symbol"/>
      </w:rPr>
    </w:lvl>
    <w:lvl w:ilvl="6" w:tplc="D34C9044">
      <w:start w:val="1"/>
      <w:numFmt w:val="bullet"/>
      <w:lvlText w:val=""/>
      <w:lvlJc w:val="left"/>
      <w:pPr>
        <w:ind w:left="1800" w:hanging="360"/>
      </w:pPr>
      <w:rPr>
        <w:rFonts w:ascii="Symbol" w:hAnsi="Symbol"/>
      </w:rPr>
    </w:lvl>
    <w:lvl w:ilvl="7" w:tplc="FDF2C8D2">
      <w:start w:val="1"/>
      <w:numFmt w:val="bullet"/>
      <w:lvlText w:val=""/>
      <w:lvlJc w:val="left"/>
      <w:pPr>
        <w:ind w:left="1800" w:hanging="360"/>
      </w:pPr>
      <w:rPr>
        <w:rFonts w:ascii="Symbol" w:hAnsi="Symbol"/>
      </w:rPr>
    </w:lvl>
    <w:lvl w:ilvl="8" w:tplc="D5AE04CA">
      <w:start w:val="1"/>
      <w:numFmt w:val="bullet"/>
      <w:lvlText w:val=""/>
      <w:lvlJc w:val="left"/>
      <w:pPr>
        <w:ind w:left="1800" w:hanging="360"/>
      </w:pPr>
      <w:rPr>
        <w:rFonts w:ascii="Symbol" w:hAnsi="Symbol"/>
      </w:rPr>
    </w:lvl>
  </w:abstractNum>
  <w:abstractNum w:abstractNumId="36" w15:restartNumberingAfterBreak="0">
    <w:nsid w:val="682C1A96"/>
    <w:multiLevelType w:val="multilevel"/>
    <w:tmpl w:val="573ABB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F22442"/>
    <w:multiLevelType w:val="hybridMultilevel"/>
    <w:tmpl w:val="3940C5F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582DFB"/>
    <w:multiLevelType w:val="hybridMultilevel"/>
    <w:tmpl w:val="7C94AA12"/>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6CD73EE3"/>
    <w:multiLevelType w:val="hybridMultilevel"/>
    <w:tmpl w:val="278441D4"/>
    <w:lvl w:ilvl="0" w:tplc="0C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4BA4610"/>
    <w:multiLevelType w:val="multilevel"/>
    <w:tmpl w:val="253A6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4D033C"/>
    <w:multiLevelType w:val="multilevel"/>
    <w:tmpl w:val="BFE2D8F8"/>
    <w:lvl w:ilvl="0">
      <w:start w:val="1"/>
      <w:numFmt w:val="decimal"/>
      <w:pStyle w:val="COMESH2"/>
      <w:lvlText w:val="%1"/>
      <w:lvlJc w:val="left"/>
      <w:pPr>
        <w:ind w:left="720" w:hanging="720"/>
      </w:pPr>
      <w:rPr>
        <w:rFonts w:ascii="Calibri" w:hAnsi="Calibri" w:hint="default"/>
        <w:b/>
        <w:i w:val="0"/>
      </w:rPr>
    </w:lvl>
    <w:lvl w:ilvl="1">
      <w:start w:val="1"/>
      <w:numFmt w:val="decimal"/>
      <w:pStyle w:val="COMESnumberedpara"/>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6C487D"/>
    <w:multiLevelType w:val="hybridMultilevel"/>
    <w:tmpl w:val="55B0D72E"/>
    <w:lvl w:ilvl="0" w:tplc="9134DAC2">
      <w:start w:val="1"/>
      <w:numFmt w:val="bullet"/>
      <w:lvlText w:val=""/>
      <w:lvlJc w:val="left"/>
      <w:pPr>
        <w:ind w:left="1080" w:hanging="360"/>
      </w:pPr>
      <w:rPr>
        <w:rFonts w:ascii="Symbol" w:hAnsi="Symbol"/>
      </w:rPr>
    </w:lvl>
    <w:lvl w:ilvl="1" w:tplc="D3C84162">
      <w:start w:val="1"/>
      <w:numFmt w:val="bullet"/>
      <w:lvlText w:val=""/>
      <w:lvlJc w:val="left"/>
      <w:pPr>
        <w:ind w:left="1080" w:hanging="360"/>
      </w:pPr>
      <w:rPr>
        <w:rFonts w:ascii="Symbol" w:hAnsi="Symbol"/>
      </w:rPr>
    </w:lvl>
    <w:lvl w:ilvl="2" w:tplc="DB169C2E">
      <w:start w:val="1"/>
      <w:numFmt w:val="bullet"/>
      <w:lvlText w:val=""/>
      <w:lvlJc w:val="left"/>
      <w:pPr>
        <w:ind w:left="1080" w:hanging="360"/>
      </w:pPr>
      <w:rPr>
        <w:rFonts w:ascii="Symbol" w:hAnsi="Symbol"/>
      </w:rPr>
    </w:lvl>
    <w:lvl w:ilvl="3" w:tplc="340E5A64">
      <w:start w:val="1"/>
      <w:numFmt w:val="bullet"/>
      <w:lvlText w:val=""/>
      <w:lvlJc w:val="left"/>
      <w:pPr>
        <w:ind w:left="1080" w:hanging="360"/>
      </w:pPr>
      <w:rPr>
        <w:rFonts w:ascii="Symbol" w:hAnsi="Symbol"/>
      </w:rPr>
    </w:lvl>
    <w:lvl w:ilvl="4" w:tplc="2896580E">
      <w:start w:val="1"/>
      <w:numFmt w:val="bullet"/>
      <w:lvlText w:val=""/>
      <w:lvlJc w:val="left"/>
      <w:pPr>
        <w:ind w:left="1080" w:hanging="360"/>
      </w:pPr>
      <w:rPr>
        <w:rFonts w:ascii="Symbol" w:hAnsi="Symbol"/>
      </w:rPr>
    </w:lvl>
    <w:lvl w:ilvl="5" w:tplc="863E671A">
      <w:start w:val="1"/>
      <w:numFmt w:val="bullet"/>
      <w:lvlText w:val=""/>
      <w:lvlJc w:val="left"/>
      <w:pPr>
        <w:ind w:left="1080" w:hanging="360"/>
      </w:pPr>
      <w:rPr>
        <w:rFonts w:ascii="Symbol" w:hAnsi="Symbol"/>
      </w:rPr>
    </w:lvl>
    <w:lvl w:ilvl="6" w:tplc="D9B6BC60">
      <w:start w:val="1"/>
      <w:numFmt w:val="bullet"/>
      <w:lvlText w:val=""/>
      <w:lvlJc w:val="left"/>
      <w:pPr>
        <w:ind w:left="1080" w:hanging="360"/>
      </w:pPr>
      <w:rPr>
        <w:rFonts w:ascii="Symbol" w:hAnsi="Symbol"/>
      </w:rPr>
    </w:lvl>
    <w:lvl w:ilvl="7" w:tplc="30522CA2">
      <w:start w:val="1"/>
      <w:numFmt w:val="bullet"/>
      <w:lvlText w:val=""/>
      <w:lvlJc w:val="left"/>
      <w:pPr>
        <w:ind w:left="1080" w:hanging="360"/>
      </w:pPr>
      <w:rPr>
        <w:rFonts w:ascii="Symbol" w:hAnsi="Symbol"/>
      </w:rPr>
    </w:lvl>
    <w:lvl w:ilvl="8" w:tplc="8BF22E7C">
      <w:start w:val="1"/>
      <w:numFmt w:val="bullet"/>
      <w:lvlText w:val=""/>
      <w:lvlJc w:val="left"/>
      <w:pPr>
        <w:ind w:left="1080" w:hanging="360"/>
      </w:pPr>
      <w:rPr>
        <w:rFonts w:ascii="Symbol" w:hAnsi="Symbol"/>
      </w:rPr>
    </w:lvl>
  </w:abstractNum>
  <w:abstractNum w:abstractNumId="44" w15:restartNumberingAfterBreak="0">
    <w:nsid w:val="7AAC5E70"/>
    <w:multiLevelType w:val="hybridMultilevel"/>
    <w:tmpl w:val="50B6AB5A"/>
    <w:lvl w:ilvl="0" w:tplc="4DF04CB0">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C5648AF"/>
    <w:multiLevelType w:val="multilevel"/>
    <w:tmpl w:val="25742E34"/>
    <w:lvl w:ilvl="0">
      <w:start w:val="1"/>
      <w:numFmt w:val="decimal"/>
      <w:lvlText w:val="%1"/>
      <w:lvlJc w:val="left"/>
      <w:pPr>
        <w:ind w:left="720" w:hanging="720"/>
      </w:pPr>
      <w:rPr>
        <w:rFonts w:ascii="Calibri" w:hAnsi="Calibri" w:hint="default"/>
        <w:b/>
        <w:i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602D60"/>
    <w:multiLevelType w:val="hybridMultilevel"/>
    <w:tmpl w:val="D0E20DA0"/>
    <w:lvl w:ilvl="0" w:tplc="2C9A9D9A">
      <w:start w:val="1"/>
      <w:numFmt w:val="bullet"/>
      <w:lvlText w:val=""/>
      <w:lvlJc w:val="left"/>
      <w:pPr>
        <w:ind w:left="1800" w:hanging="360"/>
      </w:pPr>
      <w:rPr>
        <w:rFonts w:ascii="Symbol" w:hAnsi="Symbol"/>
      </w:rPr>
    </w:lvl>
    <w:lvl w:ilvl="1" w:tplc="BF2EE384">
      <w:start w:val="1"/>
      <w:numFmt w:val="bullet"/>
      <w:lvlText w:val=""/>
      <w:lvlJc w:val="left"/>
      <w:pPr>
        <w:ind w:left="1800" w:hanging="360"/>
      </w:pPr>
      <w:rPr>
        <w:rFonts w:ascii="Symbol" w:hAnsi="Symbol"/>
      </w:rPr>
    </w:lvl>
    <w:lvl w:ilvl="2" w:tplc="DA9AEB00">
      <w:start w:val="1"/>
      <w:numFmt w:val="bullet"/>
      <w:lvlText w:val=""/>
      <w:lvlJc w:val="left"/>
      <w:pPr>
        <w:ind w:left="1800" w:hanging="360"/>
      </w:pPr>
      <w:rPr>
        <w:rFonts w:ascii="Symbol" w:hAnsi="Symbol"/>
      </w:rPr>
    </w:lvl>
    <w:lvl w:ilvl="3" w:tplc="25546684">
      <w:start w:val="1"/>
      <w:numFmt w:val="bullet"/>
      <w:lvlText w:val=""/>
      <w:lvlJc w:val="left"/>
      <w:pPr>
        <w:ind w:left="1800" w:hanging="360"/>
      </w:pPr>
      <w:rPr>
        <w:rFonts w:ascii="Symbol" w:hAnsi="Symbol"/>
      </w:rPr>
    </w:lvl>
    <w:lvl w:ilvl="4" w:tplc="7320EBEA">
      <w:start w:val="1"/>
      <w:numFmt w:val="bullet"/>
      <w:lvlText w:val=""/>
      <w:lvlJc w:val="left"/>
      <w:pPr>
        <w:ind w:left="1800" w:hanging="360"/>
      </w:pPr>
      <w:rPr>
        <w:rFonts w:ascii="Symbol" w:hAnsi="Symbol"/>
      </w:rPr>
    </w:lvl>
    <w:lvl w:ilvl="5" w:tplc="FD901446">
      <w:start w:val="1"/>
      <w:numFmt w:val="bullet"/>
      <w:lvlText w:val=""/>
      <w:lvlJc w:val="left"/>
      <w:pPr>
        <w:ind w:left="1800" w:hanging="360"/>
      </w:pPr>
      <w:rPr>
        <w:rFonts w:ascii="Symbol" w:hAnsi="Symbol"/>
      </w:rPr>
    </w:lvl>
    <w:lvl w:ilvl="6" w:tplc="3272940A">
      <w:start w:val="1"/>
      <w:numFmt w:val="bullet"/>
      <w:lvlText w:val=""/>
      <w:lvlJc w:val="left"/>
      <w:pPr>
        <w:ind w:left="1800" w:hanging="360"/>
      </w:pPr>
      <w:rPr>
        <w:rFonts w:ascii="Symbol" w:hAnsi="Symbol"/>
      </w:rPr>
    </w:lvl>
    <w:lvl w:ilvl="7" w:tplc="AF16677A">
      <w:start w:val="1"/>
      <w:numFmt w:val="bullet"/>
      <w:lvlText w:val=""/>
      <w:lvlJc w:val="left"/>
      <w:pPr>
        <w:ind w:left="1800" w:hanging="360"/>
      </w:pPr>
      <w:rPr>
        <w:rFonts w:ascii="Symbol" w:hAnsi="Symbol"/>
      </w:rPr>
    </w:lvl>
    <w:lvl w:ilvl="8" w:tplc="44863D86">
      <w:start w:val="1"/>
      <w:numFmt w:val="bullet"/>
      <w:lvlText w:val=""/>
      <w:lvlJc w:val="left"/>
      <w:pPr>
        <w:ind w:left="1800" w:hanging="360"/>
      </w:pPr>
      <w:rPr>
        <w:rFonts w:ascii="Symbol" w:hAnsi="Symbol"/>
      </w:rPr>
    </w:lvl>
  </w:abstractNum>
  <w:num w:numId="1" w16cid:durableId="816186631">
    <w:abstractNumId w:val="42"/>
  </w:num>
  <w:num w:numId="2" w16cid:durableId="917793048">
    <w:abstractNumId w:val="24"/>
  </w:num>
  <w:num w:numId="3" w16cid:durableId="220360847">
    <w:abstractNumId w:val="34"/>
  </w:num>
  <w:num w:numId="4" w16cid:durableId="268196418">
    <w:abstractNumId w:val="20"/>
  </w:num>
  <w:num w:numId="5" w16cid:durableId="1048839230">
    <w:abstractNumId w:val="42"/>
  </w:num>
  <w:num w:numId="6" w16cid:durableId="374349641">
    <w:abstractNumId w:val="0"/>
  </w:num>
  <w:num w:numId="7" w16cid:durableId="1681078653">
    <w:abstractNumId w:val="14"/>
  </w:num>
  <w:num w:numId="8" w16cid:durableId="1021971401">
    <w:abstractNumId w:val="16"/>
  </w:num>
  <w:num w:numId="9" w16cid:durableId="565652598">
    <w:abstractNumId w:val="41"/>
  </w:num>
  <w:num w:numId="10" w16cid:durableId="1899054642">
    <w:abstractNumId w:val="36"/>
  </w:num>
  <w:num w:numId="11" w16cid:durableId="729426155">
    <w:abstractNumId w:val="23"/>
  </w:num>
  <w:num w:numId="12" w16cid:durableId="858784835">
    <w:abstractNumId w:val="19"/>
  </w:num>
  <w:num w:numId="13" w16cid:durableId="1372456775">
    <w:abstractNumId w:val="31"/>
  </w:num>
  <w:num w:numId="14" w16cid:durableId="126240624">
    <w:abstractNumId w:val="37"/>
  </w:num>
  <w:num w:numId="15" w16cid:durableId="408699874">
    <w:abstractNumId w:val="29"/>
  </w:num>
  <w:num w:numId="16" w16cid:durableId="1569418770">
    <w:abstractNumId w:val="3"/>
  </w:num>
  <w:num w:numId="17" w16cid:durableId="705176722">
    <w:abstractNumId w:val="1"/>
  </w:num>
  <w:num w:numId="18" w16cid:durableId="1926569401">
    <w:abstractNumId w:val="17"/>
  </w:num>
  <w:num w:numId="19" w16cid:durableId="1979457665">
    <w:abstractNumId w:val="18"/>
  </w:num>
  <w:num w:numId="20" w16cid:durableId="2038313566">
    <w:abstractNumId w:val="15"/>
  </w:num>
  <w:num w:numId="21" w16cid:durableId="129744317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997201">
    <w:abstractNumId w:val="40"/>
  </w:num>
  <w:num w:numId="23" w16cid:durableId="565728505">
    <w:abstractNumId w:val="45"/>
  </w:num>
  <w:num w:numId="24" w16cid:durableId="229464495">
    <w:abstractNumId w:val="2"/>
  </w:num>
  <w:num w:numId="25" w16cid:durableId="1445732679">
    <w:abstractNumId w:val="33"/>
  </w:num>
  <w:num w:numId="26" w16cid:durableId="350765547">
    <w:abstractNumId w:val="25"/>
  </w:num>
  <w:num w:numId="27" w16cid:durableId="899435899">
    <w:abstractNumId w:val="7"/>
  </w:num>
  <w:num w:numId="28" w16cid:durableId="514732726">
    <w:abstractNumId w:val="10"/>
  </w:num>
  <w:num w:numId="29" w16cid:durableId="463698099">
    <w:abstractNumId w:val="35"/>
  </w:num>
  <w:num w:numId="30" w16cid:durableId="1575896659">
    <w:abstractNumId w:val="43"/>
  </w:num>
  <w:num w:numId="31" w16cid:durableId="35934463">
    <w:abstractNumId w:val="9"/>
  </w:num>
  <w:num w:numId="32" w16cid:durableId="2142921877">
    <w:abstractNumId w:val="8"/>
  </w:num>
  <w:num w:numId="33" w16cid:durableId="1133790684">
    <w:abstractNumId w:val="27"/>
  </w:num>
  <w:num w:numId="34" w16cid:durableId="1097285423">
    <w:abstractNumId w:val="5"/>
  </w:num>
  <w:num w:numId="35" w16cid:durableId="1363289824">
    <w:abstractNumId w:val="21"/>
  </w:num>
  <w:num w:numId="36" w16cid:durableId="1184632748">
    <w:abstractNumId w:val="28"/>
  </w:num>
  <w:num w:numId="37" w16cid:durableId="1209340943">
    <w:abstractNumId w:val="46"/>
  </w:num>
  <w:num w:numId="38" w16cid:durableId="583808945">
    <w:abstractNumId w:val="26"/>
  </w:num>
  <w:num w:numId="39" w16cid:durableId="1727214991">
    <w:abstractNumId w:val="12"/>
  </w:num>
  <w:num w:numId="40" w16cid:durableId="1417240938">
    <w:abstractNumId w:val="38"/>
  </w:num>
  <w:num w:numId="41" w16cid:durableId="881284005">
    <w:abstractNumId w:val="11"/>
  </w:num>
  <w:num w:numId="42" w16cid:durableId="1220556321">
    <w:abstractNumId w:val="22"/>
  </w:num>
  <w:num w:numId="43" w16cid:durableId="498813853">
    <w:abstractNumId w:val="4"/>
  </w:num>
  <w:num w:numId="44" w16cid:durableId="1099372091">
    <w:abstractNumId w:val="39"/>
  </w:num>
  <w:num w:numId="45" w16cid:durableId="885020160">
    <w:abstractNumId w:val="42"/>
  </w:num>
  <w:num w:numId="46" w16cid:durableId="536045470">
    <w:abstractNumId w:val="42"/>
  </w:num>
  <w:num w:numId="47" w16cid:durableId="526676429">
    <w:abstractNumId w:val="44"/>
  </w:num>
  <w:num w:numId="48" w16cid:durableId="577598392">
    <w:abstractNumId w:val="6"/>
  </w:num>
  <w:num w:numId="49" w16cid:durableId="1885168982">
    <w:abstractNumId w:val="30"/>
  </w:num>
  <w:num w:numId="50" w16cid:durableId="1453591211">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193"/>
    <w:rsid w:val="0000043C"/>
    <w:rsid w:val="0000054B"/>
    <w:rsid w:val="000005C3"/>
    <w:rsid w:val="00000790"/>
    <w:rsid w:val="00000B48"/>
    <w:rsid w:val="00000D7A"/>
    <w:rsid w:val="0000110B"/>
    <w:rsid w:val="0000136F"/>
    <w:rsid w:val="00001434"/>
    <w:rsid w:val="00001513"/>
    <w:rsid w:val="00001D48"/>
    <w:rsid w:val="0000267D"/>
    <w:rsid w:val="00002780"/>
    <w:rsid w:val="0000286C"/>
    <w:rsid w:val="00002C96"/>
    <w:rsid w:val="00003068"/>
    <w:rsid w:val="00003204"/>
    <w:rsid w:val="00003499"/>
    <w:rsid w:val="000039B7"/>
    <w:rsid w:val="00003ADF"/>
    <w:rsid w:val="00003D3B"/>
    <w:rsid w:val="000042B4"/>
    <w:rsid w:val="00004434"/>
    <w:rsid w:val="00004943"/>
    <w:rsid w:val="00004A13"/>
    <w:rsid w:val="00004B05"/>
    <w:rsid w:val="00005011"/>
    <w:rsid w:val="000056B9"/>
    <w:rsid w:val="00005B07"/>
    <w:rsid w:val="0000639A"/>
    <w:rsid w:val="000063A9"/>
    <w:rsid w:val="00006596"/>
    <w:rsid w:val="00006A4B"/>
    <w:rsid w:val="00006DD6"/>
    <w:rsid w:val="000073F3"/>
    <w:rsid w:val="00007608"/>
    <w:rsid w:val="00007E34"/>
    <w:rsid w:val="00010590"/>
    <w:rsid w:val="00010BB5"/>
    <w:rsid w:val="00011023"/>
    <w:rsid w:val="0001103E"/>
    <w:rsid w:val="00011537"/>
    <w:rsid w:val="00012132"/>
    <w:rsid w:val="00012483"/>
    <w:rsid w:val="00013128"/>
    <w:rsid w:val="00013247"/>
    <w:rsid w:val="00013350"/>
    <w:rsid w:val="0001392F"/>
    <w:rsid w:val="00013DD4"/>
    <w:rsid w:val="0001409F"/>
    <w:rsid w:val="00014466"/>
    <w:rsid w:val="000147AA"/>
    <w:rsid w:val="000147E8"/>
    <w:rsid w:val="00014CCB"/>
    <w:rsid w:val="00014E1B"/>
    <w:rsid w:val="0001509F"/>
    <w:rsid w:val="00015422"/>
    <w:rsid w:val="000156DB"/>
    <w:rsid w:val="00015886"/>
    <w:rsid w:val="00015C3D"/>
    <w:rsid w:val="00015E61"/>
    <w:rsid w:val="000162EF"/>
    <w:rsid w:val="00016B4D"/>
    <w:rsid w:val="00016C99"/>
    <w:rsid w:val="0001749F"/>
    <w:rsid w:val="0001758A"/>
    <w:rsid w:val="0001778E"/>
    <w:rsid w:val="00017B69"/>
    <w:rsid w:val="00017BF6"/>
    <w:rsid w:val="00017D42"/>
    <w:rsid w:val="00017F27"/>
    <w:rsid w:val="00020152"/>
    <w:rsid w:val="00020476"/>
    <w:rsid w:val="000205C3"/>
    <w:rsid w:val="000207C9"/>
    <w:rsid w:val="00020A05"/>
    <w:rsid w:val="00020DBF"/>
    <w:rsid w:val="00021091"/>
    <w:rsid w:val="00021384"/>
    <w:rsid w:val="000213AE"/>
    <w:rsid w:val="00021601"/>
    <w:rsid w:val="00021657"/>
    <w:rsid w:val="00021C94"/>
    <w:rsid w:val="0002201B"/>
    <w:rsid w:val="00022235"/>
    <w:rsid w:val="0002225F"/>
    <w:rsid w:val="00022364"/>
    <w:rsid w:val="0002293D"/>
    <w:rsid w:val="00022A2A"/>
    <w:rsid w:val="00022B34"/>
    <w:rsid w:val="00022C70"/>
    <w:rsid w:val="00022EE0"/>
    <w:rsid w:val="00023763"/>
    <w:rsid w:val="000237A4"/>
    <w:rsid w:val="000238A4"/>
    <w:rsid w:val="00023E48"/>
    <w:rsid w:val="000241B6"/>
    <w:rsid w:val="0002466E"/>
    <w:rsid w:val="000246C3"/>
    <w:rsid w:val="0002491A"/>
    <w:rsid w:val="00024928"/>
    <w:rsid w:val="00024C67"/>
    <w:rsid w:val="00024EB5"/>
    <w:rsid w:val="0002558A"/>
    <w:rsid w:val="00025A84"/>
    <w:rsid w:val="00025AA1"/>
    <w:rsid w:val="00025C15"/>
    <w:rsid w:val="00025D59"/>
    <w:rsid w:val="00026114"/>
    <w:rsid w:val="00026490"/>
    <w:rsid w:val="00026B90"/>
    <w:rsid w:val="00026F49"/>
    <w:rsid w:val="000274B8"/>
    <w:rsid w:val="00027500"/>
    <w:rsid w:val="00027743"/>
    <w:rsid w:val="00027EEF"/>
    <w:rsid w:val="00030390"/>
    <w:rsid w:val="00030A1A"/>
    <w:rsid w:val="00030E90"/>
    <w:rsid w:val="00030EE7"/>
    <w:rsid w:val="000312D9"/>
    <w:rsid w:val="0003161E"/>
    <w:rsid w:val="00031752"/>
    <w:rsid w:val="00031CF2"/>
    <w:rsid w:val="000324BE"/>
    <w:rsid w:val="00032531"/>
    <w:rsid w:val="0003279E"/>
    <w:rsid w:val="00032CBB"/>
    <w:rsid w:val="00032CE9"/>
    <w:rsid w:val="00032CF1"/>
    <w:rsid w:val="00032D88"/>
    <w:rsid w:val="000331D3"/>
    <w:rsid w:val="0003323E"/>
    <w:rsid w:val="00033432"/>
    <w:rsid w:val="000335F3"/>
    <w:rsid w:val="00033863"/>
    <w:rsid w:val="000339F6"/>
    <w:rsid w:val="00033B38"/>
    <w:rsid w:val="00033BFB"/>
    <w:rsid w:val="00033DAF"/>
    <w:rsid w:val="00034145"/>
    <w:rsid w:val="00034717"/>
    <w:rsid w:val="00034E19"/>
    <w:rsid w:val="0003514F"/>
    <w:rsid w:val="00035186"/>
    <w:rsid w:val="000354F8"/>
    <w:rsid w:val="0003550D"/>
    <w:rsid w:val="00035C97"/>
    <w:rsid w:val="00035DC0"/>
    <w:rsid w:val="00036746"/>
    <w:rsid w:val="00036829"/>
    <w:rsid w:val="00036AB1"/>
    <w:rsid w:val="00036D91"/>
    <w:rsid w:val="00036E90"/>
    <w:rsid w:val="00036EB3"/>
    <w:rsid w:val="00036FE5"/>
    <w:rsid w:val="00037D93"/>
    <w:rsid w:val="0004020C"/>
    <w:rsid w:val="000405E9"/>
    <w:rsid w:val="00040895"/>
    <w:rsid w:val="00040C60"/>
    <w:rsid w:val="00040F1B"/>
    <w:rsid w:val="00040F7D"/>
    <w:rsid w:val="000410A0"/>
    <w:rsid w:val="000413FF"/>
    <w:rsid w:val="00041E7E"/>
    <w:rsid w:val="000426A0"/>
    <w:rsid w:val="000427D9"/>
    <w:rsid w:val="00042BA6"/>
    <w:rsid w:val="00042C4B"/>
    <w:rsid w:val="00042D0E"/>
    <w:rsid w:val="00043491"/>
    <w:rsid w:val="000435EE"/>
    <w:rsid w:val="00043A2F"/>
    <w:rsid w:val="00043C37"/>
    <w:rsid w:val="00044506"/>
    <w:rsid w:val="00044628"/>
    <w:rsid w:val="00044687"/>
    <w:rsid w:val="000446E5"/>
    <w:rsid w:val="00044F9F"/>
    <w:rsid w:val="00045017"/>
    <w:rsid w:val="000452F5"/>
    <w:rsid w:val="000453C1"/>
    <w:rsid w:val="0004574E"/>
    <w:rsid w:val="000457A6"/>
    <w:rsid w:val="000459CD"/>
    <w:rsid w:val="00045A2B"/>
    <w:rsid w:val="000460E5"/>
    <w:rsid w:val="00046262"/>
    <w:rsid w:val="00046510"/>
    <w:rsid w:val="000467E1"/>
    <w:rsid w:val="000467F2"/>
    <w:rsid w:val="0004698F"/>
    <w:rsid w:val="00046B04"/>
    <w:rsid w:val="00046D64"/>
    <w:rsid w:val="00046F85"/>
    <w:rsid w:val="00047029"/>
    <w:rsid w:val="000470C1"/>
    <w:rsid w:val="00047BB0"/>
    <w:rsid w:val="00047D0B"/>
    <w:rsid w:val="000503C3"/>
    <w:rsid w:val="000508C2"/>
    <w:rsid w:val="00050929"/>
    <w:rsid w:val="00050C79"/>
    <w:rsid w:val="00050E8D"/>
    <w:rsid w:val="0005116F"/>
    <w:rsid w:val="00051466"/>
    <w:rsid w:val="00051854"/>
    <w:rsid w:val="00051E69"/>
    <w:rsid w:val="00051E93"/>
    <w:rsid w:val="00051F35"/>
    <w:rsid w:val="00052201"/>
    <w:rsid w:val="000528CF"/>
    <w:rsid w:val="00052D56"/>
    <w:rsid w:val="000538FD"/>
    <w:rsid w:val="000539D0"/>
    <w:rsid w:val="00053F60"/>
    <w:rsid w:val="000540C9"/>
    <w:rsid w:val="00054115"/>
    <w:rsid w:val="00054548"/>
    <w:rsid w:val="000545ED"/>
    <w:rsid w:val="00054621"/>
    <w:rsid w:val="000546D7"/>
    <w:rsid w:val="00054A8D"/>
    <w:rsid w:val="00054C8B"/>
    <w:rsid w:val="00055656"/>
    <w:rsid w:val="00055F39"/>
    <w:rsid w:val="0005633B"/>
    <w:rsid w:val="00056418"/>
    <w:rsid w:val="0005647E"/>
    <w:rsid w:val="0005657A"/>
    <w:rsid w:val="000566D1"/>
    <w:rsid w:val="00056DB5"/>
    <w:rsid w:val="00056ECF"/>
    <w:rsid w:val="00057101"/>
    <w:rsid w:val="0005730B"/>
    <w:rsid w:val="00057D15"/>
    <w:rsid w:val="00057F40"/>
    <w:rsid w:val="00060006"/>
    <w:rsid w:val="0006013F"/>
    <w:rsid w:val="000601C8"/>
    <w:rsid w:val="00060341"/>
    <w:rsid w:val="000604DF"/>
    <w:rsid w:val="000608BC"/>
    <w:rsid w:val="00061376"/>
    <w:rsid w:val="00061910"/>
    <w:rsid w:val="00061C01"/>
    <w:rsid w:val="00061E3F"/>
    <w:rsid w:val="00062324"/>
    <w:rsid w:val="00062833"/>
    <w:rsid w:val="00062D2A"/>
    <w:rsid w:val="00062F02"/>
    <w:rsid w:val="00062F59"/>
    <w:rsid w:val="000634B4"/>
    <w:rsid w:val="00063DED"/>
    <w:rsid w:val="00064122"/>
    <w:rsid w:val="000653B5"/>
    <w:rsid w:val="00065941"/>
    <w:rsid w:val="00065CB5"/>
    <w:rsid w:val="00065DA6"/>
    <w:rsid w:val="00066143"/>
    <w:rsid w:val="00066360"/>
    <w:rsid w:val="0006671A"/>
    <w:rsid w:val="00066A75"/>
    <w:rsid w:val="00066AF0"/>
    <w:rsid w:val="00066AF8"/>
    <w:rsid w:val="000670EF"/>
    <w:rsid w:val="00067100"/>
    <w:rsid w:val="00067112"/>
    <w:rsid w:val="00067869"/>
    <w:rsid w:val="000707C6"/>
    <w:rsid w:val="00071248"/>
    <w:rsid w:val="000712DF"/>
    <w:rsid w:val="000713F4"/>
    <w:rsid w:val="000720B9"/>
    <w:rsid w:val="00072970"/>
    <w:rsid w:val="00072B45"/>
    <w:rsid w:val="00072F10"/>
    <w:rsid w:val="0007355F"/>
    <w:rsid w:val="000737F7"/>
    <w:rsid w:val="00073D01"/>
    <w:rsid w:val="00073E3A"/>
    <w:rsid w:val="000742AE"/>
    <w:rsid w:val="0007446A"/>
    <w:rsid w:val="000744F2"/>
    <w:rsid w:val="00075B15"/>
    <w:rsid w:val="00075E11"/>
    <w:rsid w:val="000760D5"/>
    <w:rsid w:val="00076120"/>
    <w:rsid w:val="0007672F"/>
    <w:rsid w:val="00076B54"/>
    <w:rsid w:val="00076E8F"/>
    <w:rsid w:val="0007731F"/>
    <w:rsid w:val="000774F0"/>
    <w:rsid w:val="000775B8"/>
    <w:rsid w:val="0007763F"/>
    <w:rsid w:val="00077775"/>
    <w:rsid w:val="00077C35"/>
    <w:rsid w:val="0008037B"/>
    <w:rsid w:val="00080581"/>
    <w:rsid w:val="00080909"/>
    <w:rsid w:val="00080DC5"/>
    <w:rsid w:val="000812CA"/>
    <w:rsid w:val="000812E5"/>
    <w:rsid w:val="00081B8A"/>
    <w:rsid w:val="00081E63"/>
    <w:rsid w:val="0008258D"/>
    <w:rsid w:val="00083016"/>
    <w:rsid w:val="00083043"/>
    <w:rsid w:val="0008318E"/>
    <w:rsid w:val="00083346"/>
    <w:rsid w:val="0008368E"/>
    <w:rsid w:val="00083917"/>
    <w:rsid w:val="00083C71"/>
    <w:rsid w:val="00083E14"/>
    <w:rsid w:val="00083E99"/>
    <w:rsid w:val="000842D3"/>
    <w:rsid w:val="0008474E"/>
    <w:rsid w:val="00084FA8"/>
    <w:rsid w:val="0008523A"/>
    <w:rsid w:val="000852CF"/>
    <w:rsid w:val="000856C5"/>
    <w:rsid w:val="00085767"/>
    <w:rsid w:val="0008588D"/>
    <w:rsid w:val="00085A67"/>
    <w:rsid w:val="00085C31"/>
    <w:rsid w:val="0008664F"/>
    <w:rsid w:val="00086ADD"/>
    <w:rsid w:val="00086EF1"/>
    <w:rsid w:val="00087019"/>
    <w:rsid w:val="00087654"/>
    <w:rsid w:val="00087799"/>
    <w:rsid w:val="00087820"/>
    <w:rsid w:val="00087D7B"/>
    <w:rsid w:val="000902D9"/>
    <w:rsid w:val="0009061A"/>
    <w:rsid w:val="000906FF"/>
    <w:rsid w:val="0009090B"/>
    <w:rsid w:val="00090C7E"/>
    <w:rsid w:val="00090CCB"/>
    <w:rsid w:val="00090D80"/>
    <w:rsid w:val="00090F0E"/>
    <w:rsid w:val="000911AC"/>
    <w:rsid w:val="0009189D"/>
    <w:rsid w:val="00091D0B"/>
    <w:rsid w:val="00091E92"/>
    <w:rsid w:val="00092039"/>
    <w:rsid w:val="00092600"/>
    <w:rsid w:val="0009262B"/>
    <w:rsid w:val="00092DA2"/>
    <w:rsid w:val="000931D0"/>
    <w:rsid w:val="00093310"/>
    <w:rsid w:val="0009379D"/>
    <w:rsid w:val="000940FE"/>
    <w:rsid w:val="000942F1"/>
    <w:rsid w:val="0009445C"/>
    <w:rsid w:val="00094E59"/>
    <w:rsid w:val="00095080"/>
    <w:rsid w:val="00095200"/>
    <w:rsid w:val="00095331"/>
    <w:rsid w:val="00095334"/>
    <w:rsid w:val="00095ADE"/>
    <w:rsid w:val="00095BEC"/>
    <w:rsid w:val="00095EBB"/>
    <w:rsid w:val="00095FB5"/>
    <w:rsid w:val="00095FE5"/>
    <w:rsid w:val="00096284"/>
    <w:rsid w:val="000964B4"/>
    <w:rsid w:val="0009660D"/>
    <w:rsid w:val="0009684E"/>
    <w:rsid w:val="000969CD"/>
    <w:rsid w:val="00096D07"/>
    <w:rsid w:val="00097526"/>
    <w:rsid w:val="00097732"/>
    <w:rsid w:val="00097DC0"/>
    <w:rsid w:val="00097F3B"/>
    <w:rsid w:val="000A00A6"/>
    <w:rsid w:val="000A04AE"/>
    <w:rsid w:val="000A07BE"/>
    <w:rsid w:val="000A09D8"/>
    <w:rsid w:val="000A0A22"/>
    <w:rsid w:val="000A0A41"/>
    <w:rsid w:val="000A0E68"/>
    <w:rsid w:val="000A1A5B"/>
    <w:rsid w:val="000A1B99"/>
    <w:rsid w:val="000A1BC0"/>
    <w:rsid w:val="000A1D53"/>
    <w:rsid w:val="000A25FF"/>
    <w:rsid w:val="000A29F1"/>
    <w:rsid w:val="000A2B38"/>
    <w:rsid w:val="000A2B98"/>
    <w:rsid w:val="000A2D59"/>
    <w:rsid w:val="000A2F9E"/>
    <w:rsid w:val="000A31AD"/>
    <w:rsid w:val="000A31FF"/>
    <w:rsid w:val="000A3576"/>
    <w:rsid w:val="000A3776"/>
    <w:rsid w:val="000A3C97"/>
    <w:rsid w:val="000A3E47"/>
    <w:rsid w:val="000A4006"/>
    <w:rsid w:val="000A41E2"/>
    <w:rsid w:val="000A4273"/>
    <w:rsid w:val="000A451F"/>
    <w:rsid w:val="000A496E"/>
    <w:rsid w:val="000A4AE5"/>
    <w:rsid w:val="000A4B28"/>
    <w:rsid w:val="000A4B47"/>
    <w:rsid w:val="000A5218"/>
    <w:rsid w:val="000A522B"/>
    <w:rsid w:val="000A55FD"/>
    <w:rsid w:val="000A5747"/>
    <w:rsid w:val="000A5758"/>
    <w:rsid w:val="000A6039"/>
    <w:rsid w:val="000A66D7"/>
    <w:rsid w:val="000A6C3C"/>
    <w:rsid w:val="000A6C5C"/>
    <w:rsid w:val="000A6D32"/>
    <w:rsid w:val="000A6E2C"/>
    <w:rsid w:val="000A73FD"/>
    <w:rsid w:val="000A7453"/>
    <w:rsid w:val="000A757C"/>
    <w:rsid w:val="000A77F7"/>
    <w:rsid w:val="000A794A"/>
    <w:rsid w:val="000A7D08"/>
    <w:rsid w:val="000A7EE2"/>
    <w:rsid w:val="000B0121"/>
    <w:rsid w:val="000B0670"/>
    <w:rsid w:val="000B078D"/>
    <w:rsid w:val="000B08AF"/>
    <w:rsid w:val="000B0E75"/>
    <w:rsid w:val="000B101D"/>
    <w:rsid w:val="000B1B8F"/>
    <w:rsid w:val="000B1C10"/>
    <w:rsid w:val="000B1DA1"/>
    <w:rsid w:val="000B29BD"/>
    <w:rsid w:val="000B2DCB"/>
    <w:rsid w:val="000B2E3D"/>
    <w:rsid w:val="000B321D"/>
    <w:rsid w:val="000B375F"/>
    <w:rsid w:val="000B3A43"/>
    <w:rsid w:val="000B3D5B"/>
    <w:rsid w:val="000B408B"/>
    <w:rsid w:val="000B43EF"/>
    <w:rsid w:val="000B45FC"/>
    <w:rsid w:val="000B47A5"/>
    <w:rsid w:val="000B4D72"/>
    <w:rsid w:val="000B4E6E"/>
    <w:rsid w:val="000B542F"/>
    <w:rsid w:val="000B5902"/>
    <w:rsid w:val="000B59B0"/>
    <w:rsid w:val="000B5CE0"/>
    <w:rsid w:val="000B5CF7"/>
    <w:rsid w:val="000B63AD"/>
    <w:rsid w:val="000B6682"/>
    <w:rsid w:val="000B66B8"/>
    <w:rsid w:val="000B67AA"/>
    <w:rsid w:val="000B6A83"/>
    <w:rsid w:val="000B6CAC"/>
    <w:rsid w:val="000B6DE0"/>
    <w:rsid w:val="000B6F90"/>
    <w:rsid w:val="000B6FB5"/>
    <w:rsid w:val="000B7125"/>
    <w:rsid w:val="000B7358"/>
    <w:rsid w:val="000B744A"/>
    <w:rsid w:val="000B7470"/>
    <w:rsid w:val="000B7612"/>
    <w:rsid w:val="000B78AE"/>
    <w:rsid w:val="000C03F0"/>
    <w:rsid w:val="000C0995"/>
    <w:rsid w:val="000C0AC6"/>
    <w:rsid w:val="000C107F"/>
    <w:rsid w:val="000C133F"/>
    <w:rsid w:val="000C1398"/>
    <w:rsid w:val="000C13F3"/>
    <w:rsid w:val="000C1828"/>
    <w:rsid w:val="000C1AD0"/>
    <w:rsid w:val="000C1C25"/>
    <w:rsid w:val="000C1CDC"/>
    <w:rsid w:val="000C1EF6"/>
    <w:rsid w:val="000C1F8B"/>
    <w:rsid w:val="000C2020"/>
    <w:rsid w:val="000C2FB6"/>
    <w:rsid w:val="000C30C8"/>
    <w:rsid w:val="000C3C5D"/>
    <w:rsid w:val="000C3DF9"/>
    <w:rsid w:val="000C416F"/>
    <w:rsid w:val="000C4689"/>
    <w:rsid w:val="000C4B60"/>
    <w:rsid w:val="000C4CF2"/>
    <w:rsid w:val="000C4EBC"/>
    <w:rsid w:val="000C4F33"/>
    <w:rsid w:val="000C5186"/>
    <w:rsid w:val="000C51C0"/>
    <w:rsid w:val="000C552D"/>
    <w:rsid w:val="000C5568"/>
    <w:rsid w:val="000C56B7"/>
    <w:rsid w:val="000C5CF3"/>
    <w:rsid w:val="000C6220"/>
    <w:rsid w:val="000C65B7"/>
    <w:rsid w:val="000C6713"/>
    <w:rsid w:val="000C6BDA"/>
    <w:rsid w:val="000C6D3C"/>
    <w:rsid w:val="000D0058"/>
    <w:rsid w:val="000D02D5"/>
    <w:rsid w:val="000D0BF6"/>
    <w:rsid w:val="000D0E06"/>
    <w:rsid w:val="000D0EAE"/>
    <w:rsid w:val="000D104C"/>
    <w:rsid w:val="000D10EC"/>
    <w:rsid w:val="000D15C0"/>
    <w:rsid w:val="000D1BFC"/>
    <w:rsid w:val="000D1CBF"/>
    <w:rsid w:val="000D1D5D"/>
    <w:rsid w:val="000D1E23"/>
    <w:rsid w:val="000D203D"/>
    <w:rsid w:val="000D2171"/>
    <w:rsid w:val="000D2303"/>
    <w:rsid w:val="000D24C0"/>
    <w:rsid w:val="000D281A"/>
    <w:rsid w:val="000D2848"/>
    <w:rsid w:val="000D2A4C"/>
    <w:rsid w:val="000D2EA6"/>
    <w:rsid w:val="000D31EB"/>
    <w:rsid w:val="000D326A"/>
    <w:rsid w:val="000D33BB"/>
    <w:rsid w:val="000D34DB"/>
    <w:rsid w:val="000D374D"/>
    <w:rsid w:val="000D3784"/>
    <w:rsid w:val="000D37F5"/>
    <w:rsid w:val="000D3AE4"/>
    <w:rsid w:val="000D4695"/>
    <w:rsid w:val="000D4A69"/>
    <w:rsid w:val="000D4AD0"/>
    <w:rsid w:val="000D4D63"/>
    <w:rsid w:val="000D4DAB"/>
    <w:rsid w:val="000D51FB"/>
    <w:rsid w:val="000D5531"/>
    <w:rsid w:val="000D567F"/>
    <w:rsid w:val="000D5AD5"/>
    <w:rsid w:val="000D613D"/>
    <w:rsid w:val="000D6233"/>
    <w:rsid w:val="000D63D2"/>
    <w:rsid w:val="000D7055"/>
    <w:rsid w:val="000D71C5"/>
    <w:rsid w:val="000D73F1"/>
    <w:rsid w:val="000D75C9"/>
    <w:rsid w:val="000D7F5B"/>
    <w:rsid w:val="000E016B"/>
    <w:rsid w:val="000E01EA"/>
    <w:rsid w:val="000E057A"/>
    <w:rsid w:val="000E0640"/>
    <w:rsid w:val="000E0BD3"/>
    <w:rsid w:val="000E0D30"/>
    <w:rsid w:val="000E1114"/>
    <w:rsid w:val="000E1129"/>
    <w:rsid w:val="000E12D2"/>
    <w:rsid w:val="000E135D"/>
    <w:rsid w:val="000E174C"/>
    <w:rsid w:val="000E1C99"/>
    <w:rsid w:val="000E2403"/>
    <w:rsid w:val="000E27CD"/>
    <w:rsid w:val="000E2B8A"/>
    <w:rsid w:val="000E2C15"/>
    <w:rsid w:val="000E30D4"/>
    <w:rsid w:val="000E3643"/>
    <w:rsid w:val="000E3835"/>
    <w:rsid w:val="000E3AA0"/>
    <w:rsid w:val="000E4439"/>
    <w:rsid w:val="000E4550"/>
    <w:rsid w:val="000E4AD1"/>
    <w:rsid w:val="000E4BF1"/>
    <w:rsid w:val="000E4F71"/>
    <w:rsid w:val="000E55D4"/>
    <w:rsid w:val="000E5E00"/>
    <w:rsid w:val="000E6EE4"/>
    <w:rsid w:val="000E706E"/>
    <w:rsid w:val="000E768E"/>
    <w:rsid w:val="000E7AD7"/>
    <w:rsid w:val="000E7DBE"/>
    <w:rsid w:val="000E7F03"/>
    <w:rsid w:val="000F00BA"/>
    <w:rsid w:val="000F0784"/>
    <w:rsid w:val="000F0BF5"/>
    <w:rsid w:val="000F0DFE"/>
    <w:rsid w:val="000F0EAA"/>
    <w:rsid w:val="000F0EFD"/>
    <w:rsid w:val="000F1071"/>
    <w:rsid w:val="000F1145"/>
    <w:rsid w:val="000F1A47"/>
    <w:rsid w:val="000F1CC4"/>
    <w:rsid w:val="000F1F6A"/>
    <w:rsid w:val="000F2B1A"/>
    <w:rsid w:val="000F30D2"/>
    <w:rsid w:val="000F316A"/>
    <w:rsid w:val="000F3222"/>
    <w:rsid w:val="000F375D"/>
    <w:rsid w:val="000F3AB2"/>
    <w:rsid w:val="000F3C74"/>
    <w:rsid w:val="000F4334"/>
    <w:rsid w:val="000F437F"/>
    <w:rsid w:val="000F4395"/>
    <w:rsid w:val="000F4728"/>
    <w:rsid w:val="000F4815"/>
    <w:rsid w:val="000F49CE"/>
    <w:rsid w:val="000F4A34"/>
    <w:rsid w:val="000F4BB8"/>
    <w:rsid w:val="000F4F77"/>
    <w:rsid w:val="000F4FA9"/>
    <w:rsid w:val="000F4FBB"/>
    <w:rsid w:val="000F53FB"/>
    <w:rsid w:val="000F5624"/>
    <w:rsid w:val="000F5637"/>
    <w:rsid w:val="000F569B"/>
    <w:rsid w:val="000F57EC"/>
    <w:rsid w:val="000F5B53"/>
    <w:rsid w:val="000F5DE9"/>
    <w:rsid w:val="000F5EA6"/>
    <w:rsid w:val="000F5F9B"/>
    <w:rsid w:val="000F5FC5"/>
    <w:rsid w:val="000F6208"/>
    <w:rsid w:val="000F645A"/>
    <w:rsid w:val="000F7127"/>
    <w:rsid w:val="000F7769"/>
    <w:rsid w:val="000F7AB2"/>
    <w:rsid w:val="000F7B54"/>
    <w:rsid w:val="000F7D22"/>
    <w:rsid w:val="001000B3"/>
    <w:rsid w:val="001000CC"/>
    <w:rsid w:val="00100533"/>
    <w:rsid w:val="001008EF"/>
    <w:rsid w:val="00100F8A"/>
    <w:rsid w:val="001010FA"/>
    <w:rsid w:val="0010117B"/>
    <w:rsid w:val="00101428"/>
    <w:rsid w:val="0010162C"/>
    <w:rsid w:val="001017AB"/>
    <w:rsid w:val="00101DCE"/>
    <w:rsid w:val="00101E41"/>
    <w:rsid w:val="00101FC5"/>
    <w:rsid w:val="0010217E"/>
    <w:rsid w:val="00102634"/>
    <w:rsid w:val="001028A6"/>
    <w:rsid w:val="0010333E"/>
    <w:rsid w:val="00103D5B"/>
    <w:rsid w:val="00103E6D"/>
    <w:rsid w:val="001043DA"/>
    <w:rsid w:val="001044C7"/>
    <w:rsid w:val="0010452E"/>
    <w:rsid w:val="00104778"/>
    <w:rsid w:val="001049F8"/>
    <w:rsid w:val="00104A8C"/>
    <w:rsid w:val="00104BD2"/>
    <w:rsid w:val="00104F0C"/>
    <w:rsid w:val="00105317"/>
    <w:rsid w:val="00105393"/>
    <w:rsid w:val="00105A55"/>
    <w:rsid w:val="00105AE2"/>
    <w:rsid w:val="00105BCF"/>
    <w:rsid w:val="001060A9"/>
    <w:rsid w:val="001060C6"/>
    <w:rsid w:val="00106179"/>
    <w:rsid w:val="0010646C"/>
    <w:rsid w:val="0010647B"/>
    <w:rsid w:val="00106983"/>
    <w:rsid w:val="00106B80"/>
    <w:rsid w:val="00106FA5"/>
    <w:rsid w:val="00107796"/>
    <w:rsid w:val="001078B6"/>
    <w:rsid w:val="00110130"/>
    <w:rsid w:val="001102CD"/>
    <w:rsid w:val="0011032E"/>
    <w:rsid w:val="00110758"/>
    <w:rsid w:val="00110B38"/>
    <w:rsid w:val="00110CE3"/>
    <w:rsid w:val="0011115E"/>
    <w:rsid w:val="0011155D"/>
    <w:rsid w:val="00111F99"/>
    <w:rsid w:val="00112101"/>
    <w:rsid w:val="001121E3"/>
    <w:rsid w:val="00112365"/>
    <w:rsid w:val="00112AE2"/>
    <w:rsid w:val="00112C2C"/>
    <w:rsid w:val="0011348B"/>
    <w:rsid w:val="00113E49"/>
    <w:rsid w:val="001140FA"/>
    <w:rsid w:val="00114275"/>
    <w:rsid w:val="00114293"/>
    <w:rsid w:val="001143DA"/>
    <w:rsid w:val="00114B09"/>
    <w:rsid w:val="00115157"/>
    <w:rsid w:val="00115279"/>
    <w:rsid w:val="001157E0"/>
    <w:rsid w:val="00115982"/>
    <w:rsid w:val="00115BD0"/>
    <w:rsid w:val="00115C6F"/>
    <w:rsid w:val="00115CFC"/>
    <w:rsid w:val="00115D28"/>
    <w:rsid w:val="00115D54"/>
    <w:rsid w:val="00116945"/>
    <w:rsid w:val="00116BB0"/>
    <w:rsid w:val="00116C53"/>
    <w:rsid w:val="001175E1"/>
    <w:rsid w:val="00117743"/>
    <w:rsid w:val="0011776E"/>
    <w:rsid w:val="00117E9F"/>
    <w:rsid w:val="00117EFA"/>
    <w:rsid w:val="00120403"/>
    <w:rsid w:val="00120470"/>
    <w:rsid w:val="00120491"/>
    <w:rsid w:val="00120919"/>
    <w:rsid w:val="00121361"/>
    <w:rsid w:val="00121799"/>
    <w:rsid w:val="00121F83"/>
    <w:rsid w:val="001222FC"/>
    <w:rsid w:val="00122A9C"/>
    <w:rsid w:val="00122B37"/>
    <w:rsid w:val="00123742"/>
    <w:rsid w:val="00123902"/>
    <w:rsid w:val="00123921"/>
    <w:rsid w:val="00123BF6"/>
    <w:rsid w:val="00124085"/>
    <w:rsid w:val="00124213"/>
    <w:rsid w:val="00124A51"/>
    <w:rsid w:val="00124F8B"/>
    <w:rsid w:val="00125379"/>
    <w:rsid w:val="0012594A"/>
    <w:rsid w:val="00125A9B"/>
    <w:rsid w:val="00125B51"/>
    <w:rsid w:val="00125CA1"/>
    <w:rsid w:val="00125FDD"/>
    <w:rsid w:val="0012626C"/>
    <w:rsid w:val="00126621"/>
    <w:rsid w:val="00126B1D"/>
    <w:rsid w:val="00127361"/>
    <w:rsid w:val="001273FA"/>
    <w:rsid w:val="00127630"/>
    <w:rsid w:val="00127BFC"/>
    <w:rsid w:val="00127D2D"/>
    <w:rsid w:val="00127DCB"/>
    <w:rsid w:val="001301E9"/>
    <w:rsid w:val="0013095A"/>
    <w:rsid w:val="00130FB0"/>
    <w:rsid w:val="001317D4"/>
    <w:rsid w:val="00131804"/>
    <w:rsid w:val="00131D82"/>
    <w:rsid w:val="00132064"/>
    <w:rsid w:val="00132B22"/>
    <w:rsid w:val="00132BE9"/>
    <w:rsid w:val="00132C29"/>
    <w:rsid w:val="00132F8F"/>
    <w:rsid w:val="00133D36"/>
    <w:rsid w:val="00133F48"/>
    <w:rsid w:val="00134C8E"/>
    <w:rsid w:val="00134E53"/>
    <w:rsid w:val="001352DE"/>
    <w:rsid w:val="00135D3F"/>
    <w:rsid w:val="00136331"/>
    <w:rsid w:val="001370F1"/>
    <w:rsid w:val="00137645"/>
    <w:rsid w:val="0013764E"/>
    <w:rsid w:val="001379C9"/>
    <w:rsid w:val="00137B4C"/>
    <w:rsid w:val="0014015A"/>
    <w:rsid w:val="0014027E"/>
    <w:rsid w:val="00140547"/>
    <w:rsid w:val="00140616"/>
    <w:rsid w:val="00140E99"/>
    <w:rsid w:val="00140F2B"/>
    <w:rsid w:val="001411A8"/>
    <w:rsid w:val="00141217"/>
    <w:rsid w:val="00141F68"/>
    <w:rsid w:val="00141F88"/>
    <w:rsid w:val="00142378"/>
    <w:rsid w:val="001423AD"/>
    <w:rsid w:val="00142D28"/>
    <w:rsid w:val="001436FB"/>
    <w:rsid w:val="0014381A"/>
    <w:rsid w:val="00143BF0"/>
    <w:rsid w:val="00143C64"/>
    <w:rsid w:val="00143CEF"/>
    <w:rsid w:val="00143EEC"/>
    <w:rsid w:val="00143F67"/>
    <w:rsid w:val="0014407D"/>
    <w:rsid w:val="001440AB"/>
    <w:rsid w:val="001440C1"/>
    <w:rsid w:val="00144248"/>
    <w:rsid w:val="0014441A"/>
    <w:rsid w:val="0014477C"/>
    <w:rsid w:val="00144911"/>
    <w:rsid w:val="00144AAB"/>
    <w:rsid w:val="00144E73"/>
    <w:rsid w:val="00144EFF"/>
    <w:rsid w:val="0014507B"/>
    <w:rsid w:val="00145234"/>
    <w:rsid w:val="001452DC"/>
    <w:rsid w:val="00145540"/>
    <w:rsid w:val="001456B0"/>
    <w:rsid w:val="00145966"/>
    <w:rsid w:val="001459A5"/>
    <w:rsid w:val="001462BF"/>
    <w:rsid w:val="001464C9"/>
    <w:rsid w:val="0014674F"/>
    <w:rsid w:val="00147249"/>
    <w:rsid w:val="00147986"/>
    <w:rsid w:val="00147ADD"/>
    <w:rsid w:val="00147AE5"/>
    <w:rsid w:val="00147B27"/>
    <w:rsid w:val="00147BE0"/>
    <w:rsid w:val="00147EDC"/>
    <w:rsid w:val="001509EF"/>
    <w:rsid w:val="00151046"/>
    <w:rsid w:val="001514F2"/>
    <w:rsid w:val="00151744"/>
    <w:rsid w:val="00151C40"/>
    <w:rsid w:val="00152C2D"/>
    <w:rsid w:val="00152CCD"/>
    <w:rsid w:val="0015426D"/>
    <w:rsid w:val="001547AB"/>
    <w:rsid w:val="00154974"/>
    <w:rsid w:val="00154B4F"/>
    <w:rsid w:val="00154C14"/>
    <w:rsid w:val="0015529F"/>
    <w:rsid w:val="0015582B"/>
    <w:rsid w:val="00155D73"/>
    <w:rsid w:val="001562DC"/>
    <w:rsid w:val="00156570"/>
    <w:rsid w:val="0015666D"/>
    <w:rsid w:val="00156D7E"/>
    <w:rsid w:val="00156F8F"/>
    <w:rsid w:val="00156FAA"/>
    <w:rsid w:val="00156FEC"/>
    <w:rsid w:val="00157130"/>
    <w:rsid w:val="001571C2"/>
    <w:rsid w:val="001573A1"/>
    <w:rsid w:val="001576B1"/>
    <w:rsid w:val="00157965"/>
    <w:rsid w:val="001601B5"/>
    <w:rsid w:val="00160469"/>
    <w:rsid w:val="0016047B"/>
    <w:rsid w:val="00160A4C"/>
    <w:rsid w:val="00161513"/>
    <w:rsid w:val="00161BCD"/>
    <w:rsid w:val="001627A0"/>
    <w:rsid w:val="00162837"/>
    <w:rsid w:val="00162913"/>
    <w:rsid w:val="00162AE0"/>
    <w:rsid w:val="00162EB9"/>
    <w:rsid w:val="00162EBB"/>
    <w:rsid w:val="00163E76"/>
    <w:rsid w:val="00163EFF"/>
    <w:rsid w:val="00163F30"/>
    <w:rsid w:val="00163F66"/>
    <w:rsid w:val="00164177"/>
    <w:rsid w:val="001641A3"/>
    <w:rsid w:val="00164209"/>
    <w:rsid w:val="0016478E"/>
    <w:rsid w:val="001648B2"/>
    <w:rsid w:val="00164AD2"/>
    <w:rsid w:val="00164D2A"/>
    <w:rsid w:val="00164D8D"/>
    <w:rsid w:val="00165308"/>
    <w:rsid w:val="00165318"/>
    <w:rsid w:val="00165B50"/>
    <w:rsid w:val="00165EC4"/>
    <w:rsid w:val="00165FD1"/>
    <w:rsid w:val="00166022"/>
    <w:rsid w:val="001661FB"/>
    <w:rsid w:val="00166453"/>
    <w:rsid w:val="001667E2"/>
    <w:rsid w:val="00166865"/>
    <w:rsid w:val="0016694A"/>
    <w:rsid w:val="00166D95"/>
    <w:rsid w:val="00166EEE"/>
    <w:rsid w:val="001671A0"/>
    <w:rsid w:val="0016751B"/>
    <w:rsid w:val="0016767F"/>
    <w:rsid w:val="00167848"/>
    <w:rsid w:val="001679D5"/>
    <w:rsid w:val="00167AB2"/>
    <w:rsid w:val="00167CBD"/>
    <w:rsid w:val="00167DCF"/>
    <w:rsid w:val="001702CC"/>
    <w:rsid w:val="00170432"/>
    <w:rsid w:val="0017082A"/>
    <w:rsid w:val="00170A4D"/>
    <w:rsid w:val="00170AF3"/>
    <w:rsid w:val="00170FFF"/>
    <w:rsid w:val="00171028"/>
    <w:rsid w:val="001713D2"/>
    <w:rsid w:val="001714D0"/>
    <w:rsid w:val="00171BBC"/>
    <w:rsid w:val="00171C3B"/>
    <w:rsid w:val="00172222"/>
    <w:rsid w:val="001724ED"/>
    <w:rsid w:val="0017259E"/>
    <w:rsid w:val="00172826"/>
    <w:rsid w:val="001728C2"/>
    <w:rsid w:val="00172C2B"/>
    <w:rsid w:val="001731AA"/>
    <w:rsid w:val="0017325F"/>
    <w:rsid w:val="0017339E"/>
    <w:rsid w:val="00173565"/>
    <w:rsid w:val="001736B3"/>
    <w:rsid w:val="0017372E"/>
    <w:rsid w:val="00173B07"/>
    <w:rsid w:val="00174A79"/>
    <w:rsid w:val="00174B00"/>
    <w:rsid w:val="00174D5F"/>
    <w:rsid w:val="00174DF9"/>
    <w:rsid w:val="001751FA"/>
    <w:rsid w:val="00175213"/>
    <w:rsid w:val="00175690"/>
    <w:rsid w:val="0017574A"/>
    <w:rsid w:val="00175F2D"/>
    <w:rsid w:val="0017602D"/>
    <w:rsid w:val="001765D1"/>
    <w:rsid w:val="00176750"/>
    <w:rsid w:val="0017676A"/>
    <w:rsid w:val="00176B28"/>
    <w:rsid w:val="00176E21"/>
    <w:rsid w:val="00177067"/>
    <w:rsid w:val="0017740E"/>
    <w:rsid w:val="001776C3"/>
    <w:rsid w:val="001803BC"/>
    <w:rsid w:val="0018050A"/>
    <w:rsid w:val="00180BD8"/>
    <w:rsid w:val="00180BDA"/>
    <w:rsid w:val="00180CD1"/>
    <w:rsid w:val="00180D78"/>
    <w:rsid w:val="00181045"/>
    <w:rsid w:val="00181188"/>
    <w:rsid w:val="001812ED"/>
    <w:rsid w:val="00181634"/>
    <w:rsid w:val="00181C10"/>
    <w:rsid w:val="00181D9C"/>
    <w:rsid w:val="00182007"/>
    <w:rsid w:val="001821F3"/>
    <w:rsid w:val="001826F4"/>
    <w:rsid w:val="00182C78"/>
    <w:rsid w:val="0018306E"/>
    <w:rsid w:val="0018344B"/>
    <w:rsid w:val="001837FF"/>
    <w:rsid w:val="00183927"/>
    <w:rsid w:val="001842F9"/>
    <w:rsid w:val="00184570"/>
    <w:rsid w:val="0018492B"/>
    <w:rsid w:val="00184B0E"/>
    <w:rsid w:val="00184F5F"/>
    <w:rsid w:val="001851FE"/>
    <w:rsid w:val="001852CE"/>
    <w:rsid w:val="001856AA"/>
    <w:rsid w:val="001858E6"/>
    <w:rsid w:val="0018593D"/>
    <w:rsid w:val="00185970"/>
    <w:rsid w:val="00186D02"/>
    <w:rsid w:val="00186ED8"/>
    <w:rsid w:val="001874F0"/>
    <w:rsid w:val="00187512"/>
    <w:rsid w:val="0018752F"/>
    <w:rsid w:val="00187849"/>
    <w:rsid w:val="00187D06"/>
    <w:rsid w:val="001902DE"/>
    <w:rsid w:val="0019038D"/>
    <w:rsid w:val="001903C5"/>
    <w:rsid w:val="0019056C"/>
    <w:rsid w:val="00190A91"/>
    <w:rsid w:val="00190BF1"/>
    <w:rsid w:val="0019139A"/>
    <w:rsid w:val="001920D5"/>
    <w:rsid w:val="001920E1"/>
    <w:rsid w:val="001928E3"/>
    <w:rsid w:val="00193838"/>
    <w:rsid w:val="00193859"/>
    <w:rsid w:val="00193AA0"/>
    <w:rsid w:val="00193B95"/>
    <w:rsid w:val="00194326"/>
    <w:rsid w:val="0019463D"/>
    <w:rsid w:val="00194691"/>
    <w:rsid w:val="001947F7"/>
    <w:rsid w:val="00194971"/>
    <w:rsid w:val="00194A15"/>
    <w:rsid w:val="00194AD8"/>
    <w:rsid w:val="00195222"/>
    <w:rsid w:val="00195452"/>
    <w:rsid w:val="001955C3"/>
    <w:rsid w:val="00195819"/>
    <w:rsid w:val="001958FA"/>
    <w:rsid w:val="00195E48"/>
    <w:rsid w:val="00195F15"/>
    <w:rsid w:val="00196CB7"/>
    <w:rsid w:val="001974AF"/>
    <w:rsid w:val="001975D8"/>
    <w:rsid w:val="0019768B"/>
    <w:rsid w:val="0019792C"/>
    <w:rsid w:val="00197F74"/>
    <w:rsid w:val="001A065E"/>
    <w:rsid w:val="001A06F2"/>
    <w:rsid w:val="001A077F"/>
    <w:rsid w:val="001A0B5E"/>
    <w:rsid w:val="001A1412"/>
    <w:rsid w:val="001A178E"/>
    <w:rsid w:val="001A1AC2"/>
    <w:rsid w:val="001A1AF5"/>
    <w:rsid w:val="001A22EB"/>
    <w:rsid w:val="001A240D"/>
    <w:rsid w:val="001A2972"/>
    <w:rsid w:val="001A2C47"/>
    <w:rsid w:val="001A2DAC"/>
    <w:rsid w:val="001A314D"/>
    <w:rsid w:val="001A34AF"/>
    <w:rsid w:val="001A43FA"/>
    <w:rsid w:val="001A4587"/>
    <w:rsid w:val="001A45F7"/>
    <w:rsid w:val="001A47C5"/>
    <w:rsid w:val="001A4C28"/>
    <w:rsid w:val="001A53A1"/>
    <w:rsid w:val="001A53A9"/>
    <w:rsid w:val="001A58CD"/>
    <w:rsid w:val="001A59FB"/>
    <w:rsid w:val="001A5C25"/>
    <w:rsid w:val="001A5CBB"/>
    <w:rsid w:val="001A5D6B"/>
    <w:rsid w:val="001A5E9E"/>
    <w:rsid w:val="001A5FA5"/>
    <w:rsid w:val="001A61CD"/>
    <w:rsid w:val="001A6354"/>
    <w:rsid w:val="001A6366"/>
    <w:rsid w:val="001A6428"/>
    <w:rsid w:val="001A64B6"/>
    <w:rsid w:val="001A734E"/>
    <w:rsid w:val="001A7AC6"/>
    <w:rsid w:val="001A7AE8"/>
    <w:rsid w:val="001A7C53"/>
    <w:rsid w:val="001B075A"/>
    <w:rsid w:val="001B11EF"/>
    <w:rsid w:val="001B204E"/>
    <w:rsid w:val="001B2059"/>
    <w:rsid w:val="001B2372"/>
    <w:rsid w:val="001B27E7"/>
    <w:rsid w:val="001B28CE"/>
    <w:rsid w:val="001B2C59"/>
    <w:rsid w:val="001B3443"/>
    <w:rsid w:val="001B3658"/>
    <w:rsid w:val="001B370A"/>
    <w:rsid w:val="001B4D20"/>
    <w:rsid w:val="001B5083"/>
    <w:rsid w:val="001B523E"/>
    <w:rsid w:val="001B6917"/>
    <w:rsid w:val="001B776A"/>
    <w:rsid w:val="001B7B67"/>
    <w:rsid w:val="001B7E86"/>
    <w:rsid w:val="001B7EBF"/>
    <w:rsid w:val="001B7F84"/>
    <w:rsid w:val="001C00AF"/>
    <w:rsid w:val="001C0835"/>
    <w:rsid w:val="001C10BA"/>
    <w:rsid w:val="001C18E6"/>
    <w:rsid w:val="001C19F4"/>
    <w:rsid w:val="001C1C54"/>
    <w:rsid w:val="001C1CBD"/>
    <w:rsid w:val="001C1F38"/>
    <w:rsid w:val="001C258D"/>
    <w:rsid w:val="001C25AB"/>
    <w:rsid w:val="001C25C8"/>
    <w:rsid w:val="001C28F1"/>
    <w:rsid w:val="001C2907"/>
    <w:rsid w:val="001C2A9B"/>
    <w:rsid w:val="001C2B47"/>
    <w:rsid w:val="001C2EAB"/>
    <w:rsid w:val="001C2F10"/>
    <w:rsid w:val="001C3282"/>
    <w:rsid w:val="001C392F"/>
    <w:rsid w:val="001C3934"/>
    <w:rsid w:val="001C3A5B"/>
    <w:rsid w:val="001C3DD6"/>
    <w:rsid w:val="001C4022"/>
    <w:rsid w:val="001C4299"/>
    <w:rsid w:val="001C4874"/>
    <w:rsid w:val="001C4E2A"/>
    <w:rsid w:val="001C4FE6"/>
    <w:rsid w:val="001C5444"/>
    <w:rsid w:val="001C57DC"/>
    <w:rsid w:val="001C5F94"/>
    <w:rsid w:val="001C62A2"/>
    <w:rsid w:val="001C68D2"/>
    <w:rsid w:val="001C6B82"/>
    <w:rsid w:val="001C6E66"/>
    <w:rsid w:val="001C7B91"/>
    <w:rsid w:val="001D05C5"/>
    <w:rsid w:val="001D06F3"/>
    <w:rsid w:val="001D0C6F"/>
    <w:rsid w:val="001D0C80"/>
    <w:rsid w:val="001D0CD6"/>
    <w:rsid w:val="001D109E"/>
    <w:rsid w:val="001D1100"/>
    <w:rsid w:val="001D1391"/>
    <w:rsid w:val="001D22E0"/>
    <w:rsid w:val="001D249F"/>
    <w:rsid w:val="001D25D7"/>
    <w:rsid w:val="001D2908"/>
    <w:rsid w:val="001D339C"/>
    <w:rsid w:val="001D3442"/>
    <w:rsid w:val="001D3505"/>
    <w:rsid w:val="001D3675"/>
    <w:rsid w:val="001D3873"/>
    <w:rsid w:val="001D3DB4"/>
    <w:rsid w:val="001D4063"/>
    <w:rsid w:val="001D411C"/>
    <w:rsid w:val="001D41BD"/>
    <w:rsid w:val="001D4233"/>
    <w:rsid w:val="001D4587"/>
    <w:rsid w:val="001D45EE"/>
    <w:rsid w:val="001D45FA"/>
    <w:rsid w:val="001D4765"/>
    <w:rsid w:val="001D4DDB"/>
    <w:rsid w:val="001D4F28"/>
    <w:rsid w:val="001D50B2"/>
    <w:rsid w:val="001D5D0D"/>
    <w:rsid w:val="001D65A2"/>
    <w:rsid w:val="001D6C52"/>
    <w:rsid w:val="001D71F4"/>
    <w:rsid w:val="001D72FD"/>
    <w:rsid w:val="001D733E"/>
    <w:rsid w:val="001D754D"/>
    <w:rsid w:val="001D7645"/>
    <w:rsid w:val="001E030E"/>
    <w:rsid w:val="001E1A7D"/>
    <w:rsid w:val="001E1B4E"/>
    <w:rsid w:val="001E1E86"/>
    <w:rsid w:val="001E205D"/>
    <w:rsid w:val="001E2066"/>
    <w:rsid w:val="001E22DC"/>
    <w:rsid w:val="001E238E"/>
    <w:rsid w:val="001E2483"/>
    <w:rsid w:val="001E259E"/>
    <w:rsid w:val="001E2B17"/>
    <w:rsid w:val="001E2B1E"/>
    <w:rsid w:val="001E2CFF"/>
    <w:rsid w:val="001E2F24"/>
    <w:rsid w:val="001E303D"/>
    <w:rsid w:val="001E30D4"/>
    <w:rsid w:val="001E31D1"/>
    <w:rsid w:val="001E334B"/>
    <w:rsid w:val="001E34DF"/>
    <w:rsid w:val="001E34E1"/>
    <w:rsid w:val="001E42DF"/>
    <w:rsid w:val="001E4ABC"/>
    <w:rsid w:val="001E52EB"/>
    <w:rsid w:val="001E5388"/>
    <w:rsid w:val="001E5979"/>
    <w:rsid w:val="001E5C1F"/>
    <w:rsid w:val="001E5F64"/>
    <w:rsid w:val="001E61D2"/>
    <w:rsid w:val="001E6388"/>
    <w:rsid w:val="001E65C0"/>
    <w:rsid w:val="001E679E"/>
    <w:rsid w:val="001E687F"/>
    <w:rsid w:val="001E6976"/>
    <w:rsid w:val="001E6DFD"/>
    <w:rsid w:val="001E70DB"/>
    <w:rsid w:val="001E740C"/>
    <w:rsid w:val="001E793B"/>
    <w:rsid w:val="001E7A68"/>
    <w:rsid w:val="001E7F64"/>
    <w:rsid w:val="001F05DE"/>
    <w:rsid w:val="001F09F1"/>
    <w:rsid w:val="001F0AC7"/>
    <w:rsid w:val="001F10B1"/>
    <w:rsid w:val="001F1235"/>
    <w:rsid w:val="001F1255"/>
    <w:rsid w:val="001F1309"/>
    <w:rsid w:val="001F15DF"/>
    <w:rsid w:val="001F1B44"/>
    <w:rsid w:val="001F1CB3"/>
    <w:rsid w:val="001F1E4A"/>
    <w:rsid w:val="001F2014"/>
    <w:rsid w:val="001F2975"/>
    <w:rsid w:val="001F2F61"/>
    <w:rsid w:val="001F2FC5"/>
    <w:rsid w:val="001F342B"/>
    <w:rsid w:val="001F38B5"/>
    <w:rsid w:val="001F399C"/>
    <w:rsid w:val="001F3DFA"/>
    <w:rsid w:val="001F4081"/>
    <w:rsid w:val="001F4327"/>
    <w:rsid w:val="001F48F9"/>
    <w:rsid w:val="001F4B73"/>
    <w:rsid w:val="001F50D1"/>
    <w:rsid w:val="001F580E"/>
    <w:rsid w:val="001F5ECC"/>
    <w:rsid w:val="001F606F"/>
    <w:rsid w:val="001F63B3"/>
    <w:rsid w:val="001F6615"/>
    <w:rsid w:val="001F68D8"/>
    <w:rsid w:val="001F710A"/>
    <w:rsid w:val="001F7159"/>
    <w:rsid w:val="001F7361"/>
    <w:rsid w:val="001F7BCF"/>
    <w:rsid w:val="001F7D18"/>
    <w:rsid w:val="002002AB"/>
    <w:rsid w:val="002006AD"/>
    <w:rsid w:val="002011B0"/>
    <w:rsid w:val="002011CB"/>
    <w:rsid w:val="002014C2"/>
    <w:rsid w:val="0020154F"/>
    <w:rsid w:val="00201872"/>
    <w:rsid w:val="0020187C"/>
    <w:rsid w:val="00201B93"/>
    <w:rsid w:val="00202A0B"/>
    <w:rsid w:val="00202AD8"/>
    <w:rsid w:val="002030E1"/>
    <w:rsid w:val="0020315B"/>
    <w:rsid w:val="00203181"/>
    <w:rsid w:val="002031BF"/>
    <w:rsid w:val="002032BA"/>
    <w:rsid w:val="002034ED"/>
    <w:rsid w:val="00203583"/>
    <w:rsid w:val="00203721"/>
    <w:rsid w:val="00203783"/>
    <w:rsid w:val="0020385F"/>
    <w:rsid w:val="0020474B"/>
    <w:rsid w:val="00204A75"/>
    <w:rsid w:val="00204B15"/>
    <w:rsid w:val="00204E73"/>
    <w:rsid w:val="0020564C"/>
    <w:rsid w:val="002056EE"/>
    <w:rsid w:val="00205815"/>
    <w:rsid w:val="00205BAF"/>
    <w:rsid w:val="00205FE8"/>
    <w:rsid w:val="0020608D"/>
    <w:rsid w:val="00206224"/>
    <w:rsid w:val="0020623B"/>
    <w:rsid w:val="002064CB"/>
    <w:rsid w:val="0020654B"/>
    <w:rsid w:val="002068A0"/>
    <w:rsid w:val="00206924"/>
    <w:rsid w:val="00207021"/>
    <w:rsid w:val="00207235"/>
    <w:rsid w:val="0020732F"/>
    <w:rsid w:val="002073E6"/>
    <w:rsid w:val="00207401"/>
    <w:rsid w:val="00207D00"/>
    <w:rsid w:val="00210014"/>
    <w:rsid w:val="0021028E"/>
    <w:rsid w:val="00210369"/>
    <w:rsid w:val="002105C1"/>
    <w:rsid w:val="002108A3"/>
    <w:rsid w:val="002108BE"/>
    <w:rsid w:val="00210908"/>
    <w:rsid w:val="00210C41"/>
    <w:rsid w:val="00211129"/>
    <w:rsid w:val="0021147D"/>
    <w:rsid w:val="002116FD"/>
    <w:rsid w:val="00211F0E"/>
    <w:rsid w:val="002120B4"/>
    <w:rsid w:val="0021231B"/>
    <w:rsid w:val="002125AD"/>
    <w:rsid w:val="00212D63"/>
    <w:rsid w:val="00212E14"/>
    <w:rsid w:val="0021385F"/>
    <w:rsid w:val="00213906"/>
    <w:rsid w:val="00213B1D"/>
    <w:rsid w:val="00213C73"/>
    <w:rsid w:val="00213EF5"/>
    <w:rsid w:val="00213F12"/>
    <w:rsid w:val="00214091"/>
    <w:rsid w:val="002140D8"/>
    <w:rsid w:val="00214EB3"/>
    <w:rsid w:val="0021525B"/>
    <w:rsid w:val="002154FE"/>
    <w:rsid w:val="00215935"/>
    <w:rsid w:val="00215BEA"/>
    <w:rsid w:val="00216296"/>
    <w:rsid w:val="00216BF5"/>
    <w:rsid w:val="00216C4B"/>
    <w:rsid w:val="002176FC"/>
    <w:rsid w:val="002177BE"/>
    <w:rsid w:val="00217874"/>
    <w:rsid w:val="00217A93"/>
    <w:rsid w:val="00217AB8"/>
    <w:rsid w:val="00217BB4"/>
    <w:rsid w:val="0022004E"/>
    <w:rsid w:val="00220C49"/>
    <w:rsid w:val="00221445"/>
    <w:rsid w:val="00221558"/>
    <w:rsid w:val="00221865"/>
    <w:rsid w:val="0022196B"/>
    <w:rsid w:val="00222F7B"/>
    <w:rsid w:val="0022377E"/>
    <w:rsid w:val="00223905"/>
    <w:rsid w:val="00223955"/>
    <w:rsid w:val="00223A9F"/>
    <w:rsid w:val="00223B49"/>
    <w:rsid w:val="00223C66"/>
    <w:rsid w:val="00223D5A"/>
    <w:rsid w:val="00223FC0"/>
    <w:rsid w:val="00224787"/>
    <w:rsid w:val="00224DD4"/>
    <w:rsid w:val="00225378"/>
    <w:rsid w:val="00225434"/>
    <w:rsid w:val="00225462"/>
    <w:rsid w:val="00225543"/>
    <w:rsid w:val="0022564A"/>
    <w:rsid w:val="00226216"/>
    <w:rsid w:val="002262FE"/>
    <w:rsid w:val="002266CB"/>
    <w:rsid w:val="00226873"/>
    <w:rsid w:val="00226A44"/>
    <w:rsid w:val="00226C6D"/>
    <w:rsid w:val="00226E0C"/>
    <w:rsid w:val="002270BD"/>
    <w:rsid w:val="00227650"/>
    <w:rsid w:val="00227895"/>
    <w:rsid w:val="002278A0"/>
    <w:rsid w:val="00227DAF"/>
    <w:rsid w:val="002303AE"/>
    <w:rsid w:val="002309CC"/>
    <w:rsid w:val="00230A0D"/>
    <w:rsid w:val="00230B2E"/>
    <w:rsid w:val="00230B5C"/>
    <w:rsid w:val="00230C46"/>
    <w:rsid w:val="00230D48"/>
    <w:rsid w:val="00230FA1"/>
    <w:rsid w:val="00231265"/>
    <w:rsid w:val="00231733"/>
    <w:rsid w:val="0023176F"/>
    <w:rsid w:val="00231889"/>
    <w:rsid w:val="00231916"/>
    <w:rsid w:val="00231940"/>
    <w:rsid w:val="00231B80"/>
    <w:rsid w:val="00231BA9"/>
    <w:rsid w:val="00231BDF"/>
    <w:rsid w:val="00231DB7"/>
    <w:rsid w:val="00231DEF"/>
    <w:rsid w:val="00231EE2"/>
    <w:rsid w:val="00231F73"/>
    <w:rsid w:val="0023209F"/>
    <w:rsid w:val="00232B8A"/>
    <w:rsid w:val="00232C04"/>
    <w:rsid w:val="0023324D"/>
    <w:rsid w:val="00233796"/>
    <w:rsid w:val="00233C01"/>
    <w:rsid w:val="00233D5C"/>
    <w:rsid w:val="00233DEE"/>
    <w:rsid w:val="0023413C"/>
    <w:rsid w:val="002346F0"/>
    <w:rsid w:val="002349FB"/>
    <w:rsid w:val="00234C41"/>
    <w:rsid w:val="002353D5"/>
    <w:rsid w:val="0023623F"/>
    <w:rsid w:val="0023629D"/>
    <w:rsid w:val="00236B00"/>
    <w:rsid w:val="0023705E"/>
    <w:rsid w:val="00237255"/>
    <w:rsid w:val="00237679"/>
    <w:rsid w:val="0023798F"/>
    <w:rsid w:val="002400FD"/>
    <w:rsid w:val="0024056C"/>
    <w:rsid w:val="00240961"/>
    <w:rsid w:val="00240A1A"/>
    <w:rsid w:val="00240B07"/>
    <w:rsid w:val="00240E75"/>
    <w:rsid w:val="00240F2C"/>
    <w:rsid w:val="00241129"/>
    <w:rsid w:val="002412AB"/>
    <w:rsid w:val="00241565"/>
    <w:rsid w:val="00241736"/>
    <w:rsid w:val="00241FC8"/>
    <w:rsid w:val="0024211A"/>
    <w:rsid w:val="002424AF"/>
    <w:rsid w:val="0024289E"/>
    <w:rsid w:val="0024309E"/>
    <w:rsid w:val="002430B0"/>
    <w:rsid w:val="002432C3"/>
    <w:rsid w:val="00243683"/>
    <w:rsid w:val="00243684"/>
    <w:rsid w:val="00243864"/>
    <w:rsid w:val="002439DC"/>
    <w:rsid w:val="00243A5B"/>
    <w:rsid w:val="00243DDD"/>
    <w:rsid w:val="002441C8"/>
    <w:rsid w:val="002441D2"/>
    <w:rsid w:val="00244685"/>
    <w:rsid w:val="002449D9"/>
    <w:rsid w:val="00244A50"/>
    <w:rsid w:val="00244BF1"/>
    <w:rsid w:val="00244DC0"/>
    <w:rsid w:val="00244DC8"/>
    <w:rsid w:val="00244F44"/>
    <w:rsid w:val="002451DA"/>
    <w:rsid w:val="00245580"/>
    <w:rsid w:val="00245617"/>
    <w:rsid w:val="002458BA"/>
    <w:rsid w:val="00245CE9"/>
    <w:rsid w:val="00245F1A"/>
    <w:rsid w:val="00245FB2"/>
    <w:rsid w:val="00245FEF"/>
    <w:rsid w:val="0024636C"/>
    <w:rsid w:val="00246DB6"/>
    <w:rsid w:val="0024708B"/>
    <w:rsid w:val="0024769E"/>
    <w:rsid w:val="00247925"/>
    <w:rsid w:val="00247C72"/>
    <w:rsid w:val="0025052A"/>
    <w:rsid w:val="00250C2D"/>
    <w:rsid w:val="00250F6A"/>
    <w:rsid w:val="00251006"/>
    <w:rsid w:val="00251161"/>
    <w:rsid w:val="00251192"/>
    <w:rsid w:val="00251411"/>
    <w:rsid w:val="00251920"/>
    <w:rsid w:val="00251B79"/>
    <w:rsid w:val="00251CD2"/>
    <w:rsid w:val="00252485"/>
    <w:rsid w:val="002524D5"/>
    <w:rsid w:val="0025272F"/>
    <w:rsid w:val="00252C7C"/>
    <w:rsid w:val="00252F9D"/>
    <w:rsid w:val="00253715"/>
    <w:rsid w:val="0025391F"/>
    <w:rsid w:val="00253B06"/>
    <w:rsid w:val="00253B1D"/>
    <w:rsid w:val="00253D7C"/>
    <w:rsid w:val="00253D99"/>
    <w:rsid w:val="00253F0E"/>
    <w:rsid w:val="002544BC"/>
    <w:rsid w:val="00254DCF"/>
    <w:rsid w:val="00254E5A"/>
    <w:rsid w:val="0025534B"/>
    <w:rsid w:val="00255830"/>
    <w:rsid w:val="00255A08"/>
    <w:rsid w:val="00255AC9"/>
    <w:rsid w:val="00255BB7"/>
    <w:rsid w:val="00255D93"/>
    <w:rsid w:val="00255F7B"/>
    <w:rsid w:val="00256977"/>
    <w:rsid w:val="00256EB6"/>
    <w:rsid w:val="00256EB8"/>
    <w:rsid w:val="002573AC"/>
    <w:rsid w:val="00257541"/>
    <w:rsid w:val="002578E0"/>
    <w:rsid w:val="002579AE"/>
    <w:rsid w:val="00257A39"/>
    <w:rsid w:val="00257AC4"/>
    <w:rsid w:val="00257B9F"/>
    <w:rsid w:val="00257BBE"/>
    <w:rsid w:val="00260198"/>
    <w:rsid w:val="0026054D"/>
    <w:rsid w:val="00260D02"/>
    <w:rsid w:val="00261041"/>
    <w:rsid w:val="0026120F"/>
    <w:rsid w:val="00261AB0"/>
    <w:rsid w:val="00261EEF"/>
    <w:rsid w:val="00261F1F"/>
    <w:rsid w:val="002621AF"/>
    <w:rsid w:val="00262A1A"/>
    <w:rsid w:val="00262A87"/>
    <w:rsid w:val="00262CEF"/>
    <w:rsid w:val="0026335D"/>
    <w:rsid w:val="0026378F"/>
    <w:rsid w:val="002639A3"/>
    <w:rsid w:val="00264018"/>
    <w:rsid w:val="00264AEB"/>
    <w:rsid w:val="00264D26"/>
    <w:rsid w:val="002657C9"/>
    <w:rsid w:val="002659BE"/>
    <w:rsid w:val="002666F2"/>
    <w:rsid w:val="00266C9F"/>
    <w:rsid w:val="00266CA3"/>
    <w:rsid w:val="00266EF0"/>
    <w:rsid w:val="00267642"/>
    <w:rsid w:val="002677F7"/>
    <w:rsid w:val="0026794D"/>
    <w:rsid w:val="00267AEA"/>
    <w:rsid w:val="00267F12"/>
    <w:rsid w:val="002700E6"/>
    <w:rsid w:val="00270773"/>
    <w:rsid w:val="0027084A"/>
    <w:rsid w:val="00270BBB"/>
    <w:rsid w:val="0027104D"/>
    <w:rsid w:val="00271051"/>
    <w:rsid w:val="00271233"/>
    <w:rsid w:val="00271AB4"/>
    <w:rsid w:val="00271B65"/>
    <w:rsid w:val="00271EA5"/>
    <w:rsid w:val="00272527"/>
    <w:rsid w:val="002726FB"/>
    <w:rsid w:val="0027294B"/>
    <w:rsid w:val="00272C02"/>
    <w:rsid w:val="00272E0C"/>
    <w:rsid w:val="0027383C"/>
    <w:rsid w:val="00273ABC"/>
    <w:rsid w:val="00273C40"/>
    <w:rsid w:val="00273EB4"/>
    <w:rsid w:val="0027402A"/>
    <w:rsid w:val="00274042"/>
    <w:rsid w:val="00274682"/>
    <w:rsid w:val="00274C5A"/>
    <w:rsid w:val="00275158"/>
    <w:rsid w:val="00275450"/>
    <w:rsid w:val="0027589A"/>
    <w:rsid w:val="00275A2D"/>
    <w:rsid w:val="00275A32"/>
    <w:rsid w:val="00275C5A"/>
    <w:rsid w:val="00275CB0"/>
    <w:rsid w:val="0027611B"/>
    <w:rsid w:val="002768E0"/>
    <w:rsid w:val="0027694F"/>
    <w:rsid w:val="00276C0A"/>
    <w:rsid w:val="00276CD2"/>
    <w:rsid w:val="002774D7"/>
    <w:rsid w:val="0027766B"/>
    <w:rsid w:val="00277670"/>
    <w:rsid w:val="00277883"/>
    <w:rsid w:val="00277AB8"/>
    <w:rsid w:val="0028014F"/>
    <w:rsid w:val="0028065F"/>
    <w:rsid w:val="00280892"/>
    <w:rsid w:val="00280D49"/>
    <w:rsid w:val="00280EFC"/>
    <w:rsid w:val="00281014"/>
    <w:rsid w:val="00281401"/>
    <w:rsid w:val="0028149A"/>
    <w:rsid w:val="002816D3"/>
    <w:rsid w:val="00281C99"/>
    <w:rsid w:val="00282564"/>
    <w:rsid w:val="00282ACE"/>
    <w:rsid w:val="00283603"/>
    <w:rsid w:val="002839C1"/>
    <w:rsid w:val="002848E7"/>
    <w:rsid w:val="002848EE"/>
    <w:rsid w:val="00284F2F"/>
    <w:rsid w:val="00285BCE"/>
    <w:rsid w:val="00285C7A"/>
    <w:rsid w:val="00285FA9"/>
    <w:rsid w:val="0028629A"/>
    <w:rsid w:val="0028665D"/>
    <w:rsid w:val="002870AB"/>
    <w:rsid w:val="0028726A"/>
    <w:rsid w:val="00287AEE"/>
    <w:rsid w:val="00290245"/>
    <w:rsid w:val="00290405"/>
    <w:rsid w:val="00290661"/>
    <w:rsid w:val="00290A51"/>
    <w:rsid w:val="00290B0F"/>
    <w:rsid w:val="00290FE5"/>
    <w:rsid w:val="00291038"/>
    <w:rsid w:val="00291812"/>
    <w:rsid w:val="00292846"/>
    <w:rsid w:val="00292B30"/>
    <w:rsid w:val="002933B1"/>
    <w:rsid w:val="00293873"/>
    <w:rsid w:val="002939B8"/>
    <w:rsid w:val="00293C91"/>
    <w:rsid w:val="0029428A"/>
    <w:rsid w:val="00294490"/>
    <w:rsid w:val="0029476E"/>
    <w:rsid w:val="00294FB0"/>
    <w:rsid w:val="0029530B"/>
    <w:rsid w:val="00295881"/>
    <w:rsid w:val="0029603E"/>
    <w:rsid w:val="002962F4"/>
    <w:rsid w:val="00296D4F"/>
    <w:rsid w:val="00297780"/>
    <w:rsid w:val="00297A1B"/>
    <w:rsid w:val="00297AC4"/>
    <w:rsid w:val="002A072B"/>
    <w:rsid w:val="002A07A0"/>
    <w:rsid w:val="002A094B"/>
    <w:rsid w:val="002A0B83"/>
    <w:rsid w:val="002A0E3C"/>
    <w:rsid w:val="002A0F38"/>
    <w:rsid w:val="002A1213"/>
    <w:rsid w:val="002A131C"/>
    <w:rsid w:val="002A14AB"/>
    <w:rsid w:val="002A1666"/>
    <w:rsid w:val="002A1E00"/>
    <w:rsid w:val="002A1E9C"/>
    <w:rsid w:val="002A1EEA"/>
    <w:rsid w:val="002A2ADE"/>
    <w:rsid w:val="002A2C54"/>
    <w:rsid w:val="002A2CB5"/>
    <w:rsid w:val="002A2CD0"/>
    <w:rsid w:val="002A2E31"/>
    <w:rsid w:val="002A2ED3"/>
    <w:rsid w:val="002A2F50"/>
    <w:rsid w:val="002A3324"/>
    <w:rsid w:val="002A3514"/>
    <w:rsid w:val="002A3866"/>
    <w:rsid w:val="002A3A8D"/>
    <w:rsid w:val="002A3C1F"/>
    <w:rsid w:val="002A3CC6"/>
    <w:rsid w:val="002A3E39"/>
    <w:rsid w:val="002A4381"/>
    <w:rsid w:val="002A43DB"/>
    <w:rsid w:val="002A4B1D"/>
    <w:rsid w:val="002A4FBA"/>
    <w:rsid w:val="002A4FED"/>
    <w:rsid w:val="002A5976"/>
    <w:rsid w:val="002A5F84"/>
    <w:rsid w:val="002A69AF"/>
    <w:rsid w:val="002A6C0F"/>
    <w:rsid w:val="002A6F10"/>
    <w:rsid w:val="002A7943"/>
    <w:rsid w:val="002A7DB0"/>
    <w:rsid w:val="002B037D"/>
    <w:rsid w:val="002B03FB"/>
    <w:rsid w:val="002B047B"/>
    <w:rsid w:val="002B054D"/>
    <w:rsid w:val="002B05A1"/>
    <w:rsid w:val="002B06DB"/>
    <w:rsid w:val="002B06DD"/>
    <w:rsid w:val="002B09A4"/>
    <w:rsid w:val="002B13BD"/>
    <w:rsid w:val="002B1607"/>
    <w:rsid w:val="002B1963"/>
    <w:rsid w:val="002B1C1F"/>
    <w:rsid w:val="002B1C44"/>
    <w:rsid w:val="002B2723"/>
    <w:rsid w:val="002B2C90"/>
    <w:rsid w:val="002B2C9D"/>
    <w:rsid w:val="002B357E"/>
    <w:rsid w:val="002B3956"/>
    <w:rsid w:val="002B3B12"/>
    <w:rsid w:val="002B3F76"/>
    <w:rsid w:val="002B432F"/>
    <w:rsid w:val="002B4341"/>
    <w:rsid w:val="002B49BD"/>
    <w:rsid w:val="002B53AF"/>
    <w:rsid w:val="002B597E"/>
    <w:rsid w:val="002B62B3"/>
    <w:rsid w:val="002B63E3"/>
    <w:rsid w:val="002B6754"/>
    <w:rsid w:val="002B6920"/>
    <w:rsid w:val="002B69EE"/>
    <w:rsid w:val="002B6CCE"/>
    <w:rsid w:val="002B7285"/>
    <w:rsid w:val="002B7581"/>
    <w:rsid w:val="002B76E8"/>
    <w:rsid w:val="002C023A"/>
    <w:rsid w:val="002C07CC"/>
    <w:rsid w:val="002C0A3D"/>
    <w:rsid w:val="002C0C8E"/>
    <w:rsid w:val="002C0FA2"/>
    <w:rsid w:val="002C10EE"/>
    <w:rsid w:val="002C1388"/>
    <w:rsid w:val="002C1494"/>
    <w:rsid w:val="002C1930"/>
    <w:rsid w:val="002C1E13"/>
    <w:rsid w:val="002C1E9B"/>
    <w:rsid w:val="002C223A"/>
    <w:rsid w:val="002C22B8"/>
    <w:rsid w:val="002C2510"/>
    <w:rsid w:val="002C2775"/>
    <w:rsid w:val="002C277B"/>
    <w:rsid w:val="002C27C1"/>
    <w:rsid w:val="002C2CFA"/>
    <w:rsid w:val="002C2DFE"/>
    <w:rsid w:val="002C2F32"/>
    <w:rsid w:val="002C35C7"/>
    <w:rsid w:val="002C3647"/>
    <w:rsid w:val="002C36E3"/>
    <w:rsid w:val="002C3756"/>
    <w:rsid w:val="002C3875"/>
    <w:rsid w:val="002C4220"/>
    <w:rsid w:val="002C429B"/>
    <w:rsid w:val="002C4833"/>
    <w:rsid w:val="002C4F63"/>
    <w:rsid w:val="002C5099"/>
    <w:rsid w:val="002C50C6"/>
    <w:rsid w:val="002C5108"/>
    <w:rsid w:val="002C51AC"/>
    <w:rsid w:val="002C528A"/>
    <w:rsid w:val="002C5653"/>
    <w:rsid w:val="002C5677"/>
    <w:rsid w:val="002C5878"/>
    <w:rsid w:val="002C5889"/>
    <w:rsid w:val="002C6091"/>
    <w:rsid w:val="002C622D"/>
    <w:rsid w:val="002C6296"/>
    <w:rsid w:val="002C63CA"/>
    <w:rsid w:val="002C64C1"/>
    <w:rsid w:val="002C65CE"/>
    <w:rsid w:val="002C6D02"/>
    <w:rsid w:val="002C71CE"/>
    <w:rsid w:val="002C78CC"/>
    <w:rsid w:val="002C7DEB"/>
    <w:rsid w:val="002D00F9"/>
    <w:rsid w:val="002D0241"/>
    <w:rsid w:val="002D0851"/>
    <w:rsid w:val="002D08F8"/>
    <w:rsid w:val="002D0FE7"/>
    <w:rsid w:val="002D1783"/>
    <w:rsid w:val="002D19F3"/>
    <w:rsid w:val="002D2674"/>
    <w:rsid w:val="002D26F4"/>
    <w:rsid w:val="002D275F"/>
    <w:rsid w:val="002D2B81"/>
    <w:rsid w:val="002D2D29"/>
    <w:rsid w:val="002D2D66"/>
    <w:rsid w:val="002D3205"/>
    <w:rsid w:val="002D3236"/>
    <w:rsid w:val="002D3B7F"/>
    <w:rsid w:val="002D3C8C"/>
    <w:rsid w:val="002D3E11"/>
    <w:rsid w:val="002D41F5"/>
    <w:rsid w:val="002D4409"/>
    <w:rsid w:val="002D4479"/>
    <w:rsid w:val="002D46A0"/>
    <w:rsid w:val="002D4AE9"/>
    <w:rsid w:val="002D4DEA"/>
    <w:rsid w:val="002D51B5"/>
    <w:rsid w:val="002D52F3"/>
    <w:rsid w:val="002D532E"/>
    <w:rsid w:val="002D577C"/>
    <w:rsid w:val="002D5801"/>
    <w:rsid w:val="002D5C69"/>
    <w:rsid w:val="002D5CA1"/>
    <w:rsid w:val="002D60EA"/>
    <w:rsid w:val="002D626D"/>
    <w:rsid w:val="002D6319"/>
    <w:rsid w:val="002D677E"/>
    <w:rsid w:val="002D6782"/>
    <w:rsid w:val="002D6880"/>
    <w:rsid w:val="002D70DD"/>
    <w:rsid w:val="002D73C2"/>
    <w:rsid w:val="002D7832"/>
    <w:rsid w:val="002D7A6E"/>
    <w:rsid w:val="002D7EC2"/>
    <w:rsid w:val="002D7EEE"/>
    <w:rsid w:val="002E090A"/>
    <w:rsid w:val="002E0A71"/>
    <w:rsid w:val="002E0ADD"/>
    <w:rsid w:val="002E0DAF"/>
    <w:rsid w:val="002E0E08"/>
    <w:rsid w:val="002E1071"/>
    <w:rsid w:val="002E1537"/>
    <w:rsid w:val="002E15B9"/>
    <w:rsid w:val="002E1707"/>
    <w:rsid w:val="002E1D0E"/>
    <w:rsid w:val="002E1DA9"/>
    <w:rsid w:val="002E1FF9"/>
    <w:rsid w:val="002E2071"/>
    <w:rsid w:val="002E2158"/>
    <w:rsid w:val="002E261C"/>
    <w:rsid w:val="002E2B24"/>
    <w:rsid w:val="002E2BEE"/>
    <w:rsid w:val="002E3561"/>
    <w:rsid w:val="002E37BB"/>
    <w:rsid w:val="002E3A0F"/>
    <w:rsid w:val="002E3B2B"/>
    <w:rsid w:val="002E3BF4"/>
    <w:rsid w:val="002E46CF"/>
    <w:rsid w:val="002E482F"/>
    <w:rsid w:val="002E49E3"/>
    <w:rsid w:val="002E4A9D"/>
    <w:rsid w:val="002E4B36"/>
    <w:rsid w:val="002E4F02"/>
    <w:rsid w:val="002E5144"/>
    <w:rsid w:val="002E5859"/>
    <w:rsid w:val="002E5A70"/>
    <w:rsid w:val="002E639B"/>
    <w:rsid w:val="002E646D"/>
    <w:rsid w:val="002E64AB"/>
    <w:rsid w:val="002E6CDD"/>
    <w:rsid w:val="002E6F28"/>
    <w:rsid w:val="002E7311"/>
    <w:rsid w:val="002E747B"/>
    <w:rsid w:val="002E76E4"/>
    <w:rsid w:val="002E7722"/>
    <w:rsid w:val="002E7A26"/>
    <w:rsid w:val="002E7CE6"/>
    <w:rsid w:val="002E7E28"/>
    <w:rsid w:val="002F0417"/>
    <w:rsid w:val="002F07BA"/>
    <w:rsid w:val="002F0C38"/>
    <w:rsid w:val="002F0CEF"/>
    <w:rsid w:val="002F0D06"/>
    <w:rsid w:val="002F0DA9"/>
    <w:rsid w:val="002F1014"/>
    <w:rsid w:val="002F14D1"/>
    <w:rsid w:val="002F151B"/>
    <w:rsid w:val="002F1E3B"/>
    <w:rsid w:val="002F1F6B"/>
    <w:rsid w:val="002F1F85"/>
    <w:rsid w:val="002F24BD"/>
    <w:rsid w:val="002F2606"/>
    <w:rsid w:val="002F26D6"/>
    <w:rsid w:val="002F272D"/>
    <w:rsid w:val="002F2942"/>
    <w:rsid w:val="002F2B48"/>
    <w:rsid w:val="002F2BB4"/>
    <w:rsid w:val="002F363F"/>
    <w:rsid w:val="002F3935"/>
    <w:rsid w:val="002F3C61"/>
    <w:rsid w:val="002F3FEF"/>
    <w:rsid w:val="002F4F8C"/>
    <w:rsid w:val="002F55D8"/>
    <w:rsid w:val="002F5664"/>
    <w:rsid w:val="002F5746"/>
    <w:rsid w:val="002F5801"/>
    <w:rsid w:val="002F5FBF"/>
    <w:rsid w:val="002F6047"/>
    <w:rsid w:val="002F6126"/>
    <w:rsid w:val="002F6134"/>
    <w:rsid w:val="002F643C"/>
    <w:rsid w:val="002F71C0"/>
    <w:rsid w:val="002F7460"/>
    <w:rsid w:val="002F74F1"/>
    <w:rsid w:val="002F778F"/>
    <w:rsid w:val="002F7F6D"/>
    <w:rsid w:val="003002D7"/>
    <w:rsid w:val="00300568"/>
    <w:rsid w:val="00300845"/>
    <w:rsid w:val="00300DB0"/>
    <w:rsid w:val="00300F08"/>
    <w:rsid w:val="00300F09"/>
    <w:rsid w:val="00301017"/>
    <w:rsid w:val="0030155F"/>
    <w:rsid w:val="003018C6"/>
    <w:rsid w:val="00302DA8"/>
    <w:rsid w:val="00302F58"/>
    <w:rsid w:val="00302F70"/>
    <w:rsid w:val="003031A7"/>
    <w:rsid w:val="00303211"/>
    <w:rsid w:val="00303422"/>
    <w:rsid w:val="003034AB"/>
    <w:rsid w:val="00303BBF"/>
    <w:rsid w:val="00304768"/>
    <w:rsid w:val="00304880"/>
    <w:rsid w:val="00304C34"/>
    <w:rsid w:val="0030587B"/>
    <w:rsid w:val="003064E7"/>
    <w:rsid w:val="003066ED"/>
    <w:rsid w:val="00306D98"/>
    <w:rsid w:val="00306E11"/>
    <w:rsid w:val="00306EBB"/>
    <w:rsid w:val="003075B1"/>
    <w:rsid w:val="0030786C"/>
    <w:rsid w:val="0030798F"/>
    <w:rsid w:val="00307E95"/>
    <w:rsid w:val="00310077"/>
    <w:rsid w:val="0031031A"/>
    <w:rsid w:val="0031078E"/>
    <w:rsid w:val="00310981"/>
    <w:rsid w:val="00310DAF"/>
    <w:rsid w:val="00311049"/>
    <w:rsid w:val="003115A2"/>
    <w:rsid w:val="00311D9B"/>
    <w:rsid w:val="00311FB3"/>
    <w:rsid w:val="003120F8"/>
    <w:rsid w:val="0031234E"/>
    <w:rsid w:val="00312381"/>
    <w:rsid w:val="003124D9"/>
    <w:rsid w:val="00312594"/>
    <w:rsid w:val="00312686"/>
    <w:rsid w:val="00313DE1"/>
    <w:rsid w:val="00313ED0"/>
    <w:rsid w:val="0031411F"/>
    <w:rsid w:val="00314536"/>
    <w:rsid w:val="00315121"/>
    <w:rsid w:val="003151C7"/>
    <w:rsid w:val="00315498"/>
    <w:rsid w:val="00315718"/>
    <w:rsid w:val="0031624E"/>
    <w:rsid w:val="0031639C"/>
    <w:rsid w:val="00316474"/>
    <w:rsid w:val="00316BA2"/>
    <w:rsid w:val="00316CC4"/>
    <w:rsid w:val="00316F8D"/>
    <w:rsid w:val="0031716A"/>
    <w:rsid w:val="003172FF"/>
    <w:rsid w:val="00317986"/>
    <w:rsid w:val="00317AA1"/>
    <w:rsid w:val="00317BA3"/>
    <w:rsid w:val="003205F8"/>
    <w:rsid w:val="00320937"/>
    <w:rsid w:val="00321025"/>
    <w:rsid w:val="00321079"/>
    <w:rsid w:val="003218EB"/>
    <w:rsid w:val="00321C2D"/>
    <w:rsid w:val="00321CFA"/>
    <w:rsid w:val="00322107"/>
    <w:rsid w:val="0032219F"/>
    <w:rsid w:val="00322355"/>
    <w:rsid w:val="0032236A"/>
    <w:rsid w:val="00322846"/>
    <w:rsid w:val="00322C2C"/>
    <w:rsid w:val="00323066"/>
    <w:rsid w:val="003234B2"/>
    <w:rsid w:val="00323501"/>
    <w:rsid w:val="00323B13"/>
    <w:rsid w:val="00323BFA"/>
    <w:rsid w:val="0032402E"/>
    <w:rsid w:val="003242C4"/>
    <w:rsid w:val="00324441"/>
    <w:rsid w:val="0032462C"/>
    <w:rsid w:val="0032467D"/>
    <w:rsid w:val="00324719"/>
    <w:rsid w:val="00324CB5"/>
    <w:rsid w:val="00324F24"/>
    <w:rsid w:val="00324FEA"/>
    <w:rsid w:val="0032525C"/>
    <w:rsid w:val="00325466"/>
    <w:rsid w:val="00325678"/>
    <w:rsid w:val="00325787"/>
    <w:rsid w:val="0032580D"/>
    <w:rsid w:val="003258EE"/>
    <w:rsid w:val="00325B91"/>
    <w:rsid w:val="003264F5"/>
    <w:rsid w:val="0032651E"/>
    <w:rsid w:val="00326CBA"/>
    <w:rsid w:val="00326DA7"/>
    <w:rsid w:val="00326DFE"/>
    <w:rsid w:val="00326E91"/>
    <w:rsid w:val="003270E4"/>
    <w:rsid w:val="0032730C"/>
    <w:rsid w:val="00327E55"/>
    <w:rsid w:val="003308FE"/>
    <w:rsid w:val="00330DAA"/>
    <w:rsid w:val="00330F5C"/>
    <w:rsid w:val="003310B6"/>
    <w:rsid w:val="00331573"/>
    <w:rsid w:val="0033195C"/>
    <w:rsid w:val="00331A3C"/>
    <w:rsid w:val="00331DC1"/>
    <w:rsid w:val="00332827"/>
    <w:rsid w:val="003331F7"/>
    <w:rsid w:val="0033333B"/>
    <w:rsid w:val="003337B8"/>
    <w:rsid w:val="00333B11"/>
    <w:rsid w:val="00334547"/>
    <w:rsid w:val="00334643"/>
    <w:rsid w:val="003346F3"/>
    <w:rsid w:val="0033497E"/>
    <w:rsid w:val="00335E35"/>
    <w:rsid w:val="00336289"/>
    <w:rsid w:val="00336614"/>
    <w:rsid w:val="003366C9"/>
    <w:rsid w:val="0033692D"/>
    <w:rsid w:val="00336AA1"/>
    <w:rsid w:val="00336AB9"/>
    <w:rsid w:val="00336E94"/>
    <w:rsid w:val="00337135"/>
    <w:rsid w:val="003371B0"/>
    <w:rsid w:val="0033723C"/>
    <w:rsid w:val="00337255"/>
    <w:rsid w:val="00337823"/>
    <w:rsid w:val="00340035"/>
    <w:rsid w:val="0034044C"/>
    <w:rsid w:val="00340836"/>
    <w:rsid w:val="00340B39"/>
    <w:rsid w:val="00340DEB"/>
    <w:rsid w:val="00340DF1"/>
    <w:rsid w:val="00341F3A"/>
    <w:rsid w:val="0034251C"/>
    <w:rsid w:val="00342706"/>
    <w:rsid w:val="0034276F"/>
    <w:rsid w:val="00342A17"/>
    <w:rsid w:val="00342E3B"/>
    <w:rsid w:val="003431DE"/>
    <w:rsid w:val="003434CF"/>
    <w:rsid w:val="00343598"/>
    <w:rsid w:val="0034366B"/>
    <w:rsid w:val="00343C80"/>
    <w:rsid w:val="00343CA5"/>
    <w:rsid w:val="00344179"/>
    <w:rsid w:val="003443CB"/>
    <w:rsid w:val="003452D8"/>
    <w:rsid w:val="003455B1"/>
    <w:rsid w:val="003458C1"/>
    <w:rsid w:val="00345FC4"/>
    <w:rsid w:val="003460CC"/>
    <w:rsid w:val="00346301"/>
    <w:rsid w:val="00346D99"/>
    <w:rsid w:val="0034730C"/>
    <w:rsid w:val="003475DB"/>
    <w:rsid w:val="00347AAE"/>
    <w:rsid w:val="00347C0E"/>
    <w:rsid w:val="00350263"/>
    <w:rsid w:val="00350437"/>
    <w:rsid w:val="003517F9"/>
    <w:rsid w:val="00351BA9"/>
    <w:rsid w:val="00351F11"/>
    <w:rsid w:val="00352A34"/>
    <w:rsid w:val="00352A53"/>
    <w:rsid w:val="0035316B"/>
    <w:rsid w:val="00353E48"/>
    <w:rsid w:val="00354352"/>
    <w:rsid w:val="00354654"/>
    <w:rsid w:val="00354A75"/>
    <w:rsid w:val="00354C14"/>
    <w:rsid w:val="00354DB7"/>
    <w:rsid w:val="00354F64"/>
    <w:rsid w:val="0035528F"/>
    <w:rsid w:val="0035581B"/>
    <w:rsid w:val="00355D68"/>
    <w:rsid w:val="0035620E"/>
    <w:rsid w:val="00356449"/>
    <w:rsid w:val="00356530"/>
    <w:rsid w:val="00356A3D"/>
    <w:rsid w:val="0035746E"/>
    <w:rsid w:val="003575BE"/>
    <w:rsid w:val="00357A3E"/>
    <w:rsid w:val="00357A9D"/>
    <w:rsid w:val="00360345"/>
    <w:rsid w:val="003606BD"/>
    <w:rsid w:val="00360784"/>
    <w:rsid w:val="00360ABE"/>
    <w:rsid w:val="00360B3D"/>
    <w:rsid w:val="00361221"/>
    <w:rsid w:val="00361552"/>
    <w:rsid w:val="00361780"/>
    <w:rsid w:val="00361A05"/>
    <w:rsid w:val="00361A91"/>
    <w:rsid w:val="00361ABD"/>
    <w:rsid w:val="00361BF6"/>
    <w:rsid w:val="003624C4"/>
    <w:rsid w:val="003626BF"/>
    <w:rsid w:val="00362964"/>
    <w:rsid w:val="00363480"/>
    <w:rsid w:val="0036369E"/>
    <w:rsid w:val="0036370F"/>
    <w:rsid w:val="00363739"/>
    <w:rsid w:val="0036382B"/>
    <w:rsid w:val="00363B00"/>
    <w:rsid w:val="00363BC9"/>
    <w:rsid w:val="00363EF5"/>
    <w:rsid w:val="00364264"/>
    <w:rsid w:val="003648A1"/>
    <w:rsid w:val="00364B4A"/>
    <w:rsid w:val="00364D42"/>
    <w:rsid w:val="00364E44"/>
    <w:rsid w:val="00364FE0"/>
    <w:rsid w:val="003654AC"/>
    <w:rsid w:val="00365DA8"/>
    <w:rsid w:val="0036620D"/>
    <w:rsid w:val="00366452"/>
    <w:rsid w:val="0036671F"/>
    <w:rsid w:val="00366CA2"/>
    <w:rsid w:val="003676F8"/>
    <w:rsid w:val="00367991"/>
    <w:rsid w:val="00367C6F"/>
    <w:rsid w:val="00367ECA"/>
    <w:rsid w:val="003702EF"/>
    <w:rsid w:val="003704C6"/>
    <w:rsid w:val="003708F7"/>
    <w:rsid w:val="00370D7A"/>
    <w:rsid w:val="003710CF"/>
    <w:rsid w:val="003713FE"/>
    <w:rsid w:val="0037147B"/>
    <w:rsid w:val="00371926"/>
    <w:rsid w:val="00371B71"/>
    <w:rsid w:val="00371BAB"/>
    <w:rsid w:val="00371E34"/>
    <w:rsid w:val="00372782"/>
    <w:rsid w:val="00372DAC"/>
    <w:rsid w:val="00372F07"/>
    <w:rsid w:val="00373394"/>
    <w:rsid w:val="003734AF"/>
    <w:rsid w:val="00373570"/>
    <w:rsid w:val="0037358A"/>
    <w:rsid w:val="00373637"/>
    <w:rsid w:val="003737C6"/>
    <w:rsid w:val="00373B2C"/>
    <w:rsid w:val="00373EB1"/>
    <w:rsid w:val="00374BC5"/>
    <w:rsid w:val="003750F6"/>
    <w:rsid w:val="00375482"/>
    <w:rsid w:val="00375583"/>
    <w:rsid w:val="003760FC"/>
    <w:rsid w:val="003761C1"/>
    <w:rsid w:val="003762B6"/>
    <w:rsid w:val="00376327"/>
    <w:rsid w:val="00376610"/>
    <w:rsid w:val="003773DA"/>
    <w:rsid w:val="0037773A"/>
    <w:rsid w:val="0037780F"/>
    <w:rsid w:val="00377A6C"/>
    <w:rsid w:val="00377E82"/>
    <w:rsid w:val="0038013B"/>
    <w:rsid w:val="00380634"/>
    <w:rsid w:val="00380E27"/>
    <w:rsid w:val="00380EE3"/>
    <w:rsid w:val="0038112F"/>
    <w:rsid w:val="003815CE"/>
    <w:rsid w:val="00381D63"/>
    <w:rsid w:val="00381EA8"/>
    <w:rsid w:val="00382266"/>
    <w:rsid w:val="0038253F"/>
    <w:rsid w:val="00382559"/>
    <w:rsid w:val="00382894"/>
    <w:rsid w:val="00382ECB"/>
    <w:rsid w:val="0038355A"/>
    <w:rsid w:val="0038365C"/>
    <w:rsid w:val="0038369B"/>
    <w:rsid w:val="003837FF"/>
    <w:rsid w:val="00383B78"/>
    <w:rsid w:val="00383C79"/>
    <w:rsid w:val="0038412C"/>
    <w:rsid w:val="0038424F"/>
    <w:rsid w:val="00384E59"/>
    <w:rsid w:val="00385A9D"/>
    <w:rsid w:val="00385B17"/>
    <w:rsid w:val="00385B39"/>
    <w:rsid w:val="00385BAB"/>
    <w:rsid w:val="00385F27"/>
    <w:rsid w:val="00385FCE"/>
    <w:rsid w:val="00386A5E"/>
    <w:rsid w:val="00386C59"/>
    <w:rsid w:val="00386F92"/>
    <w:rsid w:val="00387121"/>
    <w:rsid w:val="003872B7"/>
    <w:rsid w:val="0038766C"/>
    <w:rsid w:val="00387793"/>
    <w:rsid w:val="0039019E"/>
    <w:rsid w:val="003902B1"/>
    <w:rsid w:val="00390397"/>
    <w:rsid w:val="00390733"/>
    <w:rsid w:val="003907CD"/>
    <w:rsid w:val="00390864"/>
    <w:rsid w:val="00390BDA"/>
    <w:rsid w:val="0039102F"/>
    <w:rsid w:val="0039130D"/>
    <w:rsid w:val="0039135E"/>
    <w:rsid w:val="0039179C"/>
    <w:rsid w:val="00391A80"/>
    <w:rsid w:val="00391B5E"/>
    <w:rsid w:val="00391FE6"/>
    <w:rsid w:val="0039212B"/>
    <w:rsid w:val="0039278C"/>
    <w:rsid w:val="00392841"/>
    <w:rsid w:val="003929D8"/>
    <w:rsid w:val="00393224"/>
    <w:rsid w:val="00393A0F"/>
    <w:rsid w:val="003940DA"/>
    <w:rsid w:val="0039436F"/>
    <w:rsid w:val="00394639"/>
    <w:rsid w:val="00394691"/>
    <w:rsid w:val="00394D15"/>
    <w:rsid w:val="00395363"/>
    <w:rsid w:val="003956E9"/>
    <w:rsid w:val="00395751"/>
    <w:rsid w:val="0039591F"/>
    <w:rsid w:val="00395D0A"/>
    <w:rsid w:val="003962F5"/>
    <w:rsid w:val="0039656D"/>
    <w:rsid w:val="00396896"/>
    <w:rsid w:val="00396D19"/>
    <w:rsid w:val="00396FD0"/>
    <w:rsid w:val="00397427"/>
    <w:rsid w:val="0039761E"/>
    <w:rsid w:val="00397946"/>
    <w:rsid w:val="003A0054"/>
    <w:rsid w:val="003A01F6"/>
    <w:rsid w:val="003A03FF"/>
    <w:rsid w:val="003A086E"/>
    <w:rsid w:val="003A11A4"/>
    <w:rsid w:val="003A120C"/>
    <w:rsid w:val="003A14D0"/>
    <w:rsid w:val="003A17AC"/>
    <w:rsid w:val="003A1A7A"/>
    <w:rsid w:val="003A2392"/>
    <w:rsid w:val="003A23E4"/>
    <w:rsid w:val="003A249B"/>
    <w:rsid w:val="003A270A"/>
    <w:rsid w:val="003A2831"/>
    <w:rsid w:val="003A2B29"/>
    <w:rsid w:val="003A332E"/>
    <w:rsid w:val="003A3C9F"/>
    <w:rsid w:val="003A3CB6"/>
    <w:rsid w:val="003A3ED1"/>
    <w:rsid w:val="003A4014"/>
    <w:rsid w:val="003A434B"/>
    <w:rsid w:val="003A44DB"/>
    <w:rsid w:val="003A4877"/>
    <w:rsid w:val="003A4C14"/>
    <w:rsid w:val="003A4F6B"/>
    <w:rsid w:val="003A5395"/>
    <w:rsid w:val="003A5579"/>
    <w:rsid w:val="003A5D97"/>
    <w:rsid w:val="003A6374"/>
    <w:rsid w:val="003A637D"/>
    <w:rsid w:val="003A63F0"/>
    <w:rsid w:val="003A659F"/>
    <w:rsid w:val="003A6B7A"/>
    <w:rsid w:val="003A6F96"/>
    <w:rsid w:val="003A7310"/>
    <w:rsid w:val="003B02EE"/>
    <w:rsid w:val="003B05D5"/>
    <w:rsid w:val="003B0A73"/>
    <w:rsid w:val="003B0E12"/>
    <w:rsid w:val="003B1648"/>
    <w:rsid w:val="003B194E"/>
    <w:rsid w:val="003B1DDD"/>
    <w:rsid w:val="003B1F55"/>
    <w:rsid w:val="003B2466"/>
    <w:rsid w:val="003B2805"/>
    <w:rsid w:val="003B2B85"/>
    <w:rsid w:val="003B2E2B"/>
    <w:rsid w:val="003B3971"/>
    <w:rsid w:val="003B3CBD"/>
    <w:rsid w:val="003B3D8B"/>
    <w:rsid w:val="003B40B4"/>
    <w:rsid w:val="003B44EE"/>
    <w:rsid w:val="003B4736"/>
    <w:rsid w:val="003B4E57"/>
    <w:rsid w:val="003B548F"/>
    <w:rsid w:val="003B55D1"/>
    <w:rsid w:val="003B55FD"/>
    <w:rsid w:val="003B5B61"/>
    <w:rsid w:val="003B5DB3"/>
    <w:rsid w:val="003B6BD8"/>
    <w:rsid w:val="003B71DC"/>
    <w:rsid w:val="003B72D8"/>
    <w:rsid w:val="003B7807"/>
    <w:rsid w:val="003B7F91"/>
    <w:rsid w:val="003C0023"/>
    <w:rsid w:val="003C0071"/>
    <w:rsid w:val="003C01FA"/>
    <w:rsid w:val="003C060F"/>
    <w:rsid w:val="003C0A60"/>
    <w:rsid w:val="003C0D02"/>
    <w:rsid w:val="003C0D6C"/>
    <w:rsid w:val="003C0F8E"/>
    <w:rsid w:val="003C0FB9"/>
    <w:rsid w:val="003C12CA"/>
    <w:rsid w:val="003C1654"/>
    <w:rsid w:val="003C177A"/>
    <w:rsid w:val="003C22F3"/>
    <w:rsid w:val="003C25A8"/>
    <w:rsid w:val="003C30F4"/>
    <w:rsid w:val="003C319F"/>
    <w:rsid w:val="003C3A27"/>
    <w:rsid w:val="003C3AFF"/>
    <w:rsid w:val="003C3B87"/>
    <w:rsid w:val="003C3C69"/>
    <w:rsid w:val="003C4043"/>
    <w:rsid w:val="003C4549"/>
    <w:rsid w:val="003C4789"/>
    <w:rsid w:val="003C501F"/>
    <w:rsid w:val="003C50E7"/>
    <w:rsid w:val="003C545E"/>
    <w:rsid w:val="003C5542"/>
    <w:rsid w:val="003C58EE"/>
    <w:rsid w:val="003C5B51"/>
    <w:rsid w:val="003C5E81"/>
    <w:rsid w:val="003C5F3C"/>
    <w:rsid w:val="003C5F9C"/>
    <w:rsid w:val="003C645A"/>
    <w:rsid w:val="003C667F"/>
    <w:rsid w:val="003C6A38"/>
    <w:rsid w:val="003C6BA4"/>
    <w:rsid w:val="003C6F07"/>
    <w:rsid w:val="003C7016"/>
    <w:rsid w:val="003C7C15"/>
    <w:rsid w:val="003C7C16"/>
    <w:rsid w:val="003C7C4F"/>
    <w:rsid w:val="003C7D19"/>
    <w:rsid w:val="003C7D2F"/>
    <w:rsid w:val="003D0141"/>
    <w:rsid w:val="003D086C"/>
    <w:rsid w:val="003D0973"/>
    <w:rsid w:val="003D0C5A"/>
    <w:rsid w:val="003D0C98"/>
    <w:rsid w:val="003D0CA1"/>
    <w:rsid w:val="003D0EDA"/>
    <w:rsid w:val="003D0F09"/>
    <w:rsid w:val="003D1111"/>
    <w:rsid w:val="003D1828"/>
    <w:rsid w:val="003D1DE4"/>
    <w:rsid w:val="003D1E9A"/>
    <w:rsid w:val="003D2422"/>
    <w:rsid w:val="003D2D62"/>
    <w:rsid w:val="003D2D8E"/>
    <w:rsid w:val="003D2E2D"/>
    <w:rsid w:val="003D34E1"/>
    <w:rsid w:val="003D355D"/>
    <w:rsid w:val="003D36B9"/>
    <w:rsid w:val="003D39A1"/>
    <w:rsid w:val="003D3AAE"/>
    <w:rsid w:val="003D3FBF"/>
    <w:rsid w:val="003D4054"/>
    <w:rsid w:val="003D4856"/>
    <w:rsid w:val="003D4A30"/>
    <w:rsid w:val="003D4AD0"/>
    <w:rsid w:val="003D583B"/>
    <w:rsid w:val="003D58AC"/>
    <w:rsid w:val="003D5939"/>
    <w:rsid w:val="003D62FC"/>
    <w:rsid w:val="003D6E13"/>
    <w:rsid w:val="003D7087"/>
    <w:rsid w:val="003D71EE"/>
    <w:rsid w:val="003D7452"/>
    <w:rsid w:val="003D7478"/>
    <w:rsid w:val="003D74DE"/>
    <w:rsid w:val="003D78A3"/>
    <w:rsid w:val="003D79BB"/>
    <w:rsid w:val="003D7C98"/>
    <w:rsid w:val="003D7D9D"/>
    <w:rsid w:val="003E000C"/>
    <w:rsid w:val="003E041B"/>
    <w:rsid w:val="003E0543"/>
    <w:rsid w:val="003E05E4"/>
    <w:rsid w:val="003E0AF2"/>
    <w:rsid w:val="003E0EA6"/>
    <w:rsid w:val="003E19E1"/>
    <w:rsid w:val="003E1C49"/>
    <w:rsid w:val="003E2062"/>
    <w:rsid w:val="003E2455"/>
    <w:rsid w:val="003E2787"/>
    <w:rsid w:val="003E2EFB"/>
    <w:rsid w:val="003E2F17"/>
    <w:rsid w:val="003E30A1"/>
    <w:rsid w:val="003E3629"/>
    <w:rsid w:val="003E3D44"/>
    <w:rsid w:val="003E55D4"/>
    <w:rsid w:val="003E5603"/>
    <w:rsid w:val="003E5B9D"/>
    <w:rsid w:val="003E61EA"/>
    <w:rsid w:val="003E63AF"/>
    <w:rsid w:val="003E6460"/>
    <w:rsid w:val="003E70A2"/>
    <w:rsid w:val="003E7430"/>
    <w:rsid w:val="003E749E"/>
    <w:rsid w:val="003E7738"/>
    <w:rsid w:val="003E7834"/>
    <w:rsid w:val="003E7970"/>
    <w:rsid w:val="003F0507"/>
    <w:rsid w:val="003F0620"/>
    <w:rsid w:val="003F0F8C"/>
    <w:rsid w:val="003F1418"/>
    <w:rsid w:val="003F1929"/>
    <w:rsid w:val="003F1D7E"/>
    <w:rsid w:val="003F1F88"/>
    <w:rsid w:val="003F26C2"/>
    <w:rsid w:val="003F27B0"/>
    <w:rsid w:val="003F2CAF"/>
    <w:rsid w:val="003F2FA6"/>
    <w:rsid w:val="003F318A"/>
    <w:rsid w:val="003F3532"/>
    <w:rsid w:val="003F3733"/>
    <w:rsid w:val="003F3CBA"/>
    <w:rsid w:val="003F3E99"/>
    <w:rsid w:val="003F4156"/>
    <w:rsid w:val="003F41D1"/>
    <w:rsid w:val="003F424E"/>
    <w:rsid w:val="003F4879"/>
    <w:rsid w:val="003F59F7"/>
    <w:rsid w:val="003F5ADF"/>
    <w:rsid w:val="003F5FB2"/>
    <w:rsid w:val="003F60A6"/>
    <w:rsid w:val="003F6197"/>
    <w:rsid w:val="003F62DB"/>
    <w:rsid w:val="003F6876"/>
    <w:rsid w:val="003F6D62"/>
    <w:rsid w:val="003F6DBC"/>
    <w:rsid w:val="003F7316"/>
    <w:rsid w:val="003F732A"/>
    <w:rsid w:val="003F73C1"/>
    <w:rsid w:val="003F73DF"/>
    <w:rsid w:val="003F75A7"/>
    <w:rsid w:val="003F78BB"/>
    <w:rsid w:val="003F7A01"/>
    <w:rsid w:val="00400B29"/>
    <w:rsid w:val="00400B66"/>
    <w:rsid w:val="00400F53"/>
    <w:rsid w:val="00401394"/>
    <w:rsid w:val="0040163F"/>
    <w:rsid w:val="00401757"/>
    <w:rsid w:val="00401847"/>
    <w:rsid w:val="00401C8E"/>
    <w:rsid w:val="00401E67"/>
    <w:rsid w:val="004021B3"/>
    <w:rsid w:val="004022D2"/>
    <w:rsid w:val="0040234C"/>
    <w:rsid w:val="00402812"/>
    <w:rsid w:val="004029D2"/>
    <w:rsid w:val="00402A82"/>
    <w:rsid w:val="00402D7F"/>
    <w:rsid w:val="00403070"/>
    <w:rsid w:val="004034EA"/>
    <w:rsid w:val="004035DC"/>
    <w:rsid w:val="0040383A"/>
    <w:rsid w:val="0040391A"/>
    <w:rsid w:val="004040D5"/>
    <w:rsid w:val="004043BB"/>
    <w:rsid w:val="004043F8"/>
    <w:rsid w:val="0040474E"/>
    <w:rsid w:val="0040504B"/>
    <w:rsid w:val="004052D6"/>
    <w:rsid w:val="004055AE"/>
    <w:rsid w:val="00405695"/>
    <w:rsid w:val="004056D4"/>
    <w:rsid w:val="004059F4"/>
    <w:rsid w:val="00405D07"/>
    <w:rsid w:val="0040635A"/>
    <w:rsid w:val="00406B35"/>
    <w:rsid w:val="00406E79"/>
    <w:rsid w:val="00407531"/>
    <w:rsid w:val="004078CB"/>
    <w:rsid w:val="00407C4A"/>
    <w:rsid w:val="00407F52"/>
    <w:rsid w:val="00407FE5"/>
    <w:rsid w:val="0041014E"/>
    <w:rsid w:val="004101B0"/>
    <w:rsid w:val="00410326"/>
    <w:rsid w:val="00410708"/>
    <w:rsid w:val="00410C66"/>
    <w:rsid w:val="00410DE6"/>
    <w:rsid w:val="00410EC7"/>
    <w:rsid w:val="004113AF"/>
    <w:rsid w:val="00411576"/>
    <w:rsid w:val="0041158C"/>
    <w:rsid w:val="00411AB2"/>
    <w:rsid w:val="00411B39"/>
    <w:rsid w:val="00411BC8"/>
    <w:rsid w:val="00411DB1"/>
    <w:rsid w:val="0041210D"/>
    <w:rsid w:val="004126D9"/>
    <w:rsid w:val="004127A7"/>
    <w:rsid w:val="00412BFD"/>
    <w:rsid w:val="00412D3E"/>
    <w:rsid w:val="00412DAA"/>
    <w:rsid w:val="0041317C"/>
    <w:rsid w:val="00413452"/>
    <w:rsid w:val="0041347E"/>
    <w:rsid w:val="004136CC"/>
    <w:rsid w:val="0041374C"/>
    <w:rsid w:val="00413810"/>
    <w:rsid w:val="00413A1E"/>
    <w:rsid w:val="00413AC6"/>
    <w:rsid w:val="00413F8A"/>
    <w:rsid w:val="004143E6"/>
    <w:rsid w:val="004143F5"/>
    <w:rsid w:val="00414476"/>
    <w:rsid w:val="0041487E"/>
    <w:rsid w:val="00414C2E"/>
    <w:rsid w:val="0041518E"/>
    <w:rsid w:val="004151CF"/>
    <w:rsid w:val="00415643"/>
    <w:rsid w:val="00415865"/>
    <w:rsid w:val="00415994"/>
    <w:rsid w:val="00416274"/>
    <w:rsid w:val="00416364"/>
    <w:rsid w:val="00416E2C"/>
    <w:rsid w:val="00416F96"/>
    <w:rsid w:val="004171E3"/>
    <w:rsid w:val="0042047F"/>
    <w:rsid w:val="00420A69"/>
    <w:rsid w:val="00420AA6"/>
    <w:rsid w:val="00420B39"/>
    <w:rsid w:val="00420B9F"/>
    <w:rsid w:val="00421016"/>
    <w:rsid w:val="0042183E"/>
    <w:rsid w:val="0042192C"/>
    <w:rsid w:val="00421C68"/>
    <w:rsid w:val="00421D68"/>
    <w:rsid w:val="00421F96"/>
    <w:rsid w:val="00422141"/>
    <w:rsid w:val="00422260"/>
    <w:rsid w:val="00422424"/>
    <w:rsid w:val="004228E4"/>
    <w:rsid w:val="00422C29"/>
    <w:rsid w:val="004233E5"/>
    <w:rsid w:val="004237C7"/>
    <w:rsid w:val="0042390A"/>
    <w:rsid w:val="00423CBA"/>
    <w:rsid w:val="00423D8C"/>
    <w:rsid w:val="004240AF"/>
    <w:rsid w:val="0042410D"/>
    <w:rsid w:val="0042413F"/>
    <w:rsid w:val="00424DBB"/>
    <w:rsid w:val="00424E31"/>
    <w:rsid w:val="004254FB"/>
    <w:rsid w:val="0042558E"/>
    <w:rsid w:val="00425634"/>
    <w:rsid w:val="00425734"/>
    <w:rsid w:val="00426ABB"/>
    <w:rsid w:val="00426F7C"/>
    <w:rsid w:val="00426FA4"/>
    <w:rsid w:val="00427C92"/>
    <w:rsid w:val="00431195"/>
    <w:rsid w:val="0043150A"/>
    <w:rsid w:val="00431585"/>
    <w:rsid w:val="0043181B"/>
    <w:rsid w:val="004319F8"/>
    <w:rsid w:val="00431C8C"/>
    <w:rsid w:val="00431DAB"/>
    <w:rsid w:val="00431E55"/>
    <w:rsid w:val="00431F7D"/>
    <w:rsid w:val="004321F6"/>
    <w:rsid w:val="00432EBF"/>
    <w:rsid w:val="00432F61"/>
    <w:rsid w:val="00433044"/>
    <w:rsid w:val="00433620"/>
    <w:rsid w:val="00433764"/>
    <w:rsid w:val="00433CB0"/>
    <w:rsid w:val="00433E90"/>
    <w:rsid w:val="00433EE7"/>
    <w:rsid w:val="00433F59"/>
    <w:rsid w:val="00433F86"/>
    <w:rsid w:val="00434088"/>
    <w:rsid w:val="00434491"/>
    <w:rsid w:val="00434AE7"/>
    <w:rsid w:val="0043517A"/>
    <w:rsid w:val="00435481"/>
    <w:rsid w:val="00435551"/>
    <w:rsid w:val="0043580B"/>
    <w:rsid w:val="00435926"/>
    <w:rsid w:val="00435BE8"/>
    <w:rsid w:val="00435FA4"/>
    <w:rsid w:val="0043605B"/>
    <w:rsid w:val="00436073"/>
    <w:rsid w:val="004360DA"/>
    <w:rsid w:val="004361D5"/>
    <w:rsid w:val="00436F8E"/>
    <w:rsid w:val="00437015"/>
    <w:rsid w:val="004375B9"/>
    <w:rsid w:val="00437CAE"/>
    <w:rsid w:val="00437EE3"/>
    <w:rsid w:val="004401CB"/>
    <w:rsid w:val="00440631"/>
    <w:rsid w:val="004407A7"/>
    <w:rsid w:val="00440A54"/>
    <w:rsid w:val="00441F54"/>
    <w:rsid w:val="004421AE"/>
    <w:rsid w:val="00442778"/>
    <w:rsid w:val="004428D0"/>
    <w:rsid w:val="00442A7B"/>
    <w:rsid w:val="00442A88"/>
    <w:rsid w:val="00442BDA"/>
    <w:rsid w:val="00442DEA"/>
    <w:rsid w:val="00443340"/>
    <w:rsid w:val="00443428"/>
    <w:rsid w:val="00443498"/>
    <w:rsid w:val="00443702"/>
    <w:rsid w:val="00443831"/>
    <w:rsid w:val="004438DC"/>
    <w:rsid w:val="00443B46"/>
    <w:rsid w:val="00443FEA"/>
    <w:rsid w:val="00444185"/>
    <w:rsid w:val="004443A7"/>
    <w:rsid w:val="004443A8"/>
    <w:rsid w:val="0044442C"/>
    <w:rsid w:val="00444527"/>
    <w:rsid w:val="00444B0A"/>
    <w:rsid w:val="004455AB"/>
    <w:rsid w:val="00445941"/>
    <w:rsid w:val="00445AD0"/>
    <w:rsid w:val="0044611F"/>
    <w:rsid w:val="004462B7"/>
    <w:rsid w:val="004462C2"/>
    <w:rsid w:val="004464EB"/>
    <w:rsid w:val="00446FC6"/>
    <w:rsid w:val="00447344"/>
    <w:rsid w:val="00447B5A"/>
    <w:rsid w:val="00447BB5"/>
    <w:rsid w:val="00447D26"/>
    <w:rsid w:val="00447DFC"/>
    <w:rsid w:val="0045042B"/>
    <w:rsid w:val="00450430"/>
    <w:rsid w:val="00450661"/>
    <w:rsid w:val="00450716"/>
    <w:rsid w:val="00450C21"/>
    <w:rsid w:val="00451303"/>
    <w:rsid w:val="00451673"/>
    <w:rsid w:val="00451E47"/>
    <w:rsid w:val="00452AC0"/>
    <w:rsid w:val="004530E4"/>
    <w:rsid w:val="00453265"/>
    <w:rsid w:val="00453543"/>
    <w:rsid w:val="00453648"/>
    <w:rsid w:val="00453A05"/>
    <w:rsid w:val="00453DE5"/>
    <w:rsid w:val="00454045"/>
    <w:rsid w:val="004548D7"/>
    <w:rsid w:val="00454F8D"/>
    <w:rsid w:val="00455253"/>
    <w:rsid w:val="00455A83"/>
    <w:rsid w:val="00455D45"/>
    <w:rsid w:val="004560D6"/>
    <w:rsid w:val="0045615F"/>
    <w:rsid w:val="004564BF"/>
    <w:rsid w:val="00456B27"/>
    <w:rsid w:val="00457017"/>
    <w:rsid w:val="0045747F"/>
    <w:rsid w:val="004576EF"/>
    <w:rsid w:val="00457A6F"/>
    <w:rsid w:val="00457B6C"/>
    <w:rsid w:val="00457C18"/>
    <w:rsid w:val="00460188"/>
    <w:rsid w:val="0046026F"/>
    <w:rsid w:val="00460674"/>
    <w:rsid w:val="004606A8"/>
    <w:rsid w:val="00460AAA"/>
    <w:rsid w:val="00460F0A"/>
    <w:rsid w:val="00461258"/>
    <w:rsid w:val="00461489"/>
    <w:rsid w:val="00462040"/>
    <w:rsid w:val="004621B3"/>
    <w:rsid w:val="0046232F"/>
    <w:rsid w:val="00462384"/>
    <w:rsid w:val="004626FC"/>
    <w:rsid w:val="004627B1"/>
    <w:rsid w:val="00462C30"/>
    <w:rsid w:val="00463478"/>
    <w:rsid w:val="00463A38"/>
    <w:rsid w:val="00463C03"/>
    <w:rsid w:val="0046458F"/>
    <w:rsid w:val="00464595"/>
    <w:rsid w:val="00464696"/>
    <w:rsid w:val="00464DF6"/>
    <w:rsid w:val="00464E3B"/>
    <w:rsid w:val="004651AA"/>
    <w:rsid w:val="004653B1"/>
    <w:rsid w:val="004658B5"/>
    <w:rsid w:val="00465AC4"/>
    <w:rsid w:val="00465CE0"/>
    <w:rsid w:val="004661A3"/>
    <w:rsid w:val="00466336"/>
    <w:rsid w:val="004663AE"/>
    <w:rsid w:val="00466430"/>
    <w:rsid w:val="0046689B"/>
    <w:rsid w:val="00466B8C"/>
    <w:rsid w:val="00467608"/>
    <w:rsid w:val="00467B5B"/>
    <w:rsid w:val="0047067A"/>
    <w:rsid w:val="00470BAC"/>
    <w:rsid w:val="00470BBB"/>
    <w:rsid w:val="00470D8D"/>
    <w:rsid w:val="00470E25"/>
    <w:rsid w:val="00471080"/>
    <w:rsid w:val="0047157D"/>
    <w:rsid w:val="00471EA5"/>
    <w:rsid w:val="00471F11"/>
    <w:rsid w:val="00472151"/>
    <w:rsid w:val="00472358"/>
    <w:rsid w:val="0047266F"/>
    <w:rsid w:val="004726F2"/>
    <w:rsid w:val="00472756"/>
    <w:rsid w:val="00472A5B"/>
    <w:rsid w:val="00472A79"/>
    <w:rsid w:val="00472B20"/>
    <w:rsid w:val="00472D95"/>
    <w:rsid w:val="00473489"/>
    <w:rsid w:val="00473D5C"/>
    <w:rsid w:val="00473F19"/>
    <w:rsid w:val="004743BA"/>
    <w:rsid w:val="00474C58"/>
    <w:rsid w:val="0047551A"/>
    <w:rsid w:val="00475967"/>
    <w:rsid w:val="00475B70"/>
    <w:rsid w:val="00475E22"/>
    <w:rsid w:val="00475EE0"/>
    <w:rsid w:val="0047615C"/>
    <w:rsid w:val="004762DE"/>
    <w:rsid w:val="004764A3"/>
    <w:rsid w:val="0047659F"/>
    <w:rsid w:val="004774FD"/>
    <w:rsid w:val="004778B4"/>
    <w:rsid w:val="00477DCA"/>
    <w:rsid w:val="00480021"/>
    <w:rsid w:val="0048088E"/>
    <w:rsid w:val="00480A28"/>
    <w:rsid w:val="00480D9D"/>
    <w:rsid w:val="00480F2B"/>
    <w:rsid w:val="00481F40"/>
    <w:rsid w:val="00481FCF"/>
    <w:rsid w:val="004821F1"/>
    <w:rsid w:val="00482720"/>
    <w:rsid w:val="00482BA1"/>
    <w:rsid w:val="004830CD"/>
    <w:rsid w:val="00483385"/>
    <w:rsid w:val="0048354F"/>
    <w:rsid w:val="004835E7"/>
    <w:rsid w:val="00483A4C"/>
    <w:rsid w:val="00483D3E"/>
    <w:rsid w:val="00483D52"/>
    <w:rsid w:val="00483F80"/>
    <w:rsid w:val="00483FBD"/>
    <w:rsid w:val="004843A6"/>
    <w:rsid w:val="0048459A"/>
    <w:rsid w:val="00485533"/>
    <w:rsid w:val="0048598D"/>
    <w:rsid w:val="004859E1"/>
    <w:rsid w:val="0048602E"/>
    <w:rsid w:val="00486338"/>
    <w:rsid w:val="004867CA"/>
    <w:rsid w:val="004867E2"/>
    <w:rsid w:val="00486E2C"/>
    <w:rsid w:val="004871E3"/>
    <w:rsid w:val="0048740C"/>
    <w:rsid w:val="0048760B"/>
    <w:rsid w:val="004877BC"/>
    <w:rsid w:val="00487901"/>
    <w:rsid w:val="00490038"/>
    <w:rsid w:val="004904C8"/>
    <w:rsid w:val="00490674"/>
    <w:rsid w:val="00490B17"/>
    <w:rsid w:val="00491B3A"/>
    <w:rsid w:val="00491CBB"/>
    <w:rsid w:val="00491DC0"/>
    <w:rsid w:val="004920C2"/>
    <w:rsid w:val="004923D5"/>
    <w:rsid w:val="00492445"/>
    <w:rsid w:val="0049245A"/>
    <w:rsid w:val="004924D3"/>
    <w:rsid w:val="00492740"/>
    <w:rsid w:val="0049277A"/>
    <w:rsid w:val="00492CFD"/>
    <w:rsid w:val="00492ECE"/>
    <w:rsid w:val="0049347F"/>
    <w:rsid w:val="004937E9"/>
    <w:rsid w:val="00493928"/>
    <w:rsid w:val="00493AE4"/>
    <w:rsid w:val="00494207"/>
    <w:rsid w:val="00494829"/>
    <w:rsid w:val="00494D54"/>
    <w:rsid w:val="00494DB3"/>
    <w:rsid w:val="00494DD5"/>
    <w:rsid w:val="004955F1"/>
    <w:rsid w:val="0049579E"/>
    <w:rsid w:val="00495B20"/>
    <w:rsid w:val="004962D2"/>
    <w:rsid w:val="00496D7E"/>
    <w:rsid w:val="004971E9"/>
    <w:rsid w:val="004972D8"/>
    <w:rsid w:val="00497409"/>
    <w:rsid w:val="004979C7"/>
    <w:rsid w:val="004A00CD"/>
    <w:rsid w:val="004A0DA1"/>
    <w:rsid w:val="004A12E1"/>
    <w:rsid w:val="004A13D6"/>
    <w:rsid w:val="004A193A"/>
    <w:rsid w:val="004A1AAB"/>
    <w:rsid w:val="004A24D3"/>
    <w:rsid w:val="004A25A3"/>
    <w:rsid w:val="004A2A01"/>
    <w:rsid w:val="004A2B8D"/>
    <w:rsid w:val="004A2DDD"/>
    <w:rsid w:val="004A3170"/>
    <w:rsid w:val="004A31CF"/>
    <w:rsid w:val="004A3441"/>
    <w:rsid w:val="004A34D0"/>
    <w:rsid w:val="004A3606"/>
    <w:rsid w:val="004A3ABF"/>
    <w:rsid w:val="004A3AD5"/>
    <w:rsid w:val="004A3BA5"/>
    <w:rsid w:val="004A404C"/>
    <w:rsid w:val="004A4AC9"/>
    <w:rsid w:val="004A4C8C"/>
    <w:rsid w:val="004A5080"/>
    <w:rsid w:val="004A52E9"/>
    <w:rsid w:val="004A5B2F"/>
    <w:rsid w:val="004A6040"/>
    <w:rsid w:val="004A6093"/>
    <w:rsid w:val="004A6597"/>
    <w:rsid w:val="004A6AAF"/>
    <w:rsid w:val="004A6C90"/>
    <w:rsid w:val="004A70D1"/>
    <w:rsid w:val="004A782B"/>
    <w:rsid w:val="004A7848"/>
    <w:rsid w:val="004A793B"/>
    <w:rsid w:val="004A7D53"/>
    <w:rsid w:val="004A7DC3"/>
    <w:rsid w:val="004A7DD9"/>
    <w:rsid w:val="004B04BA"/>
    <w:rsid w:val="004B04BC"/>
    <w:rsid w:val="004B083B"/>
    <w:rsid w:val="004B08EE"/>
    <w:rsid w:val="004B0C6A"/>
    <w:rsid w:val="004B0DB0"/>
    <w:rsid w:val="004B169A"/>
    <w:rsid w:val="004B1751"/>
    <w:rsid w:val="004B1805"/>
    <w:rsid w:val="004B19D0"/>
    <w:rsid w:val="004B1CB4"/>
    <w:rsid w:val="004B1F1E"/>
    <w:rsid w:val="004B21AD"/>
    <w:rsid w:val="004B28D0"/>
    <w:rsid w:val="004B29F2"/>
    <w:rsid w:val="004B2AE6"/>
    <w:rsid w:val="004B2B75"/>
    <w:rsid w:val="004B2CA0"/>
    <w:rsid w:val="004B2CD0"/>
    <w:rsid w:val="004B2DCE"/>
    <w:rsid w:val="004B2F18"/>
    <w:rsid w:val="004B318E"/>
    <w:rsid w:val="004B357D"/>
    <w:rsid w:val="004B35E5"/>
    <w:rsid w:val="004B3DDB"/>
    <w:rsid w:val="004B42AB"/>
    <w:rsid w:val="004B44FD"/>
    <w:rsid w:val="004B4607"/>
    <w:rsid w:val="004B513A"/>
    <w:rsid w:val="004B5417"/>
    <w:rsid w:val="004B5556"/>
    <w:rsid w:val="004B5CFC"/>
    <w:rsid w:val="004B60B8"/>
    <w:rsid w:val="004B6609"/>
    <w:rsid w:val="004B6DC9"/>
    <w:rsid w:val="004B6DFC"/>
    <w:rsid w:val="004B6F79"/>
    <w:rsid w:val="004B7013"/>
    <w:rsid w:val="004B74D4"/>
    <w:rsid w:val="004B7710"/>
    <w:rsid w:val="004B774D"/>
    <w:rsid w:val="004B7830"/>
    <w:rsid w:val="004B7BBB"/>
    <w:rsid w:val="004C0C8D"/>
    <w:rsid w:val="004C10DB"/>
    <w:rsid w:val="004C123E"/>
    <w:rsid w:val="004C1742"/>
    <w:rsid w:val="004C19D5"/>
    <w:rsid w:val="004C1C87"/>
    <w:rsid w:val="004C21AA"/>
    <w:rsid w:val="004C2AB7"/>
    <w:rsid w:val="004C2AC2"/>
    <w:rsid w:val="004C2EF4"/>
    <w:rsid w:val="004C3391"/>
    <w:rsid w:val="004C3555"/>
    <w:rsid w:val="004C3666"/>
    <w:rsid w:val="004C3B02"/>
    <w:rsid w:val="004C4120"/>
    <w:rsid w:val="004C4684"/>
    <w:rsid w:val="004C48FC"/>
    <w:rsid w:val="004C4AB5"/>
    <w:rsid w:val="004C4AED"/>
    <w:rsid w:val="004C5039"/>
    <w:rsid w:val="004C5EBC"/>
    <w:rsid w:val="004C5FA2"/>
    <w:rsid w:val="004C63FC"/>
    <w:rsid w:val="004C68D9"/>
    <w:rsid w:val="004C69DC"/>
    <w:rsid w:val="004C734F"/>
    <w:rsid w:val="004C73F5"/>
    <w:rsid w:val="004C7566"/>
    <w:rsid w:val="004C75DE"/>
    <w:rsid w:val="004C761A"/>
    <w:rsid w:val="004C792C"/>
    <w:rsid w:val="004C7F1E"/>
    <w:rsid w:val="004D0F45"/>
    <w:rsid w:val="004D0F76"/>
    <w:rsid w:val="004D10F0"/>
    <w:rsid w:val="004D1287"/>
    <w:rsid w:val="004D136C"/>
    <w:rsid w:val="004D1A38"/>
    <w:rsid w:val="004D1D11"/>
    <w:rsid w:val="004D1E88"/>
    <w:rsid w:val="004D1FC4"/>
    <w:rsid w:val="004D21C6"/>
    <w:rsid w:val="004D2359"/>
    <w:rsid w:val="004D2621"/>
    <w:rsid w:val="004D2C2D"/>
    <w:rsid w:val="004D2CB6"/>
    <w:rsid w:val="004D2F5C"/>
    <w:rsid w:val="004D2F8C"/>
    <w:rsid w:val="004D3693"/>
    <w:rsid w:val="004D38AD"/>
    <w:rsid w:val="004D3C0B"/>
    <w:rsid w:val="004D3D25"/>
    <w:rsid w:val="004D4A31"/>
    <w:rsid w:val="004D566D"/>
    <w:rsid w:val="004D5CB6"/>
    <w:rsid w:val="004D5DA0"/>
    <w:rsid w:val="004D613C"/>
    <w:rsid w:val="004D679F"/>
    <w:rsid w:val="004D69B5"/>
    <w:rsid w:val="004D71C8"/>
    <w:rsid w:val="004D7227"/>
    <w:rsid w:val="004D7B5E"/>
    <w:rsid w:val="004D7BBB"/>
    <w:rsid w:val="004E0604"/>
    <w:rsid w:val="004E0984"/>
    <w:rsid w:val="004E0E7F"/>
    <w:rsid w:val="004E0EB8"/>
    <w:rsid w:val="004E108B"/>
    <w:rsid w:val="004E152C"/>
    <w:rsid w:val="004E1612"/>
    <w:rsid w:val="004E17EA"/>
    <w:rsid w:val="004E18E9"/>
    <w:rsid w:val="004E19F2"/>
    <w:rsid w:val="004E1C82"/>
    <w:rsid w:val="004E1CC9"/>
    <w:rsid w:val="004E1DD9"/>
    <w:rsid w:val="004E1E41"/>
    <w:rsid w:val="004E214A"/>
    <w:rsid w:val="004E2518"/>
    <w:rsid w:val="004E2ACF"/>
    <w:rsid w:val="004E2ADC"/>
    <w:rsid w:val="004E2C07"/>
    <w:rsid w:val="004E2DA6"/>
    <w:rsid w:val="004E3108"/>
    <w:rsid w:val="004E31AF"/>
    <w:rsid w:val="004E3334"/>
    <w:rsid w:val="004E38B4"/>
    <w:rsid w:val="004E3921"/>
    <w:rsid w:val="004E3A7C"/>
    <w:rsid w:val="004E3B36"/>
    <w:rsid w:val="004E3D28"/>
    <w:rsid w:val="004E4307"/>
    <w:rsid w:val="004E43B2"/>
    <w:rsid w:val="004E462D"/>
    <w:rsid w:val="004E4733"/>
    <w:rsid w:val="004E4DDB"/>
    <w:rsid w:val="004E5239"/>
    <w:rsid w:val="004E571F"/>
    <w:rsid w:val="004E5CED"/>
    <w:rsid w:val="004E6018"/>
    <w:rsid w:val="004E60A9"/>
    <w:rsid w:val="004E6526"/>
    <w:rsid w:val="004E6D00"/>
    <w:rsid w:val="004E6F86"/>
    <w:rsid w:val="004E70C1"/>
    <w:rsid w:val="004E74A4"/>
    <w:rsid w:val="004E75F5"/>
    <w:rsid w:val="004E7808"/>
    <w:rsid w:val="004E79F0"/>
    <w:rsid w:val="004F0454"/>
    <w:rsid w:val="004F0646"/>
    <w:rsid w:val="004F0808"/>
    <w:rsid w:val="004F09F1"/>
    <w:rsid w:val="004F0AB9"/>
    <w:rsid w:val="004F0B6B"/>
    <w:rsid w:val="004F0C82"/>
    <w:rsid w:val="004F172D"/>
    <w:rsid w:val="004F1B7B"/>
    <w:rsid w:val="004F1BC5"/>
    <w:rsid w:val="004F1D02"/>
    <w:rsid w:val="004F1F2C"/>
    <w:rsid w:val="004F1FB5"/>
    <w:rsid w:val="004F2068"/>
    <w:rsid w:val="004F2236"/>
    <w:rsid w:val="004F2679"/>
    <w:rsid w:val="004F27DF"/>
    <w:rsid w:val="004F27E9"/>
    <w:rsid w:val="004F282B"/>
    <w:rsid w:val="004F298C"/>
    <w:rsid w:val="004F2CC3"/>
    <w:rsid w:val="004F2F21"/>
    <w:rsid w:val="004F322C"/>
    <w:rsid w:val="004F3375"/>
    <w:rsid w:val="004F3393"/>
    <w:rsid w:val="004F3645"/>
    <w:rsid w:val="004F3DE5"/>
    <w:rsid w:val="004F4A11"/>
    <w:rsid w:val="004F4C91"/>
    <w:rsid w:val="004F4D9C"/>
    <w:rsid w:val="004F5218"/>
    <w:rsid w:val="004F552B"/>
    <w:rsid w:val="004F58D7"/>
    <w:rsid w:val="004F6913"/>
    <w:rsid w:val="004F695F"/>
    <w:rsid w:val="004F6A17"/>
    <w:rsid w:val="004F744B"/>
    <w:rsid w:val="004F7865"/>
    <w:rsid w:val="005000E4"/>
    <w:rsid w:val="0050029E"/>
    <w:rsid w:val="005006BD"/>
    <w:rsid w:val="005006FA"/>
    <w:rsid w:val="00500C28"/>
    <w:rsid w:val="00500F9F"/>
    <w:rsid w:val="00501099"/>
    <w:rsid w:val="005012A3"/>
    <w:rsid w:val="0050174E"/>
    <w:rsid w:val="00501854"/>
    <w:rsid w:val="00501C90"/>
    <w:rsid w:val="00501D93"/>
    <w:rsid w:val="00501E19"/>
    <w:rsid w:val="00501ECA"/>
    <w:rsid w:val="0050219B"/>
    <w:rsid w:val="005023F5"/>
    <w:rsid w:val="00502480"/>
    <w:rsid w:val="005024D4"/>
    <w:rsid w:val="00502513"/>
    <w:rsid w:val="00502803"/>
    <w:rsid w:val="005030E8"/>
    <w:rsid w:val="005033E0"/>
    <w:rsid w:val="0050390C"/>
    <w:rsid w:val="00503A0B"/>
    <w:rsid w:val="00503C81"/>
    <w:rsid w:val="00503D62"/>
    <w:rsid w:val="00503F17"/>
    <w:rsid w:val="00503F3A"/>
    <w:rsid w:val="005040A8"/>
    <w:rsid w:val="00504362"/>
    <w:rsid w:val="005044D7"/>
    <w:rsid w:val="00504845"/>
    <w:rsid w:val="00504B29"/>
    <w:rsid w:val="00504CBE"/>
    <w:rsid w:val="0050526B"/>
    <w:rsid w:val="00505730"/>
    <w:rsid w:val="00505911"/>
    <w:rsid w:val="00505947"/>
    <w:rsid w:val="00505E5E"/>
    <w:rsid w:val="00506124"/>
    <w:rsid w:val="00506294"/>
    <w:rsid w:val="005064DD"/>
    <w:rsid w:val="00506928"/>
    <w:rsid w:val="005077EF"/>
    <w:rsid w:val="00507FF9"/>
    <w:rsid w:val="0051053C"/>
    <w:rsid w:val="005105C0"/>
    <w:rsid w:val="00510762"/>
    <w:rsid w:val="00510888"/>
    <w:rsid w:val="0051090C"/>
    <w:rsid w:val="005109AE"/>
    <w:rsid w:val="00511138"/>
    <w:rsid w:val="0051118A"/>
    <w:rsid w:val="005112E2"/>
    <w:rsid w:val="00511699"/>
    <w:rsid w:val="005117F7"/>
    <w:rsid w:val="00511AD5"/>
    <w:rsid w:val="00511C49"/>
    <w:rsid w:val="00511DC7"/>
    <w:rsid w:val="0051268D"/>
    <w:rsid w:val="00512D8C"/>
    <w:rsid w:val="00513011"/>
    <w:rsid w:val="005131F6"/>
    <w:rsid w:val="0051389D"/>
    <w:rsid w:val="00513E38"/>
    <w:rsid w:val="00513F6B"/>
    <w:rsid w:val="00514117"/>
    <w:rsid w:val="00514198"/>
    <w:rsid w:val="005142C5"/>
    <w:rsid w:val="005143C6"/>
    <w:rsid w:val="00514AB5"/>
    <w:rsid w:val="0051501B"/>
    <w:rsid w:val="0051506E"/>
    <w:rsid w:val="005152B5"/>
    <w:rsid w:val="005156B7"/>
    <w:rsid w:val="00515886"/>
    <w:rsid w:val="00516917"/>
    <w:rsid w:val="00516A2A"/>
    <w:rsid w:val="00516B6A"/>
    <w:rsid w:val="00516B77"/>
    <w:rsid w:val="005174F8"/>
    <w:rsid w:val="00517A14"/>
    <w:rsid w:val="00517C94"/>
    <w:rsid w:val="00520E95"/>
    <w:rsid w:val="00520F96"/>
    <w:rsid w:val="005211A1"/>
    <w:rsid w:val="0052123C"/>
    <w:rsid w:val="00521319"/>
    <w:rsid w:val="005214BF"/>
    <w:rsid w:val="0052152B"/>
    <w:rsid w:val="00521696"/>
    <w:rsid w:val="00521896"/>
    <w:rsid w:val="00521BE3"/>
    <w:rsid w:val="00521EBC"/>
    <w:rsid w:val="00522234"/>
    <w:rsid w:val="0052247F"/>
    <w:rsid w:val="005225CD"/>
    <w:rsid w:val="0052297F"/>
    <w:rsid w:val="00522BC8"/>
    <w:rsid w:val="00522FA8"/>
    <w:rsid w:val="00522FF6"/>
    <w:rsid w:val="00523309"/>
    <w:rsid w:val="0052355F"/>
    <w:rsid w:val="005237DA"/>
    <w:rsid w:val="00523BC3"/>
    <w:rsid w:val="00523C28"/>
    <w:rsid w:val="0052439C"/>
    <w:rsid w:val="00524885"/>
    <w:rsid w:val="00524D3C"/>
    <w:rsid w:val="0052553D"/>
    <w:rsid w:val="0052569A"/>
    <w:rsid w:val="00525702"/>
    <w:rsid w:val="00525A84"/>
    <w:rsid w:val="00525ABA"/>
    <w:rsid w:val="00525E2C"/>
    <w:rsid w:val="005263B0"/>
    <w:rsid w:val="0052661C"/>
    <w:rsid w:val="00526A90"/>
    <w:rsid w:val="00526EFE"/>
    <w:rsid w:val="005272A1"/>
    <w:rsid w:val="00527362"/>
    <w:rsid w:val="00527B8A"/>
    <w:rsid w:val="00527D02"/>
    <w:rsid w:val="00527F75"/>
    <w:rsid w:val="00530025"/>
    <w:rsid w:val="00530B05"/>
    <w:rsid w:val="00530B18"/>
    <w:rsid w:val="00530C90"/>
    <w:rsid w:val="00531104"/>
    <w:rsid w:val="0053176B"/>
    <w:rsid w:val="0053191A"/>
    <w:rsid w:val="00531A94"/>
    <w:rsid w:val="00532EFD"/>
    <w:rsid w:val="005333BC"/>
    <w:rsid w:val="005338F6"/>
    <w:rsid w:val="00533E4E"/>
    <w:rsid w:val="005341B3"/>
    <w:rsid w:val="005342B3"/>
    <w:rsid w:val="005345EE"/>
    <w:rsid w:val="005345FA"/>
    <w:rsid w:val="0053472C"/>
    <w:rsid w:val="00534BF7"/>
    <w:rsid w:val="00534C49"/>
    <w:rsid w:val="00534DEE"/>
    <w:rsid w:val="005353DC"/>
    <w:rsid w:val="005355B3"/>
    <w:rsid w:val="00535631"/>
    <w:rsid w:val="00535D3F"/>
    <w:rsid w:val="00536048"/>
    <w:rsid w:val="0053622E"/>
    <w:rsid w:val="005362EE"/>
    <w:rsid w:val="00536E1D"/>
    <w:rsid w:val="00536EAC"/>
    <w:rsid w:val="00536F42"/>
    <w:rsid w:val="00537182"/>
    <w:rsid w:val="005377A9"/>
    <w:rsid w:val="0054031E"/>
    <w:rsid w:val="005409E8"/>
    <w:rsid w:val="00540B95"/>
    <w:rsid w:val="00540DF3"/>
    <w:rsid w:val="00540FE3"/>
    <w:rsid w:val="00541389"/>
    <w:rsid w:val="00541519"/>
    <w:rsid w:val="005418D2"/>
    <w:rsid w:val="00541A7D"/>
    <w:rsid w:val="00541D47"/>
    <w:rsid w:val="00541E7A"/>
    <w:rsid w:val="00541EDD"/>
    <w:rsid w:val="00541F83"/>
    <w:rsid w:val="005422A4"/>
    <w:rsid w:val="00542743"/>
    <w:rsid w:val="00542C2D"/>
    <w:rsid w:val="00542DE4"/>
    <w:rsid w:val="00543484"/>
    <w:rsid w:val="00543604"/>
    <w:rsid w:val="0054387C"/>
    <w:rsid w:val="00543A0D"/>
    <w:rsid w:val="00543AF5"/>
    <w:rsid w:val="00543D5D"/>
    <w:rsid w:val="00543FDB"/>
    <w:rsid w:val="005443BF"/>
    <w:rsid w:val="00545067"/>
    <w:rsid w:val="005452FC"/>
    <w:rsid w:val="005460C4"/>
    <w:rsid w:val="00546890"/>
    <w:rsid w:val="00546A54"/>
    <w:rsid w:val="00546F01"/>
    <w:rsid w:val="0054705D"/>
    <w:rsid w:val="005471EF"/>
    <w:rsid w:val="005472A9"/>
    <w:rsid w:val="005478AB"/>
    <w:rsid w:val="005478BD"/>
    <w:rsid w:val="005479E3"/>
    <w:rsid w:val="00547F78"/>
    <w:rsid w:val="00550191"/>
    <w:rsid w:val="005501C7"/>
    <w:rsid w:val="00551899"/>
    <w:rsid w:val="00551985"/>
    <w:rsid w:val="00551EE6"/>
    <w:rsid w:val="00551F9F"/>
    <w:rsid w:val="00552338"/>
    <w:rsid w:val="005523EE"/>
    <w:rsid w:val="00552506"/>
    <w:rsid w:val="005528FC"/>
    <w:rsid w:val="00552B0B"/>
    <w:rsid w:val="00552BD3"/>
    <w:rsid w:val="00552C7A"/>
    <w:rsid w:val="00552D4C"/>
    <w:rsid w:val="005532A0"/>
    <w:rsid w:val="0055342D"/>
    <w:rsid w:val="00553437"/>
    <w:rsid w:val="00553446"/>
    <w:rsid w:val="005536EC"/>
    <w:rsid w:val="00553A79"/>
    <w:rsid w:val="00553A7B"/>
    <w:rsid w:val="00553C77"/>
    <w:rsid w:val="00554440"/>
    <w:rsid w:val="005544E2"/>
    <w:rsid w:val="0055490C"/>
    <w:rsid w:val="00554BDF"/>
    <w:rsid w:val="00554CDC"/>
    <w:rsid w:val="00554F9B"/>
    <w:rsid w:val="00555109"/>
    <w:rsid w:val="005551E4"/>
    <w:rsid w:val="00555397"/>
    <w:rsid w:val="005553E1"/>
    <w:rsid w:val="0055609D"/>
    <w:rsid w:val="00556422"/>
    <w:rsid w:val="00556934"/>
    <w:rsid w:val="00556B35"/>
    <w:rsid w:val="00557172"/>
    <w:rsid w:val="0055741A"/>
    <w:rsid w:val="005574AB"/>
    <w:rsid w:val="00557720"/>
    <w:rsid w:val="00557740"/>
    <w:rsid w:val="005577D8"/>
    <w:rsid w:val="00557FE3"/>
    <w:rsid w:val="005603BF"/>
    <w:rsid w:val="0056075F"/>
    <w:rsid w:val="00560BC5"/>
    <w:rsid w:val="00560C1C"/>
    <w:rsid w:val="00560C32"/>
    <w:rsid w:val="005611B7"/>
    <w:rsid w:val="00561300"/>
    <w:rsid w:val="00561571"/>
    <w:rsid w:val="0056185F"/>
    <w:rsid w:val="005618D4"/>
    <w:rsid w:val="00561BEF"/>
    <w:rsid w:val="00562284"/>
    <w:rsid w:val="00562A4A"/>
    <w:rsid w:val="00562FA1"/>
    <w:rsid w:val="00562FB1"/>
    <w:rsid w:val="00562FED"/>
    <w:rsid w:val="005632A3"/>
    <w:rsid w:val="00563861"/>
    <w:rsid w:val="00563B56"/>
    <w:rsid w:val="00564867"/>
    <w:rsid w:val="00564B08"/>
    <w:rsid w:val="00565065"/>
    <w:rsid w:val="00565331"/>
    <w:rsid w:val="00565475"/>
    <w:rsid w:val="00565C79"/>
    <w:rsid w:val="00565DF0"/>
    <w:rsid w:val="00565EB6"/>
    <w:rsid w:val="00566283"/>
    <w:rsid w:val="0056629B"/>
    <w:rsid w:val="005664B1"/>
    <w:rsid w:val="005664D5"/>
    <w:rsid w:val="00566610"/>
    <w:rsid w:val="00566659"/>
    <w:rsid w:val="0056696F"/>
    <w:rsid w:val="00566BDA"/>
    <w:rsid w:val="00567769"/>
    <w:rsid w:val="00567A27"/>
    <w:rsid w:val="00567C47"/>
    <w:rsid w:val="00567D0D"/>
    <w:rsid w:val="00567EA3"/>
    <w:rsid w:val="0057076D"/>
    <w:rsid w:val="00570DC5"/>
    <w:rsid w:val="00571198"/>
    <w:rsid w:val="005713C7"/>
    <w:rsid w:val="00571E70"/>
    <w:rsid w:val="005721D7"/>
    <w:rsid w:val="00572269"/>
    <w:rsid w:val="0057244A"/>
    <w:rsid w:val="005726EF"/>
    <w:rsid w:val="00572E5E"/>
    <w:rsid w:val="00572F26"/>
    <w:rsid w:val="00573A37"/>
    <w:rsid w:val="0057403D"/>
    <w:rsid w:val="00574513"/>
    <w:rsid w:val="00574A14"/>
    <w:rsid w:val="00574A98"/>
    <w:rsid w:val="005750C5"/>
    <w:rsid w:val="00575150"/>
    <w:rsid w:val="005752DE"/>
    <w:rsid w:val="00575D60"/>
    <w:rsid w:val="00575D8D"/>
    <w:rsid w:val="00576009"/>
    <w:rsid w:val="00576972"/>
    <w:rsid w:val="00576C5E"/>
    <w:rsid w:val="00577248"/>
    <w:rsid w:val="005772F9"/>
    <w:rsid w:val="00577620"/>
    <w:rsid w:val="00577E23"/>
    <w:rsid w:val="00577E5B"/>
    <w:rsid w:val="0058072B"/>
    <w:rsid w:val="00580FE8"/>
    <w:rsid w:val="00581ADA"/>
    <w:rsid w:val="00581C7D"/>
    <w:rsid w:val="00582174"/>
    <w:rsid w:val="00582655"/>
    <w:rsid w:val="00582E5C"/>
    <w:rsid w:val="0058301C"/>
    <w:rsid w:val="00583286"/>
    <w:rsid w:val="0058348C"/>
    <w:rsid w:val="005834A4"/>
    <w:rsid w:val="00583699"/>
    <w:rsid w:val="00583BFA"/>
    <w:rsid w:val="005849C7"/>
    <w:rsid w:val="00584A5F"/>
    <w:rsid w:val="00584C5A"/>
    <w:rsid w:val="005856D2"/>
    <w:rsid w:val="00585CDD"/>
    <w:rsid w:val="00585D57"/>
    <w:rsid w:val="00586722"/>
    <w:rsid w:val="00587058"/>
    <w:rsid w:val="005871C0"/>
    <w:rsid w:val="005879D7"/>
    <w:rsid w:val="00587AFF"/>
    <w:rsid w:val="00587F5F"/>
    <w:rsid w:val="005901D9"/>
    <w:rsid w:val="0059048C"/>
    <w:rsid w:val="00590787"/>
    <w:rsid w:val="00590E2F"/>
    <w:rsid w:val="00590E63"/>
    <w:rsid w:val="00591003"/>
    <w:rsid w:val="005910FB"/>
    <w:rsid w:val="00591491"/>
    <w:rsid w:val="005914E0"/>
    <w:rsid w:val="00591957"/>
    <w:rsid w:val="00591DA1"/>
    <w:rsid w:val="00591FC4"/>
    <w:rsid w:val="00592052"/>
    <w:rsid w:val="00592404"/>
    <w:rsid w:val="0059283F"/>
    <w:rsid w:val="00593B33"/>
    <w:rsid w:val="00593DFE"/>
    <w:rsid w:val="00594751"/>
    <w:rsid w:val="00594B97"/>
    <w:rsid w:val="00594F0C"/>
    <w:rsid w:val="0059516F"/>
    <w:rsid w:val="005953FB"/>
    <w:rsid w:val="0059581E"/>
    <w:rsid w:val="005960D9"/>
    <w:rsid w:val="005965E5"/>
    <w:rsid w:val="00596C5C"/>
    <w:rsid w:val="0059736F"/>
    <w:rsid w:val="005978A0"/>
    <w:rsid w:val="00597AA3"/>
    <w:rsid w:val="00597BF9"/>
    <w:rsid w:val="00597E53"/>
    <w:rsid w:val="005A0C11"/>
    <w:rsid w:val="005A15E4"/>
    <w:rsid w:val="005A16F5"/>
    <w:rsid w:val="005A1F53"/>
    <w:rsid w:val="005A309A"/>
    <w:rsid w:val="005A3446"/>
    <w:rsid w:val="005A373D"/>
    <w:rsid w:val="005A38F1"/>
    <w:rsid w:val="005A3BD5"/>
    <w:rsid w:val="005A4297"/>
    <w:rsid w:val="005A4307"/>
    <w:rsid w:val="005A4E6A"/>
    <w:rsid w:val="005A51D9"/>
    <w:rsid w:val="005A54DD"/>
    <w:rsid w:val="005A5568"/>
    <w:rsid w:val="005A57E9"/>
    <w:rsid w:val="005A57EC"/>
    <w:rsid w:val="005A5C67"/>
    <w:rsid w:val="005A5CA8"/>
    <w:rsid w:val="005A64F6"/>
    <w:rsid w:val="005A65FD"/>
    <w:rsid w:val="005A7011"/>
    <w:rsid w:val="005A7265"/>
    <w:rsid w:val="005A7284"/>
    <w:rsid w:val="005A783E"/>
    <w:rsid w:val="005A7BB2"/>
    <w:rsid w:val="005A7D19"/>
    <w:rsid w:val="005B046E"/>
    <w:rsid w:val="005B067F"/>
    <w:rsid w:val="005B0B58"/>
    <w:rsid w:val="005B0B6B"/>
    <w:rsid w:val="005B1493"/>
    <w:rsid w:val="005B1894"/>
    <w:rsid w:val="005B1979"/>
    <w:rsid w:val="005B20F3"/>
    <w:rsid w:val="005B21B6"/>
    <w:rsid w:val="005B2382"/>
    <w:rsid w:val="005B331B"/>
    <w:rsid w:val="005B3568"/>
    <w:rsid w:val="005B36CF"/>
    <w:rsid w:val="005B38C7"/>
    <w:rsid w:val="005B3CE6"/>
    <w:rsid w:val="005B3DE2"/>
    <w:rsid w:val="005B3F37"/>
    <w:rsid w:val="005B42F3"/>
    <w:rsid w:val="005B43EA"/>
    <w:rsid w:val="005B4E53"/>
    <w:rsid w:val="005B50CF"/>
    <w:rsid w:val="005B5857"/>
    <w:rsid w:val="005B6538"/>
    <w:rsid w:val="005B65D5"/>
    <w:rsid w:val="005B6636"/>
    <w:rsid w:val="005B6B88"/>
    <w:rsid w:val="005B6C0F"/>
    <w:rsid w:val="005B6E2F"/>
    <w:rsid w:val="005B70DC"/>
    <w:rsid w:val="005B746C"/>
    <w:rsid w:val="005B7CF9"/>
    <w:rsid w:val="005C0062"/>
    <w:rsid w:val="005C038D"/>
    <w:rsid w:val="005C04DB"/>
    <w:rsid w:val="005C078D"/>
    <w:rsid w:val="005C07B8"/>
    <w:rsid w:val="005C07E3"/>
    <w:rsid w:val="005C0CF9"/>
    <w:rsid w:val="005C0F06"/>
    <w:rsid w:val="005C0F42"/>
    <w:rsid w:val="005C19C4"/>
    <w:rsid w:val="005C1B83"/>
    <w:rsid w:val="005C20E9"/>
    <w:rsid w:val="005C250A"/>
    <w:rsid w:val="005C25FF"/>
    <w:rsid w:val="005C2D55"/>
    <w:rsid w:val="005C32A4"/>
    <w:rsid w:val="005C33CD"/>
    <w:rsid w:val="005C346B"/>
    <w:rsid w:val="005C3828"/>
    <w:rsid w:val="005C39A5"/>
    <w:rsid w:val="005C3A2F"/>
    <w:rsid w:val="005C3E43"/>
    <w:rsid w:val="005C3E9E"/>
    <w:rsid w:val="005C4215"/>
    <w:rsid w:val="005C4242"/>
    <w:rsid w:val="005C42AB"/>
    <w:rsid w:val="005C436C"/>
    <w:rsid w:val="005C446F"/>
    <w:rsid w:val="005C4709"/>
    <w:rsid w:val="005C497A"/>
    <w:rsid w:val="005C4BF1"/>
    <w:rsid w:val="005C4C1E"/>
    <w:rsid w:val="005C53DA"/>
    <w:rsid w:val="005C5ABC"/>
    <w:rsid w:val="005C61AF"/>
    <w:rsid w:val="005C6570"/>
    <w:rsid w:val="005C6BA9"/>
    <w:rsid w:val="005C6BE2"/>
    <w:rsid w:val="005C717B"/>
    <w:rsid w:val="005C7F2A"/>
    <w:rsid w:val="005D031C"/>
    <w:rsid w:val="005D044D"/>
    <w:rsid w:val="005D04F8"/>
    <w:rsid w:val="005D050F"/>
    <w:rsid w:val="005D0563"/>
    <w:rsid w:val="005D0593"/>
    <w:rsid w:val="005D06E7"/>
    <w:rsid w:val="005D0ABD"/>
    <w:rsid w:val="005D18AD"/>
    <w:rsid w:val="005D23B1"/>
    <w:rsid w:val="005D262A"/>
    <w:rsid w:val="005D26B1"/>
    <w:rsid w:val="005D26B4"/>
    <w:rsid w:val="005D2720"/>
    <w:rsid w:val="005D2757"/>
    <w:rsid w:val="005D27F7"/>
    <w:rsid w:val="005D314D"/>
    <w:rsid w:val="005D3472"/>
    <w:rsid w:val="005D3D04"/>
    <w:rsid w:val="005D3EBC"/>
    <w:rsid w:val="005D4AD4"/>
    <w:rsid w:val="005D4ECB"/>
    <w:rsid w:val="005D4EEC"/>
    <w:rsid w:val="005D55CB"/>
    <w:rsid w:val="005D5B40"/>
    <w:rsid w:val="005D6139"/>
    <w:rsid w:val="005D6385"/>
    <w:rsid w:val="005D648A"/>
    <w:rsid w:val="005D6946"/>
    <w:rsid w:val="005D6A31"/>
    <w:rsid w:val="005D6AB0"/>
    <w:rsid w:val="005D6CCC"/>
    <w:rsid w:val="005D7340"/>
    <w:rsid w:val="005D76E9"/>
    <w:rsid w:val="005D7C2B"/>
    <w:rsid w:val="005E0209"/>
    <w:rsid w:val="005E0461"/>
    <w:rsid w:val="005E0A7A"/>
    <w:rsid w:val="005E0B01"/>
    <w:rsid w:val="005E16FA"/>
    <w:rsid w:val="005E1995"/>
    <w:rsid w:val="005E19E7"/>
    <w:rsid w:val="005E1A78"/>
    <w:rsid w:val="005E2306"/>
    <w:rsid w:val="005E2BCB"/>
    <w:rsid w:val="005E2EAE"/>
    <w:rsid w:val="005E2F92"/>
    <w:rsid w:val="005E33B4"/>
    <w:rsid w:val="005E38C7"/>
    <w:rsid w:val="005E4DBD"/>
    <w:rsid w:val="005E4F1E"/>
    <w:rsid w:val="005E4F85"/>
    <w:rsid w:val="005E511F"/>
    <w:rsid w:val="005E5930"/>
    <w:rsid w:val="005E5A01"/>
    <w:rsid w:val="005E5C99"/>
    <w:rsid w:val="005E6000"/>
    <w:rsid w:val="005E6188"/>
    <w:rsid w:val="005E62B2"/>
    <w:rsid w:val="005E6B65"/>
    <w:rsid w:val="005E6CBC"/>
    <w:rsid w:val="005E6F20"/>
    <w:rsid w:val="005E72FF"/>
    <w:rsid w:val="005E73C0"/>
    <w:rsid w:val="005E75BB"/>
    <w:rsid w:val="005E7C24"/>
    <w:rsid w:val="005E7C46"/>
    <w:rsid w:val="005F01C4"/>
    <w:rsid w:val="005F07ED"/>
    <w:rsid w:val="005F09E8"/>
    <w:rsid w:val="005F09F3"/>
    <w:rsid w:val="005F0A34"/>
    <w:rsid w:val="005F0B01"/>
    <w:rsid w:val="005F0D58"/>
    <w:rsid w:val="005F0D85"/>
    <w:rsid w:val="005F1014"/>
    <w:rsid w:val="005F1763"/>
    <w:rsid w:val="005F17A8"/>
    <w:rsid w:val="005F20AF"/>
    <w:rsid w:val="005F21F3"/>
    <w:rsid w:val="005F2673"/>
    <w:rsid w:val="005F26F0"/>
    <w:rsid w:val="005F2706"/>
    <w:rsid w:val="005F2782"/>
    <w:rsid w:val="005F2827"/>
    <w:rsid w:val="005F28D5"/>
    <w:rsid w:val="005F2B51"/>
    <w:rsid w:val="005F2BD5"/>
    <w:rsid w:val="005F31A8"/>
    <w:rsid w:val="005F3364"/>
    <w:rsid w:val="005F3493"/>
    <w:rsid w:val="005F352D"/>
    <w:rsid w:val="005F3831"/>
    <w:rsid w:val="005F398C"/>
    <w:rsid w:val="005F40D6"/>
    <w:rsid w:val="005F46F2"/>
    <w:rsid w:val="005F4F8D"/>
    <w:rsid w:val="005F51BC"/>
    <w:rsid w:val="005F5244"/>
    <w:rsid w:val="005F5693"/>
    <w:rsid w:val="005F5820"/>
    <w:rsid w:val="005F5FE8"/>
    <w:rsid w:val="005F64AE"/>
    <w:rsid w:val="005F6611"/>
    <w:rsid w:val="005F6A8F"/>
    <w:rsid w:val="005F6BB7"/>
    <w:rsid w:val="005F7019"/>
    <w:rsid w:val="005F7588"/>
    <w:rsid w:val="005F772A"/>
    <w:rsid w:val="005F79D8"/>
    <w:rsid w:val="005F7B59"/>
    <w:rsid w:val="006001EC"/>
    <w:rsid w:val="0060068C"/>
    <w:rsid w:val="00601012"/>
    <w:rsid w:val="00601156"/>
    <w:rsid w:val="00601754"/>
    <w:rsid w:val="00601AE7"/>
    <w:rsid w:val="00602208"/>
    <w:rsid w:val="006025F7"/>
    <w:rsid w:val="00602629"/>
    <w:rsid w:val="006028D3"/>
    <w:rsid w:val="00602A2B"/>
    <w:rsid w:val="00602F8F"/>
    <w:rsid w:val="0060391E"/>
    <w:rsid w:val="00603DB9"/>
    <w:rsid w:val="006040DA"/>
    <w:rsid w:val="0060430A"/>
    <w:rsid w:val="00604417"/>
    <w:rsid w:val="00604AFA"/>
    <w:rsid w:val="00604B3B"/>
    <w:rsid w:val="00606992"/>
    <w:rsid w:val="00606A65"/>
    <w:rsid w:val="00606B07"/>
    <w:rsid w:val="00606FBA"/>
    <w:rsid w:val="00607592"/>
    <w:rsid w:val="00607669"/>
    <w:rsid w:val="006076F4"/>
    <w:rsid w:val="00607AFD"/>
    <w:rsid w:val="00607D45"/>
    <w:rsid w:val="006101AB"/>
    <w:rsid w:val="006104A2"/>
    <w:rsid w:val="00610807"/>
    <w:rsid w:val="00610C9D"/>
    <w:rsid w:val="00610FCB"/>
    <w:rsid w:val="0061117B"/>
    <w:rsid w:val="0061133C"/>
    <w:rsid w:val="006115FD"/>
    <w:rsid w:val="00611B12"/>
    <w:rsid w:val="00611BA6"/>
    <w:rsid w:val="00611E07"/>
    <w:rsid w:val="00612819"/>
    <w:rsid w:val="00612F47"/>
    <w:rsid w:val="00612F97"/>
    <w:rsid w:val="00613120"/>
    <w:rsid w:val="006133B2"/>
    <w:rsid w:val="0061345D"/>
    <w:rsid w:val="006135A1"/>
    <w:rsid w:val="00613C40"/>
    <w:rsid w:val="00613E0F"/>
    <w:rsid w:val="00614140"/>
    <w:rsid w:val="00614DD0"/>
    <w:rsid w:val="00614EB5"/>
    <w:rsid w:val="0061523D"/>
    <w:rsid w:val="0061549B"/>
    <w:rsid w:val="0061574B"/>
    <w:rsid w:val="0061591F"/>
    <w:rsid w:val="0061598D"/>
    <w:rsid w:val="00615D73"/>
    <w:rsid w:val="00616476"/>
    <w:rsid w:val="00616605"/>
    <w:rsid w:val="00616802"/>
    <w:rsid w:val="00616A88"/>
    <w:rsid w:val="00617301"/>
    <w:rsid w:val="00617344"/>
    <w:rsid w:val="006173B0"/>
    <w:rsid w:val="00617686"/>
    <w:rsid w:val="00617838"/>
    <w:rsid w:val="006178C8"/>
    <w:rsid w:val="006179DD"/>
    <w:rsid w:val="00617C28"/>
    <w:rsid w:val="00617E12"/>
    <w:rsid w:val="006202F0"/>
    <w:rsid w:val="00620C25"/>
    <w:rsid w:val="00620C6A"/>
    <w:rsid w:val="00621115"/>
    <w:rsid w:val="0062138B"/>
    <w:rsid w:val="00621477"/>
    <w:rsid w:val="00621ADA"/>
    <w:rsid w:val="00621ED8"/>
    <w:rsid w:val="006220A2"/>
    <w:rsid w:val="0062231C"/>
    <w:rsid w:val="00622373"/>
    <w:rsid w:val="0062257A"/>
    <w:rsid w:val="0062276D"/>
    <w:rsid w:val="00622850"/>
    <w:rsid w:val="006228E0"/>
    <w:rsid w:val="006228E6"/>
    <w:rsid w:val="00622B2B"/>
    <w:rsid w:val="00622D1C"/>
    <w:rsid w:val="00622FD0"/>
    <w:rsid w:val="006230F8"/>
    <w:rsid w:val="00623872"/>
    <w:rsid w:val="00623F7B"/>
    <w:rsid w:val="006242A4"/>
    <w:rsid w:val="006248D8"/>
    <w:rsid w:val="00624BD4"/>
    <w:rsid w:val="006250A9"/>
    <w:rsid w:val="00625110"/>
    <w:rsid w:val="006256A6"/>
    <w:rsid w:val="00625766"/>
    <w:rsid w:val="00625A10"/>
    <w:rsid w:val="00625D85"/>
    <w:rsid w:val="00626289"/>
    <w:rsid w:val="006262D4"/>
    <w:rsid w:val="00626348"/>
    <w:rsid w:val="00627474"/>
    <w:rsid w:val="00627704"/>
    <w:rsid w:val="00627736"/>
    <w:rsid w:val="006277E0"/>
    <w:rsid w:val="006279DD"/>
    <w:rsid w:val="00627C08"/>
    <w:rsid w:val="00631082"/>
    <w:rsid w:val="0063158F"/>
    <w:rsid w:val="00631D6B"/>
    <w:rsid w:val="00631E71"/>
    <w:rsid w:val="00632183"/>
    <w:rsid w:val="006322B8"/>
    <w:rsid w:val="006327F0"/>
    <w:rsid w:val="006330A1"/>
    <w:rsid w:val="006332AA"/>
    <w:rsid w:val="006332E4"/>
    <w:rsid w:val="006346E8"/>
    <w:rsid w:val="006346ED"/>
    <w:rsid w:val="0063479F"/>
    <w:rsid w:val="00634B6C"/>
    <w:rsid w:val="00635350"/>
    <w:rsid w:val="006353F0"/>
    <w:rsid w:val="006357B5"/>
    <w:rsid w:val="006358F3"/>
    <w:rsid w:val="006364A1"/>
    <w:rsid w:val="006364F5"/>
    <w:rsid w:val="0063678E"/>
    <w:rsid w:val="00636CAE"/>
    <w:rsid w:val="00637495"/>
    <w:rsid w:val="00637BFD"/>
    <w:rsid w:val="00637C5C"/>
    <w:rsid w:val="00637DCB"/>
    <w:rsid w:val="006400CC"/>
    <w:rsid w:val="00640255"/>
    <w:rsid w:val="006402F8"/>
    <w:rsid w:val="00640858"/>
    <w:rsid w:val="00640927"/>
    <w:rsid w:val="00640971"/>
    <w:rsid w:val="00640DD1"/>
    <w:rsid w:val="00640EF8"/>
    <w:rsid w:val="00640F8B"/>
    <w:rsid w:val="00641072"/>
    <w:rsid w:val="0064125B"/>
    <w:rsid w:val="0064192F"/>
    <w:rsid w:val="00641AB7"/>
    <w:rsid w:val="00641C4E"/>
    <w:rsid w:val="00641FB3"/>
    <w:rsid w:val="00642111"/>
    <w:rsid w:val="0064241F"/>
    <w:rsid w:val="006429AC"/>
    <w:rsid w:val="00642A4C"/>
    <w:rsid w:val="00642AA0"/>
    <w:rsid w:val="00642D0C"/>
    <w:rsid w:val="0064329B"/>
    <w:rsid w:val="0064349E"/>
    <w:rsid w:val="006435D3"/>
    <w:rsid w:val="00644004"/>
    <w:rsid w:val="006441D7"/>
    <w:rsid w:val="006442B9"/>
    <w:rsid w:val="0064434C"/>
    <w:rsid w:val="006445F8"/>
    <w:rsid w:val="00644B83"/>
    <w:rsid w:val="00645220"/>
    <w:rsid w:val="006460F1"/>
    <w:rsid w:val="006463FD"/>
    <w:rsid w:val="006466D3"/>
    <w:rsid w:val="00646F38"/>
    <w:rsid w:val="006471CC"/>
    <w:rsid w:val="006472FE"/>
    <w:rsid w:val="006476DA"/>
    <w:rsid w:val="00647793"/>
    <w:rsid w:val="00647A29"/>
    <w:rsid w:val="00647CB8"/>
    <w:rsid w:val="00647ED2"/>
    <w:rsid w:val="0065079F"/>
    <w:rsid w:val="006507E6"/>
    <w:rsid w:val="00650A14"/>
    <w:rsid w:val="00650C37"/>
    <w:rsid w:val="0065102C"/>
    <w:rsid w:val="006511EA"/>
    <w:rsid w:val="00651544"/>
    <w:rsid w:val="00651ABF"/>
    <w:rsid w:val="00651AFA"/>
    <w:rsid w:val="00651B7D"/>
    <w:rsid w:val="00651DCD"/>
    <w:rsid w:val="00651E9F"/>
    <w:rsid w:val="0065203F"/>
    <w:rsid w:val="006526E3"/>
    <w:rsid w:val="00652739"/>
    <w:rsid w:val="006527FE"/>
    <w:rsid w:val="006528BE"/>
    <w:rsid w:val="006528D1"/>
    <w:rsid w:val="006528F6"/>
    <w:rsid w:val="00652A28"/>
    <w:rsid w:val="00652D7E"/>
    <w:rsid w:val="00652F0D"/>
    <w:rsid w:val="0065323D"/>
    <w:rsid w:val="00653296"/>
    <w:rsid w:val="0065379F"/>
    <w:rsid w:val="00653DAC"/>
    <w:rsid w:val="006544E4"/>
    <w:rsid w:val="00654B7A"/>
    <w:rsid w:val="00654EB4"/>
    <w:rsid w:val="0065505F"/>
    <w:rsid w:val="0065546A"/>
    <w:rsid w:val="00656188"/>
    <w:rsid w:val="0065692E"/>
    <w:rsid w:val="00656946"/>
    <w:rsid w:val="00656EB9"/>
    <w:rsid w:val="0065715A"/>
    <w:rsid w:val="00657964"/>
    <w:rsid w:val="00657AC4"/>
    <w:rsid w:val="0066039D"/>
    <w:rsid w:val="006609FB"/>
    <w:rsid w:val="00660EA5"/>
    <w:rsid w:val="006610F1"/>
    <w:rsid w:val="00661C27"/>
    <w:rsid w:val="00661C6B"/>
    <w:rsid w:val="00661FA1"/>
    <w:rsid w:val="006620AE"/>
    <w:rsid w:val="00662508"/>
    <w:rsid w:val="00662516"/>
    <w:rsid w:val="00662672"/>
    <w:rsid w:val="00662ABA"/>
    <w:rsid w:val="00662CBD"/>
    <w:rsid w:val="00662D3E"/>
    <w:rsid w:val="00662D4F"/>
    <w:rsid w:val="0066334D"/>
    <w:rsid w:val="0066366D"/>
    <w:rsid w:val="006639BF"/>
    <w:rsid w:val="00663B24"/>
    <w:rsid w:val="00663D78"/>
    <w:rsid w:val="00664116"/>
    <w:rsid w:val="00664300"/>
    <w:rsid w:val="0066474D"/>
    <w:rsid w:val="0066497C"/>
    <w:rsid w:val="00664ADD"/>
    <w:rsid w:val="006653B7"/>
    <w:rsid w:val="006653DC"/>
    <w:rsid w:val="00665BF7"/>
    <w:rsid w:val="006662EF"/>
    <w:rsid w:val="00666898"/>
    <w:rsid w:val="006671C5"/>
    <w:rsid w:val="00667B9E"/>
    <w:rsid w:val="00667BE3"/>
    <w:rsid w:val="00670390"/>
    <w:rsid w:val="0067040A"/>
    <w:rsid w:val="00670620"/>
    <w:rsid w:val="00670A29"/>
    <w:rsid w:val="00671004"/>
    <w:rsid w:val="00671239"/>
    <w:rsid w:val="00671DAC"/>
    <w:rsid w:val="00672646"/>
    <w:rsid w:val="00672C9E"/>
    <w:rsid w:val="00672D15"/>
    <w:rsid w:val="00672E3F"/>
    <w:rsid w:val="00672E70"/>
    <w:rsid w:val="00672F65"/>
    <w:rsid w:val="0067339F"/>
    <w:rsid w:val="00673DAE"/>
    <w:rsid w:val="006742A5"/>
    <w:rsid w:val="006745FF"/>
    <w:rsid w:val="0067476D"/>
    <w:rsid w:val="006749A5"/>
    <w:rsid w:val="00674A9B"/>
    <w:rsid w:val="00674B7C"/>
    <w:rsid w:val="00674D97"/>
    <w:rsid w:val="00674E42"/>
    <w:rsid w:val="006754BF"/>
    <w:rsid w:val="00676039"/>
    <w:rsid w:val="00676237"/>
    <w:rsid w:val="00676563"/>
    <w:rsid w:val="00676698"/>
    <w:rsid w:val="00676946"/>
    <w:rsid w:val="00676B5A"/>
    <w:rsid w:val="006771A7"/>
    <w:rsid w:val="006773A8"/>
    <w:rsid w:val="006773E3"/>
    <w:rsid w:val="00677651"/>
    <w:rsid w:val="00677F44"/>
    <w:rsid w:val="00680035"/>
    <w:rsid w:val="00680386"/>
    <w:rsid w:val="006808CE"/>
    <w:rsid w:val="006810CD"/>
    <w:rsid w:val="006813F8"/>
    <w:rsid w:val="00681817"/>
    <w:rsid w:val="00681AF7"/>
    <w:rsid w:val="00681B0D"/>
    <w:rsid w:val="00681D3D"/>
    <w:rsid w:val="00681FEB"/>
    <w:rsid w:val="00682099"/>
    <w:rsid w:val="00682112"/>
    <w:rsid w:val="00682A37"/>
    <w:rsid w:val="00682B95"/>
    <w:rsid w:val="00682BA6"/>
    <w:rsid w:val="00682CC8"/>
    <w:rsid w:val="00683A49"/>
    <w:rsid w:val="00683FA2"/>
    <w:rsid w:val="006841EF"/>
    <w:rsid w:val="006842DD"/>
    <w:rsid w:val="00684679"/>
    <w:rsid w:val="00684693"/>
    <w:rsid w:val="0068470C"/>
    <w:rsid w:val="00684A39"/>
    <w:rsid w:val="00684C93"/>
    <w:rsid w:val="00685684"/>
    <w:rsid w:val="00686878"/>
    <w:rsid w:val="00686957"/>
    <w:rsid w:val="00686AA8"/>
    <w:rsid w:val="00686B4D"/>
    <w:rsid w:val="006872BA"/>
    <w:rsid w:val="006874F6"/>
    <w:rsid w:val="00687853"/>
    <w:rsid w:val="00687C07"/>
    <w:rsid w:val="00690153"/>
    <w:rsid w:val="00690568"/>
    <w:rsid w:val="00690795"/>
    <w:rsid w:val="00690C13"/>
    <w:rsid w:val="00690D18"/>
    <w:rsid w:val="00691648"/>
    <w:rsid w:val="006917D7"/>
    <w:rsid w:val="00691FA0"/>
    <w:rsid w:val="006920FD"/>
    <w:rsid w:val="0069247B"/>
    <w:rsid w:val="00692510"/>
    <w:rsid w:val="0069281D"/>
    <w:rsid w:val="00692E73"/>
    <w:rsid w:val="00693148"/>
    <w:rsid w:val="0069319C"/>
    <w:rsid w:val="00693A1B"/>
    <w:rsid w:val="00693B30"/>
    <w:rsid w:val="00693C55"/>
    <w:rsid w:val="0069434C"/>
    <w:rsid w:val="0069457C"/>
    <w:rsid w:val="00694C1D"/>
    <w:rsid w:val="00694F44"/>
    <w:rsid w:val="0069514F"/>
    <w:rsid w:val="00695397"/>
    <w:rsid w:val="006955CE"/>
    <w:rsid w:val="00695868"/>
    <w:rsid w:val="00695A93"/>
    <w:rsid w:val="006961B4"/>
    <w:rsid w:val="00696715"/>
    <w:rsid w:val="00696861"/>
    <w:rsid w:val="00696EF9"/>
    <w:rsid w:val="00696F51"/>
    <w:rsid w:val="006974D9"/>
    <w:rsid w:val="006976E5"/>
    <w:rsid w:val="00697815"/>
    <w:rsid w:val="0069781B"/>
    <w:rsid w:val="006979A5"/>
    <w:rsid w:val="00697E72"/>
    <w:rsid w:val="006A0165"/>
    <w:rsid w:val="006A016F"/>
    <w:rsid w:val="006A052D"/>
    <w:rsid w:val="006A0AFE"/>
    <w:rsid w:val="006A0D23"/>
    <w:rsid w:val="006A0DF7"/>
    <w:rsid w:val="006A1356"/>
    <w:rsid w:val="006A16EF"/>
    <w:rsid w:val="006A19A1"/>
    <w:rsid w:val="006A1B2F"/>
    <w:rsid w:val="006A1BDE"/>
    <w:rsid w:val="006A2295"/>
    <w:rsid w:val="006A2844"/>
    <w:rsid w:val="006A28E0"/>
    <w:rsid w:val="006A2A28"/>
    <w:rsid w:val="006A312F"/>
    <w:rsid w:val="006A31E0"/>
    <w:rsid w:val="006A3933"/>
    <w:rsid w:val="006A42A5"/>
    <w:rsid w:val="006A4321"/>
    <w:rsid w:val="006A43D9"/>
    <w:rsid w:val="006A46CB"/>
    <w:rsid w:val="006A4A8F"/>
    <w:rsid w:val="006A4F7D"/>
    <w:rsid w:val="006A507E"/>
    <w:rsid w:val="006A566C"/>
    <w:rsid w:val="006A584D"/>
    <w:rsid w:val="006A58D4"/>
    <w:rsid w:val="006A5B84"/>
    <w:rsid w:val="006A636C"/>
    <w:rsid w:val="006A63E6"/>
    <w:rsid w:val="006A68DE"/>
    <w:rsid w:val="006A6922"/>
    <w:rsid w:val="006A6B14"/>
    <w:rsid w:val="006A6B99"/>
    <w:rsid w:val="006A7036"/>
    <w:rsid w:val="006A7373"/>
    <w:rsid w:val="006A7703"/>
    <w:rsid w:val="006A7BE6"/>
    <w:rsid w:val="006A7D98"/>
    <w:rsid w:val="006A7E5F"/>
    <w:rsid w:val="006A7F46"/>
    <w:rsid w:val="006B0170"/>
    <w:rsid w:val="006B04AA"/>
    <w:rsid w:val="006B19A4"/>
    <w:rsid w:val="006B1BA0"/>
    <w:rsid w:val="006B1D31"/>
    <w:rsid w:val="006B261B"/>
    <w:rsid w:val="006B26A0"/>
    <w:rsid w:val="006B272E"/>
    <w:rsid w:val="006B291B"/>
    <w:rsid w:val="006B2C90"/>
    <w:rsid w:val="006B2E88"/>
    <w:rsid w:val="006B2FC5"/>
    <w:rsid w:val="006B3112"/>
    <w:rsid w:val="006B3387"/>
    <w:rsid w:val="006B3406"/>
    <w:rsid w:val="006B35E6"/>
    <w:rsid w:val="006B3E73"/>
    <w:rsid w:val="006B3F6F"/>
    <w:rsid w:val="006B402B"/>
    <w:rsid w:val="006B42A0"/>
    <w:rsid w:val="006B465A"/>
    <w:rsid w:val="006B5185"/>
    <w:rsid w:val="006B5224"/>
    <w:rsid w:val="006B52E3"/>
    <w:rsid w:val="006B5693"/>
    <w:rsid w:val="006B599E"/>
    <w:rsid w:val="006B5C83"/>
    <w:rsid w:val="006B6946"/>
    <w:rsid w:val="006B6DD0"/>
    <w:rsid w:val="006B7209"/>
    <w:rsid w:val="006B790B"/>
    <w:rsid w:val="006B7BCD"/>
    <w:rsid w:val="006B7BDC"/>
    <w:rsid w:val="006C0056"/>
    <w:rsid w:val="006C0399"/>
    <w:rsid w:val="006C1049"/>
    <w:rsid w:val="006C16A1"/>
    <w:rsid w:val="006C2129"/>
    <w:rsid w:val="006C24DF"/>
    <w:rsid w:val="006C2777"/>
    <w:rsid w:val="006C27F7"/>
    <w:rsid w:val="006C2A8E"/>
    <w:rsid w:val="006C2D0F"/>
    <w:rsid w:val="006C2EF6"/>
    <w:rsid w:val="006C2F37"/>
    <w:rsid w:val="006C3255"/>
    <w:rsid w:val="006C371C"/>
    <w:rsid w:val="006C38DE"/>
    <w:rsid w:val="006C3DF5"/>
    <w:rsid w:val="006C3F12"/>
    <w:rsid w:val="006C3F26"/>
    <w:rsid w:val="006C4218"/>
    <w:rsid w:val="006C424C"/>
    <w:rsid w:val="006C489C"/>
    <w:rsid w:val="006C5675"/>
    <w:rsid w:val="006C5A0E"/>
    <w:rsid w:val="006C5A2A"/>
    <w:rsid w:val="006C5A7E"/>
    <w:rsid w:val="006C5AF6"/>
    <w:rsid w:val="006C5D02"/>
    <w:rsid w:val="006C5DC3"/>
    <w:rsid w:val="006C66D1"/>
    <w:rsid w:val="006C671A"/>
    <w:rsid w:val="006C6AB1"/>
    <w:rsid w:val="006C6EB3"/>
    <w:rsid w:val="006C71C2"/>
    <w:rsid w:val="006C748C"/>
    <w:rsid w:val="006C7A19"/>
    <w:rsid w:val="006C7ABA"/>
    <w:rsid w:val="006C7B8D"/>
    <w:rsid w:val="006C7CB0"/>
    <w:rsid w:val="006D014A"/>
    <w:rsid w:val="006D054B"/>
    <w:rsid w:val="006D0C1A"/>
    <w:rsid w:val="006D0D17"/>
    <w:rsid w:val="006D14E3"/>
    <w:rsid w:val="006D1593"/>
    <w:rsid w:val="006D1B7F"/>
    <w:rsid w:val="006D31CE"/>
    <w:rsid w:val="006D3BF8"/>
    <w:rsid w:val="006D3C7D"/>
    <w:rsid w:val="006D3FAC"/>
    <w:rsid w:val="006D41AA"/>
    <w:rsid w:val="006D45F9"/>
    <w:rsid w:val="006D4659"/>
    <w:rsid w:val="006D50EE"/>
    <w:rsid w:val="006D5145"/>
    <w:rsid w:val="006D5B65"/>
    <w:rsid w:val="006D5C02"/>
    <w:rsid w:val="006D5D5F"/>
    <w:rsid w:val="006D66B5"/>
    <w:rsid w:val="006D68FB"/>
    <w:rsid w:val="006D6C79"/>
    <w:rsid w:val="006D6D2F"/>
    <w:rsid w:val="006D6E45"/>
    <w:rsid w:val="006D6ECB"/>
    <w:rsid w:val="006D6F9D"/>
    <w:rsid w:val="006D75B5"/>
    <w:rsid w:val="006D76D4"/>
    <w:rsid w:val="006D79F1"/>
    <w:rsid w:val="006D7F4B"/>
    <w:rsid w:val="006E0190"/>
    <w:rsid w:val="006E148F"/>
    <w:rsid w:val="006E1D1B"/>
    <w:rsid w:val="006E20EA"/>
    <w:rsid w:val="006E2328"/>
    <w:rsid w:val="006E2868"/>
    <w:rsid w:val="006E2A54"/>
    <w:rsid w:val="006E2B78"/>
    <w:rsid w:val="006E300A"/>
    <w:rsid w:val="006E31FE"/>
    <w:rsid w:val="006E3308"/>
    <w:rsid w:val="006E3381"/>
    <w:rsid w:val="006E3461"/>
    <w:rsid w:val="006E3D8C"/>
    <w:rsid w:val="006E4538"/>
    <w:rsid w:val="006E4623"/>
    <w:rsid w:val="006E54B7"/>
    <w:rsid w:val="006E5961"/>
    <w:rsid w:val="006E5ED4"/>
    <w:rsid w:val="006E6219"/>
    <w:rsid w:val="006E6AD6"/>
    <w:rsid w:val="006E7054"/>
    <w:rsid w:val="006E7169"/>
    <w:rsid w:val="006E72C5"/>
    <w:rsid w:val="006E73B0"/>
    <w:rsid w:val="006E7576"/>
    <w:rsid w:val="006E78E4"/>
    <w:rsid w:val="006F0665"/>
    <w:rsid w:val="006F0729"/>
    <w:rsid w:val="006F1207"/>
    <w:rsid w:val="006F1542"/>
    <w:rsid w:val="006F15B2"/>
    <w:rsid w:val="006F177B"/>
    <w:rsid w:val="006F1E6B"/>
    <w:rsid w:val="006F22FD"/>
    <w:rsid w:val="006F2C2C"/>
    <w:rsid w:val="006F2DAB"/>
    <w:rsid w:val="006F2EB7"/>
    <w:rsid w:val="006F2EDF"/>
    <w:rsid w:val="006F2F44"/>
    <w:rsid w:val="006F306C"/>
    <w:rsid w:val="006F3455"/>
    <w:rsid w:val="006F38DD"/>
    <w:rsid w:val="006F3954"/>
    <w:rsid w:val="006F396A"/>
    <w:rsid w:val="006F3AF1"/>
    <w:rsid w:val="006F41DB"/>
    <w:rsid w:val="006F47BD"/>
    <w:rsid w:val="006F4A59"/>
    <w:rsid w:val="006F535D"/>
    <w:rsid w:val="006F5A8B"/>
    <w:rsid w:val="006F61D6"/>
    <w:rsid w:val="006F63A5"/>
    <w:rsid w:val="006F64D0"/>
    <w:rsid w:val="006F675D"/>
    <w:rsid w:val="006F67CF"/>
    <w:rsid w:val="006F6829"/>
    <w:rsid w:val="006F69E2"/>
    <w:rsid w:val="006F7146"/>
    <w:rsid w:val="006F76C6"/>
    <w:rsid w:val="006F7874"/>
    <w:rsid w:val="006F7EAB"/>
    <w:rsid w:val="006F7F9C"/>
    <w:rsid w:val="00700AF8"/>
    <w:rsid w:val="00700B38"/>
    <w:rsid w:val="00701076"/>
    <w:rsid w:val="0070142B"/>
    <w:rsid w:val="00701ED9"/>
    <w:rsid w:val="0070276E"/>
    <w:rsid w:val="0070286C"/>
    <w:rsid w:val="00702F8F"/>
    <w:rsid w:val="007030EC"/>
    <w:rsid w:val="00703198"/>
    <w:rsid w:val="007034E3"/>
    <w:rsid w:val="007035ED"/>
    <w:rsid w:val="00703661"/>
    <w:rsid w:val="00703703"/>
    <w:rsid w:val="007039E4"/>
    <w:rsid w:val="00703B44"/>
    <w:rsid w:val="00704075"/>
    <w:rsid w:val="00704A99"/>
    <w:rsid w:val="00704BF3"/>
    <w:rsid w:val="00704C76"/>
    <w:rsid w:val="007050FA"/>
    <w:rsid w:val="00705378"/>
    <w:rsid w:val="007053DF"/>
    <w:rsid w:val="00705A64"/>
    <w:rsid w:val="00705BA9"/>
    <w:rsid w:val="00705CD0"/>
    <w:rsid w:val="00705E22"/>
    <w:rsid w:val="00706703"/>
    <w:rsid w:val="0070710A"/>
    <w:rsid w:val="00707436"/>
    <w:rsid w:val="00707883"/>
    <w:rsid w:val="007079FC"/>
    <w:rsid w:val="00707C61"/>
    <w:rsid w:val="00710360"/>
    <w:rsid w:val="0071067A"/>
    <w:rsid w:val="007115DA"/>
    <w:rsid w:val="00711A36"/>
    <w:rsid w:val="00711C98"/>
    <w:rsid w:val="00711CD5"/>
    <w:rsid w:val="00711CDD"/>
    <w:rsid w:val="007125D3"/>
    <w:rsid w:val="0071261C"/>
    <w:rsid w:val="007128AB"/>
    <w:rsid w:val="00712FB3"/>
    <w:rsid w:val="00713CE8"/>
    <w:rsid w:val="00714162"/>
    <w:rsid w:val="007149CD"/>
    <w:rsid w:val="00714B3F"/>
    <w:rsid w:val="00714C26"/>
    <w:rsid w:val="007150CA"/>
    <w:rsid w:val="0071529C"/>
    <w:rsid w:val="00715400"/>
    <w:rsid w:val="007154F4"/>
    <w:rsid w:val="00715846"/>
    <w:rsid w:val="00716DB4"/>
    <w:rsid w:val="007170DA"/>
    <w:rsid w:val="007172AD"/>
    <w:rsid w:val="00717329"/>
    <w:rsid w:val="00717546"/>
    <w:rsid w:val="00717589"/>
    <w:rsid w:val="00720496"/>
    <w:rsid w:val="0072063C"/>
    <w:rsid w:val="0072066C"/>
    <w:rsid w:val="00720801"/>
    <w:rsid w:val="00720A96"/>
    <w:rsid w:val="00720EA5"/>
    <w:rsid w:val="007213D5"/>
    <w:rsid w:val="00721507"/>
    <w:rsid w:val="00721AD6"/>
    <w:rsid w:val="00721F7E"/>
    <w:rsid w:val="007222C3"/>
    <w:rsid w:val="0072235F"/>
    <w:rsid w:val="0072250B"/>
    <w:rsid w:val="0072252F"/>
    <w:rsid w:val="007225FD"/>
    <w:rsid w:val="0072267E"/>
    <w:rsid w:val="00722B1B"/>
    <w:rsid w:val="0072408F"/>
    <w:rsid w:val="0072416F"/>
    <w:rsid w:val="00724223"/>
    <w:rsid w:val="0072428D"/>
    <w:rsid w:val="007244E6"/>
    <w:rsid w:val="0072471C"/>
    <w:rsid w:val="00724986"/>
    <w:rsid w:val="00724AD7"/>
    <w:rsid w:val="00724AF6"/>
    <w:rsid w:val="00724D94"/>
    <w:rsid w:val="00725072"/>
    <w:rsid w:val="007250E8"/>
    <w:rsid w:val="00725564"/>
    <w:rsid w:val="00725AB8"/>
    <w:rsid w:val="00725D41"/>
    <w:rsid w:val="00725FD3"/>
    <w:rsid w:val="00726265"/>
    <w:rsid w:val="00726A7D"/>
    <w:rsid w:val="00726B63"/>
    <w:rsid w:val="00726C96"/>
    <w:rsid w:val="00726F6F"/>
    <w:rsid w:val="00727161"/>
    <w:rsid w:val="0072716A"/>
    <w:rsid w:val="007271A8"/>
    <w:rsid w:val="00727249"/>
    <w:rsid w:val="007277AD"/>
    <w:rsid w:val="0072784A"/>
    <w:rsid w:val="00727C94"/>
    <w:rsid w:val="00727CE3"/>
    <w:rsid w:val="007301D3"/>
    <w:rsid w:val="0073050A"/>
    <w:rsid w:val="007305FB"/>
    <w:rsid w:val="0073097E"/>
    <w:rsid w:val="007318E5"/>
    <w:rsid w:val="00731A9F"/>
    <w:rsid w:val="00731AD4"/>
    <w:rsid w:val="00731B0A"/>
    <w:rsid w:val="00731B6C"/>
    <w:rsid w:val="00731E15"/>
    <w:rsid w:val="00731EAE"/>
    <w:rsid w:val="007320CF"/>
    <w:rsid w:val="0073219F"/>
    <w:rsid w:val="007327EB"/>
    <w:rsid w:val="00732C13"/>
    <w:rsid w:val="00732EC9"/>
    <w:rsid w:val="00732F1C"/>
    <w:rsid w:val="00733073"/>
    <w:rsid w:val="007335BB"/>
    <w:rsid w:val="0073399A"/>
    <w:rsid w:val="007341F1"/>
    <w:rsid w:val="00734B51"/>
    <w:rsid w:val="00735033"/>
    <w:rsid w:val="00735328"/>
    <w:rsid w:val="00735B27"/>
    <w:rsid w:val="00735EA0"/>
    <w:rsid w:val="0073685B"/>
    <w:rsid w:val="0073708D"/>
    <w:rsid w:val="00737405"/>
    <w:rsid w:val="00737933"/>
    <w:rsid w:val="00737A7D"/>
    <w:rsid w:val="00740397"/>
    <w:rsid w:val="007406CA"/>
    <w:rsid w:val="00740EED"/>
    <w:rsid w:val="00741206"/>
    <w:rsid w:val="00741783"/>
    <w:rsid w:val="00741DD4"/>
    <w:rsid w:val="00741F5F"/>
    <w:rsid w:val="00741F92"/>
    <w:rsid w:val="007420AA"/>
    <w:rsid w:val="007420D2"/>
    <w:rsid w:val="007421D8"/>
    <w:rsid w:val="007428B8"/>
    <w:rsid w:val="00743703"/>
    <w:rsid w:val="00744082"/>
    <w:rsid w:val="007440FF"/>
    <w:rsid w:val="00744847"/>
    <w:rsid w:val="00744854"/>
    <w:rsid w:val="007449BF"/>
    <w:rsid w:val="00744D87"/>
    <w:rsid w:val="00744DAE"/>
    <w:rsid w:val="00745199"/>
    <w:rsid w:val="007451D7"/>
    <w:rsid w:val="00745BF2"/>
    <w:rsid w:val="00745E3A"/>
    <w:rsid w:val="00746333"/>
    <w:rsid w:val="007463FE"/>
    <w:rsid w:val="0074654E"/>
    <w:rsid w:val="00746BC0"/>
    <w:rsid w:val="007471EE"/>
    <w:rsid w:val="00747294"/>
    <w:rsid w:val="007472F2"/>
    <w:rsid w:val="00747431"/>
    <w:rsid w:val="00747C11"/>
    <w:rsid w:val="00747E3B"/>
    <w:rsid w:val="00750407"/>
    <w:rsid w:val="007507BF"/>
    <w:rsid w:val="007510B4"/>
    <w:rsid w:val="007511FF"/>
    <w:rsid w:val="00751372"/>
    <w:rsid w:val="0075141D"/>
    <w:rsid w:val="00751B3A"/>
    <w:rsid w:val="00751E9A"/>
    <w:rsid w:val="00751F35"/>
    <w:rsid w:val="00752142"/>
    <w:rsid w:val="007523F9"/>
    <w:rsid w:val="007525C6"/>
    <w:rsid w:val="007525F7"/>
    <w:rsid w:val="0075295D"/>
    <w:rsid w:val="00753326"/>
    <w:rsid w:val="00753527"/>
    <w:rsid w:val="00753551"/>
    <w:rsid w:val="0075357E"/>
    <w:rsid w:val="007535B4"/>
    <w:rsid w:val="00753B29"/>
    <w:rsid w:val="00753DEC"/>
    <w:rsid w:val="007543C0"/>
    <w:rsid w:val="00754BA5"/>
    <w:rsid w:val="00754E07"/>
    <w:rsid w:val="00754F09"/>
    <w:rsid w:val="00755302"/>
    <w:rsid w:val="00755953"/>
    <w:rsid w:val="00755C88"/>
    <w:rsid w:val="007562AE"/>
    <w:rsid w:val="0075654B"/>
    <w:rsid w:val="00756881"/>
    <w:rsid w:val="00756CBE"/>
    <w:rsid w:val="00756EE7"/>
    <w:rsid w:val="00757229"/>
    <w:rsid w:val="007573E8"/>
    <w:rsid w:val="00757A47"/>
    <w:rsid w:val="00757AFC"/>
    <w:rsid w:val="00757F19"/>
    <w:rsid w:val="00760284"/>
    <w:rsid w:val="0076049E"/>
    <w:rsid w:val="007606CB"/>
    <w:rsid w:val="00760971"/>
    <w:rsid w:val="00760974"/>
    <w:rsid w:val="00760B50"/>
    <w:rsid w:val="00760C4E"/>
    <w:rsid w:val="00760EEF"/>
    <w:rsid w:val="00760EF8"/>
    <w:rsid w:val="00760F9E"/>
    <w:rsid w:val="007610C5"/>
    <w:rsid w:val="007616E6"/>
    <w:rsid w:val="007618B5"/>
    <w:rsid w:val="007619DF"/>
    <w:rsid w:val="00761CA1"/>
    <w:rsid w:val="00761FCA"/>
    <w:rsid w:val="007627B1"/>
    <w:rsid w:val="007627BE"/>
    <w:rsid w:val="007628A5"/>
    <w:rsid w:val="00762D2D"/>
    <w:rsid w:val="00762DC3"/>
    <w:rsid w:val="007632E5"/>
    <w:rsid w:val="007632F1"/>
    <w:rsid w:val="00763329"/>
    <w:rsid w:val="007636DD"/>
    <w:rsid w:val="00763872"/>
    <w:rsid w:val="007638B1"/>
    <w:rsid w:val="00763A1F"/>
    <w:rsid w:val="00763B36"/>
    <w:rsid w:val="00763C70"/>
    <w:rsid w:val="00764C52"/>
    <w:rsid w:val="00764F03"/>
    <w:rsid w:val="00765435"/>
    <w:rsid w:val="00765715"/>
    <w:rsid w:val="00765B1A"/>
    <w:rsid w:val="00765B74"/>
    <w:rsid w:val="00765CC7"/>
    <w:rsid w:val="00765DC1"/>
    <w:rsid w:val="007662DD"/>
    <w:rsid w:val="00766955"/>
    <w:rsid w:val="00766A80"/>
    <w:rsid w:val="00766FB5"/>
    <w:rsid w:val="007672EA"/>
    <w:rsid w:val="00767303"/>
    <w:rsid w:val="007676D2"/>
    <w:rsid w:val="00770861"/>
    <w:rsid w:val="00771030"/>
    <w:rsid w:val="00771194"/>
    <w:rsid w:val="007718A1"/>
    <w:rsid w:val="00772286"/>
    <w:rsid w:val="00773581"/>
    <w:rsid w:val="00773CC3"/>
    <w:rsid w:val="00773FA0"/>
    <w:rsid w:val="00774498"/>
    <w:rsid w:val="00774681"/>
    <w:rsid w:val="00774E99"/>
    <w:rsid w:val="0077597B"/>
    <w:rsid w:val="00775E9E"/>
    <w:rsid w:val="0077620E"/>
    <w:rsid w:val="007764D8"/>
    <w:rsid w:val="00776A29"/>
    <w:rsid w:val="00776C8E"/>
    <w:rsid w:val="00777292"/>
    <w:rsid w:val="007772EE"/>
    <w:rsid w:val="00777335"/>
    <w:rsid w:val="0078031F"/>
    <w:rsid w:val="007808BC"/>
    <w:rsid w:val="00780AC2"/>
    <w:rsid w:val="00780C21"/>
    <w:rsid w:val="00780DB2"/>
    <w:rsid w:val="00780DD0"/>
    <w:rsid w:val="00780E1F"/>
    <w:rsid w:val="00781199"/>
    <w:rsid w:val="0078124B"/>
    <w:rsid w:val="00781534"/>
    <w:rsid w:val="0078170B"/>
    <w:rsid w:val="00781943"/>
    <w:rsid w:val="00781A4A"/>
    <w:rsid w:val="00781A6E"/>
    <w:rsid w:val="00781DAB"/>
    <w:rsid w:val="00781F94"/>
    <w:rsid w:val="007821EB"/>
    <w:rsid w:val="00782229"/>
    <w:rsid w:val="0078242D"/>
    <w:rsid w:val="00782D28"/>
    <w:rsid w:val="007837F0"/>
    <w:rsid w:val="007839D7"/>
    <w:rsid w:val="007840B3"/>
    <w:rsid w:val="007843F2"/>
    <w:rsid w:val="007846FA"/>
    <w:rsid w:val="00784733"/>
    <w:rsid w:val="00784762"/>
    <w:rsid w:val="007851E8"/>
    <w:rsid w:val="007853E5"/>
    <w:rsid w:val="00785A9F"/>
    <w:rsid w:val="00785C8D"/>
    <w:rsid w:val="00786321"/>
    <w:rsid w:val="007876E6"/>
    <w:rsid w:val="00787993"/>
    <w:rsid w:val="00787DC7"/>
    <w:rsid w:val="00787FCF"/>
    <w:rsid w:val="00790459"/>
    <w:rsid w:val="007904EF"/>
    <w:rsid w:val="00790ABE"/>
    <w:rsid w:val="00790CDF"/>
    <w:rsid w:val="00791164"/>
    <w:rsid w:val="0079135B"/>
    <w:rsid w:val="00791DDC"/>
    <w:rsid w:val="00792327"/>
    <w:rsid w:val="007925DF"/>
    <w:rsid w:val="00792E77"/>
    <w:rsid w:val="007932CD"/>
    <w:rsid w:val="007935AD"/>
    <w:rsid w:val="007935E0"/>
    <w:rsid w:val="0079373F"/>
    <w:rsid w:val="00793DC8"/>
    <w:rsid w:val="00793DCE"/>
    <w:rsid w:val="00794220"/>
    <w:rsid w:val="00794A2F"/>
    <w:rsid w:val="00794B5D"/>
    <w:rsid w:val="007950F7"/>
    <w:rsid w:val="007954EF"/>
    <w:rsid w:val="00795514"/>
    <w:rsid w:val="0079556C"/>
    <w:rsid w:val="0079586D"/>
    <w:rsid w:val="00795C65"/>
    <w:rsid w:val="0079616B"/>
    <w:rsid w:val="007963BD"/>
    <w:rsid w:val="00796501"/>
    <w:rsid w:val="007966C4"/>
    <w:rsid w:val="007967BA"/>
    <w:rsid w:val="0079793D"/>
    <w:rsid w:val="00797E28"/>
    <w:rsid w:val="007A08AA"/>
    <w:rsid w:val="007A0A12"/>
    <w:rsid w:val="007A0A15"/>
    <w:rsid w:val="007A0EC0"/>
    <w:rsid w:val="007A132D"/>
    <w:rsid w:val="007A1345"/>
    <w:rsid w:val="007A249B"/>
    <w:rsid w:val="007A28BF"/>
    <w:rsid w:val="007A2A96"/>
    <w:rsid w:val="007A2DDB"/>
    <w:rsid w:val="007A300A"/>
    <w:rsid w:val="007A36BA"/>
    <w:rsid w:val="007A388C"/>
    <w:rsid w:val="007A39EC"/>
    <w:rsid w:val="007A3C2E"/>
    <w:rsid w:val="007A411B"/>
    <w:rsid w:val="007A42A8"/>
    <w:rsid w:val="007A4B07"/>
    <w:rsid w:val="007A5276"/>
    <w:rsid w:val="007A56C1"/>
    <w:rsid w:val="007A59C4"/>
    <w:rsid w:val="007A5EDC"/>
    <w:rsid w:val="007A637B"/>
    <w:rsid w:val="007A6481"/>
    <w:rsid w:val="007A6965"/>
    <w:rsid w:val="007A6A1E"/>
    <w:rsid w:val="007A6D23"/>
    <w:rsid w:val="007A6F24"/>
    <w:rsid w:val="007A7085"/>
    <w:rsid w:val="007A70BA"/>
    <w:rsid w:val="007A7B10"/>
    <w:rsid w:val="007A7B16"/>
    <w:rsid w:val="007B013A"/>
    <w:rsid w:val="007B03F3"/>
    <w:rsid w:val="007B0D68"/>
    <w:rsid w:val="007B12AF"/>
    <w:rsid w:val="007B185C"/>
    <w:rsid w:val="007B1897"/>
    <w:rsid w:val="007B24AE"/>
    <w:rsid w:val="007B250C"/>
    <w:rsid w:val="007B251D"/>
    <w:rsid w:val="007B2699"/>
    <w:rsid w:val="007B2DA6"/>
    <w:rsid w:val="007B2E4C"/>
    <w:rsid w:val="007B3533"/>
    <w:rsid w:val="007B42AF"/>
    <w:rsid w:val="007B4613"/>
    <w:rsid w:val="007B495B"/>
    <w:rsid w:val="007B4F58"/>
    <w:rsid w:val="007B528D"/>
    <w:rsid w:val="007B5AE3"/>
    <w:rsid w:val="007B6044"/>
    <w:rsid w:val="007B60B1"/>
    <w:rsid w:val="007B62D1"/>
    <w:rsid w:val="007B63CA"/>
    <w:rsid w:val="007B646B"/>
    <w:rsid w:val="007B6D21"/>
    <w:rsid w:val="007B70AE"/>
    <w:rsid w:val="007B723D"/>
    <w:rsid w:val="007B7452"/>
    <w:rsid w:val="007B76A0"/>
    <w:rsid w:val="007B77D1"/>
    <w:rsid w:val="007B7886"/>
    <w:rsid w:val="007B7968"/>
    <w:rsid w:val="007B7B16"/>
    <w:rsid w:val="007B7BC2"/>
    <w:rsid w:val="007B7C04"/>
    <w:rsid w:val="007B7F28"/>
    <w:rsid w:val="007C0287"/>
    <w:rsid w:val="007C07C7"/>
    <w:rsid w:val="007C1C10"/>
    <w:rsid w:val="007C1C99"/>
    <w:rsid w:val="007C1CD9"/>
    <w:rsid w:val="007C1E52"/>
    <w:rsid w:val="007C203F"/>
    <w:rsid w:val="007C21A3"/>
    <w:rsid w:val="007C24C8"/>
    <w:rsid w:val="007C2910"/>
    <w:rsid w:val="007C29BD"/>
    <w:rsid w:val="007C2E55"/>
    <w:rsid w:val="007C3222"/>
    <w:rsid w:val="007C32EF"/>
    <w:rsid w:val="007C361D"/>
    <w:rsid w:val="007C4181"/>
    <w:rsid w:val="007C41A4"/>
    <w:rsid w:val="007C4296"/>
    <w:rsid w:val="007C4B84"/>
    <w:rsid w:val="007C53BB"/>
    <w:rsid w:val="007C55C7"/>
    <w:rsid w:val="007C5E91"/>
    <w:rsid w:val="007C646E"/>
    <w:rsid w:val="007C70FF"/>
    <w:rsid w:val="007C753D"/>
    <w:rsid w:val="007C7ACC"/>
    <w:rsid w:val="007C7C25"/>
    <w:rsid w:val="007D004F"/>
    <w:rsid w:val="007D018A"/>
    <w:rsid w:val="007D01F9"/>
    <w:rsid w:val="007D035F"/>
    <w:rsid w:val="007D0437"/>
    <w:rsid w:val="007D0554"/>
    <w:rsid w:val="007D06B2"/>
    <w:rsid w:val="007D0B38"/>
    <w:rsid w:val="007D0D4C"/>
    <w:rsid w:val="007D1733"/>
    <w:rsid w:val="007D1AEE"/>
    <w:rsid w:val="007D220F"/>
    <w:rsid w:val="007D2244"/>
    <w:rsid w:val="007D23F0"/>
    <w:rsid w:val="007D2416"/>
    <w:rsid w:val="007D2897"/>
    <w:rsid w:val="007D28C5"/>
    <w:rsid w:val="007D2D22"/>
    <w:rsid w:val="007D2D45"/>
    <w:rsid w:val="007D349D"/>
    <w:rsid w:val="007D366A"/>
    <w:rsid w:val="007D379C"/>
    <w:rsid w:val="007D38DC"/>
    <w:rsid w:val="007D3B92"/>
    <w:rsid w:val="007D3D15"/>
    <w:rsid w:val="007D3D5D"/>
    <w:rsid w:val="007D4236"/>
    <w:rsid w:val="007D4250"/>
    <w:rsid w:val="007D4F55"/>
    <w:rsid w:val="007D5440"/>
    <w:rsid w:val="007D55C9"/>
    <w:rsid w:val="007D5956"/>
    <w:rsid w:val="007D5EBE"/>
    <w:rsid w:val="007D6071"/>
    <w:rsid w:val="007D649B"/>
    <w:rsid w:val="007D64F4"/>
    <w:rsid w:val="007D69EB"/>
    <w:rsid w:val="007D73D3"/>
    <w:rsid w:val="007D750C"/>
    <w:rsid w:val="007D7EDB"/>
    <w:rsid w:val="007D7FA0"/>
    <w:rsid w:val="007E001B"/>
    <w:rsid w:val="007E0199"/>
    <w:rsid w:val="007E04F0"/>
    <w:rsid w:val="007E04F1"/>
    <w:rsid w:val="007E128F"/>
    <w:rsid w:val="007E186A"/>
    <w:rsid w:val="007E1BAC"/>
    <w:rsid w:val="007E1DFA"/>
    <w:rsid w:val="007E1EF6"/>
    <w:rsid w:val="007E21D2"/>
    <w:rsid w:val="007E228F"/>
    <w:rsid w:val="007E292D"/>
    <w:rsid w:val="007E2AAE"/>
    <w:rsid w:val="007E2EE9"/>
    <w:rsid w:val="007E2F1A"/>
    <w:rsid w:val="007E374F"/>
    <w:rsid w:val="007E3793"/>
    <w:rsid w:val="007E39C3"/>
    <w:rsid w:val="007E3FAE"/>
    <w:rsid w:val="007E424F"/>
    <w:rsid w:val="007E4B7D"/>
    <w:rsid w:val="007E4D0B"/>
    <w:rsid w:val="007E4E77"/>
    <w:rsid w:val="007E4F43"/>
    <w:rsid w:val="007E50B9"/>
    <w:rsid w:val="007E5231"/>
    <w:rsid w:val="007E55C7"/>
    <w:rsid w:val="007E59B0"/>
    <w:rsid w:val="007E5A3A"/>
    <w:rsid w:val="007E5D42"/>
    <w:rsid w:val="007E6619"/>
    <w:rsid w:val="007E6796"/>
    <w:rsid w:val="007E68A5"/>
    <w:rsid w:val="007E7671"/>
    <w:rsid w:val="007F02A0"/>
    <w:rsid w:val="007F040B"/>
    <w:rsid w:val="007F1017"/>
    <w:rsid w:val="007F11B8"/>
    <w:rsid w:val="007F11DE"/>
    <w:rsid w:val="007F1A8F"/>
    <w:rsid w:val="007F1DBA"/>
    <w:rsid w:val="007F206F"/>
    <w:rsid w:val="007F2205"/>
    <w:rsid w:val="007F2B08"/>
    <w:rsid w:val="007F2B53"/>
    <w:rsid w:val="007F329D"/>
    <w:rsid w:val="007F33D3"/>
    <w:rsid w:val="007F37CA"/>
    <w:rsid w:val="007F3ED3"/>
    <w:rsid w:val="007F3F83"/>
    <w:rsid w:val="007F42D2"/>
    <w:rsid w:val="007F49CB"/>
    <w:rsid w:val="007F4A3F"/>
    <w:rsid w:val="007F4A61"/>
    <w:rsid w:val="007F4C18"/>
    <w:rsid w:val="007F5039"/>
    <w:rsid w:val="007F5169"/>
    <w:rsid w:val="007F51A4"/>
    <w:rsid w:val="007F5255"/>
    <w:rsid w:val="007F5572"/>
    <w:rsid w:val="007F56CC"/>
    <w:rsid w:val="007F5729"/>
    <w:rsid w:val="007F5846"/>
    <w:rsid w:val="007F61C2"/>
    <w:rsid w:val="007F7151"/>
    <w:rsid w:val="007F730C"/>
    <w:rsid w:val="007F7932"/>
    <w:rsid w:val="007F7A39"/>
    <w:rsid w:val="007F7D29"/>
    <w:rsid w:val="00800739"/>
    <w:rsid w:val="00800BA9"/>
    <w:rsid w:val="00800F75"/>
    <w:rsid w:val="00801F7F"/>
    <w:rsid w:val="008025FE"/>
    <w:rsid w:val="008026E9"/>
    <w:rsid w:val="00802E8A"/>
    <w:rsid w:val="00802F33"/>
    <w:rsid w:val="008033CF"/>
    <w:rsid w:val="008033D1"/>
    <w:rsid w:val="00803B67"/>
    <w:rsid w:val="00803BD2"/>
    <w:rsid w:val="00803DE3"/>
    <w:rsid w:val="00803F5A"/>
    <w:rsid w:val="00804679"/>
    <w:rsid w:val="008049AD"/>
    <w:rsid w:val="00805142"/>
    <w:rsid w:val="008055B8"/>
    <w:rsid w:val="0080566B"/>
    <w:rsid w:val="0080570D"/>
    <w:rsid w:val="00805D00"/>
    <w:rsid w:val="00805E74"/>
    <w:rsid w:val="00805FCE"/>
    <w:rsid w:val="00806363"/>
    <w:rsid w:val="00806DB9"/>
    <w:rsid w:val="00806E82"/>
    <w:rsid w:val="00807A8B"/>
    <w:rsid w:val="00807CDF"/>
    <w:rsid w:val="00807ED4"/>
    <w:rsid w:val="008102D9"/>
    <w:rsid w:val="0081034A"/>
    <w:rsid w:val="008107D8"/>
    <w:rsid w:val="00810836"/>
    <w:rsid w:val="00810871"/>
    <w:rsid w:val="00810E53"/>
    <w:rsid w:val="008111B0"/>
    <w:rsid w:val="00811383"/>
    <w:rsid w:val="00811A5C"/>
    <w:rsid w:val="00812149"/>
    <w:rsid w:val="0081218F"/>
    <w:rsid w:val="008121B2"/>
    <w:rsid w:val="00812CAC"/>
    <w:rsid w:val="00812CBC"/>
    <w:rsid w:val="00813659"/>
    <w:rsid w:val="008138D3"/>
    <w:rsid w:val="00813B6D"/>
    <w:rsid w:val="00813D17"/>
    <w:rsid w:val="00813F74"/>
    <w:rsid w:val="00814CFD"/>
    <w:rsid w:val="008150A2"/>
    <w:rsid w:val="0081540B"/>
    <w:rsid w:val="00815454"/>
    <w:rsid w:val="008154CB"/>
    <w:rsid w:val="008154D1"/>
    <w:rsid w:val="008156C7"/>
    <w:rsid w:val="00815AB6"/>
    <w:rsid w:val="00815C03"/>
    <w:rsid w:val="00815D02"/>
    <w:rsid w:val="00815F40"/>
    <w:rsid w:val="00816361"/>
    <w:rsid w:val="008166EF"/>
    <w:rsid w:val="00816FEF"/>
    <w:rsid w:val="0081723F"/>
    <w:rsid w:val="00817595"/>
    <w:rsid w:val="0082033E"/>
    <w:rsid w:val="00820A8C"/>
    <w:rsid w:val="00820E89"/>
    <w:rsid w:val="008215FB"/>
    <w:rsid w:val="0082162E"/>
    <w:rsid w:val="008220CC"/>
    <w:rsid w:val="0082228D"/>
    <w:rsid w:val="00822547"/>
    <w:rsid w:val="008226CC"/>
    <w:rsid w:val="00822B60"/>
    <w:rsid w:val="00822C17"/>
    <w:rsid w:val="00822C32"/>
    <w:rsid w:val="00823174"/>
    <w:rsid w:val="00824350"/>
    <w:rsid w:val="008249E2"/>
    <w:rsid w:val="00824D6B"/>
    <w:rsid w:val="008255F3"/>
    <w:rsid w:val="00825751"/>
    <w:rsid w:val="008264EB"/>
    <w:rsid w:val="008268CE"/>
    <w:rsid w:val="00826999"/>
    <w:rsid w:val="00826A34"/>
    <w:rsid w:val="00826C73"/>
    <w:rsid w:val="00827038"/>
    <w:rsid w:val="00827C23"/>
    <w:rsid w:val="00830464"/>
    <w:rsid w:val="00830AE8"/>
    <w:rsid w:val="00830BD5"/>
    <w:rsid w:val="008310D5"/>
    <w:rsid w:val="008311C2"/>
    <w:rsid w:val="008312C6"/>
    <w:rsid w:val="00831855"/>
    <w:rsid w:val="00831E79"/>
    <w:rsid w:val="00831EA5"/>
    <w:rsid w:val="00831F3F"/>
    <w:rsid w:val="0083244E"/>
    <w:rsid w:val="00832457"/>
    <w:rsid w:val="008324A0"/>
    <w:rsid w:val="00832AD5"/>
    <w:rsid w:val="00832B20"/>
    <w:rsid w:val="0083391E"/>
    <w:rsid w:val="00833B05"/>
    <w:rsid w:val="00833F6E"/>
    <w:rsid w:val="00834B9A"/>
    <w:rsid w:val="00834E3C"/>
    <w:rsid w:val="00834E5F"/>
    <w:rsid w:val="0083587C"/>
    <w:rsid w:val="008362B4"/>
    <w:rsid w:val="008364C0"/>
    <w:rsid w:val="00836C72"/>
    <w:rsid w:val="00836DE9"/>
    <w:rsid w:val="00837083"/>
    <w:rsid w:val="00837212"/>
    <w:rsid w:val="00837221"/>
    <w:rsid w:val="008375D9"/>
    <w:rsid w:val="008378A0"/>
    <w:rsid w:val="00837906"/>
    <w:rsid w:val="00840CA2"/>
    <w:rsid w:val="008413FB"/>
    <w:rsid w:val="00841C12"/>
    <w:rsid w:val="00841C4D"/>
    <w:rsid w:val="00841EBA"/>
    <w:rsid w:val="008420EC"/>
    <w:rsid w:val="00842253"/>
    <w:rsid w:val="00842AE4"/>
    <w:rsid w:val="00842B65"/>
    <w:rsid w:val="00842DD0"/>
    <w:rsid w:val="00842E59"/>
    <w:rsid w:val="00842F02"/>
    <w:rsid w:val="008430D2"/>
    <w:rsid w:val="008435B3"/>
    <w:rsid w:val="0084374F"/>
    <w:rsid w:val="008437E8"/>
    <w:rsid w:val="00843832"/>
    <w:rsid w:val="00843F5B"/>
    <w:rsid w:val="00844015"/>
    <w:rsid w:val="00844240"/>
    <w:rsid w:val="0084433A"/>
    <w:rsid w:val="00844632"/>
    <w:rsid w:val="008449BB"/>
    <w:rsid w:val="008449F4"/>
    <w:rsid w:val="00844A22"/>
    <w:rsid w:val="00844ED5"/>
    <w:rsid w:val="008450CD"/>
    <w:rsid w:val="008455CC"/>
    <w:rsid w:val="008455F9"/>
    <w:rsid w:val="00845C10"/>
    <w:rsid w:val="00846023"/>
    <w:rsid w:val="008461AF"/>
    <w:rsid w:val="008462DD"/>
    <w:rsid w:val="0084682F"/>
    <w:rsid w:val="00846A74"/>
    <w:rsid w:val="00847089"/>
    <w:rsid w:val="00847300"/>
    <w:rsid w:val="0084747D"/>
    <w:rsid w:val="00847703"/>
    <w:rsid w:val="00847DF5"/>
    <w:rsid w:val="0085047F"/>
    <w:rsid w:val="00850515"/>
    <w:rsid w:val="0085056A"/>
    <w:rsid w:val="00850651"/>
    <w:rsid w:val="008507A5"/>
    <w:rsid w:val="0085134B"/>
    <w:rsid w:val="00851B4A"/>
    <w:rsid w:val="00851C34"/>
    <w:rsid w:val="008523A7"/>
    <w:rsid w:val="008523BC"/>
    <w:rsid w:val="008528B5"/>
    <w:rsid w:val="00852A08"/>
    <w:rsid w:val="0085309D"/>
    <w:rsid w:val="0085319C"/>
    <w:rsid w:val="008537CD"/>
    <w:rsid w:val="00853F65"/>
    <w:rsid w:val="008547C0"/>
    <w:rsid w:val="008547EA"/>
    <w:rsid w:val="00854E2B"/>
    <w:rsid w:val="00854E60"/>
    <w:rsid w:val="00854F38"/>
    <w:rsid w:val="00855370"/>
    <w:rsid w:val="00855ABC"/>
    <w:rsid w:val="00855D22"/>
    <w:rsid w:val="00855F3C"/>
    <w:rsid w:val="0085632B"/>
    <w:rsid w:val="00856897"/>
    <w:rsid w:val="00856A1C"/>
    <w:rsid w:val="00856AB2"/>
    <w:rsid w:val="00856E9A"/>
    <w:rsid w:val="0085744D"/>
    <w:rsid w:val="00857472"/>
    <w:rsid w:val="00857DDE"/>
    <w:rsid w:val="008603D3"/>
    <w:rsid w:val="0086051F"/>
    <w:rsid w:val="0086057A"/>
    <w:rsid w:val="0086060F"/>
    <w:rsid w:val="0086075D"/>
    <w:rsid w:val="00860C63"/>
    <w:rsid w:val="0086115E"/>
    <w:rsid w:val="008612C0"/>
    <w:rsid w:val="00862502"/>
    <w:rsid w:val="00862CC1"/>
    <w:rsid w:val="0086303E"/>
    <w:rsid w:val="008631EE"/>
    <w:rsid w:val="008633A7"/>
    <w:rsid w:val="0086353A"/>
    <w:rsid w:val="0086356D"/>
    <w:rsid w:val="00863A2D"/>
    <w:rsid w:val="00863AB0"/>
    <w:rsid w:val="008642A7"/>
    <w:rsid w:val="008643E7"/>
    <w:rsid w:val="0086447C"/>
    <w:rsid w:val="00864507"/>
    <w:rsid w:val="0086468D"/>
    <w:rsid w:val="008646CA"/>
    <w:rsid w:val="00864D5A"/>
    <w:rsid w:val="008652FD"/>
    <w:rsid w:val="00865863"/>
    <w:rsid w:val="00865890"/>
    <w:rsid w:val="008660D4"/>
    <w:rsid w:val="00866597"/>
    <w:rsid w:val="00866E7F"/>
    <w:rsid w:val="008675BF"/>
    <w:rsid w:val="0086766F"/>
    <w:rsid w:val="00867683"/>
    <w:rsid w:val="00867F3D"/>
    <w:rsid w:val="0087031B"/>
    <w:rsid w:val="008705DF"/>
    <w:rsid w:val="00870A61"/>
    <w:rsid w:val="00870CBC"/>
    <w:rsid w:val="0087117D"/>
    <w:rsid w:val="00871391"/>
    <w:rsid w:val="00871DA0"/>
    <w:rsid w:val="00871FA9"/>
    <w:rsid w:val="00872058"/>
    <w:rsid w:val="008728E9"/>
    <w:rsid w:val="008731B1"/>
    <w:rsid w:val="0087386D"/>
    <w:rsid w:val="008741FE"/>
    <w:rsid w:val="00874323"/>
    <w:rsid w:val="0087447A"/>
    <w:rsid w:val="008748C8"/>
    <w:rsid w:val="008751DE"/>
    <w:rsid w:val="0087521F"/>
    <w:rsid w:val="00875906"/>
    <w:rsid w:val="00875CF6"/>
    <w:rsid w:val="00875F09"/>
    <w:rsid w:val="008760CD"/>
    <w:rsid w:val="008762E0"/>
    <w:rsid w:val="0087650C"/>
    <w:rsid w:val="00876559"/>
    <w:rsid w:val="0087657B"/>
    <w:rsid w:val="00876635"/>
    <w:rsid w:val="00876A0A"/>
    <w:rsid w:val="00877644"/>
    <w:rsid w:val="00877976"/>
    <w:rsid w:val="008801CD"/>
    <w:rsid w:val="0088030C"/>
    <w:rsid w:val="008804A9"/>
    <w:rsid w:val="008804E0"/>
    <w:rsid w:val="008806A6"/>
    <w:rsid w:val="008812CD"/>
    <w:rsid w:val="008813ED"/>
    <w:rsid w:val="0088197F"/>
    <w:rsid w:val="00882036"/>
    <w:rsid w:val="0088233B"/>
    <w:rsid w:val="0088265E"/>
    <w:rsid w:val="00882874"/>
    <w:rsid w:val="00882E25"/>
    <w:rsid w:val="00882E3C"/>
    <w:rsid w:val="00882E82"/>
    <w:rsid w:val="0088308A"/>
    <w:rsid w:val="008831EC"/>
    <w:rsid w:val="008834D8"/>
    <w:rsid w:val="00883541"/>
    <w:rsid w:val="00883787"/>
    <w:rsid w:val="00884032"/>
    <w:rsid w:val="00884559"/>
    <w:rsid w:val="00884735"/>
    <w:rsid w:val="0088495A"/>
    <w:rsid w:val="00884D7B"/>
    <w:rsid w:val="008855E4"/>
    <w:rsid w:val="008859A5"/>
    <w:rsid w:val="00885C94"/>
    <w:rsid w:val="0088602B"/>
    <w:rsid w:val="008860BE"/>
    <w:rsid w:val="00886352"/>
    <w:rsid w:val="008863C6"/>
    <w:rsid w:val="008865C5"/>
    <w:rsid w:val="008866BB"/>
    <w:rsid w:val="008867EA"/>
    <w:rsid w:val="00886CD2"/>
    <w:rsid w:val="00886FEF"/>
    <w:rsid w:val="008870A2"/>
    <w:rsid w:val="008870D4"/>
    <w:rsid w:val="00887924"/>
    <w:rsid w:val="00887FD9"/>
    <w:rsid w:val="008901DF"/>
    <w:rsid w:val="00890412"/>
    <w:rsid w:val="00890494"/>
    <w:rsid w:val="00890696"/>
    <w:rsid w:val="00890A9E"/>
    <w:rsid w:val="00891C59"/>
    <w:rsid w:val="00891D4C"/>
    <w:rsid w:val="00891E6F"/>
    <w:rsid w:val="00891E79"/>
    <w:rsid w:val="008921BD"/>
    <w:rsid w:val="0089272A"/>
    <w:rsid w:val="0089275D"/>
    <w:rsid w:val="008928D9"/>
    <w:rsid w:val="00892A36"/>
    <w:rsid w:val="00892B3E"/>
    <w:rsid w:val="00892C57"/>
    <w:rsid w:val="00892DE3"/>
    <w:rsid w:val="008931F3"/>
    <w:rsid w:val="00893239"/>
    <w:rsid w:val="008936B2"/>
    <w:rsid w:val="00893B00"/>
    <w:rsid w:val="0089420E"/>
    <w:rsid w:val="008943D7"/>
    <w:rsid w:val="00894489"/>
    <w:rsid w:val="00894B64"/>
    <w:rsid w:val="00894CD6"/>
    <w:rsid w:val="00894CDC"/>
    <w:rsid w:val="00894EF5"/>
    <w:rsid w:val="00895787"/>
    <w:rsid w:val="0089636D"/>
    <w:rsid w:val="008963A5"/>
    <w:rsid w:val="0089670C"/>
    <w:rsid w:val="00896D5D"/>
    <w:rsid w:val="00896EAA"/>
    <w:rsid w:val="00896F3E"/>
    <w:rsid w:val="00897132"/>
    <w:rsid w:val="00897311"/>
    <w:rsid w:val="008973B3"/>
    <w:rsid w:val="008978FD"/>
    <w:rsid w:val="00897E6F"/>
    <w:rsid w:val="00897FE5"/>
    <w:rsid w:val="008A017F"/>
    <w:rsid w:val="008A05F7"/>
    <w:rsid w:val="008A0980"/>
    <w:rsid w:val="008A0A19"/>
    <w:rsid w:val="008A0A99"/>
    <w:rsid w:val="008A0C79"/>
    <w:rsid w:val="008A103C"/>
    <w:rsid w:val="008A1466"/>
    <w:rsid w:val="008A18B5"/>
    <w:rsid w:val="008A1C1C"/>
    <w:rsid w:val="008A1D06"/>
    <w:rsid w:val="008A2B55"/>
    <w:rsid w:val="008A30E2"/>
    <w:rsid w:val="008A3158"/>
    <w:rsid w:val="008A3215"/>
    <w:rsid w:val="008A3304"/>
    <w:rsid w:val="008A3363"/>
    <w:rsid w:val="008A3371"/>
    <w:rsid w:val="008A3C3E"/>
    <w:rsid w:val="008A3C82"/>
    <w:rsid w:val="008A3C85"/>
    <w:rsid w:val="008A3D7C"/>
    <w:rsid w:val="008A3E9A"/>
    <w:rsid w:val="008A41B2"/>
    <w:rsid w:val="008A41CD"/>
    <w:rsid w:val="008A4FB0"/>
    <w:rsid w:val="008A51F9"/>
    <w:rsid w:val="008A5277"/>
    <w:rsid w:val="008A5585"/>
    <w:rsid w:val="008A56DC"/>
    <w:rsid w:val="008A595A"/>
    <w:rsid w:val="008A5C19"/>
    <w:rsid w:val="008A5CF4"/>
    <w:rsid w:val="008A5D2B"/>
    <w:rsid w:val="008A6998"/>
    <w:rsid w:val="008A6AA0"/>
    <w:rsid w:val="008A6C6A"/>
    <w:rsid w:val="008A6F2D"/>
    <w:rsid w:val="008A79CE"/>
    <w:rsid w:val="008A79DE"/>
    <w:rsid w:val="008B01B4"/>
    <w:rsid w:val="008B0751"/>
    <w:rsid w:val="008B09E2"/>
    <w:rsid w:val="008B0F94"/>
    <w:rsid w:val="008B10C4"/>
    <w:rsid w:val="008B1757"/>
    <w:rsid w:val="008B18A3"/>
    <w:rsid w:val="008B1C33"/>
    <w:rsid w:val="008B1D6B"/>
    <w:rsid w:val="008B1F26"/>
    <w:rsid w:val="008B1FF4"/>
    <w:rsid w:val="008B23F3"/>
    <w:rsid w:val="008B23FB"/>
    <w:rsid w:val="008B251F"/>
    <w:rsid w:val="008B2866"/>
    <w:rsid w:val="008B2B67"/>
    <w:rsid w:val="008B2BEE"/>
    <w:rsid w:val="008B2F28"/>
    <w:rsid w:val="008B3049"/>
    <w:rsid w:val="008B396B"/>
    <w:rsid w:val="008B3F14"/>
    <w:rsid w:val="008B4264"/>
    <w:rsid w:val="008B4612"/>
    <w:rsid w:val="008B467C"/>
    <w:rsid w:val="008B4884"/>
    <w:rsid w:val="008B4B6F"/>
    <w:rsid w:val="008B4CB2"/>
    <w:rsid w:val="008B4FC4"/>
    <w:rsid w:val="008B55C5"/>
    <w:rsid w:val="008B591D"/>
    <w:rsid w:val="008B6137"/>
    <w:rsid w:val="008B635D"/>
    <w:rsid w:val="008B64FA"/>
    <w:rsid w:val="008B674A"/>
    <w:rsid w:val="008B6768"/>
    <w:rsid w:val="008B6A12"/>
    <w:rsid w:val="008B6F0F"/>
    <w:rsid w:val="008B6F14"/>
    <w:rsid w:val="008B7047"/>
    <w:rsid w:val="008B74D3"/>
    <w:rsid w:val="008B766B"/>
    <w:rsid w:val="008B7992"/>
    <w:rsid w:val="008B7A1E"/>
    <w:rsid w:val="008B7BDC"/>
    <w:rsid w:val="008B7D7E"/>
    <w:rsid w:val="008C00A1"/>
    <w:rsid w:val="008C053D"/>
    <w:rsid w:val="008C062D"/>
    <w:rsid w:val="008C0671"/>
    <w:rsid w:val="008C084C"/>
    <w:rsid w:val="008C0CBA"/>
    <w:rsid w:val="008C0E3B"/>
    <w:rsid w:val="008C178E"/>
    <w:rsid w:val="008C19B0"/>
    <w:rsid w:val="008C1ADE"/>
    <w:rsid w:val="008C1B0B"/>
    <w:rsid w:val="008C1C77"/>
    <w:rsid w:val="008C2145"/>
    <w:rsid w:val="008C245D"/>
    <w:rsid w:val="008C2D0C"/>
    <w:rsid w:val="008C3234"/>
    <w:rsid w:val="008C3829"/>
    <w:rsid w:val="008C3DCF"/>
    <w:rsid w:val="008C3FCB"/>
    <w:rsid w:val="008C4869"/>
    <w:rsid w:val="008C53C1"/>
    <w:rsid w:val="008C5610"/>
    <w:rsid w:val="008C5739"/>
    <w:rsid w:val="008C604A"/>
    <w:rsid w:val="008C6905"/>
    <w:rsid w:val="008C6947"/>
    <w:rsid w:val="008C6D2D"/>
    <w:rsid w:val="008C7280"/>
    <w:rsid w:val="008C7282"/>
    <w:rsid w:val="008C73D4"/>
    <w:rsid w:val="008C7A82"/>
    <w:rsid w:val="008C7EC8"/>
    <w:rsid w:val="008C7ECB"/>
    <w:rsid w:val="008C7EF9"/>
    <w:rsid w:val="008D0264"/>
    <w:rsid w:val="008D0C3F"/>
    <w:rsid w:val="008D0F27"/>
    <w:rsid w:val="008D12DF"/>
    <w:rsid w:val="008D12F4"/>
    <w:rsid w:val="008D2012"/>
    <w:rsid w:val="008D2206"/>
    <w:rsid w:val="008D2E2F"/>
    <w:rsid w:val="008D3931"/>
    <w:rsid w:val="008D39C2"/>
    <w:rsid w:val="008D3A4E"/>
    <w:rsid w:val="008D3B86"/>
    <w:rsid w:val="008D43FD"/>
    <w:rsid w:val="008D4755"/>
    <w:rsid w:val="008D4966"/>
    <w:rsid w:val="008D4B66"/>
    <w:rsid w:val="008D4C3D"/>
    <w:rsid w:val="008D4E9D"/>
    <w:rsid w:val="008D525C"/>
    <w:rsid w:val="008D5769"/>
    <w:rsid w:val="008D659C"/>
    <w:rsid w:val="008D6670"/>
    <w:rsid w:val="008D6B9A"/>
    <w:rsid w:val="008D72A1"/>
    <w:rsid w:val="008D72FD"/>
    <w:rsid w:val="008D730A"/>
    <w:rsid w:val="008D741C"/>
    <w:rsid w:val="008D743C"/>
    <w:rsid w:val="008D7D6E"/>
    <w:rsid w:val="008D7D78"/>
    <w:rsid w:val="008E015C"/>
    <w:rsid w:val="008E0301"/>
    <w:rsid w:val="008E0706"/>
    <w:rsid w:val="008E0999"/>
    <w:rsid w:val="008E0B15"/>
    <w:rsid w:val="008E0D3C"/>
    <w:rsid w:val="008E118E"/>
    <w:rsid w:val="008E139C"/>
    <w:rsid w:val="008E1A8B"/>
    <w:rsid w:val="008E1B9E"/>
    <w:rsid w:val="008E218F"/>
    <w:rsid w:val="008E23EC"/>
    <w:rsid w:val="008E27C5"/>
    <w:rsid w:val="008E2986"/>
    <w:rsid w:val="008E299F"/>
    <w:rsid w:val="008E2AC7"/>
    <w:rsid w:val="008E2C96"/>
    <w:rsid w:val="008E3191"/>
    <w:rsid w:val="008E3578"/>
    <w:rsid w:val="008E3D4F"/>
    <w:rsid w:val="008E4AC2"/>
    <w:rsid w:val="008E4BB1"/>
    <w:rsid w:val="008E544A"/>
    <w:rsid w:val="008E5478"/>
    <w:rsid w:val="008E55AB"/>
    <w:rsid w:val="008E59FA"/>
    <w:rsid w:val="008E717B"/>
    <w:rsid w:val="008E795A"/>
    <w:rsid w:val="008E7A78"/>
    <w:rsid w:val="008E7CC2"/>
    <w:rsid w:val="008E7D1A"/>
    <w:rsid w:val="008F000C"/>
    <w:rsid w:val="008F0323"/>
    <w:rsid w:val="008F03C8"/>
    <w:rsid w:val="008F05F0"/>
    <w:rsid w:val="008F07FC"/>
    <w:rsid w:val="008F0CC1"/>
    <w:rsid w:val="008F0FE2"/>
    <w:rsid w:val="008F100C"/>
    <w:rsid w:val="008F10F4"/>
    <w:rsid w:val="008F120A"/>
    <w:rsid w:val="008F1299"/>
    <w:rsid w:val="008F229C"/>
    <w:rsid w:val="008F27E0"/>
    <w:rsid w:val="008F2846"/>
    <w:rsid w:val="008F2D22"/>
    <w:rsid w:val="008F2EC3"/>
    <w:rsid w:val="008F2F15"/>
    <w:rsid w:val="008F3294"/>
    <w:rsid w:val="008F3330"/>
    <w:rsid w:val="008F36E3"/>
    <w:rsid w:val="008F3EC1"/>
    <w:rsid w:val="008F3FE6"/>
    <w:rsid w:val="008F48EB"/>
    <w:rsid w:val="008F4B0F"/>
    <w:rsid w:val="008F4F0B"/>
    <w:rsid w:val="008F5113"/>
    <w:rsid w:val="008F593A"/>
    <w:rsid w:val="008F5ED2"/>
    <w:rsid w:val="008F7131"/>
    <w:rsid w:val="008F7368"/>
    <w:rsid w:val="008F7920"/>
    <w:rsid w:val="008F7BA9"/>
    <w:rsid w:val="008F7C45"/>
    <w:rsid w:val="00900416"/>
    <w:rsid w:val="0090054D"/>
    <w:rsid w:val="00900644"/>
    <w:rsid w:val="00900779"/>
    <w:rsid w:val="00900C70"/>
    <w:rsid w:val="009011F5"/>
    <w:rsid w:val="00901849"/>
    <w:rsid w:val="00901CE6"/>
    <w:rsid w:val="009021FF"/>
    <w:rsid w:val="0090265D"/>
    <w:rsid w:val="00902E73"/>
    <w:rsid w:val="0090339C"/>
    <w:rsid w:val="00903400"/>
    <w:rsid w:val="00904566"/>
    <w:rsid w:val="009046C4"/>
    <w:rsid w:val="0090475E"/>
    <w:rsid w:val="009048A2"/>
    <w:rsid w:val="009048C0"/>
    <w:rsid w:val="009053B2"/>
    <w:rsid w:val="00905BAF"/>
    <w:rsid w:val="00905D97"/>
    <w:rsid w:val="00905FA2"/>
    <w:rsid w:val="009062A5"/>
    <w:rsid w:val="00906A04"/>
    <w:rsid w:val="009072AE"/>
    <w:rsid w:val="00907699"/>
    <w:rsid w:val="00907A0F"/>
    <w:rsid w:val="00910115"/>
    <w:rsid w:val="009107CE"/>
    <w:rsid w:val="00910A2C"/>
    <w:rsid w:val="00910D8B"/>
    <w:rsid w:val="00910FA7"/>
    <w:rsid w:val="00911253"/>
    <w:rsid w:val="00911272"/>
    <w:rsid w:val="00911339"/>
    <w:rsid w:val="0091141A"/>
    <w:rsid w:val="009115FE"/>
    <w:rsid w:val="009116FE"/>
    <w:rsid w:val="00911799"/>
    <w:rsid w:val="00911C6F"/>
    <w:rsid w:val="009121E7"/>
    <w:rsid w:val="0091230A"/>
    <w:rsid w:val="00912367"/>
    <w:rsid w:val="009127DD"/>
    <w:rsid w:val="00912BC4"/>
    <w:rsid w:val="009135D6"/>
    <w:rsid w:val="009139EB"/>
    <w:rsid w:val="00913F68"/>
    <w:rsid w:val="00914034"/>
    <w:rsid w:val="0091408C"/>
    <w:rsid w:val="00914152"/>
    <w:rsid w:val="009141AC"/>
    <w:rsid w:val="009141AD"/>
    <w:rsid w:val="00914C77"/>
    <w:rsid w:val="00914FBF"/>
    <w:rsid w:val="00915E46"/>
    <w:rsid w:val="009164B9"/>
    <w:rsid w:val="00916761"/>
    <w:rsid w:val="00916D45"/>
    <w:rsid w:val="00916F54"/>
    <w:rsid w:val="00917A30"/>
    <w:rsid w:val="00917CF4"/>
    <w:rsid w:val="00917D10"/>
    <w:rsid w:val="0092009C"/>
    <w:rsid w:val="0092043F"/>
    <w:rsid w:val="0092069D"/>
    <w:rsid w:val="00920921"/>
    <w:rsid w:val="00920AD2"/>
    <w:rsid w:val="00920D89"/>
    <w:rsid w:val="00920E94"/>
    <w:rsid w:val="009213FE"/>
    <w:rsid w:val="0092152E"/>
    <w:rsid w:val="00921ACB"/>
    <w:rsid w:val="009223F1"/>
    <w:rsid w:val="00922690"/>
    <w:rsid w:val="009229CA"/>
    <w:rsid w:val="0092318E"/>
    <w:rsid w:val="0092326D"/>
    <w:rsid w:val="009232F9"/>
    <w:rsid w:val="0092359C"/>
    <w:rsid w:val="0092369B"/>
    <w:rsid w:val="00923A9A"/>
    <w:rsid w:val="00923FEA"/>
    <w:rsid w:val="0092422C"/>
    <w:rsid w:val="009252F3"/>
    <w:rsid w:val="00925378"/>
    <w:rsid w:val="00925421"/>
    <w:rsid w:val="009254A3"/>
    <w:rsid w:val="009254F4"/>
    <w:rsid w:val="009258BD"/>
    <w:rsid w:val="00925B34"/>
    <w:rsid w:val="00925F37"/>
    <w:rsid w:val="00926671"/>
    <w:rsid w:val="00926757"/>
    <w:rsid w:val="00926776"/>
    <w:rsid w:val="00926A7C"/>
    <w:rsid w:val="00926C86"/>
    <w:rsid w:val="00926CBB"/>
    <w:rsid w:val="00927067"/>
    <w:rsid w:val="00927B66"/>
    <w:rsid w:val="0093015E"/>
    <w:rsid w:val="00930773"/>
    <w:rsid w:val="009307F8"/>
    <w:rsid w:val="00930997"/>
    <w:rsid w:val="009309FE"/>
    <w:rsid w:val="00930AA6"/>
    <w:rsid w:val="00930D81"/>
    <w:rsid w:val="009312C6"/>
    <w:rsid w:val="009315F6"/>
    <w:rsid w:val="00931D03"/>
    <w:rsid w:val="00931D55"/>
    <w:rsid w:val="0093209C"/>
    <w:rsid w:val="009323D3"/>
    <w:rsid w:val="00932DF2"/>
    <w:rsid w:val="00932EEB"/>
    <w:rsid w:val="00932FA7"/>
    <w:rsid w:val="0093317A"/>
    <w:rsid w:val="00933452"/>
    <w:rsid w:val="009334EF"/>
    <w:rsid w:val="0093392A"/>
    <w:rsid w:val="00933A73"/>
    <w:rsid w:val="00933D9E"/>
    <w:rsid w:val="009341AF"/>
    <w:rsid w:val="009346DF"/>
    <w:rsid w:val="00934988"/>
    <w:rsid w:val="009349FC"/>
    <w:rsid w:val="00935A1D"/>
    <w:rsid w:val="00935B2B"/>
    <w:rsid w:val="00935E5E"/>
    <w:rsid w:val="00935F22"/>
    <w:rsid w:val="00935FEE"/>
    <w:rsid w:val="009360CD"/>
    <w:rsid w:val="0093649C"/>
    <w:rsid w:val="0093693D"/>
    <w:rsid w:val="00936E2A"/>
    <w:rsid w:val="00937089"/>
    <w:rsid w:val="009374F9"/>
    <w:rsid w:val="00937856"/>
    <w:rsid w:val="00937B06"/>
    <w:rsid w:val="00937B50"/>
    <w:rsid w:val="00937B72"/>
    <w:rsid w:val="00937FDA"/>
    <w:rsid w:val="009401C1"/>
    <w:rsid w:val="009408C9"/>
    <w:rsid w:val="00940B55"/>
    <w:rsid w:val="009412A0"/>
    <w:rsid w:val="009412BB"/>
    <w:rsid w:val="00941441"/>
    <w:rsid w:val="00941FF8"/>
    <w:rsid w:val="009420ED"/>
    <w:rsid w:val="0094217A"/>
    <w:rsid w:val="009429BA"/>
    <w:rsid w:val="009432C0"/>
    <w:rsid w:val="0094380E"/>
    <w:rsid w:val="00943B9C"/>
    <w:rsid w:val="00943BCA"/>
    <w:rsid w:val="00944B0F"/>
    <w:rsid w:val="00944D98"/>
    <w:rsid w:val="00944DFF"/>
    <w:rsid w:val="00944F8A"/>
    <w:rsid w:val="009450D7"/>
    <w:rsid w:val="00945153"/>
    <w:rsid w:val="00945310"/>
    <w:rsid w:val="009463A5"/>
    <w:rsid w:val="00946835"/>
    <w:rsid w:val="00946B4C"/>
    <w:rsid w:val="009471D4"/>
    <w:rsid w:val="00947354"/>
    <w:rsid w:val="00947384"/>
    <w:rsid w:val="009474A3"/>
    <w:rsid w:val="00947FB5"/>
    <w:rsid w:val="00950525"/>
    <w:rsid w:val="00950648"/>
    <w:rsid w:val="00950756"/>
    <w:rsid w:val="00950A39"/>
    <w:rsid w:val="00950A65"/>
    <w:rsid w:val="00951085"/>
    <w:rsid w:val="009510A2"/>
    <w:rsid w:val="0095138C"/>
    <w:rsid w:val="009514ED"/>
    <w:rsid w:val="00951AF0"/>
    <w:rsid w:val="00951EC0"/>
    <w:rsid w:val="0095212E"/>
    <w:rsid w:val="0095216C"/>
    <w:rsid w:val="00952BC8"/>
    <w:rsid w:val="00953257"/>
    <w:rsid w:val="00953CB1"/>
    <w:rsid w:val="00954540"/>
    <w:rsid w:val="0095474C"/>
    <w:rsid w:val="009547EE"/>
    <w:rsid w:val="009548F3"/>
    <w:rsid w:val="00955055"/>
    <w:rsid w:val="00955155"/>
    <w:rsid w:val="009554A2"/>
    <w:rsid w:val="0095552F"/>
    <w:rsid w:val="00956135"/>
    <w:rsid w:val="00956426"/>
    <w:rsid w:val="009567E7"/>
    <w:rsid w:val="00956BE5"/>
    <w:rsid w:val="00957A01"/>
    <w:rsid w:val="00957D92"/>
    <w:rsid w:val="0096002F"/>
    <w:rsid w:val="00960271"/>
    <w:rsid w:val="009602D0"/>
    <w:rsid w:val="00960564"/>
    <w:rsid w:val="00960985"/>
    <w:rsid w:val="00960AFE"/>
    <w:rsid w:val="00960BEC"/>
    <w:rsid w:val="00960D7B"/>
    <w:rsid w:val="00960FB4"/>
    <w:rsid w:val="0096118D"/>
    <w:rsid w:val="009614F8"/>
    <w:rsid w:val="00961548"/>
    <w:rsid w:val="009627CB"/>
    <w:rsid w:val="00962CA6"/>
    <w:rsid w:val="00962CB9"/>
    <w:rsid w:val="00962DFD"/>
    <w:rsid w:val="009638BA"/>
    <w:rsid w:val="00963981"/>
    <w:rsid w:val="00963F29"/>
    <w:rsid w:val="00964249"/>
    <w:rsid w:val="00964312"/>
    <w:rsid w:val="00964471"/>
    <w:rsid w:val="00964578"/>
    <w:rsid w:val="009646A3"/>
    <w:rsid w:val="0096478B"/>
    <w:rsid w:val="009653BF"/>
    <w:rsid w:val="009656B5"/>
    <w:rsid w:val="0096577F"/>
    <w:rsid w:val="00965B8A"/>
    <w:rsid w:val="00965EE4"/>
    <w:rsid w:val="00966055"/>
    <w:rsid w:val="00966564"/>
    <w:rsid w:val="009666FD"/>
    <w:rsid w:val="0096672A"/>
    <w:rsid w:val="0096687D"/>
    <w:rsid w:val="00966EE9"/>
    <w:rsid w:val="00967545"/>
    <w:rsid w:val="00967FB0"/>
    <w:rsid w:val="00970354"/>
    <w:rsid w:val="0097071F"/>
    <w:rsid w:val="00970FAF"/>
    <w:rsid w:val="0097125B"/>
    <w:rsid w:val="00971383"/>
    <w:rsid w:val="009714BF"/>
    <w:rsid w:val="009714D9"/>
    <w:rsid w:val="0097172D"/>
    <w:rsid w:val="009717AC"/>
    <w:rsid w:val="00971B02"/>
    <w:rsid w:val="00971DDC"/>
    <w:rsid w:val="00971E17"/>
    <w:rsid w:val="009722DB"/>
    <w:rsid w:val="009734BE"/>
    <w:rsid w:val="00973934"/>
    <w:rsid w:val="00973DC7"/>
    <w:rsid w:val="00974211"/>
    <w:rsid w:val="00974257"/>
    <w:rsid w:val="009743E5"/>
    <w:rsid w:val="00974ED0"/>
    <w:rsid w:val="009751C1"/>
    <w:rsid w:val="00975640"/>
    <w:rsid w:val="00975829"/>
    <w:rsid w:val="0097599A"/>
    <w:rsid w:val="0097644A"/>
    <w:rsid w:val="00976485"/>
    <w:rsid w:val="00976D3D"/>
    <w:rsid w:val="00977E92"/>
    <w:rsid w:val="00980144"/>
    <w:rsid w:val="009802EF"/>
    <w:rsid w:val="0098104E"/>
    <w:rsid w:val="009811F1"/>
    <w:rsid w:val="0098124B"/>
    <w:rsid w:val="0098126A"/>
    <w:rsid w:val="00981854"/>
    <w:rsid w:val="00981D0D"/>
    <w:rsid w:val="00981E1B"/>
    <w:rsid w:val="0098217E"/>
    <w:rsid w:val="0098256D"/>
    <w:rsid w:val="0098262F"/>
    <w:rsid w:val="009826BC"/>
    <w:rsid w:val="00982812"/>
    <w:rsid w:val="00982A0F"/>
    <w:rsid w:val="00982B93"/>
    <w:rsid w:val="00982C5E"/>
    <w:rsid w:val="00982DAE"/>
    <w:rsid w:val="00982EFD"/>
    <w:rsid w:val="00983003"/>
    <w:rsid w:val="00983073"/>
    <w:rsid w:val="00983A7B"/>
    <w:rsid w:val="00983B52"/>
    <w:rsid w:val="00983B94"/>
    <w:rsid w:val="00983DC4"/>
    <w:rsid w:val="00983E57"/>
    <w:rsid w:val="00985202"/>
    <w:rsid w:val="00985446"/>
    <w:rsid w:val="00985DE2"/>
    <w:rsid w:val="00985E59"/>
    <w:rsid w:val="009862DF"/>
    <w:rsid w:val="0098675D"/>
    <w:rsid w:val="00987BA4"/>
    <w:rsid w:val="0099102C"/>
    <w:rsid w:val="009912AF"/>
    <w:rsid w:val="00991443"/>
    <w:rsid w:val="00991822"/>
    <w:rsid w:val="009919D8"/>
    <w:rsid w:val="00991CE9"/>
    <w:rsid w:val="00991D16"/>
    <w:rsid w:val="009926E0"/>
    <w:rsid w:val="009934EA"/>
    <w:rsid w:val="00993786"/>
    <w:rsid w:val="00993798"/>
    <w:rsid w:val="00993DED"/>
    <w:rsid w:val="0099451E"/>
    <w:rsid w:val="00994608"/>
    <w:rsid w:val="0099475B"/>
    <w:rsid w:val="00994A11"/>
    <w:rsid w:val="00994A19"/>
    <w:rsid w:val="00994A5E"/>
    <w:rsid w:val="00994ABC"/>
    <w:rsid w:val="00995420"/>
    <w:rsid w:val="009954D4"/>
    <w:rsid w:val="00995CAA"/>
    <w:rsid w:val="00996B1A"/>
    <w:rsid w:val="009A035F"/>
    <w:rsid w:val="009A0380"/>
    <w:rsid w:val="009A0596"/>
    <w:rsid w:val="009A098A"/>
    <w:rsid w:val="009A0D37"/>
    <w:rsid w:val="009A0E94"/>
    <w:rsid w:val="009A14F4"/>
    <w:rsid w:val="009A16A8"/>
    <w:rsid w:val="009A1865"/>
    <w:rsid w:val="009A18F6"/>
    <w:rsid w:val="009A1A8E"/>
    <w:rsid w:val="009A1C58"/>
    <w:rsid w:val="009A200E"/>
    <w:rsid w:val="009A226D"/>
    <w:rsid w:val="009A2908"/>
    <w:rsid w:val="009A2990"/>
    <w:rsid w:val="009A2DCC"/>
    <w:rsid w:val="009A2DEE"/>
    <w:rsid w:val="009A3990"/>
    <w:rsid w:val="009A4681"/>
    <w:rsid w:val="009A474F"/>
    <w:rsid w:val="009A4860"/>
    <w:rsid w:val="009A48AD"/>
    <w:rsid w:val="009A4DF9"/>
    <w:rsid w:val="009A5087"/>
    <w:rsid w:val="009A5370"/>
    <w:rsid w:val="009A55A4"/>
    <w:rsid w:val="009A5ABC"/>
    <w:rsid w:val="009A5E00"/>
    <w:rsid w:val="009A6FDC"/>
    <w:rsid w:val="009A72AF"/>
    <w:rsid w:val="009A74AD"/>
    <w:rsid w:val="009A77BD"/>
    <w:rsid w:val="009A7A10"/>
    <w:rsid w:val="009A7F10"/>
    <w:rsid w:val="009B020E"/>
    <w:rsid w:val="009B07F0"/>
    <w:rsid w:val="009B0934"/>
    <w:rsid w:val="009B0C88"/>
    <w:rsid w:val="009B1A02"/>
    <w:rsid w:val="009B1D51"/>
    <w:rsid w:val="009B1D68"/>
    <w:rsid w:val="009B200A"/>
    <w:rsid w:val="009B2110"/>
    <w:rsid w:val="009B25B2"/>
    <w:rsid w:val="009B25D1"/>
    <w:rsid w:val="009B2AE2"/>
    <w:rsid w:val="009B3601"/>
    <w:rsid w:val="009B3C29"/>
    <w:rsid w:val="009B3E26"/>
    <w:rsid w:val="009B3FF8"/>
    <w:rsid w:val="009B4106"/>
    <w:rsid w:val="009B429A"/>
    <w:rsid w:val="009B461C"/>
    <w:rsid w:val="009B4B6A"/>
    <w:rsid w:val="009B527E"/>
    <w:rsid w:val="009B54E9"/>
    <w:rsid w:val="009B5B09"/>
    <w:rsid w:val="009B5DD0"/>
    <w:rsid w:val="009B682C"/>
    <w:rsid w:val="009B6A39"/>
    <w:rsid w:val="009B71C4"/>
    <w:rsid w:val="009B73D8"/>
    <w:rsid w:val="009B77D5"/>
    <w:rsid w:val="009B7992"/>
    <w:rsid w:val="009B7B1C"/>
    <w:rsid w:val="009C036C"/>
    <w:rsid w:val="009C05C0"/>
    <w:rsid w:val="009C0968"/>
    <w:rsid w:val="009C100C"/>
    <w:rsid w:val="009C11AA"/>
    <w:rsid w:val="009C1271"/>
    <w:rsid w:val="009C18EB"/>
    <w:rsid w:val="009C1BB9"/>
    <w:rsid w:val="009C2077"/>
    <w:rsid w:val="009C2944"/>
    <w:rsid w:val="009C2B09"/>
    <w:rsid w:val="009C2B21"/>
    <w:rsid w:val="009C2F88"/>
    <w:rsid w:val="009C3706"/>
    <w:rsid w:val="009C3747"/>
    <w:rsid w:val="009C38C5"/>
    <w:rsid w:val="009C3A3A"/>
    <w:rsid w:val="009C3D8A"/>
    <w:rsid w:val="009C3F15"/>
    <w:rsid w:val="009C4240"/>
    <w:rsid w:val="009C426B"/>
    <w:rsid w:val="009C4837"/>
    <w:rsid w:val="009C4A79"/>
    <w:rsid w:val="009C4F90"/>
    <w:rsid w:val="009C55A5"/>
    <w:rsid w:val="009C587C"/>
    <w:rsid w:val="009C58D6"/>
    <w:rsid w:val="009C590D"/>
    <w:rsid w:val="009C5BC6"/>
    <w:rsid w:val="009C5CE4"/>
    <w:rsid w:val="009C5DA8"/>
    <w:rsid w:val="009C617C"/>
    <w:rsid w:val="009C6687"/>
    <w:rsid w:val="009C66D0"/>
    <w:rsid w:val="009C6CEA"/>
    <w:rsid w:val="009C7638"/>
    <w:rsid w:val="009C7B85"/>
    <w:rsid w:val="009D002D"/>
    <w:rsid w:val="009D0117"/>
    <w:rsid w:val="009D0254"/>
    <w:rsid w:val="009D0363"/>
    <w:rsid w:val="009D05CC"/>
    <w:rsid w:val="009D0A1C"/>
    <w:rsid w:val="009D0C6A"/>
    <w:rsid w:val="009D0DE6"/>
    <w:rsid w:val="009D0E9F"/>
    <w:rsid w:val="009D0F91"/>
    <w:rsid w:val="009D119B"/>
    <w:rsid w:val="009D11AC"/>
    <w:rsid w:val="009D1424"/>
    <w:rsid w:val="009D1524"/>
    <w:rsid w:val="009D1A64"/>
    <w:rsid w:val="009D1B8D"/>
    <w:rsid w:val="009D1BD9"/>
    <w:rsid w:val="009D20E8"/>
    <w:rsid w:val="009D24FE"/>
    <w:rsid w:val="009D2BF0"/>
    <w:rsid w:val="009D2DEA"/>
    <w:rsid w:val="009D30EC"/>
    <w:rsid w:val="009D3EA0"/>
    <w:rsid w:val="009D447A"/>
    <w:rsid w:val="009D4881"/>
    <w:rsid w:val="009D52AD"/>
    <w:rsid w:val="009D55A4"/>
    <w:rsid w:val="009D5B91"/>
    <w:rsid w:val="009D5C0C"/>
    <w:rsid w:val="009D5C7F"/>
    <w:rsid w:val="009D5FC5"/>
    <w:rsid w:val="009D624A"/>
    <w:rsid w:val="009D6900"/>
    <w:rsid w:val="009D6D1F"/>
    <w:rsid w:val="009D70D8"/>
    <w:rsid w:val="009D7400"/>
    <w:rsid w:val="009D78FF"/>
    <w:rsid w:val="009D792E"/>
    <w:rsid w:val="009E024E"/>
    <w:rsid w:val="009E041A"/>
    <w:rsid w:val="009E055C"/>
    <w:rsid w:val="009E0DFE"/>
    <w:rsid w:val="009E0FEE"/>
    <w:rsid w:val="009E1380"/>
    <w:rsid w:val="009E13AC"/>
    <w:rsid w:val="009E1ECA"/>
    <w:rsid w:val="009E1F6D"/>
    <w:rsid w:val="009E200F"/>
    <w:rsid w:val="009E20AE"/>
    <w:rsid w:val="009E20FD"/>
    <w:rsid w:val="009E289E"/>
    <w:rsid w:val="009E2965"/>
    <w:rsid w:val="009E31F6"/>
    <w:rsid w:val="009E33F5"/>
    <w:rsid w:val="009E3D96"/>
    <w:rsid w:val="009E3E21"/>
    <w:rsid w:val="009E40C1"/>
    <w:rsid w:val="009E40CF"/>
    <w:rsid w:val="009E4254"/>
    <w:rsid w:val="009E42AB"/>
    <w:rsid w:val="009E4C07"/>
    <w:rsid w:val="009E50B6"/>
    <w:rsid w:val="009E5292"/>
    <w:rsid w:val="009E53A0"/>
    <w:rsid w:val="009E545A"/>
    <w:rsid w:val="009E54D8"/>
    <w:rsid w:val="009E574A"/>
    <w:rsid w:val="009E5EAC"/>
    <w:rsid w:val="009E61BC"/>
    <w:rsid w:val="009E6FAB"/>
    <w:rsid w:val="009E759E"/>
    <w:rsid w:val="009E75CB"/>
    <w:rsid w:val="009E777F"/>
    <w:rsid w:val="009E77D0"/>
    <w:rsid w:val="009E7817"/>
    <w:rsid w:val="009E7B17"/>
    <w:rsid w:val="009E7FCC"/>
    <w:rsid w:val="009F047E"/>
    <w:rsid w:val="009F16E7"/>
    <w:rsid w:val="009F1F9A"/>
    <w:rsid w:val="009F2329"/>
    <w:rsid w:val="009F2C39"/>
    <w:rsid w:val="009F2FF6"/>
    <w:rsid w:val="009F30A6"/>
    <w:rsid w:val="009F30B5"/>
    <w:rsid w:val="009F31E9"/>
    <w:rsid w:val="009F33A4"/>
    <w:rsid w:val="009F3885"/>
    <w:rsid w:val="009F3BAE"/>
    <w:rsid w:val="009F3EEE"/>
    <w:rsid w:val="009F4283"/>
    <w:rsid w:val="009F4572"/>
    <w:rsid w:val="009F4703"/>
    <w:rsid w:val="009F499E"/>
    <w:rsid w:val="009F4D7D"/>
    <w:rsid w:val="009F50B8"/>
    <w:rsid w:val="009F6120"/>
    <w:rsid w:val="009F6328"/>
    <w:rsid w:val="009F675A"/>
    <w:rsid w:val="009F75C7"/>
    <w:rsid w:val="009F774A"/>
    <w:rsid w:val="009F78AD"/>
    <w:rsid w:val="009F7D37"/>
    <w:rsid w:val="009F7D53"/>
    <w:rsid w:val="00A00360"/>
    <w:rsid w:val="00A00AE0"/>
    <w:rsid w:val="00A00B95"/>
    <w:rsid w:val="00A00D6E"/>
    <w:rsid w:val="00A00D76"/>
    <w:rsid w:val="00A01184"/>
    <w:rsid w:val="00A01449"/>
    <w:rsid w:val="00A0160B"/>
    <w:rsid w:val="00A01763"/>
    <w:rsid w:val="00A01772"/>
    <w:rsid w:val="00A01AE8"/>
    <w:rsid w:val="00A01C4E"/>
    <w:rsid w:val="00A01D3B"/>
    <w:rsid w:val="00A01DF3"/>
    <w:rsid w:val="00A02259"/>
    <w:rsid w:val="00A031E3"/>
    <w:rsid w:val="00A03546"/>
    <w:rsid w:val="00A035DB"/>
    <w:rsid w:val="00A037C2"/>
    <w:rsid w:val="00A03D1D"/>
    <w:rsid w:val="00A03D43"/>
    <w:rsid w:val="00A04167"/>
    <w:rsid w:val="00A04377"/>
    <w:rsid w:val="00A04380"/>
    <w:rsid w:val="00A04464"/>
    <w:rsid w:val="00A046A2"/>
    <w:rsid w:val="00A0473E"/>
    <w:rsid w:val="00A04786"/>
    <w:rsid w:val="00A047A1"/>
    <w:rsid w:val="00A05472"/>
    <w:rsid w:val="00A05C32"/>
    <w:rsid w:val="00A0653F"/>
    <w:rsid w:val="00A06D5D"/>
    <w:rsid w:val="00A071B5"/>
    <w:rsid w:val="00A073F5"/>
    <w:rsid w:val="00A0744E"/>
    <w:rsid w:val="00A07679"/>
    <w:rsid w:val="00A0771C"/>
    <w:rsid w:val="00A07ECF"/>
    <w:rsid w:val="00A10418"/>
    <w:rsid w:val="00A10863"/>
    <w:rsid w:val="00A10F77"/>
    <w:rsid w:val="00A1154F"/>
    <w:rsid w:val="00A1182B"/>
    <w:rsid w:val="00A11CD0"/>
    <w:rsid w:val="00A11F32"/>
    <w:rsid w:val="00A122D6"/>
    <w:rsid w:val="00A12384"/>
    <w:rsid w:val="00A12428"/>
    <w:rsid w:val="00A1266B"/>
    <w:rsid w:val="00A12AE3"/>
    <w:rsid w:val="00A12C91"/>
    <w:rsid w:val="00A138EC"/>
    <w:rsid w:val="00A13948"/>
    <w:rsid w:val="00A13951"/>
    <w:rsid w:val="00A13CAF"/>
    <w:rsid w:val="00A13D14"/>
    <w:rsid w:val="00A14060"/>
    <w:rsid w:val="00A141AA"/>
    <w:rsid w:val="00A14342"/>
    <w:rsid w:val="00A14346"/>
    <w:rsid w:val="00A144A6"/>
    <w:rsid w:val="00A146B3"/>
    <w:rsid w:val="00A14746"/>
    <w:rsid w:val="00A1481C"/>
    <w:rsid w:val="00A1555B"/>
    <w:rsid w:val="00A155C5"/>
    <w:rsid w:val="00A161B9"/>
    <w:rsid w:val="00A16227"/>
    <w:rsid w:val="00A16AD8"/>
    <w:rsid w:val="00A16C96"/>
    <w:rsid w:val="00A17937"/>
    <w:rsid w:val="00A17CD5"/>
    <w:rsid w:val="00A17CD9"/>
    <w:rsid w:val="00A17FFE"/>
    <w:rsid w:val="00A2021E"/>
    <w:rsid w:val="00A203C5"/>
    <w:rsid w:val="00A209A4"/>
    <w:rsid w:val="00A20BB4"/>
    <w:rsid w:val="00A2140A"/>
    <w:rsid w:val="00A21743"/>
    <w:rsid w:val="00A21A7F"/>
    <w:rsid w:val="00A21C95"/>
    <w:rsid w:val="00A21CF3"/>
    <w:rsid w:val="00A21D73"/>
    <w:rsid w:val="00A21F93"/>
    <w:rsid w:val="00A22088"/>
    <w:rsid w:val="00A221AD"/>
    <w:rsid w:val="00A221B2"/>
    <w:rsid w:val="00A22280"/>
    <w:rsid w:val="00A2231A"/>
    <w:rsid w:val="00A2256C"/>
    <w:rsid w:val="00A22644"/>
    <w:rsid w:val="00A22ED1"/>
    <w:rsid w:val="00A22F3B"/>
    <w:rsid w:val="00A239F6"/>
    <w:rsid w:val="00A23B7C"/>
    <w:rsid w:val="00A23D6B"/>
    <w:rsid w:val="00A24115"/>
    <w:rsid w:val="00A242ED"/>
    <w:rsid w:val="00A24485"/>
    <w:rsid w:val="00A245D6"/>
    <w:rsid w:val="00A245F9"/>
    <w:rsid w:val="00A24722"/>
    <w:rsid w:val="00A24813"/>
    <w:rsid w:val="00A248B8"/>
    <w:rsid w:val="00A24CD9"/>
    <w:rsid w:val="00A252B5"/>
    <w:rsid w:val="00A25446"/>
    <w:rsid w:val="00A25A3A"/>
    <w:rsid w:val="00A25D0E"/>
    <w:rsid w:val="00A25DD9"/>
    <w:rsid w:val="00A26268"/>
    <w:rsid w:val="00A2633E"/>
    <w:rsid w:val="00A26BCD"/>
    <w:rsid w:val="00A26D12"/>
    <w:rsid w:val="00A2717A"/>
    <w:rsid w:val="00A274F2"/>
    <w:rsid w:val="00A27693"/>
    <w:rsid w:val="00A27AEC"/>
    <w:rsid w:val="00A27BE2"/>
    <w:rsid w:val="00A27F6F"/>
    <w:rsid w:val="00A3043F"/>
    <w:rsid w:val="00A311D9"/>
    <w:rsid w:val="00A3182B"/>
    <w:rsid w:val="00A31C97"/>
    <w:rsid w:val="00A31D7A"/>
    <w:rsid w:val="00A31F6E"/>
    <w:rsid w:val="00A320DB"/>
    <w:rsid w:val="00A3286F"/>
    <w:rsid w:val="00A32C85"/>
    <w:rsid w:val="00A32DE1"/>
    <w:rsid w:val="00A335AB"/>
    <w:rsid w:val="00A338DA"/>
    <w:rsid w:val="00A34175"/>
    <w:rsid w:val="00A34341"/>
    <w:rsid w:val="00A3459E"/>
    <w:rsid w:val="00A348D0"/>
    <w:rsid w:val="00A349D5"/>
    <w:rsid w:val="00A3529A"/>
    <w:rsid w:val="00A35616"/>
    <w:rsid w:val="00A35843"/>
    <w:rsid w:val="00A35A6A"/>
    <w:rsid w:val="00A35B3A"/>
    <w:rsid w:val="00A35D16"/>
    <w:rsid w:val="00A36B86"/>
    <w:rsid w:val="00A36C1C"/>
    <w:rsid w:val="00A36E7C"/>
    <w:rsid w:val="00A37666"/>
    <w:rsid w:val="00A37BCD"/>
    <w:rsid w:val="00A37F7E"/>
    <w:rsid w:val="00A40124"/>
    <w:rsid w:val="00A4028F"/>
    <w:rsid w:val="00A403FF"/>
    <w:rsid w:val="00A404DB"/>
    <w:rsid w:val="00A40696"/>
    <w:rsid w:val="00A4097A"/>
    <w:rsid w:val="00A40CC6"/>
    <w:rsid w:val="00A40D6F"/>
    <w:rsid w:val="00A40F23"/>
    <w:rsid w:val="00A41302"/>
    <w:rsid w:val="00A41689"/>
    <w:rsid w:val="00A41DC0"/>
    <w:rsid w:val="00A41EE9"/>
    <w:rsid w:val="00A421FA"/>
    <w:rsid w:val="00A42476"/>
    <w:rsid w:val="00A42592"/>
    <w:rsid w:val="00A42A2C"/>
    <w:rsid w:val="00A42CF3"/>
    <w:rsid w:val="00A434BC"/>
    <w:rsid w:val="00A434FB"/>
    <w:rsid w:val="00A43732"/>
    <w:rsid w:val="00A43C59"/>
    <w:rsid w:val="00A4431F"/>
    <w:rsid w:val="00A4466D"/>
    <w:rsid w:val="00A44687"/>
    <w:rsid w:val="00A44A56"/>
    <w:rsid w:val="00A44C71"/>
    <w:rsid w:val="00A44F7C"/>
    <w:rsid w:val="00A45917"/>
    <w:rsid w:val="00A4591D"/>
    <w:rsid w:val="00A45BD0"/>
    <w:rsid w:val="00A45E1F"/>
    <w:rsid w:val="00A45EC5"/>
    <w:rsid w:val="00A4687F"/>
    <w:rsid w:val="00A46898"/>
    <w:rsid w:val="00A46D28"/>
    <w:rsid w:val="00A46D7D"/>
    <w:rsid w:val="00A4769E"/>
    <w:rsid w:val="00A47CF1"/>
    <w:rsid w:val="00A50178"/>
    <w:rsid w:val="00A507E7"/>
    <w:rsid w:val="00A50C3E"/>
    <w:rsid w:val="00A50C99"/>
    <w:rsid w:val="00A50D77"/>
    <w:rsid w:val="00A50ECD"/>
    <w:rsid w:val="00A518F3"/>
    <w:rsid w:val="00A51FB9"/>
    <w:rsid w:val="00A52427"/>
    <w:rsid w:val="00A52638"/>
    <w:rsid w:val="00A52729"/>
    <w:rsid w:val="00A5283C"/>
    <w:rsid w:val="00A5301C"/>
    <w:rsid w:val="00A53393"/>
    <w:rsid w:val="00A53675"/>
    <w:rsid w:val="00A53DF1"/>
    <w:rsid w:val="00A53E12"/>
    <w:rsid w:val="00A541A6"/>
    <w:rsid w:val="00A54C32"/>
    <w:rsid w:val="00A554AD"/>
    <w:rsid w:val="00A55585"/>
    <w:rsid w:val="00A5591F"/>
    <w:rsid w:val="00A55DA5"/>
    <w:rsid w:val="00A5603A"/>
    <w:rsid w:val="00A561BF"/>
    <w:rsid w:val="00A56205"/>
    <w:rsid w:val="00A563FC"/>
    <w:rsid w:val="00A564D7"/>
    <w:rsid w:val="00A566FD"/>
    <w:rsid w:val="00A56B6A"/>
    <w:rsid w:val="00A57197"/>
    <w:rsid w:val="00A57421"/>
    <w:rsid w:val="00A578DC"/>
    <w:rsid w:val="00A60120"/>
    <w:rsid w:val="00A6016C"/>
    <w:rsid w:val="00A60368"/>
    <w:rsid w:val="00A60A45"/>
    <w:rsid w:val="00A60BD4"/>
    <w:rsid w:val="00A60BE1"/>
    <w:rsid w:val="00A60EB0"/>
    <w:rsid w:val="00A612E8"/>
    <w:rsid w:val="00A615CC"/>
    <w:rsid w:val="00A61A91"/>
    <w:rsid w:val="00A61C28"/>
    <w:rsid w:val="00A61E4A"/>
    <w:rsid w:val="00A61EE6"/>
    <w:rsid w:val="00A625EB"/>
    <w:rsid w:val="00A62647"/>
    <w:rsid w:val="00A628A2"/>
    <w:rsid w:val="00A62C05"/>
    <w:rsid w:val="00A62C52"/>
    <w:rsid w:val="00A6326F"/>
    <w:rsid w:val="00A63572"/>
    <w:rsid w:val="00A635A2"/>
    <w:rsid w:val="00A63739"/>
    <w:rsid w:val="00A638B4"/>
    <w:rsid w:val="00A63E35"/>
    <w:rsid w:val="00A640E2"/>
    <w:rsid w:val="00A64D65"/>
    <w:rsid w:val="00A65404"/>
    <w:rsid w:val="00A65418"/>
    <w:rsid w:val="00A65A0A"/>
    <w:rsid w:val="00A66B9E"/>
    <w:rsid w:val="00A66D9A"/>
    <w:rsid w:val="00A6709D"/>
    <w:rsid w:val="00A6725B"/>
    <w:rsid w:val="00A67410"/>
    <w:rsid w:val="00A67931"/>
    <w:rsid w:val="00A67C6B"/>
    <w:rsid w:val="00A70550"/>
    <w:rsid w:val="00A70605"/>
    <w:rsid w:val="00A70729"/>
    <w:rsid w:val="00A709C5"/>
    <w:rsid w:val="00A70C80"/>
    <w:rsid w:val="00A71119"/>
    <w:rsid w:val="00A71143"/>
    <w:rsid w:val="00A7182A"/>
    <w:rsid w:val="00A71C9C"/>
    <w:rsid w:val="00A722EA"/>
    <w:rsid w:val="00A726BF"/>
    <w:rsid w:val="00A72748"/>
    <w:rsid w:val="00A72871"/>
    <w:rsid w:val="00A72926"/>
    <w:rsid w:val="00A72946"/>
    <w:rsid w:val="00A729B7"/>
    <w:rsid w:val="00A73067"/>
    <w:rsid w:val="00A73134"/>
    <w:rsid w:val="00A7365A"/>
    <w:rsid w:val="00A74ACE"/>
    <w:rsid w:val="00A75019"/>
    <w:rsid w:val="00A752A6"/>
    <w:rsid w:val="00A7572C"/>
    <w:rsid w:val="00A75B53"/>
    <w:rsid w:val="00A76001"/>
    <w:rsid w:val="00A76047"/>
    <w:rsid w:val="00A7611E"/>
    <w:rsid w:val="00A76F9C"/>
    <w:rsid w:val="00A772F0"/>
    <w:rsid w:val="00A7731B"/>
    <w:rsid w:val="00A777B2"/>
    <w:rsid w:val="00A77C49"/>
    <w:rsid w:val="00A80072"/>
    <w:rsid w:val="00A8037D"/>
    <w:rsid w:val="00A814F7"/>
    <w:rsid w:val="00A819B4"/>
    <w:rsid w:val="00A81A38"/>
    <w:rsid w:val="00A81D25"/>
    <w:rsid w:val="00A82439"/>
    <w:rsid w:val="00A825D4"/>
    <w:rsid w:val="00A828F6"/>
    <w:rsid w:val="00A829E9"/>
    <w:rsid w:val="00A82B73"/>
    <w:rsid w:val="00A82EEC"/>
    <w:rsid w:val="00A83026"/>
    <w:rsid w:val="00A83288"/>
    <w:rsid w:val="00A839AA"/>
    <w:rsid w:val="00A843CC"/>
    <w:rsid w:val="00A843E7"/>
    <w:rsid w:val="00A85872"/>
    <w:rsid w:val="00A85F1B"/>
    <w:rsid w:val="00A85FDD"/>
    <w:rsid w:val="00A863CA"/>
    <w:rsid w:val="00A86E8B"/>
    <w:rsid w:val="00A86FE6"/>
    <w:rsid w:val="00A87164"/>
    <w:rsid w:val="00A871A9"/>
    <w:rsid w:val="00A87527"/>
    <w:rsid w:val="00A87592"/>
    <w:rsid w:val="00A87917"/>
    <w:rsid w:val="00A87A7E"/>
    <w:rsid w:val="00A87D43"/>
    <w:rsid w:val="00A9056E"/>
    <w:rsid w:val="00A90689"/>
    <w:rsid w:val="00A90EC4"/>
    <w:rsid w:val="00A91005"/>
    <w:rsid w:val="00A917CF"/>
    <w:rsid w:val="00A917F2"/>
    <w:rsid w:val="00A9226D"/>
    <w:rsid w:val="00A9238B"/>
    <w:rsid w:val="00A925EE"/>
    <w:rsid w:val="00A92943"/>
    <w:rsid w:val="00A92BD7"/>
    <w:rsid w:val="00A92F5B"/>
    <w:rsid w:val="00A93072"/>
    <w:rsid w:val="00A9369F"/>
    <w:rsid w:val="00A9378B"/>
    <w:rsid w:val="00A938BD"/>
    <w:rsid w:val="00A93953"/>
    <w:rsid w:val="00A94053"/>
    <w:rsid w:val="00A941D8"/>
    <w:rsid w:val="00A94361"/>
    <w:rsid w:val="00A95053"/>
    <w:rsid w:val="00A95364"/>
    <w:rsid w:val="00A95578"/>
    <w:rsid w:val="00A959D8"/>
    <w:rsid w:val="00A95B94"/>
    <w:rsid w:val="00A95C91"/>
    <w:rsid w:val="00A96168"/>
    <w:rsid w:val="00A96222"/>
    <w:rsid w:val="00A9672F"/>
    <w:rsid w:val="00A96BAB"/>
    <w:rsid w:val="00A96EC5"/>
    <w:rsid w:val="00A96FD9"/>
    <w:rsid w:val="00A9714E"/>
    <w:rsid w:val="00A976FE"/>
    <w:rsid w:val="00A97958"/>
    <w:rsid w:val="00AA0529"/>
    <w:rsid w:val="00AA0559"/>
    <w:rsid w:val="00AA0608"/>
    <w:rsid w:val="00AA0D49"/>
    <w:rsid w:val="00AA0E7B"/>
    <w:rsid w:val="00AA105D"/>
    <w:rsid w:val="00AA113D"/>
    <w:rsid w:val="00AA12CC"/>
    <w:rsid w:val="00AA1384"/>
    <w:rsid w:val="00AA1759"/>
    <w:rsid w:val="00AA18A4"/>
    <w:rsid w:val="00AA18F6"/>
    <w:rsid w:val="00AA1DB2"/>
    <w:rsid w:val="00AA221E"/>
    <w:rsid w:val="00AA31DF"/>
    <w:rsid w:val="00AA3219"/>
    <w:rsid w:val="00AA3660"/>
    <w:rsid w:val="00AA3830"/>
    <w:rsid w:val="00AA3B8E"/>
    <w:rsid w:val="00AA4855"/>
    <w:rsid w:val="00AA4FC2"/>
    <w:rsid w:val="00AA6306"/>
    <w:rsid w:val="00AA6644"/>
    <w:rsid w:val="00AA66DC"/>
    <w:rsid w:val="00AA677E"/>
    <w:rsid w:val="00AA6BD5"/>
    <w:rsid w:val="00AA6BD8"/>
    <w:rsid w:val="00AA6C7D"/>
    <w:rsid w:val="00AA6D7F"/>
    <w:rsid w:val="00AA71C9"/>
    <w:rsid w:val="00AA7BC2"/>
    <w:rsid w:val="00AA7E26"/>
    <w:rsid w:val="00AA7FD6"/>
    <w:rsid w:val="00AB0166"/>
    <w:rsid w:val="00AB042A"/>
    <w:rsid w:val="00AB05DD"/>
    <w:rsid w:val="00AB086E"/>
    <w:rsid w:val="00AB09BB"/>
    <w:rsid w:val="00AB0C91"/>
    <w:rsid w:val="00AB0DBD"/>
    <w:rsid w:val="00AB0FF2"/>
    <w:rsid w:val="00AB1043"/>
    <w:rsid w:val="00AB105C"/>
    <w:rsid w:val="00AB1078"/>
    <w:rsid w:val="00AB1134"/>
    <w:rsid w:val="00AB11AD"/>
    <w:rsid w:val="00AB19EF"/>
    <w:rsid w:val="00AB2119"/>
    <w:rsid w:val="00AB2157"/>
    <w:rsid w:val="00AB227F"/>
    <w:rsid w:val="00AB2495"/>
    <w:rsid w:val="00AB2D34"/>
    <w:rsid w:val="00AB33D4"/>
    <w:rsid w:val="00AB3430"/>
    <w:rsid w:val="00AB37B9"/>
    <w:rsid w:val="00AB37EA"/>
    <w:rsid w:val="00AB3ADD"/>
    <w:rsid w:val="00AB3B78"/>
    <w:rsid w:val="00AB3C42"/>
    <w:rsid w:val="00AB4140"/>
    <w:rsid w:val="00AB4AD1"/>
    <w:rsid w:val="00AB4D7A"/>
    <w:rsid w:val="00AB53C7"/>
    <w:rsid w:val="00AB58B2"/>
    <w:rsid w:val="00AB58C6"/>
    <w:rsid w:val="00AB5920"/>
    <w:rsid w:val="00AB5ADB"/>
    <w:rsid w:val="00AB5B7A"/>
    <w:rsid w:val="00AB5C53"/>
    <w:rsid w:val="00AB5DBA"/>
    <w:rsid w:val="00AB5E07"/>
    <w:rsid w:val="00AB61F0"/>
    <w:rsid w:val="00AB63CA"/>
    <w:rsid w:val="00AB64A3"/>
    <w:rsid w:val="00AB6867"/>
    <w:rsid w:val="00AB6A52"/>
    <w:rsid w:val="00AB6A89"/>
    <w:rsid w:val="00AB6CF2"/>
    <w:rsid w:val="00AB71ED"/>
    <w:rsid w:val="00AB7CFA"/>
    <w:rsid w:val="00AC02FC"/>
    <w:rsid w:val="00AC0531"/>
    <w:rsid w:val="00AC07F0"/>
    <w:rsid w:val="00AC089F"/>
    <w:rsid w:val="00AC0958"/>
    <w:rsid w:val="00AC1189"/>
    <w:rsid w:val="00AC1B7E"/>
    <w:rsid w:val="00AC1E19"/>
    <w:rsid w:val="00AC1E96"/>
    <w:rsid w:val="00AC21D1"/>
    <w:rsid w:val="00AC23DA"/>
    <w:rsid w:val="00AC26C2"/>
    <w:rsid w:val="00AC2739"/>
    <w:rsid w:val="00AC2A6A"/>
    <w:rsid w:val="00AC36E9"/>
    <w:rsid w:val="00AC380D"/>
    <w:rsid w:val="00AC3852"/>
    <w:rsid w:val="00AC3E2B"/>
    <w:rsid w:val="00AC49C8"/>
    <w:rsid w:val="00AC4A62"/>
    <w:rsid w:val="00AC504F"/>
    <w:rsid w:val="00AC54D8"/>
    <w:rsid w:val="00AC5A3C"/>
    <w:rsid w:val="00AC5A6D"/>
    <w:rsid w:val="00AC5B42"/>
    <w:rsid w:val="00AC5B48"/>
    <w:rsid w:val="00AC614E"/>
    <w:rsid w:val="00AC6E9F"/>
    <w:rsid w:val="00AC70B2"/>
    <w:rsid w:val="00AC7B92"/>
    <w:rsid w:val="00AD0132"/>
    <w:rsid w:val="00AD06DB"/>
    <w:rsid w:val="00AD09F3"/>
    <w:rsid w:val="00AD0ACE"/>
    <w:rsid w:val="00AD0DB0"/>
    <w:rsid w:val="00AD0F63"/>
    <w:rsid w:val="00AD1450"/>
    <w:rsid w:val="00AD15E8"/>
    <w:rsid w:val="00AD17B8"/>
    <w:rsid w:val="00AD19BB"/>
    <w:rsid w:val="00AD1EA8"/>
    <w:rsid w:val="00AD288D"/>
    <w:rsid w:val="00AD31D8"/>
    <w:rsid w:val="00AD353E"/>
    <w:rsid w:val="00AD356D"/>
    <w:rsid w:val="00AD35CE"/>
    <w:rsid w:val="00AD3B7F"/>
    <w:rsid w:val="00AD4703"/>
    <w:rsid w:val="00AD51BD"/>
    <w:rsid w:val="00AD52FD"/>
    <w:rsid w:val="00AD5733"/>
    <w:rsid w:val="00AD6502"/>
    <w:rsid w:val="00AD66FE"/>
    <w:rsid w:val="00AD68D4"/>
    <w:rsid w:val="00AD6EAA"/>
    <w:rsid w:val="00AD700D"/>
    <w:rsid w:val="00AD72F9"/>
    <w:rsid w:val="00AD73CF"/>
    <w:rsid w:val="00AD76CC"/>
    <w:rsid w:val="00AD772C"/>
    <w:rsid w:val="00AD78BE"/>
    <w:rsid w:val="00AD7F60"/>
    <w:rsid w:val="00AE0311"/>
    <w:rsid w:val="00AE066A"/>
    <w:rsid w:val="00AE0685"/>
    <w:rsid w:val="00AE0695"/>
    <w:rsid w:val="00AE0913"/>
    <w:rsid w:val="00AE0CDD"/>
    <w:rsid w:val="00AE0E3A"/>
    <w:rsid w:val="00AE12DB"/>
    <w:rsid w:val="00AE1830"/>
    <w:rsid w:val="00AE210A"/>
    <w:rsid w:val="00AE23DC"/>
    <w:rsid w:val="00AE25CD"/>
    <w:rsid w:val="00AE29D1"/>
    <w:rsid w:val="00AE2FB1"/>
    <w:rsid w:val="00AE3198"/>
    <w:rsid w:val="00AE3414"/>
    <w:rsid w:val="00AE34ED"/>
    <w:rsid w:val="00AE3871"/>
    <w:rsid w:val="00AE3E7E"/>
    <w:rsid w:val="00AE3F2F"/>
    <w:rsid w:val="00AE47D3"/>
    <w:rsid w:val="00AE495A"/>
    <w:rsid w:val="00AE49C5"/>
    <w:rsid w:val="00AE4EE6"/>
    <w:rsid w:val="00AE539F"/>
    <w:rsid w:val="00AE540F"/>
    <w:rsid w:val="00AE5499"/>
    <w:rsid w:val="00AE5955"/>
    <w:rsid w:val="00AE5A64"/>
    <w:rsid w:val="00AE5ABC"/>
    <w:rsid w:val="00AE6140"/>
    <w:rsid w:val="00AE61CE"/>
    <w:rsid w:val="00AE6244"/>
    <w:rsid w:val="00AE6403"/>
    <w:rsid w:val="00AE6822"/>
    <w:rsid w:val="00AE6BB6"/>
    <w:rsid w:val="00AE6F11"/>
    <w:rsid w:val="00AE7074"/>
    <w:rsid w:val="00AE70DB"/>
    <w:rsid w:val="00AE7741"/>
    <w:rsid w:val="00AE7E53"/>
    <w:rsid w:val="00AE7E90"/>
    <w:rsid w:val="00AF0617"/>
    <w:rsid w:val="00AF0A9D"/>
    <w:rsid w:val="00AF0D0D"/>
    <w:rsid w:val="00AF0EB4"/>
    <w:rsid w:val="00AF1315"/>
    <w:rsid w:val="00AF19BF"/>
    <w:rsid w:val="00AF1A4D"/>
    <w:rsid w:val="00AF2059"/>
    <w:rsid w:val="00AF26CA"/>
    <w:rsid w:val="00AF2CD3"/>
    <w:rsid w:val="00AF2CFF"/>
    <w:rsid w:val="00AF2DC3"/>
    <w:rsid w:val="00AF3203"/>
    <w:rsid w:val="00AF32C0"/>
    <w:rsid w:val="00AF332E"/>
    <w:rsid w:val="00AF33ED"/>
    <w:rsid w:val="00AF3911"/>
    <w:rsid w:val="00AF3B5B"/>
    <w:rsid w:val="00AF3D19"/>
    <w:rsid w:val="00AF3DAE"/>
    <w:rsid w:val="00AF42F3"/>
    <w:rsid w:val="00AF4353"/>
    <w:rsid w:val="00AF468F"/>
    <w:rsid w:val="00AF4799"/>
    <w:rsid w:val="00AF498A"/>
    <w:rsid w:val="00AF4CA3"/>
    <w:rsid w:val="00AF57A5"/>
    <w:rsid w:val="00AF5A62"/>
    <w:rsid w:val="00AF6145"/>
    <w:rsid w:val="00AF6191"/>
    <w:rsid w:val="00AF6966"/>
    <w:rsid w:val="00AF6BDD"/>
    <w:rsid w:val="00AF6CA5"/>
    <w:rsid w:val="00AF6DF0"/>
    <w:rsid w:val="00B001A8"/>
    <w:rsid w:val="00B01108"/>
    <w:rsid w:val="00B0174A"/>
    <w:rsid w:val="00B01CEE"/>
    <w:rsid w:val="00B020E8"/>
    <w:rsid w:val="00B02135"/>
    <w:rsid w:val="00B02AC3"/>
    <w:rsid w:val="00B02D3E"/>
    <w:rsid w:val="00B031B5"/>
    <w:rsid w:val="00B031F7"/>
    <w:rsid w:val="00B033E5"/>
    <w:rsid w:val="00B03674"/>
    <w:rsid w:val="00B03A63"/>
    <w:rsid w:val="00B04025"/>
    <w:rsid w:val="00B040BE"/>
    <w:rsid w:val="00B042E1"/>
    <w:rsid w:val="00B0431C"/>
    <w:rsid w:val="00B043DE"/>
    <w:rsid w:val="00B047A3"/>
    <w:rsid w:val="00B04DE4"/>
    <w:rsid w:val="00B05539"/>
    <w:rsid w:val="00B0620D"/>
    <w:rsid w:val="00B071A2"/>
    <w:rsid w:val="00B07B51"/>
    <w:rsid w:val="00B1045C"/>
    <w:rsid w:val="00B112D4"/>
    <w:rsid w:val="00B11354"/>
    <w:rsid w:val="00B11A09"/>
    <w:rsid w:val="00B11B3C"/>
    <w:rsid w:val="00B11CB4"/>
    <w:rsid w:val="00B129A4"/>
    <w:rsid w:val="00B12B06"/>
    <w:rsid w:val="00B139E1"/>
    <w:rsid w:val="00B13A72"/>
    <w:rsid w:val="00B13A94"/>
    <w:rsid w:val="00B13C29"/>
    <w:rsid w:val="00B142D2"/>
    <w:rsid w:val="00B142F2"/>
    <w:rsid w:val="00B146F9"/>
    <w:rsid w:val="00B14739"/>
    <w:rsid w:val="00B14807"/>
    <w:rsid w:val="00B15007"/>
    <w:rsid w:val="00B158A3"/>
    <w:rsid w:val="00B1633D"/>
    <w:rsid w:val="00B16698"/>
    <w:rsid w:val="00B1674E"/>
    <w:rsid w:val="00B1758B"/>
    <w:rsid w:val="00B176A9"/>
    <w:rsid w:val="00B201A4"/>
    <w:rsid w:val="00B201D1"/>
    <w:rsid w:val="00B20372"/>
    <w:rsid w:val="00B20840"/>
    <w:rsid w:val="00B20DF9"/>
    <w:rsid w:val="00B20F20"/>
    <w:rsid w:val="00B213A6"/>
    <w:rsid w:val="00B21C8F"/>
    <w:rsid w:val="00B21D34"/>
    <w:rsid w:val="00B2243B"/>
    <w:rsid w:val="00B225AE"/>
    <w:rsid w:val="00B229B5"/>
    <w:rsid w:val="00B22A9D"/>
    <w:rsid w:val="00B22DE7"/>
    <w:rsid w:val="00B2305E"/>
    <w:rsid w:val="00B235B0"/>
    <w:rsid w:val="00B23632"/>
    <w:rsid w:val="00B23646"/>
    <w:rsid w:val="00B240E3"/>
    <w:rsid w:val="00B24192"/>
    <w:rsid w:val="00B242EF"/>
    <w:rsid w:val="00B246CF"/>
    <w:rsid w:val="00B249AA"/>
    <w:rsid w:val="00B24B48"/>
    <w:rsid w:val="00B24DF6"/>
    <w:rsid w:val="00B25302"/>
    <w:rsid w:val="00B25890"/>
    <w:rsid w:val="00B259B5"/>
    <w:rsid w:val="00B25B41"/>
    <w:rsid w:val="00B26299"/>
    <w:rsid w:val="00B264B9"/>
    <w:rsid w:val="00B26711"/>
    <w:rsid w:val="00B275F1"/>
    <w:rsid w:val="00B27933"/>
    <w:rsid w:val="00B27958"/>
    <w:rsid w:val="00B27A61"/>
    <w:rsid w:val="00B27AE5"/>
    <w:rsid w:val="00B27CB1"/>
    <w:rsid w:val="00B27E44"/>
    <w:rsid w:val="00B27E46"/>
    <w:rsid w:val="00B27E88"/>
    <w:rsid w:val="00B30234"/>
    <w:rsid w:val="00B30454"/>
    <w:rsid w:val="00B3047A"/>
    <w:rsid w:val="00B30950"/>
    <w:rsid w:val="00B31416"/>
    <w:rsid w:val="00B31DF9"/>
    <w:rsid w:val="00B32CE0"/>
    <w:rsid w:val="00B3363A"/>
    <w:rsid w:val="00B33697"/>
    <w:rsid w:val="00B345C7"/>
    <w:rsid w:val="00B34B92"/>
    <w:rsid w:val="00B34EE0"/>
    <w:rsid w:val="00B34FE2"/>
    <w:rsid w:val="00B35166"/>
    <w:rsid w:val="00B355AC"/>
    <w:rsid w:val="00B357D8"/>
    <w:rsid w:val="00B35BC0"/>
    <w:rsid w:val="00B35DE0"/>
    <w:rsid w:val="00B35E4C"/>
    <w:rsid w:val="00B35ECD"/>
    <w:rsid w:val="00B3607B"/>
    <w:rsid w:val="00B360F4"/>
    <w:rsid w:val="00B36674"/>
    <w:rsid w:val="00B36A00"/>
    <w:rsid w:val="00B3710C"/>
    <w:rsid w:val="00B3729C"/>
    <w:rsid w:val="00B37498"/>
    <w:rsid w:val="00B377C9"/>
    <w:rsid w:val="00B3792B"/>
    <w:rsid w:val="00B37BFC"/>
    <w:rsid w:val="00B37D0E"/>
    <w:rsid w:val="00B400FD"/>
    <w:rsid w:val="00B40358"/>
    <w:rsid w:val="00B403FF"/>
    <w:rsid w:val="00B4048E"/>
    <w:rsid w:val="00B40688"/>
    <w:rsid w:val="00B407D6"/>
    <w:rsid w:val="00B40843"/>
    <w:rsid w:val="00B40EED"/>
    <w:rsid w:val="00B40FB5"/>
    <w:rsid w:val="00B4126B"/>
    <w:rsid w:val="00B415A6"/>
    <w:rsid w:val="00B41614"/>
    <w:rsid w:val="00B417BB"/>
    <w:rsid w:val="00B418D4"/>
    <w:rsid w:val="00B41C89"/>
    <w:rsid w:val="00B41CBF"/>
    <w:rsid w:val="00B42851"/>
    <w:rsid w:val="00B42A5A"/>
    <w:rsid w:val="00B42E0A"/>
    <w:rsid w:val="00B42F80"/>
    <w:rsid w:val="00B435CB"/>
    <w:rsid w:val="00B43681"/>
    <w:rsid w:val="00B43981"/>
    <w:rsid w:val="00B43C6B"/>
    <w:rsid w:val="00B441CB"/>
    <w:rsid w:val="00B442B4"/>
    <w:rsid w:val="00B44516"/>
    <w:rsid w:val="00B449A3"/>
    <w:rsid w:val="00B449E6"/>
    <w:rsid w:val="00B44CCE"/>
    <w:rsid w:val="00B4550A"/>
    <w:rsid w:val="00B45D85"/>
    <w:rsid w:val="00B45EA0"/>
    <w:rsid w:val="00B45EA9"/>
    <w:rsid w:val="00B4606F"/>
    <w:rsid w:val="00B46263"/>
    <w:rsid w:val="00B4646B"/>
    <w:rsid w:val="00B465EC"/>
    <w:rsid w:val="00B4680C"/>
    <w:rsid w:val="00B46A32"/>
    <w:rsid w:val="00B46DC2"/>
    <w:rsid w:val="00B470C5"/>
    <w:rsid w:val="00B470EB"/>
    <w:rsid w:val="00B470F7"/>
    <w:rsid w:val="00B475EE"/>
    <w:rsid w:val="00B4790A"/>
    <w:rsid w:val="00B4793A"/>
    <w:rsid w:val="00B479DD"/>
    <w:rsid w:val="00B505C8"/>
    <w:rsid w:val="00B5066A"/>
    <w:rsid w:val="00B50C9F"/>
    <w:rsid w:val="00B50DB8"/>
    <w:rsid w:val="00B50EA0"/>
    <w:rsid w:val="00B516B5"/>
    <w:rsid w:val="00B51A11"/>
    <w:rsid w:val="00B51ADD"/>
    <w:rsid w:val="00B51BB0"/>
    <w:rsid w:val="00B529CE"/>
    <w:rsid w:val="00B52A05"/>
    <w:rsid w:val="00B52A1D"/>
    <w:rsid w:val="00B52CBF"/>
    <w:rsid w:val="00B5360B"/>
    <w:rsid w:val="00B53654"/>
    <w:rsid w:val="00B53905"/>
    <w:rsid w:val="00B53F88"/>
    <w:rsid w:val="00B53FDB"/>
    <w:rsid w:val="00B546DB"/>
    <w:rsid w:val="00B54B5B"/>
    <w:rsid w:val="00B5562E"/>
    <w:rsid w:val="00B55862"/>
    <w:rsid w:val="00B558EF"/>
    <w:rsid w:val="00B55D22"/>
    <w:rsid w:val="00B55D33"/>
    <w:rsid w:val="00B55D65"/>
    <w:rsid w:val="00B5614B"/>
    <w:rsid w:val="00B56305"/>
    <w:rsid w:val="00B56769"/>
    <w:rsid w:val="00B57000"/>
    <w:rsid w:val="00B57038"/>
    <w:rsid w:val="00B572E2"/>
    <w:rsid w:val="00B5739D"/>
    <w:rsid w:val="00B5763F"/>
    <w:rsid w:val="00B57C69"/>
    <w:rsid w:val="00B57F50"/>
    <w:rsid w:val="00B57F68"/>
    <w:rsid w:val="00B600EE"/>
    <w:rsid w:val="00B602D2"/>
    <w:rsid w:val="00B60939"/>
    <w:rsid w:val="00B60AFD"/>
    <w:rsid w:val="00B60F1C"/>
    <w:rsid w:val="00B613B0"/>
    <w:rsid w:val="00B6163C"/>
    <w:rsid w:val="00B61A94"/>
    <w:rsid w:val="00B61C11"/>
    <w:rsid w:val="00B61F0E"/>
    <w:rsid w:val="00B6218A"/>
    <w:rsid w:val="00B62251"/>
    <w:rsid w:val="00B62715"/>
    <w:rsid w:val="00B62A3D"/>
    <w:rsid w:val="00B62ADE"/>
    <w:rsid w:val="00B62B38"/>
    <w:rsid w:val="00B63015"/>
    <w:rsid w:val="00B63AE9"/>
    <w:rsid w:val="00B6437A"/>
    <w:rsid w:val="00B64496"/>
    <w:rsid w:val="00B647FB"/>
    <w:rsid w:val="00B649D5"/>
    <w:rsid w:val="00B64D68"/>
    <w:rsid w:val="00B64F4D"/>
    <w:rsid w:val="00B651F9"/>
    <w:rsid w:val="00B65611"/>
    <w:rsid w:val="00B66410"/>
    <w:rsid w:val="00B666DE"/>
    <w:rsid w:val="00B666F2"/>
    <w:rsid w:val="00B66F63"/>
    <w:rsid w:val="00B67800"/>
    <w:rsid w:val="00B67F23"/>
    <w:rsid w:val="00B67FAC"/>
    <w:rsid w:val="00B7006E"/>
    <w:rsid w:val="00B70244"/>
    <w:rsid w:val="00B70406"/>
    <w:rsid w:val="00B70856"/>
    <w:rsid w:val="00B70E8E"/>
    <w:rsid w:val="00B71762"/>
    <w:rsid w:val="00B71FA4"/>
    <w:rsid w:val="00B72847"/>
    <w:rsid w:val="00B72A80"/>
    <w:rsid w:val="00B72E37"/>
    <w:rsid w:val="00B73BA2"/>
    <w:rsid w:val="00B73C16"/>
    <w:rsid w:val="00B73E25"/>
    <w:rsid w:val="00B73E37"/>
    <w:rsid w:val="00B74115"/>
    <w:rsid w:val="00B74135"/>
    <w:rsid w:val="00B741A0"/>
    <w:rsid w:val="00B74283"/>
    <w:rsid w:val="00B74ADC"/>
    <w:rsid w:val="00B74DD9"/>
    <w:rsid w:val="00B74E9B"/>
    <w:rsid w:val="00B75111"/>
    <w:rsid w:val="00B753CB"/>
    <w:rsid w:val="00B7542A"/>
    <w:rsid w:val="00B75472"/>
    <w:rsid w:val="00B755E8"/>
    <w:rsid w:val="00B75976"/>
    <w:rsid w:val="00B759B3"/>
    <w:rsid w:val="00B75ABC"/>
    <w:rsid w:val="00B75B48"/>
    <w:rsid w:val="00B75EE7"/>
    <w:rsid w:val="00B75F9A"/>
    <w:rsid w:val="00B764E7"/>
    <w:rsid w:val="00B76545"/>
    <w:rsid w:val="00B76C92"/>
    <w:rsid w:val="00B76D52"/>
    <w:rsid w:val="00B772B1"/>
    <w:rsid w:val="00B773DB"/>
    <w:rsid w:val="00B77590"/>
    <w:rsid w:val="00B77841"/>
    <w:rsid w:val="00B77B38"/>
    <w:rsid w:val="00B77EF8"/>
    <w:rsid w:val="00B80800"/>
    <w:rsid w:val="00B80847"/>
    <w:rsid w:val="00B808FE"/>
    <w:rsid w:val="00B80C8A"/>
    <w:rsid w:val="00B80EFD"/>
    <w:rsid w:val="00B81234"/>
    <w:rsid w:val="00B818A4"/>
    <w:rsid w:val="00B819BF"/>
    <w:rsid w:val="00B8257D"/>
    <w:rsid w:val="00B82E80"/>
    <w:rsid w:val="00B83300"/>
    <w:rsid w:val="00B83739"/>
    <w:rsid w:val="00B83BF7"/>
    <w:rsid w:val="00B83DF3"/>
    <w:rsid w:val="00B83E81"/>
    <w:rsid w:val="00B84117"/>
    <w:rsid w:val="00B845F0"/>
    <w:rsid w:val="00B8494F"/>
    <w:rsid w:val="00B84FFC"/>
    <w:rsid w:val="00B8502E"/>
    <w:rsid w:val="00B85710"/>
    <w:rsid w:val="00B858F0"/>
    <w:rsid w:val="00B85973"/>
    <w:rsid w:val="00B85AA2"/>
    <w:rsid w:val="00B86459"/>
    <w:rsid w:val="00B8649C"/>
    <w:rsid w:val="00B86927"/>
    <w:rsid w:val="00B8695D"/>
    <w:rsid w:val="00B86A56"/>
    <w:rsid w:val="00B87A60"/>
    <w:rsid w:val="00B87A7A"/>
    <w:rsid w:val="00B87BB6"/>
    <w:rsid w:val="00B87DD9"/>
    <w:rsid w:val="00B87F0A"/>
    <w:rsid w:val="00B90395"/>
    <w:rsid w:val="00B90AD0"/>
    <w:rsid w:val="00B90D7A"/>
    <w:rsid w:val="00B91127"/>
    <w:rsid w:val="00B91308"/>
    <w:rsid w:val="00B913D9"/>
    <w:rsid w:val="00B92812"/>
    <w:rsid w:val="00B929A1"/>
    <w:rsid w:val="00B92ABD"/>
    <w:rsid w:val="00B92D0B"/>
    <w:rsid w:val="00B930C6"/>
    <w:rsid w:val="00B930FB"/>
    <w:rsid w:val="00B93105"/>
    <w:rsid w:val="00B93368"/>
    <w:rsid w:val="00B935DC"/>
    <w:rsid w:val="00B93720"/>
    <w:rsid w:val="00B94070"/>
    <w:rsid w:val="00B9439E"/>
    <w:rsid w:val="00B94414"/>
    <w:rsid w:val="00B94689"/>
    <w:rsid w:val="00B94945"/>
    <w:rsid w:val="00B94BD5"/>
    <w:rsid w:val="00B94DD6"/>
    <w:rsid w:val="00B94EFE"/>
    <w:rsid w:val="00B95420"/>
    <w:rsid w:val="00B959CC"/>
    <w:rsid w:val="00B95BC6"/>
    <w:rsid w:val="00B960B4"/>
    <w:rsid w:val="00B9620E"/>
    <w:rsid w:val="00B964BA"/>
    <w:rsid w:val="00B96A9D"/>
    <w:rsid w:val="00B96BF8"/>
    <w:rsid w:val="00B972BC"/>
    <w:rsid w:val="00B97307"/>
    <w:rsid w:val="00B97403"/>
    <w:rsid w:val="00B97844"/>
    <w:rsid w:val="00B97C2F"/>
    <w:rsid w:val="00B97E5E"/>
    <w:rsid w:val="00BA07C0"/>
    <w:rsid w:val="00BA0E65"/>
    <w:rsid w:val="00BA0E8A"/>
    <w:rsid w:val="00BA0F6A"/>
    <w:rsid w:val="00BA1161"/>
    <w:rsid w:val="00BA16FE"/>
    <w:rsid w:val="00BA19D3"/>
    <w:rsid w:val="00BA1BCD"/>
    <w:rsid w:val="00BA1D22"/>
    <w:rsid w:val="00BA1D9A"/>
    <w:rsid w:val="00BA22AB"/>
    <w:rsid w:val="00BA2DBE"/>
    <w:rsid w:val="00BA322D"/>
    <w:rsid w:val="00BA3953"/>
    <w:rsid w:val="00BA3B25"/>
    <w:rsid w:val="00BA480F"/>
    <w:rsid w:val="00BA49C3"/>
    <w:rsid w:val="00BA49C9"/>
    <w:rsid w:val="00BA4FCC"/>
    <w:rsid w:val="00BA5624"/>
    <w:rsid w:val="00BA57A7"/>
    <w:rsid w:val="00BA5F44"/>
    <w:rsid w:val="00BA6212"/>
    <w:rsid w:val="00BA639D"/>
    <w:rsid w:val="00BA63FA"/>
    <w:rsid w:val="00BA6FDB"/>
    <w:rsid w:val="00BA7086"/>
    <w:rsid w:val="00BA7166"/>
    <w:rsid w:val="00BA75C9"/>
    <w:rsid w:val="00BA76F8"/>
    <w:rsid w:val="00BA7980"/>
    <w:rsid w:val="00BA7D08"/>
    <w:rsid w:val="00BA7DCA"/>
    <w:rsid w:val="00BA7DF5"/>
    <w:rsid w:val="00BB00B3"/>
    <w:rsid w:val="00BB05C7"/>
    <w:rsid w:val="00BB0870"/>
    <w:rsid w:val="00BB0BDD"/>
    <w:rsid w:val="00BB0E8D"/>
    <w:rsid w:val="00BB100F"/>
    <w:rsid w:val="00BB176C"/>
    <w:rsid w:val="00BB1CC7"/>
    <w:rsid w:val="00BB266D"/>
    <w:rsid w:val="00BB2A73"/>
    <w:rsid w:val="00BB2D2F"/>
    <w:rsid w:val="00BB2E3D"/>
    <w:rsid w:val="00BB38FD"/>
    <w:rsid w:val="00BB3A45"/>
    <w:rsid w:val="00BB4334"/>
    <w:rsid w:val="00BB49EA"/>
    <w:rsid w:val="00BB4ACC"/>
    <w:rsid w:val="00BB4E21"/>
    <w:rsid w:val="00BB530F"/>
    <w:rsid w:val="00BB53ED"/>
    <w:rsid w:val="00BB55DF"/>
    <w:rsid w:val="00BB5861"/>
    <w:rsid w:val="00BB5C4E"/>
    <w:rsid w:val="00BB5CF4"/>
    <w:rsid w:val="00BB6635"/>
    <w:rsid w:val="00BB6BBD"/>
    <w:rsid w:val="00BB6ED6"/>
    <w:rsid w:val="00BB703E"/>
    <w:rsid w:val="00BB732D"/>
    <w:rsid w:val="00BB7405"/>
    <w:rsid w:val="00BB7424"/>
    <w:rsid w:val="00BB7BB6"/>
    <w:rsid w:val="00BB7D51"/>
    <w:rsid w:val="00BB7F59"/>
    <w:rsid w:val="00BC0029"/>
    <w:rsid w:val="00BC0175"/>
    <w:rsid w:val="00BC05E5"/>
    <w:rsid w:val="00BC07E5"/>
    <w:rsid w:val="00BC0A38"/>
    <w:rsid w:val="00BC0FAF"/>
    <w:rsid w:val="00BC1143"/>
    <w:rsid w:val="00BC12BF"/>
    <w:rsid w:val="00BC1A92"/>
    <w:rsid w:val="00BC1C5E"/>
    <w:rsid w:val="00BC21BA"/>
    <w:rsid w:val="00BC29EE"/>
    <w:rsid w:val="00BC2ADD"/>
    <w:rsid w:val="00BC30BD"/>
    <w:rsid w:val="00BC3544"/>
    <w:rsid w:val="00BC3631"/>
    <w:rsid w:val="00BC3907"/>
    <w:rsid w:val="00BC4187"/>
    <w:rsid w:val="00BC4841"/>
    <w:rsid w:val="00BC49AF"/>
    <w:rsid w:val="00BC4D13"/>
    <w:rsid w:val="00BC4E11"/>
    <w:rsid w:val="00BC5089"/>
    <w:rsid w:val="00BC50F1"/>
    <w:rsid w:val="00BC531B"/>
    <w:rsid w:val="00BC564E"/>
    <w:rsid w:val="00BC57B0"/>
    <w:rsid w:val="00BC591F"/>
    <w:rsid w:val="00BC5951"/>
    <w:rsid w:val="00BC5D17"/>
    <w:rsid w:val="00BC610A"/>
    <w:rsid w:val="00BC6224"/>
    <w:rsid w:val="00BC698D"/>
    <w:rsid w:val="00BC6DDF"/>
    <w:rsid w:val="00BC6FAC"/>
    <w:rsid w:val="00BC718D"/>
    <w:rsid w:val="00BC7290"/>
    <w:rsid w:val="00BC73B1"/>
    <w:rsid w:val="00BC73D6"/>
    <w:rsid w:val="00BC7532"/>
    <w:rsid w:val="00BC7609"/>
    <w:rsid w:val="00BC7748"/>
    <w:rsid w:val="00BC79E3"/>
    <w:rsid w:val="00BC7D38"/>
    <w:rsid w:val="00BC7D44"/>
    <w:rsid w:val="00BC7D6D"/>
    <w:rsid w:val="00BD067C"/>
    <w:rsid w:val="00BD094B"/>
    <w:rsid w:val="00BD0DB2"/>
    <w:rsid w:val="00BD1616"/>
    <w:rsid w:val="00BD1775"/>
    <w:rsid w:val="00BD1EE7"/>
    <w:rsid w:val="00BD2108"/>
    <w:rsid w:val="00BD2120"/>
    <w:rsid w:val="00BD23A4"/>
    <w:rsid w:val="00BD362F"/>
    <w:rsid w:val="00BD3DCC"/>
    <w:rsid w:val="00BD3F08"/>
    <w:rsid w:val="00BD4025"/>
    <w:rsid w:val="00BD43D8"/>
    <w:rsid w:val="00BD58CE"/>
    <w:rsid w:val="00BD5DF0"/>
    <w:rsid w:val="00BD604F"/>
    <w:rsid w:val="00BD68A3"/>
    <w:rsid w:val="00BD6938"/>
    <w:rsid w:val="00BD696E"/>
    <w:rsid w:val="00BD6CF3"/>
    <w:rsid w:val="00BD7015"/>
    <w:rsid w:val="00BD7EF9"/>
    <w:rsid w:val="00BD7F72"/>
    <w:rsid w:val="00BE0B03"/>
    <w:rsid w:val="00BE0CAD"/>
    <w:rsid w:val="00BE0ECA"/>
    <w:rsid w:val="00BE141D"/>
    <w:rsid w:val="00BE165B"/>
    <w:rsid w:val="00BE16E2"/>
    <w:rsid w:val="00BE184A"/>
    <w:rsid w:val="00BE1AEC"/>
    <w:rsid w:val="00BE1B36"/>
    <w:rsid w:val="00BE1CA5"/>
    <w:rsid w:val="00BE2180"/>
    <w:rsid w:val="00BE21F2"/>
    <w:rsid w:val="00BE2847"/>
    <w:rsid w:val="00BE2A60"/>
    <w:rsid w:val="00BE2A84"/>
    <w:rsid w:val="00BE2CBD"/>
    <w:rsid w:val="00BE2F0E"/>
    <w:rsid w:val="00BE2F82"/>
    <w:rsid w:val="00BE3979"/>
    <w:rsid w:val="00BE3995"/>
    <w:rsid w:val="00BE3BEF"/>
    <w:rsid w:val="00BE3C4A"/>
    <w:rsid w:val="00BE3F33"/>
    <w:rsid w:val="00BE4169"/>
    <w:rsid w:val="00BE4275"/>
    <w:rsid w:val="00BE4332"/>
    <w:rsid w:val="00BE55E4"/>
    <w:rsid w:val="00BE57C1"/>
    <w:rsid w:val="00BE589E"/>
    <w:rsid w:val="00BE60D4"/>
    <w:rsid w:val="00BE65AD"/>
    <w:rsid w:val="00BE670B"/>
    <w:rsid w:val="00BE6770"/>
    <w:rsid w:val="00BE6949"/>
    <w:rsid w:val="00BE7155"/>
    <w:rsid w:val="00BE7188"/>
    <w:rsid w:val="00BE76B9"/>
    <w:rsid w:val="00BE7AD7"/>
    <w:rsid w:val="00BF05F8"/>
    <w:rsid w:val="00BF06AE"/>
    <w:rsid w:val="00BF076A"/>
    <w:rsid w:val="00BF09A4"/>
    <w:rsid w:val="00BF0E80"/>
    <w:rsid w:val="00BF0F95"/>
    <w:rsid w:val="00BF1ED6"/>
    <w:rsid w:val="00BF2081"/>
    <w:rsid w:val="00BF2433"/>
    <w:rsid w:val="00BF2525"/>
    <w:rsid w:val="00BF27A2"/>
    <w:rsid w:val="00BF2994"/>
    <w:rsid w:val="00BF2A58"/>
    <w:rsid w:val="00BF2E6E"/>
    <w:rsid w:val="00BF31D1"/>
    <w:rsid w:val="00BF332D"/>
    <w:rsid w:val="00BF3D97"/>
    <w:rsid w:val="00BF40B2"/>
    <w:rsid w:val="00BF48FE"/>
    <w:rsid w:val="00BF4C44"/>
    <w:rsid w:val="00BF4E78"/>
    <w:rsid w:val="00BF54FD"/>
    <w:rsid w:val="00BF59E2"/>
    <w:rsid w:val="00BF61C9"/>
    <w:rsid w:val="00BF65E2"/>
    <w:rsid w:val="00BF666C"/>
    <w:rsid w:val="00BF6A23"/>
    <w:rsid w:val="00BF6C94"/>
    <w:rsid w:val="00BF7310"/>
    <w:rsid w:val="00BF7707"/>
    <w:rsid w:val="00BF77CE"/>
    <w:rsid w:val="00BF7A24"/>
    <w:rsid w:val="00BF7F9A"/>
    <w:rsid w:val="00C00424"/>
    <w:rsid w:val="00C004D6"/>
    <w:rsid w:val="00C006BF"/>
    <w:rsid w:val="00C00729"/>
    <w:rsid w:val="00C00AD4"/>
    <w:rsid w:val="00C00BB0"/>
    <w:rsid w:val="00C00C05"/>
    <w:rsid w:val="00C00F9B"/>
    <w:rsid w:val="00C02C50"/>
    <w:rsid w:val="00C02DC1"/>
    <w:rsid w:val="00C02DC6"/>
    <w:rsid w:val="00C03251"/>
    <w:rsid w:val="00C03352"/>
    <w:rsid w:val="00C033EE"/>
    <w:rsid w:val="00C0369D"/>
    <w:rsid w:val="00C0379D"/>
    <w:rsid w:val="00C0392B"/>
    <w:rsid w:val="00C04239"/>
    <w:rsid w:val="00C0437C"/>
    <w:rsid w:val="00C0457A"/>
    <w:rsid w:val="00C0467F"/>
    <w:rsid w:val="00C046CD"/>
    <w:rsid w:val="00C04A84"/>
    <w:rsid w:val="00C04DBE"/>
    <w:rsid w:val="00C054AC"/>
    <w:rsid w:val="00C05788"/>
    <w:rsid w:val="00C058E1"/>
    <w:rsid w:val="00C0614B"/>
    <w:rsid w:val="00C0645A"/>
    <w:rsid w:val="00C065B0"/>
    <w:rsid w:val="00C0679A"/>
    <w:rsid w:val="00C068CB"/>
    <w:rsid w:val="00C06B85"/>
    <w:rsid w:val="00C06DED"/>
    <w:rsid w:val="00C07393"/>
    <w:rsid w:val="00C078F5"/>
    <w:rsid w:val="00C07903"/>
    <w:rsid w:val="00C105EA"/>
    <w:rsid w:val="00C10893"/>
    <w:rsid w:val="00C10DEE"/>
    <w:rsid w:val="00C11079"/>
    <w:rsid w:val="00C113E7"/>
    <w:rsid w:val="00C11489"/>
    <w:rsid w:val="00C1179F"/>
    <w:rsid w:val="00C11A0A"/>
    <w:rsid w:val="00C11EEB"/>
    <w:rsid w:val="00C12016"/>
    <w:rsid w:val="00C12392"/>
    <w:rsid w:val="00C1262C"/>
    <w:rsid w:val="00C127B0"/>
    <w:rsid w:val="00C127B9"/>
    <w:rsid w:val="00C128D8"/>
    <w:rsid w:val="00C128FA"/>
    <w:rsid w:val="00C12C14"/>
    <w:rsid w:val="00C12FFF"/>
    <w:rsid w:val="00C137B7"/>
    <w:rsid w:val="00C138F9"/>
    <w:rsid w:val="00C14960"/>
    <w:rsid w:val="00C14D03"/>
    <w:rsid w:val="00C15F04"/>
    <w:rsid w:val="00C15FC3"/>
    <w:rsid w:val="00C15FD3"/>
    <w:rsid w:val="00C16751"/>
    <w:rsid w:val="00C1698C"/>
    <w:rsid w:val="00C169DE"/>
    <w:rsid w:val="00C16F21"/>
    <w:rsid w:val="00C1780A"/>
    <w:rsid w:val="00C179B3"/>
    <w:rsid w:val="00C17E3F"/>
    <w:rsid w:val="00C17FBD"/>
    <w:rsid w:val="00C200AA"/>
    <w:rsid w:val="00C200FB"/>
    <w:rsid w:val="00C2060A"/>
    <w:rsid w:val="00C20921"/>
    <w:rsid w:val="00C209AF"/>
    <w:rsid w:val="00C20CF4"/>
    <w:rsid w:val="00C21865"/>
    <w:rsid w:val="00C21F23"/>
    <w:rsid w:val="00C22006"/>
    <w:rsid w:val="00C22070"/>
    <w:rsid w:val="00C228D9"/>
    <w:rsid w:val="00C22B2C"/>
    <w:rsid w:val="00C22BA6"/>
    <w:rsid w:val="00C22BC0"/>
    <w:rsid w:val="00C237ED"/>
    <w:rsid w:val="00C2396A"/>
    <w:rsid w:val="00C23A8F"/>
    <w:rsid w:val="00C24632"/>
    <w:rsid w:val="00C24A50"/>
    <w:rsid w:val="00C2503A"/>
    <w:rsid w:val="00C25418"/>
    <w:rsid w:val="00C258DF"/>
    <w:rsid w:val="00C258E9"/>
    <w:rsid w:val="00C25D9C"/>
    <w:rsid w:val="00C2655D"/>
    <w:rsid w:val="00C2665B"/>
    <w:rsid w:val="00C26B43"/>
    <w:rsid w:val="00C26FF8"/>
    <w:rsid w:val="00C27139"/>
    <w:rsid w:val="00C2721B"/>
    <w:rsid w:val="00C2731F"/>
    <w:rsid w:val="00C27456"/>
    <w:rsid w:val="00C2757C"/>
    <w:rsid w:val="00C2778B"/>
    <w:rsid w:val="00C277A5"/>
    <w:rsid w:val="00C27BBE"/>
    <w:rsid w:val="00C27D49"/>
    <w:rsid w:val="00C27D6D"/>
    <w:rsid w:val="00C30EE0"/>
    <w:rsid w:val="00C30FFC"/>
    <w:rsid w:val="00C31649"/>
    <w:rsid w:val="00C3232A"/>
    <w:rsid w:val="00C32853"/>
    <w:rsid w:val="00C32D50"/>
    <w:rsid w:val="00C32EB2"/>
    <w:rsid w:val="00C33750"/>
    <w:rsid w:val="00C33815"/>
    <w:rsid w:val="00C3386D"/>
    <w:rsid w:val="00C33A3D"/>
    <w:rsid w:val="00C33B12"/>
    <w:rsid w:val="00C33CB9"/>
    <w:rsid w:val="00C3434C"/>
    <w:rsid w:val="00C34A01"/>
    <w:rsid w:val="00C34B6C"/>
    <w:rsid w:val="00C34C8B"/>
    <w:rsid w:val="00C354F6"/>
    <w:rsid w:val="00C359B8"/>
    <w:rsid w:val="00C35F1E"/>
    <w:rsid w:val="00C361D1"/>
    <w:rsid w:val="00C37335"/>
    <w:rsid w:val="00C37385"/>
    <w:rsid w:val="00C37603"/>
    <w:rsid w:val="00C377DE"/>
    <w:rsid w:val="00C3785B"/>
    <w:rsid w:val="00C379DA"/>
    <w:rsid w:val="00C37F8D"/>
    <w:rsid w:val="00C402DA"/>
    <w:rsid w:val="00C40314"/>
    <w:rsid w:val="00C40385"/>
    <w:rsid w:val="00C4122D"/>
    <w:rsid w:val="00C4139D"/>
    <w:rsid w:val="00C4145D"/>
    <w:rsid w:val="00C41768"/>
    <w:rsid w:val="00C41997"/>
    <w:rsid w:val="00C41AB9"/>
    <w:rsid w:val="00C42037"/>
    <w:rsid w:val="00C42159"/>
    <w:rsid w:val="00C42824"/>
    <w:rsid w:val="00C42948"/>
    <w:rsid w:val="00C4297D"/>
    <w:rsid w:val="00C4298F"/>
    <w:rsid w:val="00C42B49"/>
    <w:rsid w:val="00C42BA2"/>
    <w:rsid w:val="00C42C9C"/>
    <w:rsid w:val="00C42ED7"/>
    <w:rsid w:val="00C42F9E"/>
    <w:rsid w:val="00C43BEB"/>
    <w:rsid w:val="00C44A06"/>
    <w:rsid w:val="00C45E34"/>
    <w:rsid w:val="00C46262"/>
    <w:rsid w:val="00C46351"/>
    <w:rsid w:val="00C46646"/>
    <w:rsid w:val="00C46796"/>
    <w:rsid w:val="00C46FB7"/>
    <w:rsid w:val="00C475AA"/>
    <w:rsid w:val="00C47BBD"/>
    <w:rsid w:val="00C50B1E"/>
    <w:rsid w:val="00C5173A"/>
    <w:rsid w:val="00C51AC3"/>
    <w:rsid w:val="00C51CE1"/>
    <w:rsid w:val="00C51CEA"/>
    <w:rsid w:val="00C51EE1"/>
    <w:rsid w:val="00C52085"/>
    <w:rsid w:val="00C522D5"/>
    <w:rsid w:val="00C527C7"/>
    <w:rsid w:val="00C52E8B"/>
    <w:rsid w:val="00C532AC"/>
    <w:rsid w:val="00C535A4"/>
    <w:rsid w:val="00C53A85"/>
    <w:rsid w:val="00C53C3D"/>
    <w:rsid w:val="00C53C98"/>
    <w:rsid w:val="00C5477C"/>
    <w:rsid w:val="00C54D48"/>
    <w:rsid w:val="00C54E5B"/>
    <w:rsid w:val="00C55743"/>
    <w:rsid w:val="00C564C9"/>
    <w:rsid w:val="00C568C8"/>
    <w:rsid w:val="00C568DF"/>
    <w:rsid w:val="00C56B92"/>
    <w:rsid w:val="00C56F65"/>
    <w:rsid w:val="00C56FCF"/>
    <w:rsid w:val="00C572F6"/>
    <w:rsid w:val="00C5753B"/>
    <w:rsid w:val="00C5759C"/>
    <w:rsid w:val="00C5778D"/>
    <w:rsid w:val="00C57B6C"/>
    <w:rsid w:val="00C57CCC"/>
    <w:rsid w:val="00C60455"/>
    <w:rsid w:val="00C60871"/>
    <w:rsid w:val="00C60FAB"/>
    <w:rsid w:val="00C6113A"/>
    <w:rsid w:val="00C61677"/>
    <w:rsid w:val="00C618F0"/>
    <w:rsid w:val="00C61A59"/>
    <w:rsid w:val="00C61B3A"/>
    <w:rsid w:val="00C61B3B"/>
    <w:rsid w:val="00C61E74"/>
    <w:rsid w:val="00C61F87"/>
    <w:rsid w:val="00C628A6"/>
    <w:rsid w:val="00C62915"/>
    <w:rsid w:val="00C62BA0"/>
    <w:rsid w:val="00C6305B"/>
    <w:rsid w:val="00C63838"/>
    <w:rsid w:val="00C63DD9"/>
    <w:rsid w:val="00C63E2C"/>
    <w:rsid w:val="00C64344"/>
    <w:rsid w:val="00C645D5"/>
    <w:rsid w:val="00C64AB6"/>
    <w:rsid w:val="00C650B7"/>
    <w:rsid w:val="00C65108"/>
    <w:rsid w:val="00C6534F"/>
    <w:rsid w:val="00C65576"/>
    <w:rsid w:val="00C656A0"/>
    <w:rsid w:val="00C65F98"/>
    <w:rsid w:val="00C65FC4"/>
    <w:rsid w:val="00C66165"/>
    <w:rsid w:val="00C6626C"/>
    <w:rsid w:val="00C66377"/>
    <w:rsid w:val="00C664E4"/>
    <w:rsid w:val="00C66828"/>
    <w:rsid w:val="00C671BC"/>
    <w:rsid w:val="00C67464"/>
    <w:rsid w:val="00C6761B"/>
    <w:rsid w:val="00C67769"/>
    <w:rsid w:val="00C67884"/>
    <w:rsid w:val="00C67B5F"/>
    <w:rsid w:val="00C67BE8"/>
    <w:rsid w:val="00C700D5"/>
    <w:rsid w:val="00C7060A"/>
    <w:rsid w:val="00C70762"/>
    <w:rsid w:val="00C70C6A"/>
    <w:rsid w:val="00C71480"/>
    <w:rsid w:val="00C7151A"/>
    <w:rsid w:val="00C717E3"/>
    <w:rsid w:val="00C71BFE"/>
    <w:rsid w:val="00C71E44"/>
    <w:rsid w:val="00C71F60"/>
    <w:rsid w:val="00C721E7"/>
    <w:rsid w:val="00C72241"/>
    <w:rsid w:val="00C72901"/>
    <w:rsid w:val="00C72A33"/>
    <w:rsid w:val="00C7366B"/>
    <w:rsid w:val="00C73691"/>
    <w:rsid w:val="00C74442"/>
    <w:rsid w:val="00C74578"/>
    <w:rsid w:val="00C750C8"/>
    <w:rsid w:val="00C75449"/>
    <w:rsid w:val="00C7560F"/>
    <w:rsid w:val="00C75678"/>
    <w:rsid w:val="00C75930"/>
    <w:rsid w:val="00C75ACA"/>
    <w:rsid w:val="00C75C30"/>
    <w:rsid w:val="00C75C80"/>
    <w:rsid w:val="00C760DA"/>
    <w:rsid w:val="00C76532"/>
    <w:rsid w:val="00C76A70"/>
    <w:rsid w:val="00C77279"/>
    <w:rsid w:val="00C7782C"/>
    <w:rsid w:val="00C778C1"/>
    <w:rsid w:val="00C77E86"/>
    <w:rsid w:val="00C8000C"/>
    <w:rsid w:val="00C800D3"/>
    <w:rsid w:val="00C80A0E"/>
    <w:rsid w:val="00C81513"/>
    <w:rsid w:val="00C81E04"/>
    <w:rsid w:val="00C81F29"/>
    <w:rsid w:val="00C81F35"/>
    <w:rsid w:val="00C8213F"/>
    <w:rsid w:val="00C8246B"/>
    <w:rsid w:val="00C82B32"/>
    <w:rsid w:val="00C82CDB"/>
    <w:rsid w:val="00C82DCA"/>
    <w:rsid w:val="00C8303F"/>
    <w:rsid w:val="00C83597"/>
    <w:rsid w:val="00C83712"/>
    <w:rsid w:val="00C8399C"/>
    <w:rsid w:val="00C83B87"/>
    <w:rsid w:val="00C83FD2"/>
    <w:rsid w:val="00C83FF2"/>
    <w:rsid w:val="00C848DC"/>
    <w:rsid w:val="00C849EC"/>
    <w:rsid w:val="00C84A5C"/>
    <w:rsid w:val="00C84D88"/>
    <w:rsid w:val="00C84E51"/>
    <w:rsid w:val="00C84FDA"/>
    <w:rsid w:val="00C85154"/>
    <w:rsid w:val="00C85372"/>
    <w:rsid w:val="00C85494"/>
    <w:rsid w:val="00C85648"/>
    <w:rsid w:val="00C8593D"/>
    <w:rsid w:val="00C85A70"/>
    <w:rsid w:val="00C860F0"/>
    <w:rsid w:val="00C864D6"/>
    <w:rsid w:val="00C86823"/>
    <w:rsid w:val="00C86F6E"/>
    <w:rsid w:val="00C87233"/>
    <w:rsid w:val="00C87333"/>
    <w:rsid w:val="00C8791B"/>
    <w:rsid w:val="00C8797A"/>
    <w:rsid w:val="00C90019"/>
    <w:rsid w:val="00C900B8"/>
    <w:rsid w:val="00C90197"/>
    <w:rsid w:val="00C901A1"/>
    <w:rsid w:val="00C90C71"/>
    <w:rsid w:val="00C90C96"/>
    <w:rsid w:val="00C91004"/>
    <w:rsid w:val="00C91117"/>
    <w:rsid w:val="00C91176"/>
    <w:rsid w:val="00C911EE"/>
    <w:rsid w:val="00C91FD1"/>
    <w:rsid w:val="00C925D3"/>
    <w:rsid w:val="00C92A6D"/>
    <w:rsid w:val="00C92B42"/>
    <w:rsid w:val="00C92D74"/>
    <w:rsid w:val="00C93189"/>
    <w:rsid w:val="00C931CF"/>
    <w:rsid w:val="00C93442"/>
    <w:rsid w:val="00C934F0"/>
    <w:rsid w:val="00C937E2"/>
    <w:rsid w:val="00C938CF"/>
    <w:rsid w:val="00C939EF"/>
    <w:rsid w:val="00C93B60"/>
    <w:rsid w:val="00C94053"/>
    <w:rsid w:val="00C94107"/>
    <w:rsid w:val="00C942E2"/>
    <w:rsid w:val="00C94CFC"/>
    <w:rsid w:val="00C95498"/>
    <w:rsid w:val="00C957F3"/>
    <w:rsid w:val="00C95F9E"/>
    <w:rsid w:val="00C960B8"/>
    <w:rsid w:val="00C9624D"/>
    <w:rsid w:val="00C96461"/>
    <w:rsid w:val="00C96929"/>
    <w:rsid w:val="00C969DA"/>
    <w:rsid w:val="00C96A34"/>
    <w:rsid w:val="00C96A74"/>
    <w:rsid w:val="00C96C49"/>
    <w:rsid w:val="00C971CD"/>
    <w:rsid w:val="00C975AB"/>
    <w:rsid w:val="00C97939"/>
    <w:rsid w:val="00CA01B2"/>
    <w:rsid w:val="00CA01F8"/>
    <w:rsid w:val="00CA0268"/>
    <w:rsid w:val="00CA119F"/>
    <w:rsid w:val="00CA1E84"/>
    <w:rsid w:val="00CA228A"/>
    <w:rsid w:val="00CA23BC"/>
    <w:rsid w:val="00CA29FA"/>
    <w:rsid w:val="00CA2A45"/>
    <w:rsid w:val="00CA2B2E"/>
    <w:rsid w:val="00CA2C77"/>
    <w:rsid w:val="00CA2F65"/>
    <w:rsid w:val="00CA306A"/>
    <w:rsid w:val="00CA31BA"/>
    <w:rsid w:val="00CA38BF"/>
    <w:rsid w:val="00CA3AE4"/>
    <w:rsid w:val="00CA4347"/>
    <w:rsid w:val="00CA444F"/>
    <w:rsid w:val="00CA5121"/>
    <w:rsid w:val="00CA5245"/>
    <w:rsid w:val="00CA54D9"/>
    <w:rsid w:val="00CA62B0"/>
    <w:rsid w:val="00CA63E7"/>
    <w:rsid w:val="00CA66DA"/>
    <w:rsid w:val="00CA66E6"/>
    <w:rsid w:val="00CA6750"/>
    <w:rsid w:val="00CA6A19"/>
    <w:rsid w:val="00CA6A3F"/>
    <w:rsid w:val="00CA6E87"/>
    <w:rsid w:val="00CA6E8D"/>
    <w:rsid w:val="00CA7105"/>
    <w:rsid w:val="00CA71F4"/>
    <w:rsid w:val="00CA72D5"/>
    <w:rsid w:val="00CA7B09"/>
    <w:rsid w:val="00CB0732"/>
    <w:rsid w:val="00CB0B7A"/>
    <w:rsid w:val="00CB12A5"/>
    <w:rsid w:val="00CB1424"/>
    <w:rsid w:val="00CB150F"/>
    <w:rsid w:val="00CB1697"/>
    <w:rsid w:val="00CB17F4"/>
    <w:rsid w:val="00CB1CAC"/>
    <w:rsid w:val="00CB1CC1"/>
    <w:rsid w:val="00CB29DA"/>
    <w:rsid w:val="00CB2A48"/>
    <w:rsid w:val="00CB2DA2"/>
    <w:rsid w:val="00CB2F2A"/>
    <w:rsid w:val="00CB3103"/>
    <w:rsid w:val="00CB3E11"/>
    <w:rsid w:val="00CB40A8"/>
    <w:rsid w:val="00CB426A"/>
    <w:rsid w:val="00CB454D"/>
    <w:rsid w:val="00CB4D5A"/>
    <w:rsid w:val="00CB50B3"/>
    <w:rsid w:val="00CB5472"/>
    <w:rsid w:val="00CB56F1"/>
    <w:rsid w:val="00CB58D1"/>
    <w:rsid w:val="00CB5B1A"/>
    <w:rsid w:val="00CB5DCB"/>
    <w:rsid w:val="00CB69CF"/>
    <w:rsid w:val="00CB6B22"/>
    <w:rsid w:val="00CB6C26"/>
    <w:rsid w:val="00CB7037"/>
    <w:rsid w:val="00CB733F"/>
    <w:rsid w:val="00CB7589"/>
    <w:rsid w:val="00CB7BEB"/>
    <w:rsid w:val="00CB7C58"/>
    <w:rsid w:val="00CB7C68"/>
    <w:rsid w:val="00CB7D22"/>
    <w:rsid w:val="00CB7D57"/>
    <w:rsid w:val="00CB7F5F"/>
    <w:rsid w:val="00CC0106"/>
    <w:rsid w:val="00CC01BC"/>
    <w:rsid w:val="00CC03C0"/>
    <w:rsid w:val="00CC062A"/>
    <w:rsid w:val="00CC1398"/>
    <w:rsid w:val="00CC1580"/>
    <w:rsid w:val="00CC1B2C"/>
    <w:rsid w:val="00CC1B39"/>
    <w:rsid w:val="00CC1B3A"/>
    <w:rsid w:val="00CC1BFA"/>
    <w:rsid w:val="00CC1D6C"/>
    <w:rsid w:val="00CC2521"/>
    <w:rsid w:val="00CC25D8"/>
    <w:rsid w:val="00CC26AB"/>
    <w:rsid w:val="00CC2E9F"/>
    <w:rsid w:val="00CC3340"/>
    <w:rsid w:val="00CC35EA"/>
    <w:rsid w:val="00CC3626"/>
    <w:rsid w:val="00CC3848"/>
    <w:rsid w:val="00CC3ABB"/>
    <w:rsid w:val="00CC3FCE"/>
    <w:rsid w:val="00CC4032"/>
    <w:rsid w:val="00CC43A5"/>
    <w:rsid w:val="00CC45D9"/>
    <w:rsid w:val="00CC5327"/>
    <w:rsid w:val="00CC5743"/>
    <w:rsid w:val="00CC5CA8"/>
    <w:rsid w:val="00CC5CBA"/>
    <w:rsid w:val="00CC5F2B"/>
    <w:rsid w:val="00CC5F5E"/>
    <w:rsid w:val="00CC5FF7"/>
    <w:rsid w:val="00CC6243"/>
    <w:rsid w:val="00CC665F"/>
    <w:rsid w:val="00CC66F4"/>
    <w:rsid w:val="00CC6D5E"/>
    <w:rsid w:val="00CC6F12"/>
    <w:rsid w:val="00CC7059"/>
    <w:rsid w:val="00CD0200"/>
    <w:rsid w:val="00CD044F"/>
    <w:rsid w:val="00CD0816"/>
    <w:rsid w:val="00CD0C5D"/>
    <w:rsid w:val="00CD1597"/>
    <w:rsid w:val="00CD17F7"/>
    <w:rsid w:val="00CD1E57"/>
    <w:rsid w:val="00CD22C0"/>
    <w:rsid w:val="00CD233E"/>
    <w:rsid w:val="00CD2516"/>
    <w:rsid w:val="00CD25EC"/>
    <w:rsid w:val="00CD2DC0"/>
    <w:rsid w:val="00CD326B"/>
    <w:rsid w:val="00CD35F2"/>
    <w:rsid w:val="00CD3758"/>
    <w:rsid w:val="00CD3A1D"/>
    <w:rsid w:val="00CD3F77"/>
    <w:rsid w:val="00CD420E"/>
    <w:rsid w:val="00CD4304"/>
    <w:rsid w:val="00CD454F"/>
    <w:rsid w:val="00CD459E"/>
    <w:rsid w:val="00CD46E5"/>
    <w:rsid w:val="00CD4CA5"/>
    <w:rsid w:val="00CD4FC2"/>
    <w:rsid w:val="00CD4FED"/>
    <w:rsid w:val="00CD5941"/>
    <w:rsid w:val="00CD5985"/>
    <w:rsid w:val="00CD62B6"/>
    <w:rsid w:val="00CD6367"/>
    <w:rsid w:val="00CD6455"/>
    <w:rsid w:val="00CD6561"/>
    <w:rsid w:val="00CD6585"/>
    <w:rsid w:val="00CD67B7"/>
    <w:rsid w:val="00CD68D3"/>
    <w:rsid w:val="00CD6ADC"/>
    <w:rsid w:val="00CD6F44"/>
    <w:rsid w:val="00CD7064"/>
    <w:rsid w:val="00CD7193"/>
    <w:rsid w:val="00CD741C"/>
    <w:rsid w:val="00CD7B73"/>
    <w:rsid w:val="00CE0049"/>
    <w:rsid w:val="00CE0389"/>
    <w:rsid w:val="00CE0642"/>
    <w:rsid w:val="00CE0BDA"/>
    <w:rsid w:val="00CE10E6"/>
    <w:rsid w:val="00CE12AA"/>
    <w:rsid w:val="00CE1CE7"/>
    <w:rsid w:val="00CE268F"/>
    <w:rsid w:val="00CE2BC1"/>
    <w:rsid w:val="00CE2F58"/>
    <w:rsid w:val="00CE339E"/>
    <w:rsid w:val="00CE35B7"/>
    <w:rsid w:val="00CE35BD"/>
    <w:rsid w:val="00CE38C8"/>
    <w:rsid w:val="00CE3BC8"/>
    <w:rsid w:val="00CE41D4"/>
    <w:rsid w:val="00CE4431"/>
    <w:rsid w:val="00CE47DA"/>
    <w:rsid w:val="00CE4828"/>
    <w:rsid w:val="00CE4C24"/>
    <w:rsid w:val="00CE51A4"/>
    <w:rsid w:val="00CE524F"/>
    <w:rsid w:val="00CE55A5"/>
    <w:rsid w:val="00CE57CE"/>
    <w:rsid w:val="00CE58CC"/>
    <w:rsid w:val="00CE5909"/>
    <w:rsid w:val="00CE5920"/>
    <w:rsid w:val="00CE60FE"/>
    <w:rsid w:val="00CE6274"/>
    <w:rsid w:val="00CE6659"/>
    <w:rsid w:val="00CE667A"/>
    <w:rsid w:val="00CE698E"/>
    <w:rsid w:val="00CE6A26"/>
    <w:rsid w:val="00CE6CAF"/>
    <w:rsid w:val="00CE6CEC"/>
    <w:rsid w:val="00CE6D78"/>
    <w:rsid w:val="00CE71FF"/>
    <w:rsid w:val="00CE77B6"/>
    <w:rsid w:val="00CF00A9"/>
    <w:rsid w:val="00CF0121"/>
    <w:rsid w:val="00CF02EC"/>
    <w:rsid w:val="00CF0376"/>
    <w:rsid w:val="00CF03AD"/>
    <w:rsid w:val="00CF06E7"/>
    <w:rsid w:val="00CF0AFD"/>
    <w:rsid w:val="00CF0DDF"/>
    <w:rsid w:val="00CF137D"/>
    <w:rsid w:val="00CF1447"/>
    <w:rsid w:val="00CF1662"/>
    <w:rsid w:val="00CF1B89"/>
    <w:rsid w:val="00CF1F9F"/>
    <w:rsid w:val="00CF1FCB"/>
    <w:rsid w:val="00CF2505"/>
    <w:rsid w:val="00CF2578"/>
    <w:rsid w:val="00CF293F"/>
    <w:rsid w:val="00CF2B8D"/>
    <w:rsid w:val="00CF2FEE"/>
    <w:rsid w:val="00CF321F"/>
    <w:rsid w:val="00CF34E0"/>
    <w:rsid w:val="00CF353C"/>
    <w:rsid w:val="00CF3A1B"/>
    <w:rsid w:val="00CF41C0"/>
    <w:rsid w:val="00CF41EE"/>
    <w:rsid w:val="00CF4564"/>
    <w:rsid w:val="00CF456B"/>
    <w:rsid w:val="00CF4A9E"/>
    <w:rsid w:val="00CF4E43"/>
    <w:rsid w:val="00CF5A22"/>
    <w:rsid w:val="00CF5B43"/>
    <w:rsid w:val="00CF5C62"/>
    <w:rsid w:val="00CF647B"/>
    <w:rsid w:val="00CF680A"/>
    <w:rsid w:val="00CF696B"/>
    <w:rsid w:val="00CF6C85"/>
    <w:rsid w:val="00CF6C98"/>
    <w:rsid w:val="00CF6D07"/>
    <w:rsid w:val="00CF6E5F"/>
    <w:rsid w:val="00CF6E77"/>
    <w:rsid w:val="00CF6FD7"/>
    <w:rsid w:val="00CF726D"/>
    <w:rsid w:val="00CF737A"/>
    <w:rsid w:val="00CF73E7"/>
    <w:rsid w:val="00CF75AB"/>
    <w:rsid w:val="00CF779F"/>
    <w:rsid w:val="00CF7D3C"/>
    <w:rsid w:val="00CF7EE5"/>
    <w:rsid w:val="00D008FD"/>
    <w:rsid w:val="00D00CE2"/>
    <w:rsid w:val="00D01B7D"/>
    <w:rsid w:val="00D01D7F"/>
    <w:rsid w:val="00D01E9A"/>
    <w:rsid w:val="00D0262E"/>
    <w:rsid w:val="00D02887"/>
    <w:rsid w:val="00D02BB5"/>
    <w:rsid w:val="00D030C8"/>
    <w:rsid w:val="00D031C5"/>
    <w:rsid w:val="00D035B5"/>
    <w:rsid w:val="00D03665"/>
    <w:rsid w:val="00D03679"/>
    <w:rsid w:val="00D03A78"/>
    <w:rsid w:val="00D04589"/>
    <w:rsid w:val="00D048DB"/>
    <w:rsid w:val="00D04C2C"/>
    <w:rsid w:val="00D04CF4"/>
    <w:rsid w:val="00D05916"/>
    <w:rsid w:val="00D05E3D"/>
    <w:rsid w:val="00D0605A"/>
    <w:rsid w:val="00D06139"/>
    <w:rsid w:val="00D0616F"/>
    <w:rsid w:val="00D0641D"/>
    <w:rsid w:val="00D0665E"/>
    <w:rsid w:val="00D06790"/>
    <w:rsid w:val="00D07400"/>
    <w:rsid w:val="00D0795C"/>
    <w:rsid w:val="00D07D4E"/>
    <w:rsid w:val="00D1025B"/>
    <w:rsid w:val="00D104B3"/>
    <w:rsid w:val="00D10831"/>
    <w:rsid w:val="00D10A90"/>
    <w:rsid w:val="00D10DC5"/>
    <w:rsid w:val="00D10EEA"/>
    <w:rsid w:val="00D110BD"/>
    <w:rsid w:val="00D1141F"/>
    <w:rsid w:val="00D115DB"/>
    <w:rsid w:val="00D116B1"/>
    <w:rsid w:val="00D124A9"/>
    <w:rsid w:val="00D12B82"/>
    <w:rsid w:val="00D1347B"/>
    <w:rsid w:val="00D135C9"/>
    <w:rsid w:val="00D13675"/>
    <w:rsid w:val="00D1371D"/>
    <w:rsid w:val="00D13D84"/>
    <w:rsid w:val="00D141E1"/>
    <w:rsid w:val="00D15044"/>
    <w:rsid w:val="00D15314"/>
    <w:rsid w:val="00D155AE"/>
    <w:rsid w:val="00D15621"/>
    <w:rsid w:val="00D15A0E"/>
    <w:rsid w:val="00D15B48"/>
    <w:rsid w:val="00D15CE1"/>
    <w:rsid w:val="00D15FC4"/>
    <w:rsid w:val="00D1611C"/>
    <w:rsid w:val="00D163DE"/>
    <w:rsid w:val="00D16C42"/>
    <w:rsid w:val="00D16DF6"/>
    <w:rsid w:val="00D16EF0"/>
    <w:rsid w:val="00D16F58"/>
    <w:rsid w:val="00D1706A"/>
    <w:rsid w:val="00D17813"/>
    <w:rsid w:val="00D17861"/>
    <w:rsid w:val="00D17AF0"/>
    <w:rsid w:val="00D17CF1"/>
    <w:rsid w:val="00D17D22"/>
    <w:rsid w:val="00D17D6C"/>
    <w:rsid w:val="00D209D0"/>
    <w:rsid w:val="00D20E56"/>
    <w:rsid w:val="00D21188"/>
    <w:rsid w:val="00D21208"/>
    <w:rsid w:val="00D2155B"/>
    <w:rsid w:val="00D2156A"/>
    <w:rsid w:val="00D217A0"/>
    <w:rsid w:val="00D21A6B"/>
    <w:rsid w:val="00D21C8D"/>
    <w:rsid w:val="00D21D4B"/>
    <w:rsid w:val="00D21DB1"/>
    <w:rsid w:val="00D221BD"/>
    <w:rsid w:val="00D22648"/>
    <w:rsid w:val="00D227CD"/>
    <w:rsid w:val="00D22B91"/>
    <w:rsid w:val="00D23122"/>
    <w:rsid w:val="00D23336"/>
    <w:rsid w:val="00D2356D"/>
    <w:rsid w:val="00D23859"/>
    <w:rsid w:val="00D239BD"/>
    <w:rsid w:val="00D23D11"/>
    <w:rsid w:val="00D240B2"/>
    <w:rsid w:val="00D244B6"/>
    <w:rsid w:val="00D245FE"/>
    <w:rsid w:val="00D247E1"/>
    <w:rsid w:val="00D24B8C"/>
    <w:rsid w:val="00D2509D"/>
    <w:rsid w:val="00D255A9"/>
    <w:rsid w:val="00D25D18"/>
    <w:rsid w:val="00D25F7A"/>
    <w:rsid w:val="00D26384"/>
    <w:rsid w:val="00D266F9"/>
    <w:rsid w:val="00D26A95"/>
    <w:rsid w:val="00D2754D"/>
    <w:rsid w:val="00D2757D"/>
    <w:rsid w:val="00D277E4"/>
    <w:rsid w:val="00D27B27"/>
    <w:rsid w:val="00D27C9A"/>
    <w:rsid w:val="00D301FF"/>
    <w:rsid w:val="00D30890"/>
    <w:rsid w:val="00D30D5B"/>
    <w:rsid w:val="00D30EDD"/>
    <w:rsid w:val="00D30F02"/>
    <w:rsid w:val="00D31A95"/>
    <w:rsid w:val="00D31BDF"/>
    <w:rsid w:val="00D31C24"/>
    <w:rsid w:val="00D31F31"/>
    <w:rsid w:val="00D32EC3"/>
    <w:rsid w:val="00D330AC"/>
    <w:rsid w:val="00D333C4"/>
    <w:rsid w:val="00D335A2"/>
    <w:rsid w:val="00D33953"/>
    <w:rsid w:val="00D33BE9"/>
    <w:rsid w:val="00D33F93"/>
    <w:rsid w:val="00D34B84"/>
    <w:rsid w:val="00D34C25"/>
    <w:rsid w:val="00D357FF"/>
    <w:rsid w:val="00D35F7F"/>
    <w:rsid w:val="00D3608E"/>
    <w:rsid w:val="00D36310"/>
    <w:rsid w:val="00D3661B"/>
    <w:rsid w:val="00D3676F"/>
    <w:rsid w:val="00D36B63"/>
    <w:rsid w:val="00D36D4D"/>
    <w:rsid w:val="00D3711C"/>
    <w:rsid w:val="00D373C9"/>
    <w:rsid w:val="00D3764A"/>
    <w:rsid w:val="00D376AA"/>
    <w:rsid w:val="00D37778"/>
    <w:rsid w:val="00D377D6"/>
    <w:rsid w:val="00D37896"/>
    <w:rsid w:val="00D37F14"/>
    <w:rsid w:val="00D404BC"/>
    <w:rsid w:val="00D410CC"/>
    <w:rsid w:val="00D411CF"/>
    <w:rsid w:val="00D41453"/>
    <w:rsid w:val="00D4147B"/>
    <w:rsid w:val="00D41971"/>
    <w:rsid w:val="00D41F1B"/>
    <w:rsid w:val="00D423AB"/>
    <w:rsid w:val="00D424C7"/>
    <w:rsid w:val="00D4284F"/>
    <w:rsid w:val="00D42A2B"/>
    <w:rsid w:val="00D42D51"/>
    <w:rsid w:val="00D432AE"/>
    <w:rsid w:val="00D433BF"/>
    <w:rsid w:val="00D433D3"/>
    <w:rsid w:val="00D43714"/>
    <w:rsid w:val="00D437AB"/>
    <w:rsid w:val="00D43B2A"/>
    <w:rsid w:val="00D43CF1"/>
    <w:rsid w:val="00D43D83"/>
    <w:rsid w:val="00D43E32"/>
    <w:rsid w:val="00D43F5F"/>
    <w:rsid w:val="00D44343"/>
    <w:rsid w:val="00D4448C"/>
    <w:rsid w:val="00D4450F"/>
    <w:rsid w:val="00D453F0"/>
    <w:rsid w:val="00D45C81"/>
    <w:rsid w:val="00D46358"/>
    <w:rsid w:val="00D46555"/>
    <w:rsid w:val="00D4675D"/>
    <w:rsid w:val="00D46C5D"/>
    <w:rsid w:val="00D472DE"/>
    <w:rsid w:val="00D472F5"/>
    <w:rsid w:val="00D47575"/>
    <w:rsid w:val="00D478B2"/>
    <w:rsid w:val="00D47B27"/>
    <w:rsid w:val="00D47D37"/>
    <w:rsid w:val="00D47DBA"/>
    <w:rsid w:val="00D47E2B"/>
    <w:rsid w:val="00D506A4"/>
    <w:rsid w:val="00D50BA5"/>
    <w:rsid w:val="00D50C33"/>
    <w:rsid w:val="00D51746"/>
    <w:rsid w:val="00D51808"/>
    <w:rsid w:val="00D51B36"/>
    <w:rsid w:val="00D5205B"/>
    <w:rsid w:val="00D5243B"/>
    <w:rsid w:val="00D526D1"/>
    <w:rsid w:val="00D52998"/>
    <w:rsid w:val="00D52F17"/>
    <w:rsid w:val="00D533EC"/>
    <w:rsid w:val="00D53421"/>
    <w:rsid w:val="00D53A73"/>
    <w:rsid w:val="00D53FD0"/>
    <w:rsid w:val="00D54168"/>
    <w:rsid w:val="00D55BB0"/>
    <w:rsid w:val="00D55C1D"/>
    <w:rsid w:val="00D5601C"/>
    <w:rsid w:val="00D56A95"/>
    <w:rsid w:val="00D56B2B"/>
    <w:rsid w:val="00D56E3D"/>
    <w:rsid w:val="00D56F62"/>
    <w:rsid w:val="00D57176"/>
    <w:rsid w:val="00D571DA"/>
    <w:rsid w:val="00D57B9E"/>
    <w:rsid w:val="00D57F3E"/>
    <w:rsid w:val="00D600CD"/>
    <w:rsid w:val="00D601C6"/>
    <w:rsid w:val="00D6076E"/>
    <w:rsid w:val="00D607AC"/>
    <w:rsid w:val="00D60B0A"/>
    <w:rsid w:val="00D60B4B"/>
    <w:rsid w:val="00D60C2A"/>
    <w:rsid w:val="00D60CB1"/>
    <w:rsid w:val="00D60E9E"/>
    <w:rsid w:val="00D6100B"/>
    <w:rsid w:val="00D61012"/>
    <w:rsid w:val="00D61065"/>
    <w:rsid w:val="00D61C1F"/>
    <w:rsid w:val="00D62336"/>
    <w:rsid w:val="00D638A3"/>
    <w:rsid w:val="00D6391F"/>
    <w:rsid w:val="00D6399F"/>
    <w:rsid w:val="00D639DC"/>
    <w:rsid w:val="00D639F6"/>
    <w:rsid w:val="00D63B87"/>
    <w:rsid w:val="00D63BF0"/>
    <w:rsid w:val="00D641B8"/>
    <w:rsid w:val="00D64A6D"/>
    <w:rsid w:val="00D64B02"/>
    <w:rsid w:val="00D64BB4"/>
    <w:rsid w:val="00D65106"/>
    <w:rsid w:val="00D653A9"/>
    <w:rsid w:val="00D65840"/>
    <w:rsid w:val="00D65B68"/>
    <w:rsid w:val="00D65C25"/>
    <w:rsid w:val="00D65DD6"/>
    <w:rsid w:val="00D65E4A"/>
    <w:rsid w:val="00D679D8"/>
    <w:rsid w:val="00D70052"/>
    <w:rsid w:val="00D70428"/>
    <w:rsid w:val="00D7048A"/>
    <w:rsid w:val="00D70BCB"/>
    <w:rsid w:val="00D70E0B"/>
    <w:rsid w:val="00D70F16"/>
    <w:rsid w:val="00D71162"/>
    <w:rsid w:val="00D71B0D"/>
    <w:rsid w:val="00D71B83"/>
    <w:rsid w:val="00D71E8D"/>
    <w:rsid w:val="00D71F38"/>
    <w:rsid w:val="00D72310"/>
    <w:rsid w:val="00D724FA"/>
    <w:rsid w:val="00D72617"/>
    <w:rsid w:val="00D72EFD"/>
    <w:rsid w:val="00D72F57"/>
    <w:rsid w:val="00D732A4"/>
    <w:rsid w:val="00D733F9"/>
    <w:rsid w:val="00D7352A"/>
    <w:rsid w:val="00D73770"/>
    <w:rsid w:val="00D73F96"/>
    <w:rsid w:val="00D74194"/>
    <w:rsid w:val="00D74CDB"/>
    <w:rsid w:val="00D751AE"/>
    <w:rsid w:val="00D75EA2"/>
    <w:rsid w:val="00D75EC0"/>
    <w:rsid w:val="00D76A44"/>
    <w:rsid w:val="00D76D84"/>
    <w:rsid w:val="00D76ED6"/>
    <w:rsid w:val="00D77E96"/>
    <w:rsid w:val="00D77F1C"/>
    <w:rsid w:val="00D8006E"/>
    <w:rsid w:val="00D803DB"/>
    <w:rsid w:val="00D8057F"/>
    <w:rsid w:val="00D805C2"/>
    <w:rsid w:val="00D80831"/>
    <w:rsid w:val="00D811BC"/>
    <w:rsid w:val="00D81383"/>
    <w:rsid w:val="00D815EF"/>
    <w:rsid w:val="00D817AE"/>
    <w:rsid w:val="00D81846"/>
    <w:rsid w:val="00D81949"/>
    <w:rsid w:val="00D81F26"/>
    <w:rsid w:val="00D822E2"/>
    <w:rsid w:val="00D82DE4"/>
    <w:rsid w:val="00D8323F"/>
    <w:rsid w:val="00D832AE"/>
    <w:rsid w:val="00D83B0F"/>
    <w:rsid w:val="00D840EC"/>
    <w:rsid w:val="00D843F2"/>
    <w:rsid w:val="00D844A3"/>
    <w:rsid w:val="00D845E9"/>
    <w:rsid w:val="00D84693"/>
    <w:rsid w:val="00D8482B"/>
    <w:rsid w:val="00D859DA"/>
    <w:rsid w:val="00D85C0B"/>
    <w:rsid w:val="00D85E83"/>
    <w:rsid w:val="00D86231"/>
    <w:rsid w:val="00D8638C"/>
    <w:rsid w:val="00D9006C"/>
    <w:rsid w:val="00D9070A"/>
    <w:rsid w:val="00D9096B"/>
    <w:rsid w:val="00D90A37"/>
    <w:rsid w:val="00D91103"/>
    <w:rsid w:val="00D912AB"/>
    <w:rsid w:val="00D9134B"/>
    <w:rsid w:val="00D91923"/>
    <w:rsid w:val="00D919F8"/>
    <w:rsid w:val="00D91CC6"/>
    <w:rsid w:val="00D91FEE"/>
    <w:rsid w:val="00D9220E"/>
    <w:rsid w:val="00D92233"/>
    <w:rsid w:val="00D92284"/>
    <w:rsid w:val="00D927CC"/>
    <w:rsid w:val="00D92D9D"/>
    <w:rsid w:val="00D933CB"/>
    <w:rsid w:val="00D93432"/>
    <w:rsid w:val="00D9372E"/>
    <w:rsid w:val="00D93753"/>
    <w:rsid w:val="00D94586"/>
    <w:rsid w:val="00D9486C"/>
    <w:rsid w:val="00D94C75"/>
    <w:rsid w:val="00D95157"/>
    <w:rsid w:val="00D952D4"/>
    <w:rsid w:val="00D957C4"/>
    <w:rsid w:val="00D95F0E"/>
    <w:rsid w:val="00D968D6"/>
    <w:rsid w:val="00D969DE"/>
    <w:rsid w:val="00D96AF6"/>
    <w:rsid w:val="00D97219"/>
    <w:rsid w:val="00D9740D"/>
    <w:rsid w:val="00D974C7"/>
    <w:rsid w:val="00D97548"/>
    <w:rsid w:val="00D97C2A"/>
    <w:rsid w:val="00DA002E"/>
    <w:rsid w:val="00DA047A"/>
    <w:rsid w:val="00DA06F1"/>
    <w:rsid w:val="00DA07A5"/>
    <w:rsid w:val="00DA1365"/>
    <w:rsid w:val="00DA149A"/>
    <w:rsid w:val="00DA1905"/>
    <w:rsid w:val="00DA2369"/>
    <w:rsid w:val="00DA288C"/>
    <w:rsid w:val="00DA2985"/>
    <w:rsid w:val="00DA2F25"/>
    <w:rsid w:val="00DA3167"/>
    <w:rsid w:val="00DA3511"/>
    <w:rsid w:val="00DA41A6"/>
    <w:rsid w:val="00DA41E0"/>
    <w:rsid w:val="00DA4557"/>
    <w:rsid w:val="00DA4C09"/>
    <w:rsid w:val="00DA4DC3"/>
    <w:rsid w:val="00DA5D28"/>
    <w:rsid w:val="00DA5F3E"/>
    <w:rsid w:val="00DA6242"/>
    <w:rsid w:val="00DA624E"/>
    <w:rsid w:val="00DA6381"/>
    <w:rsid w:val="00DA67A2"/>
    <w:rsid w:val="00DA6DE6"/>
    <w:rsid w:val="00DA7616"/>
    <w:rsid w:val="00DA77A5"/>
    <w:rsid w:val="00DA7CC3"/>
    <w:rsid w:val="00DA7F6E"/>
    <w:rsid w:val="00DA7FE1"/>
    <w:rsid w:val="00DB01E7"/>
    <w:rsid w:val="00DB0B9E"/>
    <w:rsid w:val="00DB0E36"/>
    <w:rsid w:val="00DB11E3"/>
    <w:rsid w:val="00DB160C"/>
    <w:rsid w:val="00DB1627"/>
    <w:rsid w:val="00DB1CA1"/>
    <w:rsid w:val="00DB258F"/>
    <w:rsid w:val="00DB2723"/>
    <w:rsid w:val="00DB2A2B"/>
    <w:rsid w:val="00DB2D0D"/>
    <w:rsid w:val="00DB2E72"/>
    <w:rsid w:val="00DB31C1"/>
    <w:rsid w:val="00DB38B5"/>
    <w:rsid w:val="00DB38FF"/>
    <w:rsid w:val="00DB3DBF"/>
    <w:rsid w:val="00DB4204"/>
    <w:rsid w:val="00DB4281"/>
    <w:rsid w:val="00DB484F"/>
    <w:rsid w:val="00DB4933"/>
    <w:rsid w:val="00DB4A94"/>
    <w:rsid w:val="00DB4C59"/>
    <w:rsid w:val="00DB4EA6"/>
    <w:rsid w:val="00DB5302"/>
    <w:rsid w:val="00DB53E6"/>
    <w:rsid w:val="00DB5893"/>
    <w:rsid w:val="00DB5D3C"/>
    <w:rsid w:val="00DB6096"/>
    <w:rsid w:val="00DB60D4"/>
    <w:rsid w:val="00DB6230"/>
    <w:rsid w:val="00DB6848"/>
    <w:rsid w:val="00DB6E87"/>
    <w:rsid w:val="00DB7284"/>
    <w:rsid w:val="00DB728F"/>
    <w:rsid w:val="00DB76CB"/>
    <w:rsid w:val="00DB7DC7"/>
    <w:rsid w:val="00DC01AA"/>
    <w:rsid w:val="00DC01D2"/>
    <w:rsid w:val="00DC02F8"/>
    <w:rsid w:val="00DC032E"/>
    <w:rsid w:val="00DC04F6"/>
    <w:rsid w:val="00DC0572"/>
    <w:rsid w:val="00DC063B"/>
    <w:rsid w:val="00DC0690"/>
    <w:rsid w:val="00DC091F"/>
    <w:rsid w:val="00DC0D96"/>
    <w:rsid w:val="00DC1112"/>
    <w:rsid w:val="00DC1292"/>
    <w:rsid w:val="00DC12F5"/>
    <w:rsid w:val="00DC1474"/>
    <w:rsid w:val="00DC17FD"/>
    <w:rsid w:val="00DC1C33"/>
    <w:rsid w:val="00DC1D65"/>
    <w:rsid w:val="00DC1D97"/>
    <w:rsid w:val="00DC2296"/>
    <w:rsid w:val="00DC25DA"/>
    <w:rsid w:val="00DC2B80"/>
    <w:rsid w:val="00DC2DCA"/>
    <w:rsid w:val="00DC3041"/>
    <w:rsid w:val="00DC3062"/>
    <w:rsid w:val="00DC3201"/>
    <w:rsid w:val="00DC39F1"/>
    <w:rsid w:val="00DC3C57"/>
    <w:rsid w:val="00DC3D7D"/>
    <w:rsid w:val="00DC3EBE"/>
    <w:rsid w:val="00DC4580"/>
    <w:rsid w:val="00DC4661"/>
    <w:rsid w:val="00DC516E"/>
    <w:rsid w:val="00DC5501"/>
    <w:rsid w:val="00DC558B"/>
    <w:rsid w:val="00DC5725"/>
    <w:rsid w:val="00DC5DE4"/>
    <w:rsid w:val="00DC5F34"/>
    <w:rsid w:val="00DC60D4"/>
    <w:rsid w:val="00DC62F6"/>
    <w:rsid w:val="00DC6688"/>
    <w:rsid w:val="00DC67D7"/>
    <w:rsid w:val="00DC685C"/>
    <w:rsid w:val="00DC7050"/>
    <w:rsid w:val="00DC7154"/>
    <w:rsid w:val="00DC7695"/>
    <w:rsid w:val="00DC7A2D"/>
    <w:rsid w:val="00DC7A3B"/>
    <w:rsid w:val="00DC7D14"/>
    <w:rsid w:val="00DC7E8A"/>
    <w:rsid w:val="00DD05A6"/>
    <w:rsid w:val="00DD0BD6"/>
    <w:rsid w:val="00DD0BE2"/>
    <w:rsid w:val="00DD0C58"/>
    <w:rsid w:val="00DD0F62"/>
    <w:rsid w:val="00DD0F78"/>
    <w:rsid w:val="00DD0FF8"/>
    <w:rsid w:val="00DD1067"/>
    <w:rsid w:val="00DD273C"/>
    <w:rsid w:val="00DD2BB3"/>
    <w:rsid w:val="00DD2DE3"/>
    <w:rsid w:val="00DD2E36"/>
    <w:rsid w:val="00DD2E99"/>
    <w:rsid w:val="00DD3F28"/>
    <w:rsid w:val="00DD4446"/>
    <w:rsid w:val="00DD452A"/>
    <w:rsid w:val="00DD4537"/>
    <w:rsid w:val="00DD45B4"/>
    <w:rsid w:val="00DD4DE3"/>
    <w:rsid w:val="00DD4E15"/>
    <w:rsid w:val="00DD509C"/>
    <w:rsid w:val="00DD52AA"/>
    <w:rsid w:val="00DD543A"/>
    <w:rsid w:val="00DD54E0"/>
    <w:rsid w:val="00DD57DD"/>
    <w:rsid w:val="00DD5A5A"/>
    <w:rsid w:val="00DD64A0"/>
    <w:rsid w:val="00DD6637"/>
    <w:rsid w:val="00DD68C2"/>
    <w:rsid w:val="00DD6B36"/>
    <w:rsid w:val="00DD7473"/>
    <w:rsid w:val="00DD77A8"/>
    <w:rsid w:val="00DD791F"/>
    <w:rsid w:val="00DE0ABC"/>
    <w:rsid w:val="00DE0D34"/>
    <w:rsid w:val="00DE0FCC"/>
    <w:rsid w:val="00DE181D"/>
    <w:rsid w:val="00DE1E14"/>
    <w:rsid w:val="00DE1FD5"/>
    <w:rsid w:val="00DE2253"/>
    <w:rsid w:val="00DE2304"/>
    <w:rsid w:val="00DE2569"/>
    <w:rsid w:val="00DE27A6"/>
    <w:rsid w:val="00DE2BEA"/>
    <w:rsid w:val="00DE2BF9"/>
    <w:rsid w:val="00DE2D24"/>
    <w:rsid w:val="00DE3046"/>
    <w:rsid w:val="00DE3138"/>
    <w:rsid w:val="00DE3276"/>
    <w:rsid w:val="00DE35E2"/>
    <w:rsid w:val="00DE37F8"/>
    <w:rsid w:val="00DE3979"/>
    <w:rsid w:val="00DE41C3"/>
    <w:rsid w:val="00DE4273"/>
    <w:rsid w:val="00DE4A4F"/>
    <w:rsid w:val="00DE4C1D"/>
    <w:rsid w:val="00DE4F12"/>
    <w:rsid w:val="00DE4FCB"/>
    <w:rsid w:val="00DE5357"/>
    <w:rsid w:val="00DE5C1F"/>
    <w:rsid w:val="00DE5D07"/>
    <w:rsid w:val="00DE6033"/>
    <w:rsid w:val="00DE64D3"/>
    <w:rsid w:val="00DE68F8"/>
    <w:rsid w:val="00DE68FD"/>
    <w:rsid w:val="00DE6932"/>
    <w:rsid w:val="00DE6CC0"/>
    <w:rsid w:val="00DE6F27"/>
    <w:rsid w:val="00DE7293"/>
    <w:rsid w:val="00DE72A7"/>
    <w:rsid w:val="00DE74AD"/>
    <w:rsid w:val="00DE7832"/>
    <w:rsid w:val="00DE7A8B"/>
    <w:rsid w:val="00DE7BE9"/>
    <w:rsid w:val="00DE7DDF"/>
    <w:rsid w:val="00DF02C0"/>
    <w:rsid w:val="00DF031C"/>
    <w:rsid w:val="00DF0794"/>
    <w:rsid w:val="00DF102C"/>
    <w:rsid w:val="00DF109D"/>
    <w:rsid w:val="00DF1136"/>
    <w:rsid w:val="00DF18FC"/>
    <w:rsid w:val="00DF1A15"/>
    <w:rsid w:val="00DF2225"/>
    <w:rsid w:val="00DF2B27"/>
    <w:rsid w:val="00DF30B5"/>
    <w:rsid w:val="00DF30C4"/>
    <w:rsid w:val="00DF37B1"/>
    <w:rsid w:val="00DF393F"/>
    <w:rsid w:val="00DF39CA"/>
    <w:rsid w:val="00DF404E"/>
    <w:rsid w:val="00DF468B"/>
    <w:rsid w:val="00DF489D"/>
    <w:rsid w:val="00DF4B65"/>
    <w:rsid w:val="00DF4E5F"/>
    <w:rsid w:val="00DF5872"/>
    <w:rsid w:val="00DF5A76"/>
    <w:rsid w:val="00DF5C86"/>
    <w:rsid w:val="00DF5D2B"/>
    <w:rsid w:val="00DF6134"/>
    <w:rsid w:val="00DF6341"/>
    <w:rsid w:val="00DF6E47"/>
    <w:rsid w:val="00DF6EA4"/>
    <w:rsid w:val="00DF753A"/>
    <w:rsid w:val="00DF7914"/>
    <w:rsid w:val="00DF7F50"/>
    <w:rsid w:val="00E00E8E"/>
    <w:rsid w:val="00E011E4"/>
    <w:rsid w:val="00E015D8"/>
    <w:rsid w:val="00E017EF"/>
    <w:rsid w:val="00E01889"/>
    <w:rsid w:val="00E01BFA"/>
    <w:rsid w:val="00E01F14"/>
    <w:rsid w:val="00E029DA"/>
    <w:rsid w:val="00E02CA5"/>
    <w:rsid w:val="00E02FA6"/>
    <w:rsid w:val="00E030C0"/>
    <w:rsid w:val="00E0331D"/>
    <w:rsid w:val="00E03B84"/>
    <w:rsid w:val="00E041C0"/>
    <w:rsid w:val="00E0445F"/>
    <w:rsid w:val="00E04511"/>
    <w:rsid w:val="00E0453D"/>
    <w:rsid w:val="00E04737"/>
    <w:rsid w:val="00E04CE9"/>
    <w:rsid w:val="00E05062"/>
    <w:rsid w:val="00E05101"/>
    <w:rsid w:val="00E055F1"/>
    <w:rsid w:val="00E05630"/>
    <w:rsid w:val="00E05963"/>
    <w:rsid w:val="00E05D3E"/>
    <w:rsid w:val="00E06DBB"/>
    <w:rsid w:val="00E0706C"/>
    <w:rsid w:val="00E07F76"/>
    <w:rsid w:val="00E07F80"/>
    <w:rsid w:val="00E1003E"/>
    <w:rsid w:val="00E10049"/>
    <w:rsid w:val="00E10149"/>
    <w:rsid w:val="00E10218"/>
    <w:rsid w:val="00E105CC"/>
    <w:rsid w:val="00E10C33"/>
    <w:rsid w:val="00E10D01"/>
    <w:rsid w:val="00E11340"/>
    <w:rsid w:val="00E122A1"/>
    <w:rsid w:val="00E126EB"/>
    <w:rsid w:val="00E13397"/>
    <w:rsid w:val="00E13B8B"/>
    <w:rsid w:val="00E13D37"/>
    <w:rsid w:val="00E140B2"/>
    <w:rsid w:val="00E1419D"/>
    <w:rsid w:val="00E144CD"/>
    <w:rsid w:val="00E1482E"/>
    <w:rsid w:val="00E14BD8"/>
    <w:rsid w:val="00E14FEA"/>
    <w:rsid w:val="00E150EB"/>
    <w:rsid w:val="00E15683"/>
    <w:rsid w:val="00E15EE3"/>
    <w:rsid w:val="00E16372"/>
    <w:rsid w:val="00E163B6"/>
    <w:rsid w:val="00E1699A"/>
    <w:rsid w:val="00E16AD8"/>
    <w:rsid w:val="00E1759F"/>
    <w:rsid w:val="00E179D2"/>
    <w:rsid w:val="00E17EA2"/>
    <w:rsid w:val="00E17FFA"/>
    <w:rsid w:val="00E20C15"/>
    <w:rsid w:val="00E20E4D"/>
    <w:rsid w:val="00E20ED6"/>
    <w:rsid w:val="00E20FB2"/>
    <w:rsid w:val="00E21358"/>
    <w:rsid w:val="00E2151B"/>
    <w:rsid w:val="00E2210D"/>
    <w:rsid w:val="00E2215F"/>
    <w:rsid w:val="00E2249B"/>
    <w:rsid w:val="00E226B0"/>
    <w:rsid w:val="00E22A0D"/>
    <w:rsid w:val="00E22F82"/>
    <w:rsid w:val="00E22FAF"/>
    <w:rsid w:val="00E2368B"/>
    <w:rsid w:val="00E2377B"/>
    <w:rsid w:val="00E23CC3"/>
    <w:rsid w:val="00E244F6"/>
    <w:rsid w:val="00E24791"/>
    <w:rsid w:val="00E24A36"/>
    <w:rsid w:val="00E2500A"/>
    <w:rsid w:val="00E253A7"/>
    <w:rsid w:val="00E2542E"/>
    <w:rsid w:val="00E254AB"/>
    <w:rsid w:val="00E258DB"/>
    <w:rsid w:val="00E25915"/>
    <w:rsid w:val="00E25A8B"/>
    <w:rsid w:val="00E25BC2"/>
    <w:rsid w:val="00E25BC7"/>
    <w:rsid w:val="00E263AF"/>
    <w:rsid w:val="00E27446"/>
    <w:rsid w:val="00E2771E"/>
    <w:rsid w:val="00E278E3"/>
    <w:rsid w:val="00E3039A"/>
    <w:rsid w:val="00E311EF"/>
    <w:rsid w:val="00E31576"/>
    <w:rsid w:val="00E31683"/>
    <w:rsid w:val="00E31A36"/>
    <w:rsid w:val="00E31DA7"/>
    <w:rsid w:val="00E32180"/>
    <w:rsid w:val="00E327B5"/>
    <w:rsid w:val="00E3284E"/>
    <w:rsid w:val="00E329B1"/>
    <w:rsid w:val="00E329C6"/>
    <w:rsid w:val="00E32B79"/>
    <w:rsid w:val="00E32F53"/>
    <w:rsid w:val="00E331C8"/>
    <w:rsid w:val="00E3396E"/>
    <w:rsid w:val="00E33F0C"/>
    <w:rsid w:val="00E345E6"/>
    <w:rsid w:val="00E34948"/>
    <w:rsid w:val="00E34D0C"/>
    <w:rsid w:val="00E34F6B"/>
    <w:rsid w:val="00E354F9"/>
    <w:rsid w:val="00E3573C"/>
    <w:rsid w:val="00E3587E"/>
    <w:rsid w:val="00E35CE0"/>
    <w:rsid w:val="00E36452"/>
    <w:rsid w:val="00E3693B"/>
    <w:rsid w:val="00E36E5E"/>
    <w:rsid w:val="00E37105"/>
    <w:rsid w:val="00E37569"/>
    <w:rsid w:val="00E37C70"/>
    <w:rsid w:val="00E37D3C"/>
    <w:rsid w:val="00E401B2"/>
    <w:rsid w:val="00E40454"/>
    <w:rsid w:val="00E40AB2"/>
    <w:rsid w:val="00E411A5"/>
    <w:rsid w:val="00E411EA"/>
    <w:rsid w:val="00E4134F"/>
    <w:rsid w:val="00E41833"/>
    <w:rsid w:val="00E41965"/>
    <w:rsid w:val="00E41E30"/>
    <w:rsid w:val="00E4212D"/>
    <w:rsid w:val="00E42168"/>
    <w:rsid w:val="00E42909"/>
    <w:rsid w:val="00E42AA3"/>
    <w:rsid w:val="00E42D2D"/>
    <w:rsid w:val="00E42F73"/>
    <w:rsid w:val="00E4309D"/>
    <w:rsid w:val="00E43864"/>
    <w:rsid w:val="00E438B6"/>
    <w:rsid w:val="00E43A8A"/>
    <w:rsid w:val="00E43D70"/>
    <w:rsid w:val="00E4429A"/>
    <w:rsid w:val="00E444AD"/>
    <w:rsid w:val="00E445FB"/>
    <w:rsid w:val="00E447A2"/>
    <w:rsid w:val="00E44C97"/>
    <w:rsid w:val="00E466DA"/>
    <w:rsid w:val="00E466F3"/>
    <w:rsid w:val="00E47847"/>
    <w:rsid w:val="00E47A66"/>
    <w:rsid w:val="00E47B2C"/>
    <w:rsid w:val="00E47B54"/>
    <w:rsid w:val="00E47BB4"/>
    <w:rsid w:val="00E47C97"/>
    <w:rsid w:val="00E50143"/>
    <w:rsid w:val="00E501CA"/>
    <w:rsid w:val="00E50666"/>
    <w:rsid w:val="00E50AB5"/>
    <w:rsid w:val="00E50AB7"/>
    <w:rsid w:val="00E50E62"/>
    <w:rsid w:val="00E51230"/>
    <w:rsid w:val="00E5141D"/>
    <w:rsid w:val="00E51560"/>
    <w:rsid w:val="00E515FE"/>
    <w:rsid w:val="00E5168C"/>
    <w:rsid w:val="00E51821"/>
    <w:rsid w:val="00E518AB"/>
    <w:rsid w:val="00E51A22"/>
    <w:rsid w:val="00E520ED"/>
    <w:rsid w:val="00E5272B"/>
    <w:rsid w:val="00E52746"/>
    <w:rsid w:val="00E52DB1"/>
    <w:rsid w:val="00E52DFA"/>
    <w:rsid w:val="00E5308C"/>
    <w:rsid w:val="00E533CB"/>
    <w:rsid w:val="00E53611"/>
    <w:rsid w:val="00E53B38"/>
    <w:rsid w:val="00E53E2F"/>
    <w:rsid w:val="00E53FC8"/>
    <w:rsid w:val="00E541F8"/>
    <w:rsid w:val="00E54211"/>
    <w:rsid w:val="00E54297"/>
    <w:rsid w:val="00E54347"/>
    <w:rsid w:val="00E549B6"/>
    <w:rsid w:val="00E54CF0"/>
    <w:rsid w:val="00E54DEC"/>
    <w:rsid w:val="00E54F71"/>
    <w:rsid w:val="00E55424"/>
    <w:rsid w:val="00E55834"/>
    <w:rsid w:val="00E55915"/>
    <w:rsid w:val="00E55B3E"/>
    <w:rsid w:val="00E55BB5"/>
    <w:rsid w:val="00E564C2"/>
    <w:rsid w:val="00E565B1"/>
    <w:rsid w:val="00E56645"/>
    <w:rsid w:val="00E567F3"/>
    <w:rsid w:val="00E56B47"/>
    <w:rsid w:val="00E5710A"/>
    <w:rsid w:val="00E57436"/>
    <w:rsid w:val="00E57458"/>
    <w:rsid w:val="00E579A7"/>
    <w:rsid w:val="00E60F9D"/>
    <w:rsid w:val="00E60FCE"/>
    <w:rsid w:val="00E611DF"/>
    <w:rsid w:val="00E61666"/>
    <w:rsid w:val="00E61F9A"/>
    <w:rsid w:val="00E61FCB"/>
    <w:rsid w:val="00E6262E"/>
    <w:rsid w:val="00E632F0"/>
    <w:rsid w:val="00E633B5"/>
    <w:rsid w:val="00E63A73"/>
    <w:rsid w:val="00E63CDB"/>
    <w:rsid w:val="00E63F32"/>
    <w:rsid w:val="00E6403C"/>
    <w:rsid w:val="00E642B3"/>
    <w:rsid w:val="00E6446D"/>
    <w:rsid w:val="00E64EFC"/>
    <w:rsid w:val="00E65CEB"/>
    <w:rsid w:val="00E65E79"/>
    <w:rsid w:val="00E666ED"/>
    <w:rsid w:val="00E667B1"/>
    <w:rsid w:val="00E66A78"/>
    <w:rsid w:val="00E66BA2"/>
    <w:rsid w:val="00E67416"/>
    <w:rsid w:val="00E67897"/>
    <w:rsid w:val="00E678DE"/>
    <w:rsid w:val="00E67F2F"/>
    <w:rsid w:val="00E704D1"/>
    <w:rsid w:val="00E70F1E"/>
    <w:rsid w:val="00E712C5"/>
    <w:rsid w:val="00E7164F"/>
    <w:rsid w:val="00E718B6"/>
    <w:rsid w:val="00E71B4F"/>
    <w:rsid w:val="00E71EFB"/>
    <w:rsid w:val="00E721C1"/>
    <w:rsid w:val="00E723BA"/>
    <w:rsid w:val="00E728A2"/>
    <w:rsid w:val="00E72CE8"/>
    <w:rsid w:val="00E72FD5"/>
    <w:rsid w:val="00E73581"/>
    <w:rsid w:val="00E73F6E"/>
    <w:rsid w:val="00E74116"/>
    <w:rsid w:val="00E74C15"/>
    <w:rsid w:val="00E753F1"/>
    <w:rsid w:val="00E753F4"/>
    <w:rsid w:val="00E7571C"/>
    <w:rsid w:val="00E75B48"/>
    <w:rsid w:val="00E76697"/>
    <w:rsid w:val="00E76CD2"/>
    <w:rsid w:val="00E76D3F"/>
    <w:rsid w:val="00E77482"/>
    <w:rsid w:val="00E77617"/>
    <w:rsid w:val="00E7794E"/>
    <w:rsid w:val="00E77B31"/>
    <w:rsid w:val="00E8005B"/>
    <w:rsid w:val="00E802F8"/>
    <w:rsid w:val="00E80B04"/>
    <w:rsid w:val="00E80D27"/>
    <w:rsid w:val="00E81580"/>
    <w:rsid w:val="00E81769"/>
    <w:rsid w:val="00E81DBB"/>
    <w:rsid w:val="00E8228B"/>
    <w:rsid w:val="00E82659"/>
    <w:rsid w:val="00E82AFB"/>
    <w:rsid w:val="00E82BF8"/>
    <w:rsid w:val="00E8322E"/>
    <w:rsid w:val="00E833F7"/>
    <w:rsid w:val="00E834A1"/>
    <w:rsid w:val="00E835A6"/>
    <w:rsid w:val="00E83784"/>
    <w:rsid w:val="00E8386B"/>
    <w:rsid w:val="00E83BDF"/>
    <w:rsid w:val="00E83C89"/>
    <w:rsid w:val="00E83D23"/>
    <w:rsid w:val="00E84BC5"/>
    <w:rsid w:val="00E84FAA"/>
    <w:rsid w:val="00E8516E"/>
    <w:rsid w:val="00E857F6"/>
    <w:rsid w:val="00E85986"/>
    <w:rsid w:val="00E85C0C"/>
    <w:rsid w:val="00E86275"/>
    <w:rsid w:val="00E863B1"/>
    <w:rsid w:val="00E863CD"/>
    <w:rsid w:val="00E86A76"/>
    <w:rsid w:val="00E86A7E"/>
    <w:rsid w:val="00E86E15"/>
    <w:rsid w:val="00E86F0F"/>
    <w:rsid w:val="00E86FCC"/>
    <w:rsid w:val="00E871EA"/>
    <w:rsid w:val="00E876BA"/>
    <w:rsid w:val="00E87A1D"/>
    <w:rsid w:val="00E87C50"/>
    <w:rsid w:val="00E9060C"/>
    <w:rsid w:val="00E907E1"/>
    <w:rsid w:val="00E9092E"/>
    <w:rsid w:val="00E9094A"/>
    <w:rsid w:val="00E90E82"/>
    <w:rsid w:val="00E91232"/>
    <w:rsid w:val="00E915C4"/>
    <w:rsid w:val="00E915D4"/>
    <w:rsid w:val="00E91D35"/>
    <w:rsid w:val="00E91D93"/>
    <w:rsid w:val="00E926A5"/>
    <w:rsid w:val="00E92724"/>
    <w:rsid w:val="00E92B95"/>
    <w:rsid w:val="00E92C1B"/>
    <w:rsid w:val="00E92DE8"/>
    <w:rsid w:val="00E92E7E"/>
    <w:rsid w:val="00E93148"/>
    <w:rsid w:val="00E9357D"/>
    <w:rsid w:val="00E939EA"/>
    <w:rsid w:val="00E93FAD"/>
    <w:rsid w:val="00E943BA"/>
    <w:rsid w:val="00E94C40"/>
    <w:rsid w:val="00E94FD9"/>
    <w:rsid w:val="00E9507D"/>
    <w:rsid w:val="00E95D35"/>
    <w:rsid w:val="00E962CC"/>
    <w:rsid w:val="00E9679F"/>
    <w:rsid w:val="00E967D8"/>
    <w:rsid w:val="00E96B3B"/>
    <w:rsid w:val="00E973D8"/>
    <w:rsid w:val="00E9756D"/>
    <w:rsid w:val="00E9787A"/>
    <w:rsid w:val="00EA099C"/>
    <w:rsid w:val="00EA0BDA"/>
    <w:rsid w:val="00EA0C11"/>
    <w:rsid w:val="00EA0EC8"/>
    <w:rsid w:val="00EA17C3"/>
    <w:rsid w:val="00EA197A"/>
    <w:rsid w:val="00EA19C6"/>
    <w:rsid w:val="00EA1F67"/>
    <w:rsid w:val="00EA2C82"/>
    <w:rsid w:val="00EA2CAA"/>
    <w:rsid w:val="00EA3046"/>
    <w:rsid w:val="00EA31EF"/>
    <w:rsid w:val="00EA32DD"/>
    <w:rsid w:val="00EA3531"/>
    <w:rsid w:val="00EA3574"/>
    <w:rsid w:val="00EA35CE"/>
    <w:rsid w:val="00EA37AA"/>
    <w:rsid w:val="00EA3864"/>
    <w:rsid w:val="00EA3F5A"/>
    <w:rsid w:val="00EA4126"/>
    <w:rsid w:val="00EA453A"/>
    <w:rsid w:val="00EA499F"/>
    <w:rsid w:val="00EA49DE"/>
    <w:rsid w:val="00EA4C67"/>
    <w:rsid w:val="00EA5DF2"/>
    <w:rsid w:val="00EA6112"/>
    <w:rsid w:val="00EA62F3"/>
    <w:rsid w:val="00EA6780"/>
    <w:rsid w:val="00EA6C49"/>
    <w:rsid w:val="00EA7067"/>
    <w:rsid w:val="00EA744F"/>
    <w:rsid w:val="00EA7465"/>
    <w:rsid w:val="00EA77AF"/>
    <w:rsid w:val="00EA7F1C"/>
    <w:rsid w:val="00EB009B"/>
    <w:rsid w:val="00EB0585"/>
    <w:rsid w:val="00EB09A5"/>
    <w:rsid w:val="00EB0CAF"/>
    <w:rsid w:val="00EB133D"/>
    <w:rsid w:val="00EB15B6"/>
    <w:rsid w:val="00EB17F8"/>
    <w:rsid w:val="00EB1959"/>
    <w:rsid w:val="00EB1A47"/>
    <w:rsid w:val="00EB1AD7"/>
    <w:rsid w:val="00EB1AEB"/>
    <w:rsid w:val="00EB1DC5"/>
    <w:rsid w:val="00EB1DD5"/>
    <w:rsid w:val="00EB1DF6"/>
    <w:rsid w:val="00EB302C"/>
    <w:rsid w:val="00EB303C"/>
    <w:rsid w:val="00EB321D"/>
    <w:rsid w:val="00EB34AD"/>
    <w:rsid w:val="00EB3724"/>
    <w:rsid w:val="00EB3BD0"/>
    <w:rsid w:val="00EB3BF3"/>
    <w:rsid w:val="00EB3D06"/>
    <w:rsid w:val="00EB3EA1"/>
    <w:rsid w:val="00EB41B5"/>
    <w:rsid w:val="00EB4292"/>
    <w:rsid w:val="00EB4916"/>
    <w:rsid w:val="00EB4D1A"/>
    <w:rsid w:val="00EB4F40"/>
    <w:rsid w:val="00EB4FBB"/>
    <w:rsid w:val="00EB51FF"/>
    <w:rsid w:val="00EB552F"/>
    <w:rsid w:val="00EB5F50"/>
    <w:rsid w:val="00EB6CC3"/>
    <w:rsid w:val="00EB6D9A"/>
    <w:rsid w:val="00EB6FA2"/>
    <w:rsid w:val="00EB7695"/>
    <w:rsid w:val="00EB775D"/>
    <w:rsid w:val="00EB77AA"/>
    <w:rsid w:val="00EB77FD"/>
    <w:rsid w:val="00EC00C9"/>
    <w:rsid w:val="00EC0389"/>
    <w:rsid w:val="00EC0897"/>
    <w:rsid w:val="00EC0C43"/>
    <w:rsid w:val="00EC0DD9"/>
    <w:rsid w:val="00EC0F42"/>
    <w:rsid w:val="00EC10DE"/>
    <w:rsid w:val="00EC13A6"/>
    <w:rsid w:val="00EC1460"/>
    <w:rsid w:val="00EC14B8"/>
    <w:rsid w:val="00EC1DEF"/>
    <w:rsid w:val="00EC1F98"/>
    <w:rsid w:val="00EC239A"/>
    <w:rsid w:val="00EC23A3"/>
    <w:rsid w:val="00EC2649"/>
    <w:rsid w:val="00EC2670"/>
    <w:rsid w:val="00EC2885"/>
    <w:rsid w:val="00EC29BD"/>
    <w:rsid w:val="00EC2CA1"/>
    <w:rsid w:val="00EC2DB8"/>
    <w:rsid w:val="00EC2E6A"/>
    <w:rsid w:val="00EC2E88"/>
    <w:rsid w:val="00EC3156"/>
    <w:rsid w:val="00EC31ED"/>
    <w:rsid w:val="00EC3603"/>
    <w:rsid w:val="00EC398F"/>
    <w:rsid w:val="00EC3F89"/>
    <w:rsid w:val="00EC4941"/>
    <w:rsid w:val="00EC4D49"/>
    <w:rsid w:val="00EC57E8"/>
    <w:rsid w:val="00EC5836"/>
    <w:rsid w:val="00EC5A4E"/>
    <w:rsid w:val="00EC5B1A"/>
    <w:rsid w:val="00EC5F81"/>
    <w:rsid w:val="00EC688C"/>
    <w:rsid w:val="00EC6E14"/>
    <w:rsid w:val="00EC729D"/>
    <w:rsid w:val="00EC731B"/>
    <w:rsid w:val="00EC79DF"/>
    <w:rsid w:val="00ED01A3"/>
    <w:rsid w:val="00ED098A"/>
    <w:rsid w:val="00ED0BEB"/>
    <w:rsid w:val="00ED0CBB"/>
    <w:rsid w:val="00ED1070"/>
    <w:rsid w:val="00ED1107"/>
    <w:rsid w:val="00ED12E3"/>
    <w:rsid w:val="00ED172B"/>
    <w:rsid w:val="00ED2299"/>
    <w:rsid w:val="00ED24CA"/>
    <w:rsid w:val="00ED2A32"/>
    <w:rsid w:val="00ED2A75"/>
    <w:rsid w:val="00ED3202"/>
    <w:rsid w:val="00ED34A6"/>
    <w:rsid w:val="00ED378B"/>
    <w:rsid w:val="00ED39C7"/>
    <w:rsid w:val="00ED4601"/>
    <w:rsid w:val="00ED46FC"/>
    <w:rsid w:val="00ED4B04"/>
    <w:rsid w:val="00ED4B78"/>
    <w:rsid w:val="00ED508F"/>
    <w:rsid w:val="00ED57EA"/>
    <w:rsid w:val="00ED5BD4"/>
    <w:rsid w:val="00ED603C"/>
    <w:rsid w:val="00ED62F9"/>
    <w:rsid w:val="00ED63FD"/>
    <w:rsid w:val="00ED6522"/>
    <w:rsid w:val="00ED6C27"/>
    <w:rsid w:val="00ED6CF1"/>
    <w:rsid w:val="00ED72A0"/>
    <w:rsid w:val="00ED7448"/>
    <w:rsid w:val="00ED7C0B"/>
    <w:rsid w:val="00ED7F75"/>
    <w:rsid w:val="00ED7FB8"/>
    <w:rsid w:val="00EE03BF"/>
    <w:rsid w:val="00EE07D3"/>
    <w:rsid w:val="00EE09B0"/>
    <w:rsid w:val="00EE11C9"/>
    <w:rsid w:val="00EE1996"/>
    <w:rsid w:val="00EE1C01"/>
    <w:rsid w:val="00EE1C4A"/>
    <w:rsid w:val="00EE21FA"/>
    <w:rsid w:val="00EE22AF"/>
    <w:rsid w:val="00EE247D"/>
    <w:rsid w:val="00EE2620"/>
    <w:rsid w:val="00EE2788"/>
    <w:rsid w:val="00EE2E09"/>
    <w:rsid w:val="00EE3233"/>
    <w:rsid w:val="00EE368C"/>
    <w:rsid w:val="00EE3717"/>
    <w:rsid w:val="00EE3B66"/>
    <w:rsid w:val="00EE3D91"/>
    <w:rsid w:val="00EE3E66"/>
    <w:rsid w:val="00EE3E71"/>
    <w:rsid w:val="00EE4398"/>
    <w:rsid w:val="00EE44C5"/>
    <w:rsid w:val="00EE46A4"/>
    <w:rsid w:val="00EE4A8E"/>
    <w:rsid w:val="00EE4E42"/>
    <w:rsid w:val="00EE5448"/>
    <w:rsid w:val="00EE5C90"/>
    <w:rsid w:val="00EE6315"/>
    <w:rsid w:val="00EE682C"/>
    <w:rsid w:val="00EE69F8"/>
    <w:rsid w:val="00EE7434"/>
    <w:rsid w:val="00EE74A3"/>
    <w:rsid w:val="00EF011C"/>
    <w:rsid w:val="00EF0171"/>
    <w:rsid w:val="00EF02F0"/>
    <w:rsid w:val="00EF0647"/>
    <w:rsid w:val="00EF08C1"/>
    <w:rsid w:val="00EF099D"/>
    <w:rsid w:val="00EF0CCA"/>
    <w:rsid w:val="00EF0ED0"/>
    <w:rsid w:val="00EF0FA4"/>
    <w:rsid w:val="00EF1012"/>
    <w:rsid w:val="00EF142F"/>
    <w:rsid w:val="00EF1574"/>
    <w:rsid w:val="00EF1B25"/>
    <w:rsid w:val="00EF1CA4"/>
    <w:rsid w:val="00EF1DA0"/>
    <w:rsid w:val="00EF1DA8"/>
    <w:rsid w:val="00EF2687"/>
    <w:rsid w:val="00EF26EB"/>
    <w:rsid w:val="00EF2710"/>
    <w:rsid w:val="00EF286C"/>
    <w:rsid w:val="00EF3043"/>
    <w:rsid w:val="00EF3142"/>
    <w:rsid w:val="00EF35CD"/>
    <w:rsid w:val="00EF391A"/>
    <w:rsid w:val="00EF4550"/>
    <w:rsid w:val="00EF4747"/>
    <w:rsid w:val="00EF490D"/>
    <w:rsid w:val="00EF4ADB"/>
    <w:rsid w:val="00EF4BB0"/>
    <w:rsid w:val="00EF4BF8"/>
    <w:rsid w:val="00EF4DD9"/>
    <w:rsid w:val="00EF509D"/>
    <w:rsid w:val="00EF52EF"/>
    <w:rsid w:val="00EF5A3B"/>
    <w:rsid w:val="00EF5A46"/>
    <w:rsid w:val="00EF5D37"/>
    <w:rsid w:val="00EF622D"/>
    <w:rsid w:val="00EF672A"/>
    <w:rsid w:val="00EF6820"/>
    <w:rsid w:val="00EF6D24"/>
    <w:rsid w:val="00EF7118"/>
    <w:rsid w:val="00EF735D"/>
    <w:rsid w:val="00EF7900"/>
    <w:rsid w:val="00EF7BDA"/>
    <w:rsid w:val="00EF7E4E"/>
    <w:rsid w:val="00F00305"/>
    <w:rsid w:val="00F007E7"/>
    <w:rsid w:val="00F00A41"/>
    <w:rsid w:val="00F00BB2"/>
    <w:rsid w:val="00F01D3A"/>
    <w:rsid w:val="00F01E23"/>
    <w:rsid w:val="00F02253"/>
    <w:rsid w:val="00F026F0"/>
    <w:rsid w:val="00F02EC9"/>
    <w:rsid w:val="00F03638"/>
    <w:rsid w:val="00F037F7"/>
    <w:rsid w:val="00F03C2E"/>
    <w:rsid w:val="00F046F7"/>
    <w:rsid w:val="00F04876"/>
    <w:rsid w:val="00F04999"/>
    <w:rsid w:val="00F04A66"/>
    <w:rsid w:val="00F04B4B"/>
    <w:rsid w:val="00F04F12"/>
    <w:rsid w:val="00F05137"/>
    <w:rsid w:val="00F0516C"/>
    <w:rsid w:val="00F05761"/>
    <w:rsid w:val="00F0630B"/>
    <w:rsid w:val="00F067A2"/>
    <w:rsid w:val="00F06830"/>
    <w:rsid w:val="00F06D69"/>
    <w:rsid w:val="00F076D8"/>
    <w:rsid w:val="00F07800"/>
    <w:rsid w:val="00F079FD"/>
    <w:rsid w:val="00F07B9E"/>
    <w:rsid w:val="00F10248"/>
    <w:rsid w:val="00F103DC"/>
    <w:rsid w:val="00F104D9"/>
    <w:rsid w:val="00F1098E"/>
    <w:rsid w:val="00F10D05"/>
    <w:rsid w:val="00F1116F"/>
    <w:rsid w:val="00F11282"/>
    <w:rsid w:val="00F11C0B"/>
    <w:rsid w:val="00F12390"/>
    <w:rsid w:val="00F1263A"/>
    <w:rsid w:val="00F12972"/>
    <w:rsid w:val="00F13051"/>
    <w:rsid w:val="00F138B0"/>
    <w:rsid w:val="00F139C5"/>
    <w:rsid w:val="00F13ADF"/>
    <w:rsid w:val="00F14691"/>
    <w:rsid w:val="00F14795"/>
    <w:rsid w:val="00F147DD"/>
    <w:rsid w:val="00F14FD2"/>
    <w:rsid w:val="00F1514D"/>
    <w:rsid w:val="00F154DD"/>
    <w:rsid w:val="00F15536"/>
    <w:rsid w:val="00F155D7"/>
    <w:rsid w:val="00F157AA"/>
    <w:rsid w:val="00F15B77"/>
    <w:rsid w:val="00F15D65"/>
    <w:rsid w:val="00F16292"/>
    <w:rsid w:val="00F162DE"/>
    <w:rsid w:val="00F16486"/>
    <w:rsid w:val="00F16493"/>
    <w:rsid w:val="00F1649B"/>
    <w:rsid w:val="00F1657F"/>
    <w:rsid w:val="00F16583"/>
    <w:rsid w:val="00F16606"/>
    <w:rsid w:val="00F1680F"/>
    <w:rsid w:val="00F16E02"/>
    <w:rsid w:val="00F1734B"/>
    <w:rsid w:val="00F17479"/>
    <w:rsid w:val="00F17531"/>
    <w:rsid w:val="00F175B4"/>
    <w:rsid w:val="00F175F7"/>
    <w:rsid w:val="00F17C1D"/>
    <w:rsid w:val="00F17E84"/>
    <w:rsid w:val="00F20157"/>
    <w:rsid w:val="00F20C8C"/>
    <w:rsid w:val="00F20E93"/>
    <w:rsid w:val="00F21048"/>
    <w:rsid w:val="00F21236"/>
    <w:rsid w:val="00F21329"/>
    <w:rsid w:val="00F217CF"/>
    <w:rsid w:val="00F21C18"/>
    <w:rsid w:val="00F21FAD"/>
    <w:rsid w:val="00F22ED4"/>
    <w:rsid w:val="00F23097"/>
    <w:rsid w:val="00F23536"/>
    <w:rsid w:val="00F239DF"/>
    <w:rsid w:val="00F23B94"/>
    <w:rsid w:val="00F23BA7"/>
    <w:rsid w:val="00F23CE5"/>
    <w:rsid w:val="00F241C8"/>
    <w:rsid w:val="00F244F1"/>
    <w:rsid w:val="00F24837"/>
    <w:rsid w:val="00F24EC2"/>
    <w:rsid w:val="00F24EED"/>
    <w:rsid w:val="00F25612"/>
    <w:rsid w:val="00F2575F"/>
    <w:rsid w:val="00F25A44"/>
    <w:rsid w:val="00F26266"/>
    <w:rsid w:val="00F26305"/>
    <w:rsid w:val="00F26BFF"/>
    <w:rsid w:val="00F26D47"/>
    <w:rsid w:val="00F27565"/>
    <w:rsid w:val="00F27F78"/>
    <w:rsid w:val="00F30065"/>
    <w:rsid w:val="00F30522"/>
    <w:rsid w:val="00F30D46"/>
    <w:rsid w:val="00F30FDF"/>
    <w:rsid w:val="00F310D4"/>
    <w:rsid w:val="00F3118D"/>
    <w:rsid w:val="00F31435"/>
    <w:rsid w:val="00F31A2C"/>
    <w:rsid w:val="00F31B6A"/>
    <w:rsid w:val="00F31D5A"/>
    <w:rsid w:val="00F31E80"/>
    <w:rsid w:val="00F32192"/>
    <w:rsid w:val="00F32A32"/>
    <w:rsid w:val="00F32CDD"/>
    <w:rsid w:val="00F33975"/>
    <w:rsid w:val="00F33DE9"/>
    <w:rsid w:val="00F3412A"/>
    <w:rsid w:val="00F34136"/>
    <w:rsid w:val="00F341BF"/>
    <w:rsid w:val="00F3428A"/>
    <w:rsid w:val="00F342A8"/>
    <w:rsid w:val="00F3555C"/>
    <w:rsid w:val="00F35662"/>
    <w:rsid w:val="00F356BD"/>
    <w:rsid w:val="00F35A48"/>
    <w:rsid w:val="00F35AB0"/>
    <w:rsid w:val="00F35E6D"/>
    <w:rsid w:val="00F3619A"/>
    <w:rsid w:val="00F373A3"/>
    <w:rsid w:val="00F3763E"/>
    <w:rsid w:val="00F40AAA"/>
    <w:rsid w:val="00F40BA7"/>
    <w:rsid w:val="00F40F9D"/>
    <w:rsid w:val="00F411E9"/>
    <w:rsid w:val="00F41288"/>
    <w:rsid w:val="00F41ACD"/>
    <w:rsid w:val="00F41B14"/>
    <w:rsid w:val="00F41C8B"/>
    <w:rsid w:val="00F42349"/>
    <w:rsid w:val="00F42381"/>
    <w:rsid w:val="00F42394"/>
    <w:rsid w:val="00F423AA"/>
    <w:rsid w:val="00F42506"/>
    <w:rsid w:val="00F42A1C"/>
    <w:rsid w:val="00F42E90"/>
    <w:rsid w:val="00F42EFA"/>
    <w:rsid w:val="00F431B1"/>
    <w:rsid w:val="00F434ED"/>
    <w:rsid w:val="00F43A95"/>
    <w:rsid w:val="00F44085"/>
    <w:rsid w:val="00F440D7"/>
    <w:rsid w:val="00F44683"/>
    <w:rsid w:val="00F44D4A"/>
    <w:rsid w:val="00F44FBD"/>
    <w:rsid w:val="00F4516C"/>
    <w:rsid w:val="00F453AB"/>
    <w:rsid w:val="00F45428"/>
    <w:rsid w:val="00F458CD"/>
    <w:rsid w:val="00F4595A"/>
    <w:rsid w:val="00F45CDD"/>
    <w:rsid w:val="00F45E7E"/>
    <w:rsid w:val="00F46146"/>
    <w:rsid w:val="00F463CC"/>
    <w:rsid w:val="00F463D7"/>
    <w:rsid w:val="00F4656B"/>
    <w:rsid w:val="00F46BEB"/>
    <w:rsid w:val="00F46CB6"/>
    <w:rsid w:val="00F46EB1"/>
    <w:rsid w:val="00F46F18"/>
    <w:rsid w:val="00F4712A"/>
    <w:rsid w:val="00F4756D"/>
    <w:rsid w:val="00F47DA5"/>
    <w:rsid w:val="00F47DE8"/>
    <w:rsid w:val="00F500D4"/>
    <w:rsid w:val="00F503A2"/>
    <w:rsid w:val="00F50405"/>
    <w:rsid w:val="00F505CE"/>
    <w:rsid w:val="00F50D14"/>
    <w:rsid w:val="00F51067"/>
    <w:rsid w:val="00F518A1"/>
    <w:rsid w:val="00F52D30"/>
    <w:rsid w:val="00F5300F"/>
    <w:rsid w:val="00F53353"/>
    <w:rsid w:val="00F53383"/>
    <w:rsid w:val="00F5387E"/>
    <w:rsid w:val="00F53A86"/>
    <w:rsid w:val="00F53B40"/>
    <w:rsid w:val="00F53B64"/>
    <w:rsid w:val="00F54113"/>
    <w:rsid w:val="00F542C1"/>
    <w:rsid w:val="00F54A8F"/>
    <w:rsid w:val="00F54AA6"/>
    <w:rsid w:val="00F550A6"/>
    <w:rsid w:val="00F550CA"/>
    <w:rsid w:val="00F550E3"/>
    <w:rsid w:val="00F555AC"/>
    <w:rsid w:val="00F55E73"/>
    <w:rsid w:val="00F55EDA"/>
    <w:rsid w:val="00F55FB1"/>
    <w:rsid w:val="00F56A08"/>
    <w:rsid w:val="00F56C80"/>
    <w:rsid w:val="00F56CC5"/>
    <w:rsid w:val="00F57138"/>
    <w:rsid w:val="00F57146"/>
    <w:rsid w:val="00F57201"/>
    <w:rsid w:val="00F575C9"/>
    <w:rsid w:val="00F57855"/>
    <w:rsid w:val="00F57A01"/>
    <w:rsid w:val="00F57A44"/>
    <w:rsid w:val="00F57EAA"/>
    <w:rsid w:val="00F57F36"/>
    <w:rsid w:val="00F60092"/>
    <w:rsid w:val="00F60558"/>
    <w:rsid w:val="00F60A30"/>
    <w:rsid w:val="00F614A0"/>
    <w:rsid w:val="00F6169D"/>
    <w:rsid w:val="00F61C18"/>
    <w:rsid w:val="00F61D89"/>
    <w:rsid w:val="00F62A3E"/>
    <w:rsid w:val="00F62AA1"/>
    <w:rsid w:val="00F62DD6"/>
    <w:rsid w:val="00F62E87"/>
    <w:rsid w:val="00F6333A"/>
    <w:rsid w:val="00F6408F"/>
    <w:rsid w:val="00F645C8"/>
    <w:rsid w:val="00F6490F"/>
    <w:rsid w:val="00F64B44"/>
    <w:rsid w:val="00F64BFE"/>
    <w:rsid w:val="00F64DBF"/>
    <w:rsid w:val="00F6519C"/>
    <w:rsid w:val="00F6531F"/>
    <w:rsid w:val="00F65BFB"/>
    <w:rsid w:val="00F65F4B"/>
    <w:rsid w:val="00F660AB"/>
    <w:rsid w:val="00F661A0"/>
    <w:rsid w:val="00F664BB"/>
    <w:rsid w:val="00F66A6C"/>
    <w:rsid w:val="00F66C98"/>
    <w:rsid w:val="00F66EFE"/>
    <w:rsid w:val="00F67364"/>
    <w:rsid w:val="00F67470"/>
    <w:rsid w:val="00F6748D"/>
    <w:rsid w:val="00F67517"/>
    <w:rsid w:val="00F67A69"/>
    <w:rsid w:val="00F707DD"/>
    <w:rsid w:val="00F707FF"/>
    <w:rsid w:val="00F709C8"/>
    <w:rsid w:val="00F709F5"/>
    <w:rsid w:val="00F70BFF"/>
    <w:rsid w:val="00F70C1D"/>
    <w:rsid w:val="00F70C9D"/>
    <w:rsid w:val="00F70CF9"/>
    <w:rsid w:val="00F70DAE"/>
    <w:rsid w:val="00F7104E"/>
    <w:rsid w:val="00F71142"/>
    <w:rsid w:val="00F71223"/>
    <w:rsid w:val="00F71856"/>
    <w:rsid w:val="00F720AB"/>
    <w:rsid w:val="00F72446"/>
    <w:rsid w:val="00F724D0"/>
    <w:rsid w:val="00F72B29"/>
    <w:rsid w:val="00F72E40"/>
    <w:rsid w:val="00F73E08"/>
    <w:rsid w:val="00F7400C"/>
    <w:rsid w:val="00F7420D"/>
    <w:rsid w:val="00F742D8"/>
    <w:rsid w:val="00F748A9"/>
    <w:rsid w:val="00F74CD9"/>
    <w:rsid w:val="00F74D7E"/>
    <w:rsid w:val="00F750B5"/>
    <w:rsid w:val="00F7518F"/>
    <w:rsid w:val="00F756C4"/>
    <w:rsid w:val="00F763B6"/>
    <w:rsid w:val="00F7665C"/>
    <w:rsid w:val="00F7682C"/>
    <w:rsid w:val="00F76A45"/>
    <w:rsid w:val="00F76C85"/>
    <w:rsid w:val="00F76D0E"/>
    <w:rsid w:val="00F77244"/>
    <w:rsid w:val="00F772F9"/>
    <w:rsid w:val="00F775F5"/>
    <w:rsid w:val="00F77628"/>
    <w:rsid w:val="00F7766F"/>
    <w:rsid w:val="00F778A0"/>
    <w:rsid w:val="00F77BD0"/>
    <w:rsid w:val="00F77D68"/>
    <w:rsid w:val="00F77FA2"/>
    <w:rsid w:val="00F8033B"/>
    <w:rsid w:val="00F80A02"/>
    <w:rsid w:val="00F80A21"/>
    <w:rsid w:val="00F80A7B"/>
    <w:rsid w:val="00F80E5D"/>
    <w:rsid w:val="00F8127E"/>
    <w:rsid w:val="00F812F0"/>
    <w:rsid w:val="00F81319"/>
    <w:rsid w:val="00F81E14"/>
    <w:rsid w:val="00F81E78"/>
    <w:rsid w:val="00F82105"/>
    <w:rsid w:val="00F82D42"/>
    <w:rsid w:val="00F83362"/>
    <w:rsid w:val="00F835D8"/>
    <w:rsid w:val="00F83916"/>
    <w:rsid w:val="00F841FC"/>
    <w:rsid w:val="00F84568"/>
    <w:rsid w:val="00F84CD7"/>
    <w:rsid w:val="00F851CE"/>
    <w:rsid w:val="00F859AB"/>
    <w:rsid w:val="00F86343"/>
    <w:rsid w:val="00F86460"/>
    <w:rsid w:val="00F868FE"/>
    <w:rsid w:val="00F86CC4"/>
    <w:rsid w:val="00F870CA"/>
    <w:rsid w:val="00F8723C"/>
    <w:rsid w:val="00F872D8"/>
    <w:rsid w:val="00F87A1E"/>
    <w:rsid w:val="00F87B8F"/>
    <w:rsid w:val="00F87E50"/>
    <w:rsid w:val="00F87EFD"/>
    <w:rsid w:val="00F87FDD"/>
    <w:rsid w:val="00F909B4"/>
    <w:rsid w:val="00F90BB7"/>
    <w:rsid w:val="00F91219"/>
    <w:rsid w:val="00F9122F"/>
    <w:rsid w:val="00F915C8"/>
    <w:rsid w:val="00F92444"/>
    <w:rsid w:val="00F92A31"/>
    <w:rsid w:val="00F92A79"/>
    <w:rsid w:val="00F92EDE"/>
    <w:rsid w:val="00F930AA"/>
    <w:rsid w:val="00F9317D"/>
    <w:rsid w:val="00F936B7"/>
    <w:rsid w:val="00F9393E"/>
    <w:rsid w:val="00F93A4F"/>
    <w:rsid w:val="00F93C5C"/>
    <w:rsid w:val="00F94686"/>
    <w:rsid w:val="00F94C4E"/>
    <w:rsid w:val="00F94CF5"/>
    <w:rsid w:val="00F95286"/>
    <w:rsid w:val="00F96349"/>
    <w:rsid w:val="00F9698C"/>
    <w:rsid w:val="00F9698D"/>
    <w:rsid w:val="00F96BF6"/>
    <w:rsid w:val="00F96D3B"/>
    <w:rsid w:val="00F96FD0"/>
    <w:rsid w:val="00F9741D"/>
    <w:rsid w:val="00F97621"/>
    <w:rsid w:val="00F9777E"/>
    <w:rsid w:val="00F97A78"/>
    <w:rsid w:val="00FA0203"/>
    <w:rsid w:val="00FA0332"/>
    <w:rsid w:val="00FA0430"/>
    <w:rsid w:val="00FA06AD"/>
    <w:rsid w:val="00FA0B20"/>
    <w:rsid w:val="00FA0B3D"/>
    <w:rsid w:val="00FA0C68"/>
    <w:rsid w:val="00FA1011"/>
    <w:rsid w:val="00FA1367"/>
    <w:rsid w:val="00FA16E3"/>
    <w:rsid w:val="00FA17C0"/>
    <w:rsid w:val="00FA1F12"/>
    <w:rsid w:val="00FA2079"/>
    <w:rsid w:val="00FA20D7"/>
    <w:rsid w:val="00FA240F"/>
    <w:rsid w:val="00FA24E7"/>
    <w:rsid w:val="00FA282D"/>
    <w:rsid w:val="00FA2838"/>
    <w:rsid w:val="00FA2F17"/>
    <w:rsid w:val="00FA31B3"/>
    <w:rsid w:val="00FA4076"/>
    <w:rsid w:val="00FA40A3"/>
    <w:rsid w:val="00FA40B5"/>
    <w:rsid w:val="00FA4530"/>
    <w:rsid w:val="00FA4BCA"/>
    <w:rsid w:val="00FA52B1"/>
    <w:rsid w:val="00FA5478"/>
    <w:rsid w:val="00FA55F6"/>
    <w:rsid w:val="00FA5AD0"/>
    <w:rsid w:val="00FA5D6A"/>
    <w:rsid w:val="00FA5EE6"/>
    <w:rsid w:val="00FA5F95"/>
    <w:rsid w:val="00FA6361"/>
    <w:rsid w:val="00FA6BE3"/>
    <w:rsid w:val="00FA7507"/>
    <w:rsid w:val="00FA7956"/>
    <w:rsid w:val="00FB0131"/>
    <w:rsid w:val="00FB0150"/>
    <w:rsid w:val="00FB05B3"/>
    <w:rsid w:val="00FB0697"/>
    <w:rsid w:val="00FB0824"/>
    <w:rsid w:val="00FB0AB9"/>
    <w:rsid w:val="00FB0C3D"/>
    <w:rsid w:val="00FB0F60"/>
    <w:rsid w:val="00FB1043"/>
    <w:rsid w:val="00FB1877"/>
    <w:rsid w:val="00FB1E4B"/>
    <w:rsid w:val="00FB2270"/>
    <w:rsid w:val="00FB2C6D"/>
    <w:rsid w:val="00FB2FCB"/>
    <w:rsid w:val="00FB30F8"/>
    <w:rsid w:val="00FB3518"/>
    <w:rsid w:val="00FB3830"/>
    <w:rsid w:val="00FB3831"/>
    <w:rsid w:val="00FB3AF3"/>
    <w:rsid w:val="00FB3E40"/>
    <w:rsid w:val="00FB3E70"/>
    <w:rsid w:val="00FB4523"/>
    <w:rsid w:val="00FB4A8F"/>
    <w:rsid w:val="00FB4C9C"/>
    <w:rsid w:val="00FB4D5D"/>
    <w:rsid w:val="00FB4D96"/>
    <w:rsid w:val="00FB50EA"/>
    <w:rsid w:val="00FB5131"/>
    <w:rsid w:val="00FB552A"/>
    <w:rsid w:val="00FB55D3"/>
    <w:rsid w:val="00FB5FF2"/>
    <w:rsid w:val="00FB6083"/>
    <w:rsid w:val="00FB62A5"/>
    <w:rsid w:val="00FB6ACB"/>
    <w:rsid w:val="00FB778A"/>
    <w:rsid w:val="00FB7870"/>
    <w:rsid w:val="00FB7A00"/>
    <w:rsid w:val="00FB7B53"/>
    <w:rsid w:val="00FB7C55"/>
    <w:rsid w:val="00FB7EEA"/>
    <w:rsid w:val="00FB7F3B"/>
    <w:rsid w:val="00FC0B68"/>
    <w:rsid w:val="00FC1074"/>
    <w:rsid w:val="00FC1884"/>
    <w:rsid w:val="00FC262F"/>
    <w:rsid w:val="00FC29C1"/>
    <w:rsid w:val="00FC2C5E"/>
    <w:rsid w:val="00FC2F99"/>
    <w:rsid w:val="00FC3384"/>
    <w:rsid w:val="00FC359F"/>
    <w:rsid w:val="00FC3683"/>
    <w:rsid w:val="00FC371D"/>
    <w:rsid w:val="00FC3D7D"/>
    <w:rsid w:val="00FC410B"/>
    <w:rsid w:val="00FC42B3"/>
    <w:rsid w:val="00FC47AF"/>
    <w:rsid w:val="00FC5142"/>
    <w:rsid w:val="00FC5AC2"/>
    <w:rsid w:val="00FC5F0B"/>
    <w:rsid w:val="00FC626A"/>
    <w:rsid w:val="00FC6649"/>
    <w:rsid w:val="00FC68BD"/>
    <w:rsid w:val="00FC6944"/>
    <w:rsid w:val="00FC6AC3"/>
    <w:rsid w:val="00FC6C2A"/>
    <w:rsid w:val="00FC6CD7"/>
    <w:rsid w:val="00FC7535"/>
    <w:rsid w:val="00FC7608"/>
    <w:rsid w:val="00FD07CD"/>
    <w:rsid w:val="00FD0BBB"/>
    <w:rsid w:val="00FD1AB4"/>
    <w:rsid w:val="00FD1C48"/>
    <w:rsid w:val="00FD1D39"/>
    <w:rsid w:val="00FD1E81"/>
    <w:rsid w:val="00FD1F12"/>
    <w:rsid w:val="00FD202F"/>
    <w:rsid w:val="00FD20C0"/>
    <w:rsid w:val="00FD2100"/>
    <w:rsid w:val="00FD2476"/>
    <w:rsid w:val="00FD287D"/>
    <w:rsid w:val="00FD2C7F"/>
    <w:rsid w:val="00FD2D52"/>
    <w:rsid w:val="00FD2D72"/>
    <w:rsid w:val="00FD3587"/>
    <w:rsid w:val="00FD374C"/>
    <w:rsid w:val="00FD39CE"/>
    <w:rsid w:val="00FD3B20"/>
    <w:rsid w:val="00FD3FFB"/>
    <w:rsid w:val="00FD436C"/>
    <w:rsid w:val="00FD446D"/>
    <w:rsid w:val="00FD45D2"/>
    <w:rsid w:val="00FD464E"/>
    <w:rsid w:val="00FD48E9"/>
    <w:rsid w:val="00FD4CF8"/>
    <w:rsid w:val="00FD4ECB"/>
    <w:rsid w:val="00FD4F2C"/>
    <w:rsid w:val="00FD505C"/>
    <w:rsid w:val="00FD53F9"/>
    <w:rsid w:val="00FD5A21"/>
    <w:rsid w:val="00FD5B56"/>
    <w:rsid w:val="00FD5DED"/>
    <w:rsid w:val="00FD6041"/>
    <w:rsid w:val="00FD6394"/>
    <w:rsid w:val="00FD6583"/>
    <w:rsid w:val="00FD659F"/>
    <w:rsid w:val="00FD6E06"/>
    <w:rsid w:val="00FD6F2A"/>
    <w:rsid w:val="00FD6F82"/>
    <w:rsid w:val="00FD734A"/>
    <w:rsid w:val="00FD73C6"/>
    <w:rsid w:val="00FD75BA"/>
    <w:rsid w:val="00FD7846"/>
    <w:rsid w:val="00FD78D7"/>
    <w:rsid w:val="00FD78F8"/>
    <w:rsid w:val="00FE0096"/>
    <w:rsid w:val="00FE06BF"/>
    <w:rsid w:val="00FE06E0"/>
    <w:rsid w:val="00FE0918"/>
    <w:rsid w:val="00FE0E6C"/>
    <w:rsid w:val="00FE1540"/>
    <w:rsid w:val="00FE194B"/>
    <w:rsid w:val="00FE1CDC"/>
    <w:rsid w:val="00FE254D"/>
    <w:rsid w:val="00FE2626"/>
    <w:rsid w:val="00FE2B20"/>
    <w:rsid w:val="00FE30D5"/>
    <w:rsid w:val="00FE32CB"/>
    <w:rsid w:val="00FE39B2"/>
    <w:rsid w:val="00FE3A93"/>
    <w:rsid w:val="00FE3BD5"/>
    <w:rsid w:val="00FE3C10"/>
    <w:rsid w:val="00FE3CD0"/>
    <w:rsid w:val="00FE3E14"/>
    <w:rsid w:val="00FE4304"/>
    <w:rsid w:val="00FE4312"/>
    <w:rsid w:val="00FE495C"/>
    <w:rsid w:val="00FE49D8"/>
    <w:rsid w:val="00FE4E78"/>
    <w:rsid w:val="00FE4F12"/>
    <w:rsid w:val="00FE51C4"/>
    <w:rsid w:val="00FE5331"/>
    <w:rsid w:val="00FE53D2"/>
    <w:rsid w:val="00FE549D"/>
    <w:rsid w:val="00FE5874"/>
    <w:rsid w:val="00FE5BF9"/>
    <w:rsid w:val="00FE5D57"/>
    <w:rsid w:val="00FE5EC4"/>
    <w:rsid w:val="00FE6189"/>
    <w:rsid w:val="00FE6490"/>
    <w:rsid w:val="00FE65F8"/>
    <w:rsid w:val="00FE6BA5"/>
    <w:rsid w:val="00FE70C3"/>
    <w:rsid w:val="00FE7917"/>
    <w:rsid w:val="00FE7CB2"/>
    <w:rsid w:val="00FF00E2"/>
    <w:rsid w:val="00FF05B3"/>
    <w:rsid w:val="00FF0723"/>
    <w:rsid w:val="00FF07A5"/>
    <w:rsid w:val="00FF0B61"/>
    <w:rsid w:val="00FF0F04"/>
    <w:rsid w:val="00FF0FBD"/>
    <w:rsid w:val="00FF1409"/>
    <w:rsid w:val="00FF15E4"/>
    <w:rsid w:val="00FF1753"/>
    <w:rsid w:val="00FF1A8B"/>
    <w:rsid w:val="00FF20BA"/>
    <w:rsid w:val="00FF2418"/>
    <w:rsid w:val="00FF27BE"/>
    <w:rsid w:val="00FF286F"/>
    <w:rsid w:val="00FF2AD9"/>
    <w:rsid w:val="00FF2CE0"/>
    <w:rsid w:val="00FF2EB9"/>
    <w:rsid w:val="00FF2FDA"/>
    <w:rsid w:val="00FF32BD"/>
    <w:rsid w:val="00FF350D"/>
    <w:rsid w:val="00FF359F"/>
    <w:rsid w:val="00FF399A"/>
    <w:rsid w:val="00FF3DCF"/>
    <w:rsid w:val="00FF478B"/>
    <w:rsid w:val="00FF492C"/>
    <w:rsid w:val="00FF4A21"/>
    <w:rsid w:val="00FF4A66"/>
    <w:rsid w:val="00FF4F1C"/>
    <w:rsid w:val="00FF527D"/>
    <w:rsid w:val="00FF537D"/>
    <w:rsid w:val="00FF57A7"/>
    <w:rsid w:val="00FF5820"/>
    <w:rsid w:val="00FF5AA3"/>
    <w:rsid w:val="00FF5AD8"/>
    <w:rsid w:val="00FF601A"/>
    <w:rsid w:val="00FF6046"/>
    <w:rsid w:val="00FF6288"/>
    <w:rsid w:val="00FF6829"/>
    <w:rsid w:val="00FF6B5F"/>
    <w:rsid w:val="00FF7533"/>
    <w:rsid w:val="00FF7771"/>
    <w:rsid w:val="00FF7BA5"/>
    <w:rsid w:val="12C8D381"/>
    <w:rsid w:val="1957C1FE"/>
    <w:rsid w:val="19ECD237"/>
    <w:rsid w:val="65BDF6FB"/>
    <w:rsid w:val="69DAC9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AFB"/>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Tableheadingrow">
    <w:name w:val="COM Table heading row"/>
    <w:basedOn w:val="Normal"/>
    <w:next w:val="COMTabletext"/>
    <w:qFormat/>
    <w:rsid w:val="00F46BEB"/>
    <w:pPr>
      <w:keepNext/>
      <w:keepLines/>
      <w:jc w:val="left"/>
    </w:pPr>
    <w:rPr>
      <w:rFonts w:ascii="Arial Narrow" w:hAnsi="Arial Narrow"/>
      <w:b/>
      <w:bCs/>
      <w:sz w:val="20"/>
      <w:szCs w:val="20"/>
    </w:rPr>
  </w:style>
  <w:style w:type="paragraph" w:customStyle="1" w:styleId="COMBodyH2Numbered">
    <w:name w:val="COM Body H2 Numbered"/>
    <w:basedOn w:val="Heading2"/>
    <w:qFormat/>
    <w:rsid w:val="00CF6C85"/>
    <w:pPr>
      <w:keepNext/>
      <w:spacing w:after="240"/>
    </w:pPr>
  </w:style>
  <w:style w:type="paragraph" w:customStyle="1" w:styleId="COMBodyH1Numbered">
    <w:name w:val="COM Body H1 Numbered"/>
    <w:basedOn w:val="COMESH2"/>
    <w:qFormat/>
    <w:rsid w:val="00684679"/>
    <w:pPr>
      <w:numPr>
        <w:numId w:val="0"/>
      </w:numPr>
    </w:pPr>
  </w:style>
  <w:style w:type="paragraph" w:customStyle="1" w:styleId="COMBodyH3">
    <w:name w:val="COM Body H3"/>
    <w:basedOn w:val="Normal"/>
    <w:qFormat/>
    <w:rsid w:val="00252F9D"/>
    <w:pPr>
      <w:keepNext/>
      <w:spacing w:after="180"/>
      <w:outlineLvl w:val="2"/>
    </w:pPr>
    <w:rPr>
      <w:b/>
      <w:sz w:val="28"/>
      <w:szCs w:val="28"/>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
    <w:link w:val="ListParagraphChar"/>
    <w:uiPriority w:val="34"/>
    <w:qFormat/>
    <w:rsid w:val="004C3B02"/>
    <w:pPr>
      <w:numPr>
        <w:numId w:val="4"/>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
    <w:basedOn w:val="DefaultParagraphFont"/>
    <w:link w:val="ListParagraph"/>
    <w:uiPriority w:val="34"/>
    <w:qFormat/>
    <w:locked/>
    <w:rsid w:val="004C3B02"/>
    <w:rPr>
      <w:rFonts w:asciiTheme="minorHAnsi" w:hAnsiTheme="minorHAnsi" w:cs="Arial"/>
      <w:snapToGrid w:val="0"/>
      <w:sz w:val="24"/>
      <w:szCs w:val="24"/>
    </w:rPr>
  </w:style>
  <w:style w:type="paragraph" w:styleId="Header">
    <w:name w:val="header"/>
    <w:basedOn w:val="Normal"/>
    <w:link w:val="HeaderChar"/>
    <w:uiPriority w:val="99"/>
    <w:qFormat/>
    <w:rsid w:val="00B94414"/>
    <w:pPr>
      <w:keepNext/>
      <w:tabs>
        <w:tab w:val="center" w:pos="4513"/>
        <w:tab w:val="right" w:pos="9026"/>
      </w:tabs>
      <w:jc w:val="center"/>
    </w:pPr>
    <w:rPr>
      <w:rFonts w:asciiTheme="minorHAnsi" w:hAnsiTheme="minorHAnsi"/>
      <w:i/>
      <w:iCs/>
      <w:color w:val="808080"/>
    </w:rPr>
  </w:style>
  <w:style w:type="character" w:customStyle="1" w:styleId="HeaderChar">
    <w:name w:val="Header Char"/>
    <w:basedOn w:val="DefaultParagraphFont"/>
    <w:link w:val="Header"/>
    <w:uiPriority w:val="99"/>
    <w:rsid w:val="00B94414"/>
    <w:rPr>
      <w:rFonts w:asciiTheme="minorHAnsi" w:hAnsiTheme="minorHAnsi" w:cs="Arial"/>
      <w:i/>
      <w:iCs/>
      <w:color w:val="808080"/>
      <w:sz w:val="24"/>
      <w:szCs w:val="24"/>
    </w:rPr>
  </w:style>
  <w:style w:type="table" w:styleId="TableGrid">
    <w:name w:val="Table Grid"/>
    <w:aliases w:val="Summary box,Table Gridbeth,CMA Table Template,ASD Table,Lash Style Table,PBAC table,HTAtableplain,new style,MSD Table Grid,Dossier table,Section 3- footnotes,Summary Table,Tabellengitternetz 9pt,Table Grid No Line,Legemiddelverket 3"/>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68467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customStyle="1" w:styleId="Templateinstructionsbulletpoints">
    <w:name w:val="Template instructions bullet points"/>
    <w:basedOn w:val="ListParagraph"/>
    <w:rsid w:val="00B70E8E"/>
    <w:pPr>
      <w:numPr>
        <w:numId w:val="2"/>
      </w:numPr>
      <w:contextualSpacing/>
    </w:p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D92D9D"/>
    <w:pPr>
      <w:keepNext/>
      <w:keepLines/>
    </w:pPr>
    <w:rPr>
      <w:rFonts w:ascii="Arial Narrow" w:eastAsiaTheme="majorEastAsia" w:hAnsi="Arial Narrow" w:cstheme="majorBidi"/>
      <w:bCs/>
      <w:szCs w:val="24"/>
    </w:rPr>
  </w:style>
  <w:style w:type="paragraph" w:customStyle="1" w:styleId="COMBodybulletlist">
    <w:name w:val="COM Body bullet list"/>
    <w:basedOn w:val="Normal"/>
    <w:link w:val="COMBodybulletlistChar"/>
    <w:qFormat/>
    <w:rsid w:val="00994A19"/>
    <w:pPr>
      <w:numPr>
        <w:numId w:val="6"/>
      </w:numPr>
      <w:contextualSpacing/>
    </w:pPr>
  </w:style>
  <w:style w:type="paragraph" w:customStyle="1" w:styleId="COMESH2">
    <w:name w:val="COM ES H2"/>
    <w:next w:val="COMESnumberedpara"/>
    <w:qFormat/>
    <w:rsid w:val="004C3B02"/>
    <w:pPr>
      <w:keepNext/>
      <w:numPr>
        <w:numId w:val="1"/>
      </w:numPr>
      <w:spacing w:before="240" w:after="120"/>
      <w:outlineLvl w:val="0"/>
    </w:pPr>
    <w:rPr>
      <w:rFonts w:asciiTheme="minorHAnsi" w:hAnsiTheme="minorHAnsi" w:cs="Arial"/>
      <w:b/>
      <w:snapToGrid w:val="0"/>
      <w:sz w:val="32"/>
      <w:szCs w:val="32"/>
    </w:rPr>
  </w:style>
  <w:style w:type="paragraph" w:customStyle="1" w:styleId="COMH1-notnumbered">
    <w:name w:val="COM H1 - not numbered"/>
    <w:next w:val="COMESH2"/>
    <w:link w:val="COMH1-notnumberedChar"/>
    <w:qFormat/>
    <w:rsid w:val="00684679"/>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H1-notnumberedChar">
    <w:name w:val="COM H1 - not numbered Char"/>
    <w:basedOn w:val="DefaultParagraphFont"/>
    <w:link w:val="COMH1-notnumbered"/>
    <w:rsid w:val="00684679"/>
    <w:rPr>
      <w:rFonts w:asciiTheme="minorHAnsi" w:eastAsiaTheme="majorEastAsia" w:hAnsiTheme="minorHAnsi" w:cstheme="majorBidi"/>
      <w:b/>
      <w:spacing w:val="5"/>
      <w:kern w:val="28"/>
      <w:sz w:val="36"/>
      <w:szCs w:val="36"/>
    </w:rPr>
  </w:style>
  <w:style w:type="paragraph" w:customStyle="1" w:styleId="COMTableFigurecaption">
    <w:name w:val="COM Table/Figure caption"/>
    <w:next w:val="Normal"/>
    <w:link w:val="COMTableFigurecaptionChar"/>
    <w:qFormat/>
    <w:rsid w:val="004C3B02"/>
    <w:pPr>
      <w:keepNext/>
    </w:pPr>
    <w:rPr>
      <w:rFonts w:ascii="Arial Narrow" w:eastAsiaTheme="majorEastAsia" w:hAnsi="Arial Narrow" w:cstheme="majorBidi"/>
      <w:b/>
      <w:bCs/>
      <w:szCs w:val="24"/>
    </w:rPr>
  </w:style>
  <w:style w:type="character" w:customStyle="1" w:styleId="COMTableFigurecaptionChar">
    <w:name w:val="COM Table/Figure caption Char"/>
    <w:basedOn w:val="DefaultParagraphFont"/>
    <w:link w:val="COMTableFigurecaption"/>
    <w:rsid w:val="004C3B02"/>
    <w:rPr>
      <w:rFonts w:ascii="Arial Narrow" w:eastAsiaTheme="majorEastAsia" w:hAnsi="Arial Narrow" w:cstheme="majorBidi"/>
      <w:b/>
      <w:bCs/>
      <w:szCs w:val="24"/>
    </w:rPr>
  </w:style>
  <w:style w:type="paragraph" w:customStyle="1" w:styleId="COMESnumberedpara">
    <w:name w:val="COM ES numbered para"/>
    <w:link w:val="COMESnumberedparaChar"/>
    <w:qFormat/>
    <w:rsid w:val="004C3B02"/>
    <w:pPr>
      <w:numPr>
        <w:ilvl w:val="1"/>
        <w:numId w:val="1"/>
      </w:numPr>
      <w:spacing w:before="60" w:after="60"/>
      <w:jc w:val="both"/>
    </w:pPr>
    <w:rPr>
      <w:rFonts w:asciiTheme="minorHAnsi" w:eastAsiaTheme="minorHAnsi" w:hAnsiTheme="minorHAnsi" w:cstheme="minorBidi"/>
      <w:sz w:val="24"/>
      <w:szCs w:val="22"/>
    </w:rPr>
  </w:style>
  <w:style w:type="character" w:customStyle="1" w:styleId="COMESnumberedparaChar">
    <w:name w:val="COM ES numbered para Char"/>
    <w:basedOn w:val="ListParagraphChar"/>
    <w:link w:val="COMESnumberedpara"/>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COMTablefooter">
    <w:name w:val="COM Table footer"/>
    <w:basedOn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ESSubsectionheading">
    <w:name w:val="COM ES Subsection heading"/>
    <w:basedOn w:val="Heading2"/>
    <w:next w:val="COMESnumberedpara"/>
    <w:link w:val="COMESSubsectionheadingChar"/>
    <w:autoRedefine/>
    <w:qFormat/>
    <w:rsid w:val="004548D7"/>
    <w:pPr>
      <w:keepNext/>
      <w:spacing w:before="160" w:after="160"/>
    </w:pPr>
    <w:rPr>
      <w:rFonts w:asciiTheme="minorHAnsi" w:eastAsiaTheme="majorEastAsia" w:hAnsiTheme="minorHAnsi" w:cstheme="minorHAnsi"/>
      <w:color w:val="000000" w:themeColor="text1"/>
      <w:spacing w:val="5"/>
      <w:kern w:val="28"/>
      <w:szCs w:val="36"/>
      <w:lang w:eastAsia="en-US"/>
    </w:rPr>
  </w:style>
  <w:style w:type="character" w:customStyle="1" w:styleId="COMESSubsectionheadingChar">
    <w:name w:val="COM ES Subsection heading Char"/>
    <w:basedOn w:val="Heading2Char"/>
    <w:link w:val="COMESSubsectionheading"/>
    <w:rsid w:val="004548D7"/>
    <w:rPr>
      <w:rFonts w:asciiTheme="minorHAnsi" w:eastAsiaTheme="majorEastAsia" w:hAnsiTheme="minorHAnsi" w:cstheme="minorHAnsi"/>
      <w:b/>
      <w:i/>
      <w:snapToGrid/>
      <w:color w:val="000000" w:themeColor="text1"/>
      <w:spacing w:val="5"/>
      <w:kern w:val="28"/>
      <w:sz w:val="28"/>
      <w:szCs w:val="36"/>
      <w:lang w:eastAsia="en-US"/>
    </w:rPr>
  </w:style>
  <w:style w:type="paragraph" w:customStyle="1" w:styleId="COMCICheadings">
    <w:name w:val="COM CIC headings"/>
    <w:basedOn w:val="Heading3"/>
    <w:next w:val="COMESnumberedpara"/>
    <w:link w:val="COMCICheadings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COMCICheadingsChar">
    <w:name w:val="COM CIC headings Char"/>
    <w:basedOn w:val="DefaultParagraphFont"/>
    <w:link w:val="COMCICheadings"/>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COMTabletextChar">
    <w:name w:val="COM Table text Char"/>
    <w:basedOn w:val="DefaultParagraphFont"/>
    <w:link w:val="COMTabletext"/>
    <w:rsid w:val="00D92D9D"/>
    <w:rPr>
      <w:rFonts w:ascii="Arial Narrow" w:eastAsiaTheme="majorEastAsia" w:hAnsi="Arial Narrow" w:cstheme="majorBidi"/>
      <w:bCs/>
      <w:szCs w:val="24"/>
    </w:rPr>
  </w:style>
  <w:style w:type="paragraph" w:customStyle="1" w:styleId="bullet">
    <w:name w:val="bullet"/>
    <w:basedOn w:val="ListParagraph"/>
    <w:link w:val="bulletChar"/>
    <w:rsid w:val="00D30D5B"/>
    <w:pPr>
      <w:numPr>
        <w:numId w:val="3"/>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character" w:customStyle="1" w:styleId="COMBodybulletlistChar">
    <w:name w:val="COM Body bullet list Char"/>
    <w:basedOn w:val="DefaultParagraphFont"/>
    <w:link w:val="COMBodybulletlist"/>
    <w:rsid w:val="00994A19"/>
    <w:rPr>
      <w:rFonts w:ascii="Calibri" w:hAnsi="Calibri" w:cs="Arial"/>
      <w:sz w:val="24"/>
      <w:szCs w:val="24"/>
    </w:rPr>
  </w:style>
  <w:style w:type="paragraph" w:customStyle="1" w:styleId="COMESbulletlist">
    <w:name w:val="COM ES bullet list"/>
    <w:basedOn w:val="ListParagraph"/>
    <w:link w:val="COMESbulletlistChar"/>
    <w:qFormat/>
    <w:rsid w:val="009E40CF"/>
    <w:pPr>
      <w:spacing w:after="60"/>
      <w:ind w:left="1134" w:hanging="425"/>
      <w:jc w:val="both"/>
    </w:pPr>
    <w:rPr>
      <w:i/>
      <w:iCs/>
    </w:rPr>
  </w:style>
  <w:style w:type="character" w:customStyle="1" w:styleId="COMESbulletlistChar">
    <w:name w:val="COM ES bullet list Char"/>
    <w:basedOn w:val="DefaultParagraphFont"/>
    <w:link w:val="COMESbulletlist"/>
    <w:rsid w:val="009E40CF"/>
    <w:rPr>
      <w:rFonts w:asciiTheme="minorHAnsi" w:hAnsiTheme="minorHAnsi" w:cs="Arial"/>
      <w:i/>
      <w:iCs/>
      <w:snapToGrid w:val="0"/>
      <w:sz w:val="24"/>
      <w:szCs w:val="24"/>
    </w:rPr>
  </w:style>
  <w:style w:type="paragraph" w:customStyle="1" w:styleId="COMBodytext">
    <w:name w:val="COM Body text"/>
    <w:basedOn w:val="Normal"/>
    <w:qFormat/>
    <w:rsid w:val="00994A19"/>
  </w:style>
  <w:style w:type="character" w:styleId="UnresolvedMention">
    <w:name w:val="Unresolved Mention"/>
    <w:basedOn w:val="DefaultParagraphFont"/>
    <w:uiPriority w:val="99"/>
    <w:semiHidden/>
    <w:unhideWhenUsed/>
    <w:rsid w:val="00684679"/>
    <w:rPr>
      <w:color w:val="605E5C"/>
      <w:shd w:val="clear" w:color="auto" w:fill="E1DFDD"/>
    </w:rPr>
  </w:style>
  <w:style w:type="paragraph" w:customStyle="1" w:styleId="COMBodyH4">
    <w:name w:val="COM Body H4"/>
    <w:basedOn w:val="Normal"/>
    <w:next w:val="COMBodytext"/>
    <w:link w:val="COMBodyH4Char"/>
    <w:qFormat/>
    <w:rsid w:val="00466B8C"/>
    <w:pPr>
      <w:keepNext/>
      <w:spacing w:after="120"/>
      <w:outlineLvl w:val="3"/>
    </w:pPr>
    <w:rPr>
      <w:b/>
      <w:i/>
    </w:rPr>
  </w:style>
  <w:style w:type="character" w:customStyle="1" w:styleId="COMBodyH4Char">
    <w:name w:val="COM Body H4 Char"/>
    <w:basedOn w:val="DefaultParagraphFont"/>
    <w:link w:val="COMBodyH4"/>
    <w:rsid w:val="00466B8C"/>
    <w:rPr>
      <w:rFonts w:ascii="Calibri" w:hAnsi="Calibri" w:cs="Arial"/>
      <w:b/>
      <w:i/>
      <w:sz w:val="24"/>
      <w:szCs w:val="24"/>
    </w:rPr>
  </w:style>
  <w:style w:type="paragraph" w:customStyle="1" w:styleId="COMESmainissuesbullets">
    <w:name w:val="COM ES main issues bullets"/>
    <w:basedOn w:val="Normal"/>
    <w:link w:val="COMESmainissuesbulletsChar"/>
    <w:qFormat/>
    <w:rsid w:val="005914E0"/>
    <w:pPr>
      <w:numPr>
        <w:numId w:val="7"/>
      </w:numPr>
      <w:spacing w:after="120"/>
    </w:pPr>
    <w:rPr>
      <w:rFonts w:asciiTheme="minorHAnsi" w:hAnsiTheme="minorHAnsi"/>
      <w:snapToGrid w:val="0"/>
    </w:rPr>
  </w:style>
  <w:style w:type="character" w:customStyle="1" w:styleId="COMESmainissuesbulletsChar">
    <w:name w:val="COM ES main issues bullets Char"/>
    <w:basedOn w:val="DefaultParagraphFont"/>
    <w:link w:val="COMESmainissuesbullets"/>
    <w:rsid w:val="005914E0"/>
    <w:rPr>
      <w:rFonts w:asciiTheme="minorHAnsi" w:hAnsiTheme="minorHAnsi" w:cs="Arial"/>
      <w:snapToGrid w:val="0"/>
      <w:sz w:val="24"/>
      <w:szCs w:val="24"/>
    </w:rPr>
  </w:style>
  <w:style w:type="paragraph" w:customStyle="1" w:styleId="COMESH2-notnumbered">
    <w:name w:val="COM ES H2-not numbered"/>
    <w:basedOn w:val="COMESH2"/>
    <w:next w:val="COMBodytext"/>
    <w:qFormat/>
    <w:rsid w:val="00111F99"/>
    <w:pPr>
      <w:numPr>
        <w:numId w:val="0"/>
      </w:numPr>
    </w:pPr>
  </w:style>
  <w:style w:type="paragraph" w:styleId="Footer">
    <w:name w:val="footer"/>
    <w:basedOn w:val="Normal"/>
    <w:link w:val="FooterChar"/>
    <w:uiPriority w:val="99"/>
    <w:unhideWhenUsed/>
    <w:rsid w:val="00506124"/>
    <w:pPr>
      <w:tabs>
        <w:tab w:val="center" w:pos="4513"/>
        <w:tab w:val="right" w:pos="9026"/>
      </w:tabs>
    </w:pPr>
  </w:style>
  <w:style w:type="character" w:customStyle="1" w:styleId="FooterChar">
    <w:name w:val="Footer Char"/>
    <w:basedOn w:val="DefaultParagraphFont"/>
    <w:link w:val="Footer"/>
    <w:uiPriority w:val="99"/>
    <w:rsid w:val="00506124"/>
    <w:rPr>
      <w:rFonts w:ascii="Calibri" w:hAnsi="Calibri" w:cs="Arial"/>
      <w:sz w:val="24"/>
      <w:szCs w:val="24"/>
    </w:rPr>
  </w:style>
  <w:style w:type="paragraph" w:customStyle="1" w:styleId="COMtablefigcaption">
    <w:name w:val="COM table/fig caption"/>
    <w:next w:val="COMTableheadingrow"/>
    <w:link w:val="COMtablefigcaptionChar"/>
    <w:qFormat/>
    <w:rsid w:val="009B1D51"/>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9B1D51"/>
    <w:rPr>
      <w:rFonts w:ascii="Arial Narrow" w:eastAsiaTheme="majorEastAsia" w:hAnsi="Arial Narrow" w:cstheme="majorBidi"/>
      <w:b/>
      <w:bCs/>
      <w:szCs w:val="24"/>
    </w:rPr>
  </w:style>
  <w:style w:type="character" w:styleId="CommentReference">
    <w:name w:val="annotation reference"/>
    <w:aliases w:val="Table Title,-H18,Annotationmark"/>
    <w:basedOn w:val="DefaultParagraphFont"/>
    <w:uiPriority w:val="99"/>
    <w:unhideWhenUsed/>
    <w:qFormat/>
    <w:rsid w:val="00AB6A89"/>
    <w:rPr>
      <w:sz w:val="16"/>
      <w:szCs w:val="16"/>
    </w:rPr>
  </w:style>
  <w:style w:type="paragraph" w:styleId="CommentText">
    <w:name w:val="annotation text"/>
    <w:aliases w:val="Comment Text Char Char Char,Comment Text Char Char,- H19,Comment Text Char2,Comment Text Char Char1,Comment Text Char2 Char Char,Comment Text Char Char1 Char Char,Comment Text Char2 Char Char Char Char"/>
    <w:basedOn w:val="Normal"/>
    <w:link w:val="CommentTextChar"/>
    <w:unhideWhenUsed/>
    <w:qFormat/>
    <w:rsid w:val="00AB6A89"/>
    <w:rPr>
      <w:sz w:val="20"/>
      <w:szCs w:val="20"/>
    </w:rPr>
  </w:style>
  <w:style w:type="character" w:customStyle="1" w:styleId="CommentTextChar">
    <w:name w:val="Comment Text Char"/>
    <w:aliases w:val="Comment Text Char Char Char Char,Comment Text Char Char Char1,- H19 Char,Comment Text Char2 Char,Comment Text Char Char1 Char,Comment Text Char2 Char Char Char,Comment Text Char Char1 Char Char Char"/>
    <w:basedOn w:val="DefaultParagraphFont"/>
    <w:link w:val="CommentText"/>
    <w:rsid w:val="00AB6A89"/>
    <w:rPr>
      <w:rFonts w:ascii="Calibri" w:hAnsi="Calibri" w:cs="Arial"/>
    </w:rPr>
  </w:style>
  <w:style w:type="paragraph" w:styleId="CommentSubject">
    <w:name w:val="annotation subject"/>
    <w:basedOn w:val="CommentText"/>
    <w:next w:val="CommentText"/>
    <w:link w:val="CommentSubjectChar"/>
    <w:uiPriority w:val="99"/>
    <w:semiHidden/>
    <w:unhideWhenUsed/>
    <w:rsid w:val="00AB6A89"/>
    <w:rPr>
      <w:b/>
      <w:bCs/>
    </w:rPr>
  </w:style>
  <w:style w:type="character" w:customStyle="1" w:styleId="CommentSubjectChar">
    <w:name w:val="Comment Subject Char"/>
    <w:basedOn w:val="CommentTextChar"/>
    <w:link w:val="CommentSubject"/>
    <w:uiPriority w:val="99"/>
    <w:semiHidden/>
    <w:rsid w:val="00AB6A89"/>
    <w:rPr>
      <w:rFonts w:ascii="Calibri" w:hAnsi="Calibri" w:cs="Arial"/>
      <w:b/>
      <w:bCs/>
    </w:rPr>
  </w:style>
  <w:style w:type="paragraph" w:styleId="NoSpacing">
    <w:name w:val="No Spacing"/>
    <w:aliases w:val="PBAC Table Footnote"/>
    <w:uiPriority w:val="1"/>
    <w:qFormat/>
    <w:rsid w:val="00F778A0"/>
    <w:pPr>
      <w:spacing w:after="120"/>
      <w:contextualSpacing/>
    </w:pPr>
    <w:rPr>
      <w:rFonts w:ascii="Aptos" w:eastAsiaTheme="minorHAnsi" w:hAnsi="Aptos" w:cs="Arial"/>
      <w:sz w:val="16"/>
      <w:lang w:val="en-US" w:eastAsia="en-US"/>
    </w:rPr>
  </w:style>
  <w:style w:type="paragraph" w:customStyle="1" w:styleId="PbacTableHeading">
    <w:name w:val="Pbac Table Heading"/>
    <w:basedOn w:val="Normal"/>
    <w:qFormat/>
    <w:rsid w:val="00311FB3"/>
    <w:pPr>
      <w:spacing w:after="80"/>
      <w:jc w:val="left"/>
    </w:pPr>
    <w:rPr>
      <w:rFonts w:ascii="Aptos Narrow" w:eastAsiaTheme="minorHAnsi" w:hAnsi="Aptos Narrow"/>
      <w:b/>
      <w:sz w:val="20"/>
      <w:szCs w:val="20"/>
      <w:lang w:eastAsia="en-US"/>
    </w:rPr>
  </w:style>
  <w:style w:type="paragraph" w:styleId="FootnoteText">
    <w:name w:val="footnote text"/>
    <w:basedOn w:val="Normal"/>
    <w:link w:val="FootnoteTextChar"/>
    <w:semiHidden/>
    <w:unhideWhenUsed/>
    <w:rsid w:val="00382559"/>
    <w:rPr>
      <w:sz w:val="20"/>
      <w:szCs w:val="20"/>
    </w:rPr>
  </w:style>
  <w:style w:type="character" w:customStyle="1" w:styleId="FootnoteTextChar">
    <w:name w:val="Footnote Text Char"/>
    <w:basedOn w:val="DefaultParagraphFont"/>
    <w:link w:val="FootnoteText"/>
    <w:semiHidden/>
    <w:rsid w:val="00382559"/>
    <w:rPr>
      <w:rFonts w:ascii="Calibri" w:hAnsi="Calibri" w:cs="Arial"/>
    </w:rPr>
  </w:style>
  <w:style w:type="character" w:styleId="FootnoteReference">
    <w:name w:val="footnote reference"/>
    <w:basedOn w:val="DefaultParagraphFont"/>
    <w:semiHidden/>
    <w:unhideWhenUsed/>
    <w:rsid w:val="00382559"/>
    <w:rPr>
      <w:vertAlign w:val="superscript"/>
    </w:rPr>
  </w:style>
  <w:style w:type="paragraph" w:customStyle="1" w:styleId="PBACTableText">
    <w:name w:val="PBAC Table Text"/>
    <w:basedOn w:val="Normal"/>
    <w:link w:val="PBACTableTextChar"/>
    <w:qFormat/>
    <w:rsid w:val="00983A7B"/>
    <w:pPr>
      <w:spacing w:before="40" w:after="40"/>
      <w:jc w:val="left"/>
    </w:pPr>
    <w:rPr>
      <w:rFonts w:ascii="Aptos Narrow" w:hAnsi="Aptos Narrow" w:cs="Times New Roman"/>
      <w:sz w:val="20"/>
      <w:szCs w:val="20"/>
      <w:lang w:eastAsia="zh-CN"/>
    </w:rPr>
  </w:style>
  <w:style w:type="character" w:customStyle="1" w:styleId="PBACTableTextChar">
    <w:name w:val="PBAC Table Text Char"/>
    <w:basedOn w:val="DefaultParagraphFont"/>
    <w:link w:val="PBACTableText"/>
    <w:rsid w:val="00983A7B"/>
    <w:rPr>
      <w:rFonts w:ascii="Aptos Narrow" w:hAnsi="Aptos Narrow"/>
      <w:lang w:eastAsia="zh-CN"/>
    </w:rPr>
  </w:style>
  <w:style w:type="paragraph" w:styleId="Caption">
    <w:name w:val="caption"/>
    <w:basedOn w:val="Normal"/>
    <w:next w:val="Normal"/>
    <w:unhideWhenUsed/>
    <w:rsid w:val="008B09E2"/>
    <w:pPr>
      <w:spacing w:after="200"/>
    </w:pPr>
    <w:rPr>
      <w:i/>
      <w:iCs/>
      <w:color w:val="1F497D" w:themeColor="text2"/>
      <w:sz w:val="18"/>
      <w:szCs w:val="18"/>
    </w:rPr>
  </w:style>
  <w:style w:type="paragraph" w:customStyle="1" w:styleId="xelementtoproof">
    <w:name w:val="x_elementtoproof"/>
    <w:basedOn w:val="Normal"/>
    <w:rsid w:val="003940DA"/>
    <w:pPr>
      <w:spacing w:before="100" w:beforeAutospacing="1" w:after="100" w:afterAutospacing="1"/>
      <w:jc w:val="left"/>
    </w:pPr>
    <w:rPr>
      <w:rFonts w:ascii="Times New Roman" w:hAnsi="Times New Roman" w:cs="Times New Roman"/>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A2990"/>
    <w:pPr>
      <w:spacing w:after="160" w:line="240" w:lineRule="exact"/>
      <w:jc w:val="left"/>
    </w:pPr>
    <w:rPr>
      <w:rFonts w:ascii="Verdana" w:eastAsia="MS Mincho" w:hAnsi="Verdana" w:cs="Verdana"/>
      <w:sz w:val="20"/>
      <w:szCs w:val="20"/>
      <w:lang w:val="en-US" w:eastAsia="en-US"/>
    </w:rPr>
  </w:style>
  <w:style w:type="character" w:customStyle="1" w:styleId="Heading1Char">
    <w:name w:val="Heading 1 Char"/>
    <w:basedOn w:val="DefaultParagraphFont"/>
    <w:link w:val="Heading1"/>
    <w:uiPriority w:val="1"/>
    <w:rsid w:val="009A2990"/>
    <w:rPr>
      <w:rFonts w:ascii="Calibri" w:hAnsi="Calibri" w:cs="Arial"/>
      <w:b/>
      <w:caps/>
      <w:sz w:val="32"/>
      <w:szCs w:val="24"/>
    </w:rPr>
  </w:style>
  <w:style w:type="character" w:customStyle="1" w:styleId="text-widget">
    <w:name w:val="text-widget"/>
    <w:basedOn w:val="DefaultParagraphFont"/>
    <w:rsid w:val="009A2990"/>
  </w:style>
  <w:style w:type="table" w:customStyle="1" w:styleId="TableGrid1">
    <w:name w:val="Table Grid1"/>
    <w:basedOn w:val="TableNormal"/>
    <w:next w:val="TableGrid"/>
    <w:uiPriority w:val="39"/>
    <w:rsid w:val="009A2990"/>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A2990"/>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A2990"/>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9A2990"/>
  </w:style>
  <w:style w:type="character" w:customStyle="1" w:styleId="eop">
    <w:name w:val="eop"/>
    <w:basedOn w:val="DefaultParagraphFont"/>
    <w:rsid w:val="009A2990"/>
  </w:style>
  <w:style w:type="numbering" w:customStyle="1" w:styleId="NoList1">
    <w:name w:val="No List1"/>
    <w:next w:val="NoList"/>
    <w:uiPriority w:val="99"/>
    <w:semiHidden/>
    <w:unhideWhenUsed/>
    <w:rsid w:val="009A2990"/>
  </w:style>
  <w:style w:type="paragraph" w:customStyle="1" w:styleId="msonormal0">
    <w:name w:val="msonormal"/>
    <w:basedOn w:val="Normal"/>
    <w:rsid w:val="009A2990"/>
    <w:pPr>
      <w:spacing w:before="100" w:beforeAutospacing="1" w:after="100" w:afterAutospacing="1"/>
      <w:jc w:val="left"/>
    </w:pPr>
    <w:rPr>
      <w:rFonts w:ascii="Times New Roman" w:hAnsi="Times New Roman" w:cs="Times New Roman"/>
    </w:rPr>
  </w:style>
  <w:style w:type="character" w:customStyle="1" w:styleId="textrun">
    <w:name w:val="textrun"/>
    <w:basedOn w:val="DefaultParagraphFont"/>
    <w:rsid w:val="009A2990"/>
  </w:style>
  <w:style w:type="character" w:customStyle="1" w:styleId="linebreakblob">
    <w:name w:val="linebreakblob"/>
    <w:basedOn w:val="DefaultParagraphFont"/>
    <w:rsid w:val="009A2990"/>
  </w:style>
  <w:style w:type="character" w:customStyle="1" w:styleId="scxw267529626">
    <w:name w:val="scxw267529626"/>
    <w:basedOn w:val="DefaultParagraphFont"/>
    <w:rsid w:val="009A2990"/>
  </w:style>
  <w:style w:type="paragraph" w:customStyle="1" w:styleId="outlineelement">
    <w:name w:val="outlineelement"/>
    <w:basedOn w:val="Normal"/>
    <w:rsid w:val="009A2990"/>
    <w:pPr>
      <w:spacing w:before="100" w:beforeAutospacing="1" w:after="100" w:afterAutospacing="1"/>
      <w:jc w:val="left"/>
    </w:pPr>
    <w:rPr>
      <w:rFonts w:ascii="Times New Roman" w:hAnsi="Times New Roman" w:cs="Times New Roman"/>
    </w:rPr>
  </w:style>
  <w:style w:type="character" w:customStyle="1" w:styleId="wacimagecontainer">
    <w:name w:val="wacimagecontainer"/>
    <w:basedOn w:val="DefaultParagraphFont"/>
    <w:rsid w:val="009A2990"/>
  </w:style>
  <w:style w:type="paragraph" w:customStyle="1" w:styleId="PBACHeading1">
    <w:name w:val="PBAC Heading 1"/>
    <w:qFormat/>
    <w:rsid w:val="00393A0F"/>
    <w:pPr>
      <w:ind w:left="720" w:hanging="720"/>
      <w:outlineLvl w:val="0"/>
    </w:pPr>
    <w:rPr>
      <w:rFonts w:ascii="Calibri" w:hAnsi="Calibri" w:cs="Calibri"/>
      <w:b/>
      <w:snapToGrid w:val="0"/>
      <w:sz w:val="32"/>
      <w:szCs w:val="32"/>
      <w:lang w:eastAsia="en-US"/>
    </w:rPr>
  </w:style>
  <w:style w:type="paragraph" w:customStyle="1" w:styleId="Bulletpoints">
    <w:name w:val="Bullet points"/>
    <w:basedOn w:val="Normal"/>
    <w:rsid w:val="00BD2120"/>
    <w:pPr>
      <w:spacing w:after="120"/>
      <w:ind w:left="720"/>
      <w:contextualSpacing/>
    </w:pPr>
    <w:rPr>
      <w:snapToGrid w:val="0"/>
    </w:rPr>
  </w:style>
  <w:style w:type="paragraph" w:customStyle="1" w:styleId="PBACcaption">
    <w:name w:val="PBAC caption"/>
    <w:basedOn w:val="Normal"/>
    <w:link w:val="PBACcaptionChar"/>
    <w:qFormat/>
    <w:rsid w:val="008859A5"/>
    <w:pPr>
      <w:jc w:val="left"/>
    </w:pPr>
    <w:rPr>
      <w:rFonts w:ascii="Aptos" w:eastAsiaTheme="minorHAnsi" w:hAnsi="Aptos"/>
      <w:b/>
      <w:sz w:val="22"/>
      <w:szCs w:val="22"/>
      <w:lang w:eastAsia="en-US"/>
    </w:rPr>
  </w:style>
  <w:style w:type="character" w:customStyle="1" w:styleId="PBACcaptionChar">
    <w:name w:val="PBAC caption Char"/>
    <w:basedOn w:val="DefaultParagraphFont"/>
    <w:link w:val="PBACcaption"/>
    <w:rsid w:val="008859A5"/>
    <w:rPr>
      <w:rFonts w:ascii="Aptos" w:eastAsiaTheme="minorHAnsi" w:hAnsi="Aptos" w:cs="Arial"/>
      <w:b/>
      <w:sz w:val="22"/>
      <w:szCs w:val="22"/>
      <w:lang w:eastAsia="en-US"/>
    </w:rPr>
  </w:style>
  <w:style w:type="paragraph" w:customStyle="1" w:styleId="3-SubsectionHeading">
    <w:name w:val="3-Subsection Heading"/>
    <w:basedOn w:val="Heading2"/>
    <w:next w:val="Normal"/>
    <w:link w:val="3-SubsectionHeadingChar"/>
    <w:qFormat/>
    <w:rsid w:val="006A0D23"/>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6A0D23"/>
    <w:rPr>
      <w:rFonts w:asciiTheme="minorHAnsi" w:eastAsiaTheme="majorEastAsia" w:hAnsiTheme="minorHAnsi" w:cstheme="majorBidi"/>
      <w:b/>
      <w:i/>
      <w:snapToGrid/>
      <w:spacing w:val="5"/>
      <w:kern w:val="28"/>
      <w:sz w:val="28"/>
      <w:szCs w:val="36"/>
      <w:lang w:eastAsia="en-US"/>
    </w:rPr>
  </w:style>
  <w:style w:type="paragraph" w:customStyle="1" w:styleId="2-SectionHeading">
    <w:name w:val="2-Section Heading"/>
    <w:qFormat/>
    <w:rsid w:val="00C065B0"/>
    <w:pPr>
      <w:keepNext/>
      <w:spacing w:before="240" w:after="120"/>
      <w:outlineLvl w:val="1"/>
    </w:pPr>
    <w:rPr>
      <w:rFonts w:asciiTheme="minorHAnsi" w:hAnsiTheme="minorHAnsi" w:cs="Arial"/>
      <w:b/>
      <w:snapToGrid w:val="0"/>
      <w:sz w:val="32"/>
      <w:szCs w:val="32"/>
    </w:rPr>
  </w:style>
  <w:style w:type="character" w:styleId="Mention">
    <w:name w:val="Mention"/>
    <w:basedOn w:val="DefaultParagraphFont"/>
    <w:uiPriority w:val="99"/>
    <w:unhideWhenUsed/>
    <w:rsid w:val="006F0665"/>
    <w:rPr>
      <w:color w:val="2B579A"/>
      <w:shd w:val="clear" w:color="auto" w:fill="E1DFDD"/>
    </w:rPr>
  </w:style>
  <w:style w:type="paragraph" w:customStyle="1" w:styleId="4-SubsectionHeading">
    <w:name w:val="4-Subsection Heading"/>
    <w:basedOn w:val="Heading2"/>
    <w:next w:val="Normal"/>
    <w:link w:val="4-SubsectionHeadingChar"/>
    <w:qFormat/>
    <w:rsid w:val="00D76D84"/>
    <w:pPr>
      <w:keepNext/>
      <w:spacing w:before="120" w:after="120"/>
    </w:pPr>
    <w:rPr>
      <w:rFonts w:asciiTheme="minorHAnsi" w:eastAsiaTheme="majorEastAsia" w:hAnsiTheme="minorHAnsi" w:cstheme="majorBidi"/>
      <w:color w:val="365F91" w:themeColor="accent1" w:themeShade="BF"/>
      <w:spacing w:val="5"/>
      <w:kern w:val="28"/>
      <w:szCs w:val="36"/>
      <w:lang w:eastAsia="en-US"/>
    </w:rPr>
  </w:style>
  <w:style w:type="character" w:customStyle="1" w:styleId="4-SubsectionHeadingChar">
    <w:name w:val="4-Subsection Heading Char"/>
    <w:basedOn w:val="Heading2Char"/>
    <w:link w:val="4-SubsectionHeading"/>
    <w:rsid w:val="00D76D84"/>
    <w:rPr>
      <w:rFonts w:asciiTheme="minorHAnsi" w:eastAsiaTheme="majorEastAsia" w:hAnsiTheme="minorHAnsi" w:cstheme="majorBidi"/>
      <w:b/>
      <w:i/>
      <w:snapToGrid/>
      <w:color w:val="365F91" w:themeColor="accent1" w:themeShade="BF"/>
      <w:spacing w:val="5"/>
      <w:kern w:val="28"/>
      <w:sz w:val="28"/>
      <w:szCs w:val="36"/>
      <w:lang w:eastAsia="en-US"/>
    </w:rPr>
  </w:style>
  <w:style w:type="paragraph" w:customStyle="1" w:styleId="3-BodyText">
    <w:name w:val="3-Body Text"/>
    <w:link w:val="3-BodyTextChar"/>
    <w:qFormat/>
    <w:rsid w:val="008E7A78"/>
    <w:pPr>
      <w:spacing w:before="60" w:after="60"/>
      <w:ind w:left="720" w:hanging="720"/>
      <w:jc w:val="both"/>
    </w:pPr>
    <w:rPr>
      <w:rFonts w:asciiTheme="minorHAnsi" w:eastAsiaTheme="minorHAnsi" w:hAnsiTheme="minorHAnsi" w:cstheme="minorBidi"/>
      <w:sz w:val="24"/>
      <w:szCs w:val="22"/>
    </w:rPr>
  </w:style>
  <w:style w:type="character" w:customStyle="1" w:styleId="3-BodyTextChar">
    <w:name w:val="3-Body Text Char"/>
    <w:basedOn w:val="DefaultParagraphFont"/>
    <w:link w:val="3-BodyText"/>
    <w:rsid w:val="008E7A78"/>
    <w:rPr>
      <w:rFonts w:asciiTheme="minorHAnsi" w:eastAsia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9059465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1316866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rvicesaustralia.gov.au/HPO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ervicesaustralia.gov.au/HPO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F5C7FC-2B33-4212-9FC2-FBB12EC95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7B4D4-80FB-417A-B0B6-78DC052E20BF}">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670B2CD6-423A-494E-94AC-E89C7D438B94}">
  <ds:schemaRefs>
    <ds:schemaRef ds:uri="http://schemas.openxmlformats.org/officeDocument/2006/bibliography"/>
  </ds:schemaRefs>
</ds:datastoreItem>
</file>

<file path=customXml/itemProps4.xml><?xml version="1.0" encoding="utf-8"?>
<ds:datastoreItem xmlns:ds="http://schemas.openxmlformats.org/officeDocument/2006/customXml" ds:itemID="{7011405C-CBAD-4E8C-8E37-50F93D362BA4}">
  <ds:schemaRefs>
    <ds:schemaRef ds:uri="http://schemas.microsoft.com/sharepoint/v3/contenttype/forms"/>
  </ds:schemaRefs>
</ds:datastoreItem>
</file>

<file path=docMetadata/LabelInfo.xml><?xml version="1.0" encoding="utf-8"?>
<clbl:labelList xmlns:clbl="http://schemas.microsoft.com/office/2020/mipLabelMetadata">
  <clbl:label id="{3c9bec58-8084-492e-8360-0e1cfe36408c}" enabled="1" method="Standard" siteId="{f35a6974-607f-47d4-82d7-ff31d7dc53a5}" removed="0"/>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20565</Words>
  <Characters>115373</Characters>
  <Application>Microsoft Office Word</Application>
  <DocSecurity>0</DocSecurity>
  <Lines>2563</Lines>
  <Paragraphs>1319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2026-07-03T02:59:00Z</dcterms:created>
  <dcterms:modified xsi:type="dcterms:W3CDTF">2026-07-03T05:58:00Z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3b446917,6a781d4e,1adb2004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77bddba7,418f09a4,482b8ddf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2026-04-02T04:42:56Z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67db1dcc-693f-4a22-9ba0-9fbaf392f2e0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y fmtid="{D5CDD505-2E9C-101B-9397-08002B2CF9AE}" pid="22" name="Order">
    <vt:r8>59824700</vt:r8>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ies>
</file>